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4B4AD" w14:textId="77777777" w:rsidR="00790FE4" w:rsidRPr="008C3B92" w:rsidRDefault="00790FE4" w:rsidP="007F3D56">
      <w:pPr>
        <w:spacing w:after="0"/>
        <w:rPr>
          <w:rFonts w:ascii="Arial" w:hAnsi="Arial" w:cs="Arial"/>
          <w:b/>
          <w:bCs/>
          <w:sz w:val="24"/>
          <w:szCs w:val="24"/>
        </w:rPr>
      </w:pPr>
    </w:p>
    <w:p w14:paraId="42440CF1" w14:textId="77777777" w:rsidR="00790FE4" w:rsidRPr="008C3B92" w:rsidRDefault="00790FE4" w:rsidP="007F3D56">
      <w:pPr>
        <w:spacing w:after="0"/>
        <w:rPr>
          <w:rFonts w:ascii="Arial" w:hAnsi="Arial" w:cs="Arial"/>
          <w:b/>
          <w:bCs/>
          <w:sz w:val="24"/>
          <w:szCs w:val="24"/>
        </w:rPr>
      </w:pPr>
    </w:p>
    <w:p w14:paraId="47B146F4" w14:textId="54C2B263" w:rsidR="00BB387E" w:rsidRPr="00BB387E" w:rsidRDefault="00414BA9" w:rsidP="00BB387E">
      <w:pPr>
        <w:spacing w:after="0"/>
        <w:jc w:val="center"/>
        <w:rPr>
          <w:rFonts w:ascii="Arial" w:hAnsi="Arial" w:cs="Arial"/>
          <w:b/>
          <w:bCs/>
          <w:sz w:val="24"/>
          <w:szCs w:val="24"/>
        </w:rPr>
      </w:pPr>
      <w:r w:rsidRPr="00BB387E">
        <w:rPr>
          <w:rFonts w:ascii="Arial" w:hAnsi="Arial" w:cs="Arial"/>
          <w:b/>
          <w:bCs/>
          <w:sz w:val="24"/>
          <w:szCs w:val="24"/>
        </w:rPr>
        <w:t>20</w:t>
      </w:r>
      <w:r>
        <w:rPr>
          <w:rFonts w:ascii="Arial" w:hAnsi="Arial" w:cs="Arial"/>
          <w:b/>
          <w:bCs/>
          <w:sz w:val="24"/>
          <w:szCs w:val="24"/>
        </w:rPr>
        <w:t>2</w:t>
      </w:r>
      <w:r w:rsidR="00B81026">
        <w:rPr>
          <w:rFonts w:ascii="Arial" w:hAnsi="Arial" w:cs="Arial"/>
          <w:b/>
          <w:bCs/>
          <w:sz w:val="24"/>
          <w:szCs w:val="24"/>
        </w:rPr>
        <w:t>6</w:t>
      </w:r>
    </w:p>
    <w:p w14:paraId="76FBCA77" w14:textId="77777777" w:rsidR="00BB387E" w:rsidRPr="00BB387E" w:rsidRDefault="00BB387E" w:rsidP="00BB387E">
      <w:pPr>
        <w:spacing w:after="0"/>
        <w:jc w:val="center"/>
        <w:rPr>
          <w:rFonts w:ascii="Arial" w:hAnsi="Arial" w:cs="Arial"/>
          <w:b/>
          <w:sz w:val="24"/>
          <w:szCs w:val="24"/>
        </w:rPr>
      </w:pPr>
    </w:p>
    <w:p w14:paraId="3493308A" w14:textId="77777777" w:rsidR="00BB387E" w:rsidRPr="00BB387E" w:rsidRDefault="00BB387E" w:rsidP="00BB387E">
      <w:pPr>
        <w:spacing w:after="0"/>
        <w:jc w:val="center"/>
        <w:rPr>
          <w:rFonts w:ascii="Arial" w:hAnsi="Arial" w:cs="Arial"/>
          <w:b/>
          <w:sz w:val="24"/>
          <w:szCs w:val="24"/>
        </w:rPr>
      </w:pPr>
    </w:p>
    <w:p w14:paraId="0DB9FAF9" w14:textId="77777777" w:rsidR="00BB387E" w:rsidRPr="00BB387E" w:rsidRDefault="00BB387E" w:rsidP="00BB387E">
      <w:pPr>
        <w:spacing w:after="0"/>
        <w:jc w:val="center"/>
        <w:rPr>
          <w:rFonts w:ascii="Arial" w:hAnsi="Arial" w:cs="Arial"/>
          <w:b/>
          <w:sz w:val="24"/>
          <w:szCs w:val="24"/>
        </w:rPr>
      </w:pPr>
    </w:p>
    <w:p w14:paraId="32DDD7F5" w14:textId="77777777" w:rsidR="00BB387E" w:rsidRPr="00BB387E" w:rsidRDefault="00BB387E" w:rsidP="00BB387E">
      <w:pPr>
        <w:spacing w:after="0"/>
        <w:jc w:val="center"/>
        <w:rPr>
          <w:rFonts w:ascii="Arial" w:hAnsi="Arial" w:cs="Arial"/>
          <w:b/>
          <w:sz w:val="24"/>
          <w:szCs w:val="24"/>
        </w:rPr>
      </w:pPr>
    </w:p>
    <w:p w14:paraId="03B2A002" w14:textId="77777777" w:rsidR="00BB387E" w:rsidRPr="00BB387E" w:rsidRDefault="00BB387E" w:rsidP="00BB387E">
      <w:pPr>
        <w:spacing w:after="0"/>
        <w:jc w:val="center"/>
        <w:rPr>
          <w:rFonts w:ascii="Arial" w:hAnsi="Arial" w:cs="Arial"/>
          <w:b/>
          <w:bCs/>
          <w:sz w:val="24"/>
          <w:szCs w:val="24"/>
        </w:rPr>
      </w:pPr>
    </w:p>
    <w:p w14:paraId="76B12392" w14:textId="77777777" w:rsidR="00BB387E" w:rsidRPr="00BB387E" w:rsidRDefault="00BB387E" w:rsidP="00BB387E">
      <w:pPr>
        <w:spacing w:after="0"/>
        <w:jc w:val="center"/>
        <w:rPr>
          <w:rFonts w:ascii="Arial" w:hAnsi="Arial" w:cs="Arial"/>
          <w:b/>
          <w:bCs/>
          <w:sz w:val="24"/>
          <w:szCs w:val="24"/>
        </w:rPr>
      </w:pPr>
    </w:p>
    <w:p w14:paraId="04AE96BF" w14:textId="77777777" w:rsidR="00BB387E" w:rsidRPr="00BB387E" w:rsidRDefault="00BB387E" w:rsidP="00BB387E">
      <w:pPr>
        <w:spacing w:after="0"/>
        <w:jc w:val="center"/>
        <w:rPr>
          <w:rFonts w:ascii="Arial" w:hAnsi="Arial" w:cs="Arial"/>
          <w:b/>
          <w:bCs/>
          <w:sz w:val="24"/>
          <w:szCs w:val="24"/>
        </w:rPr>
      </w:pPr>
      <w:r w:rsidRPr="00BB387E">
        <w:rPr>
          <w:rFonts w:ascii="Arial" w:hAnsi="Arial" w:cs="Arial"/>
          <w:b/>
          <w:bCs/>
          <w:sz w:val="24"/>
          <w:szCs w:val="24"/>
        </w:rPr>
        <w:t>THE LEGISLATIVE ASSEMBLY FOR THE</w:t>
      </w:r>
    </w:p>
    <w:p w14:paraId="38D9D6DC" w14:textId="77777777" w:rsidR="00BB387E" w:rsidRPr="00BB387E" w:rsidRDefault="00BB387E" w:rsidP="00BB387E">
      <w:pPr>
        <w:spacing w:after="0"/>
        <w:jc w:val="center"/>
        <w:rPr>
          <w:rFonts w:ascii="Arial" w:hAnsi="Arial" w:cs="Arial"/>
          <w:b/>
          <w:sz w:val="24"/>
          <w:szCs w:val="24"/>
        </w:rPr>
      </w:pPr>
      <w:r w:rsidRPr="00BB387E">
        <w:rPr>
          <w:rFonts w:ascii="Arial" w:hAnsi="Arial" w:cs="Arial"/>
          <w:b/>
          <w:bCs/>
          <w:sz w:val="24"/>
          <w:szCs w:val="24"/>
        </w:rPr>
        <w:t>AUSTRALIAN CAPITAL TERRITORY</w:t>
      </w:r>
    </w:p>
    <w:p w14:paraId="1814759D" w14:textId="77777777" w:rsidR="00BB387E" w:rsidRPr="00BB387E" w:rsidRDefault="00BB387E" w:rsidP="00BB387E">
      <w:pPr>
        <w:spacing w:after="0"/>
        <w:jc w:val="center"/>
        <w:rPr>
          <w:rFonts w:ascii="Arial" w:hAnsi="Arial" w:cs="Arial"/>
          <w:b/>
          <w:sz w:val="24"/>
          <w:szCs w:val="24"/>
        </w:rPr>
      </w:pPr>
    </w:p>
    <w:p w14:paraId="63F0CAA5" w14:textId="77777777" w:rsidR="00BB387E" w:rsidRPr="00BB387E" w:rsidRDefault="00BB387E" w:rsidP="00BB387E">
      <w:pPr>
        <w:spacing w:after="0"/>
        <w:jc w:val="center"/>
        <w:rPr>
          <w:rFonts w:ascii="Arial" w:hAnsi="Arial" w:cs="Arial"/>
          <w:b/>
          <w:sz w:val="24"/>
          <w:szCs w:val="24"/>
        </w:rPr>
      </w:pPr>
    </w:p>
    <w:p w14:paraId="279B0824" w14:textId="77777777" w:rsidR="00BB387E" w:rsidRPr="00BB387E" w:rsidRDefault="00BB387E" w:rsidP="00BB387E">
      <w:pPr>
        <w:spacing w:after="0"/>
        <w:jc w:val="center"/>
        <w:rPr>
          <w:rFonts w:ascii="Arial" w:hAnsi="Arial" w:cs="Arial"/>
          <w:b/>
          <w:sz w:val="24"/>
          <w:szCs w:val="24"/>
        </w:rPr>
      </w:pPr>
    </w:p>
    <w:p w14:paraId="01940BA6" w14:textId="77777777" w:rsidR="00BB387E" w:rsidRPr="00BB387E" w:rsidRDefault="00BB387E" w:rsidP="00BB387E">
      <w:pPr>
        <w:spacing w:after="0"/>
        <w:jc w:val="center"/>
        <w:rPr>
          <w:rFonts w:ascii="Arial" w:hAnsi="Arial" w:cs="Arial"/>
          <w:b/>
          <w:sz w:val="24"/>
          <w:szCs w:val="24"/>
        </w:rPr>
      </w:pPr>
    </w:p>
    <w:p w14:paraId="278F861F" w14:textId="77777777" w:rsidR="00BB387E" w:rsidRPr="00BB387E" w:rsidRDefault="00BB387E" w:rsidP="00BB387E">
      <w:pPr>
        <w:spacing w:after="0"/>
        <w:jc w:val="center"/>
        <w:rPr>
          <w:rFonts w:ascii="Arial" w:hAnsi="Arial" w:cs="Arial"/>
          <w:b/>
          <w:sz w:val="24"/>
          <w:szCs w:val="24"/>
        </w:rPr>
      </w:pPr>
    </w:p>
    <w:p w14:paraId="48190A2F" w14:textId="77777777" w:rsidR="00BB387E" w:rsidRPr="00BB387E" w:rsidRDefault="00BB387E" w:rsidP="00BB387E">
      <w:pPr>
        <w:spacing w:after="0"/>
        <w:jc w:val="center"/>
        <w:rPr>
          <w:rFonts w:ascii="Arial" w:hAnsi="Arial" w:cs="Arial"/>
          <w:b/>
          <w:sz w:val="24"/>
          <w:szCs w:val="24"/>
        </w:rPr>
      </w:pPr>
    </w:p>
    <w:p w14:paraId="03A897E3" w14:textId="77777777" w:rsidR="00BB387E" w:rsidRDefault="00BB387E" w:rsidP="00BB387E">
      <w:pPr>
        <w:spacing w:after="0"/>
        <w:jc w:val="center"/>
        <w:rPr>
          <w:rFonts w:ascii="Arial" w:hAnsi="Arial" w:cs="Arial"/>
          <w:b/>
          <w:sz w:val="24"/>
          <w:szCs w:val="24"/>
        </w:rPr>
      </w:pPr>
    </w:p>
    <w:p w14:paraId="201D6FA5" w14:textId="77777777" w:rsidR="003E7160" w:rsidRPr="00BB387E" w:rsidRDefault="003E7160" w:rsidP="00BB387E">
      <w:pPr>
        <w:spacing w:after="0"/>
        <w:jc w:val="center"/>
        <w:rPr>
          <w:rFonts w:ascii="Arial" w:hAnsi="Arial" w:cs="Arial"/>
          <w:b/>
          <w:sz w:val="24"/>
          <w:szCs w:val="24"/>
        </w:rPr>
      </w:pPr>
    </w:p>
    <w:p w14:paraId="75D7A359" w14:textId="77777777" w:rsidR="00BB387E" w:rsidRPr="00BB387E" w:rsidRDefault="00BB387E" w:rsidP="00BB387E">
      <w:pPr>
        <w:spacing w:after="0"/>
        <w:jc w:val="center"/>
        <w:rPr>
          <w:rFonts w:ascii="Arial" w:hAnsi="Arial" w:cs="Arial"/>
          <w:b/>
          <w:sz w:val="24"/>
          <w:szCs w:val="24"/>
        </w:rPr>
      </w:pPr>
    </w:p>
    <w:p w14:paraId="6CA27CE6" w14:textId="77777777" w:rsidR="00BB387E" w:rsidRPr="00BB387E" w:rsidRDefault="00BB387E" w:rsidP="00BB387E">
      <w:pPr>
        <w:spacing w:after="0"/>
        <w:jc w:val="center"/>
        <w:rPr>
          <w:rFonts w:ascii="Arial" w:hAnsi="Arial" w:cs="Arial"/>
          <w:b/>
          <w:sz w:val="24"/>
          <w:szCs w:val="24"/>
        </w:rPr>
      </w:pPr>
    </w:p>
    <w:p w14:paraId="309E6F3A" w14:textId="77777777" w:rsidR="00BB387E" w:rsidRPr="00BB387E" w:rsidRDefault="00BB387E" w:rsidP="00BB387E">
      <w:pPr>
        <w:spacing w:after="0"/>
        <w:jc w:val="center"/>
        <w:rPr>
          <w:rFonts w:ascii="Arial" w:hAnsi="Arial" w:cs="Arial"/>
          <w:b/>
          <w:sz w:val="24"/>
          <w:szCs w:val="24"/>
        </w:rPr>
      </w:pPr>
    </w:p>
    <w:p w14:paraId="69918477" w14:textId="13EB7D70" w:rsidR="00741C4A" w:rsidRPr="00741C4A" w:rsidRDefault="00CC1A4A" w:rsidP="00741C4A">
      <w:pPr>
        <w:spacing w:after="0"/>
        <w:jc w:val="center"/>
        <w:rPr>
          <w:rFonts w:ascii="Arial" w:hAnsi="Arial" w:cs="Arial"/>
          <w:b/>
          <w:bCs/>
          <w:sz w:val="24"/>
          <w:szCs w:val="24"/>
        </w:rPr>
      </w:pPr>
      <w:r>
        <w:rPr>
          <w:rFonts w:ascii="Arial" w:hAnsi="Arial" w:cs="Arial"/>
          <w:b/>
          <w:bCs/>
          <w:sz w:val="24"/>
          <w:szCs w:val="24"/>
        </w:rPr>
        <w:t xml:space="preserve"> </w:t>
      </w:r>
      <w:r w:rsidR="00B81026">
        <w:rPr>
          <w:rFonts w:ascii="Arial" w:hAnsi="Arial" w:cs="Arial"/>
          <w:b/>
          <w:bCs/>
          <w:sz w:val="24"/>
          <w:szCs w:val="24"/>
        </w:rPr>
        <w:t>HOUSING AND CONSUMER AFFAIRS LEGISLATION AMENDMENT</w:t>
      </w:r>
      <w:r w:rsidR="006D7F01" w:rsidRPr="00741C4A">
        <w:rPr>
          <w:rFonts w:ascii="Arial" w:hAnsi="Arial" w:cs="Arial"/>
          <w:b/>
          <w:bCs/>
          <w:sz w:val="24"/>
          <w:szCs w:val="24"/>
        </w:rPr>
        <w:t xml:space="preserve"> </w:t>
      </w:r>
      <w:r w:rsidR="00741C4A" w:rsidRPr="00741C4A">
        <w:rPr>
          <w:rFonts w:ascii="Arial" w:hAnsi="Arial" w:cs="Arial"/>
          <w:b/>
          <w:bCs/>
          <w:sz w:val="24"/>
          <w:szCs w:val="24"/>
        </w:rPr>
        <w:t xml:space="preserve">BILL </w:t>
      </w:r>
      <w:r w:rsidR="00414BA9" w:rsidRPr="00741C4A">
        <w:rPr>
          <w:rFonts w:ascii="Arial" w:hAnsi="Arial" w:cs="Arial"/>
          <w:b/>
          <w:bCs/>
          <w:sz w:val="24"/>
          <w:szCs w:val="24"/>
        </w:rPr>
        <w:t>20</w:t>
      </w:r>
      <w:r w:rsidR="00414BA9">
        <w:rPr>
          <w:rFonts w:ascii="Arial" w:hAnsi="Arial" w:cs="Arial"/>
          <w:b/>
          <w:bCs/>
          <w:sz w:val="24"/>
          <w:szCs w:val="24"/>
        </w:rPr>
        <w:t>2</w:t>
      </w:r>
      <w:r w:rsidR="00B81026">
        <w:rPr>
          <w:rFonts w:ascii="Arial" w:hAnsi="Arial" w:cs="Arial"/>
          <w:b/>
          <w:bCs/>
          <w:sz w:val="24"/>
          <w:szCs w:val="24"/>
        </w:rPr>
        <w:t>6</w:t>
      </w:r>
      <w:r w:rsidR="00EC5C77">
        <w:rPr>
          <w:rFonts w:ascii="Arial" w:hAnsi="Arial" w:cs="Arial"/>
          <w:b/>
          <w:bCs/>
          <w:sz w:val="24"/>
          <w:szCs w:val="24"/>
        </w:rPr>
        <w:t xml:space="preserve"> </w:t>
      </w:r>
    </w:p>
    <w:p w14:paraId="19F3C407" w14:textId="77777777" w:rsidR="00BB387E" w:rsidRDefault="00BB387E" w:rsidP="00BB387E">
      <w:pPr>
        <w:spacing w:after="0"/>
        <w:jc w:val="center"/>
        <w:rPr>
          <w:rFonts w:ascii="Arial" w:hAnsi="Arial" w:cs="Arial"/>
          <w:b/>
          <w:bCs/>
          <w:sz w:val="24"/>
          <w:szCs w:val="24"/>
        </w:rPr>
      </w:pPr>
    </w:p>
    <w:p w14:paraId="4C149676" w14:textId="77777777" w:rsidR="003E7160" w:rsidRPr="00BB387E" w:rsidRDefault="003E7160" w:rsidP="00BB387E">
      <w:pPr>
        <w:spacing w:after="0"/>
        <w:jc w:val="center"/>
        <w:rPr>
          <w:rFonts w:ascii="Arial" w:hAnsi="Arial" w:cs="Arial"/>
          <w:b/>
          <w:bCs/>
          <w:sz w:val="24"/>
          <w:szCs w:val="24"/>
        </w:rPr>
      </w:pPr>
    </w:p>
    <w:p w14:paraId="37B3F0B9" w14:textId="77777777" w:rsidR="00BB387E" w:rsidRPr="00BB387E" w:rsidRDefault="00BB387E" w:rsidP="00BB387E">
      <w:pPr>
        <w:spacing w:after="0"/>
        <w:jc w:val="center"/>
        <w:rPr>
          <w:rFonts w:ascii="Arial" w:hAnsi="Arial" w:cs="Arial"/>
          <w:b/>
          <w:sz w:val="24"/>
          <w:szCs w:val="24"/>
        </w:rPr>
      </w:pPr>
    </w:p>
    <w:p w14:paraId="0D26BB2F" w14:textId="77777777" w:rsidR="00BB387E" w:rsidRPr="00BB387E" w:rsidRDefault="00BB387E" w:rsidP="00BB387E">
      <w:pPr>
        <w:spacing w:after="0"/>
        <w:jc w:val="center"/>
        <w:rPr>
          <w:rFonts w:ascii="Arial" w:hAnsi="Arial" w:cs="Arial"/>
          <w:b/>
          <w:bCs/>
          <w:sz w:val="24"/>
          <w:szCs w:val="24"/>
        </w:rPr>
      </w:pPr>
    </w:p>
    <w:p w14:paraId="588053E2" w14:textId="77777777" w:rsidR="00BC3EF0" w:rsidRDefault="00BB387E" w:rsidP="00BB387E">
      <w:pPr>
        <w:spacing w:after="0"/>
        <w:jc w:val="center"/>
        <w:rPr>
          <w:rFonts w:ascii="Arial" w:hAnsi="Arial" w:cs="Arial"/>
          <w:b/>
          <w:bCs/>
          <w:sz w:val="24"/>
          <w:szCs w:val="24"/>
        </w:rPr>
      </w:pPr>
      <w:r w:rsidRPr="00BB387E">
        <w:rPr>
          <w:rFonts w:ascii="Arial" w:hAnsi="Arial" w:cs="Arial"/>
          <w:b/>
          <w:bCs/>
          <w:sz w:val="24"/>
          <w:szCs w:val="24"/>
        </w:rPr>
        <w:t>EXPLANATORY STATEMENT</w:t>
      </w:r>
      <w:r w:rsidR="00BC3EF0">
        <w:rPr>
          <w:rFonts w:ascii="Arial" w:hAnsi="Arial" w:cs="Arial"/>
          <w:b/>
          <w:bCs/>
          <w:sz w:val="24"/>
          <w:szCs w:val="24"/>
        </w:rPr>
        <w:t xml:space="preserve"> </w:t>
      </w:r>
    </w:p>
    <w:p w14:paraId="06C942D2" w14:textId="5211A683" w:rsidR="00BC3EF0" w:rsidRDefault="00BC3EF0" w:rsidP="00BB387E">
      <w:pPr>
        <w:spacing w:after="0"/>
        <w:jc w:val="center"/>
        <w:rPr>
          <w:rFonts w:ascii="Arial" w:hAnsi="Arial" w:cs="Arial"/>
          <w:b/>
          <w:bCs/>
          <w:sz w:val="24"/>
          <w:szCs w:val="24"/>
        </w:rPr>
      </w:pPr>
      <w:r>
        <w:rPr>
          <w:rFonts w:ascii="Arial" w:hAnsi="Arial" w:cs="Arial"/>
          <w:b/>
          <w:bCs/>
          <w:sz w:val="24"/>
          <w:szCs w:val="24"/>
        </w:rPr>
        <w:t>and</w:t>
      </w:r>
    </w:p>
    <w:p w14:paraId="21E7A29D" w14:textId="03EF1A1B" w:rsidR="00BB387E" w:rsidRDefault="00BC3EF0" w:rsidP="00BB387E">
      <w:pPr>
        <w:spacing w:after="0"/>
        <w:jc w:val="center"/>
        <w:rPr>
          <w:rFonts w:ascii="Arial" w:hAnsi="Arial" w:cs="Arial"/>
          <w:b/>
          <w:bCs/>
          <w:sz w:val="24"/>
          <w:szCs w:val="24"/>
        </w:rPr>
      </w:pPr>
      <w:r>
        <w:rPr>
          <w:rFonts w:ascii="Arial" w:hAnsi="Arial" w:cs="Arial"/>
          <w:b/>
          <w:bCs/>
          <w:sz w:val="24"/>
          <w:szCs w:val="24"/>
        </w:rPr>
        <w:t xml:space="preserve"> HUMAN RIGHTS COMPATIBILITY STATEMENT</w:t>
      </w:r>
    </w:p>
    <w:p w14:paraId="00B32D69" w14:textId="797A78E0" w:rsidR="00BC3EF0" w:rsidRPr="00BB387E" w:rsidRDefault="00BC3EF0" w:rsidP="00BB387E">
      <w:pPr>
        <w:spacing w:after="0"/>
        <w:jc w:val="center"/>
        <w:rPr>
          <w:rFonts w:ascii="Arial" w:hAnsi="Arial" w:cs="Arial"/>
          <w:b/>
          <w:sz w:val="24"/>
          <w:szCs w:val="24"/>
        </w:rPr>
      </w:pPr>
      <w:r>
        <w:rPr>
          <w:rFonts w:ascii="Arial" w:hAnsi="Arial" w:cs="Arial"/>
          <w:b/>
          <w:bCs/>
          <w:sz w:val="24"/>
          <w:szCs w:val="24"/>
        </w:rPr>
        <w:t>(</w:t>
      </w:r>
      <w:r w:rsidRPr="00BC3EF0">
        <w:rPr>
          <w:rFonts w:ascii="Arial" w:hAnsi="Arial" w:cs="Arial"/>
          <w:b/>
          <w:bCs/>
          <w:i/>
          <w:iCs/>
          <w:sz w:val="24"/>
          <w:szCs w:val="24"/>
        </w:rPr>
        <w:t>Human Rights Act 2004</w:t>
      </w:r>
      <w:r>
        <w:rPr>
          <w:rFonts w:ascii="Arial" w:hAnsi="Arial" w:cs="Arial"/>
          <w:b/>
          <w:bCs/>
          <w:sz w:val="24"/>
          <w:szCs w:val="24"/>
        </w:rPr>
        <w:t>, s 37)</w:t>
      </w:r>
    </w:p>
    <w:p w14:paraId="4E561EC7" w14:textId="77777777" w:rsidR="00BB387E" w:rsidRPr="00BB387E" w:rsidRDefault="00BB387E" w:rsidP="00BB387E">
      <w:pPr>
        <w:spacing w:after="0"/>
        <w:jc w:val="center"/>
        <w:rPr>
          <w:rFonts w:ascii="Arial" w:hAnsi="Arial" w:cs="Arial"/>
          <w:b/>
          <w:sz w:val="24"/>
          <w:szCs w:val="24"/>
        </w:rPr>
      </w:pPr>
    </w:p>
    <w:p w14:paraId="58E7858B" w14:textId="77777777" w:rsidR="00BB387E" w:rsidRPr="00BB387E" w:rsidRDefault="00BB387E" w:rsidP="00BB387E">
      <w:pPr>
        <w:spacing w:after="0"/>
        <w:jc w:val="center"/>
        <w:rPr>
          <w:rFonts w:ascii="Arial" w:hAnsi="Arial" w:cs="Arial"/>
          <w:b/>
          <w:sz w:val="24"/>
          <w:szCs w:val="24"/>
        </w:rPr>
      </w:pPr>
    </w:p>
    <w:p w14:paraId="44FB09C0" w14:textId="77777777" w:rsidR="00BB387E" w:rsidRPr="00BB387E" w:rsidRDefault="00BB387E" w:rsidP="00BB387E">
      <w:pPr>
        <w:spacing w:after="0"/>
        <w:jc w:val="center"/>
        <w:rPr>
          <w:rFonts w:ascii="Arial" w:hAnsi="Arial" w:cs="Arial"/>
          <w:b/>
          <w:sz w:val="24"/>
          <w:szCs w:val="24"/>
        </w:rPr>
      </w:pPr>
    </w:p>
    <w:p w14:paraId="6DB1E5EF" w14:textId="77777777" w:rsidR="00BB387E" w:rsidRPr="00BB387E" w:rsidRDefault="00BB387E" w:rsidP="00BB387E">
      <w:pPr>
        <w:spacing w:after="0"/>
        <w:jc w:val="center"/>
        <w:rPr>
          <w:rFonts w:ascii="Arial" w:hAnsi="Arial" w:cs="Arial"/>
          <w:b/>
          <w:sz w:val="24"/>
          <w:szCs w:val="24"/>
        </w:rPr>
      </w:pPr>
    </w:p>
    <w:p w14:paraId="5CCF0433" w14:textId="77777777" w:rsidR="00BB387E" w:rsidRDefault="00BB387E" w:rsidP="00BB387E">
      <w:pPr>
        <w:keepNext/>
        <w:widowControl w:val="0"/>
        <w:spacing w:after="0"/>
        <w:jc w:val="center"/>
        <w:outlineLvl w:val="7"/>
        <w:rPr>
          <w:rFonts w:ascii="Arial" w:hAnsi="Arial" w:cs="Arial"/>
          <w:b/>
          <w:bCs/>
          <w:sz w:val="24"/>
          <w:szCs w:val="24"/>
        </w:rPr>
      </w:pPr>
    </w:p>
    <w:p w14:paraId="5670FE43" w14:textId="77777777" w:rsidR="003E7160" w:rsidRDefault="003E7160" w:rsidP="00BB387E">
      <w:pPr>
        <w:keepNext/>
        <w:widowControl w:val="0"/>
        <w:spacing w:after="0"/>
        <w:jc w:val="center"/>
        <w:outlineLvl w:val="7"/>
        <w:rPr>
          <w:rFonts w:ascii="Arial" w:hAnsi="Arial" w:cs="Arial"/>
          <w:b/>
          <w:bCs/>
          <w:sz w:val="24"/>
          <w:szCs w:val="24"/>
        </w:rPr>
      </w:pPr>
    </w:p>
    <w:p w14:paraId="249996F6" w14:textId="77777777" w:rsidR="003E7160" w:rsidRDefault="003E7160" w:rsidP="00BB387E">
      <w:pPr>
        <w:keepNext/>
        <w:widowControl w:val="0"/>
        <w:spacing w:after="0"/>
        <w:jc w:val="center"/>
        <w:outlineLvl w:val="7"/>
        <w:rPr>
          <w:rFonts w:ascii="Arial" w:hAnsi="Arial" w:cs="Arial"/>
          <w:b/>
          <w:bCs/>
          <w:sz w:val="24"/>
          <w:szCs w:val="24"/>
        </w:rPr>
      </w:pPr>
    </w:p>
    <w:p w14:paraId="668670BA" w14:textId="77777777" w:rsidR="003E7160" w:rsidRPr="00BB387E" w:rsidRDefault="003E7160" w:rsidP="00BB387E">
      <w:pPr>
        <w:keepNext/>
        <w:widowControl w:val="0"/>
        <w:spacing w:after="0"/>
        <w:jc w:val="center"/>
        <w:outlineLvl w:val="7"/>
        <w:rPr>
          <w:rFonts w:ascii="Arial" w:hAnsi="Arial" w:cs="Arial"/>
          <w:b/>
          <w:bCs/>
          <w:sz w:val="24"/>
          <w:szCs w:val="24"/>
        </w:rPr>
      </w:pPr>
    </w:p>
    <w:p w14:paraId="0CE0F478" w14:textId="77777777" w:rsidR="00BB387E" w:rsidRPr="00BB387E" w:rsidRDefault="00BB387E" w:rsidP="00BB387E">
      <w:pPr>
        <w:keepNext/>
        <w:widowControl w:val="0"/>
        <w:spacing w:after="0"/>
        <w:jc w:val="center"/>
        <w:outlineLvl w:val="7"/>
        <w:rPr>
          <w:rFonts w:ascii="Arial" w:hAnsi="Arial" w:cs="Arial"/>
          <w:b/>
          <w:bCs/>
          <w:sz w:val="24"/>
          <w:szCs w:val="24"/>
        </w:rPr>
      </w:pPr>
    </w:p>
    <w:p w14:paraId="2D0F4E33" w14:textId="77777777" w:rsidR="00BB387E" w:rsidRPr="00BB387E" w:rsidRDefault="00BB387E" w:rsidP="00BB387E">
      <w:pPr>
        <w:keepNext/>
        <w:widowControl w:val="0"/>
        <w:spacing w:after="0"/>
        <w:ind w:right="686"/>
        <w:jc w:val="right"/>
        <w:outlineLvl w:val="7"/>
        <w:rPr>
          <w:rFonts w:ascii="Arial" w:hAnsi="Arial" w:cs="Arial"/>
          <w:b/>
          <w:bCs/>
          <w:sz w:val="24"/>
          <w:szCs w:val="24"/>
        </w:rPr>
      </w:pPr>
      <w:r w:rsidRPr="00BB387E">
        <w:rPr>
          <w:rFonts w:ascii="Arial" w:hAnsi="Arial" w:cs="Arial"/>
          <w:b/>
          <w:bCs/>
          <w:sz w:val="24"/>
          <w:szCs w:val="24"/>
        </w:rPr>
        <w:t>Presented by</w:t>
      </w:r>
    </w:p>
    <w:p w14:paraId="5BBE2D1D" w14:textId="7EFA86FC" w:rsidR="00BB387E" w:rsidRDefault="00E170D7" w:rsidP="00BB387E">
      <w:pPr>
        <w:spacing w:after="0"/>
        <w:ind w:right="686"/>
        <w:jc w:val="right"/>
        <w:rPr>
          <w:rFonts w:ascii="Arial" w:hAnsi="Arial" w:cs="Arial"/>
          <w:b/>
          <w:bCs/>
          <w:sz w:val="24"/>
          <w:szCs w:val="24"/>
        </w:rPr>
      </w:pPr>
      <w:r>
        <w:rPr>
          <w:rFonts w:ascii="Arial" w:hAnsi="Arial" w:cs="Arial"/>
          <w:b/>
          <w:bCs/>
          <w:sz w:val="24"/>
          <w:szCs w:val="24"/>
        </w:rPr>
        <w:t xml:space="preserve">Tara Cheyne </w:t>
      </w:r>
      <w:r w:rsidR="00E954A1">
        <w:rPr>
          <w:rFonts w:ascii="Arial" w:hAnsi="Arial" w:cs="Arial"/>
          <w:b/>
          <w:bCs/>
          <w:sz w:val="24"/>
          <w:szCs w:val="24"/>
        </w:rPr>
        <w:t>MLA</w:t>
      </w:r>
    </w:p>
    <w:p w14:paraId="3EB4F115" w14:textId="0A2DB117" w:rsidR="003E7160" w:rsidRPr="00BB387E" w:rsidRDefault="003E7160" w:rsidP="00BB387E">
      <w:pPr>
        <w:spacing w:after="0"/>
        <w:ind w:right="686"/>
        <w:jc w:val="right"/>
        <w:rPr>
          <w:rFonts w:ascii="Arial" w:hAnsi="Arial" w:cs="Arial"/>
          <w:b/>
          <w:bCs/>
          <w:sz w:val="24"/>
          <w:szCs w:val="24"/>
        </w:rPr>
      </w:pPr>
      <w:r>
        <w:rPr>
          <w:rFonts w:ascii="Arial" w:hAnsi="Arial" w:cs="Arial"/>
          <w:b/>
          <w:bCs/>
          <w:sz w:val="24"/>
          <w:szCs w:val="24"/>
        </w:rPr>
        <w:t>Attorney-General</w:t>
      </w:r>
    </w:p>
    <w:p w14:paraId="29D58DC6" w14:textId="77777777" w:rsidR="00DC5912" w:rsidRPr="008C3B92" w:rsidRDefault="00DC5912">
      <w:pPr>
        <w:spacing w:after="0" w:line="240" w:lineRule="auto"/>
        <w:rPr>
          <w:rFonts w:ascii="Arial" w:hAnsi="Arial" w:cs="Arial"/>
          <w:b/>
          <w:bCs/>
          <w:sz w:val="24"/>
          <w:szCs w:val="24"/>
          <w:u w:val="single"/>
        </w:rPr>
        <w:sectPr w:rsidR="00DC5912" w:rsidRPr="008C3B92" w:rsidSect="00DC5912">
          <w:headerReference w:type="even" r:id="rId9"/>
          <w:headerReference w:type="default" r:id="rId10"/>
          <w:footerReference w:type="even" r:id="rId11"/>
          <w:footerReference w:type="default" r:id="rId12"/>
          <w:headerReference w:type="first" r:id="rId13"/>
          <w:footerReference w:type="first" r:id="rId14"/>
          <w:pgSz w:w="11906" w:h="16838"/>
          <w:pgMar w:top="1276" w:right="1440" w:bottom="1440" w:left="1440" w:header="709" w:footer="675" w:gutter="0"/>
          <w:pgNumType w:start="1"/>
          <w:cols w:space="708"/>
          <w:docGrid w:linePitch="360"/>
        </w:sectPr>
      </w:pPr>
      <w:r w:rsidRPr="008C3B92">
        <w:rPr>
          <w:rFonts w:ascii="Arial" w:hAnsi="Arial" w:cs="Arial"/>
          <w:b/>
          <w:bCs/>
          <w:sz w:val="24"/>
          <w:szCs w:val="24"/>
          <w:u w:val="single"/>
        </w:rPr>
        <w:br w:type="page"/>
      </w:r>
    </w:p>
    <w:p w14:paraId="00ACAF6A" w14:textId="4C37EC95" w:rsidR="00ED3B77" w:rsidRPr="00BB387E" w:rsidRDefault="00E170D7" w:rsidP="008C225D">
      <w:pPr>
        <w:pStyle w:val="Heading1"/>
        <w:jc w:val="center"/>
      </w:pPr>
      <w:r>
        <w:lastRenderedPageBreak/>
        <w:t>HOUSING AND CONSUMER AFFAIRS LEGISLATION AMENDMENT</w:t>
      </w:r>
      <w:r w:rsidR="006D7F01" w:rsidRPr="00BB387E">
        <w:t xml:space="preserve"> </w:t>
      </w:r>
      <w:r w:rsidR="00ED3B77" w:rsidRPr="00BB387E">
        <w:t xml:space="preserve">BILL </w:t>
      </w:r>
      <w:r w:rsidR="005B7158" w:rsidRPr="00BB387E">
        <w:t>20</w:t>
      </w:r>
      <w:r w:rsidR="005B7158">
        <w:t>2</w:t>
      </w:r>
      <w:r>
        <w:t>6</w:t>
      </w:r>
      <w:r w:rsidR="00EC5C77">
        <w:t xml:space="preserve"> </w:t>
      </w:r>
    </w:p>
    <w:p w14:paraId="2612AE1F" w14:textId="77777777" w:rsidR="00834FC9" w:rsidRDefault="00834FC9" w:rsidP="007F3D56">
      <w:pPr>
        <w:spacing w:after="0"/>
        <w:contextualSpacing/>
        <w:rPr>
          <w:rFonts w:ascii="Arial" w:hAnsi="Arial" w:cs="Arial"/>
          <w:bCs/>
          <w:sz w:val="24"/>
          <w:szCs w:val="24"/>
        </w:rPr>
      </w:pPr>
    </w:p>
    <w:p w14:paraId="1C55190C" w14:textId="25DD60AC" w:rsidR="00790FE4" w:rsidRPr="00834FC9" w:rsidRDefault="00834FC9" w:rsidP="007F3D56">
      <w:pPr>
        <w:spacing w:after="0"/>
        <w:contextualSpacing/>
        <w:rPr>
          <w:rFonts w:ascii="Arial" w:hAnsi="Arial" w:cs="Arial"/>
          <w:bCs/>
          <w:sz w:val="24"/>
          <w:szCs w:val="24"/>
        </w:rPr>
      </w:pPr>
      <w:r w:rsidRPr="00834FC9">
        <w:rPr>
          <w:rFonts w:ascii="Arial" w:hAnsi="Arial" w:cs="Arial"/>
          <w:bCs/>
          <w:sz w:val="24"/>
          <w:szCs w:val="24"/>
        </w:rPr>
        <w:t xml:space="preserve">The </w:t>
      </w:r>
      <w:r w:rsidR="00824BA3">
        <w:rPr>
          <w:rFonts w:ascii="Arial" w:hAnsi="Arial" w:cs="Arial"/>
          <w:bCs/>
          <w:sz w:val="24"/>
          <w:szCs w:val="24"/>
        </w:rPr>
        <w:t xml:space="preserve">Housing and Consumer Affairs Legislation Amendment </w:t>
      </w:r>
      <w:r w:rsidRPr="00834FC9">
        <w:rPr>
          <w:rFonts w:ascii="Arial" w:hAnsi="Arial" w:cs="Arial"/>
          <w:bCs/>
          <w:sz w:val="24"/>
          <w:szCs w:val="24"/>
        </w:rPr>
        <w:t>Bill</w:t>
      </w:r>
      <w:r w:rsidR="00824BA3">
        <w:rPr>
          <w:rFonts w:ascii="Arial" w:hAnsi="Arial" w:cs="Arial"/>
          <w:bCs/>
          <w:sz w:val="24"/>
          <w:szCs w:val="24"/>
        </w:rPr>
        <w:t xml:space="preserve"> </w:t>
      </w:r>
      <w:r w:rsidR="002F58A8">
        <w:rPr>
          <w:rFonts w:ascii="Arial" w:hAnsi="Arial" w:cs="Arial"/>
          <w:bCs/>
          <w:sz w:val="24"/>
          <w:szCs w:val="24"/>
        </w:rPr>
        <w:t xml:space="preserve">2026 </w:t>
      </w:r>
      <w:r w:rsidR="00824BA3">
        <w:rPr>
          <w:rFonts w:ascii="Arial" w:hAnsi="Arial" w:cs="Arial"/>
          <w:bCs/>
          <w:sz w:val="24"/>
          <w:szCs w:val="24"/>
        </w:rPr>
        <w:t xml:space="preserve">(the </w:t>
      </w:r>
      <w:r w:rsidR="00824BA3" w:rsidRPr="00D37F91">
        <w:rPr>
          <w:rFonts w:ascii="Arial" w:hAnsi="Arial" w:cs="Arial"/>
          <w:b/>
          <w:sz w:val="24"/>
          <w:szCs w:val="24"/>
        </w:rPr>
        <w:t>Bill</w:t>
      </w:r>
      <w:r w:rsidR="00824BA3" w:rsidRPr="003E7160">
        <w:rPr>
          <w:rFonts w:ascii="Arial" w:hAnsi="Arial" w:cs="Arial"/>
          <w:bCs/>
          <w:sz w:val="24"/>
          <w:szCs w:val="24"/>
        </w:rPr>
        <w:t>)</w:t>
      </w:r>
      <w:r w:rsidRPr="003E7160">
        <w:rPr>
          <w:rFonts w:ascii="Arial" w:hAnsi="Arial" w:cs="Arial"/>
          <w:bCs/>
          <w:sz w:val="24"/>
          <w:szCs w:val="24"/>
        </w:rPr>
        <w:t xml:space="preserve"> </w:t>
      </w:r>
      <w:r w:rsidRPr="006F14A2">
        <w:rPr>
          <w:rFonts w:ascii="Arial" w:hAnsi="Arial" w:cs="Arial"/>
          <w:b/>
          <w:sz w:val="24"/>
          <w:szCs w:val="24"/>
        </w:rPr>
        <w:t xml:space="preserve">is </w:t>
      </w:r>
      <w:r w:rsidR="006F14A2" w:rsidRPr="006F14A2">
        <w:rPr>
          <w:rFonts w:ascii="Arial" w:hAnsi="Arial" w:cs="Arial"/>
          <w:b/>
          <w:sz w:val="24"/>
          <w:szCs w:val="24"/>
        </w:rPr>
        <w:t>not</w:t>
      </w:r>
      <w:r w:rsidR="006F14A2">
        <w:rPr>
          <w:rFonts w:ascii="Arial" w:hAnsi="Arial" w:cs="Arial"/>
          <w:bCs/>
          <w:sz w:val="24"/>
          <w:szCs w:val="24"/>
        </w:rPr>
        <w:t xml:space="preserve"> </w:t>
      </w:r>
      <w:r w:rsidRPr="00834FC9">
        <w:rPr>
          <w:rFonts w:ascii="Arial" w:hAnsi="Arial" w:cs="Arial"/>
          <w:bCs/>
          <w:sz w:val="24"/>
          <w:szCs w:val="24"/>
        </w:rPr>
        <w:t xml:space="preserve">a Significant Bill. Significant Bills are bills that </w:t>
      </w:r>
      <w:r>
        <w:rPr>
          <w:rFonts w:ascii="Arial" w:hAnsi="Arial" w:cs="Arial"/>
          <w:bCs/>
          <w:sz w:val="24"/>
          <w:szCs w:val="24"/>
        </w:rPr>
        <w:t>have been assessed</w:t>
      </w:r>
      <w:r w:rsidRPr="00834FC9">
        <w:rPr>
          <w:rFonts w:ascii="Arial" w:hAnsi="Arial" w:cs="Arial"/>
          <w:bCs/>
          <w:sz w:val="24"/>
          <w:szCs w:val="24"/>
        </w:rPr>
        <w:t xml:space="preserve"> as </w:t>
      </w:r>
      <w:r>
        <w:rPr>
          <w:rFonts w:ascii="Arial" w:hAnsi="Arial" w:cs="Arial"/>
          <w:bCs/>
          <w:sz w:val="24"/>
          <w:szCs w:val="24"/>
        </w:rPr>
        <w:t>likely to have</w:t>
      </w:r>
      <w:r w:rsidRPr="00834FC9">
        <w:rPr>
          <w:rFonts w:ascii="Arial" w:hAnsi="Arial" w:cs="Arial"/>
          <w:bCs/>
          <w:sz w:val="24"/>
          <w:szCs w:val="24"/>
        </w:rPr>
        <w:t xml:space="preserve"> significant </w:t>
      </w:r>
      <w:r>
        <w:rPr>
          <w:rFonts w:ascii="Arial" w:hAnsi="Arial" w:cs="Arial"/>
          <w:bCs/>
          <w:sz w:val="24"/>
          <w:szCs w:val="24"/>
        </w:rPr>
        <w:t>engagement of human rights</w:t>
      </w:r>
      <w:r w:rsidRPr="00834FC9">
        <w:rPr>
          <w:rFonts w:ascii="Arial" w:hAnsi="Arial" w:cs="Arial"/>
          <w:bCs/>
          <w:sz w:val="24"/>
          <w:szCs w:val="24"/>
        </w:rPr>
        <w:t xml:space="preserve"> and require more detailed reasoning in relation to </w:t>
      </w:r>
      <w:r>
        <w:rPr>
          <w:rFonts w:ascii="Arial" w:hAnsi="Arial" w:cs="Arial"/>
          <w:bCs/>
          <w:sz w:val="24"/>
          <w:szCs w:val="24"/>
        </w:rPr>
        <w:t xml:space="preserve">compatibility with the </w:t>
      </w:r>
      <w:r w:rsidRPr="00834FC9">
        <w:rPr>
          <w:rFonts w:ascii="Arial" w:hAnsi="Arial" w:cs="Arial"/>
          <w:bCs/>
          <w:i/>
          <w:iCs/>
          <w:sz w:val="24"/>
          <w:szCs w:val="24"/>
        </w:rPr>
        <w:t>Human Rights Act 2004</w:t>
      </w:r>
      <w:r w:rsidR="00D37F91">
        <w:rPr>
          <w:rFonts w:ascii="Arial" w:hAnsi="Arial" w:cs="Arial"/>
          <w:bCs/>
          <w:sz w:val="24"/>
          <w:szCs w:val="24"/>
        </w:rPr>
        <w:t xml:space="preserve"> (</w:t>
      </w:r>
      <w:r w:rsidR="00D37F91" w:rsidRPr="00D37F91">
        <w:rPr>
          <w:rFonts w:ascii="Arial" w:hAnsi="Arial" w:cs="Arial"/>
          <w:b/>
          <w:sz w:val="24"/>
          <w:szCs w:val="24"/>
        </w:rPr>
        <w:t>HR</w:t>
      </w:r>
      <w:r w:rsidR="009E6911">
        <w:rPr>
          <w:rFonts w:ascii="Arial" w:hAnsi="Arial" w:cs="Arial"/>
          <w:b/>
          <w:sz w:val="24"/>
          <w:szCs w:val="24"/>
        </w:rPr>
        <w:t xml:space="preserve"> </w:t>
      </w:r>
      <w:r w:rsidR="00D37F91" w:rsidRPr="00D37F91">
        <w:rPr>
          <w:rFonts w:ascii="Arial" w:hAnsi="Arial" w:cs="Arial"/>
          <w:b/>
          <w:sz w:val="24"/>
          <w:szCs w:val="24"/>
        </w:rPr>
        <w:t>A</w:t>
      </w:r>
      <w:r w:rsidR="009E6911">
        <w:rPr>
          <w:rFonts w:ascii="Arial" w:hAnsi="Arial" w:cs="Arial"/>
          <w:b/>
          <w:sz w:val="24"/>
          <w:szCs w:val="24"/>
        </w:rPr>
        <w:t>ct</w:t>
      </w:r>
      <w:r w:rsidR="00D37F91">
        <w:rPr>
          <w:rFonts w:ascii="Arial" w:hAnsi="Arial" w:cs="Arial"/>
          <w:bCs/>
          <w:sz w:val="24"/>
          <w:szCs w:val="24"/>
        </w:rPr>
        <w:t>).</w:t>
      </w:r>
    </w:p>
    <w:p w14:paraId="3F20865D" w14:textId="77777777" w:rsidR="0052127F" w:rsidRPr="00834FC9" w:rsidRDefault="0052127F" w:rsidP="007F3D56">
      <w:pPr>
        <w:spacing w:after="0"/>
        <w:rPr>
          <w:rFonts w:ascii="Arial" w:hAnsi="Arial" w:cs="Arial"/>
          <w:bCs/>
          <w:sz w:val="24"/>
          <w:szCs w:val="24"/>
          <w:highlight w:val="yellow"/>
        </w:rPr>
      </w:pPr>
    </w:p>
    <w:p w14:paraId="29C29316" w14:textId="56470B09" w:rsidR="007B6A78" w:rsidRDefault="003323FA" w:rsidP="008C225D">
      <w:pPr>
        <w:pStyle w:val="Heading2"/>
      </w:pPr>
      <w:r>
        <w:t>OVERVIEW OF THE BILL</w:t>
      </w:r>
    </w:p>
    <w:p w14:paraId="3E5709BD" w14:textId="43537D8D" w:rsidR="00C358A1" w:rsidRPr="005859A9" w:rsidRDefault="005859A9" w:rsidP="004D0E75">
      <w:pPr>
        <w:spacing w:after="120"/>
        <w:ind w:right="-45"/>
        <w:rPr>
          <w:rFonts w:ascii="Arial" w:hAnsi="Arial" w:cs="Arial"/>
          <w:iCs/>
          <w:sz w:val="24"/>
          <w:szCs w:val="24"/>
        </w:rPr>
      </w:pPr>
      <w:r w:rsidRPr="005859A9">
        <w:rPr>
          <w:rFonts w:ascii="Arial" w:hAnsi="Arial" w:cs="Arial"/>
          <w:iCs/>
          <w:sz w:val="24"/>
          <w:szCs w:val="24"/>
        </w:rPr>
        <w:t xml:space="preserve">The Bill is an omnibus bill that makes </w:t>
      </w:r>
      <w:r w:rsidR="003E7160">
        <w:rPr>
          <w:rFonts w:ascii="Arial" w:hAnsi="Arial" w:cs="Arial"/>
          <w:iCs/>
          <w:sz w:val="24"/>
          <w:szCs w:val="24"/>
        </w:rPr>
        <w:t>the amendments as listed below.</w:t>
      </w:r>
    </w:p>
    <w:p w14:paraId="64F7DE20" w14:textId="0ADC3475" w:rsidR="005859A9" w:rsidRDefault="003E7160" w:rsidP="003E7160">
      <w:pPr>
        <w:pStyle w:val="TABLETEXT"/>
        <w:rPr>
          <w:rFonts w:ascii="Arial" w:hAnsi="Arial" w:cs="Arial"/>
          <w:color w:val="auto"/>
        </w:rPr>
      </w:pPr>
      <w:r w:rsidRPr="003E7160">
        <w:rPr>
          <w:rFonts w:ascii="Arial" w:hAnsi="Arial" w:cs="Arial"/>
          <w:color w:val="auto"/>
        </w:rPr>
        <w:t xml:space="preserve">Amendments to the </w:t>
      </w:r>
      <w:r w:rsidR="005859A9" w:rsidRPr="005859A9">
        <w:rPr>
          <w:rFonts w:ascii="Arial" w:hAnsi="Arial" w:cs="Arial"/>
          <w:i/>
          <w:iCs/>
          <w:color w:val="auto"/>
        </w:rPr>
        <w:t>Land Titles Act 1925</w:t>
      </w:r>
      <w:r w:rsidR="004101CF">
        <w:rPr>
          <w:rFonts w:ascii="Arial" w:hAnsi="Arial" w:cs="Arial"/>
          <w:i/>
          <w:iCs/>
          <w:color w:val="auto"/>
        </w:rPr>
        <w:t xml:space="preserve"> </w:t>
      </w:r>
      <w:r w:rsidR="004101CF">
        <w:rPr>
          <w:rFonts w:ascii="Arial" w:hAnsi="Arial" w:cs="Arial"/>
          <w:color w:val="auto"/>
        </w:rPr>
        <w:t>(</w:t>
      </w:r>
      <w:r w:rsidR="004101CF" w:rsidRPr="004101CF">
        <w:rPr>
          <w:rFonts w:ascii="Arial" w:hAnsi="Arial" w:cs="Arial"/>
          <w:b/>
          <w:bCs/>
          <w:color w:val="auto"/>
        </w:rPr>
        <w:t>LTA</w:t>
      </w:r>
      <w:r w:rsidR="004101CF">
        <w:rPr>
          <w:rFonts w:ascii="Arial" w:hAnsi="Arial" w:cs="Arial"/>
          <w:color w:val="auto"/>
        </w:rPr>
        <w:t>)</w:t>
      </w:r>
      <w:r>
        <w:rPr>
          <w:rFonts w:ascii="Arial" w:hAnsi="Arial" w:cs="Arial"/>
          <w:color w:val="auto"/>
        </w:rPr>
        <w:t xml:space="preserve"> will:</w:t>
      </w:r>
    </w:p>
    <w:p w14:paraId="2E50F950" w14:textId="18FFDE75" w:rsidR="00DF7524" w:rsidRDefault="0067719E" w:rsidP="003E7160">
      <w:pPr>
        <w:pStyle w:val="CS-Paragraphnumbering"/>
        <w:numPr>
          <w:ilvl w:val="1"/>
          <w:numId w:val="6"/>
        </w:numPr>
        <w:rPr>
          <w:rFonts w:ascii="Arial" w:hAnsi="Arial" w:cs="Arial"/>
        </w:rPr>
      </w:pPr>
      <w:r>
        <w:rPr>
          <w:rFonts w:ascii="Arial" w:hAnsi="Arial" w:cs="Arial"/>
        </w:rPr>
        <w:t xml:space="preserve">remove the requirement to have an ACT </w:t>
      </w:r>
      <w:r w:rsidR="003E7160" w:rsidRPr="003B56C4">
        <w:rPr>
          <w:rFonts w:ascii="Arial" w:hAnsi="Arial" w:cs="Arial"/>
        </w:rPr>
        <w:t xml:space="preserve">address for service </w:t>
      </w:r>
      <w:r>
        <w:rPr>
          <w:rFonts w:ascii="Arial" w:hAnsi="Arial" w:cs="Arial"/>
        </w:rPr>
        <w:t xml:space="preserve">when lodging a caveat to instead allow </w:t>
      </w:r>
      <w:r w:rsidR="003E7160" w:rsidRPr="003B56C4">
        <w:rPr>
          <w:rFonts w:ascii="Arial" w:hAnsi="Arial" w:cs="Arial"/>
        </w:rPr>
        <w:t xml:space="preserve">for an address </w:t>
      </w:r>
      <w:r>
        <w:rPr>
          <w:rFonts w:ascii="Arial" w:hAnsi="Arial" w:cs="Arial"/>
        </w:rPr>
        <w:t xml:space="preserve">for service anywhere </w:t>
      </w:r>
      <w:r w:rsidR="003E7160" w:rsidRPr="003B56C4">
        <w:rPr>
          <w:rFonts w:ascii="Arial" w:hAnsi="Arial" w:cs="Arial"/>
        </w:rPr>
        <w:t xml:space="preserve">within Australia when lodging a caveat; </w:t>
      </w:r>
      <w:r w:rsidR="001931D1">
        <w:rPr>
          <w:rFonts w:ascii="Arial" w:hAnsi="Arial" w:cs="Arial"/>
        </w:rPr>
        <w:t>and</w:t>
      </w:r>
    </w:p>
    <w:p w14:paraId="3E6753B3" w14:textId="6359C176" w:rsidR="003E7160" w:rsidRPr="003B56C4" w:rsidRDefault="00DF7524" w:rsidP="003E7160">
      <w:pPr>
        <w:pStyle w:val="CS-Paragraphnumbering"/>
        <w:numPr>
          <w:ilvl w:val="1"/>
          <w:numId w:val="6"/>
        </w:numPr>
        <w:rPr>
          <w:rFonts w:ascii="Arial" w:hAnsi="Arial" w:cs="Arial"/>
        </w:rPr>
      </w:pPr>
      <w:r w:rsidRPr="002969A6">
        <w:rPr>
          <w:rFonts w:ascii="Arial" w:hAnsi="Arial" w:cs="Arial"/>
        </w:rPr>
        <w:t xml:space="preserve">allow for an email address to be nominated as an </w:t>
      </w:r>
      <w:r w:rsidR="000713F4">
        <w:rPr>
          <w:rFonts w:ascii="Arial" w:hAnsi="Arial" w:cs="Arial"/>
        </w:rPr>
        <w:t xml:space="preserve">additional </w:t>
      </w:r>
      <w:r w:rsidRPr="002969A6">
        <w:rPr>
          <w:rFonts w:ascii="Arial" w:hAnsi="Arial" w:cs="Arial"/>
        </w:rPr>
        <w:t>address for service when lodging a caveat (so long as a postal address for service within Australia is also provided)</w:t>
      </w:r>
      <w:r w:rsidR="001931D1">
        <w:rPr>
          <w:rFonts w:ascii="Arial" w:hAnsi="Arial" w:cs="Arial"/>
        </w:rPr>
        <w:t>.</w:t>
      </w:r>
    </w:p>
    <w:p w14:paraId="530BF2C2" w14:textId="647EB5C7" w:rsidR="003E7160" w:rsidRPr="00862619" w:rsidRDefault="003E7160" w:rsidP="003E7160">
      <w:pPr>
        <w:pStyle w:val="TABLETEXT"/>
        <w:rPr>
          <w:rFonts w:ascii="Arial" w:hAnsi="Arial" w:cs="Arial"/>
          <w:i/>
          <w:iCs/>
          <w:color w:val="auto"/>
        </w:rPr>
      </w:pPr>
      <w:r w:rsidRPr="003E7160">
        <w:rPr>
          <w:rFonts w:ascii="Arial" w:hAnsi="Arial" w:cs="Arial"/>
          <w:color w:val="auto"/>
        </w:rPr>
        <w:t>Amendments to the</w:t>
      </w:r>
      <w:r>
        <w:rPr>
          <w:rFonts w:ascii="Arial" w:hAnsi="Arial" w:cs="Arial"/>
          <w:i/>
          <w:iCs/>
          <w:color w:val="auto"/>
        </w:rPr>
        <w:t xml:space="preserve"> </w:t>
      </w:r>
      <w:r w:rsidRPr="00862619">
        <w:rPr>
          <w:rFonts w:ascii="Arial" w:hAnsi="Arial" w:cs="Arial"/>
          <w:i/>
          <w:iCs/>
          <w:color w:val="auto"/>
        </w:rPr>
        <w:t xml:space="preserve">Residential Tenancies Act 1997 </w:t>
      </w:r>
      <w:r w:rsidRPr="00862619">
        <w:rPr>
          <w:rFonts w:ascii="Arial" w:hAnsi="Arial" w:cs="Arial"/>
          <w:color w:val="auto"/>
        </w:rPr>
        <w:t>(</w:t>
      </w:r>
      <w:r w:rsidRPr="00862619">
        <w:rPr>
          <w:rFonts w:ascii="Arial" w:hAnsi="Arial" w:cs="Arial"/>
          <w:b/>
          <w:bCs/>
          <w:color w:val="auto"/>
        </w:rPr>
        <w:t>RTA</w:t>
      </w:r>
      <w:r w:rsidRPr="00862619">
        <w:rPr>
          <w:rFonts w:ascii="Arial" w:hAnsi="Arial" w:cs="Arial"/>
          <w:color w:val="auto"/>
        </w:rPr>
        <w:t>)</w:t>
      </w:r>
      <w:r>
        <w:rPr>
          <w:rFonts w:ascii="Arial" w:hAnsi="Arial" w:cs="Arial"/>
          <w:color w:val="auto"/>
        </w:rPr>
        <w:t xml:space="preserve"> will:</w:t>
      </w:r>
    </w:p>
    <w:p w14:paraId="244DD133" w14:textId="1B98DA3B" w:rsidR="001931D1" w:rsidRDefault="003E7160" w:rsidP="003E7160">
      <w:pPr>
        <w:pStyle w:val="ListParagraph"/>
        <w:numPr>
          <w:ilvl w:val="0"/>
          <w:numId w:val="14"/>
        </w:numPr>
        <w:spacing w:after="120"/>
        <w:ind w:right="-45"/>
        <w:rPr>
          <w:rFonts w:ascii="Arial" w:hAnsi="Arial" w:cs="Arial"/>
          <w:sz w:val="24"/>
          <w:szCs w:val="24"/>
        </w:rPr>
      </w:pPr>
      <w:r w:rsidRPr="003E7160">
        <w:rPr>
          <w:rFonts w:ascii="Arial" w:hAnsi="Arial" w:cs="Arial"/>
          <w:sz w:val="24"/>
          <w:szCs w:val="24"/>
        </w:rPr>
        <w:t xml:space="preserve">remove the requirement for a </w:t>
      </w:r>
      <w:r w:rsidR="001931D1">
        <w:rPr>
          <w:rFonts w:ascii="Arial" w:hAnsi="Arial" w:cs="Arial"/>
          <w:sz w:val="24"/>
          <w:szCs w:val="24"/>
        </w:rPr>
        <w:t>lessor (</w:t>
      </w:r>
      <w:r w:rsidRPr="002969A6">
        <w:rPr>
          <w:rFonts w:ascii="Arial" w:hAnsi="Arial" w:cs="Arial"/>
          <w:b/>
          <w:bCs/>
          <w:sz w:val="24"/>
          <w:szCs w:val="24"/>
        </w:rPr>
        <w:t>landlord</w:t>
      </w:r>
      <w:r w:rsidR="001931D1">
        <w:rPr>
          <w:rFonts w:ascii="Arial" w:hAnsi="Arial" w:cs="Arial"/>
          <w:sz w:val="24"/>
          <w:szCs w:val="24"/>
        </w:rPr>
        <w:t>)</w:t>
      </w:r>
      <w:r w:rsidRPr="003E7160">
        <w:rPr>
          <w:rFonts w:ascii="Arial" w:hAnsi="Arial" w:cs="Arial"/>
          <w:sz w:val="24"/>
          <w:szCs w:val="24"/>
        </w:rPr>
        <w:t xml:space="preserve"> to provide a gas connection to a rental property when there are no longer any gas reliant appliances at the property; </w:t>
      </w:r>
    </w:p>
    <w:p w14:paraId="6C345BA3" w14:textId="2B05EF9E" w:rsidR="003E7160" w:rsidRPr="003E7160" w:rsidRDefault="001931D1" w:rsidP="003E7160">
      <w:pPr>
        <w:pStyle w:val="ListParagraph"/>
        <w:numPr>
          <w:ilvl w:val="0"/>
          <w:numId w:val="14"/>
        </w:numPr>
        <w:spacing w:after="120"/>
        <w:ind w:right="-45"/>
        <w:rPr>
          <w:rFonts w:ascii="Arial" w:hAnsi="Arial" w:cs="Arial"/>
          <w:sz w:val="24"/>
          <w:szCs w:val="24"/>
        </w:rPr>
      </w:pPr>
      <w:r>
        <w:rPr>
          <w:rFonts w:ascii="Arial" w:hAnsi="Arial" w:cs="Arial"/>
          <w:sz w:val="24"/>
          <w:szCs w:val="24"/>
        </w:rPr>
        <w:t>clarify that where a landlord temporarily or permanently disconnect</w:t>
      </w:r>
      <w:r w:rsidR="001802A2">
        <w:rPr>
          <w:rFonts w:ascii="Arial" w:hAnsi="Arial" w:cs="Arial"/>
          <w:sz w:val="24"/>
          <w:szCs w:val="24"/>
        </w:rPr>
        <w:t>s</w:t>
      </w:r>
      <w:r>
        <w:rPr>
          <w:rFonts w:ascii="Arial" w:hAnsi="Arial" w:cs="Arial"/>
          <w:sz w:val="24"/>
          <w:szCs w:val="24"/>
        </w:rPr>
        <w:t xml:space="preserve"> a rental property from the gas network, they will be responsible for the disconnection costs; and</w:t>
      </w:r>
    </w:p>
    <w:p w14:paraId="2FAC60D8" w14:textId="77777777" w:rsidR="003E7160" w:rsidRPr="003E7160" w:rsidRDefault="003E7160" w:rsidP="003E7160">
      <w:pPr>
        <w:pStyle w:val="ListParagraph"/>
        <w:numPr>
          <w:ilvl w:val="0"/>
          <w:numId w:val="14"/>
        </w:numPr>
        <w:spacing w:after="120"/>
        <w:ind w:right="-45"/>
        <w:rPr>
          <w:rFonts w:ascii="Arial" w:hAnsi="Arial" w:cs="Arial"/>
          <w:iCs/>
          <w:sz w:val="24"/>
          <w:szCs w:val="24"/>
        </w:rPr>
      </w:pPr>
      <w:r w:rsidRPr="003E7160">
        <w:rPr>
          <w:rFonts w:ascii="Arial" w:hAnsi="Arial" w:cs="Arial"/>
          <w:sz w:val="24"/>
          <w:szCs w:val="24"/>
        </w:rPr>
        <w:t>prevent tenants from seeking a rent reduction on the basis that they have not received a like-for-like replacement appliance when a landlord transitions a rental property from gas to electric appliance (so long as the landlord provides a reasonable replacement).</w:t>
      </w:r>
    </w:p>
    <w:p w14:paraId="26AA595A" w14:textId="0C381991" w:rsidR="003E7160" w:rsidRPr="003E7160" w:rsidRDefault="003E7160" w:rsidP="003E7160">
      <w:pPr>
        <w:pStyle w:val="TABLETEXT"/>
        <w:rPr>
          <w:rFonts w:ascii="Arial" w:hAnsi="Arial" w:cs="Arial"/>
          <w:color w:val="auto"/>
        </w:rPr>
      </w:pPr>
      <w:r w:rsidRPr="003E7160">
        <w:rPr>
          <w:rFonts w:ascii="Arial" w:hAnsi="Arial" w:cs="Arial"/>
          <w:color w:val="auto"/>
        </w:rPr>
        <w:t>Amendments to the</w:t>
      </w:r>
      <w:r w:rsidRPr="003E7160">
        <w:rPr>
          <w:rFonts w:ascii="Arial" w:hAnsi="Arial" w:cs="Arial"/>
          <w:i/>
          <w:iCs/>
          <w:color w:val="auto"/>
        </w:rPr>
        <w:t xml:space="preserve"> Retirement Villages Act 2012 </w:t>
      </w:r>
      <w:r w:rsidRPr="003E7160">
        <w:rPr>
          <w:rFonts w:ascii="Arial" w:hAnsi="Arial" w:cs="Arial"/>
          <w:color w:val="auto"/>
        </w:rPr>
        <w:t>(</w:t>
      </w:r>
      <w:r w:rsidRPr="003E7160">
        <w:rPr>
          <w:rFonts w:ascii="Arial" w:hAnsi="Arial" w:cs="Arial"/>
          <w:b/>
          <w:bCs/>
          <w:color w:val="auto"/>
        </w:rPr>
        <w:t>RV Act</w:t>
      </w:r>
      <w:r w:rsidRPr="003E7160">
        <w:rPr>
          <w:rFonts w:ascii="Arial" w:hAnsi="Arial" w:cs="Arial"/>
          <w:color w:val="auto"/>
        </w:rPr>
        <w:t xml:space="preserve">) and the </w:t>
      </w:r>
      <w:r w:rsidRPr="003E7160">
        <w:rPr>
          <w:rFonts w:ascii="Arial" w:hAnsi="Arial" w:cs="Arial"/>
          <w:i/>
          <w:iCs/>
          <w:color w:val="auto"/>
        </w:rPr>
        <w:t xml:space="preserve">Retirement Villages Regulation 2013 </w:t>
      </w:r>
      <w:r w:rsidRPr="003E7160">
        <w:rPr>
          <w:rFonts w:ascii="Arial" w:hAnsi="Arial" w:cs="Arial"/>
          <w:color w:val="auto"/>
        </w:rPr>
        <w:t>(</w:t>
      </w:r>
      <w:r w:rsidRPr="003E7160">
        <w:rPr>
          <w:rFonts w:ascii="Arial" w:hAnsi="Arial" w:cs="Arial"/>
          <w:b/>
          <w:bCs/>
          <w:color w:val="auto"/>
        </w:rPr>
        <w:t>RV Regulation</w:t>
      </w:r>
      <w:r w:rsidRPr="003E7160">
        <w:rPr>
          <w:rFonts w:ascii="Arial" w:hAnsi="Arial" w:cs="Arial"/>
          <w:color w:val="auto"/>
        </w:rPr>
        <w:t xml:space="preserve">) </w:t>
      </w:r>
      <w:r>
        <w:rPr>
          <w:rFonts w:ascii="Arial" w:hAnsi="Arial" w:cs="Arial"/>
          <w:color w:val="auto"/>
        </w:rPr>
        <w:t>will</w:t>
      </w:r>
      <w:r w:rsidRPr="003E7160">
        <w:rPr>
          <w:rFonts w:ascii="Arial" w:hAnsi="Arial" w:cs="Arial"/>
          <w:color w:val="auto"/>
        </w:rPr>
        <w:t>:</w:t>
      </w:r>
    </w:p>
    <w:p w14:paraId="38F74906" w14:textId="563BD1D7" w:rsidR="00611857" w:rsidRPr="003B56C4" w:rsidRDefault="001003CD" w:rsidP="004D0E75">
      <w:pPr>
        <w:pStyle w:val="CS-Paragraphnumbering"/>
        <w:numPr>
          <w:ilvl w:val="1"/>
          <w:numId w:val="7"/>
        </w:numPr>
        <w:rPr>
          <w:rFonts w:ascii="Arial" w:hAnsi="Arial" w:cs="Arial"/>
        </w:rPr>
      </w:pPr>
      <w:r w:rsidRPr="003B56C4">
        <w:rPr>
          <w:rFonts w:ascii="Arial" w:hAnsi="Arial" w:cs="Arial"/>
        </w:rPr>
        <w:t>Remove the requirement for an internal disputes committee;</w:t>
      </w:r>
      <w:r w:rsidR="00E57F15" w:rsidRPr="003B56C4">
        <w:rPr>
          <w:rFonts w:ascii="Arial" w:hAnsi="Arial" w:cs="Arial"/>
        </w:rPr>
        <w:t xml:space="preserve"> and</w:t>
      </w:r>
    </w:p>
    <w:p w14:paraId="6F32CFE7" w14:textId="44755B43" w:rsidR="003B56C4" w:rsidRPr="003B56C4" w:rsidRDefault="003B56C4" w:rsidP="004D0E75">
      <w:pPr>
        <w:pStyle w:val="CS-Paragraphnumbering"/>
        <w:numPr>
          <w:ilvl w:val="1"/>
          <w:numId w:val="7"/>
        </w:numPr>
        <w:rPr>
          <w:rFonts w:ascii="Arial" w:hAnsi="Arial" w:cs="Arial"/>
        </w:rPr>
      </w:pPr>
      <w:r w:rsidRPr="003B56C4">
        <w:rPr>
          <w:rFonts w:ascii="Arial" w:hAnsi="Arial" w:cs="Arial"/>
        </w:rPr>
        <w:t>Reduce the quorum requirements for unit titled retirement villages to ¼ of residents (to align with other changes made through the Bill to unit titles management legislation</w:t>
      </w:r>
      <w:r w:rsidR="000713F4">
        <w:rPr>
          <w:rFonts w:ascii="Arial" w:hAnsi="Arial" w:cs="Arial"/>
        </w:rPr>
        <w:t>)</w:t>
      </w:r>
      <w:r w:rsidRPr="003B56C4">
        <w:rPr>
          <w:rFonts w:ascii="Arial" w:hAnsi="Arial" w:cs="Arial"/>
        </w:rPr>
        <w:t>.</w:t>
      </w:r>
    </w:p>
    <w:p w14:paraId="0C83E346" w14:textId="2A837525" w:rsidR="009A4DCE" w:rsidRPr="003E7160" w:rsidRDefault="006909A5" w:rsidP="003E7160">
      <w:pPr>
        <w:pStyle w:val="TABLETEXT"/>
        <w:rPr>
          <w:rFonts w:ascii="Arial" w:hAnsi="Arial" w:cs="Arial"/>
          <w:i/>
          <w:iCs/>
          <w:color w:val="000000" w:themeColor="text1"/>
        </w:rPr>
      </w:pPr>
      <w:r w:rsidRPr="003E7160">
        <w:rPr>
          <w:rFonts w:ascii="Arial" w:hAnsi="Arial" w:cs="Arial"/>
          <w:iCs/>
          <w:color w:val="000000" w:themeColor="text1"/>
          <w:szCs w:val="24"/>
        </w:rPr>
        <w:t xml:space="preserve">Amendments to the </w:t>
      </w:r>
      <w:r w:rsidR="003E7160" w:rsidRPr="003E7160">
        <w:rPr>
          <w:rFonts w:ascii="Arial" w:hAnsi="Arial" w:cs="Arial"/>
          <w:i/>
          <w:color w:val="000000" w:themeColor="text1"/>
          <w:szCs w:val="24"/>
        </w:rPr>
        <w:t>U</w:t>
      </w:r>
      <w:r w:rsidR="003E7160" w:rsidRPr="003E7160">
        <w:rPr>
          <w:rFonts w:ascii="Arial" w:hAnsi="Arial" w:cs="Arial"/>
          <w:i/>
          <w:color w:val="000000" w:themeColor="text1"/>
        </w:rPr>
        <w:t>nit</w:t>
      </w:r>
      <w:r w:rsidR="003E7160" w:rsidRPr="003E7160">
        <w:rPr>
          <w:rFonts w:ascii="Arial" w:hAnsi="Arial" w:cs="Arial"/>
          <w:i/>
          <w:iCs/>
          <w:color w:val="000000" w:themeColor="text1"/>
        </w:rPr>
        <w:t xml:space="preserve"> Titles (Management) Act 2011 </w:t>
      </w:r>
      <w:r w:rsidR="003E7160" w:rsidRPr="003E7160">
        <w:rPr>
          <w:rFonts w:ascii="Arial" w:hAnsi="Arial" w:cs="Arial"/>
          <w:color w:val="000000" w:themeColor="text1"/>
        </w:rPr>
        <w:t>(</w:t>
      </w:r>
      <w:r w:rsidR="003E7160" w:rsidRPr="003E7160">
        <w:rPr>
          <w:rFonts w:ascii="Arial" w:hAnsi="Arial" w:cs="Arial"/>
          <w:b/>
          <w:bCs/>
          <w:color w:val="000000" w:themeColor="text1"/>
        </w:rPr>
        <w:t>UTMA</w:t>
      </w:r>
      <w:r w:rsidR="003E7160" w:rsidRPr="003E7160">
        <w:rPr>
          <w:rFonts w:ascii="Arial" w:hAnsi="Arial" w:cs="Arial"/>
          <w:color w:val="000000" w:themeColor="text1"/>
        </w:rPr>
        <w:t>)</w:t>
      </w:r>
      <w:r w:rsidR="003E7160">
        <w:rPr>
          <w:rFonts w:ascii="Arial" w:hAnsi="Arial" w:cs="Arial"/>
          <w:color w:val="000000" w:themeColor="text1"/>
        </w:rPr>
        <w:t xml:space="preserve"> </w:t>
      </w:r>
      <w:r w:rsidRPr="003E7160">
        <w:rPr>
          <w:rFonts w:ascii="Arial" w:hAnsi="Arial" w:cs="Arial"/>
          <w:iCs/>
          <w:color w:val="000000" w:themeColor="text1"/>
          <w:szCs w:val="24"/>
        </w:rPr>
        <w:t>will:</w:t>
      </w:r>
    </w:p>
    <w:p w14:paraId="7744EE13" w14:textId="57E71C8E" w:rsidR="003B56C4" w:rsidRPr="003B56C4" w:rsidRDefault="003B56C4" w:rsidP="003B56C4">
      <w:pPr>
        <w:pStyle w:val="CS-Paragraphnumbering"/>
        <w:numPr>
          <w:ilvl w:val="0"/>
          <w:numId w:val="13"/>
        </w:numPr>
        <w:rPr>
          <w:rFonts w:ascii="Arial" w:hAnsi="Arial" w:cs="Arial"/>
        </w:rPr>
      </w:pPr>
      <w:r w:rsidRPr="003B56C4">
        <w:rPr>
          <w:rFonts w:ascii="Arial" w:hAnsi="Arial" w:cs="Arial"/>
        </w:rPr>
        <w:t>lower quorum requirements</w:t>
      </w:r>
      <w:r w:rsidR="000713F4">
        <w:rPr>
          <w:rFonts w:ascii="Arial" w:hAnsi="Arial" w:cs="Arial"/>
        </w:rPr>
        <w:t xml:space="preserve"> for general meetings to ¼ of </w:t>
      </w:r>
      <w:r w:rsidR="006E0757">
        <w:rPr>
          <w:rFonts w:ascii="Arial" w:hAnsi="Arial" w:cs="Arial"/>
        </w:rPr>
        <w:t>the total number of units (down from ½)</w:t>
      </w:r>
      <w:r w:rsidRPr="003B56C4">
        <w:rPr>
          <w:rFonts w:ascii="Arial" w:hAnsi="Arial" w:cs="Arial"/>
        </w:rPr>
        <w:t xml:space="preserve">; </w:t>
      </w:r>
    </w:p>
    <w:p w14:paraId="4F231110" w14:textId="1272528E" w:rsidR="003B56C4" w:rsidRPr="003B56C4" w:rsidRDefault="003B56C4" w:rsidP="003B56C4">
      <w:pPr>
        <w:pStyle w:val="CS-Paragraphnumbering"/>
        <w:numPr>
          <w:ilvl w:val="0"/>
          <w:numId w:val="13"/>
        </w:numPr>
        <w:rPr>
          <w:rFonts w:ascii="Arial" w:hAnsi="Arial" w:cs="Arial"/>
        </w:rPr>
      </w:pPr>
      <w:r w:rsidRPr="003B56C4">
        <w:rPr>
          <w:rFonts w:ascii="Arial" w:hAnsi="Arial" w:cs="Arial"/>
        </w:rPr>
        <w:t xml:space="preserve">amend the process following a reduced quorum meeting to allow meeting decisions to take effect the following day (rather than the 28 days </w:t>
      </w:r>
      <w:r w:rsidR="000713F4">
        <w:rPr>
          <w:rFonts w:ascii="Arial" w:hAnsi="Arial" w:cs="Arial"/>
        </w:rPr>
        <w:t xml:space="preserve">delayed </w:t>
      </w:r>
      <w:r w:rsidR="000713F4">
        <w:rPr>
          <w:rFonts w:ascii="Arial" w:hAnsi="Arial" w:cs="Arial"/>
        </w:rPr>
        <w:lastRenderedPageBreak/>
        <w:t xml:space="preserve">effect </w:t>
      </w:r>
      <w:r w:rsidRPr="003B56C4">
        <w:rPr>
          <w:rFonts w:ascii="Arial" w:hAnsi="Arial" w:cs="Arial"/>
        </w:rPr>
        <w:t xml:space="preserve">currently in place) and to remove the provisions relating to obtaining a petition from residents opposing the meeting outcomes; </w:t>
      </w:r>
      <w:r w:rsidR="003E7160">
        <w:rPr>
          <w:rFonts w:ascii="Arial" w:hAnsi="Arial" w:cs="Arial"/>
        </w:rPr>
        <w:t>and</w:t>
      </w:r>
    </w:p>
    <w:p w14:paraId="7E704842" w14:textId="6E6968EC" w:rsidR="006909A5" w:rsidRPr="003B56C4" w:rsidRDefault="003B56C4" w:rsidP="004D0E75">
      <w:pPr>
        <w:pStyle w:val="CS-Paragraphnumbering"/>
        <w:numPr>
          <w:ilvl w:val="0"/>
          <w:numId w:val="13"/>
        </w:numPr>
        <w:rPr>
          <w:rFonts w:ascii="Arial" w:hAnsi="Arial" w:cs="Arial"/>
        </w:rPr>
      </w:pPr>
      <w:r w:rsidRPr="003B56C4">
        <w:rPr>
          <w:rFonts w:ascii="Arial" w:hAnsi="Arial" w:cs="Arial"/>
        </w:rPr>
        <w:t>clarify how proxy and absentee votes are counted</w:t>
      </w:r>
      <w:r w:rsidR="000713F4">
        <w:rPr>
          <w:rFonts w:ascii="Arial" w:hAnsi="Arial" w:cs="Arial"/>
        </w:rPr>
        <w:t xml:space="preserve"> for the purposes of quorum</w:t>
      </w:r>
      <w:r w:rsidRPr="003B56C4">
        <w:rPr>
          <w:rFonts w:ascii="Arial" w:hAnsi="Arial" w:cs="Arial"/>
        </w:rPr>
        <w:t>.</w:t>
      </w:r>
    </w:p>
    <w:p w14:paraId="5D5C6C0D" w14:textId="6D5714C2" w:rsidR="00E65AA5" w:rsidRDefault="00AC59DF" w:rsidP="00414921">
      <w:pPr>
        <w:rPr>
          <w:rFonts w:ascii="Arial" w:hAnsi="Arial" w:cs="Arial"/>
          <w:b/>
          <w:sz w:val="24"/>
          <w:szCs w:val="24"/>
        </w:rPr>
      </w:pPr>
      <w:r w:rsidRPr="00AC59DF">
        <w:rPr>
          <w:rFonts w:ascii="Arial" w:hAnsi="Arial" w:cs="Arial"/>
          <w:b/>
          <w:sz w:val="24"/>
          <w:szCs w:val="24"/>
        </w:rPr>
        <w:t>CONSULTATION ON THE PROPOSED APPROACH</w:t>
      </w:r>
    </w:p>
    <w:p w14:paraId="08675916" w14:textId="6A8164C8" w:rsidR="006D75AE" w:rsidRDefault="006D75AE" w:rsidP="00414921">
      <w:pPr>
        <w:rPr>
          <w:rFonts w:ascii="Arial" w:hAnsi="Arial" w:cs="Arial"/>
          <w:iCs/>
          <w:sz w:val="24"/>
          <w:szCs w:val="24"/>
        </w:rPr>
      </w:pPr>
      <w:r w:rsidRPr="006D75AE">
        <w:rPr>
          <w:rFonts w:ascii="Arial" w:hAnsi="Arial" w:cs="Arial"/>
          <w:iCs/>
          <w:sz w:val="24"/>
          <w:szCs w:val="24"/>
        </w:rPr>
        <w:t xml:space="preserve">The ACT </w:t>
      </w:r>
      <w:r w:rsidR="00E57F15" w:rsidRPr="006D75AE">
        <w:rPr>
          <w:rFonts w:ascii="Arial" w:hAnsi="Arial" w:cs="Arial"/>
          <w:iCs/>
          <w:sz w:val="24"/>
          <w:szCs w:val="24"/>
        </w:rPr>
        <w:t>Government</w:t>
      </w:r>
      <w:r>
        <w:rPr>
          <w:rFonts w:ascii="Arial" w:hAnsi="Arial" w:cs="Arial"/>
          <w:iCs/>
          <w:sz w:val="24"/>
          <w:szCs w:val="24"/>
        </w:rPr>
        <w:t xml:space="preserve"> conducted targeted consultation with key stakeholders between March 2025 and </w:t>
      </w:r>
      <w:r w:rsidR="008D78DA">
        <w:rPr>
          <w:rFonts w:ascii="Arial" w:hAnsi="Arial" w:cs="Arial"/>
          <w:iCs/>
          <w:sz w:val="24"/>
          <w:szCs w:val="24"/>
        </w:rPr>
        <w:t>June</w:t>
      </w:r>
      <w:r w:rsidR="00C13787">
        <w:rPr>
          <w:rFonts w:ascii="Arial" w:hAnsi="Arial" w:cs="Arial"/>
          <w:iCs/>
          <w:sz w:val="24"/>
          <w:szCs w:val="24"/>
        </w:rPr>
        <w:t xml:space="preserve"> 2026.</w:t>
      </w:r>
    </w:p>
    <w:p w14:paraId="6187FB42" w14:textId="0F67A169" w:rsidR="003E7160" w:rsidRDefault="003E7160" w:rsidP="00414921">
      <w:pPr>
        <w:rPr>
          <w:rFonts w:ascii="Arial" w:hAnsi="Arial" w:cs="Arial"/>
          <w:iCs/>
          <w:sz w:val="24"/>
          <w:szCs w:val="24"/>
        </w:rPr>
      </w:pPr>
      <w:r>
        <w:rPr>
          <w:rFonts w:ascii="Arial" w:hAnsi="Arial" w:cs="Arial"/>
          <w:iCs/>
          <w:sz w:val="24"/>
          <w:szCs w:val="24"/>
        </w:rPr>
        <w:t xml:space="preserve">The views of stakeholders have been incorporated into and informed the approach to the amendments. </w:t>
      </w:r>
    </w:p>
    <w:p w14:paraId="17A67AC0" w14:textId="77777777" w:rsidR="008F01B4" w:rsidRPr="008F01B4" w:rsidRDefault="008F01B4" w:rsidP="009E6911">
      <w:pPr>
        <w:spacing w:before="120" w:after="60"/>
        <w:rPr>
          <w:rStyle w:val="SubtleEmphasis"/>
          <w:rFonts w:ascii="Arial" w:hAnsi="Arial" w:cs="Arial"/>
          <w:color w:val="000000" w:themeColor="text1"/>
          <w:sz w:val="24"/>
          <w:szCs w:val="24"/>
          <w:u w:val="single"/>
        </w:rPr>
      </w:pPr>
      <w:r w:rsidRPr="008F01B4">
        <w:rPr>
          <w:rStyle w:val="SubtleEmphasis"/>
          <w:rFonts w:ascii="Arial" w:hAnsi="Arial" w:cs="Arial"/>
          <w:color w:val="000000" w:themeColor="text1"/>
          <w:sz w:val="24"/>
          <w:szCs w:val="24"/>
          <w:u w:val="single"/>
        </w:rPr>
        <w:t>Land Titles Act 1925</w:t>
      </w:r>
    </w:p>
    <w:p w14:paraId="68BFDCC2" w14:textId="7CD34F64" w:rsidR="008F01B4" w:rsidRPr="008F01B4" w:rsidRDefault="008F01B4" w:rsidP="009E6911">
      <w:pPr>
        <w:spacing w:before="120" w:after="60" w:line="259" w:lineRule="auto"/>
        <w:rPr>
          <w:rStyle w:val="SubtleEmphasis"/>
          <w:rFonts w:ascii="Arial" w:hAnsi="Arial" w:cs="Arial"/>
          <w:i w:val="0"/>
          <w:iCs w:val="0"/>
          <w:color w:val="000000" w:themeColor="text1"/>
          <w:sz w:val="24"/>
          <w:szCs w:val="24"/>
        </w:rPr>
      </w:pPr>
      <w:r w:rsidRPr="008F01B4">
        <w:rPr>
          <w:rStyle w:val="SubtleEmphasis"/>
          <w:rFonts w:ascii="Arial" w:hAnsi="Arial" w:cs="Arial"/>
          <w:i w:val="0"/>
          <w:iCs w:val="0"/>
          <w:color w:val="000000" w:themeColor="text1"/>
          <w:sz w:val="24"/>
          <w:szCs w:val="24"/>
        </w:rPr>
        <w:t>These proposals respond to specific requests from the ACT Land Titles Office</w:t>
      </w:r>
      <w:r>
        <w:rPr>
          <w:rStyle w:val="SubtleEmphasis"/>
          <w:rFonts w:ascii="Arial" w:hAnsi="Arial" w:cs="Arial"/>
          <w:i w:val="0"/>
          <w:iCs w:val="0"/>
          <w:color w:val="000000" w:themeColor="text1"/>
          <w:sz w:val="24"/>
          <w:szCs w:val="24"/>
        </w:rPr>
        <w:t xml:space="preserve"> (</w:t>
      </w:r>
      <w:r w:rsidRPr="00E878E7">
        <w:rPr>
          <w:rStyle w:val="SubtleEmphasis"/>
          <w:rFonts w:ascii="Arial" w:hAnsi="Arial" w:cs="Arial"/>
          <w:b/>
          <w:bCs/>
          <w:i w:val="0"/>
          <w:iCs w:val="0"/>
          <w:color w:val="000000" w:themeColor="text1"/>
          <w:sz w:val="24"/>
          <w:szCs w:val="24"/>
        </w:rPr>
        <w:t>LTO</w:t>
      </w:r>
      <w:r>
        <w:rPr>
          <w:rStyle w:val="SubtleEmphasis"/>
          <w:rFonts w:ascii="Arial" w:hAnsi="Arial" w:cs="Arial"/>
          <w:i w:val="0"/>
          <w:iCs w:val="0"/>
          <w:color w:val="000000" w:themeColor="text1"/>
          <w:sz w:val="24"/>
          <w:szCs w:val="24"/>
        </w:rPr>
        <w:t>)</w:t>
      </w:r>
      <w:r w:rsidRPr="008F01B4">
        <w:rPr>
          <w:rStyle w:val="SubtleEmphasis"/>
          <w:rFonts w:ascii="Arial" w:hAnsi="Arial" w:cs="Arial"/>
          <w:i w:val="0"/>
          <w:iCs w:val="0"/>
          <w:color w:val="000000" w:themeColor="text1"/>
          <w:sz w:val="24"/>
          <w:szCs w:val="24"/>
        </w:rPr>
        <w:t xml:space="preserve">. </w:t>
      </w:r>
      <w:r>
        <w:rPr>
          <w:rStyle w:val="SubtleEmphasis"/>
          <w:rFonts w:ascii="Arial" w:hAnsi="Arial" w:cs="Arial"/>
          <w:i w:val="0"/>
          <w:iCs w:val="0"/>
          <w:color w:val="000000" w:themeColor="text1"/>
          <w:sz w:val="24"/>
          <w:szCs w:val="24"/>
        </w:rPr>
        <w:t>F</w:t>
      </w:r>
      <w:r w:rsidRPr="008F01B4">
        <w:rPr>
          <w:rStyle w:val="SubtleEmphasis"/>
          <w:rFonts w:ascii="Arial" w:hAnsi="Arial" w:cs="Arial"/>
          <w:i w:val="0"/>
          <w:iCs w:val="0"/>
          <w:color w:val="000000" w:themeColor="text1"/>
          <w:sz w:val="24"/>
          <w:szCs w:val="24"/>
        </w:rPr>
        <w:t xml:space="preserve">eedback </w:t>
      </w:r>
      <w:r>
        <w:rPr>
          <w:rStyle w:val="SubtleEmphasis"/>
          <w:rFonts w:ascii="Arial" w:hAnsi="Arial" w:cs="Arial"/>
          <w:i w:val="0"/>
          <w:iCs w:val="0"/>
          <w:color w:val="000000" w:themeColor="text1"/>
          <w:sz w:val="24"/>
          <w:szCs w:val="24"/>
        </w:rPr>
        <w:t xml:space="preserve">on these proposals was sought </w:t>
      </w:r>
      <w:r w:rsidRPr="008F01B4">
        <w:rPr>
          <w:rStyle w:val="SubtleEmphasis"/>
          <w:rFonts w:ascii="Arial" w:hAnsi="Arial" w:cs="Arial"/>
          <w:i w:val="0"/>
          <w:iCs w:val="0"/>
          <w:color w:val="000000" w:themeColor="text1"/>
          <w:sz w:val="24"/>
          <w:szCs w:val="24"/>
        </w:rPr>
        <w:t>from the LTO, ACT</w:t>
      </w:r>
      <w:r w:rsidR="009E6911">
        <w:rPr>
          <w:rStyle w:val="SubtleEmphasis"/>
          <w:rFonts w:ascii="Arial" w:hAnsi="Arial" w:cs="Arial"/>
          <w:i w:val="0"/>
          <w:iCs w:val="0"/>
          <w:color w:val="000000" w:themeColor="text1"/>
          <w:sz w:val="24"/>
          <w:szCs w:val="24"/>
        </w:rPr>
        <w:t xml:space="preserve"> </w:t>
      </w:r>
      <w:r w:rsidRPr="008F01B4">
        <w:rPr>
          <w:rStyle w:val="SubtleEmphasis"/>
          <w:rFonts w:ascii="Arial" w:hAnsi="Arial" w:cs="Arial"/>
          <w:i w:val="0"/>
          <w:iCs w:val="0"/>
          <w:color w:val="000000" w:themeColor="text1"/>
          <w:sz w:val="24"/>
          <w:szCs w:val="24"/>
        </w:rPr>
        <w:t>C</w:t>
      </w:r>
      <w:r w:rsidR="009E6911">
        <w:rPr>
          <w:rStyle w:val="SubtleEmphasis"/>
          <w:rFonts w:ascii="Arial" w:hAnsi="Arial" w:cs="Arial"/>
          <w:i w:val="0"/>
          <w:iCs w:val="0"/>
          <w:color w:val="000000" w:themeColor="text1"/>
          <w:sz w:val="24"/>
          <w:szCs w:val="24"/>
        </w:rPr>
        <w:t xml:space="preserve">ourts and </w:t>
      </w:r>
      <w:r w:rsidRPr="008F01B4">
        <w:rPr>
          <w:rStyle w:val="SubtleEmphasis"/>
          <w:rFonts w:ascii="Arial" w:hAnsi="Arial" w:cs="Arial"/>
          <w:i w:val="0"/>
          <w:iCs w:val="0"/>
          <w:color w:val="000000" w:themeColor="text1"/>
          <w:sz w:val="24"/>
          <w:szCs w:val="24"/>
        </w:rPr>
        <w:t>T</w:t>
      </w:r>
      <w:r w:rsidR="009E6911">
        <w:rPr>
          <w:rStyle w:val="SubtleEmphasis"/>
          <w:rFonts w:ascii="Arial" w:hAnsi="Arial" w:cs="Arial"/>
          <w:i w:val="0"/>
          <w:iCs w:val="0"/>
          <w:color w:val="000000" w:themeColor="text1"/>
          <w:sz w:val="24"/>
          <w:szCs w:val="24"/>
        </w:rPr>
        <w:t>ribunal</w:t>
      </w:r>
      <w:r w:rsidRPr="008F01B4">
        <w:rPr>
          <w:rStyle w:val="SubtleEmphasis"/>
          <w:rFonts w:ascii="Arial" w:hAnsi="Arial" w:cs="Arial"/>
          <w:i w:val="0"/>
          <w:iCs w:val="0"/>
          <w:color w:val="000000" w:themeColor="text1"/>
          <w:sz w:val="24"/>
          <w:szCs w:val="24"/>
        </w:rPr>
        <w:t>, and the ACT Law Society (</w:t>
      </w:r>
      <w:r w:rsidRPr="00E878E7">
        <w:rPr>
          <w:rStyle w:val="SubtleEmphasis"/>
          <w:rFonts w:ascii="Arial" w:hAnsi="Arial" w:cs="Arial"/>
          <w:b/>
          <w:bCs/>
          <w:i w:val="0"/>
          <w:iCs w:val="0"/>
          <w:color w:val="auto"/>
          <w:sz w:val="24"/>
          <w:szCs w:val="24"/>
        </w:rPr>
        <w:t>ACTLS</w:t>
      </w:r>
      <w:r w:rsidRPr="008F01B4">
        <w:rPr>
          <w:rStyle w:val="SubtleEmphasis"/>
          <w:rFonts w:ascii="Arial" w:hAnsi="Arial" w:cs="Arial"/>
          <w:i w:val="0"/>
          <w:iCs w:val="0"/>
          <w:sz w:val="24"/>
          <w:szCs w:val="24"/>
        </w:rPr>
        <w:t>)</w:t>
      </w:r>
      <w:r w:rsidRPr="008F01B4">
        <w:rPr>
          <w:rStyle w:val="SubtleEmphasis"/>
          <w:rFonts w:ascii="Arial" w:hAnsi="Arial" w:cs="Arial"/>
          <w:i w:val="0"/>
          <w:iCs w:val="0"/>
          <w:color w:val="000000" w:themeColor="text1"/>
          <w:sz w:val="24"/>
          <w:szCs w:val="24"/>
        </w:rPr>
        <w:t xml:space="preserve">. </w:t>
      </w:r>
    </w:p>
    <w:p w14:paraId="2384E37B" w14:textId="77777777" w:rsidR="008F01B4" w:rsidRPr="008F01B4" w:rsidRDefault="008F01B4" w:rsidP="009E6911">
      <w:pPr>
        <w:spacing w:before="120" w:after="60"/>
        <w:rPr>
          <w:rStyle w:val="SubtleEmphasis"/>
          <w:rFonts w:ascii="Arial" w:hAnsi="Arial" w:cs="Arial"/>
          <w:color w:val="000000" w:themeColor="text1"/>
          <w:sz w:val="24"/>
          <w:szCs w:val="24"/>
          <w:u w:val="single"/>
        </w:rPr>
      </w:pPr>
      <w:r w:rsidRPr="008F01B4">
        <w:rPr>
          <w:rStyle w:val="SubtleEmphasis"/>
          <w:rFonts w:ascii="Arial" w:hAnsi="Arial" w:cs="Arial"/>
          <w:color w:val="000000" w:themeColor="text1"/>
          <w:sz w:val="24"/>
          <w:szCs w:val="24"/>
          <w:u w:val="single"/>
        </w:rPr>
        <w:t>Retirement Villages Act 2012</w:t>
      </w:r>
    </w:p>
    <w:p w14:paraId="185D9B77" w14:textId="564F48FC" w:rsidR="008F01B4" w:rsidRDefault="008F01B4" w:rsidP="009E6911">
      <w:pPr>
        <w:spacing w:before="120"/>
        <w:rPr>
          <w:rFonts w:ascii="Arial" w:hAnsi="Arial" w:cs="Arial"/>
          <w:iCs/>
          <w:sz w:val="24"/>
          <w:szCs w:val="24"/>
        </w:rPr>
      </w:pPr>
      <w:r>
        <w:rPr>
          <w:rFonts w:ascii="Arial" w:hAnsi="Arial" w:cs="Arial"/>
          <w:iCs/>
          <w:sz w:val="24"/>
          <w:szCs w:val="24"/>
        </w:rPr>
        <w:t>The Retirement Villages Working Group (</w:t>
      </w:r>
      <w:r w:rsidRPr="00495CC5">
        <w:rPr>
          <w:rFonts w:ascii="Arial" w:hAnsi="Arial" w:cs="Arial"/>
          <w:b/>
          <w:bCs/>
          <w:iCs/>
          <w:sz w:val="24"/>
          <w:szCs w:val="24"/>
        </w:rPr>
        <w:t>RVWG</w:t>
      </w:r>
      <w:r>
        <w:rPr>
          <w:rFonts w:ascii="Arial" w:hAnsi="Arial" w:cs="Arial"/>
          <w:iCs/>
          <w:sz w:val="24"/>
          <w:szCs w:val="24"/>
        </w:rPr>
        <w:t xml:space="preserve">) is a group comprised of key government agencies, industry organisations, community stakeholders, and organisations representing retirement village residents. Member of the RVWG include: </w:t>
      </w:r>
      <w:r w:rsidRPr="008F01B4">
        <w:rPr>
          <w:rFonts w:ascii="Arial" w:hAnsi="Arial" w:cs="Arial"/>
          <w:color w:val="000000" w:themeColor="text1"/>
          <w:sz w:val="24"/>
          <w:szCs w:val="24"/>
        </w:rPr>
        <w:t>Access Canberra, ACTLS (Elder and Succession Law Committee), ACT Human Rights Commission</w:t>
      </w:r>
      <w:r w:rsidR="009E6911">
        <w:rPr>
          <w:rFonts w:ascii="Arial" w:hAnsi="Arial" w:cs="Arial"/>
          <w:color w:val="000000" w:themeColor="text1"/>
          <w:sz w:val="24"/>
          <w:szCs w:val="24"/>
        </w:rPr>
        <w:t xml:space="preserve"> </w:t>
      </w:r>
      <w:r w:rsidR="009E6911">
        <w:rPr>
          <w:rFonts w:ascii="Arial" w:hAnsi="Arial" w:cs="Arial"/>
          <w:iCs/>
          <w:sz w:val="24"/>
          <w:szCs w:val="24"/>
        </w:rPr>
        <w:t>(</w:t>
      </w:r>
      <w:r w:rsidR="009E6911" w:rsidRPr="005D5D9B">
        <w:rPr>
          <w:rFonts w:ascii="Arial" w:hAnsi="Arial" w:cs="Arial"/>
          <w:b/>
          <w:bCs/>
          <w:iCs/>
          <w:sz w:val="24"/>
          <w:szCs w:val="24"/>
        </w:rPr>
        <w:t>HRC</w:t>
      </w:r>
      <w:r w:rsidR="009E6911">
        <w:rPr>
          <w:rFonts w:ascii="Arial" w:hAnsi="Arial" w:cs="Arial"/>
          <w:iCs/>
          <w:sz w:val="24"/>
          <w:szCs w:val="24"/>
        </w:rPr>
        <w:t>)</w:t>
      </w:r>
      <w:r w:rsidRPr="008F01B4">
        <w:rPr>
          <w:rFonts w:ascii="Arial" w:hAnsi="Arial" w:cs="Arial"/>
          <w:color w:val="000000" w:themeColor="text1"/>
          <w:sz w:val="24"/>
          <w:szCs w:val="24"/>
        </w:rPr>
        <w:t xml:space="preserve">, Property Council of Australia, Legal Aid ACT, CARE Financial, Council on the Ageing, Retirement Villages Residents Association, Vintage Reds and representatives from village operators. </w:t>
      </w:r>
      <w:r>
        <w:rPr>
          <w:rFonts w:ascii="Arial" w:hAnsi="Arial" w:cs="Arial"/>
          <w:iCs/>
          <w:sz w:val="24"/>
          <w:szCs w:val="24"/>
        </w:rPr>
        <w:t>The RVWG</w:t>
      </w:r>
      <w:r w:rsidR="003E7160">
        <w:rPr>
          <w:rFonts w:ascii="Arial" w:hAnsi="Arial" w:cs="Arial"/>
          <w:iCs/>
          <w:sz w:val="24"/>
          <w:szCs w:val="24"/>
        </w:rPr>
        <w:t xml:space="preserve"> proposed changes on the requirement to establish the internal disputes committee and have been</w:t>
      </w:r>
      <w:r>
        <w:rPr>
          <w:rFonts w:ascii="Arial" w:hAnsi="Arial" w:cs="Arial"/>
          <w:iCs/>
          <w:sz w:val="24"/>
          <w:szCs w:val="24"/>
        </w:rPr>
        <w:t xml:space="preserve"> consulted </w:t>
      </w:r>
      <w:r w:rsidR="003E7160">
        <w:rPr>
          <w:rFonts w:ascii="Arial" w:hAnsi="Arial" w:cs="Arial"/>
          <w:iCs/>
          <w:sz w:val="24"/>
          <w:szCs w:val="24"/>
        </w:rPr>
        <w:t>throughout the development of</w:t>
      </w:r>
      <w:r>
        <w:rPr>
          <w:rFonts w:ascii="Arial" w:hAnsi="Arial" w:cs="Arial"/>
          <w:iCs/>
          <w:sz w:val="24"/>
          <w:szCs w:val="24"/>
        </w:rPr>
        <w:t xml:space="preserve"> the amendments to the RV Act. </w:t>
      </w:r>
    </w:p>
    <w:p w14:paraId="7540D32D" w14:textId="77777777" w:rsidR="008F01B4" w:rsidRPr="008F01B4" w:rsidRDefault="008F01B4" w:rsidP="009E6911">
      <w:pPr>
        <w:spacing w:before="120" w:after="60"/>
        <w:rPr>
          <w:rStyle w:val="SubtleEmphasis"/>
          <w:rFonts w:ascii="Arial" w:hAnsi="Arial" w:cs="Arial"/>
          <w:color w:val="000000" w:themeColor="text1"/>
          <w:sz w:val="24"/>
          <w:szCs w:val="24"/>
          <w:u w:val="single"/>
        </w:rPr>
      </w:pPr>
      <w:r w:rsidRPr="008F01B4">
        <w:rPr>
          <w:rStyle w:val="SubtleEmphasis"/>
          <w:rFonts w:ascii="Arial" w:hAnsi="Arial" w:cs="Arial"/>
          <w:color w:val="000000" w:themeColor="text1"/>
          <w:sz w:val="24"/>
          <w:szCs w:val="24"/>
          <w:u w:val="single"/>
        </w:rPr>
        <w:t>Residential Tenancies Act 1997</w:t>
      </w:r>
    </w:p>
    <w:p w14:paraId="52F26B65" w14:textId="73AA7F7E" w:rsidR="008F01B4" w:rsidRPr="008F01B4" w:rsidRDefault="008F01B4" w:rsidP="009E6911">
      <w:pPr>
        <w:spacing w:before="120" w:after="60" w:line="259" w:lineRule="auto"/>
        <w:rPr>
          <w:rFonts w:ascii="Arial" w:hAnsi="Arial" w:cs="Arial"/>
          <w:i/>
          <w:iCs/>
          <w:color w:val="000000" w:themeColor="text1"/>
          <w:sz w:val="24"/>
          <w:szCs w:val="24"/>
        </w:rPr>
      </w:pPr>
      <w:r w:rsidRPr="008F01B4">
        <w:rPr>
          <w:rStyle w:val="SubtleEmphasis"/>
          <w:rFonts w:ascii="Arial" w:hAnsi="Arial" w:cs="Arial"/>
          <w:i w:val="0"/>
          <w:iCs w:val="0"/>
          <w:color w:val="000000" w:themeColor="text1"/>
          <w:sz w:val="24"/>
          <w:szCs w:val="24"/>
        </w:rPr>
        <w:t xml:space="preserve">The </w:t>
      </w:r>
      <w:r w:rsidR="00E878E7">
        <w:rPr>
          <w:rStyle w:val="SubtleEmphasis"/>
          <w:rFonts w:ascii="Arial" w:hAnsi="Arial" w:cs="Arial"/>
          <w:i w:val="0"/>
          <w:iCs w:val="0"/>
          <w:color w:val="000000" w:themeColor="text1"/>
          <w:sz w:val="24"/>
          <w:szCs w:val="24"/>
        </w:rPr>
        <w:t xml:space="preserve">City and </w:t>
      </w:r>
      <w:r w:rsidRPr="008F01B4">
        <w:rPr>
          <w:rStyle w:val="SubtleEmphasis"/>
          <w:rFonts w:ascii="Arial" w:hAnsi="Arial" w:cs="Arial"/>
          <w:i w:val="0"/>
          <w:iCs w:val="0"/>
          <w:color w:val="000000" w:themeColor="text1"/>
          <w:sz w:val="24"/>
          <w:szCs w:val="24"/>
        </w:rPr>
        <w:t>Environment</w:t>
      </w:r>
      <w:r w:rsidR="00E878E7">
        <w:rPr>
          <w:rStyle w:val="SubtleEmphasis"/>
          <w:rFonts w:ascii="Arial" w:hAnsi="Arial" w:cs="Arial"/>
          <w:i w:val="0"/>
          <w:iCs w:val="0"/>
          <w:color w:val="000000" w:themeColor="text1"/>
          <w:sz w:val="24"/>
          <w:szCs w:val="24"/>
        </w:rPr>
        <w:t xml:space="preserve"> </w:t>
      </w:r>
      <w:r w:rsidRPr="008F01B4">
        <w:rPr>
          <w:rStyle w:val="SubtleEmphasis"/>
          <w:rFonts w:ascii="Arial" w:hAnsi="Arial" w:cs="Arial"/>
          <w:i w:val="0"/>
          <w:iCs w:val="0"/>
          <w:color w:val="000000" w:themeColor="text1"/>
          <w:sz w:val="24"/>
          <w:szCs w:val="24"/>
        </w:rPr>
        <w:t>Directorate (</w:t>
      </w:r>
      <w:r w:rsidR="00E878E7" w:rsidRPr="00E878E7">
        <w:rPr>
          <w:rStyle w:val="SubtleEmphasis"/>
          <w:rFonts w:ascii="Arial" w:hAnsi="Arial" w:cs="Arial"/>
          <w:b/>
          <w:bCs/>
          <w:i w:val="0"/>
          <w:iCs w:val="0"/>
          <w:color w:val="000000" w:themeColor="text1"/>
          <w:sz w:val="24"/>
          <w:szCs w:val="24"/>
        </w:rPr>
        <w:t>CED</w:t>
      </w:r>
      <w:r w:rsidR="00E878E7">
        <w:rPr>
          <w:rStyle w:val="SubtleEmphasis"/>
          <w:rFonts w:ascii="Arial" w:hAnsi="Arial" w:cs="Arial"/>
          <w:i w:val="0"/>
          <w:iCs w:val="0"/>
          <w:color w:val="000000" w:themeColor="text1"/>
          <w:sz w:val="24"/>
          <w:szCs w:val="24"/>
        </w:rPr>
        <w:t>)</w:t>
      </w:r>
      <w:r w:rsidRPr="008F01B4">
        <w:rPr>
          <w:rStyle w:val="SubtleEmphasis"/>
          <w:rFonts w:ascii="Arial" w:hAnsi="Arial" w:cs="Arial"/>
          <w:i w:val="0"/>
          <w:iCs w:val="0"/>
          <w:color w:val="000000" w:themeColor="text1"/>
          <w:sz w:val="24"/>
          <w:szCs w:val="24"/>
        </w:rPr>
        <w:t xml:space="preserve"> </w:t>
      </w:r>
      <w:r w:rsidR="00E878E7">
        <w:rPr>
          <w:rStyle w:val="SubtleEmphasis"/>
          <w:rFonts w:ascii="Arial" w:hAnsi="Arial" w:cs="Arial"/>
          <w:i w:val="0"/>
          <w:iCs w:val="0"/>
          <w:color w:val="000000" w:themeColor="text1"/>
          <w:sz w:val="24"/>
          <w:szCs w:val="24"/>
        </w:rPr>
        <w:t>has been</w:t>
      </w:r>
      <w:r w:rsidRPr="008F01B4">
        <w:rPr>
          <w:rFonts w:ascii="Arial" w:hAnsi="Arial" w:cs="Arial"/>
          <w:color w:val="000000" w:themeColor="text1"/>
          <w:sz w:val="24"/>
          <w:szCs w:val="24"/>
        </w:rPr>
        <w:t xml:space="preserve"> consulted on the development of this proposal</w:t>
      </w:r>
      <w:r w:rsidR="003E7160">
        <w:rPr>
          <w:rFonts w:ascii="Arial" w:hAnsi="Arial" w:cs="Arial"/>
          <w:color w:val="000000" w:themeColor="text1"/>
          <w:sz w:val="24"/>
          <w:szCs w:val="24"/>
        </w:rPr>
        <w:t xml:space="preserve"> and the interactions with the Government’s commitment to transition away from gas appliances.</w:t>
      </w:r>
      <w:r w:rsidR="00231EE1">
        <w:rPr>
          <w:rFonts w:ascii="Arial" w:hAnsi="Arial" w:cs="Arial"/>
          <w:color w:val="000000" w:themeColor="text1"/>
          <w:sz w:val="24"/>
          <w:szCs w:val="24"/>
        </w:rPr>
        <w:t xml:space="preserve"> Housing ACT were also consulted. </w:t>
      </w:r>
    </w:p>
    <w:p w14:paraId="09C984ED" w14:textId="77777777" w:rsidR="008F01B4" w:rsidRPr="008F01B4" w:rsidRDefault="008F01B4" w:rsidP="009E6911">
      <w:pPr>
        <w:spacing w:before="120" w:after="60"/>
        <w:rPr>
          <w:rFonts w:ascii="Arial" w:hAnsi="Arial" w:cs="Arial"/>
          <w:i/>
          <w:iCs/>
          <w:color w:val="000000" w:themeColor="text1"/>
          <w:sz w:val="24"/>
          <w:szCs w:val="24"/>
          <w:u w:val="single"/>
        </w:rPr>
      </w:pPr>
      <w:r w:rsidRPr="008F01B4">
        <w:rPr>
          <w:rStyle w:val="SubtleEmphasis"/>
          <w:rFonts w:ascii="Arial" w:hAnsi="Arial" w:cs="Arial"/>
          <w:color w:val="000000" w:themeColor="text1"/>
          <w:sz w:val="24"/>
          <w:szCs w:val="24"/>
          <w:u w:val="single"/>
        </w:rPr>
        <w:t>Unit Titles (Management) Act 2011</w:t>
      </w:r>
    </w:p>
    <w:p w14:paraId="12FD3910" w14:textId="6C136010" w:rsidR="008F01B4" w:rsidRDefault="008F01B4" w:rsidP="009E6911">
      <w:pPr>
        <w:spacing w:before="120" w:after="60" w:line="259" w:lineRule="auto"/>
        <w:rPr>
          <w:rFonts w:ascii="Arial" w:hAnsi="Arial" w:cs="Arial"/>
          <w:color w:val="000000" w:themeColor="text1"/>
          <w:sz w:val="24"/>
          <w:szCs w:val="24"/>
        </w:rPr>
      </w:pPr>
      <w:r w:rsidRPr="008F01B4">
        <w:rPr>
          <w:rFonts w:ascii="Arial" w:hAnsi="Arial" w:cs="Arial"/>
          <w:color w:val="000000" w:themeColor="text1"/>
          <w:sz w:val="24"/>
          <w:szCs w:val="24"/>
        </w:rPr>
        <w:t>Feedback</w:t>
      </w:r>
      <w:r w:rsidRPr="008F01B4">
        <w:rPr>
          <w:rFonts w:ascii="Arial" w:hAnsi="Arial" w:cs="Arial"/>
          <w:sz w:val="24"/>
          <w:szCs w:val="24"/>
        </w:rPr>
        <w:t xml:space="preserve"> on the</w:t>
      </w:r>
      <w:r w:rsidR="000D26E7">
        <w:rPr>
          <w:rFonts w:ascii="Arial" w:hAnsi="Arial" w:cs="Arial"/>
          <w:sz w:val="24"/>
          <w:szCs w:val="24"/>
        </w:rPr>
        <w:t xml:space="preserve"> proposed changes to unit titles management legislation</w:t>
      </w:r>
      <w:r w:rsidRPr="008F01B4">
        <w:rPr>
          <w:rFonts w:ascii="Arial" w:hAnsi="Arial" w:cs="Arial"/>
          <w:sz w:val="24"/>
          <w:szCs w:val="24"/>
        </w:rPr>
        <w:t xml:space="preserve"> was sought from </w:t>
      </w:r>
      <w:r w:rsidR="00E878E7">
        <w:rPr>
          <w:rFonts w:ascii="Arial" w:hAnsi="Arial" w:cs="Arial"/>
          <w:color w:val="000000" w:themeColor="text1"/>
          <w:sz w:val="24"/>
          <w:szCs w:val="24"/>
        </w:rPr>
        <w:t>t</w:t>
      </w:r>
      <w:r w:rsidRPr="008F01B4">
        <w:rPr>
          <w:rFonts w:ascii="Arial" w:hAnsi="Arial" w:cs="Arial"/>
          <w:color w:val="000000" w:themeColor="text1"/>
          <w:sz w:val="24"/>
          <w:szCs w:val="24"/>
        </w:rPr>
        <w:t xml:space="preserve">he </w:t>
      </w:r>
      <w:r w:rsidR="00E878E7" w:rsidRPr="008F01B4">
        <w:rPr>
          <w:rFonts w:ascii="Arial" w:hAnsi="Arial" w:cs="Arial"/>
          <w:color w:val="000000" w:themeColor="text1"/>
          <w:sz w:val="24"/>
          <w:szCs w:val="24"/>
        </w:rPr>
        <w:t>Real Estate Institute of the ACT</w:t>
      </w:r>
      <w:r w:rsidRPr="008F01B4">
        <w:rPr>
          <w:rFonts w:ascii="Arial" w:hAnsi="Arial" w:cs="Arial"/>
          <w:color w:val="000000" w:themeColor="text1"/>
          <w:sz w:val="24"/>
          <w:szCs w:val="24"/>
        </w:rPr>
        <w:t>,</w:t>
      </w:r>
      <w:r w:rsidRPr="008F01B4">
        <w:rPr>
          <w:rFonts w:ascii="Arial" w:hAnsi="Arial" w:cs="Arial"/>
          <w:sz w:val="24"/>
          <w:szCs w:val="24"/>
        </w:rPr>
        <w:t xml:space="preserve"> </w:t>
      </w:r>
      <w:r w:rsidRPr="008F01B4">
        <w:rPr>
          <w:rFonts w:ascii="Arial" w:hAnsi="Arial" w:cs="Arial"/>
          <w:color w:val="000000" w:themeColor="text1"/>
          <w:sz w:val="24"/>
          <w:szCs w:val="24"/>
        </w:rPr>
        <w:t xml:space="preserve">Owners Corporation Network, ACT Strata Community Association, ACTLS, and Legal Aid ACT. </w:t>
      </w:r>
    </w:p>
    <w:p w14:paraId="7FCC1132" w14:textId="18456782" w:rsidR="000D26E7" w:rsidRPr="008F01B4" w:rsidRDefault="000D26E7" w:rsidP="009E6911">
      <w:pPr>
        <w:spacing w:before="120" w:after="60" w:line="259" w:lineRule="auto"/>
        <w:rPr>
          <w:rStyle w:val="SubtleEmphasis"/>
          <w:rFonts w:ascii="Arial" w:hAnsi="Arial" w:cs="Arial"/>
          <w:color w:val="000000" w:themeColor="text1"/>
          <w:sz w:val="24"/>
          <w:szCs w:val="24"/>
        </w:rPr>
      </w:pPr>
      <w:r>
        <w:rPr>
          <w:rFonts w:ascii="Arial" w:hAnsi="Arial" w:cs="Arial"/>
          <w:color w:val="000000" w:themeColor="text1"/>
          <w:sz w:val="24"/>
          <w:szCs w:val="24"/>
        </w:rPr>
        <w:t xml:space="preserve">Making changes to quorum requirements for owners corporation general meetings was also a recommendation of the </w:t>
      </w:r>
      <w:hyperlink r:id="rId15" w:history="1">
        <w:r w:rsidRPr="000D26E7">
          <w:rPr>
            <w:rStyle w:val="Hyperlink"/>
            <w:rFonts w:ascii="Arial" w:hAnsi="Arial" w:cs="Arial"/>
            <w:sz w:val="24"/>
            <w:szCs w:val="24"/>
          </w:rPr>
          <w:t>Inquiry into the management of Strata Properties conducted by the Legislative Assembly Standing Committee on Legal Affairs</w:t>
        </w:r>
      </w:hyperlink>
      <w:r>
        <w:rPr>
          <w:rFonts w:ascii="Arial" w:hAnsi="Arial" w:cs="Arial"/>
          <w:color w:val="000000" w:themeColor="text1"/>
          <w:sz w:val="24"/>
          <w:szCs w:val="24"/>
        </w:rPr>
        <w:t>.</w:t>
      </w:r>
      <w:r>
        <w:rPr>
          <w:rStyle w:val="FootnoteReference"/>
          <w:rFonts w:ascii="Arial" w:hAnsi="Arial"/>
          <w:color w:val="000000" w:themeColor="text1"/>
          <w:sz w:val="24"/>
          <w:szCs w:val="24"/>
        </w:rPr>
        <w:footnoteReference w:id="2"/>
      </w:r>
      <w:r>
        <w:rPr>
          <w:rFonts w:ascii="Arial" w:hAnsi="Arial" w:cs="Arial"/>
          <w:color w:val="000000" w:themeColor="text1"/>
          <w:sz w:val="24"/>
          <w:szCs w:val="24"/>
        </w:rPr>
        <w:t xml:space="preserve"> </w:t>
      </w:r>
    </w:p>
    <w:p w14:paraId="7CDF254A" w14:textId="77777777" w:rsidR="008F01B4" w:rsidRDefault="008F01B4" w:rsidP="00414921">
      <w:pPr>
        <w:rPr>
          <w:rFonts w:ascii="Arial" w:hAnsi="Arial" w:cs="Arial"/>
          <w:iCs/>
          <w:sz w:val="24"/>
          <w:szCs w:val="24"/>
        </w:rPr>
      </w:pPr>
    </w:p>
    <w:p w14:paraId="3B3146A4" w14:textId="77777777" w:rsidR="00C13787" w:rsidRPr="00C13787" w:rsidRDefault="00C13787" w:rsidP="00C13787">
      <w:pPr>
        <w:rPr>
          <w:rFonts w:ascii="Arial" w:hAnsi="Arial" w:cs="Arial"/>
          <w:b/>
          <w:bCs/>
          <w:sz w:val="24"/>
          <w:szCs w:val="24"/>
        </w:rPr>
      </w:pPr>
      <w:r w:rsidRPr="00C13787">
        <w:rPr>
          <w:rFonts w:ascii="Arial" w:hAnsi="Arial" w:cs="Arial"/>
          <w:b/>
          <w:bCs/>
          <w:sz w:val="24"/>
          <w:szCs w:val="24"/>
        </w:rPr>
        <w:lastRenderedPageBreak/>
        <w:t>CLIMATE IMPACT</w:t>
      </w:r>
    </w:p>
    <w:p w14:paraId="0D44E95A" w14:textId="3AAFE023" w:rsidR="00F41A79" w:rsidRDefault="00C13787" w:rsidP="00B85B3D">
      <w:pPr>
        <w:rPr>
          <w:rFonts w:ascii="Arial" w:hAnsi="Arial" w:cs="Arial"/>
          <w:iCs/>
          <w:color w:val="000000" w:themeColor="text1"/>
          <w:sz w:val="24"/>
          <w:szCs w:val="24"/>
        </w:rPr>
      </w:pPr>
      <w:r w:rsidRPr="005D5D9B">
        <w:rPr>
          <w:rFonts w:ascii="Arial" w:hAnsi="Arial" w:cs="Arial"/>
          <w:sz w:val="24"/>
          <w:szCs w:val="24"/>
        </w:rPr>
        <w:t>This Bill does have climate</w:t>
      </w:r>
      <w:r w:rsidRPr="00C13787">
        <w:rPr>
          <w:rFonts w:ascii="Arial" w:hAnsi="Arial" w:cs="Arial"/>
          <w:sz w:val="24"/>
          <w:szCs w:val="24"/>
        </w:rPr>
        <w:t xml:space="preserve"> impacts</w:t>
      </w:r>
      <w:r w:rsidR="008F01B4">
        <w:rPr>
          <w:rFonts w:ascii="Arial" w:hAnsi="Arial" w:cs="Arial"/>
          <w:sz w:val="24"/>
          <w:szCs w:val="24"/>
        </w:rPr>
        <w:t>, specifically</w:t>
      </w:r>
      <w:r w:rsidR="003E7160">
        <w:rPr>
          <w:rFonts w:ascii="Arial" w:hAnsi="Arial" w:cs="Arial"/>
          <w:sz w:val="24"/>
          <w:szCs w:val="24"/>
        </w:rPr>
        <w:t>,</w:t>
      </w:r>
      <w:r w:rsidR="008F01B4">
        <w:rPr>
          <w:rFonts w:ascii="Arial" w:hAnsi="Arial" w:cs="Arial"/>
          <w:sz w:val="24"/>
          <w:szCs w:val="24"/>
        </w:rPr>
        <w:t xml:space="preserve"> the RTA amendments</w:t>
      </w:r>
      <w:r w:rsidRPr="00C13787">
        <w:rPr>
          <w:rFonts w:ascii="Arial" w:hAnsi="Arial" w:cs="Arial"/>
          <w:sz w:val="24"/>
          <w:szCs w:val="24"/>
        </w:rPr>
        <w:t>.</w:t>
      </w:r>
      <w:r w:rsidR="00102ED9">
        <w:rPr>
          <w:rFonts w:ascii="Arial" w:hAnsi="Arial" w:cs="Arial"/>
          <w:sz w:val="24"/>
          <w:szCs w:val="24"/>
        </w:rPr>
        <w:t xml:space="preserve"> </w:t>
      </w:r>
    </w:p>
    <w:p w14:paraId="751521B0" w14:textId="08366A79" w:rsidR="00B85B3D" w:rsidRPr="00B85B3D" w:rsidRDefault="00F41A79" w:rsidP="00B85B3D">
      <w:pPr>
        <w:rPr>
          <w:rFonts w:ascii="Arial" w:hAnsi="Arial" w:cs="Arial"/>
          <w:iCs/>
          <w:color w:val="000000" w:themeColor="text1"/>
          <w:sz w:val="24"/>
          <w:szCs w:val="24"/>
        </w:rPr>
      </w:pPr>
      <w:r>
        <w:rPr>
          <w:rFonts w:ascii="Arial" w:hAnsi="Arial" w:cs="Arial"/>
          <w:iCs/>
          <w:color w:val="000000" w:themeColor="text1"/>
          <w:sz w:val="24"/>
          <w:szCs w:val="24"/>
        </w:rPr>
        <w:t xml:space="preserve">The ACT has committed to achieving net zero emissions by 2045. </w:t>
      </w:r>
      <w:r w:rsidR="008F01B4" w:rsidRPr="008F01B4">
        <w:rPr>
          <w:rFonts w:ascii="Arial" w:hAnsi="Arial" w:cs="Arial"/>
          <w:iCs/>
          <w:color w:val="000000" w:themeColor="text1"/>
          <w:sz w:val="24"/>
          <w:szCs w:val="24"/>
        </w:rPr>
        <w:t xml:space="preserve">The ACT Integrated Energy Program sets out the long-term pathway to transforming ACT’s </w:t>
      </w:r>
      <w:r w:rsidR="008F01B4" w:rsidRPr="00B85B3D">
        <w:rPr>
          <w:rFonts w:ascii="Arial" w:hAnsi="Arial" w:cs="Arial"/>
          <w:iCs/>
          <w:color w:val="000000" w:themeColor="text1"/>
          <w:sz w:val="24"/>
          <w:szCs w:val="24"/>
        </w:rPr>
        <w:t>energy usage</w:t>
      </w:r>
      <w:r w:rsidR="001931D1">
        <w:rPr>
          <w:rFonts w:ascii="Arial" w:hAnsi="Arial" w:cs="Arial"/>
          <w:iCs/>
          <w:color w:val="000000" w:themeColor="text1"/>
          <w:sz w:val="24"/>
          <w:szCs w:val="24"/>
        </w:rPr>
        <w:t xml:space="preserve"> including</w:t>
      </w:r>
      <w:r w:rsidR="008F01B4" w:rsidRPr="00B85B3D">
        <w:rPr>
          <w:rFonts w:ascii="Arial" w:hAnsi="Arial" w:cs="Arial"/>
          <w:iCs/>
          <w:color w:val="000000" w:themeColor="text1"/>
          <w:sz w:val="24"/>
          <w:szCs w:val="24"/>
        </w:rPr>
        <w:t xml:space="preserve"> the full electrification of Canberra’s households. </w:t>
      </w:r>
      <w:r w:rsidR="00B85B3D" w:rsidRPr="00B85B3D">
        <w:rPr>
          <w:rFonts w:ascii="Arial" w:hAnsi="Arial" w:cs="Arial"/>
          <w:iCs/>
          <w:color w:val="000000" w:themeColor="text1"/>
          <w:sz w:val="24"/>
          <w:szCs w:val="24"/>
        </w:rPr>
        <w:t xml:space="preserve">Part of this pathway is to reduce barriers and support households as they transition away from fossil fuel appliances. </w:t>
      </w:r>
    </w:p>
    <w:p w14:paraId="7CF9BB22" w14:textId="77777777" w:rsidR="009E6911" w:rsidRDefault="00B85B3D" w:rsidP="00414921">
      <w:pPr>
        <w:rPr>
          <w:rFonts w:ascii="Arial" w:hAnsi="Arial" w:cs="Arial"/>
          <w:sz w:val="24"/>
          <w:szCs w:val="24"/>
        </w:rPr>
      </w:pPr>
      <w:r w:rsidRPr="00B85B3D">
        <w:rPr>
          <w:rFonts w:ascii="Arial" w:hAnsi="Arial" w:cs="Arial"/>
          <w:iCs/>
          <w:color w:val="000000" w:themeColor="text1"/>
          <w:sz w:val="24"/>
          <w:szCs w:val="24"/>
        </w:rPr>
        <w:t xml:space="preserve">Of relevance </w:t>
      </w:r>
      <w:r>
        <w:rPr>
          <w:rFonts w:ascii="Arial" w:hAnsi="Arial" w:cs="Arial"/>
          <w:iCs/>
          <w:color w:val="000000" w:themeColor="text1"/>
          <w:sz w:val="24"/>
          <w:szCs w:val="24"/>
        </w:rPr>
        <w:t xml:space="preserve">to this Bill </w:t>
      </w:r>
      <w:r w:rsidRPr="00B85B3D">
        <w:rPr>
          <w:rFonts w:ascii="Arial" w:hAnsi="Arial" w:cs="Arial"/>
          <w:iCs/>
          <w:color w:val="000000" w:themeColor="text1"/>
          <w:sz w:val="24"/>
          <w:szCs w:val="24"/>
        </w:rPr>
        <w:t>is that t</w:t>
      </w:r>
      <w:r w:rsidRPr="00B85B3D">
        <w:rPr>
          <w:rFonts w:ascii="Arial" w:hAnsi="Arial" w:cs="Arial"/>
          <w:sz w:val="24"/>
          <w:szCs w:val="24"/>
        </w:rPr>
        <w:t>he ACT has now banned new gas connections in most land use zones and will need to decommission the gas network as gas use diminishes.</w:t>
      </w:r>
      <w:r w:rsidR="009E6911">
        <w:rPr>
          <w:rFonts w:ascii="Arial" w:hAnsi="Arial" w:cs="Arial"/>
          <w:sz w:val="24"/>
          <w:szCs w:val="24"/>
        </w:rPr>
        <w:t xml:space="preserve"> </w:t>
      </w:r>
      <w:r w:rsidR="00BE7856" w:rsidRPr="00BE7856">
        <w:rPr>
          <w:rFonts w:ascii="Arial" w:hAnsi="Arial" w:cs="Arial"/>
          <w:sz w:val="24"/>
          <w:szCs w:val="24"/>
        </w:rPr>
        <w:t xml:space="preserve">Many homes are now transitioning to electrification. </w:t>
      </w:r>
    </w:p>
    <w:p w14:paraId="112FBD67" w14:textId="21A11114" w:rsidR="00B85B3D" w:rsidRPr="00BE7856" w:rsidRDefault="00BE7856" w:rsidP="00414921">
      <w:pPr>
        <w:rPr>
          <w:rFonts w:ascii="Arial" w:hAnsi="Arial" w:cs="Arial"/>
          <w:sz w:val="24"/>
          <w:szCs w:val="24"/>
        </w:rPr>
      </w:pPr>
      <w:r w:rsidRPr="00BE7856">
        <w:rPr>
          <w:rFonts w:ascii="Arial" w:hAnsi="Arial" w:cs="Arial"/>
          <w:sz w:val="24"/>
          <w:szCs w:val="24"/>
        </w:rPr>
        <w:t>Some</w:t>
      </w:r>
      <w:r w:rsidR="001931D1">
        <w:rPr>
          <w:rFonts w:ascii="Arial" w:hAnsi="Arial" w:cs="Arial"/>
          <w:sz w:val="24"/>
          <w:szCs w:val="24"/>
        </w:rPr>
        <w:t xml:space="preserve"> </w:t>
      </w:r>
      <w:r w:rsidRPr="00BE7856">
        <w:rPr>
          <w:rFonts w:ascii="Arial" w:hAnsi="Arial" w:cs="Arial"/>
          <w:sz w:val="24"/>
          <w:szCs w:val="24"/>
        </w:rPr>
        <w:t xml:space="preserve">landlords may </w:t>
      </w:r>
      <w:r w:rsidR="009E6911">
        <w:rPr>
          <w:rFonts w:ascii="Arial" w:hAnsi="Arial" w:cs="Arial"/>
          <w:sz w:val="24"/>
          <w:szCs w:val="24"/>
        </w:rPr>
        <w:t>want to</w:t>
      </w:r>
      <w:r w:rsidRPr="00BE7856">
        <w:rPr>
          <w:rFonts w:ascii="Arial" w:hAnsi="Arial" w:cs="Arial"/>
          <w:sz w:val="24"/>
          <w:szCs w:val="24"/>
        </w:rPr>
        <w:t xml:space="preserve"> or need to do this during the term of a tenancy agreement. </w:t>
      </w:r>
      <w:r w:rsidR="00B85B3D" w:rsidRPr="00BE7856">
        <w:rPr>
          <w:rFonts w:ascii="Arial" w:hAnsi="Arial" w:cs="Arial"/>
          <w:sz w:val="24"/>
          <w:szCs w:val="24"/>
        </w:rPr>
        <w:t xml:space="preserve">In situations where </w:t>
      </w:r>
      <w:r w:rsidR="001931D1" w:rsidRPr="00BE7856">
        <w:rPr>
          <w:rFonts w:ascii="Arial" w:hAnsi="Arial" w:cs="Arial"/>
          <w:sz w:val="24"/>
          <w:szCs w:val="24"/>
        </w:rPr>
        <w:t>l</w:t>
      </w:r>
      <w:r w:rsidR="001931D1">
        <w:rPr>
          <w:rFonts w:ascii="Arial" w:hAnsi="Arial" w:cs="Arial"/>
          <w:sz w:val="24"/>
          <w:szCs w:val="24"/>
        </w:rPr>
        <w:t>andlords</w:t>
      </w:r>
      <w:r w:rsidR="001931D1" w:rsidRPr="00BE7856">
        <w:rPr>
          <w:rFonts w:ascii="Arial" w:hAnsi="Arial" w:cs="Arial"/>
          <w:sz w:val="24"/>
          <w:szCs w:val="24"/>
        </w:rPr>
        <w:t xml:space="preserve"> </w:t>
      </w:r>
      <w:r w:rsidR="00B85B3D" w:rsidRPr="00BE7856">
        <w:rPr>
          <w:rFonts w:ascii="Arial" w:hAnsi="Arial" w:cs="Arial"/>
          <w:sz w:val="24"/>
          <w:szCs w:val="24"/>
        </w:rPr>
        <w:t xml:space="preserve">attempt to transition a rental property from gas to electric appliances, some tenants may seek to challenge the change in appliance type on the basis that </w:t>
      </w:r>
      <w:r w:rsidR="004D6640">
        <w:rPr>
          <w:rFonts w:ascii="Arial" w:hAnsi="Arial" w:cs="Arial"/>
          <w:sz w:val="24"/>
          <w:szCs w:val="24"/>
        </w:rPr>
        <w:t>their quiet use and enjoyment of the property has been diminished where the replacement appliance is not a like for like replacement of the gas appliance</w:t>
      </w:r>
      <w:r w:rsidR="00B85B3D" w:rsidRPr="00BE7856">
        <w:rPr>
          <w:rFonts w:ascii="Arial" w:hAnsi="Arial" w:cs="Arial"/>
          <w:sz w:val="24"/>
          <w:szCs w:val="24"/>
        </w:rPr>
        <w:t xml:space="preserve">. </w:t>
      </w:r>
    </w:p>
    <w:p w14:paraId="635DB583" w14:textId="7D6076BA" w:rsidR="00CA0FD9" w:rsidRPr="00963963" w:rsidRDefault="00B85B3D" w:rsidP="00414921">
      <w:pPr>
        <w:rPr>
          <w:rFonts w:ascii="Arial" w:hAnsi="Arial" w:cs="Arial"/>
          <w:sz w:val="24"/>
          <w:szCs w:val="24"/>
        </w:rPr>
      </w:pPr>
      <w:r w:rsidRPr="00963963">
        <w:rPr>
          <w:rFonts w:ascii="Arial" w:hAnsi="Arial" w:cs="Arial"/>
          <w:sz w:val="24"/>
          <w:szCs w:val="24"/>
        </w:rPr>
        <w:t xml:space="preserve">To ensure that </w:t>
      </w:r>
      <w:r w:rsidR="001931D1">
        <w:rPr>
          <w:rFonts w:ascii="Arial" w:hAnsi="Arial" w:cs="Arial"/>
          <w:sz w:val="24"/>
          <w:szCs w:val="24"/>
        </w:rPr>
        <w:t>landlords</w:t>
      </w:r>
      <w:r w:rsidR="001931D1" w:rsidRPr="00963963">
        <w:rPr>
          <w:rFonts w:ascii="Arial" w:hAnsi="Arial" w:cs="Arial"/>
          <w:sz w:val="24"/>
          <w:szCs w:val="24"/>
        </w:rPr>
        <w:t xml:space="preserve"> </w:t>
      </w:r>
      <w:r w:rsidRPr="00963963">
        <w:rPr>
          <w:rFonts w:ascii="Arial" w:hAnsi="Arial" w:cs="Arial"/>
          <w:sz w:val="24"/>
          <w:szCs w:val="24"/>
        </w:rPr>
        <w:t>who choose to</w:t>
      </w:r>
      <w:r w:rsidR="000D26E7">
        <w:rPr>
          <w:rFonts w:ascii="Arial" w:hAnsi="Arial" w:cs="Arial"/>
          <w:sz w:val="24"/>
          <w:szCs w:val="24"/>
        </w:rPr>
        <w:t>,</w:t>
      </w:r>
      <w:r w:rsidRPr="00963963">
        <w:rPr>
          <w:rFonts w:ascii="Arial" w:hAnsi="Arial" w:cs="Arial"/>
          <w:sz w:val="24"/>
          <w:szCs w:val="24"/>
        </w:rPr>
        <w:t xml:space="preserve"> </w:t>
      </w:r>
      <w:r w:rsidR="009E6911" w:rsidRPr="00963963">
        <w:rPr>
          <w:rFonts w:ascii="Arial" w:hAnsi="Arial" w:cs="Arial"/>
          <w:sz w:val="24"/>
          <w:szCs w:val="24"/>
        </w:rPr>
        <w:t>or need to</w:t>
      </w:r>
      <w:r w:rsidR="000D26E7">
        <w:rPr>
          <w:rFonts w:ascii="Arial" w:hAnsi="Arial" w:cs="Arial"/>
          <w:sz w:val="24"/>
          <w:szCs w:val="24"/>
        </w:rPr>
        <w:t>,</w:t>
      </w:r>
      <w:r w:rsidR="009E6911" w:rsidRPr="00963963">
        <w:rPr>
          <w:rFonts w:ascii="Arial" w:hAnsi="Arial" w:cs="Arial"/>
          <w:sz w:val="24"/>
          <w:szCs w:val="24"/>
        </w:rPr>
        <w:t xml:space="preserve"> </w:t>
      </w:r>
      <w:r w:rsidRPr="00963963">
        <w:rPr>
          <w:rFonts w:ascii="Arial" w:hAnsi="Arial" w:cs="Arial"/>
          <w:sz w:val="24"/>
          <w:szCs w:val="24"/>
        </w:rPr>
        <w:t xml:space="preserve">transition a rental property from gas to electric appliances are supported </w:t>
      </w:r>
      <w:r w:rsidR="001931D1">
        <w:rPr>
          <w:rFonts w:ascii="Arial" w:hAnsi="Arial" w:cs="Arial"/>
          <w:sz w:val="24"/>
          <w:szCs w:val="24"/>
        </w:rPr>
        <w:t>to do</w:t>
      </w:r>
      <w:r w:rsidRPr="00963963">
        <w:rPr>
          <w:rFonts w:ascii="Arial" w:hAnsi="Arial" w:cs="Arial"/>
          <w:sz w:val="24"/>
          <w:szCs w:val="24"/>
        </w:rPr>
        <w:t xml:space="preserve"> so, </w:t>
      </w:r>
      <w:r w:rsidR="00963963" w:rsidRPr="00963963">
        <w:rPr>
          <w:rFonts w:ascii="Arial" w:hAnsi="Arial" w:cs="Arial"/>
          <w:sz w:val="24"/>
          <w:szCs w:val="24"/>
        </w:rPr>
        <w:t>the Bill removes the requirement for a landlord to provide a gas connection to a rental property when there are no longer any gas reliant appliances at the property.</w:t>
      </w:r>
    </w:p>
    <w:p w14:paraId="29F1F3D4" w14:textId="47AA57EE" w:rsidR="00CA0FD9" w:rsidRPr="00BE7856" w:rsidRDefault="00CA0FD9" w:rsidP="00414921">
      <w:pPr>
        <w:rPr>
          <w:rFonts w:ascii="Arial" w:hAnsi="Arial" w:cs="Arial"/>
          <w:sz w:val="24"/>
          <w:szCs w:val="24"/>
        </w:rPr>
      </w:pPr>
      <w:r>
        <w:rPr>
          <w:rFonts w:ascii="Arial" w:hAnsi="Arial" w:cs="Arial"/>
          <w:sz w:val="24"/>
          <w:szCs w:val="24"/>
        </w:rPr>
        <w:t>T</w:t>
      </w:r>
      <w:r w:rsidR="009E6911">
        <w:rPr>
          <w:rFonts w:ascii="Arial" w:hAnsi="Arial" w:cs="Arial"/>
          <w:sz w:val="24"/>
          <w:szCs w:val="24"/>
        </w:rPr>
        <w:t>he Bill</w:t>
      </w:r>
      <w:r>
        <w:rPr>
          <w:rFonts w:ascii="Arial" w:hAnsi="Arial" w:cs="Arial"/>
          <w:sz w:val="24"/>
          <w:szCs w:val="24"/>
        </w:rPr>
        <w:t xml:space="preserve"> also</w:t>
      </w:r>
      <w:r w:rsidR="00B85B3D" w:rsidRPr="00BE7856">
        <w:rPr>
          <w:rFonts w:ascii="Arial" w:hAnsi="Arial" w:cs="Arial"/>
          <w:sz w:val="24"/>
          <w:szCs w:val="24"/>
        </w:rPr>
        <w:t xml:space="preserve"> clarif</w:t>
      </w:r>
      <w:r w:rsidR="009E6911">
        <w:rPr>
          <w:rFonts w:ascii="Arial" w:hAnsi="Arial" w:cs="Arial"/>
          <w:sz w:val="24"/>
          <w:szCs w:val="24"/>
        </w:rPr>
        <w:t>ies</w:t>
      </w:r>
      <w:r w:rsidR="00B85B3D" w:rsidRPr="00BE7856">
        <w:rPr>
          <w:rFonts w:ascii="Arial" w:hAnsi="Arial" w:cs="Arial"/>
          <w:sz w:val="24"/>
          <w:szCs w:val="24"/>
        </w:rPr>
        <w:t xml:space="preserve"> that where the </w:t>
      </w:r>
      <w:r w:rsidR="001802A2">
        <w:rPr>
          <w:rFonts w:ascii="Arial" w:hAnsi="Arial" w:cs="Arial"/>
          <w:sz w:val="24"/>
          <w:szCs w:val="24"/>
        </w:rPr>
        <w:t xml:space="preserve">landlord </w:t>
      </w:r>
      <w:r w:rsidR="00B85B3D" w:rsidRPr="00BE7856">
        <w:rPr>
          <w:rFonts w:ascii="Arial" w:hAnsi="Arial" w:cs="Arial"/>
          <w:sz w:val="24"/>
          <w:szCs w:val="24"/>
        </w:rPr>
        <w:t xml:space="preserve">transitions any appliances from gas to electric during the course of the tenancy, this does not constitute a failure to maintain the premises in the same condition as at the start of the tenancy nor an interference with the tenant’s quiet enjoyment of the property. </w:t>
      </w:r>
      <w:r w:rsidR="009E6911">
        <w:rPr>
          <w:rFonts w:ascii="Arial" w:hAnsi="Arial" w:cs="Arial"/>
          <w:sz w:val="24"/>
          <w:szCs w:val="24"/>
        </w:rPr>
        <w:t>The tenant will not be entitled to seek a rent reduction only on this basis</w:t>
      </w:r>
      <w:r w:rsidR="00231EE1">
        <w:rPr>
          <w:rFonts w:ascii="Arial" w:hAnsi="Arial" w:cs="Arial"/>
          <w:sz w:val="24"/>
          <w:szCs w:val="24"/>
        </w:rPr>
        <w:t>,</w:t>
      </w:r>
      <w:r w:rsidR="009E6911">
        <w:rPr>
          <w:rFonts w:ascii="Arial" w:hAnsi="Arial" w:cs="Arial"/>
          <w:sz w:val="24"/>
          <w:szCs w:val="24"/>
        </w:rPr>
        <w:t xml:space="preserve"> unless </w:t>
      </w:r>
      <w:r w:rsidR="003E7160">
        <w:rPr>
          <w:rFonts w:ascii="Arial" w:hAnsi="Arial" w:cs="Arial"/>
          <w:sz w:val="24"/>
          <w:szCs w:val="24"/>
        </w:rPr>
        <w:t xml:space="preserve">the </w:t>
      </w:r>
      <w:r w:rsidR="002969A6">
        <w:rPr>
          <w:rFonts w:ascii="Arial" w:hAnsi="Arial" w:cs="Arial"/>
          <w:sz w:val="24"/>
          <w:szCs w:val="24"/>
        </w:rPr>
        <w:t>ACT Civil and Administrative Tribunal (</w:t>
      </w:r>
      <w:r w:rsidR="003E7160" w:rsidRPr="002969A6">
        <w:rPr>
          <w:rFonts w:ascii="Arial" w:hAnsi="Arial" w:cs="Arial"/>
          <w:b/>
          <w:bCs/>
          <w:sz w:val="24"/>
          <w:szCs w:val="24"/>
        </w:rPr>
        <w:t>ACAT</w:t>
      </w:r>
      <w:r w:rsidR="002969A6">
        <w:rPr>
          <w:rFonts w:ascii="Arial" w:hAnsi="Arial" w:cs="Arial"/>
          <w:sz w:val="24"/>
          <w:szCs w:val="24"/>
        </w:rPr>
        <w:t>)</w:t>
      </w:r>
      <w:r w:rsidR="003E7160">
        <w:rPr>
          <w:rFonts w:ascii="Arial" w:hAnsi="Arial" w:cs="Arial"/>
          <w:sz w:val="24"/>
          <w:szCs w:val="24"/>
        </w:rPr>
        <w:t xml:space="preserve"> is satisfied th</w:t>
      </w:r>
      <w:r w:rsidR="00231EE1">
        <w:rPr>
          <w:rFonts w:ascii="Arial" w:hAnsi="Arial" w:cs="Arial"/>
          <w:sz w:val="24"/>
          <w:szCs w:val="24"/>
        </w:rPr>
        <w:t>at the steps taken by the landlord when transitioning away from gas are unreasonable or impractical in the</w:t>
      </w:r>
      <w:r w:rsidR="009E6911">
        <w:rPr>
          <w:rFonts w:ascii="Arial" w:hAnsi="Arial" w:cs="Arial"/>
          <w:sz w:val="24"/>
          <w:szCs w:val="24"/>
        </w:rPr>
        <w:t xml:space="preserve"> circumstances.</w:t>
      </w:r>
    </w:p>
    <w:p w14:paraId="74151E8B" w14:textId="347CA917" w:rsidR="008F01B4" w:rsidRPr="00BE7856" w:rsidRDefault="008F01B4" w:rsidP="00414921">
      <w:pPr>
        <w:rPr>
          <w:rFonts w:ascii="Arial" w:hAnsi="Arial" w:cs="Arial"/>
          <w:sz w:val="24"/>
          <w:szCs w:val="24"/>
        </w:rPr>
      </w:pPr>
      <w:r w:rsidRPr="00BE7856">
        <w:rPr>
          <w:rFonts w:ascii="Arial" w:hAnsi="Arial" w:cs="Arial"/>
          <w:iCs/>
          <w:color w:val="000000" w:themeColor="text1"/>
          <w:sz w:val="24"/>
          <w:szCs w:val="24"/>
        </w:rPr>
        <w:t>B</w:t>
      </w:r>
      <w:r w:rsidRPr="00BE7856">
        <w:rPr>
          <w:rFonts w:ascii="Arial" w:hAnsi="Arial" w:cs="Arial"/>
          <w:iCs/>
          <w:sz w:val="24"/>
          <w:szCs w:val="24"/>
        </w:rPr>
        <w:t xml:space="preserve">y removing barriers to </w:t>
      </w:r>
      <w:r w:rsidR="009F3E13">
        <w:rPr>
          <w:rFonts w:ascii="Arial" w:hAnsi="Arial" w:cs="Arial"/>
          <w:iCs/>
          <w:sz w:val="24"/>
          <w:szCs w:val="24"/>
        </w:rPr>
        <w:t>landlords</w:t>
      </w:r>
      <w:r w:rsidR="009F3E13" w:rsidRPr="00BE7856">
        <w:rPr>
          <w:rFonts w:ascii="Arial" w:hAnsi="Arial" w:cs="Arial"/>
          <w:iCs/>
          <w:sz w:val="24"/>
          <w:szCs w:val="24"/>
        </w:rPr>
        <w:t xml:space="preserve"> </w:t>
      </w:r>
      <w:r w:rsidRPr="00BE7856">
        <w:rPr>
          <w:rFonts w:ascii="Arial" w:hAnsi="Arial" w:cs="Arial"/>
          <w:iCs/>
          <w:sz w:val="24"/>
          <w:szCs w:val="24"/>
        </w:rPr>
        <w:t>transitioning rental properties off gas</w:t>
      </w:r>
      <w:r w:rsidRPr="00BE7856">
        <w:rPr>
          <w:rFonts w:ascii="Arial" w:hAnsi="Arial" w:cs="Arial"/>
          <w:color w:val="000000" w:themeColor="text1"/>
          <w:sz w:val="24"/>
          <w:szCs w:val="24"/>
        </w:rPr>
        <w:t xml:space="preserve">, this </w:t>
      </w:r>
      <w:r w:rsidRPr="00BE7856">
        <w:rPr>
          <w:rFonts w:ascii="Arial" w:hAnsi="Arial" w:cs="Arial"/>
          <w:sz w:val="24"/>
          <w:szCs w:val="24"/>
        </w:rPr>
        <w:t>proposal</w:t>
      </w:r>
      <w:r w:rsidRPr="00BE7856">
        <w:rPr>
          <w:rFonts w:ascii="Arial" w:hAnsi="Arial" w:cs="Arial"/>
          <w:color w:val="000000" w:themeColor="text1"/>
          <w:sz w:val="24"/>
          <w:szCs w:val="24"/>
        </w:rPr>
        <w:t xml:space="preserve"> supports emissions reduction</w:t>
      </w:r>
      <w:r w:rsidR="003E7160">
        <w:rPr>
          <w:rFonts w:ascii="Arial" w:hAnsi="Arial" w:cs="Arial"/>
          <w:color w:val="000000" w:themeColor="text1"/>
          <w:sz w:val="24"/>
          <w:szCs w:val="24"/>
        </w:rPr>
        <w:t xml:space="preserve"> and has a positive impact on climate change</w:t>
      </w:r>
      <w:r w:rsidRPr="00BE7856">
        <w:rPr>
          <w:rFonts w:ascii="Arial" w:hAnsi="Arial" w:cs="Arial"/>
          <w:color w:val="000000" w:themeColor="text1"/>
          <w:sz w:val="24"/>
          <w:szCs w:val="24"/>
        </w:rPr>
        <w:t>.</w:t>
      </w:r>
    </w:p>
    <w:p w14:paraId="1A2BA5E1" w14:textId="6E3769AB" w:rsidR="00790FE4" w:rsidRDefault="00503AAB" w:rsidP="008C225D">
      <w:pPr>
        <w:pStyle w:val="Heading2"/>
      </w:pPr>
      <w:r>
        <w:t xml:space="preserve">CONSISTENCY WITH </w:t>
      </w:r>
      <w:r w:rsidR="00790FE4" w:rsidRPr="008C225D">
        <w:t>HUMAN RIGHTS</w:t>
      </w:r>
    </w:p>
    <w:p w14:paraId="1918D628" w14:textId="77777777" w:rsidR="00C753C2" w:rsidRDefault="00C753C2" w:rsidP="007D660F">
      <w:pPr>
        <w:rPr>
          <w:rFonts w:ascii="Arial" w:hAnsi="Arial" w:cs="Arial"/>
          <w:b/>
          <w:bCs/>
          <w:iCs/>
          <w:sz w:val="24"/>
          <w:szCs w:val="24"/>
        </w:rPr>
      </w:pPr>
      <w:r w:rsidRPr="00414921">
        <w:rPr>
          <w:rFonts w:ascii="Arial" w:hAnsi="Arial" w:cs="Arial"/>
          <w:b/>
          <w:bCs/>
          <w:iCs/>
          <w:sz w:val="24"/>
          <w:szCs w:val="24"/>
        </w:rPr>
        <w:t>Rights engaged</w:t>
      </w:r>
    </w:p>
    <w:p w14:paraId="3A84D3EB" w14:textId="2D3580D6" w:rsidR="003A58C9" w:rsidRPr="003A58C9" w:rsidRDefault="003A58C9" w:rsidP="003A58C9">
      <w:pPr>
        <w:rPr>
          <w:rFonts w:ascii="Arial" w:hAnsi="Arial" w:cs="Arial"/>
          <w:iCs/>
          <w:sz w:val="24"/>
          <w:szCs w:val="24"/>
        </w:rPr>
      </w:pPr>
      <w:r w:rsidRPr="003A58C9">
        <w:rPr>
          <w:rFonts w:ascii="Arial" w:hAnsi="Arial" w:cs="Arial"/>
          <w:iCs/>
          <w:sz w:val="24"/>
          <w:szCs w:val="24"/>
        </w:rPr>
        <w:t xml:space="preserve">The Bill engages the following right under the </w:t>
      </w:r>
      <w:r w:rsidR="00104218">
        <w:rPr>
          <w:rFonts w:ascii="Arial" w:hAnsi="Arial" w:cs="Arial"/>
          <w:i/>
          <w:sz w:val="24"/>
          <w:szCs w:val="24"/>
        </w:rPr>
        <w:t>Human Rights Act 200</w:t>
      </w:r>
      <w:r w:rsidR="0049366A">
        <w:rPr>
          <w:rFonts w:ascii="Arial" w:hAnsi="Arial" w:cs="Arial"/>
          <w:i/>
          <w:sz w:val="24"/>
          <w:szCs w:val="24"/>
        </w:rPr>
        <w:t>4</w:t>
      </w:r>
      <w:r w:rsidR="00104218">
        <w:rPr>
          <w:rFonts w:ascii="Arial" w:hAnsi="Arial" w:cs="Arial"/>
          <w:i/>
          <w:sz w:val="24"/>
          <w:szCs w:val="24"/>
        </w:rPr>
        <w:t xml:space="preserve"> </w:t>
      </w:r>
      <w:r w:rsidR="00104218">
        <w:rPr>
          <w:rFonts w:ascii="Arial" w:hAnsi="Arial" w:cs="Arial"/>
          <w:iCs/>
          <w:sz w:val="24"/>
          <w:szCs w:val="24"/>
        </w:rPr>
        <w:t>(</w:t>
      </w:r>
      <w:r w:rsidRPr="003A58C9">
        <w:rPr>
          <w:rFonts w:ascii="Arial" w:hAnsi="Arial" w:cs="Arial"/>
          <w:iCs/>
          <w:sz w:val="24"/>
          <w:szCs w:val="24"/>
        </w:rPr>
        <w:t>HR</w:t>
      </w:r>
      <w:r w:rsidR="00322464">
        <w:rPr>
          <w:rFonts w:ascii="Arial" w:hAnsi="Arial" w:cs="Arial"/>
          <w:iCs/>
          <w:sz w:val="24"/>
          <w:szCs w:val="24"/>
        </w:rPr>
        <w:t xml:space="preserve"> </w:t>
      </w:r>
      <w:r w:rsidRPr="003A58C9">
        <w:rPr>
          <w:rFonts w:ascii="Arial" w:hAnsi="Arial" w:cs="Arial"/>
          <w:iCs/>
          <w:sz w:val="24"/>
          <w:szCs w:val="24"/>
        </w:rPr>
        <w:t>A</w:t>
      </w:r>
      <w:r w:rsidR="00322464">
        <w:rPr>
          <w:rFonts w:ascii="Arial" w:hAnsi="Arial" w:cs="Arial"/>
          <w:iCs/>
          <w:sz w:val="24"/>
          <w:szCs w:val="24"/>
        </w:rPr>
        <w:t>ct</w:t>
      </w:r>
      <w:r w:rsidR="00104218">
        <w:rPr>
          <w:rFonts w:ascii="Arial" w:hAnsi="Arial" w:cs="Arial"/>
          <w:iCs/>
          <w:sz w:val="24"/>
          <w:szCs w:val="24"/>
        </w:rPr>
        <w:t>)</w:t>
      </w:r>
      <w:r w:rsidRPr="003A58C9">
        <w:rPr>
          <w:rFonts w:ascii="Arial" w:hAnsi="Arial" w:cs="Arial"/>
          <w:iCs/>
          <w:sz w:val="24"/>
          <w:szCs w:val="24"/>
        </w:rPr>
        <w:t>:</w:t>
      </w:r>
    </w:p>
    <w:p w14:paraId="1A169C08" w14:textId="3B569DF8" w:rsidR="00B032DC" w:rsidRDefault="004F070D" w:rsidP="00B032DC">
      <w:pPr>
        <w:numPr>
          <w:ilvl w:val="0"/>
          <w:numId w:val="8"/>
        </w:numPr>
        <w:rPr>
          <w:rFonts w:ascii="Arial" w:hAnsi="Arial" w:cs="Arial"/>
          <w:iCs/>
          <w:sz w:val="24"/>
          <w:szCs w:val="24"/>
        </w:rPr>
      </w:pPr>
      <w:r>
        <w:rPr>
          <w:rFonts w:ascii="Arial" w:hAnsi="Arial" w:cs="Arial"/>
          <w:iCs/>
          <w:sz w:val="24"/>
          <w:szCs w:val="24"/>
        </w:rPr>
        <w:t xml:space="preserve">Right to healthy environment </w:t>
      </w:r>
      <w:r w:rsidR="004530EE">
        <w:rPr>
          <w:rFonts w:ascii="Arial" w:hAnsi="Arial" w:cs="Arial"/>
          <w:iCs/>
          <w:sz w:val="24"/>
          <w:szCs w:val="24"/>
        </w:rPr>
        <w:t xml:space="preserve">(section 27C) </w:t>
      </w:r>
      <w:r>
        <w:rPr>
          <w:rFonts w:ascii="Arial" w:hAnsi="Arial" w:cs="Arial"/>
          <w:iCs/>
          <w:sz w:val="24"/>
          <w:szCs w:val="24"/>
        </w:rPr>
        <w:t>(promoted)</w:t>
      </w:r>
      <w:r w:rsidR="004D65C1">
        <w:rPr>
          <w:rFonts w:ascii="Arial" w:hAnsi="Arial" w:cs="Arial"/>
          <w:iCs/>
          <w:sz w:val="24"/>
          <w:szCs w:val="24"/>
        </w:rPr>
        <w:t>.</w:t>
      </w:r>
    </w:p>
    <w:p w14:paraId="56D5AAAF" w14:textId="0EB6475E" w:rsidR="00BC3EF0" w:rsidRDefault="00BC3EF0" w:rsidP="00414921">
      <w:pPr>
        <w:rPr>
          <w:rFonts w:ascii="Arial" w:hAnsi="Arial" w:cs="Arial"/>
          <w:b/>
          <w:bCs/>
          <w:i/>
          <w:sz w:val="24"/>
          <w:szCs w:val="24"/>
        </w:rPr>
      </w:pPr>
      <w:r w:rsidRPr="00BC3EF0">
        <w:rPr>
          <w:rFonts w:ascii="Arial" w:hAnsi="Arial" w:cs="Arial"/>
          <w:b/>
          <w:bCs/>
          <w:i/>
          <w:sz w:val="24"/>
          <w:szCs w:val="24"/>
        </w:rPr>
        <w:t>Rights Promoted</w:t>
      </w:r>
    </w:p>
    <w:p w14:paraId="6C809F12" w14:textId="739FF7F6" w:rsidR="00071E27" w:rsidRPr="005761C2" w:rsidRDefault="00071E27" w:rsidP="00414921">
      <w:pPr>
        <w:rPr>
          <w:rFonts w:ascii="Arial" w:hAnsi="Arial" w:cs="Arial"/>
          <w:iCs/>
          <w:sz w:val="24"/>
          <w:szCs w:val="24"/>
          <w:u w:val="single"/>
        </w:rPr>
      </w:pPr>
      <w:r w:rsidRPr="005761C2">
        <w:rPr>
          <w:rFonts w:ascii="Arial" w:hAnsi="Arial" w:cs="Arial"/>
          <w:iCs/>
          <w:sz w:val="24"/>
          <w:szCs w:val="24"/>
          <w:u w:val="single"/>
        </w:rPr>
        <w:t xml:space="preserve">Right to healthy environment </w:t>
      </w:r>
      <w:r w:rsidR="00D033E2" w:rsidRPr="005761C2">
        <w:rPr>
          <w:rFonts w:ascii="Arial" w:hAnsi="Arial" w:cs="Arial"/>
          <w:iCs/>
          <w:sz w:val="24"/>
          <w:szCs w:val="24"/>
          <w:u w:val="single"/>
        </w:rPr>
        <w:t>–</w:t>
      </w:r>
      <w:r w:rsidRPr="005761C2">
        <w:rPr>
          <w:rFonts w:ascii="Arial" w:hAnsi="Arial" w:cs="Arial"/>
          <w:iCs/>
          <w:sz w:val="24"/>
          <w:szCs w:val="24"/>
          <w:u w:val="single"/>
        </w:rPr>
        <w:t xml:space="preserve"> </w:t>
      </w:r>
      <w:r w:rsidR="00D033E2" w:rsidRPr="005761C2">
        <w:rPr>
          <w:rFonts w:ascii="Arial" w:hAnsi="Arial" w:cs="Arial"/>
          <w:iCs/>
          <w:sz w:val="24"/>
          <w:szCs w:val="24"/>
          <w:u w:val="single"/>
        </w:rPr>
        <w:t xml:space="preserve">residential tenancy </w:t>
      </w:r>
      <w:r w:rsidR="005761C2" w:rsidRPr="005761C2">
        <w:rPr>
          <w:rFonts w:ascii="Arial" w:hAnsi="Arial" w:cs="Arial"/>
          <w:iCs/>
          <w:sz w:val="24"/>
          <w:szCs w:val="24"/>
          <w:u w:val="single"/>
        </w:rPr>
        <w:t>amendments</w:t>
      </w:r>
    </w:p>
    <w:p w14:paraId="288FF6CD" w14:textId="26AF73AA" w:rsidR="00774B93" w:rsidRDefault="00774B93" w:rsidP="00414921">
      <w:pPr>
        <w:rPr>
          <w:rFonts w:ascii="Arial" w:hAnsi="Arial" w:cs="Arial"/>
          <w:iCs/>
          <w:sz w:val="24"/>
          <w:szCs w:val="24"/>
        </w:rPr>
      </w:pPr>
      <w:r w:rsidRPr="00774B93">
        <w:rPr>
          <w:rFonts w:ascii="Arial" w:hAnsi="Arial" w:cs="Arial"/>
          <w:iCs/>
          <w:sz w:val="24"/>
          <w:szCs w:val="24"/>
        </w:rPr>
        <w:lastRenderedPageBreak/>
        <w:t>The right to a healthy environment was recognised by the United Nations (</w:t>
      </w:r>
      <w:r w:rsidRPr="005D5D9B">
        <w:rPr>
          <w:rFonts w:ascii="Arial" w:hAnsi="Arial" w:cs="Arial"/>
          <w:b/>
          <w:bCs/>
          <w:iCs/>
          <w:sz w:val="24"/>
          <w:szCs w:val="24"/>
        </w:rPr>
        <w:t>UN</w:t>
      </w:r>
      <w:r w:rsidRPr="00774B93">
        <w:rPr>
          <w:rFonts w:ascii="Arial" w:hAnsi="Arial" w:cs="Arial"/>
          <w:iCs/>
          <w:sz w:val="24"/>
          <w:szCs w:val="24"/>
        </w:rPr>
        <w:t>) General Assembly when it adopted a resolution to declare access to a clean, healthy and sustainable environment to be a universal human right</w:t>
      </w:r>
      <w:r>
        <w:rPr>
          <w:rFonts w:ascii="Arial" w:hAnsi="Arial" w:cs="Arial"/>
          <w:iCs/>
          <w:sz w:val="24"/>
          <w:szCs w:val="24"/>
        </w:rPr>
        <w:t>.</w:t>
      </w:r>
      <w:r>
        <w:rPr>
          <w:rStyle w:val="FootnoteReference"/>
          <w:rFonts w:ascii="Arial" w:hAnsi="Arial"/>
          <w:iCs/>
          <w:sz w:val="24"/>
          <w:szCs w:val="24"/>
        </w:rPr>
        <w:footnoteReference w:id="3"/>
      </w:r>
      <w:r w:rsidRPr="00774B93">
        <w:rPr>
          <w:rFonts w:ascii="Arial" w:hAnsi="Arial" w:cs="Arial"/>
          <w:iCs/>
          <w:sz w:val="24"/>
          <w:szCs w:val="24"/>
        </w:rPr>
        <w:t xml:space="preserve"> The right recognises that a clean, healthy and sustainable environment is necessary for the full enjoyment of a vast range of fundamental human rights under international law, including the rights to life, health, food, water and development.</w:t>
      </w:r>
    </w:p>
    <w:p w14:paraId="7FCC644D" w14:textId="45C9EEEB" w:rsidR="00B85B3D" w:rsidRDefault="00B85B3D" w:rsidP="00414921">
      <w:pPr>
        <w:rPr>
          <w:rFonts w:ascii="Arial" w:hAnsi="Arial" w:cs="Arial"/>
          <w:iCs/>
          <w:sz w:val="24"/>
          <w:szCs w:val="24"/>
        </w:rPr>
      </w:pPr>
      <w:r w:rsidRPr="00B85B3D">
        <w:rPr>
          <w:rFonts w:ascii="Arial" w:hAnsi="Arial" w:cs="Arial"/>
          <w:iCs/>
          <w:sz w:val="24"/>
          <w:szCs w:val="24"/>
        </w:rPr>
        <w:t>The right to a healthy environment has been defined to comprise the following six substantive elements: clean air, a safe climate, access to safe water and adequate sanitation, healthy and sustainably produced food</w:t>
      </w:r>
      <w:r>
        <w:rPr>
          <w:rFonts w:ascii="Arial" w:hAnsi="Arial" w:cs="Arial"/>
          <w:iCs/>
          <w:sz w:val="24"/>
          <w:szCs w:val="24"/>
        </w:rPr>
        <w:t>,</w:t>
      </w:r>
      <w:r w:rsidRPr="00B85B3D">
        <w:rPr>
          <w:rFonts w:ascii="Arial" w:hAnsi="Arial" w:cs="Arial"/>
          <w:iCs/>
          <w:sz w:val="24"/>
          <w:szCs w:val="24"/>
        </w:rPr>
        <w:t xml:space="preserve"> non-toxic environments in which to live, work, study and play, and healthy biodiversity and eco-systems.</w:t>
      </w:r>
    </w:p>
    <w:p w14:paraId="0FB905FF" w14:textId="434D0CA9" w:rsidR="00BE7856" w:rsidRDefault="00BE7856" w:rsidP="00414921">
      <w:pPr>
        <w:rPr>
          <w:rFonts w:ascii="Arial" w:hAnsi="Arial" w:cs="Arial"/>
          <w:iCs/>
          <w:sz w:val="24"/>
          <w:szCs w:val="24"/>
        </w:rPr>
      </w:pPr>
      <w:r w:rsidRPr="00774B93">
        <w:rPr>
          <w:rFonts w:ascii="Arial" w:hAnsi="Arial" w:cs="Arial"/>
          <w:iCs/>
          <w:sz w:val="24"/>
          <w:szCs w:val="24"/>
        </w:rPr>
        <w:t xml:space="preserve">The amendments </w:t>
      </w:r>
      <w:r>
        <w:rPr>
          <w:rFonts w:ascii="Arial" w:hAnsi="Arial" w:cs="Arial"/>
          <w:iCs/>
          <w:sz w:val="24"/>
          <w:szCs w:val="24"/>
        </w:rPr>
        <w:t xml:space="preserve">to the RTA </w:t>
      </w:r>
      <w:r w:rsidR="00201B52">
        <w:rPr>
          <w:rFonts w:ascii="Arial" w:hAnsi="Arial" w:cs="Arial"/>
          <w:iCs/>
          <w:sz w:val="24"/>
          <w:szCs w:val="24"/>
        </w:rPr>
        <w:t>promote</w:t>
      </w:r>
      <w:r>
        <w:rPr>
          <w:rFonts w:ascii="Arial" w:hAnsi="Arial" w:cs="Arial"/>
          <w:iCs/>
          <w:sz w:val="24"/>
          <w:szCs w:val="24"/>
        </w:rPr>
        <w:t xml:space="preserve"> the right to healthy environment by supporting </w:t>
      </w:r>
      <w:r w:rsidR="009F3E13">
        <w:rPr>
          <w:rFonts w:ascii="Arial" w:hAnsi="Arial" w:cs="Arial"/>
          <w:iCs/>
          <w:sz w:val="24"/>
          <w:szCs w:val="24"/>
        </w:rPr>
        <w:t xml:space="preserve">landlords </w:t>
      </w:r>
      <w:r>
        <w:rPr>
          <w:rFonts w:ascii="Arial" w:hAnsi="Arial" w:cs="Arial"/>
          <w:iCs/>
          <w:sz w:val="24"/>
          <w:szCs w:val="24"/>
        </w:rPr>
        <w:t>transitioning from gas to electric appliances during a tenancy</w:t>
      </w:r>
      <w:r w:rsidR="00963963">
        <w:rPr>
          <w:rFonts w:ascii="Arial" w:hAnsi="Arial" w:cs="Arial"/>
          <w:iCs/>
          <w:sz w:val="24"/>
          <w:szCs w:val="24"/>
        </w:rPr>
        <w:t xml:space="preserve"> and removing requirements on </w:t>
      </w:r>
      <w:r w:rsidR="009F3E13">
        <w:rPr>
          <w:rFonts w:ascii="Arial" w:hAnsi="Arial" w:cs="Arial"/>
          <w:iCs/>
          <w:sz w:val="24"/>
          <w:szCs w:val="24"/>
        </w:rPr>
        <w:t>landlords</w:t>
      </w:r>
      <w:r w:rsidR="009F3E13" w:rsidRPr="00963963">
        <w:rPr>
          <w:rFonts w:ascii="Arial" w:hAnsi="Arial" w:cs="Arial"/>
          <w:iCs/>
          <w:sz w:val="24"/>
          <w:szCs w:val="24"/>
        </w:rPr>
        <w:t xml:space="preserve"> </w:t>
      </w:r>
      <w:r w:rsidR="00963963" w:rsidRPr="00963963">
        <w:rPr>
          <w:rFonts w:ascii="Arial" w:hAnsi="Arial" w:cs="Arial"/>
          <w:iCs/>
          <w:sz w:val="24"/>
          <w:szCs w:val="24"/>
        </w:rPr>
        <w:t xml:space="preserve">to </w:t>
      </w:r>
      <w:r w:rsidR="00963963" w:rsidRPr="00963963">
        <w:rPr>
          <w:rFonts w:ascii="Arial" w:hAnsi="Arial" w:cs="Arial"/>
          <w:sz w:val="24"/>
          <w:szCs w:val="24"/>
        </w:rPr>
        <w:t>provide a gas connection to a rental property when there are no longer any gas reliant appliances at the property</w:t>
      </w:r>
      <w:r w:rsidRPr="00963963">
        <w:rPr>
          <w:rFonts w:ascii="Arial" w:hAnsi="Arial" w:cs="Arial"/>
          <w:iCs/>
          <w:sz w:val="24"/>
          <w:szCs w:val="24"/>
        </w:rPr>
        <w:t>. Fossil</w:t>
      </w:r>
      <w:r w:rsidRPr="00BE7856">
        <w:rPr>
          <w:rFonts w:ascii="Arial" w:hAnsi="Arial" w:cs="Arial"/>
          <w:iCs/>
          <w:sz w:val="24"/>
          <w:szCs w:val="24"/>
        </w:rPr>
        <w:t xml:space="preserve"> fuels are</w:t>
      </w:r>
      <w:r>
        <w:rPr>
          <w:rFonts w:ascii="Arial" w:hAnsi="Arial" w:cs="Arial"/>
          <w:iCs/>
          <w:sz w:val="24"/>
          <w:szCs w:val="24"/>
        </w:rPr>
        <w:t xml:space="preserve"> widely considered</w:t>
      </w:r>
      <w:r w:rsidRPr="00BE7856">
        <w:rPr>
          <w:rFonts w:ascii="Arial" w:hAnsi="Arial" w:cs="Arial"/>
          <w:iCs/>
          <w:sz w:val="24"/>
          <w:szCs w:val="24"/>
        </w:rPr>
        <w:t xml:space="preserve"> the largest contributor to climate change, are a finite resource and negatively impact community health and wellbeing.</w:t>
      </w:r>
      <w:r>
        <w:rPr>
          <w:rStyle w:val="FootnoteReference"/>
          <w:rFonts w:ascii="Arial" w:hAnsi="Arial"/>
          <w:iCs/>
          <w:sz w:val="24"/>
          <w:szCs w:val="24"/>
        </w:rPr>
        <w:footnoteReference w:id="4"/>
      </w:r>
      <w:r>
        <w:rPr>
          <w:rFonts w:ascii="Arial" w:hAnsi="Arial" w:cs="Arial"/>
          <w:iCs/>
          <w:sz w:val="24"/>
          <w:szCs w:val="24"/>
        </w:rPr>
        <w:t xml:space="preserve"> </w:t>
      </w:r>
      <w:r w:rsidRPr="00BE7856">
        <w:rPr>
          <w:rFonts w:ascii="Arial" w:hAnsi="Arial" w:cs="Arial"/>
          <w:iCs/>
          <w:sz w:val="24"/>
          <w:szCs w:val="24"/>
        </w:rPr>
        <w:t>Household electrificatio</w:t>
      </w:r>
      <w:r>
        <w:rPr>
          <w:rFonts w:ascii="Arial" w:hAnsi="Arial" w:cs="Arial"/>
          <w:iCs/>
          <w:sz w:val="24"/>
          <w:szCs w:val="24"/>
        </w:rPr>
        <w:t xml:space="preserve">n </w:t>
      </w:r>
      <w:r w:rsidRPr="00BE7856">
        <w:rPr>
          <w:rFonts w:ascii="Arial" w:hAnsi="Arial" w:cs="Arial"/>
          <w:iCs/>
          <w:sz w:val="24"/>
          <w:szCs w:val="24"/>
        </w:rPr>
        <w:t>help</w:t>
      </w:r>
      <w:r w:rsidR="00972848">
        <w:rPr>
          <w:rFonts w:ascii="Arial" w:hAnsi="Arial" w:cs="Arial"/>
          <w:iCs/>
          <w:sz w:val="24"/>
          <w:szCs w:val="24"/>
        </w:rPr>
        <w:t>s the ACT community</w:t>
      </w:r>
      <w:r w:rsidRPr="00BE7856">
        <w:rPr>
          <w:rFonts w:ascii="Arial" w:hAnsi="Arial" w:cs="Arial"/>
          <w:iCs/>
          <w:sz w:val="24"/>
          <w:szCs w:val="24"/>
        </w:rPr>
        <w:t xml:space="preserve"> adapt to</w:t>
      </w:r>
      <w:r>
        <w:rPr>
          <w:rFonts w:ascii="Arial" w:hAnsi="Arial" w:cs="Arial"/>
          <w:iCs/>
          <w:sz w:val="24"/>
          <w:szCs w:val="24"/>
        </w:rPr>
        <w:t xml:space="preserve"> the</w:t>
      </w:r>
      <w:r w:rsidRPr="00BE7856">
        <w:rPr>
          <w:rFonts w:ascii="Arial" w:hAnsi="Arial" w:cs="Arial"/>
          <w:iCs/>
          <w:sz w:val="24"/>
          <w:szCs w:val="24"/>
        </w:rPr>
        <w:t xml:space="preserve"> changing environment</w:t>
      </w:r>
      <w:r>
        <w:rPr>
          <w:rFonts w:ascii="Arial" w:hAnsi="Arial" w:cs="Arial"/>
          <w:iCs/>
          <w:sz w:val="24"/>
          <w:szCs w:val="24"/>
        </w:rPr>
        <w:t xml:space="preserve"> and reduce</w:t>
      </w:r>
      <w:r w:rsidR="009F3E13">
        <w:rPr>
          <w:rFonts w:ascii="Arial" w:hAnsi="Arial" w:cs="Arial"/>
          <w:iCs/>
          <w:sz w:val="24"/>
          <w:szCs w:val="24"/>
        </w:rPr>
        <w:t>s</w:t>
      </w:r>
      <w:r>
        <w:rPr>
          <w:rFonts w:ascii="Arial" w:hAnsi="Arial" w:cs="Arial"/>
          <w:iCs/>
          <w:sz w:val="24"/>
          <w:szCs w:val="24"/>
        </w:rPr>
        <w:t xml:space="preserve"> impacts on climate change.</w:t>
      </w:r>
      <w:r w:rsidR="00201B52">
        <w:rPr>
          <w:rFonts w:ascii="Arial" w:hAnsi="Arial" w:cs="Arial"/>
          <w:iCs/>
          <w:sz w:val="24"/>
          <w:szCs w:val="24"/>
        </w:rPr>
        <w:t xml:space="preserve"> As the amendments support this move away from fossil fuels, the RTA amendments promote the right to healthy environment.</w:t>
      </w:r>
    </w:p>
    <w:p w14:paraId="7C183696" w14:textId="77777777" w:rsidR="00A5201D" w:rsidRDefault="00A5201D" w:rsidP="00E574DD">
      <w:pPr>
        <w:pStyle w:val="Heading2"/>
        <w:ind w:left="-108"/>
        <w:jc w:val="center"/>
        <w:rPr>
          <w:rFonts w:asciiTheme="minorHAnsi" w:hAnsiTheme="minorHAnsi" w:cs="Arial"/>
          <w:b w:val="0"/>
          <w:sz w:val="28"/>
          <w:szCs w:val="28"/>
          <w:lang w:eastAsia="en-AU"/>
        </w:rPr>
      </w:pPr>
      <w:bookmarkStart w:id="0" w:name="OLE_LINK1"/>
    </w:p>
    <w:p w14:paraId="082FE8C6" w14:textId="77777777" w:rsidR="00C54E32" w:rsidRDefault="00C54E32">
      <w:pPr>
        <w:spacing w:after="0" w:line="240" w:lineRule="auto"/>
        <w:rPr>
          <w:rFonts w:asciiTheme="minorHAnsi" w:eastAsiaTheme="majorEastAsia" w:hAnsiTheme="minorHAnsi" w:cs="Arial"/>
          <w:sz w:val="28"/>
          <w:szCs w:val="28"/>
          <w:lang w:eastAsia="en-AU"/>
        </w:rPr>
      </w:pPr>
      <w:r>
        <w:rPr>
          <w:rFonts w:asciiTheme="minorHAnsi" w:hAnsiTheme="minorHAnsi" w:cs="Arial"/>
          <w:b/>
          <w:sz w:val="28"/>
          <w:szCs w:val="28"/>
          <w:lang w:eastAsia="en-AU"/>
        </w:rPr>
        <w:br w:type="page"/>
      </w:r>
    </w:p>
    <w:p w14:paraId="79AD90A2" w14:textId="664A4099" w:rsidR="00E574DD" w:rsidRPr="00943C7F" w:rsidRDefault="00621EE5" w:rsidP="00E574DD">
      <w:pPr>
        <w:pStyle w:val="Heading2"/>
        <w:ind w:left="-108"/>
        <w:jc w:val="center"/>
        <w:rPr>
          <w:rFonts w:asciiTheme="minorHAnsi" w:hAnsiTheme="minorHAnsi" w:cs="Arial"/>
          <w:b w:val="0"/>
          <w:bCs/>
          <w:i/>
          <w:iCs/>
          <w:sz w:val="28"/>
          <w:szCs w:val="28"/>
        </w:rPr>
      </w:pPr>
      <w:r>
        <w:rPr>
          <w:rFonts w:asciiTheme="minorHAnsi" w:hAnsiTheme="minorHAnsi" w:cs="Arial"/>
          <w:b w:val="0"/>
          <w:sz w:val="28"/>
          <w:szCs w:val="28"/>
          <w:lang w:eastAsia="en-AU"/>
        </w:rPr>
        <w:lastRenderedPageBreak/>
        <w:t xml:space="preserve">Housing and Consumer Affairs Legislation Amendment </w:t>
      </w:r>
      <w:r w:rsidR="00E574DD" w:rsidRPr="006F14A2">
        <w:rPr>
          <w:rFonts w:asciiTheme="minorHAnsi" w:hAnsiTheme="minorHAnsi" w:cs="Arial"/>
          <w:b w:val="0"/>
          <w:sz w:val="28"/>
          <w:szCs w:val="28"/>
          <w:lang w:eastAsia="en-AU"/>
        </w:rPr>
        <w:t xml:space="preserve">Bill </w:t>
      </w:r>
      <w:r w:rsidR="00DE4959" w:rsidRPr="00351C39">
        <w:rPr>
          <w:rFonts w:asciiTheme="minorHAnsi" w:hAnsiTheme="minorHAnsi" w:cs="Arial"/>
          <w:b w:val="0"/>
          <w:sz w:val="28"/>
          <w:szCs w:val="28"/>
          <w:lang w:eastAsia="en-AU"/>
        </w:rPr>
        <w:t>2026</w:t>
      </w:r>
    </w:p>
    <w:bookmarkEnd w:id="0"/>
    <w:p w14:paraId="12928F7D" w14:textId="77777777" w:rsidR="00E574DD" w:rsidRPr="003E5EE6" w:rsidRDefault="00E574DD" w:rsidP="00E574DD">
      <w:pPr>
        <w:pStyle w:val="Heading4"/>
        <w:ind w:left="-108"/>
        <w:jc w:val="center"/>
        <w:rPr>
          <w:rFonts w:asciiTheme="minorHAnsi" w:hAnsiTheme="minorHAnsi"/>
          <w:sz w:val="24"/>
          <w:szCs w:val="24"/>
        </w:rPr>
      </w:pPr>
      <w:r w:rsidRPr="003E5EE6">
        <w:rPr>
          <w:rFonts w:asciiTheme="minorHAnsi" w:hAnsiTheme="minorHAnsi"/>
          <w:sz w:val="24"/>
          <w:szCs w:val="24"/>
        </w:rPr>
        <w:t>Human Rights Act 2004 - Compatibility Statement</w:t>
      </w:r>
    </w:p>
    <w:p w14:paraId="1B9772F9" w14:textId="77777777" w:rsidR="00E574DD" w:rsidRDefault="00E574DD" w:rsidP="00E574DD"/>
    <w:p w14:paraId="1C2275A7" w14:textId="77777777" w:rsidR="00E574DD" w:rsidRPr="00D77995" w:rsidRDefault="00E574DD" w:rsidP="00E574DD"/>
    <w:p w14:paraId="71084E2C" w14:textId="2048C66A" w:rsidR="00E574DD" w:rsidRDefault="00E574DD" w:rsidP="00774277">
      <w:r w:rsidRPr="00521950">
        <w:rPr>
          <w:rFonts w:asciiTheme="minorHAnsi" w:hAnsiTheme="minorHAnsi"/>
        </w:rPr>
        <w:t xml:space="preserve">In accordance with section 37 of the </w:t>
      </w:r>
      <w:r w:rsidRPr="00521950">
        <w:rPr>
          <w:rFonts w:asciiTheme="minorHAnsi" w:hAnsiTheme="minorHAnsi"/>
          <w:i/>
          <w:iCs/>
        </w:rPr>
        <w:t>Human Rights Act 2004</w:t>
      </w:r>
      <w:r w:rsidRPr="00521950">
        <w:rPr>
          <w:rFonts w:asciiTheme="minorHAnsi" w:hAnsiTheme="minorHAnsi"/>
        </w:rPr>
        <w:t xml:space="preserve"> I have examined the</w:t>
      </w:r>
      <w:r>
        <w:rPr>
          <w:rFonts w:asciiTheme="minorHAnsi" w:hAnsiTheme="minorHAnsi"/>
          <w:b/>
        </w:rPr>
        <w:t xml:space="preserve"> </w:t>
      </w:r>
      <w:r w:rsidR="001D1B29">
        <w:rPr>
          <w:rFonts w:asciiTheme="minorHAnsi" w:hAnsiTheme="minorHAnsi"/>
          <w:b/>
        </w:rPr>
        <w:t>Housing and Consumer Affairs Legislation</w:t>
      </w:r>
      <w:r>
        <w:rPr>
          <w:rFonts w:asciiTheme="minorHAnsi" w:hAnsiTheme="minorHAnsi"/>
          <w:b/>
        </w:rPr>
        <w:t> Amendment Bill</w:t>
      </w:r>
      <w:r w:rsidR="00A5201D">
        <w:rPr>
          <w:rFonts w:asciiTheme="minorHAnsi" w:hAnsiTheme="minorHAnsi"/>
          <w:b/>
        </w:rPr>
        <w:t xml:space="preserve"> </w:t>
      </w:r>
      <w:r>
        <w:rPr>
          <w:rFonts w:asciiTheme="minorHAnsi" w:hAnsiTheme="minorHAnsi"/>
          <w:b/>
        </w:rPr>
        <w:t>20</w:t>
      </w:r>
      <w:r w:rsidR="00774277">
        <w:rPr>
          <w:rFonts w:asciiTheme="minorHAnsi" w:hAnsiTheme="minorHAnsi"/>
          <w:b/>
        </w:rPr>
        <w:t>2</w:t>
      </w:r>
      <w:r w:rsidR="001D1B29">
        <w:rPr>
          <w:rFonts w:asciiTheme="minorHAnsi" w:hAnsiTheme="minorHAnsi"/>
          <w:b/>
        </w:rPr>
        <w:t>6</w:t>
      </w:r>
      <w:r w:rsidRPr="00521950">
        <w:rPr>
          <w:rFonts w:asciiTheme="minorHAnsi" w:hAnsiTheme="minorHAnsi"/>
        </w:rPr>
        <w:t>. In my opinion,</w:t>
      </w:r>
      <w:r w:rsidR="000D758B">
        <w:rPr>
          <w:rFonts w:asciiTheme="minorHAnsi" w:hAnsiTheme="minorHAnsi"/>
        </w:rPr>
        <w:t xml:space="preserve"> having regard to the </w:t>
      </w:r>
      <w:r w:rsidR="00774277">
        <w:rPr>
          <w:rFonts w:asciiTheme="minorHAnsi" w:hAnsiTheme="minorHAnsi"/>
        </w:rPr>
        <w:t xml:space="preserve">Bill and the </w:t>
      </w:r>
      <w:r w:rsidR="00A0291C">
        <w:rPr>
          <w:rFonts w:asciiTheme="minorHAnsi" w:hAnsiTheme="minorHAnsi"/>
        </w:rPr>
        <w:t>outline</w:t>
      </w:r>
      <w:r w:rsidR="000D758B">
        <w:rPr>
          <w:rFonts w:asciiTheme="minorHAnsi" w:hAnsiTheme="minorHAnsi"/>
        </w:rPr>
        <w:t xml:space="preserve"> of the policy </w:t>
      </w:r>
      <w:r w:rsidR="00040382">
        <w:rPr>
          <w:rFonts w:asciiTheme="minorHAnsi" w:hAnsiTheme="minorHAnsi"/>
        </w:rPr>
        <w:t>considerati</w:t>
      </w:r>
      <w:r w:rsidR="00E61614">
        <w:rPr>
          <w:rFonts w:asciiTheme="minorHAnsi" w:hAnsiTheme="minorHAnsi"/>
        </w:rPr>
        <w:t>ons</w:t>
      </w:r>
      <w:r w:rsidR="005162FA">
        <w:rPr>
          <w:rFonts w:asciiTheme="minorHAnsi" w:hAnsiTheme="minorHAnsi"/>
        </w:rPr>
        <w:t xml:space="preserve"> and </w:t>
      </w:r>
      <w:r w:rsidR="00424FBB">
        <w:rPr>
          <w:rFonts w:asciiTheme="minorHAnsi" w:hAnsiTheme="minorHAnsi"/>
        </w:rPr>
        <w:t xml:space="preserve">justification of </w:t>
      </w:r>
      <w:r w:rsidR="00741C4A">
        <w:rPr>
          <w:rFonts w:asciiTheme="minorHAnsi" w:hAnsiTheme="minorHAnsi"/>
        </w:rPr>
        <w:t>any</w:t>
      </w:r>
      <w:r w:rsidR="005162FA">
        <w:rPr>
          <w:rFonts w:asciiTheme="minorHAnsi" w:hAnsiTheme="minorHAnsi"/>
        </w:rPr>
        <w:t xml:space="preserve"> </w:t>
      </w:r>
      <w:r w:rsidR="00424FBB">
        <w:rPr>
          <w:rFonts w:asciiTheme="minorHAnsi" w:hAnsiTheme="minorHAnsi"/>
        </w:rPr>
        <w:t>limitations</w:t>
      </w:r>
      <w:r w:rsidR="005162FA">
        <w:rPr>
          <w:rFonts w:asciiTheme="minorHAnsi" w:hAnsiTheme="minorHAnsi"/>
        </w:rPr>
        <w:t xml:space="preserve"> on rights</w:t>
      </w:r>
      <w:r w:rsidR="00424FBB">
        <w:rPr>
          <w:rFonts w:asciiTheme="minorHAnsi" w:hAnsiTheme="minorHAnsi"/>
        </w:rPr>
        <w:t xml:space="preserve"> </w:t>
      </w:r>
      <w:r w:rsidR="00E61614">
        <w:rPr>
          <w:rFonts w:asciiTheme="minorHAnsi" w:hAnsiTheme="minorHAnsi"/>
        </w:rPr>
        <w:t xml:space="preserve">outlined </w:t>
      </w:r>
      <w:r w:rsidR="00424FBB">
        <w:rPr>
          <w:rFonts w:asciiTheme="minorHAnsi" w:hAnsiTheme="minorHAnsi"/>
        </w:rPr>
        <w:t xml:space="preserve">in this explanatory statement, </w:t>
      </w:r>
      <w:r w:rsidR="00424FBB" w:rsidRPr="00521950">
        <w:rPr>
          <w:rFonts w:asciiTheme="minorHAnsi" w:hAnsiTheme="minorHAnsi"/>
        </w:rPr>
        <w:t>the Bill</w:t>
      </w:r>
      <w:r w:rsidR="00424FBB" w:rsidRPr="005162FA">
        <w:rPr>
          <w:rFonts w:asciiTheme="minorHAnsi" w:hAnsiTheme="minorHAnsi"/>
        </w:rPr>
        <w:t xml:space="preserve"> </w:t>
      </w:r>
      <w:r w:rsidR="00424FBB" w:rsidRPr="00521950">
        <w:rPr>
          <w:rFonts w:asciiTheme="minorHAnsi" w:hAnsiTheme="minorHAnsi"/>
        </w:rPr>
        <w:t xml:space="preserve">as presented </w:t>
      </w:r>
      <w:r w:rsidR="00424FBB">
        <w:rPr>
          <w:rFonts w:asciiTheme="minorHAnsi" w:hAnsiTheme="minorHAnsi"/>
        </w:rPr>
        <w:t xml:space="preserve">to the Legislative </w:t>
      </w:r>
      <w:r w:rsidR="00424FBB" w:rsidRPr="006F14A2">
        <w:rPr>
          <w:rFonts w:asciiTheme="minorHAnsi" w:hAnsiTheme="minorHAnsi"/>
        </w:rPr>
        <w:t>Assembly</w:t>
      </w:r>
      <w:r w:rsidR="00424FBB" w:rsidRPr="006F14A2">
        <w:rPr>
          <w:rFonts w:asciiTheme="minorHAnsi" w:hAnsiTheme="minorHAnsi"/>
          <w:b/>
        </w:rPr>
        <w:t xml:space="preserve"> </w:t>
      </w:r>
      <w:r w:rsidRPr="006F14A2">
        <w:rPr>
          <w:rFonts w:asciiTheme="minorHAnsi" w:hAnsiTheme="minorHAnsi"/>
          <w:b/>
        </w:rPr>
        <w:t xml:space="preserve">is </w:t>
      </w:r>
      <w:r w:rsidRPr="006F14A2">
        <w:rPr>
          <w:rFonts w:asciiTheme="minorHAnsi" w:hAnsiTheme="minorHAnsi"/>
        </w:rPr>
        <w:t>consistent</w:t>
      </w:r>
      <w:r w:rsidRPr="00CF7FEB">
        <w:rPr>
          <w:rFonts w:asciiTheme="minorHAnsi" w:hAnsiTheme="minorHAnsi"/>
        </w:rPr>
        <w:t xml:space="preserve"> with the </w:t>
      </w:r>
      <w:r w:rsidRPr="00CF7FEB">
        <w:rPr>
          <w:rFonts w:asciiTheme="minorHAnsi" w:hAnsiTheme="minorHAnsi"/>
          <w:i/>
          <w:iCs/>
        </w:rPr>
        <w:t>Human Rights Act 2004</w:t>
      </w:r>
      <w:r w:rsidR="000D758B" w:rsidRPr="00CF7FEB">
        <w:rPr>
          <w:rFonts w:asciiTheme="minorHAnsi" w:hAnsiTheme="minorHAnsi"/>
          <w:i/>
          <w:iCs/>
        </w:rPr>
        <w:t>.</w:t>
      </w:r>
    </w:p>
    <w:p w14:paraId="66ABEB43" w14:textId="77777777" w:rsidR="00E574DD" w:rsidRDefault="00E574DD" w:rsidP="00E574DD">
      <w:pPr>
        <w:rPr>
          <w:rFonts w:asciiTheme="minorHAnsi" w:hAnsiTheme="minorHAnsi" w:cstheme="minorHAnsi"/>
        </w:rPr>
      </w:pPr>
    </w:p>
    <w:p w14:paraId="6C6D5E27" w14:textId="77777777" w:rsidR="00E574DD" w:rsidRDefault="00E574DD" w:rsidP="00E574DD">
      <w:pPr>
        <w:rPr>
          <w:rFonts w:asciiTheme="minorHAnsi" w:hAnsiTheme="minorHAnsi" w:cstheme="minorHAnsi"/>
        </w:rPr>
      </w:pPr>
    </w:p>
    <w:p w14:paraId="3AC1DED3" w14:textId="77777777" w:rsidR="00E574DD" w:rsidRDefault="00E574DD" w:rsidP="00E574DD">
      <w:pPr>
        <w:rPr>
          <w:rFonts w:asciiTheme="minorHAnsi" w:hAnsiTheme="minorHAnsi" w:cstheme="minorHAnsi"/>
        </w:rPr>
      </w:pPr>
      <w:r>
        <w:rPr>
          <w:rFonts w:asciiTheme="minorHAnsi" w:hAnsiTheme="minorHAnsi" w:cstheme="minorHAnsi"/>
        </w:rPr>
        <w:t>………………………………………………….</w:t>
      </w:r>
    </w:p>
    <w:p w14:paraId="3A8E2AC8" w14:textId="35DB5098" w:rsidR="00E574DD" w:rsidRDefault="00B40EDF" w:rsidP="00E574DD">
      <w:pPr>
        <w:rPr>
          <w:rFonts w:asciiTheme="minorHAnsi" w:hAnsiTheme="minorHAnsi" w:cstheme="minorHAnsi"/>
        </w:rPr>
      </w:pPr>
      <w:r>
        <w:rPr>
          <w:rFonts w:asciiTheme="minorHAnsi" w:hAnsiTheme="minorHAnsi" w:cstheme="minorHAnsi"/>
        </w:rPr>
        <w:t>Tara Cheyne</w:t>
      </w:r>
      <w:r w:rsidR="00E574DD">
        <w:rPr>
          <w:rFonts w:asciiTheme="minorHAnsi" w:hAnsiTheme="minorHAnsi" w:cstheme="minorHAnsi"/>
        </w:rPr>
        <w:t xml:space="preserve"> MLA</w:t>
      </w:r>
      <w:r w:rsidR="00E574DD">
        <w:rPr>
          <w:rFonts w:asciiTheme="minorHAnsi" w:hAnsiTheme="minorHAnsi" w:cstheme="minorHAnsi"/>
        </w:rPr>
        <w:br/>
        <w:t>Attorney-General</w:t>
      </w:r>
    </w:p>
    <w:p w14:paraId="1578DA22" w14:textId="77777777" w:rsidR="006D53B2" w:rsidRPr="006D52AC" w:rsidRDefault="006D53B2" w:rsidP="006D53B2">
      <w:pPr>
        <w:spacing w:before="200"/>
        <w:rPr>
          <w:rFonts w:ascii="Arial" w:hAnsi="Arial" w:cs="Arial"/>
          <w:sz w:val="24"/>
          <w:szCs w:val="24"/>
        </w:rPr>
      </w:pPr>
    </w:p>
    <w:p w14:paraId="6173867E" w14:textId="11ABFDA6" w:rsidR="008C76C4" w:rsidRDefault="008C76C4">
      <w:pPr>
        <w:pStyle w:val="Heading2"/>
        <w:pageBreakBefore/>
        <w:spacing w:before="240" w:after="240"/>
      </w:pPr>
      <w:r w:rsidRPr="008C225D">
        <w:lastRenderedPageBreak/>
        <w:t>CLAUSE NOTES</w:t>
      </w:r>
    </w:p>
    <w:p w14:paraId="0E2E8CBE" w14:textId="4871BABC" w:rsidR="00E76504" w:rsidRPr="002969A6" w:rsidRDefault="003E3F14" w:rsidP="00E76504">
      <w:pPr>
        <w:rPr>
          <w:rFonts w:ascii="Arial" w:hAnsi="Arial" w:cs="Arial"/>
          <w:b/>
          <w:bCs/>
          <w:sz w:val="28"/>
          <w:szCs w:val="28"/>
        </w:rPr>
      </w:pPr>
      <w:r w:rsidRPr="002969A6">
        <w:rPr>
          <w:rFonts w:ascii="Arial" w:hAnsi="Arial" w:cs="Arial"/>
          <w:b/>
          <w:bCs/>
          <w:sz w:val="28"/>
          <w:szCs w:val="28"/>
        </w:rPr>
        <w:t xml:space="preserve">Part 1 </w:t>
      </w:r>
      <w:r w:rsidRPr="002969A6">
        <w:rPr>
          <w:rFonts w:ascii="Arial" w:hAnsi="Arial" w:cs="Arial"/>
          <w:b/>
          <w:bCs/>
          <w:sz w:val="28"/>
          <w:szCs w:val="28"/>
        </w:rPr>
        <w:tab/>
      </w:r>
      <w:r w:rsidRPr="002969A6">
        <w:rPr>
          <w:rFonts w:ascii="Arial" w:hAnsi="Arial" w:cs="Arial"/>
          <w:b/>
          <w:bCs/>
          <w:sz w:val="28"/>
          <w:szCs w:val="28"/>
        </w:rPr>
        <w:tab/>
        <w:t>Preliminary</w:t>
      </w:r>
    </w:p>
    <w:p w14:paraId="27FB735B" w14:textId="77777777" w:rsidR="00C61B07" w:rsidRDefault="00C61B07" w:rsidP="00C65E0C">
      <w:pPr>
        <w:pStyle w:val="Heading3"/>
      </w:pPr>
      <w:r w:rsidRPr="00ED3B77">
        <w:t>Clause 1</w:t>
      </w:r>
      <w:r w:rsidRPr="00ED3B77">
        <w:tab/>
        <w:t>Name of Act</w:t>
      </w:r>
    </w:p>
    <w:p w14:paraId="55938B51" w14:textId="3EC43286" w:rsidR="003B56C4" w:rsidRPr="00DA1A9B" w:rsidRDefault="003B56C4" w:rsidP="003B56C4">
      <w:pPr>
        <w:rPr>
          <w:rFonts w:ascii="Arial" w:hAnsi="Arial" w:cs="Arial"/>
        </w:rPr>
      </w:pPr>
      <w:r w:rsidRPr="00DA1A9B">
        <w:rPr>
          <w:rFonts w:ascii="Arial" w:hAnsi="Arial" w:cs="Arial"/>
        </w:rPr>
        <w:t>This clause provides that the name of the Act is the </w:t>
      </w:r>
      <w:r w:rsidRPr="00DA1A9B">
        <w:rPr>
          <w:rFonts w:ascii="Arial" w:hAnsi="Arial" w:cs="Arial"/>
          <w:i/>
          <w:iCs/>
        </w:rPr>
        <w:t>Housing and Consumer Affairs Legislation Amendment Act 2026</w:t>
      </w:r>
      <w:r w:rsidRPr="00DA1A9B">
        <w:rPr>
          <w:rFonts w:ascii="Arial" w:hAnsi="Arial" w:cs="Arial"/>
        </w:rPr>
        <w:t> (</w:t>
      </w:r>
      <w:r w:rsidRPr="00DA1A9B">
        <w:rPr>
          <w:rFonts w:ascii="Arial" w:hAnsi="Arial" w:cs="Arial"/>
          <w:b/>
          <w:bCs/>
        </w:rPr>
        <w:t>the Act</w:t>
      </w:r>
      <w:r w:rsidRPr="00DA1A9B">
        <w:rPr>
          <w:rFonts w:ascii="Arial" w:hAnsi="Arial" w:cs="Arial"/>
        </w:rPr>
        <w:t>).</w:t>
      </w:r>
    </w:p>
    <w:p w14:paraId="341827EE" w14:textId="77777777" w:rsidR="00C61B07" w:rsidRDefault="00C61B07" w:rsidP="008C225D">
      <w:pPr>
        <w:pStyle w:val="Heading3"/>
      </w:pPr>
      <w:r w:rsidRPr="00ED3B77">
        <w:t>Clause 2</w:t>
      </w:r>
      <w:r w:rsidRPr="00ED3B77">
        <w:tab/>
        <w:t>Commencement</w:t>
      </w:r>
    </w:p>
    <w:p w14:paraId="03DE0152" w14:textId="1D247F7F" w:rsidR="00877D07" w:rsidRDefault="003B56C4" w:rsidP="003B56C4">
      <w:pPr>
        <w:rPr>
          <w:rFonts w:ascii="Arial" w:hAnsi="Arial" w:cs="Arial"/>
        </w:rPr>
      </w:pPr>
      <w:r w:rsidRPr="00DA1A9B">
        <w:rPr>
          <w:rFonts w:ascii="Arial" w:hAnsi="Arial" w:cs="Arial"/>
        </w:rPr>
        <w:t xml:space="preserve">This clause sets out the commencement </w:t>
      </w:r>
      <w:r w:rsidR="00877D07">
        <w:rPr>
          <w:rFonts w:ascii="Arial" w:hAnsi="Arial" w:cs="Arial"/>
        </w:rPr>
        <w:t>of</w:t>
      </w:r>
      <w:r w:rsidR="00877D07" w:rsidRPr="00DA1A9B">
        <w:rPr>
          <w:rFonts w:ascii="Arial" w:hAnsi="Arial" w:cs="Arial"/>
        </w:rPr>
        <w:t xml:space="preserve"> </w:t>
      </w:r>
      <w:r w:rsidRPr="00DA1A9B">
        <w:rPr>
          <w:rFonts w:ascii="Arial" w:hAnsi="Arial" w:cs="Arial"/>
        </w:rPr>
        <w:t xml:space="preserve">the provisions </w:t>
      </w:r>
      <w:r w:rsidR="00877D07">
        <w:rPr>
          <w:rFonts w:ascii="Arial" w:hAnsi="Arial" w:cs="Arial"/>
        </w:rPr>
        <w:t>in</w:t>
      </w:r>
      <w:r w:rsidRPr="00DA1A9B">
        <w:rPr>
          <w:rFonts w:ascii="Arial" w:hAnsi="Arial" w:cs="Arial"/>
        </w:rPr>
        <w:t xml:space="preserve"> the Act. </w:t>
      </w:r>
      <w:r w:rsidR="00877D07">
        <w:rPr>
          <w:rFonts w:ascii="Arial" w:hAnsi="Arial" w:cs="Arial"/>
        </w:rPr>
        <w:t>It provides for commencement in the following ways:</w:t>
      </w:r>
    </w:p>
    <w:p w14:paraId="1D454F53" w14:textId="01B460A0" w:rsidR="00877D07" w:rsidRPr="002969A6" w:rsidRDefault="00877D07" w:rsidP="003B56C4">
      <w:pPr>
        <w:rPr>
          <w:rFonts w:ascii="Arial" w:hAnsi="Arial" w:cs="Arial"/>
        </w:rPr>
      </w:pPr>
      <w:r w:rsidRPr="002969A6">
        <w:rPr>
          <w:rFonts w:ascii="Arial" w:hAnsi="Arial" w:cs="Arial"/>
        </w:rPr>
        <w:t xml:space="preserve">Section 3 (legislation amended) will commence on the day after the Act’s notification day. </w:t>
      </w:r>
    </w:p>
    <w:p w14:paraId="576D8D00" w14:textId="6B8C6724" w:rsidR="00DA1A9B" w:rsidRPr="002969A6" w:rsidRDefault="003B56C4" w:rsidP="003B56C4">
      <w:pPr>
        <w:rPr>
          <w:rFonts w:ascii="Arial" w:hAnsi="Arial" w:cs="Arial"/>
        </w:rPr>
      </w:pPr>
      <w:r w:rsidRPr="002969A6">
        <w:rPr>
          <w:rFonts w:ascii="Arial" w:hAnsi="Arial" w:cs="Arial"/>
        </w:rPr>
        <w:t>Part 2</w:t>
      </w:r>
      <w:r w:rsidR="00877D07" w:rsidRPr="002969A6">
        <w:rPr>
          <w:rFonts w:ascii="Arial" w:hAnsi="Arial" w:cs="Arial"/>
        </w:rPr>
        <w:t xml:space="preserve"> (</w:t>
      </w:r>
      <w:r w:rsidR="00877D07" w:rsidRPr="002969A6">
        <w:rPr>
          <w:rFonts w:ascii="Arial" w:hAnsi="Arial" w:cs="Arial"/>
          <w:i/>
          <w:iCs/>
        </w:rPr>
        <w:t>Land Titles Act</w:t>
      </w:r>
      <w:r w:rsidR="00F82F17" w:rsidRPr="002969A6">
        <w:rPr>
          <w:rFonts w:ascii="Arial" w:hAnsi="Arial" w:cs="Arial"/>
          <w:i/>
          <w:iCs/>
        </w:rPr>
        <w:t xml:space="preserve"> </w:t>
      </w:r>
      <w:r w:rsidR="00877D07" w:rsidRPr="002969A6">
        <w:rPr>
          <w:rFonts w:ascii="Arial" w:hAnsi="Arial" w:cs="Arial"/>
          <w:i/>
          <w:iCs/>
        </w:rPr>
        <w:t>1925</w:t>
      </w:r>
      <w:r w:rsidR="00877D07" w:rsidRPr="002969A6">
        <w:rPr>
          <w:rFonts w:ascii="Arial" w:hAnsi="Arial" w:cs="Arial"/>
        </w:rPr>
        <w:t>)</w:t>
      </w:r>
      <w:r w:rsidR="00F7275A" w:rsidRPr="002969A6">
        <w:rPr>
          <w:rFonts w:ascii="Arial" w:hAnsi="Arial" w:cs="Arial"/>
        </w:rPr>
        <w:t>,</w:t>
      </w:r>
      <w:r w:rsidR="00F75111" w:rsidRPr="002969A6">
        <w:rPr>
          <w:rFonts w:ascii="Arial" w:hAnsi="Arial" w:cs="Arial"/>
        </w:rPr>
        <w:t xml:space="preserve"> </w:t>
      </w:r>
      <w:r w:rsidRPr="002969A6">
        <w:rPr>
          <w:rFonts w:ascii="Arial" w:hAnsi="Arial" w:cs="Arial"/>
        </w:rPr>
        <w:t>Part 6</w:t>
      </w:r>
      <w:r w:rsidR="00F7275A" w:rsidRPr="002969A6">
        <w:rPr>
          <w:rFonts w:ascii="Arial" w:hAnsi="Arial" w:cs="Arial"/>
        </w:rPr>
        <w:t xml:space="preserve"> (</w:t>
      </w:r>
      <w:r w:rsidR="00F7275A" w:rsidRPr="002969A6">
        <w:rPr>
          <w:rFonts w:ascii="Arial" w:hAnsi="Arial" w:cs="Arial"/>
          <w:i/>
          <w:iCs/>
        </w:rPr>
        <w:t>Unit Titles (Management) Act 2011</w:t>
      </w:r>
      <w:r w:rsidR="00F7275A" w:rsidRPr="002969A6">
        <w:rPr>
          <w:rFonts w:ascii="Arial" w:hAnsi="Arial" w:cs="Arial"/>
        </w:rPr>
        <w:t>)</w:t>
      </w:r>
      <w:r w:rsidR="00F75111" w:rsidRPr="002969A6">
        <w:rPr>
          <w:rFonts w:ascii="Arial" w:hAnsi="Arial" w:cs="Arial"/>
        </w:rPr>
        <w:t xml:space="preserve">, </w:t>
      </w:r>
      <w:r w:rsidRPr="002969A6">
        <w:rPr>
          <w:rFonts w:ascii="Arial" w:hAnsi="Arial" w:cs="Arial"/>
        </w:rPr>
        <w:t>and Clause 5</w:t>
      </w:r>
      <w:r w:rsidR="00F7275A" w:rsidRPr="002969A6">
        <w:rPr>
          <w:rFonts w:ascii="Arial" w:hAnsi="Arial" w:cs="Arial"/>
        </w:rPr>
        <w:t>2</w:t>
      </w:r>
      <w:r w:rsidRPr="002969A6">
        <w:rPr>
          <w:rFonts w:ascii="Arial" w:hAnsi="Arial" w:cs="Arial"/>
        </w:rPr>
        <w:t xml:space="preserve"> (unit titled retirement village quorum amendment) will commence </w:t>
      </w:r>
      <w:r w:rsidR="00DA1A9B" w:rsidRPr="002969A6">
        <w:rPr>
          <w:rFonts w:ascii="Arial" w:hAnsi="Arial" w:cs="Arial"/>
        </w:rPr>
        <w:t xml:space="preserve">3 months after </w:t>
      </w:r>
      <w:r w:rsidR="00877D07" w:rsidRPr="002969A6">
        <w:rPr>
          <w:rFonts w:ascii="Arial" w:hAnsi="Arial" w:cs="Arial"/>
        </w:rPr>
        <w:t xml:space="preserve">the Act’s </w:t>
      </w:r>
      <w:r w:rsidR="00DA1A9B" w:rsidRPr="002969A6">
        <w:rPr>
          <w:rFonts w:ascii="Arial" w:hAnsi="Arial" w:cs="Arial"/>
        </w:rPr>
        <w:t xml:space="preserve">notification day. Clause </w:t>
      </w:r>
      <w:r w:rsidR="00F7275A" w:rsidRPr="002969A6">
        <w:rPr>
          <w:rFonts w:ascii="Arial" w:hAnsi="Arial" w:cs="Arial"/>
        </w:rPr>
        <w:t xml:space="preserve">52 </w:t>
      </w:r>
      <w:r w:rsidR="00DA1A9B" w:rsidRPr="002969A6">
        <w:rPr>
          <w:rFonts w:ascii="Arial" w:hAnsi="Arial" w:cs="Arial"/>
        </w:rPr>
        <w:t xml:space="preserve">commences separately from the remainder of the amendments </w:t>
      </w:r>
      <w:r w:rsidR="00877D07" w:rsidRPr="002969A6">
        <w:rPr>
          <w:rFonts w:ascii="Arial" w:hAnsi="Arial" w:cs="Arial"/>
        </w:rPr>
        <w:t xml:space="preserve">to the </w:t>
      </w:r>
      <w:r w:rsidR="00877D07" w:rsidRPr="002969A6">
        <w:rPr>
          <w:rFonts w:ascii="Arial" w:hAnsi="Arial" w:cs="Arial"/>
          <w:i/>
          <w:iCs/>
        </w:rPr>
        <w:t xml:space="preserve">Retirement Villages Act </w:t>
      </w:r>
      <w:r w:rsidR="00F82F17" w:rsidRPr="002969A6">
        <w:rPr>
          <w:rFonts w:ascii="Arial" w:hAnsi="Arial" w:cs="Arial"/>
          <w:i/>
          <w:iCs/>
        </w:rPr>
        <w:t>2012</w:t>
      </w:r>
      <w:r w:rsidR="00F82F17" w:rsidRPr="002969A6">
        <w:rPr>
          <w:rFonts w:ascii="Arial" w:hAnsi="Arial" w:cs="Arial"/>
        </w:rPr>
        <w:t xml:space="preserve"> </w:t>
      </w:r>
      <w:r w:rsidR="00877D07" w:rsidRPr="002969A6">
        <w:rPr>
          <w:rFonts w:ascii="Arial" w:hAnsi="Arial" w:cs="Arial"/>
        </w:rPr>
        <w:t xml:space="preserve">and </w:t>
      </w:r>
      <w:r w:rsidR="00F82F17" w:rsidRPr="002969A6">
        <w:rPr>
          <w:rFonts w:ascii="Arial" w:hAnsi="Arial" w:cs="Arial"/>
          <w:i/>
          <w:iCs/>
        </w:rPr>
        <w:t xml:space="preserve">Retirement Villages </w:t>
      </w:r>
      <w:r w:rsidR="00877D07" w:rsidRPr="002969A6">
        <w:rPr>
          <w:rFonts w:ascii="Arial" w:hAnsi="Arial" w:cs="Arial"/>
          <w:i/>
          <w:iCs/>
        </w:rPr>
        <w:t>Regulation</w:t>
      </w:r>
      <w:r w:rsidR="00877D07" w:rsidRPr="002969A6">
        <w:rPr>
          <w:rFonts w:ascii="Arial" w:hAnsi="Arial" w:cs="Arial"/>
        </w:rPr>
        <w:t xml:space="preserve"> </w:t>
      </w:r>
      <w:r w:rsidR="00F82F17" w:rsidRPr="002969A6">
        <w:rPr>
          <w:rFonts w:ascii="Arial" w:hAnsi="Arial" w:cs="Arial"/>
          <w:i/>
          <w:iCs/>
        </w:rPr>
        <w:t xml:space="preserve">2013 </w:t>
      </w:r>
      <w:r w:rsidR="00DA1A9B" w:rsidRPr="002969A6">
        <w:rPr>
          <w:rFonts w:ascii="Arial" w:hAnsi="Arial" w:cs="Arial"/>
        </w:rPr>
        <w:t xml:space="preserve">in Part 4 and Part 5, so that it aligns with the commencement of the </w:t>
      </w:r>
      <w:r w:rsidR="00F75111" w:rsidRPr="002969A6">
        <w:rPr>
          <w:rFonts w:ascii="Arial" w:hAnsi="Arial" w:cs="Arial"/>
        </w:rPr>
        <w:t>unit titles</w:t>
      </w:r>
      <w:r w:rsidR="00DA1A9B" w:rsidRPr="002969A6">
        <w:rPr>
          <w:rFonts w:ascii="Arial" w:hAnsi="Arial" w:cs="Arial"/>
        </w:rPr>
        <w:t xml:space="preserve"> amendments</w:t>
      </w:r>
      <w:r w:rsidR="00F7275A" w:rsidRPr="002969A6">
        <w:rPr>
          <w:rFonts w:ascii="Arial" w:hAnsi="Arial" w:cs="Arial"/>
        </w:rPr>
        <w:t xml:space="preserve"> relating to quorum</w:t>
      </w:r>
      <w:r w:rsidR="00DA1A9B" w:rsidRPr="002969A6">
        <w:rPr>
          <w:rFonts w:ascii="Arial" w:hAnsi="Arial" w:cs="Arial"/>
        </w:rPr>
        <w:t>.</w:t>
      </w:r>
    </w:p>
    <w:p w14:paraId="74E2075E" w14:textId="045DCD5D" w:rsidR="00DA1A9B" w:rsidRPr="00DA1A9B" w:rsidRDefault="00DA1A9B" w:rsidP="003B56C4">
      <w:pPr>
        <w:rPr>
          <w:rFonts w:ascii="Arial" w:hAnsi="Arial" w:cs="Arial"/>
        </w:rPr>
      </w:pPr>
      <w:r w:rsidRPr="002969A6">
        <w:rPr>
          <w:rFonts w:ascii="Arial" w:hAnsi="Arial" w:cs="Arial"/>
        </w:rPr>
        <w:t xml:space="preserve">The amendments in Part 4 </w:t>
      </w:r>
      <w:r w:rsidR="00F82F17" w:rsidRPr="002969A6">
        <w:rPr>
          <w:rFonts w:ascii="Arial" w:hAnsi="Arial" w:cs="Arial"/>
        </w:rPr>
        <w:t>(</w:t>
      </w:r>
      <w:r w:rsidR="00F82F17" w:rsidRPr="002969A6">
        <w:rPr>
          <w:rFonts w:ascii="Arial" w:hAnsi="Arial" w:cs="Arial"/>
          <w:i/>
          <w:iCs/>
        </w:rPr>
        <w:t>Retirement Villages Act 2012</w:t>
      </w:r>
      <w:r w:rsidR="00F82F17" w:rsidRPr="002969A6">
        <w:rPr>
          <w:rFonts w:ascii="Arial" w:hAnsi="Arial" w:cs="Arial"/>
        </w:rPr>
        <w:t xml:space="preserve">) </w:t>
      </w:r>
      <w:r w:rsidRPr="002969A6">
        <w:rPr>
          <w:rFonts w:ascii="Arial" w:hAnsi="Arial" w:cs="Arial"/>
        </w:rPr>
        <w:t>and Part 5</w:t>
      </w:r>
      <w:r w:rsidR="00F82F17" w:rsidRPr="002969A6">
        <w:rPr>
          <w:rFonts w:ascii="Arial" w:hAnsi="Arial" w:cs="Arial"/>
        </w:rPr>
        <w:t xml:space="preserve"> (</w:t>
      </w:r>
      <w:r w:rsidR="00F82F17" w:rsidRPr="002969A6">
        <w:rPr>
          <w:rFonts w:ascii="Arial" w:hAnsi="Arial" w:cs="Arial"/>
          <w:i/>
          <w:iCs/>
        </w:rPr>
        <w:t>Retirement Villages Regulation</w:t>
      </w:r>
      <w:r w:rsidR="00F82F17" w:rsidRPr="002969A6">
        <w:rPr>
          <w:rFonts w:ascii="Arial" w:hAnsi="Arial" w:cs="Arial"/>
        </w:rPr>
        <w:t xml:space="preserve"> </w:t>
      </w:r>
      <w:r w:rsidR="00F82F17" w:rsidRPr="002969A6">
        <w:rPr>
          <w:rFonts w:ascii="Arial" w:hAnsi="Arial" w:cs="Arial"/>
          <w:i/>
          <w:iCs/>
        </w:rPr>
        <w:t>2013</w:t>
      </w:r>
      <w:r w:rsidR="00F82F17" w:rsidRPr="002969A6">
        <w:rPr>
          <w:rFonts w:ascii="Arial" w:hAnsi="Arial" w:cs="Arial"/>
        </w:rPr>
        <w:t>)</w:t>
      </w:r>
      <w:r w:rsidRPr="002969A6">
        <w:rPr>
          <w:rFonts w:ascii="Arial" w:hAnsi="Arial" w:cs="Arial"/>
        </w:rPr>
        <w:t xml:space="preserve">, except for Clause </w:t>
      </w:r>
      <w:r w:rsidR="00F7275A" w:rsidRPr="002969A6">
        <w:rPr>
          <w:rFonts w:ascii="Arial" w:hAnsi="Arial" w:cs="Arial"/>
        </w:rPr>
        <w:t>52</w:t>
      </w:r>
      <w:r w:rsidRPr="002969A6">
        <w:rPr>
          <w:rFonts w:ascii="Arial" w:hAnsi="Arial" w:cs="Arial"/>
        </w:rPr>
        <w:t>, will commence</w:t>
      </w:r>
      <w:r w:rsidRPr="00DA1A9B">
        <w:rPr>
          <w:rFonts w:ascii="Arial" w:hAnsi="Arial" w:cs="Arial"/>
        </w:rPr>
        <w:t xml:space="preserve"> 6 months after </w:t>
      </w:r>
      <w:r w:rsidR="00877D07">
        <w:rPr>
          <w:rFonts w:ascii="Arial" w:hAnsi="Arial" w:cs="Arial"/>
        </w:rPr>
        <w:t>the Act’</w:t>
      </w:r>
      <w:r w:rsidR="00F82F17">
        <w:rPr>
          <w:rFonts w:ascii="Arial" w:hAnsi="Arial" w:cs="Arial"/>
        </w:rPr>
        <w:t xml:space="preserve">s </w:t>
      </w:r>
      <w:r w:rsidRPr="00DA1A9B">
        <w:rPr>
          <w:rFonts w:ascii="Arial" w:hAnsi="Arial" w:cs="Arial"/>
        </w:rPr>
        <w:t xml:space="preserve">notification day. </w:t>
      </w:r>
    </w:p>
    <w:p w14:paraId="4594B831" w14:textId="1D9C10E0" w:rsidR="003B56C4" w:rsidRDefault="003B56C4" w:rsidP="003B56C4">
      <w:pPr>
        <w:rPr>
          <w:rFonts w:ascii="Arial" w:hAnsi="Arial" w:cs="Arial"/>
        </w:rPr>
      </w:pPr>
      <w:r w:rsidRPr="002969A6">
        <w:rPr>
          <w:rFonts w:ascii="Arial" w:hAnsi="Arial" w:cs="Arial"/>
        </w:rPr>
        <w:t>Part 3 </w:t>
      </w:r>
      <w:r w:rsidR="00F82F17" w:rsidRPr="002969A6">
        <w:rPr>
          <w:rFonts w:ascii="Arial" w:hAnsi="Arial" w:cs="Arial"/>
        </w:rPr>
        <w:t>(</w:t>
      </w:r>
      <w:r w:rsidR="00F82F17" w:rsidRPr="002969A6">
        <w:rPr>
          <w:rFonts w:ascii="Arial" w:hAnsi="Arial" w:cs="Arial"/>
          <w:i/>
          <w:iCs/>
        </w:rPr>
        <w:t xml:space="preserve">Residential Tenancies Act 1997) </w:t>
      </w:r>
      <w:r w:rsidRPr="002969A6">
        <w:rPr>
          <w:rFonts w:ascii="Arial" w:hAnsi="Arial" w:cs="Arial"/>
        </w:rPr>
        <w:t xml:space="preserve">commences upon Ministerial notice (with automatic commencement at </w:t>
      </w:r>
      <w:r w:rsidR="00DA1A9B" w:rsidRPr="002969A6">
        <w:rPr>
          <w:rFonts w:ascii="Arial" w:hAnsi="Arial" w:cs="Arial"/>
        </w:rPr>
        <w:t>12</w:t>
      </w:r>
      <w:r w:rsidRPr="002969A6">
        <w:rPr>
          <w:rFonts w:ascii="Arial" w:hAnsi="Arial" w:cs="Arial"/>
        </w:rPr>
        <w:t xml:space="preserve"> months if a Ministerial notice does not commence the provisions sooner). </w:t>
      </w:r>
    </w:p>
    <w:p w14:paraId="30ABED57" w14:textId="16630595" w:rsidR="00877D07" w:rsidRPr="00F82F17" w:rsidRDefault="00877D07" w:rsidP="003B56C4">
      <w:pPr>
        <w:rPr>
          <w:rFonts w:ascii="Arial" w:hAnsi="Arial" w:cs="Arial"/>
        </w:rPr>
      </w:pPr>
      <w:r>
        <w:rPr>
          <w:rFonts w:ascii="Arial" w:hAnsi="Arial" w:cs="Arial"/>
        </w:rPr>
        <w:t xml:space="preserve">Section 2 (6) disapplies the operation </w:t>
      </w:r>
      <w:r w:rsidR="00F82F17">
        <w:rPr>
          <w:rFonts w:ascii="Arial" w:hAnsi="Arial" w:cs="Arial"/>
        </w:rPr>
        <w:t>of</w:t>
      </w:r>
      <w:r>
        <w:rPr>
          <w:rFonts w:ascii="Arial" w:hAnsi="Arial" w:cs="Arial"/>
        </w:rPr>
        <w:t xml:space="preserve"> section 79 of the </w:t>
      </w:r>
      <w:r>
        <w:rPr>
          <w:rFonts w:ascii="Arial" w:hAnsi="Arial" w:cs="Arial"/>
          <w:i/>
          <w:iCs/>
        </w:rPr>
        <w:t xml:space="preserve">Legislation Act </w:t>
      </w:r>
      <w:r w:rsidR="00F82F17">
        <w:rPr>
          <w:rFonts w:ascii="Arial" w:hAnsi="Arial" w:cs="Arial"/>
          <w:i/>
          <w:iCs/>
        </w:rPr>
        <w:t>2001</w:t>
      </w:r>
      <w:r w:rsidR="00F7275A">
        <w:rPr>
          <w:rFonts w:ascii="Arial" w:hAnsi="Arial" w:cs="Arial"/>
        </w:rPr>
        <w:t xml:space="preserve"> </w:t>
      </w:r>
      <w:r w:rsidR="00F82F17">
        <w:rPr>
          <w:rFonts w:ascii="Arial" w:hAnsi="Arial" w:cs="Arial"/>
        </w:rPr>
        <w:t xml:space="preserve">(which provides that a postponed law will commence 6 months after it’s notification day, unless the provision is disapplied) </w:t>
      </w:r>
      <w:r w:rsidR="00F7275A">
        <w:rPr>
          <w:rFonts w:ascii="Arial" w:hAnsi="Arial" w:cs="Arial"/>
        </w:rPr>
        <w:t xml:space="preserve">to part 3, </w:t>
      </w:r>
      <w:r w:rsidR="00F82F17">
        <w:rPr>
          <w:rFonts w:ascii="Arial" w:hAnsi="Arial" w:cs="Arial"/>
        </w:rPr>
        <w:t xml:space="preserve">to allow for the postponed commencement of the </w:t>
      </w:r>
      <w:r w:rsidR="00F82F17" w:rsidRPr="002969A6">
        <w:rPr>
          <w:rFonts w:ascii="Arial" w:hAnsi="Arial" w:cs="Arial"/>
          <w:i/>
          <w:iCs/>
        </w:rPr>
        <w:t>Residential Tenancies Act 1997</w:t>
      </w:r>
      <w:r w:rsidR="00F82F17">
        <w:rPr>
          <w:rFonts w:ascii="Arial" w:hAnsi="Arial" w:cs="Arial"/>
          <w:i/>
          <w:iCs/>
        </w:rPr>
        <w:t xml:space="preserve"> </w:t>
      </w:r>
      <w:r w:rsidR="00F82F17">
        <w:rPr>
          <w:rFonts w:ascii="Arial" w:hAnsi="Arial" w:cs="Arial"/>
        </w:rPr>
        <w:t xml:space="preserve">for a period of up to 12 months. </w:t>
      </w:r>
    </w:p>
    <w:p w14:paraId="2D897272" w14:textId="025B3090" w:rsidR="00D009DA" w:rsidRDefault="00C61B07" w:rsidP="00D009DA">
      <w:pPr>
        <w:pStyle w:val="Heading3"/>
      </w:pPr>
      <w:r w:rsidRPr="00ED3B77">
        <w:t>Clause 3</w:t>
      </w:r>
      <w:r w:rsidRPr="00ED3B77">
        <w:tab/>
        <w:t>Legislation amended</w:t>
      </w:r>
    </w:p>
    <w:p w14:paraId="2CE7A97E" w14:textId="33C9CEC0" w:rsidR="003B56C4" w:rsidRPr="00DA1A9B" w:rsidRDefault="00DA1A9B" w:rsidP="003B56C4">
      <w:pPr>
        <w:rPr>
          <w:rFonts w:ascii="Arial" w:hAnsi="Arial" w:cs="Arial"/>
        </w:rPr>
      </w:pPr>
      <w:r w:rsidRPr="00DA1A9B">
        <w:rPr>
          <w:rFonts w:ascii="Arial" w:hAnsi="Arial" w:cs="Arial"/>
        </w:rPr>
        <w:t>This clause provides that the Act amends the legislation</w:t>
      </w:r>
      <w:r w:rsidR="003E3F14">
        <w:rPr>
          <w:rFonts w:ascii="Arial" w:hAnsi="Arial" w:cs="Arial"/>
        </w:rPr>
        <w:t xml:space="preserve"> listed in parts 2 to 6 of the Act, namely</w:t>
      </w:r>
      <w:r w:rsidRPr="00DA1A9B">
        <w:rPr>
          <w:rFonts w:ascii="Arial" w:hAnsi="Arial" w:cs="Arial"/>
        </w:rPr>
        <w:t>:</w:t>
      </w:r>
    </w:p>
    <w:p w14:paraId="0AD114D7" w14:textId="4F245B77" w:rsidR="00DA1A9B" w:rsidRPr="00DA1A9B" w:rsidRDefault="00DA1A9B" w:rsidP="00DA1A9B">
      <w:pPr>
        <w:numPr>
          <w:ilvl w:val="0"/>
          <w:numId w:val="28"/>
        </w:numPr>
        <w:rPr>
          <w:rFonts w:ascii="Arial" w:hAnsi="Arial" w:cs="Arial"/>
        </w:rPr>
      </w:pPr>
      <w:r w:rsidRPr="00DA1A9B">
        <w:rPr>
          <w:rFonts w:ascii="Arial" w:hAnsi="Arial" w:cs="Arial"/>
          <w:i/>
          <w:iCs/>
        </w:rPr>
        <w:t>Land Titles Act 1925 </w:t>
      </w:r>
      <w:r w:rsidRPr="00DA1A9B">
        <w:rPr>
          <w:rFonts w:ascii="Arial" w:hAnsi="Arial" w:cs="Arial"/>
        </w:rPr>
        <w:t>(</w:t>
      </w:r>
      <w:r w:rsidRPr="00DA1A9B">
        <w:rPr>
          <w:rFonts w:ascii="Arial" w:hAnsi="Arial" w:cs="Arial"/>
          <w:b/>
          <w:bCs/>
        </w:rPr>
        <w:t>LTA</w:t>
      </w:r>
      <w:r w:rsidRPr="00DA1A9B">
        <w:rPr>
          <w:rFonts w:ascii="Arial" w:hAnsi="Arial" w:cs="Arial"/>
        </w:rPr>
        <w:t>)</w:t>
      </w:r>
      <w:r w:rsidRPr="00DA1A9B">
        <w:rPr>
          <w:rFonts w:ascii="Arial" w:hAnsi="Arial" w:cs="Arial"/>
          <w:i/>
          <w:iCs/>
        </w:rPr>
        <w:t>;</w:t>
      </w:r>
    </w:p>
    <w:p w14:paraId="62BE6C26" w14:textId="77777777" w:rsidR="00DA1A9B" w:rsidRPr="00DA1A9B" w:rsidRDefault="00DA1A9B" w:rsidP="00DA1A9B">
      <w:pPr>
        <w:numPr>
          <w:ilvl w:val="0"/>
          <w:numId w:val="28"/>
        </w:numPr>
        <w:rPr>
          <w:rFonts w:ascii="Arial" w:hAnsi="Arial" w:cs="Arial"/>
        </w:rPr>
      </w:pPr>
      <w:r w:rsidRPr="00DA1A9B">
        <w:rPr>
          <w:rFonts w:ascii="Arial" w:hAnsi="Arial" w:cs="Arial"/>
          <w:i/>
          <w:iCs/>
        </w:rPr>
        <w:t>Residential Tenancies Act 1997 </w:t>
      </w:r>
      <w:r w:rsidRPr="00DA1A9B">
        <w:rPr>
          <w:rFonts w:ascii="Arial" w:hAnsi="Arial" w:cs="Arial"/>
        </w:rPr>
        <w:t>(</w:t>
      </w:r>
      <w:r w:rsidRPr="00DA1A9B">
        <w:rPr>
          <w:rFonts w:ascii="Arial" w:hAnsi="Arial" w:cs="Arial"/>
          <w:b/>
          <w:bCs/>
        </w:rPr>
        <w:t>RTA</w:t>
      </w:r>
      <w:r w:rsidRPr="00DA1A9B">
        <w:rPr>
          <w:rFonts w:ascii="Arial" w:hAnsi="Arial" w:cs="Arial"/>
        </w:rPr>
        <w:t xml:space="preserve">); </w:t>
      </w:r>
    </w:p>
    <w:p w14:paraId="7F7E5A31" w14:textId="41725519" w:rsidR="003E3F14" w:rsidRDefault="00DA1A9B" w:rsidP="00DA1A9B">
      <w:pPr>
        <w:numPr>
          <w:ilvl w:val="0"/>
          <w:numId w:val="28"/>
        </w:numPr>
        <w:rPr>
          <w:rFonts w:ascii="Arial" w:hAnsi="Arial" w:cs="Arial"/>
        </w:rPr>
      </w:pPr>
      <w:r w:rsidRPr="00DA1A9B">
        <w:rPr>
          <w:rFonts w:ascii="Arial" w:hAnsi="Arial" w:cs="Arial"/>
          <w:i/>
          <w:iCs/>
        </w:rPr>
        <w:t xml:space="preserve">Retirement Villages Act 2013 </w:t>
      </w:r>
      <w:r w:rsidRPr="00DA1A9B">
        <w:rPr>
          <w:rFonts w:ascii="Arial" w:hAnsi="Arial" w:cs="Arial"/>
        </w:rPr>
        <w:t>(</w:t>
      </w:r>
      <w:r w:rsidRPr="00DA1A9B">
        <w:rPr>
          <w:rFonts w:ascii="Arial" w:hAnsi="Arial" w:cs="Arial"/>
          <w:b/>
          <w:bCs/>
        </w:rPr>
        <w:t>RV Act</w:t>
      </w:r>
      <w:r w:rsidRPr="00DA1A9B">
        <w:rPr>
          <w:rFonts w:ascii="Arial" w:hAnsi="Arial" w:cs="Arial"/>
        </w:rPr>
        <w:t xml:space="preserve">)  </w:t>
      </w:r>
    </w:p>
    <w:p w14:paraId="4C6D3E5C" w14:textId="7B3D7354" w:rsidR="00DA1A9B" w:rsidRPr="00DA1A9B" w:rsidRDefault="00DA1A9B" w:rsidP="00DA1A9B">
      <w:pPr>
        <w:numPr>
          <w:ilvl w:val="0"/>
          <w:numId w:val="28"/>
        </w:numPr>
        <w:rPr>
          <w:rFonts w:ascii="Arial" w:hAnsi="Arial" w:cs="Arial"/>
        </w:rPr>
      </w:pPr>
      <w:r w:rsidRPr="00DA1A9B">
        <w:rPr>
          <w:rFonts w:ascii="Arial" w:hAnsi="Arial" w:cs="Arial"/>
          <w:i/>
          <w:iCs/>
        </w:rPr>
        <w:t xml:space="preserve">Retirement Villages Regulation 2013 </w:t>
      </w:r>
      <w:r w:rsidRPr="00DA1A9B">
        <w:rPr>
          <w:rFonts w:ascii="Arial" w:hAnsi="Arial" w:cs="Arial"/>
        </w:rPr>
        <w:t>(</w:t>
      </w:r>
      <w:r w:rsidRPr="00DA1A9B">
        <w:rPr>
          <w:rFonts w:ascii="Arial" w:hAnsi="Arial" w:cs="Arial"/>
          <w:b/>
          <w:bCs/>
        </w:rPr>
        <w:t>RV Regulation</w:t>
      </w:r>
      <w:r w:rsidRPr="00DA1A9B">
        <w:rPr>
          <w:rFonts w:ascii="Arial" w:hAnsi="Arial" w:cs="Arial"/>
        </w:rPr>
        <w:t>);</w:t>
      </w:r>
      <w:r w:rsidRPr="00DA1A9B">
        <w:rPr>
          <w:rFonts w:ascii="Arial" w:hAnsi="Arial" w:cs="Arial"/>
          <w:i/>
          <w:iCs/>
        </w:rPr>
        <w:t xml:space="preserve"> </w:t>
      </w:r>
      <w:r w:rsidRPr="00DA1A9B">
        <w:rPr>
          <w:rFonts w:ascii="Arial" w:hAnsi="Arial" w:cs="Arial"/>
        </w:rPr>
        <w:t>and</w:t>
      </w:r>
    </w:p>
    <w:p w14:paraId="362CD032" w14:textId="4B9FF399" w:rsidR="00DA1A9B" w:rsidRPr="00DA1A9B" w:rsidRDefault="00DA1A9B" w:rsidP="003B56C4">
      <w:pPr>
        <w:numPr>
          <w:ilvl w:val="0"/>
          <w:numId w:val="28"/>
        </w:numPr>
        <w:rPr>
          <w:rFonts w:ascii="Arial" w:hAnsi="Arial" w:cs="Arial"/>
        </w:rPr>
      </w:pPr>
      <w:r w:rsidRPr="00DA1A9B">
        <w:rPr>
          <w:rFonts w:ascii="Arial" w:hAnsi="Arial" w:cs="Arial"/>
          <w:i/>
          <w:iCs/>
        </w:rPr>
        <w:t>Unit Titles (Management) Act 2011</w:t>
      </w:r>
      <w:r w:rsidRPr="00DA1A9B">
        <w:rPr>
          <w:rFonts w:ascii="Arial" w:hAnsi="Arial" w:cs="Arial"/>
        </w:rPr>
        <w:t>(</w:t>
      </w:r>
      <w:r w:rsidRPr="00DA1A9B">
        <w:rPr>
          <w:rFonts w:ascii="Arial" w:hAnsi="Arial" w:cs="Arial"/>
          <w:b/>
          <w:bCs/>
        </w:rPr>
        <w:t>UTMA</w:t>
      </w:r>
      <w:r w:rsidRPr="00DA1A9B">
        <w:rPr>
          <w:rFonts w:ascii="Arial" w:hAnsi="Arial" w:cs="Arial"/>
        </w:rPr>
        <w:t>).</w:t>
      </w:r>
    </w:p>
    <w:p w14:paraId="54D72A44" w14:textId="19F9BC47" w:rsidR="00E03C82" w:rsidRPr="002969A6" w:rsidRDefault="00E03C82" w:rsidP="00E03C82">
      <w:pPr>
        <w:pStyle w:val="Heading3"/>
        <w:rPr>
          <w:sz w:val="28"/>
          <w:szCs w:val="28"/>
        </w:rPr>
      </w:pPr>
      <w:r w:rsidRPr="002969A6">
        <w:rPr>
          <w:sz w:val="28"/>
          <w:szCs w:val="28"/>
        </w:rPr>
        <w:lastRenderedPageBreak/>
        <w:t>Part 2</w:t>
      </w:r>
      <w:r w:rsidRPr="002969A6">
        <w:rPr>
          <w:sz w:val="28"/>
          <w:szCs w:val="28"/>
        </w:rPr>
        <w:tab/>
      </w:r>
      <w:r w:rsidRPr="002969A6">
        <w:rPr>
          <w:sz w:val="28"/>
          <w:szCs w:val="28"/>
        </w:rPr>
        <w:tab/>
        <w:t>Land Titles Act 1925</w:t>
      </w:r>
    </w:p>
    <w:p w14:paraId="08CA57D2" w14:textId="5A378216" w:rsidR="003E3F14" w:rsidRDefault="00E03C82" w:rsidP="002969A6">
      <w:pPr>
        <w:pStyle w:val="Heading3"/>
        <w:spacing w:before="0" w:after="0"/>
      </w:pPr>
      <w:r w:rsidRPr="00ED3B77">
        <w:t xml:space="preserve">Clause </w:t>
      </w:r>
      <w:r>
        <w:t>4</w:t>
      </w:r>
      <w:r w:rsidRPr="00ED3B77">
        <w:tab/>
      </w:r>
      <w:r>
        <w:t xml:space="preserve">Parties interested may enter caveat </w:t>
      </w:r>
    </w:p>
    <w:p w14:paraId="20102211" w14:textId="66FCBC22" w:rsidR="00E03C82" w:rsidRDefault="00E03C82" w:rsidP="002969A6">
      <w:pPr>
        <w:pStyle w:val="Heading3"/>
        <w:spacing w:before="0"/>
        <w:ind w:left="720" w:firstLine="720"/>
      </w:pPr>
      <w:r>
        <w:t>Section 30 (1)</w:t>
      </w:r>
    </w:p>
    <w:p w14:paraId="79C0DB0E" w14:textId="190A90C6" w:rsidR="00D10497" w:rsidRDefault="00DA1A9B" w:rsidP="003E3F14">
      <w:pPr>
        <w:spacing w:after="240"/>
        <w:rPr>
          <w:rFonts w:ascii="Arial" w:hAnsi="Arial" w:cs="Arial"/>
        </w:rPr>
      </w:pPr>
      <w:r w:rsidRPr="00021909">
        <w:rPr>
          <w:rFonts w:ascii="Arial" w:hAnsi="Arial" w:cs="Arial"/>
        </w:rPr>
        <w:t xml:space="preserve">This clause </w:t>
      </w:r>
      <w:r w:rsidR="00D10497">
        <w:rPr>
          <w:rFonts w:ascii="Arial" w:hAnsi="Arial" w:cs="Arial"/>
        </w:rPr>
        <w:t xml:space="preserve">is a consequential amendment following the change at </w:t>
      </w:r>
      <w:r w:rsidR="00D10497" w:rsidRPr="002969A6">
        <w:rPr>
          <w:rFonts w:ascii="Arial" w:hAnsi="Arial" w:cs="Arial"/>
        </w:rPr>
        <w:t>clause 5</w:t>
      </w:r>
      <w:r w:rsidR="00D10497">
        <w:rPr>
          <w:rFonts w:ascii="Arial" w:hAnsi="Arial" w:cs="Arial"/>
        </w:rPr>
        <w:t xml:space="preserve"> which removes the requirement for a person lodging a caveat </w:t>
      </w:r>
      <w:r w:rsidR="00A13472">
        <w:rPr>
          <w:rFonts w:ascii="Arial" w:hAnsi="Arial" w:cs="Arial"/>
        </w:rPr>
        <w:t xml:space="preserve">against an original application </w:t>
      </w:r>
      <w:r w:rsidR="00D10497">
        <w:rPr>
          <w:rFonts w:ascii="Arial" w:hAnsi="Arial" w:cs="Arial"/>
        </w:rPr>
        <w:t xml:space="preserve">to have an address for service within the ACT (and instead requires an address for service in Australia). </w:t>
      </w:r>
    </w:p>
    <w:p w14:paraId="6254F177" w14:textId="1E867650" w:rsidR="00DA1A9B" w:rsidRPr="00021909" w:rsidRDefault="00D10497" w:rsidP="002969A6">
      <w:pPr>
        <w:spacing w:after="240"/>
        <w:rPr>
          <w:rFonts w:ascii="Arial" w:hAnsi="Arial" w:cs="Arial"/>
        </w:rPr>
      </w:pPr>
      <w:r>
        <w:rPr>
          <w:rFonts w:ascii="Arial" w:hAnsi="Arial" w:cs="Arial"/>
        </w:rPr>
        <w:t xml:space="preserve">This clause </w:t>
      </w:r>
      <w:r w:rsidR="00DA1A9B" w:rsidRPr="00021909">
        <w:rPr>
          <w:rFonts w:ascii="Arial" w:hAnsi="Arial" w:cs="Arial"/>
        </w:rPr>
        <w:t>remove</w:t>
      </w:r>
      <w:r w:rsidR="00021909" w:rsidRPr="00021909">
        <w:rPr>
          <w:rFonts w:ascii="Arial" w:hAnsi="Arial" w:cs="Arial"/>
        </w:rPr>
        <w:t>s</w:t>
      </w:r>
      <w:r w:rsidR="00DA1A9B" w:rsidRPr="00021909">
        <w:rPr>
          <w:rFonts w:ascii="Arial" w:hAnsi="Arial" w:cs="Arial"/>
        </w:rPr>
        <w:t xml:space="preserve"> the words “in the ACT” from</w:t>
      </w:r>
      <w:r w:rsidR="00021909" w:rsidRPr="00021909">
        <w:rPr>
          <w:rFonts w:ascii="Arial" w:hAnsi="Arial" w:cs="Arial"/>
        </w:rPr>
        <w:t xml:space="preserve"> section 30 (1), which </w:t>
      </w:r>
      <w:r>
        <w:rPr>
          <w:rFonts w:ascii="Arial" w:hAnsi="Arial" w:cs="Arial"/>
        </w:rPr>
        <w:t>refers to</w:t>
      </w:r>
      <w:r w:rsidRPr="00021909">
        <w:rPr>
          <w:rFonts w:ascii="Arial" w:hAnsi="Arial" w:cs="Arial"/>
        </w:rPr>
        <w:t xml:space="preserve"> </w:t>
      </w:r>
      <w:r w:rsidR="00021909" w:rsidRPr="00021909">
        <w:rPr>
          <w:rFonts w:ascii="Arial" w:hAnsi="Arial" w:cs="Arial"/>
        </w:rPr>
        <w:t>the legal practitioner of agent of the person lodging a caveat against original applications to be</w:t>
      </w:r>
      <w:r>
        <w:rPr>
          <w:rFonts w:ascii="Arial" w:hAnsi="Arial" w:cs="Arial"/>
        </w:rPr>
        <w:t>ing</w:t>
      </w:r>
      <w:r w:rsidR="00021909" w:rsidRPr="00021909">
        <w:rPr>
          <w:rFonts w:ascii="Arial" w:hAnsi="Arial" w:cs="Arial"/>
        </w:rPr>
        <w:t xml:space="preserve"> located within the ACT. The effect of this amendment is that the legal practitioner or agent of the person lodging the caveat no longer has to be located in the ACT</w:t>
      </w:r>
      <w:r>
        <w:rPr>
          <w:rFonts w:ascii="Arial" w:hAnsi="Arial" w:cs="Arial"/>
        </w:rPr>
        <w:t xml:space="preserve"> as the caveator will be able to provide an address for service anywhere in Australia</w:t>
      </w:r>
      <w:r w:rsidR="00021909" w:rsidRPr="00021909">
        <w:rPr>
          <w:rFonts w:ascii="Arial" w:hAnsi="Arial" w:cs="Arial"/>
        </w:rPr>
        <w:t xml:space="preserve">. </w:t>
      </w:r>
    </w:p>
    <w:p w14:paraId="25F7B47A" w14:textId="7B039D64" w:rsidR="00E03C82" w:rsidRDefault="00E03C82" w:rsidP="00E03C82">
      <w:pPr>
        <w:pStyle w:val="Heading3"/>
      </w:pPr>
      <w:r w:rsidRPr="00ED3B77">
        <w:t xml:space="preserve">Clause </w:t>
      </w:r>
      <w:r>
        <w:t>5</w:t>
      </w:r>
      <w:r w:rsidRPr="00ED3B77">
        <w:tab/>
      </w:r>
      <w:r>
        <w:t>Section 30 (2)</w:t>
      </w:r>
    </w:p>
    <w:p w14:paraId="174099C5" w14:textId="3E33A14B" w:rsidR="00021909" w:rsidRPr="008C27AB" w:rsidRDefault="00021909" w:rsidP="00021909">
      <w:pPr>
        <w:rPr>
          <w:rFonts w:ascii="Arial" w:hAnsi="Arial" w:cs="Arial"/>
        </w:rPr>
      </w:pPr>
      <w:r w:rsidRPr="008C27AB">
        <w:rPr>
          <w:rFonts w:ascii="Arial" w:hAnsi="Arial" w:cs="Arial"/>
        </w:rPr>
        <w:t>This clause amends the existing service address requirements for caveats against original applications</w:t>
      </w:r>
      <w:r w:rsidR="008C27AB" w:rsidRPr="008C27AB">
        <w:rPr>
          <w:rFonts w:ascii="Arial" w:hAnsi="Arial" w:cs="Arial"/>
        </w:rPr>
        <w:t xml:space="preserve">, by removing reference to </w:t>
      </w:r>
      <w:r w:rsidR="00D10497">
        <w:rPr>
          <w:rFonts w:ascii="Arial" w:hAnsi="Arial" w:cs="Arial"/>
        </w:rPr>
        <w:t>the requirement for an</w:t>
      </w:r>
      <w:r w:rsidR="00D10497" w:rsidRPr="008C27AB">
        <w:rPr>
          <w:rFonts w:ascii="Arial" w:hAnsi="Arial" w:cs="Arial"/>
        </w:rPr>
        <w:t xml:space="preserve"> </w:t>
      </w:r>
      <w:r w:rsidR="008C27AB" w:rsidRPr="008C27AB">
        <w:rPr>
          <w:rFonts w:ascii="Arial" w:hAnsi="Arial" w:cs="Arial"/>
        </w:rPr>
        <w:t xml:space="preserve">address </w:t>
      </w:r>
      <w:r w:rsidR="00D10497">
        <w:rPr>
          <w:rFonts w:ascii="Arial" w:hAnsi="Arial" w:cs="Arial"/>
        </w:rPr>
        <w:t xml:space="preserve">for service </w:t>
      </w:r>
      <w:r w:rsidR="008C27AB" w:rsidRPr="008C27AB">
        <w:rPr>
          <w:rFonts w:ascii="Arial" w:hAnsi="Arial" w:cs="Arial"/>
        </w:rPr>
        <w:t xml:space="preserve">within the ACT and substituting </w:t>
      </w:r>
      <w:r w:rsidR="00D10497">
        <w:rPr>
          <w:rFonts w:ascii="Arial" w:hAnsi="Arial" w:cs="Arial"/>
        </w:rPr>
        <w:t xml:space="preserve">this </w:t>
      </w:r>
      <w:r w:rsidR="008C27AB" w:rsidRPr="008C27AB">
        <w:rPr>
          <w:rFonts w:ascii="Arial" w:hAnsi="Arial" w:cs="Arial"/>
        </w:rPr>
        <w:t xml:space="preserve">with </w:t>
      </w:r>
      <w:r w:rsidR="00D10497">
        <w:rPr>
          <w:rFonts w:ascii="Arial" w:hAnsi="Arial" w:cs="Arial"/>
        </w:rPr>
        <w:t xml:space="preserve">a requirement for </w:t>
      </w:r>
      <w:r w:rsidR="008C27AB" w:rsidRPr="008C27AB">
        <w:rPr>
          <w:rFonts w:ascii="Arial" w:hAnsi="Arial" w:cs="Arial"/>
        </w:rPr>
        <w:t xml:space="preserve">an address or place in Australia as an address for service of notices and proceedings relating to the caveat against </w:t>
      </w:r>
      <w:r w:rsidR="00DB36BB">
        <w:rPr>
          <w:rFonts w:ascii="Arial" w:hAnsi="Arial" w:cs="Arial"/>
        </w:rPr>
        <w:t xml:space="preserve">an </w:t>
      </w:r>
      <w:r w:rsidR="008C27AB" w:rsidRPr="008C27AB">
        <w:rPr>
          <w:rFonts w:ascii="Arial" w:hAnsi="Arial" w:cs="Arial"/>
        </w:rPr>
        <w:t>original application</w:t>
      </w:r>
      <w:r w:rsidR="00F75111">
        <w:rPr>
          <w:rFonts w:ascii="Arial" w:hAnsi="Arial" w:cs="Arial"/>
        </w:rPr>
        <w:t xml:space="preserve">. </w:t>
      </w:r>
      <w:r w:rsidR="00F75111" w:rsidRPr="00021909">
        <w:rPr>
          <w:rFonts w:ascii="Arial" w:hAnsi="Arial" w:cs="Arial"/>
        </w:rPr>
        <w:t xml:space="preserve">The effect of this amendment is that </w:t>
      </w:r>
      <w:r w:rsidR="00F75111">
        <w:rPr>
          <w:rFonts w:ascii="Arial" w:hAnsi="Arial" w:cs="Arial"/>
        </w:rPr>
        <w:t xml:space="preserve">the service address on the caveat application can be any physical address in Australia. This </w:t>
      </w:r>
      <w:r w:rsidR="006E23CB">
        <w:rPr>
          <w:rFonts w:ascii="Arial" w:hAnsi="Arial" w:cs="Arial"/>
        </w:rPr>
        <w:t xml:space="preserve">aligns with the amendment in </w:t>
      </w:r>
      <w:r w:rsidR="006E23CB" w:rsidRPr="002969A6">
        <w:rPr>
          <w:rFonts w:ascii="Arial" w:hAnsi="Arial" w:cs="Arial"/>
        </w:rPr>
        <w:t xml:space="preserve">clause </w:t>
      </w:r>
      <w:r w:rsidR="00F7275A" w:rsidRPr="002969A6">
        <w:rPr>
          <w:rFonts w:ascii="Arial" w:hAnsi="Arial" w:cs="Arial"/>
        </w:rPr>
        <w:t xml:space="preserve">10 </w:t>
      </w:r>
      <w:r w:rsidR="00D10497" w:rsidRPr="002969A6">
        <w:rPr>
          <w:rFonts w:ascii="Arial" w:hAnsi="Arial" w:cs="Arial"/>
        </w:rPr>
        <w:t>wh</w:t>
      </w:r>
      <w:r w:rsidR="00D10497">
        <w:rPr>
          <w:rFonts w:ascii="Arial" w:hAnsi="Arial" w:cs="Arial"/>
        </w:rPr>
        <w:t>ich brings in a similar change to address for service requirements for caveats against dealings</w:t>
      </w:r>
      <w:r w:rsidR="00F75111">
        <w:rPr>
          <w:rFonts w:ascii="Arial" w:hAnsi="Arial" w:cs="Arial"/>
        </w:rPr>
        <w:t>.</w:t>
      </w:r>
    </w:p>
    <w:p w14:paraId="2AD37F0B" w14:textId="377C300E" w:rsidR="00E03C82" w:rsidRDefault="00E03C82" w:rsidP="00E03C82">
      <w:pPr>
        <w:pStyle w:val="Heading3"/>
      </w:pPr>
      <w:r w:rsidRPr="00ED3B77">
        <w:t xml:space="preserve">Clause </w:t>
      </w:r>
      <w:r>
        <w:t>6</w:t>
      </w:r>
      <w:r w:rsidRPr="00ED3B77">
        <w:tab/>
      </w:r>
      <w:r>
        <w:t>Section 30 (2A)</w:t>
      </w:r>
    </w:p>
    <w:p w14:paraId="3BF353E5" w14:textId="16C9A263" w:rsidR="00D10497" w:rsidRDefault="008C27AB" w:rsidP="008C27AB">
      <w:pPr>
        <w:rPr>
          <w:rFonts w:ascii="Arial" w:hAnsi="Arial" w:cs="Arial"/>
        </w:rPr>
      </w:pPr>
      <w:r w:rsidRPr="008C27AB">
        <w:rPr>
          <w:rFonts w:ascii="Arial" w:hAnsi="Arial" w:cs="Arial"/>
        </w:rPr>
        <w:t xml:space="preserve">This clause inserts a new subsection to allow for </w:t>
      </w:r>
      <w:r w:rsidR="00F7275A">
        <w:rPr>
          <w:rFonts w:ascii="Arial" w:hAnsi="Arial" w:cs="Arial"/>
        </w:rPr>
        <w:t>a</w:t>
      </w:r>
      <w:r w:rsidR="00F7275A" w:rsidRPr="008C27AB">
        <w:rPr>
          <w:rFonts w:ascii="Arial" w:hAnsi="Arial" w:cs="Arial"/>
        </w:rPr>
        <w:t xml:space="preserve"> </w:t>
      </w:r>
      <w:r w:rsidRPr="008C27AB">
        <w:rPr>
          <w:rFonts w:ascii="Arial" w:hAnsi="Arial" w:cs="Arial"/>
        </w:rPr>
        <w:t xml:space="preserve">caveat </w:t>
      </w:r>
      <w:r w:rsidR="00F75111">
        <w:rPr>
          <w:rFonts w:ascii="Arial" w:hAnsi="Arial" w:cs="Arial"/>
        </w:rPr>
        <w:t xml:space="preserve">against </w:t>
      </w:r>
      <w:r w:rsidR="00DB36BB">
        <w:rPr>
          <w:rFonts w:ascii="Arial" w:hAnsi="Arial" w:cs="Arial"/>
        </w:rPr>
        <w:t xml:space="preserve">an </w:t>
      </w:r>
      <w:r w:rsidR="00F75111">
        <w:rPr>
          <w:rFonts w:ascii="Arial" w:hAnsi="Arial" w:cs="Arial"/>
        </w:rPr>
        <w:t xml:space="preserve">original application </w:t>
      </w:r>
      <w:r w:rsidRPr="008C27AB">
        <w:rPr>
          <w:rFonts w:ascii="Arial" w:hAnsi="Arial" w:cs="Arial"/>
        </w:rPr>
        <w:t xml:space="preserve">to provide an email address as an additional address for service of notices and proceedings. </w:t>
      </w:r>
      <w:r w:rsidR="00D10497">
        <w:rPr>
          <w:rFonts w:ascii="Arial" w:hAnsi="Arial" w:cs="Arial"/>
        </w:rPr>
        <w:t xml:space="preserve">This amendment will facilitate electronic service or documents, where the caveator agrees to be served in this way by providing an email address as an address for service. </w:t>
      </w:r>
    </w:p>
    <w:p w14:paraId="380ECA87" w14:textId="085C160C" w:rsidR="008C27AB" w:rsidRPr="008C27AB" w:rsidRDefault="006E23CB" w:rsidP="008C27AB">
      <w:pPr>
        <w:rPr>
          <w:rFonts w:ascii="Arial" w:hAnsi="Arial" w:cs="Arial"/>
        </w:rPr>
      </w:pPr>
      <w:r w:rsidRPr="002969A6">
        <w:rPr>
          <w:rFonts w:ascii="Arial" w:hAnsi="Arial" w:cs="Arial"/>
        </w:rPr>
        <w:t xml:space="preserve">Clause </w:t>
      </w:r>
      <w:r w:rsidR="00F7275A" w:rsidRPr="002969A6">
        <w:rPr>
          <w:rFonts w:ascii="Arial" w:hAnsi="Arial" w:cs="Arial"/>
        </w:rPr>
        <w:t xml:space="preserve">11 </w:t>
      </w:r>
      <w:r w:rsidR="00D10497" w:rsidRPr="002969A6">
        <w:rPr>
          <w:rFonts w:ascii="Arial" w:hAnsi="Arial" w:cs="Arial"/>
        </w:rPr>
        <w:t>bring</w:t>
      </w:r>
      <w:r w:rsidR="00D10497">
        <w:rPr>
          <w:rFonts w:ascii="Arial" w:hAnsi="Arial" w:cs="Arial"/>
        </w:rPr>
        <w:t xml:space="preserve">s in a similar change </w:t>
      </w:r>
      <w:r>
        <w:rPr>
          <w:rFonts w:ascii="Arial" w:hAnsi="Arial" w:cs="Arial"/>
        </w:rPr>
        <w:t xml:space="preserve">for service </w:t>
      </w:r>
      <w:r w:rsidR="00D10497">
        <w:rPr>
          <w:rFonts w:ascii="Arial" w:hAnsi="Arial" w:cs="Arial"/>
        </w:rPr>
        <w:t>of documents relating to</w:t>
      </w:r>
      <w:r>
        <w:rPr>
          <w:rFonts w:ascii="Arial" w:hAnsi="Arial" w:cs="Arial"/>
        </w:rPr>
        <w:t xml:space="preserve"> caveats against dealings.</w:t>
      </w:r>
    </w:p>
    <w:p w14:paraId="4A948615" w14:textId="4FC67751" w:rsidR="00F7275A" w:rsidRDefault="00E03C82" w:rsidP="008F2C88">
      <w:pPr>
        <w:pStyle w:val="Heading3"/>
        <w:spacing w:before="0" w:after="0"/>
      </w:pPr>
      <w:r w:rsidRPr="00ED3B77">
        <w:t xml:space="preserve">Clause </w:t>
      </w:r>
      <w:r>
        <w:t>7</w:t>
      </w:r>
      <w:r w:rsidRPr="00ED3B77">
        <w:tab/>
      </w:r>
      <w:r>
        <w:t xml:space="preserve">Mortgage to receive rent </w:t>
      </w:r>
    </w:p>
    <w:p w14:paraId="0EBD90DB" w14:textId="0F2CF3E0" w:rsidR="00E03C82" w:rsidRDefault="00E03C82" w:rsidP="008F2C88">
      <w:pPr>
        <w:pStyle w:val="Heading3"/>
        <w:spacing w:before="0" w:after="0"/>
        <w:ind w:left="720" w:firstLine="720"/>
      </w:pPr>
      <w:r>
        <w:t>Section 99 (4)</w:t>
      </w:r>
    </w:p>
    <w:p w14:paraId="529FC327" w14:textId="64B4AE36" w:rsidR="00BE1B4E" w:rsidRDefault="00BE1B4E" w:rsidP="008F2C88">
      <w:pPr>
        <w:spacing w:before="240"/>
        <w:rPr>
          <w:rFonts w:ascii="Arial" w:hAnsi="Arial" w:cs="Arial"/>
        </w:rPr>
      </w:pPr>
      <w:r>
        <w:rPr>
          <w:rFonts w:ascii="Arial" w:hAnsi="Arial" w:cs="Arial"/>
        </w:rPr>
        <w:t>Section 99</w:t>
      </w:r>
      <w:r w:rsidR="00DB36BB">
        <w:rPr>
          <w:rFonts w:ascii="Arial" w:hAnsi="Arial" w:cs="Arial"/>
        </w:rPr>
        <w:t xml:space="preserve"> </w:t>
      </w:r>
      <w:r>
        <w:rPr>
          <w:rFonts w:ascii="Arial" w:hAnsi="Arial" w:cs="Arial"/>
        </w:rPr>
        <w:t>(4) currently indicates that</w:t>
      </w:r>
      <w:r w:rsidR="00DB36BB">
        <w:rPr>
          <w:rFonts w:ascii="Arial" w:hAnsi="Arial" w:cs="Arial"/>
        </w:rPr>
        <w:t>,</w:t>
      </w:r>
      <w:r>
        <w:rPr>
          <w:rFonts w:ascii="Arial" w:hAnsi="Arial" w:cs="Arial"/>
        </w:rPr>
        <w:t xml:space="preserve"> in section 99</w:t>
      </w:r>
      <w:r w:rsidR="00DB36BB">
        <w:rPr>
          <w:rFonts w:ascii="Arial" w:hAnsi="Arial" w:cs="Arial"/>
        </w:rPr>
        <w:t>,</w:t>
      </w:r>
      <w:r>
        <w:rPr>
          <w:rFonts w:ascii="Arial" w:hAnsi="Arial" w:cs="Arial"/>
        </w:rPr>
        <w:t xml:space="preserve"> </w:t>
      </w:r>
      <w:r w:rsidRPr="00BE1B4E">
        <w:rPr>
          <w:rFonts w:ascii="Arial" w:hAnsi="Arial" w:cs="Arial"/>
          <w:b/>
          <w:bCs/>
          <w:i/>
          <w:iCs/>
        </w:rPr>
        <w:t>court</w:t>
      </w:r>
      <w:r w:rsidRPr="00BE1B4E">
        <w:rPr>
          <w:rFonts w:ascii="Arial" w:hAnsi="Arial" w:cs="Arial"/>
        </w:rPr>
        <w:t> includes a court having jurisdiction under the </w:t>
      </w:r>
      <w:hyperlink r:id="rId16" w:tooltip="Act 1975 No 53 (Cwlth)" w:history="1">
        <w:r w:rsidRPr="00BE1B4E">
          <w:rPr>
            <w:rStyle w:val="Hyperlink"/>
            <w:rFonts w:ascii="Arial" w:hAnsi="Arial" w:cs="Arial"/>
            <w:i/>
            <w:iCs/>
          </w:rPr>
          <w:t>Family Law Act 1975</w:t>
        </w:r>
      </w:hyperlink>
      <w:r w:rsidRPr="00BE1B4E">
        <w:rPr>
          <w:rFonts w:ascii="Arial" w:hAnsi="Arial" w:cs="Arial"/>
        </w:rPr>
        <w:t> (Cwlth).</w:t>
      </w:r>
    </w:p>
    <w:p w14:paraId="58A15784" w14:textId="1A505B6A" w:rsidR="006B3352" w:rsidRDefault="006B3352" w:rsidP="006B3352">
      <w:pPr>
        <w:rPr>
          <w:rFonts w:ascii="Arial" w:hAnsi="Arial" w:cs="Arial"/>
        </w:rPr>
      </w:pPr>
      <w:r w:rsidRPr="008C27AB">
        <w:rPr>
          <w:rFonts w:ascii="Arial" w:hAnsi="Arial" w:cs="Arial"/>
        </w:rPr>
        <w:t xml:space="preserve">This clause </w:t>
      </w:r>
      <w:r>
        <w:rPr>
          <w:rFonts w:ascii="Arial" w:hAnsi="Arial" w:cs="Arial"/>
        </w:rPr>
        <w:t xml:space="preserve">is </w:t>
      </w:r>
      <w:r w:rsidR="00AC17F4">
        <w:rPr>
          <w:rFonts w:ascii="Arial" w:hAnsi="Arial" w:cs="Arial"/>
        </w:rPr>
        <w:t xml:space="preserve">consequential to the amendment at </w:t>
      </w:r>
      <w:r w:rsidR="00AC17F4" w:rsidRPr="002969A6">
        <w:rPr>
          <w:rFonts w:ascii="Arial" w:hAnsi="Arial" w:cs="Arial"/>
        </w:rPr>
        <w:t>clause 2</w:t>
      </w:r>
      <w:r w:rsidR="00F7275A" w:rsidRPr="002969A6">
        <w:rPr>
          <w:rFonts w:ascii="Arial" w:hAnsi="Arial" w:cs="Arial"/>
        </w:rPr>
        <w:t>3</w:t>
      </w:r>
      <w:r w:rsidR="00BE1B4E">
        <w:rPr>
          <w:rFonts w:ascii="Arial" w:hAnsi="Arial" w:cs="Arial"/>
        </w:rPr>
        <w:t xml:space="preserve"> which amends the dictionary definition of </w:t>
      </w:r>
      <w:r w:rsidR="00BE1B4E" w:rsidRPr="002969A6">
        <w:rPr>
          <w:rFonts w:ascii="Arial" w:hAnsi="Arial" w:cs="Arial"/>
          <w:b/>
          <w:bCs/>
          <w:i/>
          <w:iCs/>
        </w:rPr>
        <w:t>court</w:t>
      </w:r>
      <w:r w:rsidR="00BE1B4E">
        <w:rPr>
          <w:rFonts w:ascii="Arial" w:hAnsi="Arial" w:cs="Arial"/>
        </w:rPr>
        <w:t xml:space="preserve"> so that it now includes an example of a court which has jurisdiction matters mentioned in the LTA, and provides the example of a court which has jurisdiction under the </w:t>
      </w:r>
      <w:r w:rsidR="00BE1B4E">
        <w:rPr>
          <w:rFonts w:ascii="Arial" w:hAnsi="Arial" w:cs="Arial"/>
          <w:i/>
          <w:iCs/>
        </w:rPr>
        <w:t>Family Law Act 1975 (Cwlth).</w:t>
      </w:r>
    </w:p>
    <w:p w14:paraId="7865D855" w14:textId="42EBF9DC" w:rsidR="00BE1B4E" w:rsidRPr="00BE1B4E" w:rsidRDefault="00BE1B4E" w:rsidP="006B3352">
      <w:pPr>
        <w:rPr>
          <w:rFonts w:ascii="Arial" w:hAnsi="Arial" w:cs="Arial"/>
        </w:rPr>
      </w:pPr>
      <w:r>
        <w:rPr>
          <w:rFonts w:ascii="Arial" w:hAnsi="Arial" w:cs="Arial"/>
        </w:rPr>
        <w:t xml:space="preserve">As the dictionary now clarifies that </w:t>
      </w:r>
      <w:r w:rsidRPr="00BE1B4E">
        <w:rPr>
          <w:rFonts w:ascii="Arial" w:hAnsi="Arial" w:cs="Arial"/>
        </w:rPr>
        <w:t>a court having jurisdiction under the </w:t>
      </w:r>
      <w:hyperlink r:id="rId17" w:tooltip="Act 1975 No 53 (Cwlth)" w:history="1">
        <w:r w:rsidRPr="00BE1B4E">
          <w:rPr>
            <w:rStyle w:val="Hyperlink"/>
            <w:rFonts w:ascii="Arial" w:hAnsi="Arial" w:cs="Arial"/>
            <w:i/>
            <w:iCs/>
          </w:rPr>
          <w:t>Family Law Act 1975</w:t>
        </w:r>
      </w:hyperlink>
      <w:r w:rsidRPr="00BE1B4E">
        <w:rPr>
          <w:rFonts w:ascii="Arial" w:hAnsi="Arial" w:cs="Arial"/>
        </w:rPr>
        <w:t> (Cwlth)</w:t>
      </w:r>
      <w:r>
        <w:rPr>
          <w:rFonts w:ascii="Arial" w:hAnsi="Arial" w:cs="Arial"/>
        </w:rPr>
        <w:t xml:space="preserve"> falls within the broader definition of </w:t>
      </w:r>
      <w:r w:rsidRPr="002969A6">
        <w:rPr>
          <w:rFonts w:ascii="Arial" w:hAnsi="Arial" w:cs="Arial"/>
          <w:b/>
          <w:bCs/>
          <w:i/>
          <w:iCs/>
        </w:rPr>
        <w:t>court</w:t>
      </w:r>
      <w:r>
        <w:rPr>
          <w:rFonts w:ascii="Arial" w:hAnsi="Arial" w:cs="Arial"/>
          <w:b/>
          <w:bCs/>
        </w:rPr>
        <w:t xml:space="preserve"> </w:t>
      </w:r>
      <w:r>
        <w:rPr>
          <w:rFonts w:ascii="Arial" w:hAnsi="Arial" w:cs="Arial"/>
        </w:rPr>
        <w:t xml:space="preserve">which applies for the whole Act </w:t>
      </w:r>
      <w:r w:rsidR="00BB1B56">
        <w:rPr>
          <w:rFonts w:ascii="Arial" w:hAnsi="Arial" w:cs="Arial"/>
        </w:rPr>
        <w:t xml:space="preserve">the reference at section 99 (4) is no longer needed. </w:t>
      </w:r>
    </w:p>
    <w:p w14:paraId="4826672D" w14:textId="75E05F99" w:rsidR="009A6BFD" w:rsidRDefault="00E03C82" w:rsidP="008F2C88">
      <w:pPr>
        <w:pStyle w:val="Heading3"/>
        <w:spacing w:before="0" w:after="0"/>
      </w:pPr>
      <w:r w:rsidRPr="00ED3B77">
        <w:lastRenderedPageBreak/>
        <w:t xml:space="preserve">Clause </w:t>
      </w:r>
      <w:r w:rsidR="009A6BFD">
        <w:t>8</w:t>
      </w:r>
      <w:r w:rsidRPr="00ED3B77">
        <w:tab/>
      </w:r>
      <w:r w:rsidR="009A6BFD">
        <w:t xml:space="preserve">Lodging of caveat </w:t>
      </w:r>
    </w:p>
    <w:p w14:paraId="33981F24" w14:textId="708562A6" w:rsidR="00E03C82" w:rsidRDefault="00E03C82" w:rsidP="008F2C88">
      <w:pPr>
        <w:pStyle w:val="Heading3"/>
        <w:spacing w:before="0" w:after="0"/>
        <w:ind w:left="720" w:firstLine="720"/>
      </w:pPr>
      <w:r>
        <w:t>New section 104 (4) (</w:t>
      </w:r>
      <w:proofErr w:type="spellStart"/>
      <w:r>
        <w:t>ba</w:t>
      </w:r>
      <w:proofErr w:type="spellEnd"/>
      <w:r>
        <w:t>)</w:t>
      </w:r>
    </w:p>
    <w:p w14:paraId="034FE8D1" w14:textId="0E27028D" w:rsidR="000E7CCB" w:rsidRPr="00F75111" w:rsidRDefault="000E7CCB" w:rsidP="008F2C88">
      <w:pPr>
        <w:spacing w:before="240"/>
        <w:rPr>
          <w:rFonts w:ascii="Arial" w:hAnsi="Arial" w:cs="Arial"/>
        </w:rPr>
      </w:pPr>
      <w:r w:rsidRPr="00F75111">
        <w:rPr>
          <w:rFonts w:ascii="Arial" w:hAnsi="Arial" w:cs="Arial"/>
        </w:rPr>
        <w:t xml:space="preserve">This </w:t>
      </w:r>
      <w:r w:rsidR="00F75111" w:rsidRPr="00F75111">
        <w:rPr>
          <w:rFonts w:ascii="Arial" w:hAnsi="Arial" w:cs="Arial"/>
        </w:rPr>
        <w:t>clause</w:t>
      </w:r>
      <w:r w:rsidRPr="00F75111">
        <w:rPr>
          <w:rFonts w:ascii="Arial" w:hAnsi="Arial" w:cs="Arial"/>
        </w:rPr>
        <w:t xml:space="preserve"> inserts a new subsection (</w:t>
      </w:r>
      <w:proofErr w:type="spellStart"/>
      <w:r w:rsidRPr="00F75111">
        <w:rPr>
          <w:rFonts w:ascii="Arial" w:hAnsi="Arial" w:cs="Arial"/>
        </w:rPr>
        <w:t>ba</w:t>
      </w:r>
      <w:proofErr w:type="spellEnd"/>
      <w:r w:rsidRPr="00F75111">
        <w:rPr>
          <w:rFonts w:ascii="Arial" w:hAnsi="Arial" w:cs="Arial"/>
        </w:rPr>
        <w:t xml:space="preserve">) after section 104 (4) (b) to provide that a caveat cannot be lodged to prohibit the </w:t>
      </w:r>
      <w:r w:rsidR="009A6BFD" w:rsidRPr="00F75111">
        <w:rPr>
          <w:rFonts w:ascii="Arial" w:hAnsi="Arial" w:cs="Arial"/>
        </w:rPr>
        <w:t>reinstat</w:t>
      </w:r>
      <w:r w:rsidR="009A6BFD">
        <w:rPr>
          <w:rFonts w:ascii="Arial" w:hAnsi="Arial" w:cs="Arial"/>
        </w:rPr>
        <w:t>ement</w:t>
      </w:r>
      <w:r w:rsidRPr="00F75111">
        <w:rPr>
          <w:rFonts w:ascii="Arial" w:hAnsi="Arial" w:cs="Arial"/>
        </w:rPr>
        <w:t xml:space="preserve"> of a lapsed caveat under section 106 (2)</w:t>
      </w:r>
    </w:p>
    <w:p w14:paraId="6DEF691D" w14:textId="0999A089" w:rsidR="00E03C82" w:rsidRDefault="00E03C82" w:rsidP="00E03C82">
      <w:pPr>
        <w:pStyle w:val="Heading3"/>
      </w:pPr>
      <w:r w:rsidRPr="00ED3B77">
        <w:t>Clause</w:t>
      </w:r>
      <w:r>
        <w:t xml:space="preserve"> </w:t>
      </w:r>
      <w:r w:rsidR="009A6BFD">
        <w:t>9</w:t>
      </w:r>
      <w:r w:rsidRPr="00ED3B77">
        <w:tab/>
      </w:r>
      <w:r>
        <w:t>Section 104 (6)</w:t>
      </w:r>
    </w:p>
    <w:p w14:paraId="1F0E31CE" w14:textId="484D30EC" w:rsidR="00A13472" w:rsidRDefault="00A13472" w:rsidP="00A13472">
      <w:pPr>
        <w:spacing w:after="240"/>
        <w:rPr>
          <w:rFonts w:ascii="Arial" w:hAnsi="Arial" w:cs="Arial"/>
        </w:rPr>
      </w:pPr>
      <w:r w:rsidRPr="00021909">
        <w:rPr>
          <w:rFonts w:ascii="Arial" w:hAnsi="Arial" w:cs="Arial"/>
        </w:rPr>
        <w:t xml:space="preserve">This clause </w:t>
      </w:r>
      <w:r>
        <w:rPr>
          <w:rFonts w:ascii="Arial" w:hAnsi="Arial" w:cs="Arial"/>
        </w:rPr>
        <w:t xml:space="preserve">is a consequential amendment following the change at </w:t>
      </w:r>
      <w:r w:rsidRPr="002969A6">
        <w:rPr>
          <w:rFonts w:ascii="Arial" w:hAnsi="Arial" w:cs="Arial"/>
        </w:rPr>
        <w:t>clause 1</w:t>
      </w:r>
      <w:r w:rsidR="009A6BFD" w:rsidRPr="002969A6">
        <w:rPr>
          <w:rFonts w:ascii="Arial" w:hAnsi="Arial" w:cs="Arial"/>
        </w:rPr>
        <w:t>0</w:t>
      </w:r>
      <w:r w:rsidRPr="002969A6">
        <w:rPr>
          <w:rFonts w:ascii="Arial" w:hAnsi="Arial" w:cs="Arial"/>
        </w:rPr>
        <w:t xml:space="preserve"> which</w:t>
      </w:r>
      <w:r>
        <w:rPr>
          <w:rFonts w:ascii="Arial" w:hAnsi="Arial" w:cs="Arial"/>
        </w:rPr>
        <w:t xml:space="preserve"> removes the requirement for a person lodging a caveat against dealings to have an address for service within the ACT (and instead requires an address for service in Australia). </w:t>
      </w:r>
    </w:p>
    <w:p w14:paraId="14A070DA" w14:textId="30177AB8" w:rsidR="00E03C82" w:rsidRPr="006E23CB" w:rsidRDefault="006E23CB" w:rsidP="00A13472">
      <w:pPr>
        <w:rPr>
          <w:rFonts w:ascii="Arial" w:hAnsi="Arial" w:cs="Arial"/>
        </w:rPr>
      </w:pPr>
      <w:r w:rsidRPr="00021909">
        <w:rPr>
          <w:rFonts w:ascii="Arial" w:hAnsi="Arial" w:cs="Arial"/>
        </w:rPr>
        <w:t xml:space="preserve">This clause </w:t>
      </w:r>
      <w:r>
        <w:rPr>
          <w:rFonts w:ascii="Arial" w:hAnsi="Arial" w:cs="Arial"/>
        </w:rPr>
        <w:t>omits</w:t>
      </w:r>
      <w:r w:rsidRPr="00021909">
        <w:rPr>
          <w:rFonts w:ascii="Arial" w:hAnsi="Arial" w:cs="Arial"/>
        </w:rPr>
        <w:t xml:space="preserve"> the words “in the ACT” from section 1</w:t>
      </w:r>
      <w:r>
        <w:rPr>
          <w:rFonts w:ascii="Arial" w:hAnsi="Arial" w:cs="Arial"/>
        </w:rPr>
        <w:t>04 (6</w:t>
      </w:r>
      <w:r w:rsidRPr="00021909">
        <w:rPr>
          <w:rFonts w:ascii="Arial" w:hAnsi="Arial" w:cs="Arial"/>
        </w:rPr>
        <w:t xml:space="preserve">), which </w:t>
      </w:r>
      <w:r w:rsidR="00A13472">
        <w:rPr>
          <w:rFonts w:ascii="Arial" w:hAnsi="Arial" w:cs="Arial"/>
        </w:rPr>
        <w:t>refers to</w:t>
      </w:r>
      <w:r>
        <w:rPr>
          <w:rFonts w:ascii="Arial" w:hAnsi="Arial" w:cs="Arial"/>
        </w:rPr>
        <w:t xml:space="preserve"> the caveator or the </w:t>
      </w:r>
      <w:r w:rsidRPr="00021909">
        <w:rPr>
          <w:rFonts w:ascii="Arial" w:hAnsi="Arial" w:cs="Arial"/>
        </w:rPr>
        <w:t xml:space="preserve">legal practitioner of agent </w:t>
      </w:r>
      <w:r w:rsidR="00A13472">
        <w:rPr>
          <w:rFonts w:ascii="Arial" w:hAnsi="Arial" w:cs="Arial"/>
        </w:rPr>
        <w:t xml:space="preserve">being located in </w:t>
      </w:r>
      <w:r>
        <w:rPr>
          <w:rFonts w:ascii="Arial" w:hAnsi="Arial" w:cs="Arial"/>
        </w:rPr>
        <w:t xml:space="preserve">in the ACT </w:t>
      </w:r>
      <w:r w:rsidR="00A13472">
        <w:rPr>
          <w:rFonts w:ascii="Arial" w:hAnsi="Arial" w:cs="Arial"/>
        </w:rPr>
        <w:t>when signing the caveat</w:t>
      </w:r>
      <w:r w:rsidRPr="00021909">
        <w:rPr>
          <w:rFonts w:ascii="Arial" w:hAnsi="Arial" w:cs="Arial"/>
        </w:rPr>
        <w:t xml:space="preserve">. </w:t>
      </w:r>
    </w:p>
    <w:p w14:paraId="6A1623A6" w14:textId="12A1DC51" w:rsidR="00E03C82" w:rsidRDefault="00E03C82" w:rsidP="00E03C82">
      <w:pPr>
        <w:pStyle w:val="Heading3"/>
      </w:pPr>
      <w:r w:rsidRPr="00ED3B77">
        <w:t xml:space="preserve">Clause </w:t>
      </w:r>
      <w:r w:rsidR="009A6BFD">
        <w:t>10</w:t>
      </w:r>
      <w:r w:rsidRPr="00ED3B77">
        <w:tab/>
      </w:r>
      <w:r>
        <w:t>Section 104 (7)</w:t>
      </w:r>
    </w:p>
    <w:p w14:paraId="73D1734B" w14:textId="79F0F92B" w:rsidR="006E23CB" w:rsidRPr="002969A6" w:rsidRDefault="006E23CB" w:rsidP="006E23CB">
      <w:pPr>
        <w:rPr>
          <w:rFonts w:ascii="Arial" w:hAnsi="Arial" w:cs="Arial"/>
        </w:rPr>
      </w:pPr>
      <w:r w:rsidRPr="00021909">
        <w:rPr>
          <w:rFonts w:ascii="Arial" w:hAnsi="Arial" w:cs="Arial"/>
        </w:rPr>
        <w:t xml:space="preserve">This clause </w:t>
      </w:r>
      <w:r w:rsidR="00F75111" w:rsidRPr="008C27AB">
        <w:rPr>
          <w:rFonts w:ascii="Arial" w:hAnsi="Arial" w:cs="Arial"/>
        </w:rPr>
        <w:t xml:space="preserve">amends the existing service address requirements for caveats against </w:t>
      </w:r>
      <w:r w:rsidR="00F75111">
        <w:rPr>
          <w:rFonts w:ascii="Arial" w:hAnsi="Arial" w:cs="Arial"/>
        </w:rPr>
        <w:t>dealings</w:t>
      </w:r>
      <w:r w:rsidR="00F75111" w:rsidRPr="008C27AB">
        <w:rPr>
          <w:rFonts w:ascii="Arial" w:hAnsi="Arial" w:cs="Arial"/>
        </w:rPr>
        <w:t xml:space="preserve">, by removing </w:t>
      </w:r>
      <w:r w:rsidR="00A13472">
        <w:rPr>
          <w:rFonts w:ascii="Arial" w:hAnsi="Arial" w:cs="Arial"/>
        </w:rPr>
        <w:t xml:space="preserve"> the requirement for</w:t>
      </w:r>
      <w:r w:rsidR="00F75111" w:rsidRPr="008C27AB">
        <w:rPr>
          <w:rFonts w:ascii="Arial" w:hAnsi="Arial" w:cs="Arial"/>
        </w:rPr>
        <w:t xml:space="preserve"> an address </w:t>
      </w:r>
      <w:r w:rsidR="00A13472">
        <w:rPr>
          <w:rFonts w:ascii="Arial" w:hAnsi="Arial" w:cs="Arial"/>
        </w:rPr>
        <w:t xml:space="preserve">for service </w:t>
      </w:r>
      <w:r w:rsidR="00F75111" w:rsidRPr="008C27AB">
        <w:rPr>
          <w:rFonts w:ascii="Arial" w:hAnsi="Arial" w:cs="Arial"/>
        </w:rPr>
        <w:t xml:space="preserve">within the ACT, and substituting </w:t>
      </w:r>
      <w:r w:rsidR="00A13472">
        <w:rPr>
          <w:rFonts w:ascii="Arial" w:hAnsi="Arial" w:cs="Arial"/>
        </w:rPr>
        <w:t xml:space="preserve">it </w:t>
      </w:r>
      <w:r w:rsidR="00F75111" w:rsidRPr="008C27AB">
        <w:rPr>
          <w:rFonts w:ascii="Arial" w:hAnsi="Arial" w:cs="Arial"/>
        </w:rPr>
        <w:t xml:space="preserve">with </w:t>
      </w:r>
      <w:r w:rsidR="00A13472">
        <w:rPr>
          <w:rFonts w:ascii="Arial" w:hAnsi="Arial" w:cs="Arial"/>
        </w:rPr>
        <w:t xml:space="preserve">a requirement for </w:t>
      </w:r>
      <w:r w:rsidR="00F75111" w:rsidRPr="008C27AB">
        <w:rPr>
          <w:rFonts w:ascii="Arial" w:hAnsi="Arial" w:cs="Arial"/>
        </w:rPr>
        <w:t xml:space="preserve">an address </w:t>
      </w:r>
      <w:r w:rsidR="00A13472">
        <w:rPr>
          <w:rFonts w:ascii="Arial" w:hAnsi="Arial" w:cs="Arial"/>
        </w:rPr>
        <w:t>for service</w:t>
      </w:r>
      <w:r w:rsidR="00F75111" w:rsidRPr="008C27AB">
        <w:rPr>
          <w:rFonts w:ascii="Arial" w:hAnsi="Arial" w:cs="Arial"/>
        </w:rPr>
        <w:t xml:space="preserve"> in Australia</w:t>
      </w:r>
      <w:r w:rsidR="00F75111">
        <w:rPr>
          <w:rFonts w:ascii="Arial" w:hAnsi="Arial" w:cs="Arial"/>
        </w:rPr>
        <w:t xml:space="preserve">. </w:t>
      </w:r>
      <w:r w:rsidRPr="00021909">
        <w:rPr>
          <w:rFonts w:ascii="Arial" w:hAnsi="Arial" w:cs="Arial"/>
        </w:rPr>
        <w:t xml:space="preserve">The effect of this amendment is that </w:t>
      </w:r>
      <w:r w:rsidR="00F75111">
        <w:rPr>
          <w:rFonts w:ascii="Arial" w:hAnsi="Arial" w:cs="Arial"/>
        </w:rPr>
        <w:t xml:space="preserve">the </w:t>
      </w:r>
      <w:r>
        <w:rPr>
          <w:rFonts w:ascii="Arial" w:hAnsi="Arial" w:cs="Arial"/>
        </w:rPr>
        <w:t>service address on the caveat</w:t>
      </w:r>
      <w:r w:rsidR="00F75111">
        <w:rPr>
          <w:rFonts w:ascii="Arial" w:hAnsi="Arial" w:cs="Arial"/>
        </w:rPr>
        <w:t xml:space="preserve"> application</w:t>
      </w:r>
      <w:r>
        <w:rPr>
          <w:rFonts w:ascii="Arial" w:hAnsi="Arial" w:cs="Arial"/>
        </w:rPr>
        <w:t xml:space="preserve"> can be any physical address in Australia</w:t>
      </w:r>
      <w:r w:rsidR="00F75111">
        <w:rPr>
          <w:rFonts w:ascii="Arial" w:hAnsi="Arial" w:cs="Arial"/>
        </w:rPr>
        <w:t xml:space="preserve">. This </w:t>
      </w:r>
      <w:r>
        <w:rPr>
          <w:rFonts w:ascii="Arial" w:hAnsi="Arial" w:cs="Arial"/>
        </w:rPr>
        <w:t xml:space="preserve">aligns with the </w:t>
      </w:r>
      <w:r w:rsidRPr="002969A6">
        <w:rPr>
          <w:rFonts w:ascii="Arial" w:hAnsi="Arial" w:cs="Arial"/>
        </w:rPr>
        <w:t>amendment in clause 5</w:t>
      </w:r>
      <w:r w:rsidR="00A13472" w:rsidRPr="002969A6">
        <w:rPr>
          <w:rFonts w:ascii="Arial" w:hAnsi="Arial" w:cs="Arial"/>
        </w:rPr>
        <w:t xml:space="preserve"> which brings in a similar change to address for service requirements for caveats against original applications</w:t>
      </w:r>
      <w:r w:rsidRPr="002969A6">
        <w:rPr>
          <w:rFonts w:ascii="Arial" w:hAnsi="Arial" w:cs="Arial"/>
        </w:rPr>
        <w:t xml:space="preserve">. </w:t>
      </w:r>
    </w:p>
    <w:p w14:paraId="5552DF4E" w14:textId="2C93E3FA" w:rsidR="00E03C82" w:rsidRPr="002969A6" w:rsidRDefault="00E03C82" w:rsidP="00E03C82">
      <w:pPr>
        <w:pStyle w:val="Heading3"/>
      </w:pPr>
      <w:r w:rsidRPr="002969A6">
        <w:t>Clause 1</w:t>
      </w:r>
      <w:r w:rsidR="009A6BFD" w:rsidRPr="002969A6">
        <w:t>1</w:t>
      </w:r>
      <w:r w:rsidRPr="002969A6">
        <w:tab/>
        <w:t>Section 104 (8)</w:t>
      </w:r>
    </w:p>
    <w:p w14:paraId="1CB374AE" w14:textId="573E5C1C" w:rsidR="00BD1F2A" w:rsidRPr="002969A6" w:rsidRDefault="00BD1F2A" w:rsidP="00BD1F2A">
      <w:pPr>
        <w:rPr>
          <w:rFonts w:ascii="Arial" w:hAnsi="Arial" w:cs="Arial"/>
        </w:rPr>
      </w:pPr>
      <w:r w:rsidRPr="002969A6">
        <w:rPr>
          <w:rFonts w:ascii="Arial" w:hAnsi="Arial" w:cs="Arial"/>
        </w:rPr>
        <w:t xml:space="preserve">Section 104 (8) currently indicates that, in section 104, </w:t>
      </w:r>
      <w:r w:rsidRPr="002969A6">
        <w:rPr>
          <w:rFonts w:ascii="Arial" w:hAnsi="Arial" w:cs="Arial"/>
          <w:b/>
          <w:bCs/>
          <w:i/>
          <w:iCs/>
        </w:rPr>
        <w:t>court</w:t>
      </w:r>
      <w:r w:rsidRPr="002969A6">
        <w:rPr>
          <w:rFonts w:ascii="Arial" w:hAnsi="Arial" w:cs="Arial"/>
        </w:rPr>
        <w:t> includes a court having jurisdiction under the </w:t>
      </w:r>
      <w:hyperlink r:id="rId18" w:tooltip="Act 1975 No 53 (Cwlth)" w:history="1">
        <w:r w:rsidRPr="002969A6">
          <w:rPr>
            <w:rStyle w:val="Hyperlink"/>
            <w:rFonts w:ascii="Arial" w:hAnsi="Arial" w:cs="Arial"/>
            <w:i/>
            <w:iCs/>
          </w:rPr>
          <w:t>Family Law Act 1975</w:t>
        </w:r>
      </w:hyperlink>
      <w:r w:rsidRPr="002969A6">
        <w:rPr>
          <w:rFonts w:ascii="Arial" w:hAnsi="Arial" w:cs="Arial"/>
        </w:rPr>
        <w:t> (Cwlth).</w:t>
      </w:r>
    </w:p>
    <w:p w14:paraId="2B8FF5B4" w14:textId="6C29C199" w:rsidR="00BD1F2A" w:rsidRDefault="00BD1F2A" w:rsidP="00BD1F2A">
      <w:pPr>
        <w:rPr>
          <w:rFonts w:ascii="Arial" w:hAnsi="Arial" w:cs="Arial"/>
        </w:rPr>
      </w:pPr>
      <w:r w:rsidRPr="002969A6">
        <w:rPr>
          <w:rFonts w:ascii="Arial" w:hAnsi="Arial" w:cs="Arial"/>
        </w:rPr>
        <w:t>This clause is consequential to the amendment at clause 2</w:t>
      </w:r>
      <w:r w:rsidR="009A6BFD" w:rsidRPr="002969A6">
        <w:rPr>
          <w:rFonts w:ascii="Arial" w:hAnsi="Arial" w:cs="Arial"/>
        </w:rPr>
        <w:t>3</w:t>
      </w:r>
      <w:r w:rsidRPr="002969A6">
        <w:rPr>
          <w:rFonts w:ascii="Arial" w:hAnsi="Arial" w:cs="Arial"/>
        </w:rPr>
        <w:t xml:space="preserve"> which amends the dictionary definition of </w:t>
      </w:r>
      <w:r w:rsidRPr="002969A6">
        <w:rPr>
          <w:rFonts w:ascii="Arial" w:hAnsi="Arial" w:cs="Arial"/>
          <w:b/>
          <w:bCs/>
          <w:i/>
          <w:iCs/>
        </w:rPr>
        <w:t>court</w:t>
      </w:r>
      <w:r w:rsidRPr="002969A6">
        <w:rPr>
          <w:rFonts w:ascii="Arial" w:hAnsi="Arial" w:cs="Arial"/>
        </w:rPr>
        <w:t xml:space="preserve"> so that it now includes an example of a court</w:t>
      </w:r>
      <w:r>
        <w:rPr>
          <w:rFonts w:ascii="Arial" w:hAnsi="Arial" w:cs="Arial"/>
        </w:rPr>
        <w:t xml:space="preserve"> which has jurisdiction matters mentioned in the LTA, and provides the example of a court which has jurisdiction under the </w:t>
      </w:r>
      <w:r>
        <w:rPr>
          <w:rFonts w:ascii="Arial" w:hAnsi="Arial" w:cs="Arial"/>
          <w:i/>
          <w:iCs/>
        </w:rPr>
        <w:t>Family Law Act 1975 (Cwlth).</w:t>
      </w:r>
    </w:p>
    <w:p w14:paraId="4CD1C099" w14:textId="170A878D" w:rsidR="00BD1F2A" w:rsidRPr="00BE1B4E" w:rsidRDefault="00BD1F2A" w:rsidP="00BD1F2A">
      <w:pPr>
        <w:rPr>
          <w:rFonts w:ascii="Arial" w:hAnsi="Arial" w:cs="Arial"/>
        </w:rPr>
      </w:pPr>
      <w:r>
        <w:rPr>
          <w:rFonts w:ascii="Arial" w:hAnsi="Arial" w:cs="Arial"/>
        </w:rPr>
        <w:t xml:space="preserve">As the dictionary now clarifies that </w:t>
      </w:r>
      <w:r w:rsidRPr="00BE1B4E">
        <w:rPr>
          <w:rFonts w:ascii="Arial" w:hAnsi="Arial" w:cs="Arial"/>
        </w:rPr>
        <w:t>a court having jurisdiction under the </w:t>
      </w:r>
      <w:hyperlink r:id="rId19" w:tooltip="Act 1975 No 53 (Cwlth)" w:history="1">
        <w:r w:rsidRPr="00BE1B4E">
          <w:rPr>
            <w:rStyle w:val="Hyperlink"/>
            <w:rFonts w:ascii="Arial" w:hAnsi="Arial" w:cs="Arial"/>
            <w:i/>
            <w:iCs/>
          </w:rPr>
          <w:t>Family Law Act 1975</w:t>
        </w:r>
      </w:hyperlink>
      <w:r w:rsidRPr="00BE1B4E">
        <w:rPr>
          <w:rFonts w:ascii="Arial" w:hAnsi="Arial" w:cs="Arial"/>
        </w:rPr>
        <w:t> (Cwlth)</w:t>
      </w:r>
      <w:r>
        <w:rPr>
          <w:rFonts w:ascii="Arial" w:hAnsi="Arial" w:cs="Arial"/>
        </w:rPr>
        <w:t xml:space="preserve"> falls within the broader definition of </w:t>
      </w:r>
      <w:r w:rsidRPr="00D126E8">
        <w:rPr>
          <w:rFonts w:ascii="Arial" w:hAnsi="Arial" w:cs="Arial"/>
          <w:b/>
          <w:bCs/>
          <w:i/>
          <w:iCs/>
        </w:rPr>
        <w:t>court</w:t>
      </w:r>
      <w:r>
        <w:rPr>
          <w:rFonts w:ascii="Arial" w:hAnsi="Arial" w:cs="Arial"/>
          <w:b/>
          <w:bCs/>
        </w:rPr>
        <w:t xml:space="preserve"> </w:t>
      </w:r>
      <w:r>
        <w:rPr>
          <w:rFonts w:ascii="Arial" w:hAnsi="Arial" w:cs="Arial"/>
        </w:rPr>
        <w:t xml:space="preserve">which applies for the whole Act the reference at section 104 (8) is no longer needed. </w:t>
      </w:r>
    </w:p>
    <w:p w14:paraId="0BC469C8" w14:textId="1A3EFE38" w:rsidR="00BD1F2A" w:rsidRDefault="00F75111" w:rsidP="00BD1F2A">
      <w:pPr>
        <w:rPr>
          <w:rFonts w:ascii="Arial" w:hAnsi="Arial" w:cs="Arial"/>
        </w:rPr>
      </w:pPr>
      <w:r w:rsidRPr="008C27AB">
        <w:rPr>
          <w:rFonts w:ascii="Arial" w:hAnsi="Arial" w:cs="Arial"/>
        </w:rPr>
        <w:t xml:space="preserve">This clause </w:t>
      </w:r>
      <w:r w:rsidR="00BD1F2A">
        <w:rPr>
          <w:rFonts w:ascii="Arial" w:hAnsi="Arial" w:cs="Arial"/>
        </w:rPr>
        <w:t xml:space="preserve">substitutes existing section 104 (8) with new wording </w:t>
      </w:r>
      <w:r w:rsidRPr="008C27AB">
        <w:rPr>
          <w:rFonts w:ascii="Arial" w:hAnsi="Arial" w:cs="Arial"/>
        </w:rPr>
        <w:t xml:space="preserve">to allow for the caveat </w:t>
      </w:r>
      <w:r>
        <w:rPr>
          <w:rFonts w:ascii="Arial" w:hAnsi="Arial" w:cs="Arial"/>
        </w:rPr>
        <w:t xml:space="preserve">against dealings </w:t>
      </w:r>
      <w:r w:rsidRPr="008C27AB">
        <w:rPr>
          <w:rFonts w:ascii="Arial" w:hAnsi="Arial" w:cs="Arial"/>
        </w:rPr>
        <w:t xml:space="preserve">to provide an email address as an additional address for service of notices and proceedings. </w:t>
      </w:r>
      <w:r w:rsidR="00BD1F2A">
        <w:rPr>
          <w:rFonts w:ascii="Arial" w:hAnsi="Arial" w:cs="Arial"/>
        </w:rPr>
        <w:t xml:space="preserve">This amendment will facilitate electronic service or documents, where the caveator agrees to be served in this way by providing an email address as an address for service. </w:t>
      </w:r>
    </w:p>
    <w:p w14:paraId="076086F0" w14:textId="499D22B2" w:rsidR="00F75111" w:rsidRPr="008C27AB" w:rsidRDefault="00F75111" w:rsidP="00F75111">
      <w:pPr>
        <w:rPr>
          <w:rFonts w:ascii="Arial" w:hAnsi="Arial" w:cs="Arial"/>
        </w:rPr>
      </w:pPr>
      <w:r>
        <w:rPr>
          <w:rFonts w:ascii="Arial" w:hAnsi="Arial" w:cs="Arial"/>
        </w:rPr>
        <w:t xml:space="preserve">Clause </w:t>
      </w:r>
      <w:r w:rsidR="009A6BFD">
        <w:rPr>
          <w:rFonts w:ascii="Arial" w:hAnsi="Arial" w:cs="Arial"/>
        </w:rPr>
        <w:t xml:space="preserve">6 </w:t>
      </w:r>
      <w:r w:rsidR="00BD1F2A">
        <w:rPr>
          <w:rFonts w:ascii="Arial" w:hAnsi="Arial" w:cs="Arial"/>
        </w:rPr>
        <w:t xml:space="preserve">brings in a similar provision to allow </w:t>
      </w:r>
      <w:r>
        <w:rPr>
          <w:rFonts w:ascii="Arial" w:hAnsi="Arial" w:cs="Arial"/>
        </w:rPr>
        <w:t xml:space="preserve">for </w:t>
      </w:r>
      <w:r w:rsidR="00BD1F2A">
        <w:rPr>
          <w:rFonts w:ascii="Arial" w:hAnsi="Arial" w:cs="Arial"/>
        </w:rPr>
        <w:t xml:space="preserve">the electronic </w:t>
      </w:r>
      <w:r>
        <w:rPr>
          <w:rFonts w:ascii="Arial" w:hAnsi="Arial" w:cs="Arial"/>
        </w:rPr>
        <w:t xml:space="preserve">service </w:t>
      </w:r>
      <w:r w:rsidR="00BD1F2A">
        <w:rPr>
          <w:rFonts w:ascii="Arial" w:hAnsi="Arial" w:cs="Arial"/>
        </w:rPr>
        <w:t>of</w:t>
      </w:r>
      <w:r>
        <w:rPr>
          <w:rFonts w:ascii="Arial" w:hAnsi="Arial" w:cs="Arial"/>
        </w:rPr>
        <w:t xml:space="preserve"> caveats against original applications.</w:t>
      </w:r>
    </w:p>
    <w:p w14:paraId="2C557881" w14:textId="56D4714B" w:rsidR="005B3AEA" w:rsidRDefault="00E03C82" w:rsidP="002969A6">
      <w:pPr>
        <w:pStyle w:val="Heading3"/>
        <w:spacing w:before="0" w:after="0"/>
      </w:pPr>
      <w:r w:rsidRPr="00ED3B77">
        <w:t xml:space="preserve">Clause </w:t>
      </w:r>
      <w:r w:rsidR="009A6BFD">
        <w:t>12</w:t>
      </w:r>
      <w:r w:rsidRPr="00ED3B77">
        <w:tab/>
      </w:r>
      <w:r>
        <w:t>Notice of caveat</w:t>
      </w:r>
    </w:p>
    <w:p w14:paraId="674D9DCF" w14:textId="2F0B36E5" w:rsidR="00E03C82" w:rsidRDefault="00E03C82" w:rsidP="002969A6">
      <w:pPr>
        <w:pStyle w:val="Heading3"/>
        <w:spacing w:before="0"/>
        <w:ind w:left="720" w:firstLine="720"/>
      </w:pPr>
      <w:r>
        <w:t>Section 105 (1)</w:t>
      </w:r>
    </w:p>
    <w:p w14:paraId="54ED556F" w14:textId="5C45B134" w:rsidR="00BD1F2A" w:rsidRDefault="00554F9E" w:rsidP="00554F9E">
      <w:pPr>
        <w:rPr>
          <w:rFonts w:ascii="Arial" w:hAnsi="Arial" w:cs="Arial"/>
        </w:rPr>
      </w:pPr>
      <w:r w:rsidRPr="00F75111">
        <w:rPr>
          <w:rFonts w:ascii="Arial" w:hAnsi="Arial" w:cs="Arial"/>
        </w:rPr>
        <w:t>This clause omits the phrase “Upon the receipt of a caveat, the registrar-general shall notify the receipt to</w:t>
      </w:r>
      <w:r w:rsidR="004822C2">
        <w:rPr>
          <w:rFonts w:ascii="Arial" w:hAnsi="Arial" w:cs="Arial"/>
        </w:rPr>
        <w:t>”</w:t>
      </w:r>
      <w:r w:rsidRPr="00F75111">
        <w:rPr>
          <w:rFonts w:ascii="Arial" w:hAnsi="Arial" w:cs="Arial"/>
        </w:rPr>
        <w:t xml:space="preserve"> and substitutes “On registration of a caveat, the registrar-general must notify”. </w:t>
      </w:r>
    </w:p>
    <w:p w14:paraId="5579A058" w14:textId="483F033B" w:rsidR="00BD1F2A" w:rsidRDefault="00BD1F2A" w:rsidP="00554F9E">
      <w:pPr>
        <w:rPr>
          <w:rFonts w:ascii="Arial" w:hAnsi="Arial" w:cs="Arial"/>
        </w:rPr>
      </w:pPr>
      <w:r>
        <w:rPr>
          <w:rFonts w:ascii="Arial" w:hAnsi="Arial" w:cs="Arial"/>
        </w:rPr>
        <w:lastRenderedPageBreak/>
        <w:t xml:space="preserve">The purpose of these changes is to update the existing wording to modern drafting practice by replacing the word “shall” with “must” and also clarifying that </w:t>
      </w:r>
      <w:r w:rsidR="0085474D">
        <w:rPr>
          <w:rFonts w:ascii="Arial" w:hAnsi="Arial" w:cs="Arial"/>
        </w:rPr>
        <w:t xml:space="preserve">the point in time at which the </w:t>
      </w:r>
      <w:r w:rsidR="006541B1">
        <w:rPr>
          <w:rFonts w:ascii="Arial" w:hAnsi="Arial" w:cs="Arial"/>
        </w:rPr>
        <w:t>r</w:t>
      </w:r>
      <w:r w:rsidR="0085474D">
        <w:rPr>
          <w:rFonts w:ascii="Arial" w:hAnsi="Arial" w:cs="Arial"/>
        </w:rPr>
        <w:t>egistrar-</w:t>
      </w:r>
      <w:r w:rsidR="006541B1">
        <w:rPr>
          <w:rFonts w:ascii="Arial" w:hAnsi="Arial" w:cs="Arial"/>
        </w:rPr>
        <w:t>g</w:t>
      </w:r>
      <w:r w:rsidR="0085474D">
        <w:rPr>
          <w:rFonts w:ascii="Arial" w:hAnsi="Arial" w:cs="Arial"/>
        </w:rPr>
        <w:t xml:space="preserve">eneral must notify the registered proprietor is at the time of registration of the caveat, rather than at the time the caveat application is received by the </w:t>
      </w:r>
      <w:r w:rsidR="006541B1">
        <w:rPr>
          <w:rFonts w:ascii="Arial" w:hAnsi="Arial" w:cs="Arial"/>
        </w:rPr>
        <w:t>r</w:t>
      </w:r>
      <w:r w:rsidR="0085474D">
        <w:rPr>
          <w:rFonts w:ascii="Arial" w:hAnsi="Arial" w:cs="Arial"/>
        </w:rPr>
        <w:t>egistrar-</w:t>
      </w:r>
      <w:r w:rsidR="006541B1">
        <w:rPr>
          <w:rFonts w:ascii="Arial" w:hAnsi="Arial" w:cs="Arial"/>
        </w:rPr>
        <w:t>g</w:t>
      </w:r>
      <w:r w:rsidR="0085474D">
        <w:rPr>
          <w:rFonts w:ascii="Arial" w:hAnsi="Arial" w:cs="Arial"/>
        </w:rPr>
        <w:t>eneral</w:t>
      </w:r>
      <w:r w:rsidR="009A6BFD">
        <w:rPr>
          <w:rFonts w:ascii="Arial" w:hAnsi="Arial" w:cs="Arial"/>
        </w:rPr>
        <w:t>.</w:t>
      </w:r>
      <w:r w:rsidR="0085474D">
        <w:rPr>
          <w:rFonts w:ascii="Arial" w:hAnsi="Arial" w:cs="Arial"/>
        </w:rPr>
        <w:t xml:space="preserve"> </w:t>
      </w:r>
    </w:p>
    <w:p w14:paraId="27ABEC50" w14:textId="3EF69906" w:rsidR="00E03C82" w:rsidRDefault="00E03C82" w:rsidP="00E03C82">
      <w:pPr>
        <w:pStyle w:val="Heading3"/>
      </w:pPr>
      <w:r w:rsidRPr="00ED3B77">
        <w:t xml:space="preserve">Clause </w:t>
      </w:r>
      <w:r w:rsidR="009A6BFD">
        <w:t>13</w:t>
      </w:r>
      <w:r w:rsidRPr="00ED3B77">
        <w:tab/>
      </w:r>
      <w:r>
        <w:t>Section 105 (1)</w:t>
      </w:r>
    </w:p>
    <w:p w14:paraId="55F10A6D" w14:textId="1C31343F" w:rsidR="00554F9E" w:rsidRPr="004822C2" w:rsidRDefault="00554F9E" w:rsidP="00554F9E">
      <w:pPr>
        <w:rPr>
          <w:rFonts w:ascii="Arial" w:hAnsi="Arial" w:cs="Arial"/>
        </w:rPr>
      </w:pPr>
      <w:r w:rsidRPr="004822C2">
        <w:rPr>
          <w:rFonts w:ascii="Arial" w:hAnsi="Arial" w:cs="Arial"/>
        </w:rPr>
        <w:t xml:space="preserve">This clause omits the word “lodged” and substitutes with the word “registered” to </w:t>
      </w:r>
      <w:r w:rsidR="0085474D">
        <w:rPr>
          <w:rFonts w:ascii="Arial" w:hAnsi="Arial" w:cs="Arial"/>
        </w:rPr>
        <w:t>ensure consistency in the use of terminology relating to the registration of caveats</w:t>
      </w:r>
      <w:r w:rsidR="004822C2">
        <w:rPr>
          <w:rFonts w:ascii="Arial" w:hAnsi="Arial" w:cs="Arial"/>
        </w:rPr>
        <w:t xml:space="preserve">. </w:t>
      </w:r>
    </w:p>
    <w:p w14:paraId="099571F0" w14:textId="26AE0957" w:rsidR="00E03C82" w:rsidRDefault="00E03C82" w:rsidP="00E03C82">
      <w:pPr>
        <w:pStyle w:val="Heading3"/>
      </w:pPr>
      <w:r w:rsidRPr="00ED3B77">
        <w:t xml:space="preserve">Clause </w:t>
      </w:r>
      <w:r>
        <w:t>1</w:t>
      </w:r>
      <w:r w:rsidR="00913EC3">
        <w:t>4</w:t>
      </w:r>
      <w:r w:rsidRPr="00ED3B77">
        <w:tab/>
      </w:r>
      <w:r>
        <w:t>Section 105 (2) (a)</w:t>
      </w:r>
    </w:p>
    <w:p w14:paraId="1B5B1B2F" w14:textId="0CD6B6C6" w:rsidR="00554F9E" w:rsidRPr="004822C2" w:rsidRDefault="00554F9E" w:rsidP="00554F9E">
      <w:pPr>
        <w:rPr>
          <w:rFonts w:ascii="Arial" w:hAnsi="Arial" w:cs="Arial"/>
        </w:rPr>
      </w:pPr>
      <w:r w:rsidRPr="004822C2">
        <w:rPr>
          <w:rFonts w:ascii="Arial" w:hAnsi="Arial" w:cs="Arial"/>
        </w:rPr>
        <w:t>This clause</w:t>
      </w:r>
      <w:r w:rsidR="004822C2" w:rsidRPr="004822C2">
        <w:rPr>
          <w:rFonts w:ascii="Arial" w:hAnsi="Arial" w:cs="Arial"/>
        </w:rPr>
        <w:t xml:space="preserve"> fixes a minor </w:t>
      </w:r>
      <w:r w:rsidR="006B3352">
        <w:rPr>
          <w:rFonts w:ascii="Arial" w:hAnsi="Arial" w:cs="Arial"/>
        </w:rPr>
        <w:t>typographical</w:t>
      </w:r>
      <w:r w:rsidR="004822C2" w:rsidRPr="004822C2">
        <w:rPr>
          <w:rFonts w:ascii="Arial" w:hAnsi="Arial" w:cs="Arial"/>
        </w:rPr>
        <w:t xml:space="preserve"> error where a word was missing and</w:t>
      </w:r>
      <w:r w:rsidRPr="004822C2">
        <w:rPr>
          <w:rFonts w:ascii="Arial" w:hAnsi="Arial" w:cs="Arial"/>
        </w:rPr>
        <w:t xml:space="preserve"> inserts the word “or” after subsection (1).</w:t>
      </w:r>
    </w:p>
    <w:p w14:paraId="4540B27E" w14:textId="7DA907C6" w:rsidR="00E03C82" w:rsidRDefault="00E03C82" w:rsidP="00E03C82">
      <w:pPr>
        <w:pStyle w:val="Heading3"/>
      </w:pPr>
      <w:r w:rsidRPr="00ED3B77">
        <w:t xml:space="preserve">Clause </w:t>
      </w:r>
      <w:r>
        <w:t>1</w:t>
      </w:r>
      <w:r w:rsidR="00913EC3">
        <w:t>5</w:t>
      </w:r>
      <w:r w:rsidRPr="00ED3B77">
        <w:tab/>
      </w:r>
      <w:r>
        <w:t>Section 105 (4)</w:t>
      </w:r>
    </w:p>
    <w:p w14:paraId="15035069" w14:textId="49F15BFA" w:rsidR="0085474D" w:rsidRDefault="0085474D" w:rsidP="0085474D">
      <w:pPr>
        <w:rPr>
          <w:rFonts w:ascii="Arial" w:hAnsi="Arial" w:cs="Arial"/>
        </w:rPr>
      </w:pPr>
      <w:r>
        <w:rPr>
          <w:rFonts w:ascii="Arial" w:hAnsi="Arial" w:cs="Arial"/>
        </w:rPr>
        <w:t xml:space="preserve">Section 105 (4) currently indicates that, in section 105, </w:t>
      </w:r>
      <w:r w:rsidRPr="00BE1B4E">
        <w:rPr>
          <w:rFonts w:ascii="Arial" w:hAnsi="Arial" w:cs="Arial"/>
          <w:b/>
          <w:bCs/>
          <w:i/>
          <w:iCs/>
        </w:rPr>
        <w:t>court</w:t>
      </w:r>
      <w:r w:rsidRPr="00BE1B4E">
        <w:rPr>
          <w:rFonts w:ascii="Arial" w:hAnsi="Arial" w:cs="Arial"/>
        </w:rPr>
        <w:t> includes a court having jurisdiction under the </w:t>
      </w:r>
      <w:hyperlink r:id="rId20" w:tooltip="Act 1975 No 53 (Cwlth)" w:history="1">
        <w:r w:rsidRPr="00BE1B4E">
          <w:rPr>
            <w:rStyle w:val="Hyperlink"/>
            <w:rFonts w:ascii="Arial" w:hAnsi="Arial" w:cs="Arial"/>
            <w:i/>
            <w:iCs/>
          </w:rPr>
          <w:t>Family Law Act 1975</w:t>
        </w:r>
      </w:hyperlink>
      <w:r w:rsidRPr="00BE1B4E">
        <w:rPr>
          <w:rFonts w:ascii="Arial" w:hAnsi="Arial" w:cs="Arial"/>
        </w:rPr>
        <w:t> (Cwlth).</w:t>
      </w:r>
    </w:p>
    <w:p w14:paraId="3B308E88" w14:textId="1AC3EEBA" w:rsidR="0085474D" w:rsidRDefault="0085474D" w:rsidP="0085474D">
      <w:pPr>
        <w:rPr>
          <w:rFonts w:ascii="Arial" w:hAnsi="Arial" w:cs="Arial"/>
        </w:rPr>
      </w:pPr>
      <w:r w:rsidRPr="008C27AB">
        <w:rPr>
          <w:rFonts w:ascii="Arial" w:hAnsi="Arial" w:cs="Arial"/>
        </w:rPr>
        <w:t xml:space="preserve">This clause </w:t>
      </w:r>
      <w:r>
        <w:rPr>
          <w:rFonts w:ascii="Arial" w:hAnsi="Arial" w:cs="Arial"/>
        </w:rPr>
        <w:t xml:space="preserve">is consequential to the amendment at </w:t>
      </w:r>
      <w:r w:rsidRPr="002969A6">
        <w:rPr>
          <w:rFonts w:ascii="Arial" w:hAnsi="Arial" w:cs="Arial"/>
        </w:rPr>
        <w:t>clause 2</w:t>
      </w:r>
      <w:r w:rsidR="00913EC3" w:rsidRPr="002969A6">
        <w:rPr>
          <w:rFonts w:ascii="Arial" w:hAnsi="Arial" w:cs="Arial"/>
        </w:rPr>
        <w:t>3</w:t>
      </w:r>
      <w:r w:rsidRPr="002969A6">
        <w:rPr>
          <w:rFonts w:ascii="Arial" w:hAnsi="Arial" w:cs="Arial"/>
        </w:rPr>
        <w:t xml:space="preserve"> which amend</w:t>
      </w:r>
      <w:r>
        <w:rPr>
          <w:rFonts w:ascii="Arial" w:hAnsi="Arial" w:cs="Arial"/>
        </w:rPr>
        <w:t xml:space="preserve">s the dictionary definition of </w:t>
      </w:r>
      <w:r w:rsidRPr="00D126E8">
        <w:rPr>
          <w:rFonts w:ascii="Arial" w:hAnsi="Arial" w:cs="Arial"/>
          <w:b/>
          <w:bCs/>
          <w:i/>
          <w:iCs/>
        </w:rPr>
        <w:t>court</w:t>
      </w:r>
      <w:r>
        <w:rPr>
          <w:rFonts w:ascii="Arial" w:hAnsi="Arial" w:cs="Arial"/>
        </w:rPr>
        <w:t xml:space="preserve"> so that it now includes an example of a court which has jurisdiction matters mentioned in the LTA and provides the example of a court which has jurisdiction under the </w:t>
      </w:r>
      <w:r>
        <w:rPr>
          <w:rFonts w:ascii="Arial" w:hAnsi="Arial" w:cs="Arial"/>
          <w:i/>
          <w:iCs/>
        </w:rPr>
        <w:t>Family Law Act 1975 (Cwlth).</w:t>
      </w:r>
    </w:p>
    <w:p w14:paraId="50D8CEB2" w14:textId="3AFD18C3" w:rsidR="0085474D" w:rsidRPr="00BE1B4E" w:rsidRDefault="0085474D" w:rsidP="0085474D">
      <w:pPr>
        <w:rPr>
          <w:rFonts w:ascii="Arial" w:hAnsi="Arial" w:cs="Arial"/>
        </w:rPr>
      </w:pPr>
      <w:r>
        <w:rPr>
          <w:rFonts w:ascii="Arial" w:hAnsi="Arial" w:cs="Arial"/>
        </w:rPr>
        <w:t xml:space="preserve">As the dictionary now clarifies that </w:t>
      </w:r>
      <w:r w:rsidRPr="00BE1B4E">
        <w:rPr>
          <w:rFonts w:ascii="Arial" w:hAnsi="Arial" w:cs="Arial"/>
        </w:rPr>
        <w:t>a court having jurisdiction under the </w:t>
      </w:r>
      <w:hyperlink r:id="rId21" w:tooltip="Act 1975 No 53 (Cwlth)" w:history="1">
        <w:r w:rsidRPr="00BE1B4E">
          <w:rPr>
            <w:rStyle w:val="Hyperlink"/>
            <w:rFonts w:ascii="Arial" w:hAnsi="Arial" w:cs="Arial"/>
            <w:i/>
            <w:iCs/>
          </w:rPr>
          <w:t>Family Law Act 1975</w:t>
        </w:r>
      </w:hyperlink>
      <w:r w:rsidRPr="00BE1B4E">
        <w:rPr>
          <w:rFonts w:ascii="Arial" w:hAnsi="Arial" w:cs="Arial"/>
        </w:rPr>
        <w:t> (Cwlth)</w:t>
      </w:r>
      <w:r>
        <w:rPr>
          <w:rFonts w:ascii="Arial" w:hAnsi="Arial" w:cs="Arial"/>
        </w:rPr>
        <w:t xml:space="preserve"> falls within the broader definition of </w:t>
      </w:r>
      <w:r w:rsidRPr="00D126E8">
        <w:rPr>
          <w:rFonts w:ascii="Arial" w:hAnsi="Arial" w:cs="Arial"/>
          <w:b/>
          <w:bCs/>
          <w:i/>
          <w:iCs/>
        </w:rPr>
        <w:t>court</w:t>
      </w:r>
      <w:r>
        <w:rPr>
          <w:rFonts w:ascii="Arial" w:hAnsi="Arial" w:cs="Arial"/>
          <w:b/>
          <w:bCs/>
        </w:rPr>
        <w:t xml:space="preserve"> </w:t>
      </w:r>
      <w:r>
        <w:rPr>
          <w:rFonts w:ascii="Arial" w:hAnsi="Arial" w:cs="Arial"/>
        </w:rPr>
        <w:t xml:space="preserve">which applies for the whole Act the reference at section 105 (4) is no longer needed and is therefore omitted by this clause. </w:t>
      </w:r>
    </w:p>
    <w:p w14:paraId="6C122C1A" w14:textId="149A8B7D" w:rsidR="00913EC3" w:rsidRDefault="00E03C82" w:rsidP="008F2C88">
      <w:pPr>
        <w:pStyle w:val="Heading3"/>
        <w:spacing w:before="0" w:after="0"/>
      </w:pPr>
      <w:r w:rsidRPr="00ED3B77">
        <w:t xml:space="preserve">Clause </w:t>
      </w:r>
      <w:r>
        <w:t>1</w:t>
      </w:r>
      <w:r w:rsidR="00913EC3">
        <w:t>6</w:t>
      </w:r>
      <w:r w:rsidRPr="00ED3B77">
        <w:tab/>
      </w:r>
      <w:r>
        <w:t>Surrender and regrant of lease of land affected by caveat</w:t>
      </w:r>
    </w:p>
    <w:p w14:paraId="5E0C6F5A" w14:textId="07E5F190" w:rsidR="00E03C82" w:rsidRDefault="00913EC3" w:rsidP="008F2C88">
      <w:pPr>
        <w:pStyle w:val="Heading3"/>
        <w:spacing w:before="0" w:after="0"/>
      </w:pPr>
      <w:r>
        <w:tab/>
      </w:r>
      <w:r>
        <w:tab/>
      </w:r>
      <w:r w:rsidR="00E03C82">
        <w:t>Section 105 A (1) (b)</w:t>
      </w:r>
    </w:p>
    <w:p w14:paraId="3F8D78B1" w14:textId="506B131A" w:rsidR="00554F9E" w:rsidRPr="004822C2" w:rsidRDefault="00554F9E" w:rsidP="008F2C88">
      <w:pPr>
        <w:spacing w:before="240"/>
        <w:rPr>
          <w:rFonts w:ascii="Arial" w:hAnsi="Arial" w:cs="Arial"/>
        </w:rPr>
      </w:pPr>
      <w:r w:rsidRPr="004822C2">
        <w:rPr>
          <w:rFonts w:ascii="Arial" w:hAnsi="Arial" w:cs="Arial"/>
        </w:rPr>
        <w:t xml:space="preserve">This clause substitutes </w:t>
      </w:r>
      <w:r w:rsidR="004822C2" w:rsidRPr="004822C2">
        <w:rPr>
          <w:rFonts w:ascii="Arial" w:hAnsi="Arial" w:cs="Arial"/>
        </w:rPr>
        <w:t xml:space="preserve">the existing </w:t>
      </w:r>
      <w:r w:rsidRPr="004822C2">
        <w:rPr>
          <w:rFonts w:ascii="Arial" w:hAnsi="Arial" w:cs="Arial"/>
        </w:rPr>
        <w:t xml:space="preserve">subsection (b) </w:t>
      </w:r>
      <w:r w:rsidR="00913EC3">
        <w:rPr>
          <w:rFonts w:ascii="Arial" w:hAnsi="Arial" w:cs="Arial"/>
        </w:rPr>
        <w:t xml:space="preserve">(“a caveat has not lapsed or been removed”) </w:t>
      </w:r>
      <w:r w:rsidRPr="004822C2">
        <w:rPr>
          <w:rFonts w:ascii="Arial" w:hAnsi="Arial" w:cs="Arial"/>
        </w:rPr>
        <w:t>with the word</w:t>
      </w:r>
      <w:r w:rsidR="004822C2" w:rsidRPr="004822C2">
        <w:rPr>
          <w:rFonts w:ascii="Arial" w:hAnsi="Arial" w:cs="Arial"/>
        </w:rPr>
        <w:t>s</w:t>
      </w:r>
      <w:r w:rsidRPr="004822C2">
        <w:rPr>
          <w:rFonts w:ascii="Arial" w:hAnsi="Arial" w:cs="Arial"/>
        </w:rPr>
        <w:t xml:space="preserve"> “the caveat continues in operation” to replace the wording “the caveat has not lapsed or been removed”. </w:t>
      </w:r>
      <w:r w:rsidR="00913EC3">
        <w:rPr>
          <w:rFonts w:ascii="Arial" w:hAnsi="Arial" w:cs="Arial"/>
        </w:rPr>
        <w:t xml:space="preserve">This wording creates greater clarity by capturing </w:t>
      </w:r>
      <w:r w:rsidRPr="004822C2">
        <w:rPr>
          <w:rFonts w:ascii="Arial" w:hAnsi="Arial" w:cs="Arial"/>
        </w:rPr>
        <w:t xml:space="preserve">circumstances </w:t>
      </w:r>
      <w:r w:rsidR="00913EC3">
        <w:rPr>
          <w:rFonts w:ascii="Arial" w:hAnsi="Arial" w:cs="Arial"/>
        </w:rPr>
        <w:t xml:space="preserve">where a </w:t>
      </w:r>
      <w:r w:rsidRPr="004822C2">
        <w:rPr>
          <w:rFonts w:ascii="Arial" w:hAnsi="Arial" w:cs="Arial"/>
        </w:rPr>
        <w:t>caveat</w:t>
      </w:r>
      <w:r w:rsidR="00913EC3">
        <w:rPr>
          <w:rFonts w:ascii="Arial" w:hAnsi="Arial" w:cs="Arial"/>
        </w:rPr>
        <w:t xml:space="preserve"> has lapsed but has been reinstated and so continues in operation</w:t>
      </w:r>
      <w:r w:rsidRPr="004822C2">
        <w:rPr>
          <w:rFonts w:ascii="Arial" w:hAnsi="Arial" w:cs="Arial"/>
        </w:rPr>
        <w:t xml:space="preserve">. </w:t>
      </w:r>
    </w:p>
    <w:p w14:paraId="1E18B8E6" w14:textId="36C8B293" w:rsidR="00E03C82" w:rsidRDefault="00E03C82" w:rsidP="00E03C82">
      <w:pPr>
        <w:pStyle w:val="Heading3"/>
      </w:pPr>
      <w:r w:rsidRPr="00ED3B77">
        <w:t xml:space="preserve">Clause </w:t>
      </w:r>
      <w:r>
        <w:t>1</w:t>
      </w:r>
      <w:r w:rsidR="00913EC3">
        <w:t>7</w:t>
      </w:r>
      <w:r w:rsidRPr="00ED3B77">
        <w:tab/>
      </w:r>
      <w:r>
        <w:t>Section 106 heading</w:t>
      </w:r>
    </w:p>
    <w:p w14:paraId="13233FC0" w14:textId="410FE448" w:rsidR="00554F9E" w:rsidRPr="004822C2" w:rsidRDefault="00990D41" w:rsidP="00554F9E">
      <w:pPr>
        <w:rPr>
          <w:rFonts w:ascii="Arial" w:hAnsi="Arial" w:cs="Arial"/>
        </w:rPr>
      </w:pPr>
      <w:r w:rsidRPr="004822C2">
        <w:rPr>
          <w:rFonts w:ascii="Arial" w:hAnsi="Arial" w:cs="Arial"/>
        </w:rPr>
        <w:t xml:space="preserve">The clause substitutes the heading </w:t>
      </w:r>
      <w:r w:rsidR="004822C2">
        <w:rPr>
          <w:rFonts w:ascii="Arial" w:hAnsi="Arial" w:cs="Arial"/>
        </w:rPr>
        <w:t>in</w:t>
      </w:r>
      <w:r w:rsidRPr="004822C2">
        <w:rPr>
          <w:rFonts w:ascii="Arial" w:hAnsi="Arial" w:cs="Arial"/>
        </w:rPr>
        <w:t xml:space="preserve"> section 106 </w:t>
      </w:r>
      <w:r w:rsidR="00913EC3">
        <w:rPr>
          <w:rFonts w:ascii="Arial" w:hAnsi="Arial" w:cs="Arial"/>
        </w:rPr>
        <w:t xml:space="preserve">(“Caveat lapsing”) with “Lapse and reinstatement of caveats – registration of documents” </w:t>
      </w:r>
      <w:r w:rsidRPr="004822C2">
        <w:rPr>
          <w:rFonts w:ascii="Arial" w:hAnsi="Arial" w:cs="Arial"/>
        </w:rPr>
        <w:t xml:space="preserve">to </w:t>
      </w:r>
      <w:r w:rsidR="00913EC3">
        <w:rPr>
          <w:rFonts w:ascii="Arial" w:hAnsi="Arial" w:cs="Arial"/>
        </w:rPr>
        <w:t>create greater clarity in the purpose of the section and to clarify that the section covers both the lapse and reinstatement of a caveat</w:t>
      </w:r>
      <w:r w:rsidRPr="004822C2">
        <w:rPr>
          <w:rFonts w:ascii="Arial" w:hAnsi="Arial" w:cs="Arial"/>
        </w:rPr>
        <w:t>.</w:t>
      </w:r>
    </w:p>
    <w:p w14:paraId="357A03EE" w14:textId="19B567D0" w:rsidR="00E03C82" w:rsidRDefault="00E03C82" w:rsidP="00E03C82">
      <w:pPr>
        <w:pStyle w:val="Heading3"/>
      </w:pPr>
      <w:r w:rsidRPr="00ED3B77">
        <w:t xml:space="preserve">Clause </w:t>
      </w:r>
      <w:r w:rsidR="006C0880">
        <w:t>1</w:t>
      </w:r>
      <w:r w:rsidR="00D66BEE">
        <w:t>8</w:t>
      </w:r>
      <w:r w:rsidRPr="00ED3B77">
        <w:tab/>
      </w:r>
      <w:r>
        <w:t>Section 106 (1)</w:t>
      </w:r>
    </w:p>
    <w:p w14:paraId="62E87101" w14:textId="25512254" w:rsidR="00990D41" w:rsidRPr="00F7600B" w:rsidRDefault="00990D41" w:rsidP="00990D41">
      <w:pPr>
        <w:rPr>
          <w:rFonts w:ascii="Arial" w:hAnsi="Arial" w:cs="Arial"/>
        </w:rPr>
      </w:pPr>
      <w:r w:rsidRPr="00F7600B">
        <w:rPr>
          <w:rFonts w:ascii="Arial" w:hAnsi="Arial" w:cs="Arial"/>
        </w:rPr>
        <w:t>This clause omits the words “lodged against” and substitutes the words “registered against the title of</w:t>
      </w:r>
      <w:r w:rsidR="00D8100D">
        <w:rPr>
          <w:rFonts w:ascii="Arial" w:hAnsi="Arial" w:cs="Arial"/>
        </w:rPr>
        <w:t>.</w:t>
      </w:r>
      <w:r w:rsidRPr="00F7600B">
        <w:rPr>
          <w:rFonts w:ascii="Arial" w:hAnsi="Arial" w:cs="Arial"/>
        </w:rPr>
        <w:t>”</w:t>
      </w:r>
      <w:r w:rsidR="004822C2" w:rsidRPr="00F7600B">
        <w:rPr>
          <w:rFonts w:ascii="Arial" w:hAnsi="Arial" w:cs="Arial"/>
        </w:rPr>
        <w:t xml:space="preserve"> This amendment </w:t>
      </w:r>
      <w:r w:rsidR="00D8100D">
        <w:rPr>
          <w:rFonts w:ascii="Arial" w:hAnsi="Arial" w:cs="Arial"/>
        </w:rPr>
        <w:t>clarifies that the time at which a caveat takes effect is when it is registered against the title, rather than the time it is lodged.</w:t>
      </w:r>
      <w:r w:rsidR="00F7600B">
        <w:rPr>
          <w:rFonts w:ascii="Arial" w:hAnsi="Arial" w:cs="Arial"/>
        </w:rPr>
        <w:t xml:space="preserve"> </w:t>
      </w:r>
    </w:p>
    <w:p w14:paraId="1FCCE654" w14:textId="297CC8C4" w:rsidR="006C0880" w:rsidRDefault="006C0880" w:rsidP="006C0880">
      <w:pPr>
        <w:pStyle w:val="Heading3"/>
      </w:pPr>
      <w:r w:rsidRPr="00ED3B77">
        <w:lastRenderedPageBreak/>
        <w:t xml:space="preserve">Clause </w:t>
      </w:r>
      <w:r w:rsidR="00D66BEE">
        <w:t>19</w:t>
      </w:r>
      <w:r w:rsidRPr="00ED3B77">
        <w:tab/>
      </w:r>
      <w:r>
        <w:t>Section 106 (4)</w:t>
      </w:r>
    </w:p>
    <w:p w14:paraId="5C92A072" w14:textId="5A4DCF0F" w:rsidR="00703842" w:rsidRDefault="00703842" w:rsidP="00703842">
      <w:pPr>
        <w:rPr>
          <w:rFonts w:ascii="Arial" w:hAnsi="Arial" w:cs="Arial"/>
        </w:rPr>
      </w:pPr>
      <w:r>
        <w:rPr>
          <w:rFonts w:ascii="Arial" w:hAnsi="Arial" w:cs="Arial"/>
        </w:rPr>
        <w:t xml:space="preserve">Section 106 (4) currently indicates that, in section 105, </w:t>
      </w:r>
      <w:r w:rsidRPr="00BE1B4E">
        <w:rPr>
          <w:rFonts w:ascii="Arial" w:hAnsi="Arial" w:cs="Arial"/>
          <w:b/>
          <w:bCs/>
          <w:i/>
          <w:iCs/>
        </w:rPr>
        <w:t>court</w:t>
      </w:r>
      <w:r w:rsidRPr="00BE1B4E">
        <w:rPr>
          <w:rFonts w:ascii="Arial" w:hAnsi="Arial" w:cs="Arial"/>
        </w:rPr>
        <w:t> includes a court having jurisdiction under the </w:t>
      </w:r>
      <w:hyperlink r:id="rId22" w:tooltip="Act 1975 No 53 (Cwlth)" w:history="1">
        <w:r w:rsidRPr="00BE1B4E">
          <w:rPr>
            <w:rStyle w:val="Hyperlink"/>
            <w:rFonts w:ascii="Arial" w:hAnsi="Arial" w:cs="Arial"/>
            <w:i/>
            <w:iCs/>
          </w:rPr>
          <w:t>Family Law Act 1975</w:t>
        </w:r>
      </w:hyperlink>
      <w:r w:rsidRPr="00BE1B4E">
        <w:rPr>
          <w:rFonts w:ascii="Arial" w:hAnsi="Arial" w:cs="Arial"/>
        </w:rPr>
        <w:t> (Cwlth).</w:t>
      </w:r>
    </w:p>
    <w:p w14:paraId="00221F24" w14:textId="117AD7B3" w:rsidR="00703842" w:rsidRDefault="00703842" w:rsidP="00703842">
      <w:pPr>
        <w:rPr>
          <w:rFonts w:ascii="Arial" w:hAnsi="Arial" w:cs="Arial"/>
        </w:rPr>
      </w:pPr>
      <w:r w:rsidRPr="008C27AB">
        <w:rPr>
          <w:rFonts w:ascii="Arial" w:hAnsi="Arial" w:cs="Arial"/>
        </w:rPr>
        <w:t xml:space="preserve">This clause </w:t>
      </w:r>
      <w:r>
        <w:rPr>
          <w:rFonts w:ascii="Arial" w:hAnsi="Arial" w:cs="Arial"/>
        </w:rPr>
        <w:t xml:space="preserve">is consequential to the amendment at </w:t>
      </w:r>
      <w:r w:rsidRPr="002969A6">
        <w:rPr>
          <w:rFonts w:ascii="Arial" w:hAnsi="Arial" w:cs="Arial"/>
        </w:rPr>
        <w:t>clause 2</w:t>
      </w:r>
      <w:r w:rsidR="00D66BEE" w:rsidRPr="002969A6">
        <w:rPr>
          <w:rFonts w:ascii="Arial" w:hAnsi="Arial" w:cs="Arial"/>
        </w:rPr>
        <w:t>3</w:t>
      </w:r>
      <w:r w:rsidRPr="002969A6">
        <w:rPr>
          <w:rFonts w:ascii="Arial" w:hAnsi="Arial" w:cs="Arial"/>
        </w:rPr>
        <w:t xml:space="preserve"> which amends the dictionary definition of </w:t>
      </w:r>
      <w:r w:rsidRPr="002969A6">
        <w:rPr>
          <w:rFonts w:ascii="Arial" w:hAnsi="Arial" w:cs="Arial"/>
          <w:b/>
          <w:bCs/>
          <w:i/>
          <w:iCs/>
        </w:rPr>
        <w:t>court</w:t>
      </w:r>
      <w:r w:rsidRPr="002969A6">
        <w:rPr>
          <w:rFonts w:ascii="Arial" w:hAnsi="Arial" w:cs="Arial"/>
        </w:rPr>
        <w:t xml:space="preserve"> so that it now includes an example of a court which has</w:t>
      </w:r>
      <w:r>
        <w:rPr>
          <w:rFonts w:ascii="Arial" w:hAnsi="Arial" w:cs="Arial"/>
        </w:rPr>
        <w:t xml:space="preserve"> jurisdiction matters mentioned in the LTA, and provides the example of a court which has jurisdiction under the </w:t>
      </w:r>
      <w:r>
        <w:rPr>
          <w:rFonts w:ascii="Arial" w:hAnsi="Arial" w:cs="Arial"/>
          <w:i/>
          <w:iCs/>
        </w:rPr>
        <w:t>Family Law Act 1975 (Cwlth).</w:t>
      </w:r>
    </w:p>
    <w:p w14:paraId="25CC4285" w14:textId="72E3E669" w:rsidR="00703842" w:rsidRPr="008C27AB" w:rsidRDefault="00703842" w:rsidP="006B3352">
      <w:pPr>
        <w:rPr>
          <w:rFonts w:ascii="Arial" w:hAnsi="Arial" w:cs="Arial"/>
        </w:rPr>
      </w:pPr>
      <w:r>
        <w:rPr>
          <w:rFonts w:ascii="Arial" w:hAnsi="Arial" w:cs="Arial"/>
        </w:rPr>
        <w:t xml:space="preserve">As the dictionary now clarifies that </w:t>
      </w:r>
      <w:r w:rsidRPr="00BE1B4E">
        <w:rPr>
          <w:rFonts w:ascii="Arial" w:hAnsi="Arial" w:cs="Arial"/>
        </w:rPr>
        <w:t>a court having jurisdiction under the </w:t>
      </w:r>
      <w:hyperlink r:id="rId23" w:tooltip="Act 1975 No 53 (Cwlth)" w:history="1">
        <w:r w:rsidRPr="00BE1B4E">
          <w:rPr>
            <w:rStyle w:val="Hyperlink"/>
            <w:rFonts w:ascii="Arial" w:hAnsi="Arial" w:cs="Arial"/>
            <w:i/>
            <w:iCs/>
          </w:rPr>
          <w:t>Family Law Act 1975</w:t>
        </w:r>
      </w:hyperlink>
      <w:r w:rsidRPr="00BE1B4E">
        <w:rPr>
          <w:rFonts w:ascii="Arial" w:hAnsi="Arial" w:cs="Arial"/>
        </w:rPr>
        <w:t> (Cwlth)</w:t>
      </w:r>
      <w:r>
        <w:rPr>
          <w:rFonts w:ascii="Arial" w:hAnsi="Arial" w:cs="Arial"/>
        </w:rPr>
        <w:t xml:space="preserve"> falls within the broader definition of </w:t>
      </w:r>
      <w:r w:rsidRPr="00D126E8">
        <w:rPr>
          <w:rFonts w:ascii="Arial" w:hAnsi="Arial" w:cs="Arial"/>
          <w:b/>
          <w:bCs/>
          <w:i/>
          <w:iCs/>
        </w:rPr>
        <w:t>court</w:t>
      </w:r>
      <w:r>
        <w:rPr>
          <w:rFonts w:ascii="Arial" w:hAnsi="Arial" w:cs="Arial"/>
          <w:b/>
          <w:bCs/>
        </w:rPr>
        <w:t xml:space="preserve"> </w:t>
      </w:r>
      <w:r>
        <w:rPr>
          <w:rFonts w:ascii="Arial" w:hAnsi="Arial" w:cs="Arial"/>
        </w:rPr>
        <w:t xml:space="preserve">which applies for the whole Act the reference at section 106 (4) is no longer needed and is therefore omitted by this clause. </w:t>
      </w:r>
    </w:p>
    <w:p w14:paraId="7D22CCD7" w14:textId="3B51AC48" w:rsidR="00E03C82" w:rsidRDefault="00E03C82" w:rsidP="00E03C82">
      <w:pPr>
        <w:pStyle w:val="Heading3"/>
      </w:pPr>
      <w:r w:rsidRPr="00ED3B77">
        <w:t xml:space="preserve">Clause </w:t>
      </w:r>
      <w:r w:rsidR="00D66BEE">
        <w:t>20</w:t>
      </w:r>
      <w:r w:rsidRPr="00ED3B77">
        <w:tab/>
      </w:r>
      <w:r>
        <w:t>Section 107 heading</w:t>
      </w:r>
    </w:p>
    <w:p w14:paraId="31073406" w14:textId="7769F992" w:rsidR="00990D41" w:rsidRPr="00DD0AAA" w:rsidRDefault="004822C2" w:rsidP="00990D41">
      <w:pPr>
        <w:rPr>
          <w:rFonts w:ascii="Arial" w:hAnsi="Arial" w:cs="Arial"/>
        </w:rPr>
      </w:pPr>
      <w:r w:rsidRPr="004822C2">
        <w:rPr>
          <w:rFonts w:ascii="Arial" w:hAnsi="Arial" w:cs="Arial"/>
        </w:rPr>
        <w:t xml:space="preserve">The clause substitutes the heading </w:t>
      </w:r>
      <w:r>
        <w:rPr>
          <w:rFonts w:ascii="Arial" w:hAnsi="Arial" w:cs="Arial"/>
        </w:rPr>
        <w:t>in</w:t>
      </w:r>
      <w:r w:rsidRPr="004822C2">
        <w:rPr>
          <w:rFonts w:ascii="Arial" w:hAnsi="Arial" w:cs="Arial"/>
        </w:rPr>
        <w:t xml:space="preserve"> section 10</w:t>
      </w:r>
      <w:r>
        <w:rPr>
          <w:rFonts w:ascii="Arial" w:hAnsi="Arial" w:cs="Arial"/>
        </w:rPr>
        <w:t>7</w:t>
      </w:r>
      <w:r w:rsidRPr="004822C2">
        <w:rPr>
          <w:rFonts w:ascii="Arial" w:hAnsi="Arial" w:cs="Arial"/>
        </w:rPr>
        <w:t xml:space="preserve"> </w:t>
      </w:r>
      <w:r w:rsidR="00D66BEE">
        <w:rPr>
          <w:rFonts w:ascii="Arial" w:hAnsi="Arial" w:cs="Arial"/>
        </w:rPr>
        <w:t xml:space="preserve">(“Removal of Caveat”) with “Removal of caveat on application by registered proprietor </w:t>
      </w:r>
      <w:r w:rsidRPr="004822C2">
        <w:rPr>
          <w:rFonts w:ascii="Arial" w:hAnsi="Arial" w:cs="Arial"/>
        </w:rPr>
        <w:t xml:space="preserve">to </w:t>
      </w:r>
      <w:r w:rsidR="00D66BEE">
        <w:rPr>
          <w:rFonts w:ascii="Arial" w:hAnsi="Arial" w:cs="Arial"/>
        </w:rPr>
        <w:t>create greater clarity in the purpose of the section</w:t>
      </w:r>
      <w:r w:rsidRPr="004822C2">
        <w:rPr>
          <w:rFonts w:ascii="Arial" w:hAnsi="Arial" w:cs="Arial"/>
        </w:rPr>
        <w:t>.</w:t>
      </w:r>
    </w:p>
    <w:p w14:paraId="3B194D31" w14:textId="37983B45" w:rsidR="00E03C82" w:rsidRDefault="00E03C82" w:rsidP="002969A6">
      <w:pPr>
        <w:pStyle w:val="Heading3"/>
        <w:spacing w:before="0"/>
      </w:pPr>
      <w:r w:rsidRPr="00ED3B77">
        <w:t xml:space="preserve">Clause </w:t>
      </w:r>
      <w:r w:rsidR="00D66BEE">
        <w:t>21</w:t>
      </w:r>
      <w:r w:rsidRPr="00ED3B77">
        <w:tab/>
      </w:r>
      <w:r>
        <w:t>Effect on dealings, Section 107A (1)</w:t>
      </w:r>
    </w:p>
    <w:p w14:paraId="717A3ECF" w14:textId="3796FBB5" w:rsidR="00990D41" w:rsidRPr="00854F5B" w:rsidRDefault="00990D41" w:rsidP="00990D41">
      <w:pPr>
        <w:rPr>
          <w:rFonts w:ascii="Arial" w:hAnsi="Arial" w:cs="Arial"/>
        </w:rPr>
      </w:pPr>
      <w:r w:rsidRPr="00854F5B">
        <w:rPr>
          <w:rFonts w:ascii="Arial" w:hAnsi="Arial" w:cs="Arial"/>
        </w:rPr>
        <w:t>This clause omits the word</w:t>
      </w:r>
      <w:r w:rsidR="00D66BEE">
        <w:rPr>
          <w:rFonts w:ascii="Arial" w:hAnsi="Arial" w:cs="Arial"/>
        </w:rPr>
        <w:t>s</w:t>
      </w:r>
      <w:r w:rsidRPr="00854F5B">
        <w:rPr>
          <w:rFonts w:ascii="Arial" w:hAnsi="Arial" w:cs="Arial"/>
        </w:rPr>
        <w:t xml:space="preserve"> “remains in force” and substitutes the word “continues in operation” </w:t>
      </w:r>
      <w:r w:rsidR="00D66BEE">
        <w:rPr>
          <w:rFonts w:ascii="Arial" w:hAnsi="Arial" w:cs="Arial"/>
        </w:rPr>
        <w:t>to create greater</w:t>
      </w:r>
      <w:r w:rsidR="00D66BEE" w:rsidRPr="00854F5B">
        <w:rPr>
          <w:rFonts w:ascii="Arial" w:hAnsi="Arial" w:cs="Arial"/>
        </w:rPr>
        <w:t xml:space="preserve"> </w:t>
      </w:r>
      <w:r w:rsidR="00854F5B" w:rsidRPr="00854F5B">
        <w:rPr>
          <w:rFonts w:ascii="Arial" w:hAnsi="Arial" w:cs="Arial"/>
        </w:rPr>
        <w:t>clarity</w:t>
      </w:r>
      <w:r w:rsidR="00D66BEE">
        <w:rPr>
          <w:rFonts w:ascii="Arial" w:hAnsi="Arial" w:cs="Arial"/>
        </w:rPr>
        <w:t xml:space="preserve"> in wording</w:t>
      </w:r>
      <w:r w:rsidR="00854F5B" w:rsidRPr="00854F5B">
        <w:rPr>
          <w:rFonts w:ascii="Arial" w:hAnsi="Arial" w:cs="Arial"/>
        </w:rPr>
        <w:t xml:space="preserve"> and </w:t>
      </w:r>
      <w:r w:rsidR="00D66BEE">
        <w:rPr>
          <w:rFonts w:ascii="Arial" w:hAnsi="Arial" w:cs="Arial"/>
        </w:rPr>
        <w:t xml:space="preserve">for </w:t>
      </w:r>
      <w:r w:rsidR="00854F5B" w:rsidRPr="00854F5B">
        <w:rPr>
          <w:rFonts w:ascii="Arial" w:hAnsi="Arial" w:cs="Arial"/>
        </w:rPr>
        <w:t xml:space="preserve">consistency with other amendments. </w:t>
      </w:r>
    </w:p>
    <w:p w14:paraId="10675B09" w14:textId="36431CC1" w:rsidR="005B3AEA" w:rsidRDefault="00E03C82" w:rsidP="008F2C88">
      <w:pPr>
        <w:pStyle w:val="Heading3"/>
        <w:spacing w:before="0" w:after="0"/>
      </w:pPr>
      <w:r w:rsidRPr="00ED3B77">
        <w:t>Clause</w:t>
      </w:r>
      <w:r>
        <w:t xml:space="preserve"> </w:t>
      </w:r>
      <w:r w:rsidR="00D66BEE">
        <w:t>22</w:t>
      </w:r>
      <w:r w:rsidRPr="00ED3B77">
        <w:tab/>
      </w:r>
      <w:r>
        <w:t>Registrar-general to carry out order of court vesting trust estate</w:t>
      </w:r>
    </w:p>
    <w:p w14:paraId="54B318A8" w14:textId="47B2F553" w:rsidR="00E03C82" w:rsidRDefault="00E03C82" w:rsidP="008F2C88">
      <w:pPr>
        <w:pStyle w:val="Heading3"/>
        <w:spacing w:before="0" w:after="0"/>
        <w:ind w:left="720" w:firstLine="720"/>
      </w:pPr>
      <w:r>
        <w:t xml:space="preserve"> Section 128 (3)</w:t>
      </w:r>
    </w:p>
    <w:p w14:paraId="205567A5" w14:textId="4C7BFF44" w:rsidR="00D66BEE" w:rsidRDefault="00D66BEE" w:rsidP="008F2C88">
      <w:pPr>
        <w:spacing w:before="240"/>
        <w:rPr>
          <w:rFonts w:ascii="Arial" w:hAnsi="Arial" w:cs="Arial"/>
        </w:rPr>
      </w:pPr>
      <w:r>
        <w:rPr>
          <w:rFonts w:ascii="Arial" w:hAnsi="Arial" w:cs="Arial"/>
        </w:rPr>
        <w:t xml:space="preserve">Section 128 (3) currently indicates that, in section 105, </w:t>
      </w:r>
      <w:r w:rsidRPr="00BE1B4E">
        <w:rPr>
          <w:rFonts w:ascii="Arial" w:hAnsi="Arial" w:cs="Arial"/>
          <w:b/>
          <w:bCs/>
          <w:i/>
          <w:iCs/>
        </w:rPr>
        <w:t>court</w:t>
      </w:r>
      <w:r w:rsidRPr="00BE1B4E">
        <w:rPr>
          <w:rFonts w:ascii="Arial" w:hAnsi="Arial" w:cs="Arial"/>
        </w:rPr>
        <w:t> includes a court having jurisdiction under the </w:t>
      </w:r>
      <w:hyperlink r:id="rId24" w:tooltip="Act 1975 No 53 (Cwlth)" w:history="1">
        <w:r w:rsidRPr="00BE1B4E">
          <w:rPr>
            <w:rStyle w:val="Hyperlink"/>
            <w:rFonts w:ascii="Arial" w:hAnsi="Arial" w:cs="Arial"/>
            <w:i/>
            <w:iCs/>
          </w:rPr>
          <w:t>Family Law Act 1975</w:t>
        </w:r>
      </w:hyperlink>
      <w:r w:rsidRPr="00BE1B4E">
        <w:rPr>
          <w:rFonts w:ascii="Arial" w:hAnsi="Arial" w:cs="Arial"/>
        </w:rPr>
        <w:t> (Cwlth).</w:t>
      </w:r>
    </w:p>
    <w:p w14:paraId="0775EE60" w14:textId="02C15447" w:rsidR="00D66BEE" w:rsidRDefault="00D66BEE" w:rsidP="00D66BEE">
      <w:pPr>
        <w:rPr>
          <w:rFonts w:ascii="Arial" w:hAnsi="Arial" w:cs="Arial"/>
        </w:rPr>
      </w:pPr>
      <w:r w:rsidRPr="008C27AB">
        <w:rPr>
          <w:rFonts w:ascii="Arial" w:hAnsi="Arial" w:cs="Arial"/>
        </w:rPr>
        <w:t xml:space="preserve">This clause </w:t>
      </w:r>
      <w:r>
        <w:rPr>
          <w:rFonts w:ascii="Arial" w:hAnsi="Arial" w:cs="Arial"/>
        </w:rPr>
        <w:t xml:space="preserve">is consequential to the amendment at clause </w:t>
      </w:r>
      <w:r w:rsidRPr="002969A6">
        <w:rPr>
          <w:rFonts w:ascii="Arial" w:hAnsi="Arial" w:cs="Arial"/>
        </w:rPr>
        <w:t>23 which</w:t>
      </w:r>
      <w:r>
        <w:rPr>
          <w:rFonts w:ascii="Arial" w:hAnsi="Arial" w:cs="Arial"/>
        </w:rPr>
        <w:t xml:space="preserve"> amends the dictionary definition of </w:t>
      </w:r>
      <w:r w:rsidRPr="00D126E8">
        <w:rPr>
          <w:rFonts w:ascii="Arial" w:hAnsi="Arial" w:cs="Arial"/>
          <w:b/>
          <w:bCs/>
          <w:i/>
          <w:iCs/>
        </w:rPr>
        <w:t>court</w:t>
      </w:r>
      <w:r>
        <w:rPr>
          <w:rFonts w:ascii="Arial" w:hAnsi="Arial" w:cs="Arial"/>
        </w:rPr>
        <w:t xml:space="preserve"> so that it now includes an example of a court which has jurisdiction matters mentioned in the LTA and provides the example of a court which has jurisdiction under the </w:t>
      </w:r>
      <w:r>
        <w:rPr>
          <w:rFonts w:ascii="Arial" w:hAnsi="Arial" w:cs="Arial"/>
          <w:i/>
          <w:iCs/>
        </w:rPr>
        <w:t>Family Law Act 1975 (Cwlth).</w:t>
      </w:r>
    </w:p>
    <w:p w14:paraId="39AF89D5" w14:textId="402D44BD" w:rsidR="00D66BEE" w:rsidRDefault="00D66BEE" w:rsidP="004822C2">
      <w:pPr>
        <w:rPr>
          <w:rFonts w:ascii="Arial" w:hAnsi="Arial" w:cs="Arial"/>
        </w:rPr>
      </w:pPr>
      <w:r>
        <w:rPr>
          <w:rFonts w:ascii="Arial" w:hAnsi="Arial" w:cs="Arial"/>
        </w:rPr>
        <w:t xml:space="preserve">As the dictionary now clarifies that </w:t>
      </w:r>
      <w:r w:rsidRPr="00BE1B4E">
        <w:rPr>
          <w:rFonts w:ascii="Arial" w:hAnsi="Arial" w:cs="Arial"/>
        </w:rPr>
        <w:t>a court having jurisdiction under the </w:t>
      </w:r>
      <w:hyperlink r:id="rId25" w:tooltip="Act 1975 No 53 (Cwlth)" w:history="1">
        <w:r w:rsidRPr="00BE1B4E">
          <w:rPr>
            <w:rStyle w:val="Hyperlink"/>
            <w:rFonts w:ascii="Arial" w:hAnsi="Arial" w:cs="Arial"/>
            <w:i/>
            <w:iCs/>
          </w:rPr>
          <w:t>Family Law Act 1975</w:t>
        </w:r>
      </w:hyperlink>
      <w:r w:rsidRPr="00BE1B4E">
        <w:rPr>
          <w:rFonts w:ascii="Arial" w:hAnsi="Arial" w:cs="Arial"/>
        </w:rPr>
        <w:t> (Cwlth)</w:t>
      </w:r>
      <w:r>
        <w:rPr>
          <w:rFonts w:ascii="Arial" w:hAnsi="Arial" w:cs="Arial"/>
        </w:rPr>
        <w:t xml:space="preserve"> falls within the broader definition of </w:t>
      </w:r>
      <w:r w:rsidRPr="00D126E8">
        <w:rPr>
          <w:rFonts w:ascii="Arial" w:hAnsi="Arial" w:cs="Arial"/>
          <w:b/>
          <w:bCs/>
          <w:i/>
          <w:iCs/>
        </w:rPr>
        <w:t>court</w:t>
      </w:r>
      <w:r>
        <w:rPr>
          <w:rFonts w:ascii="Arial" w:hAnsi="Arial" w:cs="Arial"/>
          <w:b/>
          <w:bCs/>
        </w:rPr>
        <w:t xml:space="preserve"> </w:t>
      </w:r>
      <w:r>
        <w:rPr>
          <w:rFonts w:ascii="Arial" w:hAnsi="Arial" w:cs="Arial"/>
        </w:rPr>
        <w:t>which applies for the whole Act the reference at section 1</w:t>
      </w:r>
      <w:r w:rsidR="006541B1">
        <w:rPr>
          <w:rFonts w:ascii="Arial" w:hAnsi="Arial" w:cs="Arial"/>
        </w:rPr>
        <w:t>28</w:t>
      </w:r>
      <w:r>
        <w:rPr>
          <w:rFonts w:ascii="Arial" w:hAnsi="Arial" w:cs="Arial"/>
        </w:rPr>
        <w:t xml:space="preserve"> (</w:t>
      </w:r>
      <w:r w:rsidR="006541B1">
        <w:rPr>
          <w:rFonts w:ascii="Arial" w:hAnsi="Arial" w:cs="Arial"/>
        </w:rPr>
        <w:t>3</w:t>
      </w:r>
      <w:r>
        <w:rPr>
          <w:rFonts w:ascii="Arial" w:hAnsi="Arial" w:cs="Arial"/>
        </w:rPr>
        <w:t xml:space="preserve">) is no longer needed and is therefore omitted by this clause. </w:t>
      </w:r>
    </w:p>
    <w:p w14:paraId="3F54D5E1" w14:textId="7E91E930" w:rsidR="00E03C82" w:rsidRPr="00ED3B77" w:rsidRDefault="00E03C82" w:rsidP="00E03C82">
      <w:pPr>
        <w:pStyle w:val="Heading3"/>
        <w:rPr>
          <w:b w:val="0"/>
        </w:rPr>
      </w:pPr>
      <w:r w:rsidRPr="00ED3B77">
        <w:t xml:space="preserve">Clause </w:t>
      </w:r>
      <w:r w:rsidR="006541B1">
        <w:t>23</w:t>
      </w:r>
      <w:r w:rsidRPr="00ED3B77">
        <w:tab/>
      </w:r>
      <w:r>
        <w:t xml:space="preserve">Dictionary, definition of </w:t>
      </w:r>
      <w:r w:rsidRPr="00FB4503">
        <w:rPr>
          <w:i/>
          <w:iCs/>
        </w:rPr>
        <w:t>court</w:t>
      </w:r>
    </w:p>
    <w:p w14:paraId="77671594" w14:textId="71C9D625" w:rsidR="00E03C82" w:rsidRDefault="00854F5B" w:rsidP="00E03C82">
      <w:pPr>
        <w:rPr>
          <w:rFonts w:ascii="Arial" w:hAnsi="Arial" w:cs="Arial"/>
        </w:rPr>
      </w:pPr>
      <w:r w:rsidRPr="00854F5B">
        <w:rPr>
          <w:rFonts w:ascii="Arial" w:hAnsi="Arial" w:cs="Arial"/>
        </w:rPr>
        <w:t xml:space="preserve">This clause substitutes the definition of court in the Dictionary of the LTA. This clarifies that definition means the Supreme Court, or any other court that has jurisdiction in relation to land titles matters. The definition includes the example a court having jurisdiction under the </w:t>
      </w:r>
      <w:r w:rsidRPr="00854F5B">
        <w:rPr>
          <w:rFonts w:ascii="Arial" w:hAnsi="Arial" w:cs="Arial"/>
          <w:i/>
          <w:iCs/>
        </w:rPr>
        <w:t>Family Law Act 1975 (</w:t>
      </w:r>
      <w:proofErr w:type="spellStart"/>
      <w:r w:rsidRPr="00854F5B">
        <w:rPr>
          <w:rFonts w:ascii="Arial" w:hAnsi="Arial" w:cs="Arial"/>
          <w:i/>
          <w:iCs/>
        </w:rPr>
        <w:t>Cwth</w:t>
      </w:r>
      <w:proofErr w:type="spellEnd"/>
      <w:r w:rsidRPr="00854F5B">
        <w:rPr>
          <w:rFonts w:ascii="Arial" w:hAnsi="Arial" w:cs="Arial"/>
          <w:i/>
          <w:iCs/>
        </w:rPr>
        <w:t>)</w:t>
      </w:r>
      <w:r w:rsidRPr="00854F5B">
        <w:rPr>
          <w:rFonts w:ascii="Arial" w:hAnsi="Arial" w:cs="Arial"/>
        </w:rPr>
        <w:t xml:space="preserve">. </w:t>
      </w:r>
    </w:p>
    <w:p w14:paraId="478E2230" w14:textId="77777777" w:rsidR="00854F5B" w:rsidRPr="00854F5B" w:rsidRDefault="00854F5B" w:rsidP="00E03C82">
      <w:pPr>
        <w:rPr>
          <w:rFonts w:ascii="Arial" w:hAnsi="Arial" w:cs="Arial"/>
        </w:rPr>
      </w:pPr>
    </w:p>
    <w:p w14:paraId="6866062D" w14:textId="77777777" w:rsidR="00E03C82" w:rsidRPr="002969A6" w:rsidRDefault="00E03C82" w:rsidP="00E03C82">
      <w:pPr>
        <w:keepNext/>
        <w:keepLines/>
        <w:tabs>
          <w:tab w:val="left" w:pos="1418"/>
        </w:tabs>
        <w:spacing w:before="240" w:after="240" w:line="240" w:lineRule="auto"/>
        <w:outlineLvl w:val="2"/>
        <w:rPr>
          <w:rFonts w:ascii="Arial" w:hAnsi="Arial"/>
          <w:b/>
          <w:sz w:val="28"/>
          <w:szCs w:val="28"/>
        </w:rPr>
      </w:pPr>
      <w:r w:rsidRPr="002969A6">
        <w:rPr>
          <w:rFonts w:ascii="Arial" w:hAnsi="Arial"/>
          <w:b/>
          <w:sz w:val="28"/>
          <w:szCs w:val="28"/>
        </w:rPr>
        <w:lastRenderedPageBreak/>
        <w:t>Part 3</w:t>
      </w:r>
      <w:r w:rsidRPr="002969A6">
        <w:rPr>
          <w:rFonts w:ascii="Arial" w:hAnsi="Arial"/>
          <w:b/>
          <w:sz w:val="28"/>
          <w:szCs w:val="28"/>
        </w:rPr>
        <w:tab/>
        <w:t>Residential Tenancies Act 1997</w:t>
      </w:r>
    </w:p>
    <w:p w14:paraId="2D07DC71" w14:textId="3EABE0D5" w:rsidR="00E03C82" w:rsidRPr="00EC1025" w:rsidRDefault="00E03C82" w:rsidP="00E03C82">
      <w:pPr>
        <w:keepNext/>
        <w:keepLines/>
        <w:spacing w:before="240" w:after="240" w:line="240" w:lineRule="auto"/>
        <w:ind w:left="1440" w:hanging="1440"/>
        <w:outlineLvl w:val="2"/>
        <w:rPr>
          <w:rFonts w:ascii="Arial" w:hAnsi="Arial"/>
          <w:b/>
          <w:i/>
          <w:iCs/>
          <w:sz w:val="24"/>
          <w:szCs w:val="24"/>
        </w:rPr>
      </w:pPr>
      <w:r w:rsidRPr="00EC1025">
        <w:rPr>
          <w:rFonts w:ascii="Arial" w:hAnsi="Arial"/>
          <w:b/>
          <w:sz w:val="24"/>
          <w:szCs w:val="24"/>
        </w:rPr>
        <w:t xml:space="preserve">Clause </w:t>
      </w:r>
      <w:r w:rsidR="006541B1">
        <w:rPr>
          <w:rFonts w:ascii="Arial" w:hAnsi="Arial"/>
          <w:b/>
          <w:sz w:val="24"/>
          <w:szCs w:val="24"/>
        </w:rPr>
        <w:t>24</w:t>
      </w:r>
      <w:r w:rsidRPr="00EC1025">
        <w:rPr>
          <w:rFonts w:ascii="Arial" w:hAnsi="Arial"/>
          <w:b/>
          <w:sz w:val="24"/>
          <w:szCs w:val="24"/>
        </w:rPr>
        <w:tab/>
      </w:r>
      <w:r>
        <w:rPr>
          <w:rFonts w:ascii="Arial" w:hAnsi="Arial"/>
          <w:b/>
          <w:sz w:val="24"/>
          <w:szCs w:val="24"/>
        </w:rPr>
        <w:t>Reduction of existing rent</w:t>
      </w:r>
      <w:r w:rsidRPr="00EC1025">
        <w:rPr>
          <w:rFonts w:ascii="Arial" w:hAnsi="Arial"/>
          <w:b/>
          <w:sz w:val="24"/>
          <w:szCs w:val="24"/>
        </w:rPr>
        <w:br/>
      </w:r>
      <w:r>
        <w:rPr>
          <w:rFonts w:ascii="Arial" w:hAnsi="Arial" w:cs="Arial"/>
          <w:b/>
          <w:bCs/>
          <w:sz w:val="24"/>
          <w:szCs w:val="24"/>
        </w:rPr>
        <w:t>New section 71 (1A)</w:t>
      </w:r>
    </w:p>
    <w:p w14:paraId="52989B72" w14:textId="77777777" w:rsidR="00553AC4" w:rsidRDefault="00E03C82" w:rsidP="00E03C82">
      <w:pPr>
        <w:rPr>
          <w:rFonts w:ascii="Arial" w:hAnsi="Arial" w:cs="Arial"/>
        </w:rPr>
      </w:pPr>
      <w:r w:rsidRPr="006B3352">
        <w:rPr>
          <w:rFonts w:ascii="Arial" w:hAnsi="Arial" w:cs="Arial"/>
        </w:rPr>
        <w:t xml:space="preserve">This clause inserts a new subsection into section 71 of the RTA. Section 71 requires ACAT to order a reduction in the rental rate payable under a residential tenancy agreement if ACAT considers that the tenant’s use or enjoyment of the premises has diminished significantly as a result of the loss or diminished utility of an appliance, furniture, a facility or a service supplied by the lessor as a result of the withdrawal of the appliance, furniture, facility, or service by the lessor. </w:t>
      </w:r>
    </w:p>
    <w:p w14:paraId="21A0AAB4" w14:textId="62DD11BC" w:rsidR="00E03C82" w:rsidRPr="006B3352" w:rsidRDefault="00E03C82" w:rsidP="00E03C82">
      <w:pPr>
        <w:rPr>
          <w:rFonts w:ascii="Arial" w:hAnsi="Arial" w:cs="Arial"/>
        </w:rPr>
      </w:pPr>
      <w:r w:rsidRPr="006B3352">
        <w:rPr>
          <w:rFonts w:ascii="Arial" w:hAnsi="Arial" w:cs="Arial"/>
        </w:rPr>
        <w:t>As part of the electrification of residential buildings in the ACT</w:t>
      </w:r>
      <w:r w:rsidR="006C4700">
        <w:rPr>
          <w:rFonts w:ascii="Arial" w:hAnsi="Arial" w:cs="Arial"/>
        </w:rPr>
        <w:t xml:space="preserve"> to reduce greenhouse gas emissions</w:t>
      </w:r>
      <w:r w:rsidRPr="006B3352">
        <w:rPr>
          <w:rFonts w:ascii="Arial" w:hAnsi="Arial" w:cs="Arial"/>
        </w:rPr>
        <w:t>, a gas appliance or service may be withdrawn by the lessor</w:t>
      </w:r>
      <w:r w:rsidR="000E0664">
        <w:rPr>
          <w:rFonts w:ascii="Arial" w:hAnsi="Arial" w:cs="Arial"/>
        </w:rPr>
        <w:t xml:space="preserve"> during the course of a tenancy agreement</w:t>
      </w:r>
      <w:r w:rsidRPr="006B3352">
        <w:rPr>
          <w:rFonts w:ascii="Arial" w:hAnsi="Arial" w:cs="Arial"/>
        </w:rPr>
        <w:t xml:space="preserve">. It is not intended that the electrification of residential buildings in the ACT should result in tenants being able to seek rent reductions provided that there is an electricity connection to the premises and </w:t>
      </w:r>
      <w:r w:rsidR="00F41A79">
        <w:rPr>
          <w:rFonts w:ascii="Arial" w:hAnsi="Arial" w:cs="Arial"/>
        </w:rPr>
        <w:t xml:space="preserve">that </w:t>
      </w:r>
      <w:r w:rsidRPr="006B3352">
        <w:rPr>
          <w:rFonts w:ascii="Arial" w:hAnsi="Arial" w:cs="Arial"/>
        </w:rPr>
        <w:t xml:space="preserve">the </w:t>
      </w:r>
      <w:r w:rsidR="00F41A79">
        <w:rPr>
          <w:rFonts w:ascii="Arial" w:hAnsi="Arial" w:cs="Arial"/>
        </w:rPr>
        <w:t>action taken by the lessor to reduce greenhouse emissions</w:t>
      </w:r>
      <w:r w:rsidRPr="006B3352">
        <w:rPr>
          <w:rFonts w:ascii="Arial" w:hAnsi="Arial" w:cs="Arial"/>
        </w:rPr>
        <w:t xml:space="preserve"> at the premises are not unreasonable or impracticable in the circumstances. </w:t>
      </w:r>
    </w:p>
    <w:p w14:paraId="1692C828" w14:textId="4BD3F933" w:rsidR="006C4700" w:rsidRDefault="006C4700" w:rsidP="00E03C82">
      <w:pPr>
        <w:rPr>
          <w:rFonts w:ascii="Arial" w:hAnsi="Arial" w:cs="Arial"/>
        </w:rPr>
      </w:pPr>
      <w:r>
        <w:rPr>
          <w:rFonts w:ascii="Arial" w:hAnsi="Arial" w:cs="Arial"/>
        </w:rPr>
        <w:t>Reducing greenhouse gas emissions is a defined term in section 71</w:t>
      </w:r>
      <w:r w:rsidR="00F41A79">
        <w:rPr>
          <w:rFonts w:ascii="Arial" w:hAnsi="Arial" w:cs="Arial"/>
        </w:rPr>
        <w:t xml:space="preserve"> </w:t>
      </w:r>
      <w:r>
        <w:rPr>
          <w:rFonts w:ascii="Arial" w:hAnsi="Arial" w:cs="Arial"/>
        </w:rPr>
        <w:t>(6).</w:t>
      </w:r>
    </w:p>
    <w:p w14:paraId="2BC17217" w14:textId="17359246" w:rsidR="00E03C82" w:rsidRPr="006B3352" w:rsidRDefault="00E03C82" w:rsidP="00E03C82">
      <w:pPr>
        <w:rPr>
          <w:rFonts w:ascii="Arial" w:hAnsi="Arial" w:cs="Arial"/>
        </w:rPr>
      </w:pPr>
      <w:r w:rsidRPr="006B3352">
        <w:rPr>
          <w:rFonts w:ascii="Arial" w:hAnsi="Arial" w:cs="Arial"/>
        </w:rPr>
        <w:t>Section 71</w:t>
      </w:r>
      <w:r w:rsidR="00F41A79">
        <w:rPr>
          <w:rFonts w:ascii="Arial" w:hAnsi="Arial" w:cs="Arial"/>
        </w:rPr>
        <w:t xml:space="preserve"> </w:t>
      </w:r>
      <w:r w:rsidRPr="006B3352">
        <w:rPr>
          <w:rFonts w:ascii="Arial" w:hAnsi="Arial" w:cs="Arial"/>
        </w:rPr>
        <w:t xml:space="preserve">(1A) ensures that ACAT is not required to order a reduction in the rental rate payable as a result of a lessor taking measures to </w:t>
      </w:r>
      <w:r w:rsidR="006C4700">
        <w:rPr>
          <w:rFonts w:ascii="Arial" w:hAnsi="Arial" w:cs="Arial"/>
        </w:rPr>
        <w:t>reduce greenhouse</w:t>
      </w:r>
      <w:r w:rsidR="006C4700" w:rsidRPr="006B3352">
        <w:rPr>
          <w:rFonts w:ascii="Arial" w:hAnsi="Arial" w:cs="Arial"/>
        </w:rPr>
        <w:t xml:space="preserve"> </w:t>
      </w:r>
      <w:r w:rsidRPr="006B3352">
        <w:rPr>
          <w:rFonts w:ascii="Arial" w:hAnsi="Arial" w:cs="Arial"/>
        </w:rPr>
        <w:t xml:space="preserve">gas </w:t>
      </w:r>
      <w:r w:rsidR="006C4700">
        <w:rPr>
          <w:rFonts w:ascii="Arial" w:hAnsi="Arial" w:cs="Arial"/>
        </w:rPr>
        <w:t>emissions</w:t>
      </w:r>
      <w:r w:rsidR="006C4700" w:rsidRPr="006B3352">
        <w:rPr>
          <w:rFonts w:ascii="Arial" w:hAnsi="Arial" w:cs="Arial"/>
        </w:rPr>
        <w:t xml:space="preserve"> </w:t>
      </w:r>
      <w:r w:rsidRPr="006B3352">
        <w:rPr>
          <w:rFonts w:ascii="Arial" w:hAnsi="Arial" w:cs="Arial"/>
        </w:rPr>
        <w:t>at the premises provided that there is an electricity connection at the premises and the measures taken are not unreasonable or impractical in the circumstances.</w:t>
      </w:r>
    </w:p>
    <w:p w14:paraId="3742A6C3" w14:textId="2FF1597D" w:rsidR="00E03C82" w:rsidRPr="006B3352" w:rsidRDefault="00E03C82" w:rsidP="00E03C82">
      <w:pPr>
        <w:rPr>
          <w:rFonts w:ascii="Arial" w:hAnsi="Arial" w:cs="Arial"/>
        </w:rPr>
      </w:pPr>
      <w:r w:rsidRPr="006B3352">
        <w:rPr>
          <w:rFonts w:ascii="Arial" w:hAnsi="Arial" w:cs="Arial"/>
        </w:rPr>
        <w:t xml:space="preserve">For example, if a leased premises has </w:t>
      </w:r>
      <w:r w:rsidR="00F41A79">
        <w:rPr>
          <w:rFonts w:ascii="Arial" w:hAnsi="Arial" w:cs="Arial"/>
        </w:rPr>
        <w:t>central gas heating</w:t>
      </w:r>
      <w:r w:rsidRPr="006B3352">
        <w:rPr>
          <w:rFonts w:ascii="Arial" w:hAnsi="Arial" w:cs="Arial"/>
        </w:rPr>
        <w:t xml:space="preserve"> and the lessor removes the gas </w:t>
      </w:r>
      <w:r w:rsidR="00F41A79">
        <w:rPr>
          <w:rFonts w:ascii="Arial" w:hAnsi="Arial" w:cs="Arial"/>
        </w:rPr>
        <w:t>heating</w:t>
      </w:r>
      <w:r w:rsidR="00F41A79" w:rsidRPr="006B3352">
        <w:rPr>
          <w:rFonts w:ascii="Arial" w:hAnsi="Arial" w:cs="Arial"/>
        </w:rPr>
        <w:t xml:space="preserve"> </w:t>
      </w:r>
      <w:r w:rsidRPr="006B3352">
        <w:rPr>
          <w:rFonts w:ascii="Arial" w:hAnsi="Arial" w:cs="Arial"/>
        </w:rPr>
        <w:t xml:space="preserve">and replaces it with </w:t>
      </w:r>
      <w:r w:rsidR="00F41A79">
        <w:rPr>
          <w:rFonts w:ascii="Arial" w:hAnsi="Arial" w:cs="Arial"/>
        </w:rPr>
        <w:t>a heat pump system (or sy</w:t>
      </w:r>
      <w:r w:rsidR="000E0664">
        <w:rPr>
          <w:rFonts w:ascii="Arial" w:hAnsi="Arial" w:cs="Arial"/>
        </w:rPr>
        <w:t>s</w:t>
      </w:r>
      <w:r w:rsidR="00F41A79">
        <w:rPr>
          <w:rFonts w:ascii="Arial" w:hAnsi="Arial" w:cs="Arial"/>
        </w:rPr>
        <w:t>tems)</w:t>
      </w:r>
      <w:r w:rsidRPr="006B3352">
        <w:rPr>
          <w:rFonts w:ascii="Arial" w:hAnsi="Arial" w:cs="Arial"/>
        </w:rPr>
        <w:t xml:space="preserve">, ACAT is not required to order a reduction in the rental rate on the grounds that the tenant’s use or enjoyment of the premises has diminished due to the withdrawal of the gas </w:t>
      </w:r>
      <w:r w:rsidR="00F41A79">
        <w:rPr>
          <w:rFonts w:ascii="Arial" w:hAnsi="Arial" w:cs="Arial"/>
        </w:rPr>
        <w:t>heating</w:t>
      </w:r>
      <w:r w:rsidRPr="006B3352">
        <w:rPr>
          <w:rFonts w:ascii="Arial" w:hAnsi="Arial" w:cs="Arial"/>
        </w:rPr>
        <w:t xml:space="preserve">, provided that there is an electricity connection at the premises and the measures taken are not unreasonable or impractical in the circumstances. However, if the lessor withdraws the </w:t>
      </w:r>
      <w:r w:rsidR="000E0664">
        <w:rPr>
          <w:rFonts w:ascii="Arial" w:hAnsi="Arial" w:cs="Arial"/>
        </w:rPr>
        <w:t>gas heating</w:t>
      </w:r>
      <w:r w:rsidR="000E0664" w:rsidRPr="006B3352">
        <w:rPr>
          <w:rFonts w:ascii="Arial" w:hAnsi="Arial" w:cs="Arial"/>
        </w:rPr>
        <w:t xml:space="preserve"> </w:t>
      </w:r>
      <w:r w:rsidRPr="006B3352">
        <w:rPr>
          <w:rFonts w:ascii="Arial" w:hAnsi="Arial" w:cs="Arial"/>
        </w:rPr>
        <w:t>and does not provide any replacement facility, or the replacement facility is unreasonable given the circumstances of the premises</w:t>
      </w:r>
      <w:r w:rsidR="00F41A79">
        <w:rPr>
          <w:rFonts w:ascii="Arial" w:hAnsi="Arial" w:cs="Arial"/>
        </w:rPr>
        <w:t xml:space="preserve"> (for example</w:t>
      </w:r>
      <w:r w:rsidR="000E0664">
        <w:rPr>
          <w:rFonts w:ascii="Arial" w:hAnsi="Arial" w:cs="Arial"/>
        </w:rPr>
        <w:t>,</w:t>
      </w:r>
      <w:r w:rsidR="00F41A79">
        <w:rPr>
          <w:rFonts w:ascii="Arial" w:hAnsi="Arial" w:cs="Arial"/>
        </w:rPr>
        <w:t xml:space="preserve"> if </w:t>
      </w:r>
      <w:r w:rsidR="000E0664">
        <w:rPr>
          <w:rFonts w:ascii="Arial" w:hAnsi="Arial" w:cs="Arial"/>
        </w:rPr>
        <w:t>the replacement heat pump system was only able to heat one room where ethe previous gas heating system heated the entire rental premises)</w:t>
      </w:r>
      <w:r w:rsidRPr="006B3352">
        <w:rPr>
          <w:rFonts w:ascii="Arial" w:hAnsi="Arial" w:cs="Arial"/>
        </w:rPr>
        <w:t xml:space="preserve">, ACAT may be required to order a reduction in the rental rate payable. </w:t>
      </w:r>
    </w:p>
    <w:p w14:paraId="1304487B" w14:textId="5902CCBA" w:rsidR="00E03C82" w:rsidRPr="00EC1025" w:rsidRDefault="00E03C82" w:rsidP="00E03C82">
      <w:pPr>
        <w:keepNext/>
        <w:keepLines/>
        <w:spacing w:before="240" w:after="240" w:line="240" w:lineRule="auto"/>
        <w:ind w:left="1440" w:hanging="1440"/>
        <w:outlineLvl w:val="2"/>
        <w:rPr>
          <w:rFonts w:ascii="Arial" w:hAnsi="Arial"/>
          <w:b/>
          <w:i/>
          <w:iCs/>
          <w:sz w:val="24"/>
          <w:szCs w:val="24"/>
        </w:rPr>
      </w:pPr>
      <w:r w:rsidRPr="00EC1025">
        <w:rPr>
          <w:rFonts w:ascii="Arial" w:hAnsi="Arial"/>
          <w:b/>
          <w:sz w:val="24"/>
          <w:szCs w:val="24"/>
        </w:rPr>
        <w:t xml:space="preserve">Clause </w:t>
      </w:r>
      <w:r w:rsidR="006541B1">
        <w:rPr>
          <w:rFonts w:ascii="Arial" w:hAnsi="Arial"/>
          <w:b/>
          <w:sz w:val="24"/>
          <w:szCs w:val="24"/>
        </w:rPr>
        <w:t>25</w:t>
      </w:r>
      <w:r w:rsidRPr="00EC1025">
        <w:rPr>
          <w:rFonts w:ascii="Arial" w:hAnsi="Arial"/>
          <w:b/>
          <w:sz w:val="24"/>
          <w:szCs w:val="24"/>
        </w:rPr>
        <w:tab/>
      </w:r>
      <w:r>
        <w:rPr>
          <w:rFonts w:ascii="Arial" w:hAnsi="Arial" w:cs="Arial"/>
          <w:b/>
          <w:bCs/>
          <w:sz w:val="24"/>
          <w:szCs w:val="24"/>
        </w:rPr>
        <w:t>Section 71 (2)</w:t>
      </w:r>
    </w:p>
    <w:p w14:paraId="265D4EA8" w14:textId="600D67CD" w:rsidR="00E03C82" w:rsidRPr="006B3352" w:rsidRDefault="00E03C82" w:rsidP="00E03C82">
      <w:pPr>
        <w:rPr>
          <w:rFonts w:ascii="Arial" w:hAnsi="Arial" w:cs="Arial"/>
        </w:rPr>
      </w:pPr>
      <w:r w:rsidRPr="006B3352">
        <w:rPr>
          <w:rFonts w:ascii="Arial" w:hAnsi="Arial" w:cs="Arial"/>
        </w:rPr>
        <w:t>This clause substitutes the existing subsection 71</w:t>
      </w:r>
      <w:r w:rsidR="00A60813">
        <w:rPr>
          <w:rFonts w:ascii="Arial" w:hAnsi="Arial" w:cs="Arial"/>
        </w:rPr>
        <w:t xml:space="preserve"> </w:t>
      </w:r>
      <w:r w:rsidRPr="006B3352">
        <w:rPr>
          <w:rFonts w:ascii="Arial" w:hAnsi="Arial" w:cs="Arial"/>
        </w:rPr>
        <w:t>(2) to correct drafting ambiguities. The existing subsection 71</w:t>
      </w:r>
      <w:r w:rsidR="00A60813">
        <w:rPr>
          <w:rFonts w:ascii="Arial" w:hAnsi="Arial" w:cs="Arial"/>
        </w:rPr>
        <w:t xml:space="preserve"> </w:t>
      </w:r>
      <w:r w:rsidRPr="006B3352">
        <w:rPr>
          <w:rFonts w:ascii="Arial" w:hAnsi="Arial" w:cs="Arial"/>
        </w:rPr>
        <w:t>(2) states that the subsection is to ‘remove any doubt’ about the interpretation of subsection 71</w:t>
      </w:r>
      <w:r w:rsidR="00A60813">
        <w:rPr>
          <w:rFonts w:ascii="Arial" w:hAnsi="Arial" w:cs="Arial"/>
        </w:rPr>
        <w:t xml:space="preserve"> </w:t>
      </w:r>
      <w:r w:rsidRPr="006B3352">
        <w:rPr>
          <w:rFonts w:ascii="Arial" w:hAnsi="Arial" w:cs="Arial"/>
        </w:rPr>
        <w:t>(1) but uses a term that is specific to subsection 71</w:t>
      </w:r>
      <w:r w:rsidR="00A60813">
        <w:rPr>
          <w:rFonts w:ascii="Arial" w:hAnsi="Arial" w:cs="Arial"/>
        </w:rPr>
        <w:t xml:space="preserve"> </w:t>
      </w:r>
      <w:r w:rsidRPr="006B3352">
        <w:rPr>
          <w:rFonts w:ascii="Arial" w:hAnsi="Arial" w:cs="Arial"/>
        </w:rPr>
        <w:t>(2)</w:t>
      </w:r>
      <w:r w:rsidR="00A60813">
        <w:rPr>
          <w:rFonts w:ascii="Arial" w:hAnsi="Arial" w:cs="Arial"/>
        </w:rPr>
        <w:t xml:space="preserve"> </w:t>
      </w:r>
      <w:r w:rsidRPr="006B3352">
        <w:rPr>
          <w:rFonts w:ascii="Arial" w:hAnsi="Arial" w:cs="Arial"/>
        </w:rPr>
        <w:t>(c) and is not used generally across the subsection. As this creates doubt, the subsection is substituted to be precise.</w:t>
      </w:r>
    </w:p>
    <w:p w14:paraId="649F50CE" w14:textId="5B74DDE0" w:rsidR="00E03C82" w:rsidRPr="00EC1025" w:rsidRDefault="00E03C82" w:rsidP="00E03C82">
      <w:pPr>
        <w:keepNext/>
        <w:keepLines/>
        <w:spacing w:before="240" w:after="240" w:line="240" w:lineRule="auto"/>
        <w:ind w:left="1440" w:hanging="1440"/>
        <w:outlineLvl w:val="2"/>
        <w:rPr>
          <w:rFonts w:ascii="Arial" w:hAnsi="Arial"/>
          <w:b/>
          <w:i/>
          <w:iCs/>
          <w:sz w:val="24"/>
          <w:szCs w:val="24"/>
        </w:rPr>
      </w:pPr>
      <w:r w:rsidRPr="00EC1025">
        <w:rPr>
          <w:rFonts w:ascii="Arial" w:hAnsi="Arial"/>
          <w:b/>
          <w:sz w:val="24"/>
          <w:szCs w:val="24"/>
        </w:rPr>
        <w:t xml:space="preserve">Clause </w:t>
      </w:r>
      <w:r w:rsidR="006541B1">
        <w:rPr>
          <w:rFonts w:ascii="Arial" w:hAnsi="Arial"/>
          <w:b/>
          <w:sz w:val="24"/>
          <w:szCs w:val="24"/>
        </w:rPr>
        <w:t>26</w:t>
      </w:r>
      <w:r w:rsidRPr="00EC1025">
        <w:rPr>
          <w:rFonts w:ascii="Arial" w:hAnsi="Arial"/>
          <w:b/>
          <w:sz w:val="24"/>
          <w:szCs w:val="24"/>
        </w:rPr>
        <w:tab/>
      </w:r>
      <w:r>
        <w:rPr>
          <w:rFonts w:ascii="Arial" w:hAnsi="Arial" w:cs="Arial"/>
          <w:b/>
          <w:bCs/>
          <w:sz w:val="24"/>
          <w:szCs w:val="24"/>
        </w:rPr>
        <w:t>Section 71 (3) (a)</w:t>
      </w:r>
    </w:p>
    <w:p w14:paraId="4EEBDD81" w14:textId="2D70C034" w:rsidR="00E03C82" w:rsidRDefault="00E03C82" w:rsidP="00E03C82">
      <w:pPr>
        <w:rPr>
          <w:rFonts w:ascii="Arial" w:hAnsi="Arial" w:cs="Arial"/>
        </w:rPr>
      </w:pPr>
      <w:r w:rsidRPr="006B3352">
        <w:rPr>
          <w:rFonts w:ascii="Arial" w:hAnsi="Arial" w:cs="Arial"/>
        </w:rPr>
        <w:t>This clause corrects a drafting ambiguity arising from the definite article in the existing provision and the conjunction with ‘the day the tenant’s use or enjoyment of the premises diminished</w:t>
      </w:r>
      <w:r w:rsidR="006541B1">
        <w:rPr>
          <w:rFonts w:ascii="Arial" w:hAnsi="Arial" w:cs="Arial"/>
        </w:rPr>
        <w:t>.</w:t>
      </w:r>
      <w:r w:rsidRPr="006B3352">
        <w:rPr>
          <w:rFonts w:ascii="Arial" w:hAnsi="Arial" w:cs="Arial"/>
        </w:rPr>
        <w:t xml:space="preserve">’ It is intended that the reduction in the rental rate takes effect either from the </w:t>
      </w:r>
      <w:r w:rsidRPr="006B3352">
        <w:rPr>
          <w:rFonts w:ascii="Arial" w:hAnsi="Arial" w:cs="Arial"/>
        </w:rPr>
        <w:lastRenderedPageBreak/>
        <w:t xml:space="preserve">date the tenant’s use or enjoyment of the premises diminished or any later date ordered by ACAT. </w:t>
      </w:r>
    </w:p>
    <w:p w14:paraId="3974FEA6" w14:textId="4CB1AC31" w:rsidR="00A60813" w:rsidRPr="006B3352" w:rsidRDefault="00A60813" w:rsidP="00E03C82">
      <w:pPr>
        <w:rPr>
          <w:rFonts w:ascii="Arial" w:hAnsi="Arial" w:cs="Arial"/>
        </w:rPr>
      </w:pPr>
      <w:r>
        <w:rPr>
          <w:rFonts w:ascii="Arial" w:hAnsi="Arial" w:cs="Arial"/>
        </w:rPr>
        <w:t xml:space="preserve">To create greater precision in language, this clause also replaces the word “specifies” with “ordered” to reflect that making a rent reduction forms part of an ACAT order. </w:t>
      </w:r>
    </w:p>
    <w:p w14:paraId="499D8291" w14:textId="598A5EF5" w:rsidR="00E03C82" w:rsidRPr="00EC1025" w:rsidRDefault="00E03C82" w:rsidP="00E03C82">
      <w:pPr>
        <w:keepNext/>
        <w:keepLines/>
        <w:spacing w:before="240" w:after="240" w:line="240" w:lineRule="auto"/>
        <w:ind w:left="1440" w:hanging="1440"/>
        <w:outlineLvl w:val="2"/>
        <w:rPr>
          <w:rFonts w:ascii="Arial" w:hAnsi="Arial"/>
          <w:b/>
          <w:i/>
          <w:iCs/>
          <w:sz w:val="24"/>
          <w:szCs w:val="24"/>
        </w:rPr>
      </w:pPr>
      <w:r w:rsidRPr="00EC1025">
        <w:rPr>
          <w:rFonts w:ascii="Arial" w:hAnsi="Arial"/>
          <w:b/>
          <w:sz w:val="24"/>
          <w:szCs w:val="24"/>
        </w:rPr>
        <w:t xml:space="preserve">Clause </w:t>
      </w:r>
      <w:r w:rsidR="006541B1">
        <w:rPr>
          <w:rFonts w:ascii="Arial" w:hAnsi="Arial"/>
          <w:b/>
          <w:sz w:val="24"/>
          <w:szCs w:val="24"/>
        </w:rPr>
        <w:t>27</w:t>
      </w:r>
      <w:r w:rsidRPr="00EC1025">
        <w:rPr>
          <w:rFonts w:ascii="Arial" w:hAnsi="Arial"/>
          <w:b/>
          <w:sz w:val="24"/>
          <w:szCs w:val="24"/>
        </w:rPr>
        <w:tab/>
      </w:r>
      <w:r>
        <w:rPr>
          <w:rFonts w:ascii="Arial" w:hAnsi="Arial" w:cs="Arial"/>
          <w:b/>
          <w:bCs/>
          <w:sz w:val="24"/>
          <w:szCs w:val="24"/>
        </w:rPr>
        <w:t>Section 71 (3) (b)</w:t>
      </w:r>
    </w:p>
    <w:p w14:paraId="4AAF66E4" w14:textId="77777777" w:rsidR="00A60813" w:rsidRPr="006B3352" w:rsidRDefault="00A60813" w:rsidP="00A60813">
      <w:pPr>
        <w:rPr>
          <w:rFonts w:ascii="Arial" w:hAnsi="Arial" w:cs="Arial"/>
        </w:rPr>
      </w:pPr>
      <w:r>
        <w:rPr>
          <w:rFonts w:ascii="Arial" w:hAnsi="Arial" w:cs="Arial"/>
        </w:rPr>
        <w:t xml:space="preserve">To create greater precision in language, this clause also replaces the word “specifies” with “ordered” to reflect that making a rent reduction forms part of an ACAT order. </w:t>
      </w:r>
    </w:p>
    <w:p w14:paraId="2D056759" w14:textId="7332D91D" w:rsidR="00E03C82" w:rsidRPr="00EC1025" w:rsidRDefault="00E03C82" w:rsidP="00E03C82">
      <w:pPr>
        <w:keepNext/>
        <w:keepLines/>
        <w:spacing w:before="240" w:after="240" w:line="240" w:lineRule="auto"/>
        <w:ind w:left="1440" w:hanging="1440"/>
        <w:outlineLvl w:val="2"/>
        <w:rPr>
          <w:rFonts w:ascii="Arial" w:hAnsi="Arial"/>
          <w:b/>
          <w:i/>
          <w:iCs/>
          <w:sz w:val="24"/>
          <w:szCs w:val="24"/>
        </w:rPr>
      </w:pPr>
      <w:r w:rsidRPr="00EC1025">
        <w:rPr>
          <w:rFonts w:ascii="Arial" w:hAnsi="Arial"/>
          <w:b/>
          <w:sz w:val="24"/>
          <w:szCs w:val="24"/>
        </w:rPr>
        <w:t xml:space="preserve">Clause </w:t>
      </w:r>
      <w:r w:rsidR="006541B1">
        <w:rPr>
          <w:rFonts w:ascii="Arial" w:hAnsi="Arial"/>
          <w:b/>
          <w:sz w:val="24"/>
          <w:szCs w:val="24"/>
        </w:rPr>
        <w:t>28</w:t>
      </w:r>
      <w:r w:rsidRPr="00EC1025">
        <w:rPr>
          <w:rFonts w:ascii="Arial" w:hAnsi="Arial"/>
          <w:b/>
          <w:sz w:val="24"/>
          <w:szCs w:val="24"/>
        </w:rPr>
        <w:tab/>
      </w:r>
      <w:r>
        <w:rPr>
          <w:rFonts w:ascii="Arial" w:hAnsi="Arial" w:cs="Arial"/>
          <w:b/>
          <w:bCs/>
          <w:sz w:val="24"/>
          <w:szCs w:val="24"/>
        </w:rPr>
        <w:t>New section 71 (6)</w:t>
      </w:r>
    </w:p>
    <w:p w14:paraId="435A9F84" w14:textId="00C02BA5" w:rsidR="00E03C82" w:rsidRDefault="00E03C82" w:rsidP="00E03C82">
      <w:pPr>
        <w:rPr>
          <w:rFonts w:ascii="Arial" w:hAnsi="Arial" w:cs="Arial"/>
        </w:rPr>
      </w:pPr>
      <w:r w:rsidRPr="006B3352">
        <w:rPr>
          <w:rFonts w:ascii="Arial" w:hAnsi="Arial" w:cs="Arial"/>
        </w:rPr>
        <w:t xml:space="preserve">This </w:t>
      </w:r>
      <w:r w:rsidRPr="002969A6">
        <w:rPr>
          <w:rFonts w:ascii="Arial" w:hAnsi="Arial" w:cs="Arial"/>
        </w:rPr>
        <w:t xml:space="preserve">clause inserts definitions for terms used in section 71 of the RTA and is consequential upon clause </w:t>
      </w:r>
      <w:r w:rsidR="003542BB" w:rsidRPr="002969A6">
        <w:rPr>
          <w:rFonts w:ascii="Arial" w:hAnsi="Arial" w:cs="Arial"/>
        </w:rPr>
        <w:t>24</w:t>
      </w:r>
      <w:r w:rsidRPr="002969A6">
        <w:rPr>
          <w:rFonts w:ascii="Arial" w:hAnsi="Arial" w:cs="Arial"/>
        </w:rPr>
        <w:t>.</w:t>
      </w:r>
    </w:p>
    <w:p w14:paraId="67A06AA5" w14:textId="30501B65" w:rsidR="00490579" w:rsidRDefault="00490579" w:rsidP="00E03C82">
      <w:pPr>
        <w:rPr>
          <w:rFonts w:ascii="Arial" w:hAnsi="Arial" w:cs="Arial"/>
        </w:rPr>
      </w:pPr>
      <w:r>
        <w:rPr>
          <w:rFonts w:ascii="Arial" w:hAnsi="Arial" w:cs="Arial"/>
        </w:rPr>
        <w:t>The definitions draw upon terms used in other ACT legislation</w:t>
      </w:r>
      <w:r w:rsidR="00393CDB">
        <w:rPr>
          <w:rFonts w:ascii="Arial" w:hAnsi="Arial" w:cs="Arial"/>
        </w:rPr>
        <w:t xml:space="preserve">, including the National Energy Retail Law (NERL). </w:t>
      </w:r>
    </w:p>
    <w:p w14:paraId="2EECD0B4" w14:textId="77777777" w:rsidR="00D91111" w:rsidRDefault="00393CDB" w:rsidP="00E03C82">
      <w:pPr>
        <w:rPr>
          <w:rFonts w:ascii="Arial" w:hAnsi="Arial" w:cs="Arial"/>
        </w:rPr>
      </w:pPr>
      <w:r>
        <w:rPr>
          <w:rFonts w:ascii="Arial" w:hAnsi="Arial" w:cs="Arial"/>
        </w:rPr>
        <w:t xml:space="preserve">Per section 6 of the </w:t>
      </w:r>
      <w:r>
        <w:rPr>
          <w:rFonts w:ascii="Arial" w:hAnsi="Arial" w:cs="Arial"/>
          <w:i/>
          <w:iCs/>
        </w:rPr>
        <w:t>National Energy Retail Law (ACT) Act 2012</w:t>
      </w:r>
      <w:r>
        <w:rPr>
          <w:rFonts w:ascii="Arial" w:hAnsi="Arial" w:cs="Arial"/>
        </w:rPr>
        <w:t xml:space="preserve">, NERL is set out in the schedule to </w:t>
      </w:r>
      <w:r w:rsidRPr="00393CDB">
        <w:rPr>
          <w:rFonts w:ascii="Arial" w:hAnsi="Arial" w:cs="Arial"/>
        </w:rPr>
        <w:t xml:space="preserve">the </w:t>
      </w:r>
      <w:r w:rsidRPr="002969A6">
        <w:rPr>
          <w:rFonts w:ascii="Arial" w:hAnsi="Arial" w:cs="Arial"/>
          <w:i/>
          <w:iCs/>
        </w:rPr>
        <w:t>National Energy Retail Law (South Australia) Act 2011</w:t>
      </w:r>
      <w:r w:rsidRPr="00393CDB">
        <w:rPr>
          <w:rFonts w:ascii="Arial" w:hAnsi="Arial" w:cs="Arial"/>
        </w:rPr>
        <w:t xml:space="preserve"> (SA)</w:t>
      </w:r>
      <w:r w:rsidR="00D91111">
        <w:rPr>
          <w:rFonts w:ascii="Arial" w:hAnsi="Arial" w:cs="Arial"/>
        </w:rPr>
        <w:t>. Section 2 of NERL defines gas as:</w:t>
      </w:r>
    </w:p>
    <w:p w14:paraId="0952CBF9" w14:textId="555437EB" w:rsidR="00D91111" w:rsidRPr="002969A6" w:rsidRDefault="00D91111" w:rsidP="002969A6">
      <w:pPr>
        <w:pStyle w:val="ListParagraph"/>
        <w:numPr>
          <w:ilvl w:val="0"/>
          <w:numId w:val="33"/>
        </w:numPr>
        <w:rPr>
          <w:rFonts w:ascii="Arial" w:hAnsi="Arial" w:cs="Arial"/>
        </w:rPr>
      </w:pPr>
      <w:r w:rsidRPr="002969A6">
        <w:rPr>
          <w:rFonts w:ascii="Arial" w:hAnsi="Arial" w:cs="Arial"/>
        </w:rPr>
        <w:t>natural gas;</w:t>
      </w:r>
    </w:p>
    <w:p w14:paraId="4F941792" w14:textId="22A981AB" w:rsidR="00D91111" w:rsidRPr="002969A6" w:rsidRDefault="00D91111" w:rsidP="002969A6">
      <w:pPr>
        <w:pStyle w:val="ListParagraph"/>
        <w:numPr>
          <w:ilvl w:val="0"/>
          <w:numId w:val="33"/>
        </w:numPr>
        <w:rPr>
          <w:rFonts w:ascii="Arial" w:hAnsi="Arial" w:cs="Arial"/>
        </w:rPr>
      </w:pPr>
      <w:r w:rsidRPr="002969A6">
        <w:rPr>
          <w:rFonts w:ascii="Arial" w:hAnsi="Arial" w:cs="Arial"/>
        </w:rPr>
        <w:t>a natural gas equivalent;</w:t>
      </w:r>
    </w:p>
    <w:p w14:paraId="2C4769E0" w14:textId="2B1C7545" w:rsidR="00D91111" w:rsidRDefault="00D91111" w:rsidP="002969A6">
      <w:pPr>
        <w:pStyle w:val="ListParagraph"/>
        <w:numPr>
          <w:ilvl w:val="0"/>
          <w:numId w:val="33"/>
        </w:numPr>
        <w:spacing w:after="200"/>
        <w:ind w:left="714" w:hanging="357"/>
        <w:rPr>
          <w:rFonts w:ascii="Arial" w:hAnsi="Arial" w:cs="Arial"/>
        </w:rPr>
      </w:pPr>
      <w:r w:rsidRPr="002969A6">
        <w:rPr>
          <w:rFonts w:ascii="Arial" w:hAnsi="Arial" w:cs="Arial"/>
        </w:rPr>
        <w:t>a prescribed covered gas</w:t>
      </w:r>
      <w:r>
        <w:rPr>
          <w:rFonts w:ascii="Arial" w:hAnsi="Arial" w:cs="Arial"/>
        </w:rPr>
        <w:t>.</w:t>
      </w:r>
    </w:p>
    <w:p w14:paraId="1263AEFF" w14:textId="1315E195" w:rsidR="00D91111" w:rsidRDefault="008C12C5" w:rsidP="00D91111">
      <w:pPr>
        <w:rPr>
          <w:rFonts w:ascii="Arial" w:hAnsi="Arial" w:cs="Arial"/>
        </w:rPr>
      </w:pPr>
      <w:r>
        <w:rPr>
          <w:rFonts w:ascii="Arial" w:hAnsi="Arial" w:cs="Arial"/>
        </w:rPr>
        <w:t xml:space="preserve">The definitions aim to cover a wide range of housing scenarios in the ACT and the different pathways that might be taken to electrification. </w:t>
      </w:r>
      <w:r w:rsidR="00CD08CD">
        <w:rPr>
          <w:rFonts w:ascii="Arial" w:hAnsi="Arial" w:cs="Arial"/>
        </w:rPr>
        <w:t xml:space="preserve">The policy intent is that section 71 as a whole will not operate as an obstacle to landlords electrifying the premises either voluntarily or as a necessary consequence of the gas network in the ACT being decommissioned; it is not intended that tenants should be left without protections from actions that are unreasonable or impracticable in the circumstances. </w:t>
      </w:r>
    </w:p>
    <w:p w14:paraId="075A6BD3" w14:textId="2471E711" w:rsidR="003542BB" w:rsidRDefault="003542BB" w:rsidP="00D91111">
      <w:pPr>
        <w:rPr>
          <w:rFonts w:ascii="Arial" w:hAnsi="Arial" w:cs="Arial"/>
        </w:rPr>
      </w:pPr>
      <w:r>
        <w:rPr>
          <w:rFonts w:ascii="Arial" w:hAnsi="Arial" w:cs="Arial"/>
        </w:rPr>
        <w:t>This clause defines terms in the following way:</w:t>
      </w:r>
    </w:p>
    <w:p w14:paraId="7833BD77" w14:textId="77777777" w:rsidR="003542BB" w:rsidRDefault="003542BB" w:rsidP="00D91111">
      <w:pPr>
        <w:rPr>
          <w:rFonts w:ascii="Arial" w:hAnsi="Arial" w:cs="Arial"/>
        </w:rPr>
      </w:pPr>
      <w:r w:rsidRPr="002969A6">
        <w:rPr>
          <w:rFonts w:ascii="Arial" w:hAnsi="Arial" w:cs="Arial"/>
          <w:b/>
          <w:bCs/>
          <w:i/>
          <w:iCs/>
        </w:rPr>
        <w:t>active</w:t>
      </w:r>
      <w:r w:rsidRPr="003542BB">
        <w:rPr>
          <w:rFonts w:ascii="Arial" w:hAnsi="Arial" w:cs="Arial"/>
        </w:rPr>
        <w:t>—an electricity connection, gas connection or LPG connection</w:t>
      </w:r>
      <w:r>
        <w:rPr>
          <w:rFonts w:ascii="Arial" w:hAnsi="Arial" w:cs="Arial"/>
        </w:rPr>
        <w:t xml:space="preserve"> </w:t>
      </w:r>
      <w:r w:rsidRPr="003542BB">
        <w:rPr>
          <w:rFonts w:ascii="Arial" w:hAnsi="Arial" w:cs="Arial"/>
        </w:rPr>
        <w:t xml:space="preserve">at premises is </w:t>
      </w:r>
      <w:r w:rsidRPr="002969A6">
        <w:rPr>
          <w:rFonts w:ascii="Arial" w:hAnsi="Arial" w:cs="Arial"/>
          <w:b/>
          <w:bCs/>
          <w:i/>
          <w:iCs/>
        </w:rPr>
        <w:t xml:space="preserve">active </w:t>
      </w:r>
      <w:r w:rsidRPr="003542BB">
        <w:rPr>
          <w:rFonts w:ascii="Arial" w:hAnsi="Arial" w:cs="Arial"/>
        </w:rPr>
        <w:t xml:space="preserve">if— </w:t>
      </w:r>
    </w:p>
    <w:p w14:paraId="5AF14074" w14:textId="69494E1B" w:rsidR="003542BB" w:rsidRPr="002969A6" w:rsidRDefault="003542BB" w:rsidP="002969A6">
      <w:pPr>
        <w:pStyle w:val="ListParagraph"/>
        <w:numPr>
          <w:ilvl w:val="0"/>
          <w:numId w:val="36"/>
        </w:numPr>
        <w:ind w:left="1276" w:hanging="589"/>
        <w:rPr>
          <w:rFonts w:ascii="Arial" w:hAnsi="Arial" w:cs="Arial"/>
        </w:rPr>
      </w:pPr>
      <w:r w:rsidRPr="002969A6">
        <w:rPr>
          <w:rFonts w:ascii="Arial" w:hAnsi="Arial" w:cs="Arial"/>
        </w:rPr>
        <w:t xml:space="preserve">for an electricity connection—the connection allows the flow of electricity from the electricity distribution network to the premises; and </w:t>
      </w:r>
    </w:p>
    <w:p w14:paraId="210F7991" w14:textId="7DDCF6FB" w:rsidR="003542BB" w:rsidRPr="002969A6" w:rsidRDefault="003542BB" w:rsidP="002969A6">
      <w:pPr>
        <w:pStyle w:val="ListParagraph"/>
        <w:numPr>
          <w:ilvl w:val="0"/>
          <w:numId w:val="36"/>
        </w:numPr>
        <w:ind w:left="1276" w:hanging="590"/>
        <w:rPr>
          <w:rFonts w:ascii="Arial" w:hAnsi="Arial" w:cs="Arial"/>
        </w:rPr>
      </w:pPr>
      <w:r w:rsidRPr="002969A6">
        <w:rPr>
          <w:rFonts w:ascii="Arial" w:hAnsi="Arial" w:cs="Arial"/>
        </w:rPr>
        <w:t xml:space="preserve">for a gas connection—the connection allows the flow of gas from the gas distribution network to the premises; and </w:t>
      </w:r>
    </w:p>
    <w:p w14:paraId="6CAC638D" w14:textId="7BA8FDF0" w:rsidR="003542BB" w:rsidRPr="002969A6" w:rsidRDefault="003542BB" w:rsidP="002969A6">
      <w:pPr>
        <w:pStyle w:val="ListParagraph"/>
        <w:numPr>
          <w:ilvl w:val="0"/>
          <w:numId w:val="36"/>
        </w:numPr>
        <w:ind w:left="1276" w:hanging="590"/>
        <w:rPr>
          <w:rFonts w:ascii="Arial" w:hAnsi="Arial" w:cs="Arial"/>
        </w:rPr>
      </w:pPr>
      <w:r w:rsidRPr="002969A6">
        <w:rPr>
          <w:rFonts w:ascii="Arial" w:hAnsi="Arial" w:cs="Arial"/>
        </w:rPr>
        <w:t xml:space="preserve">for an LPG connection—the connection allows the flow of LPG from the tank or cylinder to the premises. </w:t>
      </w:r>
    </w:p>
    <w:p w14:paraId="189B7CD6" w14:textId="77777777" w:rsidR="00991D65" w:rsidRDefault="003542BB" w:rsidP="003542BB">
      <w:pPr>
        <w:spacing w:before="240"/>
        <w:rPr>
          <w:rFonts w:ascii="Arial" w:hAnsi="Arial" w:cs="Arial"/>
        </w:rPr>
      </w:pPr>
      <w:r w:rsidRPr="002969A6">
        <w:rPr>
          <w:rFonts w:ascii="Arial" w:hAnsi="Arial" w:cs="Arial"/>
          <w:b/>
          <w:bCs/>
          <w:i/>
          <w:iCs/>
        </w:rPr>
        <w:t>consumer piping system</w:t>
      </w:r>
      <w:r w:rsidRPr="003542BB">
        <w:rPr>
          <w:rFonts w:ascii="Arial" w:hAnsi="Arial" w:cs="Arial"/>
        </w:rPr>
        <w:t xml:space="preserve">—see the </w:t>
      </w:r>
      <w:r w:rsidRPr="002969A6">
        <w:rPr>
          <w:rFonts w:ascii="Arial" w:hAnsi="Arial" w:cs="Arial"/>
          <w:i/>
          <w:iCs/>
        </w:rPr>
        <w:t>Gas Safety Act 2000,</w:t>
      </w:r>
      <w:r w:rsidRPr="003542BB">
        <w:rPr>
          <w:rFonts w:ascii="Arial" w:hAnsi="Arial" w:cs="Arial"/>
        </w:rPr>
        <w:t xml:space="preserve"> dictionary. </w:t>
      </w:r>
    </w:p>
    <w:p w14:paraId="06989B82" w14:textId="6E6AF73B" w:rsidR="003542BB" w:rsidRDefault="003542BB" w:rsidP="002969A6">
      <w:pPr>
        <w:spacing w:before="240"/>
        <w:rPr>
          <w:rFonts w:ascii="Arial" w:hAnsi="Arial" w:cs="Arial"/>
        </w:rPr>
      </w:pPr>
      <w:r w:rsidRPr="002969A6">
        <w:rPr>
          <w:rFonts w:ascii="Arial" w:hAnsi="Arial" w:cs="Arial"/>
          <w:b/>
          <w:bCs/>
          <w:i/>
          <w:iCs/>
        </w:rPr>
        <w:t>electricity connection</w:t>
      </w:r>
      <w:r w:rsidRPr="003542BB">
        <w:rPr>
          <w:rFonts w:ascii="Arial" w:hAnsi="Arial" w:cs="Arial"/>
        </w:rPr>
        <w:t xml:space="preserve">, in relation to tenancy premises, means the physical connection that allows the flow of electricity from the electricity distribution network to— </w:t>
      </w:r>
    </w:p>
    <w:p w14:paraId="5D517EC0" w14:textId="4E7BD9D6" w:rsidR="003542BB" w:rsidRPr="002969A6" w:rsidRDefault="003542BB" w:rsidP="002969A6">
      <w:pPr>
        <w:pStyle w:val="ListParagraph"/>
        <w:numPr>
          <w:ilvl w:val="0"/>
          <w:numId w:val="39"/>
        </w:numPr>
        <w:rPr>
          <w:rFonts w:ascii="Arial" w:hAnsi="Arial" w:cs="Arial"/>
        </w:rPr>
      </w:pPr>
      <w:r w:rsidRPr="002969A6">
        <w:rPr>
          <w:rFonts w:ascii="Arial" w:hAnsi="Arial" w:cs="Arial"/>
        </w:rPr>
        <w:t xml:space="preserve">the tenancy premises; or </w:t>
      </w:r>
    </w:p>
    <w:p w14:paraId="68C5306C" w14:textId="6F8F2800" w:rsidR="003542BB" w:rsidRPr="002969A6" w:rsidRDefault="003542BB" w:rsidP="002969A6">
      <w:pPr>
        <w:pStyle w:val="ListParagraph"/>
        <w:numPr>
          <w:ilvl w:val="0"/>
          <w:numId w:val="39"/>
        </w:numPr>
        <w:spacing w:after="240"/>
        <w:ind w:left="714" w:hanging="357"/>
        <w:rPr>
          <w:rFonts w:ascii="Arial" w:hAnsi="Arial" w:cs="Arial"/>
        </w:rPr>
      </w:pPr>
      <w:r w:rsidRPr="002969A6">
        <w:rPr>
          <w:rFonts w:ascii="Arial" w:hAnsi="Arial" w:cs="Arial"/>
        </w:rPr>
        <w:t xml:space="preserve">premises on which the tenancy premises are located. </w:t>
      </w:r>
    </w:p>
    <w:p w14:paraId="2BF415E1" w14:textId="53FB3FA3" w:rsidR="003542BB" w:rsidRDefault="003542BB" w:rsidP="00D91111">
      <w:pPr>
        <w:rPr>
          <w:rFonts w:ascii="Arial" w:hAnsi="Arial" w:cs="Arial"/>
        </w:rPr>
      </w:pPr>
      <w:r w:rsidRPr="002969A6">
        <w:rPr>
          <w:rFonts w:ascii="Arial" w:hAnsi="Arial" w:cs="Arial"/>
          <w:b/>
          <w:bCs/>
          <w:i/>
          <w:iCs/>
        </w:rPr>
        <w:lastRenderedPageBreak/>
        <w:t>electricity distribution network</w:t>
      </w:r>
      <w:r w:rsidRPr="003542BB">
        <w:rPr>
          <w:rFonts w:ascii="Arial" w:hAnsi="Arial" w:cs="Arial"/>
        </w:rPr>
        <w:t xml:space="preserve">—see the </w:t>
      </w:r>
      <w:r w:rsidRPr="002969A6">
        <w:rPr>
          <w:rFonts w:ascii="Arial" w:hAnsi="Arial" w:cs="Arial"/>
          <w:i/>
          <w:iCs/>
        </w:rPr>
        <w:t>Utilities Act 2000</w:t>
      </w:r>
      <w:r w:rsidRPr="003542BB">
        <w:rPr>
          <w:rFonts w:ascii="Arial" w:hAnsi="Arial" w:cs="Arial"/>
        </w:rPr>
        <w:t>, section 7 (2).</w:t>
      </w:r>
    </w:p>
    <w:p w14:paraId="03953F18" w14:textId="77777777" w:rsidR="003542BB" w:rsidRDefault="003542BB" w:rsidP="00D91111">
      <w:pPr>
        <w:rPr>
          <w:rFonts w:ascii="Arial" w:hAnsi="Arial" w:cs="Arial"/>
        </w:rPr>
      </w:pPr>
      <w:r w:rsidRPr="002969A6">
        <w:rPr>
          <w:rFonts w:ascii="Arial" w:hAnsi="Arial" w:cs="Arial"/>
          <w:b/>
          <w:bCs/>
          <w:i/>
          <w:iCs/>
        </w:rPr>
        <w:t>gas</w:t>
      </w:r>
      <w:r w:rsidRPr="003542BB">
        <w:rPr>
          <w:rFonts w:ascii="Arial" w:hAnsi="Arial" w:cs="Arial"/>
        </w:rPr>
        <w:t xml:space="preserve">—see the National Energy Retail Law (ACT), section 2 (1). </w:t>
      </w:r>
    </w:p>
    <w:p w14:paraId="77E9C512" w14:textId="77777777" w:rsidR="003542BB" w:rsidRDefault="003542BB" w:rsidP="00D91111">
      <w:pPr>
        <w:rPr>
          <w:rFonts w:ascii="Arial" w:hAnsi="Arial" w:cs="Arial"/>
        </w:rPr>
      </w:pPr>
      <w:r w:rsidRPr="002969A6">
        <w:rPr>
          <w:rFonts w:ascii="Arial" w:hAnsi="Arial" w:cs="Arial"/>
          <w:b/>
          <w:bCs/>
          <w:i/>
          <w:iCs/>
        </w:rPr>
        <w:t>gas appliance</w:t>
      </w:r>
      <w:r w:rsidRPr="003542BB">
        <w:rPr>
          <w:rFonts w:ascii="Arial" w:hAnsi="Arial" w:cs="Arial"/>
        </w:rPr>
        <w:t xml:space="preserve">—see the </w:t>
      </w:r>
      <w:r w:rsidRPr="002969A6">
        <w:rPr>
          <w:rFonts w:ascii="Arial" w:hAnsi="Arial" w:cs="Arial"/>
          <w:i/>
          <w:iCs/>
        </w:rPr>
        <w:t>Gas Safety Act 2000</w:t>
      </w:r>
      <w:r w:rsidRPr="003542BB">
        <w:rPr>
          <w:rFonts w:ascii="Arial" w:hAnsi="Arial" w:cs="Arial"/>
        </w:rPr>
        <w:t xml:space="preserve">, section 6A. </w:t>
      </w:r>
    </w:p>
    <w:p w14:paraId="44BCD336" w14:textId="77777777" w:rsidR="003542BB" w:rsidRDefault="003542BB" w:rsidP="00D91111">
      <w:pPr>
        <w:rPr>
          <w:rFonts w:ascii="Arial" w:hAnsi="Arial" w:cs="Arial"/>
        </w:rPr>
      </w:pPr>
      <w:r w:rsidRPr="002969A6">
        <w:rPr>
          <w:rFonts w:ascii="Arial" w:hAnsi="Arial" w:cs="Arial"/>
          <w:b/>
          <w:bCs/>
          <w:i/>
          <w:iCs/>
        </w:rPr>
        <w:t>gas connection</w:t>
      </w:r>
      <w:r w:rsidRPr="003542BB">
        <w:rPr>
          <w:rFonts w:ascii="Arial" w:hAnsi="Arial" w:cs="Arial"/>
        </w:rPr>
        <w:t xml:space="preserve">, in relation to tenancy premises, means the physical connection that allows the flow of gas from the gas distribution network to— </w:t>
      </w:r>
    </w:p>
    <w:p w14:paraId="7617182D" w14:textId="7D9F70C6" w:rsidR="003542BB" w:rsidRPr="002969A6" w:rsidRDefault="003542BB" w:rsidP="002969A6">
      <w:pPr>
        <w:pStyle w:val="ListParagraph"/>
        <w:numPr>
          <w:ilvl w:val="0"/>
          <w:numId w:val="47"/>
        </w:numPr>
        <w:rPr>
          <w:rFonts w:ascii="Arial" w:hAnsi="Arial" w:cs="Arial"/>
        </w:rPr>
      </w:pPr>
      <w:r w:rsidRPr="002969A6">
        <w:rPr>
          <w:rFonts w:ascii="Arial" w:hAnsi="Arial" w:cs="Arial"/>
        </w:rPr>
        <w:t xml:space="preserve">the tenancy premises; or </w:t>
      </w:r>
      <w:r w:rsidR="00991D65">
        <w:rPr>
          <w:rFonts w:ascii="Arial" w:hAnsi="Arial" w:cs="Arial"/>
        </w:rPr>
        <w:t>.</w:t>
      </w:r>
    </w:p>
    <w:p w14:paraId="77AEDAA0" w14:textId="49DCECD2" w:rsidR="00991D65" w:rsidRDefault="003542BB" w:rsidP="003542BB">
      <w:pPr>
        <w:pStyle w:val="ListParagraph"/>
        <w:numPr>
          <w:ilvl w:val="0"/>
          <w:numId w:val="47"/>
        </w:numPr>
        <w:spacing w:after="240"/>
        <w:ind w:left="714" w:hanging="357"/>
        <w:rPr>
          <w:rFonts w:ascii="Arial" w:hAnsi="Arial" w:cs="Arial"/>
        </w:rPr>
      </w:pPr>
      <w:r w:rsidRPr="002969A6">
        <w:rPr>
          <w:rFonts w:ascii="Arial" w:hAnsi="Arial" w:cs="Arial"/>
        </w:rPr>
        <w:t>premises on which the tenancy premises are located</w:t>
      </w:r>
    </w:p>
    <w:p w14:paraId="04D29335" w14:textId="0CBE32C8" w:rsidR="003542BB" w:rsidRPr="002969A6" w:rsidRDefault="003542BB" w:rsidP="002969A6">
      <w:pPr>
        <w:spacing w:after="240"/>
        <w:rPr>
          <w:rFonts w:ascii="Arial" w:hAnsi="Arial" w:cs="Arial"/>
        </w:rPr>
      </w:pPr>
      <w:r w:rsidRPr="002969A6">
        <w:rPr>
          <w:rFonts w:ascii="Arial" w:hAnsi="Arial" w:cs="Arial"/>
          <w:b/>
          <w:bCs/>
          <w:i/>
          <w:iCs/>
        </w:rPr>
        <w:t>gas distribution network</w:t>
      </w:r>
      <w:r w:rsidRPr="002969A6">
        <w:rPr>
          <w:rFonts w:ascii="Arial" w:hAnsi="Arial" w:cs="Arial"/>
        </w:rPr>
        <w:t xml:space="preserve">—see the </w:t>
      </w:r>
      <w:r w:rsidRPr="002969A6">
        <w:rPr>
          <w:rFonts w:ascii="Arial" w:hAnsi="Arial" w:cs="Arial"/>
          <w:i/>
          <w:iCs/>
        </w:rPr>
        <w:t>Utilities Act 2000</w:t>
      </w:r>
      <w:r w:rsidRPr="002969A6">
        <w:rPr>
          <w:rFonts w:ascii="Arial" w:hAnsi="Arial" w:cs="Arial"/>
        </w:rPr>
        <w:t xml:space="preserve">, section 10 (2). </w:t>
      </w:r>
    </w:p>
    <w:p w14:paraId="5E9663AC" w14:textId="77777777" w:rsidR="003542BB" w:rsidRDefault="003542BB" w:rsidP="00D91111">
      <w:pPr>
        <w:rPr>
          <w:rFonts w:ascii="Arial" w:hAnsi="Arial" w:cs="Arial"/>
        </w:rPr>
      </w:pPr>
      <w:r w:rsidRPr="002969A6">
        <w:rPr>
          <w:rFonts w:ascii="Arial" w:hAnsi="Arial" w:cs="Arial"/>
          <w:b/>
          <w:bCs/>
          <w:i/>
          <w:iCs/>
        </w:rPr>
        <w:t>greenhouse gas emissions</w:t>
      </w:r>
      <w:r w:rsidRPr="003542BB">
        <w:rPr>
          <w:rFonts w:ascii="Arial" w:hAnsi="Arial" w:cs="Arial"/>
        </w:rPr>
        <w:t xml:space="preserve">—see the </w:t>
      </w:r>
      <w:r w:rsidRPr="002969A6">
        <w:rPr>
          <w:rFonts w:ascii="Arial" w:hAnsi="Arial" w:cs="Arial"/>
          <w:i/>
          <w:iCs/>
        </w:rPr>
        <w:t>Climate Change and Greenhouse Gas Reduction Act 2010</w:t>
      </w:r>
      <w:r w:rsidRPr="003542BB">
        <w:rPr>
          <w:rFonts w:ascii="Arial" w:hAnsi="Arial" w:cs="Arial"/>
        </w:rPr>
        <w:t xml:space="preserve">, dictionary. </w:t>
      </w:r>
    </w:p>
    <w:p w14:paraId="2B950404" w14:textId="77777777" w:rsidR="003542BB" w:rsidRDefault="003542BB" w:rsidP="00D91111">
      <w:pPr>
        <w:rPr>
          <w:rFonts w:ascii="Arial" w:hAnsi="Arial" w:cs="Arial"/>
        </w:rPr>
      </w:pPr>
      <w:r w:rsidRPr="002969A6">
        <w:rPr>
          <w:rFonts w:ascii="Arial" w:hAnsi="Arial" w:cs="Arial"/>
          <w:b/>
          <w:bCs/>
          <w:i/>
          <w:iCs/>
        </w:rPr>
        <w:t>LPG</w:t>
      </w:r>
      <w:r w:rsidRPr="003542BB">
        <w:rPr>
          <w:rFonts w:ascii="Arial" w:hAnsi="Arial" w:cs="Arial"/>
        </w:rPr>
        <w:t xml:space="preserve"> means a flammable mixture composed predominantly of 1 or more of the following: </w:t>
      </w:r>
    </w:p>
    <w:p w14:paraId="48322A9D" w14:textId="02C95A09" w:rsidR="003542BB" w:rsidRPr="002969A6" w:rsidRDefault="003542BB" w:rsidP="002969A6">
      <w:pPr>
        <w:pStyle w:val="ListParagraph"/>
        <w:numPr>
          <w:ilvl w:val="0"/>
          <w:numId w:val="45"/>
        </w:numPr>
        <w:rPr>
          <w:rFonts w:ascii="Arial" w:hAnsi="Arial" w:cs="Arial"/>
        </w:rPr>
      </w:pPr>
      <w:r w:rsidRPr="002969A6">
        <w:rPr>
          <w:rFonts w:ascii="Arial" w:hAnsi="Arial" w:cs="Arial"/>
        </w:rPr>
        <w:t xml:space="preserve">butane; </w:t>
      </w:r>
    </w:p>
    <w:p w14:paraId="63959CE1" w14:textId="5BAAA6E3" w:rsidR="003542BB" w:rsidRPr="002969A6" w:rsidRDefault="003542BB" w:rsidP="002969A6">
      <w:pPr>
        <w:pStyle w:val="ListParagraph"/>
        <w:numPr>
          <w:ilvl w:val="0"/>
          <w:numId w:val="45"/>
        </w:numPr>
        <w:rPr>
          <w:rFonts w:ascii="Arial" w:hAnsi="Arial" w:cs="Arial"/>
        </w:rPr>
      </w:pPr>
      <w:r w:rsidRPr="002969A6">
        <w:rPr>
          <w:rFonts w:ascii="Arial" w:hAnsi="Arial" w:cs="Arial"/>
        </w:rPr>
        <w:t xml:space="preserve">butene (butylene); </w:t>
      </w:r>
    </w:p>
    <w:p w14:paraId="3B4585A4" w14:textId="5BE37C56" w:rsidR="003542BB" w:rsidRPr="002969A6" w:rsidRDefault="003542BB" w:rsidP="002969A6">
      <w:pPr>
        <w:pStyle w:val="ListParagraph"/>
        <w:numPr>
          <w:ilvl w:val="0"/>
          <w:numId w:val="45"/>
        </w:numPr>
        <w:rPr>
          <w:rFonts w:ascii="Arial" w:hAnsi="Arial" w:cs="Arial"/>
        </w:rPr>
      </w:pPr>
      <w:r w:rsidRPr="002969A6">
        <w:rPr>
          <w:rFonts w:ascii="Arial" w:hAnsi="Arial" w:cs="Arial"/>
        </w:rPr>
        <w:t xml:space="preserve">isobutane; </w:t>
      </w:r>
    </w:p>
    <w:p w14:paraId="7EFD1408" w14:textId="52F8CD7E" w:rsidR="003542BB" w:rsidRPr="002969A6" w:rsidRDefault="003542BB" w:rsidP="002969A6">
      <w:pPr>
        <w:pStyle w:val="ListParagraph"/>
        <w:numPr>
          <w:ilvl w:val="0"/>
          <w:numId w:val="45"/>
        </w:numPr>
        <w:rPr>
          <w:rFonts w:ascii="Arial" w:hAnsi="Arial" w:cs="Arial"/>
        </w:rPr>
      </w:pPr>
      <w:r w:rsidRPr="002969A6">
        <w:rPr>
          <w:rFonts w:ascii="Arial" w:hAnsi="Arial" w:cs="Arial"/>
        </w:rPr>
        <w:t xml:space="preserve">propane; </w:t>
      </w:r>
    </w:p>
    <w:p w14:paraId="4AE66EEB" w14:textId="5AAA077F" w:rsidR="003542BB" w:rsidRPr="002969A6" w:rsidRDefault="003542BB" w:rsidP="002969A6">
      <w:pPr>
        <w:pStyle w:val="ListParagraph"/>
        <w:numPr>
          <w:ilvl w:val="0"/>
          <w:numId w:val="45"/>
        </w:numPr>
        <w:spacing w:after="240"/>
        <w:ind w:left="714" w:hanging="357"/>
        <w:rPr>
          <w:rFonts w:ascii="Arial" w:hAnsi="Arial" w:cs="Arial"/>
        </w:rPr>
      </w:pPr>
      <w:r w:rsidRPr="002969A6">
        <w:rPr>
          <w:rFonts w:ascii="Arial" w:hAnsi="Arial" w:cs="Arial"/>
        </w:rPr>
        <w:t xml:space="preserve">propene (propylene). </w:t>
      </w:r>
    </w:p>
    <w:p w14:paraId="5844C17F" w14:textId="43F5E1DB" w:rsidR="003542BB" w:rsidRDefault="003542BB" w:rsidP="00D91111">
      <w:pPr>
        <w:rPr>
          <w:rFonts w:ascii="Arial" w:hAnsi="Arial" w:cs="Arial"/>
        </w:rPr>
      </w:pPr>
      <w:r w:rsidRPr="002969A6">
        <w:rPr>
          <w:rFonts w:ascii="Arial" w:hAnsi="Arial" w:cs="Arial"/>
          <w:b/>
          <w:bCs/>
          <w:i/>
          <w:iCs/>
        </w:rPr>
        <w:t>LPG connection</w:t>
      </w:r>
      <w:r w:rsidRPr="003542BB">
        <w:rPr>
          <w:rFonts w:ascii="Arial" w:hAnsi="Arial" w:cs="Arial"/>
        </w:rPr>
        <w:t xml:space="preserve">, in relation to tenancy premises, means a consumer piping system that allows the flow of LPG from an LPG storage tank or cylinder to— </w:t>
      </w:r>
    </w:p>
    <w:p w14:paraId="0002F99E" w14:textId="40B16340" w:rsidR="003542BB" w:rsidRPr="002969A6" w:rsidRDefault="003542BB" w:rsidP="002969A6">
      <w:pPr>
        <w:pStyle w:val="ListParagraph"/>
        <w:numPr>
          <w:ilvl w:val="0"/>
          <w:numId w:val="43"/>
        </w:numPr>
        <w:rPr>
          <w:rFonts w:ascii="Arial" w:hAnsi="Arial" w:cs="Arial"/>
        </w:rPr>
      </w:pPr>
      <w:r w:rsidRPr="002969A6">
        <w:rPr>
          <w:rFonts w:ascii="Arial" w:hAnsi="Arial" w:cs="Arial"/>
        </w:rPr>
        <w:t xml:space="preserve">the tenancy premises; or </w:t>
      </w:r>
    </w:p>
    <w:p w14:paraId="038A2421" w14:textId="39867F77" w:rsidR="003542BB" w:rsidRPr="002969A6" w:rsidRDefault="003542BB" w:rsidP="002969A6">
      <w:pPr>
        <w:pStyle w:val="ListParagraph"/>
        <w:numPr>
          <w:ilvl w:val="0"/>
          <w:numId w:val="43"/>
        </w:numPr>
        <w:spacing w:after="240"/>
        <w:ind w:left="714" w:hanging="357"/>
        <w:rPr>
          <w:rFonts w:ascii="Arial" w:hAnsi="Arial" w:cs="Arial"/>
        </w:rPr>
      </w:pPr>
      <w:r w:rsidRPr="002969A6">
        <w:rPr>
          <w:rFonts w:ascii="Arial" w:hAnsi="Arial" w:cs="Arial"/>
        </w:rPr>
        <w:t>premises on which the tenancy premises are located.</w:t>
      </w:r>
    </w:p>
    <w:p w14:paraId="54A02240" w14:textId="77777777" w:rsidR="003542BB" w:rsidRDefault="003542BB" w:rsidP="00D91111">
      <w:pPr>
        <w:rPr>
          <w:rFonts w:ascii="Arial" w:hAnsi="Arial" w:cs="Arial"/>
        </w:rPr>
      </w:pPr>
      <w:r w:rsidRPr="002969A6">
        <w:rPr>
          <w:rFonts w:ascii="Arial" w:hAnsi="Arial" w:cs="Arial"/>
          <w:b/>
          <w:bCs/>
          <w:i/>
          <w:iCs/>
        </w:rPr>
        <w:t>reducing greenhouse gas emissions</w:t>
      </w:r>
      <w:r w:rsidRPr="003542BB">
        <w:rPr>
          <w:rFonts w:ascii="Arial" w:hAnsi="Arial" w:cs="Arial"/>
        </w:rPr>
        <w:t xml:space="preserve">, in relation to gas or LPG consumption at tenancy premises means— </w:t>
      </w:r>
    </w:p>
    <w:p w14:paraId="50A8DA8A" w14:textId="3774C6B9" w:rsidR="003542BB" w:rsidRPr="002969A6" w:rsidRDefault="003542BB" w:rsidP="002969A6">
      <w:pPr>
        <w:pStyle w:val="ListParagraph"/>
        <w:numPr>
          <w:ilvl w:val="0"/>
          <w:numId w:val="41"/>
        </w:numPr>
        <w:rPr>
          <w:rFonts w:ascii="Arial" w:hAnsi="Arial" w:cs="Arial"/>
        </w:rPr>
      </w:pPr>
      <w:r w:rsidRPr="002969A6">
        <w:rPr>
          <w:rFonts w:ascii="Arial" w:hAnsi="Arial" w:cs="Arial"/>
        </w:rPr>
        <w:t xml:space="preserve">withdrawing any or all gas appliances supplied with the premises; or </w:t>
      </w:r>
    </w:p>
    <w:p w14:paraId="4C0DFA30" w14:textId="77777777" w:rsidR="00991D65" w:rsidRDefault="003542BB" w:rsidP="003542BB">
      <w:pPr>
        <w:pStyle w:val="ListParagraph"/>
        <w:numPr>
          <w:ilvl w:val="0"/>
          <w:numId w:val="41"/>
        </w:numPr>
        <w:spacing w:after="240"/>
        <w:ind w:left="714" w:hanging="357"/>
        <w:rPr>
          <w:rFonts w:ascii="Arial" w:hAnsi="Arial" w:cs="Arial"/>
        </w:rPr>
      </w:pPr>
      <w:r w:rsidRPr="002969A6">
        <w:rPr>
          <w:rFonts w:ascii="Arial" w:hAnsi="Arial" w:cs="Arial"/>
        </w:rPr>
        <w:t xml:space="preserve">arranging for any part of the gas connection or LPG connection at the premises to be blocked, removed or otherwise physically disconnected. </w:t>
      </w:r>
    </w:p>
    <w:p w14:paraId="0FD51C84" w14:textId="3A64E766" w:rsidR="003542BB" w:rsidRPr="002969A6" w:rsidRDefault="003542BB" w:rsidP="002969A6">
      <w:pPr>
        <w:spacing w:after="240"/>
        <w:rPr>
          <w:rFonts w:ascii="Arial" w:hAnsi="Arial" w:cs="Arial"/>
        </w:rPr>
      </w:pPr>
      <w:r w:rsidRPr="002969A6">
        <w:rPr>
          <w:rFonts w:ascii="Arial" w:hAnsi="Arial" w:cs="Arial"/>
          <w:b/>
          <w:bCs/>
          <w:i/>
          <w:iCs/>
        </w:rPr>
        <w:t>tenancy premises</w:t>
      </w:r>
      <w:r w:rsidRPr="002969A6">
        <w:rPr>
          <w:rFonts w:ascii="Arial" w:hAnsi="Arial" w:cs="Arial"/>
        </w:rPr>
        <w:t xml:space="preserve"> means premises the subject of a residential tenancy agreement.</w:t>
      </w:r>
    </w:p>
    <w:p w14:paraId="06A67129" w14:textId="0FCF4A34" w:rsidR="00E03C82" w:rsidRPr="00EC1025" w:rsidRDefault="00E03C82" w:rsidP="00E03C82">
      <w:pPr>
        <w:keepNext/>
        <w:keepLines/>
        <w:spacing w:before="240" w:after="240" w:line="240" w:lineRule="auto"/>
        <w:ind w:left="1440" w:hanging="1440"/>
        <w:outlineLvl w:val="2"/>
        <w:rPr>
          <w:rFonts w:ascii="Arial" w:hAnsi="Arial"/>
          <w:b/>
          <w:i/>
          <w:iCs/>
          <w:sz w:val="24"/>
          <w:szCs w:val="24"/>
        </w:rPr>
      </w:pPr>
      <w:r w:rsidRPr="00EC1025">
        <w:rPr>
          <w:rFonts w:ascii="Arial" w:hAnsi="Arial"/>
          <w:b/>
          <w:sz w:val="24"/>
          <w:szCs w:val="24"/>
        </w:rPr>
        <w:t xml:space="preserve">Clause </w:t>
      </w:r>
      <w:r w:rsidR="006541B1">
        <w:rPr>
          <w:rFonts w:ascii="Arial" w:hAnsi="Arial"/>
          <w:b/>
          <w:sz w:val="24"/>
          <w:szCs w:val="24"/>
        </w:rPr>
        <w:t>29</w:t>
      </w:r>
      <w:r w:rsidR="006541B1" w:rsidRPr="00A879B9">
        <w:rPr>
          <w:rFonts w:ascii="Arial" w:hAnsi="Arial"/>
          <w:b/>
          <w:sz w:val="24"/>
          <w:szCs w:val="24"/>
        </w:rPr>
        <w:t xml:space="preserve"> </w:t>
      </w:r>
      <w:r w:rsidRPr="00EC1025">
        <w:rPr>
          <w:rFonts w:ascii="Arial" w:hAnsi="Arial"/>
          <w:b/>
          <w:sz w:val="24"/>
          <w:szCs w:val="24"/>
        </w:rPr>
        <w:tab/>
      </w:r>
      <w:r>
        <w:rPr>
          <w:rFonts w:ascii="Arial" w:hAnsi="Arial"/>
          <w:b/>
          <w:sz w:val="24"/>
          <w:szCs w:val="24"/>
        </w:rPr>
        <w:t>Rent reduction for lessor’s failure to comply with a minimum housing standard</w:t>
      </w:r>
      <w:r w:rsidRPr="00EC1025">
        <w:rPr>
          <w:rFonts w:ascii="Arial" w:hAnsi="Arial"/>
          <w:b/>
          <w:sz w:val="24"/>
          <w:szCs w:val="24"/>
        </w:rPr>
        <w:br/>
      </w:r>
      <w:r>
        <w:rPr>
          <w:rFonts w:ascii="Arial" w:hAnsi="Arial" w:cs="Arial"/>
          <w:b/>
          <w:bCs/>
          <w:sz w:val="24"/>
          <w:szCs w:val="24"/>
        </w:rPr>
        <w:t>Section 71AAA (3) (a) and (b)</w:t>
      </w:r>
    </w:p>
    <w:p w14:paraId="69356E50" w14:textId="3E84BA0E" w:rsidR="00A60813" w:rsidRPr="006B3352" w:rsidRDefault="00A60813" w:rsidP="00A60813">
      <w:pPr>
        <w:rPr>
          <w:rFonts w:ascii="Arial" w:hAnsi="Arial" w:cs="Arial"/>
        </w:rPr>
      </w:pPr>
      <w:r>
        <w:rPr>
          <w:rFonts w:ascii="Arial" w:hAnsi="Arial" w:cs="Arial"/>
        </w:rPr>
        <w:t xml:space="preserve">To create greater precision in language, this clause also replaces the word “stated” with “ordered” to reflect that making a rent reduction forms part of an ACAT order. </w:t>
      </w:r>
    </w:p>
    <w:p w14:paraId="24BACF39" w14:textId="47D9E83D" w:rsidR="00E03C82" w:rsidRPr="00EC1025" w:rsidRDefault="00E03C82" w:rsidP="00E03C82">
      <w:pPr>
        <w:keepNext/>
        <w:keepLines/>
        <w:spacing w:before="240" w:after="240" w:line="240" w:lineRule="auto"/>
        <w:ind w:left="1440" w:hanging="1440"/>
        <w:outlineLvl w:val="2"/>
        <w:rPr>
          <w:rFonts w:ascii="Arial" w:hAnsi="Arial"/>
          <w:b/>
          <w:i/>
          <w:iCs/>
          <w:sz w:val="24"/>
          <w:szCs w:val="24"/>
        </w:rPr>
      </w:pPr>
      <w:r w:rsidRPr="00EC1025">
        <w:rPr>
          <w:rFonts w:ascii="Arial" w:hAnsi="Arial"/>
          <w:b/>
          <w:sz w:val="24"/>
          <w:szCs w:val="24"/>
        </w:rPr>
        <w:t xml:space="preserve">Clause </w:t>
      </w:r>
      <w:r w:rsidR="006541B1">
        <w:rPr>
          <w:rFonts w:ascii="Arial" w:hAnsi="Arial"/>
          <w:b/>
          <w:sz w:val="24"/>
          <w:szCs w:val="24"/>
        </w:rPr>
        <w:t>30</w:t>
      </w:r>
      <w:r w:rsidR="006541B1" w:rsidRPr="00A879B9">
        <w:rPr>
          <w:rFonts w:ascii="Arial" w:hAnsi="Arial"/>
          <w:b/>
          <w:sz w:val="24"/>
          <w:szCs w:val="24"/>
        </w:rPr>
        <w:t xml:space="preserve"> </w:t>
      </w:r>
      <w:r w:rsidRPr="00EC1025">
        <w:rPr>
          <w:rFonts w:ascii="Arial" w:hAnsi="Arial"/>
          <w:b/>
          <w:sz w:val="24"/>
          <w:szCs w:val="24"/>
        </w:rPr>
        <w:tab/>
      </w:r>
      <w:r>
        <w:rPr>
          <w:rFonts w:ascii="Arial" w:hAnsi="Arial"/>
          <w:b/>
          <w:sz w:val="24"/>
          <w:szCs w:val="24"/>
        </w:rPr>
        <w:t>Lessor’s costs</w:t>
      </w:r>
      <w:r w:rsidRPr="00EC1025">
        <w:rPr>
          <w:rFonts w:ascii="Arial" w:hAnsi="Arial"/>
          <w:b/>
          <w:sz w:val="24"/>
          <w:szCs w:val="24"/>
        </w:rPr>
        <w:br/>
      </w:r>
      <w:r>
        <w:rPr>
          <w:rFonts w:ascii="Arial" w:hAnsi="Arial" w:cs="Arial"/>
          <w:b/>
          <w:bCs/>
          <w:sz w:val="24"/>
          <w:szCs w:val="24"/>
        </w:rPr>
        <w:t>Schedule 1, clause 43</w:t>
      </w:r>
    </w:p>
    <w:p w14:paraId="1E07CD85" w14:textId="77777777" w:rsidR="00562EDC" w:rsidRDefault="00E03C82" w:rsidP="00E03C82">
      <w:pPr>
        <w:rPr>
          <w:rFonts w:ascii="Arial" w:hAnsi="Arial" w:cs="Arial"/>
        </w:rPr>
      </w:pPr>
      <w:r w:rsidRPr="006B3352">
        <w:rPr>
          <w:rFonts w:ascii="Arial" w:hAnsi="Arial" w:cs="Arial"/>
        </w:rPr>
        <w:t>This clause aligns the Standard Terms with the policy intent of electrifying residential premises</w:t>
      </w:r>
      <w:r w:rsidR="00562EDC">
        <w:rPr>
          <w:rFonts w:ascii="Arial" w:hAnsi="Arial" w:cs="Arial"/>
        </w:rPr>
        <w:t xml:space="preserve"> and the decommissioning of gas networks</w:t>
      </w:r>
      <w:r w:rsidRPr="006B3352">
        <w:rPr>
          <w:rFonts w:ascii="Arial" w:hAnsi="Arial" w:cs="Arial"/>
        </w:rPr>
        <w:t xml:space="preserve">. The existing clause 43 of the Standard Terms states that the lessor is responsible for the cost of </w:t>
      </w:r>
      <w:r w:rsidR="00562EDC">
        <w:rPr>
          <w:rFonts w:ascii="Arial" w:hAnsi="Arial" w:cs="Arial"/>
        </w:rPr>
        <w:t xml:space="preserve">the </w:t>
      </w:r>
      <w:r w:rsidRPr="006B3352">
        <w:rPr>
          <w:rFonts w:ascii="Arial" w:hAnsi="Arial" w:cs="Arial"/>
        </w:rPr>
        <w:t xml:space="preserve">physical installation of services. These costs are typically flat-fee based and are </w:t>
      </w:r>
      <w:proofErr w:type="spellStart"/>
      <w:r w:rsidRPr="006B3352">
        <w:rPr>
          <w:rFonts w:ascii="Arial" w:hAnsi="Arial" w:cs="Arial"/>
        </w:rPr>
        <w:t>referable</w:t>
      </w:r>
      <w:proofErr w:type="spellEnd"/>
      <w:r w:rsidRPr="006B3352">
        <w:rPr>
          <w:rFonts w:ascii="Arial" w:hAnsi="Arial" w:cs="Arial"/>
        </w:rPr>
        <w:t xml:space="preserve"> to the property rather than the </w:t>
      </w:r>
      <w:r w:rsidRPr="006B3352">
        <w:rPr>
          <w:rFonts w:ascii="Arial" w:hAnsi="Arial" w:cs="Arial"/>
        </w:rPr>
        <w:lastRenderedPageBreak/>
        <w:t>individual tenant. For</w:t>
      </w:r>
      <w:r w:rsidRPr="006B3352">
        <w:t> </w:t>
      </w:r>
      <w:r w:rsidRPr="006B3352">
        <w:rPr>
          <w:rFonts w:ascii="Arial" w:hAnsi="Arial" w:cs="Arial"/>
        </w:rPr>
        <w:t xml:space="preserve">example, if there is a cost associated with physically connecting a property to the water mains, that is a cost referable to the property and not to whichever tenant happens to reside at the property at the time of the connection. </w:t>
      </w:r>
    </w:p>
    <w:p w14:paraId="160E0753" w14:textId="54591CFF" w:rsidR="00562EDC" w:rsidRDefault="00E03C82" w:rsidP="00E03C82">
      <w:pPr>
        <w:rPr>
          <w:rFonts w:ascii="Arial" w:hAnsi="Arial" w:cs="Arial"/>
        </w:rPr>
      </w:pPr>
      <w:r w:rsidRPr="006B3352">
        <w:rPr>
          <w:rFonts w:ascii="Arial" w:hAnsi="Arial" w:cs="Arial"/>
        </w:rPr>
        <w:t xml:space="preserve">The substituted clause 43 </w:t>
      </w:r>
      <w:r w:rsidR="00562EDC">
        <w:rPr>
          <w:rFonts w:ascii="Arial" w:hAnsi="Arial" w:cs="Arial"/>
        </w:rPr>
        <w:t>acknowledges that as the ACT transitions away from gas, there may no longer be a need for a gas connection at a rental property (once any gas appliances at the property have been replaced</w:t>
      </w:r>
      <w:r w:rsidR="00991D65">
        <w:rPr>
          <w:rFonts w:ascii="Arial" w:hAnsi="Arial" w:cs="Arial"/>
        </w:rPr>
        <w:t xml:space="preserve"> with electric ones</w:t>
      </w:r>
      <w:r w:rsidR="00562EDC">
        <w:rPr>
          <w:rFonts w:ascii="Arial" w:hAnsi="Arial" w:cs="Arial"/>
        </w:rPr>
        <w:t xml:space="preserve">) and also acknowledges that there may be costs that arise from the physical disconnection of gas lines to a property. </w:t>
      </w:r>
    </w:p>
    <w:p w14:paraId="5BFE53E7" w14:textId="77777777" w:rsidR="00562EDC" w:rsidRDefault="00562EDC" w:rsidP="00E03C82">
      <w:pPr>
        <w:rPr>
          <w:rFonts w:ascii="Arial" w:hAnsi="Arial" w:cs="Arial"/>
        </w:rPr>
      </w:pPr>
      <w:r>
        <w:rPr>
          <w:rFonts w:ascii="Arial" w:hAnsi="Arial" w:cs="Arial"/>
        </w:rPr>
        <w:t xml:space="preserve">As such clause 43 </w:t>
      </w:r>
      <w:r w:rsidR="00E03C82" w:rsidRPr="006B3352">
        <w:rPr>
          <w:rFonts w:ascii="Arial" w:hAnsi="Arial" w:cs="Arial"/>
        </w:rPr>
        <w:t xml:space="preserve">clarifies </w:t>
      </w:r>
      <w:r>
        <w:rPr>
          <w:rFonts w:ascii="Arial" w:hAnsi="Arial" w:cs="Arial"/>
        </w:rPr>
        <w:t>that:</w:t>
      </w:r>
    </w:p>
    <w:p w14:paraId="40E3F10C" w14:textId="584A13ED" w:rsidR="00562EDC" w:rsidRDefault="00562EDC" w:rsidP="00562EDC">
      <w:pPr>
        <w:pStyle w:val="ListParagraph"/>
        <w:numPr>
          <w:ilvl w:val="0"/>
          <w:numId w:val="35"/>
        </w:numPr>
        <w:rPr>
          <w:rFonts w:ascii="Arial" w:hAnsi="Arial" w:cs="Arial"/>
        </w:rPr>
      </w:pPr>
      <w:r w:rsidRPr="002969A6">
        <w:rPr>
          <w:rFonts w:ascii="Arial" w:hAnsi="Arial" w:cs="Arial"/>
        </w:rPr>
        <w:t xml:space="preserve">if there are no longer gas reliant appliances at a rental property, then the landlord does not need to ensure there is a gas </w:t>
      </w:r>
      <w:r>
        <w:rPr>
          <w:rFonts w:ascii="Arial" w:hAnsi="Arial" w:cs="Arial"/>
        </w:rPr>
        <w:t>connection to the property; and</w:t>
      </w:r>
    </w:p>
    <w:p w14:paraId="55BED0B7" w14:textId="6998A432" w:rsidR="00991D65" w:rsidRPr="002969A6" w:rsidRDefault="00991D65" w:rsidP="002969A6">
      <w:pPr>
        <w:pStyle w:val="ListParagraph"/>
        <w:numPr>
          <w:ilvl w:val="0"/>
          <w:numId w:val="35"/>
        </w:numPr>
        <w:spacing w:after="240"/>
        <w:ind w:left="777" w:hanging="357"/>
        <w:rPr>
          <w:rFonts w:ascii="Arial" w:hAnsi="Arial" w:cs="Arial"/>
        </w:rPr>
      </w:pPr>
      <w:r>
        <w:rPr>
          <w:rFonts w:ascii="Arial" w:hAnsi="Arial" w:cs="Arial"/>
        </w:rPr>
        <w:t xml:space="preserve">if the landlord decides to temporarily or permanently disconnect the property from gas, then the landlord must bear the cost of the temporary or permanent disconnection from the gas network. </w:t>
      </w:r>
    </w:p>
    <w:p w14:paraId="2DAC7D06" w14:textId="10B4DDE6" w:rsidR="00E03C82" w:rsidRPr="006B3352" w:rsidRDefault="00991D65" w:rsidP="00E03C82">
      <w:pPr>
        <w:rPr>
          <w:rFonts w:ascii="Arial" w:hAnsi="Arial" w:cs="Arial"/>
        </w:rPr>
      </w:pPr>
      <w:r>
        <w:rPr>
          <w:rFonts w:ascii="Arial" w:hAnsi="Arial" w:cs="Arial"/>
        </w:rPr>
        <w:t>T</w:t>
      </w:r>
      <w:r w:rsidR="00E03C82" w:rsidRPr="006B3352">
        <w:rPr>
          <w:rFonts w:ascii="Arial" w:hAnsi="Arial" w:cs="Arial"/>
        </w:rPr>
        <w:t>his approach to the electrification of residential premises</w:t>
      </w:r>
      <w:r>
        <w:rPr>
          <w:rFonts w:ascii="Arial" w:hAnsi="Arial" w:cs="Arial"/>
        </w:rPr>
        <w:t xml:space="preserve"> reflects that the </w:t>
      </w:r>
      <w:r w:rsidR="00E03C82" w:rsidRPr="006B3352">
        <w:rPr>
          <w:rFonts w:ascii="Arial" w:hAnsi="Arial" w:cs="Arial"/>
        </w:rPr>
        <w:t xml:space="preserve">costs associated with the physical connection of gas </w:t>
      </w:r>
      <w:r>
        <w:rPr>
          <w:rFonts w:ascii="Arial" w:hAnsi="Arial" w:cs="Arial"/>
        </w:rPr>
        <w:t>or</w:t>
      </w:r>
      <w:r w:rsidR="00E03C82" w:rsidRPr="006B3352">
        <w:rPr>
          <w:rFonts w:ascii="Arial" w:hAnsi="Arial" w:cs="Arial"/>
        </w:rPr>
        <w:t xml:space="preserve"> disconnection of the gas service are costs of the </w:t>
      </w:r>
      <w:r>
        <w:rPr>
          <w:rFonts w:ascii="Arial" w:hAnsi="Arial" w:cs="Arial"/>
        </w:rPr>
        <w:t>landlord</w:t>
      </w:r>
      <w:r w:rsidRPr="006B3352">
        <w:rPr>
          <w:rFonts w:ascii="Arial" w:hAnsi="Arial" w:cs="Arial"/>
        </w:rPr>
        <w:t xml:space="preserve"> </w:t>
      </w:r>
      <w:r w:rsidR="00E03C82" w:rsidRPr="006B3352">
        <w:rPr>
          <w:rFonts w:ascii="Arial" w:hAnsi="Arial" w:cs="Arial"/>
        </w:rPr>
        <w:t xml:space="preserve">and not the tenant who happens to reside at the property at the time. </w:t>
      </w:r>
    </w:p>
    <w:p w14:paraId="4D451550" w14:textId="0369CC55" w:rsidR="00E03C82" w:rsidRPr="00EC1025" w:rsidRDefault="00E03C82" w:rsidP="00E03C82">
      <w:pPr>
        <w:keepNext/>
        <w:keepLines/>
        <w:spacing w:before="240" w:after="240" w:line="240" w:lineRule="auto"/>
        <w:ind w:left="1440" w:hanging="1440"/>
        <w:outlineLvl w:val="2"/>
        <w:rPr>
          <w:rFonts w:ascii="Arial" w:hAnsi="Arial"/>
          <w:b/>
          <w:i/>
          <w:iCs/>
          <w:sz w:val="24"/>
          <w:szCs w:val="24"/>
        </w:rPr>
      </w:pPr>
      <w:r w:rsidRPr="00EC1025">
        <w:rPr>
          <w:rFonts w:ascii="Arial" w:hAnsi="Arial"/>
          <w:b/>
          <w:sz w:val="24"/>
          <w:szCs w:val="24"/>
        </w:rPr>
        <w:t xml:space="preserve">Clause </w:t>
      </w:r>
      <w:r w:rsidR="006541B1">
        <w:rPr>
          <w:rFonts w:ascii="Arial" w:hAnsi="Arial"/>
          <w:b/>
          <w:sz w:val="24"/>
          <w:szCs w:val="24"/>
        </w:rPr>
        <w:t>31</w:t>
      </w:r>
      <w:r w:rsidR="006541B1" w:rsidRPr="00A879B9">
        <w:rPr>
          <w:rFonts w:ascii="Arial" w:hAnsi="Arial"/>
          <w:b/>
          <w:sz w:val="24"/>
          <w:szCs w:val="24"/>
        </w:rPr>
        <w:t xml:space="preserve"> </w:t>
      </w:r>
      <w:r w:rsidRPr="00EC1025">
        <w:rPr>
          <w:rFonts w:ascii="Arial" w:hAnsi="Arial"/>
          <w:b/>
          <w:sz w:val="24"/>
          <w:szCs w:val="24"/>
        </w:rPr>
        <w:tab/>
      </w:r>
      <w:r>
        <w:rPr>
          <w:rFonts w:ascii="Arial" w:hAnsi="Arial"/>
          <w:b/>
          <w:sz w:val="24"/>
          <w:szCs w:val="24"/>
        </w:rPr>
        <w:t>Tenant’s costs</w:t>
      </w:r>
      <w:r w:rsidRPr="00EC1025">
        <w:rPr>
          <w:rFonts w:ascii="Arial" w:hAnsi="Arial"/>
          <w:b/>
          <w:sz w:val="24"/>
          <w:szCs w:val="24"/>
        </w:rPr>
        <w:br/>
      </w:r>
      <w:r>
        <w:rPr>
          <w:rFonts w:ascii="Arial" w:hAnsi="Arial" w:cs="Arial"/>
          <w:b/>
          <w:bCs/>
          <w:sz w:val="24"/>
          <w:szCs w:val="24"/>
        </w:rPr>
        <w:t>Schedule 1, clause 46</w:t>
      </w:r>
    </w:p>
    <w:p w14:paraId="6E4F7880" w14:textId="3AD7C071" w:rsidR="00E03C82" w:rsidRDefault="00E03C82" w:rsidP="00E03C82">
      <w:pPr>
        <w:rPr>
          <w:rFonts w:ascii="Arial" w:hAnsi="Arial" w:cs="Arial"/>
        </w:rPr>
      </w:pPr>
      <w:r w:rsidRPr="006B3352">
        <w:rPr>
          <w:rFonts w:ascii="Arial" w:hAnsi="Arial" w:cs="Arial"/>
        </w:rPr>
        <w:t xml:space="preserve">This clause is consequential </w:t>
      </w:r>
      <w:r w:rsidR="00991D65">
        <w:rPr>
          <w:rFonts w:ascii="Arial" w:hAnsi="Arial" w:cs="Arial"/>
        </w:rPr>
        <w:t>to</w:t>
      </w:r>
      <w:r w:rsidR="00991D65" w:rsidRPr="006B3352">
        <w:rPr>
          <w:rFonts w:ascii="Arial" w:hAnsi="Arial" w:cs="Arial"/>
        </w:rPr>
        <w:t xml:space="preserve"> </w:t>
      </w:r>
      <w:r w:rsidRPr="006B3352">
        <w:rPr>
          <w:rFonts w:ascii="Arial" w:hAnsi="Arial" w:cs="Arial"/>
        </w:rPr>
        <w:t xml:space="preserve">clause </w:t>
      </w:r>
      <w:r w:rsidR="00991D65" w:rsidRPr="006B3352">
        <w:rPr>
          <w:rFonts w:ascii="Arial" w:hAnsi="Arial" w:cs="Arial"/>
        </w:rPr>
        <w:t>3</w:t>
      </w:r>
      <w:r w:rsidR="00991D65">
        <w:rPr>
          <w:rFonts w:ascii="Arial" w:hAnsi="Arial" w:cs="Arial"/>
        </w:rPr>
        <w:t>0</w:t>
      </w:r>
      <w:r w:rsidRPr="006B3352">
        <w:rPr>
          <w:rFonts w:ascii="Arial" w:hAnsi="Arial" w:cs="Arial"/>
        </w:rPr>
        <w:t xml:space="preserve">. The combined effect of clauses </w:t>
      </w:r>
      <w:r w:rsidR="00546983" w:rsidRPr="006B3352">
        <w:rPr>
          <w:rFonts w:ascii="Arial" w:hAnsi="Arial" w:cs="Arial"/>
        </w:rPr>
        <w:t>3</w:t>
      </w:r>
      <w:r w:rsidR="00546983">
        <w:rPr>
          <w:rFonts w:ascii="Arial" w:hAnsi="Arial" w:cs="Arial"/>
        </w:rPr>
        <w:t>0</w:t>
      </w:r>
      <w:r w:rsidR="00546983" w:rsidRPr="006B3352">
        <w:rPr>
          <w:rFonts w:ascii="Arial" w:hAnsi="Arial" w:cs="Arial"/>
        </w:rPr>
        <w:t xml:space="preserve"> </w:t>
      </w:r>
      <w:r w:rsidRPr="006B3352">
        <w:rPr>
          <w:rFonts w:ascii="Arial" w:hAnsi="Arial" w:cs="Arial"/>
        </w:rPr>
        <w:t xml:space="preserve">and </w:t>
      </w:r>
      <w:r w:rsidR="00546983" w:rsidRPr="006B3352">
        <w:rPr>
          <w:rFonts w:ascii="Arial" w:hAnsi="Arial" w:cs="Arial"/>
        </w:rPr>
        <w:t>3</w:t>
      </w:r>
      <w:r w:rsidR="00546983">
        <w:rPr>
          <w:rFonts w:ascii="Arial" w:hAnsi="Arial" w:cs="Arial"/>
        </w:rPr>
        <w:t>1</w:t>
      </w:r>
      <w:r w:rsidR="00546983" w:rsidRPr="006B3352">
        <w:rPr>
          <w:rFonts w:ascii="Arial" w:hAnsi="Arial" w:cs="Arial"/>
        </w:rPr>
        <w:t xml:space="preserve"> </w:t>
      </w:r>
      <w:r w:rsidRPr="006B3352">
        <w:rPr>
          <w:rFonts w:ascii="Arial" w:hAnsi="Arial" w:cs="Arial"/>
        </w:rPr>
        <w:t>is also to move the effect of existing clause 43</w:t>
      </w:r>
      <w:r w:rsidR="00546983">
        <w:rPr>
          <w:rFonts w:ascii="Arial" w:hAnsi="Arial" w:cs="Arial"/>
        </w:rPr>
        <w:t xml:space="preserve"> </w:t>
      </w:r>
      <w:r w:rsidRPr="006B3352">
        <w:rPr>
          <w:rFonts w:ascii="Arial" w:hAnsi="Arial" w:cs="Arial"/>
        </w:rPr>
        <w:t xml:space="preserve">(2) (which </w:t>
      </w:r>
      <w:r w:rsidR="00546983">
        <w:rPr>
          <w:rFonts w:ascii="Arial" w:hAnsi="Arial" w:cs="Arial"/>
        </w:rPr>
        <w:t>indicates that</w:t>
      </w:r>
      <w:r w:rsidRPr="006B3352">
        <w:rPr>
          <w:rFonts w:ascii="Arial" w:hAnsi="Arial" w:cs="Arial"/>
        </w:rPr>
        <w:t xml:space="preserve"> the tenant is responsible</w:t>
      </w:r>
      <w:r w:rsidR="00546983">
        <w:rPr>
          <w:rFonts w:ascii="Arial" w:hAnsi="Arial" w:cs="Arial"/>
        </w:rPr>
        <w:t xml:space="preserve"> for all services that will be supplied in the tenants</w:t>
      </w:r>
      <w:r w:rsidR="001802A2">
        <w:rPr>
          <w:rFonts w:ascii="Arial" w:hAnsi="Arial" w:cs="Arial"/>
        </w:rPr>
        <w:t>’</w:t>
      </w:r>
      <w:r w:rsidR="00546983">
        <w:rPr>
          <w:rFonts w:ascii="Arial" w:hAnsi="Arial" w:cs="Arial"/>
        </w:rPr>
        <w:t xml:space="preserve"> name</w:t>
      </w:r>
      <w:r w:rsidRPr="006B3352">
        <w:rPr>
          <w:rFonts w:ascii="Arial" w:hAnsi="Arial" w:cs="Arial"/>
        </w:rPr>
        <w:t xml:space="preserve">) out of the clauses relevant to lessor’s costs and into the clauses relevant to tenant’s costs. </w:t>
      </w:r>
    </w:p>
    <w:p w14:paraId="6D1C2149" w14:textId="52377A6A" w:rsidR="00546983" w:rsidRDefault="00546983" w:rsidP="00E03C82">
      <w:pPr>
        <w:rPr>
          <w:rFonts w:ascii="Arial" w:hAnsi="Arial" w:cs="Arial"/>
        </w:rPr>
      </w:pPr>
      <w:r>
        <w:rPr>
          <w:rFonts w:ascii="Arial" w:hAnsi="Arial" w:cs="Arial"/>
        </w:rPr>
        <w:t>Clause 46 now clarifies that the tenant is responsible for</w:t>
      </w:r>
    </w:p>
    <w:p w14:paraId="2A5B0A03" w14:textId="7E4DBAB5" w:rsidR="00546983" w:rsidRDefault="00546983" w:rsidP="00546983">
      <w:pPr>
        <w:pStyle w:val="ListParagraph"/>
        <w:numPr>
          <w:ilvl w:val="0"/>
          <w:numId w:val="48"/>
        </w:numPr>
        <w:rPr>
          <w:rFonts w:ascii="Arial" w:hAnsi="Arial" w:cs="Arial"/>
        </w:rPr>
      </w:pPr>
      <w:r w:rsidRPr="002969A6">
        <w:rPr>
          <w:rFonts w:ascii="Arial" w:hAnsi="Arial" w:cs="Arial"/>
        </w:rPr>
        <w:t>Activating (that is, establishing an account with a utility provider) an existing electricity, gas or LPG connection for electricity, gas or LPG which will be supplied in the tenant’s name</w:t>
      </w:r>
    </w:p>
    <w:p w14:paraId="2E021BB1" w14:textId="523CD409" w:rsidR="00546983" w:rsidRDefault="00546983" w:rsidP="00546983">
      <w:pPr>
        <w:pStyle w:val="ListParagraph"/>
        <w:numPr>
          <w:ilvl w:val="0"/>
          <w:numId w:val="48"/>
        </w:numPr>
        <w:rPr>
          <w:rFonts w:ascii="Arial" w:hAnsi="Arial" w:cs="Arial"/>
        </w:rPr>
      </w:pPr>
      <w:r>
        <w:rPr>
          <w:rFonts w:ascii="Arial" w:hAnsi="Arial" w:cs="Arial"/>
        </w:rPr>
        <w:t>Activating other services that will be supplied in the tenant’s name</w:t>
      </w:r>
    </w:p>
    <w:p w14:paraId="0A553E10" w14:textId="6503C846" w:rsidR="00546983" w:rsidRDefault="00546983" w:rsidP="00546983">
      <w:pPr>
        <w:pStyle w:val="ListParagraph"/>
        <w:numPr>
          <w:ilvl w:val="0"/>
          <w:numId w:val="48"/>
        </w:numPr>
        <w:rPr>
          <w:rFonts w:ascii="Arial" w:hAnsi="Arial" w:cs="Arial"/>
        </w:rPr>
      </w:pPr>
      <w:r>
        <w:rPr>
          <w:rFonts w:ascii="Arial" w:hAnsi="Arial" w:cs="Arial"/>
        </w:rPr>
        <w:t xml:space="preserve">All charges associated with the consumption of services supplied with the premises. </w:t>
      </w:r>
    </w:p>
    <w:p w14:paraId="2F7155FA" w14:textId="7F6266F9" w:rsidR="00546983" w:rsidRDefault="00546983" w:rsidP="00546983">
      <w:pPr>
        <w:rPr>
          <w:rFonts w:ascii="Arial" w:hAnsi="Arial" w:cs="Arial"/>
        </w:rPr>
      </w:pPr>
      <w:r>
        <w:rPr>
          <w:rFonts w:ascii="Arial" w:hAnsi="Arial" w:cs="Arial"/>
        </w:rPr>
        <w:t>These changes do not change the existing position (set out in clause 42 of the Standard Terms) that:</w:t>
      </w:r>
    </w:p>
    <w:p w14:paraId="0D330EED" w14:textId="3795C965" w:rsidR="00546983" w:rsidRDefault="00546983" w:rsidP="00546983">
      <w:pPr>
        <w:pStyle w:val="ListParagraph"/>
        <w:numPr>
          <w:ilvl w:val="0"/>
          <w:numId w:val="49"/>
        </w:numPr>
        <w:rPr>
          <w:rFonts w:ascii="Arial" w:hAnsi="Arial" w:cs="Arial"/>
        </w:rPr>
      </w:pPr>
      <w:r>
        <w:rPr>
          <w:rFonts w:ascii="Arial" w:hAnsi="Arial" w:cs="Arial"/>
        </w:rPr>
        <w:t>The landlord is responsible for service for which they agree to be responsible</w:t>
      </w:r>
      <w:r w:rsidR="004306FB">
        <w:rPr>
          <w:rFonts w:ascii="Arial" w:hAnsi="Arial" w:cs="Arial"/>
        </w:rPr>
        <w:t xml:space="preserve"> as well as services supplied in the landlord’s name.</w:t>
      </w:r>
    </w:p>
    <w:p w14:paraId="41553F74" w14:textId="318B447B" w:rsidR="00546983" w:rsidRDefault="00546983" w:rsidP="00546983">
      <w:pPr>
        <w:pStyle w:val="ListParagraph"/>
        <w:numPr>
          <w:ilvl w:val="0"/>
          <w:numId w:val="49"/>
        </w:numPr>
        <w:rPr>
          <w:rFonts w:ascii="Arial" w:hAnsi="Arial" w:cs="Arial"/>
        </w:rPr>
      </w:pPr>
      <w:r>
        <w:rPr>
          <w:rFonts w:ascii="Arial" w:hAnsi="Arial" w:cs="Arial"/>
        </w:rPr>
        <w:t>A tenant cannot be charged for consumption of services where there is not a separate metering device to measure the amounts consumed</w:t>
      </w:r>
    </w:p>
    <w:p w14:paraId="27A90F2A" w14:textId="4277A665" w:rsidR="00546983" w:rsidRDefault="00546983" w:rsidP="00546983">
      <w:pPr>
        <w:pStyle w:val="ListParagraph"/>
        <w:numPr>
          <w:ilvl w:val="0"/>
          <w:numId w:val="49"/>
        </w:numPr>
        <w:rPr>
          <w:rFonts w:ascii="Arial" w:hAnsi="Arial" w:cs="Arial"/>
        </w:rPr>
      </w:pPr>
      <w:r>
        <w:rPr>
          <w:rFonts w:ascii="Arial" w:hAnsi="Arial" w:cs="Arial"/>
        </w:rPr>
        <w:t>The landlord is responsible for services supplied before the beginning or after the end of a tenancy</w:t>
      </w:r>
    </w:p>
    <w:p w14:paraId="6D1ED0A5" w14:textId="44FF3C56" w:rsidR="00546983" w:rsidRDefault="00546983" w:rsidP="00546983">
      <w:pPr>
        <w:pStyle w:val="ListParagraph"/>
        <w:numPr>
          <w:ilvl w:val="0"/>
          <w:numId w:val="49"/>
        </w:numPr>
        <w:rPr>
          <w:rFonts w:ascii="Arial" w:hAnsi="Arial" w:cs="Arial"/>
        </w:rPr>
      </w:pPr>
      <w:r>
        <w:rPr>
          <w:rFonts w:ascii="Arial" w:hAnsi="Arial" w:cs="Arial"/>
        </w:rPr>
        <w:t>The landlord is responsible for supply charges associated with the supply of water and sewerage</w:t>
      </w:r>
    </w:p>
    <w:p w14:paraId="6C420DF3" w14:textId="58795B6A" w:rsidR="00546983" w:rsidRPr="002969A6" w:rsidRDefault="00546983" w:rsidP="002969A6">
      <w:pPr>
        <w:pStyle w:val="ListParagraph"/>
        <w:numPr>
          <w:ilvl w:val="0"/>
          <w:numId w:val="49"/>
        </w:numPr>
        <w:rPr>
          <w:rFonts w:ascii="Arial" w:hAnsi="Arial" w:cs="Arial"/>
        </w:rPr>
      </w:pPr>
      <w:r>
        <w:rPr>
          <w:rFonts w:ascii="Arial" w:hAnsi="Arial" w:cs="Arial"/>
        </w:rPr>
        <w:t xml:space="preserve">The landlord is responsible for all owners corporation charges. </w:t>
      </w:r>
    </w:p>
    <w:p w14:paraId="50E010F1" w14:textId="77777777" w:rsidR="00546983" w:rsidRPr="006B3352" w:rsidRDefault="00546983" w:rsidP="00E03C82">
      <w:pPr>
        <w:rPr>
          <w:rFonts w:ascii="Arial" w:hAnsi="Arial" w:cs="Arial"/>
        </w:rPr>
      </w:pPr>
    </w:p>
    <w:p w14:paraId="79CEA98D" w14:textId="0D1A92CC" w:rsidR="00E03C82" w:rsidRPr="00EC1025" w:rsidRDefault="00E03C82" w:rsidP="00E03C82">
      <w:pPr>
        <w:keepNext/>
        <w:keepLines/>
        <w:spacing w:before="240" w:after="240" w:line="240" w:lineRule="auto"/>
        <w:ind w:left="1440" w:hanging="1440"/>
        <w:outlineLvl w:val="2"/>
        <w:rPr>
          <w:rFonts w:ascii="Arial" w:hAnsi="Arial"/>
          <w:b/>
          <w:i/>
          <w:iCs/>
          <w:sz w:val="24"/>
          <w:szCs w:val="24"/>
        </w:rPr>
      </w:pPr>
      <w:r w:rsidRPr="00EC1025">
        <w:rPr>
          <w:rFonts w:ascii="Arial" w:hAnsi="Arial"/>
          <w:b/>
          <w:sz w:val="24"/>
          <w:szCs w:val="24"/>
        </w:rPr>
        <w:lastRenderedPageBreak/>
        <w:t xml:space="preserve">Clause </w:t>
      </w:r>
      <w:r w:rsidR="006541B1">
        <w:rPr>
          <w:rFonts w:ascii="Arial" w:hAnsi="Arial"/>
          <w:b/>
          <w:sz w:val="24"/>
          <w:szCs w:val="24"/>
        </w:rPr>
        <w:t>32</w:t>
      </w:r>
      <w:r w:rsidR="006541B1" w:rsidRPr="00A879B9">
        <w:rPr>
          <w:rFonts w:ascii="Arial" w:hAnsi="Arial"/>
          <w:b/>
          <w:sz w:val="24"/>
          <w:szCs w:val="24"/>
        </w:rPr>
        <w:t xml:space="preserve"> </w:t>
      </w:r>
      <w:r w:rsidRPr="00EC1025">
        <w:rPr>
          <w:rFonts w:ascii="Arial" w:hAnsi="Arial"/>
          <w:b/>
          <w:sz w:val="24"/>
          <w:szCs w:val="24"/>
        </w:rPr>
        <w:tab/>
      </w:r>
      <w:r>
        <w:rPr>
          <w:rFonts w:ascii="Arial" w:hAnsi="Arial"/>
          <w:b/>
          <w:sz w:val="24"/>
          <w:szCs w:val="24"/>
        </w:rPr>
        <w:t>Urgent repairs</w:t>
      </w:r>
      <w:r w:rsidRPr="00EC1025">
        <w:rPr>
          <w:rFonts w:ascii="Arial" w:hAnsi="Arial"/>
          <w:b/>
          <w:sz w:val="24"/>
          <w:szCs w:val="24"/>
        </w:rPr>
        <w:br/>
      </w:r>
      <w:r>
        <w:rPr>
          <w:rFonts w:ascii="Arial" w:hAnsi="Arial" w:cs="Arial"/>
          <w:b/>
          <w:bCs/>
          <w:sz w:val="24"/>
          <w:szCs w:val="24"/>
        </w:rPr>
        <w:t>Schedule 1, clause 60 (h)</w:t>
      </w:r>
    </w:p>
    <w:p w14:paraId="55344C8D" w14:textId="3EF33A4E" w:rsidR="00E03C82" w:rsidRDefault="00E03C82" w:rsidP="00E03C82">
      <w:r w:rsidRPr="006B3352">
        <w:rPr>
          <w:rFonts w:ascii="Arial" w:hAnsi="Arial" w:cs="Arial"/>
        </w:rPr>
        <w:t xml:space="preserve">This clause </w:t>
      </w:r>
      <w:r w:rsidR="004306FB">
        <w:rPr>
          <w:rFonts w:ascii="Arial" w:hAnsi="Arial" w:cs="Arial"/>
        </w:rPr>
        <w:t>clarifies that the failure of a gas or LPG connection will only be considered an urgent repair if there is an active gas of LPG connection at the property</w:t>
      </w:r>
      <w:r w:rsidRPr="006B3352">
        <w:rPr>
          <w:rFonts w:ascii="Arial" w:hAnsi="Arial" w:cs="Arial"/>
        </w:rPr>
        <w:t xml:space="preserve">. </w:t>
      </w:r>
      <w:r w:rsidR="004306FB">
        <w:rPr>
          <w:rFonts w:ascii="Arial" w:hAnsi="Arial" w:cs="Arial"/>
        </w:rPr>
        <w:t xml:space="preserve">This means that if a gas connection has been temporarily or permanently disconnected (that is, the gas connection is no longer ‘active’) because there is no longer gas reliant appliances at the premises, the landlord will not need to repair or reinstate the disconnected gas service. </w:t>
      </w:r>
    </w:p>
    <w:p w14:paraId="2AF35A2D" w14:textId="77777777" w:rsidR="00E03C82" w:rsidRDefault="00E03C82" w:rsidP="00D009DA">
      <w:pPr>
        <w:pStyle w:val="Heading3"/>
      </w:pPr>
    </w:p>
    <w:p w14:paraId="73117797" w14:textId="30EFD581" w:rsidR="00E03C82" w:rsidRPr="002969A6" w:rsidRDefault="00E03C82" w:rsidP="00E03C82">
      <w:pPr>
        <w:keepNext/>
        <w:keepLines/>
        <w:tabs>
          <w:tab w:val="left" w:pos="1418"/>
        </w:tabs>
        <w:spacing w:before="240" w:after="240" w:line="240" w:lineRule="auto"/>
        <w:outlineLvl w:val="2"/>
        <w:rPr>
          <w:rFonts w:ascii="Arial" w:hAnsi="Arial"/>
          <w:b/>
          <w:sz w:val="28"/>
          <w:szCs w:val="28"/>
        </w:rPr>
      </w:pPr>
      <w:r w:rsidRPr="002969A6">
        <w:rPr>
          <w:rFonts w:ascii="Arial" w:hAnsi="Arial"/>
          <w:b/>
          <w:sz w:val="28"/>
          <w:szCs w:val="28"/>
        </w:rPr>
        <w:t>Part 4</w:t>
      </w:r>
      <w:r w:rsidRPr="002969A6">
        <w:rPr>
          <w:rFonts w:ascii="Arial" w:hAnsi="Arial"/>
          <w:b/>
          <w:sz w:val="28"/>
          <w:szCs w:val="28"/>
        </w:rPr>
        <w:tab/>
        <w:t>Retirement Villages Act 2012</w:t>
      </w:r>
    </w:p>
    <w:p w14:paraId="50BD4AE4" w14:textId="5E694351" w:rsidR="005B3AEA" w:rsidRDefault="00D009DA" w:rsidP="008F2C88">
      <w:pPr>
        <w:pStyle w:val="Heading3"/>
        <w:spacing w:before="0" w:after="0"/>
      </w:pPr>
      <w:r w:rsidRPr="00ED3B77">
        <w:t xml:space="preserve">Clause </w:t>
      </w:r>
      <w:r w:rsidR="006541B1">
        <w:t>33</w:t>
      </w:r>
      <w:r w:rsidRPr="00ED3B77">
        <w:tab/>
      </w:r>
      <w:r w:rsidR="004C7D20">
        <w:t>Meaning of residence right</w:t>
      </w:r>
    </w:p>
    <w:p w14:paraId="758990E2" w14:textId="05CAD0EA" w:rsidR="00D009DA" w:rsidRDefault="006A6BFA" w:rsidP="008F2C88">
      <w:pPr>
        <w:pStyle w:val="Heading3"/>
        <w:spacing w:before="0" w:after="0"/>
        <w:ind w:left="720" w:firstLine="720"/>
      </w:pPr>
      <w:r>
        <w:t xml:space="preserve">Section 8 (1) definition of </w:t>
      </w:r>
      <w:r w:rsidRPr="006A6BFA">
        <w:rPr>
          <w:i/>
          <w:iCs/>
        </w:rPr>
        <w:t>residence</w:t>
      </w:r>
      <w:r>
        <w:t xml:space="preserve"> </w:t>
      </w:r>
      <w:r w:rsidRPr="006A6BFA">
        <w:rPr>
          <w:i/>
          <w:iCs/>
        </w:rPr>
        <w:t>right</w:t>
      </w:r>
      <w:r>
        <w:t>, paragraph (a) (ii)</w:t>
      </w:r>
    </w:p>
    <w:p w14:paraId="05995F4F" w14:textId="7F8A4734" w:rsidR="004C7D20" w:rsidRPr="006B3352" w:rsidRDefault="00B044E4" w:rsidP="008F2C88">
      <w:pPr>
        <w:spacing w:before="240"/>
        <w:rPr>
          <w:rFonts w:ascii="Arial" w:hAnsi="Arial" w:cs="Arial"/>
        </w:rPr>
      </w:pPr>
      <w:r w:rsidRPr="006B3352">
        <w:rPr>
          <w:rFonts w:ascii="Arial" w:hAnsi="Arial" w:cs="Arial"/>
        </w:rPr>
        <w:t xml:space="preserve">This clause </w:t>
      </w:r>
      <w:r w:rsidR="006B3352">
        <w:rPr>
          <w:rFonts w:ascii="Arial" w:hAnsi="Arial" w:cs="Arial"/>
        </w:rPr>
        <w:t>is a technical amendment</w:t>
      </w:r>
      <w:r w:rsidR="00115657">
        <w:rPr>
          <w:rFonts w:ascii="Arial" w:hAnsi="Arial" w:cs="Arial"/>
        </w:rPr>
        <w:t xml:space="preserve"> </w:t>
      </w:r>
      <w:r w:rsidR="006B3352">
        <w:rPr>
          <w:rFonts w:ascii="Arial" w:hAnsi="Arial" w:cs="Arial"/>
        </w:rPr>
        <w:t xml:space="preserve">to </w:t>
      </w:r>
      <w:r w:rsidR="00115657">
        <w:rPr>
          <w:rFonts w:ascii="Arial" w:hAnsi="Arial" w:cs="Arial"/>
        </w:rPr>
        <w:t xml:space="preserve">create greater clarity. It is intended to </w:t>
      </w:r>
      <w:r w:rsidR="006B3352">
        <w:rPr>
          <w:rFonts w:ascii="Arial" w:hAnsi="Arial" w:cs="Arial"/>
        </w:rPr>
        <w:t xml:space="preserve">confirm the </w:t>
      </w:r>
      <w:r w:rsidR="00115657">
        <w:rPr>
          <w:rFonts w:ascii="Arial" w:hAnsi="Arial" w:cs="Arial"/>
        </w:rPr>
        <w:t xml:space="preserve">definition of </w:t>
      </w:r>
      <w:r w:rsidR="00DB585F" w:rsidRPr="006B3352">
        <w:rPr>
          <w:rFonts w:ascii="Arial" w:hAnsi="Arial" w:cs="Arial"/>
        </w:rPr>
        <w:t>residence right</w:t>
      </w:r>
      <w:r w:rsidR="00593354" w:rsidRPr="006B3352">
        <w:rPr>
          <w:rFonts w:ascii="Arial" w:hAnsi="Arial" w:cs="Arial"/>
        </w:rPr>
        <w:t xml:space="preserve"> in section </w:t>
      </w:r>
      <w:r w:rsidR="00025649" w:rsidRPr="006B3352">
        <w:rPr>
          <w:rFonts w:ascii="Arial" w:hAnsi="Arial" w:cs="Arial"/>
        </w:rPr>
        <w:t>8 does not include a residential tenancy agreement.</w:t>
      </w:r>
    </w:p>
    <w:p w14:paraId="177F8040" w14:textId="76DA99E9" w:rsidR="005B3AEA" w:rsidRDefault="00D009DA" w:rsidP="008F2C88">
      <w:pPr>
        <w:pStyle w:val="Heading3"/>
        <w:spacing w:before="0" w:after="0"/>
      </w:pPr>
      <w:r w:rsidRPr="00ED3B77">
        <w:t xml:space="preserve">Clause </w:t>
      </w:r>
      <w:r w:rsidR="006541B1">
        <w:t>34</w:t>
      </w:r>
      <w:r w:rsidRPr="00ED3B77">
        <w:tab/>
      </w:r>
      <w:r w:rsidR="0034796F">
        <w:t>General inquiry document</w:t>
      </w:r>
    </w:p>
    <w:p w14:paraId="398823D1" w14:textId="3B4F81F2" w:rsidR="00D009DA" w:rsidRDefault="00722D9E" w:rsidP="008F2C88">
      <w:pPr>
        <w:pStyle w:val="Heading3"/>
        <w:spacing w:before="0" w:after="0"/>
        <w:ind w:left="720" w:firstLine="720"/>
      </w:pPr>
      <w:r>
        <w:t>Section 23 (2) note</w:t>
      </w:r>
    </w:p>
    <w:p w14:paraId="37113F1B" w14:textId="7438F5F4" w:rsidR="00722D9E" w:rsidRPr="006B3352" w:rsidRDefault="00722D9E" w:rsidP="008F2C88">
      <w:pPr>
        <w:spacing w:before="240"/>
        <w:rPr>
          <w:rFonts w:ascii="Arial" w:hAnsi="Arial" w:cs="Arial"/>
        </w:rPr>
      </w:pPr>
      <w:r w:rsidRPr="006B3352">
        <w:rPr>
          <w:rFonts w:ascii="Arial" w:hAnsi="Arial" w:cs="Arial"/>
        </w:rPr>
        <w:t xml:space="preserve">This clause omits the note in section 23 (2), </w:t>
      </w:r>
      <w:r w:rsidR="008E26CB" w:rsidRPr="006B3352">
        <w:rPr>
          <w:rFonts w:ascii="Arial" w:hAnsi="Arial" w:cs="Arial"/>
        </w:rPr>
        <w:t xml:space="preserve">which is a technical amendment to </w:t>
      </w:r>
      <w:r w:rsidR="00115657">
        <w:rPr>
          <w:rFonts w:ascii="Arial" w:hAnsi="Arial" w:cs="Arial"/>
        </w:rPr>
        <w:t>update</w:t>
      </w:r>
      <w:r w:rsidR="008E26CB" w:rsidRPr="006B3352">
        <w:rPr>
          <w:rFonts w:ascii="Arial" w:hAnsi="Arial" w:cs="Arial"/>
        </w:rPr>
        <w:t xml:space="preserve"> the </w:t>
      </w:r>
      <w:r w:rsidR="00610E9D">
        <w:rPr>
          <w:rFonts w:ascii="Arial" w:hAnsi="Arial" w:cs="Arial"/>
        </w:rPr>
        <w:t xml:space="preserve">RV </w:t>
      </w:r>
      <w:r w:rsidR="008E26CB" w:rsidRPr="006B3352">
        <w:rPr>
          <w:rFonts w:ascii="Arial" w:hAnsi="Arial" w:cs="Arial"/>
        </w:rPr>
        <w:t>Act</w:t>
      </w:r>
      <w:r w:rsidR="00115657">
        <w:rPr>
          <w:rFonts w:ascii="Arial" w:hAnsi="Arial" w:cs="Arial"/>
        </w:rPr>
        <w:t xml:space="preserve"> in line with current drafting practice</w:t>
      </w:r>
      <w:r w:rsidRPr="006B3352">
        <w:rPr>
          <w:rFonts w:ascii="Arial" w:hAnsi="Arial" w:cs="Arial"/>
        </w:rPr>
        <w:t xml:space="preserve">. </w:t>
      </w:r>
    </w:p>
    <w:p w14:paraId="318B7B53" w14:textId="48409810" w:rsidR="005B3AEA" w:rsidRDefault="00D009DA" w:rsidP="008F2C88">
      <w:pPr>
        <w:pStyle w:val="Heading3"/>
        <w:spacing w:before="0" w:after="0"/>
      </w:pPr>
      <w:r w:rsidRPr="00ED3B77">
        <w:t xml:space="preserve">Clause </w:t>
      </w:r>
      <w:r w:rsidR="006541B1">
        <w:t>35</w:t>
      </w:r>
      <w:r w:rsidRPr="00ED3B77">
        <w:tab/>
      </w:r>
      <w:r w:rsidR="00BE6F8B">
        <w:t>Disclosure statement</w:t>
      </w:r>
    </w:p>
    <w:p w14:paraId="36D2CA30" w14:textId="7116728E" w:rsidR="00D009DA" w:rsidRDefault="00BE6F8B" w:rsidP="008F2C88">
      <w:pPr>
        <w:pStyle w:val="Heading3"/>
        <w:spacing w:before="0" w:after="0"/>
        <w:ind w:left="720" w:firstLine="720"/>
      </w:pPr>
      <w:r>
        <w:t>Section 24 (3), note 1</w:t>
      </w:r>
    </w:p>
    <w:p w14:paraId="36B82EA6" w14:textId="14FDF91F" w:rsidR="00BE6F8B" w:rsidRPr="006B3352" w:rsidRDefault="00BE6F8B" w:rsidP="008F2C88">
      <w:pPr>
        <w:spacing w:before="240"/>
        <w:rPr>
          <w:rFonts w:ascii="Arial" w:hAnsi="Arial" w:cs="Arial"/>
        </w:rPr>
      </w:pPr>
      <w:r w:rsidRPr="006B3352">
        <w:rPr>
          <w:rFonts w:ascii="Arial" w:hAnsi="Arial" w:cs="Arial"/>
        </w:rPr>
        <w:t xml:space="preserve">This clause omits the note in section </w:t>
      </w:r>
      <w:r w:rsidR="00115657" w:rsidRPr="006B3352">
        <w:rPr>
          <w:rFonts w:ascii="Arial" w:hAnsi="Arial" w:cs="Arial"/>
        </w:rPr>
        <w:t>2</w:t>
      </w:r>
      <w:r w:rsidR="00115657">
        <w:rPr>
          <w:rFonts w:ascii="Arial" w:hAnsi="Arial" w:cs="Arial"/>
        </w:rPr>
        <w:t>4</w:t>
      </w:r>
      <w:r w:rsidR="00115657" w:rsidRPr="006B3352">
        <w:rPr>
          <w:rFonts w:ascii="Arial" w:hAnsi="Arial" w:cs="Arial"/>
        </w:rPr>
        <w:t xml:space="preserve"> </w:t>
      </w:r>
      <w:r w:rsidRPr="006B3352">
        <w:rPr>
          <w:rFonts w:ascii="Arial" w:hAnsi="Arial" w:cs="Arial"/>
        </w:rPr>
        <w:t>(</w:t>
      </w:r>
      <w:r w:rsidR="00115657">
        <w:rPr>
          <w:rFonts w:ascii="Arial" w:hAnsi="Arial" w:cs="Arial"/>
        </w:rPr>
        <w:t>3</w:t>
      </w:r>
      <w:r w:rsidRPr="006B3352">
        <w:rPr>
          <w:rFonts w:ascii="Arial" w:hAnsi="Arial" w:cs="Arial"/>
        </w:rPr>
        <w:t xml:space="preserve">), </w:t>
      </w:r>
      <w:r w:rsidR="008E26CB" w:rsidRPr="006B3352">
        <w:rPr>
          <w:rFonts w:ascii="Arial" w:hAnsi="Arial" w:cs="Arial"/>
        </w:rPr>
        <w:t xml:space="preserve">which is a technical amendment to </w:t>
      </w:r>
      <w:r w:rsidR="00115657">
        <w:rPr>
          <w:rFonts w:ascii="Arial" w:hAnsi="Arial" w:cs="Arial"/>
        </w:rPr>
        <w:t>update</w:t>
      </w:r>
      <w:r w:rsidR="00115657" w:rsidRPr="006B3352">
        <w:rPr>
          <w:rFonts w:ascii="Arial" w:hAnsi="Arial" w:cs="Arial"/>
        </w:rPr>
        <w:t xml:space="preserve"> the </w:t>
      </w:r>
      <w:r w:rsidR="00115657">
        <w:rPr>
          <w:rFonts w:ascii="Arial" w:hAnsi="Arial" w:cs="Arial"/>
        </w:rPr>
        <w:t xml:space="preserve">RV </w:t>
      </w:r>
      <w:r w:rsidR="00115657" w:rsidRPr="006B3352">
        <w:rPr>
          <w:rFonts w:ascii="Arial" w:hAnsi="Arial" w:cs="Arial"/>
        </w:rPr>
        <w:t>Act</w:t>
      </w:r>
      <w:r w:rsidR="00115657">
        <w:rPr>
          <w:rFonts w:ascii="Arial" w:hAnsi="Arial" w:cs="Arial"/>
        </w:rPr>
        <w:t xml:space="preserve"> in line with current drafting practice</w:t>
      </w:r>
      <w:r w:rsidRPr="006B3352">
        <w:rPr>
          <w:rFonts w:ascii="Arial" w:hAnsi="Arial" w:cs="Arial"/>
        </w:rPr>
        <w:t xml:space="preserve">. </w:t>
      </w:r>
    </w:p>
    <w:p w14:paraId="4C7380F1" w14:textId="496FBE8D" w:rsidR="005B3AEA" w:rsidRDefault="00112D16" w:rsidP="008F2C88">
      <w:pPr>
        <w:pStyle w:val="Heading3"/>
        <w:spacing w:before="0" w:after="0"/>
      </w:pPr>
      <w:r w:rsidRPr="00ED3B77">
        <w:t xml:space="preserve">Clause </w:t>
      </w:r>
      <w:r w:rsidR="006541B1">
        <w:t>36</w:t>
      </w:r>
      <w:r w:rsidRPr="00ED3B77">
        <w:tab/>
      </w:r>
      <w:r w:rsidR="00BE6F8B">
        <w:t xml:space="preserve">Consequences of resident’s rescission of other village contract </w:t>
      </w:r>
    </w:p>
    <w:p w14:paraId="6DAFA322" w14:textId="3F2D6B20" w:rsidR="00112D16" w:rsidRDefault="00BE6F8B" w:rsidP="008F2C88">
      <w:pPr>
        <w:pStyle w:val="Heading3"/>
        <w:spacing w:before="0" w:after="0"/>
        <w:ind w:left="720" w:firstLine="720"/>
      </w:pPr>
      <w:r>
        <w:t xml:space="preserve">Section 58 </w:t>
      </w:r>
      <w:r w:rsidR="001D2BC2">
        <w:t>(3)</w:t>
      </w:r>
    </w:p>
    <w:p w14:paraId="2F101D49" w14:textId="5EEE113F" w:rsidR="00D579FF" w:rsidRPr="006B3352" w:rsidRDefault="00D579FF" w:rsidP="008F2C88">
      <w:pPr>
        <w:spacing w:before="240"/>
        <w:rPr>
          <w:rFonts w:ascii="Arial" w:hAnsi="Arial" w:cs="Arial"/>
        </w:rPr>
      </w:pPr>
      <w:r w:rsidRPr="006B3352">
        <w:rPr>
          <w:rFonts w:ascii="Arial" w:hAnsi="Arial" w:cs="Arial"/>
        </w:rPr>
        <w:t xml:space="preserve">This clause </w:t>
      </w:r>
      <w:r w:rsidR="001267A5" w:rsidRPr="006B3352">
        <w:rPr>
          <w:rFonts w:ascii="Arial" w:hAnsi="Arial" w:cs="Arial"/>
        </w:rPr>
        <w:t xml:space="preserve">is a technical amendment that </w:t>
      </w:r>
      <w:r w:rsidR="00D737DA" w:rsidRPr="006B3352">
        <w:rPr>
          <w:rFonts w:ascii="Arial" w:hAnsi="Arial" w:cs="Arial"/>
        </w:rPr>
        <w:t xml:space="preserve">corrects </w:t>
      </w:r>
      <w:r w:rsidR="00115657">
        <w:rPr>
          <w:rFonts w:ascii="Arial" w:hAnsi="Arial" w:cs="Arial"/>
        </w:rPr>
        <w:t xml:space="preserve">an incorrect cross </w:t>
      </w:r>
      <w:r w:rsidR="00D737DA" w:rsidRPr="006B3352">
        <w:rPr>
          <w:rFonts w:ascii="Arial" w:hAnsi="Arial" w:cs="Arial"/>
        </w:rPr>
        <w:t xml:space="preserve">refence in section 58 (3). </w:t>
      </w:r>
    </w:p>
    <w:p w14:paraId="0612546E" w14:textId="6E18788C" w:rsidR="00112D16" w:rsidRDefault="00112D16" w:rsidP="00112D16">
      <w:pPr>
        <w:pStyle w:val="Heading3"/>
      </w:pPr>
      <w:r w:rsidRPr="00ED3B77">
        <w:t xml:space="preserve">Clause </w:t>
      </w:r>
      <w:r w:rsidR="006541B1">
        <w:t>37</w:t>
      </w:r>
      <w:r w:rsidRPr="00ED3B77">
        <w:tab/>
      </w:r>
      <w:r w:rsidR="00475C0A">
        <w:t>Section 58 (</w:t>
      </w:r>
      <w:r w:rsidR="006C0880">
        <w:t>5</w:t>
      </w:r>
      <w:r w:rsidR="00475C0A">
        <w:t>)</w:t>
      </w:r>
    </w:p>
    <w:p w14:paraId="6DEB92D4" w14:textId="51E31CE7" w:rsidR="00D737DA" w:rsidRPr="006B3352" w:rsidRDefault="001267A5" w:rsidP="00D737DA">
      <w:pPr>
        <w:rPr>
          <w:rFonts w:ascii="Arial" w:hAnsi="Arial" w:cs="Arial"/>
        </w:rPr>
      </w:pPr>
      <w:r w:rsidRPr="006B3352">
        <w:rPr>
          <w:rFonts w:ascii="Arial" w:hAnsi="Arial" w:cs="Arial"/>
        </w:rPr>
        <w:t xml:space="preserve">This clause is a technical amendment that corrects </w:t>
      </w:r>
      <w:r w:rsidR="00115657">
        <w:rPr>
          <w:rFonts w:ascii="Arial" w:hAnsi="Arial" w:cs="Arial"/>
        </w:rPr>
        <w:t xml:space="preserve">an incorrect cross </w:t>
      </w:r>
      <w:r w:rsidRPr="006B3352">
        <w:rPr>
          <w:rFonts w:ascii="Arial" w:hAnsi="Arial" w:cs="Arial"/>
        </w:rPr>
        <w:t>refence to the subsection in</w:t>
      </w:r>
      <w:r w:rsidR="00D737DA" w:rsidRPr="006B3352">
        <w:rPr>
          <w:rFonts w:ascii="Arial" w:hAnsi="Arial" w:cs="Arial"/>
        </w:rPr>
        <w:t xml:space="preserve"> section 58 (5).</w:t>
      </w:r>
    </w:p>
    <w:p w14:paraId="3EEF4760" w14:textId="3BD58AD2" w:rsidR="005B3AEA" w:rsidRDefault="00112D16" w:rsidP="008F2C88">
      <w:pPr>
        <w:pStyle w:val="Heading3"/>
        <w:spacing w:before="0" w:after="0"/>
      </w:pPr>
      <w:r w:rsidRPr="00ED3B77">
        <w:t xml:space="preserve">Clause </w:t>
      </w:r>
      <w:r w:rsidR="006541B1">
        <w:t>38</w:t>
      </w:r>
      <w:r w:rsidRPr="00ED3B77">
        <w:tab/>
      </w:r>
      <w:r w:rsidR="005D5CF5">
        <w:t xml:space="preserve"> </w:t>
      </w:r>
      <w:r w:rsidR="001D0996">
        <w:t>Meaning of resident – pt 6</w:t>
      </w:r>
    </w:p>
    <w:p w14:paraId="13F86E35" w14:textId="0A3B6CCA" w:rsidR="00112D16" w:rsidRDefault="001D0996" w:rsidP="008F2C88">
      <w:pPr>
        <w:pStyle w:val="Heading3"/>
        <w:spacing w:before="0" w:after="0"/>
        <w:ind w:left="720" w:firstLine="720"/>
      </w:pPr>
      <w:r>
        <w:t>Section 77A, definition of resident, note</w:t>
      </w:r>
    </w:p>
    <w:p w14:paraId="60EFC7B2" w14:textId="24C93456" w:rsidR="001D0996" w:rsidRPr="006B3352" w:rsidRDefault="007407FD" w:rsidP="008F2C88">
      <w:pPr>
        <w:spacing w:before="240" w:after="120"/>
        <w:rPr>
          <w:rFonts w:ascii="Arial" w:hAnsi="Arial" w:cs="Arial"/>
        </w:rPr>
      </w:pPr>
      <w:r w:rsidRPr="006B3352">
        <w:rPr>
          <w:rFonts w:ascii="Arial" w:hAnsi="Arial" w:cs="Arial"/>
        </w:rPr>
        <w:t xml:space="preserve">This clause omits the note in section 77A, </w:t>
      </w:r>
      <w:r w:rsidR="00655E35" w:rsidRPr="006B3352">
        <w:rPr>
          <w:rFonts w:ascii="Arial" w:hAnsi="Arial" w:cs="Arial"/>
        </w:rPr>
        <w:t xml:space="preserve">which is a technical amendment to </w:t>
      </w:r>
      <w:r w:rsidR="00115657">
        <w:rPr>
          <w:rFonts w:ascii="Arial" w:hAnsi="Arial" w:cs="Arial"/>
        </w:rPr>
        <w:t>update</w:t>
      </w:r>
      <w:r w:rsidR="00115657" w:rsidRPr="006B3352">
        <w:rPr>
          <w:rFonts w:ascii="Arial" w:hAnsi="Arial" w:cs="Arial"/>
        </w:rPr>
        <w:t xml:space="preserve"> the </w:t>
      </w:r>
      <w:r w:rsidR="00115657">
        <w:rPr>
          <w:rFonts w:ascii="Arial" w:hAnsi="Arial" w:cs="Arial"/>
        </w:rPr>
        <w:t xml:space="preserve">RV </w:t>
      </w:r>
      <w:r w:rsidR="00115657" w:rsidRPr="006B3352">
        <w:rPr>
          <w:rFonts w:ascii="Arial" w:hAnsi="Arial" w:cs="Arial"/>
        </w:rPr>
        <w:t>Act</w:t>
      </w:r>
      <w:r w:rsidR="00115657">
        <w:rPr>
          <w:rFonts w:ascii="Arial" w:hAnsi="Arial" w:cs="Arial"/>
        </w:rPr>
        <w:t xml:space="preserve"> in line with current drafting practice</w:t>
      </w:r>
      <w:r w:rsidRPr="006B3352">
        <w:rPr>
          <w:rFonts w:ascii="Arial" w:hAnsi="Arial" w:cs="Arial"/>
        </w:rPr>
        <w:t>.</w:t>
      </w:r>
    </w:p>
    <w:p w14:paraId="3CA27967" w14:textId="7C0C945F" w:rsidR="005B3AEA" w:rsidRDefault="00112D16" w:rsidP="008F2C88">
      <w:pPr>
        <w:pStyle w:val="Heading3"/>
        <w:spacing w:before="0" w:after="0"/>
        <w:ind w:left="1440" w:hanging="1440"/>
      </w:pPr>
      <w:r w:rsidRPr="00ED3B77">
        <w:lastRenderedPageBreak/>
        <w:t xml:space="preserve">Clause </w:t>
      </w:r>
      <w:r w:rsidR="006541B1">
        <w:t>39</w:t>
      </w:r>
      <w:r w:rsidRPr="00ED3B77">
        <w:tab/>
      </w:r>
      <w:r w:rsidR="00AF64F1">
        <w:t>Compliance with village rules by people other than operator and residents</w:t>
      </w:r>
    </w:p>
    <w:p w14:paraId="3CA8B554" w14:textId="001EE777" w:rsidR="00112D16" w:rsidRDefault="00AF64F1" w:rsidP="008F2C88">
      <w:pPr>
        <w:pStyle w:val="Heading3"/>
        <w:spacing w:before="0" w:after="0"/>
        <w:ind w:left="720" w:firstLine="720"/>
      </w:pPr>
      <w:r>
        <w:t>Section 88 (1) (a)</w:t>
      </w:r>
    </w:p>
    <w:p w14:paraId="70C04F52" w14:textId="09A4F27B" w:rsidR="00F8276D" w:rsidRPr="00610E9D" w:rsidRDefault="001609E0" w:rsidP="008F2C88">
      <w:pPr>
        <w:spacing w:before="240"/>
        <w:rPr>
          <w:rFonts w:ascii="Arial" w:hAnsi="Arial" w:cs="Arial"/>
        </w:rPr>
      </w:pPr>
      <w:r w:rsidRPr="00610E9D">
        <w:rPr>
          <w:rFonts w:ascii="Arial" w:hAnsi="Arial" w:cs="Arial"/>
        </w:rPr>
        <w:t xml:space="preserve">This clause is </w:t>
      </w:r>
      <w:r w:rsidR="006B3352" w:rsidRPr="00610E9D">
        <w:rPr>
          <w:rFonts w:ascii="Arial" w:hAnsi="Arial" w:cs="Arial"/>
        </w:rPr>
        <w:t xml:space="preserve">a technical amendment to </w:t>
      </w:r>
      <w:r w:rsidR="00D977B7">
        <w:rPr>
          <w:rFonts w:ascii="Arial" w:hAnsi="Arial" w:cs="Arial"/>
        </w:rPr>
        <w:t>create greater clarity in wording</w:t>
      </w:r>
      <w:r w:rsidR="00610E9D" w:rsidRPr="00610E9D">
        <w:rPr>
          <w:rFonts w:ascii="Arial" w:hAnsi="Arial" w:cs="Arial"/>
        </w:rPr>
        <w:t>.</w:t>
      </w:r>
      <w:r w:rsidR="00D977B7">
        <w:rPr>
          <w:rFonts w:ascii="Arial" w:hAnsi="Arial" w:cs="Arial"/>
        </w:rPr>
        <w:t xml:space="preserve"> The section now clarifies that it refers to registered interest holders, which is clearer terminology than “certain residents.”</w:t>
      </w:r>
    </w:p>
    <w:p w14:paraId="2F413BB2" w14:textId="17F716CD" w:rsidR="00112D16" w:rsidRDefault="00112D16" w:rsidP="00112D16">
      <w:pPr>
        <w:pStyle w:val="Heading3"/>
      </w:pPr>
      <w:r w:rsidRPr="00ED3B77">
        <w:t xml:space="preserve">Clause </w:t>
      </w:r>
      <w:r w:rsidR="006541B1">
        <w:t>40</w:t>
      </w:r>
      <w:r w:rsidRPr="00ED3B77">
        <w:tab/>
      </w:r>
      <w:r w:rsidR="00A71C5B">
        <w:t xml:space="preserve">Section </w:t>
      </w:r>
      <w:r w:rsidR="00A71C5B" w:rsidRPr="00610E9D">
        <w:t>174A and 175</w:t>
      </w:r>
      <w:r w:rsidR="00A71C5B">
        <w:t xml:space="preserve"> </w:t>
      </w:r>
    </w:p>
    <w:p w14:paraId="11EF3E7D" w14:textId="7D328033" w:rsidR="00413C77" w:rsidRDefault="00413C77" w:rsidP="00413C77">
      <w:pPr>
        <w:rPr>
          <w:rFonts w:ascii="Arial" w:hAnsi="Arial" w:cs="Arial"/>
        </w:rPr>
      </w:pPr>
      <w:r w:rsidRPr="00610E9D">
        <w:rPr>
          <w:rFonts w:ascii="Arial" w:hAnsi="Arial" w:cs="Arial"/>
        </w:rPr>
        <w:t>This clause</w:t>
      </w:r>
      <w:r w:rsidR="004D3EAF" w:rsidRPr="00610E9D">
        <w:rPr>
          <w:rFonts w:ascii="Arial" w:hAnsi="Arial" w:cs="Arial"/>
        </w:rPr>
        <w:t xml:space="preserve"> </w:t>
      </w:r>
      <w:r w:rsidR="00610E9D" w:rsidRPr="00610E9D">
        <w:rPr>
          <w:rFonts w:ascii="Arial" w:hAnsi="Arial" w:cs="Arial"/>
        </w:rPr>
        <w:t xml:space="preserve">is consequential to the </w:t>
      </w:r>
      <w:r w:rsidR="00D977B7">
        <w:rPr>
          <w:rFonts w:ascii="Arial" w:hAnsi="Arial" w:cs="Arial"/>
        </w:rPr>
        <w:t xml:space="preserve">change at clause 41 which </w:t>
      </w:r>
      <w:r w:rsidR="00610E9D" w:rsidRPr="00610E9D">
        <w:rPr>
          <w:rFonts w:ascii="Arial" w:hAnsi="Arial" w:cs="Arial"/>
        </w:rPr>
        <w:t>remov</w:t>
      </w:r>
      <w:r w:rsidR="00D977B7">
        <w:rPr>
          <w:rFonts w:ascii="Arial" w:hAnsi="Arial" w:cs="Arial"/>
        </w:rPr>
        <w:t>es</w:t>
      </w:r>
      <w:r w:rsidR="00610E9D" w:rsidRPr="00610E9D">
        <w:rPr>
          <w:rFonts w:ascii="Arial" w:hAnsi="Arial" w:cs="Arial"/>
        </w:rPr>
        <w:t xml:space="preserve"> Division 8.1A</w:t>
      </w:r>
      <w:r w:rsidR="00A621C1" w:rsidRPr="00610E9D">
        <w:rPr>
          <w:rFonts w:ascii="Arial" w:hAnsi="Arial" w:cs="Arial"/>
        </w:rPr>
        <w:t xml:space="preserve">. </w:t>
      </w:r>
    </w:p>
    <w:p w14:paraId="7A3A8888" w14:textId="63AF0209" w:rsidR="00D977B7" w:rsidRDefault="00D977B7" w:rsidP="00413C77">
      <w:pPr>
        <w:rPr>
          <w:rFonts w:ascii="Arial" w:hAnsi="Arial" w:cs="Arial"/>
        </w:rPr>
      </w:pPr>
      <w:r>
        <w:rPr>
          <w:rFonts w:ascii="Arial" w:hAnsi="Arial" w:cs="Arial"/>
        </w:rPr>
        <w:t>Section 174A is updated to remove the reference to division 8.1A</w:t>
      </w:r>
    </w:p>
    <w:p w14:paraId="70B2A62A" w14:textId="68DB828D" w:rsidR="00D977B7" w:rsidRPr="00610E9D" w:rsidRDefault="00D977B7" w:rsidP="00413C77">
      <w:pPr>
        <w:rPr>
          <w:rFonts w:ascii="Arial" w:hAnsi="Arial" w:cs="Arial"/>
        </w:rPr>
      </w:pPr>
      <w:r>
        <w:rPr>
          <w:rFonts w:ascii="Arial" w:hAnsi="Arial" w:cs="Arial"/>
        </w:rPr>
        <w:t xml:space="preserve">Section 175 is omitted. </w:t>
      </w:r>
    </w:p>
    <w:p w14:paraId="018A6D0F" w14:textId="156D1A8B" w:rsidR="005B3AEA" w:rsidRDefault="00112D16" w:rsidP="008F2C88">
      <w:pPr>
        <w:pStyle w:val="Heading3"/>
        <w:spacing w:before="0" w:after="0"/>
      </w:pPr>
      <w:r w:rsidRPr="00ED3B77">
        <w:t xml:space="preserve">Clause </w:t>
      </w:r>
      <w:r w:rsidR="006541B1">
        <w:t>41</w:t>
      </w:r>
      <w:r w:rsidRPr="00ED3B77">
        <w:tab/>
      </w:r>
      <w:r w:rsidR="0044665C">
        <w:t>Dispute resolution – disputes committee</w:t>
      </w:r>
    </w:p>
    <w:p w14:paraId="460DAFA6" w14:textId="159FFD46" w:rsidR="00112D16" w:rsidRDefault="0044665C" w:rsidP="008F2C88">
      <w:pPr>
        <w:pStyle w:val="Heading3"/>
        <w:spacing w:before="0" w:after="0"/>
        <w:ind w:left="720" w:firstLine="720"/>
      </w:pPr>
      <w:r>
        <w:t>Division 8.1A</w:t>
      </w:r>
    </w:p>
    <w:p w14:paraId="66240F31" w14:textId="5CC79638" w:rsidR="0044665C" w:rsidRPr="00610E9D" w:rsidRDefault="00E045B0" w:rsidP="008F2C88">
      <w:pPr>
        <w:spacing w:before="240"/>
        <w:rPr>
          <w:rFonts w:ascii="Arial" w:hAnsi="Arial" w:cs="Arial"/>
        </w:rPr>
      </w:pPr>
      <w:r w:rsidRPr="00610E9D">
        <w:rPr>
          <w:rFonts w:ascii="Arial" w:hAnsi="Arial" w:cs="Arial"/>
        </w:rPr>
        <w:t xml:space="preserve">This clause </w:t>
      </w:r>
      <w:r w:rsidR="00610E9D">
        <w:rPr>
          <w:rFonts w:ascii="Arial" w:hAnsi="Arial" w:cs="Arial"/>
        </w:rPr>
        <w:t>omits</w:t>
      </w:r>
      <w:r w:rsidRPr="00610E9D">
        <w:rPr>
          <w:rFonts w:ascii="Arial" w:hAnsi="Arial" w:cs="Arial"/>
        </w:rPr>
        <w:t xml:space="preserve"> the entire Division 8.1A. </w:t>
      </w:r>
      <w:r w:rsidR="00D977B7">
        <w:rPr>
          <w:rFonts w:ascii="Arial" w:hAnsi="Arial" w:cs="Arial"/>
        </w:rPr>
        <w:t>This amendment means that ret</w:t>
      </w:r>
      <w:r w:rsidRPr="00610E9D">
        <w:rPr>
          <w:rFonts w:ascii="Arial" w:hAnsi="Arial" w:cs="Arial"/>
        </w:rPr>
        <w:t>i</w:t>
      </w:r>
      <w:r w:rsidR="00D977B7">
        <w:rPr>
          <w:rFonts w:ascii="Arial" w:hAnsi="Arial" w:cs="Arial"/>
        </w:rPr>
        <w:t xml:space="preserve">rement village operates </w:t>
      </w:r>
      <w:r w:rsidRPr="00610E9D">
        <w:rPr>
          <w:rFonts w:ascii="Arial" w:hAnsi="Arial" w:cs="Arial"/>
        </w:rPr>
        <w:t xml:space="preserve">will no longer be a </w:t>
      </w:r>
      <w:r w:rsidR="00D977B7" w:rsidRPr="00610E9D">
        <w:rPr>
          <w:rFonts w:ascii="Arial" w:hAnsi="Arial" w:cs="Arial"/>
        </w:rPr>
        <w:t>require</w:t>
      </w:r>
      <w:r w:rsidR="00D977B7">
        <w:rPr>
          <w:rFonts w:ascii="Arial" w:hAnsi="Arial" w:cs="Arial"/>
        </w:rPr>
        <w:t>d</w:t>
      </w:r>
      <w:r w:rsidR="00D977B7" w:rsidRPr="00610E9D">
        <w:rPr>
          <w:rFonts w:ascii="Arial" w:hAnsi="Arial" w:cs="Arial"/>
        </w:rPr>
        <w:t xml:space="preserve"> </w:t>
      </w:r>
      <w:r w:rsidRPr="00610E9D">
        <w:rPr>
          <w:rFonts w:ascii="Arial" w:hAnsi="Arial" w:cs="Arial"/>
        </w:rPr>
        <w:t>to establish</w:t>
      </w:r>
      <w:r w:rsidR="00610E9D">
        <w:rPr>
          <w:rFonts w:ascii="Arial" w:hAnsi="Arial" w:cs="Arial"/>
        </w:rPr>
        <w:t xml:space="preserve"> </w:t>
      </w:r>
      <w:r w:rsidRPr="00610E9D">
        <w:rPr>
          <w:rFonts w:ascii="Arial" w:hAnsi="Arial" w:cs="Arial"/>
        </w:rPr>
        <w:t xml:space="preserve">an internal disputes committee within the </w:t>
      </w:r>
      <w:r w:rsidR="00824B06" w:rsidRPr="00610E9D">
        <w:rPr>
          <w:rFonts w:ascii="Arial" w:hAnsi="Arial" w:cs="Arial"/>
        </w:rPr>
        <w:t xml:space="preserve">retirement village. </w:t>
      </w:r>
      <w:r w:rsidR="007371CE" w:rsidRPr="00610E9D">
        <w:rPr>
          <w:rFonts w:ascii="Arial" w:hAnsi="Arial" w:cs="Arial"/>
        </w:rPr>
        <w:t xml:space="preserve">The amendment also removes the requirement for recurrent charges to fund the independent chair of the internal disputes committee. </w:t>
      </w:r>
    </w:p>
    <w:p w14:paraId="763C897F" w14:textId="09BA97B7" w:rsidR="00A8688F" w:rsidRPr="00610E9D" w:rsidRDefault="00A8688F" w:rsidP="0044665C">
      <w:pPr>
        <w:rPr>
          <w:rFonts w:ascii="Arial" w:hAnsi="Arial" w:cs="Arial"/>
        </w:rPr>
      </w:pPr>
      <w:r w:rsidRPr="00610E9D">
        <w:rPr>
          <w:rFonts w:ascii="Arial" w:hAnsi="Arial" w:cs="Arial"/>
        </w:rPr>
        <w:t xml:space="preserve">The </w:t>
      </w:r>
      <w:r w:rsidR="006C0880" w:rsidRPr="00610E9D">
        <w:rPr>
          <w:rFonts w:ascii="Arial" w:hAnsi="Arial" w:cs="Arial"/>
        </w:rPr>
        <w:t>intent</w:t>
      </w:r>
      <w:r w:rsidRPr="00610E9D">
        <w:rPr>
          <w:rFonts w:ascii="Arial" w:hAnsi="Arial" w:cs="Arial"/>
        </w:rPr>
        <w:t xml:space="preserve"> of </w:t>
      </w:r>
      <w:r w:rsidR="00610E9D">
        <w:rPr>
          <w:rFonts w:ascii="Arial" w:hAnsi="Arial" w:cs="Arial"/>
        </w:rPr>
        <w:t>removing this requirement is</w:t>
      </w:r>
      <w:r w:rsidRPr="00610E9D">
        <w:rPr>
          <w:rFonts w:ascii="Arial" w:hAnsi="Arial" w:cs="Arial"/>
        </w:rPr>
        <w:t xml:space="preserve"> to give flexibility to residents and operators on how they resolve disputes. </w:t>
      </w:r>
      <w:r w:rsidR="00D977B7">
        <w:rPr>
          <w:rFonts w:ascii="Arial" w:hAnsi="Arial" w:cs="Arial"/>
        </w:rPr>
        <w:t xml:space="preserve">It does not prevent retirement villages from establishing or continuing existing internal disputes resolution committees should they wish to do so. </w:t>
      </w:r>
    </w:p>
    <w:p w14:paraId="16185DA1" w14:textId="6FDABC68" w:rsidR="00112D16" w:rsidRDefault="00112D16" w:rsidP="00112D16">
      <w:pPr>
        <w:pStyle w:val="Heading3"/>
      </w:pPr>
      <w:r w:rsidRPr="00ED3B77">
        <w:t xml:space="preserve">Clause </w:t>
      </w:r>
      <w:r w:rsidR="006541B1">
        <w:t>42</w:t>
      </w:r>
      <w:r w:rsidRPr="00ED3B77">
        <w:tab/>
      </w:r>
      <w:r w:rsidR="00A95B49">
        <w:t>Section 178</w:t>
      </w:r>
    </w:p>
    <w:p w14:paraId="02F2ACF4" w14:textId="40D66B76" w:rsidR="00A95B49" w:rsidRPr="00610E9D" w:rsidRDefault="009770D3" w:rsidP="00A95B49">
      <w:pPr>
        <w:rPr>
          <w:rFonts w:ascii="Arial" w:hAnsi="Arial" w:cs="Arial"/>
        </w:rPr>
      </w:pPr>
      <w:r w:rsidRPr="000F50AB">
        <w:rPr>
          <w:rFonts w:ascii="Arial" w:hAnsi="Arial" w:cs="Arial"/>
        </w:rPr>
        <w:t xml:space="preserve">This clause is consequential to the </w:t>
      </w:r>
      <w:r>
        <w:rPr>
          <w:rFonts w:ascii="Arial" w:hAnsi="Arial" w:cs="Arial"/>
        </w:rPr>
        <w:t xml:space="preserve">amendments in clause 41 which </w:t>
      </w:r>
      <w:r w:rsidRPr="000F50AB">
        <w:rPr>
          <w:rFonts w:ascii="Arial" w:hAnsi="Arial" w:cs="Arial"/>
        </w:rPr>
        <w:t>remov</w:t>
      </w:r>
      <w:r>
        <w:rPr>
          <w:rFonts w:ascii="Arial" w:hAnsi="Arial" w:cs="Arial"/>
        </w:rPr>
        <w:t>e</w:t>
      </w:r>
      <w:r w:rsidRPr="000F50AB">
        <w:rPr>
          <w:rFonts w:ascii="Arial" w:hAnsi="Arial" w:cs="Arial"/>
        </w:rPr>
        <w:t xml:space="preserve"> of Division 8.1A</w:t>
      </w:r>
      <w:r>
        <w:rPr>
          <w:rFonts w:ascii="Arial" w:hAnsi="Arial" w:cs="Arial"/>
        </w:rPr>
        <w:t xml:space="preserve"> (Disputes committees) from the RV Act.</w:t>
      </w:r>
      <w:r w:rsidRPr="000F50AB">
        <w:rPr>
          <w:rFonts w:ascii="Arial" w:hAnsi="Arial" w:cs="Arial"/>
        </w:rPr>
        <w:t xml:space="preserve"> </w:t>
      </w:r>
      <w:r w:rsidR="00A95B49" w:rsidRPr="00610E9D">
        <w:rPr>
          <w:rFonts w:ascii="Arial" w:hAnsi="Arial" w:cs="Arial"/>
        </w:rPr>
        <w:t xml:space="preserve">This clause amends the existing section 178 on </w:t>
      </w:r>
      <w:r w:rsidR="00D977B7">
        <w:rPr>
          <w:rFonts w:ascii="Arial" w:hAnsi="Arial" w:cs="Arial"/>
        </w:rPr>
        <w:t xml:space="preserve">informal </w:t>
      </w:r>
      <w:r w:rsidR="00A95B49" w:rsidRPr="00610E9D">
        <w:rPr>
          <w:rFonts w:ascii="Arial" w:hAnsi="Arial" w:cs="Arial"/>
        </w:rPr>
        <w:t xml:space="preserve">dispute resolution </w:t>
      </w:r>
      <w:r w:rsidR="000A3E84" w:rsidRPr="00610E9D">
        <w:rPr>
          <w:rFonts w:ascii="Arial" w:hAnsi="Arial" w:cs="Arial"/>
        </w:rPr>
        <w:t>to reflect the</w:t>
      </w:r>
      <w:r w:rsidR="00F4427A" w:rsidRPr="00610E9D">
        <w:rPr>
          <w:rFonts w:ascii="Arial" w:hAnsi="Arial" w:cs="Arial"/>
        </w:rPr>
        <w:t xml:space="preserve"> remov</w:t>
      </w:r>
      <w:r w:rsidR="000A3E84" w:rsidRPr="00610E9D">
        <w:rPr>
          <w:rFonts w:ascii="Arial" w:hAnsi="Arial" w:cs="Arial"/>
        </w:rPr>
        <w:t xml:space="preserve">al of </w:t>
      </w:r>
      <w:r w:rsidR="00D977B7">
        <w:rPr>
          <w:rFonts w:ascii="Arial" w:hAnsi="Arial" w:cs="Arial"/>
        </w:rPr>
        <w:t>D</w:t>
      </w:r>
      <w:r w:rsidR="00F4427A" w:rsidRPr="00610E9D">
        <w:rPr>
          <w:rFonts w:ascii="Arial" w:hAnsi="Arial" w:cs="Arial"/>
        </w:rPr>
        <w:t xml:space="preserve">ivision </w:t>
      </w:r>
      <w:r w:rsidR="00D977B7">
        <w:rPr>
          <w:rFonts w:ascii="Arial" w:hAnsi="Arial" w:cs="Arial"/>
        </w:rPr>
        <w:t>8.1A (</w:t>
      </w:r>
      <w:r w:rsidR="00F4427A" w:rsidRPr="00610E9D">
        <w:rPr>
          <w:rFonts w:ascii="Arial" w:hAnsi="Arial" w:cs="Arial"/>
        </w:rPr>
        <w:t>disputes committees</w:t>
      </w:r>
      <w:r w:rsidR="00D977B7">
        <w:rPr>
          <w:rFonts w:ascii="Arial" w:hAnsi="Arial" w:cs="Arial"/>
        </w:rPr>
        <w:t>)</w:t>
      </w:r>
      <w:r w:rsidR="007371CE" w:rsidRPr="00610E9D">
        <w:rPr>
          <w:rFonts w:ascii="Arial" w:hAnsi="Arial" w:cs="Arial"/>
        </w:rPr>
        <w:t xml:space="preserve">. </w:t>
      </w:r>
    </w:p>
    <w:p w14:paraId="512D60D3" w14:textId="0ECC09D8" w:rsidR="007424D0" w:rsidRPr="00610E9D" w:rsidRDefault="007424D0" w:rsidP="007424D0">
      <w:pPr>
        <w:rPr>
          <w:rFonts w:ascii="Arial" w:hAnsi="Arial" w:cs="Arial"/>
        </w:rPr>
      </w:pPr>
      <w:r w:rsidRPr="00610E9D">
        <w:rPr>
          <w:rFonts w:ascii="Arial" w:hAnsi="Arial" w:cs="Arial"/>
        </w:rPr>
        <w:t xml:space="preserve">This </w:t>
      </w:r>
      <w:r w:rsidR="00D977B7">
        <w:rPr>
          <w:rFonts w:ascii="Arial" w:hAnsi="Arial" w:cs="Arial"/>
        </w:rPr>
        <w:t xml:space="preserve">amended </w:t>
      </w:r>
      <w:r w:rsidRPr="00610E9D">
        <w:rPr>
          <w:rFonts w:ascii="Arial" w:hAnsi="Arial" w:cs="Arial"/>
        </w:rPr>
        <w:t>section make</w:t>
      </w:r>
      <w:r w:rsidR="00D977B7">
        <w:rPr>
          <w:rFonts w:ascii="Arial" w:hAnsi="Arial" w:cs="Arial"/>
        </w:rPr>
        <w:t>s</w:t>
      </w:r>
      <w:r w:rsidRPr="00610E9D">
        <w:rPr>
          <w:rFonts w:ascii="Arial" w:hAnsi="Arial" w:cs="Arial"/>
        </w:rPr>
        <w:t xml:space="preserve"> it clear that </w:t>
      </w:r>
      <w:r w:rsidR="00610E9D" w:rsidRPr="00610E9D">
        <w:rPr>
          <w:rFonts w:ascii="Arial" w:hAnsi="Arial" w:cs="Arial"/>
        </w:rPr>
        <w:t>nothing</w:t>
      </w:r>
      <w:r w:rsidRPr="00610E9D">
        <w:rPr>
          <w:rFonts w:ascii="Arial" w:hAnsi="Arial" w:cs="Arial"/>
        </w:rPr>
        <w:t xml:space="preserve"> prevent</w:t>
      </w:r>
      <w:r w:rsidR="00D977B7">
        <w:rPr>
          <w:rFonts w:ascii="Arial" w:hAnsi="Arial" w:cs="Arial"/>
        </w:rPr>
        <w:t xml:space="preserve">s </w:t>
      </w:r>
      <w:r w:rsidRPr="00610E9D">
        <w:rPr>
          <w:rFonts w:ascii="Arial" w:hAnsi="Arial" w:cs="Arial"/>
        </w:rPr>
        <w:t>or prohibit</w:t>
      </w:r>
      <w:r w:rsidR="00610E9D" w:rsidRPr="00610E9D">
        <w:rPr>
          <w:rFonts w:ascii="Arial" w:hAnsi="Arial" w:cs="Arial"/>
        </w:rPr>
        <w:t>s</w:t>
      </w:r>
      <w:r w:rsidRPr="00610E9D">
        <w:rPr>
          <w:rFonts w:ascii="Arial" w:hAnsi="Arial" w:cs="Arial"/>
        </w:rPr>
        <w:t xml:space="preserve"> villages from establishing </w:t>
      </w:r>
      <w:r w:rsidR="00610E9D" w:rsidRPr="00610E9D">
        <w:rPr>
          <w:rFonts w:ascii="Arial" w:hAnsi="Arial" w:cs="Arial"/>
        </w:rPr>
        <w:t>their own internal</w:t>
      </w:r>
      <w:r w:rsidRPr="00610E9D">
        <w:rPr>
          <w:rFonts w:ascii="Arial" w:hAnsi="Arial" w:cs="Arial"/>
        </w:rPr>
        <w:t xml:space="preserve"> disputes committee within the village, should the operator and residents decide that is appropriate for the village. For existing internal disputes committees</w:t>
      </w:r>
      <w:r w:rsidR="00610E9D" w:rsidRPr="00610E9D">
        <w:rPr>
          <w:rFonts w:ascii="Arial" w:hAnsi="Arial" w:cs="Arial"/>
        </w:rPr>
        <w:t xml:space="preserve"> operating before the amendments,</w:t>
      </w:r>
      <w:r w:rsidRPr="00610E9D">
        <w:rPr>
          <w:rFonts w:ascii="Arial" w:hAnsi="Arial" w:cs="Arial"/>
        </w:rPr>
        <w:t xml:space="preserve"> these</w:t>
      </w:r>
      <w:r w:rsidR="00610E9D" w:rsidRPr="00610E9D">
        <w:rPr>
          <w:rFonts w:ascii="Arial" w:hAnsi="Arial" w:cs="Arial"/>
        </w:rPr>
        <w:t xml:space="preserve"> committees</w:t>
      </w:r>
      <w:r w:rsidRPr="00610E9D">
        <w:rPr>
          <w:rFonts w:ascii="Arial" w:hAnsi="Arial" w:cs="Arial"/>
        </w:rPr>
        <w:t xml:space="preserve"> can still choose to operate, should they wish to continue. Alternatively, if operators and residents jointly agree that it is more appropriate to wind up an existing committee, they are permitted to do that as well. </w:t>
      </w:r>
    </w:p>
    <w:p w14:paraId="3BF554A5" w14:textId="24C2DE82" w:rsidR="00AF6545" w:rsidRDefault="00A564E4" w:rsidP="007424D0">
      <w:pPr>
        <w:rPr>
          <w:rFonts w:ascii="Arial" w:hAnsi="Arial" w:cs="Arial"/>
        </w:rPr>
      </w:pPr>
      <w:r w:rsidRPr="00610E9D">
        <w:rPr>
          <w:rFonts w:ascii="Arial" w:hAnsi="Arial" w:cs="Arial"/>
        </w:rPr>
        <w:t xml:space="preserve">Disputes can also continue to be resolved through </w:t>
      </w:r>
      <w:r w:rsidR="005F42B7" w:rsidRPr="00610E9D">
        <w:rPr>
          <w:rFonts w:ascii="Arial" w:hAnsi="Arial" w:cs="Arial"/>
        </w:rPr>
        <w:t xml:space="preserve">making a complaint to </w:t>
      </w:r>
      <w:r w:rsidRPr="00610E9D">
        <w:rPr>
          <w:rFonts w:ascii="Arial" w:hAnsi="Arial" w:cs="Arial"/>
        </w:rPr>
        <w:t>the ACT Human Rights Commission (</w:t>
      </w:r>
      <w:r w:rsidRPr="00610E9D">
        <w:rPr>
          <w:rFonts w:ascii="Arial" w:hAnsi="Arial" w:cs="Arial"/>
          <w:b/>
          <w:bCs/>
        </w:rPr>
        <w:t>HRC</w:t>
      </w:r>
      <w:r w:rsidRPr="00610E9D">
        <w:rPr>
          <w:rFonts w:ascii="Arial" w:hAnsi="Arial" w:cs="Arial"/>
        </w:rPr>
        <w:t xml:space="preserve">), or by an application for a decision to be made by </w:t>
      </w:r>
      <w:r w:rsidRPr="002969A6">
        <w:rPr>
          <w:rFonts w:ascii="Arial" w:hAnsi="Arial" w:cs="Arial"/>
        </w:rPr>
        <w:t>ACAT</w:t>
      </w:r>
      <w:r w:rsidRPr="00610E9D">
        <w:rPr>
          <w:rFonts w:ascii="Arial" w:hAnsi="Arial" w:cs="Arial"/>
        </w:rPr>
        <w:t xml:space="preserve">. </w:t>
      </w:r>
    </w:p>
    <w:p w14:paraId="313E7CC9" w14:textId="4318C4CB" w:rsidR="00A564E4" w:rsidRPr="00610E9D" w:rsidRDefault="00AF6545" w:rsidP="007424D0">
      <w:pPr>
        <w:rPr>
          <w:rFonts w:ascii="Arial" w:hAnsi="Arial" w:cs="Arial"/>
        </w:rPr>
      </w:pPr>
      <w:r>
        <w:rPr>
          <w:rFonts w:ascii="Arial" w:hAnsi="Arial" w:cs="Arial"/>
        </w:rPr>
        <w:t>N</w:t>
      </w:r>
      <w:r w:rsidR="00640309" w:rsidRPr="00610E9D">
        <w:rPr>
          <w:rFonts w:ascii="Arial" w:hAnsi="Arial" w:cs="Arial"/>
        </w:rPr>
        <w:t>ew</w:t>
      </w:r>
      <w:r w:rsidR="002B288D" w:rsidRPr="00610E9D">
        <w:rPr>
          <w:rFonts w:ascii="Arial" w:hAnsi="Arial" w:cs="Arial"/>
        </w:rPr>
        <w:t xml:space="preserve"> </w:t>
      </w:r>
      <w:r w:rsidR="00610E9D" w:rsidRPr="00610E9D">
        <w:rPr>
          <w:rFonts w:ascii="Arial" w:hAnsi="Arial" w:cs="Arial"/>
        </w:rPr>
        <w:t>s</w:t>
      </w:r>
      <w:r w:rsidR="002B288D" w:rsidRPr="00610E9D">
        <w:rPr>
          <w:rFonts w:ascii="Arial" w:hAnsi="Arial" w:cs="Arial"/>
        </w:rPr>
        <w:t>ection 178 (</w:t>
      </w:r>
      <w:r w:rsidR="00640309" w:rsidRPr="00610E9D">
        <w:rPr>
          <w:rFonts w:ascii="Arial" w:hAnsi="Arial" w:cs="Arial"/>
        </w:rPr>
        <w:t xml:space="preserve">1) (b) makes it clear that a resident does not need to attempt to resolve a dispute between </w:t>
      </w:r>
      <w:r w:rsidR="005F42B7" w:rsidRPr="00610E9D">
        <w:rPr>
          <w:rFonts w:ascii="Arial" w:hAnsi="Arial" w:cs="Arial"/>
        </w:rPr>
        <w:t>themselves and the operator of the village</w:t>
      </w:r>
      <w:r w:rsidR="00610E9D" w:rsidRPr="00610E9D">
        <w:rPr>
          <w:rFonts w:ascii="Arial" w:hAnsi="Arial" w:cs="Arial"/>
        </w:rPr>
        <w:t>, or in a particular way,</w:t>
      </w:r>
      <w:r w:rsidR="005F42B7" w:rsidRPr="00610E9D">
        <w:rPr>
          <w:rFonts w:ascii="Arial" w:hAnsi="Arial" w:cs="Arial"/>
        </w:rPr>
        <w:t xml:space="preserve"> before using </w:t>
      </w:r>
      <w:r w:rsidRPr="00610E9D">
        <w:rPr>
          <w:rFonts w:ascii="Arial" w:hAnsi="Arial" w:cs="Arial"/>
        </w:rPr>
        <w:t xml:space="preserve">either </w:t>
      </w:r>
      <w:r w:rsidR="005F42B7" w:rsidRPr="00610E9D">
        <w:rPr>
          <w:rFonts w:ascii="Arial" w:hAnsi="Arial" w:cs="Arial"/>
        </w:rPr>
        <w:t>the HRC or the ACAT</w:t>
      </w:r>
      <w:r w:rsidR="00023541" w:rsidRPr="00610E9D">
        <w:rPr>
          <w:rFonts w:ascii="Arial" w:hAnsi="Arial" w:cs="Arial"/>
        </w:rPr>
        <w:t xml:space="preserve">. </w:t>
      </w:r>
    </w:p>
    <w:p w14:paraId="0F534028" w14:textId="28427F0F" w:rsidR="00A34B23" w:rsidRPr="00610E9D" w:rsidRDefault="00AF6545" w:rsidP="007424D0">
      <w:pPr>
        <w:rPr>
          <w:rFonts w:ascii="Arial" w:hAnsi="Arial" w:cs="Arial"/>
        </w:rPr>
      </w:pPr>
      <w:r>
        <w:rPr>
          <w:rFonts w:ascii="Arial" w:hAnsi="Arial" w:cs="Arial"/>
        </w:rPr>
        <w:t>Village c</w:t>
      </w:r>
      <w:r w:rsidR="006A61BA" w:rsidRPr="00610E9D">
        <w:rPr>
          <w:rFonts w:ascii="Arial" w:hAnsi="Arial" w:cs="Arial"/>
        </w:rPr>
        <w:t xml:space="preserve">ontract terms also cannot limit or exclude processes provided for under the Act or another in force Territory law, such as making a complaint to the HRC or </w:t>
      </w:r>
      <w:r w:rsidR="00195DB1" w:rsidRPr="00610E9D">
        <w:rPr>
          <w:rFonts w:ascii="Arial" w:hAnsi="Arial" w:cs="Arial"/>
        </w:rPr>
        <w:t>submitting an application to the ACAT. The new subsection (2) clarifies that</w:t>
      </w:r>
      <w:r w:rsidR="002E279E" w:rsidRPr="00610E9D">
        <w:rPr>
          <w:rFonts w:ascii="Arial" w:hAnsi="Arial" w:cs="Arial"/>
        </w:rPr>
        <w:t xml:space="preserve"> </w:t>
      </w:r>
      <w:r w:rsidR="00C5503A" w:rsidRPr="00610E9D">
        <w:rPr>
          <w:rFonts w:ascii="Arial" w:hAnsi="Arial" w:cs="Arial"/>
        </w:rPr>
        <w:t xml:space="preserve">any </w:t>
      </w:r>
      <w:r w:rsidR="002E279E" w:rsidRPr="00610E9D">
        <w:rPr>
          <w:rFonts w:ascii="Arial" w:hAnsi="Arial" w:cs="Arial"/>
        </w:rPr>
        <w:t xml:space="preserve">contract terms that attempt to </w:t>
      </w:r>
      <w:r w:rsidR="00C73C12" w:rsidRPr="00610E9D">
        <w:rPr>
          <w:rFonts w:ascii="Arial" w:hAnsi="Arial" w:cs="Arial"/>
        </w:rPr>
        <w:t>do either of these things</w:t>
      </w:r>
      <w:r w:rsidR="00C5503A" w:rsidRPr="00610E9D">
        <w:rPr>
          <w:rFonts w:ascii="Arial" w:hAnsi="Arial" w:cs="Arial"/>
        </w:rPr>
        <w:t xml:space="preserve"> are void and not enforceable.</w:t>
      </w:r>
    </w:p>
    <w:p w14:paraId="2346A971" w14:textId="341ED4D7" w:rsidR="007424D0" w:rsidRPr="00610E9D" w:rsidRDefault="00A34B23" w:rsidP="00A95B49">
      <w:pPr>
        <w:rPr>
          <w:rFonts w:ascii="Arial" w:hAnsi="Arial" w:cs="Arial"/>
        </w:rPr>
      </w:pPr>
      <w:r w:rsidRPr="00610E9D">
        <w:rPr>
          <w:rFonts w:ascii="Arial" w:hAnsi="Arial" w:cs="Arial"/>
        </w:rPr>
        <w:lastRenderedPageBreak/>
        <w:t xml:space="preserve">The note inserted after subsection (2) (b) </w:t>
      </w:r>
      <w:r w:rsidR="007E3B60" w:rsidRPr="00610E9D">
        <w:rPr>
          <w:rFonts w:ascii="Arial" w:hAnsi="Arial" w:cs="Arial"/>
        </w:rPr>
        <w:t>carries over the existing note</w:t>
      </w:r>
      <w:r w:rsidR="00214295" w:rsidRPr="00610E9D">
        <w:rPr>
          <w:rFonts w:ascii="Arial" w:hAnsi="Arial" w:cs="Arial"/>
        </w:rPr>
        <w:t xml:space="preserve"> at 178 (3)</w:t>
      </w:r>
      <w:r w:rsidR="007E3B60" w:rsidRPr="00610E9D">
        <w:rPr>
          <w:rFonts w:ascii="Arial" w:hAnsi="Arial" w:cs="Arial"/>
        </w:rPr>
        <w:t>, stating that section 35 of the </w:t>
      </w:r>
      <w:r w:rsidR="007E3B60" w:rsidRPr="00610E9D">
        <w:rPr>
          <w:rFonts w:ascii="Arial" w:hAnsi="Arial" w:cs="Arial"/>
          <w:i/>
          <w:iCs/>
        </w:rPr>
        <w:t>ACT Civil and Administrative Tribunal Act 2008</w:t>
      </w:r>
      <w:r w:rsidR="007E3B60" w:rsidRPr="00610E9D">
        <w:rPr>
          <w:rFonts w:ascii="Arial" w:hAnsi="Arial" w:cs="Arial"/>
        </w:rPr>
        <w:t> provides for the ACAT to order mediation before the hearing of an application</w:t>
      </w:r>
      <w:r w:rsidR="00E27FBB" w:rsidRPr="00610E9D">
        <w:rPr>
          <w:rFonts w:ascii="Arial" w:hAnsi="Arial" w:cs="Arial"/>
        </w:rPr>
        <w:t>,</w:t>
      </w:r>
      <w:r w:rsidR="007E3B60" w:rsidRPr="00610E9D">
        <w:rPr>
          <w:rFonts w:ascii="Arial" w:hAnsi="Arial" w:cs="Arial"/>
        </w:rPr>
        <w:t xml:space="preserve"> if the ACAT considers that the matter is suitable for mediation</w:t>
      </w:r>
      <w:r w:rsidR="00E27FBB" w:rsidRPr="00610E9D">
        <w:rPr>
          <w:rFonts w:ascii="Arial" w:hAnsi="Arial" w:cs="Arial"/>
        </w:rPr>
        <w:t>,</w:t>
      </w:r>
      <w:r w:rsidR="007E3B60" w:rsidRPr="00610E9D">
        <w:rPr>
          <w:rFonts w:ascii="Arial" w:hAnsi="Arial" w:cs="Arial"/>
        </w:rPr>
        <w:t xml:space="preserve"> and </w:t>
      </w:r>
      <w:r w:rsidR="00E27FBB" w:rsidRPr="00610E9D">
        <w:rPr>
          <w:rFonts w:ascii="Arial" w:hAnsi="Arial" w:cs="Arial"/>
        </w:rPr>
        <w:t xml:space="preserve">the dispute </w:t>
      </w:r>
      <w:r w:rsidR="007E3B60" w:rsidRPr="00610E9D">
        <w:rPr>
          <w:rFonts w:ascii="Arial" w:hAnsi="Arial" w:cs="Arial"/>
        </w:rPr>
        <w:t>is reasonably likely to be resolved by</w:t>
      </w:r>
      <w:r w:rsidR="00E27FBB" w:rsidRPr="00610E9D">
        <w:rPr>
          <w:rFonts w:ascii="Arial" w:hAnsi="Arial" w:cs="Arial"/>
        </w:rPr>
        <w:t xml:space="preserve"> that</w:t>
      </w:r>
      <w:r w:rsidR="007E3B60" w:rsidRPr="00610E9D">
        <w:rPr>
          <w:rFonts w:ascii="Arial" w:hAnsi="Arial" w:cs="Arial"/>
        </w:rPr>
        <w:t xml:space="preserve"> mediation. </w:t>
      </w:r>
      <w:r w:rsidRPr="00610E9D">
        <w:rPr>
          <w:rFonts w:ascii="Arial" w:hAnsi="Arial" w:cs="Arial"/>
        </w:rPr>
        <w:t xml:space="preserve"> </w:t>
      </w:r>
    </w:p>
    <w:p w14:paraId="032263D1" w14:textId="1A1117BA" w:rsidR="005B3AEA" w:rsidRDefault="00112D16" w:rsidP="008F2C88">
      <w:pPr>
        <w:pStyle w:val="Heading3"/>
        <w:spacing w:before="0" w:after="0"/>
      </w:pPr>
      <w:r w:rsidRPr="00ED3B77">
        <w:t xml:space="preserve">Clause </w:t>
      </w:r>
      <w:r w:rsidR="006541B1">
        <w:t>43</w:t>
      </w:r>
      <w:r w:rsidRPr="00ED3B77">
        <w:tab/>
      </w:r>
      <w:r w:rsidR="00B602A5">
        <w:t xml:space="preserve">Recurrent charges </w:t>
      </w:r>
      <w:r w:rsidR="00E935A0">
        <w:t>for optional services</w:t>
      </w:r>
    </w:p>
    <w:p w14:paraId="3FCCB9A9" w14:textId="1CC7F3AB" w:rsidR="00112D16" w:rsidRDefault="00E935A0" w:rsidP="008F2C88">
      <w:pPr>
        <w:pStyle w:val="Heading3"/>
        <w:spacing w:before="0" w:after="0"/>
        <w:ind w:left="720" w:firstLine="720"/>
      </w:pPr>
      <w:r>
        <w:t xml:space="preserve">Section 209 (4), definition of </w:t>
      </w:r>
      <w:r w:rsidRPr="00E935A0">
        <w:rPr>
          <w:i/>
          <w:iCs/>
        </w:rPr>
        <w:t>resident</w:t>
      </w:r>
      <w:r>
        <w:rPr>
          <w:i/>
          <w:iCs/>
        </w:rPr>
        <w:t xml:space="preserve"> </w:t>
      </w:r>
    </w:p>
    <w:p w14:paraId="6EF0B47D" w14:textId="1E45D102" w:rsidR="00E935A0" w:rsidRPr="000F50AB" w:rsidRDefault="0033193B" w:rsidP="008F2C88">
      <w:pPr>
        <w:spacing w:before="240"/>
        <w:rPr>
          <w:rFonts w:ascii="Arial" w:hAnsi="Arial" w:cs="Arial"/>
        </w:rPr>
      </w:pPr>
      <w:r w:rsidRPr="000F50AB">
        <w:rPr>
          <w:rFonts w:ascii="Arial" w:hAnsi="Arial" w:cs="Arial"/>
        </w:rPr>
        <w:t xml:space="preserve">This </w:t>
      </w:r>
      <w:r w:rsidR="00C50FA9" w:rsidRPr="000F50AB">
        <w:rPr>
          <w:rFonts w:ascii="Arial" w:hAnsi="Arial" w:cs="Arial"/>
        </w:rPr>
        <w:t xml:space="preserve">clause </w:t>
      </w:r>
      <w:r w:rsidRPr="000F50AB">
        <w:rPr>
          <w:rFonts w:ascii="Arial" w:hAnsi="Arial" w:cs="Arial"/>
        </w:rPr>
        <w:t xml:space="preserve">is a technical amendment to </w:t>
      </w:r>
      <w:r w:rsidR="00C50FA9" w:rsidRPr="000F50AB">
        <w:rPr>
          <w:rFonts w:ascii="Arial" w:hAnsi="Arial" w:cs="Arial"/>
        </w:rPr>
        <w:t>align with other similar amendments in the Act</w:t>
      </w:r>
      <w:r w:rsidRPr="000F50AB">
        <w:rPr>
          <w:rFonts w:ascii="Arial" w:hAnsi="Arial" w:cs="Arial"/>
        </w:rPr>
        <w:t>.</w:t>
      </w:r>
    </w:p>
    <w:p w14:paraId="367F2469" w14:textId="2F225619" w:rsidR="005B3AEA" w:rsidRDefault="00112D16" w:rsidP="008F2C88">
      <w:pPr>
        <w:pStyle w:val="Heading3"/>
        <w:spacing w:before="0" w:after="0"/>
        <w:ind w:left="1440" w:hanging="1440"/>
      </w:pPr>
      <w:r w:rsidRPr="00ED3B77">
        <w:t xml:space="preserve">Clause </w:t>
      </w:r>
      <w:r w:rsidR="006541B1">
        <w:t>44</w:t>
      </w:r>
      <w:r w:rsidRPr="00ED3B77">
        <w:tab/>
      </w:r>
      <w:r w:rsidR="00833CAB">
        <w:t xml:space="preserve">Recurrent charges for general services – registered interest holders </w:t>
      </w:r>
    </w:p>
    <w:p w14:paraId="2AB58786" w14:textId="0324D154" w:rsidR="00112D16" w:rsidRDefault="00833CAB" w:rsidP="008F2C88">
      <w:pPr>
        <w:pStyle w:val="Heading3"/>
        <w:spacing w:before="0" w:after="0"/>
        <w:ind w:left="720" w:firstLine="720"/>
      </w:pPr>
      <w:r>
        <w:t>Section 210 (4), new example</w:t>
      </w:r>
    </w:p>
    <w:p w14:paraId="4D391A85" w14:textId="64B96F7F" w:rsidR="00833CAB" w:rsidRPr="000F50AB" w:rsidRDefault="00833CAB" w:rsidP="008F2C88">
      <w:pPr>
        <w:spacing w:before="240"/>
        <w:rPr>
          <w:rFonts w:ascii="Arial" w:hAnsi="Arial" w:cs="Arial"/>
        </w:rPr>
      </w:pPr>
      <w:r w:rsidRPr="000F50AB">
        <w:rPr>
          <w:rFonts w:ascii="Arial" w:hAnsi="Arial" w:cs="Arial"/>
        </w:rPr>
        <w:t xml:space="preserve">This clause </w:t>
      </w:r>
      <w:r w:rsidR="006058A4" w:rsidRPr="000F50AB">
        <w:rPr>
          <w:rFonts w:ascii="Arial" w:hAnsi="Arial" w:cs="Arial"/>
        </w:rPr>
        <w:t xml:space="preserve">is a technical amendment that </w:t>
      </w:r>
      <w:r w:rsidRPr="000F50AB">
        <w:rPr>
          <w:rFonts w:ascii="Arial" w:hAnsi="Arial" w:cs="Arial"/>
        </w:rPr>
        <w:t xml:space="preserve">updates the </w:t>
      </w:r>
      <w:r w:rsidR="006058A4" w:rsidRPr="000F50AB">
        <w:rPr>
          <w:rFonts w:ascii="Arial" w:hAnsi="Arial" w:cs="Arial"/>
        </w:rPr>
        <w:t>existing example under section 210 (</w:t>
      </w:r>
      <w:r w:rsidR="00940190" w:rsidRPr="000F50AB">
        <w:rPr>
          <w:rFonts w:ascii="Arial" w:hAnsi="Arial" w:cs="Arial"/>
        </w:rPr>
        <w:t>5</w:t>
      </w:r>
      <w:r w:rsidR="006058A4" w:rsidRPr="000F50AB">
        <w:rPr>
          <w:rFonts w:ascii="Arial" w:hAnsi="Arial" w:cs="Arial"/>
        </w:rPr>
        <w:t xml:space="preserve">) to </w:t>
      </w:r>
      <w:r w:rsidR="00BB1485" w:rsidRPr="000F50AB">
        <w:rPr>
          <w:rFonts w:ascii="Arial" w:hAnsi="Arial" w:cs="Arial"/>
        </w:rPr>
        <w:t>replace</w:t>
      </w:r>
      <w:r w:rsidR="006C0880" w:rsidRPr="000F50AB">
        <w:rPr>
          <w:rFonts w:ascii="Arial" w:hAnsi="Arial" w:cs="Arial"/>
        </w:rPr>
        <w:t xml:space="preserve"> names used in the example</w:t>
      </w:r>
      <w:r w:rsidR="00BB1485" w:rsidRPr="000F50AB">
        <w:rPr>
          <w:rFonts w:ascii="Arial" w:hAnsi="Arial" w:cs="Arial"/>
        </w:rPr>
        <w:t xml:space="preserve"> with gender neutral letter</w:t>
      </w:r>
      <w:r w:rsidR="0054367E" w:rsidRPr="000F50AB">
        <w:rPr>
          <w:rFonts w:ascii="Arial" w:hAnsi="Arial" w:cs="Arial"/>
        </w:rPr>
        <w:t xml:space="preserve"> characters</w:t>
      </w:r>
      <w:r w:rsidR="00AF6545">
        <w:rPr>
          <w:rFonts w:ascii="Arial" w:hAnsi="Arial" w:cs="Arial"/>
        </w:rPr>
        <w:t xml:space="preserve"> in line with current drafting practice</w:t>
      </w:r>
      <w:r w:rsidR="0054367E" w:rsidRPr="000F50AB">
        <w:rPr>
          <w:rFonts w:ascii="Arial" w:hAnsi="Arial" w:cs="Arial"/>
        </w:rPr>
        <w:t>.</w:t>
      </w:r>
    </w:p>
    <w:p w14:paraId="111CFC38" w14:textId="534DC10B" w:rsidR="00112D16" w:rsidRDefault="00112D16" w:rsidP="00112D16">
      <w:pPr>
        <w:pStyle w:val="Heading3"/>
      </w:pPr>
      <w:r w:rsidRPr="00ED3B77">
        <w:t xml:space="preserve">Clause </w:t>
      </w:r>
      <w:r w:rsidR="006541B1">
        <w:t>45</w:t>
      </w:r>
      <w:r w:rsidRPr="00ED3B77">
        <w:tab/>
      </w:r>
      <w:r w:rsidR="0054367E">
        <w:t>Section 210 (5)</w:t>
      </w:r>
      <w:r w:rsidR="006C0880">
        <w:t>, example</w:t>
      </w:r>
      <w:r w:rsidR="0054367E">
        <w:t xml:space="preserve"> </w:t>
      </w:r>
    </w:p>
    <w:p w14:paraId="410AC3BE" w14:textId="77777777" w:rsidR="000F50AB" w:rsidRPr="000F50AB" w:rsidRDefault="000F50AB" w:rsidP="000F50AB">
      <w:pPr>
        <w:rPr>
          <w:rFonts w:ascii="Arial" w:hAnsi="Arial" w:cs="Arial"/>
        </w:rPr>
      </w:pPr>
      <w:r w:rsidRPr="000F50AB">
        <w:rPr>
          <w:rFonts w:ascii="Arial" w:hAnsi="Arial" w:cs="Arial"/>
        </w:rPr>
        <w:t>This clause is a technical amendment to align with other similar amendments in the Act.</w:t>
      </w:r>
    </w:p>
    <w:p w14:paraId="2940F799" w14:textId="68F3932B" w:rsidR="00112D16" w:rsidRDefault="00112D16" w:rsidP="00112D16">
      <w:pPr>
        <w:pStyle w:val="Heading3"/>
      </w:pPr>
      <w:r w:rsidRPr="00ED3B77">
        <w:t xml:space="preserve">Clause </w:t>
      </w:r>
      <w:r w:rsidR="006541B1">
        <w:t>46</w:t>
      </w:r>
      <w:r w:rsidRPr="00ED3B77">
        <w:tab/>
      </w:r>
      <w:r w:rsidR="00F7275D">
        <w:t xml:space="preserve">Dictionary, definition of </w:t>
      </w:r>
      <w:r w:rsidR="00F7275D" w:rsidRPr="00F7275D">
        <w:rPr>
          <w:i/>
          <w:iCs/>
        </w:rPr>
        <w:t>disputes committee</w:t>
      </w:r>
      <w:r w:rsidR="00F7275D">
        <w:t xml:space="preserve"> </w:t>
      </w:r>
    </w:p>
    <w:p w14:paraId="32533E9D" w14:textId="3E5F0BB5" w:rsidR="000F50AB" w:rsidRPr="00610E9D" w:rsidRDefault="009770D3" w:rsidP="000F50AB">
      <w:pPr>
        <w:rPr>
          <w:rFonts w:ascii="Arial" w:hAnsi="Arial" w:cs="Arial"/>
        </w:rPr>
      </w:pPr>
      <w:r w:rsidRPr="000F50AB">
        <w:rPr>
          <w:rFonts w:ascii="Arial" w:hAnsi="Arial" w:cs="Arial"/>
        </w:rPr>
        <w:t xml:space="preserve">This clause is consequential to the </w:t>
      </w:r>
      <w:r>
        <w:rPr>
          <w:rFonts w:ascii="Arial" w:hAnsi="Arial" w:cs="Arial"/>
        </w:rPr>
        <w:t xml:space="preserve">amendments in clause 41 which </w:t>
      </w:r>
      <w:r w:rsidRPr="000F50AB">
        <w:rPr>
          <w:rFonts w:ascii="Arial" w:hAnsi="Arial" w:cs="Arial"/>
        </w:rPr>
        <w:t>remov</w:t>
      </w:r>
      <w:r>
        <w:rPr>
          <w:rFonts w:ascii="Arial" w:hAnsi="Arial" w:cs="Arial"/>
        </w:rPr>
        <w:t>e</w:t>
      </w:r>
      <w:r w:rsidRPr="000F50AB">
        <w:rPr>
          <w:rFonts w:ascii="Arial" w:hAnsi="Arial" w:cs="Arial"/>
        </w:rPr>
        <w:t xml:space="preserve"> of Division 8.1A</w:t>
      </w:r>
      <w:r>
        <w:rPr>
          <w:rFonts w:ascii="Arial" w:hAnsi="Arial" w:cs="Arial"/>
        </w:rPr>
        <w:t xml:space="preserve"> (Disputes committees) from the RV Act.</w:t>
      </w:r>
      <w:r w:rsidRPr="000F50AB">
        <w:rPr>
          <w:rFonts w:ascii="Arial" w:hAnsi="Arial" w:cs="Arial"/>
        </w:rPr>
        <w:t xml:space="preserve"> </w:t>
      </w:r>
      <w:r w:rsidR="00AF6545">
        <w:rPr>
          <w:rFonts w:ascii="Arial" w:hAnsi="Arial" w:cs="Arial"/>
        </w:rPr>
        <w:t xml:space="preserve">It removes the definition of disputes committees from the RV Act dictionary. </w:t>
      </w:r>
    </w:p>
    <w:p w14:paraId="3C678079" w14:textId="1204ECD0" w:rsidR="00112D16" w:rsidRDefault="00112D16" w:rsidP="00112D16">
      <w:pPr>
        <w:pStyle w:val="Heading3"/>
      </w:pPr>
      <w:r w:rsidRPr="00ED3B77">
        <w:t xml:space="preserve">Clause </w:t>
      </w:r>
      <w:r w:rsidR="006541B1">
        <w:t>47</w:t>
      </w:r>
      <w:r w:rsidRPr="00ED3B77">
        <w:tab/>
      </w:r>
      <w:r w:rsidR="00F7275D">
        <w:t xml:space="preserve">Dictionary, definition of </w:t>
      </w:r>
      <w:r w:rsidR="00AF6545" w:rsidRPr="00F7275D">
        <w:rPr>
          <w:i/>
          <w:iCs/>
        </w:rPr>
        <w:t>resident</w:t>
      </w:r>
      <w:r w:rsidR="00AF6545" w:rsidRPr="00F7275D" w:rsidDel="00AF6545">
        <w:rPr>
          <w:i/>
          <w:iCs/>
        </w:rPr>
        <w:t xml:space="preserve"> </w:t>
      </w:r>
    </w:p>
    <w:p w14:paraId="53A3146B" w14:textId="5F50FBBD" w:rsidR="000F50AB" w:rsidRPr="00610E9D" w:rsidRDefault="009770D3" w:rsidP="000F50AB">
      <w:pPr>
        <w:rPr>
          <w:rFonts w:ascii="Arial" w:hAnsi="Arial" w:cs="Arial"/>
        </w:rPr>
      </w:pPr>
      <w:r w:rsidRPr="000F50AB">
        <w:rPr>
          <w:rFonts w:ascii="Arial" w:hAnsi="Arial" w:cs="Arial"/>
        </w:rPr>
        <w:t xml:space="preserve">This clause is consequential to the </w:t>
      </w:r>
      <w:r>
        <w:rPr>
          <w:rFonts w:ascii="Arial" w:hAnsi="Arial" w:cs="Arial"/>
        </w:rPr>
        <w:t xml:space="preserve">amendments in clause 41 which </w:t>
      </w:r>
      <w:r w:rsidRPr="000F50AB">
        <w:rPr>
          <w:rFonts w:ascii="Arial" w:hAnsi="Arial" w:cs="Arial"/>
        </w:rPr>
        <w:t>remov</w:t>
      </w:r>
      <w:r>
        <w:rPr>
          <w:rFonts w:ascii="Arial" w:hAnsi="Arial" w:cs="Arial"/>
        </w:rPr>
        <w:t>e</w:t>
      </w:r>
      <w:r w:rsidRPr="000F50AB">
        <w:rPr>
          <w:rFonts w:ascii="Arial" w:hAnsi="Arial" w:cs="Arial"/>
        </w:rPr>
        <w:t xml:space="preserve"> of Division 8.1A</w:t>
      </w:r>
      <w:r>
        <w:rPr>
          <w:rFonts w:ascii="Arial" w:hAnsi="Arial" w:cs="Arial"/>
        </w:rPr>
        <w:t xml:space="preserve"> (Disputes committees) from the RV Act</w:t>
      </w:r>
      <w:r w:rsidR="000F50AB" w:rsidRPr="00610E9D">
        <w:rPr>
          <w:rFonts w:ascii="Arial" w:hAnsi="Arial" w:cs="Arial"/>
        </w:rPr>
        <w:t xml:space="preserve">. </w:t>
      </w:r>
      <w:r w:rsidR="00AF6545">
        <w:rPr>
          <w:rFonts w:ascii="Arial" w:hAnsi="Arial" w:cs="Arial"/>
        </w:rPr>
        <w:t xml:space="preserve">It removes references to Division 8.1A from the definition of </w:t>
      </w:r>
      <w:r w:rsidR="00AF6545" w:rsidRPr="002969A6">
        <w:rPr>
          <w:rFonts w:ascii="Arial" w:hAnsi="Arial" w:cs="Arial"/>
          <w:b/>
          <w:bCs/>
          <w:i/>
          <w:iCs/>
        </w:rPr>
        <w:t>resident</w:t>
      </w:r>
      <w:r w:rsidR="00AF6545">
        <w:rPr>
          <w:rFonts w:ascii="Arial" w:hAnsi="Arial" w:cs="Arial"/>
        </w:rPr>
        <w:t xml:space="preserve"> in the RV Act dictionary and replaces it with a reference to disputes. </w:t>
      </w:r>
    </w:p>
    <w:p w14:paraId="69B87E44" w14:textId="58C46538" w:rsidR="00112D16" w:rsidRDefault="00112D16" w:rsidP="00112D16">
      <w:pPr>
        <w:pStyle w:val="Heading3"/>
      </w:pPr>
      <w:r w:rsidRPr="00ED3B77">
        <w:t xml:space="preserve">Clause </w:t>
      </w:r>
      <w:r w:rsidR="006541B1">
        <w:t>48</w:t>
      </w:r>
      <w:r w:rsidRPr="00ED3B77">
        <w:tab/>
      </w:r>
      <w:r w:rsidR="00F7275D">
        <w:t xml:space="preserve">Dictionary, definition of </w:t>
      </w:r>
      <w:r w:rsidR="00F7275D" w:rsidRPr="00F7275D">
        <w:rPr>
          <w:i/>
          <w:iCs/>
        </w:rPr>
        <w:t>resident</w:t>
      </w:r>
      <w:r w:rsidR="00F7275D">
        <w:t>, paragraph (b) (vi)</w:t>
      </w:r>
    </w:p>
    <w:p w14:paraId="5C940F4E" w14:textId="016BF1E2" w:rsidR="00610E9D" w:rsidRPr="00610E9D" w:rsidRDefault="00610E9D" w:rsidP="00610E9D">
      <w:pPr>
        <w:rPr>
          <w:rFonts w:ascii="Arial" w:hAnsi="Arial" w:cs="Arial"/>
        </w:rPr>
      </w:pPr>
      <w:r w:rsidRPr="00610E9D">
        <w:rPr>
          <w:rFonts w:ascii="Arial" w:hAnsi="Arial" w:cs="Arial"/>
        </w:rPr>
        <w:t xml:space="preserve">This clause is a technical amendment to </w:t>
      </w:r>
      <w:r w:rsidR="00AF6545">
        <w:rPr>
          <w:rFonts w:ascii="Arial" w:hAnsi="Arial" w:cs="Arial"/>
        </w:rPr>
        <w:t>create greater clarity in wording by replacing the reference to “certain residents” with the more specific term “registered interest holders</w:t>
      </w:r>
      <w:r w:rsidRPr="00610E9D">
        <w:rPr>
          <w:rFonts w:ascii="Arial" w:hAnsi="Arial" w:cs="Arial"/>
        </w:rPr>
        <w:t>.</w:t>
      </w:r>
      <w:r w:rsidR="00AF6545">
        <w:rPr>
          <w:rFonts w:ascii="Arial" w:hAnsi="Arial" w:cs="Arial"/>
        </w:rPr>
        <w:t>”</w:t>
      </w:r>
    </w:p>
    <w:p w14:paraId="3B60A640" w14:textId="252B2B18" w:rsidR="00112D16" w:rsidRDefault="00112D16" w:rsidP="00112D16">
      <w:pPr>
        <w:pStyle w:val="Heading3"/>
      </w:pPr>
      <w:r w:rsidRPr="00ED3B77">
        <w:t xml:space="preserve">Clause </w:t>
      </w:r>
      <w:r w:rsidR="006541B1">
        <w:t>49</w:t>
      </w:r>
      <w:r w:rsidRPr="00ED3B77">
        <w:tab/>
      </w:r>
      <w:r w:rsidR="00AC7421">
        <w:t xml:space="preserve"> Dictionary, new definition of </w:t>
      </w:r>
      <w:r w:rsidR="00AC7421" w:rsidRPr="00AC7421">
        <w:rPr>
          <w:i/>
          <w:iCs/>
        </w:rPr>
        <w:t>tenant</w:t>
      </w:r>
      <w:r w:rsidR="00AC7421">
        <w:t>, paragraph (a)</w:t>
      </w:r>
    </w:p>
    <w:p w14:paraId="45AF72A9" w14:textId="77777777" w:rsidR="009770D3" w:rsidRPr="00610E9D" w:rsidRDefault="009770D3" w:rsidP="009770D3">
      <w:pPr>
        <w:rPr>
          <w:rFonts w:ascii="Arial" w:hAnsi="Arial" w:cs="Arial"/>
        </w:rPr>
      </w:pPr>
      <w:r w:rsidRPr="00610E9D">
        <w:rPr>
          <w:rFonts w:ascii="Arial" w:hAnsi="Arial" w:cs="Arial"/>
        </w:rPr>
        <w:t xml:space="preserve">This clause is a technical amendment to </w:t>
      </w:r>
      <w:r>
        <w:rPr>
          <w:rFonts w:ascii="Arial" w:hAnsi="Arial" w:cs="Arial"/>
        </w:rPr>
        <w:t>create greater clarity in wording by replacing the reference to “certain residents” with the more specific term “registered interest holders</w:t>
      </w:r>
      <w:r w:rsidRPr="00610E9D">
        <w:rPr>
          <w:rFonts w:ascii="Arial" w:hAnsi="Arial" w:cs="Arial"/>
        </w:rPr>
        <w:t>.</w:t>
      </w:r>
      <w:r>
        <w:rPr>
          <w:rFonts w:ascii="Arial" w:hAnsi="Arial" w:cs="Arial"/>
        </w:rPr>
        <w:t>”</w:t>
      </w:r>
    </w:p>
    <w:p w14:paraId="05D6C1DE" w14:textId="7E9DF251" w:rsidR="00112D16" w:rsidRDefault="00112D16" w:rsidP="00112D16">
      <w:pPr>
        <w:pStyle w:val="Heading3"/>
      </w:pPr>
      <w:r w:rsidRPr="00ED3B77">
        <w:t xml:space="preserve">Clause </w:t>
      </w:r>
      <w:r w:rsidR="006541B1">
        <w:t>50</w:t>
      </w:r>
      <w:r w:rsidRPr="00ED3B77">
        <w:tab/>
      </w:r>
      <w:r w:rsidR="00AC7421">
        <w:t>Further amendments, notes</w:t>
      </w:r>
    </w:p>
    <w:p w14:paraId="163A42E6" w14:textId="0C660281" w:rsidR="000F50AB" w:rsidRPr="00610E9D" w:rsidRDefault="000F50AB" w:rsidP="000F50AB">
      <w:pPr>
        <w:rPr>
          <w:rFonts w:ascii="Arial" w:hAnsi="Arial" w:cs="Arial"/>
        </w:rPr>
      </w:pPr>
      <w:r w:rsidRPr="00610E9D">
        <w:rPr>
          <w:rFonts w:ascii="Arial" w:hAnsi="Arial" w:cs="Arial"/>
        </w:rPr>
        <w:t xml:space="preserve">This clause is a technical amendment to </w:t>
      </w:r>
      <w:r w:rsidR="009770D3">
        <w:rPr>
          <w:rFonts w:ascii="Arial" w:hAnsi="Arial" w:cs="Arial"/>
        </w:rPr>
        <w:t>update</w:t>
      </w:r>
      <w:r w:rsidRPr="00610E9D">
        <w:rPr>
          <w:rFonts w:ascii="Arial" w:hAnsi="Arial" w:cs="Arial"/>
        </w:rPr>
        <w:t xml:space="preserve"> the RV Act</w:t>
      </w:r>
      <w:r w:rsidR="009770D3">
        <w:rPr>
          <w:rFonts w:ascii="Arial" w:hAnsi="Arial" w:cs="Arial"/>
        </w:rPr>
        <w:t xml:space="preserve"> with current drafting practice</w:t>
      </w:r>
      <w:r w:rsidRPr="00610E9D">
        <w:rPr>
          <w:rFonts w:ascii="Arial" w:hAnsi="Arial" w:cs="Arial"/>
        </w:rPr>
        <w:t>.</w:t>
      </w:r>
    </w:p>
    <w:p w14:paraId="20A10794" w14:textId="77777777" w:rsidR="00E03C82" w:rsidRDefault="00E03C82" w:rsidP="00AC7421"/>
    <w:p w14:paraId="6078F8E6" w14:textId="13F6A480" w:rsidR="00E03C82" w:rsidRPr="002969A6" w:rsidRDefault="00E03C82" w:rsidP="00E03C82">
      <w:pPr>
        <w:keepNext/>
        <w:keepLines/>
        <w:tabs>
          <w:tab w:val="left" w:pos="1418"/>
        </w:tabs>
        <w:spacing w:before="240" w:after="240" w:line="240" w:lineRule="auto"/>
        <w:outlineLvl w:val="2"/>
        <w:rPr>
          <w:rFonts w:ascii="Arial" w:hAnsi="Arial"/>
          <w:b/>
          <w:sz w:val="28"/>
          <w:szCs w:val="28"/>
        </w:rPr>
      </w:pPr>
      <w:r w:rsidRPr="002969A6">
        <w:rPr>
          <w:rFonts w:ascii="Arial" w:hAnsi="Arial"/>
          <w:b/>
          <w:sz w:val="28"/>
          <w:szCs w:val="28"/>
        </w:rPr>
        <w:lastRenderedPageBreak/>
        <w:t>Part 5</w:t>
      </w:r>
      <w:r w:rsidRPr="002969A6">
        <w:rPr>
          <w:rFonts w:ascii="Arial" w:hAnsi="Arial"/>
          <w:b/>
          <w:sz w:val="28"/>
          <w:szCs w:val="28"/>
        </w:rPr>
        <w:tab/>
        <w:t>Retirement Villages Regulation 2013</w:t>
      </w:r>
    </w:p>
    <w:p w14:paraId="60280D95" w14:textId="42500054" w:rsidR="005B3AEA" w:rsidRDefault="006C0880" w:rsidP="008F2C88">
      <w:pPr>
        <w:pStyle w:val="Heading3"/>
        <w:spacing w:before="0" w:after="0"/>
      </w:pPr>
      <w:r w:rsidRPr="00ED3B77">
        <w:t>Clause</w:t>
      </w:r>
      <w:r>
        <w:t xml:space="preserve"> </w:t>
      </w:r>
      <w:r w:rsidR="006541B1">
        <w:t>51</w:t>
      </w:r>
      <w:r w:rsidRPr="00ED3B77">
        <w:tab/>
      </w:r>
      <w:r>
        <w:t>Dispute resolution</w:t>
      </w:r>
    </w:p>
    <w:p w14:paraId="102F91C3" w14:textId="35502F01" w:rsidR="006C0880" w:rsidRDefault="006C0880" w:rsidP="008F2C88">
      <w:pPr>
        <w:pStyle w:val="Heading3"/>
        <w:spacing w:before="0" w:after="0"/>
        <w:ind w:left="720" w:firstLine="720"/>
      </w:pPr>
      <w:r>
        <w:t>Schedule 2, section 2.1</w:t>
      </w:r>
    </w:p>
    <w:p w14:paraId="2EF681FF" w14:textId="4238D2E8" w:rsidR="000F50AB" w:rsidRPr="000F50AB" w:rsidRDefault="000F50AB" w:rsidP="008F2C88">
      <w:pPr>
        <w:spacing w:before="240"/>
        <w:rPr>
          <w:rFonts w:ascii="Arial" w:hAnsi="Arial" w:cs="Arial"/>
        </w:rPr>
      </w:pPr>
      <w:r w:rsidRPr="000F50AB">
        <w:rPr>
          <w:rFonts w:ascii="Arial" w:hAnsi="Arial" w:cs="Arial"/>
        </w:rPr>
        <w:t xml:space="preserve">This clause is consequential to the </w:t>
      </w:r>
      <w:r w:rsidR="009770D3">
        <w:rPr>
          <w:rFonts w:ascii="Arial" w:hAnsi="Arial" w:cs="Arial"/>
        </w:rPr>
        <w:t xml:space="preserve">amendments in clause 41 which </w:t>
      </w:r>
      <w:r w:rsidRPr="000F50AB">
        <w:rPr>
          <w:rFonts w:ascii="Arial" w:hAnsi="Arial" w:cs="Arial"/>
        </w:rPr>
        <w:t>remov</w:t>
      </w:r>
      <w:r w:rsidR="009770D3">
        <w:rPr>
          <w:rFonts w:ascii="Arial" w:hAnsi="Arial" w:cs="Arial"/>
        </w:rPr>
        <w:t>e</w:t>
      </w:r>
      <w:r w:rsidRPr="000F50AB">
        <w:rPr>
          <w:rFonts w:ascii="Arial" w:hAnsi="Arial" w:cs="Arial"/>
        </w:rPr>
        <w:t xml:space="preserve"> of Division 8.1A</w:t>
      </w:r>
      <w:r w:rsidR="009770D3">
        <w:rPr>
          <w:rFonts w:ascii="Arial" w:hAnsi="Arial" w:cs="Arial"/>
        </w:rPr>
        <w:t xml:space="preserve"> (Disputes committees) from the RV</w:t>
      </w:r>
      <w:r w:rsidR="001802A2">
        <w:rPr>
          <w:rFonts w:ascii="Arial" w:hAnsi="Arial" w:cs="Arial"/>
        </w:rPr>
        <w:t xml:space="preserve"> </w:t>
      </w:r>
      <w:r w:rsidR="009770D3">
        <w:rPr>
          <w:rFonts w:ascii="Arial" w:hAnsi="Arial" w:cs="Arial"/>
        </w:rPr>
        <w:t>Act.</w:t>
      </w:r>
      <w:r w:rsidRPr="000F50AB">
        <w:rPr>
          <w:rFonts w:ascii="Arial" w:hAnsi="Arial" w:cs="Arial"/>
        </w:rPr>
        <w:t xml:space="preserve"> This </w:t>
      </w:r>
      <w:r w:rsidR="001931D1">
        <w:rPr>
          <w:rFonts w:ascii="Arial" w:hAnsi="Arial" w:cs="Arial"/>
        </w:rPr>
        <w:t xml:space="preserve">section indicates that a village contract must not include a provision that </w:t>
      </w:r>
      <w:r w:rsidRPr="000F50AB">
        <w:rPr>
          <w:rFonts w:ascii="Arial" w:hAnsi="Arial" w:cs="Arial"/>
        </w:rPr>
        <w:t>require</w:t>
      </w:r>
      <w:r w:rsidR="001931D1">
        <w:rPr>
          <w:rFonts w:ascii="Arial" w:hAnsi="Arial" w:cs="Arial"/>
        </w:rPr>
        <w:t>s</w:t>
      </w:r>
      <w:r w:rsidRPr="000F50AB">
        <w:rPr>
          <w:rFonts w:ascii="Arial" w:hAnsi="Arial" w:cs="Arial"/>
        </w:rPr>
        <w:t xml:space="preserve"> the resident undertake a specific dispute resolution process</w:t>
      </w:r>
      <w:r w:rsidR="001931D1">
        <w:rPr>
          <w:rFonts w:ascii="Arial" w:hAnsi="Arial" w:cs="Arial"/>
        </w:rPr>
        <w:t xml:space="preserve"> or that excludes a limits for resolving a dispute provided for under the RV Act or another Territory law</w:t>
      </w:r>
      <w:r w:rsidRPr="000F50AB">
        <w:rPr>
          <w:rFonts w:ascii="Arial" w:hAnsi="Arial" w:cs="Arial"/>
        </w:rPr>
        <w:t xml:space="preserve">. </w:t>
      </w:r>
    </w:p>
    <w:p w14:paraId="5B209E2A" w14:textId="640B4BC3" w:rsidR="005B3AEA" w:rsidRDefault="006C0880" w:rsidP="001C1D08">
      <w:pPr>
        <w:pStyle w:val="Heading3"/>
        <w:spacing w:before="0" w:after="0"/>
      </w:pPr>
      <w:r w:rsidRPr="00ED3B77">
        <w:t xml:space="preserve">Clause </w:t>
      </w:r>
      <w:r w:rsidR="006541B1">
        <w:t>52</w:t>
      </w:r>
      <w:r w:rsidRPr="00ED3B77">
        <w:tab/>
      </w:r>
      <w:r>
        <w:t>Special resolution – quorum</w:t>
      </w:r>
    </w:p>
    <w:p w14:paraId="0BF7913A" w14:textId="20666516" w:rsidR="006C0880" w:rsidRDefault="006C0880" w:rsidP="001C1D08">
      <w:pPr>
        <w:pStyle w:val="Heading3"/>
        <w:spacing w:before="0" w:after="0"/>
        <w:ind w:left="720" w:firstLine="720"/>
      </w:pPr>
      <w:r>
        <w:t>Schedule 4, section 4.10 (2) (a)</w:t>
      </w:r>
    </w:p>
    <w:p w14:paraId="39680BA6" w14:textId="4E917C6C" w:rsidR="00780AE7" w:rsidRPr="000F50AB" w:rsidRDefault="000F50AB" w:rsidP="001C1D08">
      <w:pPr>
        <w:spacing w:before="240"/>
        <w:rPr>
          <w:rFonts w:ascii="Arial" w:hAnsi="Arial" w:cs="Arial"/>
        </w:rPr>
      </w:pPr>
      <w:r w:rsidRPr="000F50AB">
        <w:rPr>
          <w:rFonts w:ascii="Arial" w:hAnsi="Arial" w:cs="Arial"/>
        </w:rPr>
        <w:t xml:space="preserve">This clause omits the current quorum requirement </w:t>
      </w:r>
      <w:r>
        <w:rPr>
          <w:rFonts w:ascii="Arial" w:hAnsi="Arial" w:cs="Arial"/>
        </w:rPr>
        <w:t xml:space="preserve">in section 4.10 (2) (a) for a unit titled retirement village </w:t>
      </w:r>
      <w:r w:rsidRPr="000F50AB">
        <w:rPr>
          <w:rFonts w:ascii="Arial" w:hAnsi="Arial" w:cs="Arial"/>
        </w:rPr>
        <w:t xml:space="preserve">of 1/3 </w:t>
      </w:r>
      <w:r>
        <w:rPr>
          <w:rFonts w:ascii="Arial" w:hAnsi="Arial" w:cs="Arial"/>
        </w:rPr>
        <w:t xml:space="preserve">of the qualified voters </w:t>
      </w:r>
      <w:r w:rsidRPr="000F50AB">
        <w:rPr>
          <w:rFonts w:ascii="Arial" w:hAnsi="Arial" w:cs="Arial"/>
        </w:rPr>
        <w:t xml:space="preserve">and replaces </w:t>
      </w:r>
      <w:r w:rsidR="007C1BE6">
        <w:rPr>
          <w:rFonts w:ascii="Arial" w:hAnsi="Arial" w:cs="Arial"/>
        </w:rPr>
        <w:t xml:space="preserve">it </w:t>
      </w:r>
      <w:r w:rsidRPr="000F50AB">
        <w:rPr>
          <w:rFonts w:ascii="Arial" w:hAnsi="Arial" w:cs="Arial"/>
        </w:rPr>
        <w:t>with the requirement of ¼</w:t>
      </w:r>
      <w:r>
        <w:rPr>
          <w:rFonts w:ascii="Arial" w:hAnsi="Arial" w:cs="Arial"/>
        </w:rPr>
        <w:t xml:space="preserve"> of the qualified voters</w:t>
      </w:r>
      <w:r w:rsidRPr="000F50AB">
        <w:rPr>
          <w:rFonts w:ascii="Arial" w:hAnsi="Arial" w:cs="Arial"/>
        </w:rPr>
        <w:t>. This reduces the quorum requirement threshold</w:t>
      </w:r>
      <w:r>
        <w:rPr>
          <w:rFonts w:ascii="Arial" w:hAnsi="Arial" w:cs="Arial"/>
        </w:rPr>
        <w:t xml:space="preserve"> and aligns with amendments </w:t>
      </w:r>
      <w:r w:rsidR="000B03ED">
        <w:rPr>
          <w:rFonts w:ascii="Arial" w:hAnsi="Arial" w:cs="Arial"/>
        </w:rPr>
        <w:t xml:space="preserve">to the </w:t>
      </w:r>
      <w:r w:rsidR="000B03ED">
        <w:rPr>
          <w:rFonts w:ascii="Arial" w:hAnsi="Arial" w:cs="Arial"/>
          <w:i/>
          <w:iCs/>
        </w:rPr>
        <w:t xml:space="preserve">Unit Titles (Management) Act 2011 </w:t>
      </w:r>
      <w:r w:rsidR="000B03ED" w:rsidRPr="002969A6">
        <w:rPr>
          <w:rFonts w:ascii="Arial" w:hAnsi="Arial" w:cs="Arial"/>
        </w:rPr>
        <w:t>made</w:t>
      </w:r>
      <w:r w:rsidR="000B03ED">
        <w:rPr>
          <w:rFonts w:ascii="Arial" w:hAnsi="Arial" w:cs="Arial"/>
          <w:i/>
          <w:iCs/>
        </w:rPr>
        <w:t xml:space="preserve"> </w:t>
      </w:r>
      <w:r>
        <w:rPr>
          <w:rFonts w:ascii="Arial" w:hAnsi="Arial" w:cs="Arial"/>
        </w:rPr>
        <w:t>in Part 6.</w:t>
      </w:r>
    </w:p>
    <w:p w14:paraId="795A8228" w14:textId="3CCEA82C" w:rsidR="00780AE7" w:rsidRPr="000F50AB" w:rsidRDefault="00780AE7" w:rsidP="00780AE7">
      <w:pPr>
        <w:rPr>
          <w:rFonts w:ascii="Arial" w:hAnsi="Arial" w:cs="Arial"/>
          <w:sz w:val="24"/>
          <w:szCs w:val="24"/>
        </w:rPr>
      </w:pPr>
      <w:r w:rsidRPr="000F50AB">
        <w:rPr>
          <w:rFonts w:ascii="Arial" w:hAnsi="Arial" w:cs="Arial"/>
        </w:rPr>
        <w:t xml:space="preserve">The purpose of this amendment is for consistency and parity between unit titled retirement villages and unit titled </w:t>
      </w:r>
      <w:r w:rsidR="000F50AB">
        <w:rPr>
          <w:rFonts w:ascii="Arial" w:hAnsi="Arial" w:cs="Arial"/>
        </w:rPr>
        <w:t>properties</w:t>
      </w:r>
      <w:r w:rsidRPr="000F50AB">
        <w:rPr>
          <w:rFonts w:ascii="Arial" w:hAnsi="Arial" w:cs="Arial"/>
        </w:rPr>
        <w:t xml:space="preserve"> in general. </w:t>
      </w:r>
    </w:p>
    <w:p w14:paraId="26D71B68" w14:textId="1340D064" w:rsidR="00112D16" w:rsidRDefault="006C0880" w:rsidP="00112D16">
      <w:pPr>
        <w:pStyle w:val="Heading3"/>
      </w:pPr>
      <w:r w:rsidRPr="00ED3B77">
        <w:t xml:space="preserve">Clause </w:t>
      </w:r>
      <w:r w:rsidR="006541B1">
        <w:t>53</w:t>
      </w:r>
      <w:r w:rsidRPr="00ED3B77">
        <w:tab/>
      </w:r>
      <w:r w:rsidR="00E70D14">
        <w:t>Dictionary, note 2</w:t>
      </w:r>
    </w:p>
    <w:p w14:paraId="77059694" w14:textId="3887462C" w:rsidR="00E70D14" w:rsidRDefault="000F50AB" w:rsidP="00E70D14">
      <w:pPr>
        <w:rPr>
          <w:rFonts w:ascii="Arial" w:hAnsi="Arial" w:cs="Arial"/>
        </w:rPr>
      </w:pPr>
      <w:r w:rsidRPr="000F50AB">
        <w:rPr>
          <w:rFonts w:ascii="Arial" w:hAnsi="Arial" w:cs="Arial"/>
        </w:rPr>
        <w:t xml:space="preserve">This clause is consequential to amendments in Clause </w:t>
      </w:r>
      <w:r w:rsidR="000B03ED" w:rsidRPr="000F50AB">
        <w:rPr>
          <w:rFonts w:ascii="Arial" w:hAnsi="Arial" w:cs="Arial"/>
        </w:rPr>
        <w:t>3</w:t>
      </w:r>
      <w:r w:rsidR="000B03ED">
        <w:rPr>
          <w:rFonts w:ascii="Arial" w:hAnsi="Arial" w:cs="Arial"/>
        </w:rPr>
        <w:t>3</w:t>
      </w:r>
      <w:r w:rsidRPr="000F50AB">
        <w:rPr>
          <w:rFonts w:ascii="Arial" w:hAnsi="Arial" w:cs="Arial"/>
        </w:rPr>
        <w:t xml:space="preserve">. </w:t>
      </w:r>
      <w:r w:rsidR="000B03ED">
        <w:rPr>
          <w:rFonts w:ascii="Arial" w:hAnsi="Arial" w:cs="Arial"/>
        </w:rPr>
        <w:t xml:space="preserve">It inserts the definition of residence right into the dictionary of the RV regulation. </w:t>
      </w:r>
    </w:p>
    <w:p w14:paraId="5D21102D" w14:textId="77777777" w:rsidR="00487065" w:rsidRPr="000F50AB" w:rsidRDefault="00487065" w:rsidP="00E70D14">
      <w:pPr>
        <w:rPr>
          <w:rFonts w:ascii="Arial" w:hAnsi="Arial" w:cs="Arial"/>
        </w:rPr>
      </w:pPr>
    </w:p>
    <w:p w14:paraId="09DD15F7" w14:textId="77777777" w:rsidR="00780AE7" w:rsidRPr="002969A6" w:rsidRDefault="00780AE7" w:rsidP="00780AE7">
      <w:pPr>
        <w:pStyle w:val="Heading3"/>
        <w:rPr>
          <w:b w:val="0"/>
          <w:bCs/>
          <w:sz w:val="28"/>
          <w:szCs w:val="28"/>
        </w:rPr>
      </w:pPr>
      <w:r w:rsidRPr="002969A6">
        <w:rPr>
          <w:bCs/>
          <w:sz w:val="28"/>
          <w:szCs w:val="28"/>
        </w:rPr>
        <w:t xml:space="preserve">Part 6 </w:t>
      </w:r>
      <w:r w:rsidRPr="002969A6">
        <w:rPr>
          <w:bCs/>
          <w:sz w:val="28"/>
          <w:szCs w:val="28"/>
        </w:rPr>
        <w:tab/>
        <w:t>Unit Titles (Management) Act 2011</w:t>
      </w:r>
    </w:p>
    <w:p w14:paraId="01A067CC" w14:textId="389BE884" w:rsidR="00780AE7" w:rsidRDefault="00780AE7" w:rsidP="002969A6">
      <w:pPr>
        <w:pStyle w:val="Heading3"/>
        <w:ind w:left="1440" w:hanging="1440"/>
        <w:rPr>
          <w:b w:val="0"/>
          <w:bCs/>
        </w:rPr>
      </w:pPr>
      <w:r w:rsidRPr="005C28BC">
        <w:rPr>
          <w:bCs/>
        </w:rPr>
        <w:t xml:space="preserve">Clause </w:t>
      </w:r>
      <w:r w:rsidR="006541B1">
        <w:rPr>
          <w:bCs/>
        </w:rPr>
        <w:t>54</w:t>
      </w:r>
      <w:r w:rsidRPr="005C28BC">
        <w:rPr>
          <w:bCs/>
        </w:rPr>
        <w:tab/>
        <w:t xml:space="preserve">Quorum at a general meeting—owners corporation with 3 or more members </w:t>
      </w:r>
      <w:r>
        <w:rPr>
          <w:bCs/>
        </w:rPr>
        <w:br/>
      </w:r>
      <w:r w:rsidRPr="005C28BC">
        <w:rPr>
          <w:bCs/>
        </w:rPr>
        <w:t>Schedule 3, section 3.9 (1) (a)</w:t>
      </w:r>
    </w:p>
    <w:p w14:paraId="01BAA008" w14:textId="3B6585C3" w:rsidR="00780AE7" w:rsidRPr="000F50AB" w:rsidRDefault="00487065" w:rsidP="00780AE7">
      <w:pPr>
        <w:rPr>
          <w:rFonts w:ascii="Arial" w:hAnsi="Arial" w:cs="Arial"/>
        </w:rPr>
      </w:pPr>
      <w:r>
        <w:rPr>
          <w:rFonts w:ascii="Arial" w:hAnsi="Arial" w:cs="Arial"/>
        </w:rPr>
        <w:t>This clause</w:t>
      </w:r>
      <w:r w:rsidR="00780AE7" w:rsidRPr="000F50AB">
        <w:rPr>
          <w:rFonts w:ascii="Arial" w:hAnsi="Arial" w:cs="Arial"/>
        </w:rPr>
        <w:t xml:space="preserve"> changes the threshold for a standard quorum for </w:t>
      </w:r>
      <w:r>
        <w:rPr>
          <w:rFonts w:ascii="Arial" w:hAnsi="Arial" w:cs="Arial"/>
        </w:rPr>
        <w:t>a general</w:t>
      </w:r>
      <w:r w:rsidRPr="000F50AB">
        <w:rPr>
          <w:rFonts w:ascii="Arial" w:hAnsi="Arial" w:cs="Arial"/>
        </w:rPr>
        <w:t xml:space="preserve"> </w:t>
      </w:r>
      <w:r w:rsidR="00780AE7" w:rsidRPr="000F50AB">
        <w:rPr>
          <w:rFonts w:ascii="Arial" w:hAnsi="Arial" w:cs="Arial"/>
        </w:rPr>
        <w:t xml:space="preserve">meeting of an owners corporation from ½ to ¼. The lowering of the standard quorum helps address </w:t>
      </w:r>
      <w:r>
        <w:rPr>
          <w:rFonts w:ascii="Arial" w:hAnsi="Arial" w:cs="Arial"/>
        </w:rPr>
        <w:t>an</w:t>
      </w:r>
      <w:r w:rsidRPr="000F50AB">
        <w:rPr>
          <w:rFonts w:ascii="Arial" w:hAnsi="Arial" w:cs="Arial"/>
        </w:rPr>
        <w:t xml:space="preserve"> </w:t>
      </w:r>
      <w:r w:rsidR="00780AE7" w:rsidRPr="000F50AB">
        <w:rPr>
          <w:rFonts w:ascii="Arial" w:hAnsi="Arial" w:cs="Arial"/>
        </w:rPr>
        <w:t>issue for owners corporations that regularly fail to meet a standard.</w:t>
      </w:r>
    </w:p>
    <w:p w14:paraId="6F99F8BE" w14:textId="40C9707E" w:rsidR="00780AE7" w:rsidRDefault="00780AE7" w:rsidP="002969A6">
      <w:pPr>
        <w:pStyle w:val="Heading3"/>
        <w:ind w:left="1440" w:hanging="1440"/>
        <w:rPr>
          <w:b w:val="0"/>
          <w:bCs/>
        </w:rPr>
      </w:pPr>
      <w:r w:rsidRPr="005C28BC">
        <w:rPr>
          <w:bCs/>
        </w:rPr>
        <w:t xml:space="preserve">Clause </w:t>
      </w:r>
      <w:r w:rsidR="006541B1">
        <w:rPr>
          <w:bCs/>
        </w:rPr>
        <w:t>55</w:t>
      </w:r>
      <w:r w:rsidRPr="005C28BC">
        <w:rPr>
          <w:bCs/>
        </w:rPr>
        <w:tab/>
      </w:r>
      <w:r w:rsidRPr="00985FE0">
        <w:rPr>
          <w:bCs/>
        </w:rPr>
        <w:t xml:space="preserve">Notice of reduced quorum decisions and adjournments </w:t>
      </w:r>
      <w:r>
        <w:rPr>
          <w:bCs/>
        </w:rPr>
        <w:br/>
      </w:r>
      <w:r w:rsidRPr="00985FE0">
        <w:rPr>
          <w:bCs/>
        </w:rPr>
        <w:t>Schedule 3, section 3.10 (2)</w:t>
      </w:r>
    </w:p>
    <w:p w14:paraId="00E89250" w14:textId="506601CB" w:rsidR="00780AE7" w:rsidRPr="000F50AB" w:rsidRDefault="00487065" w:rsidP="00780AE7">
      <w:pPr>
        <w:rPr>
          <w:rFonts w:ascii="Arial" w:hAnsi="Arial" w:cs="Arial"/>
        </w:rPr>
      </w:pPr>
      <w:r>
        <w:rPr>
          <w:rFonts w:ascii="Arial" w:hAnsi="Arial" w:cs="Arial"/>
        </w:rPr>
        <w:t>This clause</w:t>
      </w:r>
      <w:r w:rsidR="00780AE7" w:rsidRPr="000F50AB">
        <w:rPr>
          <w:rFonts w:ascii="Arial" w:hAnsi="Arial" w:cs="Arial"/>
        </w:rPr>
        <w:t xml:space="preserve"> is a technical amendment to change the wording from </w:t>
      </w:r>
      <w:r w:rsidR="00BE379C">
        <w:rPr>
          <w:rFonts w:ascii="Arial" w:hAnsi="Arial" w:cs="Arial"/>
        </w:rPr>
        <w:t>“</w:t>
      </w:r>
      <w:r w:rsidR="00780AE7" w:rsidRPr="002969A6">
        <w:rPr>
          <w:rFonts w:ascii="Arial" w:hAnsi="Arial" w:cs="Arial"/>
        </w:rPr>
        <w:t>reduced quorum decision</w:t>
      </w:r>
      <w:r w:rsidR="00780AE7" w:rsidRPr="000F50AB">
        <w:rPr>
          <w:rFonts w:ascii="Arial" w:hAnsi="Arial" w:cs="Arial"/>
          <w:i/>
          <w:iCs/>
        </w:rPr>
        <w:t xml:space="preserve"> </w:t>
      </w:r>
      <w:r w:rsidR="00780AE7" w:rsidRPr="002969A6">
        <w:rPr>
          <w:rFonts w:ascii="Arial" w:hAnsi="Arial" w:cs="Arial"/>
        </w:rPr>
        <w:t>notice</w:t>
      </w:r>
      <w:r w:rsidR="00BE379C">
        <w:rPr>
          <w:rFonts w:ascii="Arial" w:hAnsi="Arial" w:cs="Arial"/>
        </w:rPr>
        <w:t>”</w:t>
      </w:r>
      <w:r w:rsidR="00780AE7" w:rsidRPr="000F50AB">
        <w:rPr>
          <w:rFonts w:ascii="Arial" w:hAnsi="Arial" w:cs="Arial"/>
        </w:rPr>
        <w:t xml:space="preserve"> to </w:t>
      </w:r>
      <w:r>
        <w:rPr>
          <w:rFonts w:ascii="Arial" w:hAnsi="Arial" w:cs="Arial"/>
        </w:rPr>
        <w:t xml:space="preserve">a </w:t>
      </w:r>
      <w:r w:rsidR="00BE379C">
        <w:rPr>
          <w:rFonts w:ascii="Arial" w:hAnsi="Arial" w:cs="Arial"/>
        </w:rPr>
        <w:t>“</w:t>
      </w:r>
      <w:r w:rsidR="00780AE7" w:rsidRPr="002969A6">
        <w:rPr>
          <w:rFonts w:ascii="Arial" w:hAnsi="Arial" w:cs="Arial"/>
        </w:rPr>
        <w:t>notice under subsection (1)</w:t>
      </w:r>
      <w:r w:rsidR="00780AE7" w:rsidRPr="00BE379C">
        <w:rPr>
          <w:rFonts w:ascii="Arial" w:hAnsi="Arial" w:cs="Arial"/>
        </w:rPr>
        <w:t>.</w:t>
      </w:r>
      <w:r w:rsidR="00BE379C" w:rsidRPr="00BE379C">
        <w:rPr>
          <w:rFonts w:ascii="Arial" w:hAnsi="Arial" w:cs="Arial"/>
        </w:rPr>
        <w:t>”</w:t>
      </w:r>
      <w:r w:rsidR="00780AE7" w:rsidRPr="000F50AB">
        <w:rPr>
          <w:rFonts w:ascii="Arial" w:hAnsi="Arial" w:cs="Arial"/>
        </w:rPr>
        <w:t xml:space="preserve"> This amendment </w:t>
      </w:r>
      <w:r>
        <w:rPr>
          <w:rFonts w:ascii="Arial" w:hAnsi="Arial" w:cs="Arial"/>
        </w:rPr>
        <w:t xml:space="preserve">reflects that </w:t>
      </w:r>
      <w:r>
        <w:rPr>
          <w:rFonts w:ascii="Arial" w:hAnsi="Arial" w:cs="Arial"/>
          <w:i/>
          <w:iCs/>
        </w:rPr>
        <w:t>reduced quorum decision notice</w:t>
      </w:r>
      <w:r>
        <w:rPr>
          <w:rFonts w:ascii="Arial" w:hAnsi="Arial" w:cs="Arial"/>
        </w:rPr>
        <w:t xml:space="preserve"> is not a defined term and so the new wording simply directs the reader to the notice issued under subsection (1) (which is a reduced quorum decision notice)</w:t>
      </w:r>
      <w:r w:rsidR="00780AE7" w:rsidRPr="000F50AB">
        <w:rPr>
          <w:rFonts w:ascii="Arial" w:hAnsi="Arial" w:cs="Arial"/>
        </w:rPr>
        <w:t>.</w:t>
      </w:r>
    </w:p>
    <w:p w14:paraId="7541C6F9" w14:textId="745FB0AB" w:rsidR="00780AE7" w:rsidRDefault="00780AE7" w:rsidP="002969A6">
      <w:pPr>
        <w:pStyle w:val="Heading3"/>
        <w:ind w:left="1440" w:hanging="1440"/>
        <w:rPr>
          <w:b w:val="0"/>
          <w:bCs/>
        </w:rPr>
      </w:pPr>
      <w:r w:rsidRPr="005C28BC">
        <w:rPr>
          <w:bCs/>
        </w:rPr>
        <w:t xml:space="preserve">Clause </w:t>
      </w:r>
      <w:r w:rsidR="006541B1">
        <w:rPr>
          <w:bCs/>
        </w:rPr>
        <w:t>56</w:t>
      </w:r>
      <w:r w:rsidRPr="005C28BC">
        <w:rPr>
          <w:bCs/>
        </w:rPr>
        <w:tab/>
      </w:r>
      <w:r w:rsidRPr="00985FE0">
        <w:rPr>
          <w:bCs/>
        </w:rPr>
        <w:t xml:space="preserve">Reduced quorum decisions—effect </w:t>
      </w:r>
      <w:r>
        <w:rPr>
          <w:bCs/>
        </w:rPr>
        <w:br/>
      </w:r>
      <w:r w:rsidRPr="00985FE0">
        <w:rPr>
          <w:bCs/>
        </w:rPr>
        <w:t>Schedule 3, section 3.11 (1)</w:t>
      </w:r>
    </w:p>
    <w:p w14:paraId="54FF77C5" w14:textId="1EF164B1" w:rsidR="00487065" w:rsidRDefault="00487065" w:rsidP="00780AE7">
      <w:pPr>
        <w:rPr>
          <w:rFonts w:ascii="Arial" w:hAnsi="Arial" w:cs="Arial"/>
        </w:rPr>
      </w:pPr>
      <w:r>
        <w:rPr>
          <w:rFonts w:ascii="Arial" w:hAnsi="Arial" w:cs="Arial"/>
        </w:rPr>
        <w:t>This clause</w:t>
      </w:r>
      <w:r w:rsidR="00780AE7" w:rsidRPr="000F50AB">
        <w:rPr>
          <w:rFonts w:ascii="Arial" w:hAnsi="Arial" w:cs="Arial"/>
        </w:rPr>
        <w:t xml:space="preserve"> removes the 28 days </w:t>
      </w:r>
      <w:r>
        <w:rPr>
          <w:rFonts w:ascii="Arial" w:hAnsi="Arial" w:cs="Arial"/>
        </w:rPr>
        <w:t>delayed effect of</w:t>
      </w:r>
      <w:r w:rsidR="00780AE7" w:rsidRPr="000F50AB">
        <w:rPr>
          <w:rFonts w:ascii="Arial" w:hAnsi="Arial" w:cs="Arial"/>
        </w:rPr>
        <w:t xml:space="preserve"> decisions made </w:t>
      </w:r>
      <w:r>
        <w:rPr>
          <w:rFonts w:ascii="Arial" w:hAnsi="Arial" w:cs="Arial"/>
        </w:rPr>
        <w:t>with</w:t>
      </w:r>
      <w:r w:rsidRPr="000F50AB">
        <w:rPr>
          <w:rFonts w:ascii="Arial" w:hAnsi="Arial" w:cs="Arial"/>
        </w:rPr>
        <w:t xml:space="preserve"> </w:t>
      </w:r>
      <w:r w:rsidR="00780AE7" w:rsidRPr="000F50AB">
        <w:rPr>
          <w:rFonts w:ascii="Arial" w:hAnsi="Arial" w:cs="Arial"/>
        </w:rPr>
        <w:t>a reduced quorum</w:t>
      </w:r>
      <w:r>
        <w:rPr>
          <w:rFonts w:ascii="Arial" w:hAnsi="Arial" w:cs="Arial"/>
        </w:rPr>
        <w:t xml:space="preserve">. The amended provision instead </w:t>
      </w:r>
      <w:r w:rsidR="003077E2">
        <w:rPr>
          <w:rFonts w:ascii="Arial" w:hAnsi="Arial" w:cs="Arial"/>
        </w:rPr>
        <w:t xml:space="preserve">provides </w:t>
      </w:r>
      <w:r>
        <w:rPr>
          <w:rFonts w:ascii="Arial" w:hAnsi="Arial" w:cs="Arial"/>
        </w:rPr>
        <w:t>that</w:t>
      </w:r>
      <w:r w:rsidR="00780AE7" w:rsidRPr="000F50AB">
        <w:rPr>
          <w:rFonts w:ascii="Arial" w:hAnsi="Arial" w:cs="Arial"/>
        </w:rPr>
        <w:t xml:space="preserve"> a reduced quorum </w:t>
      </w:r>
      <w:r>
        <w:rPr>
          <w:rFonts w:ascii="Arial" w:hAnsi="Arial" w:cs="Arial"/>
        </w:rPr>
        <w:t xml:space="preserve">decision will </w:t>
      </w:r>
      <w:r w:rsidR="00780AE7" w:rsidRPr="000F50AB">
        <w:rPr>
          <w:rFonts w:ascii="Arial" w:hAnsi="Arial" w:cs="Arial"/>
        </w:rPr>
        <w:t xml:space="preserve">take effect </w:t>
      </w:r>
      <w:r w:rsidR="00780AE7" w:rsidRPr="000F50AB">
        <w:rPr>
          <w:rFonts w:ascii="Arial" w:hAnsi="Arial" w:cs="Arial"/>
        </w:rPr>
        <w:lastRenderedPageBreak/>
        <w:t xml:space="preserve">from the day after the decision was made. This amendment enables the owners corporation to implement and carry out their decisions which were previously stalled under the former 28 day waiting period. </w:t>
      </w:r>
    </w:p>
    <w:p w14:paraId="5A3A6D70" w14:textId="14121435" w:rsidR="00BE379C" w:rsidRDefault="00BE379C" w:rsidP="00780AE7">
      <w:pPr>
        <w:rPr>
          <w:rFonts w:ascii="Arial" w:hAnsi="Arial" w:cs="Arial"/>
        </w:rPr>
      </w:pPr>
      <w:r>
        <w:rPr>
          <w:rFonts w:ascii="Arial" w:hAnsi="Arial" w:cs="Arial"/>
        </w:rPr>
        <w:t xml:space="preserve">This change has been made in response to stakeholder feedback which indicated that the delayed effect of reduced quorum decisions was having significant practical impacts, particularly in circumstances where a reduced quorum decision related to urgent repairs, a decision to take legal action or other matters that require timely action. This amendment means that reduced quorum decisions can now take effect the day after the reduced quorum meeting. </w:t>
      </w:r>
    </w:p>
    <w:p w14:paraId="777B3C56" w14:textId="59E6D70F" w:rsidR="00780AE7" w:rsidRPr="000F50AB" w:rsidRDefault="00780AE7" w:rsidP="00780AE7">
      <w:pPr>
        <w:rPr>
          <w:rFonts w:ascii="Arial" w:hAnsi="Arial" w:cs="Arial"/>
        </w:rPr>
      </w:pPr>
      <w:r w:rsidRPr="000F50AB">
        <w:rPr>
          <w:rFonts w:ascii="Arial" w:hAnsi="Arial" w:cs="Arial"/>
        </w:rPr>
        <w:t xml:space="preserve">However, Schedule 3, section 3.11 (2) remains in place to ensure that for </w:t>
      </w:r>
      <w:r w:rsidR="003077E2">
        <w:rPr>
          <w:rFonts w:ascii="Arial" w:hAnsi="Arial" w:cs="Arial"/>
        </w:rPr>
        <w:t>a reduced quorum</w:t>
      </w:r>
      <w:r w:rsidR="003077E2" w:rsidRPr="000F50AB">
        <w:rPr>
          <w:rFonts w:ascii="Arial" w:hAnsi="Arial" w:cs="Arial"/>
        </w:rPr>
        <w:t xml:space="preserve"> </w:t>
      </w:r>
      <w:r w:rsidRPr="000F50AB">
        <w:rPr>
          <w:rFonts w:ascii="Arial" w:hAnsi="Arial" w:cs="Arial"/>
        </w:rPr>
        <w:t xml:space="preserve">decision to take effect, the owners corporation must have complied with the requirements under section 3.10 (1) to provide notices to owners of the reduced quorum decisions. This ensures </w:t>
      </w:r>
      <w:r w:rsidR="003077E2">
        <w:rPr>
          <w:rFonts w:ascii="Arial" w:hAnsi="Arial" w:cs="Arial"/>
        </w:rPr>
        <w:t>that</w:t>
      </w:r>
      <w:r w:rsidRPr="000F50AB">
        <w:rPr>
          <w:rFonts w:ascii="Arial" w:hAnsi="Arial" w:cs="Arial"/>
        </w:rPr>
        <w:t xml:space="preserve"> owners </w:t>
      </w:r>
      <w:r w:rsidR="003077E2">
        <w:rPr>
          <w:rFonts w:ascii="Arial" w:hAnsi="Arial" w:cs="Arial"/>
        </w:rPr>
        <w:t>have timely notice of reduced quorum decisions so that if they wish to take action to challenge a reduced quorum decision by bringing a dispute to ACAT they can do so shortly after the reduced quorum decision has been made</w:t>
      </w:r>
      <w:r w:rsidRPr="000F50AB">
        <w:rPr>
          <w:rFonts w:ascii="Arial" w:hAnsi="Arial" w:cs="Arial"/>
        </w:rPr>
        <w:t>.</w:t>
      </w:r>
    </w:p>
    <w:p w14:paraId="4DC69A9D" w14:textId="07D54B25" w:rsidR="00780AE7" w:rsidRDefault="00780AE7" w:rsidP="00780AE7">
      <w:pPr>
        <w:pStyle w:val="Heading3"/>
        <w:rPr>
          <w:b w:val="0"/>
          <w:bCs/>
        </w:rPr>
      </w:pPr>
      <w:r w:rsidRPr="005C28BC">
        <w:rPr>
          <w:bCs/>
        </w:rPr>
        <w:t xml:space="preserve">Clause </w:t>
      </w:r>
      <w:r w:rsidR="006541B1">
        <w:rPr>
          <w:bCs/>
        </w:rPr>
        <w:t>57</w:t>
      </w:r>
      <w:r w:rsidRPr="005C28BC">
        <w:rPr>
          <w:bCs/>
        </w:rPr>
        <w:tab/>
      </w:r>
      <w:r w:rsidRPr="00985FE0">
        <w:rPr>
          <w:bCs/>
        </w:rPr>
        <w:t>Schedule 3, section 3.11 (3) and (4)</w:t>
      </w:r>
    </w:p>
    <w:p w14:paraId="57060AA8" w14:textId="1CB0851D" w:rsidR="00BE379C" w:rsidRDefault="00BE379C" w:rsidP="00780AE7">
      <w:pPr>
        <w:rPr>
          <w:rFonts w:ascii="Arial" w:hAnsi="Arial" w:cs="Arial"/>
        </w:rPr>
      </w:pPr>
      <w:r>
        <w:rPr>
          <w:rFonts w:ascii="Arial" w:hAnsi="Arial" w:cs="Arial"/>
        </w:rPr>
        <w:t>This clause</w:t>
      </w:r>
      <w:r w:rsidR="00780AE7" w:rsidRPr="000F50AB">
        <w:rPr>
          <w:rFonts w:ascii="Arial" w:hAnsi="Arial" w:cs="Arial"/>
        </w:rPr>
        <w:t xml:space="preserve"> removes the provisions which required a petition of a majority of owners to dispute a decision or decisions made at a meeting under reduced quorum. With the removal of the 28-day waiting period for a reduced quorum decision to take effect, sections 3.11 (3) and (4) are no longer relevant. </w:t>
      </w:r>
    </w:p>
    <w:p w14:paraId="75F559A5" w14:textId="363D5306" w:rsidR="00780AE7" w:rsidRPr="009B17D6" w:rsidRDefault="00780AE7" w:rsidP="00780AE7">
      <w:r w:rsidRPr="000F50AB">
        <w:rPr>
          <w:rFonts w:ascii="Arial" w:hAnsi="Arial" w:cs="Arial"/>
        </w:rPr>
        <w:t xml:space="preserve">However, any owner </w:t>
      </w:r>
      <w:r w:rsidR="00BE379C">
        <w:rPr>
          <w:rFonts w:ascii="Arial" w:hAnsi="Arial" w:cs="Arial"/>
        </w:rPr>
        <w:t>can still</w:t>
      </w:r>
      <w:r w:rsidRPr="000F50AB">
        <w:rPr>
          <w:rFonts w:ascii="Arial" w:hAnsi="Arial" w:cs="Arial"/>
        </w:rPr>
        <w:t xml:space="preserve"> dispute the validity of a motion decided under reduced quorum any time after the motion has </w:t>
      </w:r>
      <w:r w:rsidR="00BE379C">
        <w:rPr>
          <w:rFonts w:ascii="Arial" w:hAnsi="Arial" w:cs="Arial"/>
        </w:rPr>
        <w:t>taken effect</w:t>
      </w:r>
      <w:r w:rsidRPr="000F50AB">
        <w:rPr>
          <w:rFonts w:ascii="Arial" w:hAnsi="Arial" w:cs="Arial"/>
        </w:rPr>
        <w:t xml:space="preserve">. The removal of both the 28 day waiting period for a decision to take effect as well as the requirements for a petition of a majority of owners creates a better balance for an owners corporation to progress meetings and make decisions without delay (particularly where there are urgent issues that need to be addressed as well as allowing the executive committee to carry out their duties), while still allowing owners the ability to dispute the validity of motions </w:t>
      </w:r>
      <w:r w:rsidR="00BE379C">
        <w:rPr>
          <w:rFonts w:ascii="Arial" w:hAnsi="Arial" w:cs="Arial"/>
        </w:rPr>
        <w:t xml:space="preserve">through the ACAT process </w:t>
      </w:r>
      <w:r w:rsidRPr="000F50AB">
        <w:rPr>
          <w:rFonts w:ascii="Arial" w:hAnsi="Arial" w:cs="Arial"/>
        </w:rPr>
        <w:t>without needing the support of other owners progress a dispute.</w:t>
      </w:r>
    </w:p>
    <w:p w14:paraId="607D0A59" w14:textId="69A6DF60" w:rsidR="00780AE7" w:rsidRDefault="00780AE7" w:rsidP="002969A6">
      <w:pPr>
        <w:pStyle w:val="Heading3"/>
        <w:ind w:left="1440" w:hanging="1440"/>
        <w:rPr>
          <w:b w:val="0"/>
          <w:bCs/>
        </w:rPr>
      </w:pPr>
      <w:r w:rsidRPr="005C28BC">
        <w:rPr>
          <w:bCs/>
        </w:rPr>
        <w:t xml:space="preserve">Clause </w:t>
      </w:r>
      <w:r w:rsidR="006541B1">
        <w:rPr>
          <w:bCs/>
        </w:rPr>
        <w:t>58</w:t>
      </w:r>
      <w:r w:rsidRPr="005C28BC">
        <w:rPr>
          <w:bCs/>
        </w:rPr>
        <w:tab/>
      </w:r>
      <w:r w:rsidRPr="00985FE0">
        <w:rPr>
          <w:bCs/>
        </w:rPr>
        <w:t xml:space="preserve">Proxy votes </w:t>
      </w:r>
      <w:r>
        <w:rPr>
          <w:bCs/>
        </w:rPr>
        <w:br/>
      </w:r>
      <w:r w:rsidRPr="00985FE0">
        <w:rPr>
          <w:bCs/>
        </w:rPr>
        <w:t>Schedule 3, section 3.26 (2)</w:t>
      </w:r>
    </w:p>
    <w:p w14:paraId="1714902A" w14:textId="102817FC" w:rsidR="00BE379C" w:rsidRDefault="00BE379C" w:rsidP="00780AE7">
      <w:pPr>
        <w:rPr>
          <w:rFonts w:ascii="Arial" w:hAnsi="Arial" w:cs="Arial"/>
        </w:rPr>
      </w:pPr>
      <w:r>
        <w:rPr>
          <w:rFonts w:ascii="Arial" w:hAnsi="Arial" w:cs="Arial"/>
        </w:rPr>
        <w:t>This clause</w:t>
      </w:r>
      <w:r w:rsidR="00780AE7" w:rsidRPr="000F50AB">
        <w:rPr>
          <w:rFonts w:ascii="Arial" w:hAnsi="Arial" w:cs="Arial"/>
        </w:rPr>
        <w:t xml:space="preserve"> clarifies that where a person appoints a proxy, they may be appointed to exercise their role to vote on motions in general or </w:t>
      </w:r>
      <w:r>
        <w:rPr>
          <w:rFonts w:ascii="Arial" w:hAnsi="Arial" w:cs="Arial"/>
        </w:rPr>
        <w:t>in relation to a particular motion</w:t>
      </w:r>
      <w:r w:rsidR="00780AE7" w:rsidRPr="000F50AB">
        <w:rPr>
          <w:rFonts w:ascii="Arial" w:hAnsi="Arial" w:cs="Arial"/>
        </w:rPr>
        <w:t>. This amendment helps makes a distinction for a person appointing a proxy whether they want to give the</w:t>
      </w:r>
      <w:r>
        <w:rPr>
          <w:rFonts w:ascii="Arial" w:hAnsi="Arial" w:cs="Arial"/>
        </w:rPr>
        <w:t>ir</w:t>
      </w:r>
      <w:r w:rsidR="00780AE7" w:rsidRPr="000F50AB">
        <w:rPr>
          <w:rFonts w:ascii="Arial" w:hAnsi="Arial" w:cs="Arial"/>
        </w:rPr>
        <w:t xml:space="preserve"> proxy </w:t>
      </w:r>
      <w:r>
        <w:rPr>
          <w:rFonts w:ascii="Arial" w:hAnsi="Arial" w:cs="Arial"/>
        </w:rPr>
        <w:t xml:space="preserve">a </w:t>
      </w:r>
      <w:r w:rsidR="00780AE7" w:rsidRPr="000F50AB">
        <w:rPr>
          <w:rFonts w:ascii="Arial" w:hAnsi="Arial" w:cs="Arial"/>
        </w:rPr>
        <w:t xml:space="preserve">general authorisation to exercise to vote on their behalf, or if they want to limit or direct </w:t>
      </w:r>
      <w:r>
        <w:rPr>
          <w:rFonts w:ascii="Arial" w:hAnsi="Arial" w:cs="Arial"/>
        </w:rPr>
        <w:t>how</w:t>
      </w:r>
      <w:r w:rsidRPr="000F50AB">
        <w:rPr>
          <w:rFonts w:ascii="Arial" w:hAnsi="Arial" w:cs="Arial"/>
        </w:rPr>
        <w:t xml:space="preserve"> </w:t>
      </w:r>
      <w:r w:rsidR="00780AE7" w:rsidRPr="000F50AB">
        <w:rPr>
          <w:rFonts w:ascii="Arial" w:hAnsi="Arial" w:cs="Arial"/>
        </w:rPr>
        <w:t xml:space="preserve">the proxy </w:t>
      </w:r>
      <w:r>
        <w:rPr>
          <w:rFonts w:ascii="Arial" w:hAnsi="Arial" w:cs="Arial"/>
        </w:rPr>
        <w:t>may</w:t>
      </w:r>
      <w:r w:rsidRPr="000F50AB">
        <w:rPr>
          <w:rFonts w:ascii="Arial" w:hAnsi="Arial" w:cs="Arial"/>
        </w:rPr>
        <w:t xml:space="preserve"> </w:t>
      </w:r>
      <w:r w:rsidR="00780AE7" w:rsidRPr="000F50AB">
        <w:rPr>
          <w:rFonts w:ascii="Arial" w:hAnsi="Arial" w:cs="Arial"/>
        </w:rPr>
        <w:t xml:space="preserve">vote </w:t>
      </w:r>
      <w:r>
        <w:rPr>
          <w:rFonts w:ascii="Arial" w:hAnsi="Arial" w:cs="Arial"/>
        </w:rPr>
        <w:t>in relation to individual motions</w:t>
      </w:r>
      <w:r w:rsidR="00780AE7" w:rsidRPr="000F50AB">
        <w:rPr>
          <w:rFonts w:ascii="Arial" w:hAnsi="Arial" w:cs="Arial"/>
        </w:rPr>
        <w:t xml:space="preserve">. </w:t>
      </w:r>
    </w:p>
    <w:p w14:paraId="3802D877" w14:textId="622BA1B3" w:rsidR="00780AE7" w:rsidRPr="000F50AB" w:rsidRDefault="00780AE7" w:rsidP="00780AE7">
      <w:pPr>
        <w:rPr>
          <w:rFonts w:ascii="Arial" w:hAnsi="Arial" w:cs="Arial"/>
        </w:rPr>
      </w:pPr>
      <w:r w:rsidRPr="000F50AB">
        <w:rPr>
          <w:rFonts w:ascii="Arial" w:hAnsi="Arial" w:cs="Arial"/>
        </w:rPr>
        <w:t xml:space="preserve">This is particularly relevant where a motion may arise during a meeting that the person has not been able to instruct their proxy on how to vote. Where the proxy has general authorisation, they will be able to vote on the motion in accordance with what they consider would be in the </w:t>
      </w:r>
      <w:r w:rsidR="00D608D4" w:rsidRPr="000F50AB">
        <w:rPr>
          <w:rFonts w:ascii="Arial" w:hAnsi="Arial" w:cs="Arial"/>
        </w:rPr>
        <w:t>interest</w:t>
      </w:r>
      <w:r w:rsidR="00D608D4">
        <w:rPr>
          <w:rFonts w:ascii="Arial" w:hAnsi="Arial" w:cs="Arial"/>
        </w:rPr>
        <w:t>s</w:t>
      </w:r>
      <w:r w:rsidR="00D608D4" w:rsidRPr="000F50AB">
        <w:rPr>
          <w:rFonts w:ascii="Arial" w:hAnsi="Arial" w:cs="Arial"/>
        </w:rPr>
        <w:t xml:space="preserve"> </w:t>
      </w:r>
      <w:r w:rsidRPr="000F50AB">
        <w:rPr>
          <w:rFonts w:ascii="Arial" w:hAnsi="Arial" w:cs="Arial"/>
        </w:rPr>
        <w:t xml:space="preserve">of the person who appointed them. </w:t>
      </w:r>
      <w:r w:rsidR="00D608D4">
        <w:rPr>
          <w:rFonts w:ascii="Arial" w:hAnsi="Arial" w:cs="Arial"/>
        </w:rPr>
        <w:t xml:space="preserve">However, </w:t>
      </w:r>
      <w:r w:rsidRPr="000F50AB">
        <w:rPr>
          <w:rFonts w:ascii="Arial" w:hAnsi="Arial" w:cs="Arial"/>
        </w:rPr>
        <w:t xml:space="preserve">if they do not have general authorisation, they will not be able to vote on the motion as they have not received instructions on how to </w:t>
      </w:r>
      <w:r w:rsidR="00D608D4">
        <w:rPr>
          <w:rFonts w:ascii="Arial" w:hAnsi="Arial" w:cs="Arial"/>
        </w:rPr>
        <w:t>vote in relation to that particular motion</w:t>
      </w:r>
      <w:r w:rsidRPr="000F50AB">
        <w:rPr>
          <w:rFonts w:ascii="Arial" w:hAnsi="Arial" w:cs="Arial"/>
        </w:rPr>
        <w:t xml:space="preserve">. While this helps provide </w:t>
      </w:r>
      <w:r w:rsidRPr="000F50AB">
        <w:rPr>
          <w:rFonts w:ascii="Arial" w:hAnsi="Arial" w:cs="Arial"/>
        </w:rPr>
        <w:lastRenderedPageBreak/>
        <w:t>clarification for the role and authority of proxies, it also helps determine quorum for motions</w:t>
      </w:r>
      <w:r w:rsidR="00D608D4">
        <w:rPr>
          <w:rFonts w:ascii="Arial" w:hAnsi="Arial" w:cs="Arial"/>
        </w:rPr>
        <w:t xml:space="preserve"> as quorum provisions apply to each motion voted on at a general meeting</w:t>
      </w:r>
      <w:r w:rsidRPr="000F50AB">
        <w:rPr>
          <w:rFonts w:ascii="Arial" w:hAnsi="Arial" w:cs="Arial"/>
        </w:rPr>
        <w:t>.</w:t>
      </w:r>
    </w:p>
    <w:p w14:paraId="603728CB" w14:textId="46C7C99A" w:rsidR="00780AE7" w:rsidRDefault="00780AE7" w:rsidP="00780AE7">
      <w:pPr>
        <w:pStyle w:val="Heading3"/>
        <w:rPr>
          <w:b w:val="0"/>
          <w:bCs/>
        </w:rPr>
      </w:pPr>
      <w:r w:rsidRPr="005C28BC">
        <w:rPr>
          <w:bCs/>
        </w:rPr>
        <w:t xml:space="preserve">Clause </w:t>
      </w:r>
      <w:r w:rsidR="006541B1">
        <w:rPr>
          <w:bCs/>
        </w:rPr>
        <w:t>59</w:t>
      </w:r>
      <w:r w:rsidRPr="005C28BC">
        <w:rPr>
          <w:bCs/>
        </w:rPr>
        <w:tab/>
      </w:r>
      <w:r w:rsidRPr="00985FE0">
        <w:rPr>
          <w:bCs/>
        </w:rPr>
        <w:t>Schedule 3, section 3.26 (3)</w:t>
      </w:r>
    </w:p>
    <w:p w14:paraId="3F24CC3D" w14:textId="77777777" w:rsidR="00780AE7" w:rsidRPr="000F50AB" w:rsidRDefault="00780AE7" w:rsidP="00780AE7">
      <w:pPr>
        <w:rPr>
          <w:rFonts w:ascii="Arial" w:hAnsi="Arial" w:cs="Arial"/>
        </w:rPr>
      </w:pPr>
      <w:r w:rsidRPr="000F50AB">
        <w:rPr>
          <w:rFonts w:ascii="Arial" w:hAnsi="Arial" w:cs="Arial"/>
        </w:rPr>
        <w:t xml:space="preserve">This amendment replaces the word </w:t>
      </w:r>
      <w:r w:rsidRPr="000F50AB">
        <w:rPr>
          <w:rFonts w:ascii="Arial" w:hAnsi="Arial" w:cs="Arial"/>
          <w:i/>
          <w:iCs/>
        </w:rPr>
        <w:t>matter</w:t>
      </w:r>
      <w:r w:rsidRPr="000F50AB">
        <w:rPr>
          <w:rFonts w:ascii="Arial" w:hAnsi="Arial" w:cs="Arial"/>
        </w:rPr>
        <w:t xml:space="preserve"> with </w:t>
      </w:r>
      <w:r w:rsidRPr="000F50AB">
        <w:rPr>
          <w:rFonts w:ascii="Arial" w:hAnsi="Arial" w:cs="Arial"/>
          <w:i/>
          <w:iCs/>
        </w:rPr>
        <w:t xml:space="preserve">motion </w:t>
      </w:r>
      <w:r w:rsidRPr="000F50AB">
        <w:rPr>
          <w:rFonts w:ascii="Arial" w:hAnsi="Arial" w:cs="Arial"/>
        </w:rPr>
        <w:t>to clarify that the proxy votes on the motion put forward at a meeting.</w:t>
      </w:r>
    </w:p>
    <w:p w14:paraId="01BC077F" w14:textId="6DBD6D94" w:rsidR="00780AE7" w:rsidRPr="000F50AB" w:rsidRDefault="00780AE7" w:rsidP="00780AE7">
      <w:pPr>
        <w:rPr>
          <w:rFonts w:ascii="Arial" w:hAnsi="Arial" w:cs="Arial"/>
        </w:rPr>
      </w:pPr>
      <w:r w:rsidRPr="000F50AB">
        <w:rPr>
          <w:rFonts w:ascii="Arial" w:hAnsi="Arial" w:cs="Arial"/>
        </w:rPr>
        <w:t>This amendment intends to make a distinction between matters as opposed to motions</w:t>
      </w:r>
      <w:r w:rsidR="00D608D4">
        <w:rPr>
          <w:rFonts w:ascii="Arial" w:hAnsi="Arial" w:cs="Arial"/>
        </w:rPr>
        <w:t>. Matters are issues raised for discussion</w:t>
      </w:r>
      <w:r w:rsidRPr="000F50AB">
        <w:rPr>
          <w:rFonts w:ascii="Arial" w:hAnsi="Arial" w:cs="Arial"/>
        </w:rPr>
        <w:t xml:space="preserve"> at </w:t>
      </w:r>
      <w:r w:rsidR="00D608D4">
        <w:rPr>
          <w:rFonts w:ascii="Arial" w:hAnsi="Arial" w:cs="Arial"/>
        </w:rPr>
        <w:t xml:space="preserve">a </w:t>
      </w:r>
      <w:r w:rsidRPr="000F50AB">
        <w:rPr>
          <w:rFonts w:ascii="Arial" w:hAnsi="Arial" w:cs="Arial"/>
        </w:rPr>
        <w:t>meeting for discussion</w:t>
      </w:r>
      <w:r w:rsidR="00D608D4">
        <w:rPr>
          <w:rFonts w:ascii="Arial" w:hAnsi="Arial" w:cs="Arial"/>
        </w:rPr>
        <w:t xml:space="preserve">. Where an issue is put to a vote, it is framed as a </w:t>
      </w:r>
      <w:r w:rsidRPr="000F50AB">
        <w:rPr>
          <w:rFonts w:ascii="Arial" w:hAnsi="Arial" w:cs="Arial"/>
        </w:rPr>
        <w:t>motion</w:t>
      </w:r>
      <w:r w:rsidR="00D608D4">
        <w:rPr>
          <w:rFonts w:ascii="Arial" w:hAnsi="Arial" w:cs="Arial"/>
        </w:rPr>
        <w:t>. The motion</w:t>
      </w:r>
      <w:r w:rsidRPr="000F50AB">
        <w:rPr>
          <w:rFonts w:ascii="Arial" w:hAnsi="Arial" w:cs="Arial"/>
        </w:rPr>
        <w:t xml:space="preserve"> is </w:t>
      </w:r>
      <w:r w:rsidR="00D608D4">
        <w:rPr>
          <w:rFonts w:ascii="Arial" w:hAnsi="Arial" w:cs="Arial"/>
        </w:rPr>
        <w:t xml:space="preserve">then </w:t>
      </w:r>
      <w:r w:rsidRPr="000F50AB">
        <w:rPr>
          <w:rFonts w:ascii="Arial" w:hAnsi="Arial" w:cs="Arial"/>
        </w:rPr>
        <w:t>voted upon to determine an outcome to the matter. Further amendments within this Bill also make similar changes to ensure consistency in language used.</w:t>
      </w:r>
    </w:p>
    <w:p w14:paraId="2578439E" w14:textId="1721BDFB" w:rsidR="00780AE7" w:rsidRDefault="00780AE7" w:rsidP="00780AE7">
      <w:pPr>
        <w:pStyle w:val="Heading3"/>
        <w:rPr>
          <w:b w:val="0"/>
          <w:bCs/>
        </w:rPr>
      </w:pPr>
      <w:r w:rsidRPr="005C28BC">
        <w:rPr>
          <w:bCs/>
        </w:rPr>
        <w:t xml:space="preserve">Clause </w:t>
      </w:r>
      <w:r w:rsidR="006541B1">
        <w:rPr>
          <w:bCs/>
        </w:rPr>
        <w:t>60</w:t>
      </w:r>
      <w:r w:rsidRPr="005C28BC">
        <w:rPr>
          <w:bCs/>
        </w:rPr>
        <w:tab/>
      </w:r>
      <w:r w:rsidRPr="00985FE0">
        <w:rPr>
          <w:bCs/>
        </w:rPr>
        <w:t>Schedule 3, new section 3.26 (5) and (6)</w:t>
      </w:r>
    </w:p>
    <w:p w14:paraId="39C8E221" w14:textId="0481F95D" w:rsidR="00D608D4" w:rsidRDefault="00D608D4" w:rsidP="00780AE7">
      <w:pPr>
        <w:rPr>
          <w:rFonts w:ascii="Arial" w:hAnsi="Arial" w:cs="Arial"/>
        </w:rPr>
      </w:pPr>
      <w:r>
        <w:rPr>
          <w:rFonts w:ascii="Arial" w:hAnsi="Arial" w:cs="Arial"/>
        </w:rPr>
        <w:t>This clause</w:t>
      </w:r>
      <w:r w:rsidR="00780AE7" w:rsidRPr="000F50AB">
        <w:rPr>
          <w:rFonts w:ascii="Arial" w:hAnsi="Arial" w:cs="Arial"/>
        </w:rPr>
        <w:t xml:space="preserve"> </w:t>
      </w:r>
      <w:r>
        <w:rPr>
          <w:rFonts w:ascii="Arial" w:hAnsi="Arial" w:cs="Arial"/>
        </w:rPr>
        <w:t xml:space="preserve">clarifies how proxy votes are counted towards quorum. It </w:t>
      </w:r>
      <w:r w:rsidR="00780AE7" w:rsidRPr="000F50AB">
        <w:rPr>
          <w:rFonts w:ascii="Arial" w:hAnsi="Arial" w:cs="Arial"/>
        </w:rPr>
        <w:t>introduces new section 3.26 (5) to make certain that a person who has appointed a proxy is taken to have been present at the meeting and</w:t>
      </w:r>
      <w:r>
        <w:rPr>
          <w:rFonts w:ascii="Arial" w:hAnsi="Arial" w:cs="Arial"/>
        </w:rPr>
        <w:t>,</w:t>
      </w:r>
      <w:r w:rsidR="00780AE7" w:rsidRPr="000F50AB">
        <w:rPr>
          <w:rFonts w:ascii="Arial" w:hAnsi="Arial" w:cs="Arial"/>
        </w:rPr>
        <w:t xml:space="preserve"> if the proxy has voted on their behalf, that they are deemed to have voted on the motion. </w:t>
      </w:r>
    </w:p>
    <w:p w14:paraId="11C6CBE3" w14:textId="4FBFA863" w:rsidR="00780AE7" w:rsidRPr="000F50AB" w:rsidRDefault="00780AE7" w:rsidP="00780AE7">
      <w:pPr>
        <w:rPr>
          <w:rFonts w:ascii="Arial" w:hAnsi="Arial" w:cs="Arial"/>
        </w:rPr>
      </w:pPr>
      <w:r w:rsidRPr="000F50AB">
        <w:rPr>
          <w:rFonts w:ascii="Arial" w:hAnsi="Arial" w:cs="Arial"/>
        </w:rPr>
        <w:t xml:space="preserve">Section 3.26 (6) provides further clarification </w:t>
      </w:r>
      <w:r w:rsidR="00D608D4">
        <w:rPr>
          <w:rFonts w:ascii="Arial" w:hAnsi="Arial" w:cs="Arial"/>
        </w:rPr>
        <w:t>by</w:t>
      </w:r>
      <w:r w:rsidR="00D608D4" w:rsidRPr="000F50AB">
        <w:rPr>
          <w:rFonts w:ascii="Arial" w:hAnsi="Arial" w:cs="Arial"/>
        </w:rPr>
        <w:t xml:space="preserve"> </w:t>
      </w:r>
      <w:r w:rsidRPr="000F50AB">
        <w:rPr>
          <w:rFonts w:ascii="Arial" w:hAnsi="Arial" w:cs="Arial"/>
        </w:rPr>
        <w:t>disapply</w:t>
      </w:r>
      <w:r w:rsidR="00D608D4">
        <w:rPr>
          <w:rFonts w:ascii="Arial" w:hAnsi="Arial" w:cs="Arial"/>
        </w:rPr>
        <w:t>ing</w:t>
      </w:r>
      <w:r w:rsidRPr="000F50AB">
        <w:rPr>
          <w:rFonts w:ascii="Arial" w:hAnsi="Arial" w:cs="Arial"/>
        </w:rPr>
        <w:t xml:space="preserve"> section 3.26 (5) if the proxy has not been appointed </w:t>
      </w:r>
      <w:r w:rsidR="00D608D4">
        <w:rPr>
          <w:rFonts w:ascii="Arial" w:hAnsi="Arial" w:cs="Arial"/>
        </w:rPr>
        <w:t>in relation to</w:t>
      </w:r>
      <w:r w:rsidR="00D608D4" w:rsidRPr="000F50AB">
        <w:rPr>
          <w:rFonts w:ascii="Arial" w:hAnsi="Arial" w:cs="Arial"/>
        </w:rPr>
        <w:t xml:space="preserve"> </w:t>
      </w:r>
      <w:r w:rsidRPr="000F50AB">
        <w:rPr>
          <w:rFonts w:ascii="Arial" w:hAnsi="Arial" w:cs="Arial"/>
        </w:rPr>
        <w:t xml:space="preserve">a particular motion. This links with the changes made in </w:t>
      </w:r>
      <w:r w:rsidR="00D608D4">
        <w:rPr>
          <w:rFonts w:ascii="Arial" w:hAnsi="Arial" w:cs="Arial"/>
        </w:rPr>
        <w:t>c</w:t>
      </w:r>
      <w:r w:rsidR="00D608D4" w:rsidRPr="000F50AB">
        <w:rPr>
          <w:rFonts w:ascii="Arial" w:hAnsi="Arial" w:cs="Arial"/>
        </w:rPr>
        <w:t xml:space="preserve">lause </w:t>
      </w:r>
      <w:r w:rsidR="00D608D4">
        <w:rPr>
          <w:rFonts w:ascii="Arial" w:hAnsi="Arial" w:cs="Arial"/>
        </w:rPr>
        <w:t>58</w:t>
      </w:r>
      <w:r w:rsidR="00D608D4" w:rsidRPr="000F50AB">
        <w:rPr>
          <w:rFonts w:ascii="Arial" w:hAnsi="Arial" w:cs="Arial"/>
        </w:rPr>
        <w:t xml:space="preserve"> </w:t>
      </w:r>
      <w:r w:rsidR="00D608D4">
        <w:rPr>
          <w:rFonts w:ascii="Arial" w:hAnsi="Arial" w:cs="Arial"/>
        </w:rPr>
        <w:t>which indicates that a</w:t>
      </w:r>
      <w:r w:rsidRPr="000F50AB">
        <w:rPr>
          <w:rFonts w:ascii="Arial" w:hAnsi="Arial" w:cs="Arial"/>
        </w:rPr>
        <w:t xml:space="preserve"> proxy </w:t>
      </w:r>
      <w:r w:rsidR="00D608D4">
        <w:rPr>
          <w:rFonts w:ascii="Arial" w:hAnsi="Arial" w:cs="Arial"/>
        </w:rPr>
        <w:t>may be</w:t>
      </w:r>
      <w:r w:rsidR="00D608D4" w:rsidRPr="000F50AB">
        <w:rPr>
          <w:rFonts w:ascii="Arial" w:hAnsi="Arial" w:cs="Arial"/>
        </w:rPr>
        <w:t xml:space="preserve"> </w:t>
      </w:r>
      <w:r w:rsidRPr="000F50AB">
        <w:rPr>
          <w:rFonts w:ascii="Arial" w:hAnsi="Arial" w:cs="Arial"/>
        </w:rPr>
        <w:t>appointed in general or for stated motions only.</w:t>
      </w:r>
    </w:p>
    <w:p w14:paraId="12887286" w14:textId="06ABCC30" w:rsidR="00780AE7" w:rsidRDefault="00780AE7" w:rsidP="001C1D08">
      <w:pPr>
        <w:pStyle w:val="Heading3"/>
        <w:ind w:left="1440" w:hanging="1440"/>
        <w:rPr>
          <w:b w:val="0"/>
          <w:bCs/>
        </w:rPr>
      </w:pPr>
      <w:r w:rsidRPr="005C28BC">
        <w:rPr>
          <w:bCs/>
        </w:rPr>
        <w:t xml:space="preserve">Clause </w:t>
      </w:r>
      <w:r w:rsidR="006541B1">
        <w:rPr>
          <w:bCs/>
        </w:rPr>
        <w:t>61</w:t>
      </w:r>
      <w:r w:rsidRPr="005C28BC">
        <w:rPr>
          <w:bCs/>
        </w:rPr>
        <w:tab/>
      </w:r>
      <w:r w:rsidRPr="00985FE0">
        <w:rPr>
          <w:bCs/>
        </w:rPr>
        <w:t xml:space="preserve">Proxy votes—limit on developer </w:t>
      </w:r>
      <w:r>
        <w:rPr>
          <w:bCs/>
        </w:rPr>
        <w:br/>
      </w:r>
      <w:r w:rsidRPr="00985FE0">
        <w:rPr>
          <w:bCs/>
        </w:rPr>
        <w:t>Schedule 3, section 3.27 (2)</w:t>
      </w:r>
    </w:p>
    <w:p w14:paraId="179E34DB" w14:textId="24543C13" w:rsidR="00780AE7" w:rsidRPr="000F50AB" w:rsidRDefault="00780AE7" w:rsidP="00780AE7">
      <w:pPr>
        <w:rPr>
          <w:rFonts w:ascii="Arial" w:hAnsi="Arial" w:cs="Arial"/>
        </w:rPr>
      </w:pPr>
      <w:r w:rsidRPr="000F50AB">
        <w:rPr>
          <w:rFonts w:ascii="Arial" w:hAnsi="Arial" w:cs="Arial"/>
        </w:rPr>
        <w:t xml:space="preserve">This amendment makes changes to replace the word </w:t>
      </w:r>
      <w:r w:rsidRPr="000F50AB">
        <w:rPr>
          <w:rFonts w:ascii="Arial" w:hAnsi="Arial" w:cs="Arial"/>
          <w:i/>
          <w:iCs/>
        </w:rPr>
        <w:t>matter</w:t>
      </w:r>
      <w:r w:rsidRPr="000F50AB">
        <w:rPr>
          <w:rFonts w:ascii="Arial" w:hAnsi="Arial" w:cs="Arial"/>
        </w:rPr>
        <w:t xml:space="preserve"> with </w:t>
      </w:r>
      <w:r w:rsidRPr="000F50AB">
        <w:rPr>
          <w:rFonts w:ascii="Arial" w:hAnsi="Arial" w:cs="Arial"/>
          <w:i/>
          <w:iCs/>
        </w:rPr>
        <w:t>motion</w:t>
      </w:r>
      <w:r w:rsidRPr="000F50AB">
        <w:rPr>
          <w:rFonts w:ascii="Arial" w:hAnsi="Arial" w:cs="Arial"/>
        </w:rPr>
        <w:t xml:space="preserve"> for consistency </w:t>
      </w:r>
      <w:r w:rsidR="00D608D4">
        <w:rPr>
          <w:rFonts w:ascii="Arial" w:hAnsi="Arial" w:cs="Arial"/>
        </w:rPr>
        <w:t xml:space="preserve">and clarity </w:t>
      </w:r>
      <w:r w:rsidRPr="000F50AB">
        <w:rPr>
          <w:rFonts w:ascii="Arial" w:hAnsi="Arial" w:cs="Arial"/>
        </w:rPr>
        <w:t xml:space="preserve">of language (as outlined in Clause </w:t>
      </w:r>
      <w:r w:rsidR="00D608D4">
        <w:rPr>
          <w:rFonts w:ascii="Arial" w:hAnsi="Arial" w:cs="Arial"/>
        </w:rPr>
        <w:t>59</w:t>
      </w:r>
      <w:r w:rsidRPr="000F50AB">
        <w:rPr>
          <w:rFonts w:ascii="Arial" w:hAnsi="Arial" w:cs="Arial"/>
        </w:rPr>
        <w:t>).</w:t>
      </w:r>
    </w:p>
    <w:p w14:paraId="2B5E758D" w14:textId="2CDD75E1" w:rsidR="00780AE7" w:rsidRDefault="00780AE7" w:rsidP="00780AE7">
      <w:pPr>
        <w:pStyle w:val="Heading3"/>
        <w:rPr>
          <w:b w:val="0"/>
          <w:bCs/>
        </w:rPr>
      </w:pPr>
      <w:r w:rsidRPr="005C28BC">
        <w:rPr>
          <w:bCs/>
        </w:rPr>
        <w:t xml:space="preserve">Clause </w:t>
      </w:r>
      <w:r w:rsidR="006541B1">
        <w:rPr>
          <w:bCs/>
        </w:rPr>
        <w:t>62</w:t>
      </w:r>
      <w:r w:rsidRPr="005C28BC">
        <w:rPr>
          <w:bCs/>
        </w:rPr>
        <w:tab/>
      </w:r>
      <w:r w:rsidRPr="00985FE0">
        <w:rPr>
          <w:bCs/>
        </w:rPr>
        <w:t>Schedule 3, section 3.27 (2) (c)</w:t>
      </w:r>
    </w:p>
    <w:p w14:paraId="61D05A58" w14:textId="46FFF9C7" w:rsidR="00780AE7" w:rsidRPr="000F50AB" w:rsidRDefault="00780AE7" w:rsidP="00780AE7">
      <w:pPr>
        <w:rPr>
          <w:rFonts w:ascii="Arial" w:hAnsi="Arial" w:cs="Arial"/>
        </w:rPr>
      </w:pPr>
      <w:r w:rsidRPr="000F50AB">
        <w:rPr>
          <w:rFonts w:ascii="Arial" w:hAnsi="Arial" w:cs="Arial"/>
        </w:rPr>
        <w:t xml:space="preserve">This amendment makes changes to replace the word development </w:t>
      </w:r>
      <w:r w:rsidRPr="000F50AB">
        <w:rPr>
          <w:rFonts w:ascii="Arial" w:hAnsi="Arial" w:cs="Arial"/>
          <w:i/>
          <w:iCs/>
        </w:rPr>
        <w:t>matter</w:t>
      </w:r>
      <w:r w:rsidRPr="000F50AB">
        <w:rPr>
          <w:rFonts w:ascii="Arial" w:hAnsi="Arial" w:cs="Arial"/>
        </w:rPr>
        <w:t xml:space="preserve"> with development </w:t>
      </w:r>
      <w:r w:rsidRPr="000F50AB">
        <w:rPr>
          <w:rFonts w:ascii="Arial" w:hAnsi="Arial" w:cs="Arial"/>
          <w:i/>
          <w:iCs/>
        </w:rPr>
        <w:t>motion</w:t>
      </w:r>
      <w:r w:rsidRPr="000F50AB">
        <w:rPr>
          <w:rFonts w:ascii="Arial" w:hAnsi="Arial" w:cs="Arial"/>
        </w:rPr>
        <w:t xml:space="preserve"> for consistency </w:t>
      </w:r>
      <w:r w:rsidR="00D608D4">
        <w:rPr>
          <w:rFonts w:ascii="Arial" w:hAnsi="Arial" w:cs="Arial"/>
        </w:rPr>
        <w:t xml:space="preserve">and clarify </w:t>
      </w:r>
      <w:r w:rsidRPr="000F50AB">
        <w:rPr>
          <w:rFonts w:ascii="Arial" w:hAnsi="Arial" w:cs="Arial"/>
        </w:rPr>
        <w:t xml:space="preserve">of language (as outlined in Clause </w:t>
      </w:r>
      <w:r w:rsidR="00D608D4">
        <w:rPr>
          <w:rFonts w:ascii="Arial" w:hAnsi="Arial" w:cs="Arial"/>
        </w:rPr>
        <w:t>59</w:t>
      </w:r>
      <w:r w:rsidRPr="000F50AB">
        <w:rPr>
          <w:rFonts w:ascii="Arial" w:hAnsi="Arial" w:cs="Arial"/>
        </w:rPr>
        <w:t>).</w:t>
      </w:r>
    </w:p>
    <w:p w14:paraId="1126BDAF" w14:textId="651E143E" w:rsidR="00780AE7" w:rsidRDefault="00780AE7" w:rsidP="00780AE7">
      <w:pPr>
        <w:pStyle w:val="Heading3"/>
        <w:rPr>
          <w:b w:val="0"/>
          <w:bCs/>
        </w:rPr>
      </w:pPr>
      <w:r w:rsidRPr="005C28BC">
        <w:rPr>
          <w:bCs/>
        </w:rPr>
        <w:t xml:space="preserve">Clause </w:t>
      </w:r>
      <w:r w:rsidR="006541B1">
        <w:rPr>
          <w:bCs/>
        </w:rPr>
        <w:t>63</w:t>
      </w:r>
      <w:r w:rsidRPr="005C28BC">
        <w:rPr>
          <w:bCs/>
        </w:rPr>
        <w:tab/>
      </w:r>
      <w:r w:rsidRPr="00985FE0">
        <w:rPr>
          <w:bCs/>
        </w:rPr>
        <w:t>Schedule 3, section 3.27 (4) (d)</w:t>
      </w:r>
    </w:p>
    <w:p w14:paraId="55372CAB" w14:textId="4DFB7D44" w:rsidR="00780AE7" w:rsidRPr="000F50AB" w:rsidRDefault="00780AE7" w:rsidP="00780AE7">
      <w:pPr>
        <w:rPr>
          <w:rFonts w:ascii="Arial" w:hAnsi="Arial" w:cs="Arial"/>
        </w:rPr>
      </w:pPr>
      <w:r w:rsidRPr="000F50AB">
        <w:rPr>
          <w:rFonts w:ascii="Arial" w:hAnsi="Arial" w:cs="Arial"/>
        </w:rPr>
        <w:t xml:space="preserve">This amendment makes changes to replace the word </w:t>
      </w:r>
      <w:r w:rsidRPr="000F50AB">
        <w:rPr>
          <w:rFonts w:ascii="Arial" w:hAnsi="Arial" w:cs="Arial"/>
          <w:i/>
          <w:iCs/>
        </w:rPr>
        <w:t>matter</w:t>
      </w:r>
      <w:r w:rsidRPr="000F50AB">
        <w:rPr>
          <w:rFonts w:ascii="Arial" w:hAnsi="Arial" w:cs="Arial"/>
        </w:rPr>
        <w:t xml:space="preserve"> with </w:t>
      </w:r>
      <w:r w:rsidRPr="000F50AB">
        <w:rPr>
          <w:rFonts w:ascii="Arial" w:hAnsi="Arial" w:cs="Arial"/>
          <w:i/>
          <w:iCs/>
        </w:rPr>
        <w:t>motion</w:t>
      </w:r>
      <w:r w:rsidRPr="000F50AB">
        <w:rPr>
          <w:rFonts w:ascii="Arial" w:hAnsi="Arial" w:cs="Arial"/>
        </w:rPr>
        <w:t xml:space="preserve"> for consistency </w:t>
      </w:r>
      <w:r w:rsidR="00D608D4">
        <w:rPr>
          <w:rFonts w:ascii="Arial" w:hAnsi="Arial" w:cs="Arial"/>
        </w:rPr>
        <w:t xml:space="preserve">and clarity </w:t>
      </w:r>
      <w:r w:rsidRPr="000F50AB">
        <w:rPr>
          <w:rFonts w:ascii="Arial" w:hAnsi="Arial" w:cs="Arial"/>
        </w:rPr>
        <w:t xml:space="preserve">of language (as outlined in Clause </w:t>
      </w:r>
      <w:r w:rsidR="00D608D4">
        <w:rPr>
          <w:rFonts w:ascii="Arial" w:hAnsi="Arial" w:cs="Arial"/>
        </w:rPr>
        <w:t>59</w:t>
      </w:r>
      <w:r w:rsidRPr="000F50AB">
        <w:rPr>
          <w:rFonts w:ascii="Arial" w:hAnsi="Arial" w:cs="Arial"/>
        </w:rPr>
        <w:t>).</w:t>
      </w:r>
    </w:p>
    <w:p w14:paraId="40B973B6" w14:textId="09668E64" w:rsidR="00780AE7" w:rsidRPr="005C28BC" w:rsidRDefault="00780AE7" w:rsidP="002969A6">
      <w:pPr>
        <w:pStyle w:val="Heading3"/>
        <w:ind w:left="1440" w:hanging="1440"/>
        <w:rPr>
          <w:b w:val="0"/>
          <w:bCs/>
        </w:rPr>
      </w:pPr>
      <w:r w:rsidRPr="005C28BC">
        <w:rPr>
          <w:bCs/>
        </w:rPr>
        <w:t xml:space="preserve">Clause </w:t>
      </w:r>
      <w:r w:rsidR="006541B1" w:rsidRPr="005C28BC">
        <w:rPr>
          <w:bCs/>
        </w:rPr>
        <w:t>6</w:t>
      </w:r>
      <w:r w:rsidR="006541B1">
        <w:rPr>
          <w:bCs/>
        </w:rPr>
        <w:t>4</w:t>
      </w:r>
      <w:r w:rsidRPr="005C28BC">
        <w:rPr>
          <w:bCs/>
        </w:rPr>
        <w:tab/>
      </w:r>
      <w:r w:rsidRPr="00985FE0">
        <w:rPr>
          <w:bCs/>
        </w:rPr>
        <w:t xml:space="preserve">Absentee votes </w:t>
      </w:r>
      <w:r>
        <w:rPr>
          <w:bCs/>
        </w:rPr>
        <w:br/>
      </w:r>
      <w:r w:rsidRPr="00985FE0">
        <w:rPr>
          <w:bCs/>
        </w:rPr>
        <w:t>Schedule 3, section 3.31 (4)</w:t>
      </w:r>
    </w:p>
    <w:p w14:paraId="1CB7FE11" w14:textId="061A346D" w:rsidR="000658DF" w:rsidRDefault="000658DF" w:rsidP="00E70D14">
      <w:pPr>
        <w:rPr>
          <w:rFonts w:ascii="Arial" w:hAnsi="Arial" w:cs="Arial"/>
        </w:rPr>
      </w:pPr>
      <w:r>
        <w:rPr>
          <w:rFonts w:ascii="Arial" w:hAnsi="Arial" w:cs="Arial"/>
        </w:rPr>
        <w:t>This clause</w:t>
      </w:r>
      <w:r w:rsidRPr="000F50AB">
        <w:rPr>
          <w:rFonts w:ascii="Arial" w:hAnsi="Arial" w:cs="Arial"/>
        </w:rPr>
        <w:t xml:space="preserve"> </w:t>
      </w:r>
      <w:r>
        <w:rPr>
          <w:rFonts w:ascii="Arial" w:hAnsi="Arial" w:cs="Arial"/>
        </w:rPr>
        <w:t>clarifies how absentee votes are counted towards quorum. It indicates that a person casting</w:t>
      </w:r>
      <w:r w:rsidR="00780AE7" w:rsidRPr="000F50AB">
        <w:rPr>
          <w:rFonts w:ascii="Arial" w:hAnsi="Arial" w:cs="Arial"/>
        </w:rPr>
        <w:t xml:space="preserve"> an absentee vote</w:t>
      </w:r>
      <w:r>
        <w:rPr>
          <w:rFonts w:ascii="Arial" w:hAnsi="Arial" w:cs="Arial"/>
        </w:rPr>
        <w:t xml:space="preserve"> is</w:t>
      </w:r>
      <w:r w:rsidR="00780AE7" w:rsidRPr="000F50AB">
        <w:rPr>
          <w:rFonts w:ascii="Arial" w:hAnsi="Arial" w:cs="Arial"/>
        </w:rPr>
        <w:t xml:space="preserve"> taken to be present at the meeting</w:t>
      </w:r>
      <w:r>
        <w:rPr>
          <w:rFonts w:ascii="Arial" w:hAnsi="Arial" w:cs="Arial"/>
        </w:rPr>
        <w:t xml:space="preserve"> and is to be</w:t>
      </w:r>
      <w:r w:rsidR="00780AE7" w:rsidRPr="000F50AB">
        <w:rPr>
          <w:rFonts w:ascii="Arial" w:hAnsi="Arial" w:cs="Arial"/>
        </w:rPr>
        <w:t xml:space="preserve"> count</w:t>
      </w:r>
      <w:r>
        <w:rPr>
          <w:rFonts w:ascii="Arial" w:hAnsi="Arial" w:cs="Arial"/>
        </w:rPr>
        <w:t>ed</w:t>
      </w:r>
      <w:r w:rsidR="00780AE7" w:rsidRPr="000F50AB">
        <w:rPr>
          <w:rFonts w:ascii="Arial" w:hAnsi="Arial" w:cs="Arial"/>
        </w:rPr>
        <w:t xml:space="preserve"> towards the making up of a quorum. This change now confirms that absentee votes can be used for the purpose of making up quorum for a meeting of the owners corporation. </w:t>
      </w:r>
    </w:p>
    <w:p w14:paraId="405EA497" w14:textId="74FCAE4F" w:rsidR="00780AE7" w:rsidRPr="000F50AB" w:rsidRDefault="00780AE7" w:rsidP="00E70D14">
      <w:pPr>
        <w:rPr>
          <w:rFonts w:ascii="Arial" w:hAnsi="Arial" w:cs="Arial"/>
        </w:rPr>
      </w:pPr>
      <w:r w:rsidRPr="000F50AB">
        <w:rPr>
          <w:rFonts w:ascii="Arial" w:hAnsi="Arial" w:cs="Arial"/>
        </w:rPr>
        <w:lastRenderedPageBreak/>
        <w:t>However, a note has also been included to clarify that as absentee votes are cast before the commencement of a meeting, the absentee vote can only be cast on motions which were included in the meeting notice.</w:t>
      </w:r>
    </w:p>
    <w:p w14:paraId="7E20FA38" w14:textId="77777777" w:rsidR="00D7062D" w:rsidRDefault="00D7062D" w:rsidP="00D3034B">
      <w:pPr>
        <w:rPr>
          <w:rFonts w:ascii="Arial" w:hAnsi="Arial" w:cs="Arial"/>
          <w:sz w:val="24"/>
          <w:szCs w:val="24"/>
        </w:rPr>
      </w:pPr>
    </w:p>
    <w:sectPr w:rsidR="00D7062D" w:rsidSect="00F41A2F">
      <w:footerReference w:type="default" r:id="rId26"/>
      <w:footerReference w:type="first" r:id="rId27"/>
      <w:pgSz w:w="11906" w:h="16838"/>
      <w:pgMar w:top="1276" w:right="1440" w:bottom="1440" w:left="1440" w:header="709" w:footer="675"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039EE" w14:textId="77777777" w:rsidR="001334A5" w:rsidRDefault="001334A5">
      <w:pPr>
        <w:spacing w:after="0" w:line="240" w:lineRule="auto"/>
      </w:pPr>
      <w:r>
        <w:separator/>
      </w:r>
    </w:p>
  </w:endnote>
  <w:endnote w:type="continuationSeparator" w:id="0">
    <w:p w14:paraId="075964E2" w14:textId="77777777" w:rsidR="001334A5" w:rsidRDefault="001334A5">
      <w:pPr>
        <w:spacing w:after="0" w:line="240" w:lineRule="auto"/>
      </w:pPr>
      <w:r>
        <w:continuationSeparator/>
      </w:r>
    </w:p>
  </w:endnote>
  <w:endnote w:type="continuationNotice" w:id="1">
    <w:p w14:paraId="46493CE9" w14:textId="77777777" w:rsidR="001334A5" w:rsidRDefault="001334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E4C7C" w14:textId="77777777" w:rsidR="00261825" w:rsidRDefault="00261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36428" w14:textId="25DF8B05" w:rsidR="009C4C4E" w:rsidRPr="00261825" w:rsidRDefault="00261825" w:rsidP="00261825">
    <w:pPr>
      <w:pStyle w:val="Footer"/>
      <w:jc w:val="center"/>
      <w:rPr>
        <w:rFonts w:cs="Arial"/>
        <w:sz w:val="14"/>
      </w:rPr>
    </w:pPr>
    <w:r w:rsidRPr="00261825">
      <w:rPr>
        <w:rFonts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348B8" w14:textId="77777777" w:rsidR="009028C1" w:rsidRDefault="009028C1">
    <w:pPr>
      <w:pStyle w:val="Footer"/>
      <w:jc w:val="right"/>
    </w:pPr>
  </w:p>
  <w:p w14:paraId="1B19A0D3" w14:textId="77777777" w:rsidR="009028C1" w:rsidRPr="00DC5912" w:rsidRDefault="009028C1" w:rsidP="00DC591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F7F91" w14:textId="77777777" w:rsidR="009028C1" w:rsidRDefault="009028C1" w:rsidP="00937954">
    <w:pPr>
      <w:pStyle w:val="Footer"/>
      <w:spacing w:before="60" w:line="240" w:lineRule="auto"/>
      <w:jc w:val="right"/>
    </w:pPr>
    <w:r>
      <w:fldChar w:fldCharType="begin"/>
    </w:r>
    <w:r>
      <w:instrText xml:space="preserve"> PAGE   \* MERGEFORMAT </w:instrText>
    </w:r>
    <w:r>
      <w:fldChar w:fldCharType="separate"/>
    </w:r>
    <w:r w:rsidR="0057382D">
      <w:rPr>
        <w:noProof/>
      </w:rPr>
      <w:t>4</w:t>
    </w:r>
    <w:r>
      <w:fldChar w:fldCharType="end"/>
    </w:r>
  </w:p>
  <w:p w14:paraId="63EBCA6A" w14:textId="67C12A09" w:rsidR="00261825" w:rsidRPr="00261825" w:rsidRDefault="00261825" w:rsidP="00261825">
    <w:pPr>
      <w:pStyle w:val="Footer"/>
      <w:spacing w:before="60" w:line="240" w:lineRule="auto"/>
      <w:jc w:val="center"/>
      <w:rPr>
        <w:rFonts w:cs="Arial"/>
        <w:sz w:val="14"/>
      </w:rPr>
    </w:pPr>
    <w:r w:rsidRPr="00261825">
      <w:rPr>
        <w:rFonts w:cs="Arial"/>
        <w:sz w:val="14"/>
      </w:rPr>
      <w:t>Unauthorised version prepared by ACT Parliamentary Counsel’s Office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375DD" w14:textId="77777777" w:rsidR="009028C1" w:rsidRDefault="009028C1">
    <w:pPr>
      <w:pStyle w:val="Footer"/>
      <w:jc w:val="right"/>
    </w:pPr>
    <w:r>
      <w:fldChar w:fldCharType="begin"/>
    </w:r>
    <w:r>
      <w:instrText xml:space="preserve"> PAGE   \* MERGEFORMAT </w:instrText>
    </w:r>
    <w:r>
      <w:fldChar w:fldCharType="separate"/>
    </w:r>
    <w:r w:rsidR="0057382D">
      <w:rPr>
        <w:noProof/>
      </w:rPr>
      <w:t>1</w:t>
    </w:r>
    <w:r>
      <w:fldChar w:fldCharType="end"/>
    </w:r>
  </w:p>
  <w:p w14:paraId="3C629D25" w14:textId="0BE50DF2" w:rsidR="009C4C4E" w:rsidRPr="00261825" w:rsidRDefault="00261825" w:rsidP="00261825">
    <w:pPr>
      <w:pStyle w:val="Footer"/>
      <w:jc w:val="center"/>
      <w:rPr>
        <w:rFonts w:cs="Arial"/>
        <w:sz w:val="14"/>
      </w:rPr>
    </w:pPr>
    <w:r w:rsidRPr="00261825">
      <w:rPr>
        <w:rFonts w:cs="Arial"/>
        <w:sz w:val="14"/>
      </w:rPr>
      <w:t>Unauthorised version prepared by ACT Parliamentary Counsel’s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CE127" w14:textId="77777777" w:rsidR="001334A5" w:rsidRDefault="001334A5">
      <w:pPr>
        <w:spacing w:after="0" w:line="240" w:lineRule="auto"/>
      </w:pPr>
      <w:r>
        <w:separator/>
      </w:r>
    </w:p>
  </w:footnote>
  <w:footnote w:type="continuationSeparator" w:id="0">
    <w:p w14:paraId="4D3DB1B7" w14:textId="77777777" w:rsidR="001334A5" w:rsidRDefault="001334A5">
      <w:pPr>
        <w:spacing w:after="0" w:line="240" w:lineRule="auto"/>
      </w:pPr>
      <w:r>
        <w:continuationSeparator/>
      </w:r>
    </w:p>
  </w:footnote>
  <w:footnote w:type="continuationNotice" w:id="1">
    <w:p w14:paraId="3155B851" w14:textId="77777777" w:rsidR="001334A5" w:rsidRDefault="001334A5">
      <w:pPr>
        <w:spacing w:after="0" w:line="240" w:lineRule="auto"/>
      </w:pPr>
    </w:p>
  </w:footnote>
  <w:footnote w:id="2">
    <w:p w14:paraId="33A74723" w14:textId="6D14C548" w:rsidR="000D26E7" w:rsidRPr="000D26E7" w:rsidRDefault="000D26E7">
      <w:pPr>
        <w:pStyle w:val="FootnoteText"/>
        <w:rPr>
          <w:lang w:val="en-AU"/>
        </w:rPr>
      </w:pPr>
      <w:r>
        <w:rPr>
          <w:rStyle w:val="FootnoteReference"/>
        </w:rPr>
        <w:footnoteRef/>
      </w:r>
      <w:r>
        <w:t xml:space="preserve"> See Recommendation 13. The Inquiry report is available at: </w:t>
      </w:r>
      <w:hyperlink r:id="rId1" w:history="1">
        <w:r w:rsidRPr="00D947F1">
          <w:rPr>
            <w:rStyle w:val="Hyperlink"/>
          </w:rPr>
          <w:t>https://www.parliament.act.gov.au/__data/assets/pdf_file/0019/3056113/Report-8-Inquiry-into-the-management-of-strata-properties-Adopted-29-April-2026.pdf</w:t>
        </w:r>
      </w:hyperlink>
      <w:r>
        <w:t xml:space="preserve"> </w:t>
      </w:r>
    </w:p>
  </w:footnote>
  <w:footnote w:id="3">
    <w:p w14:paraId="33F51162" w14:textId="04E20EB0" w:rsidR="00774B93" w:rsidRPr="00774B93" w:rsidRDefault="00774B93">
      <w:pPr>
        <w:pStyle w:val="FootnoteText"/>
        <w:rPr>
          <w:rFonts w:asciiTheme="minorHAnsi" w:hAnsiTheme="minorHAnsi" w:cstheme="minorHAnsi"/>
          <w:lang w:val="en-AU"/>
        </w:rPr>
      </w:pPr>
      <w:r w:rsidRPr="00774B93">
        <w:rPr>
          <w:rStyle w:val="FootnoteReference"/>
          <w:rFonts w:asciiTheme="minorHAnsi" w:hAnsiTheme="minorHAnsi" w:cstheme="minorHAnsi"/>
        </w:rPr>
        <w:footnoteRef/>
      </w:r>
      <w:r w:rsidRPr="00774B93">
        <w:rPr>
          <w:rFonts w:asciiTheme="minorHAnsi" w:hAnsiTheme="minorHAnsi" w:cstheme="minorHAnsi"/>
        </w:rPr>
        <w:t xml:space="preserve"> </w:t>
      </w:r>
      <w:hyperlink r:id="rId2" w:history="1">
        <w:r w:rsidRPr="00774B93">
          <w:rPr>
            <w:rStyle w:val="Hyperlink"/>
            <w:rFonts w:asciiTheme="minorHAnsi" w:hAnsiTheme="minorHAnsi" w:cstheme="minorHAnsi"/>
            <w:lang w:val="en-AU"/>
          </w:rPr>
          <w:t>The human right to a clean, healthy and sustainable environment</w:t>
        </w:r>
      </w:hyperlink>
      <w:r w:rsidRPr="00774B93">
        <w:rPr>
          <w:rFonts w:asciiTheme="minorHAnsi" w:hAnsiTheme="minorHAnsi" w:cstheme="minorHAnsi"/>
          <w:lang w:val="en-AU"/>
        </w:rPr>
        <w:t>, GA Res 76/300, UN Doc A/RES/76/300 (adopted 28 July 2022).</w:t>
      </w:r>
    </w:p>
  </w:footnote>
  <w:footnote w:id="4">
    <w:p w14:paraId="668D9716" w14:textId="5EFB4A6B" w:rsidR="00BE7856" w:rsidRPr="00BE7856" w:rsidRDefault="00BE7856">
      <w:pPr>
        <w:pStyle w:val="FootnoteText"/>
        <w:rPr>
          <w:rFonts w:asciiTheme="minorHAnsi" w:hAnsiTheme="minorHAnsi" w:cstheme="minorHAnsi"/>
          <w:lang w:val="en-AU"/>
        </w:rPr>
      </w:pPr>
      <w:r w:rsidRPr="00BE7856">
        <w:rPr>
          <w:rStyle w:val="FootnoteReference"/>
          <w:rFonts w:asciiTheme="minorHAnsi" w:hAnsiTheme="minorHAnsi" w:cstheme="minorHAnsi"/>
        </w:rPr>
        <w:footnoteRef/>
      </w:r>
      <w:r w:rsidRPr="00BE7856">
        <w:rPr>
          <w:rFonts w:asciiTheme="minorHAnsi" w:hAnsiTheme="minorHAnsi" w:cstheme="minorHAnsi"/>
        </w:rPr>
        <w:t xml:space="preserve"> </w:t>
      </w:r>
      <w:r w:rsidRPr="00BE7856">
        <w:rPr>
          <w:rFonts w:asciiTheme="minorHAnsi" w:hAnsiTheme="minorHAnsi" w:cstheme="minorHAnsi"/>
          <w:lang w:val="en-AU"/>
        </w:rPr>
        <w:t xml:space="preserve">See </w:t>
      </w:r>
      <w:hyperlink r:id="rId3" w:history="1">
        <w:r w:rsidRPr="00BE7856">
          <w:rPr>
            <w:rStyle w:val="Hyperlink"/>
            <w:rFonts w:asciiTheme="minorHAnsi" w:hAnsiTheme="minorHAnsi" w:cstheme="minorHAnsi"/>
            <w:lang w:val="en-AU"/>
          </w:rPr>
          <w:t>Integrated Energy Plan 2024-2030</w:t>
        </w:r>
      </w:hyperlink>
      <w:r w:rsidRPr="00BE7856">
        <w:rPr>
          <w:rFonts w:asciiTheme="minorHAnsi" w:hAnsiTheme="minorHAnsi" w:cstheme="minorHAnsi"/>
          <w:lang w:val="en-AU"/>
        </w:rPr>
        <w:t xml:space="preserve">, page 10.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8E843" w14:textId="77777777" w:rsidR="00261825" w:rsidRDefault="00261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FD8AA" w14:textId="77777777" w:rsidR="00261825" w:rsidRDefault="002618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44749" w14:textId="77777777" w:rsidR="00261825" w:rsidRDefault="002618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316D8"/>
    <w:multiLevelType w:val="hybridMultilevel"/>
    <w:tmpl w:val="56E6186E"/>
    <w:lvl w:ilvl="0" w:tplc="79040C0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3475D0F"/>
    <w:multiLevelType w:val="multilevel"/>
    <w:tmpl w:val="BC36F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E33BF3"/>
    <w:multiLevelType w:val="hybridMultilevel"/>
    <w:tmpl w:val="98F2F3B6"/>
    <w:lvl w:ilvl="0" w:tplc="85442542">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 w15:restartNumberingAfterBreak="0">
    <w:nsid w:val="04EB4AAB"/>
    <w:multiLevelType w:val="hybridMultilevel"/>
    <w:tmpl w:val="A4B2B346"/>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051058A3"/>
    <w:multiLevelType w:val="hybridMultilevel"/>
    <w:tmpl w:val="7A8CCF1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54970F8"/>
    <w:multiLevelType w:val="hybridMultilevel"/>
    <w:tmpl w:val="52BECEB2"/>
    <w:lvl w:ilvl="0" w:tplc="5B1E1AF8">
      <w:start w:val="1"/>
      <w:numFmt w:val="bullet"/>
      <w:lvlText w:val="o"/>
      <w:lvlJc w:val="left"/>
      <w:pPr>
        <w:ind w:left="985" w:hanging="360"/>
      </w:pPr>
      <w:rPr>
        <w:rFonts w:ascii="Courier New" w:hAnsi="Courier New" w:cs="Courier New" w:hint="default"/>
        <w:color w:val="595959" w:themeColor="text1" w:themeTint="A6"/>
        <w:sz w:val="18"/>
        <w:szCs w:val="18"/>
      </w:rPr>
    </w:lvl>
    <w:lvl w:ilvl="1" w:tplc="0C090003" w:tentative="1">
      <w:start w:val="1"/>
      <w:numFmt w:val="bullet"/>
      <w:lvlText w:val="o"/>
      <w:lvlJc w:val="left"/>
      <w:pPr>
        <w:ind w:left="1705" w:hanging="360"/>
      </w:pPr>
      <w:rPr>
        <w:rFonts w:ascii="Courier New" w:hAnsi="Courier New" w:cs="Courier New" w:hint="default"/>
      </w:rPr>
    </w:lvl>
    <w:lvl w:ilvl="2" w:tplc="0C090005" w:tentative="1">
      <w:start w:val="1"/>
      <w:numFmt w:val="bullet"/>
      <w:lvlText w:val=""/>
      <w:lvlJc w:val="left"/>
      <w:pPr>
        <w:ind w:left="2425" w:hanging="360"/>
      </w:pPr>
      <w:rPr>
        <w:rFonts w:ascii="Wingdings" w:hAnsi="Wingdings" w:hint="default"/>
      </w:rPr>
    </w:lvl>
    <w:lvl w:ilvl="3" w:tplc="0C090001" w:tentative="1">
      <w:start w:val="1"/>
      <w:numFmt w:val="bullet"/>
      <w:lvlText w:val=""/>
      <w:lvlJc w:val="left"/>
      <w:pPr>
        <w:ind w:left="3145" w:hanging="360"/>
      </w:pPr>
      <w:rPr>
        <w:rFonts w:ascii="Symbol" w:hAnsi="Symbol" w:hint="default"/>
      </w:rPr>
    </w:lvl>
    <w:lvl w:ilvl="4" w:tplc="0C090003" w:tentative="1">
      <w:start w:val="1"/>
      <w:numFmt w:val="bullet"/>
      <w:lvlText w:val="o"/>
      <w:lvlJc w:val="left"/>
      <w:pPr>
        <w:ind w:left="3865" w:hanging="360"/>
      </w:pPr>
      <w:rPr>
        <w:rFonts w:ascii="Courier New" w:hAnsi="Courier New" w:cs="Courier New" w:hint="default"/>
      </w:rPr>
    </w:lvl>
    <w:lvl w:ilvl="5" w:tplc="0C090005" w:tentative="1">
      <w:start w:val="1"/>
      <w:numFmt w:val="bullet"/>
      <w:lvlText w:val=""/>
      <w:lvlJc w:val="left"/>
      <w:pPr>
        <w:ind w:left="4585" w:hanging="360"/>
      </w:pPr>
      <w:rPr>
        <w:rFonts w:ascii="Wingdings" w:hAnsi="Wingdings" w:hint="default"/>
      </w:rPr>
    </w:lvl>
    <w:lvl w:ilvl="6" w:tplc="0C090001" w:tentative="1">
      <w:start w:val="1"/>
      <w:numFmt w:val="bullet"/>
      <w:lvlText w:val=""/>
      <w:lvlJc w:val="left"/>
      <w:pPr>
        <w:ind w:left="5305" w:hanging="360"/>
      </w:pPr>
      <w:rPr>
        <w:rFonts w:ascii="Symbol" w:hAnsi="Symbol" w:hint="default"/>
      </w:rPr>
    </w:lvl>
    <w:lvl w:ilvl="7" w:tplc="0C090003" w:tentative="1">
      <w:start w:val="1"/>
      <w:numFmt w:val="bullet"/>
      <w:lvlText w:val="o"/>
      <w:lvlJc w:val="left"/>
      <w:pPr>
        <w:ind w:left="6025" w:hanging="360"/>
      </w:pPr>
      <w:rPr>
        <w:rFonts w:ascii="Courier New" w:hAnsi="Courier New" w:cs="Courier New" w:hint="default"/>
      </w:rPr>
    </w:lvl>
    <w:lvl w:ilvl="8" w:tplc="0C090005" w:tentative="1">
      <w:start w:val="1"/>
      <w:numFmt w:val="bullet"/>
      <w:lvlText w:val=""/>
      <w:lvlJc w:val="left"/>
      <w:pPr>
        <w:ind w:left="6745" w:hanging="360"/>
      </w:pPr>
      <w:rPr>
        <w:rFonts w:ascii="Wingdings" w:hAnsi="Wingdings" w:hint="default"/>
      </w:rPr>
    </w:lvl>
  </w:abstractNum>
  <w:abstractNum w:abstractNumId="6" w15:restartNumberingAfterBreak="0">
    <w:nsid w:val="08637305"/>
    <w:multiLevelType w:val="hybridMultilevel"/>
    <w:tmpl w:val="A5B0D0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BEA4A3E"/>
    <w:multiLevelType w:val="hybridMultilevel"/>
    <w:tmpl w:val="228CE00E"/>
    <w:lvl w:ilvl="0" w:tplc="0532D00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0CAB22B5"/>
    <w:multiLevelType w:val="hybridMultilevel"/>
    <w:tmpl w:val="5BD68F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D91184F"/>
    <w:multiLevelType w:val="hybridMultilevel"/>
    <w:tmpl w:val="6E5410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E8F2830"/>
    <w:multiLevelType w:val="hybridMultilevel"/>
    <w:tmpl w:val="4BB01010"/>
    <w:lvl w:ilvl="0" w:tplc="0532D00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0095F75"/>
    <w:multiLevelType w:val="hybridMultilevel"/>
    <w:tmpl w:val="C19C00B0"/>
    <w:lvl w:ilvl="0" w:tplc="85442542">
      <w:start w:val="1"/>
      <w:numFmt w:val="lowerLetter"/>
      <w:lvlText w:val="(%1)"/>
      <w:lvlJc w:val="left"/>
      <w:pPr>
        <w:ind w:left="108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1E3633F"/>
    <w:multiLevelType w:val="hybridMultilevel"/>
    <w:tmpl w:val="72FA82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41467CA"/>
    <w:multiLevelType w:val="hybridMultilevel"/>
    <w:tmpl w:val="142C1C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8867CA9"/>
    <w:multiLevelType w:val="multilevel"/>
    <w:tmpl w:val="11904330"/>
    <w:lvl w:ilvl="0">
      <w:start w:val="1"/>
      <w:numFmt w:val="decimal"/>
      <w:lvlText w:val="%1)"/>
      <w:lvlJc w:val="left"/>
      <w:pPr>
        <w:ind w:left="340" w:hanging="340"/>
      </w:pPr>
      <w:rPr>
        <w:rFonts w:hint="default"/>
        <w:sz w:val="24"/>
      </w:rPr>
    </w:lvl>
    <w:lvl w:ilvl="1">
      <w:start w:val="1"/>
      <w:numFmt w:val="bullet"/>
      <w:lvlText w:val=""/>
      <w:lvlJc w:val="left"/>
      <w:pPr>
        <w:ind w:left="720" w:hanging="360"/>
      </w:pPr>
      <w:rPr>
        <w:rFonts w:ascii="Symbol" w:hAnsi="Symbol" w:hint="default"/>
        <w:sz w:val="24"/>
      </w:rPr>
    </w:lvl>
    <w:lvl w:ilvl="2">
      <w:start w:val="1"/>
      <w:numFmt w:val="lowerRoman"/>
      <w:lvlText w:val="%3."/>
      <w:lvlJc w:val="left"/>
      <w:pPr>
        <w:ind w:left="1020" w:hanging="340"/>
      </w:pPr>
      <w:rPr>
        <w:rFonts w:hint="default"/>
        <w:sz w:val="24"/>
      </w:rPr>
    </w:lvl>
    <w:lvl w:ilvl="3">
      <w:start w:val="1"/>
      <w:numFmt w:val="upperLetter"/>
      <w:lvlText w:val="(%4)"/>
      <w:lvlJc w:val="left"/>
      <w:pPr>
        <w:ind w:left="1474" w:hanging="454"/>
      </w:pPr>
      <w:rPr>
        <w:rFonts w:hint="default"/>
        <w:sz w:val="24"/>
      </w:rPr>
    </w:lvl>
    <w:lvl w:ilvl="4">
      <w:start w:val="1"/>
      <w:numFmt w:val="decimal"/>
      <w:lvlText w:val="%5."/>
      <w:lvlJc w:val="left"/>
      <w:pPr>
        <w:ind w:left="1700" w:hanging="340"/>
      </w:pPr>
      <w:rPr>
        <w:rFonts w:hint="default"/>
        <w:sz w:val="24"/>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5" w15:restartNumberingAfterBreak="0">
    <w:nsid w:val="1E0F6417"/>
    <w:multiLevelType w:val="hybridMultilevel"/>
    <w:tmpl w:val="A4B2B346"/>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20564C07"/>
    <w:multiLevelType w:val="hybridMultilevel"/>
    <w:tmpl w:val="FDB84144"/>
    <w:lvl w:ilvl="0" w:tplc="0532D00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0BE5537"/>
    <w:multiLevelType w:val="hybridMultilevel"/>
    <w:tmpl w:val="A4B2B346"/>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237A3706"/>
    <w:multiLevelType w:val="multilevel"/>
    <w:tmpl w:val="3C7AA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63C16B5"/>
    <w:multiLevelType w:val="hybridMultilevel"/>
    <w:tmpl w:val="A4B2B346"/>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29543D12"/>
    <w:multiLevelType w:val="hybridMultilevel"/>
    <w:tmpl w:val="2CC034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9A7256C"/>
    <w:multiLevelType w:val="hybridMultilevel"/>
    <w:tmpl w:val="A1CA53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29D20FC6"/>
    <w:multiLevelType w:val="hybridMultilevel"/>
    <w:tmpl w:val="8D6CF8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B19297D"/>
    <w:multiLevelType w:val="hybridMultilevel"/>
    <w:tmpl w:val="AE56AAA4"/>
    <w:lvl w:ilvl="0" w:tplc="0532D00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2C947069"/>
    <w:multiLevelType w:val="multilevel"/>
    <w:tmpl w:val="11904330"/>
    <w:lvl w:ilvl="0">
      <w:start w:val="1"/>
      <w:numFmt w:val="decimal"/>
      <w:lvlText w:val="%1)"/>
      <w:lvlJc w:val="left"/>
      <w:pPr>
        <w:ind w:left="340" w:hanging="340"/>
      </w:pPr>
      <w:rPr>
        <w:rFonts w:hint="default"/>
        <w:sz w:val="24"/>
      </w:rPr>
    </w:lvl>
    <w:lvl w:ilvl="1">
      <w:start w:val="1"/>
      <w:numFmt w:val="bullet"/>
      <w:lvlText w:val=""/>
      <w:lvlJc w:val="left"/>
      <w:pPr>
        <w:ind w:left="720" w:hanging="360"/>
      </w:pPr>
      <w:rPr>
        <w:rFonts w:ascii="Symbol" w:hAnsi="Symbol" w:hint="default"/>
      </w:rPr>
    </w:lvl>
    <w:lvl w:ilvl="2">
      <w:start w:val="1"/>
      <w:numFmt w:val="lowerRoman"/>
      <w:lvlText w:val="%3."/>
      <w:lvlJc w:val="left"/>
      <w:pPr>
        <w:ind w:left="1020" w:hanging="340"/>
      </w:pPr>
      <w:rPr>
        <w:rFonts w:hint="default"/>
        <w:sz w:val="24"/>
      </w:rPr>
    </w:lvl>
    <w:lvl w:ilvl="3">
      <w:start w:val="1"/>
      <w:numFmt w:val="upperLetter"/>
      <w:lvlText w:val="(%4)"/>
      <w:lvlJc w:val="left"/>
      <w:pPr>
        <w:ind w:left="1474" w:hanging="454"/>
      </w:pPr>
      <w:rPr>
        <w:rFonts w:hint="default"/>
        <w:sz w:val="24"/>
      </w:rPr>
    </w:lvl>
    <w:lvl w:ilvl="4">
      <w:start w:val="1"/>
      <w:numFmt w:val="decimal"/>
      <w:lvlText w:val="%5."/>
      <w:lvlJc w:val="left"/>
      <w:pPr>
        <w:ind w:left="1700" w:hanging="340"/>
      </w:pPr>
      <w:rPr>
        <w:rFonts w:hint="default"/>
        <w:sz w:val="24"/>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25" w15:restartNumberingAfterBreak="0">
    <w:nsid w:val="35CA50FA"/>
    <w:multiLevelType w:val="hybridMultilevel"/>
    <w:tmpl w:val="5352D8FA"/>
    <w:lvl w:ilvl="0" w:tplc="0532D00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361746F2"/>
    <w:multiLevelType w:val="hybridMultilevel"/>
    <w:tmpl w:val="EAEC27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F222EBB"/>
    <w:multiLevelType w:val="hybridMultilevel"/>
    <w:tmpl w:val="1612FB84"/>
    <w:lvl w:ilvl="0" w:tplc="0532D00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411F1340"/>
    <w:multiLevelType w:val="hybridMultilevel"/>
    <w:tmpl w:val="59904166"/>
    <w:lvl w:ilvl="0" w:tplc="0532D00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48C15B21"/>
    <w:multiLevelType w:val="hybridMultilevel"/>
    <w:tmpl w:val="A4B2B346"/>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4AF8461D"/>
    <w:multiLevelType w:val="hybridMultilevel"/>
    <w:tmpl w:val="4C4C893A"/>
    <w:lvl w:ilvl="0" w:tplc="7F8EF316">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4CF75A41"/>
    <w:multiLevelType w:val="hybridMultilevel"/>
    <w:tmpl w:val="A4B2B346"/>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4E8A4116"/>
    <w:multiLevelType w:val="hybridMultilevel"/>
    <w:tmpl w:val="79E0F7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0BE470F"/>
    <w:multiLevelType w:val="hybridMultilevel"/>
    <w:tmpl w:val="B520F9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1A60C5C"/>
    <w:multiLevelType w:val="hybridMultilevel"/>
    <w:tmpl w:val="931C2B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5D33CBF"/>
    <w:multiLevelType w:val="hybridMultilevel"/>
    <w:tmpl w:val="62D898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C4C249D"/>
    <w:multiLevelType w:val="hybridMultilevel"/>
    <w:tmpl w:val="A4B2B346"/>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60CE1103"/>
    <w:multiLevelType w:val="hybridMultilevel"/>
    <w:tmpl w:val="BEB0E7D6"/>
    <w:lvl w:ilvl="0" w:tplc="73EEE99A">
      <w:start w:val="1"/>
      <w:numFmt w:val="lowerLetter"/>
      <w:lvlText w:val="(%1)"/>
      <w:lvlJc w:val="left"/>
      <w:pPr>
        <w:ind w:left="360" w:hanging="360"/>
      </w:pPr>
      <w:rPr>
        <w:rFonts w:ascii="Calibri" w:eastAsia="Times New Roman" w:hAnsi="Calibri" w:cs="Times New Roman" w:hint="default"/>
        <w:sz w:val="24"/>
        <w:szCs w:val="24"/>
      </w:rPr>
    </w:lvl>
    <w:lvl w:ilvl="1" w:tplc="0C090019" w:tentative="1">
      <w:start w:val="1"/>
      <w:numFmt w:val="lowerLetter"/>
      <w:lvlText w:val="%2."/>
      <w:lvlJc w:val="left"/>
      <w:pPr>
        <w:ind w:left="1080" w:hanging="360"/>
      </w:pPr>
      <w:rPr>
        <w:rFonts w:cs="Times New Roman"/>
      </w:rPr>
    </w:lvl>
    <w:lvl w:ilvl="2" w:tplc="0C09001B" w:tentative="1">
      <w:start w:val="1"/>
      <w:numFmt w:val="lowerRoman"/>
      <w:lvlText w:val="%3."/>
      <w:lvlJc w:val="right"/>
      <w:pPr>
        <w:ind w:left="1800" w:hanging="180"/>
      </w:pPr>
      <w:rPr>
        <w:rFonts w:cs="Times New Roman"/>
      </w:rPr>
    </w:lvl>
    <w:lvl w:ilvl="3" w:tplc="0C09000F" w:tentative="1">
      <w:start w:val="1"/>
      <w:numFmt w:val="decimal"/>
      <w:lvlText w:val="%4."/>
      <w:lvlJc w:val="left"/>
      <w:pPr>
        <w:ind w:left="2520" w:hanging="360"/>
      </w:pPr>
      <w:rPr>
        <w:rFonts w:cs="Times New Roman"/>
      </w:rPr>
    </w:lvl>
    <w:lvl w:ilvl="4" w:tplc="0C090019">
      <w:start w:val="1"/>
      <w:numFmt w:val="lowerLetter"/>
      <w:pStyle w:val="AH5Sec"/>
      <w:lvlText w:val="%5."/>
      <w:lvlJc w:val="left"/>
      <w:pPr>
        <w:ind w:left="3240" w:hanging="360"/>
      </w:pPr>
      <w:rPr>
        <w:rFonts w:cs="Times New Roman"/>
      </w:rPr>
    </w:lvl>
    <w:lvl w:ilvl="5" w:tplc="0C09001B" w:tentative="1">
      <w:start w:val="1"/>
      <w:numFmt w:val="lowerRoman"/>
      <w:pStyle w:val="Amain"/>
      <w:lvlText w:val="%6."/>
      <w:lvlJc w:val="right"/>
      <w:pPr>
        <w:ind w:left="3960" w:hanging="180"/>
      </w:pPr>
      <w:rPr>
        <w:rFonts w:cs="Times New Roman"/>
      </w:rPr>
    </w:lvl>
    <w:lvl w:ilvl="6" w:tplc="0C09000F" w:tentative="1">
      <w:start w:val="1"/>
      <w:numFmt w:val="decimal"/>
      <w:lvlText w:val="%7."/>
      <w:lvlJc w:val="left"/>
      <w:pPr>
        <w:ind w:left="4680" w:hanging="360"/>
      </w:pPr>
      <w:rPr>
        <w:rFonts w:cs="Times New Roman"/>
      </w:rPr>
    </w:lvl>
    <w:lvl w:ilvl="7" w:tplc="0C090019" w:tentative="1">
      <w:start w:val="1"/>
      <w:numFmt w:val="lowerLetter"/>
      <w:lvlText w:val="%8."/>
      <w:lvlJc w:val="left"/>
      <w:pPr>
        <w:ind w:left="5400" w:hanging="360"/>
      </w:pPr>
      <w:rPr>
        <w:rFonts w:cs="Times New Roman"/>
      </w:rPr>
    </w:lvl>
    <w:lvl w:ilvl="8" w:tplc="0C09001B" w:tentative="1">
      <w:start w:val="1"/>
      <w:numFmt w:val="lowerRoman"/>
      <w:lvlText w:val="%9."/>
      <w:lvlJc w:val="right"/>
      <w:pPr>
        <w:ind w:left="6120" w:hanging="180"/>
      </w:pPr>
      <w:rPr>
        <w:rFonts w:cs="Times New Roman"/>
      </w:rPr>
    </w:lvl>
  </w:abstractNum>
  <w:abstractNum w:abstractNumId="38" w15:restartNumberingAfterBreak="0">
    <w:nsid w:val="61635E9F"/>
    <w:multiLevelType w:val="hybridMultilevel"/>
    <w:tmpl w:val="EFAE904A"/>
    <w:lvl w:ilvl="0" w:tplc="0532D00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618C7C07"/>
    <w:multiLevelType w:val="hybridMultilevel"/>
    <w:tmpl w:val="B56EB8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30F1111"/>
    <w:multiLevelType w:val="hybridMultilevel"/>
    <w:tmpl w:val="565A1F22"/>
    <w:lvl w:ilvl="0" w:tplc="0532D00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6460115B"/>
    <w:multiLevelType w:val="hybridMultilevel"/>
    <w:tmpl w:val="A09280AE"/>
    <w:lvl w:ilvl="0" w:tplc="1FE4E6C4">
      <w:numFmt w:val="bullet"/>
      <w:lvlText w:val="•"/>
      <w:lvlJc w:val="left"/>
      <w:pPr>
        <w:ind w:left="961" w:hanging="360"/>
      </w:pPr>
      <w:rPr>
        <w:rFonts w:ascii="Calibri" w:eastAsiaTheme="minorHAnsi" w:hAnsi="Calibri" w:cs="Calibri" w:hint="default"/>
        <w:color w:val="auto"/>
        <w:sz w:val="22"/>
        <w:szCs w:val="22"/>
      </w:rPr>
    </w:lvl>
    <w:lvl w:ilvl="1" w:tplc="5B1E1AF8">
      <w:start w:val="1"/>
      <w:numFmt w:val="bullet"/>
      <w:lvlText w:val="o"/>
      <w:lvlJc w:val="left"/>
      <w:pPr>
        <w:ind w:left="1681" w:hanging="360"/>
      </w:pPr>
      <w:rPr>
        <w:rFonts w:ascii="Courier New" w:hAnsi="Courier New" w:cs="Courier New" w:hint="default"/>
        <w:color w:val="595959" w:themeColor="text1" w:themeTint="A6"/>
        <w:sz w:val="18"/>
        <w:szCs w:val="18"/>
      </w:rPr>
    </w:lvl>
    <w:lvl w:ilvl="2" w:tplc="0C090005">
      <w:start w:val="1"/>
      <w:numFmt w:val="bullet"/>
      <w:lvlText w:val=""/>
      <w:lvlJc w:val="left"/>
      <w:pPr>
        <w:ind w:left="2401" w:hanging="360"/>
      </w:pPr>
      <w:rPr>
        <w:rFonts w:ascii="Wingdings" w:hAnsi="Wingdings" w:hint="default"/>
      </w:rPr>
    </w:lvl>
    <w:lvl w:ilvl="3" w:tplc="0C090001" w:tentative="1">
      <w:start w:val="1"/>
      <w:numFmt w:val="bullet"/>
      <w:lvlText w:val=""/>
      <w:lvlJc w:val="left"/>
      <w:pPr>
        <w:ind w:left="3121" w:hanging="360"/>
      </w:pPr>
      <w:rPr>
        <w:rFonts w:ascii="Symbol" w:hAnsi="Symbol" w:hint="default"/>
      </w:rPr>
    </w:lvl>
    <w:lvl w:ilvl="4" w:tplc="0C090003" w:tentative="1">
      <w:start w:val="1"/>
      <w:numFmt w:val="bullet"/>
      <w:lvlText w:val="o"/>
      <w:lvlJc w:val="left"/>
      <w:pPr>
        <w:ind w:left="3841" w:hanging="360"/>
      </w:pPr>
      <w:rPr>
        <w:rFonts w:ascii="Courier New" w:hAnsi="Courier New" w:cs="Courier New" w:hint="default"/>
      </w:rPr>
    </w:lvl>
    <w:lvl w:ilvl="5" w:tplc="0C090005" w:tentative="1">
      <w:start w:val="1"/>
      <w:numFmt w:val="bullet"/>
      <w:lvlText w:val=""/>
      <w:lvlJc w:val="left"/>
      <w:pPr>
        <w:ind w:left="4561" w:hanging="360"/>
      </w:pPr>
      <w:rPr>
        <w:rFonts w:ascii="Wingdings" w:hAnsi="Wingdings" w:hint="default"/>
      </w:rPr>
    </w:lvl>
    <w:lvl w:ilvl="6" w:tplc="0C090001" w:tentative="1">
      <w:start w:val="1"/>
      <w:numFmt w:val="bullet"/>
      <w:lvlText w:val=""/>
      <w:lvlJc w:val="left"/>
      <w:pPr>
        <w:ind w:left="5281" w:hanging="360"/>
      </w:pPr>
      <w:rPr>
        <w:rFonts w:ascii="Symbol" w:hAnsi="Symbol" w:hint="default"/>
      </w:rPr>
    </w:lvl>
    <w:lvl w:ilvl="7" w:tplc="0C090003" w:tentative="1">
      <w:start w:val="1"/>
      <w:numFmt w:val="bullet"/>
      <w:lvlText w:val="o"/>
      <w:lvlJc w:val="left"/>
      <w:pPr>
        <w:ind w:left="6001" w:hanging="360"/>
      </w:pPr>
      <w:rPr>
        <w:rFonts w:ascii="Courier New" w:hAnsi="Courier New" w:cs="Courier New" w:hint="default"/>
      </w:rPr>
    </w:lvl>
    <w:lvl w:ilvl="8" w:tplc="0C090005" w:tentative="1">
      <w:start w:val="1"/>
      <w:numFmt w:val="bullet"/>
      <w:lvlText w:val=""/>
      <w:lvlJc w:val="left"/>
      <w:pPr>
        <w:ind w:left="6721" w:hanging="360"/>
      </w:pPr>
      <w:rPr>
        <w:rFonts w:ascii="Wingdings" w:hAnsi="Wingdings" w:hint="default"/>
      </w:rPr>
    </w:lvl>
  </w:abstractNum>
  <w:abstractNum w:abstractNumId="42" w15:restartNumberingAfterBreak="0">
    <w:nsid w:val="6CD6226A"/>
    <w:multiLevelType w:val="hybridMultilevel"/>
    <w:tmpl w:val="C81A1B52"/>
    <w:lvl w:ilvl="0" w:tplc="0C090001">
      <w:start w:val="1"/>
      <w:numFmt w:val="bullet"/>
      <w:lvlText w:val=""/>
      <w:lvlJc w:val="left"/>
      <w:pPr>
        <w:ind w:left="782" w:hanging="360"/>
      </w:pPr>
      <w:rPr>
        <w:rFonts w:ascii="Symbol" w:hAnsi="Symbol" w:hint="default"/>
      </w:rPr>
    </w:lvl>
    <w:lvl w:ilvl="1" w:tplc="0C090003" w:tentative="1">
      <w:start w:val="1"/>
      <w:numFmt w:val="bullet"/>
      <w:lvlText w:val="o"/>
      <w:lvlJc w:val="left"/>
      <w:pPr>
        <w:ind w:left="1502" w:hanging="360"/>
      </w:pPr>
      <w:rPr>
        <w:rFonts w:ascii="Courier New" w:hAnsi="Courier New" w:cs="Courier New" w:hint="default"/>
      </w:rPr>
    </w:lvl>
    <w:lvl w:ilvl="2" w:tplc="0C090005" w:tentative="1">
      <w:start w:val="1"/>
      <w:numFmt w:val="bullet"/>
      <w:lvlText w:val=""/>
      <w:lvlJc w:val="left"/>
      <w:pPr>
        <w:ind w:left="2222" w:hanging="360"/>
      </w:pPr>
      <w:rPr>
        <w:rFonts w:ascii="Wingdings" w:hAnsi="Wingdings" w:hint="default"/>
      </w:rPr>
    </w:lvl>
    <w:lvl w:ilvl="3" w:tplc="0C090001" w:tentative="1">
      <w:start w:val="1"/>
      <w:numFmt w:val="bullet"/>
      <w:lvlText w:val=""/>
      <w:lvlJc w:val="left"/>
      <w:pPr>
        <w:ind w:left="2942" w:hanging="360"/>
      </w:pPr>
      <w:rPr>
        <w:rFonts w:ascii="Symbol" w:hAnsi="Symbol" w:hint="default"/>
      </w:rPr>
    </w:lvl>
    <w:lvl w:ilvl="4" w:tplc="0C090003" w:tentative="1">
      <w:start w:val="1"/>
      <w:numFmt w:val="bullet"/>
      <w:lvlText w:val="o"/>
      <w:lvlJc w:val="left"/>
      <w:pPr>
        <w:ind w:left="3662" w:hanging="360"/>
      </w:pPr>
      <w:rPr>
        <w:rFonts w:ascii="Courier New" w:hAnsi="Courier New" w:cs="Courier New" w:hint="default"/>
      </w:rPr>
    </w:lvl>
    <w:lvl w:ilvl="5" w:tplc="0C090005" w:tentative="1">
      <w:start w:val="1"/>
      <w:numFmt w:val="bullet"/>
      <w:lvlText w:val=""/>
      <w:lvlJc w:val="left"/>
      <w:pPr>
        <w:ind w:left="4382" w:hanging="360"/>
      </w:pPr>
      <w:rPr>
        <w:rFonts w:ascii="Wingdings" w:hAnsi="Wingdings" w:hint="default"/>
      </w:rPr>
    </w:lvl>
    <w:lvl w:ilvl="6" w:tplc="0C090001" w:tentative="1">
      <w:start w:val="1"/>
      <w:numFmt w:val="bullet"/>
      <w:lvlText w:val=""/>
      <w:lvlJc w:val="left"/>
      <w:pPr>
        <w:ind w:left="5102" w:hanging="360"/>
      </w:pPr>
      <w:rPr>
        <w:rFonts w:ascii="Symbol" w:hAnsi="Symbol" w:hint="default"/>
      </w:rPr>
    </w:lvl>
    <w:lvl w:ilvl="7" w:tplc="0C090003" w:tentative="1">
      <w:start w:val="1"/>
      <w:numFmt w:val="bullet"/>
      <w:lvlText w:val="o"/>
      <w:lvlJc w:val="left"/>
      <w:pPr>
        <w:ind w:left="5822" w:hanging="360"/>
      </w:pPr>
      <w:rPr>
        <w:rFonts w:ascii="Courier New" w:hAnsi="Courier New" w:cs="Courier New" w:hint="default"/>
      </w:rPr>
    </w:lvl>
    <w:lvl w:ilvl="8" w:tplc="0C090005" w:tentative="1">
      <w:start w:val="1"/>
      <w:numFmt w:val="bullet"/>
      <w:lvlText w:val=""/>
      <w:lvlJc w:val="left"/>
      <w:pPr>
        <w:ind w:left="6542" w:hanging="360"/>
      </w:pPr>
      <w:rPr>
        <w:rFonts w:ascii="Wingdings" w:hAnsi="Wingdings" w:hint="default"/>
      </w:rPr>
    </w:lvl>
  </w:abstractNum>
  <w:abstractNum w:abstractNumId="43" w15:restartNumberingAfterBreak="0">
    <w:nsid w:val="6CE25D5B"/>
    <w:multiLevelType w:val="hybridMultilevel"/>
    <w:tmpl w:val="A4B2B346"/>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6F4D3F03"/>
    <w:multiLevelType w:val="hybridMultilevel"/>
    <w:tmpl w:val="38F810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8B0598D"/>
    <w:multiLevelType w:val="hybridMultilevel"/>
    <w:tmpl w:val="84ECDFC0"/>
    <w:lvl w:ilvl="0" w:tplc="73EEE99A">
      <w:start w:val="1"/>
      <w:numFmt w:val="lowerLetter"/>
      <w:lvlText w:val="(%1)"/>
      <w:lvlJc w:val="left"/>
      <w:pPr>
        <w:ind w:left="1440" w:hanging="360"/>
      </w:pPr>
      <w:rPr>
        <w:rFonts w:ascii="Calibri" w:eastAsia="Times New Roman" w:hAnsi="Calibri" w:cs="Times New Roman" w:hint="default"/>
        <w:sz w:val="24"/>
        <w:szCs w:val="24"/>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6" w15:restartNumberingAfterBreak="0">
    <w:nsid w:val="7A2A016C"/>
    <w:multiLevelType w:val="multilevel"/>
    <w:tmpl w:val="1BBEC6E8"/>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none"/>
      <w:pStyle w:val="aExamss"/>
      <w:suff w:val="nothing"/>
      <w:lvlText w:val=""/>
      <w:lvlJc w:val="left"/>
      <w:pPr>
        <w:ind w:left="1100"/>
      </w:pPr>
      <w:rPr>
        <w:rFonts w:cs="Times New Roman"/>
      </w:rPr>
    </w:lvl>
    <w:lvl w:ilvl="6">
      <w:start w:val="1"/>
      <w:numFmt w:val="lowerLetter"/>
      <w:lvlText w:val="(%7)"/>
      <w:lvlJc w:val="right"/>
      <w:pPr>
        <w:tabs>
          <w:tab w:val="num" w:pos="1600"/>
        </w:tabs>
        <w:ind w:left="1600" w:hanging="200"/>
      </w:pPr>
      <w:rPr>
        <w:rFonts w:cs="Times New Roman"/>
        <w:b w:val="0"/>
        <w:bCs w:val="0"/>
        <w:i w:val="0"/>
        <w:iCs w:val="0"/>
        <w:strike w:val="0"/>
        <w:dstrike w:val="0"/>
        <w:vertAlign w:val="baseline"/>
      </w:rPr>
    </w:lvl>
    <w:lvl w:ilvl="7">
      <w:start w:val="1"/>
      <w:numFmt w:val="lowerRoman"/>
      <w:lvlText w:val="(%8)"/>
      <w:lvlJc w:val="right"/>
      <w:pPr>
        <w:tabs>
          <w:tab w:val="num" w:pos="2140"/>
        </w:tabs>
        <w:ind w:left="2140" w:hanging="200"/>
      </w:pPr>
      <w:rPr>
        <w:rFonts w:cs="Times New Roman"/>
        <w:b w:val="0"/>
        <w:bCs w:val="0"/>
        <w:i w:val="0"/>
        <w:iCs w:val="0"/>
        <w:strike w:val="0"/>
        <w:dstrike w:val="0"/>
        <w:vertAlign w:val="baseline"/>
      </w:rPr>
    </w:lvl>
    <w:lvl w:ilvl="8">
      <w:start w:val="1"/>
      <w:numFmt w:val="decimal"/>
      <w:lvlText w:val="%1.%2.%3.%4.%5.%6.%7.%8.%9"/>
      <w:lvlJc w:val="left"/>
      <w:pPr>
        <w:tabs>
          <w:tab w:val="num" w:pos="1584"/>
        </w:tabs>
        <w:ind w:left="1584" w:hanging="1584"/>
      </w:pPr>
      <w:rPr>
        <w:rFonts w:cs="Times New Roman"/>
      </w:rPr>
    </w:lvl>
  </w:abstractNum>
  <w:abstractNum w:abstractNumId="47" w15:restartNumberingAfterBreak="0">
    <w:nsid w:val="7D242A89"/>
    <w:multiLevelType w:val="multilevel"/>
    <w:tmpl w:val="FE48D3A6"/>
    <w:lvl w:ilvl="0">
      <w:start w:val="1"/>
      <w:numFmt w:val="decimal"/>
      <w:lvlText w:val="%1)"/>
      <w:lvlJc w:val="left"/>
      <w:pPr>
        <w:ind w:left="340" w:hanging="340"/>
      </w:pPr>
      <w:rPr>
        <w:rFonts w:hint="default"/>
        <w:sz w:val="24"/>
      </w:rPr>
    </w:lvl>
    <w:lvl w:ilvl="1">
      <w:start w:val="1"/>
      <w:numFmt w:val="lowerLetter"/>
      <w:lvlText w:val="%2."/>
      <w:lvlJc w:val="left"/>
      <w:pPr>
        <w:ind w:left="680" w:hanging="340"/>
      </w:pPr>
      <w:rPr>
        <w:rFonts w:hint="default"/>
        <w:sz w:val="24"/>
      </w:rPr>
    </w:lvl>
    <w:lvl w:ilvl="2">
      <w:start w:val="1"/>
      <w:numFmt w:val="lowerRoman"/>
      <w:lvlText w:val="%3."/>
      <w:lvlJc w:val="left"/>
      <w:pPr>
        <w:ind w:left="1020" w:hanging="340"/>
      </w:pPr>
      <w:rPr>
        <w:rFonts w:hint="default"/>
        <w:sz w:val="24"/>
      </w:rPr>
    </w:lvl>
    <w:lvl w:ilvl="3">
      <w:start w:val="1"/>
      <w:numFmt w:val="upperLetter"/>
      <w:lvlText w:val="(%4)"/>
      <w:lvlJc w:val="left"/>
      <w:pPr>
        <w:ind w:left="1360" w:hanging="340"/>
      </w:pPr>
      <w:rPr>
        <w:rFonts w:hint="default"/>
        <w:sz w:val="24"/>
      </w:rPr>
    </w:lvl>
    <w:lvl w:ilvl="4">
      <w:start w:val="1"/>
      <w:numFmt w:val="decimal"/>
      <w:lvlText w:val="%5."/>
      <w:lvlJc w:val="left"/>
      <w:pPr>
        <w:ind w:left="1700" w:hanging="340"/>
      </w:pPr>
      <w:rPr>
        <w:rFonts w:hint="default"/>
        <w:sz w:val="24"/>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48" w15:restartNumberingAfterBreak="0">
    <w:nsid w:val="7EFF5521"/>
    <w:multiLevelType w:val="multilevel"/>
    <w:tmpl w:val="50205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74119377">
    <w:abstractNumId w:val="37"/>
  </w:num>
  <w:num w:numId="2" w16cid:durableId="1000040234">
    <w:abstractNumId w:val="46"/>
  </w:num>
  <w:num w:numId="3" w16cid:durableId="1926106286">
    <w:abstractNumId w:val="3"/>
  </w:num>
  <w:num w:numId="4" w16cid:durableId="205803147">
    <w:abstractNumId w:val="44"/>
  </w:num>
  <w:num w:numId="5" w16cid:durableId="607199637">
    <w:abstractNumId w:val="9"/>
  </w:num>
  <w:num w:numId="6" w16cid:durableId="1650286191">
    <w:abstractNumId w:val="14"/>
  </w:num>
  <w:num w:numId="7" w16cid:durableId="978725710">
    <w:abstractNumId w:val="24"/>
  </w:num>
  <w:num w:numId="8" w16cid:durableId="798570511">
    <w:abstractNumId w:val="48"/>
  </w:num>
  <w:num w:numId="9" w16cid:durableId="288821579">
    <w:abstractNumId w:val="15"/>
  </w:num>
  <w:num w:numId="10" w16cid:durableId="1036585495">
    <w:abstractNumId w:val="29"/>
  </w:num>
  <w:num w:numId="11" w16cid:durableId="1161198992">
    <w:abstractNumId w:val="31"/>
  </w:num>
  <w:num w:numId="12" w16cid:durableId="1630240628">
    <w:abstractNumId w:val="19"/>
  </w:num>
  <w:num w:numId="13" w16cid:durableId="136190997">
    <w:abstractNumId w:val="12"/>
  </w:num>
  <w:num w:numId="14" w16cid:durableId="1787967028">
    <w:abstractNumId w:val="22"/>
  </w:num>
  <w:num w:numId="15" w16cid:durableId="946352906">
    <w:abstractNumId w:val="35"/>
  </w:num>
  <w:num w:numId="16" w16cid:durableId="496503830">
    <w:abstractNumId w:val="32"/>
  </w:num>
  <w:num w:numId="17" w16cid:durableId="414282369">
    <w:abstractNumId w:val="6"/>
  </w:num>
  <w:num w:numId="18" w16cid:durableId="1534686080">
    <w:abstractNumId w:val="33"/>
  </w:num>
  <w:num w:numId="19" w16cid:durableId="1900244279">
    <w:abstractNumId w:val="17"/>
  </w:num>
  <w:num w:numId="20" w16cid:durableId="1312909696">
    <w:abstractNumId w:val="36"/>
  </w:num>
  <w:num w:numId="21" w16cid:durableId="1957828762">
    <w:abstractNumId w:val="18"/>
  </w:num>
  <w:num w:numId="22" w16cid:durableId="1038777789">
    <w:abstractNumId w:val="41"/>
  </w:num>
  <w:num w:numId="23" w16cid:durableId="1505633588">
    <w:abstractNumId w:val="5"/>
  </w:num>
  <w:num w:numId="24" w16cid:durableId="775557587">
    <w:abstractNumId w:val="43"/>
  </w:num>
  <w:num w:numId="25" w16cid:durableId="1029842194">
    <w:abstractNumId w:val="34"/>
  </w:num>
  <w:num w:numId="26" w16cid:durableId="1753313540">
    <w:abstractNumId w:val="47"/>
  </w:num>
  <w:num w:numId="27" w16cid:durableId="878277716">
    <w:abstractNumId w:val="47"/>
    <w:lvlOverride w:ilvl="0">
      <w:lvl w:ilvl="0">
        <w:start w:val="1"/>
        <w:numFmt w:val="decimal"/>
        <w:lvlText w:val="%1)"/>
        <w:lvlJc w:val="left"/>
        <w:pPr>
          <w:ind w:left="340" w:hanging="340"/>
        </w:pPr>
        <w:rPr>
          <w:rFonts w:hint="default"/>
          <w:sz w:val="24"/>
        </w:rPr>
      </w:lvl>
    </w:lvlOverride>
    <w:lvlOverride w:ilvl="1">
      <w:lvl w:ilvl="1">
        <w:start w:val="1"/>
        <w:numFmt w:val="lowerLetter"/>
        <w:lvlText w:val="%2."/>
        <w:lvlJc w:val="left"/>
        <w:pPr>
          <w:ind w:left="680" w:hanging="340"/>
        </w:pPr>
        <w:rPr>
          <w:rFonts w:hint="default"/>
          <w:sz w:val="24"/>
        </w:rPr>
      </w:lvl>
    </w:lvlOverride>
    <w:lvlOverride w:ilvl="2">
      <w:lvl w:ilvl="2">
        <w:start w:val="1"/>
        <w:numFmt w:val="lowerRoman"/>
        <w:lvlText w:val="%3."/>
        <w:lvlJc w:val="left"/>
        <w:pPr>
          <w:ind w:left="1020" w:hanging="340"/>
        </w:pPr>
        <w:rPr>
          <w:rFonts w:hint="default"/>
          <w:sz w:val="24"/>
        </w:rPr>
      </w:lvl>
    </w:lvlOverride>
    <w:lvlOverride w:ilvl="3">
      <w:lvl w:ilvl="3">
        <w:start w:val="1"/>
        <w:numFmt w:val="upperLetter"/>
        <w:lvlText w:val="(%4)"/>
        <w:lvlJc w:val="left"/>
        <w:pPr>
          <w:ind w:left="1360" w:hanging="340"/>
        </w:pPr>
        <w:rPr>
          <w:rFonts w:hint="default"/>
          <w:sz w:val="24"/>
        </w:rPr>
      </w:lvl>
    </w:lvlOverride>
    <w:lvlOverride w:ilvl="4">
      <w:lvl w:ilvl="4">
        <w:start w:val="1"/>
        <w:numFmt w:val="decimal"/>
        <w:lvlText w:val="%5."/>
        <w:lvlJc w:val="left"/>
        <w:pPr>
          <w:ind w:left="1700" w:hanging="169"/>
        </w:pPr>
        <w:rPr>
          <w:rFonts w:hint="default"/>
          <w:sz w:val="24"/>
        </w:rPr>
      </w:lvl>
    </w:lvlOverride>
    <w:lvlOverride w:ilvl="5">
      <w:lvl w:ilvl="5">
        <w:start w:val="1"/>
        <w:numFmt w:val="none"/>
        <w:lvlText w:val=""/>
        <w:lvlJc w:val="left"/>
        <w:pPr>
          <w:ind w:left="2040" w:hanging="340"/>
        </w:pPr>
        <w:rPr>
          <w:rFonts w:hint="default"/>
        </w:rPr>
      </w:lvl>
    </w:lvlOverride>
    <w:lvlOverride w:ilvl="6">
      <w:lvl w:ilvl="6">
        <w:start w:val="1"/>
        <w:numFmt w:val="none"/>
        <w:lvlText w:val=""/>
        <w:lvlJc w:val="left"/>
        <w:pPr>
          <w:ind w:left="2380" w:hanging="340"/>
        </w:pPr>
        <w:rPr>
          <w:rFonts w:hint="default"/>
        </w:rPr>
      </w:lvl>
    </w:lvlOverride>
    <w:lvlOverride w:ilvl="7">
      <w:lvl w:ilvl="7">
        <w:start w:val="1"/>
        <w:numFmt w:val="none"/>
        <w:lvlText w:val=""/>
        <w:lvlJc w:val="left"/>
        <w:pPr>
          <w:ind w:left="2720" w:hanging="340"/>
        </w:pPr>
        <w:rPr>
          <w:rFonts w:hint="default"/>
        </w:rPr>
      </w:lvl>
    </w:lvlOverride>
    <w:lvlOverride w:ilvl="8">
      <w:lvl w:ilvl="8">
        <w:start w:val="1"/>
        <w:numFmt w:val="none"/>
        <w:lvlText w:val=""/>
        <w:lvlJc w:val="left"/>
        <w:pPr>
          <w:ind w:left="3060" w:hanging="340"/>
        </w:pPr>
        <w:rPr>
          <w:rFonts w:hint="default"/>
        </w:rPr>
      </w:lvl>
    </w:lvlOverride>
  </w:num>
  <w:num w:numId="28" w16cid:durableId="65029751">
    <w:abstractNumId w:val="1"/>
  </w:num>
  <w:num w:numId="29" w16cid:durableId="429200215">
    <w:abstractNumId w:val="21"/>
  </w:num>
  <w:num w:numId="30" w16cid:durableId="1155948776">
    <w:abstractNumId w:val="39"/>
  </w:num>
  <w:num w:numId="31" w16cid:durableId="1889025898">
    <w:abstractNumId w:val="8"/>
  </w:num>
  <w:num w:numId="32" w16cid:durableId="815611884">
    <w:abstractNumId w:val="4"/>
  </w:num>
  <w:num w:numId="33" w16cid:durableId="513954749">
    <w:abstractNumId w:val="0"/>
  </w:num>
  <w:num w:numId="34" w16cid:durableId="1399085392">
    <w:abstractNumId w:val="13"/>
  </w:num>
  <w:num w:numId="35" w16cid:durableId="694039858">
    <w:abstractNumId w:val="42"/>
  </w:num>
  <w:num w:numId="36" w16cid:durableId="1988824767">
    <w:abstractNumId w:val="45"/>
  </w:num>
  <w:num w:numId="37" w16cid:durableId="1564948778">
    <w:abstractNumId w:val="2"/>
  </w:num>
  <w:num w:numId="38" w16cid:durableId="471604352">
    <w:abstractNumId w:val="11"/>
  </w:num>
  <w:num w:numId="39" w16cid:durableId="73089438">
    <w:abstractNumId w:val="40"/>
  </w:num>
  <w:num w:numId="40" w16cid:durableId="1307200845">
    <w:abstractNumId w:val="27"/>
  </w:num>
  <w:num w:numId="41" w16cid:durableId="92088830">
    <w:abstractNumId w:val="25"/>
  </w:num>
  <w:num w:numId="42" w16cid:durableId="1207763214">
    <w:abstractNumId w:val="23"/>
  </w:num>
  <w:num w:numId="43" w16cid:durableId="1068769752">
    <w:abstractNumId w:val="10"/>
  </w:num>
  <w:num w:numId="44" w16cid:durableId="916210005">
    <w:abstractNumId w:val="16"/>
  </w:num>
  <w:num w:numId="45" w16cid:durableId="1438210881">
    <w:abstractNumId w:val="7"/>
  </w:num>
  <w:num w:numId="46" w16cid:durableId="334042428">
    <w:abstractNumId w:val="28"/>
  </w:num>
  <w:num w:numId="47" w16cid:durableId="1022630829">
    <w:abstractNumId w:val="38"/>
  </w:num>
  <w:num w:numId="48" w16cid:durableId="62413877">
    <w:abstractNumId w:val="26"/>
  </w:num>
  <w:num w:numId="49" w16cid:durableId="1364746794">
    <w:abstractNumId w:val="20"/>
  </w:num>
  <w:num w:numId="50" w16cid:durableId="1297104003">
    <w:abstractNumId w:val="3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2760"/>
    <w:rsid w:val="00000744"/>
    <w:rsid w:val="00000D55"/>
    <w:rsid w:val="000010F4"/>
    <w:rsid w:val="000017F2"/>
    <w:rsid w:val="00003193"/>
    <w:rsid w:val="000031D2"/>
    <w:rsid w:val="000037CA"/>
    <w:rsid w:val="00003B06"/>
    <w:rsid w:val="00003E8C"/>
    <w:rsid w:val="00003E9C"/>
    <w:rsid w:val="000044DF"/>
    <w:rsid w:val="00005792"/>
    <w:rsid w:val="000065F2"/>
    <w:rsid w:val="00006A9D"/>
    <w:rsid w:val="00006CBF"/>
    <w:rsid w:val="00007947"/>
    <w:rsid w:val="00007EB9"/>
    <w:rsid w:val="00010B19"/>
    <w:rsid w:val="00010E45"/>
    <w:rsid w:val="00010F19"/>
    <w:rsid w:val="000119D8"/>
    <w:rsid w:val="00011F35"/>
    <w:rsid w:val="00012074"/>
    <w:rsid w:val="000122F3"/>
    <w:rsid w:val="00012F60"/>
    <w:rsid w:val="00013402"/>
    <w:rsid w:val="00013A9C"/>
    <w:rsid w:val="00013E25"/>
    <w:rsid w:val="0001486E"/>
    <w:rsid w:val="0001535A"/>
    <w:rsid w:val="0001570F"/>
    <w:rsid w:val="00015DEA"/>
    <w:rsid w:val="00016330"/>
    <w:rsid w:val="0001665A"/>
    <w:rsid w:val="0001672E"/>
    <w:rsid w:val="00016A3A"/>
    <w:rsid w:val="0001756F"/>
    <w:rsid w:val="00017B43"/>
    <w:rsid w:val="00017E9E"/>
    <w:rsid w:val="00017F39"/>
    <w:rsid w:val="00020763"/>
    <w:rsid w:val="00020A0B"/>
    <w:rsid w:val="00020FD5"/>
    <w:rsid w:val="00021909"/>
    <w:rsid w:val="000227DF"/>
    <w:rsid w:val="00022C76"/>
    <w:rsid w:val="00022F73"/>
    <w:rsid w:val="00022FF4"/>
    <w:rsid w:val="000231B0"/>
    <w:rsid w:val="00023541"/>
    <w:rsid w:val="000235BB"/>
    <w:rsid w:val="00023B23"/>
    <w:rsid w:val="00024137"/>
    <w:rsid w:val="00024DD6"/>
    <w:rsid w:val="00025649"/>
    <w:rsid w:val="0002673F"/>
    <w:rsid w:val="000273A7"/>
    <w:rsid w:val="000274AB"/>
    <w:rsid w:val="000276C7"/>
    <w:rsid w:val="00030373"/>
    <w:rsid w:val="00030D9D"/>
    <w:rsid w:val="00032126"/>
    <w:rsid w:val="0003311C"/>
    <w:rsid w:val="00033631"/>
    <w:rsid w:val="00033AAE"/>
    <w:rsid w:val="00033ABA"/>
    <w:rsid w:val="0003416C"/>
    <w:rsid w:val="00034929"/>
    <w:rsid w:val="00035418"/>
    <w:rsid w:val="000357F8"/>
    <w:rsid w:val="00036405"/>
    <w:rsid w:val="00036697"/>
    <w:rsid w:val="00036A5F"/>
    <w:rsid w:val="00036D89"/>
    <w:rsid w:val="0003761D"/>
    <w:rsid w:val="00037CE7"/>
    <w:rsid w:val="0004029C"/>
    <w:rsid w:val="00040382"/>
    <w:rsid w:val="00040CF4"/>
    <w:rsid w:val="00041643"/>
    <w:rsid w:val="00041F36"/>
    <w:rsid w:val="00041FDD"/>
    <w:rsid w:val="000420D8"/>
    <w:rsid w:val="0004219D"/>
    <w:rsid w:val="00042214"/>
    <w:rsid w:val="000426C2"/>
    <w:rsid w:val="00042847"/>
    <w:rsid w:val="00042C2E"/>
    <w:rsid w:val="00043A31"/>
    <w:rsid w:val="000457F3"/>
    <w:rsid w:val="00045B17"/>
    <w:rsid w:val="00045C05"/>
    <w:rsid w:val="00045FC1"/>
    <w:rsid w:val="00046070"/>
    <w:rsid w:val="0004697F"/>
    <w:rsid w:val="00046E05"/>
    <w:rsid w:val="0004734A"/>
    <w:rsid w:val="000476A4"/>
    <w:rsid w:val="000477A1"/>
    <w:rsid w:val="00047D5D"/>
    <w:rsid w:val="00050021"/>
    <w:rsid w:val="0005013E"/>
    <w:rsid w:val="000503A9"/>
    <w:rsid w:val="00050B04"/>
    <w:rsid w:val="00051B48"/>
    <w:rsid w:val="000520A6"/>
    <w:rsid w:val="0005382B"/>
    <w:rsid w:val="00054677"/>
    <w:rsid w:val="0005467E"/>
    <w:rsid w:val="000554D5"/>
    <w:rsid w:val="000557CF"/>
    <w:rsid w:val="00057734"/>
    <w:rsid w:val="000577EC"/>
    <w:rsid w:val="00057D1D"/>
    <w:rsid w:val="00057E9B"/>
    <w:rsid w:val="0006013C"/>
    <w:rsid w:val="0006082A"/>
    <w:rsid w:val="00060A08"/>
    <w:rsid w:val="00060F09"/>
    <w:rsid w:val="00061144"/>
    <w:rsid w:val="000613C2"/>
    <w:rsid w:val="0006244A"/>
    <w:rsid w:val="00062540"/>
    <w:rsid w:val="00062620"/>
    <w:rsid w:val="0006291A"/>
    <w:rsid w:val="00062AA8"/>
    <w:rsid w:val="00062B61"/>
    <w:rsid w:val="00062CA5"/>
    <w:rsid w:val="00062EBF"/>
    <w:rsid w:val="00062EF2"/>
    <w:rsid w:val="000633C1"/>
    <w:rsid w:val="0006351F"/>
    <w:rsid w:val="00063AF2"/>
    <w:rsid w:val="00063DB0"/>
    <w:rsid w:val="0006545C"/>
    <w:rsid w:val="00065468"/>
    <w:rsid w:val="000658DF"/>
    <w:rsid w:val="00066031"/>
    <w:rsid w:val="00066731"/>
    <w:rsid w:val="0006694B"/>
    <w:rsid w:val="00066C61"/>
    <w:rsid w:val="000677B3"/>
    <w:rsid w:val="00067CD2"/>
    <w:rsid w:val="00067E87"/>
    <w:rsid w:val="00070095"/>
    <w:rsid w:val="000713F4"/>
    <w:rsid w:val="00071883"/>
    <w:rsid w:val="00071E27"/>
    <w:rsid w:val="00072D58"/>
    <w:rsid w:val="00072EA8"/>
    <w:rsid w:val="0007375C"/>
    <w:rsid w:val="00073760"/>
    <w:rsid w:val="00073A1C"/>
    <w:rsid w:val="0007428D"/>
    <w:rsid w:val="00074ACD"/>
    <w:rsid w:val="00076249"/>
    <w:rsid w:val="000762EC"/>
    <w:rsid w:val="00076783"/>
    <w:rsid w:val="00077549"/>
    <w:rsid w:val="00077D2E"/>
    <w:rsid w:val="000801B3"/>
    <w:rsid w:val="00081A7A"/>
    <w:rsid w:val="00081B40"/>
    <w:rsid w:val="00081E14"/>
    <w:rsid w:val="00081E18"/>
    <w:rsid w:val="00081F37"/>
    <w:rsid w:val="00082EBC"/>
    <w:rsid w:val="00083D69"/>
    <w:rsid w:val="000842CF"/>
    <w:rsid w:val="0008433C"/>
    <w:rsid w:val="000851B2"/>
    <w:rsid w:val="0008530E"/>
    <w:rsid w:val="00085645"/>
    <w:rsid w:val="000857B4"/>
    <w:rsid w:val="00085E95"/>
    <w:rsid w:val="0008657A"/>
    <w:rsid w:val="0008673D"/>
    <w:rsid w:val="00086C41"/>
    <w:rsid w:val="00086C90"/>
    <w:rsid w:val="00086FCA"/>
    <w:rsid w:val="0009047A"/>
    <w:rsid w:val="00090BC8"/>
    <w:rsid w:val="00090C73"/>
    <w:rsid w:val="00090D7D"/>
    <w:rsid w:val="00090EC6"/>
    <w:rsid w:val="00091E66"/>
    <w:rsid w:val="00092215"/>
    <w:rsid w:val="00092480"/>
    <w:rsid w:val="00092763"/>
    <w:rsid w:val="00092A0F"/>
    <w:rsid w:val="00092B9F"/>
    <w:rsid w:val="000941F0"/>
    <w:rsid w:val="000942EE"/>
    <w:rsid w:val="000945CF"/>
    <w:rsid w:val="00094F6C"/>
    <w:rsid w:val="00094FD4"/>
    <w:rsid w:val="000951A7"/>
    <w:rsid w:val="00095738"/>
    <w:rsid w:val="00095800"/>
    <w:rsid w:val="000958D7"/>
    <w:rsid w:val="00095A67"/>
    <w:rsid w:val="00096A8C"/>
    <w:rsid w:val="00096EAE"/>
    <w:rsid w:val="000971A4"/>
    <w:rsid w:val="00097617"/>
    <w:rsid w:val="00097749"/>
    <w:rsid w:val="000977FD"/>
    <w:rsid w:val="000A09FC"/>
    <w:rsid w:val="000A0D2B"/>
    <w:rsid w:val="000A119F"/>
    <w:rsid w:val="000A13F5"/>
    <w:rsid w:val="000A1946"/>
    <w:rsid w:val="000A2470"/>
    <w:rsid w:val="000A2684"/>
    <w:rsid w:val="000A2A5C"/>
    <w:rsid w:val="000A2F6F"/>
    <w:rsid w:val="000A345B"/>
    <w:rsid w:val="000A3C79"/>
    <w:rsid w:val="000A3E84"/>
    <w:rsid w:val="000A4586"/>
    <w:rsid w:val="000A49BF"/>
    <w:rsid w:val="000A4DAA"/>
    <w:rsid w:val="000A5FDC"/>
    <w:rsid w:val="000A76D9"/>
    <w:rsid w:val="000A7D8D"/>
    <w:rsid w:val="000B03ED"/>
    <w:rsid w:val="000B080D"/>
    <w:rsid w:val="000B136E"/>
    <w:rsid w:val="000B13E0"/>
    <w:rsid w:val="000B1489"/>
    <w:rsid w:val="000B14AF"/>
    <w:rsid w:val="000B2446"/>
    <w:rsid w:val="000B29EF"/>
    <w:rsid w:val="000B31C6"/>
    <w:rsid w:val="000B3285"/>
    <w:rsid w:val="000B370E"/>
    <w:rsid w:val="000B3958"/>
    <w:rsid w:val="000B478E"/>
    <w:rsid w:val="000B4CEC"/>
    <w:rsid w:val="000B5751"/>
    <w:rsid w:val="000B590E"/>
    <w:rsid w:val="000B5BE5"/>
    <w:rsid w:val="000B5C27"/>
    <w:rsid w:val="000B66F1"/>
    <w:rsid w:val="000B6714"/>
    <w:rsid w:val="000B77EF"/>
    <w:rsid w:val="000B7EC6"/>
    <w:rsid w:val="000B7F10"/>
    <w:rsid w:val="000C007A"/>
    <w:rsid w:val="000C1875"/>
    <w:rsid w:val="000C26D1"/>
    <w:rsid w:val="000C339B"/>
    <w:rsid w:val="000C342A"/>
    <w:rsid w:val="000C36A8"/>
    <w:rsid w:val="000C4309"/>
    <w:rsid w:val="000C45F3"/>
    <w:rsid w:val="000C467D"/>
    <w:rsid w:val="000C49E3"/>
    <w:rsid w:val="000C4AC0"/>
    <w:rsid w:val="000C4C8E"/>
    <w:rsid w:val="000C5065"/>
    <w:rsid w:val="000C509D"/>
    <w:rsid w:val="000C51C5"/>
    <w:rsid w:val="000C5300"/>
    <w:rsid w:val="000C6F00"/>
    <w:rsid w:val="000C6FF6"/>
    <w:rsid w:val="000C7247"/>
    <w:rsid w:val="000C7F39"/>
    <w:rsid w:val="000D066D"/>
    <w:rsid w:val="000D1393"/>
    <w:rsid w:val="000D16F4"/>
    <w:rsid w:val="000D26E7"/>
    <w:rsid w:val="000D2C67"/>
    <w:rsid w:val="000D2DB0"/>
    <w:rsid w:val="000D3095"/>
    <w:rsid w:val="000D3C11"/>
    <w:rsid w:val="000D3C24"/>
    <w:rsid w:val="000D4F31"/>
    <w:rsid w:val="000D5345"/>
    <w:rsid w:val="000D53DB"/>
    <w:rsid w:val="000D54CA"/>
    <w:rsid w:val="000D5B0D"/>
    <w:rsid w:val="000D6034"/>
    <w:rsid w:val="000D652C"/>
    <w:rsid w:val="000D6905"/>
    <w:rsid w:val="000D703B"/>
    <w:rsid w:val="000D758B"/>
    <w:rsid w:val="000E0664"/>
    <w:rsid w:val="000E0B99"/>
    <w:rsid w:val="000E0C67"/>
    <w:rsid w:val="000E15C9"/>
    <w:rsid w:val="000E1A96"/>
    <w:rsid w:val="000E1D21"/>
    <w:rsid w:val="000E29A4"/>
    <w:rsid w:val="000E30BF"/>
    <w:rsid w:val="000E368C"/>
    <w:rsid w:val="000E3C40"/>
    <w:rsid w:val="000E43D7"/>
    <w:rsid w:val="000E47FE"/>
    <w:rsid w:val="000E4BD4"/>
    <w:rsid w:val="000E508E"/>
    <w:rsid w:val="000E6447"/>
    <w:rsid w:val="000E661D"/>
    <w:rsid w:val="000E6FF4"/>
    <w:rsid w:val="000E7CCB"/>
    <w:rsid w:val="000F060C"/>
    <w:rsid w:val="000F1D43"/>
    <w:rsid w:val="000F1F5C"/>
    <w:rsid w:val="000F2B96"/>
    <w:rsid w:val="000F3093"/>
    <w:rsid w:val="000F3799"/>
    <w:rsid w:val="000F42C1"/>
    <w:rsid w:val="000F46C6"/>
    <w:rsid w:val="000F4FA7"/>
    <w:rsid w:val="000F50AB"/>
    <w:rsid w:val="000F51D6"/>
    <w:rsid w:val="000F543F"/>
    <w:rsid w:val="000F5555"/>
    <w:rsid w:val="000F58DF"/>
    <w:rsid w:val="000F5AF6"/>
    <w:rsid w:val="000F642E"/>
    <w:rsid w:val="000F68DE"/>
    <w:rsid w:val="000F6AA8"/>
    <w:rsid w:val="000F6DB1"/>
    <w:rsid w:val="000F790D"/>
    <w:rsid w:val="001003CD"/>
    <w:rsid w:val="00100D53"/>
    <w:rsid w:val="00100E59"/>
    <w:rsid w:val="00101503"/>
    <w:rsid w:val="00101E88"/>
    <w:rsid w:val="00101EB7"/>
    <w:rsid w:val="00101FC6"/>
    <w:rsid w:val="00102ED9"/>
    <w:rsid w:val="001034CA"/>
    <w:rsid w:val="00103A90"/>
    <w:rsid w:val="00104218"/>
    <w:rsid w:val="00104503"/>
    <w:rsid w:val="001045CA"/>
    <w:rsid w:val="00105AFD"/>
    <w:rsid w:val="00106C6C"/>
    <w:rsid w:val="00106EE4"/>
    <w:rsid w:val="0010756C"/>
    <w:rsid w:val="0010794F"/>
    <w:rsid w:val="001101D7"/>
    <w:rsid w:val="00110892"/>
    <w:rsid w:val="00110938"/>
    <w:rsid w:val="00111004"/>
    <w:rsid w:val="001112B8"/>
    <w:rsid w:val="00111686"/>
    <w:rsid w:val="00111A76"/>
    <w:rsid w:val="001129DB"/>
    <w:rsid w:val="00112C4D"/>
    <w:rsid w:val="00112D16"/>
    <w:rsid w:val="00113678"/>
    <w:rsid w:val="00113692"/>
    <w:rsid w:val="00113AB4"/>
    <w:rsid w:val="00114280"/>
    <w:rsid w:val="001144E0"/>
    <w:rsid w:val="00115657"/>
    <w:rsid w:val="00115FCF"/>
    <w:rsid w:val="00116274"/>
    <w:rsid w:val="0011672E"/>
    <w:rsid w:val="0011691E"/>
    <w:rsid w:val="001169C9"/>
    <w:rsid w:val="00116D29"/>
    <w:rsid w:val="0011712A"/>
    <w:rsid w:val="001179F7"/>
    <w:rsid w:val="00117A21"/>
    <w:rsid w:val="00117C92"/>
    <w:rsid w:val="00120C40"/>
    <w:rsid w:val="00121855"/>
    <w:rsid w:val="00121DDC"/>
    <w:rsid w:val="0012202A"/>
    <w:rsid w:val="001223B0"/>
    <w:rsid w:val="001227CF"/>
    <w:rsid w:val="00122EE1"/>
    <w:rsid w:val="00123418"/>
    <w:rsid w:val="00123C64"/>
    <w:rsid w:val="00124189"/>
    <w:rsid w:val="001254CC"/>
    <w:rsid w:val="001255A5"/>
    <w:rsid w:val="0012597C"/>
    <w:rsid w:val="0012620D"/>
    <w:rsid w:val="0012637F"/>
    <w:rsid w:val="001267A5"/>
    <w:rsid w:val="001267FD"/>
    <w:rsid w:val="001276BA"/>
    <w:rsid w:val="00127EFD"/>
    <w:rsid w:val="00127F6F"/>
    <w:rsid w:val="0013028F"/>
    <w:rsid w:val="00130A37"/>
    <w:rsid w:val="00130B8B"/>
    <w:rsid w:val="00131118"/>
    <w:rsid w:val="0013140B"/>
    <w:rsid w:val="001320C7"/>
    <w:rsid w:val="00132486"/>
    <w:rsid w:val="0013280D"/>
    <w:rsid w:val="00132868"/>
    <w:rsid w:val="00132BE6"/>
    <w:rsid w:val="00132FE2"/>
    <w:rsid w:val="00133389"/>
    <w:rsid w:val="001334A5"/>
    <w:rsid w:val="00134271"/>
    <w:rsid w:val="001353D0"/>
    <w:rsid w:val="0013550C"/>
    <w:rsid w:val="00135C10"/>
    <w:rsid w:val="001370BD"/>
    <w:rsid w:val="00137192"/>
    <w:rsid w:val="00137741"/>
    <w:rsid w:val="00137DC9"/>
    <w:rsid w:val="00140030"/>
    <w:rsid w:val="0014031C"/>
    <w:rsid w:val="001404FF"/>
    <w:rsid w:val="00141A37"/>
    <w:rsid w:val="00141FBF"/>
    <w:rsid w:val="00142808"/>
    <w:rsid w:val="00143701"/>
    <w:rsid w:val="00143E5B"/>
    <w:rsid w:val="00143E6D"/>
    <w:rsid w:val="00144447"/>
    <w:rsid w:val="0014457E"/>
    <w:rsid w:val="00145364"/>
    <w:rsid w:val="00145728"/>
    <w:rsid w:val="00145996"/>
    <w:rsid w:val="00145C8A"/>
    <w:rsid w:val="00145ECF"/>
    <w:rsid w:val="00146857"/>
    <w:rsid w:val="001468AC"/>
    <w:rsid w:val="00146B74"/>
    <w:rsid w:val="00146CBD"/>
    <w:rsid w:val="00146CD7"/>
    <w:rsid w:val="001475AF"/>
    <w:rsid w:val="001478E7"/>
    <w:rsid w:val="00147B5B"/>
    <w:rsid w:val="00147E27"/>
    <w:rsid w:val="00151B9B"/>
    <w:rsid w:val="0015201F"/>
    <w:rsid w:val="001522E8"/>
    <w:rsid w:val="00152730"/>
    <w:rsid w:val="0015320A"/>
    <w:rsid w:val="0015362B"/>
    <w:rsid w:val="001538A4"/>
    <w:rsid w:val="00153971"/>
    <w:rsid w:val="001545F6"/>
    <w:rsid w:val="001564B6"/>
    <w:rsid w:val="00156F16"/>
    <w:rsid w:val="001577A9"/>
    <w:rsid w:val="0016098D"/>
    <w:rsid w:val="001609E0"/>
    <w:rsid w:val="001609F9"/>
    <w:rsid w:val="00160B3A"/>
    <w:rsid w:val="0016184C"/>
    <w:rsid w:val="00162E78"/>
    <w:rsid w:val="001630FA"/>
    <w:rsid w:val="0016454F"/>
    <w:rsid w:val="00164A49"/>
    <w:rsid w:val="00164B78"/>
    <w:rsid w:val="00164D68"/>
    <w:rsid w:val="00164E7A"/>
    <w:rsid w:val="00164FFB"/>
    <w:rsid w:val="001650A1"/>
    <w:rsid w:val="001656F8"/>
    <w:rsid w:val="00165F0C"/>
    <w:rsid w:val="00165FDB"/>
    <w:rsid w:val="00166CA8"/>
    <w:rsid w:val="00166D97"/>
    <w:rsid w:val="0016715D"/>
    <w:rsid w:val="00170455"/>
    <w:rsid w:val="00171533"/>
    <w:rsid w:val="001720BD"/>
    <w:rsid w:val="0017277A"/>
    <w:rsid w:val="00172AA2"/>
    <w:rsid w:val="001756D8"/>
    <w:rsid w:val="0017626F"/>
    <w:rsid w:val="00176CF9"/>
    <w:rsid w:val="001773B7"/>
    <w:rsid w:val="00177EEA"/>
    <w:rsid w:val="001802A2"/>
    <w:rsid w:val="00180319"/>
    <w:rsid w:val="00180A76"/>
    <w:rsid w:val="00180D9E"/>
    <w:rsid w:val="00180DC9"/>
    <w:rsid w:val="00181520"/>
    <w:rsid w:val="00181F6C"/>
    <w:rsid w:val="001834A4"/>
    <w:rsid w:val="00183532"/>
    <w:rsid w:val="00183AD3"/>
    <w:rsid w:val="00183CBC"/>
    <w:rsid w:val="00183D5B"/>
    <w:rsid w:val="00183FD9"/>
    <w:rsid w:val="001843BD"/>
    <w:rsid w:val="00184BED"/>
    <w:rsid w:val="00184CD2"/>
    <w:rsid w:val="00185271"/>
    <w:rsid w:val="00185708"/>
    <w:rsid w:val="00186CF6"/>
    <w:rsid w:val="00190048"/>
    <w:rsid w:val="001909E6"/>
    <w:rsid w:val="00190A88"/>
    <w:rsid w:val="0019122A"/>
    <w:rsid w:val="0019177A"/>
    <w:rsid w:val="00191B79"/>
    <w:rsid w:val="00191DB6"/>
    <w:rsid w:val="00192203"/>
    <w:rsid w:val="0019295E"/>
    <w:rsid w:val="001931D1"/>
    <w:rsid w:val="0019375C"/>
    <w:rsid w:val="00193BA2"/>
    <w:rsid w:val="00193FCD"/>
    <w:rsid w:val="0019444B"/>
    <w:rsid w:val="00194D63"/>
    <w:rsid w:val="00195DB1"/>
    <w:rsid w:val="0019677F"/>
    <w:rsid w:val="001A0E08"/>
    <w:rsid w:val="001A168A"/>
    <w:rsid w:val="001A1780"/>
    <w:rsid w:val="001A19D2"/>
    <w:rsid w:val="001A1C0B"/>
    <w:rsid w:val="001A1CFA"/>
    <w:rsid w:val="001A250B"/>
    <w:rsid w:val="001A2651"/>
    <w:rsid w:val="001A2A0B"/>
    <w:rsid w:val="001A2FF6"/>
    <w:rsid w:val="001A3704"/>
    <w:rsid w:val="001A3907"/>
    <w:rsid w:val="001A3A45"/>
    <w:rsid w:val="001A3ECA"/>
    <w:rsid w:val="001A3EDE"/>
    <w:rsid w:val="001A46A4"/>
    <w:rsid w:val="001A4947"/>
    <w:rsid w:val="001A4BA1"/>
    <w:rsid w:val="001A4E63"/>
    <w:rsid w:val="001A6073"/>
    <w:rsid w:val="001A6C2F"/>
    <w:rsid w:val="001A79CF"/>
    <w:rsid w:val="001A7AAC"/>
    <w:rsid w:val="001B0075"/>
    <w:rsid w:val="001B01CD"/>
    <w:rsid w:val="001B0684"/>
    <w:rsid w:val="001B06B5"/>
    <w:rsid w:val="001B0BCC"/>
    <w:rsid w:val="001B0E7F"/>
    <w:rsid w:val="001B11FC"/>
    <w:rsid w:val="001B1C20"/>
    <w:rsid w:val="001B1FD7"/>
    <w:rsid w:val="001B2479"/>
    <w:rsid w:val="001B258C"/>
    <w:rsid w:val="001B3BEB"/>
    <w:rsid w:val="001B411B"/>
    <w:rsid w:val="001B5233"/>
    <w:rsid w:val="001B6376"/>
    <w:rsid w:val="001B69AD"/>
    <w:rsid w:val="001B6AFA"/>
    <w:rsid w:val="001B6B07"/>
    <w:rsid w:val="001B7090"/>
    <w:rsid w:val="001B7472"/>
    <w:rsid w:val="001B760A"/>
    <w:rsid w:val="001B7731"/>
    <w:rsid w:val="001C069C"/>
    <w:rsid w:val="001C0D3E"/>
    <w:rsid w:val="001C0F8B"/>
    <w:rsid w:val="001C1D08"/>
    <w:rsid w:val="001C1DB2"/>
    <w:rsid w:val="001C1E66"/>
    <w:rsid w:val="001C1F12"/>
    <w:rsid w:val="001C3D42"/>
    <w:rsid w:val="001C42EE"/>
    <w:rsid w:val="001C43BB"/>
    <w:rsid w:val="001C49B8"/>
    <w:rsid w:val="001C4B20"/>
    <w:rsid w:val="001C53A2"/>
    <w:rsid w:val="001C54AB"/>
    <w:rsid w:val="001C59DB"/>
    <w:rsid w:val="001C6204"/>
    <w:rsid w:val="001C69F4"/>
    <w:rsid w:val="001C7271"/>
    <w:rsid w:val="001D0996"/>
    <w:rsid w:val="001D0F73"/>
    <w:rsid w:val="001D1B29"/>
    <w:rsid w:val="001D22AD"/>
    <w:rsid w:val="001D25BC"/>
    <w:rsid w:val="001D27E5"/>
    <w:rsid w:val="001D2A06"/>
    <w:rsid w:val="001D2BC2"/>
    <w:rsid w:val="001D4C4A"/>
    <w:rsid w:val="001D4CA4"/>
    <w:rsid w:val="001D514A"/>
    <w:rsid w:val="001D5235"/>
    <w:rsid w:val="001D5852"/>
    <w:rsid w:val="001D5E8F"/>
    <w:rsid w:val="001D60F6"/>
    <w:rsid w:val="001D6BB8"/>
    <w:rsid w:val="001D6F31"/>
    <w:rsid w:val="001E110E"/>
    <w:rsid w:val="001E1617"/>
    <w:rsid w:val="001E25FA"/>
    <w:rsid w:val="001E26F3"/>
    <w:rsid w:val="001E2952"/>
    <w:rsid w:val="001E2B5B"/>
    <w:rsid w:val="001E2DED"/>
    <w:rsid w:val="001E33FE"/>
    <w:rsid w:val="001E4E14"/>
    <w:rsid w:val="001E63B6"/>
    <w:rsid w:val="001E6CFF"/>
    <w:rsid w:val="001E73E0"/>
    <w:rsid w:val="001E7D5F"/>
    <w:rsid w:val="001F07E2"/>
    <w:rsid w:val="001F08AB"/>
    <w:rsid w:val="001F08B5"/>
    <w:rsid w:val="001F0EAF"/>
    <w:rsid w:val="001F104C"/>
    <w:rsid w:val="001F1BD5"/>
    <w:rsid w:val="001F2466"/>
    <w:rsid w:val="001F28B6"/>
    <w:rsid w:val="001F294C"/>
    <w:rsid w:val="001F363F"/>
    <w:rsid w:val="001F3B95"/>
    <w:rsid w:val="001F428F"/>
    <w:rsid w:val="001F4499"/>
    <w:rsid w:val="001F4A4B"/>
    <w:rsid w:val="001F4CBC"/>
    <w:rsid w:val="001F5012"/>
    <w:rsid w:val="001F54F6"/>
    <w:rsid w:val="001F5B9E"/>
    <w:rsid w:val="001F5C70"/>
    <w:rsid w:val="001F608D"/>
    <w:rsid w:val="001F6098"/>
    <w:rsid w:val="001F6C4C"/>
    <w:rsid w:val="001F7441"/>
    <w:rsid w:val="002006B8"/>
    <w:rsid w:val="00200725"/>
    <w:rsid w:val="00200B02"/>
    <w:rsid w:val="002015C8"/>
    <w:rsid w:val="002017DC"/>
    <w:rsid w:val="00201B52"/>
    <w:rsid w:val="00201BE2"/>
    <w:rsid w:val="00201F16"/>
    <w:rsid w:val="00202215"/>
    <w:rsid w:val="002022D2"/>
    <w:rsid w:val="00202C41"/>
    <w:rsid w:val="0020315D"/>
    <w:rsid w:val="002031EE"/>
    <w:rsid w:val="0020456E"/>
    <w:rsid w:val="00204FFC"/>
    <w:rsid w:val="00205382"/>
    <w:rsid w:val="00205808"/>
    <w:rsid w:val="0020585F"/>
    <w:rsid w:val="002060F0"/>
    <w:rsid w:val="0020655C"/>
    <w:rsid w:val="00206BA3"/>
    <w:rsid w:val="00206D41"/>
    <w:rsid w:val="002079B0"/>
    <w:rsid w:val="00207ECF"/>
    <w:rsid w:val="00210051"/>
    <w:rsid w:val="002107F3"/>
    <w:rsid w:val="00210D30"/>
    <w:rsid w:val="00210D7A"/>
    <w:rsid w:val="0021142F"/>
    <w:rsid w:val="0021242B"/>
    <w:rsid w:val="002131FC"/>
    <w:rsid w:val="00213C0E"/>
    <w:rsid w:val="00213CE5"/>
    <w:rsid w:val="00214118"/>
    <w:rsid w:val="00214295"/>
    <w:rsid w:val="0021435A"/>
    <w:rsid w:val="00214E0A"/>
    <w:rsid w:val="002151AC"/>
    <w:rsid w:val="00215603"/>
    <w:rsid w:val="00215820"/>
    <w:rsid w:val="00215843"/>
    <w:rsid w:val="00215A07"/>
    <w:rsid w:val="00215DD1"/>
    <w:rsid w:val="00215F81"/>
    <w:rsid w:val="0021608C"/>
    <w:rsid w:val="00216B01"/>
    <w:rsid w:val="0021720E"/>
    <w:rsid w:val="00217363"/>
    <w:rsid w:val="002200C2"/>
    <w:rsid w:val="002208F0"/>
    <w:rsid w:val="00221BFA"/>
    <w:rsid w:val="002220FE"/>
    <w:rsid w:val="0022225E"/>
    <w:rsid w:val="002222B7"/>
    <w:rsid w:val="00222E7B"/>
    <w:rsid w:val="00223187"/>
    <w:rsid w:val="00223360"/>
    <w:rsid w:val="00223597"/>
    <w:rsid w:val="00223D78"/>
    <w:rsid w:val="00223FAE"/>
    <w:rsid w:val="00224320"/>
    <w:rsid w:val="002250E9"/>
    <w:rsid w:val="0022586C"/>
    <w:rsid w:val="00225E8D"/>
    <w:rsid w:val="00230C82"/>
    <w:rsid w:val="00230F6B"/>
    <w:rsid w:val="00231962"/>
    <w:rsid w:val="00231EE1"/>
    <w:rsid w:val="00232606"/>
    <w:rsid w:val="00232952"/>
    <w:rsid w:val="00232D47"/>
    <w:rsid w:val="00233ACF"/>
    <w:rsid w:val="00233EF5"/>
    <w:rsid w:val="002345BD"/>
    <w:rsid w:val="00234C11"/>
    <w:rsid w:val="00234D9D"/>
    <w:rsid w:val="00236041"/>
    <w:rsid w:val="00236190"/>
    <w:rsid w:val="00236543"/>
    <w:rsid w:val="00237096"/>
    <w:rsid w:val="00240642"/>
    <w:rsid w:val="00240E94"/>
    <w:rsid w:val="00241944"/>
    <w:rsid w:val="00242879"/>
    <w:rsid w:val="00244799"/>
    <w:rsid w:val="00245F00"/>
    <w:rsid w:val="00246553"/>
    <w:rsid w:val="00246764"/>
    <w:rsid w:val="00247355"/>
    <w:rsid w:val="00247589"/>
    <w:rsid w:val="002477EE"/>
    <w:rsid w:val="0025013B"/>
    <w:rsid w:val="00250428"/>
    <w:rsid w:val="002514C4"/>
    <w:rsid w:val="00251CE4"/>
    <w:rsid w:val="00252655"/>
    <w:rsid w:val="00252AEA"/>
    <w:rsid w:val="00252E05"/>
    <w:rsid w:val="00252EE4"/>
    <w:rsid w:val="00252FB5"/>
    <w:rsid w:val="0025305F"/>
    <w:rsid w:val="0025311A"/>
    <w:rsid w:val="00253269"/>
    <w:rsid w:val="002532E1"/>
    <w:rsid w:val="00253A3C"/>
    <w:rsid w:val="0025410F"/>
    <w:rsid w:val="002541C0"/>
    <w:rsid w:val="00254694"/>
    <w:rsid w:val="00255C85"/>
    <w:rsid w:val="00256826"/>
    <w:rsid w:val="00256C1E"/>
    <w:rsid w:val="00257DA0"/>
    <w:rsid w:val="00260E22"/>
    <w:rsid w:val="00261825"/>
    <w:rsid w:val="00261E42"/>
    <w:rsid w:val="00262B78"/>
    <w:rsid w:val="00262BAD"/>
    <w:rsid w:val="00263425"/>
    <w:rsid w:val="00263C09"/>
    <w:rsid w:val="00264788"/>
    <w:rsid w:val="00264823"/>
    <w:rsid w:val="00264B8F"/>
    <w:rsid w:val="00264C61"/>
    <w:rsid w:val="00264D73"/>
    <w:rsid w:val="002651D6"/>
    <w:rsid w:val="00265220"/>
    <w:rsid w:val="002654F1"/>
    <w:rsid w:val="00265BFB"/>
    <w:rsid w:val="00265DCF"/>
    <w:rsid w:val="00265FA4"/>
    <w:rsid w:val="0026623E"/>
    <w:rsid w:val="002668BA"/>
    <w:rsid w:val="00266F68"/>
    <w:rsid w:val="00267471"/>
    <w:rsid w:val="00267961"/>
    <w:rsid w:val="00267EE2"/>
    <w:rsid w:val="002701E2"/>
    <w:rsid w:val="00270887"/>
    <w:rsid w:val="00271285"/>
    <w:rsid w:val="0027144A"/>
    <w:rsid w:val="00271A6D"/>
    <w:rsid w:val="00271B05"/>
    <w:rsid w:val="0027205B"/>
    <w:rsid w:val="00272F05"/>
    <w:rsid w:val="0027303E"/>
    <w:rsid w:val="002736D7"/>
    <w:rsid w:val="0027423C"/>
    <w:rsid w:val="00274F51"/>
    <w:rsid w:val="0027734B"/>
    <w:rsid w:val="002774DB"/>
    <w:rsid w:val="00277A64"/>
    <w:rsid w:val="00277CA0"/>
    <w:rsid w:val="0028000F"/>
    <w:rsid w:val="00280425"/>
    <w:rsid w:val="0028089A"/>
    <w:rsid w:val="00280C5C"/>
    <w:rsid w:val="00281231"/>
    <w:rsid w:val="00281563"/>
    <w:rsid w:val="0028217C"/>
    <w:rsid w:val="00283845"/>
    <w:rsid w:val="00284004"/>
    <w:rsid w:val="00284450"/>
    <w:rsid w:val="0028502E"/>
    <w:rsid w:val="00285597"/>
    <w:rsid w:val="00285822"/>
    <w:rsid w:val="00285EF0"/>
    <w:rsid w:val="00286411"/>
    <w:rsid w:val="00286C34"/>
    <w:rsid w:val="00286D43"/>
    <w:rsid w:val="00287594"/>
    <w:rsid w:val="002875B0"/>
    <w:rsid w:val="00287626"/>
    <w:rsid w:val="002876F0"/>
    <w:rsid w:val="00287740"/>
    <w:rsid w:val="00287916"/>
    <w:rsid w:val="002879DE"/>
    <w:rsid w:val="00287B42"/>
    <w:rsid w:val="00287BFF"/>
    <w:rsid w:val="002910A1"/>
    <w:rsid w:val="0029141B"/>
    <w:rsid w:val="00291A96"/>
    <w:rsid w:val="00291DB6"/>
    <w:rsid w:val="00292395"/>
    <w:rsid w:val="00293A01"/>
    <w:rsid w:val="00295448"/>
    <w:rsid w:val="00295802"/>
    <w:rsid w:val="0029592E"/>
    <w:rsid w:val="002964C8"/>
    <w:rsid w:val="00296566"/>
    <w:rsid w:val="0029681B"/>
    <w:rsid w:val="002969A6"/>
    <w:rsid w:val="002974AE"/>
    <w:rsid w:val="00297A3D"/>
    <w:rsid w:val="002A0ADA"/>
    <w:rsid w:val="002A11EA"/>
    <w:rsid w:val="002A1375"/>
    <w:rsid w:val="002A1957"/>
    <w:rsid w:val="002A1CEE"/>
    <w:rsid w:val="002A203B"/>
    <w:rsid w:val="002A32E0"/>
    <w:rsid w:val="002A35FE"/>
    <w:rsid w:val="002A508C"/>
    <w:rsid w:val="002A50C2"/>
    <w:rsid w:val="002A556A"/>
    <w:rsid w:val="002A58E2"/>
    <w:rsid w:val="002A5D4E"/>
    <w:rsid w:val="002A678C"/>
    <w:rsid w:val="002A6E71"/>
    <w:rsid w:val="002A726B"/>
    <w:rsid w:val="002A73E5"/>
    <w:rsid w:val="002A7543"/>
    <w:rsid w:val="002B066F"/>
    <w:rsid w:val="002B0EA0"/>
    <w:rsid w:val="002B1027"/>
    <w:rsid w:val="002B14D6"/>
    <w:rsid w:val="002B1686"/>
    <w:rsid w:val="002B1C3E"/>
    <w:rsid w:val="002B221C"/>
    <w:rsid w:val="002B288D"/>
    <w:rsid w:val="002B2AB9"/>
    <w:rsid w:val="002B2D19"/>
    <w:rsid w:val="002B3245"/>
    <w:rsid w:val="002B39E9"/>
    <w:rsid w:val="002B4591"/>
    <w:rsid w:val="002B4949"/>
    <w:rsid w:val="002B5821"/>
    <w:rsid w:val="002B5870"/>
    <w:rsid w:val="002B5925"/>
    <w:rsid w:val="002B5948"/>
    <w:rsid w:val="002B5C3A"/>
    <w:rsid w:val="002B5DF2"/>
    <w:rsid w:val="002B6575"/>
    <w:rsid w:val="002B65DA"/>
    <w:rsid w:val="002B662C"/>
    <w:rsid w:val="002B665C"/>
    <w:rsid w:val="002B683D"/>
    <w:rsid w:val="002B686D"/>
    <w:rsid w:val="002B6915"/>
    <w:rsid w:val="002B7FDA"/>
    <w:rsid w:val="002C0A46"/>
    <w:rsid w:val="002C1031"/>
    <w:rsid w:val="002C2037"/>
    <w:rsid w:val="002C21A7"/>
    <w:rsid w:val="002C2A59"/>
    <w:rsid w:val="002C35B3"/>
    <w:rsid w:val="002C36FD"/>
    <w:rsid w:val="002C571D"/>
    <w:rsid w:val="002C5A61"/>
    <w:rsid w:val="002C5EE2"/>
    <w:rsid w:val="002C6019"/>
    <w:rsid w:val="002C6620"/>
    <w:rsid w:val="002C69CC"/>
    <w:rsid w:val="002C6AEB"/>
    <w:rsid w:val="002C7093"/>
    <w:rsid w:val="002C7212"/>
    <w:rsid w:val="002C7578"/>
    <w:rsid w:val="002C767B"/>
    <w:rsid w:val="002C7B3E"/>
    <w:rsid w:val="002C7CA4"/>
    <w:rsid w:val="002D0031"/>
    <w:rsid w:val="002D044E"/>
    <w:rsid w:val="002D0F9A"/>
    <w:rsid w:val="002D1385"/>
    <w:rsid w:val="002D1410"/>
    <w:rsid w:val="002D1429"/>
    <w:rsid w:val="002D1788"/>
    <w:rsid w:val="002D2267"/>
    <w:rsid w:val="002D24CF"/>
    <w:rsid w:val="002D24EF"/>
    <w:rsid w:val="002D24FA"/>
    <w:rsid w:val="002D2AD2"/>
    <w:rsid w:val="002D2ADD"/>
    <w:rsid w:val="002D2C57"/>
    <w:rsid w:val="002D42D3"/>
    <w:rsid w:val="002D4A92"/>
    <w:rsid w:val="002D557D"/>
    <w:rsid w:val="002D55DF"/>
    <w:rsid w:val="002D59A5"/>
    <w:rsid w:val="002D622E"/>
    <w:rsid w:val="002D686B"/>
    <w:rsid w:val="002D6938"/>
    <w:rsid w:val="002D6AA4"/>
    <w:rsid w:val="002E03F4"/>
    <w:rsid w:val="002E0A05"/>
    <w:rsid w:val="002E0A32"/>
    <w:rsid w:val="002E126F"/>
    <w:rsid w:val="002E12C7"/>
    <w:rsid w:val="002E1A7E"/>
    <w:rsid w:val="002E279E"/>
    <w:rsid w:val="002E2C82"/>
    <w:rsid w:val="002E3E7D"/>
    <w:rsid w:val="002E435A"/>
    <w:rsid w:val="002E4BF9"/>
    <w:rsid w:val="002E5391"/>
    <w:rsid w:val="002E5579"/>
    <w:rsid w:val="002E67B5"/>
    <w:rsid w:val="002E6B72"/>
    <w:rsid w:val="002E70D2"/>
    <w:rsid w:val="002E714B"/>
    <w:rsid w:val="002E77D0"/>
    <w:rsid w:val="002F0708"/>
    <w:rsid w:val="002F1433"/>
    <w:rsid w:val="002F14AF"/>
    <w:rsid w:val="002F167D"/>
    <w:rsid w:val="002F1FD8"/>
    <w:rsid w:val="002F222A"/>
    <w:rsid w:val="002F24AA"/>
    <w:rsid w:val="002F29D1"/>
    <w:rsid w:val="002F2BC9"/>
    <w:rsid w:val="002F327A"/>
    <w:rsid w:val="002F3E0E"/>
    <w:rsid w:val="002F4750"/>
    <w:rsid w:val="002F48F6"/>
    <w:rsid w:val="002F51E7"/>
    <w:rsid w:val="002F58A8"/>
    <w:rsid w:val="002F5A5C"/>
    <w:rsid w:val="002F60D1"/>
    <w:rsid w:val="002F61F0"/>
    <w:rsid w:val="002F6466"/>
    <w:rsid w:val="002F7A86"/>
    <w:rsid w:val="00300933"/>
    <w:rsid w:val="00301047"/>
    <w:rsid w:val="00301378"/>
    <w:rsid w:val="00301B9A"/>
    <w:rsid w:val="00301D68"/>
    <w:rsid w:val="00301F78"/>
    <w:rsid w:val="003021AD"/>
    <w:rsid w:val="0030249C"/>
    <w:rsid w:val="003026A5"/>
    <w:rsid w:val="00302897"/>
    <w:rsid w:val="00303432"/>
    <w:rsid w:val="003036E9"/>
    <w:rsid w:val="003046D5"/>
    <w:rsid w:val="00304A15"/>
    <w:rsid w:val="00304DA9"/>
    <w:rsid w:val="00304DF7"/>
    <w:rsid w:val="00305D57"/>
    <w:rsid w:val="00305F74"/>
    <w:rsid w:val="00306A96"/>
    <w:rsid w:val="00307267"/>
    <w:rsid w:val="00307340"/>
    <w:rsid w:val="003077E2"/>
    <w:rsid w:val="00307E87"/>
    <w:rsid w:val="00310DE4"/>
    <w:rsid w:val="003119D9"/>
    <w:rsid w:val="003124D6"/>
    <w:rsid w:val="00312B5F"/>
    <w:rsid w:val="00312E3D"/>
    <w:rsid w:val="0031311E"/>
    <w:rsid w:val="0031372C"/>
    <w:rsid w:val="00313B96"/>
    <w:rsid w:val="00313D10"/>
    <w:rsid w:val="00314524"/>
    <w:rsid w:val="00314CC2"/>
    <w:rsid w:val="0031545D"/>
    <w:rsid w:val="00315D92"/>
    <w:rsid w:val="00315E43"/>
    <w:rsid w:val="0031662D"/>
    <w:rsid w:val="00316F0D"/>
    <w:rsid w:val="003170C9"/>
    <w:rsid w:val="00317647"/>
    <w:rsid w:val="00317753"/>
    <w:rsid w:val="00317ADF"/>
    <w:rsid w:val="003202A0"/>
    <w:rsid w:val="003204A2"/>
    <w:rsid w:val="0032086E"/>
    <w:rsid w:val="0032088F"/>
    <w:rsid w:val="003213A1"/>
    <w:rsid w:val="00321B8E"/>
    <w:rsid w:val="00322464"/>
    <w:rsid w:val="00322606"/>
    <w:rsid w:val="00322A3D"/>
    <w:rsid w:val="00322A80"/>
    <w:rsid w:val="0032386E"/>
    <w:rsid w:val="00323BA3"/>
    <w:rsid w:val="00323D51"/>
    <w:rsid w:val="0032491B"/>
    <w:rsid w:val="0032636F"/>
    <w:rsid w:val="003263C6"/>
    <w:rsid w:val="00326971"/>
    <w:rsid w:val="00326CA7"/>
    <w:rsid w:val="00327702"/>
    <w:rsid w:val="00327BA9"/>
    <w:rsid w:val="00327BEA"/>
    <w:rsid w:val="00330CAD"/>
    <w:rsid w:val="00330CE7"/>
    <w:rsid w:val="0033106C"/>
    <w:rsid w:val="0033193B"/>
    <w:rsid w:val="00331CCD"/>
    <w:rsid w:val="003323FA"/>
    <w:rsid w:val="00332574"/>
    <w:rsid w:val="00332F41"/>
    <w:rsid w:val="00333679"/>
    <w:rsid w:val="00333CBB"/>
    <w:rsid w:val="00334227"/>
    <w:rsid w:val="00334951"/>
    <w:rsid w:val="00334960"/>
    <w:rsid w:val="00334B0E"/>
    <w:rsid w:val="00334F0B"/>
    <w:rsid w:val="003350FC"/>
    <w:rsid w:val="00335555"/>
    <w:rsid w:val="003358A7"/>
    <w:rsid w:val="00335C47"/>
    <w:rsid w:val="00335DFC"/>
    <w:rsid w:val="003365D2"/>
    <w:rsid w:val="00336924"/>
    <w:rsid w:val="0033716E"/>
    <w:rsid w:val="00337637"/>
    <w:rsid w:val="00337D14"/>
    <w:rsid w:val="0034077A"/>
    <w:rsid w:val="00340B62"/>
    <w:rsid w:val="00341D6E"/>
    <w:rsid w:val="0034205F"/>
    <w:rsid w:val="003423BA"/>
    <w:rsid w:val="0034280B"/>
    <w:rsid w:val="00342C36"/>
    <w:rsid w:val="003430AD"/>
    <w:rsid w:val="00343402"/>
    <w:rsid w:val="003447CE"/>
    <w:rsid w:val="00344CA5"/>
    <w:rsid w:val="0034506A"/>
    <w:rsid w:val="003455C9"/>
    <w:rsid w:val="00345B11"/>
    <w:rsid w:val="00345D70"/>
    <w:rsid w:val="00346013"/>
    <w:rsid w:val="003461C3"/>
    <w:rsid w:val="00346546"/>
    <w:rsid w:val="00347947"/>
    <w:rsid w:val="0034796F"/>
    <w:rsid w:val="0035009B"/>
    <w:rsid w:val="00350F62"/>
    <w:rsid w:val="00351071"/>
    <w:rsid w:val="003519E7"/>
    <w:rsid w:val="00351E2B"/>
    <w:rsid w:val="00351F59"/>
    <w:rsid w:val="003521EA"/>
    <w:rsid w:val="0035263A"/>
    <w:rsid w:val="00352862"/>
    <w:rsid w:val="00352DDB"/>
    <w:rsid w:val="0035373C"/>
    <w:rsid w:val="00353BA4"/>
    <w:rsid w:val="003542BB"/>
    <w:rsid w:val="003545FB"/>
    <w:rsid w:val="003548E7"/>
    <w:rsid w:val="003559E9"/>
    <w:rsid w:val="0035606E"/>
    <w:rsid w:val="003568D2"/>
    <w:rsid w:val="00357385"/>
    <w:rsid w:val="00357774"/>
    <w:rsid w:val="00357D5C"/>
    <w:rsid w:val="00360233"/>
    <w:rsid w:val="0036028E"/>
    <w:rsid w:val="0036091C"/>
    <w:rsid w:val="0036102E"/>
    <w:rsid w:val="00361309"/>
    <w:rsid w:val="0036130C"/>
    <w:rsid w:val="00362B20"/>
    <w:rsid w:val="00363244"/>
    <w:rsid w:val="00363373"/>
    <w:rsid w:val="003634B3"/>
    <w:rsid w:val="003634C8"/>
    <w:rsid w:val="00363585"/>
    <w:rsid w:val="003643FB"/>
    <w:rsid w:val="0036471A"/>
    <w:rsid w:val="00364748"/>
    <w:rsid w:val="00364DDC"/>
    <w:rsid w:val="00364FB7"/>
    <w:rsid w:val="00365205"/>
    <w:rsid w:val="00365B0B"/>
    <w:rsid w:val="00365BA7"/>
    <w:rsid w:val="00366ED8"/>
    <w:rsid w:val="00367061"/>
    <w:rsid w:val="0036776D"/>
    <w:rsid w:val="00367C46"/>
    <w:rsid w:val="00367E81"/>
    <w:rsid w:val="00370C00"/>
    <w:rsid w:val="00370D36"/>
    <w:rsid w:val="003713CE"/>
    <w:rsid w:val="00371A18"/>
    <w:rsid w:val="00371C4D"/>
    <w:rsid w:val="00372C2D"/>
    <w:rsid w:val="003731AA"/>
    <w:rsid w:val="00373697"/>
    <w:rsid w:val="003739E6"/>
    <w:rsid w:val="00374E13"/>
    <w:rsid w:val="00375AC2"/>
    <w:rsid w:val="00375C42"/>
    <w:rsid w:val="00375F5A"/>
    <w:rsid w:val="00376166"/>
    <w:rsid w:val="0037617E"/>
    <w:rsid w:val="00376193"/>
    <w:rsid w:val="0037688B"/>
    <w:rsid w:val="00376B2D"/>
    <w:rsid w:val="00376F4B"/>
    <w:rsid w:val="00376FDE"/>
    <w:rsid w:val="00380575"/>
    <w:rsid w:val="00380B15"/>
    <w:rsid w:val="00381626"/>
    <w:rsid w:val="00381C38"/>
    <w:rsid w:val="00381D4B"/>
    <w:rsid w:val="003827A9"/>
    <w:rsid w:val="00382E5F"/>
    <w:rsid w:val="00382EE5"/>
    <w:rsid w:val="0038423E"/>
    <w:rsid w:val="00384870"/>
    <w:rsid w:val="0038506B"/>
    <w:rsid w:val="003854A9"/>
    <w:rsid w:val="003864A6"/>
    <w:rsid w:val="00386C0E"/>
    <w:rsid w:val="003876E9"/>
    <w:rsid w:val="0038782A"/>
    <w:rsid w:val="00387CEA"/>
    <w:rsid w:val="0039021B"/>
    <w:rsid w:val="00390B90"/>
    <w:rsid w:val="00391355"/>
    <w:rsid w:val="003915E8"/>
    <w:rsid w:val="0039212F"/>
    <w:rsid w:val="00392D0C"/>
    <w:rsid w:val="003930D0"/>
    <w:rsid w:val="003937C4"/>
    <w:rsid w:val="00393B1B"/>
    <w:rsid w:val="00393BD4"/>
    <w:rsid w:val="00393CDB"/>
    <w:rsid w:val="003953C7"/>
    <w:rsid w:val="003959A3"/>
    <w:rsid w:val="00396BF7"/>
    <w:rsid w:val="00396D87"/>
    <w:rsid w:val="00397193"/>
    <w:rsid w:val="00397DC1"/>
    <w:rsid w:val="00397F6D"/>
    <w:rsid w:val="003A0702"/>
    <w:rsid w:val="003A0B00"/>
    <w:rsid w:val="003A0EC1"/>
    <w:rsid w:val="003A15A4"/>
    <w:rsid w:val="003A15E1"/>
    <w:rsid w:val="003A1799"/>
    <w:rsid w:val="003A224B"/>
    <w:rsid w:val="003A2378"/>
    <w:rsid w:val="003A2A25"/>
    <w:rsid w:val="003A2BC4"/>
    <w:rsid w:val="003A2FA7"/>
    <w:rsid w:val="003A371E"/>
    <w:rsid w:val="003A3CAD"/>
    <w:rsid w:val="003A58C9"/>
    <w:rsid w:val="003A5B5A"/>
    <w:rsid w:val="003A5C68"/>
    <w:rsid w:val="003A631F"/>
    <w:rsid w:val="003A6448"/>
    <w:rsid w:val="003A6D12"/>
    <w:rsid w:val="003A7003"/>
    <w:rsid w:val="003A7637"/>
    <w:rsid w:val="003B074C"/>
    <w:rsid w:val="003B13BC"/>
    <w:rsid w:val="003B1449"/>
    <w:rsid w:val="003B1869"/>
    <w:rsid w:val="003B1D23"/>
    <w:rsid w:val="003B2E0F"/>
    <w:rsid w:val="003B31FE"/>
    <w:rsid w:val="003B32A3"/>
    <w:rsid w:val="003B3A43"/>
    <w:rsid w:val="003B3BF4"/>
    <w:rsid w:val="003B409E"/>
    <w:rsid w:val="003B43CC"/>
    <w:rsid w:val="003B491D"/>
    <w:rsid w:val="003B509F"/>
    <w:rsid w:val="003B51E1"/>
    <w:rsid w:val="003B5275"/>
    <w:rsid w:val="003B5572"/>
    <w:rsid w:val="003B55B1"/>
    <w:rsid w:val="003B56C4"/>
    <w:rsid w:val="003B621B"/>
    <w:rsid w:val="003B62F7"/>
    <w:rsid w:val="003B6911"/>
    <w:rsid w:val="003B709B"/>
    <w:rsid w:val="003B71CF"/>
    <w:rsid w:val="003B739A"/>
    <w:rsid w:val="003B7A31"/>
    <w:rsid w:val="003B7C4B"/>
    <w:rsid w:val="003C103C"/>
    <w:rsid w:val="003C1726"/>
    <w:rsid w:val="003C1930"/>
    <w:rsid w:val="003C1978"/>
    <w:rsid w:val="003C1FEF"/>
    <w:rsid w:val="003C214F"/>
    <w:rsid w:val="003C224D"/>
    <w:rsid w:val="003C23A7"/>
    <w:rsid w:val="003C25A7"/>
    <w:rsid w:val="003C2868"/>
    <w:rsid w:val="003C3102"/>
    <w:rsid w:val="003C3336"/>
    <w:rsid w:val="003C38A7"/>
    <w:rsid w:val="003C396B"/>
    <w:rsid w:val="003C3BDC"/>
    <w:rsid w:val="003C436B"/>
    <w:rsid w:val="003C4F78"/>
    <w:rsid w:val="003C5161"/>
    <w:rsid w:val="003C533B"/>
    <w:rsid w:val="003C5685"/>
    <w:rsid w:val="003C5737"/>
    <w:rsid w:val="003C5E36"/>
    <w:rsid w:val="003C6037"/>
    <w:rsid w:val="003C65B0"/>
    <w:rsid w:val="003C6F4F"/>
    <w:rsid w:val="003C707C"/>
    <w:rsid w:val="003C70DD"/>
    <w:rsid w:val="003C770B"/>
    <w:rsid w:val="003C7F30"/>
    <w:rsid w:val="003D0D12"/>
    <w:rsid w:val="003D15A0"/>
    <w:rsid w:val="003D247B"/>
    <w:rsid w:val="003D2BBF"/>
    <w:rsid w:val="003D32D8"/>
    <w:rsid w:val="003D396E"/>
    <w:rsid w:val="003D4B4B"/>
    <w:rsid w:val="003D5A03"/>
    <w:rsid w:val="003D5A6F"/>
    <w:rsid w:val="003D5E14"/>
    <w:rsid w:val="003D6070"/>
    <w:rsid w:val="003D61A1"/>
    <w:rsid w:val="003D628F"/>
    <w:rsid w:val="003D6500"/>
    <w:rsid w:val="003D6A23"/>
    <w:rsid w:val="003D6C8A"/>
    <w:rsid w:val="003D6FAE"/>
    <w:rsid w:val="003D70D2"/>
    <w:rsid w:val="003D73D6"/>
    <w:rsid w:val="003D7778"/>
    <w:rsid w:val="003D7789"/>
    <w:rsid w:val="003D7DDF"/>
    <w:rsid w:val="003E0933"/>
    <w:rsid w:val="003E10B8"/>
    <w:rsid w:val="003E1CBB"/>
    <w:rsid w:val="003E1E4F"/>
    <w:rsid w:val="003E265C"/>
    <w:rsid w:val="003E3C7D"/>
    <w:rsid w:val="003E3D64"/>
    <w:rsid w:val="003E3F14"/>
    <w:rsid w:val="003E44AC"/>
    <w:rsid w:val="003E482E"/>
    <w:rsid w:val="003E52AE"/>
    <w:rsid w:val="003E5B05"/>
    <w:rsid w:val="003E5FA3"/>
    <w:rsid w:val="003E61C0"/>
    <w:rsid w:val="003E64B3"/>
    <w:rsid w:val="003E69CE"/>
    <w:rsid w:val="003E6FB5"/>
    <w:rsid w:val="003E7160"/>
    <w:rsid w:val="003F23D6"/>
    <w:rsid w:val="003F28B1"/>
    <w:rsid w:val="003F2E41"/>
    <w:rsid w:val="003F39D5"/>
    <w:rsid w:val="003F517E"/>
    <w:rsid w:val="003F68EE"/>
    <w:rsid w:val="003F6C17"/>
    <w:rsid w:val="003F6C9D"/>
    <w:rsid w:val="003F7126"/>
    <w:rsid w:val="003F7252"/>
    <w:rsid w:val="003F7DCF"/>
    <w:rsid w:val="00400064"/>
    <w:rsid w:val="004008D1"/>
    <w:rsid w:val="004010D8"/>
    <w:rsid w:val="0040127F"/>
    <w:rsid w:val="00401A0A"/>
    <w:rsid w:val="0040245D"/>
    <w:rsid w:val="00402639"/>
    <w:rsid w:val="00402858"/>
    <w:rsid w:val="004031A5"/>
    <w:rsid w:val="00403234"/>
    <w:rsid w:val="004032E1"/>
    <w:rsid w:val="0040372A"/>
    <w:rsid w:val="00403806"/>
    <w:rsid w:val="00403AF8"/>
    <w:rsid w:val="00403DC6"/>
    <w:rsid w:val="004040DD"/>
    <w:rsid w:val="0040472E"/>
    <w:rsid w:val="004061EA"/>
    <w:rsid w:val="00406420"/>
    <w:rsid w:val="004067A1"/>
    <w:rsid w:val="00407676"/>
    <w:rsid w:val="00407F0F"/>
    <w:rsid w:val="004101CF"/>
    <w:rsid w:val="004108E5"/>
    <w:rsid w:val="00411053"/>
    <w:rsid w:val="0041204A"/>
    <w:rsid w:val="004126F8"/>
    <w:rsid w:val="004131EB"/>
    <w:rsid w:val="004135D5"/>
    <w:rsid w:val="00413C77"/>
    <w:rsid w:val="00414534"/>
    <w:rsid w:val="0041483C"/>
    <w:rsid w:val="00414921"/>
    <w:rsid w:val="004149E8"/>
    <w:rsid w:val="00414BA9"/>
    <w:rsid w:val="00414DDB"/>
    <w:rsid w:val="00415778"/>
    <w:rsid w:val="00415E50"/>
    <w:rsid w:val="00415FCD"/>
    <w:rsid w:val="004160E4"/>
    <w:rsid w:val="00416E4C"/>
    <w:rsid w:val="004179C5"/>
    <w:rsid w:val="00417E0B"/>
    <w:rsid w:val="00420D14"/>
    <w:rsid w:val="00421708"/>
    <w:rsid w:val="004222C1"/>
    <w:rsid w:val="004229E2"/>
    <w:rsid w:val="00422DEA"/>
    <w:rsid w:val="004240EE"/>
    <w:rsid w:val="0042486F"/>
    <w:rsid w:val="00424FBB"/>
    <w:rsid w:val="00425A3E"/>
    <w:rsid w:val="00425A8C"/>
    <w:rsid w:val="00426776"/>
    <w:rsid w:val="004269D7"/>
    <w:rsid w:val="00426E87"/>
    <w:rsid w:val="00427CCB"/>
    <w:rsid w:val="00430308"/>
    <w:rsid w:val="004306FB"/>
    <w:rsid w:val="00430AB6"/>
    <w:rsid w:val="00431900"/>
    <w:rsid w:val="00433B49"/>
    <w:rsid w:val="0043422C"/>
    <w:rsid w:val="004343AE"/>
    <w:rsid w:val="00434E9C"/>
    <w:rsid w:val="0043575C"/>
    <w:rsid w:val="00435777"/>
    <w:rsid w:val="00436645"/>
    <w:rsid w:val="004366F6"/>
    <w:rsid w:val="004369AD"/>
    <w:rsid w:val="00436B13"/>
    <w:rsid w:val="00437EB3"/>
    <w:rsid w:val="004407F0"/>
    <w:rsid w:val="00440C11"/>
    <w:rsid w:val="00440F58"/>
    <w:rsid w:val="0044100B"/>
    <w:rsid w:val="0044116A"/>
    <w:rsid w:val="0044169C"/>
    <w:rsid w:val="0044213E"/>
    <w:rsid w:val="00442421"/>
    <w:rsid w:val="004434D0"/>
    <w:rsid w:val="00443EA3"/>
    <w:rsid w:val="00444694"/>
    <w:rsid w:val="00444FED"/>
    <w:rsid w:val="00445033"/>
    <w:rsid w:val="004459C7"/>
    <w:rsid w:val="00445AA8"/>
    <w:rsid w:val="00446409"/>
    <w:rsid w:val="0044665C"/>
    <w:rsid w:val="0044703C"/>
    <w:rsid w:val="0044745A"/>
    <w:rsid w:val="00450856"/>
    <w:rsid w:val="0045148E"/>
    <w:rsid w:val="004514FD"/>
    <w:rsid w:val="00452AAF"/>
    <w:rsid w:val="004530EE"/>
    <w:rsid w:val="0045327C"/>
    <w:rsid w:val="004533C8"/>
    <w:rsid w:val="00453F08"/>
    <w:rsid w:val="00454089"/>
    <w:rsid w:val="00454BB4"/>
    <w:rsid w:val="0045510B"/>
    <w:rsid w:val="004557D1"/>
    <w:rsid w:val="00455964"/>
    <w:rsid w:val="00455CCD"/>
    <w:rsid w:val="00456704"/>
    <w:rsid w:val="00456CDA"/>
    <w:rsid w:val="00456DE6"/>
    <w:rsid w:val="004575FD"/>
    <w:rsid w:val="00457BAA"/>
    <w:rsid w:val="004604F5"/>
    <w:rsid w:val="0046185D"/>
    <w:rsid w:val="00461B27"/>
    <w:rsid w:val="00461C56"/>
    <w:rsid w:val="00461DF2"/>
    <w:rsid w:val="00463296"/>
    <w:rsid w:val="0046330C"/>
    <w:rsid w:val="00464591"/>
    <w:rsid w:val="004645A4"/>
    <w:rsid w:val="00464B28"/>
    <w:rsid w:val="004654EA"/>
    <w:rsid w:val="0046558A"/>
    <w:rsid w:val="004660FA"/>
    <w:rsid w:val="00466308"/>
    <w:rsid w:val="0046672E"/>
    <w:rsid w:val="00466772"/>
    <w:rsid w:val="004667B4"/>
    <w:rsid w:val="00466B7A"/>
    <w:rsid w:val="004670CC"/>
    <w:rsid w:val="00467DA7"/>
    <w:rsid w:val="00467EA1"/>
    <w:rsid w:val="004700DF"/>
    <w:rsid w:val="00470162"/>
    <w:rsid w:val="0047043B"/>
    <w:rsid w:val="00470DD4"/>
    <w:rsid w:val="0047106F"/>
    <w:rsid w:val="004713F6"/>
    <w:rsid w:val="00471C8F"/>
    <w:rsid w:val="0047305F"/>
    <w:rsid w:val="004731C8"/>
    <w:rsid w:val="0047347F"/>
    <w:rsid w:val="00473507"/>
    <w:rsid w:val="004738B7"/>
    <w:rsid w:val="00473A42"/>
    <w:rsid w:val="00474121"/>
    <w:rsid w:val="004741FD"/>
    <w:rsid w:val="00474655"/>
    <w:rsid w:val="004756EB"/>
    <w:rsid w:val="0047591F"/>
    <w:rsid w:val="00475C0A"/>
    <w:rsid w:val="00475C0E"/>
    <w:rsid w:val="0047629A"/>
    <w:rsid w:val="00476852"/>
    <w:rsid w:val="00476EF9"/>
    <w:rsid w:val="0048014F"/>
    <w:rsid w:val="00480A50"/>
    <w:rsid w:val="00480D6F"/>
    <w:rsid w:val="00480EFF"/>
    <w:rsid w:val="00481171"/>
    <w:rsid w:val="00481293"/>
    <w:rsid w:val="00481649"/>
    <w:rsid w:val="00481880"/>
    <w:rsid w:val="00481C17"/>
    <w:rsid w:val="004822C2"/>
    <w:rsid w:val="004831AE"/>
    <w:rsid w:val="004835B5"/>
    <w:rsid w:val="00483BD1"/>
    <w:rsid w:val="00484F56"/>
    <w:rsid w:val="00485097"/>
    <w:rsid w:val="004851EE"/>
    <w:rsid w:val="00485A1F"/>
    <w:rsid w:val="00485BC5"/>
    <w:rsid w:val="00486475"/>
    <w:rsid w:val="004866EA"/>
    <w:rsid w:val="004867FE"/>
    <w:rsid w:val="00487065"/>
    <w:rsid w:val="00487C9D"/>
    <w:rsid w:val="00490008"/>
    <w:rsid w:val="00490579"/>
    <w:rsid w:val="004906E1"/>
    <w:rsid w:val="004907A7"/>
    <w:rsid w:val="00490B99"/>
    <w:rsid w:val="00490E97"/>
    <w:rsid w:val="00491025"/>
    <w:rsid w:val="004915F2"/>
    <w:rsid w:val="004923C1"/>
    <w:rsid w:val="004924EE"/>
    <w:rsid w:val="0049256E"/>
    <w:rsid w:val="00492827"/>
    <w:rsid w:val="004928A4"/>
    <w:rsid w:val="00492B0A"/>
    <w:rsid w:val="00492CF8"/>
    <w:rsid w:val="00492EA6"/>
    <w:rsid w:val="0049366A"/>
    <w:rsid w:val="0049372E"/>
    <w:rsid w:val="00493E31"/>
    <w:rsid w:val="00494536"/>
    <w:rsid w:val="00494942"/>
    <w:rsid w:val="00494EE0"/>
    <w:rsid w:val="00495789"/>
    <w:rsid w:val="00495891"/>
    <w:rsid w:val="004959A0"/>
    <w:rsid w:val="00495CC5"/>
    <w:rsid w:val="00496A4D"/>
    <w:rsid w:val="00496CB4"/>
    <w:rsid w:val="00496D87"/>
    <w:rsid w:val="004977DC"/>
    <w:rsid w:val="004A044B"/>
    <w:rsid w:val="004A06DC"/>
    <w:rsid w:val="004A0ED7"/>
    <w:rsid w:val="004A1685"/>
    <w:rsid w:val="004A19DA"/>
    <w:rsid w:val="004A240B"/>
    <w:rsid w:val="004A26C3"/>
    <w:rsid w:val="004A3521"/>
    <w:rsid w:val="004A3E34"/>
    <w:rsid w:val="004A3E84"/>
    <w:rsid w:val="004A4234"/>
    <w:rsid w:val="004A4696"/>
    <w:rsid w:val="004A472F"/>
    <w:rsid w:val="004A4AA0"/>
    <w:rsid w:val="004A5FE9"/>
    <w:rsid w:val="004A6217"/>
    <w:rsid w:val="004A6A4A"/>
    <w:rsid w:val="004A6B0B"/>
    <w:rsid w:val="004B0EEE"/>
    <w:rsid w:val="004B15B5"/>
    <w:rsid w:val="004B174C"/>
    <w:rsid w:val="004B2186"/>
    <w:rsid w:val="004B2722"/>
    <w:rsid w:val="004B2796"/>
    <w:rsid w:val="004B2941"/>
    <w:rsid w:val="004B2E3C"/>
    <w:rsid w:val="004B30DA"/>
    <w:rsid w:val="004B3345"/>
    <w:rsid w:val="004B3815"/>
    <w:rsid w:val="004B3892"/>
    <w:rsid w:val="004B3A40"/>
    <w:rsid w:val="004B3CE7"/>
    <w:rsid w:val="004B4880"/>
    <w:rsid w:val="004B4C90"/>
    <w:rsid w:val="004B4D74"/>
    <w:rsid w:val="004B52FD"/>
    <w:rsid w:val="004B55AD"/>
    <w:rsid w:val="004B69DA"/>
    <w:rsid w:val="004B6E7B"/>
    <w:rsid w:val="004B7091"/>
    <w:rsid w:val="004B7590"/>
    <w:rsid w:val="004C0525"/>
    <w:rsid w:val="004C0850"/>
    <w:rsid w:val="004C0D6A"/>
    <w:rsid w:val="004C16D9"/>
    <w:rsid w:val="004C180D"/>
    <w:rsid w:val="004C197D"/>
    <w:rsid w:val="004C2727"/>
    <w:rsid w:val="004C272D"/>
    <w:rsid w:val="004C2815"/>
    <w:rsid w:val="004C2CD6"/>
    <w:rsid w:val="004C2E8F"/>
    <w:rsid w:val="004C33BC"/>
    <w:rsid w:val="004C4753"/>
    <w:rsid w:val="004C551E"/>
    <w:rsid w:val="004C56A9"/>
    <w:rsid w:val="004C5C64"/>
    <w:rsid w:val="004C67C1"/>
    <w:rsid w:val="004C7068"/>
    <w:rsid w:val="004C7D20"/>
    <w:rsid w:val="004D08C1"/>
    <w:rsid w:val="004D0E75"/>
    <w:rsid w:val="004D1162"/>
    <w:rsid w:val="004D1192"/>
    <w:rsid w:val="004D1224"/>
    <w:rsid w:val="004D1AD6"/>
    <w:rsid w:val="004D1E7C"/>
    <w:rsid w:val="004D1F05"/>
    <w:rsid w:val="004D2268"/>
    <w:rsid w:val="004D24EA"/>
    <w:rsid w:val="004D2BF1"/>
    <w:rsid w:val="004D32FD"/>
    <w:rsid w:val="004D3939"/>
    <w:rsid w:val="004D3B6C"/>
    <w:rsid w:val="004D3EAF"/>
    <w:rsid w:val="004D40A6"/>
    <w:rsid w:val="004D4610"/>
    <w:rsid w:val="004D4D6A"/>
    <w:rsid w:val="004D58DA"/>
    <w:rsid w:val="004D5F79"/>
    <w:rsid w:val="004D6514"/>
    <w:rsid w:val="004D65C1"/>
    <w:rsid w:val="004D6640"/>
    <w:rsid w:val="004D6700"/>
    <w:rsid w:val="004D6FE8"/>
    <w:rsid w:val="004D70FB"/>
    <w:rsid w:val="004E04EE"/>
    <w:rsid w:val="004E0526"/>
    <w:rsid w:val="004E0E1E"/>
    <w:rsid w:val="004E10AA"/>
    <w:rsid w:val="004E1407"/>
    <w:rsid w:val="004E14B9"/>
    <w:rsid w:val="004E1579"/>
    <w:rsid w:val="004E173A"/>
    <w:rsid w:val="004E25C5"/>
    <w:rsid w:val="004E2DBF"/>
    <w:rsid w:val="004E3A64"/>
    <w:rsid w:val="004E3F54"/>
    <w:rsid w:val="004E4475"/>
    <w:rsid w:val="004E4BF0"/>
    <w:rsid w:val="004E520D"/>
    <w:rsid w:val="004E589C"/>
    <w:rsid w:val="004E58E4"/>
    <w:rsid w:val="004E5CE8"/>
    <w:rsid w:val="004E6182"/>
    <w:rsid w:val="004E6250"/>
    <w:rsid w:val="004E6A5A"/>
    <w:rsid w:val="004E6C6B"/>
    <w:rsid w:val="004E6CE0"/>
    <w:rsid w:val="004E710E"/>
    <w:rsid w:val="004E775B"/>
    <w:rsid w:val="004E78A5"/>
    <w:rsid w:val="004E7AB7"/>
    <w:rsid w:val="004E7B4B"/>
    <w:rsid w:val="004E7C6A"/>
    <w:rsid w:val="004E7CFE"/>
    <w:rsid w:val="004F0204"/>
    <w:rsid w:val="004F0651"/>
    <w:rsid w:val="004F070D"/>
    <w:rsid w:val="004F0BC4"/>
    <w:rsid w:val="004F1280"/>
    <w:rsid w:val="004F1499"/>
    <w:rsid w:val="004F1F84"/>
    <w:rsid w:val="004F262F"/>
    <w:rsid w:val="004F26DC"/>
    <w:rsid w:val="004F27A6"/>
    <w:rsid w:val="004F351D"/>
    <w:rsid w:val="004F383E"/>
    <w:rsid w:val="004F39DD"/>
    <w:rsid w:val="004F4361"/>
    <w:rsid w:val="004F4775"/>
    <w:rsid w:val="004F55B6"/>
    <w:rsid w:val="004F6A1E"/>
    <w:rsid w:val="004F7654"/>
    <w:rsid w:val="004F7747"/>
    <w:rsid w:val="004F7C00"/>
    <w:rsid w:val="004F7EFD"/>
    <w:rsid w:val="00500A09"/>
    <w:rsid w:val="00502582"/>
    <w:rsid w:val="00503607"/>
    <w:rsid w:val="00503AAB"/>
    <w:rsid w:val="00503EE9"/>
    <w:rsid w:val="00503F2D"/>
    <w:rsid w:val="00504BA3"/>
    <w:rsid w:val="00505363"/>
    <w:rsid w:val="0050700F"/>
    <w:rsid w:val="0050724B"/>
    <w:rsid w:val="00507347"/>
    <w:rsid w:val="005073AA"/>
    <w:rsid w:val="00507924"/>
    <w:rsid w:val="005079D6"/>
    <w:rsid w:val="00507EDE"/>
    <w:rsid w:val="005103B9"/>
    <w:rsid w:val="00511496"/>
    <w:rsid w:val="00511D81"/>
    <w:rsid w:val="0051243D"/>
    <w:rsid w:val="00512595"/>
    <w:rsid w:val="0051284A"/>
    <w:rsid w:val="00512ED7"/>
    <w:rsid w:val="0051375C"/>
    <w:rsid w:val="00513ABE"/>
    <w:rsid w:val="00513E23"/>
    <w:rsid w:val="005144C8"/>
    <w:rsid w:val="00514F66"/>
    <w:rsid w:val="00515073"/>
    <w:rsid w:val="005153FA"/>
    <w:rsid w:val="00515A86"/>
    <w:rsid w:val="005162FA"/>
    <w:rsid w:val="005171AF"/>
    <w:rsid w:val="00517AF5"/>
    <w:rsid w:val="00520326"/>
    <w:rsid w:val="00520A71"/>
    <w:rsid w:val="00520B41"/>
    <w:rsid w:val="00520CFB"/>
    <w:rsid w:val="0052127F"/>
    <w:rsid w:val="00521595"/>
    <w:rsid w:val="00522C7D"/>
    <w:rsid w:val="00522DD4"/>
    <w:rsid w:val="00522F02"/>
    <w:rsid w:val="00523293"/>
    <w:rsid w:val="0052373B"/>
    <w:rsid w:val="00524088"/>
    <w:rsid w:val="00524317"/>
    <w:rsid w:val="00524BB7"/>
    <w:rsid w:val="00524C4E"/>
    <w:rsid w:val="005255E5"/>
    <w:rsid w:val="005259AE"/>
    <w:rsid w:val="005261F7"/>
    <w:rsid w:val="00526565"/>
    <w:rsid w:val="005266FF"/>
    <w:rsid w:val="005269EF"/>
    <w:rsid w:val="00526C23"/>
    <w:rsid w:val="00527C0E"/>
    <w:rsid w:val="00530B6A"/>
    <w:rsid w:val="00530F6B"/>
    <w:rsid w:val="00532056"/>
    <w:rsid w:val="0053277B"/>
    <w:rsid w:val="00532BA2"/>
    <w:rsid w:val="00532EC8"/>
    <w:rsid w:val="005341B2"/>
    <w:rsid w:val="00534839"/>
    <w:rsid w:val="00534AD4"/>
    <w:rsid w:val="00534E94"/>
    <w:rsid w:val="005351FB"/>
    <w:rsid w:val="0053563A"/>
    <w:rsid w:val="005358FB"/>
    <w:rsid w:val="005363F2"/>
    <w:rsid w:val="00537541"/>
    <w:rsid w:val="00537760"/>
    <w:rsid w:val="00540411"/>
    <w:rsid w:val="00541C26"/>
    <w:rsid w:val="005429CB"/>
    <w:rsid w:val="00543111"/>
    <w:rsid w:val="005431F6"/>
    <w:rsid w:val="0054367E"/>
    <w:rsid w:val="005437F5"/>
    <w:rsid w:val="00543D26"/>
    <w:rsid w:val="00543DB4"/>
    <w:rsid w:val="00543FB9"/>
    <w:rsid w:val="00544094"/>
    <w:rsid w:val="00544371"/>
    <w:rsid w:val="00544A57"/>
    <w:rsid w:val="00544EC5"/>
    <w:rsid w:val="00545B1E"/>
    <w:rsid w:val="005463E1"/>
    <w:rsid w:val="00546983"/>
    <w:rsid w:val="00546D64"/>
    <w:rsid w:val="0054703D"/>
    <w:rsid w:val="00547388"/>
    <w:rsid w:val="00547833"/>
    <w:rsid w:val="005500FC"/>
    <w:rsid w:val="00550819"/>
    <w:rsid w:val="005508D8"/>
    <w:rsid w:val="00550A77"/>
    <w:rsid w:val="00552188"/>
    <w:rsid w:val="005527A8"/>
    <w:rsid w:val="00552B36"/>
    <w:rsid w:val="00552E70"/>
    <w:rsid w:val="0055316E"/>
    <w:rsid w:val="005532AB"/>
    <w:rsid w:val="00553818"/>
    <w:rsid w:val="00553AC4"/>
    <w:rsid w:val="00553F97"/>
    <w:rsid w:val="0055443D"/>
    <w:rsid w:val="00554B15"/>
    <w:rsid w:val="00554F9E"/>
    <w:rsid w:val="0055530F"/>
    <w:rsid w:val="005555FB"/>
    <w:rsid w:val="0055564B"/>
    <w:rsid w:val="00555744"/>
    <w:rsid w:val="005566EF"/>
    <w:rsid w:val="005568AA"/>
    <w:rsid w:val="00557961"/>
    <w:rsid w:val="00557C7C"/>
    <w:rsid w:val="00557CAC"/>
    <w:rsid w:val="0056007E"/>
    <w:rsid w:val="0056027E"/>
    <w:rsid w:val="005607CD"/>
    <w:rsid w:val="00560959"/>
    <w:rsid w:val="005615D6"/>
    <w:rsid w:val="0056160E"/>
    <w:rsid w:val="00561A1A"/>
    <w:rsid w:val="00562216"/>
    <w:rsid w:val="00562402"/>
    <w:rsid w:val="005626C8"/>
    <w:rsid w:val="0056296B"/>
    <w:rsid w:val="00562EDC"/>
    <w:rsid w:val="00563A0D"/>
    <w:rsid w:val="00563AE3"/>
    <w:rsid w:val="00564ECD"/>
    <w:rsid w:val="005652B6"/>
    <w:rsid w:val="0056579D"/>
    <w:rsid w:val="005659AB"/>
    <w:rsid w:val="00566627"/>
    <w:rsid w:val="005667AF"/>
    <w:rsid w:val="0056680C"/>
    <w:rsid w:val="00566D31"/>
    <w:rsid w:val="005670C2"/>
    <w:rsid w:val="00567158"/>
    <w:rsid w:val="0056765C"/>
    <w:rsid w:val="00570781"/>
    <w:rsid w:val="00570ACB"/>
    <w:rsid w:val="0057102F"/>
    <w:rsid w:val="005714FB"/>
    <w:rsid w:val="0057154D"/>
    <w:rsid w:val="00571A7C"/>
    <w:rsid w:val="00572058"/>
    <w:rsid w:val="005726C0"/>
    <w:rsid w:val="0057298F"/>
    <w:rsid w:val="00572A76"/>
    <w:rsid w:val="00572FA3"/>
    <w:rsid w:val="005736BC"/>
    <w:rsid w:val="0057382D"/>
    <w:rsid w:val="005748A2"/>
    <w:rsid w:val="005748C8"/>
    <w:rsid w:val="00574972"/>
    <w:rsid w:val="00574A1A"/>
    <w:rsid w:val="00574FFB"/>
    <w:rsid w:val="0057588B"/>
    <w:rsid w:val="00575950"/>
    <w:rsid w:val="005759E3"/>
    <w:rsid w:val="00575D66"/>
    <w:rsid w:val="00575FC7"/>
    <w:rsid w:val="005761C2"/>
    <w:rsid w:val="00576F4E"/>
    <w:rsid w:val="005772AA"/>
    <w:rsid w:val="00577F77"/>
    <w:rsid w:val="005805C1"/>
    <w:rsid w:val="00582246"/>
    <w:rsid w:val="0058269D"/>
    <w:rsid w:val="00582D0F"/>
    <w:rsid w:val="005834C4"/>
    <w:rsid w:val="00584942"/>
    <w:rsid w:val="00585947"/>
    <w:rsid w:val="005859A9"/>
    <w:rsid w:val="005865E5"/>
    <w:rsid w:val="00586606"/>
    <w:rsid w:val="005866CC"/>
    <w:rsid w:val="0058680E"/>
    <w:rsid w:val="005878DD"/>
    <w:rsid w:val="00587BF0"/>
    <w:rsid w:val="005909D2"/>
    <w:rsid w:val="00590AEA"/>
    <w:rsid w:val="00590C62"/>
    <w:rsid w:val="00590D85"/>
    <w:rsid w:val="00591318"/>
    <w:rsid w:val="005917E0"/>
    <w:rsid w:val="00591E3D"/>
    <w:rsid w:val="00592A04"/>
    <w:rsid w:val="005930D9"/>
    <w:rsid w:val="00593116"/>
    <w:rsid w:val="00593354"/>
    <w:rsid w:val="005939FB"/>
    <w:rsid w:val="00593BE4"/>
    <w:rsid w:val="00593BFB"/>
    <w:rsid w:val="0059437B"/>
    <w:rsid w:val="0059445F"/>
    <w:rsid w:val="0059463C"/>
    <w:rsid w:val="005946AB"/>
    <w:rsid w:val="005947AF"/>
    <w:rsid w:val="0059535F"/>
    <w:rsid w:val="0059587B"/>
    <w:rsid w:val="005958E3"/>
    <w:rsid w:val="00595B26"/>
    <w:rsid w:val="0059657B"/>
    <w:rsid w:val="00596B8C"/>
    <w:rsid w:val="00597345"/>
    <w:rsid w:val="005A0522"/>
    <w:rsid w:val="005A091D"/>
    <w:rsid w:val="005A0B90"/>
    <w:rsid w:val="005A0E6C"/>
    <w:rsid w:val="005A0F87"/>
    <w:rsid w:val="005A16C9"/>
    <w:rsid w:val="005A1757"/>
    <w:rsid w:val="005A1BC2"/>
    <w:rsid w:val="005A1E94"/>
    <w:rsid w:val="005A257F"/>
    <w:rsid w:val="005A2794"/>
    <w:rsid w:val="005A2C69"/>
    <w:rsid w:val="005A2CA7"/>
    <w:rsid w:val="005A2FF0"/>
    <w:rsid w:val="005A35BE"/>
    <w:rsid w:val="005A3E76"/>
    <w:rsid w:val="005A471D"/>
    <w:rsid w:val="005A4765"/>
    <w:rsid w:val="005A4A4A"/>
    <w:rsid w:val="005A4C12"/>
    <w:rsid w:val="005A4D8E"/>
    <w:rsid w:val="005A5CEE"/>
    <w:rsid w:val="005A5D50"/>
    <w:rsid w:val="005A7209"/>
    <w:rsid w:val="005A73DC"/>
    <w:rsid w:val="005A743D"/>
    <w:rsid w:val="005A7945"/>
    <w:rsid w:val="005A7AC7"/>
    <w:rsid w:val="005B0FB6"/>
    <w:rsid w:val="005B2111"/>
    <w:rsid w:val="005B23A3"/>
    <w:rsid w:val="005B2C3F"/>
    <w:rsid w:val="005B36E3"/>
    <w:rsid w:val="005B3751"/>
    <w:rsid w:val="005B38F2"/>
    <w:rsid w:val="005B3AEA"/>
    <w:rsid w:val="005B3FCE"/>
    <w:rsid w:val="005B452D"/>
    <w:rsid w:val="005B6270"/>
    <w:rsid w:val="005B6457"/>
    <w:rsid w:val="005B6A08"/>
    <w:rsid w:val="005B6C48"/>
    <w:rsid w:val="005B6DAD"/>
    <w:rsid w:val="005B6E2F"/>
    <w:rsid w:val="005B7158"/>
    <w:rsid w:val="005B77A2"/>
    <w:rsid w:val="005B7C06"/>
    <w:rsid w:val="005B7F41"/>
    <w:rsid w:val="005C13CA"/>
    <w:rsid w:val="005C18A0"/>
    <w:rsid w:val="005C2CB0"/>
    <w:rsid w:val="005C2E08"/>
    <w:rsid w:val="005C3491"/>
    <w:rsid w:val="005C36E0"/>
    <w:rsid w:val="005C43F0"/>
    <w:rsid w:val="005C579A"/>
    <w:rsid w:val="005C5A73"/>
    <w:rsid w:val="005C5EB2"/>
    <w:rsid w:val="005C67DC"/>
    <w:rsid w:val="005C6966"/>
    <w:rsid w:val="005C6B99"/>
    <w:rsid w:val="005C70BC"/>
    <w:rsid w:val="005C723B"/>
    <w:rsid w:val="005C775D"/>
    <w:rsid w:val="005C7924"/>
    <w:rsid w:val="005C7B6E"/>
    <w:rsid w:val="005D0332"/>
    <w:rsid w:val="005D058B"/>
    <w:rsid w:val="005D05DB"/>
    <w:rsid w:val="005D0A41"/>
    <w:rsid w:val="005D0EDD"/>
    <w:rsid w:val="005D121D"/>
    <w:rsid w:val="005D1616"/>
    <w:rsid w:val="005D1754"/>
    <w:rsid w:val="005D230C"/>
    <w:rsid w:val="005D3570"/>
    <w:rsid w:val="005D3E51"/>
    <w:rsid w:val="005D405C"/>
    <w:rsid w:val="005D513C"/>
    <w:rsid w:val="005D591E"/>
    <w:rsid w:val="005D5BFA"/>
    <w:rsid w:val="005D5CF5"/>
    <w:rsid w:val="005D5D9B"/>
    <w:rsid w:val="005D6672"/>
    <w:rsid w:val="005D686D"/>
    <w:rsid w:val="005D7819"/>
    <w:rsid w:val="005D79BE"/>
    <w:rsid w:val="005E0926"/>
    <w:rsid w:val="005E09A7"/>
    <w:rsid w:val="005E0B8D"/>
    <w:rsid w:val="005E209D"/>
    <w:rsid w:val="005E2196"/>
    <w:rsid w:val="005E2C2E"/>
    <w:rsid w:val="005E3E13"/>
    <w:rsid w:val="005E41D4"/>
    <w:rsid w:val="005E4415"/>
    <w:rsid w:val="005E4B4D"/>
    <w:rsid w:val="005E4C63"/>
    <w:rsid w:val="005E5BCB"/>
    <w:rsid w:val="005E64AA"/>
    <w:rsid w:val="005E68DA"/>
    <w:rsid w:val="005E7243"/>
    <w:rsid w:val="005F01EA"/>
    <w:rsid w:val="005F03F6"/>
    <w:rsid w:val="005F0BDF"/>
    <w:rsid w:val="005F10D2"/>
    <w:rsid w:val="005F114C"/>
    <w:rsid w:val="005F1326"/>
    <w:rsid w:val="005F200C"/>
    <w:rsid w:val="005F30A2"/>
    <w:rsid w:val="005F31DD"/>
    <w:rsid w:val="005F42B7"/>
    <w:rsid w:val="005F4619"/>
    <w:rsid w:val="005F49C8"/>
    <w:rsid w:val="005F5FC5"/>
    <w:rsid w:val="005F61C0"/>
    <w:rsid w:val="005F61FB"/>
    <w:rsid w:val="005F6620"/>
    <w:rsid w:val="00600233"/>
    <w:rsid w:val="00600C87"/>
    <w:rsid w:val="00600DC5"/>
    <w:rsid w:val="0060116B"/>
    <w:rsid w:val="00601497"/>
    <w:rsid w:val="006028BD"/>
    <w:rsid w:val="00603A99"/>
    <w:rsid w:val="0060434E"/>
    <w:rsid w:val="0060478F"/>
    <w:rsid w:val="00605637"/>
    <w:rsid w:val="006056B0"/>
    <w:rsid w:val="006058A4"/>
    <w:rsid w:val="00605FBD"/>
    <w:rsid w:val="006060E6"/>
    <w:rsid w:val="00606277"/>
    <w:rsid w:val="0060687D"/>
    <w:rsid w:val="00606C1F"/>
    <w:rsid w:val="00606E39"/>
    <w:rsid w:val="00607A9E"/>
    <w:rsid w:val="00607ADD"/>
    <w:rsid w:val="00607C67"/>
    <w:rsid w:val="00610260"/>
    <w:rsid w:val="00610E9D"/>
    <w:rsid w:val="00610F50"/>
    <w:rsid w:val="006116AE"/>
    <w:rsid w:val="00611857"/>
    <w:rsid w:val="00612182"/>
    <w:rsid w:val="00613333"/>
    <w:rsid w:val="0061436D"/>
    <w:rsid w:val="00614C17"/>
    <w:rsid w:val="006167E9"/>
    <w:rsid w:val="00616F75"/>
    <w:rsid w:val="00616F9E"/>
    <w:rsid w:val="0061728B"/>
    <w:rsid w:val="0061731C"/>
    <w:rsid w:val="00617A58"/>
    <w:rsid w:val="00620218"/>
    <w:rsid w:val="00620341"/>
    <w:rsid w:val="006207F2"/>
    <w:rsid w:val="00620C63"/>
    <w:rsid w:val="0062137C"/>
    <w:rsid w:val="00621EE5"/>
    <w:rsid w:val="00622225"/>
    <w:rsid w:val="0062247F"/>
    <w:rsid w:val="0062300E"/>
    <w:rsid w:val="00623483"/>
    <w:rsid w:val="00623655"/>
    <w:rsid w:val="00623B53"/>
    <w:rsid w:val="00625BC3"/>
    <w:rsid w:val="00625DA8"/>
    <w:rsid w:val="006271A3"/>
    <w:rsid w:val="0062779A"/>
    <w:rsid w:val="00627B4F"/>
    <w:rsid w:val="00627BAF"/>
    <w:rsid w:val="00630356"/>
    <w:rsid w:val="00630E67"/>
    <w:rsid w:val="00632057"/>
    <w:rsid w:val="00632131"/>
    <w:rsid w:val="006326DF"/>
    <w:rsid w:val="00632D03"/>
    <w:rsid w:val="00632E0D"/>
    <w:rsid w:val="0063305F"/>
    <w:rsid w:val="006330A2"/>
    <w:rsid w:val="006337D8"/>
    <w:rsid w:val="00633F04"/>
    <w:rsid w:val="0063400C"/>
    <w:rsid w:val="00634288"/>
    <w:rsid w:val="006342EB"/>
    <w:rsid w:val="00634671"/>
    <w:rsid w:val="00634A88"/>
    <w:rsid w:val="00634E85"/>
    <w:rsid w:val="006351DD"/>
    <w:rsid w:val="00635D8D"/>
    <w:rsid w:val="00636222"/>
    <w:rsid w:val="0063638C"/>
    <w:rsid w:val="006379F9"/>
    <w:rsid w:val="00637A3C"/>
    <w:rsid w:val="00637D52"/>
    <w:rsid w:val="0064002B"/>
    <w:rsid w:val="00640309"/>
    <w:rsid w:val="00640402"/>
    <w:rsid w:val="00640AB5"/>
    <w:rsid w:val="00640F65"/>
    <w:rsid w:val="006411C6"/>
    <w:rsid w:val="00641985"/>
    <w:rsid w:val="00641999"/>
    <w:rsid w:val="00642730"/>
    <w:rsid w:val="00642833"/>
    <w:rsid w:val="00642B5B"/>
    <w:rsid w:val="00642C89"/>
    <w:rsid w:val="00642CC7"/>
    <w:rsid w:val="00643824"/>
    <w:rsid w:val="00643D81"/>
    <w:rsid w:val="006449C9"/>
    <w:rsid w:val="0064553F"/>
    <w:rsid w:val="00645FFD"/>
    <w:rsid w:val="0064602B"/>
    <w:rsid w:val="00646211"/>
    <w:rsid w:val="00646792"/>
    <w:rsid w:val="006468EE"/>
    <w:rsid w:val="00646C38"/>
    <w:rsid w:val="006470AA"/>
    <w:rsid w:val="0064737A"/>
    <w:rsid w:val="00647481"/>
    <w:rsid w:val="00647814"/>
    <w:rsid w:val="00647D00"/>
    <w:rsid w:val="00647E04"/>
    <w:rsid w:val="006502E5"/>
    <w:rsid w:val="00650F63"/>
    <w:rsid w:val="00651043"/>
    <w:rsid w:val="00651559"/>
    <w:rsid w:val="00651A07"/>
    <w:rsid w:val="00651B1E"/>
    <w:rsid w:val="00651E83"/>
    <w:rsid w:val="0065204C"/>
    <w:rsid w:val="006526E8"/>
    <w:rsid w:val="0065316E"/>
    <w:rsid w:val="006538F5"/>
    <w:rsid w:val="00654110"/>
    <w:rsid w:val="006541B1"/>
    <w:rsid w:val="00654287"/>
    <w:rsid w:val="00655279"/>
    <w:rsid w:val="006555E3"/>
    <w:rsid w:val="00655874"/>
    <w:rsid w:val="00655E35"/>
    <w:rsid w:val="006560A9"/>
    <w:rsid w:val="006566FF"/>
    <w:rsid w:val="00657271"/>
    <w:rsid w:val="00660596"/>
    <w:rsid w:val="00660EB1"/>
    <w:rsid w:val="00661098"/>
    <w:rsid w:val="006613E7"/>
    <w:rsid w:val="006614E1"/>
    <w:rsid w:val="00662661"/>
    <w:rsid w:val="00663B2D"/>
    <w:rsid w:val="00665195"/>
    <w:rsid w:val="0066575D"/>
    <w:rsid w:val="00665791"/>
    <w:rsid w:val="00665C2E"/>
    <w:rsid w:val="00665E11"/>
    <w:rsid w:val="00666206"/>
    <w:rsid w:val="006662D8"/>
    <w:rsid w:val="00666A23"/>
    <w:rsid w:val="00667B63"/>
    <w:rsid w:val="00670515"/>
    <w:rsid w:val="006706DC"/>
    <w:rsid w:val="00670A76"/>
    <w:rsid w:val="00670B9F"/>
    <w:rsid w:val="00670E1C"/>
    <w:rsid w:val="00672775"/>
    <w:rsid w:val="00672AE4"/>
    <w:rsid w:val="0067305E"/>
    <w:rsid w:val="006739F7"/>
    <w:rsid w:val="00673DA9"/>
    <w:rsid w:val="00674074"/>
    <w:rsid w:val="00674703"/>
    <w:rsid w:val="00674FC9"/>
    <w:rsid w:val="0067665D"/>
    <w:rsid w:val="00676836"/>
    <w:rsid w:val="00676F9A"/>
    <w:rsid w:val="0067719E"/>
    <w:rsid w:val="00677385"/>
    <w:rsid w:val="006774F3"/>
    <w:rsid w:val="00677558"/>
    <w:rsid w:val="0068019C"/>
    <w:rsid w:val="00680B8D"/>
    <w:rsid w:val="00681143"/>
    <w:rsid w:val="00681520"/>
    <w:rsid w:val="00681F3D"/>
    <w:rsid w:val="00682BC2"/>
    <w:rsid w:val="00683C94"/>
    <w:rsid w:val="00684943"/>
    <w:rsid w:val="00685640"/>
    <w:rsid w:val="00685794"/>
    <w:rsid w:val="00685878"/>
    <w:rsid w:val="00685C27"/>
    <w:rsid w:val="00685C33"/>
    <w:rsid w:val="00686C30"/>
    <w:rsid w:val="0068702A"/>
    <w:rsid w:val="00687277"/>
    <w:rsid w:val="0068767F"/>
    <w:rsid w:val="006879C3"/>
    <w:rsid w:val="006909A5"/>
    <w:rsid w:val="00690D2A"/>
    <w:rsid w:val="00691038"/>
    <w:rsid w:val="0069199C"/>
    <w:rsid w:val="00692245"/>
    <w:rsid w:val="006926FE"/>
    <w:rsid w:val="00693A5E"/>
    <w:rsid w:val="00693F52"/>
    <w:rsid w:val="00694167"/>
    <w:rsid w:val="006944D5"/>
    <w:rsid w:val="006946A9"/>
    <w:rsid w:val="00694B51"/>
    <w:rsid w:val="006955CC"/>
    <w:rsid w:val="0069696D"/>
    <w:rsid w:val="00696A9C"/>
    <w:rsid w:val="006974E5"/>
    <w:rsid w:val="00697825"/>
    <w:rsid w:val="006979ED"/>
    <w:rsid w:val="00697AE0"/>
    <w:rsid w:val="006A0765"/>
    <w:rsid w:val="006A07E6"/>
    <w:rsid w:val="006A1538"/>
    <w:rsid w:val="006A15EC"/>
    <w:rsid w:val="006A22F7"/>
    <w:rsid w:val="006A2525"/>
    <w:rsid w:val="006A277A"/>
    <w:rsid w:val="006A2BD1"/>
    <w:rsid w:val="006A2FF9"/>
    <w:rsid w:val="006A3088"/>
    <w:rsid w:val="006A3135"/>
    <w:rsid w:val="006A383A"/>
    <w:rsid w:val="006A3872"/>
    <w:rsid w:val="006A4170"/>
    <w:rsid w:val="006A45B1"/>
    <w:rsid w:val="006A46D1"/>
    <w:rsid w:val="006A4E4D"/>
    <w:rsid w:val="006A4F15"/>
    <w:rsid w:val="006A5099"/>
    <w:rsid w:val="006A511B"/>
    <w:rsid w:val="006A52D9"/>
    <w:rsid w:val="006A5339"/>
    <w:rsid w:val="006A55A4"/>
    <w:rsid w:val="006A5AF9"/>
    <w:rsid w:val="006A6133"/>
    <w:rsid w:val="006A61BA"/>
    <w:rsid w:val="006A6255"/>
    <w:rsid w:val="006A6BFA"/>
    <w:rsid w:val="006A6C76"/>
    <w:rsid w:val="006A7151"/>
    <w:rsid w:val="006A746D"/>
    <w:rsid w:val="006A7E4E"/>
    <w:rsid w:val="006A7FEC"/>
    <w:rsid w:val="006B052A"/>
    <w:rsid w:val="006B064A"/>
    <w:rsid w:val="006B0E9A"/>
    <w:rsid w:val="006B2278"/>
    <w:rsid w:val="006B2605"/>
    <w:rsid w:val="006B303C"/>
    <w:rsid w:val="006B3352"/>
    <w:rsid w:val="006B3751"/>
    <w:rsid w:val="006B3809"/>
    <w:rsid w:val="006B3C87"/>
    <w:rsid w:val="006B4237"/>
    <w:rsid w:val="006B4296"/>
    <w:rsid w:val="006B5051"/>
    <w:rsid w:val="006B5124"/>
    <w:rsid w:val="006B523E"/>
    <w:rsid w:val="006B5571"/>
    <w:rsid w:val="006B57B2"/>
    <w:rsid w:val="006B6D43"/>
    <w:rsid w:val="006B7358"/>
    <w:rsid w:val="006B772D"/>
    <w:rsid w:val="006B7797"/>
    <w:rsid w:val="006B7A2D"/>
    <w:rsid w:val="006C022B"/>
    <w:rsid w:val="006C0386"/>
    <w:rsid w:val="006C0880"/>
    <w:rsid w:val="006C0AEC"/>
    <w:rsid w:val="006C0D0C"/>
    <w:rsid w:val="006C0D5A"/>
    <w:rsid w:val="006C1F5F"/>
    <w:rsid w:val="006C2A39"/>
    <w:rsid w:val="006C3086"/>
    <w:rsid w:val="006C387C"/>
    <w:rsid w:val="006C46F2"/>
    <w:rsid w:val="006C4700"/>
    <w:rsid w:val="006C5160"/>
    <w:rsid w:val="006C5843"/>
    <w:rsid w:val="006C584A"/>
    <w:rsid w:val="006C5CFC"/>
    <w:rsid w:val="006C5D20"/>
    <w:rsid w:val="006C61AF"/>
    <w:rsid w:val="006C64E5"/>
    <w:rsid w:val="006C673F"/>
    <w:rsid w:val="006C6BB7"/>
    <w:rsid w:val="006C778C"/>
    <w:rsid w:val="006C7810"/>
    <w:rsid w:val="006C7E56"/>
    <w:rsid w:val="006C7FF1"/>
    <w:rsid w:val="006D02A4"/>
    <w:rsid w:val="006D1202"/>
    <w:rsid w:val="006D17EA"/>
    <w:rsid w:val="006D1B3E"/>
    <w:rsid w:val="006D1E66"/>
    <w:rsid w:val="006D3619"/>
    <w:rsid w:val="006D3F79"/>
    <w:rsid w:val="006D4724"/>
    <w:rsid w:val="006D49BD"/>
    <w:rsid w:val="006D52AC"/>
    <w:rsid w:val="006D53B2"/>
    <w:rsid w:val="006D54B3"/>
    <w:rsid w:val="006D5777"/>
    <w:rsid w:val="006D5DCD"/>
    <w:rsid w:val="006D6329"/>
    <w:rsid w:val="006D6725"/>
    <w:rsid w:val="006D68C3"/>
    <w:rsid w:val="006D6B08"/>
    <w:rsid w:val="006D75AE"/>
    <w:rsid w:val="006D7F01"/>
    <w:rsid w:val="006E045B"/>
    <w:rsid w:val="006E0757"/>
    <w:rsid w:val="006E0A09"/>
    <w:rsid w:val="006E0F39"/>
    <w:rsid w:val="006E118B"/>
    <w:rsid w:val="006E130B"/>
    <w:rsid w:val="006E19AD"/>
    <w:rsid w:val="006E1ABF"/>
    <w:rsid w:val="006E23CB"/>
    <w:rsid w:val="006E25AB"/>
    <w:rsid w:val="006E2B03"/>
    <w:rsid w:val="006E2C3E"/>
    <w:rsid w:val="006E3269"/>
    <w:rsid w:val="006E34B6"/>
    <w:rsid w:val="006E36E8"/>
    <w:rsid w:val="006E3AC1"/>
    <w:rsid w:val="006E444E"/>
    <w:rsid w:val="006E4E38"/>
    <w:rsid w:val="006E5539"/>
    <w:rsid w:val="006E58A4"/>
    <w:rsid w:val="006E6256"/>
    <w:rsid w:val="006E69F3"/>
    <w:rsid w:val="006E6A6F"/>
    <w:rsid w:val="006E6C4A"/>
    <w:rsid w:val="006E7344"/>
    <w:rsid w:val="006E74DA"/>
    <w:rsid w:val="006E7B71"/>
    <w:rsid w:val="006E7EE1"/>
    <w:rsid w:val="006F09E8"/>
    <w:rsid w:val="006F1312"/>
    <w:rsid w:val="006F14A2"/>
    <w:rsid w:val="006F1776"/>
    <w:rsid w:val="006F1C8B"/>
    <w:rsid w:val="006F1F52"/>
    <w:rsid w:val="006F21D8"/>
    <w:rsid w:val="006F2DB5"/>
    <w:rsid w:val="006F2E92"/>
    <w:rsid w:val="006F35F0"/>
    <w:rsid w:val="006F38D5"/>
    <w:rsid w:val="006F3CBF"/>
    <w:rsid w:val="006F4802"/>
    <w:rsid w:val="006F5379"/>
    <w:rsid w:val="006F57B8"/>
    <w:rsid w:val="006F5D4D"/>
    <w:rsid w:val="006F5FBB"/>
    <w:rsid w:val="006F623C"/>
    <w:rsid w:val="006F63E4"/>
    <w:rsid w:val="006F70EB"/>
    <w:rsid w:val="006F72B5"/>
    <w:rsid w:val="006F735D"/>
    <w:rsid w:val="006F751C"/>
    <w:rsid w:val="006F7C95"/>
    <w:rsid w:val="006F7E52"/>
    <w:rsid w:val="007001DD"/>
    <w:rsid w:val="00700338"/>
    <w:rsid w:val="00700704"/>
    <w:rsid w:val="00702000"/>
    <w:rsid w:val="00702519"/>
    <w:rsid w:val="00702DBB"/>
    <w:rsid w:val="00703842"/>
    <w:rsid w:val="007041A0"/>
    <w:rsid w:val="0070425D"/>
    <w:rsid w:val="00704703"/>
    <w:rsid w:val="00704755"/>
    <w:rsid w:val="00706C0F"/>
    <w:rsid w:val="00707F42"/>
    <w:rsid w:val="0071020C"/>
    <w:rsid w:val="00710817"/>
    <w:rsid w:val="00710F42"/>
    <w:rsid w:val="00711353"/>
    <w:rsid w:val="007130B0"/>
    <w:rsid w:val="00713443"/>
    <w:rsid w:val="0071385C"/>
    <w:rsid w:val="00713CCF"/>
    <w:rsid w:val="00714559"/>
    <w:rsid w:val="0071494D"/>
    <w:rsid w:val="00714D0D"/>
    <w:rsid w:val="00714D80"/>
    <w:rsid w:val="00714E5F"/>
    <w:rsid w:val="00715530"/>
    <w:rsid w:val="00715975"/>
    <w:rsid w:val="00715985"/>
    <w:rsid w:val="00715C43"/>
    <w:rsid w:val="00716206"/>
    <w:rsid w:val="00716B26"/>
    <w:rsid w:val="00716CF2"/>
    <w:rsid w:val="00717873"/>
    <w:rsid w:val="00717F5B"/>
    <w:rsid w:val="00720270"/>
    <w:rsid w:val="007210A0"/>
    <w:rsid w:val="00721B81"/>
    <w:rsid w:val="00722591"/>
    <w:rsid w:val="00722D9E"/>
    <w:rsid w:val="007237B9"/>
    <w:rsid w:val="00723963"/>
    <w:rsid w:val="00723DC8"/>
    <w:rsid w:val="007249E0"/>
    <w:rsid w:val="00724A1B"/>
    <w:rsid w:val="00725422"/>
    <w:rsid w:val="00726D56"/>
    <w:rsid w:val="00726E3E"/>
    <w:rsid w:val="0072726A"/>
    <w:rsid w:val="007273A3"/>
    <w:rsid w:val="00727415"/>
    <w:rsid w:val="0072744D"/>
    <w:rsid w:val="00727673"/>
    <w:rsid w:val="00727821"/>
    <w:rsid w:val="00727866"/>
    <w:rsid w:val="0073020C"/>
    <w:rsid w:val="00731B17"/>
    <w:rsid w:val="00731B43"/>
    <w:rsid w:val="00731C7C"/>
    <w:rsid w:val="00731FAB"/>
    <w:rsid w:val="0073209E"/>
    <w:rsid w:val="0073211C"/>
    <w:rsid w:val="00732142"/>
    <w:rsid w:val="00732435"/>
    <w:rsid w:val="007326D7"/>
    <w:rsid w:val="0073275A"/>
    <w:rsid w:val="00732D31"/>
    <w:rsid w:val="00732F80"/>
    <w:rsid w:val="00733369"/>
    <w:rsid w:val="007349B8"/>
    <w:rsid w:val="0073546A"/>
    <w:rsid w:val="00735E50"/>
    <w:rsid w:val="00735FB3"/>
    <w:rsid w:val="00736109"/>
    <w:rsid w:val="00736C5D"/>
    <w:rsid w:val="00736F1D"/>
    <w:rsid w:val="007371CE"/>
    <w:rsid w:val="007371FC"/>
    <w:rsid w:val="00737475"/>
    <w:rsid w:val="00737843"/>
    <w:rsid w:val="00737AD9"/>
    <w:rsid w:val="00737CB9"/>
    <w:rsid w:val="00737E4C"/>
    <w:rsid w:val="00737FE2"/>
    <w:rsid w:val="00740038"/>
    <w:rsid w:val="007407E0"/>
    <w:rsid w:val="007407FD"/>
    <w:rsid w:val="00740AFF"/>
    <w:rsid w:val="007416B7"/>
    <w:rsid w:val="007417F0"/>
    <w:rsid w:val="00741C4A"/>
    <w:rsid w:val="00742227"/>
    <w:rsid w:val="007424D0"/>
    <w:rsid w:val="007429CF"/>
    <w:rsid w:val="00742BD8"/>
    <w:rsid w:val="00742F48"/>
    <w:rsid w:val="00743742"/>
    <w:rsid w:val="00743D60"/>
    <w:rsid w:val="00743F9E"/>
    <w:rsid w:val="00744732"/>
    <w:rsid w:val="00744BC7"/>
    <w:rsid w:val="0074529F"/>
    <w:rsid w:val="0074546A"/>
    <w:rsid w:val="00745BA5"/>
    <w:rsid w:val="00745D47"/>
    <w:rsid w:val="00745D7C"/>
    <w:rsid w:val="007467D6"/>
    <w:rsid w:val="007468E1"/>
    <w:rsid w:val="00747161"/>
    <w:rsid w:val="007476AD"/>
    <w:rsid w:val="007502DA"/>
    <w:rsid w:val="00750D67"/>
    <w:rsid w:val="00750F0E"/>
    <w:rsid w:val="00751210"/>
    <w:rsid w:val="007518C6"/>
    <w:rsid w:val="00752C3A"/>
    <w:rsid w:val="007532DA"/>
    <w:rsid w:val="007541BC"/>
    <w:rsid w:val="00754626"/>
    <w:rsid w:val="007549AC"/>
    <w:rsid w:val="00754ED0"/>
    <w:rsid w:val="00756878"/>
    <w:rsid w:val="00756B9A"/>
    <w:rsid w:val="00756BBA"/>
    <w:rsid w:val="007571CB"/>
    <w:rsid w:val="007572AD"/>
    <w:rsid w:val="007573A5"/>
    <w:rsid w:val="00757574"/>
    <w:rsid w:val="00760DC9"/>
    <w:rsid w:val="00761A84"/>
    <w:rsid w:val="00761C1A"/>
    <w:rsid w:val="00761E8C"/>
    <w:rsid w:val="00762389"/>
    <w:rsid w:val="007626D5"/>
    <w:rsid w:val="007629C9"/>
    <w:rsid w:val="00762EC2"/>
    <w:rsid w:val="007633C1"/>
    <w:rsid w:val="00763A0C"/>
    <w:rsid w:val="00763AA8"/>
    <w:rsid w:val="00764978"/>
    <w:rsid w:val="00764B3E"/>
    <w:rsid w:val="00764F8F"/>
    <w:rsid w:val="00765134"/>
    <w:rsid w:val="00765322"/>
    <w:rsid w:val="00765550"/>
    <w:rsid w:val="00765AC2"/>
    <w:rsid w:val="00765C15"/>
    <w:rsid w:val="00766009"/>
    <w:rsid w:val="0076624A"/>
    <w:rsid w:val="00766307"/>
    <w:rsid w:val="007664AD"/>
    <w:rsid w:val="00766C19"/>
    <w:rsid w:val="007703F7"/>
    <w:rsid w:val="0077059A"/>
    <w:rsid w:val="00770A14"/>
    <w:rsid w:val="00771B9A"/>
    <w:rsid w:val="007729F5"/>
    <w:rsid w:val="00772B39"/>
    <w:rsid w:val="00772C86"/>
    <w:rsid w:val="00773057"/>
    <w:rsid w:val="00773ABF"/>
    <w:rsid w:val="00774277"/>
    <w:rsid w:val="00774B93"/>
    <w:rsid w:val="0077563E"/>
    <w:rsid w:val="00775C60"/>
    <w:rsid w:val="0077749D"/>
    <w:rsid w:val="007774BB"/>
    <w:rsid w:val="00777600"/>
    <w:rsid w:val="00777D35"/>
    <w:rsid w:val="00777F5D"/>
    <w:rsid w:val="0078002B"/>
    <w:rsid w:val="0078071F"/>
    <w:rsid w:val="00780AE7"/>
    <w:rsid w:val="00780DDC"/>
    <w:rsid w:val="00781C4A"/>
    <w:rsid w:val="00781DFE"/>
    <w:rsid w:val="00781F9D"/>
    <w:rsid w:val="007824D1"/>
    <w:rsid w:val="00782978"/>
    <w:rsid w:val="00783153"/>
    <w:rsid w:val="007839D0"/>
    <w:rsid w:val="007849BD"/>
    <w:rsid w:val="00784CA4"/>
    <w:rsid w:val="00784CBD"/>
    <w:rsid w:val="00785608"/>
    <w:rsid w:val="007867C7"/>
    <w:rsid w:val="00787FC9"/>
    <w:rsid w:val="00790FE4"/>
    <w:rsid w:val="00792803"/>
    <w:rsid w:val="00792D72"/>
    <w:rsid w:val="0079332F"/>
    <w:rsid w:val="00793669"/>
    <w:rsid w:val="007936A0"/>
    <w:rsid w:val="0079391E"/>
    <w:rsid w:val="00795BF3"/>
    <w:rsid w:val="00795D93"/>
    <w:rsid w:val="00795F29"/>
    <w:rsid w:val="00796A33"/>
    <w:rsid w:val="00796B78"/>
    <w:rsid w:val="00797C23"/>
    <w:rsid w:val="00797C9F"/>
    <w:rsid w:val="007A08C5"/>
    <w:rsid w:val="007A0A16"/>
    <w:rsid w:val="007A0AFE"/>
    <w:rsid w:val="007A0FC6"/>
    <w:rsid w:val="007A185D"/>
    <w:rsid w:val="007A1ABD"/>
    <w:rsid w:val="007A1C3D"/>
    <w:rsid w:val="007A21DF"/>
    <w:rsid w:val="007A2B14"/>
    <w:rsid w:val="007A2C59"/>
    <w:rsid w:val="007A2E8D"/>
    <w:rsid w:val="007A2F11"/>
    <w:rsid w:val="007A33E6"/>
    <w:rsid w:val="007A35A8"/>
    <w:rsid w:val="007A39EA"/>
    <w:rsid w:val="007A3C0F"/>
    <w:rsid w:val="007A3DA1"/>
    <w:rsid w:val="007A4053"/>
    <w:rsid w:val="007A4173"/>
    <w:rsid w:val="007A4396"/>
    <w:rsid w:val="007A46BC"/>
    <w:rsid w:val="007A5B9C"/>
    <w:rsid w:val="007A64D1"/>
    <w:rsid w:val="007A651A"/>
    <w:rsid w:val="007A6ED0"/>
    <w:rsid w:val="007A7FC2"/>
    <w:rsid w:val="007B003A"/>
    <w:rsid w:val="007B1507"/>
    <w:rsid w:val="007B169D"/>
    <w:rsid w:val="007B2457"/>
    <w:rsid w:val="007B26C9"/>
    <w:rsid w:val="007B2C29"/>
    <w:rsid w:val="007B2F68"/>
    <w:rsid w:val="007B32B4"/>
    <w:rsid w:val="007B32D3"/>
    <w:rsid w:val="007B3957"/>
    <w:rsid w:val="007B4AFD"/>
    <w:rsid w:val="007B5423"/>
    <w:rsid w:val="007B5875"/>
    <w:rsid w:val="007B62AB"/>
    <w:rsid w:val="007B648B"/>
    <w:rsid w:val="007B6799"/>
    <w:rsid w:val="007B6A78"/>
    <w:rsid w:val="007B6E5F"/>
    <w:rsid w:val="007B7384"/>
    <w:rsid w:val="007B7D8D"/>
    <w:rsid w:val="007C00CB"/>
    <w:rsid w:val="007C0124"/>
    <w:rsid w:val="007C01CE"/>
    <w:rsid w:val="007C09D4"/>
    <w:rsid w:val="007C173C"/>
    <w:rsid w:val="007C1BE6"/>
    <w:rsid w:val="007C1F6F"/>
    <w:rsid w:val="007C1F79"/>
    <w:rsid w:val="007C2779"/>
    <w:rsid w:val="007C3C4B"/>
    <w:rsid w:val="007C42CE"/>
    <w:rsid w:val="007C44D3"/>
    <w:rsid w:val="007C4E6A"/>
    <w:rsid w:val="007C5010"/>
    <w:rsid w:val="007C5346"/>
    <w:rsid w:val="007C565D"/>
    <w:rsid w:val="007C5DE1"/>
    <w:rsid w:val="007C6169"/>
    <w:rsid w:val="007C62F2"/>
    <w:rsid w:val="007C63B4"/>
    <w:rsid w:val="007C6D65"/>
    <w:rsid w:val="007C6F00"/>
    <w:rsid w:val="007C76C8"/>
    <w:rsid w:val="007C7823"/>
    <w:rsid w:val="007C7D06"/>
    <w:rsid w:val="007C7FB2"/>
    <w:rsid w:val="007D004A"/>
    <w:rsid w:val="007D042D"/>
    <w:rsid w:val="007D087B"/>
    <w:rsid w:val="007D08CE"/>
    <w:rsid w:val="007D1269"/>
    <w:rsid w:val="007D2A96"/>
    <w:rsid w:val="007D3145"/>
    <w:rsid w:val="007D33F7"/>
    <w:rsid w:val="007D34E4"/>
    <w:rsid w:val="007D395B"/>
    <w:rsid w:val="007D3D6A"/>
    <w:rsid w:val="007D424D"/>
    <w:rsid w:val="007D47FA"/>
    <w:rsid w:val="007D528D"/>
    <w:rsid w:val="007D5FC0"/>
    <w:rsid w:val="007D63F7"/>
    <w:rsid w:val="007D6581"/>
    <w:rsid w:val="007D660F"/>
    <w:rsid w:val="007D6F50"/>
    <w:rsid w:val="007D6F54"/>
    <w:rsid w:val="007D7156"/>
    <w:rsid w:val="007D7696"/>
    <w:rsid w:val="007D7C91"/>
    <w:rsid w:val="007E001F"/>
    <w:rsid w:val="007E099B"/>
    <w:rsid w:val="007E2928"/>
    <w:rsid w:val="007E2D4C"/>
    <w:rsid w:val="007E2E79"/>
    <w:rsid w:val="007E379E"/>
    <w:rsid w:val="007E390F"/>
    <w:rsid w:val="007E3B60"/>
    <w:rsid w:val="007E4A89"/>
    <w:rsid w:val="007E4D62"/>
    <w:rsid w:val="007E55B4"/>
    <w:rsid w:val="007E5659"/>
    <w:rsid w:val="007E56A8"/>
    <w:rsid w:val="007E56CB"/>
    <w:rsid w:val="007E6072"/>
    <w:rsid w:val="007E60B2"/>
    <w:rsid w:val="007E60E5"/>
    <w:rsid w:val="007E6388"/>
    <w:rsid w:val="007E7361"/>
    <w:rsid w:val="007F01FC"/>
    <w:rsid w:val="007F048B"/>
    <w:rsid w:val="007F07CB"/>
    <w:rsid w:val="007F09A5"/>
    <w:rsid w:val="007F0F30"/>
    <w:rsid w:val="007F1102"/>
    <w:rsid w:val="007F1E07"/>
    <w:rsid w:val="007F1F8C"/>
    <w:rsid w:val="007F346C"/>
    <w:rsid w:val="007F37E7"/>
    <w:rsid w:val="007F3D56"/>
    <w:rsid w:val="007F46BE"/>
    <w:rsid w:val="007F4AA2"/>
    <w:rsid w:val="007F4D8C"/>
    <w:rsid w:val="007F501D"/>
    <w:rsid w:val="007F5089"/>
    <w:rsid w:val="007F5092"/>
    <w:rsid w:val="007F510F"/>
    <w:rsid w:val="007F5198"/>
    <w:rsid w:val="007F5225"/>
    <w:rsid w:val="007F5450"/>
    <w:rsid w:val="007F5643"/>
    <w:rsid w:val="007F5EC8"/>
    <w:rsid w:val="007F6311"/>
    <w:rsid w:val="007F6531"/>
    <w:rsid w:val="007F6730"/>
    <w:rsid w:val="007F719C"/>
    <w:rsid w:val="007F722D"/>
    <w:rsid w:val="007F75FC"/>
    <w:rsid w:val="007F77D6"/>
    <w:rsid w:val="00800807"/>
    <w:rsid w:val="00800882"/>
    <w:rsid w:val="00800DFD"/>
    <w:rsid w:val="00801057"/>
    <w:rsid w:val="00801D20"/>
    <w:rsid w:val="00801F10"/>
    <w:rsid w:val="008021CA"/>
    <w:rsid w:val="00802491"/>
    <w:rsid w:val="00802BF4"/>
    <w:rsid w:val="00803802"/>
    <w:rsid w:val="00803F69"/>
    <w:rsid w:val="00803F72"/>
    <w:rsid w:val="00803FB5"/>
    <w:rsid w:val="00804487"/>
    <w:rsid w:val="00804589"/>
    <w:rsid w:val="00805241"/>
    <w:rsid w:val="00805415"/>
    <w:rsid w:val="00805BCC"/>
    <w:rsid w:val="00805C1F"/>
    <w:rsid w:val="00806142"/>
    <w:rsid w:val="008063D0"/>
    <w:rsid w:val="008068EE"/>
    <w:rsid w:val="00806E8F"/>
    <w:rsid w:val="00810600"/>
    <w:rsid w:val="00810788"/>
    <w:rsid w:val="00810D66"/>
    <w:rsid w:val="00810E90"/>
    <w:rsid w:val="00810F80"/>
    <w:rsid w:val="00811773"/>
    <w:rsid w:val="00811787"/>
    <w:rsid w:val="00811BC7"/>
    <w:rsid w:val="00812E49"/>
    <w:rsid w:val="00812FCC"/>
    <w:rsid w:val="00813D3A"/>
    <w:rsid w:val="00813F4B"/>
    <w:rsid w:val="00815693"/>
    <w:rsid w:val="00815A2C"/>
    <w:rsid w:val="00815B1F"/>
    <w:rsid w:val="008166C3"/>
    <w:rsid w:val="008168E7"/>
    <w:rsid w:val="0081762D"/>
    <w:rsid w:val="00817CB1"/>
    <w:rsid w:val="00817F7D"/>
    <w:rsid w:val="00820438"/>
    <w:rsid w:val="00820623"/>
    <w:rsid w:val="00820F19"/>
    <w:rsid w:val="008210DB"/>
    <w:rsid w:val="00821208"/>
    <w:rsid w:val="008212BF"/>
    <w:rsid w:val="00821873"/>
    <w:rsid w:val="00821BE4"/>
    <w:rsid w:val="008222EE"/>
    <w:rsid w:val="00822823"/>
    <w:rsid w:val="00823827"/>
    <w:rsid w:val="00823B52"/>
    <w:rsid w:val="00824861"/>
    <w:rsid w:val="00824B06"/>
    <w:rsid w:val="00824BA3"/>
    <w:rsid w:val="00824BBB"/>
    <w:rsid w:val="0082506E"/>
    <w:rsid w:val="008253D9"/>
    <w:rsid w:val="00825420"/>
    <w:rsid w:val="00826090"/>
    <w:rsid w:val="00826C37"/>
    <w:rsid w:val="00826DC4"/>
    <w:rsid w:val="008279CF"/>
    <w:rsid w:val="008308F6"/>
    <w:rsid w:val="00830AD2"/>
    <w:rsid w:val="008317AF"/>
    <w:rsid w:val="008317E4"/>
    <w:rsid w:val="00831B2B"/>
    <w:rsid w:val="00831CF7"/>
    <w:rsid w:val="00831EF3"/>
    <w:rsid w:val="0083210F"/>
    <w:rsid w:val="00832BEA"/>
    <w:rsid w:val="00832F7A"/>
    <w:rsid w:val="008331FF"/>
    <w:rsid w:val="00833450"/>
    <w:rsid w:val="00833AAB"/>
    <w:rsid w:val="00833CAB"/>
    <w:rsid w:val="00833D07"/>
    <w:rsid w:val="00833F21"/>
    <w:rsid w:val="008342DA"/>
    <w:rsid w:val="008345DE"/>
    <w:rsid w:val="00834657"/>
    <w:rsid w:val="0083465B"/>
    <w:rsid w:val="00834E67"/>
    <w:rsid w:val="00834FC9"/>
    <w:rsid w:val="00835744"/>
    <w:rsid w:val="0083590B"/>
    <w:rsid w:val="00835A11"/>
    <w:rsid w:val="00836082"/>
    <w:rsid w:val="008362E5"/>
    <w:rsid w:val="0083680C"/>
    <w:rsid w:val="00836BB3"/>
    <w:rsid w:val="00836C7D"/>
    <w:rsid w:val="00837FE3"/>
    <w:rsid w:val="00840138"/>
    <w:rsid w:val="008405A6"/>
    <w:rsid w:val="0084077D"/>
    <w:rsid w:val="008407BA"/>
    <w:rsid w:val="008408A9"/>
    <w:rsid w:val="00840D66"/>
    <w:rsid w:val="00840E22"/>
    <w:rsid w:val="008415D1"/>
    <w:rsid w:val="0084179B"/>
    <w:rsid w:val="00841A5A"/>
    <w:rsid w:val="00841FF1"/>
    <w:rsid w:val="0084296A"/>
    <w:rsid w:val="0084396D"/>
    <w:rsid w:val="008439A9"/>
    <w:rsid w:val="0084494A"/>
    <w:rsid w:val="00844A1C"/>
    <w:rsid w:val="00844CA2"/>
    <w:rsid w:val="008451FD"/>
    <w:rsid w:val="008457B7"/>
    <w:rsid w:val="00845D64"/>
    <w:rsid w:val="00846CB3"/>
    <w:rsid w:val="00846D99"/>
    <w:rsid w:val="00846DE2"/>
    <w:rsid w:val="00847966"/>
    <w:rsid w:val="0085062F"/>
    <w:rsid w:val="008507BD"/>
    <w:rsid w:val="00850800"/>
    <w:rsid w:val="00850C21"/>
    <w:rsid w:val="00850CEB"/>
    <w:rsid w:val="00851A3D"/>
    <w:rsid w:val="00851B3B"/>
    <w:rsid w:val="00851BBA"/>
    <w:rsid w:val="0085209F"/>
    <w:rsid w:val="00852760"/>
    <w:rsid w:val="0085385B"/>
    <w:rsid w:val="00853D3F"/>
    <w:rsid w:val="00853FD5"/>
    <w:rsid w:val="00854068"/>
    <w:rsid w:val="0085406B"/>
    <w:rsid w:val="0085474D"/>
    <w:rsid w:val="00854F5B"/>
    <w:rsid w:val="008553B2"/>
    <w:rsid w:val="00855524"/>
    <w:rsid w:val="00855DD2"/>
    <w:rsid w:val="00855DD5"/>
    <w:rsid w:val="00855FBB"/>
    <w:rsid w:val="00856368"/>
    <w:rsid w:val="0085694C"/>
    <w:rsid w:val="008569BC"/>
    <w:rsid w:val="00856B9D"/>
    <w:rsid w:val="008575C9"/>
    <w:rsid w:val="00857709"/>
    <w:rsid w:val="0086053E"/>
    <w:rsid w:val="008609A8"/>
    <w:rsid w:val="00860E84"/>
    <w:rsid w:val="008612AF"/>
    <w:rsid w:val="00861B02"/>
    <w:rsid w:val="00861B29"/>
    <w:rsid w:val="00861C88"/>
    <w:rsid w:val="008624D1"/>
    <w:rsid w:val="00862619"/>
    <w:rsid w:val="00862980"/>
    <w:rsid w:val="00862E7C"/>
    <w:rsid w:val="008630AD"/>
    <w:rsid w:val="008632F0"/>
    <w:rsid w:val="008632F2"/>
    <w:rsid w:val="00863428"/>
    <w:rsid w:val="00863453"/>
    <w:rsid w:val="0086350A"/>
    <w:rsid w:val="008635AE"/>
    <w:rsid w:val="00863CCA"/>
    <w:rsid w:val="0086422A"/>
    <w:rsid w:val="00864255"/>
    <w:rsid w:val="008645E6"/>
    <w:rsid w:val="00864629"/>
    <w:rsid w:val="008650DA"/>
    <w:rsid w:val="00865B08"/>
    <w:rsid w:val="0086677F"/>
    <w:rsid w:val="008679F0"/>
    <w:rsid w:val="00870AE1"/>
    <w:rsid w:val="00870E5C"/>
    <w:rsid w:val="00871823"/>
    <w:rsid w:val="00871C70"/>
    <w:rsid w:val="00871D30"/>
    <w:rsid w:val="00871DF3"/>
    <w:rsid w:val="0087218E"/>
    <w:rsid w:val="00872760"/>
    <w:rsid w:val="008731D8"/>
    <w:rsid w:val="008731EA"/>
    <w:rsid w:val="00873310"/>
    <w:rsid w:val="008733CC"/>
    <w:rsid w:val="008735A6"/>
    <w:rsid w:val="008739CD"/>
    <w:rsid w:val="008747A3"/>
    <w:rsid w:val="00876729"/>
    <w:rsid w:val="00876FED"/>
    <w:rsid w:val="008772BE"/>
    <w:rsid w:val="00877741"/>
    <w:rsid w:val="0087778B"/>
    <w:rsid w:val="008777AD"/>
    <w:rsid w:val="008778BA"/>
    <w:rsid w:val="00877902"/>
    <w:rsid w:val="00877C4B"/>
    <w:rsid w:val="00877D07"/>
    <w:rsid w:val="00880367"/>
    <w:rsid w:val="00880607"/>
    <w:rsid w:val="00880621"/>
    <w:rsid w:val="00880767"/>
    <w:rsid w:val="00880A62"/>
    <w:rsid w:val="00880B70"/>
    <w:rsid w:val="00880F99"/>
    <w:rsid w:val="00881D19"/>
    <w:rsid w:val="00881E08"/>
    <w:rsid w:val="008822AA"/>
    <w:rsid w:val="00882CB8"/>
    <w:rsid w:val="008837A3"/>
    <w:rsid w:val="00884EDD"/>
    <w:rsid w:val="00884FF2"/>
    <w:rsid w:val="00885580"/>
    <w:rsid w:val="008859B7"/>
    <w:rsid w:val="0088608D"/>
    <w:rsid w:val="00886384"/>
    <w:rsid w:val="0088641E"/>
    <w:rsid w:val="00886F8C"/>
    <w:rsid w:val="00887DBF"/>
    <w:rsid w:val="00887E35"/>
    <w:rsid w:val="0089386B"/>
    <w:rsid w:val="00893FE7"/>
    <w:rsid w:val="008947E4"/>
    <w:rsid w:val="008950F3"/>
    <w:rsid w:val="00895619"/>
    <w:rsid w:val="0089578E"/>
    <w:rsid w:val="00896BC7"/>
    <w:rsid w:val="008A0D2C"/>
    <w:rsid w:val="008A17B4"/>
    <w:rsid w:val="008A1E44"/>
    <w:rsid w:val="008A28FF"/>
    <w:rsid w:val="008A33AA"/>
    <w:rsid w:val="008A34DC"/>
    <w:rsid w:val="008A3835"/>
    <w:rsid w:val="008A45CB"/>
    <w:rsid w:val="008A499F"/>
    <w:rsid w:val="008A52E3"/>
    <w:rsid w:val="008A546C"/>
    <w:rsid w:val="008A54FE"/>
    <w:rsid w:val="008A5EF2"/>
    <w:rsid w:val="008A6036"/>
    <w:rsid w:val="008A6F74"/>
    <w:rsid w:val="008A7DA2"/>
    <w:rsid w:val="008B069E"/>
    <w:rsid w:val="008B12A4"/>
    <w:rsid w:val="008B1350"/>
    <w:rsid w:val="008B135B"/>
    <w:rsid w:val="008B1776"/>
    <w:rsid w:val="008B18FC"/>
    <w:rsid w:val="008B2868"/>
    <w:rsid w:val="008B3B9E"/>
    <w:rsid w:val="008B3E84"/>
    <w:rsid w:val="008B5054"/>
    <w:rsid w:val="008B5AC8"/>
    <w:rsid w:val="008B5AE9"/>
    <w:rsid w:val="008B6AEB"/>
    <w:rsid w:val="008B7265"/>
    <w:rsid w:val="008B758E"/>
    <w:rsid w:val="008B79FB"/>
    <w:rsid w:val="008C0BB3"/>
    <w:rsid w:val="008C12C5"/>
    <w:rsid w:val="008C14D6"/>
    <w:rsid w:val="008C1DC2"/>
    <w:rsid w:val="008C225D"/>
    <w:rsid w:val="008C27AB"/>
    <w:rsid w:val="008C2C28"/>
    <w:rsid w:val="008C2D23"/>
    <w:rsid w:val="008C2FC1"/>
    <w:rsid w:val="008C380B"/>
    <w:rsid w:val="008C3B92"/>
    <w:rsid w:val="008C439C"/>
    <w:rsid w:val="008C5355"/>
    <w:rsid w:val="008C5A45"/>
    <w:rsid w:val="008C5ADD"/>
    <w:rsid w:val="008C6DE5"/>
    <w:rsid w:val="008C7431"/>
    <w:rsid w:val="008C76C4"/>
    <w:rsid w:val="008C7840"/>
    <w:rsid w:val="008C7CB3"/>
    <w:rsid w:val="008D07F6"/>
    <w:rsid w:val="008D0BDD"/>
    <w:rsid w:val="008D188E"/>
    <w:rsid w:val="008D1C3A"/>
    <w:rsid w:val="008D2D83"/>
    <w:rsid w:val="008D381B"/>
    <w:rsid w:val="008D38E0"/>
    <w:rsid w:val="008D4F13"/>
    <w:rsid w:val="008D514D"/>
    <w:rsid w:val="008D5981"/>
    <w:rsid w:val="008D6275"/>
    <w:rsid w:val="008D63C9"/>
    <w:rsid w:val="008D6BD4"/>
    <w:rsid w:val="008D7117"/>
    <w:rsid w:val="008D72D9"/>
    <w:rsid w:val="008D7383"/>
    <w:rsid w:val="008D75D5"/>
    <w:rsid w:val="008D75DC"/>
    <w:rsid w:val="008D78DA"/>
    <w:rsid w:val="008D7924"/>
    <w:rsid w:val="008E05CC"/>
    <w:rsid w:val="008E07D2"/>
    <w:rsid w:val="008E0EB5"/>
    <w:rsid w:val="008E1CA9"/>
    <w:rsid w:val="008E26CB"/>
    <w:rsid w:val="008E2751"/>
    <w:rsid w:val="008E3A20"/>
    <w:rsid w:val="008E4208"/>
    <w:rsid w:val="008E4798"/>
    <w:rsid w:val="008E4849"/>
    <w:rsid w:val="008E5289"/>
    <w:rsid w:val="008E5BFA"/>
    <w:rsid w:val="008E5C62"/>
    <w:rsid w:val="008E60CE"/>
    <w:rsid w:val="008E659F"/>
    <w:rsid w:val="008E6DEB"/>
    <w:rsid w:val="008E6FE2"/>
    <w:rsid w:val="008E71AD"/>
    <w:rsid w:val="008E783E"/>
    <w:rsid w:val="008E79A2"/>
    <w:rsid w:val="008F01B4"/>
    <w:rsid w:val="008F04B9"/>
    <w:rsid w:val="008F1017"/>
    <w:rsid w:val="008F163E"/>
    <w:rsid w:val="008F1D26"/>
    <w:rsid w:val="008F2168"/>
    <w:rsid w:val="008F2C88"/>
    <w:rsid w:val="008F3F04"/>
    <w:rsid w:val="008F4176"/>
    <w:rsid w:val="008F464D"/>
    <w:rsid w:val="008F6E12"/>
    <w:rsid w:val="008F6E89"/>
    <w:rsid w:val="008F7F74"/>
    <w:rsid w:val="009008B1"/>
    <w:rsid w:val="00900EA4"/>
    <w:rsid w:val="0090144C"/>
    <w:rsid w:val="009027D9"/>
    <w:rsid w:val="009028C1"/>
    <w:rsid w:val="00903180"/>
    <w:rsid w:val="00903653"/>
    <w:rsid w:val="00903D67"/>
    <w:rsid w:val="00903D85"/>
    <w:rsid w:val="00903F2A"/>
    <w:rsid w:val="00904319"/>
    <w:rsid w:val="00906221"/>
    <w:rsid w:val="00906793"/>
    <w:rsid w:val="00906922"/>
    <w:rsid w:val="00907043"/>
    <w:rsid w:val="0090760B"/>
    <w:rsid w:val="00907962"/>
    <w:rsid w:val="009106BC"/>
    <w:rsid w:val="00911B87"/>
    <w:rsid w:val="009123C3"/>
    <w:rsid w:val="00912445"/>
    <w:rsid w:val="009125F6"/>
    <w:rsid w:val="009126B7"/>
    <w:rsid w:val="00912AE3"/>
    <w:rsid w:val="00913089"/>
    <w:rsid w:val="009137CB"/>
    <w:rsid w:val="00913C69"/>
    <w:rsid w:val="00913EC3"/>
    <w:rsid w:val="009147D6"/>
    <w:rsid w:val="00914AC8"/>
    <w:rsid w:val="00915159"/>
    <w:rsid w:val="0091545D"/>
    <w:rsid w:val="00915470"/>
    <w:rsid w:val="009158E3"/>
    <w:rsid w:val="0091788D"/>
    <w:rsid w:val="00917CF2"/>
    <w:rsid w:val="00917E63"/>
    <w:rsid w:val="00920748"/>
    <w:rsid w:val="009216C1"/>
    <w:rsid w:val="009216F1"/>
    <w:rsid w:val="00922056"/>
    <w:rsid w:val="00923485"/>
    <w:rsid w:val="00923677"/>
    <w:rsid w:val="00923B75"/>
    <w:rsid w:val="00923F8C"/>
    <w:rsid w:val="00924911"/>
    <w:rsid w:val="00924C6E"/>
    <w:rsid w:val="009259A0"/>
    <w:rsid w:val="00925DE4"/>
    <w:rsid w:val="00925EF5"/>
    <w:rsid w:val="009267CC"/>
    <w:rsid w:val="00926A36"/>
    <w:rsid w:val="00926A7D"/>
    <w:rsid w:val="00926F4C"/>
    <w:rsid w:val="009277EA"/>
    <w:rsid w:val="009301EF"/>
    <w:rsid w:val="009307A7"/>
    <w:rsid w:val="00932784"/>
    <w:rsid w:val="00932BCC"/>
    <w:rsid w:val="00933059"/>
    <w:rsid w:val="009338D2"/>
    <w:rsid w:val="00934A55"/>
    <w:rsid w:val="00934A74"/>
    <w:rsid w:val="00935B0E"/>
    <w:rsid w:val="0093612A"/>
    <w:rsid w:val="0093668E"/>
    <w:rsid w:val="009366E7"/>
    <w:rsid w:val="00936D8A"/>
    <w:rsid w:val="00936E56"/>
    <w:rsid w:val="00937334"/>
    <w:rsid w:val="0093774B"/>
    <w:rsid w:val="00937954"/>
    <w:rsid w:val="00940190"/>
    <w:rsid w:val="00940192"/>
    <w:rsid w:val="009406C5"/>
    <w:rsid w:val="009407D6"/>
    <w:rsid w:val="00940A6A"/>
    <w:rsid w:val="0094179E"/>
    <w:rsid w:val="00941CEC"/>
    <w:rsid w:val="00942057"/>
    <w:rsid w:val="00942182"/>
    <w:rsid w:val="00942436"/>
    <w:rsid w:val="00942DEE"/>
    <w:rsid w:val="00943E07"/>
    <w:rsid w:val="009441F9"/>
    <w:rsid w:val="00944B9C"/>
    <w:rsid w:val="00944C87"/>
    <w:rsid w:val="00944C9D"/>
    <w:rsid w:val="00945D90"/>
    <w:rsid w:val="0094647A"/>
    <w:rsid w:val="00947472"/>
    <w:rsid w:val="00947F4A"/>
    <w:rsid w:val="00947F5C"/>
    <w:rsid w:val="00950C53"/>
    <w:rsid w:val="00950DB5"/>
    <w:rsid w:val="00950E6E"/>
    <w:rsid w:val="00951013"/>
    <w:rsid w:val="00951511"/>
    <w:rsid w:val="00951A4A"/>
    <w:rsid w:val="00951B14"/>
    <w:rsid w:val="009520FC"/>
    <w:rsid w:val="0095257B"/>
    <w:rsid w:val="0095335B"/>
    <w:rsid w:val="00953C30"/>
    <w:rsid w:val="009544A5"/>
    <w:rsid w:val="00955182"/>
    <w:rsid w:val="00955C77"/>
    <w:rsid w:val="00956D7D"/>
    <w:rsid w:val="00957779"/>
    <w:rsid w:val="00957EFF"/>
    <w:rsid w:val="00960F61"/>
    <w:rsid w:val="00961BF3"/>
    <w:rsid w:val="0096219A"/>
    <w:rsid w:val="00962361"/>
    <w:rsid w:val="009624C0"/>
    <w:rsid w:val="00962E07"/>
    <w:rsid w:val="009636EB"/>
    <w:rsid w:val="00963963"/>
    <w:rsid w:val="00963FAF"/>
    <w:rsid w:val="0096463A"/>
    <w:rsid w:val="0096471F"/>
    <w:rsid w:val="009647FF"/>
    <w:rsid w:val="009650F2"/>
    <w:rsid w:val="00965440"/>
    <w:rsid w:val="00965653"/>
    <w:rsid w:val="00965707"/>
    <w:rsid w:val="00965CED"/>
    <w:rsid w:val="0096715B"/>
    <w:rsid w:val="00967E48"/>
    <w:rsid w:val="00967E64"/>
    <w:rsid w:val="009705AB"/>
    <w:rsid w:val="00970CAB"/>
    <w:rsid w:val="00971117"/>
    <w:rsid w:val="00971A86"/>
    <w:rsid w:val="00972323"/>
    <w:rsid w:val="00972717"/>
    <w:rsid w:val="00972848"/>
    <w:rsid w:val="009738AF"/>
    <w:rsid w:val="009738ED"/>
    <w:rsid w:val="00973D12"/>
    <w:rsid w:val="00973E97"/>
    <w:rsid w:val="009745A5"/>
    <w:rsid w:val="00974ED5"/>
    <w:rsid w:val="00975011"/>
    <w:rsid w:val="009750C0"/>
    <w:rsid w:val="009759FA"/>
    <w:rsid w:val="00975B07"/>
    <w:rsid w:val="009770D3"/>
    <w:rsid w:val="00977225"/>
    <w:rsid w:val="00977A65"/>
    <w:rsid w:val="0098001A"/>
    <w:rsid w:val="00980259"/>
    <w:rsid w:val="009807AD"/>
    <w:rsid w:val="00980EC1"/>
    <w:rsid w:val="00981170"/>
    <w:rsid w:val="0098148D"/>
    <w:rsid w:val="00981BE7"/>
    <w:rsid w:val="00982113"/>
    <w:rsid w:val="0098294F"/>
    <w:rsid w:val="00982D2C"/>
    <w:rsid w:val="0098417E"/>
    <w:rsid w:val="00984FEA"/>
    <w:rsid w:val="00985043"/>
    <w:rsid w:val="00985094"/>
    <w:rsid w:val="009850CF"/>
    <w:rsid w:val="0098536D"/>
    <w:rsid w:val="009869DE"/>
    <w:rsid w:val="00986ED2"/>
    <w:rsid w:val="009872CC"/>
    <w:rsid w:val="00987454"/>
    <w:rsid w:val="00990313"/>
    <w:rsid w:val="009906DF"/>
    <w:rsid w:val="00990A07"/>
    <w:rsid w:val="00990D41"/>
    <w:rsid w:val="009910C5"/>
    <w:rsid w:val="009913C6"/>
    <w:rsid w:val="009914B4"/>
    <w:rsid w:val="009918F7"/>
    <w:rsid w:val="00991C59"/>
    <w:rsid w:val="00991D65"/>
    <w:rsid w:val="00992149"/>
    <w:rsid w:val="009921C5"/>
    <w:rsid w:val="00993A0E"/>
    <w:rsid w:val="00994710"/>
    <w:rsid w:val="00994A76"/>
    <w:rsid w:val="00994D36"/>
    <w:rsid w:val="00994DC7"/>
    <w:rsid w:val="00994E7F"/>
    <w:rsid w:val="00996329"/>
    <w:rsid w:val="00996458"/>
    <w:rsid w:val="0099670B"/>
    <w:rsid w:val="0099693C"/>
    <w:rsid w:val="00996E02"/>
    <w:rsid w:val="009977FC"/>
    <w:rsid w:val="009A1BE2"/>
    <w:rsid w:val="009A26D4"/>
    <w:rsid w:val="009A2CE2"/>
    <w:rsid w:val="009A31AA"/>
    <w:rsid w:val="009A4DCE"/>
    <w:rsid w:val="009A5BC8"/>
    <w:rsid w:val="009A5CA6"/>
    <w:rsid w:val="009A636F"/>
    <w:rsid w:val="009A67A6"/>
    <w:rsid w:val="009A67CC"/>
    <w:rsid w:val="009A6BFD"/>
    <w:rsid w:val="009A77D2"/>
    <w:rsid w:val="009A7E90"/>
    <w:rsid w:val="009A7F73"/>
    <w:rsid w:val="009B0255"/>
    <w:rsid w:val="009B06E5"/>
    <w:rsid w:val="009B0855"/>
    <w:rsid w:val="009B0BA7"/>
    <w:rsid w:val="009B1CF6"/>
    <w:rsid w:val="009B1EF5"/>
    <w:rsid w:val="009B2A3C"/>
    <w:rsid w:val="009B2AED"/>
    <w:rsid w:val="009B2D89"/>
    <w:rsid w:val="009B34F8"/>
    <w:rsid w:val="009B37E1"/>
    <w:rsid w:val="009B3BF8"/>
    <w:rsid w:val="009B4EE3"/>
    <w:rsid w:val="009B550C"/>
    <w:rsid w:val="009B5891"/>
    <w:rsid w:val="009B660A"/>
    <w:rsid w:val="009B7055"/>
    <w:rsid w:val="009B77C5"/>
    <w:rsid w:val="009C0A29"/>
    <w:rsid w:val="009C16AA"/>
    <w:rsid w:val="009C16AE"/>
    <w:rsid w:val="009C172D"/>
    <w:rsid w:val="009C17EC"/>
    <w:rsid w:val="009C199D"/>
    <w:rsid w:val="009C1D4F"/>
    <w:rsid w:val="009C1F0B"/>
    <w:rsid w:val="009C31F9"/>
    <w:rsid w:val="009C39FB"/>
    <w:rsid w:val="009C3A1D"/>
    <w:rsid w:val="009C3AA2"/>
    <w:rsid w:val="009C44C7"/>
    <w:rsid w:val="009C458F"/>
    <w:rsid w:val="009C4C4E"/>
    <w:rsid w:val="009C5C21"/>
    <w:rsid w:val="009C6375"/>
    <w:rsid w:val="009C63AC"/>
    <w:rsid w:val="009C6628"/>
    <w:rsid w:val="009C7452"/>
    <w:rsid w:val="009C77D7"/>
    <w:rsid w:val="009C7BF4"/>
    <w:rsid w:val="009C7F92"/>
    <w:rsid w:val="009D16AE"/>
    <w:rsid w:val="009D1E62"/>
    <w:rsid w:val="009D2705"/>
    <w:rsid w:val="009D27B4"/>
    <w:rsid w:val="009D2DE7"/>
    <w:rsid w:val="009D3260"/>
    <w:rsid w:val="009D45AA"/>
    <w:rsid w:val="009D4D95"/>
    <w:rsid w:val="009D556A"/>
    <w:rsid w:val="009D56B8"/>
    <w:rsid w:val="009D5AF0"/>
    <w:rsid w:val="009D5D2A"/>
    <w:rsid w:val="009D5E55"/>
    <w:rsid w:val="009D66C9"/>
    <w:rsid w:val="009D6B47"/>
    <w:rsid w:val="009D73BF"/>
    <w:rsid w:val="009D764B"/>
    <w:rsid w:val="009D7C0C"/>
    <w:rsid w:val="009E1222"/>
    <w:rsid w:val="009E157A"/>
    <w:rsid w:val="009E1F2D"/>
    <w:rsid w:val="009E226B"/>
    <w:rsid w:val="009E22A0"/>
    <w:rsid w:val="009E2DD1"/>
    <w:rsid w:val="009E335D"/>
    <w:rsid w:val="009E3A66"/>
    <w:rsid w:val="009E3E8C"/>
    <w:rsid w:val="009E4061"/>
    <w:rsid w:val="009E5180"/>
    <w:rsid w:val="009E54E4"/>
    <w:rsid w:val="009E6911"/>
    <w:rsid w:val="009E732A"/>
    <w:rsid w:val="009E7622"/>
    <w:rsid w:val="009E7D1D"/>
    <w:rsid w:val="009F06C8"/>
    <w:rsid w:val="009F0759"/>
    <w:rsid w:val="009F15E1"/>
    <w:rsid w:val="009F16AC"/>
    <w:rsid w:val="009F24B4"/>
    <w:rsid w:val="009F250A"/>
    <w:rsid w:val="009F2D9C"/>
    <w:rsid w:val="009F2DA6"/>
    <w:rsid w:val="009F3A7B"/>
    <w:rsid w:val="009F3E13"/>
    <w:rsid w:val="009F3F1D"/>
    <w:rsid w:val="009F4DF9"/>
    <w:rsid w:val="009F5927"/>
    <w:rsid w:val="009F5EE9"/>
    <w:rsid w:val="009F6A9D"/>
    <w:rsid w:val="009F6CD2"/>
    <w:rsid w:val="009F7085"/>
    <w:rsid w:val="009F74D1"/>
    <w:rsid w:val="009F77E0"/>
    <w:rsid w:val="009F79D1"/>
    <w:rsid w:val="00A001D5"/>
    <w:rsid w:val="00A001F5"/>
    <w:rsid w:val="00A01AE5"/>
    <w:rsid w:val="00A027CC"/>
    <w:rsid w:val="00A0291C"/>
    <w:rsid w:val="00A02F5A"/>
    <w:rsid w:val="00A035D0"/>
    <w:rsid w:val="00A03B31"/>
    <w:rsid w:val="00A03D5E"/>
    <w:rsid w:val="00A04324"/>
    <w:rsid w:val="00A043F0"/>
    <w:rsid w:val="00A047AF"/>
    <w:rsid w:val="00A0497C"/>
    <w:rsid w:val="00A0504D"/>
    <w:rsid w:val="00A055CC"/>
    <w:rsid w:val="00A05673"/>
    <w:rsid w:val="00A0567C"/>
    <w:rsid w:val="00A05BC4"/>
    <w:rsid w:val="00A066E7"/>
    <w:rsid w:val="00A06BE6"/>
    <w:rsid w:val="00A0759D"/>
    <w:rsid w:val="00A078FB"/>
    <w:rsid w:val="00A07C13"/>
    <w:rsid w:val="00A07E96"/>
    <w:rsid w:val="00A1009A"/>
    <w:rsid w:val="00A1015E"/>
    <w:rsid w:val="00A1021F"/>
    <w:rsid w:val="00A10424"/>
    <w:rsid w:val="00A10547"/>
    <w:rsid w:val="00A107FC"/>
    <w:rsid w:val="00A12158"/>
    <w:rsid w:val="00A126BC"/>
    <w:rsid w:val="00A131D2"/>
    <w:rsid w:val="00A13472"/>
    <w:rsid w:val="00A13F17"/>
    <w:rsid w:val="00A13F5B"/>
    <w:rsid w:val="00A140BB"/>
    <w:rsid w:val="00A14D50"/>
    <w:rsid w:val="00A15835"/>
    <w:rsid w:val="00A15D0B"/>
    <w:rsid w:val="00A15EDA"/>
    <w:rsid w:val="00A16A51"/>
    <w:rsid w:val="00A16CB7"/>
    <w:rsid w:val="00A1754A"/>
    <w:rsid w:val="00A17CF9"/>
    <w:rsid w:val="00A204E7"/>
    <w:rsid w:val="00A20748"/>
    <w:rsid w:val="00A21930"/>
    <w:rsid w:val="00A21C32"/>
    <w:rsid w:val="00A227A1"/>
    <w:rsid w:val="00A22988"/>
    <w:rsid w:val="00A22C8D"/>
    <w:rsid w:val="00A24120"/>
    <w:rsid w:val="00A2422B"/>
    <w:rsid w:val="00A24E3A"/>
    <w:rsid w:val="00A252C4"/>
    <w:rsid w:val="00A261E1"/>
    <w:rsid w:val="00A27067"/>
    <w:rsid w:val="00A27140"/>
    <w:rsid w:val="00A279BB"/>
    <w:rsid w:val="00A27C2B"/>
    <w:rsid w:val="00A27CF5"/>
    <w:rsid w:val="00A30648"/>
    <w:rsid w:val="00A30701"/>
    <w:rsid w:val="00A317CB"/>
    <w:rsid w:val="00A31920"/>
    <w:rsid w:val="00A3280C"/>
    <w:rsid w:val="00A32EB9"/>
    <w:rsid w:val="00A3351D"/>
    <w:rsid w:val="00A3369C"/>
    <w:rsid w:val="00A34349"/>
    <w:rsid w:val="00A34B23"/>
    <w:rsid w:val="00A34D05"/>
    <w:rsid w:val="00A35123"/>
    <w:rsid w:val="00A35FB1"/>
    <w:rsid w:val="00A35FBE"/>
    <w:rsid w:val="00A36066"/>
    <w:rsid w:val="00A3647A"/>
    <w:rsid w:val="00A36C76"/>
    <w:rsid w:val="00A37301"/>
    <w:rsid w:val="00A379C2"/>
    <w:rsid w:val="00A379F2"/>
    <w:rsid w:val="00A37B55"/>
    <w:rsid w:val="00A37BB1"/>
    <w:rsid w:val="00A37E03"/>
    <w:rsid w:val="00A410D6"/>
    <w:rsid w:val="00A41666"/>
    <w:rsid w:val="00A41CFB"/>
    <w:rsid w:val="00A42C29"/>
    <w:rsid w:val="00A43655"/>
    <w:rsid w:val="00A43B7A"/>
    <w:rsid w:val="00A4473C"/>
    <w:rsid w:val="00A47EED"/>
    <w:rsid w:val="00A500A0"/>
    <w:rsid w:val="00A50657"/>
    <w:rsid w:val="00A5148E"/>
    <w:rsid w:val="00A51A61"/>
    <w:rsid w:val="00A51DFF"/>
    <w:rsid w:val="00A5201D"/>
    <w:rsid w:val="00A5315D"/>
    <w:rsid w:val="00A53181"/>
    <w:rsid w:val="00A531C3"/>
    <w:rsid w:val="00A53B94"/>
    <w:rsid w:val="00A53C3D"/>
    <w:rsid w:val="00A53E77"/>
    <w:rsid w:val="00A540C6"/>
    <w:rsid w:val="00A54CF5"/>
    <w:rsid w:val="00A551B1"/>
    <w:rsid w:val="00A56101"/>
    <w:rsid w:val="00A564E4"/>
    <w:rsid w:val="00A5717D"/>
    <w:rsid w:val="00A57523"/>
    <w:rsid w:val="00A60813"/>
    <w:rsid w:val="00A61221"/>
    <w:rsid w:val="00A613DE"/>
    <w:rsid w:val="00A61585"/>
    <w:rsid w:val="00A61699"/>
    <w:rsid w:val="00A61C62"/>
    <w:rsid w:val="00A621C1"/>
    <w:rsid w:val="00A6278E"/>
    <w:rsid w:val="00A62A35"/>
    <w:rsid w:val="00A6333C"/>
    <w:rsid w:val="00A63D59"/>
    <w:rsid w:val="00A63F13"/>
    <w:rsid w:val="00A65D70"/>
    <w:rsid w:val="00A66AE3"/>
    <w:rsid w:val="00A67168"/>
    <w:rsid w:val="00A70069"/>
    <w:rsid w:val="00A701DA"/>
    <w:rsid w:val="00A70600"/>
    <w:rsid w:val="00A70A02"/>
    <w:rsid w:val="00A70D26"/>
    <w:rsid w:val="00A71C5B"/>
    <w:rsid w:val="00A72382"/>
    <w:rsid w:val="00A72444"/>
    <w:rsid w:val="00A724DF"/>
    <w:rsid w:val="00A729F1"/>
    <w:rsid w:val="00A72B2B"/>
    <w:rsid w:val="00A735BB"/>
    <w:rsid w:val="00A73775"/>
    <w:rsid w:val="00A73C3A"/>
    <w:rsid w:val="00A74656"/>
    <w:rsid w:val="00A74D20"/>
    <w:rsid w:val="00A7515E"/>
    <w:rsid w:val="00A75854"/>
    <w:rsid w:val="00A75BA6"/>
    <w:rsid w:val="00A75EE3"/>
    <w:rsid w:val="00A762AC"/>
    <w:rsid w:val="00A7634F"/>
    <w:rsid w:val="00A76B6C"/>
    <w:rsid w:val="00A77737"/>
    <w:rsid w:val="00A800B5"/>
    <w:rsid w:val="00A8099C"/>
    <w:rsid w:val="00A809BE"/>
    <w:rsid w:val="00A80CC7"/>
    <w:rsid w:val="00A80D2C"/>
    <w:rsid w:val="00A81071"/>
    <w:rsid w:val="00A81191"/>
    <w:rsid w:val="00A813F4"/>
    <w:rsid w:val="00A82306"/>
    <w:rsid w:val="00A82410"/>
    <w:rsid w:val="00A82583"/>
    <w:rsid w:val="00A826AE"/>
    <w:rsid w:val="00A82814"/>
    <w:rsid w:val="00A829EA"/>
    <w:rsid w:val="00A82FB4"/>
    <w:rsid w:val="00A83600"/>
    <w:rsid w:val="00A83FD5"/>
    <w:rsid w:val="00A850C8"/>
    <w:rsid w:val="00A850FE"/>
    <w:rsid w:val="00A851DD"/>
    <w:rsid w:val="00A854D9"/>
    <w:rsid w:val="00A85D11"/>
    <w:rsid w:val="00A85DB7"/>
    <w:rsid w:val="00A861EA"/>
    <w:rsid w:val="00A8688F"/>
    <w:rsid w:val="00A86E26"/>
    <w:rsid w:val="00A87927"/>
    <w:rsid w:val="00A87982"/>
    <w:rsid w:val="00A87D74"/>
    <w:rsid w:val="00A90F7D"/>
    <w:rsid w:val="00A91486"/>
    <w:rsid w:val="00A916ED"/>
    <w:rsid w:val="00A91F2A"/>
    <w:rsid w:val="00A92561"/>
    <w:rsid w:val="00A927BE"/>
    <w:rsid w:val="00A929ED"/>
    <w:rsid w:val="00A92A86"/>
    <w:rsid w:val="00A942E6"/>
    <w:rsid w:val="00A9436F"/>
    <w:rsid w:val="00A94502"/>
    <w:rsid w:val="00A94CFA"/>
    <w:rsid w:val="00A95605"/>
    <w:rsid w:val="00A95B49"/>
    <w:rsid w:val="00A968DE"/>
    <w:rsid w:val="00A96FBF"/>
    <w:rsid w:val="00A970BE"/>
    <w:rsid w:val="00A97103"/>
    <w:rsid w:val="00AA02A6"/>
    <w:rsid w:val="00AA091C"/>
    <w:rsid w:val="00AA127C"/>
    <w:rsid w:val="00AA1A7B"/>
    <w:rsid w:val="00AA1EDA"/>
    <w:rsid w:val="00AA2571"/>
    <w:rsid w:val="00AA26F6"/>
    <w:rsid w:val="00AA27F7"/>
    <w:rsid w:val="00AA2967"/>
    <w:rsid w:val="00AA2D7A"/>
    <w:rsid w:val="00AA3F39"/>
    <w:rsid w:val="00AA4233"/>
    <w:rsid w:val="00AA5067"/>
    <w:rsid w:val="00AA511F"/>
    <w:rsid w:val="00AB040C"/>
    <w:rsid w:val="00AB0A0E"/>
    <w:rsid w:val="00AB25F3"/>
    <w:rsid w:val="00AB4AEF"/>
    <w:rsid w:val="00AB5504"/>
    <w:rsid w:val="00AB5A28"/>
    <w:rsid w:val="00AB5A32"/>
    <w:rsid w:val="00AB632F"/>
    <w:rsid w:val="00AB65A5"/>
    <w:rsid w:val="00AB69BC"/>
    <w:rsid w:val="00AB700A"/>
    <w:rsid w:val="00AB7116"/>
    <w:rsid w:val="00AB730D"/>
    <w:rsid w:val="00AC0095"/>
    <w:rsid w:val="00AC02EE"/>
    <w:rsid w:val="00AC0556"/>
    <w:rsid w:val="00AC0749"/>
    <w:rsid w:val="00AC1332"/>
    <w:rsid w:val="00AC17F4"/>
    <w:rsid w:val="00AC34DD"/>
    <w:rsid w:val="00AC41B4"/>
    <w:rsid w:val="00AC48F6"/>
    <w:rsid w:val="00AC4947"/>
    <w:rsid w:val="00AC59DF"/>
    <w:rsid w:val="00AC5F64"/>
    <w:rsid w:val="00AC6493"/>
    <w:rsid w:val="00AC6C62"/>
    <w:rsid w:val="00AC7407"/>
    <w:rsid w:val="00AC7421"/>
    <w:rsid w:val="00AC7C2E"/>
    <w:rsid w:val="00AC7E00"/>
    <w:rsid w:val="00AD0782"/>
    <w:rsid w:val="00AD0D19"/>
    <w:rsid w:val="00AD1BB5"/>
    <w:rsid w:val="00AD21A3"/>
    <w:rsid w:val="00AD2463"/>
    <w:rsid w:val="00AD2985"/>
    <w:rsid w:val="00AD318F"/>
    <w:rsid w:val="00AD3E33"/>
    <w:rsid w:val="00AD4948"/>
    <w:rsid w:val="00AD557B"/>
    <w:rsid w:val="00AD56C0"/>
    <w:rsid w:val="00AD60A9"/>
    <w:rsid w:val="00AD71B4"/>
    <w:rsid w:val="00AD7416"/>
    <w:rsid w:val="00AD7640"/>
    <w:rsid w:val="00AD76C6"/>
    <w:rsid w:val="00AD7817"/>
    <w:rsid w:val="00AD7E28"/>
    <w:rsid w:val="00AE1450"/>
    <w:rsid w:val="00AE180A"/>
    <w:rsid w:val="00AE1DB7"/>
    <w:rsid w:val="00AE2050"/>
    <w:rsid w:val="00AE28A3"/>
    <w:rsid w:val="00AE4728"/>
    <w:rsid w:val="00AE57B4"/>
    <w:rsid w:val="00AE6CA7"/>
    <w:rsid w:val="00AE7C67"/>
    <w:rsid w:val="00AF031C"/>
    <w:rsid w:val="00AF045B"/>
    <w:rsid w:val="00AF05AA"/>
    <w:rsid w:val="00AF06C7"/>
    <w:rsid w:val="00AF1041"/>
    <w:rsid w:val="00AF137B"/>
    <w:rsid w:val="00AF1543"/>
    <w:rsid w:val="00AF197B"/>
    <w:rsid w:val="00AF1C18"/>
    <w:rsid w:val="00AF211E"/>
    <w:rsid w:val="00AF2AA9"/>
    <w:rsid w:val="00AF2D52"/>
    <w:rsid w:val="00AF34F6"/>
    <w:rsid w:val="00AF3625"/>
    <w:rsid w:val="00AF428C"/>
    <w:rsid w:val="00AF5538"/>
    <w:rsid w:val="00AF56C4"/>
    <w:rsid w:val="00AF64F1"/>
    <w:rsid w:val="00AF6545"/>
    <w:rsid w:val="00AF66F9"/>
    <w:rsid w:val="00AF6745"/>
    <w:rsid w:val="00AF6C23"/>
    <w:rsid w:val="00AF7568"/>
    <w:rsid w:val="00AF7F1B"/>
    <w:rsid w:val="00B00B35"/>
    <w:rsid w:val="00B00F8B"/>
    <w:rsid w:val="00B00FC9"/>
    <w:rsid w:val="00B01571"/>
    <w:rsid w:val="00B01827"/>
    <w:rsid w:val="00B01960"/>
    <w:rsid w:val="00B02596"/>
    <w:rsid w:val="00B02D9C"/>
    <w:rsid w:val="00B032DC"/>
    <w:rsid w:val="00B03D7F"/>
    <w:rsid w:val="00B03E5E"/>
    <w:rsid w:val="00B03F5D"/>
    <w:rsid w:val="00B04422"/>
    <w:rsid w:val="00B044E4"/>
    <w:rsid w:val="00B05046"/>
    <w:rsid w:val="00B0569F"/>
    <w:rsid w:val="00B05D6D"/>
    <w:rsid w:val="00B05E0A"/>
    <w:rsid w:val="00B064DF"/>
    <w:rsid w:val="00B070BE"/>
    <w:rsid w:val="00B07591"/>
    <w:rsid w:val="00B076E3"/>
    <w:rsid w:val="00B10C81"/>
    <w:rsid w:val="00B10DEA"/>
    <w:rsid w:val="00B10F0E"/>
    <w:rsid w:val="00B10F39"/>
    <w:rsid w:val="00B10F57"/>
    <w:rsid w:val="00B1103C"/>
    <w:rsid w:val="00B118D2"/>
    <w:rsid w:val="00B1211B"/>
    <w:rsid w:val="00B12745"/>
    <w:rsid w:val="00B12B7F"/>
    <w:rsid w:val="00B13C95"/>
    <w:rsid w:val="00B143B1"/>
    <w:rsid w:val="00B14650"/>
    <w:rsid w:val="00B147E9"/>
    <w:rsid w:val="00B14C4A"/>
    <w:rsid w:val="00B15339"/>
    <w:rsid w:val="00B156E7"/>
    <w:rsid w:val="00B15C49"/>
    <w:rsid w:val="00B1658A"/>
    <w:rsid w:val="00B166A6"/>
    <w:rsid w:val="00B16AB1"/>
    <w:rsid w:val="00B20B5E"/>
    <w:rsid w:val="00B21A71"/>
    <w:rsid w:val="00B21C60"/>
    <w:rsid w:val="00B21E45"/>
    <w:rsid w:val="00B21F9A"/>
    <w:rsid w:val="00B22848"/>
    <w:rsid w:val="00B23781"/>
    <w:rsid w:val="00B25570"/>
    <w:rsid w:val="00B25741"/>
    <w:rsid w:val="00B25A3E"/>
    <w:rsid w:val="00B26973"/>
    <w:rsid w:val="00B26AF2"/>
    <w:rsid w:val="00B2765F"/>
    <w:rsid w:val="00B27697"/>
    <w:rsid w:val="00B27BB2"/>
    <w:rsid w:val="00B302CB"/>
    <w:rsid w:val="00B307EB"/>
    <w:rsid w:val="00B30AC6"/>
    <w:rsid w:val="00B31797"/>
    <w:rsid w:val="00B31BC3"/>
    <w:rsid w:val="00B31CA9"/>
    <w:rsid w:val="00B32064"/>
    <w:rsid w:val="00B322A4"/>
    <w:rsid w:val="00B32CCB"/>
    <w:rsid w:val="00B330B1"/>
    <w:rsid w:val="00B332C7"/>
    <w:rsid w:val="00B334F5"/>
    <w:rsid w:val="00B3378B"/>
    <w:rsid w:val="00B33D13"/>
    <w:rsid w:val="00B33E0D"/>
    <w:rsid w:val="00B34319"/>
    <w:rsid w:val="00B34E38"/>
    <w:rsid w:val="00B35CCE"/>
    <w:rsid w:val="00B35D33"/>
    <w:rsid w:val="00B35F67"/>
    <w:rsid w:val="00B36222"/>
    <w:rsid w:val="00B36B3A"/>
    <w:rsid w:val="00B37786"/>
    <w:rsid w:val="00B37FB4"/>
    <w:rsid w:val="00B40111"/>
    <w:rsid w:val="00B40149"/>
    <w:rsid w:val="00B407F1"/>
    <w:rsid w:val="00B409DA"/>
    <w:rsid w:val="00B40EDF"/>
    <w:rsid w:val="00B4147F"/>
    <w:rsid w:val="00B41991"/>
    <w:rsid w:val="00B41B37"/>
    <w:rsid w:val="00B41FA8"/>
    <w:rsid w:val="00B424FB"/>
    <w:rsid w:val="00B455BD"/>
    <w:rsid w:val="00B45F5C"/>
    <w:rsid w:val="00B46C4B"/>
    <w:rsid w:val="00B5015E"/>
    <w:rsid w:val="00B5017A"/>
    <w:rsid w:val="00B518E0"/>
    <w:rsid w:val="00B51A1C"/>
    <w:rsid w:val="00B51CB8"/>
    <w:rsid w:val="00B51E92"/>
    <w:rsid w:val="00B5237A"/>
    <w:rsid w:val="00B5325E"/>
    <w:rsid w:val="00B53776"/>
    <w:rsid w:val="00B53F69"/>
    <w:rsid w:val="00B540B4"/>
    <w:rsid w:val="00B54DB2"/>
    <w:rsid w:val="00B54E05"/>
    <w:rsid w:val="00B5547A"/>
    <w:rsid w:val="00B557C1"/>
    <w:rsid w:val="00B563EF"/>
    <w:rsid w:val="00B56578"/>
    <w:rsid w:val="00B5765C"/>
    <w:rsid w:val="00B602A5"/>
    <w:rsid w:val="00B604EA"/>
    <w:rsid w:val="00B60949"/>
    <w:rsid w:val="00B61083"/>
    <w:rsid w:val="00B61837"/>
    <w:rsid w:val="00B619E8"/>
    <w:rsid w:val="00B61D53"/>
    <w:rsid w:val="00B61E0C"/>
    <w:rsid w:val="00B62151"/>
    <w:rsid w:val="00B621B1"/>
    <w:rsid w:val="00B626C3"/>
    <w:rsid w:val="00B62D98"/>
    <w:rsid w:val="00B633EE"/>
    <w:rsid w:val="00B63A06"/>
    <w:rsid w:val="00B63B16"/>
    <w:rsid w:val="00B64166"/>
    <w:rsid w:val="00B644D8"/>
    <w:rsid w:val="00B649C8"/>
    <w:rsid w:val="00B64C8A"/>
    <w:rsid w:val="00B70E7C"/>
    <w:rsid w:val="00B712FD"/>
    <w:rsid w:val="00B71549"/>
    <w:rsid w:val="00B71BAD"/>
    <w:rsid w:val="00B7202E"/>
    <w:rsid w:val="00B72054"/>
    <w:rsid w:val="00B725CF"/>
    <w:rsid w:val="00B7267B"/>
    <w:rsid w:val="00B72862"/>
    <w:rsid w:val="00B73CDF"/>
    <w:rsid w:val="00B74B19"/>
    <w:rsid w:val="00B74B23"/>
    <w:rsid w:val="00B763A2"/>
    <w:rsid w:val="00B7682E"/>
    <w:rsid w:val="00B76832"/>
    <w:rsid w:val="00B7697A"/>
    <w:rsid w:val="00B770F1"/>
    <w:rsid w:val="00B80361"/>
    <w:rsid w:val="00B8098B"/>
    <w:rsid w:val="00B81026"/>
    <w:rsid w:val="00B81D5A"/>
    <w:rsid w:val="00B82AF0"/>
    <w:rsid w:val="00B82FA8"/>
    <w:rsid w:val="00B83E35"/>
    <w:rsid w:val="00B84190"/>
    <w:rsid w:val="00B843B0"/>
    <w:rsid w:val="00B8557F"/>
    <w:rsid w:val="00B857B9"/>
    <w:rsid w:val="00B85B3D"/>
    <w:rsid w:val="00B85C1B"/>
    <w:rsid w:val="00B8633D"/>
    <w:rsid w:val="00B86E49"/>
    <w:rsid w:val="00B86F1B"/>
    <w:rsid w:val="00B8719A"/>
    <w:rsid w:val="00B9006A"/>
    <w:rsid w:val="00B901C2"/>
    <w:rsid w:val="00B90909"/>
    <w:rsid w:val="00B90D92"/>
    <w:rsid w:val="00B91332"/>
    <w:rsid w:val="00B92184"/>
    <w:rsid w:val="00B92411"/>
    <w:rsid w:val="00B92F47"/>
    <w:rsid w:val="00B93224"/>
    <w:rsid w:val="00B94609"/>
    <w:rsid w:val="00B94BCE"/>
    <w:rsid w:val="00B9546E"/>
    <w:rsid w:val="00B959B4"/>
    <w:rsid w:val="00B95C3F"/>
    <w:rsid w:val="00B9615A"/>
    <w:rsid w:val="00B96161"/>
    <w:rsid w:val="00B968EC"/>
    <w:rsid w:val="00B9709E"/>
    <w:rsid w:val="00B973ED"/>
    <w:rsid w:val="00B97C42"/>
    <w:rsid w:val="00B97EEB"/>
    <w:rsid w:val="00BA0511"/>
    <w:rsid w:val="00BA0709"/>
    <w:rsid w:val="00BA0BFE"/>
    <w:rsid w:val="00BA1142"/>
    <w:rsid w:val="00BA12A2"/>
    <w:rsid w:val="00BA138A"/>
    <w:rsid w:val="00BA1466"/>
    <w:rsid w:val="00BA1BA2"/>
    <w:rsid w:val="00BA1BC4"/>
    <w:rsid w:val="00BA1DCF"/>
    <w:rsid w:val="00BA226F"/>
    <w:rsid w:val="00BA262A"/>
    <w:rsid w:val="00BA2A4B"/>
    <w:rsid w:val="00BA3360"/>
    <w:rsid w:val="00BA377F"/>
    <w:rsid w:val="00BA37DF"/>
    <w:rsid w:val="00BA3D86"/>
    <w:rsid w:val="00BA4069"/>
    <w:rsid w:val="00BA4293"/>
    <w:rsid w:val="00BA5CE4"/>
    <w:rsid w:val="00BA5FC1"/>
    <w:rsid w:val="00BA67D8"/>
    <w:rsid w:val="00BA6E00"/>
    <w:rsid w:val="00BA79A0"/>
    <w:rsid w:val="00BB0006"/>
    <w:rsid w:val="00BB0222"/>
    <w:rsid w:val="00BB04D1"/>
    <w:rsid w:val="00BB051F"/>
    <w:rsid w:val="00BB0627"/>
    <w:rsid w:val="00BB1447"/>
    <w:rsid w:val="00BB1485"/>
    <w:rsid w:val="00BB1A5D"/>
    <w:rsid w:val="00BB1B56"/>
    <w:rsid w:val="00BB2279"/>
    <w:rsid w:val="00BB28E7"/>
    <w:rsid w:val="00BB3183"/>
    <w:rsid w:val="00BB3587"/>
    <w:rsid w:val="00BB387E"/>
    <w:rsid w:val="00BB396F"/>
    <w:rsid w:val="00BB3991"/>
    <w:rsid w:val="00BB3C7F"/>
    <w:rsid w:val="00BB4265"/>
    <w:rsid w:val="00BB5BB8"/>
    <w:rsid w:val="00BB6406"/>
    <w:rsid w:val="00BB695E"/>
    <w:rsid w:val="00BB77A6"/>
    <w:rsid w:val="00BB79B5"/>
    <w:rsid w:val="00BB7B42"/>
    <w:rsid w:val="00BB7DC4"/>
    <w:rsid w:val="00BC069F"/>
    <w:rsid w:val="00BC0A98"/>
    <w:rsid w:val="00BC0FB8"/>
    <w:rsid w:val="00BC14F6"/>
    <w:rsid w:val="00BC217E"/>
    <w:rsid w:val="00BC22D0"/>
    <w:rsid w:val="00BC28C4"/>
    <w:rsid w:val="00BC3542"/>
    <w:rsid w:val="00BC3ADE"/>
    <w:rsid w:val="00BC3EF0"/>
    <w:rsid w:val="00BC4929"/>
    <w:rsid w:val="00BC4CF8"/>
    <w:rsid w:val="00BC508B"/>
    <w:rsid w:val="00BC5224"/>
    <w:rsid w:val="00BC53CF"/>
    <w:rsid w:val="00BC5699"/>
    <w:rsid w:val="00BC5FFC"/>
    <w:rsid w:val="00BC6CE5"/>
    <w:rsid w:val="00BC6D7C"/>
    <w:rsid w:val="00BC74B5"/>
    <w:rsid w:val="00BC74B8"/>
    <w:rsid w:val="00BC7AD3"/>
    <w:rsid w:val="00BD0014"/>
    <w:rsid w:val="00BD034F"/>
    <w:rsid w:val="00BD0965"/>
    <w:rsid w:val="00BD0B6D"/>
    <w:rsid w:val="00BD0CE7"/>
    <w:rsid w:val="00BD0E68"/>
    <w:rsid w:val="00BD1B5E"/>
    <w:rsid w:val="00BD1E51"/>
    <w:rsid w:val="00BD1F2A"/>
    <w:rsid w:val="00BD22D9"/>
    <w:rsid w:val="00BD2CC5"/>
    <w:rsid w:val="00BD3433"/>
    <w:rsid w:val="00BD37D2"/>
    <w:rsid w:val="00BD3AA2"/>
    <w:rsid w:val="00BD4776"/>
    <w:rsid w:val="00BD575A"/>
    <w:rsid w:val="00BD6056"/>
    <w:rsid w:val="00BD6079"/>
    <w:rsid w:val="00BD6722"/>
    <w:rsid w:val="00BD752F"/>
    <w:rsid w:val="00BD756B"/>
    <w:rsid w:val="00BD7EA6"/>
    <w:rsid w:val="00BE0294"/>
    <w:rsid w:val="00BE1856"/>
    <w:rsid w:val="00BE1B4E"/>
    <w:rsid w:val="00BE2372"/>
    <w:rsid w:val="00BE268F"/>
    <w:rsid w:val="00BE276B"/>
    <w:rsid w:val="00BE379C"/>
    <w:rsid w:val="00BE3C54"/>
    <w:rsid w:val="00BE3E6C"/>
    <w:rsid w:val="00BE4168"/>
    <w:rsid w:val="00BE455B"/>
    <w:rsid w:val="00BE4AF1"/>
    <w:rsid w:val="00BE4B47"/>
    <w:rsid w:val="00BE5C03"/>
    <w:rsid w:val="00BE5D4F"/>
    <w:rsid w:val="00BE640F"/>
    <w:rsid w:val="00BE6F8B"/>
    <w:rsid w:val="00BE782F"/>
    <w:rsid w:val="00BE7856"/>
    <w:rsid w:val="00BF0070"/>
    <w:rsid w:val="00BF012E"/>
    <w:rsid w:val="00BF01C7"/>
    <w:rsid w:val="00BF0298"/>
    <w:rsid w:val="00BF09BA"/>
    <w:rsid w:val="00BF107D"/>
    <w:rsid w:val="00BF122D"/>
    <w:rsid w:val="00BF141D"/>
    <w:rsid w:val="00BF1684"/>
    <w:rsid w:val="00BF1804"/>
    <w:rsid w:val="00BF1832"/>
    <w:rsid w:val="00BF2C64"/>
    <w:rsid w:val="00BF3094"/>
    <w:rsid w:val="00BF31F0"/>
    <w:rsid w:val="00BF3E82"/>
    <w:rsid w:val="00BF3F4C"/>
    <w:rsid w:val="00BF4F87"/>
    <w:rsid w:val="00BF5F4B"/>
    <w:rsid w:val="00BF685D"/>
    <w:rsid w:val="00BF7859"/>
    <w:rsid w:val="00BF7F71"/>
    <w:rsid w:val="00C0002F"/>
    <w:rsid w:val="00C000CE"/>
    <w:rsid w:val="00C00AF7"/>
    <w:rsid w:val="00C011A5"/>
    <w:rsid w:val="00C017D1"/>
    <w:rsid w:val="00C0198F"/>
    <w:rsid w:val="00C02CF2"/>
    <w:rsid w:val="00C03994"/>
    <w:rsid w:val="00C039AA"/>
    <w:rsid w:val="00C039EB"/>
    <w:rsid w:val="00C03C54"/>
    <w:rsid w:val="00C03D31"/>
    <w:rsid w:val="00C046EA"/>
    <w:rsid w:val="00C0479A"/>
    <w:rsid w:val="00C04B07"/>
    <w:rsid w:val="00C04B25"/>
    <w:rsid w:val="00C05067"/>
    <w:rsid w:val="00C051C8"/>
    <w:rsid w:val="00C0570D"/>
    <w:rsid w:val="00C05AD9"/>
    <w:rsid w:val="00C05FCF"/>
    <w:rsid w:val="00C061DA"/>
    <w:rsid w:val="00C068B9"/>
    <w:rsid w:val="00C07C1B"/>
    <w:rsid w:val="00C101D5"/>
    <w:rsid w:val="00C10320"/>
    <w:rsid w:val="00C108B4"/>
    <w:rsid w:val="00C10AB3"/>
    <w:rsid w:val="00C10FF0"/>
    <w:rsid w:val="00C11950"/>
    <w:rsid w:val="00C124C7"/>
    <w:rsid w:val="00C1276F"/>
    <w:rsid w:val="00C12A6C"/>
    <w:rsid w:val="00C12B07"/>
    <w:rsid w:val="00C12E94"/>
    <w:rsid w:val="00C12EBA"/>
    <w:rsid w:val="00C12FCF"/>
    <w:rsid w:val="00C130C4"/>
    <w:rsid w:val="00C13787"/>
    <w:rsid w:val="00C13BF5"/>
    <w:rsid w:val="00C13D17"/>
    <w:rsid w:val="00C142AC"/>
    <w:rsid w:val="00C15450"/>
    <w:rsid w:val="00C157D8"/>
    <w:rsid w:val="00C17179"/>
    <w:rsid w:val="00C1732B"/>
    <w:rsid w:val="00C17422"/>
    <w:rsid w:val="00C17C56"/>
    <w:rsid w:val="00C17D82"/>
    <w:rsid w:val="00C2040D"/>
    <w:rsid w:val="00C20B13"/>
    <w:rsid w:val="00C21160"/>
    <w:rsid w:val="00C211D7"/>
    <w:rsid w:val="00C21360"/>
    <w:rsid w:val="00C22961"/>
    <w:rsid w:val="00C23368"/>
    <w:rsid w:val="00C2356C"/>
    <w:rsid w:val="00C2491E"/>
    <w:rsid w:val="00C252A5"/>
    <w:rsid w:val="00C2567D"/>
    <w:rsid w:val="00C2591E"/>
    <w:rsid w:val="00C25D6F"/>
    <w:rsid w:val="00C25FF9"/>
    <w:rsid w:val="00C26BC5"/>
    <w:rsid w:val="00C27C99"/>
    <w:rsid w:val="00C3027F"/>
    <w:rsid w:val="00C30722"/>
    <w:rsid w:val="00C308EC"/>
    <w:rsid w:val="00C31AF6"/>
    <w:rsid w:val="00C32453"/>
    <w:rsid w:val="00C32513"/>
    <w:rsid w:val="00C325FB"/>
    <w:rsid w:val="00C3367B"/>
    <w:rsid w:val="00C3403D"/>
    <w:rsid w:val="00C342E3"/>
    <w:rsid w:val="00C345AD"/>
    <w:rsid w:val="00C358A1"/>
    <w:rsid w:val="00C360EC"/>
    <w:rsid w:val="00C36AC3"/>
    <w:rsid w:val="00C36F46"/>
    <w:rsid w:val="00C36F51"/>
    <w:rsid w:val="00C37635"/>
    <w:rsid w:val="00C40771"/>
    <w:rsid w:val="00C40C45"/>
    <w:rsid w:val="00C40F4A"/>
    <w:rsid w:val="00C41655"/>
    <w:rsid w:val="00C423D6"/>
    <w:rsid w:val="00C42B00"/>
    <w:rsid w:val="00C42BF1"/>
    <w:rsid w:val="00C430ED"/>
    <w:rsid w:val="00C43991"/>
    <w:rsid w:val="00C4413F"/>
    <w:rsid w:val="00C455F2"/>
    <w:rsid w:val="00C45631"/>
    <w:rsid w:val="00C45E55"/>
    <w:rsid w:val="00C461B5"/>
    <w:rsid w:val="00C46300"/>
    <w:rsid w:val="00C47A90"/>
    <w:rsid w:val="00C47D96"/>
    <w:rsid w:val="00C5013A"/>
    <w:rsid w:val="00C507C8"/>
    <w:rsid w:val="00C5087A"/>
    <w:rsid w:val="00C50FA9"/>
    <w:rsid w:val="00C51986"/>
    <w:rsid w:val="00C51BDF"/>
    <w:rsid w:val="00C51DCC"/>
    <w:rsid w:val="00C524C2"/>
    <w:rsid w:val="00C52927"/>
    <w:rsid w:val="00C52ED5"/>
    <w:rsid w:val="00C53B80"/>
    <w:rsid w:val="00C53D11"/>
    <w:rsid w:val="00C541A4"/>
    <w:rsid w:val="00C54201"/>
    <w:rsid w:val="00C54368"/>
    <w:rsid w:val="00C543C6"/>
    <w:rsid w:val="00C54450"/>
    <w:rsid w:val="00C54B32"/>
    <w:rsid w:val="00C54C56"/>
    <w:rsid w:val="00C54E32"/>
    <w:rsid w:val="00C5503A"/>
    <w:rsid w:val="00C55ECC"/>
    <w:rsid w:val="00C56753"/>
    <w:rsid w:val="00C56EA0"/>
    <w:rsid w:val="00C57174"/>
    <w:rsid w:val="00C57291"/>
    <w:rsid w:val="00C57DF3"/>
    <w:rsid w:val="00C60347"/>
    <w:rsid w:val="00C60AC0"/>
    <w:rsid w:val="00C60BE7"/>
    <w:rsid w:val="00C6105F"/>
    <w:rsid w:val="00C61B07"/>
    <w:rsid w:val="00C61BC7"/>
    <w:rsid w:val="00C623C4"/>
    <w:rsid w:val="00C628CD"/>
    <w:rsid w:val="00C62D24"/>
    <w:rsid w:val="00C62EFE"/>
    <w:rsid w:val="00C645C1"/>
    <w:rsid w:val="00C649C5"/>
    <w:rsid w:val="00C65D88"/>
    <w:rsid w:val="00C65E0C"/>
    <w:rsid w:val="00C6685B"/>
    <w:rsid w:val="00C668C9"/>
    <w:rsid w:val="00C66D38"/>
    <w:rsid w:val="00C673A7"/>
    <w:rsid w:val="00C6783F"/>
    <w:rsid w:val="00C67BCC"/>
    <w:rsid w:val="00C67F72"/>
    <w:rsid w:val="00C704CA"/>
    <w:rsid w:val="00C70B4D"/>
    <w:rsid w:val="00C71911"/>
    <w:rsid w:val="00C725DD"/>
    <w:rsid w:val="00C73140"/>
    <w:rsid w:val="00C73855"/>
    <w:rsid w:val="00C73ABE"/>
    <w:rsid w:val="00C73C12"/>
    <w:rsid w:val="00C74260"/>
    <w:rsid w:val="00C74263"/>
    <w:rsid w:val="00C74367"/>
    <w:rsid w:val="00C74398"/>
    <w:rsid w:val="00C7488E"/>
    <w:rsid w:val="00C74ACB"/>
    <w:rsid w:val="00C74DA6"/>
    <w:rsid w:val="00C750E2"/>
    <w:rsid w:val="00C753C2"/>
    <w:rsid w:val="00C7594F"/>
    <w:rsid w:val="00C75EC7"/>
    <w:rsid w:val="00C7638B"/>
    <w:rsid w:val="00C76476"/>
    <w:rsid w:val="00C76AC7"/>
    <w:rsid w:val="00C7741A"/>
    <w:rsid w:val="00C774E0"/>
    <w:rsid w:val="00C77643"/>
    <w:rsid w:val="00C77EAD"/>
    <w:rsid w:val="00C8086A"/>
    <w:rsid w:val="00C80B68"/>
    <w:rsid w:val="00C81085"/>
    <w:rsid w:val="00C81131"/>
    <w:rsid w:val="00C811CB"/>
    <w:rsid w:val="00C811D2"/>
    <w:rsid w:val="00C81896"/>
    <w:rsid w:val="00C81DE9"/>
    <w:rsid w:val="00C82454"/>
    <w:rsid w:val="00C827D9"/>
    <w:rsid w:val="00C82C83"/>
    <w:rsid w:val="00C82D95"/>
    <w:rsid w:val="00C830D9"/>
    <w:rsid w:val="00C83340"/>
    <w:rsid w:val="00C840EF"/>
    <w:rsid w:val="00C84193"/>
    <w:rsid w:val="00C850AF"/>
    <w:rsid w:val="00C854AC"/>
    <w:rsid w:val="00C854E5"/>
    <w:rsid w:val="00C8595F"/>
    <w:rsid w:val="00C85E11"/>
    <w:rsid w:val="00C8642E"/>
    <w:rsid w:val="00C8682E"/>
    <w:rsid w:val="00C86D10"/>
    <w:rsid w:val="00C876F8"/>
    <w:rsid w:val="00C9022E"/>
    <w:rsid w:val="00C90F90"/>
    <w:rsid w:val="00C9145D"/>
    <w:rsid w:val="00C91540"/>
    <w:rsid w:val="00C92701"/>
    <w:rsid w:val="00C92C33"/>
    <w:rsid w:val="00C9317E"/>
    <w:rsid w:val="00C9327D"/>
    <w:rsid w:val="00C93682"/>
    <w:rsid w:val="00C943E1"/>
    <w:rsid w:val="00C9524F"/>
    <w:rsid w:val="00C96116"/>
    <w:rsid w:val="00C964AD"/>
    <w:rsid w:val="00C96BCF"/>
    <w:rsid w:val="00C971AF"/>
    <w:rsid w:val="00C97827"/>
    <w:rsid w:val="00C97964"/>
    <w:rsid w:val="00C97C71"/>
    <w:rsid w:val="00CA06D3"/>
    <w:rsid w:val="00CA0C22"/>
    <w:rsid w:val="00CA0D1A"/>
    <w:rsid w:val="00CA0D96"/>
    <w:rsid w:val="00CA0DD4"/>
    <w:rsid w:val="00CA0FD9"/>
    <w:rsid w:val="00CA1316"/>
    <w:rsid w:val="00CA21B4"/>
    <w:rsid w:val="00CA2858"/>
    <w:rsid w:val="00CA2D30"/>
    <w:rsid w:val="00CA2D7D"/>
    <w:rsid w:val="00CA4367"/>
    <w:rsid w:val="00CA48F1"/>
    <w:rsid w:val="00CA4D8F"/>
    <w:rsid w:val="00CA4E70"/>
    <w:rsid w:val="00CA5371"/>
    <w:rsid w:val="00CA5B43"/>
    <w:rsid w:val="00CA5CD2"/>
    <w:rsid w:val="00CA6606"/>
    <w:rsid w:val="00CA6F7D"/>
    <w:rsid w:val="00CA7122"/>
    <w:rsid w:val="00CB0596"/>
    <w:rsid w:val="00CB07AE"/>
    <w:rsid w:val="00CB0E7C"/>
    <w:rsid w:val="00CB186E"/>
    <w:rsid w:val="00CB22F6"/>
    <w:rsid w:val="00CB2B5B"/>
    <w:rsid w:val="00CB2BC0"/>
    <w:rsid w:val="00CB2FD5"/>
    <w:rsid w:val="00CB4045"/>
    <w:rsid w:val="00CB44BA"/>
    <w:rsid w:val="00CB46CF"/>
    <w:rsid w:val="00CB479D"/>
    <w:rsid w:val="00CB47E9"/>
    <w:rsid w:val="00CB52A3"/>
    <w:rsid w:val="00CB5899"/>
    <w:rsid w:val="00CB6298"/>
    <w:rsid w:val="00CB6663"/>
    <w:rsid w:val="00CB67FB"/>
    <w:rsid w:val="00CB6C54"/>
    <w:rsid w:val="00CB7A12"/>
    <w:rsid w:val="00CB7B35"/>
    <w:rsid w:val="00CB7BDC"/>
    <w:rsid w:val="00CC00D8"/>
    <w:rsid w:val="00CC0719"/>
    <w:rsid w:val="00CC0D71"/>
    <w:rsid w:val="00CC129C"/>
    <w:rsid w:val="00CC1516"/>
    <w:rsid w:val="00CC1A4A"/>
    <w:rsid w:val="00CC2EF2"/>
    <w:rsid w:val="00CC34DB"/>
    <w:rsid w:val="00CC3915"/>
    <w:rsid w:val="00CC3C3B"/>
    <w:rsid w:val="00CC5DAA"/>
    <w:rsid w:val="00CC623B"/>
    <w:rsid w:val="00CC62ED"/>
    <w:rsid w:val="00CC6423"/>
    <w:rsid w:val="00CC728B"/>
    <w:rsid w:val="00CC75A4"/>
    <w:rsid w:val="00CD0696"/>
    <w:rsid w:val="00CD08CD"/>
    <w:rsid w:val="00CD1130"/>
    <w:rsid w:val="00CD14B2"/>
    <w:rsid w:val="00CD19C5"/>
    <w:rsid w:val="00CD21AD"/>
    <w:rsid w:val="00CD248F"/>
    <w:rsid w:val="00CD2851"/>
    <w:rsid w:val="00CD2936"/>
    <w:rsid w:val="00CD2DC4"/>
    <w:rsid w:val="00CD3DC8"/>
    <w:rsid w:val="00CD3E51"/>
    <w:rsid w:val="00CD40D9"/>
    <w:rsid w:val="00CD6177"/>
    <w:rsid w:val="00CD6540"/>
    <w:rsid w:val="00CD72B6"/>
    <w:rsid w:val="00CD77B8"/>
    <w:rsid w:val="00CE07E9"/>
    <w:rsid w:val="00CE0BD4"/>
    <w:rsid w:val="00CE0CCB"/>
    <w:rsid w:val="00CE0F37"/>
    <w:rsid w:val="00CE139F"/>
    <w:rsid w:val="00CE19FD"/>
    <w:rsid w:val="00CE1C38"/>
    <w:rsid w:val="00CE2AC7"/>
    <w:rsid w:val="00CE2ED3"/>
    <w:rsid w:val="00CE36EB"/>
    <w:rsid w:val="00CE38B6"/>
    <w:rsid w:val="00CE394A"/>
    <w:rsid w:val="00CE40E3"/>
    <w:rsid w:val="00CE4672"/>
    <w:rsid w:val="00CE5867"/>
    <w:rsid w:val="00CE5C18"/>
    <w:rsid w:val="00CE6764"/>
    <w:rsid w:val="00CE6E16"/>
    <w:rsid w:val="00CE6E37"/>
    <w:rsid w:val="00CE7AA9"/>
    <w:rsid w:val="00CE7DAE"/>
    <w:rsid w:val="00CF03C3"/>
    <w:rsid w:val="00CF1171"/>
    <w:rsid w:val="00CF14A1"/>
    <w:rsid w:val="00CF170A"/>
    <w:rsid w:val="00CF1970"/>
    <w:rsid w:val="00CF1DE7"/>
    <w:rsid w:val="00CF3A27"/>
    <w:rsid w:val="00CF3B54"/>
    <w:rsid w:val="00CF459B"/>
    <w:rsid w:val="00CF5085"/>
    <w:rsid w:val="00CF51DA"/>
    <w:rsid w:val="00CF5647"/>
    <w:rsid w:val="00CF5953"/>
    <w:rsid w:val="00CF600D"/>
    <w:rsid w:val="00CF62F0"/>
    <w:rsid w:val="00CF651C"/>
    <w:rsid w:val="00CF69B8"/>
    <w:rsid w:val="00CF6A15"/>
    <w:rsid w:val="00CF6AB7"/>
    <w:rsid w:val="00CF6D5A"/>
    <w:rsid w:val="00CF713E"/>
    <w:rsid w:val="00CF75B6"/>
    <w:rsid w:val="00CF766D"/>
    <w:rsid w:val="00CF78E3"/>
    <w:rsid w:val="00CF7ADA"/>
    <w:rsid w:val="00CF7FEB"/>
    <w:rsid w:val="00D009DA"/>
    <w:rsid w:val="00D00ADB"/>
    <w:rsid w:val="00D00BF2"/>
    <w:rsid w:val="00D00FC2"/>
    <w:rsid w:val="00D013D7"/>
    <w:rsid w:val="00D01708"/>
    <w:rsid w:val="00D01C79"/>
    <w:rsid w:val="00D01C89"/>
    <w:rsid w:val="00D01DC1"/>
    <w:rsid w:val="00D02199"/>
    <w:rsid w:val="00D02244"/>
    <w:rsid w:val="00D02869"/>
    <w:rsid w:val="00D02D96"/>
    <w:rsid w:val="00D02E47"/>
    <w:rsid w:val="00D033E2"/>
    <w:rsid w:val="00D03DC1"/>
    <w:rsid w:val="00D04119"/>
    <w:rsid w:val="00D043E5"/>
    <w:rsid w:val="00D045CB"/>
    <w:rsid w:val="00D04671"/>
    <w:rsid w:val="00D047D4"/>
    <w:rsid w:val="00D047F6"/>
    <w:rsid w:val="00D05012"/>
    <w:rsid w:val="00D052C6"/>
    <w:rsid w:val="00D053B8"/>
    <w:rsid w:val="00D05530"/>
    <w:rsid w:val="00D06082"/>
    <w:rsid w:val="00D0656F"/>
    <w:rsid w:val="00D06BE5"/>
    <w:rsid w:val="00D06EF2"/>
    <w:rsid w:val="00D07E09"/>
    <w:rsid w:val="00D10497"/>
    <w:rsid w:val="00D10691"/>
    <w:rsid w:val="00D1078E"/>
    <w:rsid w:val="00D10FBF"/>
    <w:rsid w:val="00D11B5E"/>
    <w:rsid w:val="00D12480"/>
    <w:rsid w:val="00D1274C"/>
    <w:rsid w:val="00D12C08"/>
    <w:rsid w:val="00D12D4C"/>
    <w:rsid w:val="00D158F8"/>
    <w:rsid w:val="00D15B74"/>
    <w:rsid w:val="00D161C0"/>
    <w:rsid w:val="00D173D2"/>
    <w:rsid w:val="00D17767"/>
    <w:rsid w:val="00D17ABD"/>
    <w:rsid w:val="00D17B78"/>
    <w:rsid w:val="00D2030E"/>
    <w:rsid w:val="00D2059D"/>
    <w:rsid w:val="00D20ADA"/>
    <w:rsid w:val="00D20DD1"/>
    <w:rsid w:val="00D20E94"/>
    <w:rsid w:val="00D20F3F"/>
    <w:rsid w:val="00D20F55"/>
    <w:rsid w:val="00D219C7"/>
    <w:rsid w:val="00D21C0C"/>
    <w:rsid w:val="00D220D8"/>
    <w:rsid w:val="00D22886"/>
    <w:rsid w:val="00D22B69"/>
    <w:rsid w:val="00D22EB3"/>
    <w:rsid w:val="00D22FF5"/>
    <w:rsid w:val="00D23817"/>
    <w:rsid w:val="00D23CDD"/>
    <w:rsid w:val="00D23D9C"/>
    <w:rsid w:val="00D246D0"/>
    <w:rsid w:val="00D24AF9"/>
    <w:rsid w:val="00D2505B"/>
    <w:rsid w:val="00D25B4C"/>
    <w:rsid w:val="00D25E16"/>
    <w:rsid w:val="00D2616A"/>
    <w:rsid w:val="00D27AA8"/>
    <w:rsid w:val="00D27C83"/>
    <w:rsid w:val="00D302DF"/>
    <w:rsid w:val="00D3034B"/>
    <w:rsid w:val="00D307FF"/>
    <w:rsid w:val="00D30ED5"/>
    <w:rsid w:val="00D3157F"/>
    <w:rsid w:val="00D31899"/>
    <w:rsid w:val="00D319D2"/>
    <w:rsid w:val="00D31B0A"/>
    <w:rsid w:val="00D31D45"/>
    <w:rsid w:val="00D31DA7"/>
    <w:rsid w:val="00D3215E"/>
    <w:rsid w:val="00D3262E"/>
    <w:rsid w:val="00D32ABC"/>
    <w:rsid w:val="00D330DB"/>
    <w:rsid w:val="00D3372F"/>
    <w:rsid w:val="00D33BC8"/>
    <w:rsid w:val="00D346A3"/>
    <w:rsid w:val="00D34D2F"/>
    <w:rsid w:val="00D361D5"/>
    <w:rsid w:val="00D36A79"/>
    <w:rsid w:val="00D3776B"/>
    <w:rsid w:val="00D37DC0"/>
    <w:rsid w:val="00D37F91"/>
    <w:rsid w:val="00D4031A"/>
    <w:rsid w:val="00D4082B"/>
    <w:rsid w:val="00D408B4"/>
    <w:rsid w:val="00D41091"/>
    <w:rsid w:val="00D4178E"/>
    <w:rsid w:val="00D418DD"/>
    <w:rsid w:val="00D41C8C"/>
    <w:rsid w:val="00D421F3"/>
    <w:rsid w:val="00D424C6"/>
    <w:rsid w:val="00D43DEC"/>
    <w:rsid w:val="00D43E85"/>
    <w:rsid w:val="00D4401A"/>
    <w:rsid w:val="00D44828"/>
    <w:rsid w:val="00D45602"/>
    <w:rsid w:val="00D45CA8"/>
    <w:rsid w:val="00D47072"/>
    <w:rsid w:val="00D47D37"/>
    <w:rsid w:val="00D47DF6"/>
    <w:rsid w:val="00D47FCA"/>
    <w:rsid w:val="00D50460"/>
    <w:rsid w:val="00D521BD"/>
    <w:rsid w:val="00D52816"/>
    <w:rsid w:val="00D534CB"/>
    <w:rsid w:val="00D535F1"/>
    <w:rsid w:val="00D53802"/>
    <w:rsid w:val="00D53A67"/>
    <w:rsid w:val="00D54052"/>
    <w:rsid w:val="00D546EF"/>
    <w:rsid w:val="00D5473A"/>
    <w:rsid w:val="00D548D9"/>
    <w:rsid w:val="00D54C43"/>
    <w:rsid w:val="00D54EFF"/>
    <w:rsid w:val="00D55614"/>
    <w:rsid w:val="00D57997"/>
    <w:rsid w:val="00D579FF"/>
    <w:rsid w:val="00D57C41"/>
    <w:rsid w:val="00D57F7C"/>
    <w:rsid w:val="00D57F92"/>
    <w:rsid w:val="00D608D4"/>
    <w:rsid w:val="00D6122C"/>
    <w:rsid w:val="00D61295"/>
    <w:rsid w:val="00D615A7"/>
    <w:rsid w:val="00D61892"/>
    <w:rsid w:val="00D61E0B"/>
    <w:rsid w:val="00D63320"/>
    <w:rsid w:val="00D6332A"/>
    <w:rsid w:val="00D63E4E"/>
    <w:rsid w:val="00D63F85"/>
    <w:rsid w:val="00D6490A"/>
    <w:rsid w:val="00D64BE2"/>
    <w:rsid w:val="00D656C6"/>
    <w:rsid w:val="00D66190"/>
    <w:rsid w:val="00D661A2"/>
    <w:rsid w:val="00D665EE"/>
    <w:rsid w:val="00D66BEE"/>
    <w:rsid w:val="00D67E42"/>
    <w:rsid w:val="00D702CE"/>
    <w:rsid w:val="00D7031D"/>
    <w:rsid w:val="00D70411"/>
    <w:rsid w:val="00D704C2"/>
    <w:rsid w:val="00D7062D"/>
    <w:rsid w:val="00D71378"/>
    <w:rsid w:val="00D7196C"/>
    <w:rsid w:val="00D71995"/>
    <w:rsid w:val="00D71C17"/>
    <w:rsid w:val="00D7262A"/>
    <w:rsid w:val="00D737DA"/>
    <w:rsid w:val="00D73A9D"/>
    <w:rsid w:val="00D73D8E"/>
    <w:rsid w:val="00D74AB7"/>
    <w:rsid w:val="00D74FF8"/>
    <w:rsid w:val="00D7500A"/>
    <w:rsid w:val="00D756B1"/>
    <w:rsid w:val="00D757E8"/>
    <w:rsid w:val="00D758CE"/>
    <w:rsid w:val="00D75B38"/>
    <w:rsid w:val="00D764A5"/>
    <w:rsid w:val="00D76BA1"/>
    <w:rsid w:val="00D77FFB"/>
    <w:rsid w:val="00D80DBD"/>
    <w:rsid w:val="00D8100D"/>
    <w:rsid w:val="00D8113C"/>
    <w:rsid w:val="00D81212"/>
    <w:rsid w:val="00D815B5"/>
    <w:rsid w:val="00D816BF"/>
    <w:rsid w:val="00D81973"/>
    <w:rsid w:val="00D81DAB"/>
    <w:rsid w:val="00D821B4"/>
    <w:rsid w:val="00D82422"/>
    <w:rsid w:val="00D82C97"/>
    <w:rsid w:val="00D83013"/>
    <w:rsid w:val="00D834BC"/>
    <w:rsid w:val="00D83A1C"/>
    <w:rsid w:val="00D83A4E"/>
    <w:rsid w:val="00D8464D"/>
    <w:rsid w:val="00D855DD"/>
    <w:rsid w:val="00D85BE1"/>
    <w:rsid w:val="00D85E77"/>
    <w:rsid w:val="00D876B0"/>
    <w:rsid w:val="00D87711"/>
    <w:rsid w:val="00D8793A"/>
    <w:rsid w:val="00D8799B"/>
    <w:rsid w:val="00D87D56"/>
    <w:rsid w:val="00D909F1"/>
    <w:rsid w:val="00D90AD5"/>
    <w:rsid w:val="00D91111"/>
    <w:rsid w:val="00D911E6"/>
    <w:rsid w:val="00D91989"/>
    <w:rsid w:val="00D92660"/>
    <w:rsid w:val="00D92B72"/>
    <w:rsid w:val="00D93187"/>
    <w:rsid w:val="00D9342D"/>
    <w:rsid w:val="00D937FE"/>
    <w:rsid w:val="00D9405B"/>
    <w:rsid w:val="00D944C1"/>
    <w:rsid w:val="00D94B05"/>
    <w:rsid w:val="00D94C5A"/>
    <w:rsid w:val="00D95AD4"/>
    <w:rsid w:val="00D95CC8"/>
    <w:rsid w:val="00D9748F"/>
    <w:rsid w:val="00D9760B"/>
    <w:rsid w:val="00D977B7"/>
    <w:rsid w:val="00D97D83"/>
    <w:rsid w:val="00DA00AB"/>
    <w:rsid w:val="00DA0C4F"/>
    <w:rsid w:val="00DA1022"/>
    <w:rsid w:val="00DA1164"/>
    <w:rsid w:val="00DA12B5"/>
    <w:rsid w:val="00DA13EA"/>
    <w:rsid w:val="00DA1A1C"/>
    <w:rsid w:val="00DA1A9B"/>
    <w:rsid w:val="00DA2A94"/>
    <w:rsid w:val="00DA3D26"/>
    <w:rsid w:val="00DA4556"/>
    <w:rsid w:val="00DA4678"/>
    <w:rsid w:val="00DA4CA7"/>
    <w:rsid w:val="00DA5593"/>
    <w:rsid w:val="00DA56CD"/>
    <w:rsid w:val="00DA5DB8"/>
    <w:rsid w:val="00DA7202"/>
    <w:rsid w:val="00DA72B2"/>
    <w:rsid w:val="00DA72BA"/>
    <w:rsid w:val="00DB066B"/>
    <w:rsid w:val="00DB0A2D"/>
    <w:rsid w:val="00DB1712"/>
    <w:rsid w:val="00DB1750"/>
    <w:rsid w:val="00DB1893"/>
    <w:rsid w:val="00DB194D"/>
    <w:rsid w:val="00DB200D"/>
    <w:rsid w:val="00DB3268"/>
    <w:rsid w:val="00DB32F2"/>
    <w:rsid w:val="00DB3517"/>
    <w:rsid w:val="00DB36BB"/>
    <w:rsid w:val="00DB36C4"/>
    <w:rsid w:val="00DB3D37"/>
    <w:rsid w:val="00DB3ED8"/>
    <w:rsid w:val="00DB3F45"/>
    <w:rsid w:val="00DB412A"/>
    <w:rsid w:val="00DB450C"/>
    <w:rsid w:val="00DB4806"/>
    <w:rsid w:val="00DB4E5B"/>
    <w:rsid w:val="00DB4EDB"/>
    <w:rsid w:val="00DB5819"/>
    <w:rsid w:val="00DB585F"/>
    <w:rsid w:val="00DB5A12"/>
    <w:rsid w:val="00DB6E48"/>
    <w:rsid w:val="00DC090E"/>
    <w:rsid w:val="00DC0A9B"/>
    <w:rsid w:val="00DC1018"/>
    <w:rsid w:val="00DC10F1"/>
    <w:rsid w:val="00DC19E9"/>
    <w:rsid w:val="00DC1E16"/>
    <w:rsid w:val="00DC2A89"/>
    <w:rsid w:val="00DC2F09"/>
    <w:rsid w:val="00DC30B4"/>
    <w:rsid w:val="00DC33F3"/>
    <w:rsid w:val="00DC39C3"/>
    <w:rsid w:val="00DC3B2B"/>
    <w:rsid w:val="00DC4179"/>
    <w:rsid w:val="00DC531C"/>
    <w:rsid w:val="00DC5577"/>
    <w:rsid w:val="00DC5912"/>
    <w:rsid w:val="00DC5B57"/>
    <w:rsid w:val="00DC5F82"/>
    <w:rsid w:val="00DC603C"/>
    <w:rsid w:val="00DC632F"/>
    <w:rsid w:val="00DC6401"/>
    <w:rsid w:val="00DC70E0"/>
    <w:rsid w:val="00DC72D5"/>
    <w:rsid w:val="00DC7B98"/>
    <w:rsid w:val="00DC7D73"/>
    <w:rsid w:val="00DD0AAA"/>
    <w:rsid w:val="00DD0CA3"/>
    <w:rsid w:val="00DD10F0"/>
    <w:rsid w:val="00DD1817"/>
    <w:rsid w:val="00DD1DC5"/>
    <w:rsid w:val="00DD22C6"/>
    <w:rsid w:val="00DD23F5"/>
    <w:rsid w:val="00DD2E24"/>
    <w:rsid w:val="00DD3848"/>
    <w:rsid w:val="00DD3B29"/>
    <w:rsid w:val="00DD48BC"/>
    <w:rsid w:val="00DD50ED"/>
    <w:rsid w:val="00DD63CC"/>
    <w:rsid w:val="00DD6723"/>
    <w:rsid w:val="00DD7966"/>
    <w:rsid w:val="00DD79D4"/>
    <w:rsid w:val="00DD7F4E"/>
    <w:rsid w:val="00DE01E7"/>
    <w:rsid w:val="00DE093A"/>
    <w:rsid w:val="00DE0986"/>
    <w:rsid w:val="00DE0BAA"/>
    <w:rsid w:val="00DE0C11"/>
    <w:rsid w:val="00DE1814"/>
    <w:rsid w:val="00DE1C1F"/>
    <w:rsid w:val="00DE2756"/>
    <w:rsid w:val="00DE27B7"/>
    <w:rsid w:val="00DE32CE"/>
    <w:rsid w:val="00DE32F2"/>
    <w:rsid w:val="00DE4959"/>
    <w:rsid w:val="00DE5B7B"/>
    <w:rsid w:val="00DE715A"/>
    <w:rsid w:val="00DE71FE"/>
    <w:rsid w:val="00DE7437"/>
    <w:rsid w:val="00DE7A6D"/>
    <w:rsid w:val="00DF0054"/>
    <w:rsid w:val="00DF0492"/>
    <w:rsid w:val="00DF06CC"/>
    <w:rsid w:val="00DF0982"/>
    <w:rsid w:val="00DF153C"/>
    <w:rsid w:val="00DF1B1D"/>
    <w:rsid w:val="00DF1F2B"/>
    <w:rsid w:val="00DF1FAE"/>
    <w:rsid w:val="00DF1FB1"/>
    <w:rsid w:val="00DF23DD"/>
    <w:rsid w:val="00DF262E"/>
    <w:rsid w:val="00DF277B"/>
    <w:rsid w:val="00DF2D5F"/>
    <w:rsid w:val="00DF5A84"/>
    <w:rsid w:val="00DF5E7E"/>
    <w:rsid w:val="00DF674A"/>
    <w:rsid w:val="00DF6815"/>
    <w:rsid w:val="00DF6854"/>
    <w:rsid w:val="00DF68FA"/>
    <w:rsid w:val="00DF6F04"/>
    <w:rsid w:val="00DF7320"/>
    <w:rsid w:val="00DF7524"/>
    <w:rsid w:val="00DF793B"/>
    <w:rsid w:val="00DF7C25"/>
    <w:rsid w:val="00E00805"/>
    <w:rsid w:val="00E01379"/>
    <w:rsid w:val="00E0198C"/>
    <w:rsid w:val="00E01A40"/>
    <w:rsid w:val="00E01A9A"/>
    <w:rsid w:val="00E01DB2"/>
    <w:rsid w:val="00E02096"/>
    <w:rsid w:val="00E02341"/>
    <w:rsid w:val="00E026CC"/>
    <w:rsid w:val="00E026E6"/>
    <w:rsid w:val="00E032B4"/>
    <w:rsid w:val="00E0337C"/>
    <w:rsid w:val="00E03623"/>
    <w:rsid w:val="00E03672"/>
    <w:rsid w:val="00E03C82"/>
    <w:rsid w:val="00E04198"/>
    <w:rsid w:val="00E045B0"/>
    <w:rsid w:val="00E04F8C"/>
    <w:rsid w:val="00E0599D"/>
    <w:rsid w:val="00E06341"/>
    <w:rsid w:val="00E06D98"/>
    <w:rsid w:val="00E073D3"/>
    <w:rsid w:val="00E07585"/>
    <w:rsid w:val="00E07667"/>
    <w:rsid w:val="00E07B68"/>
    <w:rsid w:val="00E104AF"/>
    <w:rsid w:val="00E105F8"/>
    <w:rsid w:val="00E1092D"/>
    <w:rsid w:val="00E10FAE"/>
    <w:rsid w:val="00E11405"/>
    <w:rsid w:val="00E114A1"/>
    <w:rsid w:val="00E116B1"/>
    <w:rsid w:val="00E119E9"/>
    <w:rsid w:val="00E11B9A"/>
    <w:rsid w:val="00E11E9A"/>
    <w:rsid w:val="00E1278C"/>
    <w:rsid w:val="00E13551"/>
    <w:rsid w:val="00E13FCE"/>
    <w:rsid w:val="00E14087"/>
    <w:rsid w:val="00E14360"/>
    <w:rsid w:val="00E143E7"/>
    <w:rsid w:val="00E1451E"/>
    <w:rsid w:val="00E14867"/>
    <w:rsid w:val="00E14C30"/>
    <w:rsid w:val="00E15168"/>
    <w:rsid w:val="00E15230"/>
    <w:rsid w:val="00E155A8"/>
    <w:rsid w:val="00E155CC"/>
    <w:rsid w:val="00E15B7C"/>
    <w:rsid w:val="00E15C98"/>
    <w:rsid w:val="00E161CE"/>
    <w:rsid w:val="00E168DB"/>
    <w:rsid w:val="00E16AC1"/>
    <w:rsid w:val="00E16ED0"/>
    <w:rsid w:val="00E170D7"/>
    <w:rsid w:val="00E17274"/>
    <w:rsid w:val="00E1754C"/>
    <w:rsid w:val="00E1761E"/>
    <w:rsid w:val="00E178B0"/>
    <w:rsid w:val="00E204C9"/>
    <w:rsid w:val="00E20830"/>
    <w:rsid w:val="00E20AC8"/>
    <w:rsid w:val="00E20E27"/>
    <w:rsid w:val="00E20E33"/>
    <w:rsid w:val="00E213F6"/>
    <w:rsid w:val="00E22024"/>
    <w:rsid w:val="00E22A05"/>
    <w:rsid w:val="00E22F6B"/>
    <w:rsid w:val="00E23F1F"/>
    <w:rsid w:val="00E2462F"/>
    <w:rsid w:val="00E24EF1"/>
    <w:rsid w:val="00E25B57"/>
    <w:rsid w:val="00E2742D"/>
    <w:rsid w:val="00E27780"/>
    <w:rsid w:val="00E27E40"/>
    <w:rsid w:val="00E27FBB"/>
    <w:rsid w:val="00E30467"/>
    <w:rsid w:val="00E30786"/>
    <w:rsid w:val="00E31106"/>
    <w:rsid w:val="00E314DD"/>
    <w:rsid w:val="00E31E67"/>
    <w:rsid w:val="00E32A37"/>
    <w:rsid w:val="00E32BAE"/>
    <w:rsid w:val="00E32CD6"/>
    <w:rsid w:val="00E3310B"/>
    <w:rsid w:val="00E3325C"/>
    <w:rsid w:val="00E334F5"/>
    <w:rsid w:val="00E33AF3"/>
    <w:rsid w:val="00E33C3B"/>
    <w:rsid w:val="00E3401C"/>
    <w:rsid w:val="00E348C5"/>
    <w:rsid w:val="00E34ED7"/>
    <w:rsid w:val="00E3560C"/>
    <w:rsid w:val="00E356B6"/>
    <w:rsid w:val="00E35E05"/>
    <w:rsid w:val="00E367D4"/>
    <w:rsid w:val="00E36934"/>
    <w:rsid w:val="00E37284"/>
    <w:rsid w:val="00E373C0"/>
    <w:rsid w:val="00E4054B"/>
    <w:rsid w:val="00E40C4B"/>
    <w:rsid w:val="00E4104B"/>
    <w:rsid w:val="00E41135"/>
    <w:rsid w:val="00E412DF"/>
    <w:rsid w:val="00E42C32"/>
    <w:rsid w:val="00E43EFC"/>
    <w:rsid w:val="00E4425F"/>
    <w:rsid w:val="00E44839"/>
    <w:rsid w:val="00E4538B"/>
    <w:rsid w:val="00E45DEA"/>
    <w:rsid w:val="00E47C84"/>
    <w:rsid w:val="00E5002E"/>
    <w:rsid w:val="00E50A6F"/>
    <w:rsid w:val="00E516EA"/>
    <w:rsid w:val="00E51BD9"/>
    <w:rsid w:val="00E51C8C"/>
    <w:rsid w:val="00E51DEC"/>
    <w:rsid w:val="00E52448"/>
    <w:rsid w:val="00E5289E"/>
    <w:rsid w:val="00E54B25"/>
    <w:rsid w:val="00E54E03"/>
    <w:rsid w:val="00E54F4F"/>
    <w:rsid w:val="00E54F90"/>
    <w:rsid w:val="00E5526F"/>
    <w:rsid w:val="00E55A01"/>
    <w:rsid w:val="00E55C0E"/>
    <w:rsid w:val="00E55F4E"/>
    <w:rsid w:val="00E56A7E"/>
    <w:rsid w:val="00E56C72"/>
    <w:rsid w:val="00E574DD"/>
    <w:rsid w:val="00E5755E"/>
    <w:rsid w:val="00E57F15"/>
    <w:rsid w:val="00E6029F"/>
    <w:rsid w:val="00E604C6"/>
    <w:rsid w:val="00E615A2"/>
    <w:rsid w:val="00E61614"/>
    <w:rsid w:val="00E61EF5"/>
    <w:rsid w:val="00E62279"/>
    <w:rsid w:val="00E622DE"/>
    <w:rsid w:val="00E625A8"/>
    <w:rsid w:val="00E63E9E"/>
    <w:rsid w:val="00E63FC3"/>
    <w:rsid w:val="00E64750"/>
    <w:rsid w:val="00E648DF"/>
    <w:rsid w:val="00E6518E"/>
    <w:rsid w:val="00E6522C"/>
    <w:rsid w:val="00E65AA5"/>
    <w:rsid w:val="00E65D67"/>
    <w:rsid w:val="00E65D98"/>
    <w:rsid w:val="00E66D0E"/>
    <w:rsid w:val="00E66DC2"/>
    <w:rsid w:val="00E709C8"/>
    <w:rsid w:val="00E70BCF"/>
    <w:rsid w:val="00E70D14"/>
    <w:rsid w:val="00E71675"/>
    <w:rsid w:val="00E716B0"/>
    <w:rsid w:val="00E71B64"/>
    <w:rsid w:val="00E71BB8"/>
    <w:rsid w:val="00E71E95"/>
    <w:rsid w:val="00E72325"/>
    <w:rsid w:val="00E73255"/>
    <w:rsid w:val="00E7535D"/>
    <w:rsid w:val="00E7571F"/>
    <w:rsid w:val="00E75856"/>
    <w:rsid w:val="00E75922"/>
    <w:rsid w:val="00E76427"/>
    <w:rsid w:val="00E76504"/>
    <w:rsid w:val="00E76559"/>
    <w:rsid w:val="00E7655E"/>
    <w:rsid w:val="00E76714"/>
    <w:rsid w:val="00E772DD"/>
    <w:rsid w:val="00E7771D"/>
    <w:rsid w:val="00E77DF4"/>
    <w:rsid w:val="00E80156"/>
    <w:rsid w:val="00E807A3"/>
    <w:rsid w:val="00E80FB6"/>
    <w:rsid w:val="00E819C1"/>
    <w:rsid w:val="00E81FAB"/>
    <w:rsid w:val="00E82C1B"/>
    <w:rsid w:val="00E831E0"/>
    <w:rsid w:val="00E83387"/>
    <w:rsid w:val="00E83A08"/>
    <w:rsid w:val="00E83E66"/>
    <w:rsid w:val="00E84C02"/>
    <w:rsid w:val="00E850F7"/>
    <w:rsid w:val="00E85886"/>
    <w:rsid w:val="00E85963"/>
    <w:rsid w:val="00E859D0"/>
    <w:rsid w:val="00E86073"/>
    <w:rsid w:val="00E8629D"/>
    <w:rsid w:val="00E866E8"/>
    <w:rsid w:val="00E86B25"/>
    <w:rsid w:val="00E86B44"/>
    <w:rsid w:val="00E878E7"/>
    <w:rsid w:val="00E90C19"/>
    <w:rsid w:val="00E90F60"/>
    <w:rsid w:val="00E911D4"/>
    <w:rsid w:val="00E93511"/>
    <w:rsid w:val="00E935A0"/>
    <w:rsid w:val="00E94148"/>
    <w:rsid w:val="00E94C96"/>
    <w:rsid w:val="00E954A1"/>
    <w:rsid w:val="00E96263"/>
    <w:rsid w:val="00E96585"/>
    <w:rsid w:val="00E96A15"/>
    <w:rsid w:val="00E96B5D"/>
    <w:rsid w:val="00E96D33"/>
    <w:rsid w:val="00E96D75"/>
    <w:rsid w:val="00E96E87"/>
    <w:rsid w:val="00E975A1"/>
    <w:rsid w:val="00E97C7F"/>
    <w:rsid w:val="00EA0274"/>
    <w:rsid w:val="00EA09A2"/>
    <w:rsid w:val="00EA0AB2"/>
    <w:rsid w:val="00EA11B2"/>
    <w:rsid w:val="00EA18FF"/>
    <w:rsid w:val="00EA1A00"/>
    <w:rsid w:val="00EA1D07"/>
    <w:rsid w:val="00EA2CBA"/>
    <w:rsid w:val="00EA2EB4"/>
    <w:rsid w:val="00EA4586"/>
    <w:rsid w:val="00EA4DDA"/>
    <w:rsid w:val="00EA4F7E"/>
    <w:rsid w:val="00EA5077"/>
    <w:rsid w:val="00EA50CC"/>
    <w:rsid w:val="00EA55FA"/>
    <w:rsid w:val="00EA5BB4"/>
    <w:rsid w:val="00EA6941"/>
    <w:rsid w:val="00EA6E97"/>
    <w:rsid w:val="00EA7EEE"/>
    <w:rsid w:val="00EA7FED"/>
    <w:rsid w:val="00EB0103"/>
    <w:rsid w:val="00EB0382"/>
    <w:rsid w:val="00EB1166"/>
    <w:rsid w:val="00EB1209"/>
    <w:rsid w:val="00EB186E"/>
    <w:rsid w:val="00EB1B8B"/>
    <w:rsid w:val="00EB1BC7"/>
    <w:rsid w:val="00EB2590"/>
    <w:rsid w:val="00EB25D0"/>
    <w:rsid w:val="00EB2988"/>
    <w:rsid w:val="00EB3DDA"/>
    <w:rsid w:val="00EB4D36"/>
    <w:rsid w:val="00EB56BE"/>
    <w:rsid w:val="00EB582B"/>
    <w:rsid w:val="00EB584A"/>
    <w:rsid w:val="00EB6519"/>
    <w:rsid w:val="00EB671A"/>
    <w:rsid w:val="00EB6E40"/>
    <w:rsid w:val="00EB6F5F"/>
    <w:rsid w:val="00EB744D"/>
    <w:rsid w:val="00EB75B1"/>
    <w:rsid w:val="00EC0C81"/>
    <w:rsid w:val="00EC11EE"/>
    <w:rsid w:val="00EC1238"/>
    <w:rsid w:val="00EC13BF"/>
    <w:rsid w:val="00EC1617"/>
    <w:rsid w:val="00EC2D09"/>
    <w:rsid w:val="00EC2DB0"/>
    <w:rsid w:val="00EC3296"/>
    <w:rsid w:val="00EC3612"/>
    <w:rsid w:val="00EC3635"/>
    <w:rsid w:val="00EC38A3"/>
    <w:rsid w:val="00EC3BC2"/>
    <w:rsid w:val="00EC44A3"/>
    <w:rsid w:val="00EC45EE"/>
    <w:rsid w:val="00EC53B1"/>
    <w:rsid w:val="00EC5428"/>
    <w:rsid w:val="00EC5BD6"/>
    <w:rsid w:val="00EC5C77"/>
    <w:rsid w:val="00EC6041"/>
    <w:rsid w:val="00EC65B9"/>
    <w:rsid w:val="00EC6820"/>
    <w:rsid w:val="00EC71B4"/>
    <w:rsid w:val="00ED0696"/>
    <w:rsid w:val="00ED09EB"/>
    <w:rsid w:val="00ED1E85"/>
    <w:rsid w:val="00ED21F7"/>
    <w:rsid w:val="00ED2F36"/>
    <w:rsid w:val="00ED315A"/>
    <w:rsid w:val="00ED3B77"/>
    <w:rsid w:val="00ED40D1"/>
    <w:rsid w:val="00ED4329"/>
    <w:rsid w:val="00ED462B"/>
    <w:rsid w:val="00ED4784"/>
    <w:rsid w:val="00ED4BB0"/>
    <w:rsid w:val="00ED4CF2"/>
    <w:rsid w:val="00ED53F2"/>
    <w:rsid w:val="00ED62B5"/>
    <w:rsid w:val="00ED687E"/>
    <w:rsid w:val="00ED6DF5"/>
    <w:rsid w:val="00ED71D4"/>
    <w:rsid w:val="00ED7C0E"/>
    <w:rsid w:val="00ED7FC0"/>
    <w:rsid w:val="00EE0810"/>
    <w:rsid w:val="00EE1155"/>
    <w:rsid w:val="00EE17FE"/>
    <w:rsid w:val="00EE1C1F"/>
    <w:rsid w:val="00EE22C7"/>
    <w:rsid w:val="00EE2A7B"/>
    <w:rsid w:val="00EE4289"/>
    <w:rsid w:val="00EE4311"/>
    <w:rsid w:val="00EE531D"/>
    <w:rsid w:val="00EE5A8D"/>
    <w:rsid w:val="00EE5D92"/>
    <w:rsid w:val="00EE6459"/>
    <w:rsid w:val="00EE69E1"/>
    <w:rsid w:val="00EE6FE4"/>
    <w:rsid w:val="00EE738C"/>
    <w:rsid w:val="00EE77D6"/>
    <w:rsid w:val="00EF132E"/>
    <w:rsid w:val="00EF136D"/>
    <w:rsid w:val="00EF1554"/>
    <w:rsid w:val="00EF19E4"/>
    <w:rsid w:val="00EF1FEE"/>
    <w:rsid w:val="00EF2A05"/>
    <w:rsid w:val="00EF2D06"/>
    <w:rsid w:val="00EF33DE"/>
    <w:rsid w:val="00EF3987"/>
    <w:rsid w:val="00EF3A49"/>
    <w:rsid w:val="00EF42B9"/>
    <w:rsid w:val="00EF4639"/>
    <w:rsid w:val="00EF4A4D"/>
    <w:rsid w:val="00EF548E"/>
    <w:rsid w:val="00EF6383"/>
    <w:rsid w:val="00EF7188"/>
    <w:rsid w:val="00EF743A"/>
    <w:rsid w:val="00EF74FC"/>
    <w:rsid w:val="00EF7783"/>
    <w:rsid w:val="00EF7846"/>
    <w:rsid w:val="00EF7C66"/>
    <w:rsid w:val="00EF7D8F"/>
    <w:rsid w:val="00F007DF"/>
    <w:rsid w:val="00F00D3C"/>
    <w:rsid w:val="00F01528"/>
    <w:rsid w:val="00F01CD7"/>
    <w:rsid w:val="00F03AFE"/>
    <w:rsid w:val="00F04546"/>
    <w:rsid w:val="00F0486D"/>
    <w:rsid w:val="00F05D84"/>
    <w:rsid w:val="00F06FCF"/>
    <w:rsid w:val="00F0738C"/>
    <w:rsid w:val="00F10976"/>
    <w:rsid w:val="00F11E24"/>
    <w:rsid w:val="00F1213C"/>
    <w:rsid w:val="00F12D8C"/>
    <w:rsid w:val="00F130AF"/>
    <w:rsid w:val="00F134D2"/>
    <w:rsid w:val="00F13507"/>
    <w:rsid w:val="00F13615"/>
    <w:rsid w:val="00F16254"/>
    <w:rsid w:val="00F162FA"/>
    <w:rsid w:val="00F17B36"/>
    <w:rsid w:val="00F206B7"/>
    <w:rsid w:val="00F20FB7"/>
    <w:rsid w:val="00F21056"/>
    <w:rsid w:val="00F21194"/>
    <w:rsid w:val="00F220C1"/>
    <w:rsid w:val="00F227F2"/>
    <w:rsid w:val="00F23203"/>
    <w:rsid w:val="00F23B27"/>
    <w:rsid w:val="00F23C94"/>
    <w:rsid w:val="00F24401"/>
    <w:rsid w:val="00F244AE"/>
    <w:rsid w:val="00F245F4"/>
    <w:rsid w:val="00F247B1"/>
    <w:rsid w:val="00F247EB"/>
    <w:rsid w:val="00F248E4"/>
    <w:rsid w:val="00F25573"/>
    <w:rsid w:val="00F25CCB"/>
    <w:rsid w:val="00F25CED"/>
    <w:rsid w:val="00F26237"/>
    <w:rsid w:val="00F263A9"/>
    <w:rsid w:val="00F263C6"/>
    <w:rsid w:val="00F27EE1"/>
    <w:rsid w:val="00F3030A"/>
    <w:rsid w:val="00F31064"/>
    <w:rsid w:val="00F31D66"/>
    <w:rsid w:val="00F3237A"/>
    <w:rsid w:val="00F32434"/>
    <w:rsid w:val="00F3265A"/>
    <w:rsid w:val="00F32C67"/>
    <w:rsid w:val="00F32DF8"/>
    <w:rsid w:val="00F32F65"/>
    <w:rsid w:val="00F33488"/>
    <w:rsid w:val="00F33F6B"/>
    <w:rsid w:val="00F34006"/>
    <w:rsid w:val="00F341C7"/>
    <w:rsid w:val="00F34918"/>
    <w:rsid w:val="00F34EF6"/>
    <w:rsid w:val="00F35616"/>
    <w:rsid w:val="00F3591C"/>
    <w:rsid w:val="00F372EF"/>
    <w:rsid w:val="00F37648"/>
    <w:rsid w:val="00F37BB5"/>
    <w:rsid w:val="00F37DBB"/>
    <w:rsid w:val="00F40BFD"/>
    <w:rsid w:val="00F40C3A"/>
    <w:rsid w:val="00F40CFB"/>
    <w:rsid w:val="00F40DB4"/>
    <w:rsid w:val="00F40EE1"/>
    <w:rsid w:val="00F41634"/>
    <w:rsid w:val="00F41A2F"/>
    <w:rsid w:val="00F41A5B"/>
    <w:rsid w:val="00F41A79"/>
    <w:rsid w:val="00F426FB"/>
    <w:rsid w:val="00F42A89"/>
    <w:rsid w:val="00F42BAA"/>
    <w:rsid w:val="00F436F7"/>
    <w:rsid w:val="00F43832"/>
    <w:rsid w:val="00F43878"/>
    <w:rsid w:val="00F43953"/>
    <w:rsid w:val="00F43F15"/>
    <w:rsid w:val="00F44087"/>
    <w:rsid w:val="00F4427A"/>
    <w:rsid w:val="00F44476"/>
    <w:rsid w:val="00F44781"/>
    <w:rsid w:val="00F45744"/>
    <w:rsid w:val="00F458AB"/>
    <w:rsid w:val="00F459F5"/>
    <w:rsid w:val="00F45D32"/>
    <w:rsid w:val="00F45E87"/>
    <w:rsid w:val="00F45FAD"/>
    <w:rsid w:val="00F46135"/>
    <w:rsid w:val="00F461FF"/>
    <w:rsid w:val="00F474AB"/>
    <w:rsid w:val="00F475F0"/>
    <w:rsid w:val="00F4764E"/>
    <w:rsid w:val="00F47F06"/>
    <w:rsid w:val="00F500C3"/>
    <w:rsid w:val="00F50A1A"/>
    <w:rsid w:val="00F51447"/>
    <w:rsid w:val="00F515C0"/>
    <w:rsid w:val="00F5174D"/>
    <w:rsid w:val="00F51789"/>
    <w:rsid w:val="00F523E9"/>
    <w:rsid w:val="00F52E08"/>
    <w:rsid w:val="00F52F4D"/>
    <w:rsid w:val="00F53C28"/>
    <w:rsid w:val="00F54723"/>
    <w:rsid w:val="00F54843"/>
    <w:rsid w:val="00F54F79"/>
    <w:rsid w:val="00F5506B"/>
    <w:rsid w:val="00F5544C"/>
    <w:rsid w:val="00F56308"/>
    <w:rsid w:val="00F563CC"/>
    <w:rsid w:val="00F5696E"/>
    <w:rsid w:val="00F56EC2"/>
    <w:rsid w:val="00F572F3"/>
    <w:rsid w:val="00F60487"/>
    <w:rsid w:val="00F60523"/>
    <w:rsid w:val="00F60906"/>
    <w:rsid w:val="00F60E65"/>
    <w:rsid w:val="00F60FA0"/>
    <w:rsid w:val="00F61807"/>
    <w:rsid w:val="00F61DA1"/>
    <w:rsid w:val="00F61DF0"/>
    <w:rsid w:val="00F6232D"/>
    <w:rsid w:val="00F62826"/>
    <w:rsid w:val="00F634EF"/>
    <w:rsid w:val="00F635A7"/>
    <w:rsid w:val="00F638B1"/>
    <w:rsid w:val="00F63E7E"/>
    <w:rsid w:val="00F64187"/>
    <w:rsid w:val="00F645A7"/>
    <w:rsid w:val="00F6487B"/>
    <w:rsid w:val="00F648C7"/>
    <w:rsid w:val="00F64E41"/>
    <w:rsid w:val="00F65E96"/>
    <w:rsid w:val="00F66842"/>
    <w:rsid w:val="00F67391"/>
    <w:rsid w:val="00F67A42"/>
    <w:rsid w:val="00F67BA7"/>
    <w:rsid w:val="00F67D35"/>
    <w:rsid w:val="00F67EB7"/>
    <w:rsid w:val="00F700BC"/>
    <w:rsid w:val="00F71C01"/>
    <w:rsid w:val="00F7275A"/>
    <w:rsid w:val="00F7275D"/>
    <w:rsid w:val="00F7289E"/>
    <w:rsid w:val="00F72A74"/>
    <w:rsid w:val="00F72DC7"/>
    <w:rsid w:val="00F73961"/>
    <w:rsid w:val="00F7454D"/>
    <w:rsid w:val="00F74C22"/>
    <w:rsid w:val="00F75111"/>
    <w:rsid w:val="00F756AB"/>
    <w:rsid w:val="00F758FA"/>
    <w:rsid w:val="00F75FE0"/>
    <w:rsid w:val="00F7600B"/>
    <w:rsid w:val="00F76036"/>
    <w:rsid w:val="00F7604E"/>
    <w:rsid w:val="00F76A81"/>
    <w:rsid w:val="00F76C85"/>
    <w:rsid w:val="00F76FCC"/>
    <w:rsid w:val="00F77790"/>
    <w:rsid w:val="00F77807"/>
    <w:rsid w:val="00F77F12"/>
    <w:rsid w:val="00F808DA"/>
    <w:rsid w:val="00F80F65"/>
    <w:rsid w:val="00F811C5"/>
    <w:rsid w:val="00F81702"/>
    <w:rsid w:val="00F81EE2"/>
    <w:rsid w:val="00F81F20"/>
    <w:rsid w:val="00F82647"/>
    <w:rsid w:val="00F8276D"/>
    <w:rsid w:val="00F82A73"/>
    <w:rsid w:val="00F82F17"/>
    <w:rsid w:val="00F833E0"/>
    <w:rsid w:val="00F83CCE"/>
    <w:rsid w:val="00F83D50"/>
    <w:rsid w:val="00F843EA"/>
    <w:rsid w:val="00F8532B"/>
    <w:rsid w:val="00F85A4D"/>
    <w:rsid w:val="00F86301"/>
    <w:rsid w:val="00F86383"/>
    <w:rsid w:val="00F868E8"/>
    <w:rsid w:val="00F868F4"/>
    <w:rsid w:val="00F86985"/>
    <w:rsid w:val="00F872C3"/>
    <w:rsid w:val="00F874EA"/>
    <w:rsid w:val="00F87F7A"/>
    <w:rsid w:val="00F9026C"/>
    <w:rsid w:val="00F90EDD"/>
    <w:rsid w:val="00F91146"/>
    <w:rsid w:val="00F912C4"/>
    <w:rsid w:val="00F91938"/>
    <w:rsid w:val="00F91FCE"/>
    <w:rsid w:val="00F934B1"/>
    <w:rsid w:val="00F9356C"/>
    <w:rsid w:val="00F94265"/>
    <w:rsid w:val="00F94722"/>
    <w:rsid w:val="00F94A15"/>
    <w:rsid w:val="00F95280"/>
    <w:rsid w:val="00F95A4B"/>
    <w:rsid w:val="00F97653"/>
    <w:rsid w:val="00F97F6C"/>
    <w:rsid w:val="00FA0396"/>
    <w:rsid w:val="00FA046B"/>
    <w:rsid w:val="00FA158B"/>
    <w:rsid w:val="00FA1F41"/>
    <w:rsid w:val="00FA20DD"/>
    <w:rsid w:val="00FA2432"/>
    <w:rsid w:val="00FA250D"/>
    <w:rsid w:val="00FA265A"/>
    <w:rsid w:val="00FA2E61"/>
    <w:rsid w:val="00FA3094"/>
    <w:rsid w:val="00FA3846"/>
    <w:rsid w:val="00FA49F3"/>
    <w:rsid w:val="00FA4FD4"/>
    <w:rsid w:val="00FA5431"/>
    <w:rsid w:val="00FA54F3"/>
    <w:rsid w:val="00FA5D38"/>
    <w:rsid w:val="00FA5F78"/>
    <w:rsid w:val="00FA63D4"/>
    <w:rsid w:val="00FA6493"/>
    <w:rsid w:val="00FA64C1"/>
    <w:rsid w:val="00FA66D0"/>
    <w:rsid w:val="00FA6E6B"/>
    <w:rsid w:val="00FA759A"/>
    <w:rsid w:val="00FA771C"/>
    <w:rsid w:val="00FA7BF8"/>
    <w:rsid w:val="00FB0CED"/>
    <w:rsid w:val="00FB17C3"/>
    <w:rsid w:val="00FB17FC"/>
    <w:rsid w:val="00FB20C6"/>
    <w:rsid w:val="00FB29D3"/>
    <w:rsid w:val="00FB3244"/>
    <w:rsid w:val="00FB361C"/>
    <w:rsid w:val="00FB3B04"/>
    <w:rsid w:val="00FB3C9C"/>
    <w:rsid w:val="00FB416D"/>
    <w:rsid w:val="00FB4503"/>
    <w:rsid w:val="00FB4676"/>
    <w:rsid w:val="00FB4F24"/>
    <w:rsid w:val="00FB52EB"/>
    <w:rsid w:val="00FB5A21"/>
    <w:rsid w:val="00FB64F8"/>
    <w:rsid w:val="00FB72EC"/>
    <w:rsid w:val="00FB765E"/>
    <w:rsid w:val="00FB781B"/>
    <w:rsid w:val="00FB798F"/>
    <w:rsid w:val="00FB7FCC"/>
    <w:rsid w:val="00FC0105"/>
    <w:rsid w:val="00FC012F"/>
    <w:rsid w:val="00FC05A3"/>
    <w:rsid w:val="00FC0DB0"/>
    <w:rsid w:val="00FC1F59"/>
    <w:rsid w:val="00FC2541"/>
    <w:rsid w:val="00FC25B9"/>
    <w:rsid w:val="00FC2A70"/>
    <w:rsid w:val="00FC4021"/>
    <w:rsid w:val="00FC4B81"/>
    <w:rsid w:val="00FC54C4"/>
    <w:rsid w:val="00FC5C42"/>
    <w:rsid w:val="00FC5CF9"/>
    <w:rsid w:val="00FC628A"/>
    <w:rsid w:val="00FC6438"/>
    <w:rsid w:val="00FC67E9"/>
    <w:rsid w:val="00FC6DF4"/>
    <w:rsid w:val="00FC6E85"/>
    <w:rsid w:val="00FC733E"/>
    <w:rsid w:val="00FC76B3"/>
    <w:rsid w:val="00FC78FE"/>
    <w:rsid w:val="00FC7F89"/>
    <w:rsid w:val="00FD0192"/>
    <w:rsid w:val="00FD0210"/>
    <w:rsid w:val="00FD05E1"/>
    <w:rsid w:val="00FD05EA"/>
    <w:rsid w:val="00FD0905"/>
    <w:rsid w:val="00FD0E3C"/>
    <w:rsid w:val="00FD1487"/>
    <w:rsid w:val="00FD1550"/>
    <w:rsid w:val="00FD196B"/>
    <w:rsid w:val="00FD3BF5"/>
    <w:rsid w:val="00FD3CDF"/>
    <w:rsid w:val="00FD47E2"/>
    <w:rsid w:val="00FD5125"/>
    <w:rsid w:val="00FD512F"/>
    <w:rsid w:val="00FD5850"/>
    <w:rsid w:val="00FD6964"/>
    <w:rsid w:val="00FD6D00"/>
    <w:rsid w:val="00FD6E46"/>
    <w:rsid w:val="00FD71C4"/>
    <w:rsid w:val="00FD77F4"/>
    <w:rsid w:val="00FD7C57"/>
    <w:rsid w:val="00FE03A3"/>
    <w:rsid w:val="00FE0A60"/>
    <w:rsid w:val="00FE1E8D"/>
    <w:rsid w:val="00FE23EA"/>
    <w:rsid w:val="00FE2F98"/>
    <w:rsid w:val="00FE3C55"/>
    <w:rsid w:val="00FE3D56"/>
    <w:rsid w:val="00FE4088"/>
    <w:rsid w:val="00FE4611"/>
    <w:rsid w:val="00FE4682"/>
    <w:rsid w:val="00FE46A9"/>
    <w:rsid w:val="00FE4D1A"/>
    <w:rsid w:val="00FE518D"/>
    <w:rsid w:val="00FE5CAA"/>
    <w:rsid w:val="00FE630D"/>
    <w:rsid w:val="00FE6536"/>
    <w:rsid w:val="00FE67A0"/>
    <w:rsid w:val="00FE6AE2"/>
    <w:rsid w:val="00FE6FD9"/>
    <w:rsid w:val="00FE736D"/>
    <w:rsid w:val="00FE7656"/>
    <w:rsid w:val="00FE7FD8"/>
    <w:rsid w:val="00FF014A"/>
    <w:rsid w:val="00FF0BFE"/>
    <w:rsid w:val="00FF0E16"/>
    <w:rsid w:val="00FF17FD"/>
    <w:rsid w:val="00FF1BFD"/>
    <w:rsid w:val="00FF251E"/>
    <w:rsid w:val="00FF28E1"/>
    <w:rsid w:val="00FF2991"/>
    <w:rsid w:val="00FF2BE2"/>
    <w:rsid w:val="00FF3545"/>
    <w:rsid w:val="00FF3F99"/>
    <w:rsid w:val="00FF46D4"/>
    <w:rsid w:val="00FF54DB"/>
    <w:rsid w:val="00FF5ADD"/>
    <w:rsid w:val="00FF67A3"/>
    <w:rsid w:val="00FF6833"/>
    <w:rsid w:val="00FF7171"/>
    <w:rsid w:val="00FF737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AB194DB"/>
  <w14:defaultImageDpi w14:val="0"/>
  <w15:docId w15:val="{56F1731F-DF27-412F-A498-8C9F3E7C6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AU" w:eastAsia="en-A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annotation text" w:uiPriority="0"/>
    <w:lsdException w:name="header" w:locked="1"/>
    <w:lsdException w:name="caption" w:locked="1" w:semiHidden="1" w:uiPriority="0" w:unhideWhenUsed="1" w:qFormat="1"/>
    <w:lsdException w:name="annotation reference" w:uiPriority="0"/>
    <w:lsdException w:name="page number" w:locked="1"/>
    <w:lsdException w:name="List Number" w:semiHidden="1" w:unhideWhenUsed="1"/>
    <w:lsdException w:name="List 4" w:semiHidden="1" w:unhideWhenUsed="1"/>
    <w:lsdException w:name="List 5" w:semiHidden="1" w:unhideWhenUsed="1"/>
    <w:lsdException w:name="Title" w:locked="1" w:uiPriority="0" w:qFormat="1"/>
    <w:lsdException w:name="Default Paragraph Font" w:locked="1" w:uiPriority="1"/>
    <w:lsdException w:name="Subtitle" w:locked="1" w:uiPriority="0" w:qFormat="1"/>
    <w:lsdException w:name="Salutation" w:semiHidden="1" w:unhideWhenUsed="1"/>
    <w:lsdException w:name="Date" w:semiHidden="1" w:unhideWhenUsed="1"/>
    <w:lsdException w:name="Body Text First Indent" w:semiHidden="1" w:unhideWhenUsed="1"/>
    <w:lsdException w:name="Strong" w:locked="1" w:uiPriority="22" w:qFormat="1"/>
    <w:lsdException w:name="Emphasis" w:locked="1" w:uiPriority="20"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C4C"/>
    <w:pPr>
      <w:spacing w:after="200" w:line="276" w:lineRule="auto"/>
    </w:pPr>
    <w:rPr>
      <w:rFonts w:cs="Times New Roman"/>
      <w:sz w:val="22"/>
      <w:szCs w:val="22"/>
      <w:lang w:eastAsia="en-US"/>
    </w:rPr>
  </w:style>
  <w:style w:type="paragraph" w:styleId="Heading1">
    <w:name w:val="heading 1"/>
    <w:basedOn w:val="Normal"/>
    <w:next w:val="Normal"/>
    <w:link w:val="Heading1Char"/>
    <w:uiPriority w:val="9"/>
    <w:qFormat/>
    <w:locked/>
    <w:rsid w:val="008C225D"/>
    <w:pPr>
      <w:keepNext/>
      <w:keepLines/>
      <w:spacing w:before="120" w:after="120" w:line="240" w:lineRule="auto"/>
      <w:outlineLvl w:val="0"/>
    </w:pPr>
    <w:rPr>
      <w:rFonts w:ascii="Arial" w:eastAsiaTheme="majorEastAsia" w:hAnsi="Arial"/>
      <w:b/>
      <w:bCs/>
      <w:sz w:val="28"/>
      <w:szCs w:val="28"/>
    </w:rPr>
  </w:style>
  <w:style w:type="paragraph" w:styleId="Heading2">
    <w:name w:val="heading 2"/>
    <w:basedOn w:val="Normal"/>
    <w:next w:val="Normal"/>
    <w:link w:val="Heading2Char"/>
    <w:unhideWhenUsed/>
    <w:qFormat/>
    <w:locked/>
    <w:rsid w:val="008C225D"/>
    <w:pPr>
      <w:keepNext/>
      <w:keepLines/>
      <w:spacing w:before="120" w:after="120" w:line="240" w:lineRule="auto"/>
      <w:outlineLvl w:val="1"/>
    </w:pPr>
    <w:rPr>
      <w:rFonts w:ascii="Arial" w:eastAsiaTheme="majorEastAsia" w:hAnsi="Arial" w:cstheme="majorBidi"/>
      <w:b/>
      <w:sz w:val="24"/>
      <w:szCs w:val="26"/>
    </w:rPr>
  </w:style>
  <w:style w:type="paragraph" w:styleId="Heading3">
    <w:name w:val="heading 3"/>
    <w:basedOn w:val="Normal"/>
    <w:next w:val="Normal"/>
    <w:link w:val="Heading3Char"/>
    <w:unhideWhenUsed/>
    <w:qFormat/>
    <w:locked/>
    <w:rsid w:val="00C65E0C"/>
    <w:pPr>
      <w:keepNext/>
      <w:keepLines/>
      <w:spacing w:before="240" w:after="240" w:line="240" w:lineRule="auto"/>
      <w:outlineLvl w:val="2"/>
    </w:pPr>
    <w:rPr>
      <w:rFonts w:ascii="Arial" w:eastAsiaTheme="majorEastAsia" w:hAnsi="Arial" w:cstheme="majorBidi"/>
      <w:b/>
      <w:sz w:val="24"/>
      <w:szCs w:val="24"/>
    </w:rPr>
  </w:style>
  <w:style w:type="paragraph" w:styleId="Heading4">
    <w:name w:val="heading 4"/>
    <w:basedOn w:val="Normal"/>
    <w:next w:val="Normal"/>
    <w:link w:val="Heading4Char"/>
    <w:semiHidden/>
    <w:unhideWhenUsed/>
    <w:qFormat/>
    <w:locked/>
    <w:rsid w:val="00E574DD"/>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8">
    <w:name w:val="heading 8"/>
    <w:basedOn w:val="Normal"/>
    <w:next w:val="Normal"/>
    <w:link w:val="Heading8Char"/>
    <w:uiPriority w:val="99"/>
    <w:qFormat/>
    <w:rsid w:val="00852760"/>
    <w:pPr>
      <w:keepNext/>
      <w:widowControl w:val="0"/>
      <w:spacing w:after="0" w:line="240" w:lineRule="auto"/>
      <w:jc w:val="right"/>
      <w:outlineLvl w:val="7"/>
    </w:pPr>
    <w:rPr>
      <w:rFonts w:ascii="Times New Roman" w:hAnsi="Times New Roman"/>
      <w:b/>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8C225D"/>
    <w:rPr>
      <w:rFonts w:ascii="Arial" w:eastAsiaTheme="majorEastAsia" w:hAnsi="Arial" w:cs="Times New Roman"/>
      <w:b/>
      <w:bCs/>
      <w:sz w:val="28"/>
      <w:szCs w:val="28"/>
      <w:lang w:eastAsia="en-US"/>
    </w:rPr>
  </w:style>
  <w:style w:type="character" w:customStyle="1" w:styleId="Heading8Char">
    <w:name w:val="Heading 8 Char"/>
    <w:basedOn w:val="DefaultParagraphFont"/>
    <w:link w:val="Heading8"/>
    <w:uiPriority w:val="99"/>
    <w:locked/>
    <w:rsid w:val="00852760"/>
    <w:rPr>
      <w:rFonts w:ascii="Times New Roman" w:hAnsi="Times New Roman" w:cs="Times New Roman"/>
      <w:b/>
      <w:sz w:val="24"/>
      <w:szCs w:val="24"/>
      <w:lang w:val="en-US" w:eastAsia="x-none"/>
    </w:rPr>
  </w:style>
  <w:style w:type="paragraph" w:styleId="Header">
    <w:name w:val="header"/>
    <w:basedOn w:val="Normal"/>
    <w:link w:val="HeaderChar"/>
    <w:uiPriority w:val="99"/>
    <w:rsid w:val="00852760"/>
    <w:pPr>
      <w:widowControl w:val="0"/>
      <w:tabs>
        <w:tab w:val="center" w:pos="4320"/>
        <w:tab w:val="right" w:pos="8640"/>
      </w:tabs>
      <w:spacing w:after="0" w:line="240" w:lineRule="auto"/>
    </w:pPr>
    <w:rPr>
      <w:rFonts w:ascii="Times New Roman" w:hAnsi="Times New Roman"/>
      <w:sz w:val="24"/>
      <w:szCs w:val="20"/>
      <w:lang w:val="en-GB"/>
    </w:rPr>
  </w:style>
  <w:style w:type="character" w:customStyle="1" w:styleId="HeaderChar">
    <w:name w:val="Header Char"/>
    <w:basedOn w:val="DefaultParagraphFont"/>
    <w:link w:val="Header"/>
    <w:uiPriority w:val="99"/>
    <w:locked/>
    <w:rsid w:val="00852760"/>
    <w:rPr>
      <w:rFonts w:ascii="Times New Roman" w:hAnsi="Times New Roman" w:cs="Times New Roman"/>
      <w:sz w:val="20"/>
      <w:szCs w:val="20"/>
      <w:lang w:val="en-GB" w:eastAsia="x-none"/>
    </w:rPr>
  </w:style>
  <w:style w:type="paragraph" w:styleId="Footer">
    <w:name w:val="footer"/>
    <w:basedOn w:val="Normal"/>
    <w:link w:val="FooterChar"/>
    <w:uiPriority w:val="99"/>
    <w:rsid w:val="00852760"/>
    <w:pPr>
      <w:spacing w:before="120" w:after="60" w:line="240" w:lineRule="exact"/>
    </w:pPr>
    <w:rPr>
      <w:rFonts w:ascii="Arial" w:hAnsi="Arial"/>
      <w:sz w:val="18"/>
      <w:szCs w:val="20"/>
    </w:rPr>
  </w:style>
  <w:style w:type="character" w:customStyle="1" w:styleId="FooterChar">
    <w:name w:val="Footer Char"/>
    <w:basedOn w:val="DefaultParagraphFont"/>
    <w:link w:val="Footer"/>
    <w:uiPriority w:val="99"/>
    <w:locked/>
    <w:rsid w:val="00852760"/>
    <w:rPr>
      <w:rFonts w:ascii="Arial" w:hAnsi="Arial" w:cs="Times New Roman"/>
      <w:sz w:val="20"/>
      <w:szCs w:val="20"/>
    </w:rPr>
  </w:style>
  <w:style w:type="paragraph" w:customStyle="1" w:styleId="HeaderEven">
    <w:name w:val="HeaderEven"/>
    <w:basedOn w:val="Normal"/>
    <w:uiPriority w:val="99"/>
    <w:rsid w:val="00852760"/>
    <w:pPr>
      <w:spacing w:after="0" w:line="240" w:lineRule="auto"/>
    </w:pPr>
    <w:rPr>
      <w:rFonts w:ascii="Arial" w:hAnsi="Arial"/>
      <w:sz w:val="18"/>
      <w:szCs w:val="20"/>
    </w:rPr>
  </w:style>
  <w:style w:type="paragraph" w:customStyle="1" w:styleId="HeaderEven6">
    <w:name w:val="HeaderEven6"/>
    <w:basedOn w:val="HeaderEven"/>
    <w:uiPriority w:val="99"/>
    <w:rsid w:val="00852760"/>
    <w:pPr>
      <w:spacing w:before="120" w:after="60"/>
    </w:pPr>
  </w:style>
  <w:style w:type="paragraph" w:customStyle="1" w:styleId="N-9pt">
    <w:name w:val="N-9pt"/>
    <w:basedOn w:val="Normal"/>
    <w:next w:val="Normal"/>
    <w:uiPriority w:val="99"/>
    <w:rsid w:val="00852760"/>
    <w:pPr>
      <w:keepNext/>
      <w:tabs>
        <w:tab w:val="right" w:pos="7707"/>
      </w:tabs>
      <w:spacing w:before="120" w:after="20" w:line="240" w:lineRule="auto"/>
      <w:jc w:val="both"/>
    </w:pPr>
    <w:rPr>
      <w:rFonts w:ascii="Arial" w:hAnsi="Arial"/>
      <w:sz w:val="18"/>
      <w:szCs w:val="20"/>
    </w:rPr>
  </w:style>
  <w:style w:type="character" w:styleId="PageNumber">
    <w:name w:val="page number"/>
    <w:basedOn w:val="DefaultParagraphFont"/>
    <w:uiPriority w:val="99"/>
    <w:rsid w:val="00852760"/>
    <w:rPr>
      <w:rFonts w:cs="Times New Roman"/>
    </w:rPr>
  </w:style>
  <w:style w:type="paragraph" w:customStyle="1" w:styleId="Status">
    <w:name w:val="Status"/>
    <w:basedOn w:val="Normal"/>
    <w:uiPriority w:val="99"/>
    <w:rsid w:val="00852760"/>
    <w:pPr>
      <w:spacing w:before="280" w:after="0" w:line="240" w:lineRule="auto"/>
      <w:jc w:val="center"/>
    </w:pPr>
    <w:rPr>
      <w:rFonts w:ascii="Arial" w:hAnsi="Arial"/>
      <w:sz w:val="14"/>
      <w:szCs w:val="20"/>
    </w:rPr>
  </w:style>
  <w:style w:type="paragraph" w:styleId="ListParagraph">
    <w:name w:val="List Paragraph"/>
    <w:aliases w:val="List Paragraph1,List Paragraph11,Recommendation,Bullet point,L,List Paragraph111,F5 List Paragraph,Dot pt,CV text,Table text,Medium Grid 1 - Accent 21,Numbered Paragraph,List Paragraph2,NFP GP Bulleted List,FooterText,numbered,列出段,列出,列"/>
    <w:basedOn w:val="Normal"/>
    <w:link w:val="ListParagraphChar"/>
    <w:uiPriority w:val="34"/>
    <w:qFormat/>
    <w:rsid w:val="00852760"/>
    <w:pPr>
      <w:spacing w:after="0" w:line="240" w:lineRule="auto"/>
      <w:ind w:left="720"/>
    </w:pPr>
    <w:rPr>
      <w:rFonts w:cs="Calibri"/>
      <w:lang w:eastAsia="en-AU"/>
    </w:rPr>
  </w:style>
  <w:style w:type="character" w:styleId="CommentReference">
    <w:name w:val="annotation reference"/>
    <w:basedOn w:val="DefaultParagraphFont"/>
    <w:semiHidden/>
    <w:rsid w:val="008609A8"/>
    <w:rPr>
      <w:rFonts w:cs="Times New Roman"/>
      <w:sz w:val="16"/>
      <w:szCs w:val="16"/>
    </w:rPr>
  </w:style>
  <w:style w:type="paragraph" w:styleId="CommentText">
    <w:name w:val="annotation text"/>
    <w:basedOn w:val="Normal"/>
    <w:link w:val="CommentTextChar"/>
    <w:semiHidden/>
    <w:rsid w:val="008609A8"/>
    <w:rPr>
      <w:sz w:val="20"/>
      <w:szCs w:val="20"/>
    </w:rPr>
  </w:style>
  <w:style w:type="character" w:customStyle="1" w:styleId="CommentTextChar">
    <w:name w:val="Comment Text Char"/>
    <w:basedOn w:val="DefaultParagraphFont"/>
    <w:link w:val="CommentText"/>
    <w:semiHidden/>
    <w:locked/>
    <w:rsid w:val="008609A8"/>
    <w:rPr>
      <w:rFonts w:cs="Times New Roman"/>
      <w:lang w:val="x-none" w:eastAsia="en-US"/>
    </w:rPr>
  </w:style>
  <w:style w:type="paragraph" w:styleId="CommentSubject">
    <w:name w:val="annotation subject"/>
    <w:basedOn w:val="CommentText"/>
    <w:next w:val="CommentText"/>
    <w:link w:val="CommentSubjectChar"/>
    <w:uiPriority w:val="99"/>
    <w:semiHidden/>
    <w:rsid w:val="008609A8"/>
    <w:rPr>
      <w:b/>
      <w:bCs/>
    </w:rPr>
  </w:style>
  <w:style w:type="character" w:customStyle="1" w:styleId="CommentSubjectChar">
    <w:name w:val="Comment Subject Char"/>
    <w:basedOn w:val="CommentTextChar"/>
    <w:link w:val="CommentSubject"/>
    <w:uiPriority w:val="99"/>
    <w:semiHidden/>
    <w:locked/>
    <w:rsid w:val="008609A8"/>
    <w:rPr>
      <w:rFonts w:cs="Times New Roman"/>
      <w:b/>
      <w:bCs/>
      <w:lang w:val="x-none" w:eastAsia="en-US"/>
    </w:rPr>
  </w:style>
  <w:style w:type="paragraph" w:styleId="BalloonText">
    <w:name w:val="Balloon Text"/>
    <w:basedOn w:val="Normal"/>
    <w:link w:val="BalloonTextChar"/>
    <w:uiPriority w:val="99"/>
    <w:semiHidden/>
    <w:rsid w:val="008609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609A8"/>
    <w:rPr>
      <w:rFonts w:ascii="Tahoma" w:hAnsi="Tahoma" w:cs="Tahoma"/>
      <w:sz w:val="16"/>
      <w:szCs w:val="16"/>
      <w:lang w:val="x-none" w:eastAsia="en-US"/>
    </w:rPr>
  </w:style>
  <w:style w:type="paragraph" w:customStyle="1" w:styleId="Normaltextnumbered">
    <w:name w:val="Normal text numbered"/>
    <w:basedOn w:val="Header"/>
    <w:uiPriority w:val="99"/>
    <w:rsid w:val="00D1078E"/>
    <w:pPr>
      <w:widowControl/>
      <w:tabs>
        <w:tab w:val="clear" w:pos="4320"/>
        <w:tab w:val="clear" w:pos="8640"/>
      </w:tabs>
      <w:spacing w:line="360" w:lineRule="auto"/>
    </w:pPr>
    <w:rPr>
      <w:rFonts w:ascii="Arial" w:hAnsi="Arial" w:cs="Arial"/>
      <w:szCs w:val="24"/>
      <w:lang w:val="en-AU"/>
    </w:rPr>
  </w:style>
  <w:style w:type="paragraph" w:styleId="NoSpacing">
    <w:name w:val="No Spacing"/>
    <w:uiPriority w:val="1"/>
    <w:qFormat/>
    <w:rsid w:val="00D1078E"/>
    <w:rPr>
      <w:rFonts w:cs="Times New Roman"/>
      <w:sz w:val="22"/>
      <w:szCs w:val="22"/>
      <w:lang w:eastAsia="en-US"/>
    </w:rPr>
  </w:style>
  <w:style w:type="paragraph" w:customStyle="1" w:styleId="Amainreturn">
    <w:name w:val="A main return"/>
    <w:basedOn w:val="Normal"/>
    <w:link w:val="AmainreturnChar"/>
    <w:rsid w:val="00B147E9"/>
    <w:pPr>
      <w:spacing w:before="140" w:after="0" w:line="240" w:lineRule="auto"/>
      <w:ind w:left="1100"/>
      <w:jc w:val="both"/>
    </w:pPr>
    <w:rPr>
      <w:rFonts w:ascii="Times New Roman" w:hAnsi="Times New Roman"/>
      <w:sz w:val="24"/>
      <w:szCs w:val="20"/>
    </w:rPr>
  </w:style>
  <w:style w:type="paragraph" w:customStyle="1" w:styleId="Apara">
    <w:name w:val="A para"/>
    <w:basedOn w:val="Normal"/>
    <w:link w:val="AparaChar"/>
    <w:uiPriority w:val="99"/>
    <w:rsid w:val="00B147E9"/>
    <w:pPr>
      <w:tabs>
        <w:tab w:val="right" w:pos="1400"/>
        <w:tab w:val="left" w:pos="1600"/>
      </w:tabs>
      <w:spacing w:before="140" w:after="0" w:line="240" w:lineRule="auto"/>
      <w:ind w:left="1600" w:hanging="1600"/>
      <w:jc w:val="both"/>
      <w:outlineLvl w:val="6"/>
    </w:pPr>
    <w:rPr>
      <w:rFonts w:ascii="Times New Roman" w:hAnsi="Times New Roman"/>
      <w:sz w:val="24"/>
      <w:szCs w:val="20"/>
    </w:rPr>
  </w:style>
  <w:style w:type="paragraph" w:styleId="FootnoteText">
    <w:name w:val="footnote text"/>
    <w:basedOn w:val="Normal"/>
    <w:link w:val="FootnoteTextChar"/>
    <w:uiPriority w:val="99"/>
    <w:rsid w:val="00205382"/>
    <w:pPr>
      <w:widowControl w:val="0"/>
      <w:spacing w:after="60" w:line="240" w:lineRule="auto"/>
    </w:pPr>
    <w:rPr>
      <w:rFonts w:ascii="Times New Roman" w:hAnsi="Times New Roman"/>
      <w:sz w:val="20"/>
      <w:szCs w:val="20"/>
      <w:lang w:val="en-GB"/>
    </w:rPr>
  </w:style>
  <w:style w:type="character" w:customStyle="1" w:styleId="FootnoteTextChar">
    <w:name w:val="Footnote Text Char"/>
    <w:basedOn w:val="DefaultParagraphFont"/>
    <w:link w:val="FootnoteText"/>
    <w:uiPriority w:val="99"/>
    <w:locked/>
    <w:rsid w:val="00205382"/>
    <w:rPr>
      <w:rFonts w:ascii="Times New Roman" w:hAnsi="Times New Roman" w:cs="Times New Roman"/>
      <w:lang w:val="en-GB" w:eastAsia="en-US"/>
    </w:rPr>
  </w:style>
  <w:style w:type="character" w:styleId="FootnoteReference">
    <w:name w:val="footnote reference"/>
    <w:basedOn w:val="DefaultParagraphFont"/>
    <w:uiPriority w:val="99"/>
    <w:rsid w:val="00205382"/>
    <w:rPr>
      <w:rFonts w:cs="Times New Roman"/>
      <w:vertAlign w:val="superscript"/>
    </w:rPr>
  </w:style>
  <w:style w:type="paragraph" w:customStyle="1" w:styleId="aDef">
    <w:name w:val="aDef"/>
    <w:basedOn w:val="Normal"/>
    <w:link w:val="aDefChar"/>
    <w:rsid w:val="00DD3B29"/>
    <w:pPr>
      <w:spacing w:before="140" w:after="0" w:line="240" w:lineRule="auto"/>
      <w:ind w:left="1100"/>
      <w:jc w:val="both"/>
    </w:pPr>
    <w:rPr>
      <w:rFonts w:ascii="Times New Roman" w:hAnsi="Times New Roman"/>
      <w:sz w:val="24"/>
      <w:szCs w:val="20"/>
    </w:rPr>
  </w:style>
  <w:style w:type="paragraph" w:customStyle="1" w:styleId="aDefpara">
    <w:name w:val="aDef para"/>
    <w:basedOn w:val="Apara"/>
    <w:rsid w:val="00DD3B29"/>
  </w:style>
  <w:style w:type="paragraph" w:customStyle="1" w:styleId="aDefsubpara">
    <w:name w:val="aDef subpara"/>
    <w:basedOn w:val="Normal"/>
    <w:rsid w:val="00DD3B29"/>
    <w:pPr>
      <w:tabs>
        <w:tab w:val="right" w:pos="1900"/>
        <w:tab w:val="left" w:pos="2100"/>
      </w:tabs>
      <w:spacing w:before="140" w:after="0" w:line="240" w:lineRule="auto"/>
      <w:ind w:left="2100" w:hanging="2100"/>
      <w:jc w:val="both"/>
      <w:outlineLvl w:val="7"/>
    </w:pPr>
    <w:rPr>
      <w:rFonts w:ascii="Times New Roman" w:hAnsi="Times New Roman"/>
      <w:sz w:val="24"/>
      <w:szCs w:val="20"/>
    </w:rPr>
  </w:style>
  <w:style w:type="character" w:customStyle="1" w:styleId="charBoldItals">
    <w:name w:val="charBoldItals"/>
    <w:basedOn w:val="DefaultParagraphFont"/>
    <w:rsid w:val="00DD3B29"/>
    <w:rPr>
      <w:rFonts w:cs="Times New Roman"/>
      <w:b/>
      <w:i/>
    </w:rPr>
  </w:style>
  <w:style w:type="character" w:customStyle="1" w:styleId="charItals">
    <w:name w:val="charItals"/>
    <w:basedOn w:val="DefaultParagraphFont"/>
    <w:rsid w:val="00DD3B29"/>
    <w:rPr>
      <w:rFonts w:cs="Times New Roman"/>
      <w:i/>
    </w:rPr>
  </w:style>
  <w:style w:type="character" w:customStyle="1" w:styleId="aDefChar">
    <w:name w:val="aDef Char"/>
    <w:basedOn w:val="DefaultParagraphFont"/>
    <w:link w:val="aDef"/>
    <w:locked/>
    <w:rsid w:val="00DD3B29"/>
    <w:rPr>
      <w:rFonts w:ascii="Times New Roman" w:hAnsi="Times New Roman" w:cs="Times New Roman"/>
      <w:sz w:val="24"/>
      <w:lang w:val="x-none" w:eastAsia="en-US"/>
    </w:rPr>
  </w:style>
  <w:style w:type="character" w:customStyle="1" w:styleId="charCitHyperlinkItal">
    <w:name w:val="charCitHyperlinkItal"/>
    <w:basedOn w:val="Hyperlink"/>
    <w:uiPriority w:val="99"/>
    <w:rsid w:val="00DD3B29"/>
    <w:rPr>
      <w:rFonts w:cs="Times New Roman"/>
      <w:i/>
      <w:color w:val="0000FF"/>
      <w:u w:val="none"/>
    </w:rPr>
  </w:style>
  <w:style w:type="character" w:styleId="Hyperlink">
    <w:name w:val="Hyperlink"/>
    <w:basedOn w:val="DefaultParagraphFont"/>
    <w:uiPriority w:val="99"/>
    <w:semiHidden/>
    <w:rsid w:val="00DD3B29"/>
    <w:rPr>
      <w:rFonts w:cs="Times New Roman"/>
      <w:color w:val="0000FF"/>
      <w:u w:val="single"/>
    </w:rPr>
  </w:style>
  <w:style w:type="paragraph" w:customStyle="1" w:styleId="Default">
    <w:name w:val="Default"/>
    <w:rsid w:val="00C000CE"/>
    <w:pPr>
      <w:autoSpaceDE w:val="0"/>
      <w:autoSpaceDN w:val="0"/>
      <w:adjustRightInd w:val="0"/>
    </w:pPr>
    <w:rPr>
      <w:rFonts w:ascii="Times New Roman" w:hAnsi="Times New Roman" w:cs="Times New Roman"/>
      <w:color w:val="000000"/>
      <w:sz w:val="24"/>
      <w:szCs w:val="24"/>
    </w:rPr>
  </w:style>
  <w:style w:type="paragraph" w:customStyle="1" w:styleId="EnactingWords">
    <w:name w:val="EnactingWords"/>
    <w:basedOn w:val="Normal"/>
    <w:uiPriority w:val="99"/>
    <w:rsid w:val="003C6037"/>
    <w:pPr>
      <w:spacing w:before="120" w:after="0" w:line="240" w:lineRule="auto"/>
      <w:jc w:val="both"/>
    </w:pPr>
    <w:rPr>
      <w:rFonts w:ascii="Times New Roman" w:hAnsi="Times New Roman"/>
      <w:sz w:val="24"/>
      <w:szCs w:val="20"/>
    </w:rPr>
  </w:style>
  <w:style w:type="paragraph" w:customStyle="1" w:styleId="Amain">
    <w:name w:val="A main"/>
    <w:basedOn w:val="Normal"/>
    <w:uiPriority w:val="99"/>
    <w:rsid w:val="003C6037"/>
    <w:pPr>
      <w:numPr>
        <w:ilvl w:val="5"/>
        <w:numId w:val="1"/>
      </w:numPr>
      <w:spacing w:before="140" w:after="0" w:line="240" w:lineRule="auto"/>
      <w:jc w:val="both"/>
      <w:outlineLvl w:val="5"/>
    </w:pPr>
    <w:rPr>
      <w:rFonts w:ascii="Times New Roman" w:hAnsi="Times New Roman"/>
      <w:sz w:val="24"/>
      <w:szCs w:val="20"/>
    </w:rPr>
  </w:style>
  <w:style w:type="paragraph" w:customStyle="1" w:styleId="Asubpara">
    <w:name w:val="A subpara"/>
    <w:basedOn w:val="Normal"/>
    <w:uiPriority w:val="99"/>
    <w:rsid w:val="003C6037"/>
    <w:pPr>
      <w:tabs>
        <w:tab w:val="num" w:pos="2140"/>
      </w:tabs>
      <w:spacing w:before="140" w:after="0" w:line="240" w:lineRule="auto"/>
      <w:ind w:left="2140" w:hanging="200"/>
      <w:jc w:val="both"/>
      <w:outlineLvl w:val="7"/>
    </w:pPr>
    <w:rPr>
      <w:rFonts w:ascii="Times New Roman" w:hAnsi="Times New Roman"/>
      <w:sz w:val="24"/>
      <w:szCs w:val="20"/>
    </w:rPr>
  </w:style>
  <w:style w:type="paragraph" w:customStyle="1" w:styleId="Asubsubpara">
    <w:name w:val="A subsubpara"/>
    <w:basedOn w:val="Normal"/>
    <w:uiPriority w:val="99"/>
    <w:rsid w:val="003C6037"/>
    <w:pPr>
      <w:tabs>
        <w:tab w:val="num" w:pos="2660"/>
      </w:tabs>
      <w:spacing w:before="140" w:after="0" w:line="240" w:lineRule="auto"/>
      <w:ind w:left="2660" w:hanging="200"/>
      <w:jc w:val="both"/>
      <w:outlineLvl w:val="8"/>
    </w:pPr>
    <w:rPr>
      <w:rFonts w:ascii="Times New Roman" w:hAnsi="Times New Roman"/>
      <w:sz w:val="24"/>
      <w:szCs w:val="20"/>
    </w:rPr>
  </w:style>
  <w:style w:type="paragraph" w:customStyle="1" w:styleId="AH5Sec">
    <w:name w:val="A H5 Sec"/>
    <w:basedOn w:val="Normal"/>
    <w:next w:val="Amain"/>
    <w:rsid w:val="003C6037"/>
    <w:pPr>
      <w:keepNext/>
      <w:numPr>
        <w:ilvl w:val="4"/>
        <w:numId w:val="1"/>
      </w:numPr>
      <w:spacing w:before="240" w:after="0" w:line="240" w:lineRule="auto"/>
      <w:outlineLvl w:val="4"/>
    </w:pPr>
    <w:rPr>
      <w:rFonts w:ascii="Arial" w:hAnsi="Arial"/>
      <w:b/>
      <w:sz w:val="24"/>
      <w:szCs w:val="20"/>
    </w:rPr>
  </w:style>
  <w:style w:type="character" w:customStyle="1" w:styleId="AparaChar">
    <w:name w:val="A para Char"/>
    <w:basedOn w:val="DefaultParagraphFont"/>
    <w:link w:val="Apara"/>
    <w:uiPriority w:val="99"/>
    <w:locked/>
    <w:rsid w:val="003C6037"/>
    <w:rPr>
      <w:rFonts w:ascii="Times New Roman" w:hAnsi="Times New Roman" w:cs="Times New Roman"/>
      <w:sz w:val="24"/>
      <w:lang w:val="x-none" w:eastAsia="en-US"/>
    </w:rPr>
  </w:style>
  <w:style w:type="character" w:customStyle="1" w:styleId="ListParagraphChar">
    <w:name w:val="List Paragraph Char"/>
    <w:aliases w:val="List Paragraph1 Char,List Paragraph11 Char,Recommendation Char,Bullet point Char,L Char,List Paragraph111 Char,F5 List Paragraph Char,Dot pt Char,CV text Char,Table text Char,Medium Grid 1 - Accent 21 Char,Numbered Paragraph Char"/>
    <w:basedOn w:val="DefaultParagraphFont"/>
    <w:link w:val="ListParagraph"/>
    <w:uiPriority w:val="34"/>
    <w:qFormat/>
    <w:locked/>
    <w:rsid w:val="00F44087"/>
    <w:rPr>
      <w:rFonts w:cs="Calibri"/>
    </w:rPr>
  </w:style>
  <w:style w:type="paragraph" w:styleId="Revision">
    <w:name w:val="Revision"/>
    <w:hidden/>
    <w:uiPriority w:val="99"/>
    <w:semiHidden/>
    <w:rsid w:val="00B37786"/>
    <w:rPr>
      <w:rFonts w:cs="Times New Roman"/>
      <w:sz w:val="22"/>
      <w:szCs w:val="22"/>
      <w:lang w:eastAsia="en-US"/>
    </w:rPr>
  </w:style>
  <w:style w:type="paragraph" w:customStyle="1" w:styleId="aExamss">
    <w:name w:val="aExamss"/>
    <w:basedOn w:val="Normal"/>
    <w:uiPriority w:val="99"/>
    <w:rsid w:val="001650A1"/>
    <w:pPr>
      <w:numPr>
        <w:ilvl w:val="5"/>
        <w:numId w:val="2"/>
      </w:numPr>
      <w:spacing w:after="60" w:line="240" w:lineRule="auto"/>
      <w:jc w:val="both"/>
    </w:pPr>
    <w:rPr>
      <w:rFonts w:ascii="Times New Roman" w:hAnsi="Times New Roman"/>
      <w:sz w:val="20"/>
      <w:szCs w:val="20"/>
    </w:rPr>
  </w:style>
  <w:style w:type="character" w:styleId="FollowedHyperlink">
    <w:name w:val="FollowedHyperlink"/>
    <w:basedOn w:val="DefaultParagraphFont"/>
    <w:uiPriority w:val="99"/>
    <w:semiHidden/>
    <w:unhideWhenUsed/>
    <w:rsid w:val="0043422C"/>
    <w:rPr>
      <w:rFonts w:cs="Times New Roman"/>
      <w:color w:val="800080"/>
      <w:u w:val="single"/>
    </w:rPr>
  </w:style>
  <w:style w:type="character" w:customStyle="1" w:styleId="CharPartNo">
    <w:name w:val="CharPartNo"/>
    <w:basedOn w:val="DefaultParagraphFont"/>
    <w:uiPriority w:val="99"/>
    <w:rsid w:val="00754626"/>
    <w:rPr>
      <w:rFonts w:cs="Times New Roman"/>
    </w:rPr>
  </w:style>
  <w:style w:type="character" w:customStyle="1" w:styleId="CharDivNo">
    <w:name w:val="CharDivNo"/>
    <w:basedOn w:val="DefaultParagraphFont"/>
    <w:uiPriority w:val="99"/>
    <w:rsid w:val="00754626"/>
    <w:rPr>
      <w:rFonts w:cs="Times New Roman"/>
    </w:rPr>
  </w:style>
  <w:style w:type="paragraph" w:customStyle="1" w:styleId="Idefsubpara">
    <w:name w:val="I def subpara"/>
    <w:basedOn w:val="Normal"/>
    <w:rsid w:val="000E508E"/>
    <w:pPr>
      <w:spacing w:before="140" w:after="0" w:line="240" w:lineRule="auto"/>
      <w:ind w:left="2140" w:hanging="2140"/>
      <w:jc w:val="both"/>
    </w:pPr>
    <w:rPr>
      <w:rFonts w:ascii="Times New Roman" w:hAnsi="Times New Roman"/>
      <w:sz w:val="24"/>
      <w:szCs w:val="24"/>
      <w:lang w:eastAsia="en-AU"/>
    </w:rPr>
  </w:style>
  <w:style w:type="character" w:styleId="Emphasis">
    <w:name w:val="Emphasis"/>
    <w:basedOn w:val="DefaultParagraphFont"/>
    <w:uiPriority w:val="20"/>
    <w:qFormat/>
    <w:locked/>
    <w:rsid w:val="00850C21"/>
    <w:rPr>
      <w:rFonts w:cs="Times New Roman"/>
      <w:i/>
      <w:iCs/>
    </w:rPr>
  </w:style>
  <w:style w:type="character" w:styleId="Strong">
    <w:name w:val="Strong"/>
    <w:basedOn w:val="DefaultParagraphFont"/>
    <w:uiPriority w:val="22"/>
    <w:qFormat/>
    <w:locked/>
    <w:rsid w:val="00850C21"/>
    <w:rPr>
      <w:rFonts w:cs="Times New Roman"/>
      <w:b/>
      <w:bCs/>
    </w:rPr>
  </w:style>
  <w:style w:type="paragraph" w:customStyle="1" w:styleId="aNote">
    <w:name w:val="aNote"/>
    <w:basedOn w:val="Normal"/>
    <w:link w:val="aNoteChar"/>
    <w:rsid w:val="001101D7"/>
    <w:pPr>
      <w:spacing w:before="140" w:after="0" w:line="240" w:lineRule="auto"/>
      <w:ind w:left="1900" w:hanging="800"/>
      <w:jc w:val="both"/>
    </w:pPr>
    <w:rPr>
      <w:rFonts w:ascii="Times New Roman" w:hAnsi="Times New Roman"/>
      <w:sz w:val="20"/>
      <w:szCs w:val="20"/>
    </w:rPr>
  </w:style>
  <w:style w:type="character" w:customStyle="1" w:styleId="aNoteChar">
    <w:name w:val="aNote Char"/>
    <w:basedOn w:val="DefaultParagraphFont"/>
    <w:link w:val="aNote"/>
    <w:locked/>
    <w:rsid w:val="001101D7"/>
    <w:rPr>
      <w:rFonts w:ascii="Times New Roman" w:hAnsi="Times New Roman" w:cs="Times New Roman"/>
      <w:lang w:val="x-none" w:eastAsia="en-US"/>
    </w:rPr>
  </w:style>
  <w:style w:type="paragraph" w:customStyle="1" w:styleId="aNoteText">
    <w:name w:val="aNoteText"/>
    <w:basedOn w:val="aNote"/>
    <w:rsid w:val="001101D7"/>
    <w:pPr>
      <w:spacing w:before="60"/>
      <w:ind w:firstLine="0"/>
    </w:pPr>
  </w:style>
  <w:style w:type="character" w:customStyle="1" w:styleId="AmainreturnChar">
    <w:name w:val="A main return Char"/>
    <w:basedOn w:val="DefaultParagraphFont"/>
    <w:link w:val="Amainreturn"/>
    <w:locked/>
    <w:rsid w:val="001101D7"/>
    <w:rPr>
      <w:rFonts w:ascii="Times New Roman" w:hAnsi="Times New Roman" w:cs="Times New Roman"/>
      <w:sz w:val="24"/>
      <w:lang w:val="x-none" w:eastAsia="en-US"/>
    </w:rPr>
  </w:style>
  <w:style w:type="character" w:customStyle="1" w:styleId="charCitHyperlinkAbbrev">
    <w:name w:val="charCitHyperlinkAbbrev"/>
    <w:basedOn w:val="Hyperlink"/>
    <w:uiPriority w:val="1"/>
    <w:rsid w:val="001101D7"/>
    <w:rPr>
      <w:rFonts w:cs="Times New Roman"/>
      <w:color w:val="0000FF"/>
      <w:u w:val="none"/>
    </w:rPr>
  </w:style>
  <w:style w:type="paragraph" w:styleId="NormalWeb">
    <w:name w:val="Normal (Web)"/>
    <w:basedOn w:val="Normal"/>
    <w:uiPriority w:val="99"/>
    <w:unhideWhenUsed/>
    <w:rsid w:val="00C76AC7"/>
    <w:pPr>
      <w:spacing w:before="100" w:beforeAutospacing="1" w:after="100" w:afterAutospacing="1" w:line="240" w:lineRule="auto"/>
    </w:pPr>
    <w:rPr>
      <w:rFonts w:ascii="Times New Roman" w:hAnsi="Times New Roman"/>
      <w:sz w:val="24"/>
      <w:szCs w:val="24"/>
      <w:lang w:eastAsia="en-AU"/>
    </w:rPr>
  </w:style>
  <w:style w:type="paragraph" w:customStyle="1" w:styleId="tab1">
    <w:name w:val="tab1"/>
    <w:basedOn w:val="Normal"/>
    <w:rsid w:val="003170C9"/>
    <w:pPr>
      <w:spacing w:before="100" w:beforeAutospacing="1" w:after="100" w:afterAutospacing="1" w:line="240" w:lineRule="auto"/>
    </w:pPr>
    <w:rPr>
      <w:rFonts w:ascii="Times New Roman" w:hAnsi="Times New Roman"/>
      <w:sz w:val="24"/>
      <w:szCs w:val="24"/>
      <w:lang w:eastAsia="en-AU"/>
    </w:rPr>
  </w:style>
  <w:style w:type="character" w:customStyle="1" w:styleId="Calibri12">
    <w:name w:val="Calibri 12"/>
    <w:uiPriority w:val="1"/>
    <w:qFormat/>
    <w:rsid w:val="00032126"/>
    <w:rPr>
      <w:rFonts w:ascii="Calibri" w:hAnsi="Calibri"/>
      <w:sz w:val="24"/>
    </w:rPr>
  </w:style>
  <w:style w:type="character" w:customStyle="1" w:styleId="Heading2Char">
    <w:name w:val="Heading 2 Char"/>
    <w:basedOn w:val="DefaultParagraphFont"/>
    <w:link w:val="Heading2"/>
    <w:rsid w:val="008C225D"/>
    <w:rPr>
      <w:rFonts w:ascii="Arial" w:eastAsiaTheme="majorEastAsia" w:hAnsi="Arial" w:cstheme="majorBidi"/>
      <w:b/>
      <w:sz w:val="24"/>
      <w:szCs w:val="26"/>
      <w:lang w:eastAsia="en-US"/>
    </w:rPr>
  </w:style>
  <w:style w:type="character" w:customStyle="1" w:styleId="Heading3Char">
    <w:name w:val="Heading 3 Char"/>
    <w:basedOn w:val="DefaultParagraphFont"/>
    <w:link w:val="Heading3"/>
    <w:rsid w:val="00C65E0C"/>
    <w:rPr>
      <w:rFonts w:ascii="Arial" w:eastAsiaTheme="majorEastAsia" w:hAnsi="Arial" w:cstheme="majorBidi"/>
      <w:b/>
      <w:sz w:val="24"/>
      <w:szCs w:val="24"/>
      <w:lang w:eastAsia="en-US"/>
    </w:rPr>
  </w:style>
  <w:style w:type="character" w:customStyle="1" w:styleId="Heading4Char">
    <w:name w:val="Heading 4 Char"/>
    <w:basedOn w:val="DefaultParagraphFont"/>
    <w:link w:val="Heading4"/>
    <w:semiHidden/>
    <w:rsid w:val="00E574DD"/>
    <w:rPr>
      <w:rFonts w:asciiTheme="majorHAnsi" w:eastAsiaTheme="majorEastAsia" w:hAnsiTheme="majorHAnsi" w:cstheme="majorBidi"/>
      <w:i/>
      <w:iCs/>
      <w:color w:val="365F91" w:themeColor="accent1" w:themeShade="BF"/>
      <w:sz w:val="22"/>
      <w:szCs w:val="22"/>
      <w:lang w:eastAsia="en-US"/>
    </w:rPr>
  </w:style>
  <w:style w:type="paragraph" w:customStyle="1" w:styleId="TABLETEXT">
    <w:name w:val="TABLE TEXT"/>
    <w:basedOn w:val="Normal"/>
    <w:link w:val="TABLETEXTChar"/>
    <w:qFormat/>
    <w:rsid w:val="005859A9"/>
    <w:pPr>
      <w:spacing w:before="120" w:after="120"/>
    </w:pPr>
    <w:rPr>
      <w:rFonts w:asciiTheme="minorHAnsi" w:eastAsiaTheme="minorHAnsi" w:hAnsiTheme="minorHAnsi" w:cstheme="minorBidi"/>
      <w:color w:val="948A54" w:themeColor="background2" w:themeShade="80"/>
      <w:kern w:val="2"/>
      <w:sz w:val="24"/>
      <w14:ligatures w14:val="standardContextual"/>
    </w:rPr>
  </w:style>
  <w:style w:type="character" w:customStyle="1" w:styleId="TABLETEXTChar">
    <w:name w:val="TABLE TEXT Char"/>
    <w:basedOn w:val="DefaultParagraphFont"/>
    <w:link w:val="TABLETEXT"/>
    <w:rsid w:val="005859A9"/>
    <w:rPr>
      <w:rFonts w:asciiTheme="minorHAnsi" w:eastAsiaTheme="minorHAnsi" w:hAnsiTheme="minorHAnsi" w:cstheme="minorBidi"/>
      <w:color w:val="948A54" w:themeColor="background2" w:themeShade="80"/>
      <w:kern w:val="2"/>
      <w:sz w:val="24"/>
      <w:szCs w:val="22"/>
      <w:lang w:eastAsia="en-US"/>
      <w14:ligatures w14:val="standardContextual"/>
    </w:rPr>
  </w:style>
  <w:style w:type="paragraph" w:customStyle="1" w:styleId="CS-Paragraphnumbering">
    <w:name w:val="CS - Paragraph numbering"/>
    <w:basedOn w:val="Normal"/>
    <w:rsid w:val="001003CD"/>
    <w:pPr>
      <w:spacing w:after="120"/>
      <w:ind w:left="567" w:right="-45" w:hanging="567"/>
    </w:pPr>
    <w:rPr>
      <w:rFonts w:asciiTheme="minorHAnsi" w:eastAsiaTheme="minorHAnsi" w:hAnsiTheme="minorHAnsi" w:cstheme="minorBidi"/>
      <w:sz w:val="24"/>
      <w:szCs w:val="24"/>
    </w:rPr>
  </w:style>
  <w:style w:type="character" w:styleId="UnresolvedMention">
    <w:name w:val="Unresolved Mention"/>
    <w:basedOn w:val="DefaultParagraphFont"/>
    <w:uiPriority w:val="99"/>
    <w:semiHidden/>
    <w:unhideWhenUsed/>
    <w:rsid w:val="00F01CD7"/>
    <w:rPr>
      <w:color w:val="605E5C"/>
      <w:shd w:val="clear" w:color="auto" w:fill="E1DFDD"/>
    </w:rPr>
  </w:style>
  <w:style w:type="character" w:styleId="SubtleEmphasis">
    <w:name w:val="Subtle Emphasis"/>
    <w:basedOn w:val="DefaultParagraphFont"/>
    <w:uiPriority w:val="19"/>
    <w:rsid w:val="008F01B4"/>
    <w:rPr>
      <w:i/>
      <w:iCs/>
      <w:color w:val="404040" w:themeColor="text1" w:themeTint="BF"/>
    </w:rPr>
  </w:style>
  <w:style w:type="paragraph" w:customStyle="1" w:styleId="Paragraphtext">
    <w:name w:val="Paragraph text"/>
    <w:basedOn w:val="Normal"/>
    <w:link w:val="ParagraphtextChar"/>
    <w:qFormat/>
    <w:rsid w:val="003B56C4"/>
    <w:pPr>
      <w:spacing w:before="120" w:after="120" w:line="240" w:lineRule="auto"/>
    </w:pPr>
    <w:rPr>
      <w:rFonts w:eastAsia="Calibri"/>
      <w:color w:val="000000" w:themeColor="text1"/>
      <w:sz w:val="24"/>
    </w:rPr>
  </w:style>
  <w:style w:type="character" w:customStyle="1" w:styleId="ParagraphtextChar">
    <w:name w:val="Paragraph text Char"/>
    <w:basedOn w:val="DefaultParagraphFont"/>
    <w:link w:val="Paragraphtext"/>
    <w:rsid w:val="003B56C4"/>
    <w:rPr>
      <w:rFonts w:eastAsia="Calibri" w:cs="Times New Roman"/>
      <w:color w:val="000000" w:themeColor="text1"/>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1974579">
      <w:bodyDiv w:val="1"/>
      <w:marLeft w:val="0"/>
      <w:marRight w:val="0"/>
      <w:marTop w:val="0"/>
      <w:marBottom w:val="0"/>
      <w:divBdr>
        <w:top w:val="none" w:sz="0" w:space="0" w:color="auto"/>
        <w:left w:val="none" w:sz="0" w:space="0" w:color="auto"/>
        <w:bottom w:val="none" w:sz="0" w:space="0" w:color="auto"/>
        <w:right w:val="none" w:sz="0" w:space="0" w:color="auto"/>
      </w:divBdr>
    </w:div>
    <w:div w:id="507060176">
      <w:bodyDiv w:val="1"/>
      <w:marLeft w:val="0"/>
      <w:marRight w:val="0"/>
      <w:marTop w:val="0"/>
      <w:marBottom w:val="0"/>
      <w:divBdr>
        <w:top w:val="none" w:sz="0" w:space="0" w:color="auto"/>
        <w:left w:val="none" w:sz="0" w:space="0" w:color="auto"/>
        <w:bottom w:val="none" w:sz="0" w:space="0" w:color="auto"/>
        <w:right w:val="none" w:sz="0" w:space="0" w:color="auto"/>
      </w:divBdr>
    </w:div>
    <w:div w:id="542446003">
      <w:bodyDiv w:val="1"/>
      <w:marLeft w:val="0"/>
      <w:marRight w:val="0"/>
      <w:marTop w:val="0"/>
      <w:marBottom w:val="0"/>
      <w:divBdr>
        <w:top w:val="none" w:sz="0" w:space="0" w:color="auto"/>
        <w:left w:val="none" w:sz="0" w:space="0" w:color="auto"/>
        <w:bottom w:val="none" w:sz="0" w:space="0" w:color="auto"/>
        <w:right w:val="none" w:sz="0" w:space="0" w:color="auto"/>
      </w:divBdr>
    </w:div>
    <w:div w:id="1251238587">
      <w:bodyDiv w:val="1"/>
      <w:marLeft w:val="0"/>
      <w:marRight w:val="0"/>
      <w:marTop w:val="0"/>
      <w:marBottom w:val="0"/>
      <w:divBdr>
        <w:top w:val="none" w:sz="0" w:space="0" w:color="auto"/>
        <w:left w:val="none" w:sz="0" w:space="0" w:color="auto"/>
        <w:bottom w:val="none" w:sz="0" w:space="0" w:color="auto"/>
        <w:right w:val="none" w:sz="0" w:space="0" w:color="auto"/>
      </w:divBdr>
    </w:div>
    <w:div w:id="2003314557">
      <w:marLeft w:val="0"/>
      <w:marRight w:val="0"/>
      <w:marTop w:val="0"/>
      <w:marBottom w:val="0"/>
      <w:divBdr>
        <w:top w:val="none" w:sz="0" w:space="0" w:color="auto"/>
        <w:left w:val="none" w:sz="0" w:space="0" w:color="auto"/>
        <w:bottom w:val="none" w:sz="0" w:space="0" w:color="auto"/>
        <w:right w:val="none" w:sz="0" w:space="0" w:color="auto"/>
      </w:divBdr>
    </w:div>
    <w:div w:id="2003314558">
      <w:marLeft w:val="0"/>
      <w:marRight w:val="0"/>
      <w:marTop w:val="0"/>
      <w:marBottom w:val="0"/>
      <w:divBdr>
        <w:top w:val="none" w:sz="0" w:space="0" w:color="auto"/>
        <w:left w:val="none" w:sz="0" w:space="0" w:color="auto"/>
        <w:bottom w:val="none" w:sz="0" w:space="0" w:color="auto"/>
        <w:right w:val="none" w:sz="0" w:space="0" w:color="auto"/>
      </w:divBdr>
    </w:div>
    <w:div w:id="2003314559">
      <w:marLeft w:val="0"/>
      <w:marRight w:val="0"/>
      <w:marTop w:val="0"/>
      <w:marBottom w:val="0"/>
      <w:divBdr>
        <w:top w:val="none" w:sz="0" w:space="0" w:color="auto"/>
        <w:left w:val="none" w:sz="0" w:space="0" w:color="auto"/>
        <w:bottom w:val="none" w:sz="0" w:space="0" w:color="auto"/>
        <w:right w:val="none" w:sz="0" w:space="0" w:color="auto"/>
      </w:divBdr>
    </w:div>
    <w:div w:id="2003314565">
      <w:marLeft w:val="0"/>
      <w:marRight w:val="0"/>
      <w:marTop w:val="0"/>
      <w:marBottom w:val="0"/>
      <w:divBdr>
        <w:top w:val="none" w:sz="0" w:space="0" w:color="auto"/>
        <w:left w:val="none" w:sz="0" w:space="0" w:color="auto"/>
        <w:bottom w:val="none" w:sz="0" w:space="0" w:color="auto"/>
        <w:right w:val="none" w:sz="0" w:space="0" w:color="auto"/>
      </w:divBdr>
    </w:div>
    <w:div w:id="2003314568">
      <w:marLeft w:val="0"/>
      <w:marRight w:val="0"/>
      <w:marTop w:val="0"/>
      <w:marBottom w:val="0"/>
      <w:divBdr>
        <w:top w:val="none" w:sz="0" w:space="0" w:color="auto"/>
        <w:left w:val="none" w:sz="0" w:space="0" w:color="auto"/>
        <w:bottom w:val="none" w:sz="0" w:space="0" w:color="auto"/>
        <w:right w:val="none" w:sz="0" w:space="0" w:color="auto"/>
      </w:divBdr>
      <w:divsChild>
        <w:div w:id="2003314572">
          <w:marLeft w:val="0"/>
          <w:marRight w:val="0"/>
          <w:marTop w:val="0"/>
          <w:marBottom w:val="0"/>
          <w:divBdr>
            <w:top w:val="none" w:sz="0" w:space="0" w:color="auto"/>
            <w:left w:val="none" w:sz="0" w:space="0" w:color="auto"/>
            <w:bottom w:val="none" w:sz="0" w:space="0" w:color="auto"/>
            <w:right w:val="none" w:sz="0" w:space="0" w:color="auto"/>
          </w:divBdr>
          <w:divsChild>
            <w:div w:id="2003314583">
              <w:marLeft w:val="0"/>
              <w:marRight w:val="0"/>
              <w:marTop w:val="0"/>
              <w:marBottom w:val="0"/>
              <w:divBdr>
                <w:top w:val="none" w:sz="0" w:space="0" w:color="auto"/>
                <w:left w:val="none" w:sz="0" w:space="0" w:color="auto"/>
                <w:bottom w:val="none" w:sz="0" w:space="0" w:color="auto"/>
                <w:right w:val="none" w:sz="0" w:space="0" w:color="auto"/>
              </w:divBdr>
              <w:divsChild>
                <w:div w:id="2003314606">
                  <w:marLeft w:val="0"/>
                  <w:marRight w:val="0"/>
                  <w:marTop w:val="0"/>
                  <w:marBottom w:val="0"/>
                  <w:divBdr>
                    <w:top w:val="none" w:sz="0" w:space="0" w:color="auto"/>
                    <w:left w:val="none" w:sz="0" w:space="0" w:color="auto"/>
                    <w:bottom w:val="none" w:sz="0" w:space="0" w:color="auto"/>
                    <w:right w:val="none" w:sz="0" w:space="0" w:color="auto"/>
                  </w:divBdr>
                  <w:divsChild>
                    <w:div w:id="2003314600">
                      <w:marLeft w:val="0"/>
                      <w:marRight w:val="0"/>
                      <w:marTop w:val="0"/>
                      <w:marBottom w:val="0"/>
                      <w:divBdr>
                        <w:top w:val="none" w:sz="0" w:space="0" w:color="auto"/>
                        <w:left w:val="none" w:sz="0" w:space="0" w:color="auto"/>
                        <w:bottom w:val="none" w:sz="0" w:space="0" w:color="auto"/>
                        <w:right w:val="none" w:sz="0" w:space="0" w:color="auto"/>
                      </w:divBdr>
                      <w:divsChild>
                        <w:div w:id="2003314574">
                          <w:marLeft w:val="0"/>
                          <w:marRight w:val="0"/>
                          <w:marTop w:val="0"/>
                          <w:marBottom w:val="0"/>
                          <w:divBdr>
                            <w:top w:val="none" w:sz="0" w:space="0" w:color="auto"/>
                            <w:left w:val="none" w:sz="0" w:space="0" w:color="auto"/>
                            <w:bottom w:val="none" w:sz="0" w:space="0" w:color="auto"/>
                            <w:right w:val="none" w:sz="0" w:space="0" w:color="auto"/>
                          </w:divBdr>
                          <w:divsChild>
                            <w:div w:id="2003314573">
                              <w:marLeft w:val="0"/>
                              <w:marRight w:val="0"/>
                              <w:marTop w:val="0"/>
                              <w:marBottom w:val="0"/>
                              <w:divBdr>
                                <w:top w:val="none" w:sz="0" w:space="0" w:color="auto"/>
                                <w:left w:val="none" w:sz="0" w:space="0" w:color="auto"/>
                                <w:bottom w:val="none" w:sz="0" w:space="0" w:color="auto"/>
                                <w:right w:val="none" w:sz="0" w:space="0" w:color="auto"/>
                              </w:divBdr>
                              <w:divsChild>
                                <w:div w:id="2003314603">
                                  <w:marLeft w:val="0"/>
                                  <w:marRight w:val="0"/>
                                  <w:marTop w:val="0"/>
                                  <w:marBottom w:val="0"/>
                                  <w:divBdr>
                                    <w:top w:val="none" w:sz="0" w:space="0" w:color="auto"/>
                                    <w:left w:val="none" w:sz="0" w:space="0" w:color="auto"/>
                                    <w:bottom w:val="none" w:sz="0" w:space="0" w:color="auto"/>
                                    <w:right w:val="none" w:sz="0" w:space="0" w:color="auto"/>
                                  </w:divBdr>
                                  <w:divsChild>
                                    <w:div w:id="200331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3314576">
      <w:marLeft w:val="0"/>
      <w:marRight w:val="0"/>
      <w:marTop w:val="0"/>
      <w:marBottom w:val="0"/>
      <w:divBdr>
        <w:top w:val="none" w:sz="0" w:space="0" w:color="auto"/>
        <w:left w:val="none" w:sz="0" w:space="0" w:color="auto"/>
        <w:bottom w:val="none" w:sz="0" w:space="0" w:color="auto"/>
        <w:right w:val="none" w:sz="0" w:space="0" w:color="auto"/>
      </w:divBdr>
      <w:divsChild>
        <w:div w:id="2003314584">
          <w:marLeft w:val="0"/>
          <w:marRight w:val="0"/>
          <w:marTop w:val="0"/>
          <w:marBottom w:val="0"/>
          <w:divBdr>
            <w:top w:val="none" w:sz="0" w:space="0" w:color="auto"/>
            <w:left w:val="none" w:sz="0" w:space="0" w:color="auto"/>
            <w:bottom w:val="none" w:sz="0" w:space="0" w:color="auto"/>
            <w:right w:val="none" w:sz="0" w:space="0" w:color="auto"/>
          </w:divBdr>
          <w:divsChild>
            <w:div w:id="2003314582">
              <w:marLeft w:val="0"/>
              <w:marRight w:val="0"/>
              <w:marTop w:val="0"/>
              <w:marBottom w:val="0"/>
              <w:divBdr>
                <w:top w:val="none" w:sz="0" w:space="0" w:color="auto"/>
                <w:left w:val="none" w:sz="0" w:space="0" w:color="auto"/>
                <w:bottom w:val="none" w:sz="0" w:space="0" w:color="auto"/>
                <w:right w:val="none" w:sz="0" w:space="0" w:color="auto"/>
              </w:divBdr>
              <w:divsChild>
                <w:div w:id="2003314594">
                  <w:marLeft w:val="0"/>
                  <w:marRight w:val="0"/>
                  <w:marTop w:val="0"/>
                  <w:marBottom w:val="0"/>
                  <w:divBdr>
                    <w:top w:val="none" w:sz="0" w:space="0" w:color="auto"/>
                    <w:left w:val="none" w:sz="0" w:space="0" w:color="auto"/>
                    <w:bottom w:val="none" w:sz="0" w:space="0" w:color="auto"/>
                    <w:right w:val="none" w:sz="0" w:space="0" w:color="auto"/>
                  </w:divBdr>
                  <w:divsChild>
                    <w:div w:id="2003314602">
                      <w:marLeft w:val="0"/>
                      <w:marRight w:val="0"/>
                      <w:marTop w:val="0"/>
                      <w:marBottom w:val="0"/>
                      <w:divBdr>
                        <w:top w:val="none" w:sz="0" w:space="0" w:color="auto"/>
                        <w:left w:val="none" w:sz="0" w:space="0" w:color="auto"/>
                        <w:bottom w:val="none" w:sz="0" w:space="0" w:color="auto"/>
                        <w:right w:val="none" w:sz="0" w:space="0" w:color="auto"/>
                      </w:divBdr>
                      <w:divsChild>
                        <w:div w:id="2003314563">
                          <w:marLeft w:val="0"/>
                          <w:marRight w:val="0"/>
                          <w:marTop w:val="0"/>
                          <w:marBottom w:val="0"/>
                          <w:divBdr>
                            <w:top w:val="none" w:sz="0" w:space="0" w:color="auto"/>
                            <w:left w:val="none" w:sz="0" w:space="0" w:color="auto"/>
                            <w:bottom w:val="none" w:sz="0" w:space="0" w:color="auto"/>
                            <w:right w:val="none" w:sz="0" w:space="0" w:color="auto"/>
                          </w:divBdr>
                          <w:divsChild>
                            <w:div w:id="2003314571">
                              <w:marLeft w:val="0"/>
                              <w:marRight w:val="0"/>
                              <w:marTop w:val="0"/>
                              <w:marBottom w:val="0"/>
                              <w:divBdr>
                                <w:top w:val="none" w:sz="0" w:space="0" w:color="auto"/>
                                <w:left w:val="none" w:sz="0" w:space="0" w:color="auto"/>
                                <w:bottom w:val="none" w:sz="0" w:space="0" w:color="auto"/>
                                <w:right w:val="none" w:sz="0" w:space="0" w:color="auto"/>
                              </w:divBdr>
                              <w:divsChild>
                                <w:div w:id="200331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3314578">
      <w:marLeft w:val="0"/>
      <w:marRight w:val="0"/>
      <w:marTop w:val="0"/>
      <w:marBottom w:val="0"/>
      <w:divBdr>
        <w:top w:val="none" w:sz="0" w:space="0" w:color="auto"/>
        <w:left w:val="none" w:sz="0" w:space="0" w:color="auto"/>
        <w:bottom w:val="none" w:sz="0" w:space="0" w:color="auto"/>
        <w:right w:val="none" w:sz="0" w:space="0" w:color="auto"/>
      </w:divBdr>
    </w:div>
    <w:div w:id="2003314581">
      <w:marLeft w:val="0"/>
      <w:marRight w:val="0"/>
      <w:marTop w:val="0"/>
      <w:marBottom w:val="0"/>
      <w:divBdr>
        <w:top w:val="none" w:sz="0" w:space="0" w:color="auto"/>
        <w:left w:val="none" w:sz="0" w:space="0" w:color="auto"/>
        <w:bottom w:val="none" w:sz="0" w:space="0" w:color="auto"/>
        <w:right w:val="none" w:sz="0" w:space="0" w:color="auto"/>
      </w:divBdr>
      <w:divsChild>
        <w:div w:id="2003314561">
          <w:marLeft w:val="0"/>
          <w:marRight w:val="0"/>
          <w:marTop w:val="0"/>
          <w:marBottom w:val="0"/>
          <w:divBdr>
            <w:top w:val="none" w:sz="0" w:space="0" w:color="auto"/>
            <w:left w:val="none" w:sz="0" w:space="0" w:color="auto"/>
            <w:bottom w:val="none" w:sz="0" w:space="0" w:color="auto"/>
            <w:right w:val="none" w:sz="0" w:space="0" w:color="auto"/>
          </w:divBdr>
          <w:divsChild>
            <w:div w:id="2003314570">
              <w:marLeft w:val="0"/>
              <w:marRight w:val="0"/>
              <w:marTop w:val="0"/>
              <w:marBottom w:val="0"/>
              <w:divBdr>
                <w:top w:val="none" w:sz="0" w:space="0" w:color="auto"/>
                <w:left w:val="none" w:sz="0" w:space="0" w:color="auto"/>
                <w:bottom w:val="none" w:sz="0" w:space="0" w:color="auto"/>
                <w:right w:val="none" w:sz="0" w:space="0" w:color="auto"/>
              </w:divBdr>
              <w:divsChild>
                <w:div w:id="200331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314587">
      <w:marLeft w:val="0"/>
      <w:marRight w:val="0"/>
      <w:marTop w:val="0"/>
      <w:marBottom w:val="0"/>
      <w:divBdr>
        <w:top w:val="none" w:sz="0" w:space="0" w:color="auto"/>
        <w:left w:val="none" w:sz="0" w:space="0" w:color="auto"/>
        <w:bottom w:val="none" w:sz="0" w:space="0" w:color="auto"/>
        <w:right w:val="none" w:sz="0" w:space="0" w:color="auto"/>
      </w:divBdr>
      <w:divsChild>
        <w:div w:id="2003314560">
          <w:marLeft w:val="0"/>
          <w:marRight w:val="0"/>
          <w:marTop w:val="0"/>
          <w:marBottom w:val="0"/>
          <w:divBdr>
            <w:top w:val="none" w:sz="0" w:space="0" w:color="auto"/>
            <w:left w:val="none" w:sz="0" w:space="0" w:color="auto"/>
            <w:bottom w:val="none" w:sz="0" w:space="0" w:color="auto"/>
            <w:right w:val="none" w:sz="0" w:space="0" w:color="auto"/>
          </w:divBdr>
          <w:divsChild>
            <w:div w:id="200331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314590">
      <w:marLeft w:val="0"/>
      <w:marRight w:val="0"/>
      <w:marTop w:val="0"/>
      <w:marBottom w:val="0"/>
      <w:divBdr>
        <w:top w:val="none" w:sz="0" w:space="0" w:color="auto"/>
        <w:left w:val="none" w:sz="0" w:space="0" w:color="auto"/>
        <w:bottom w:val="none" w:sz="0" w:space="0" w:color="auto"/>
        <w:right w:val="none" w:sz="0" w:space="0" w:color="auto"/>
      </w:divBdr>
      <w:divsChild>
        <w:div w:id="2003314566">
          <w:marLeft w:val="0"/>
          <w:marRight w:val="0"/>
          <w:marTop w:val="0"/>
          <w:marBottom w:val="0"/>
          <w:divBdr>
            <w:top w:val="none" w:sz="0" w:space="0" w:color="auto"/>
            <w:left w:val="none" w:sz="0" w:space="0" w:color="auto"/>
            <w:bottom w:val="none" w:sz="0" w:space="0" w:color="auto"/>
            <w:right w:val="none" w:sz="0" w:space="0" w:color="auto"/>
          </w:divBdr>
          <w:divsChild>
            <w:div w:id="2003314580">
              <w:marLeft w:val="0"/>
              <w:marRight w:val="0"/>
              <w:marTop w:val="0"/>
              <w:marBottom w:val="0"/>
              <w:divBdr>
                <w:top w:val="none" w:sz="0" w:space="0" w:color="auto"/>
                <w:left w:val="none" w:sz="0" w:space="0" w:color="auto"/>
                <w:bottom w:val="none" w:sz="0" w:space="0" w:color="auto"/>
                <w:right w:val="none" w:sz="0" w:space="0" w:color="auto"/>
              </w:divBdr>
              <w:divsChild>
                <w:div w:id="200331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314591">
      <w:marLeft w:val="0"/>
      <w:marRight w:val="0"/>
      <w:marTop w:val="0"/>
      <w:marBottom w:val="0"/>
      <w:divBdr>
        <w:top w:val="none" w:sz="0" w:space="0" w:color="auto"/>
        <w:left w:val="none" w:sz="0" w:space="0" w:color="auto"/>
        <w:bottom w:val="none" w:sz="0" w:space="0" w:color="auto"/>
        <w:right w:val="none" w:sz="0" w:space="0" w:color="auto"/>
      </w:divBdr>
      <w:divsChild>
        <w:div w:id="2003314586">
          <w:marLeft w:val="0"/>
          <w:marRight w:val="0"/>
          <w:marTop w:val="0"/>
          <w:marBottom w:val="0"/>
          <w:divBdr>
            <w:top w:val="none" w:sz="0" w:space="0" w:color="auto"/>
            <w:left w:val="none" w:sz="0" w:space="0" w:color="auto"/>
            <w:bottom w:val="none" w:sz="0" w:space="0" w:color="auto"/>
            <w:right w:val="none" w:sz="0" w:space="0" w:color="auto"/>
          </w:divBdr>
          <w:divsChild>
            <w:div w:id="2003314562">
              <w:marLeft w:val="0"/>
              <w:marRight w:val="0"/>
              <w:marTop w:val="0"/>
              <w:marBottom w:val="0"/>
              <w:divBdr>
                <w:top w:val="none" w:sz="0" w:space="0" w:color="auto"/>
                <w:left w:val="none" w:sz="0" w:space="0" w:color="auto"/>
                <w:bottom w:val="none" w:sz="0" w:space="0" w:color="auto"/>
                <w:right w:val="none" w:sz="0" w:space="0" w:color="auto"/>
              </w:divBdr>
              <w:divsChild>
                <w:div w:id="2003314579">
                  <w:marLeft w:val="0"/>
                  <w:marRight w:val="0"/>
                  <w:marTop w:val="0"/>
                  <w:marBottom w:val="0"/>
                  <w:divBdr>
                    <w:top w:val="none" w:sz="0" w:space="0" w:color="auto"/>
                    <w:left w:val="none" w:sz="0" w:space="0" w:color="auto"/>
                    <w:bottom w:val="none" w:sz="0" w:space="0" w:color="auto"/>
                    <w:right w:val="none" w:sz="0" w:space="0" w:color="auto"/>
                  </w:divBdr>
                  <w:divsChild>
                    <w:div w:id="2003314569">
                      <w:marLeft w:val="0"/>
                      <w:marRight w:val="0"/>
                      <w:marTop w:val="0"/>
                      <w:marBottom w:val="0"/>
                      <w:divBdr>
                        <w:top w:val="none" w:sz="0" w:space="0" w:color="auto"/>
                        <w:left w:val="none" w:sz="0" w:space="0" w:color="auto"/>
                        <w:bottom w:val="none" w:sz="0" w:space="0" w:color="auto"/>
                        <w:right w:val="none" w:sz="0" w:space="0" w:color="auto"/>
                      </w:divBdr>
                      <w:divsChild>
                        <w:div w:id="2003314601">
                          <w:marLeft w:val="0"/>
                          <w:marRight w:val="0"/>
                          <w:marTop w:val="0"/>
                          <w:marBottom w:val="0"/>
                          <w:divBdr>
                            <w:top w:val="none" w:sz="0" w:space="0" w:color="auto"/>
                            <w:left w:val="none" w:sz="0" w:space="0" w:color="auto"/>
                            <w:bottom w:val="none" w:sz="0" w:space="0" w:color="auto"/>
                            <w:right w:val="none" w:sz="0" w:space="0" w:color="auto"/>
                          </w:divBdr>
                          <w:divsChild>
                            <w:div w:id="2003314597">
                              <w:marLeft w:val="0"/>
                              <w:marRight w:val="0"/>
                              <w:marTop w:val="0"/>
                              <w:marBottom w:val="0"/>
                              <w:divBdr>
                                <w:top w:val="none" w:sz="0" w:space="0" w:color="auto"/>
                                <w:left w:val="none" w:sz="0" w:space="0" w:color="auto"/>
                                <w:bottom w:val="none" w:sz="0" w:space="0" w:color="auto"/>
                                <w:right w:val="none" w:sz="0" w:space="0" w:color="auto"/>
                              </w:divBdr>
                              <w:divsChild>
                                <w:div w:id="200331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3314593">
      <w:marLeft w:val="0"/>
      <w:marRight w:val="0"/>
      <w:marTop w:val="0"/>
      <w:marBottom w:val="0"/>
      <w:divBdr>
        <w:top w:val="none" w:sz="0" w:space="0" w:color="auto"/>
        <w:left w:val="none" w:sz="0" w:space="0" w:color="auto"/>
        <w:bottom w:val="none" w:sz="0" w:space="0" w:color="auto"/>
        <w:right w:val="none" w:sz="0" w:space="0" w:color="auto"/>
      </w:divBdr>
    </w:div>
    <w:div w:id="2003314595">
      <w:marLeft w:val="0"/>
      <w:marRight w:val="0"/>
      <w:marTop w:val="0"/>
      <w:marBottom w:val="0"/>
      <w:divBdr>
        <w:top w:val="none" w:sz="0" w:space="0" w:color="auto"/>
        <w:left w:val="none" w:sz="0" w:space="0" w:color="auto"/>
        <w:bottom w:val="none" w:sz="0" w:space="0" w:color="auto"/>
        <w:right w:val="none" w:sz="0" w:space="0" w:color="auto"/>
      </w:divBdr>
    </w:div>
    <w:div w:id="2003314598">
      <w:marLeft w:val="0"/>
      <w:marRight w:val="0"/>
      <w:marTop w:val="0"/>
      <w:marBottom w:val="0"/>
      <w:divBdr>
        <w:top w:val="none" w:sz="0" w:space="0" w:color="auto"/>
        <w:left w:val="none" w:sz="0" w:space="0" w:color="auto"/>
        <w:bottom w:val="none" w:sz="0" w:space="0" w:color="auto"/>
        <w:right w:val="none" w:sz="0" w:space="0" w:color="auto"/>
      </w:divBdr>
    </w:div>
    <w:div w:id="2003314604">
      <w:marLeft w:val="0"/>
      <w:marRight w:val="0"/>
      <w:marTop w:val="0"/>
      <w:marBottom w:val="0"/>
      <w:divBdr>
        <w:top w:val="none" w:sz="0" w:space="0" w:color="auto"/>
        <w:left w:val="none" w:sz="0" w:space="0" w:color="auto"/>
        <w:bottom w:val="none" w:sz="0" w:space="0" w:color="auto"/>
        <w:right w:val="none" w:sz="0" w:space="0" w:color="auto"/>
      </w:divBdr>
      <w:divsChild>
        <w:div w:id="2003314564">
          <w:marLeft w:val="0"/>
          <w:marRight w:val="0"/>
          <w:marTop w:val="0"/>
          <w:marBottom w:val="0"/>
          <w:divBdr>
            <w:top w:val="none" w:sz="0" w:space="0" w:color="auto"/>
            <w:left w:val="none" w:sz="0" w:space="0" w:color="auto"/>
            <w:bottom w:val="none" w:sz="0" w:space="0" w:color="auto"/>
            <w:right w:val="none" w:sz="0" w:space="0" w:color="auto"/>
          </w:divBdr>
          <w:divsChild>
            <w:div w:id="2003314567">
              <w:marLeft w:val="0"/>
              <w:marRight w:val="0"/>
              <w:marTop w:val="0"/>
              <w:marBottom w:val="0"/>
              <w:divBdr>
                <w:top w:val="none" w:sz="0" w:space="0" w:color="auto"/>
                <w:left w:val="none" w:sz="0" w:space="0" w:color="auto"/>
                <w:bottom w:val="none" w:sz="0" w:space="0" w:color="auto"/>
                <w:right w:val="none" w:sz="0" w:space="0" w:color="auto"/>
              </w:divBdr>
              <w:divsChild>
                <w:div w:id="2003314577">
                  <w:marLeft w:val="0"/>
                  <w:marRight w:val="0"/>
                  <w:marTop w:val="0"/>
                  <w:marBottom w:val="0"/>
                  <w:divBdr>
                    <w:top w:val="none" w:sz="0" w:space="0" w:color="auto"/>
                    <w:left w:val="none" w:sz="0" w:space="0" w:color="auto"/>
                    <w:bottom w:val="none" w:sz="0" w:space="0" w:color="auto"/>
                    <w:right w:val="none" w:sz="0" w:space="0" w:color="auto"/>
                  </w:divBdr>
                  <w:divsChild>
                    <w:div w:id="2003314588">
                      <w:marLeft w:val="0"/>
                      <w:marRight w:val="0"/>
                      <w:marTop w:val="0"/>
                      <w:marBottom w:val="0"/>
                      <w:divBdr>
                        <w:top w:val="none" w:sz="0" w:space="0" w:color="auto"/>
                        <w:left w:val="none" w:sz="0" w:space="0" w:color="auto"/>
                        <w:bottom w:val="none" w:sz="0" w:space="0" w:color="auto"/>
                        <w:right w:val="none" w:sz="0" w:space="0" w:color="auto"/>
                      </w:divBdr>
                      <w:divsChild>
                        <w:div w:id="200331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http://www.comlaw.gov.au/Series/C2004A00275" TargetMode="External"/><Relationship Id="rId26" Type="http://schemas.openxmlformats.org/officeDocument/2006/relationships/footer" Target="footer4.xml"/><Relationship Id="rId3" Type="http://schemas.openxmlformats.org/officeDocument/2006/relationships/numbering" Target="numbering.xml"/><Relationship Id="rId21" Type="http://schemas.openxmlformats.org/officeDocument/2006/relationships/hyperlink" Target="http://www.comlaw.gov.au/Series/C2004A00275"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www.comlaw.gov.au/Series/C2004A00275" TargetMode="External"/><Relationship Id="rId25" Type="http://schemas.openxmlformats.org/officeDocument/2006/relationships/hyperlink" Target="http://www.comlaw.gov.au/Series/C2004A00275" TargetMode="External"/><Relationship Id="rId2" Type="http://schemas.openxmlformats.org/officeDocument/2006/relationships/customXml" Target="../customXml/item2.xml"/><Relationship Id="rId16" Type="http://schemas.openxmlformats.org/officeDocument/2006/relationships/hyperlink" Target="http://www.comlaw.gov.au/Series/C2004A00275" TargetMode="External"/><Relationship Id="rId20" Type="http://schemas.openxmlformats.org/officeDocument/2006/relationships/hyperlink" Target="http://www.comlaw.gov.au/Series/C2004A00275"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www.comlaw.gov.au/Series/C2004A00275" TargetMode="External"/><Relationship Id="rId5" Type="http://schemas.openxmlformats.org/officeDocument/2006/relationships/settings" Target="settings.xml"/><Relationship Id="rId15" Type="http://schemas.openxmlformats.org/officeDocument/2006/relationships/hyperlink" Target="https://www.parliament.act.gov.au/__data/assets/pdf_file/0019/3056113/Report-8-Inquiry-into-the-management-of-strata-properties-Adopted-29-April-2026.pdf" TargetMode="External"/><Relationship Id="rId23" Type="http://schemas.openxmlformats.org/officeDocument/2006/relationships/hyperlink" Target="http://www.comlaw.gov.au/Series/C2004A00275" TargetMode="Externa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yperlink" Target="http://www.comlaw.gov.au/Series/C2004A00275"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www.comlaw.gov.au/Series/C2004A00275" TargetMode="External"/><Relationship Id="rId27" Type="http://schemas.openxmlformats.org/officeDocument/2006/relationships/footer" Target="footer5.xml"/></Relationships>
</file>

<file path=word/_rels/footnotes.xml.rels><?xml version="1.0" encoding="UTF-8" standalone="yes"?>
<Relationships xmlns="http://schemas.openxmlformats.org/package/2006/relationships"><Relationship Id="rId3" Type="http://schemas.openxmlformats.org/officeDocument/2006/relationships/hyperlink" Target="https://www.climatechoices.act.gov.au/__data/assets/pdf_file/0006/2509458/integrated-energy-plan-2024-2030.pdf" TargetMode="External"/><Relationship Id="rId2" Type="http://schemas.openxmlformats.org/officeDocument/2006/relationships/hyperlink" Target="https://documents.un.org/doc/undoc/gen/n22/442/77/pdf/n2244277.pdf" TargetMode="External"/><Relationship Id="rId1" Type="http://schemas.openxmlformats.org/officeDocument/2006/relationships/hyperlink" Target="https://www.parliament.act.gov.au/__data/assets/pdf_file/0019/3056113/Report-8-Inquiry-into-the-management-of-strata-properties-Adopted-29-April-202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EF988E-63A9-4BF6-B8A9-0E7FA2677193}">
  <ds:schemaRefs>
    <ds:schemaRef ds:uri="http://schemas.openxmlformats.org/officeDocument/2006/bibliography"/>
  </ds:schemaRefs>
</ds:datastoreItem>
</file>

<file path=customXml/itemProps2.xml><?xml version="1.0" encoding="utf-8"?>
<ds:datastoreItem xmlns:ds="http://schemas.openxmlformats.org/officeDocument/2006/customXml" ds:itemID="{11BE3CDE-CD63-41CA-9AC7-E7EF218FF1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7710</Words>
  <Characters>39553</Characters>
  <Application>Microsoft Office Word</Application>
  <DocSecurity>0</DocSecurity>
  <Lines>775</Lines>
  <Paragraphs>381</Paragraphs>
  <ScaleCrop>false</ScaleCrop>
  <HeadingPairs>
    <vt:vector size="2" baseType="variant">
      <vt:variant>
        <vt:lpstr>Title</vt:lpstr>
      </vt:variant>
      <vt:variant>
        <vt:i4>1</vt:i4>
      </vt:variant>
    </vt:vector>
  </HeadingPairs>
  <TitlesOfParts>
    <vt:vector size="1" baseType="lpstr">
      <vt:lpstr/>
    </vt:vector>
  </TitlesOfParts>
  <Company>ACT Government</Company>
  <LinksUpToDate>false</LinksUpToDate>
  <CharactersWithSpaces>46882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 Government</dc:creator>
  <cp:keywords>Senior Practitioner Amendment Bill 2019, Senior Practitioner Act 2018, restrictive practice</cp:keywords>
  <dc:description/>
  <cp:lastModifiedBy>PCODCS</cp:lastModifiedBy>
  <cp:revision>4</cp:revision>
  <cp:lastPrinted>2019-05-13T07:51:00Z</cp:lastPrinted>
  <dcterms:created xsi:type="dcterms:W3CDTF">2026-09-15T00:01:00Z</dcterms:created>
  <dcterms:modified xsi:type="dcterms:W3CDTF">2026-09-15T00:01:00Z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2026-01-15T03:15:47Z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0cda49c1-bb20-4d28-8d56-8663cb0b20e1</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