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01A45" w14:textId="77777777" w:rsidR="008205A2" w:rsidRPr="008C3B92" w:rsidRDefault="008205A2" w:rsidP="008205A2">
      <w:pPr>
        <w:spacing w:after="0"/>
        <w:rPr>
          <w:rFonts w:ascii="Arial" w:hAnsi="Arial" w:cs="Arial"/>
          <w:b/>
          <w:bCs/>
          <w:sz w:val="24"/>
          <w:szCs w:val="24"/>
        </w:rPr>
      </w:pPr>
      <w:bookmarkStart w:id="0" w:name="OLE_LINK1"/>
      <w:bookmarkEnd w:id="0"/>
    </w:p>
    <w:p w14:paraId="033C9725" w14:textId="77777777" w:rsidR="008205A2" w:rsidRPr="00BB387E" w:rsidRDefault="008205A2" w:rsidP="008205A2">
      <w:pPr>
        <w:spacing w:after="0"/>
        <w:jc w:val="center"/>
        <w:rPr>
          <w:rFonts w:ascii="Arial" w:hAnsi="Arial" w:cs="Arial"/>
          <w:b/>
          <w:bCs/>
          <w:sz w:val="24"/>
          <w:szCs w:val="24"/>
        </w:rPr>
      </w:pPr>
      <w:r w:rsidRPr="00BB387E">
        <w:rPr>
          <w:rFonts w:ascii="Arial" w:hAnsi="Arial" w:cs="Arial"/>
          <w:b/>
          <w:bCs/>
          <w:sz w:val="24"/>
          <w:szCs w:val="24"/>
        </w:rPr>
        <w:t>20</w:t>
      </w:r>
      <w:r>
        <w:rPr>
          <w:rFonts w:ascii="Arial" w:hAnsi="Arial" w:cs="Arial"/>
          <w:b/>
          <w:bCs/>
          <w:sz w:val="24"/>
          <w:szCs w:val="24"/>
        </w:rPr>
        <w:t>26</w:t>
      </w:r>
    </w:p>
    <w:p w14:paraId="467F2442" w14:textId="77777777" w:rsidR="008205A2" w:rsidRPr="00BB387E" w:rsidRDefault="008205A2" w:rsidP="008205A2">
      <w:pPr>
        <w:spacing w:after="0"/>
        <w:jc w:val="center"/>
        <w:rPr>
          <w:rFonts w:ascii="Arial" w:hAnsi="Arial" w:cs="Arial"/>
          <w:b/>
          <w:sz w:val="24"/>
          <w:szCs w:val="24"/>
        </w:rPr>
      </w:pPr>
    </w:p>
    <w:p w14:paraId="169ECC33" w14:textId="77777777" w:rsidR="008205A2" w:rsidRPr="00BB387E" w:rsidRDefault="008205A2" w:rsidP="008205A2">
      <w:pPr>
        <w:spacing w:after="0"/>
        <w:jc w:val="center"/>
        <w:rPr>
          <w:rFonts w:ascii="Arial" w:hAnsi="Arial" w:cs="Arial"/>
          <w:b/>
          <w:sz w:val="24"/>
          <w:szCs w:val="24"/>
        </w:rPr>
      </w:pPr>
    </w:p>
    <w:p w14:paraId="650C914C" w14:textId="77777777" w:rsidR="008205A2" w:rsidRPr="00BB387E" w:rsidRDefault="008205A2" w:rsidP="008205A2">
      <w:pPr>
        <w:spacing w:after="0"/>
        <w:jc w:val="center"/>
        <w:rPr>
          <w:rFonts w:ascii="Arial" w:hAnsi="Arial" w:cs="Arial"/>
          <w:b/>
          <w:sz w:val="24"/>
          <w:szCs w:val="24"/>
        </w:rPr>
      </w:pPr>
    </w:p>
    <w:p w14:paraId="2E2F0978" w14:textId="77777777" w:rsidR="008205A2" w:rsidRPr="00BB387E" w:rsidRDefault="008205A2" w:rsidP="008205A2">
      <w:pPr>
        <w:spacing w:after="0"/>
        <w:jc w:val="center"/>
        <w:rPr>
          <w:rFonts w:ascii="Arial" w:hAnsi="Arial" w:cs="Arial"/>
          <w:b/>
          <w:sz w:val="24"/>
          <w:szCs w:val="24"/>
        </w:rPr>
      </w:pPr>
    </w:p>
    <w:p w14:paraId="5D8B19E8" w14:textId="77777777" w:rsidR="008205A2" w:rsidRPr="00BB387E" w:rsidRDefault="008205A2" w:rsidP="008205A2">
      <w:pPr>
        <w:spacing w:after="0"/>
        <w:jc w:val="center"/>
        <w:rPr>
          <w:rFonts w:ascii="Arial" w:hAnsi="Arial" w:cs="Arial"/>
          <w:b/>
          <w:bCs/>
          <w:sz w:val="24"/>
          <w:szCs w:val="24"/>
        </w:rPr>
      </w:pPr>
    </w:p>
    <w:p w14:paraId="3C6DC6E7" w14:textId="77777777" w:rsidR="008205A2" w:rsidRPr="00BB387E" w:rsidRDefault="008205A2" w:rsidP="008205A2">
      <w:pPr>
        <w:spacing w:after="0"/>
        <w:jc w:val="center"/>
        <w:rPr>
          <w:rFonts w:ascii="Arial" w:hAnsi="Arial" w:cs="Arial"/>
          <w:b/>
          <w:bCs/>
          <w:sz w:val="24"/>
          <w:szCs w:val="24"/>
        </w:rPr>
      </w:pPr>
    </w:p>
    <w:p w14:paraId="5A745BCA" w14:textId="77777777" w:rsidR="008205A2" w:rsidRPr="00BB387E" w:rsidRDefault="008205A2" w:rsidP="008205A2">
      <w:pPr>
        <w:spacing w:after="0"/>
        <w:jc w:val="center"/>
        <w:rPr>
          <w:rFonts w:ascii="Arial" w:hAnsi="Arial" w:cs="Arial"/>
          <w:b/>
          <w:bCs/>
          <w:sz w:val="24"/>
          <w:szCs w:val="24"/>
        </w:rPr>
      </w:pPr>
      <w:r w:rsidRPr="00BB387E">
        <w:rPr>
          <w:rFonts w:ascii="Arial" w:hAnsi="Arial" w:cs="Arial"/>
          <w:b/>
          <w:bCs/>
          <w:sz w:val="24"/>
          <w:szCs w:val="24"/>
        </w:rPr>
        <w:t>THE LEGISLATIVE ASSEMBLY FOR THE</w:t>
      </w:r>
    </w:p>
    <w:p w14:paraId="3CF24659" w14:textId="77777777" w:rsidR="008205A2" w:rsidRPr="00BB387E" w:rsidRDefault="008205A2" w:rsidP="008205A2">
      <w:pPr>
        <w:spacing w:after="0"/>
        <w:jc w:val="center"/>
        <w:rPr>
          <w:rFonts w:ascii="Arial" w:hAnsi="Arial" w:cs="Arial"/>
          <w:b/>
          <w:sz w:val="24"/>
          <w:szCs w:val="24"/>
        </w:rPr>
      </w:pPr>
      <w:r w:rsidRPr="00BB387E">
        <w:rPr>
          <w:rFonts w:ascii="Arial" w:hAnsi="Arial" w:cs="Arial"/>
          <w:b/>
          <w:bCs/>
          <w:sz w:val="24"/>
          <w:szCs w:val="24"/>
        </w:rPr>
        <w:t>AUSTRALIAN CAPITAL TERRITORY</w:t>
      </w:r>
    </w:p>
    <w:p w14:paraId="3581A8BD" w14:textId="77777777" w:rsidR="008205A2" w:rsidRPr="00BB387E" w:rsidRDefault="008205A2" w:rsidP="008205A2">
      <w:pPr>
        <w:spacing w:after="0"/>
        <w:jc w:val="center"/>
        <w:rPr>
          <w:rFonts w:ascii="Arial" w:hAnsi="Arial" w:cs="Arial"/>
          <w:b/>
          <w:sz w:val="24"/>
          <w:szCs w:val="24"/>
        </w:rPr>
      </w:pPr>
    </w:p>
    <w:p w14:paraId="4A331D6C" w14:textId="77777777" w:rsidR="008205A2" w:rsidRPr="00BB387E" w:rsidRDefault="008205A2" w:rsidP="008205A2">
      <w:pPr>
        <w:spacing w:after="0"/>
        <w:jc w:val="center"/>
        <w:rPr>
          <w:rFonts w:ascii="Arial" w:hAnsi="Arial" w:cs="Arial"/>
          <w:b/>
          <w:sz w:val="24"/>
          <w:szCs w:val="24"/>
        </w:rPr>
      </w:pPr>
    </w:p>
    <w:p w14:paraId="25FC8C02" w14:textId="77777777" w:rsidR="008205A2" w:rsidRPr="00BB387E" w:rsidRDefault="008205A2" w:rsidP="008205A2">
      <w:pPr>
        <w:spacing w:after="0"/>
        <w:jc w:val="center"/>
        <w:rPr>
          <w:rFonts w:ascii="Arial" w:hAnsi="Arial" w:cs="Arial"/>
          <w:b/>
          <w:sz w:val="24"/>
          <w:szCs w:val="24"/>
        </w:rPr>
      </w:pPr>
    </w:p>
    <w:p w14:paraId="6493DF0C" w14:textId="77777777" w:rsidR="008205A2" w:rsidRPr="00BB387E" w:rsidRDefault="008205A2" w:rsidP="008205A2">
      <w:pPr>
        <w:spacing w:after="0"/>
        <w:jc w:val="center"/>
        <w:rPr>
          <w:rFonts w:ascii="Arial" w:hAnsi="Arial" w:cs="Arial"/>
          <w:b/>
          <w:sz w:val="24"/>
          <w:szCs w:val="24"/>
        </w:rPr>
      </w:pPr>
      <w:r>
        <w:rPr>
          <w:rFonts w:ascii="Arial" w:hAnsi="Arial" w:cs="Arial"/>
          <w:b/>
          <w:sz w:val="24"/>
          <w:szCs w:val="24"/>
        </w:rPr>
        <w:t>ELEVENTH ASSEMBLY</w:t>
      </w:r>
    </w:p>
    <w:p w14:paraId="17E0C3A7" w14:textId="77777777" w:rsidR="008205A2" w:rsidRPr="00BB387E" w:rsidRDefault="008205A2" w:rsidP="008205A2">
      <w:pPr>
        <w:spacing w:after="0"/>
        <w:jc w:val="center"/>
        <w:rPr>
          <w:rFonts w:ascii="Arial" w:hAnsi="Arial" w:cs="Arial"/>
          <w:b/>
          <w:sz w:val="24"/>
          <w:szCs w:val="24"/>
        </w:rPr>
      </w:pPr>
    </w:p>
    <w:p w14:paraId="24BE8D8D" w14:textId="77777777" w:rsidR="008205A2" w:rsidRPr="00BB387E" w:rsidRDefault="008205A2" w:rsidP="008205A2">
      <w:pPr>
        <w:spacing w:after="0"/>
        <w:jc w:val="center"/>
        <w:rPr>
          <w:rFonts w:ascii="Arial" w:hAnsi="Arial" w:cs="Arial"/>
          <w:b/>
          <w:sz w:val="24"/>
          <w:szCs w:val="24"/>
        </w:rPr>
      </w:pPr>
    </w:p>
    <w:p w14:paraId="3D491052" w14:textId="77777777" w:rsidR="008205A2" w:rsidRPr="00BB387E" w:rsidRDefault="008205A2" w:rsidP="008205A2">
      <w:pPr>
        <w:spacing w:after="0"/>
        <w:jc w:val="center"/>
        <w:rPr>
          <w:rFonts w:ascii="Arial" w:hAnsi="Arial" w:cs="Arial"/>
          <w:b/>
          <w:sz w:val="24"/>
          <w:szCs w:val="24"/>
        </w:rPr>
      </w:pPr>
    </w:p>
    <w:p w14:paraId="3703F92C" w14:textId="77777777" w:rsidR="008205A2" w:rsidRPr="00BB387E" w:rsidRDefault="008205A2" w:rsidP="008205A2">
      <w:pPr>
        <w:spacing w:after="0"/>
        <w:jc w:val="center"/>
        <w:rPr>
          <w:rFonts w:ascii="Arial" w:hAnsi="Arial" w:cs="Arial"/>
          <w:b/>
          <w:sz w:val="24"/>
          <w:szCs w:val="24"/>
        </w:rPr>
      </w:pPr>
    </w:p>
    <w:p w14:paraId="2E7AEF97" w14:textId="77777777" w:rsidR="008205A2" w:rsidRPr="00FD6931" w:rsidRDefault="008205A2" w:rsidP="008205A2">
      <w:pPr>
        <w:spacing w:after="0"/>
        <w:jc w:val="center"/>
        <w:rPr>
          <w:rFonts w:ascii="Arial" w:hAnsi="Arial" w:cs="Arial"/>
          <w:b/>
          <w:sz w:val="24"/>
          <w:szCs w:val="24"/>
        </w:rPr>
      </w:pPr>
    </w:p>
    <w:p w14:paraId="3D464F32" w14:textId="77777777" w:rsidR="008205A2" w:rsidRPr="00FD6931" w:rsidRDefault="008205A2" w:rsidP="008205A2">
      <w:pPr>
        <w:spacing w:after="0"/>
        <w:jc w:val="center"/>
        <w:rPr>
          <w:rFonts w:ascii="Arial" w:hAnsi="Arial" w:cs="Arial"/>
          <w:b/>
          <w:sz w:val="24"/>
          <w:szCs w:val="24"/>
        </w:rPr>
      </w:pPr>
    </w:p>
    <w:p w14:paraId="4D58F4C0" w14:textId="77777777" w:rsidR="008205A2" w:rsidRPr="00FD6931" w:rsidRDefault="008205A2" w:rsidP="008205A2">
      <w:pPr>
        <w:spacing w:after="0"/>
        <w:jc w:val="center"/>
        <w:rPr>
          <w:rFonts w:ascii="Arial" w:hAnsi="Arial" w:cs="Arial"/>
          <w:b/>
          <w:bCs/>
          <w:sz w:val="24"/>
          <w:szCs w:val="24"/>
        </w:rPr>
      </w:pPr>
      <w:r w:rsidRPr="00FD6931">
        <w:rPr>
          <w:rFonts w:ascii="Arial" w:hAnsi="Arial" w:cs="Arial"/>
          <w:b/>
          <w:bCs/>
          <w:sz w:val="24"/>
          <w:szCs w:val="24"/>
        </w:rPr>
        <w:t>Utilities Legislation Amendment Bill 2026</w:t>
      </w:r>
    </w:p>
    <w:p w14:paraId="68B23D71" w14:textId="77777777" w:rsidR="008205A2" w:rsidRPr="00FD6931" w:rsidRDefault="008205A2" w:rsidP="008205A2">
      <w:pPr>
        <w:spacing w:after="0"/>
        <w:jc w:val="center"/>
        <w:rPr>
          <w:rFonts w:ascii="Arial" w:hAnsi="Arial" w:cs="Arial"/>
          <w:b/>
          <w:bCs/>
          <w:sz w:val="24"/>
          <w:szCs w:val="24"/>
        </w:rPr>
      </w:pPr>
    </w:p>
    <w:p w14:paraId="18EC1422" w14:textId="77777777" w:rsidR="008205A2" w:rsidRPr="00FD6931" w:rsidRDefault="008205A2" w:rsidP="008205A2">
      <w:pPr>
        <w:spacing w:after="0"/>
        <w:jc w:val="center"/>
        <w:rPr>
          <w:rFonts w:ascii="Arial" w:hAnsi="Arial" w:cs="Arial"/>
          <w:b/>
          <w:sz w:val="24"/>
          <w:szCs w:val="24"/>
        </w:rPr>
      </w:pPr>
    </w:p>
    <w:p w14:paraId="33CD2E66" w14:textId="77777777" w:rsidR="008205A2" w:rsidRPr="00FD6931" w:rsidRDefault="008205A2" w:rsidP="008205A2">
      <w:pPr>
        <w:spacing w:after="0"/>
        <w:jc w:val="center"/>
        <w:rPr>
          <w:rFonts w:ascii="Arial" w:hAnsi="Arial" w:cs="Arial"/>
          <w:i/>
          <w:iCs/>
          <w:sz w:val="24"/>
          <w:szCs w:val="24"/>
        </w:rPr>
      </w:pPr>
    </w:p>
    <w:p w14:paraId="6179D4EC" w14:textId="77777777" w:rsidR="008205A2" w:rsidRDefault="008205A2" w:rsidP="008205A2">
      <w:pPr>
        <w:spacing w:after="0"/>
        <w:jc w:val="center"/>
        <w:rPr>
          <w:rFonts w:ascii="Arial" w:hAnsi="Arial" w:cs="Arial"/>
          <w:b/>
          <w:bCs/>
          <w:sz w:val="24"/>
          <w:szCs w:val="24"/>
        </w:rPr>
      </w:pPr>
      <w:r w:rsidRPr="00BB387E">
        <w:rPr>
          <w:rFonts w:ascii="Arial" w:hAnsi="Arial" w:cs="Arial"/>
          <w:b/>
          <w:bCs/>
          <w:sz w:val="24"/>
          <w:szCs w:val="24"/>
        </w:rPr>
        <w:t>EXPLANATORY STATEMENT</w:t>
      </w:r>
      <w:r>
        <w:rPr>
          <w:rFonts w:ascii="Arial" w:hAnsi="Arial" w:cs="Arial"/>
          <w:b/>
          <w:bCs/>
          <w:sz w:val="24"/>
          <w:szCs w:val="24"/>
        </w:rPr>
        <w:t xml:space="preserve"> </w:t>
      </w:r>
    </w:p>
    <w:p w14:paraId="19EA41B8" w14:textId="77777777" w:rsidR="008205A2" w:rsidRDefault="008205A2" w:rsidP="008205A2">
      <w:pPr>
        <w:tabs>
          <w:tab w:val="center" w:pos="4513"/>
          <w:tab w:val="left" w:pos="6709"/>
        </w:tabs>
        <w:spacing w:after="0"/>
        <w:rPr>
          <w:rFonts w:ascii="Arial" w:hAnsi="Arial" w:cs="Arial"/>
          <w:b/>
          <w:bCs/>
          <w:sz w:val="24"/>
          <w:szCs w:val="24"/>
        </w:rPr>
      </w:pPr>
      <w:r>
        <w:rPr>
          <w:rFonts w:ascii="Arial" w:hAnsi="Arial" w:cs="Arial"/>
          <w:b/>
          <w:bCs/>
          <w:sz w:val="24"/>
          <w:szCs w:val="24"/>
        </w:rPr>
        <w:tab/>
        <w:t>and</w:t>
      </w:r>
      <w:r>
        <w:rPr>
          <w:rFonts w:ascii="Arial" w:hAnsi="Arial" w:cs="Arial"/>
          <w:b/>
          <w:bCs/>
          <w:sz w:val="24"/>
          <w:szCs w:val="24"/>
        </w:rPr>
        <w:tab/>
      </w:r>
    </w:p>
    <w:p w14:paraId="4AE7FD78" w14:textId="77777777" w:rsidR="008205A2" w:rsidRDefault="008205A2" w:rsidP="008205A2">
      <w:pPr>
        <w:spacing w:after="0"/>
        <w:jc w:val="center"/>
        <w:rPr>
          <w:rFonts w:ascii="Arial" w:hAnsi="Arial" w:cs="Arial"/>
          <w:b/>
          <w:bCs/>
          <w:sz w:val="24"/>
          <w:szCs w:val="24"/>
        </w:rPr>
      </w:pPr>
      <w:r>
        <w:rPr>
          <w:rFonts w:ascii="Arial" w:hAnsi="Arial" w:cs="Arial"/>
          <w:b/>
          <w:bCs/>
          <w:sz w:val="24"/>
          <w:szCs w:val="24"/>
        </w:rPr>
        <w:t xml:space="preserve"> HUMAN RIGHTS COMPATIBILITY STATEMENT</w:t>
      </w:r>
    </w:p>
    <w:p w14:paraId="40F3C554" w14:textId="77777777" w:rsidR="008205A2" w:rsidRPr="00BB387E" w:rsidRDefault="008205A2" w:rsidP="008205A2">
      <w:pPr>
        <w:spacing w:after="0"/>
        <w:jc w:val="center"/>
        <w:rPr>
          <w:rFonts w:ascii="Arial" w:hAnsi="Arial" w:cs="Arial"/>
          <w:b/>
          <w:sz w:val="24"/>
          <w:szCs w:val="24"/>
        </w:rPr>
      </w:pPr>
      <w:r>
        <w:rPr>
          <w:rFonts w:ascii="Arial" w:hAnsi="Arial" w:cs="Arial"/>
          <w:b/>
          <w:bCs/>
          <w:sz w:val="24"/>
          <w:szCs w:val="24"/>
        </w:rPr>
        <w:t>(</w:t>
      </w:r>
      <w:r w:rsidRPr="00BC3EF0">
        <w:rPr>
          <w:rFonts w:ascii="Arial" w:hAnsi="Arial" w:cs="Arial"/>
          <w:b/>
          <w:bCs/>
          <w:i/>
          <w:iCs/>
          <w:sz w:val="24"/>
          <w:szCs w:val="24"/>
        </w:rPr>
        <w:t>Human Rights Act 2004</w:t>
      </w:r>
      <w:r>
        <w:rPr>
          <w:rFonts w:ascii="Arial" w:hAnsi="Arial" w:cs="Arial"/>
          <w:b/>
          <w:bCs/>
          <w:sz w:val="24"/>
          <w:szCs w:val="24"/>
        </w:rPr>
        <w:t>, s 37)</w:t>
      </w:r>
    </w:p>
    <w:p w14:paraId="62E5EE19" w14:textId="77777777" w:rsidR="008205A2" w:rsidRPr="00BB387E" w:rsidRDefault="008205A2" w:rsidP="008205A2">
      <w:pPr>
        <w:spacing w:after="0"/>
        <w:jc w:val="center"/>
        <w:rPr>
          <w:rFonts w:ascii="Arial" w:hAnsi="Arial" w:cs="Arial"/>
          <w:b/>
          <w:sz w:val="24"/>
          <w:szCs w:val="24"/>
        </w:rPr>
      </w:pPr>
    </w:p>
    <w:p w14:paraId="29EC12F8" w14:textId="77777777" w:rsidR="008205A2" w:rsidRPr="00BB387E" w:rsidRDefault="008205A2" w:rsidP="008205A2">
      <w:pPr>
        <w:spacing w:after="0"/>
        <w:jc w:val="center"/>
        <w:rPr>
          <w:rFonts w:ascii="Arial" w:hAnsi="Arial" w:cs="Arial"/>
          <w:b/>
          <w:sz w:val="24"/>
          <w:szCs w:val="24"/>
        </w:rPr>
      </w:pPr>
    </w:p>
    <w:p w14:paraId="60A07E6C" w14:textId="77777777" w:rsidR="008205A2" w:rsidRPr="00BB387E" w:rsidRDefault="008205A2" w:rsidP="008205A2">
      <w:pPr>
        <w:spacing w:after="0"/>
        <w:jc w:val="center"/>
        <w:rPr>
          <w:rFonts w:ascii="Arial" w:hAnsi="Arial" w:cs="Arial"/>
          <w:b/>
          <w:sz w:val="24"/>
          <w:szCs w:val="24"/>
        </w:rPr>
      </w:pPr>
    </w:p>
    <w:p w14:paraId="081ED645" w14:textId="77777777" w:rsidR="008205A2" w:rsidRDefault="008205A2" w:rsidP="008205A2">
      <w:pPr>
        <w:spacing w:after="0"/>
        <w:jc w:val="center"/>
        <w:rPr>
          <w:rFonts w:ascii="Arial" w:hAnsi="Arial" w:cs="Arial"/>
          <w:b/>
          <w:sz w:val="24"/>
          <w:szCs w:val="24"/>
        </w:rPr>
      </w:pPr>
    </w:p>
    <w:p w14:paraId="220ED129" w14:textId="77777777" w:rsidR="008205A2" w:rsidRDefault="008205A2" w:rsidP="008205A2">
      <w:pPr>
        <w:spacing w:after="0"/>
        <w:jc w:val="center"/>
        <w:rPr>
          <w:rFonts w:ascii="Arial" w:hAnsi="Arial" w:cs="Arial"/>
          <w:b/>
          <w:sz w:val="24"/>
          <w:szCs w:val="24"/>
        </w:rPr>
      </w:pPr>
    </w:p>
    <w:p w14:paraId="2D7ADF4C" w14:textId="77777777" w:rsidR="008205A2" w:rsidRDefault="008205A2" w:rsidP="008205A2">
      <w:pPr>
        <w:spacing w:after="0"/>
        <w:jc w:val="center"/>
        <w:rPr>
          <w:rFonts w:ascii="Arial" w:hAnsi="Arial" w:cs="Arial"/>
          <w:b/>
          <w:sz w:val="24"/>
          <w:szCs w:val="24"/>
        </w:rPr>
      </w:pPr>
    </w:p>
    <w:p w14:paraId="5DD5326F" w14:textId="77777777" w:rsidR="008205A2" w:rsidRPr="00BB387E" w:rsidRDefault="008205A2" w:rsidP="008205A2">
      <w:pPr>
        <w:spacing w:after="0"/>
        <w:jc w:val="center"/>
        <w:rPr>
          <w:rFonts w:ascii="Arial" w:hAnsi="Arial" w:cs="Arial"/>
          <w:b/>
          <w:sz w:val="24"/>
          <w:szCs w:val="24"/>
        </w:rPr>
      </w:pPr>
    </w:p>
    <w:p w14:paraId="56FCC5A2" w14:textId="77777777" w:rsidR="008205A2" w:rsidRDefault="008205A2" w:rsidP="008205A2">
      <w:pPr>
        <w:keepNext/>
        <w:widowControl w:val="0"/>
        <w:spacing w:after="0"/>
        <w:jc w:val="center"/>
        <w:outlineLvl w:val="7"/>
        <w:rPr>
          <w:rFonts w:ascii="Arial" w:hAnsi="Arial" w:cs="Arial"/>
          <w:b/>
          <w:bCs/>
          <w:sz w:val="24"/>
          <w:szCs w:val="24"/>
        </w:rPr>
      </w:pPr>
    </w:p>
    <w:p w14:paraId="3A36B49D" w14:textId="77777777" w:rsidR="008205A2" w:rsidRDefault="008205A2" w:rsidP="008205A2">
      <w:pPr>
        <w:keepNext/>
        <w:widowControl w:val="0"/>
        <w:spacing w:after="0"/>
        <w:jc w:val="center"/>
        <w:outlineLvl w:val="7"/>
        <w:rPr>
          <w:rFonts w:ascii="Arial" w:hAnsi="Arial" w:cs="Arial"/>
          <w:b/>
          <w:bCs/>
          <w:sz w:val="24"/>
          <w:szCs w:val="24"/>
        </w:rPr>
      </w:pPr>
    </w:p>
    <w:p w14:paraId="5FBBBFED" w14:textId="77777777" w:rsidR="008205A2" w:rsidRDefault="008205A2" w:rsidP="008205A2">
      <w:pPr>
        <w:keepNext/>
        <w:widowControl w:val="0"/>
        <w:spacing w:after="0"/>
        <w:jc w:val="center"/>
        <w:outlineLvl w:val="7"/>
        <w:rPr>
          <w:rFonts w:ascii="Arial" w:hAnsi="Arial" w:cs="Arial"/>
          <w:b/>
          <w:bCs/>
          <w:sz w:val="24"/>
          <w:szCs w:val="24"/>
        </w:rPr>
      </w:pPr>
    </w:p>
    <w:p w14:paraId="40BEDF95" w14:textId="77777777" w:rsidR="008205A2" w:rsidRDefault="008205A2" w:rsidP="008205A2">
      <w:pPr>
        <w:keepNext/>
        <w:widowControl w:val="0"/>
        <w:spacing w:after="0"/>
        <w:jc w:val="center"/>
        <w:outlineLvl w:val="7"/>
        <w:rPr>
          <w:rFonts w:ascii="Arial" w:hAnsi="Arial" w:cs="Arial"/>
          <w:b/>
          <w:bCs/>
          <w:sz w:val="24"/>
          <w:szCs w:val="24"/>
        </w:rPr>
      </w:pPr>
    </w:p>
    <w:p w14:paraId="759433F6" w14:textId="77777777" w:rsidR="008205A2" w:rsidRDefault="008205A2" w:rsidP="008205A2">
      <w:pPr>
        <w:keepNext/>
        <w:widowControl w:val="0"/>
        <w:spacing w:after="0"/>
        <w:jc w:val="center"/>
        <w:outlineLvl w:val="7"/>
        <w:rPr>
          <w:rFonts w:ascii="Arial" w:hAnsi="Arial" w:cs="Arial"/>
          <w:b/>
          <w:bCs/>
          <w:sz w:val="24"/>
          <w:szCs w:val="24"/>
        </w:rPr>
      </w:pPr>
    </w:p>
    <w:p w14:paraId="519A6698" w14:textId="77777777" w:rsidR="008205A2" w:rsidRPr="00FD6931" w:rsidRDefault="008205A2" w:rsidP="008205A2">
      <w:pPr>
        <w:keepNext/>
        <w:widowControl w:val="0"/>
        <w:spacing w:after="0"/>
        <w:ind w:right="-613"/>
        <w:jc w:val="right"/>
        <w:outlineLvl w:val="7"/>
        <w:rPr>
          <w:rFonts w:ascii="Arial" w:hAnsi="Arial" w:cs="Arial"/>
          <w:b/>
          <w:bCs/>
          <w:sz w:val="24"/>
          <w:szCs w:val="24"/>
        </w:rPr>
      </w:pPr>
      <w:r w:rsidRPr="00FD6931">
        <w:rPr>
          <w:rFonts w:ascii="Arial" w:hAnsi="Arial" w:cs="Arial"/>
          <w:b/>
          <w:bCs/>
          <w:sz w:val="24"/>
          <w:szCs w:val="24"/>
        </w:rPr>
        <w:t>Presented by</w:t>
      </w:r>
    </w:p>
    <w:p w14:paraId="2B5EA35F" w14:textId="77777777" w:rsidR="008205A2" w:rsidRPr="00FD6931" w:rsidRDefault="008205A2" w:rsidP="008205A2">
      <w:pPr>
        <w:spacing w:after="0"/>
        <w:ind w:right="-613"/>
        <w:jc w:val="right"/>
        <w:rPr>
          <w:rFonts w:ascii="Arial" w:hAnsi="Arial" w:cs="Arial"/>
          <w:b/>
          <w:bCs/>
          <w:sz w:val="24"/>
          <w:szCs w:val="24"/>
        </w:rPr>
      </w:pPr>
      <w:r w:rsidRPr="00FD6931">
        <w:rPr>
          <w:rFonts w:ascii="Arial" w:hAnsi="Arial" w:cs="Arial"/>
          <w:b/>
          <w:bCs/>
          <w:sz w:val="24"/>
          <w:szCs w:val="24"/>
        </w:rPr>
        <w:t>Suzanne Orr MLA</w:t>
      </w:r>
    </w:p>
    <w:p w14:paraId="68AE384B" w14:textId="77777777" w:rsidR="008205A2" w:rsidRPr="00FD6931" w:rsidRDefault="008205A2" w:rsidP="008205A2">
      <w:pPr>
        <w:spacing w:after="0"/>
        <w:ind w:right="-613"/>
        <w:jc w:val="right"/>
        <w:rPr>
          <w:rFonts w:ascii="Arial" w:hAnsi="Arial" w:cs="Arial"/>
          <w:b/>
          <w:bCs/>
          <w:sz w:val="24"/>
          <w:szCs w:val="24"/>
        </w:rPr>
      </w:pPr>
      <w:r w:rsidRPr="00FD6931">
        <w:rPr>
          <w:rFonts w:ascii="Arial" w:hAnsi="Arial" w:cs="Arial"/>
          <w:b/>
          <w:bCs/>
          <w:sz w:val="24"/>
          <w:szCs w:val="24"/>
        </w:rPr>
        <w:t>Climate Change, Environment, Energy and Water</w:t>
      </w:r>
    </w:p>
    <w:p w14:paraId="7EB28BB4" w14:textId="77777777" w:rsidR="008205A2" w:rsidRPr="00FD6931" w:rsidRDefault="008205A2" w:rsidP="008205A2">
      <w:pPr>
        <w:spacing w:after="0"/>
        <w:ind w:right="-613"/>
        <w:jc w:val="right"/>
        <w:rPr>
          <w:rFonts w:ascii="Arial" w:hAnsi="Arial" w:cs="Arial"/>
          <w:b/>
          <w:bCs/>
          <w:sz w:val="24"/>
          <w:szCs w:val="24"/>
        </w:rPr>
      </w:pPr>
      <w:r w:rsidRPr="00FD6931">
        <w:rPr>
          <w:rFonts w:ascii="Arial" w:hAnsi="Arial" w:cs="Arial"/>
          <w:b/>
          <w:bCs/>
          <w:sz w:val="24"/>
          <w:szCs w:val="24"/>
        </w:rPr>
        <w:t>September 2026</w:t>
      </w:r>
    </w:p>
    <w:p w14:paraId="22A67F43" w14:textId="2BB09C44" w:rsidR="008205A2" w:rsidRPr="008C3B92" w:rsidRDefault="008205A2" w:rsidP="008205A2">
      <w:pPr>
        <w:spacing w:after="0" w:line="240" w:lineRule="auto"/>
        <w:rPr>
          <w:rFonts w:ascii="Arial" w:hAnsi="Arial" w:cs="Arial"/>
          <w:b/>
          <w:bCs/>
          <w:sz w:val="24"/>
          <w:szCs w:val="24"/>
          <w:u w:val="single"/>
        </w:rPr>
        <w:sectPr w:rsidR="008205A2" w:rsidRPr="008C3B92" w:rsidSect="008205A2">
          <w:headerReference w:type="even" r:id="rId12"/>
          <w:headerReference w:type="default" r:id="rId13"/>
          <w:footerReference w:type="even" r:id="rId14"/>
          <w:footerReference w:type="default" r:id="rId15"/>
          <w:headerReference w:type="first" r:id="rId16"/>
          <w:footerReference w:type="first" r:id="rId17"/>
          <w:pgSz w:w="11906" w:h="16838"/>
          <w:pgMar w:top="1276" w:right="1440" w:bottom="1440" w:left="1440" w:header="709" w:footer="675" w:gutter="0"/>
          <w:pgNumType w:start="1"/>
          <w:cols w:space="708"/>
          <w:docGrid w:linePitch="360"/>
        </w:sectPr>
      </w:pPr>
    </w:p>
    <w:p w14:paraId="414C36B4" w14:textId="4B5127C6" w:rsidR="00E66A2B" w:rsidRDefault="00E66A2B">
      <w:pPr>
        <w:spacing w:after="160" w:line="259" w:lineRule="auto"/>
        <w:rPr>
          <w:rFonts w:ascii="Arial" w:eastAsiaTheme="majorEastAsia" w:hAnsi="Arial"/>
          <w:b/>
          <w:bCs/>
          <w:sz w:val="28"/>
          <w:szCs w:val="28"/>
        </w:rPr>
      </w:pPr>
      <w:r w:rsidRPr="00A07436">
        <w:rPr>
          <w:rFonts w:ascii="Arial" w:hAnsi="Arial" w:cs="Arial"/>
          <w:b/>
          <w:bCs/>
          <w:noProof/>
          <w:sz w:val="24"/>
          <w:szCs w:val="24"/>
          <w:u w:val="single"/>
        </w:rPr>
        <w:lastRenderedPageBreak/>
        <mc:AlternateContent>
          <mc:Choice Requires="wps">
            <w:drawing>
              <wp:anchor distT="0" distB="0" distL="114300" distR="114300" simplePos="0" relativeHeight="251659264" behindDoc="1" locked="0" layoutInCell="0" allowOverlap="1" wp14:anchorId="036FAD53" wp14:editId="6E590D2F">
                <wp:simplePos x="0" y="0"/>
                <wp:positionH relativeFrom="margin">
                  <wp:posOffset>0</wp:posOffset>
                </wp:positionH>
                <wp:positionV relativeFrom="margin">
                  <wp:posOffset>0</wp:posOffset>
                </wp:positionV>
                <wp:extent cx="5943600" cy="2971800"/>
                <wp:effectExtent l="0" t="0" r="0" b="0"/>
                <wp:wrapNone/>
                <wp:docPr id="93854665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943600" cy="29718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C07338B" w14:textId="77777777" w:rsidR="00E66A2B" w:rsidRPr="00A07436" w:rsidRDefault="00E66A2B" w:rsidP="00E66A2B">
                            <w:pPr>
                              <w:jc w:val="center"/>
                              <w:rPr>
                                <w:rFonts w:eastAsia="Calibri" w:cs="Calibri"/>
                                <w:color w:val="C0C0C0"/>
                                <w:sz w:val="36"/>
                                <w:szCs w:val="36"/>
                                <w14:textFill>
                                  <w14:solidFill>
                                    <w14:srgbClr w14:val="C0C0C0">
                                      <w14:alpha w14:val="50000"/>
                                    </w14:srgbClr>
                                  </w14:solidFill>
                                </w14:textFill>
                              </w:rPr>
                            </w:pPr>
                            <w:r w:rsidRPr="00A07436">
                              <w:rPr>
                                <w:rFonts w:eastAsia="Calibri" w:cs="Calibri"/>
                                <w:color w:val="C0C0C0"/>
                                <w:sz w:val="36"/>
                                <w:szCs w:val="36"/>
                                <w14:textFill>
                                  <w14:solidFill>
                                    <w14:srgbClr w14:val="C0C0C0">
                                      <w14:alpha w14:val="50000"/>
                                    </w14:srgbClr>
                                  </w14:solidFill>
                                </w14:textFill>
                              </w:rPr>
                              <w:t>THIS PAGE IS INTENTIONALLY LEFT BLANK</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36FAD53" id="_x0000_t202" coordsize="21600,21600" o:spt="202" path="m,l,21600r21600,l21600,xe">
                <v:stroke joinstyle="miter"/>
                <v:path gradientshapeok="t" o:connecttype="rect"/>
              </v:shapetype>
              <v:shape id="Text Box 1" o:spid="_x0000_s1026" type="#_x0000_t202" style="position:absolute;margin-left:0;margin-top:0;width:468pt;height:234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s97AEAALYDAAAOAAAAZHJzL2Uyb0RvYy54bWysU01v2zAMvQ/YfxB0X+xka9cacYqsXXfp&#10;tgJN0bOij9ibJWqiEjv/fpTiJMN6G5aDEJHU43vk8/xmsB3b6YAtuJpPJyVn2klQrdvU/Hl1/+6K&#10;M4zCKdGB0zXfa+Q3i7dv5r2v9Awa6JQOjEAcVr2veROjr4oCZaOtwAl47ShpIFgR6Ro2hQqiJ3Tb&#10;FbOyvCx6CMoHkBqRoneHJF9kfGO0jN+NQR1ZV3PiFvMZ8rlOZ7GYi2oThG9aOdIQ/8DCitZR0xPU&#10;nYiCbUP7Csq2MgCCiRMJtgBjWqmzBlIzLf9S89QIr7MWGg7605jw/8HKb7sn/xhYHD7BQAvMItA/&#10;gPyJzMFtI9xGL0OAvtFCUeMpP4UzvdXe01pzdKWH+Fm1NONpmmvRe6xG/LQPrDB1WvdfQdETsY2Q&#10;uw0m2DQ6GgYjCrSl/WkzhMgkBS+uP7y/LCklKTe7/ji9okvqIarjcx8wftFgWfpT80Crz/Bi94Dx&#10;UHosGbklOgdicVgPVJI4rkHtiWVPlqg5/tqKoEnx1t4COYhkmgD2hTy3DFlnIp5gV8OLCH7sHYn2&#10;Y3e0RCaQvaGYEzZJVz8IyHbktJ3o2EVJv1HNWEy6zqjpLfolzeu+zUrOPEclZI48i9HIyX1/3nPV&#10;+XNb/AYAAP//AwBQSwMEFAAGAAgAAAAhAD2RDEHaAAAABQEAAA8AAABkcnMvZG93bnJldi54bWxM&#10;j0tPwzAQhO9I/AdrkbhRuzyiEuJUFQ+JAxdKuG/jJYmI11HsNum/Z+FCLyONZjXzbbGefa8ONMYu&#10;sIXlwoAiroPruLFQfbxcrUDFhOywD0wWjhRhXZ6fFZi7MPE7HbapUVLCMUcLbUpDrnWsW/IYF2Eg&#10;luwrjB6T2LHRbsRJyn2vr43JtMeOZaHFgR5bqr+3e28hJbdZHqtnH18/57enqTX1HVbWXl7MmwdQ&#10;ieb0fwy/+IIOpTDtwp5dVL0FeST9qWT3N5nYnYXbbGVAl4U+pS9/AAAA//8DAFBLAQItABQABgAI&#10;AAAAIQC2gziS/gAAAOEBAAATAAAAAAAAAAAAAAAAAAAAAABbQ29udGVudF9UeXBlc10ueG1sUEsB&#10;Ai0AFAAGAAgAAAAhADj9If/WAAAAlAEAAAsAAAAAAAAAAAAAAAAALwEAAF9yZWxzLy5yZWxzUEsB&#10;Ai0AFAAGAAgAAAAhAHv96z3sAQAAtgMAAA4AAAAAAAAAAAAAAAAALgIAAGRycy9lMm9Eb2MueG1s&#10;UEsBAi0AFAAGAAgAAAAhAD2RDEHaAAAABQEAAA8AAAAAAAAAAAAAAAAARgQAAGRycy9kb3ducmV2&#10;LnhtbFBLBQYAAAAABAAEAPMAAABNBQAAAAA=&#10;" o:allowincell="f" filled="f" stroked="f">
                <v:stroke joinstyle="round"/>
                <o:lock v:ext="edit" shapetype="t"/>
                <v:textbox style="mso-fit-shape-to-text:t">
                  <w:txbxContent>
                    <w:p w14:paraId="4C07338B" w14:textId="77777777" w:rsidR="00E66A2B" w:rsidRPr="00A07436" w:rsidRDefault="00E66A2B" w:rsidP="00E66A2B">
                      <w:pPr>
                        <w:jc w:val="center"/>
                        <w:rPr>
                          <w:rFonts w:eastAsia="Calibri" w:cs="Calibri"/>
                          <w:color w:val="C0C0C0"/>
                          <w:sz w:val="36"/>
                          <w:szCs w:val="36"/>
                          <w14:textFill>
                            <w14:solidFill>
                              <w14:srgbClr w14:val="C0C0C0">
                                <w14:alpha w14:val="50000"/>
                              </w14:srgbClr>
                            </w14:solidFill>
                          </w14:textFill>
                        </w:rPr>
                      </w:pPr>
                      <w:r w:rsidRPr="00A07436">
                        <w:rPr>
                          <w:rFonts w:eastAsia="Calibri" w:cs="Calibri"/>
                          <w:color w:val="C0C0C0"/>
                          <w:sz w:val="36"/>
                          <w:szCs w:val="36"/>
                          <w14:textFill>
                            <w14:solidFill>
                              <w14:srgbClr w14:val="C0C0C0">
                                <w14:alpha w14:val="50000"/>
                              </w14:srgbClr>
                            </w14:solidFill>
                          </w14:textFill>
                        </w:rPr>
                        <w:t>THIS PAGE IS INTENTIONALLY LEFT BLANK</w:t>
                      </w:r>
                    </w:p>
                  </w:txbxContent>
                </v:textbox>
                <w10:wrap anchorx="margin" anchory="margin"/>
              </v:shape>
            </w:pict>
          </mc:Fallback>
        </mc:AlternateContent>
      </w:r>
      <w:r>
        <w:br w:type="page"/>
      </w:r>
    </w:p>
    <w:p w14:paraId="686D0561" w14:textId="757C6C1B" w:rsidR="008205A2" w:rsidRPr="00BB387E" w:rsidRDefault="008205A2" w:rsidP="008205A2">
      <w:pPr>
        <w:pStyle w:val="Heading1"/>
        <w:jc w:val="center"/>
      </w:pPr>
      <w:r w:rsidRPr="00FD6931">
        <w:lastRenderedPageBreak/>
        <w:t>Utilities Legislation Amendment Bill 20</w:t>
      </w:r>
      <w:r>
        <w:t>26</w:t>
      </w:r>
    </w:p>
    <w:p w14:paraId="3974447D" w14:textId="77777777" w:rsidR="008205A2" w:rsidRDefault="008205A2" w:rsidP="008205A2">
      <w:pPr>
        <w:spacing w:after="0"/>
        <w:contextualSpacing/>
        <w:rPr>
          <w:rFonts w:ascii="Arial" w:hAnsi="Arial" w:cs="Arial"/>
          <w:bCs/>
          <w:sz w:val="24"/>
          <w:szCs w:val="24"/>
        </w:rPr>
      </w:pPr>
      <w:r>
        <w:rPr>
          <w:rFonts w:ascii="Arial" w:hAnsi="Arial" w:cs="Arial"/>
          <w:bCs/>
          <w:sz w:val="24"/>
          <w:szCs w:val="24"/>
        </w:rPr>
        <w:t xml:space="preserve">This explanatory statement relates to the Utilities Legislation Amendment Bill 2026 (the </w:t>
      </w:r>
      <w:r w:rsidRPr="00FB0519">
        <w:rPr>
          <w:rFonts w:ascii="Arial" w:hAnsi="Arial" w:cs="Arial"/>
          <w:b/>
          <w:sz w:val="24"/>
          <w:szCs w:val="24"/>
        </w:rPr>
        <w:t>Bill</w:t>
      </w:r>
      <w:r>
        <w:rPr>
          <w:rFonts w:ascii="Arial" w:hAnsi="Arial" w:cs="Arial"/>
          <w:bCs/>
          <w:sz w:val="24"/>
          <w:szCs w:val="24"/>
        </w:rPr>
        <w:t>) as presented to the ACT Legislative Assembly.</w:t>
      </w:r>
    </w:p>
    <w:p w14:paraId="3C74389E" w14:textId="77777777" w:rsidR="008205A2" w:rsidRDefault="008205A2" w:rsidP="008205A2">
      <w:pPr>
        <w:spacing w:after="0"/>
        <w:contextualSpacing/>
        <w:rPr>
          <w:rFonts w:ascii="Arial" w:hAnsi="Arial" w:cs="Arial"/>
          <w:bCs/>
          <w:sz w:val="24"/>
          <w:szCs w:val="24"/>
        </w:rPr>
      </w:pPr>
    </w:p>
    <w:p w14:paraId="51ACCAA2" w14:textId="77777777" w:rsidR="008205A2" w:rsidRDefault="008205A2" w:rsidP="008205A2">
      <w:pPr>
        <w:spacing w:after="0"/>
        <w:contextualSpacing/>
        <w:rPr>
          <w:rFonts w:ascii="Arial" w:hAnsi="Arial" w:cs="Arial"/>
          <w:bCs/>
          <w:sz w:val="24"/>
          <w:szCs w:val="24"/>
        </w:rPr>
      </w:pPr>
      <w:r>
        <w:rPr>
          <w:rFonts w:ascii="Arial" w:hAnsi="Arial" w:cs="Arial"/>
          <w:bCs/>
          <w:sz w:val="24"/>
          <w:szCs w:val="24"/>
        </w:rPr>
        <w:t>The statement is to be read in conjunction with the Bill. It is not a complete description but provides information about the intent of the provisions in the Bill.</w:t>
      </w:r>
    </w:p>
    <w:p w14:paraId="6CE67C65" w14:textId="77777777" w:rsidR="008205A2" w:rsidRDefault="008205A2" w:rsidP="008205A2">
      <w:pPr>
        <w:spacing w:after="0"/>
        <w:contextualSpacing/>
        <w:rPr>
          <w:rFonts w:ascii="Arial" w:hAnsi="Arial" w:cs="Arial"/>
          <w:bCs/>
          <w:sz w:val="24"/>
          <w:szCs w:val="24"/>
        </w:rPr>
      </w:pPr>
    </w:p>
    <w:p w14:paraId="613F1CD6" w14:textId="77777777" w:rsidR="008205A2" w:rsidRDefault="008205A2" w:rsidP="008205A2">
      <w:pPr>
        <w:spacing w:after="0"/>
        <w:contextualSpacing/>
        <w:rPr>
          <w:rFonts w:ascii="Arial" w:hAnsi="Arial" w:cs="Arial"/>
          <w:bCs/>
          <w:sz w:val="24"/>
          <w:szCs w:val="24"/>
        </w:rPr>
      </w:pPr>
      <w:r>
        <w:rPr>
          <w:rFonts w:ascii="Arial" w:hAnsi="Arial" w:cs="Arial"/>
          <w:bCs/>
          <w:sz w:val="24"/>
          <w:szCs w:val="24"/>
        </w:rPr>
        <w:t>It has been prepared to assist the reader. It does not form part of the Bill, has not been endorsed by the Assembly and is not to be taken as providing definitive interpretation of the meaning of a provision.</w:t>
      </w:r>
    </w:p>
    <w:p w14:paraId="4D42182E" w14:textId="77777777" w:rsidR="008205A2" w:rsidRDefault="008205A2" w:rsidP="008205A2">
      <w:pPr>
        <w:spacing w:after="0"/>
        <w:contextualSpacing/>
        <w:rPr>
          <w:rFonts w:ascii="Arial" w:hAnsi="Arial" w:cs="Arial"/>
          <w:bCs/>
          <w:sz w:val="24"/>
          <w:szCs w:val="24"/>
        </w:rPr>
      </w:pPr>
    </w:p>
    <w:p w14:paraId="7BA67FC3" w14:textId="77777777" w:rsidR="008205A2" w:rsidRPr="00834FC9" w:rsidRDefault="008205A2" w:rsidP="008205A2">
      <w:pPr>
        <w:spacing w:after="0"/>
        <w:contextualSpacing/>
        <w:rPr>
          <w:rFonts w:ascii="Arial" w:hAnsi="Arial" w:cs="Arial"/>
          <w:bCs/>
          <w:sz w:val="24"/>
          <w:szCs w:val="24"/>
        </w:rPr>
      </w:pPr>
      <w:r w:rsidRPr="00834FC9">
        <w:rPr>
          <w:rFonts w:ascii="Arial" w:hAnsi="Arial" w:cs="Arial"/>
          <w:bCs/>
          <w:sz w:val="24"/>
          <w:szCs w:val="24"/>
        </w:rPr>
        <w:t xml:space="preserve">The </w:t>
      </w:r>
      <w:r w:rsidRPr="00FD6931">
        <w:rPr>
          <w:rFonts w:ascii="Arial" w:hAnsi="Arial" w:cs="Arial"/>
          <w:bCs/>
          <w:sz w:val="24"/>
          <w:szCs w:val="24"/>
        </w:rPr>
        <w:t xml:space="preserve">Bill </w:t>
      </w:r>
      <w:r w:rsidRPr="00FB0519">
        <w:rPr>
          <w:rFonts w:ascii="Arial" w:hAnsi="Arial" w:cs="Arial"/>
          <w:bCs/>
          <w:sz w:val="24"/>
          <w:szCs w:val="24"/>
        </w:rPr>
        <w:t>is not a</w:t>
      </w:r>
      <w:r w:rsidRPr="00FD6931">
        <w:rPr>
          <w:rFonts w:ascii="Arial" w:hAnsi="Arial" w:cs="Arial"/>
          <w:bCs/>
          <w:sz w:val="24"/>
          <w:szCs w:val="24"/>
        </w:rPr>
        <w:t xml:space="preserve"> Significant </w:t>
      </w:r>
      <w:r w:rsidRPr="00834FC9">
        <w:rPr>
          <w:rFonts w:ascii="Arial" w:hAnsi="Arial" w:cs="Arial"/>
          <w:bCs/>
          <w:sz w:val="24"/>
          <w:szCs w:val="24"/>
        </w:rPr>
        <w:t xml:space="preserve">Bill. Significant Bills are bills that </w:t>
      </w:r>
      <w:r>
        <w:rPr>
          <w:rFonts w:ascii="Arial" w:hAnsi="Arial" w:cs="Arial"/>
          <w:bCs/>
          <w:sz w:val="24"/>
          <w:szCs w:val="24"/>
        </w:rPr>
        <w:t>have been assessed</w:t>
      </w:r>
      <w:r w:rsidRPr="00834FC9">
        <w:rPr>
          <w:rFonts w:ascii="Arial" w:hAnsi="Arial" w:cs="Arial"/>
          <w:bCs/>
          <w:sz w:val="24"/>
          <w:szCs w:val="24"/>
        </w:rPr>
        <w:t xml:space="preserve"> as </w:t>
      </w:r>
      <w:r>
        <w:rPr>
          <w:rFonts w:ascii="Arial" w:hAnsi="Arial" w:cs="Arial"/>
          <w:bCs/>
          <w:sz w:val="24"/>
          <w:szCs w:val="24"/>
        </w:rPr>
        <w:t>likely to have</w:t>
      </w:r>
      <w:r w:rsidRPr="00834FC9">
        <w:rPr>
          <w:rFonts w:ascii="Arial" w:hAnsi="Arial" w:cs="Arial"/>
          <w:bCs/>
          <w:sz w:val="24"/>
          <w:szCs w:val="24"/>
        </w:rPr>
        <w:t xml:space="preserve"> significant </w:t>
      </w:r>
      <w:r>
        <w:rPr>
          <w:rFonts w:ascii="Arial" w:hAnsi="Arial" w:cs="Arial"/>
          <w:bCs/>
          <w:sz w:val="24"/>
          <w:szCs w:val="24"/>
        </w:rPr>
        <w:t>engagement of human rights</w:t>
      </w:r>
      <w:r w:rsidRPr="00834FC9">
        <w:rPr>
          <w:rFonts w:ascii="Arial" w:hAnsi="Arial" w:cs="Arial"/>
          <w:bCs/>
          <w:sz w:val="24"/>
          <w:szCs w:val="24"/>
        </w:rPr>
        <w:t xml:space="preserve"> and require more detailed reasoning in relation to </w:t>
      </w:r>
      <w:r>
        <w:rPr>
          <w:rFonts w:ascii="Arial" w:hAnsi="Arial" w:cs="Arial"/>
          <w:bCs/>
          <w:sz w:val="24"/>
          <w:szCs w:val="24"/>
        </w:rPr>
        <w:t xml:space="preserve">compatibility with the </w:t>
      </w:r>
      <w:r w:rsidRPr="00834FC9">
        <w:rPr>
          <w:rFonts w:ascii="Arial" w:hAnsi="Arial" w:cs="Arial"/>
          <w:bCs/>
          <w:i/>
          <w:iCs/>
          <w:sz w:val="24"/>
          <w:szCs w:val="24"/>
        </w:rPr>
        <w:t>Human Rights Act 2004</w:t>
      </w:r>
      <w:r w:rsidRPr="00834FC9">
        <w:rPr>
          <w:rFonts w:ascii="Arial" w:hAnsi="Arial" w:cs="Arial"/>
          <w:bCs/>
          <w:sz w:val="24"/>
          <w:szCs w:val="24"/>
        </w:rPr>
        <w:t>.</w:t>
      </w:r>
    </w:p>
    <w:p w14:paraId="3D8060FD" w14:textId="77777777" w:rsidR="008205A2" w:rsidRPr="00834FC9" w:rsidRDefault="008205A2" w:rsidP="008205A2">
      <w:pPr>
        <w:spacing w:after="0"/>
        <w:rPr>
          <w:rFonts w:ascii="Arial" w:hAnsi="Arial" w:cs="Arial"/>
          <w:bCs/>
          <w:sz w:val="24"/>
          <w:szCs w:val="24"/>
          <w:highlight w:val="yellow"/>
        </w:rPr>
      </w:pPr>
    </w:p>
    <w:p w14:paraId="01159B36" w14:textId="77777777" w:rsidR="008205A2" w:rsidRDefault="008205A2" w:rsidP="008205A2">
      <w:pPr>
        <w:pStyle w:val="Heading2"/>
      </w:pPr>
      <w:r>
        <w:t>OVERVIEW OF THE BILL</w:t>
      </w:r>
    </w:p>
    <w:p w14:paraId="34F01D2A" w14:textId="77777777" w:rsidR="008205A2" w:rsidRPr="002F6EDC" w:rsidRDefault="008205A2" w:rsidP="008205A2">
      <w:pPr>
        <w:spacing w:after="120"/>
        <w:ind w:right="-45"/>
        <w:rPr>
          <w:rFonts w:ascii="Arial" w:hAnsi="Arial" w:cs="Arial"/>
          <w:iCs/>
          <w:sz w:val="24"/>
          <w:szCs w:val="24"/>
        </w:rPr>
      </w:pPr>
      <w:r w:rsidRPr="002F6EDC">
        <w:rPr>
          <w:rFonts w:ascii="Arial" w:hAnsi="Arial" w:cs="Arial"/>
          <w:iCs/>
          <w:sz w:val="24"/>
          <w:szCs w:val="24"/>
        </w:rPr>
        <w:t xml:space="preserve">The purpose of this Bill is to make minor amendments to the </w:t>
      </w:r>
      <w:r w:rsidRPr="002F6EDC">
        <w:rPr>
          <w:rFonts w:ascii="Arial" w:hAnsi="Arial" w:cs="Arial"/>
          <w:i/>
          <w:sz w:val="24"/>
          <w:szCs w:val="24"/>
        </w:rPr>
        <w:t>Utilities Act 2000</w:t>
      </w:r>
      <w:r w:rsidRPr="002F6EDC">
        <w:rPr>
          <w:rFonts w:ascii="Arial" w:hAnsi="Arial" w:cs="Arial"/>
          <w:iCs/>
          <w:sz w:val="24"/>
          <w:szCs w:val="24"/>
        </w:rPr>
        <w:t xml:space="preserve"> and the </w:t>
      </w:r>
      <w:r w:rsidRPr="002F6EDC">
        <w:rPr>
          <w:rFonts w:ascii="Arial" w:hAnsi="Arial" w:cs="Arial"/>
          <w:i/>
          <w:sz w:val="24"/>
          <w:szCs w:val="24"/>
        </w:rPr>
        <w:t xml:space="preserve">Utilities (Technical Regulation) Act 2014, </w:t>
      </w:r>
      <w:r w:rsidRPr="002F6EDC">
        <w:rPr>
          <w:rFonts w:ascii="Arial" w:hAnsi="Arial" w:cs="Arial"/>
          <w:iCs/>
          <w:sz w:val="24"/>
          <w:szCs w:val="24"/>
        </w:rPr>
        <w:t>these amendments fall into four categories:</w:t>
      </w:r>
    </w:p>
    <w:p w14:paraId="7A9BB716" w14:textId="77777777" w:rsidR="008205A2" w:rsidRPr="002F6EDC" w:rsidRDefault="008205A2" w:rsidP="008205A2">
      <w:pPr>
        <w:pStyle w:val="ListParagraph"/>
        <w:numPr>
          <w:ilvl w:val="0"/>
          <w:numId w:val="4"/>
        </w:numPr>
        <w:spacing w:after="120"/>
        <w:ind w:right="-45"/>
        <w:rPr>
          <w:rFonts w:ascii="Arial" w:hAnsi="Arial" w:cs="Arial"/>
          <w:iCs/>
          <w:sz w:val="24"/>
          <w:szCs w:val="24"/>
        </w:rPr>
      </w:pPr>
      <w:r w:rsidRPr="002F6EDC">
        <w:rPr>
          <w:rFonts w:ascii="Arial" w:hAnsi="Arial" w:cs="Arial"/>
          <w:iCs/>
          <w:sz w:val="24"/>
          <w:szCs w:val="24"/>
        </w:rPr>
        <w:t>Removal of the presumption of continued growth in regulated utilities;</w:t>
      </w:r>
    </w:p>
    <w:p w14:paraId="42CBC2BD" w14:textId="77777777" w:rsidR="008205A2" w:rsidRPr="002F6EDC" w:rsidRDefault="008205A2" w:rsidP="008205A2">
      <w:pPr>
        <w:pStyle w:val="ListParagraph"/>
        <w:numPr>
          <w:ilvl w:val="0"/>
          <w:numId w:val="4"/>
        </w:numPr>
        <w:spacing w:after="120"/>
        <w:ind w:right="-45"/>
        <w:rPr>
          <w:rFonts w:ascii="Arial" w:hAnsi="Arial" w:cs="Arial"/>
          <w:iCs/>
          <w:sz w:val="24"/>
          <w:szCs w:val="24"/>
        </w:rPr>
      </w:pPr>
      <w:r w:rsidRPr="002F6EDC">
        <w:rPr>
          <w:rFonts w:ascii="Arial" w:hAnsi="Arial" w:cs="Arial"/>
          <w:iCs/>
          <w:sz w:val="24"/>
          <w:szCs w:val="24"/>
        </w:rPr>
        <w:t xml:space="preserve">Outline the otherwise implied power of regulators to regulate the removal of </w:t>
      </w:r>
      <w:r>
        <w:rPr>
          <w:rFonts w:ascii="Arial" w:hAnsi="Arial" w:cs="Arial"/>
          <w:iCs/>
          <w:sz w:val="24"/>
          <w:szCs w:val="24"/>
        </w:rPr>
        <w:t xml:space="preserve">utility </w:t>
      </w:r>
      <w:r w:rsidRPr="002F6EDC">
        <w:rPr>
          <w:rFonts w:ascii="Arial" w:hAnsi="Arial" w:cs="Arial"/>
          <w:iCs/>
          <w:sz w:val="24"/>
          <w:szCs w:val="24"/>
        </w:rPr>
        <w:t>infrastructure;</w:t>
      </w:r>
    </w:p>
    <w:p w14:paraId="1DFA9292" w14:textId="77777777" w:rsidR="008205A2" w:rsidRPr="002F6EDC" w:rsidRDefault="008205A2" w:rsidP="008205A2">
      <w:pPr>
        <w:pStyle w:val="ListParagraph"/>
        <w:numPr>
          <w:ilvl w:val="0"/>
          <w:numId w:val="4"/>
        </w:numPr>
        <w:spacing w:after="120"/>
        <w:ind w:right="-45"/>
        <w:rPr>
          <w:rFonts w:ascii="Arial" w:hAnsi="Arial" w:cs="Arial"/>
          <w:iCs/>
          <w:sz w:val="24"/>
          <w:szCs w:val="24"/>
        </w:rPr>
      </w:pPr>
      <w:r w:rsidRPr="002F6EDC">
        <w:rPr>
          <w:rFonts w:ascii="Arial" w:hAnsi="Arial" w:cs="Arial"/>
          <w:iCs/>
          <w:sz w:val="24"/>
          <w:szCs w:val="24"/>
        </w:rPr>
        <w:t>Adding information sharing about utility services to the scope of code making for regulators; and</w:t>
      </w:r>
    </w:p>
    <w:p w14:paraId="30D5B093" w14:textId="77777777" w:rsidR="008205A2" w:rsidRPr="002F6EDC" w:rsidRDefault="008205A2" w:rsidP="008205A2">
      <w:pPr>
        <w:pStyle w:val="ListParagraph"/>
        <w:numPr>
          <w:ilvl w:val="0"/>
          <w:numId w:val="4"/>
        </w:numPr>
        <w:spacing w:after="120"/>
        <w:ind w:right="-45"/>
        <w:rPr>
          <w:rFonts w:ascii="Arial" w:hAnsi="Arial" w:cs="Arial"/>
          <w:iCs/>
          <w:sz w:val="24"/>
          <w:szCs w:val="24"/>
        </w:rPr>
      </w:pPr>
      <w:r w:rsidRPr="002F6EDC">
        <w:rPr>
          <w:rFonts w:ascii="Arial" w:hAnsi="Arial" w:cs="Arial"/>
          <w:iCs/>
          <w:sz w:val="24"/>
          <w:szCs w:val="24"/>
        </w:rPr>
        <w:t>Technical amendments for electrical safety and operating certificate applications.</w:t>
      </w:r>
    </w:p>
    <w:p w14:paraId="10E3C076" w14:textId="77777777" w:rsidR="008205A2" w:rsidRDefault="008205A2" w:rsidP="008205A2">
      <w:pPr>
        <w:rPr>
          <w:rFonts w:ascii="Arial" w:hAnsi="Arial" w:cs="Arial"/>
          <w:b/>
          <w:sz w:val="24"/>
          <w:szCs w:val="24"/>
        </w:rPr>
      </w:pPr>
      <w:r w:rsidRPr="00AC59DF">
        <w:rPr>
          <w:rFonts w:ascii="Arial" w:hAnsi="Arial" w:cs="Arial"/>
          <w:b/>
          <w:sz w:val="24"/>
          <w:szCs w:val="24"/>
        </w:rPr>
        <w:t>CONSULTATION ON THE PROPOSED APPROACH</w:t>
      </w:r>
    </w:p>
    <w:p w14:paraId="0C5B262B" w14:textId="77777777" w:rsidR="008205A2" w:rsidRPr="00EC7313" w:rsidRDefault="008205A2" w:rsidP="008205A2">
      <w:pPr>
        <w:rPr>
          <w:rFonts w:ascii="Arial" w:hAnsi="Arial" w:cs="Arial"/>
          <w:iCs/>
          <w:sz w:val="24"/>
          <w:szCs w:val="24"/>
        </w:rPr>
      </w:pPr>
      <w:r w:rsidRPr="00EC7313">
        <w:rPr>
          <w:rFonts w:ascii="Arial" w:hAnsi="Arial" w:cs="Arial"/>
          <w:iCs/>
          <w:sz w:val="24"/>
          <w:szCs w:val="24"/>
        </w:rPr>
        <w:t>Consultation on the </w:t>
      </w:r>
      <w:r>
        <w:rPr>
          <w:rFonts w:ascii="Arial" w:hAnsi="Arial" w:cs="Arial"/>
          <w:iCs/>
          <w:sz w:val="24"/>
          <w:szCs w:val="24"/>
        </w:rPr>
        <w:t>B</w:t>
      </w:r>
      <w:r w:rsidRPr="00EC7313">
        <w:rPr>
          <w:rFonts w:ascii="Arial" w:hAnsi="Arial" w:cs="Arial"/>
          <w:iCs/>
          <w:sz w:val="24"/>
          <w:szCs w:val="24"/>
        </w:rPr>
        <w:t xml:space="preserve">ill was conducted with the Utilities Technical Regulator, the Independent Competition and Regulatory Commission, the Human Rights Unit in the Justice and Community Safety Directorate and </w:t>
      </w:r>
      <w:proofErr w:type="spellStart"/>
      <w:r w:rsidRPr="00EC7313">
        <w:rPr>
          <w:rFonts w:ascii="Arial" w:hAnsi="Arial" w:cs="Arial"/>
          <w:iCs/>
          <w:sz w:val="24"/>
          <w:szCs w:val="24"/>
        </w:rPr>
        <w:t>Evoenergy</w:t>
      </w:r>
      <w:proofErr w:type="spellEnd"/>
      <w:r w:rsidRPr="00EC7313">
        <w:rPr>
          <w:rFonts w:ascii="Arial" w:hAnsi="Arial" w:cs="Arial"/>
          <w:iCs/>
          <w:sz w:val="24"/>
          <w:szCs w:val="24"/>
        </w:rPr>
        <w:t>.</w:t>
      </w:r>
    </w:p>
    <w:p w14:paraId="1FD3F50C" w14:textId="77777777" w:rsidR="008205A2" w:rsidRPr="005B0897" w:rsidRDefault="008205A2" w:rsidP="008205A2">
      <w:pPr>
        <w:rPr>
          <w:rFonts w:ascii="Arial" w:hAnsi="Arial" w:cs="Arial"/>
          <w:b/>
          <w:sz w:val="24"/>
          <w:szCs w:val="24"/>
        </w:rPr>
      </w:pPr>
      <w:r w:rsidRPr="005B0897">
        <w:rPr>
          <w:rFonts w:ascii="Arial" w:hAnsi="Arial" w:cs="Arial"/>
          <w:b/>
          <w:sz w:val="24"/>
          <w:szCs w:val="24"/>
        </w:rPr>
        <w:t>CLIMATE IMPACT</w:t>
      </w:r>
    </w:p>
    <w:p w14:paraId="216C9465" w14:textId="77777777" w:rsidR="008205A2" w:rsidRPr="00AD1312" w:rsidRDefault="008205A2" w:rsidP="008205A2">
      <w:pPr>
        <w:rPr>
          <w:rFonts w:ascii="Arial" w:hAnsi="Arial" w:cs="Arial"/>
          <w:iCs/>
          <w:sz w:val="24"/>
          <w:szCs w:val="24"/>
        </w:rPr>
      </w:pPr>
      <w:r w:rsidRPr="00AD1312">
        <w:rPr>
          <w:rFonts w:ascii="Arial" w:hAnsi="Arial" w:cs="Arial"/>
          <w:iCs/>
          <w:sz w:val="24"/>
          <w:szCs w:val="24"/>
        </w:rPr>
        <w:t>The Bill is primarily about providing clarity for ACT utility regulators and regulated entities, on the scope of matters which regulatory codes may deal with, as well as adding information sharing provisions to support the efficient planning and operation of utilities.</w:t>
      </w:r>
    </w:p>
    <w:p w14:paraId="5D85A1A9" w14:textId="77777777" w:rsidR="008205A2" w:rsidRPr="00AD1312" w:rsidRDefault="008205A2" w:rsidP="008205A2">
      <w:pPr>
        <w:rPr>
          <w:rFonts w:ascii="Arial" w:hAnsi="Arial" w:cs="Arial"/>
          <w:iCs/>
          <w:sz w:val="24"/>
          <w:szCs w:val="24"/>
        </w:rPr>
      </w:pPr>
      <w:r w:rsidRPr="00AD1312">
        <w:rPr>
          <w:rFonts w:ascii="Arial" w:hAnsi="Arial" w:cs="Arial"/>
          <w:iCs/>
          <w:sz w:val="24"/>
          <w:szCs w:val="24"/>
        </w:rPr>
        <w:t>The Bill does not materially increase or reduce emissions, however it may support a more efficient energy transition which would lower costs</w:t>
      </w:r>
      <w:r>
        <w:rPr>
          <w:rFonts w:ascii="Arial" w:hAnsi="Arial" w:cs="Arial"/>
          <w:iCs/>
          <w:sz w:val="24"/>
          <w:szCs w:val="24"/>
        </w:rPr>
        <w:t xml:space="preserve"> of reducing emissions</w:t>
      </w:r>
      <w:r w:rsidRPr="00AD1312">
        <w:rPr>
          <w:rFonts w:ascii="Arial" w:hAnsi="Arial" w:cs="Arial"/>
          <w:iCs/>
          <w:sz w:val="24"/>
          <w:szCs w:val="24"/>
        </w:rPr>
        <w:t>.</w:t>
      </w:r>
    </w:p>
    <w:p w14:paraId="6A97A85C" w14:textId="77777777" w:rsidR="008205A2" w:rsidRDefault="008205A2" w:rsidP="008205A2">
      <w:pPr>
        <w:pStyle w:val="Heading2"/>
      </w:pPr>
      <w:r>
        <w:t xml:space="preserve">CONSISTENCY WITH </w:t>
      </w:r>
      <w:r w:rsidRPr="008C225D">
        <w:t>HUMAN RIGHTS</w:t>
      </w:r>
    </w:p>
    <w:p w14:paraId="5722B4B3" w14:textId="77777777" w:rsidR="008205A2" w:rsidRPr="00414921" w:rsidRDefault="008205A2" w:rsidP="008205A2">
      <w:pPr>
        <w:rPr>
          <w:rFonts w:ascii="Arial" w:hAnsi="Arial" w:cs="Arial"/>
          <w:b/>
          <w:bCs/>
          <w:iCs/>
          <w:sz w:val="24"/>
          <w:szCs w:val="24"/>
        </w:rPr>
      </w:pPr>
      <w:r w:rsidRPr="00414921">
        <w:rPr>
          <w:rFonts w:ascii="Arial" w:hAnsi="Arial" w:cs="Arial"/>
          <w:b/>
          <w:bCs/>
          <w:iCs/>
          <w:sz w:val="24"/>
          <w:szCs w:val="24"/>
        </w:rPr>
        <w:t>Rights engaged</w:t>
      </w:r>
    </w:p>
    <w:p w14:paraId="30BDC389" w14:textId="0EB45EC7" w:rsidR="00EF1320" w:rsidRPr="00EF1320" w:rsidRDefault="008205A2" w:rsidP="008205A2">
      <w:pPr>
        <w:rPr>
          <w:rFonts w:ascii="Arial" w:hAnsi="Arial" w:cs="Arial"/>
          <w:i/>
          <w:sz w:val="24"/>
          <w:szCs w:val="24"/>
        </w:rPr>
      </w:pPr>
      <w:r w:rsidRPr="00EF1320">
        <w:rPr>
          <w:rFonts w:ascii="Arial" w:hAnsi="Arial" w:cs="Arial"/>
          <w:i/>
          <w:sz w:val="24"/>
          <w:szCs w:val="24"/>
        </w:rPr>
        <w:lastRenderedPageBreak/>
        <w:t>This Bill engages the right to work.</w:t>
      </w:r>
      <w:r>
        <w:rPr>
          <w:rFonts w:ascii="Arial" w:hAnsi="Arial" w:cs="Arial"/>
          <w:i/>
          <w:sz w:val="24"/>
          <w:szCs w:val="24"/>
        </w:rPr>
        <w:t xml:space="preserve"> </w:t>
      </w:r>
    </w:p>
    <w:p w14:paraId="352299B4" w14:textId="77777777" w:rsidR="008205A2" w:rsidRPr="00EF1320" w:rsidRDefault="008205A2" w:rsidP="008205A2">
      <w:pPr>
        <w:rPr>
          <w:rFonts w:ascii="Arial" w:hAnsi="Arial" w:cs="Arial"/>
          <w:iCs/>
          <w:sz w:val="24"/>
          <w:szCs w:val="24"/>
        </w:rPr>
      </w:pPr>
      <w:r w:rsidRPr="00EF1320">
        <w:rPr>
          <w:rFonts w:ascii="Arial" w:hAnsi="Arial" w:cs="Arial"/>
          <w:iCs/>
          <w:sz w:val="24"/>
          <w:szCs w:val="24"/>
        </w:rPr>
        <w:t xml:space="preserve">The objective of this Bill is primarily to provide clarity for ACT utility regulators and regulated entities, on the scope of matters which regulatory codes may deal with, including adding information sharing provisions to support the efficient planning and operation of utilities. </w:t>
      </w:r>
      <w:r>
        <w:rPr>
          <w:rFonts w:ascii="Arial" w:hAnsi="Arial" w:cs="Arial"/>
          <w:iCs/>
          <w:sz w:val="24"/>
          <w:szCs w:val="24"/>
        </w:rPr>
        <w:t>These are not in effect new or additional scope, rather the updates provide clarity by providing explicit, rather than implied coverage.</w:t>
      </w:r>
    </w:p>
    <w:p w14:paraId="0B6F6576" w14:textId="7DE17E02" w:rsidR="008205A2" w:rsidRPr="00EF1320" w:rsidRDefault="008205A2" w:rsidP="008205A2">
      <w:pPr>
        <w:rPr>
          <w:rFonts w:ascii="Arial" w:hAnsi="Arial" w:cs="Arial"/>
          <w:iCs/>
          <w:sz w:val="24"/>
          <w:szCs w:val="24"/>
        </w:rPr>
      </w:pPr>
      <w:r w:rsidRPr="00EF1320">
        <w:rPr>
          <w:rFonts w:ascii="Arial" w:hAnsi="Arial" w:cs="Arial"/>
          <w:iCs/>
          <w:sz w:val="24"/>
          <w:szCs w:val="24"/>
        </w:rPr>
        <w:t>It is noted that industry and technical codes made under the Acts amended by the Bill may engage a range of human rights. Industry and technical codes made under the Acts are subject to formal code making processes which include public consultation requirements and are subject to disallowance.</w:t>
      </w:r>
      <w:r>
        <w:rPr>
          <w:rFonts w:ascii="Arial" w:hAnsi="Arial" w:cs="Arial"/>
          <w:iCs/>
          <w:sz w:val="24"/>
          <w:szCs w:val="24"/>
        </w:rPr>
        <w:t xml:space="preserve"> </w:t>
      </w:r>
      <w:r w:rsidR="00FD4320">
        <w:rPr>
          <w:rFonts w:ascii="Arial" w:hAnsi="Arial" w:cs="Arial"/>
          <w:iCs/>
          <w:sz w:val="24"/>
          <w:szCs w:val="24"/>
        </w:rPr>
        <w:t>Future p</w:t>
      </w:r>
      <w:r>
        <w:rPr>
          <w:rFonts w:ascii="Arial" w:hAnsi="Arial" w:cs="Arial"/>
          <w:iCs/>
          <w:sz w:val="24"/>
          <w:szCs w:val="24"/>
        </w:rPr>
        <w:t xml:space="preserve">otential human rights </w:t>
      </w:r>
      <w:r w:rsidR="00FD4320">
        <w:rPr>
          <w:rFonts w:ascii="Arial" w:hAnsi="Arial" w:cs="Arial"/>
          <w:iCs/>
          <w:sz w:val="24"/>
          <w:szCs w:val="24"/>
        </w:rPr>
        <w:t xml:space="preserve">that may be engaged through codes </w:t>
      </w:r>
      <w:r>
        <w:rPr>
          <w:rFonts w:ascii="Arial" w:hAnsi="Arial" w:cs="Arial"/>
          <w:iCs/>
          <w:sz w:val="24"/>
          <w:szCs w:val="24"/>
        </w:rPr>
        <w:t>already exist under the current scope of the Act.</w:t>
      </w:r>
    </w:p>
    <w:p w14:paraId="4B9415E4" w14:textId="77777777" w:rsidR="008205A2" w:rsidRPr="00BC3EF0" w:rsidRDefault="008205A2" w:rsidP="008205A2">
      <w:pPr>
        <w:rPr>
          <w:rFonts w:ascii="Arial" w:hAnsi="Arial" w:cs="Arial"/>
          <w:b/>
          <w:bCs/>
          <w:i/>
          <w:sz w:val="24"/>
          <w:szCs w:val="24"/>
        </w:rPr>
      </w:pPr>
      <w:r w:rsidRPr="00BC3EF0">
        <w:rPr>
          <w:rFonts w:ascii="Arial" w:hAnsi="Arial" w:cs="Arial"/>
          <w:b/>
          <w:bCs/>
          <w:i/>
          <w:sz w:val="24"/>
          <w:szCs w:val="24"/>
        </w:rPr>
        <w:t>Rights Promoted</w:t>
      </w:r>
    </w:p>
    <w:p w14:paraId="0B18A43F" w14:textId="77777777" w:rsidR="008205A2" w:rsidRPr="00EF1320" w:rsidRDefault="008205A2" w:rsidP="008205A2">
      <w:pPr>
        <w:rPr>
          <w:rFonts w:ascii="Arial" w:hAnsi="Arial" w:cs="Arial"/>
          <w:i/>
          <w:sz w:val="24"/>
          <w:szCs w:val="24"/>
        </w:rPr>
      </w:pPr>
      <w:r w:rsidRPr="00EF1320">
        <w:rPr>
          <w:rFonts w:ascii="Arial" w:hAnsi="Arial" w:cs="Arial"/>
          <w:iCs/>
          <w:sz w:val="24"/>
          <w:szCs w:val="24"/>
        </w:rPr>
        <w:t>The Bill promotes the right to work by amending the definition of notifiable incidents to be consistent with work health and safety legislation, aiming to further improve the safety of workers in the utility services industry.</w:t>
      </w:r>
    </w:p>
    <w:p w14:paraId="00D90338" w14:textId="77777777" w:rsidR="008205A2" w:rsidRPr="00BC3EF0" w:rsidRDefault="008205A2" w:rsidP="008205A2">
      <w:pPr>
        <w:rPr>
          <w:rFonts w:ascii="Arial" w:hAnsi="Arial" w:cs="Arial"/>
          <w:b/>
          <w:bCs/>
          <w:i/>
          <w:sz w:val="24"/>
          <w:szCs w:val="24"/>
        </w:rPr>
      </w:pPr>
      <w:r w:rsidRPr="00BC3EF0">
        <w:rPr>
          <w:rFonts w:ascii="Arial" w:hAnsi="Arial" w:cs="Arial"/>
          <w:b/>
          <w:bCs/>
          <w:i/>
          <w:sz w:val="24"/>
          <w:szCs w:val="24"/>
        </w:rPr>
        <w:t>Rights Limited</w:t>
      </w:r>
    </w:p>
    <w:p w14:paraId="205D1C17" w14:textId="77777777" w:rsidR="008205A2" w:rsidRPr="00AD1312" w:rsidRDefault="008205A2" w:rsidP="008205A2">
      <w:pPr>
        <w:rPr>
          <w:rFonts w:ascii="Arial" w:hAnsi="Arial" w:cs="Arial"/>
          <w:b/>
          <w:bCs/>
          <w:iCs/>
          <w:sz w:val="24"/>
          <w:szCs w:val="24"/>
        </w:rPr>
      </w:pPr>
      <w:r w:rsidRPr="00AD1312">
        <w:rPr>
          <w:rFonts w:ascii="Arial" w:hAnsi="Arial" w:cs="Arial"/>
          <w:iCs/>
          <w:sz w:val="24"/>
          <w:szCs w:val="24"/>
        </w:rPr>
        <w:t xml:space="preserve">No rights are limited by this </w:t>
      </w:r>
      <w:r>
        <w:rPr>
          <w:rFonts w:ascii="Arial" w:hAnsi="Arial" w:cs="Arial"/>
          <w:iCs/>
          <w:sz w:val="24"/>
          <w:szCs w:val="24"/>
        </w:rPr>
        <w:t>B</w:t>
      </w:r>
      <w:r w:rsidRPr="00AD1312">
        <w:rPr>
          <w:rFonts w:ascii="Arial" w:hAnsi="Arial" w:cs="Arial"/>
          <w:iCs/>
          <w:sz w:val="24"/>
          <w:szCs w:val="24"/>
        </w:rPr>
        <w:t>ill.</w:t>
      </w:r>
    </w:p>
    <w:p w14:paraId="2F0B604B" w14:textId="77777777" w:rsidR="008205A2" w:rsidRDefault="008205A2" w:rsidP="008205A2">
      <w:pPr>
        <w:spacing w:after="0" w:line="240" w:lineRule="auto"/>
        <w:rPr>
          <w:rFonts w:asciiTheme="minorHAnsi" w:eastAsiaTheme="majorEastAsia" w:hAnsiTheme="minorHAnsi" w:cs="Arial"/>
          <w:sz w:val="28"/>
          <w:szCs w:val="28"/>
          <w:lang w:eastAsia="en-AU"/>
        </w:rPr>
      </w:pPr>
      <w:r>
        <w:rPr>
          <w:rFonts w:asciiTheme="minorHAnsi" w:hAnsiTheme="minorHAnsi" w:cs="Arial"/>
          <w:b/>
          <w:sz w:val="28"/>
          <w:szCs w:val="28"/>
          <w:lang w:eastAsia="en-AU"/>
        </w:rPr>
        <w:br w:type="page"/>
      </w:r>
    </w:p>
    <w:p w14:paraId="6279FC97" w14:textId="77777777" w:rsidR="008205A2" w:rsidRPr="00943C7F" w:rsidRDefault="008205A2" w:rsidP="008205A2">
      <w:pPr>
        <w:pStyle w:val="Heading2"/>
        <w:ind w:left="-108"/>
        <w:jc w:val="center"/>
        <w:rPr>
          <w:rFonts w:asciiTheme="minorHAnsi" w:hAnsiTheme="minorHAnsi" w:cs="Arial"/>
          <w:b w:val="0"/>
          <w:bCs/>
          <w:i/>
          <w:iCs/>
          <w:sz w:val="28"/>
          <w:szCs w:val="28"/>
        </w:rPr>
      </w:pPr>
      <w:r w:rsidRPr="00FD6931">
        <w:rPr>
          <w:rFonts w:asciiTheme="minorHAnsi" w:hAnsiTheme="minorHAnsi" w:cs="Arial"/>
          <w:b w:val="0"/>
          <w:sz w:val="28"/>
          <w:szCs w:val="28"/>
          <w:lang w:eastAsia="en-AU"/>
        </w:rPr>
        <w:lastRenderedPageBreak/>
        <w:t>Utilities Legislation Amendment Bill 20</w:t>
      </w:r>
      <w:r>
        <w:rPr>
          <w:rFonts w:asciiTheme="minorHAnsi" w:hAnsiTheme="minorHAnsi" w:cs="Arial"/>
          <w:b w:val="0"/>
          <w:sz w:val="28"/>
          <w:szCs w:val="28"/>
          <w:lang w:eastAsia="en-AU"/>
        </w:rPr>
        <w:t>26</w:t>
      </w:r>
    </w:p>
    <w:p w14:paraId="7CDC1F28" w14:textId="77777777" w:rsidR="008205A2" w:rsidRPr="003E5EE6" w:rsidRDefault="008205A2" w:rsidP="008205A2">
      <w:pPr>
        <w:pStyle w:val="Heading4"/>
        <w:ind w:left="-108"/>
        <w:jc w:val="center"/>
        <w:rPr>
          <w:rFonts w:asciiTheme="minorHAnsi" w:hAnsiTheme="minorHAnsi"/>
          <w:sz w:val="24"/>
          <w:szCs w:val="24"/>
        </w:rPr>
      </w:pPr>
      <w:r w:rsidRPr="003E5EE6">
        <w:rPr>
          <w:rFonts w:asciiTheme="minorHAnsi" w:hAnsiTheme="minorHAnsi"/>
          <w:sz w:val="24"/>
          <w:szCs w:val="24"/>
        </w:rPr>
        <w:t>Human Rights Act 2004 - Compatibility Statement</w:t>
      </w:r>
    </w:p>
    <w:p w14:paraId="23A43213" w14:textId="77777777" w:rsidR="008205A2" w:rsidRDefault="008205A2" w:rsidP="008205A2"/>
    <w:p w14:paraId="6D21D625" w14:textId="77777777" w:rsidR="008205A2" w:rsidRPr="00D77995" w:rsidRDefault="008205A2" w:rsidP="008205A2"/>
    <w:p w14:paraId="46214213" w14:textId="27DC5552" w:rsidR="008205A2" w:rsidRDefault="008205A2" w:rsidP="008205A2">
      <w:r w:rsidRPr="039A3F55">
        <w:rPr>
          <w:rFonts w:asciiTheme="minorHAnsi" w:hAnsiTheme="minorHAnsi"/>
        </w:rPr>
        <w:t xml:space="preserve">In accordance with section 37 of the </w:t>
      </w:r>
      <w:r w:rsidRPr="039A3F55">
        <w:rPr>
          <w:rFonts w:asciiTheme="minorHAnsi" w:hAnsiTheme="minorHAnsi"/>
          <w:i/>
          <w:iCs/>
        </w:rPr>
        <w:t>Human Rights Act 2004</w:t>
      </w:r>
      <w:r w:rsidRPr="039A3F55">
        <w:rPr>
          <w:rFonts w:asciiTheme="minorHAnsi" w:hAnsiTheme="minorHAnsi"/>
        </w:rPr>
        <w:t xml:space="preserve"> I have examined the</w:t>
      </w:r>
      <w:r w:rsidRPr="039A3F55">
        <w:rPr>
          <w:rFonts w:asciiTheme="minorHAnsi" w:hAnsiTheme="minorHAnsi"/>
          <w:b/>
          <w:bCs/>
        </w:rPr>
        <w:t xml:space="preserve"> Utilities Legislation Amendment Bill 2026</w:t>
      </w:r>
      <w:r w:rsidRPr="039A3F55">
        <w:rPr>
          <w:rFonts w:asciiTheme="minorHAnsi" w:hAnsiTheme="minorHAnsi"/>
        </w:rPr>
        <w:t>.  In my opinion, having regard to the Bill and the outline of the policy considerations and justification of any limitations on rights outlined in this explanatory statement, the Bill as presented to the Legislative Assembly</w:t>
      </w:r>
      <w:r w:rsidRPr="039A3F55">
        <w:rPr>
          <w:rFonts w:asciiTheme="minorHAnsi" w:hAnsiTheme="minorHAnsi"/>
          <w:b/>
          <w:bCs/>
        </w:rPr>
        <w:t xml:space="preserve"> </w:t>
      </w:r>
      <w:r w:rsidRPr="00EF1320">
        <w:rPr>
          <w:rFonts w:asciiTheme="minorHAnsi" w:hAnsiTheme="minorHAnsi"/>
          <w:b/>
          <w:bCs/>
        </w:rPr>
        <w:t>is</w:t>
      </w:r>
      <w:r w:rsidRPr="039A3F55">
        <w:rPr>
          <w:rFonts w:asciiTheme="minorHAnsi" w:hAnsiTheme="minorHAnsi"/>
          <w:b/>
          <w:bCs/>
        </w:rPr>
        <w:t xml:space="preserve"> </w:t>
      </w:r>
      <w:r w:rsidRPr="039A3F55">
        <w:rPr>
          <w:rFonts w:asciiTheme="minorHAnsi" w:hAnsiTheme="minorHAnsi"/>
        </w:rPr>
        <w:t xml:space="preserve">consistent with the </w:t>
      </w:r>
      <w:r w:rsidRPr="039A3F55">
        <w:rPr>
          <w:rFonts w:asciiTheme="minorHAnsi" w:hAnsiTheme="minorHAnsi"/>
          <w:i/>
          <w:iCs/>
        </w:rPr>
        <w:t>Human Rights Act 2004.</w:t>
      </w:r>
    </w:p>
    <w:p w14:paraId="04F0BDD4" w14:textId="77777777" w:rsidR="008205A2" w:rsidRDefault="008205A2" w:rsidP="008205A2">
      <w:pPr>
        <w:rPr>
          <w:rFonts w:asciiTheme="minorHAnsi" w:hAnsiTheme="minorHAnsi" w:cstheme="minorHAnsi"/>
        </w:rPr>
      </w:pPr>
    </w:p>
    <w:p w14:paraId="22AF2936" w14:textId="77777777" w:rsidR="008205A2" w:rsidRDefault="008205A2" w:rsidP="008205A2">
      <w:pPr>
        <w:rPr>
          <w:rFonts w:asciiTheme="minorHAnsi" w:hAnsiTheme="minorHAnsi" w:cstheme="minorHAnsi"/>
        </w:rPr>
      </w:pPr>
    </w:p>
    <w:p w14:paraId="34CCC320" w14:textId="77777777" w:rsidR="008205A2" w:rsidRDefault="008205A2" w:rsidP="008205A2">
      <w:pPr>
        <w:rPr>
          <w:rFonts w:asciiTheme="minorHAnsi" w:hAnsiTheme="minorHAnsi" w:cstheme="minorHAnsi"/>
        </w:rPr>
      </w:pPr>
      <w:r>
        <w:rPr>
          <w:rFonts w:asciiTheme="minorHAnsi" w:hAnsiTheme="minorHAnsi" w:cstheme="minorHAnsi"/>
        </w:rPr>
        <w:t>………………………………………………….</w:t>
      </w:r>
    </w:p>
    <w:p w14:paraId="2E66798B" w14:textId="40C9C915" w:rsidR="008205A2" w:rsidRDefault="009A32C1" w:rsidP="008205A2">
      <w:pPr>
        <w:rPr>
          <w:rFonts w:asciiTheme="minorHAnsi" w:hAnsiTheme="minorHAnsi" w:cstheme="minorHAnsi"/>
        </w:rPr>
      </w:pPr>
      <w:r>
        <w:rPr>
          <w:rFonts w:asciiTheme="minorHAnsi" w:hAnsiTheme="minorHAnsi" w:cstheme="minorHAnsi"/>
        </w:rPr>
        <w:t>Dr Marisa Paterson MLA</w:t>
      </w:r>
      <w:r w:rsidR="008205A2">
        <w:rPr>
          <w:rFonts w:asciiTheme="minorHAnsi" w:hAnsiTheme="minorHAnsi" w:cstheme="minorHAnsi"/>
        </w:rPr>
        <w:br/>
      </w:r>
      <w:r>
        <w:rPr>
          <w:rFonts w:asciiTheme="minorHAnsi" w:hAnsiTheme="minorHAnsi" w:cstheme="minorHAnsi"/>
        </w:rPr>
        <w:t xml:space="preserve">Acting </w:t>
      </w:r>
      <w:r w:rsidR="008205A2">
        <w:rPr>
          <w:rFonts w:asciiTheme="minorHAnsi" w:hAnsiTheme="minorHAnsi" w:cstheme="minorHAnsi"/>
        </w:rPr>
        <w:t>Attorney-General</w:t>
      </w:r>
    </w:p>
    <w:p w14:paraId="2C5197F3" w14:textId="77777777" w:rsidR="008205A2" w:rsidRPr="006D52AC" w:rsidRDefault="008205A2" w:rsidP="008205A2">
      <w:pPr>
        <w:spacing w:before="200"/>
        <w:rPr>
          <w:rFonts w:ascii="Arial" w:hAnsi="Arial" w:cs="Arial"/>
          <w:sz w:val="24"/>
          <w:szCs w:val="24"/>
        </w:rPr>
      </w:pPr>
    </w:p>
    <w:p w14:paraId="513EFF92" w14:textId="77777777" w:rsidR="008205A2" w:rsidRDefault="008205A2" w:rsidP="008205A2">
      <w:pPr>
        <w:pStyle w:val="Heading2"/>
        <w:pageBreakBefore/>
        <w:spacing w:before="240" w:after="240"/>
      </w:pPr>
      <w:r w:rsidRPr="008C225D">
        <w:lastRenderedPageBreak/>
        <w:t>CLAUSE NOTES</w:t>
      </w:r>
    </w:p>
    <w:p w14:paraId="78DF6A03" w14:textId="77777777" w:rsidR="008205A2" w:rsidRPr="00C0789F" w:rsidRDefault="008205A2" w:rsidP="008205A2">
      <w:pPr>
        <w:rPr>
          <w:rFonts w:ascii="Arial" w:hAnsi="Arial" w:cs="Arial"/>
          <w:b/>
          <w:bCs/>
          <w:sz w:val="24"/>
          <w:szCs w:val="24"/>
        </w:rPr>
      </w:pPr>
      <w:r w:rsidRPr="00C0789F">
        <w:rPr>
          <w:rFonts w:ascii="Arial" w:hAnsi="Arial" w:cs="Arial"/>
          <w:b/>
          <w:bCs/>
          <w:sz w:val="24"/>
          <w:szCs w:val="24"/>
        </w:rPr>
        <w:t>Part 1</w:t>
      </w:r>
      <w:r>
        <w:rPr>
          <w:rFonts w:ascii="Arial" w:hAnsi="Arial" w:cs="Arial"/>
          <w:b/>
          <w:bCs/>
          <w:sz w:val="24"/>
          <w:szCs w:val="24"/>
        </w:rPr>
        <w:t xml:space="preserve"> - Preliminary</w:t>
      </w:r>
    </w:p>
    <w:p w14:paraId="2DF2FD76" w14:textId="77777777" w:rsidR="008205A2" w:rsidRDefault="008205A2" w:rsidP="008205A2">
      <w:pPr>
        <w:pStyle w:val="Heading3"/>
      </w:pPr>
      <w:r w:rsidRPr="00ED3B77">
        <w:t>Clause 1</w:t>
      </w:r>
      <w:r w:rsidRPr="00ED3B77">
        <w:tab/>
        <w:t>Name of Act</w:t>
      </w:r>
    </w:p>
    <w:p w14:paraId="5DF261D2" w14:textId="77777777" w:rsidR="008205A2" w:rsidRPr="00E85E96" w:rsidRDefault="008205A2" w:rsidP="008205A2">
      <w:r>
        <w:t xml:space="preserve">This clause provides that the name of the Act is the </w:t>
      </w:r>
      <w:r w:rsidRPr="00E85E96">
        <w:rPr>
          <w:i/>
          <w:iCs/>
        </w:rPr>
        <w:t>Utilities Legislation Amendment Act 2026</w:t>
      </w:r>
      <w:r>
        <w:t>.</w:t>
      </w:r>
    </w:p>
    <w:p w14:paraId="369F99D8" w14:textId="77777777" w:rsidR="008205A2" w:rsidRDefault="008205A2" w:rsidP="008205A2">
      <w:pPr>
        <w:pStyle w:val="Heading3"/>
      </w:pPr>
      <w:r w:rsidRPr="00ED3B77">
        <w:t>Clause 2</w:t>
      </w:r>
      <w:r w:rsidRPr="00ED3B77">
        <w:tab/>
        <w:t>Commencement</w:t>
      </w:r>
    </w:p>
    <w:p w14:paraId="23DDC42B" w14:textId="77777777" w:rsidR="008205A2" w:rsidRPr="00E85E96" w:rsidRDefault="008205A2" w:rsidP="008205A2">
      <w:r>
        <w:t xml:space="preserve">This clause provides for the </w:t>
      </w:r>
      <w:r w:rsidRPr="00E85E96">
        <w:t>commencement of the Act on the day after the Act’s notification day.</w:t>
      </w:r>
    </w:p>
    <w:p w14:paraId="0DBB7127" w14:textId="77777777" w:rsidR="008205A2" w:rsidRPr="00ED3B77" w:rsidRDefault="008205A2" w:rsidP="008205A2">
      <w:pPr>
        <w:pStyle w:val="Heading3"/>
        <w:rPr>
          <w:b w:val="0"/>
        </w:rPr>
      </w:pPr>
      <w:r w:rsidRPr="00ED3B77">
        <w:t>Clause 3</w:t>
      </w:r>
      <w:r w:rsidRPr="00ED3B77">
        <w:tab/>
        <w:t>Legislation amended</w:t>
      </w:r>
    </w:p>
    <w:p w14:paraId="6AF09C3D" w14:textId="77777777" w:rsidR="008205A2" w:rsidRDefault="008205A2" w:rsidP="008205A2">
      <w:r>
        <w:t xml:space="preserve">This clause provides that the Act amends the </w:t>
      </w:r>
      <w:r w:rsidRPr="00E85E96">
        <w:rPr>
          <w:i/>
          <w:iCs/>
        </w:rPr>
        <w:t>Utilities Act 2000</w:t>
      </w:r>
      <w:r w:rsidRPr="00E85E96">
        <w:t xml:space="preserve"> and the </w:t>
      </w:r>
      <w:r w:rsidRPr="00E85E96">
        <w:rPr>
          <w:i/>
          <w:iCs/>
        </w:rPr>
        <w:t>Utilities (Technical Regulation) Act 2014</w:t>
      </w:r>
      <w:r w:rsidRPr="00E85E96">
        <w:t>.</w:t>
      </w:r>
    </w:p>
    <w:p w14:paraId="2BA6BD68" w14:textId="77777777" w:rsidR="008205A2" w:rsidRPr="00C0789F" w:rsidRDefault="008205A2" w:rsidP="008205A2">
      <w:pPr>
        <w:rPr>
          <w:rFonts w:ascii="Arial" w:hAnsi="Arial" w:cs="Arial"/>
          <w:b/>
          <w:bCs/>
          <w:sz w:val="24"/>
          <w:szCs w:val="24"/>
        </w:rPr>
      </w:pPr>
      <w:r w:rsidRPr="00C0789F">
        <w:rPr>
          <w:rFonts w:ascii="Arial" w:hAnsi="Arial" w:cs="Arial"/>
          <w:b/>
          <w:bCs/>
          <w:sz w:val="24"/>
          <w:szCs w:val="24"/>
        </w:rPr>
        <w:t xml:space="preserve">Part </w:t>
      </w:r>
      <w:r>
        <w:rPr>
          <w:rFonts w:ascii="Arial" w:hAnsi="Arial" w:cs="Arial"/>
          <w:b/>
          <w:bCs/>
          <w:sz w:val="24"/>
          <w:szCs w:val="24"/>
        </w:rPr>
        <w:t>2 – Utilities Act 2000</w:t>
      </w:r>
    </w:p>
    <w:p w14:paraId="36BD1254" w14:textId="77777777" w:rsidR="008205A2" w:rsidRDefault="008205A2" w:rsidP="008205A2">
      <w:pPr>
        <w:pStyle w:val="Heading3"/>
      </w:pPr>
      <w:r w:rsidRPr="00ED3B77">
        <w:t>Clause</w:t>
      </w:r>
      <w:r>
        <w:t>s</w:t>
      </w:r>
      <w:r w:rsidRPr="00ED3B77">
        <w:t xml:space="preserve"> </w:t>
      </w:r>
      <w:r>
        <w:t>4 and 5</w:t>
      </w:r>
      <w:r w:rsidRPr="00ED3B77">
        <w:tab/>
      </w:r>
      <w:r>
        <w:t>ICRC’s Objects and Objects of Act</w:t>
      </w:r>
    </w:p>
    <w:p w14:paraId="0E74E84D" w14:textId="77777777" w:rsidR="008205A2" w:rsidRDefault="008205A2" w:rsidP="008205A2">
      <w:r>
        <w:t xml:space="preserve">These clauses omits the ICRC’s Objects under section 3 of the </w:t>
      </w:r>
      <w:r w:rsidRPr="00C60D84">
        <w:rPr>
          <w:i/>
          <w:iCs/>
        </w:rPr>
        <w:t>Utilities Act 2000</w:t>
      </w:r>
      <w:r>
        <w:t>, and splits those objects into new section 5B Objects of Act and new section 5C ICRC’s objects, with the following amendments:</w:t>
      </w:r>
    </w:p>
    <w:p w14:paraId="360085E6" w14:textId="77777777" w:rsidR="008205A2" w:rsidRDefault="008205A2" w:rsidP="008205A2">
      <w:pPr>
        <w:pStyle w:val="ListParagraph"/>
        <w:numPr>
          <w:ilvl w:val="0"/>
          <w:numId w:val="5"/>
        </w:numPr>
        <w:spacing w:after="120"/>
        <w:ind w:left="714" w:hanging="357"/>
      </w:pPr>
      <w:r>
        <w:t>Section 3 (d) is split into new sections 5B (d) and (e) and are reframed to remove refence to encouraging growth in utility service industries. Instead 5B (d) encourages prudent and efficient long-term investment, and 5B (e) encourages sustainable levels of employment in utility service industries. This change is made as an object of continual growth is unsustainable and could promote outcomes that unnecessarily raise the cost of services to consumers.</w:t>
      </w:r>
    </w:p>
    <w:p w14:paraId="4D1D9DAC" w14:textId="77777777" w:rsidR="008205A2" w:rsidRDefault="008205A2" w:rsidP="008205A2">
      <w:pPr>
        <w:pStyle w:val="ListParagraph"/>
        <w:numPr>
          <w:ilvl w:val="0"/>
          <w:numId w:val="5"/>
        </w:numPr>
        <w:spacing w:after="120"/>
        <w:ind w:left="714" w:hanging="357"/>
      </w:pPr>
      <w:r>
        <w:t xml:space="preserve">New section 5B (h) provides that ending the provision of utility services and decommissioning of networks is carried out in a safe, efficient, equitable and transparent way. This change ensures that the Act promotes a range of considerations before ending utility services or decommissioning network infrastructure. </w:t>
      </w:r>
    </w:p>
    <w:p w14:paraId="0436B684" w14:textId="77777777" w:rsidR="008205A2" w:rsidRDefault="008205A2" w:rsidP="008205A2">
      <w:pPr>
        <w:pStyle w:val="ListParagraph"/>
        <w:numPr>
          <w:ilvl w:val="0"/>
          <w:numId w:val="5"/>
        </w:numPr>
        <w:spacing w:after="120"/>
        <w:ind w:left="714" w:hanging="357"/>
      </w:pPr>
      <w:r>
        <w:t>Section 3 (</w:t>
      </w:r>
      <w:proofErr w:type="spellStart"/>
      <w:r>
        <w:t>i</w:t>
      </w:r>
      <w:proofErr w:type="spellEnd"/>
      <w:r>
        <w:t>) is omitted as it duplicates the effect of section 19 (4), in that the ICRC must give effect to Ministerial directions under section 19.</w:t>
      </w:r>
    </w:p>
    <w:p w14:paraId="42049010" w14:textId="77777777" w:rsidR="008205A2" w:rsidRDefault="008205A2" w:rsidP="008205A2">
      <w:pPr>
        <w:pStyle w:val="ListParagraph"/>
        <w:numPr>
          <w:ilvl w:val="0"/>
          <w:numId w:val="5"/>
        </w:numPr>
        <w:spacing w:after="120"/>
        <w:ind w:left="714" w:hanging="357"/>
      </w:pPr>
      <w:r>
        <w:t>New section 5C (c) provides that the ICRC is to give effect to the Objects of the Act.</w:t>
      </w:r>
    </w:p>
    <w:p w14:paraId="441792CC" w14:textId="77777777" w:rsidR="008205A2" w:rsidRPr="00ED3B77" w:rsidRDefault="008205A2" w:rsidP="008205A2">
      <w:pPr>
        <w:pStyle w:val="Heading3"/>
        <w:rPr>
          <w:b w:val="0"/>
        </w:rPr>
      </w:pPr>
      <w:r w:rsidRPr="00ED3B77">
        <w:t>Clause</w:t>
      </w:r>
      <w:r>
        <w:t>s</w:t>
      </w:r>
      <w:r w:rsidRPr="00ED3B77">
        <w:t xml:space="preserve"> </w:t>
      </w:r>
      <w:r>
        <w:t>6-8 and 10-11</w:t>
      </w:r>
      <w:r w:rsidRPr="00ED3B77">
        <w:tab/>
      </w:r>
      <w:r>
        <w:t>Consequential and minor drafting amendments</w:t>
      </w:r>
    </w:p>
    <w:p w14:paraId="576785E8" w14:textId="77777777" w:rsidR="008205A2" w:rsidRDefault="008205A2" w:rsidP="008205A2">
      <w:r>
        <w:t>These clauses make various consequential amendments and minor drafting amendments that deal with the restructuring of the Objects and standard drafting practices.</w:t>
      </w:r>
    </w:p>
    <w:p w14:paraId="39890167" w14:textId="77777777" w:rsidR="008205A2" w:rsidRDefault="008205A2" w:rsidP="008205A2">
      <w:pPr>
        <w:pStyle w:val="Heading3"/>
      </w:pPr>
      <w:r w:rsidRPr="00ED3B77">
        <w:t xml:space="preserve">Clause </w:t>
      </w:r>
      <w:r>
        <w:t>9</w:t>
      </w:r>
      <w:r w:rsidRPr="00ED3B77">
        <w:tab/>
      </w:r>
      <w:r>
        <w:t>New sections 55 (2) (l) to (o)</w:t>
      </w:r>
    </w:p>
    <w:p w14:paraId="5807AA60" w14:textId="77777777" w:rsidR="008205A2" w:rsidRDefault="008205A2" w:rsidP="008205A2">
      <w:r>
        <w:t xml:space="preserve">This clause adds to the list of examples of matters that industry codes may deal with. </w:t>
      </w:r>
    </w:p>
    <w:p w14:paraId="39201C89" w14:textId="77777777" w:rsidR="008205A2" w:rsidRDefault="008205A2" w:rsidP="008205A2">
      <w:r>
        <w:lastRenderedPageBreak/>
        <w:t>New sections 55 (2) (l) to (n) deal with ending the provision of services, removing network facilities and decommissioning of a network. These examples provide scope in alignment with new Object of Act 5B (h) to ensure that any work is carried out in a safe, efficient, equitable and transparent way.</w:t>
      </w:r>
    </w:p>
    <w:p w14:paraId="5E02460A" w14:textId="38A4C159" w:rsidR="008205A2" w:rsidRPr="00753447" w:rsidRDefault="008205A2" w:rsidP="008205A2">
      <w:r>
        <w:t xml:space="preserve">New section 55 (2) (o) deals with information sharing between utilities about utilities services. This example provides a flag that different utility services hold information which is relevant for efficient planning of other utilities, and that enabling the sharing of this information is in the community’s interest. This section is not intended for the sharing of individuals personal information, and is to be exercised in line the </w:t>
      </w:r>
      <w:r w:rsidRPr="003657D1">
        <w:rPr>
          <w:i/>
          <w:iCs/>
        </w:rPr>
        <w:t>Information Privacy Act 2014</w:t>
      </w:r>
      <w:r>
        <w:t xml:space="preserve"> and the </w:t>
      </w:r>
      <w:r w:rsidRPr="003657D1">
        <w:rPr>
          <w:i/>
          <w:iCs/>
        </w:rPr>
        <w:t>Human Rights Act 2004</w:t>
      </w:r>
      <w:r>
        <w:t>.</w:t>
      </w:r>
    </w:p>
    <w:p w14:paraId="1845DDE1" w14:textId="77777777" w:rsidR="008205A2" w:rsidRPr="00ED3B77" w:rsidRDefault="008205A2" w:rsidP="008205A2">
      <w:pPr>
        <w:pStyle w:val="Heading3"/>
        <w:rPr>
          <w:b w:val="0"/>
        </w:rPr>
      </w:pPr>
      <w:r w:rsidRPr="00ED3B77">
        <w:t xml:space="preserve">Clause </w:t>
      </w:r>
      <w:r>
        <w:t>12</w:t>
      </w:r>
      <w:r w:rsidRPr="00ED3B77">
        <w:tab/>
      </w:r>
      <w:r>
        <w:t>New definition</w:t>
      </w:r>
    </w:p>
    <w:p w14:paraId="4B5DB7F6" w14:textId="77777777" w:rsidR="008205A2" w:rsidRDefault="008205A2" w:rsidP="008205A2">
      <w:r w:rsidRPr="000425C2">
        <w:t xml:space="preserve">This clause provides for a definition of </w:t>
      </w:r>
      <w:r w:rsidRPr="000425C2">
        <w:rPr>
          <w:b/>
          <w:bCs/>
        </w:rPr>
        <w:t>decommission</w:t>
      </w:r>
      <w:r w:rsidRPr="000425C2">
        <w:t xml:space="preserve">, which includes the removal or disabling of network facilities. </w:t>
      </w:r>
    </w:p>
    <w:p w14:paraId="65672D2F" w14:textId="77777777" w:rsidR="008205A2" w:rsidRDefault="008205A2" w:rsidP="008205A2">
      <w:r w:rsidRPr="000425C2">
        <w:t xml:space="preserve">This definition when read with the existing definition for </w:t>
      </w:r>
      <w:r w:rsidRPr="000425C2">
        <w:rPr>
          <w:b/>
          <w:bCs/>
        </w:rPr>
        <w:t>network facility</w:t>
      </w:r>
      <w:r w:rsidRPr="000425C2">
        <w:t xml:space="preserve"> covers the decommissioning of parts or of a whole utility network.</w:t>
      </w:r>
    </w:p>
    <w:p w14:paraId="423D5597" w14:textId="09B4BB27" w:rsidR="008205A2" w:rsidRDefault="008205A2" w:rsidP="008205A2">
      <w:r>
        <w:t>It is noted that disabling can be read both in terms of temporary disabling, such as cap</w:t>
      </w:r>
      <w:r w:rsidR="00E66A2B">
        <w:t>p</w:t>
      </w:r>
      <w:r>
        <w:t xml:space="preserve">ing a pipe, or permanent disabling, such as filling a pipe with concrete. </w:t>
      </w:r>
    </w:p>
    <w:p w14:paraId="460962D0" w14:textId="77777777" w:rsidR="008205A2" w:rsidRPr="00C0789F" w:rsidRDefault="008205A2" w:rsidP="008205A2">
      <w:pPr>
        <w:rPr>
          <w:rFonts w:ascii="Arial" w:hAnsi="Arial" w:cs="Arial"/>
          <w:b/>
          <w:bCs/>
          <w:sz w:val="24"/>
          <w:szCs w:val="24"/>
        </w:rPr>
      </w:pPr>
      <w:r w:rsidRPr="00C0789F">
        <w:rPr>
          <w:rFonts w:ascii="Arial" w:hAnsi="Arial" w:cs="Arial"/>
          <w:b/>
          <w:bCs/>
          <w:sz w:val="24"/>
          <w:szCs w:val="24"/>
        </w:rPr>
        <w:t xml:space="preserve">Part </w:t>
      </w:r>
      <w:r>
        <w:rPr>
          <w:rFonts w:ascii="Arial" w:hAnsi="Arial" w:cs="Arial"/>
          <w:b/>
          <w:bCs/>
          <w:sz w:val="24"/>
          <w:szCs w:val="24"/>
        </w:rPr>
        <w:t>3 – Utilities (Technical Regulation) Act 2014</w:t>
      </w:r>
    </w:p>
    <w:p w14:paraId="7120A10C" w14:textId="77777777" w:rsidR="008205A2" w:rsidRDefault="008205A2" w:rsidP="008205A2">
      <w:pPr>
        <w:pStyle w:val="Heading3"/>
      </w:pPr>
      <w:r w:rsidRPr="00ED3B77">
        <w:t xml:space="preserve">Clause </w:t>
      </w:r>
      <w:r>
        <w:t>13</w:t>
      </w:r>
      <w:r w:rsidRPr="00ED3B77">
        <w:tab/>
      </w:r>
      <w:r>
        <w:t>New section 6 (e)</w:t>
      </w:r>
    </w:p>
    <w:p w14:paraId="0BCF4140" w14:textId="77777777" w:rsidR="008205A2" w:rsidRPr="00C0789F" w:rsidRDefault="008205A2" w:rsidP="008205A2">
      <w:r>
        <w:t>New section 6 (e) provides that ending the provision of regulated utility services and the decommissioning of regulated utility networks is carried out in a safe, efficient and transparent way. This change ensures that the Act promotes a range of considerations before ending regulated utility services or decommissioning regulated network infrastructure.</w:t>
      </w:r>
    </w:p>
    <w:p w14:paraId="2906D957" w14:textId="77777777" w:rsidR="008205A2" w:rsidRPr="00ED3B77" w:rsidRDefault="008205A2" w:rsidP="008205A2">
      <w:pPr>
        <w:pStyle w:val="Heading3"/>
        <w:tabs>
          <w:tab w:val="left" w:pos="1418"/>
          <w:tab w:val="left" w:pos="2410"/>
        </w:tabs>
        <w:rPr>
          <w:b w:val="0"/>
        </w:rPr>
      </w:pPr>
      <w:r w:rsidRPr="00ED3B77">
        <w:t>Clause</w:t>
      </w:r>
      <w:r>
        <w:t>s</w:t>
      </w:r>
      <w:r w:rsidRPr="00ED3B77">
        <w:t xml:space="preserve"> </w:t>
      </w:r>
      <w:r>
        <w:t>14 and 15</w:t>
      </w:r>
      <w:r w:rsidRPr="00ED3B77">
        <w:tab/>
      </w:r>
      <w:r>
        <w:t>New sections 11 (1) (</w:t>
      </w:r>
      <w:proofErr w:type="spellStart"/>
      <w:r>
        <w:t>ea</w:t>
      </w:r>
      <w:proofErr w:type="spellEnd"/>
      <w:r>
        <w:t>) to (ed), (h) and (</w:t>
      </w:r>
      <w:proofErr w:type="spellStart"/>
      <w:r>
        <w:t>i</w:t>
      </w:r>
      <w:proofErr w:type="spellEnd"/>
      <w:r>
        <w:t>)</w:t>
      </w:r>
    </w:p>
    <w:p w14:paraId="06CCB514" w14:textId="77777777" w:rsidR="008205A2" w:rsidRDefault="008205A2" w:rsidP="008205A2">
      <w:r>
        <w:t xml:space="preserve">These clauses add to the list of purposes that technical codes may be made for. </w:t>
      </w:r>
    </w:p>
    <w:p w14:paraId="764B64E7" w14:textId="77777777" w:rsidR="008205A2" w:rsidRDefault="008205A2" w:rsidP="008205A2">
      <w:r>
        <w:t>New sections 11 (1) (</w:t>
      </w:r>
      <w:proofErr w:type="spellStart"/>
      <w:r>
        <w:t>ea</w:t>
      </w:r>
      <w:proofErr w:type="spellEnd"/>
      <w:r>
        <w:t>) to (ed) deal with the safe and efficient disconnection of customers’ premises from a regulated utility network, ending the provision of regulated utility services, the removal of network facilities and decommissioning of a regulated utility network. These purposes are aligned with new Object of Act 6 (e) and provide scope to make technical codes on these topics to ensure that any work is carried out in a safe, efficient and transparent way.</w:t>
      </w:r>
    </w:p>
    <w:p w14:paraId="456AEB4D" w14:textId="77777777" w:rsidR="008205A2" w:rsidRDefault="008205A2" w:rsidP="008205A2">
      <w:r>
        <w:t>New sections 11 (1) (h) and (</w:t>
      </w:r>
      <w:proofErr w:type="spellStart"/>
      <w:r>
        <w:t>i</w:t>
      </w:r>
      <w:proofErr w:type="spellEnd"/>
      <w:r>
        <w:t xml:space="preserve">) deal with information sharing by regulated utilities about regulated utility services, both with other regulated utilities and the community. This will support more efficient planning of utilities and greater transparency for the community. These sections are not intended for the sharing of individuals personal information, and are to be exercised in line the </w:t>
      </w:r>
      <w:r w:rsidRPr="00EF1320">
        <w:rPr>
          <w:i/>
          <w:iCs/>
        </w:rPr>
        <w:t>Information Privacy Act 2014</w:t>
      </w:r>
      <w:r>
        <w:t xml:space="preserve"> and the </w:t>
      </w:r>
      <w:r w:rsidRPr="00EF1320">
        <w:rPr>
          <w:i/>
          <w:iCs/>
        </w:rPr>
        <w:t>Human Rights Act 2004</w:t>
      </w:r>
      <w:r>
        <w:t>.</w:t>
      </w:r>
    </w:p>
    <w:p w14:paraId="31D1CCB4" w14:textId="77777777" w:rsidR="008205A2" w:rsidRPr="00ED3B77" w:rsidRDefault="008205A2" w:rsidP="008205A2">
      <w:pPr>
        <w:pStyle w:val="Heading3"/>
        <w:rPr>
          <w:b w:val="0"/>
        </w:rPr>
      </w:pPr>
      <w:r w:rsidRPr="00ED3B77">
        <w:lastRenderedPageBreak/>
        <w:t xml:space="preserve">Clause </w:t>
      </w:r>
      <w:r>
        <w:t>16</w:t>
      </w:r>
      <w:r w:rsidRPr="00ED3B77">
        <w:tab/>
      </w:r>
      <w:r>
        <w:t>Amended definition – section 28 (b)</w:t>
      </w:r>
    </w:p>
    <w:p w14:paraId="58A6E62A" w14:textId="77777777" w:rsidR="008205A2" w:rsidRDefault="008205A2" w:rsidP="008205A2">
      <w:r>
        <w:t xml:space="preserve">This clause amends the definition of a </w:t>
      </w:r>
      <w:r w:rsidRPr="00197865">
        <w:rPr>
          <w:b/>
          <w:bCs/>
        </w:rPr>
        <w:t>dangerous incident</w:t>
      </w:r>
      <w:r>
        <w:t xml:space="preserve">, to clarify that uncontrolled fire, implosion or explosion, also includes electrical explosions and arc flash explosions. This amendment improves clarity on the intent of the definition.  </w:t>
      </w:r>
    </w:p>
    <w:p w14:paraId="15D8ABC2" w14:textId="77777777" w:rsidR="008205A2" w:rsidRPr="00ED3B77" w:rsidRDefault="008205A2" w:rsidP="008205A2">
      <w:pPr>
        <w:pStyle w:val="Heading3"/>
        <w:rPr>
          <w:b w:val="0"/>
        </w:rPr>
      </w:pPr>
      <w:r w:rsidRPr="00ED3B77">
        <w:t xml:space="preserve">Clause </w:t>
      </w:r>
      <w:r>
        <w:t>17</w:t>
      </w:r>
      <w:r w:rsidRPr="00ED3B77">
        <w:tab/>
      </w:r>
      <w:r>
        <w:t>New section 43 (3) to (5)</w:t>
      </w:r>
    </w:p>
    <w:p w14:paraId="3441E46E" w14:textId="77777777" w:rsidR="008205A2" w:rsidRDefault="008205A2" w:rsidP="008205A2">
      <w:r>
        <w:t xml:space="preserve">This clause enables the technical regulator to require a regulatory plan as part of the application of an operating certificate, as well as any other information that would be reasonable in order to decide the application, or is prescribed by regulation. </w:t>
      </w:r>
    </w:p>
    <w:p w14:paraId="5EE51737" w14:textId="77777777" w:rsidR="008205A2" w:rsidRDefault="008205A2" w:rsidP="008205A2">
      <w:r>
        <w:t>The clause enables the technical regulator to determine the requirements for a regulatory plan via a notifiable instrument.</w:t>
      </w:r>
    </w:p>
    <w:p w14:paraId="15B88F38" w14:textId="77777777" w:rsidR="008205A2" w:rsidRDefault="008205A2" w:rsidP="008205A2">
      <w:pPr>
        <w:pStyle w:val="Heading3"/>
      </w:pPr>
      <w:r w:rsidRPr="00ED3B77">
        <w:t xml:space="preserve">Clause </w:t>
      </w:r>
      <w:r>
        <w:t>18</w:t>
      </w:r>
      <w:r w:rsidRPr="00ED3B77">
        <w:tab/>
      </w:r>
      <w:r>
        <w:t>Consequential Amendment – section 43 (1)</w:t>
      </w:r>
    </w:p>
    <w:p w14:paraId="645B22F2" w14:textId="77777777" w:rsidR="008205A2" w:rsidRPr="00177FE1" w:rsidRDefault="008205A2" w:rsidP="008205A2">
      <w:r>
        <w:t>This clause is a consequential amendment arising from clause 17, as the new sections 43(3) to (5) deal with requirements for regulatory plans. This change will allow for requirements to be placed upfront and in an instrument, rather than following written notice.</w:t>
      </w:r>
    </w:p>
    <w:p w14:paraId="17588252" w14:textId="77777777" w:rsidR="008205A2" w:rsidRPr="00ED3B77" w:rsidRDefault="008205A2" w:rsidP="008205A2">
      <w:pPr>
        <w:pStyle w:val="Heading3"/>
        <w:rPr>
          <w:b w:val="0"/>
        </w:rPr>
      </w:pPr>
      <w:r w:rsidRPr="00ED3B77">
        <w:t xml:space="preserve">Clause </w:t>
      </w:r>
      <w:r>
        <w:t>19</w:t>
      </w:r>
      <w:r w:rsidRPr="00ED3B77">
        <w:tab/>
      </w:r>
      <w:r>
        <w:t>New definition</w:t>
      </w:r>
    </w:p>
    <w:p w14:paraId="398C468D" w14:textId="77777777" w:rsidR="008205A2" w:rsidRDefault="008205A2" w:rsidP="008205A2">
      <w:r w:rsidRPr="000425C2">
        <w:t xml:space="preserve">This clause provides for a definition of </w:t>
      </w:r>
      <w:r w:rsidRPr="000425C2">
        <w:rPr>
          <w:b/>
          <w:bCs/>
        </w:rPr>
        <w:t>decommission</w:t>
      </w:r>
      <w:r w:rsidRPr="000425C2">
        <w:t xml:space="preserve">, which includes the removal or disabling of network facilities. </w:t>
      </w:r>
    </w:p>
    <w:p w14:paraId="557B62FE" w14:textId="77777777" w:rsidR="008205A2" w:rsidRDefault="008205A2" w:rsidP="008205A2">
      <w:r w:rsidRPr="000425C2">
        <w:t xml:space="preserve">This definition when read with the existing definition for </w:t>
      </w:r>
      <w:r w:rsidRPr="000425C2">
        <w:rPr>
          <w:b/>
          <w:bCs/>
        </w:rPr>
        <w:t>network facility</w:t>
      </w:r>
      <w:r w:rsidRPr="000425C2">
        <w:t xml:space="preserve"> covers the decommissioning of parts or of a whole utility network.</w:t>
      </w:r>
    </w:p>
    <w:p w14:paraId="799186F5" w14:textId="4AADD442" w:rsidR="008205A2" w:rsidRDefault="008205A2" w:rsidP="008205A2">
      <w:r>
        <w:t>It is noted that disabling can be read both in terms of temporary disabling, such as cap</w:t>
      </w:r>
      <w:r w:rsidR="00E66A2B">
        <w:t>p</w:t>
      </w:r>
      <w:r>
        <w:t xml:space="preserve">ing a pipe, or permanent disabling, such as filling a pipe with concrete. </w:t>
      </w:r>
    </w:p>
    <w:p w14:paraId="5EF3594B" w14:textId="77777777" w:rsidR="008205A2" w:rsidRDefault="008205A2" w:rsidP="008205A2"/>
    <w:p w14:paraId="38B5687D" w14:textId="77777777" w:rsidR="008205A2" w:rsidRDefault="008205A2" w:rsidP="008205A2"/>
    <w:p w14:paraId="35174E41" w14:textId="77777777" w:rsidR="00B10812" w:rsidRPr="008205A2" w:rsidRDefault="00B10812" w:rsidP="008205A2"/>
    <w:sectPr w:rsidR="00B10812" w:rsidRPr="008205A2" w:rsidSect="00F41A2F">
      <w:footerReference w:type="default" r:id="rId18"/>
      <w:footerReference w:type="first" r:id="rId19"/>
      <w:pgSz w:w="11906" w:h="16838"/>
      <w:pgMar w:top="1276" w:right="1440" w:bottom="1440" w:left="1440" w:header="709" w:footer="675"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0E6BD" w14:textId="77777777" w:rsidR="006E5E97" w:rsidRDefault="006E5E97" w:rsidP="00E90DF9">
      <w:pPr>
        <w:spacing w:after="0" w:line="240" w:lineRule="auto"/>
      </w:pPr>
      <w:r>
        <w:separator/>
      </w:r>
    </w:p>
  </w:endnote>
  <w:endnote w:type="continuationSeparator" w:id="0">
    <w:p w14:paraId="2E251C01" w14:textId="77777777" w:rsidR="006E5E97" w:rsidRDefault="006E5E97" w:rsidP="00E90D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BB591" w14:textId="77777777" w:rsidR="00AA47F2" w:rsidRDefault="00AA47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CD4AC" w14:textId="43315045" w:rsidR="008205A2" w:rsidRPr="00AA47F2" w:rsidRDefault="00AA47F2" w:rsidP="00AA47F2">
    <w:pPr>
      <w:pStyle w:val="Header"/>
      <w:jc w:val="center"/>
      <w:rPr>
        <w:rFonts w:ascii="Arial" w:hAnsi="Arial" w:cs="Arial"/>
        <w:sz w:val="14"/>
        <w:szCs w:val="24"/>
      </w:rPr>
    </w:pPr>
    <w:r w:rsidRPr="00AA47F2">
      <w:rPr>
        <w:rFonts w:ascii="Arial" w:hAnsi="Arial" w:cs="Arial"/>
        <w:sz w:val="14"/>
        <w:szCs w:val="2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4F07D" w14:textId="77777777" w:rsidR="008205A2" w:rsidRDefault="008205A2">
    <w:pPr>
      <w:pStyle w:val="Footer"/>
      <w:jc w:val="right"/>
    </w:pPr>
  </w:p>
  <w:p w14:paraId="432AB570" w14:textId="77777777" w:rsidR="008205A2" w:rsidRPr="00DC5912" w:rsidRDefault="008205A2" w:rsidP="00DC591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8B9F2" w14:textId="58FB3103" w:rsidR="009E42F5" w:rsidRDefault="00E90DF9" w:rsidP="00C17EB2">
    <w:pPr>
      <w:pStyle w:val="Footer"/>
      <w:spacing w:before="60" w:line="240" w:lineRule="auto"/>
      <w:jc w:val="right"/>
    </w:pPr>
    <w:r>
      <w:fldChar w:fldCharType="begin"/>
    </w:r>
    <w:r>
      <w:instrText xml:space="preserve"> PAGE   \* MERGEFORMAT </w:instrText>
    </w:r>
    <w:r>
      <w:fldChar w:fldCharType="separate"/>
    </w:r>
    <w:r>
      <w:rPr>
        <w:noProof/>
      </w:rPr>
      <w:t>4</w:t>
    </w:r>
    <w:r>
      <w:fldChar w:fldCharType="end"/>
    </w:r>
  </w:p>
  <w:p w14:paraId="49967B68" w14:textId="3DEE312B" w:rsidR="00C17EB2" w:rsidRPr="00AA47F2" w:rsidRDefault="00AA47F2" w:rsidP="00AA47F2">
    <w:pPr>
      <w:pStyle w:val="Footer"/>
      <w:spacing w:before="60" w:line="240" w:lineRule="auto"/>
      <w:jc w:val="center"/>
      <w:rPr>
        <w:rFonts w:cs="Arial"/>
        <w:sz w:val="14"/>
        <w:szCs w:val="16"/>
      </w:rPr>
    </w:pPr>
    <w:r w:rsidRPr="00AA47F2">
      <w:rPr>
        <w:rFonts w:cs="Arial"/>
        <w:sz w:val="14"/>
        <w:szCs w:val="16"/>
      </w:rPr>
      <w:t>Unauthorised version prepared by ACT Parliamentary Counsel’s Office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B8EB8" w14:textId="4F4ADF17" w:rsidR="009E42F5" w:rsidRDefault="00E90DF9" w:rsidP="00C17EB2">
    <w:pPr>
      <w:pStyle w:val="Header"/>
      <w:jc w:val="right"/>
      <w:rPr>
        <w:sz w:val="24"/>
        <w:szCs w:val="24"/>
      </w:rPr>
    </w:pPr>
    <w:r>
      <w:fldChar w:fldCharType="begin"/>
    </w:r>
    <w:r>
      <w:instrText xml:space="preserve"> PAGE   \* MERGEFORMAT </w:instrText>
    </w:r>
    <w:r>
      <w:fldChar w:fldCharType="separate"/>
    </w:r>
    <w:r>
      <w:rPr>
        <w:noProof/>
      </w:rPr>
      <w:t>1</w:t>
    </w:r>
    <w:r>
      <w:fldChar w:fldCharType="end"/>
    </w:r>
  </w:p>
  <w:p w14:paraId="4557DB77" w14:textId="55E143AD" w:rsidR="00E8500C" w:rsidRPr="00AA47F2" w:rsidRDefault="00AA47F2" w:rsidP="00AA47F2">
    <w:pPr>
      <w:pStyle w:val="Header"/>
      <w:jc w:val="center"/>
      <w:rPr>
        <w:rFonts w:ascii="Arial" w:hAnsi="Arial" w:cs="Arial"/>
        <w:sz w:val="14"/>
        <w:szCs w:val="14"/>
      </w:rPr>
    </w:pPr>
    <w:r w:rsidRPr="00AA47F2">
      <w:rPr>
        <w:rFonts w:ascii="Arial" w:hAnsi="Arial" w:cs="Arial"/>
        <w:sz w:val="14"/>
        <w:szCs w:val="14"/>
      </w:rPr>
      <w:t>Unauthorised version prepared by ACT Parliamentary Counsel’s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978B4" w14:textId="77777777" w:rsidR="006E5E97" w:rsidRDefault="006E5E97" w:rsidP="00E90DF9">
      <w:pPr>
        <w:spacing w:after="0" w:line="240" w:lineRule="auto"/>
      </w:pPr>
      <w:r>
        <w:separator/>
      </w:r>
    </w:p>
  </w:footnote>
  <w:footnote w:type="continuationSeparator" w:id="0">
    <w:p w14:paraId="62D8DCF1" w14:textId="77777777" w:rsidR="006E5E97" w:rsidRDefault="006E5E97" w:rsidP="00E90D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D5FEB" w14:textId="77777777" w:rsidR="00AA47F2" w:rsidRDefault="00AA47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8A1DE" w14:textId="78EBD1B0" w:rsidR="008205A2" w:rsidRPr="00843CF7" w:rsidRDefault="008205A2" w:rsidP="009E42F5">
    <w:pPr>
      <w:pStyle w:val="Header"/>
      <w:jc w:val="center"/>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28628" w14:textId="4A8CEA65" w:rsidR="009E42F5" w:rsidRPr="00843CF7" w:rsidRDefault="009E42F5" w:rsidP="009E42F5">
    <w:pPr>
      <w:pStyle w:val="Header"/>
      <w:jc w:val="cent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B4AAB"/>
    <w:multiLevelType w:val="hybridMultilevel"/>
    <w:tmpl w:val="A4B2B346"/>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15FC17E3"/>
    <w:multiLevelType w:val="hybridMultilevel"/>
    <w:tmpl w:val="404041A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2ACA78F7"/>
    <w:multiLevelType w:val="hybridMultilevel"/>
    <w:tmpl w:val="17E88A5A"/>
    <w:lvl w:ilvl="0" w:tplc="2BEEC4F2">
      <w:start w:val="1"/>
      <w:numFmt w:val="decimal"/>
      <w:lvlText w:val="%1."/>
      <w:lvlJc w:val="left"/>
      <w:pPr>
        <w:ind w:left="720" w:hanging="360"/>
      </w:pPr>
    </w:lvl>
    <w:lvl w:ilvl="1" w:tplc="06565F40">
      <w:start w:val="1"/>
      <w:numFmt w:val="lowerLetter"/>
      <w:lvlText w:val="%2."/>
      <w:lvlJc w:val="left"/>
      <w:pPr>
        <w:ind w:left="1440" w:hanging="360"/>
      </w:pPr>
    </w:lvl>
    <w:lvl w:ilvl="2" w:tplc="7C4E452A">
      <w:start w:val="1"/>
      <w:numFmt w:val="lowerRoman"/>
      <w:lvlText w:val="%3."/>
      <w:lvlJc w:val="right"/>
      <w:pPr>
        <w:ind w:left="2160" w:hanging="180"/>
      </w:pPr>
    </w:lvl>
    <w:lvl w:ilvl="3" w:tplc="E06078F6">
      <w:start w:val="1"/>
      <w:numFmt w:val="decimal"/>
      <w:lvlText w:val="%4."/>
      <w:lvlJc w:val="left"/>
      <w:pPr>
        <w:ind w:left="2880" w:hanging="360"/>
      </w:pPr>
    </w:lvl>
    <w:lvl w:ilvl="4" w:tplc="1A48BE3A">
      <w:start w:val="1"/>
      <w:numFmt w:val="lowerLetter"/>
      <w:lvlText w:val="%5."/>
      <w:lvlJc w:val="left"/>
      <w:pPr>
        <w:ind w:left="3600" w:hanging="360"/>
      </w:pPr>
    </w:lvl>
    <w:lvl w:ilvl="5" w:tplc="5784FA40">
      <w:start w:val="1"/>
      <w:numFmt w:val="lowerRoman"/>
      <w:lvlText w:val="%6."/>
      <w:lvlJc w:val="right"/>
      <w:pPr>
        <w:ind w:left="4320" w:hanging="180"/>
      </w:pPr>
    </w:lvl>
    <w:lvl w:ilvl="6" w:tplc="33441834">
      <w:start w:val="1"/>
      <w:numFmt w:val="decimal"/>
      <w:lvlText w:val="%7."/>
      <w:lvlJc w:val="left"/>
      <w:pPr>
        <w:ind w:left="5040" w:hanging="360"/>
      </w:pPr>
    </w:lvl>
    <w:lvl w:ilvl="7" w:tplc="FD44A438">
      <w:start w:val="1"/>
      <w:numFmt w:val="lowerLetter"/>
      <w:lvlText w:val="%8."/>
      <w:lvlJc w:val="left"/>
      <w:pPr>
        <w:ind w:left="5760" w:hanging="360"/>
      </w:pPr>
    </w:lvl>
    <w:lvl w:ilvl="8" w:tplc="70DE504E">
      <w:start w:val="1"/>
      <w:numFmt w:val="lowerRoman"/>
      <w:lvlText w:val="%9."/>
      <w:lvlJc w:val="right"/>
      <w:pPr>
        <w:ind w:left="6480" w:hanging="180"/>
      </w:pPr>
    </w:lvl>
  </w:abstractNum>
  <w:abstractNum w:abstractNumId="3" w15:restartNumberingAfterBreak="0">
    <w:nsid w:val="515F7126"/>
    <w:multiLevelType w:val="hybridMultilevel"/>
    <w:tmpl w:val="1292B8E4"/>
    <w:lvl w:ilvl="0" w:tplc="A7F03F14">
      <w:start w:val="1"/>
      <w:numFmt w:val="bullet"/>
      <w:lvlText w:val="·"/>
      <w:lvlJc w:val="left"/>
      <w:pPr>
        <w:ind w:left="720" w:hanging="360"/>
      </w:pPr>
      <w:rPr>
        <w:rFonts w:ascii="Symbol" w:hAnsi="Symbol" w:hint="default"/>
      </w:rPr>
    </w:lvl>
    <w:lvl w:ilvl="1" w:tplc="3F5887A4">
      <w:start w:val="1"/>
      <w:numFmt w:val="bullet"/>
      <w:lvlText w:val="o"/>
      <w:lvlJc w:val="left"/>
      <w:pPr>
        <w:ind w:left="1440" w:hanging="360"/>
      </w:pPr>
      <w:rPr>
        <w:rFonts w:ascii="Courier New" w:hAnsi="Courier New" w:hint="default"/>
      </w:rPr>
    </w:lvl>
    <w:lvl w:ilvl="2" w:tplc="15188FD4">
      <w:start w:val="1"/>
      <w:numFmt w:val="bullet"/>
      <w:lvlText w:val=""/>
      <w:lvlJc w:val="left"/>
      <w:pPr>
        <w:ind w:left="2160" w:hanging="360"/>
      </w:pPr>
      <w:rPr>
        <w:rFonts w:ascii="Wingdings" w:hAnsi="Wingdings" w:hint="default"/>
      </w:rPr>
    </w:lvl>
    <w:lvl w:ilvl="3" w:tplc="5C4EB0E4">
      <w:start w:val="1"/>
      <w:numFmt w:val="bullet"/>
      <w:lvlText w:val=""/>
      <w:lvlJc w:val="left"/>
      <w:pPr>
        <w:ind w:left="2880" w:hanging="360"/>
      </w:pPr>
      <w:rPr>
        <w:rFonts w:ascii="Symbol" w:hAnsi="Symbol" w:hint="default"/>
      </w:rPr>
    </w:lvl>
    <w:lvl w:ilvl="4" w:tplc="AB127EAC">
      <w:start w:val="1"/>
      <w:numFmt w:val="bullet"/>
      <w:lvlText w:val="o"/>
      <w:lvlJc w:val="left"/>
      <w:pPr>
        <w:ind w:left="3600" w:hanging="360"/>
      </w:pPr>
      <w:rPr>
        <w:rFonts w:ascii="Courier New" w:hAnsi="Courier New" w:hint="default"/>
      </w:rPr>
    </w:lvl>
    <w:lvl w:ilvl="5" w:tplc="247E370E">
      <w:start w:val="1"/>
      <w:numFmt w:val="bullet"/>
      <w:lvlText w:val=""/>
      <w:lvlJc w:val="left"/>
      <w:pPr>
        <w:ind w:left="4320" w:hanging="360"/>
      </w:pPr>
      <w:rPr>
        <w:rFonts w:ascii="Wingdings" w:hAnsi="Wingdings" w:hint="default"/>
      </w:rPr>
    </w:lvl>
    <w:lvl w:ilvl="6" w:tplc="888E370C">
      <w:start w:val="1"/>
      <w:numFmt w:val="bullet"/>
      <w:lvlText w:val=""/>
      <w:lvlJc w:val="left"/>
      <w:pPr>
        <w:ind w:left="5040" w:hanging="360"/>
      </w:pPr>
      <w:rPr>
        <w:rFonts w:ascii="Symbol" w:hAnsi="Symbol" w:hint="default"/>
      </w:rPr>
    </w:lvl>
    <w:lvl w:ilvl="7" w:tplc="26A8649A">
      <w:start w:val="1"/>
      <w:numFmt w:val="bullet"/>
      <w:lvlText w:val="o"/>
      <w:lvlJc w:val="left"/>
      <w:pPr>
        <w:ind w:left="5760" w:hanging="360"/>
      </w:pPr>
      <w:rPr>
        <w:rFonts w:ascii="Courier New" w:hAnsi="Courier New" w:hint="default"/>
      </w:rPr>
    </w:lvl>
    <w:lvl w:ilvl="8" w:tplc="BD3E8DA6">
      <w:start w:val="1"/>
      <w:numFmt w:val="bullet"/>
      <w:lvlText w:val=""/>
      <w:lvlJc w:val="left"/>
      <w:pPr>
        <w:ind w:left="6480" w:hanging="360"/>
      </w:pPr>
      <w:rPr>
        <w:rFonts w:ascii="Wingdings" w:hAnsi="Wingdings" w:hint="default"/>
      </w:rPr>
    </w:lvl>
  </w:abstractNum>
  <w:abstractNum w:abstractNumId="4" w15:restartNumberingAfterBreak="0">
    <w:nsid w:val="5C7F3200"/>
    <w:multiLevelType w:val="hybridMultilevel"/>
    <w:tmpl w:val="DA4631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37279017">
    <w:abstractNumId w:val="3"/>
  </w:num>
  <w:num w:numId="2" w16cid:durableId="272370749">
    <w:abstractNumId w:val="2"/>
  </w:num>
  <w:num w:numId="3" w16cid:durableId="485321631">
    <w:abstractNumId w:val="0"/>
  </w:num>
  <w:num w:numId="4" w16cid:durableId="63338941">
    <w:abstractNumId w:val="1"/>
  </w:num>
  <w:num w:numId="5" w16cid:durableId="4195722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2F4"/>
    <w:rsid w:val="000425C2"/>
    <w:rsid w:val="00071F62"/>
    <w:rsid w:val="0009666A"/>
    <w:rsid w:val="000B0D3F"/>
    <w:rsid w:val="0012506C"/>
    <w:rsid w:val="00177FE1"/>
    <w:rsid w:val="00195B29"/>
    <w:rsid w:val="00197865"/>
    <w:rsid w:val="001A7117"/>
    <w:rsid w:val="001B6410"/>
    <w:rsid w:val="001C6D26"/>
    <w:rsid w:val="001E0727"/>
    <w:rsid w:val="00205F37"/>
    <w:rsid w:val="002162F4"/>
    <w:rsid w:val="002169B9"/>
    <w:rsid w:val="00256D13"/>
    <w:rsid w:val="00262A37"/>
    <w:rsid w:val="00263D60"/>
    <w:rsid w:val="00267843"/>
    <w:rsid w:val="0026799D"/>
    <w:rsid w:val="002D0EB5"/>
    <w:rsid w:val="002F6EDC"/>
    <w:rsid w:val="00320CCD"/>
    <w:rsid w:val="00333540"/>
    <w:rsid w:val="00364010"/>
    <w:rsid w:val="00376695"/>
    <w:rsid w:val="003812E1"/>
    <w:rsid w:val="003B1115"/>
    <w:rsid w:val="00404811"/>
    <w:rsid w:val="004061DE"/>
    <w:rsid w:val="00430815"/>
    <w:rsid w:val="00467D66"/>
    <w:rsid w:val="004A1DEB"/>
    <w:rsid w:val="004D0D05"/>
    <w:rsid w:val="00522895"/>
    <w:rsid w:val="00582943"/>
    <w:rsid w:val="00583013"/>
    <w:rsid w:val="00584D96"/>
    <w:rsid w:val="005B0897"/>
    <w:rsid w:val="005B0FE3"/>
    <w:rsid w:val="005E74AF"/>
    <w:rsid w:val="005F112D"/>
    <w:rsid w:val="00620378"/>
    <w:rsid w:val="00646C5C"/>
    <w:rsid w:val="00661059"/>
    <w:rsid w:val="0069491F"/>
    <w:rsid w:val="006B0918"/>
    <w:rsid w:val="006E5E97"/>
    <w:rsid w:val="0070529C"/>
    <w:rsid w:val="00753447"/>
    <w:rsid w:val="00764C88"/>
    <w:rsid w:val="00775323"/>
    <w:rsid w:val="007A6056"/>
    <w:rsid w:val="007D666A"/>
    <w:rsid w:val="007F55EA"/>
    <w:rsid w:val="00810494"/>
    <w:rsid w:val="008205A2"/>
    <w:rsid w:val="00843CF7"/>
    <w:rsid w:val="008558D5"/>
    <w:rsid w:val="008C648A"/>
    <w:rsid w:val="008D735D"/>
    <w:rsid w:val="008F1FAA"/>
    <w:rsid w:val="008F2B15"/>
    <w:rsid w:val="009316A5"/>
    <w:rsid w:val="009408D0"/>
    <w:rsid w:val="00946FDB"/>
    <w:rsid w:val="00970458"/>
    <w:rsid w:val="009A32C1"/>
    <w:rsid w:val="009B6EC9"/>
    <w:rsid w:val="009C0966"/>
    <w:rsid w:val="009E0822"/>
    <w:rsid w:val="009E42F5"/>
    <w:rsid w:val="009F2568"/>
    <w:rsid w:val="00A07436"/>
    <w:rsid w:val="00A2142A"/>
    <w:rsid w:val="00A53E70"/>
    <w:rsid w:val="00A568A2"/>
    <w:rsid w:val="00A7236B"/>
    <w:rsid w:val="00AA47F2"/>
    <w:rsid w:val="00AB123D"/>
    <w:rsid w:val="00AD1312"/>
    <w:rsid w:val="00B00183"/>
    <w:rsid w:val="00B10812"/>
    <w:rsid w:val="00B41023"/>
    <w:rsid w:val="00B60214"/>
    <w:rsid w:val="00B9385E"/>
    <w:rsid w:val="00B93DA4"/>
    <w:rsid w:val="00BA0A16"/>
    <w:rsid w:val="00BA115A"/>
    <w:rsid w:val="00BB69FF"/>
    <w:rsid w:val="00BC0171"/>
    <w:rsid w:val="00BF328A"/>
    <w:rsid w:val="00C0789F"/>
    <w:rsid w:val="00C17EB2"/>
    <w:rsid w:val="00C5357F"/>
    <w:rsid w:val="00C60D84"/>
    <w:rsid w:val="00C647A6"/>
    <w:rsid w:val="00C74195"/>
    <w:rsid w:val="00C74703"/>
    <w:rsid w:val="00C90E0B"/>
    <w:rsid w:val="00C94D89"/>
    <w:rsid w:val="00CB49D0"/>
    <w:rsid w:val="00CF6976"/>
    <w:rsid w:val="00CF76B1"/>
    <w:rsid w:val="00D10EB6"/>
    <w:rsid w:val="00D1122D"/>
    <w:rsid w:val="00D36152"/>
    <w:rsid w:val="00D53E2D"/>
    <w:rsid w:val="00D66685"/>
    <w:rsid w:val="00DA61A7"/>
    <w:rsid w:val="00DE19A7"/>
    <w:rsid w:val="00DE5311"/>
    <w:rsid w:val="00E01BBF"/>
    <w:rsid w:val="00E07B57"/>
    <w:rsid w:val="00E210D1"/>
    <w:rsid w:val="00E32534"/>
    <w:rsid w:val="00E434D6"/>
    <w:rsid w:val="00E44744"/>
    <w:rsid w:val="00E66A2B"/>
    <w:rsid w:val="00E8500C"/>
    <w:rsid w:val="00E85E96"/>
    <w:rsid w:val="00E90DF9"/>
    <w:rsid w:val="00EC7313"/>
    <w:rsid w:val="00EE36CE"/>
    <w:rsid w:val="00EF1320"/>
    <w:rsid w:val="00F15912"/>
    <w:rsid w:val="00F466F8"/>
    <w:rsid w:val="00F842DF"/>
    <w:rsid w:val="00F9209D"/>
    <w:rsid w:val="00FB0519"/>
    <w:rsid w:val="00FD4320"/>
    <w:rsid w:val="00FD6931"/>
    <w:rsid w:val="00FE6C83"/>
    <w:rsid w:val="00FF7AF4"/>
    <w:rsid w:val="039A3F55"/>
    <w:rsid w:val="23EA3CD3"/>
    <w:rsid w:val="26C57383"/>
    <w:rsid w:val="3104ED9F"/>
    <w:rsid w:val="3D47E044"/>
    <w:rsid w:val="5B6A75F3"/>
    <w:rsid w:val="606C0D65"/>
    <w:rsid w:val="732904E3"/>
    <w:rsid w:val="795E27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7D3965"/>
  <w15:chartTrackingRefBased/>
  <w15:docId w15:val="{D61E32E4-F51F-4A39-984F-BFA829E53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0DF9"/>
    <w:pPr>
      <w:spacing w:after="200" w:line="276" w:lineRule="auto"/>
    </w:pPr>
    <w:rPr>
      <w:rFonts w:ascii="Calibri" w:eastAsia="Times New Roman" w:hAnsi="Calibri" w:cs="Times New Roman"/>
      <w:kern w:val="0"/>
      <w14:ligatures w14:val="none"/>
    </w:rPr>
  </w:style>
  <w:style w:type="paragraph" w:styleId="Heading1">
    <w:name w:val="heading 1"/>
    <w:basedOn w:val="Normal"/>
    <w:next w:val="Normal"/>
    <w:link w:val="Heading1Char"/>
    <w:uiPriority w:val="9"/>
    <w:qFormat/>
    <w:rsid w:val="00E90DF9"/>
    <w:pPr>
      <w:keepNext/>
      <w:keepLines/>
      <w:spacing w:before="120" w:after="120" w:line="240" w:lineRule="auto"/>
      <w:outlineLvl w:val="0"/>
    </w:pPr>
    <w:rPr>
      <w:rFonts w:ascii="Arial" w:eastAsiaTheme="majorEastAsia" w:hAnsi="Arial"/>
      <w:b/>
      <w:bCs/>
      <w:sz w:val="28"/>
      <w:szCs w:val="28"/>
    </w:rPr>
  </w:style>
  <w:style w:type="paragraph" w:styleId="Heading2">
    <w:name w:val="heading 2"/>
    <w:basedOn w:val="Normal"/>
    <w:next w:val="Normal"/>
    <w:link w:val="Heading2Char"/>
    <w:unhideWhenUsed/>
    <w:qFormat/>
    <w:rsid w:val="00E90DF9"/>
    <w:pPr>
      <w:keepNext/>
      <w:keepLines/>
      <w:spacing w:before="120" w:after="120" w:line="240" w:lineRule="auto"/>
      <w:outlineLvl w:val="1"/>
    </w:pPr>
    <w:rPr>
      <w:rFonts w:ascii="Arial" w:eastAsiaTheme="majorEastAsia" w:hAnsi="Arial" w:cstheme="majorBidi"/>
      <w:b/>
      <w:sz w:val="24"/>
      <w:szCs w:val="26"/>
    </w:rPr>
  </w:style>
  <w:style w:type="paragraph" w:styleId="Heading3">
    <w:name w:val="heading 3"/>
    <w:basedOn w:val="Normal"/>
    <w:next w:val="Normal"/>
    <w:link w:val="Heading3Char"/>
    <w:unhideWhenUsed/>
    <w:qFormat/>
    <w:rsid w:val="00E90DF9"/>
    <w:pPr>
      <w:keepNext/>
      <w:keepLines/>
      <w:spacing w:before="240" w:after="240" w:line="240" w:lineRule="auto"/>
      <w:outlineLvl w:val="2"/>
    </w:pPr>
    <w:rPr>
      <w:rFonts w:ascii="Arial" w:eastAsiaTheme="majorEastAsia" w:hAnsi="Arial" w:cstheme="majorBidi"/>
      <w:b/>
      <w:sz w:val="24"/>
      <w:szCs w:val="24"/>
    </w:rPr>
  </w:style>
  <w:style w:type="paragraph" w:styleId="Heading4">
    <w:name w:val="heading 4"/>
    <w:basedOn w:val="Normal"/>
    <w:next w:val="Normal"/>
    <w:link w:val="Heading4Char"/>
    <w:semiHidden/>
    <w:unhideWhenUsed/>
    <w:qFormat/>
    <w:rsid w:val="00E90DF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0DF9"/>
    <w:rPr>
      <w:rFonts w:ascii="Arial" w:eastAsiaTheme="majorEastAsia" w:hAnsi="Arial" w:cs="Times New Roman"/>
      <w:b/>
      <w:bCs/>
      <w:kern w:val="0"/>
      <w:sz w:val="28"/>
      <w:szCs w:val="28"/>
      <w14:ligatures w14:val="none"/>
    </w:rPr>
  </w:style>
  <w:style w:type="character" w:customStyle="1" w:styleId="Heading2Char">
    <w:name w:val="Heading 2 Char"/>
    <w:basedOn w:val="DefaultParagraphFont"/>
    <w:link w:val="Heading2"/>
    <w:rsid w:val="00E90DF9"/>
    <w:rPr>
      <w:rFonts w:ascii="Arial" w:eastAsiaTheme="majorEastAsia" w:hAnsi="Arial" w:cstheme="majorBidi"/>
      <w:b/>
      <w:kern w:val="0"/>
      <w:sz w:val="24"/>
      <w:szCs w:val="26"/>
      <w14:ligatures w14:val="none"/>
    </w:rPr>
  </w:style>
  <w:style w:type="character" w:customStyle="1" w:styleId="Heading3Char">
    <w:name w:val="Heading 3 Char"/>
    <w:basedOn w:val="DefaultParagraphFont"/>
    <w:link w:val="Heading3"/>
    <w:rsid w:val="00E90DF9"/>
    <w:rPr>
      <w:rFonts w:ascii="Arial" w:eastAsiaTheme="majorEastAsia" w:hAnsi="Arial" w:cstheme="majorBidi"/>
      <w:b/>
      <w:kern w:val="0"/>
      <w:sz w:val="24"/>
      <w:szCs w:val="24"/>
      <w14:ligatures w14:val="none"/>
    </w:rPr>
  </w:style>
  <w:style w:type="character" w:customStyle="1" w:styleId="Heading4Char">
    <w:name w:val="Heading 4 Char"/>
    <w:basedOn w:val="DefaultParagraphFont"/>
    <w:link w:val="Heading4"/>
    <w:semiHidden/>
    <w:rsid w:val="00E90DF9"/>
    <w:rPr>
      <w:rFonts w:asciiTheme="majorHAnsi" w:eastAsiaTheme="majorEastAsia" w:hAnsiTheme="majorHAnsi" w:cstheme="majorBidi"/>
      <w:i/>
      <w:iCs/>
      <w:color w:val="2F5496" w:themeColor="accent1" w:themeShade="BF"/>
      <w:kern w:val="0"/>
      <w14:ligatures w14:val="none"/>
    </w:rPr>
  </w:style>
  <w:style w:type="paragraph" w:styleId="Footer">
    <w:name w:val="footer"/>
    <w:basedOn w:val="Normal"/>
    <w:link w:val="FooterChar"/>
    <w:uiPriority w:val="99"/>
    <w:rsid w:val="00E90DF9"/>
    <w:pPr>
      <w:spacing w:before="120" w:after="60" w:line="240" w:lineRule="exact"/>
    </w:pPr>
    <w:rPr>
      <w:rFonts w:ascii="Arial" w:hAnsi="Arial"/>
      <w:sz w:val="18"/>
      <w:szCs w:val="20"/>
    </w:rPr>
  </w:style>
  <w:style w:type="character" w:customStyle="1" w:styleId="FooterChar">
    <w:name w:val="Footer Char"/>
    <w:basedOn w:val="DefaultParagraphFont"/>
    <w:link w:val="Footer"/>
    <w:uiPriority w:val="99"/>
    <w:rsid w:val="00E90DF9"/>
    <w:rPr>
      <w:rFonts w:ascii="Arial" w:eastAsia="Times New Roman" w:hAnsi="Arial" w:cs="Times New Roman"/>
      <w:kern w:val="0"/>
      <w:sz w:val="18"/>
      <w:szCs w:val="20"/>
      <w14:ligatures w14:val="none"/>
    </w:rPr>
  </w:style>
  <w:style w:type="paragraph" w:styleId="ListParagraph">
    <w:name w:val="List Paragraph"/>
    <w:aliases w:val="List Paragraph1,List Paragraph11,Recommendation,Bullet point,L,List Paragraph111,F5 List Paragraph,Dot pt,CV text,Table text,Medium Grid 1 - Accent 21,Numbered Paragraph,List Paragraph2,NFP GP Bulleted List,FooterText,numbered,列出段,列出,列"/>
    <w:basedOn w:val="Normal"/>
    <w:link w:val="ListParagraphChar"/>
    <w:uiPriority w:val="34"/>
    <w:qFormat/>
    <w:rsid w:val="00E90DF9"/>
    <w:pPr>
      <w:spacing w:after="0" w:line="240" w:lineRule="auto"/>
      <w:ind w:left="720"/>
    </w:pPr>
    <w:rPr>
      <w:rFonts w:cs="Calibri"/>
      <w:lang w:eastAsia="en-AU"/>
    </w:rPr>
  </w:style>
  <w:style w:type="paragraph" w:styleId="FootnoteText">
    <w:name w:val="footnote text"/>
    <w:basedOn w:val="Normal"/>
    <w:link w:val="FootnoteTextChar"/>
    <w:uiPriority w:val="99"/>
    <w:rsid w:val="00E90DF9"/>
    <w:pPr>
      <w:widowControl w:val="0"/>
      <w:spacing w:after="60" w:line="240" w:lineRule="auto"/>
    </w:pPr>
    <w:rPr>
      <w:rFonts w:ascii="Times New Roman" w:hAnsi="Times New Roman"/>
      <w:sz w:val="20"/>
      <w:szCs w:val="20"/>
      <w:lang w:val="en-GB"/>
    </w:rPr>
  </w:style>
  <w:style w:type="character" w:customStyle="1" w:styleId="FootnoteTextChar">
    <w:name w:val="Footnote Text Char"/>
    <w:basedOn w:val="DefaultParagraphFont"/>
    <w:link w:val="FootnoteText"/>
    <w:uiPriority w:val="99"/>
    <w:rsid w:val="00E90DF9"/>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uiPriority w:val="99"/>
    <w:rsid w:val="00E90DF9"/>
    <w:rPr>
      <w:rFonts w:cs="Times New Roman"/>
      <w:vertAlign w:val="superscript"/>
    </w:rPr>
  </w:style>
  <w:style w:type="character" w:customStyle="1" w:styleId="ListParagraphChar">
    <w:name w:val="List Paragraph Char"/>
    <w:aliases w:val="List Paragraph1 Char,List Paragraph11 Char,Recommendation Char,Bullet point Char,L Char,List Paragraph111 Char,F5 List Paragraph Char,Dot pt Char,CV text Char,Table text Char,Medium Grid 1 - Accent 21 Char,Numbered Paragraph Char"/>
    <w:basedOn w:val="DefaultParagraphFont"/>
    <w:link w:val="ListParagraph"/>
    <w:uiPriority w:val="34"/>
    <w:qFormat/>
    <w:locked/>
    <w:rsid w:val="00E90DF9"/>
    <w:rPr>
      <w:rFonts w:ascii="Calibri" w:eastAsia="Times New Roman" w:hAnsi="Calibri" w:cs="Calibri"/>
      <w:kern w:val="0"/>
      <w:lang w:eastAsia="en-AU"/>
      <w14:ligatures w14:val="none"/>
    </w:rPr>
  </w:style>
  <w:style w:type="paragraph" w:styleId="Header">
    <w:name w:val="header"/>
    <w:basedOn w:val="Normal"/>
    <w:link w:val="HeaderChar"/>
    <w:uiPriority w:val="99"/>
    <w:unhideWhenUsed/>
    <w:rsid w:val="004061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61DE"/>
    <w:rPr>
      <w:rFonts w:ascii="Calibri" w:eastAsia="Times New Roman" w:hAnsi="Calibri" w:cs="Times New Roman"/>
      <w:kern w:val="0"/>
      <w14:ligatures w14:val="none"/>
    </w:rPr>
  </w:style>
  <w:style w:type="paragraph" w:styleId="Revision">
    <w:name w:val="Revision"/>
    <w:hidden/>
    <w:uiPriority w:val="99"/>
    <w:semiHidden/>
    <w:rsid w:val="00C74703"/>
    <w:pPr>
      <w:spacing w:after="0" w:line="240" w:lineRule="auto"/>
    </w:pPr>
    <w:rPr>
      <w:rFonts w:ascii="Calibri" w:eastAsia="Times New Roman" w:hAnsi="Calibri" w:cs="Times New Roman"/>
      <w:kern w:val="0"/>
      <w14:ligatures w14:val="none"/>
    </w:rPr>
  </w:style>
  <w:style w:type="character" w:styleId="CommentReference">
    <w:name w:val="annotation reference"/>
    <w:basedOn w:val="DefaultParagraphFont"/>
    <w:uiPriority w:val="99"/>
    <w:semiHidden/>
    <w:unhideWhenUsed/>
    <w:rsid w:val="00DA61A7"/>
    <w:rPr>
      <w:sz w:val="16"/>
      <w:szCs w:val="16"/>
    </w:rPr>
  </w:style>
  <w:style w:type="paragraph" w:styleId="CommentText">
    <w:name w:val="annotation text"/>
    <w:basedOn w:val="Normal"/>
    <w:link w:val="CommentTextChar"/>
    <w:uiPriority w:val="99"/>
    <w:unhideWhenUsed/>
    <w:rsid w:val="00DA61A7"/>
    <w:pPr>
      <w:spacing w:line="240" w:lineRule="auto"/>
    </w:pPr>
    <w:rPr>
      <w:sz w:val="20"/>
      <w:szCs w:val="20"/>
    </w:rPr>
  </w:style>
  <w:style w:type="character" w:customStyle="1" w:styleId="CommentTextChar">
    <w:name w:val="Comment Text Char"/>
    <w:basedOn w:val="DefaultParagraphFont"/>
    <w:link w:val="CommentText"/>
    <w:uiPriority w:val="99"/>
    <w:rsid w:val="00DA61A7"/>
    <w:rPr>
      <w:rFonts w:ascii="Calibri" w:eastAsia="Times New Roman" w:hAnsi="Calibri"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A61A7"/>
    <w:rPr>
      <w:b/>
      <w:bCs/>
    </w:rPr>
  </w:style>
  <w:style w:type="character" w:customStyle="1" w:styleId="CommentSubjectChar">
    <w:name w:val="Comment Subject Char"/>
    <w:basedOn w:val="CommentTextChar"/>
    <w:link w:val="CommentSubject"/>
    <w:uiPriority w:val="99"/>
    <w:semiHidden/>
    <w:rsid w:val="00DA61A7"/>
    <w:rPr>
      <w:rFonts w:ascii="Calibri" w:eastAsia="Times New Roman" w:hAnsi="Calibri" w:cs="Times New Roman"/>
      <w:b/>
      <w:bCs/>
      <w:kern w:val="0"/>
      <w:sz w:val="20"/>
      <w:szCs w:val="20"/>
      <w14:ligatures w14:val="non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F2CB891063FC4D841EC494C09F7CC4" ma:contentTypeVersion="4" ma:contentTypeDescription="Create a new document." ma:contentTypeScope="" ma:versionID="ccde511ae83c548d753aa0cc0930e991">
  <xsd:schema xmlns:xsd="http://www.w3.org/2001/XMLSchema" xmlns:xs="http://www.w3.org/2001/XMLSchema" xmlns:p="http://schemas.microsoft.com/office/2006/metadata/properties" xmlns:ns2="d6093ac8-e621-419c-a875-7b99f89649ee" targetNamespace="http://schemas.microsoft.com/office/2006/metadata/properties" ma:root="true" ma:fieldsID="508934b3f5eff6e738e58e18632ee471" ns2:_="">
    <xsd:import namespace="d6093ac8-e621-419c-a875-7b99f89649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093ac8-e621-419c-a875-7b99f89649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etadata xmlns="http://www.objective.com/ecm/document/metadata/4FEB93B0D38B3BDFE05400144FFB2061" version="1.0.0">
  <systemFields>
    <field name="Objective-Id">
      <value order="0">A67414300</value>
    </field>
    <field name="Objective-Title">
      <value order="0">Attach E - Explanatory Statement</value>
    </field>
    <field name="Objective-Description">
      <value order="0"/>
    </field>
    <field name="Objective-CreationStamp">
      <value order="0">2026-09-02T00:52:14Z</value>
    </field>
    <field name="Objective-IsApproved">
      <value order="0">false</value>
    </field>
    <field name="Objective-IsPublished">
      <value order="0">false</value>
    </field>
    <field name="Objective-DatePublished">
      <value order="0"/>
    </field>
    <field name="Objective-ModificationStamp">
      <value order="0">2026-09-24T01:48:57Z</value>
    </field>
    <field name="Objective-Owner">
      <value order="0">Anastasia Hartwig</value>
    </field>
    <field name="Objective-Path">
      <value order="0">Whole of ACT Government:CED - City and Environment Directorate:02. CED - Corporate Enabling Functions:GMC - Government and Ministerial Services:GAMS - Ministerial and Government Business:01. Cabinet:11th Assembly:05. DECISIONS/Completed - 11th Assembly:06. CED DECISIONS/Completed - 11th Assembly:COMPLETE (including withdrawn) Cabinet submissions:2026:00. Waiting on Decision - Next Steps (Assembly/Instruments):25/705 - Cabinet - Utilities Legislation Amendment Bill 2026 - Agreement to Introduce:03. Assembly</value>
    </field>
    <field name="Objective-Parent">
      <value order="0">03. Assembly</value>
    </field>
    <field name="Objective-State">
      <value order="0">Being Edited</value>
    </field>
    <field name="Objective-VersionId">
      <value order="0">vA85329772</value>
    </field>
    <field name="Objective-Version">
      <value order="0">2.1</value>
    </field>
    <field name="Objective-VersionNumber">
      <value order="0">3</value>
    </field>
    <field name="Objective-VersionComment">
      <value order="0"/>
    </field>
    <field name="Objective-FileNumber">
      <value order="0">1-2025/0440224</value>
    </field>
    <field name="Objective-Classification">
      <value order="0"/>
    </field>
    <field name="Objective-Caveats">
      <value order="0"/>
    </field>
  </systemFields>
  <catalogues>
    <catalogue name="Document Type Catalogue" type="type" ori="id:cA11">
      <field name="Objective-Owner Agency">
        <value order="0">CED - City and Environment Directorate</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Props1.xml><?xml version="1.0" encoding="utf-8"?>
<ds:datastoreItem xmlns:ds="http://schemas.openxmlformats.org/officeDocument/2006/customXml" ds:itemID="{A1938984-CCF8-4EAC-BFA2-2A0281091C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093ac8-e621-419c-a875-7b99f89649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354351-64C3-4C26-B6E8-83F76921D397}">
  <ds:schemaRefs>
    <ds:schemaRef ds:uri="http://schemas.openxmlformats.org/officeDocument/2006/bibliography"/>
  </ds:schemaRefs>
</ds:datastoreItem>
</file>

<file path=customXml/itemProps3.xml><?xml version="1.0" encoding="utf-8"?>
<ds:datastoreItem xmlns:ds="http://schemas.openxmlformats.org/officeDocument/2006/customXml" ds:itemID="{FD51A34D-4AD1-4ABF-91F6-290896CDED7C}">
  <ds:schemaRefs>
    <ds:schemaRef ds:uri="http://schemas.microsoft.com/sharepoint/v3/contenttype/forms"/>
  </ds:schemaRefs>
</ds:datastoreItem>
</file>

<file path=customXml/itemProps4.xml><?xml version="1.0" encoding="utf-8"?>
<ds:datastoreItem xmlns:ds="http://schemas.openxmlformats.org/officeDocument/2006/customXml" ds:itemID="{8E1B7879-FF2C-4778-9E42-586F52E0DC5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1640</Words>
  <Characters>8772</Characters>
  <Application>Microsoft Office Word</Application>
  <DocSecurity>0</DocSecurity>
  <Lines>207</Lines>
  <Paragraphs>86</Paragraphs>
  <ScaleCrop>false</ScaleCrop>
  <Company/>
  <LinksUpToDate>false</LinksUpToDate>
  <CharactersWithSpaces>10349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Government</dc:creator>
  <cp:keywords/>
  <dc:description/>
  <cp:lastModifiedBy>PCODCS</cp:lastModifiedBy>
  <cp:revision>4</cp:revision>
  <dcterms:created xsi:type="dcterms:W3CDTF">2026-10-21T23:10:00Z</dcterms:created>
  <dcterms:modified xsi:type="dcterms:W3CDTF">2026-10-21T23:10:00Z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0x010100D5F2CB891063FC4D841EC494C09F7CC4</vt:lpwstr>
  </property>
  <property fmtid="{D5CDD505-2E9C-101B-9397-08002B2CF9AE}" pid="3" name="MSIP_Label_69af8531-eb46-4968-8cb3-105d2f5ea87e_Enabled">
    <vt:lpwstr>true</vt:lpwstr>
  </property>
  <property fmtid="{D5CDD505-2E9C-101B-9397-08002B2CF9AE}" pid="4" name="MSIP_Label_69af8531-eb46-4968-8cb3-105d2f5ea87e_SetDate">
    <vt:lpwstr>2024-11-14T22:43:05Z</vt:lpwstr>
  </property>
  <property fmtid="{D5CDD505-2E9C-101B-9397-08002B2CF9AE}" pid="5" name="MSIP_Label_69af8531-eb46-4968-8cb3-105d2f5ea87e_Method">
    <vt:lpwstr>Standard</vt:lpwstr>
  </property>
  <property fmtid="{D5CDD505-2E9C-101B-9397-08002B2CF9AE}" pid="6" name="MSIP_Label_69af8531-eb46-4968-8cb3-105d2f5ea87e_Name">
    <vt:lpwstr>Official - No Marking</vt:lpwstr>
  </property>
  <property fmtid="{D5CDD505-2E9C-101B-9397-08002B2CF9AE}" pid="7" name="MSIP_Label_69af8531-eb46-4968-8cb3-105d2f5ea87e_SiteId">
    <vt:lpwstr>b46c1908-0334-4236-b978-585ee88e4199</vt:lpwstr>
  </property>
  <property fmtid="{D5CDD505-2E9C-101B-9397-08002B2CF9AE}" pid="8" name="MSIP_Label_69af8531-eb46-4968-8cb3-105d2f5ea87e_ActionId">
    <vt:lpwstr>afbfd6bc-6100-4152-8de1-284222bffaef</vt:lpwstr>
  </property>
  <property fmtid="{D5CDD505-2E9C-101B-9397-08002B2CF9AE}" pid="9" name="MSIP_Label_69af8531-eb46-4968-8cb3-105d2f5ea87e_ContentBits">
    <vt:lpwstr>0</vt:lpwstr>
  </property>
  <property fmtid="{D5CDD505-2E9C-101B-9397-08002B2CF9AE}" pid="10" name="Objective-Comment">
    <vt:lpwstr/>
  </property>
  <property fmtid="{D5CDD505-2E9C-101B-9397-08002B2CF9AE}" pid="11" name="Customer-Id">
    <vt:lpwstr>4FEB93B0D38B3BDFE05400144FFB2061</vt:lpwstr>
  </property>
  <property fmtid="{D5CDD505-2E9C-101B-9397-08002B2CF9AE}" pid="12" name="Objective-Id">
    <vt:lpwstr>A67414300</vt:lpwstr>
  </property>
  <property fmtid="{D5CDD505-2E9C-101B-9397-08002B2CF9AE}" pid="13" name="Objective-Title">
    <vt:lpwstr>Attach E - Explanatory Statement</vt:lpwstr>
  </property>
  <property fmtid="{D5CDD505-2E9C-101B-9397-08002B2CF9AE}" pid="14" name="Objective-Description">
    <vt:lpwstr/>
  </property>
  <property fmtid="{D5CDD505-2E9C-101B-9397-08002B2CF9AE}" pid="15" name="Objective-CreationStamp">
    <vt:filetime>2026-09-02T00:52:14Z</vt:filetime>
  </property>
  <property fmtid="{D5CDD505-2E9C-101B-9397-08002B2CF9AE}" pid="16" name="Objective-IsApproved">
    <vt:bool>false</vt:bool>
  </property>
  <property fmtid="{D5CDD505-2E9C-101B-9397-08002B2CF9AE}" pid="17" name="Objective-IsPublished">
    <vt:bool>false</vt:bool>
  </property>
  <property fmtid="{D5CDD505-2E9C-101B-9397-08002B2CF9AE}" pid="18" name="Objective-DatePublished">
    <vt:lpwstr/>
  </property>
  <property fmtid="{D5CDD505-2E9C-101B-9397-08002B2CF9AE}" pid="19" name="Objective-ModificationStamp">
    <vt:filetime>2026-09-24T01:48:57Z</vt:filetime>
  </property>
  <property fmtid="{D5CDD505-2E9C-101B-9397-08002B2CF9AE}" pid="20" name="Objective-Owner">
    <vt:lpwstr>Anastasia Hartwig</vt:lpwstr>
  </property>
  <property fmtid="{D5CDD505-2E9C-101B-9397-08002B2CF9AE}" pid="21" name="Objective-Path">
    <vt:lpwstr>Whole of ACT Government:CED - City and Environment Directorate:02. CED - Corporate Enabling Functions:GMC - Government and Ministerial Services:GAMS - Ministerial and Government Business:01. Cabinet:11th Assembly:05. DECISIONS/Completed - 11th Assembly:06. CED DECISIONS/Completed - 11th Assembly:COMPLETE (including withdrawn) Cabinet submissions:2026:00. Waiting on Decision - Next Steps (Assembly/Instruments):25/705 - Cabinet - Utilities Legislation Amendment Bill 2026 - Agreement to Introduce:03. Assembly:</vt:lpwstr>
  </property>
  <property fmtid="{D5CDD505-2E9C-101B-9397-08002B2CF9AE}" pid="22" name="Objective-Parent">
    <vt:lpwstr>03. Assembly</vt:lpwstr>
  </property>
  <property fmtid="{D5CDD505-2E9C-101B-9397-08002B2CF9AE}" pid="23" name="Objective-State">
    <vt:lpwstr>Being Edited</vt:lpwstr>
  </property>
  <property fmtid="{D5CDD505-2E9C-101B-9397-08002B2CF9AE}" pid="24" name="Objective-VersionId">
    <vt:lpwstr>vA85329772</vt:lpwstr>
  </property>
  <property fmtid="{D5CDD505-2E9C-101B-9397-08002B2CF9AE}" pid="25" name="Objective-Version">
    <vt:lpwstr>2.1</vt:lpwstr>
  </property>
  <property fmtid="{D5CDD505-2E9C-101B-9397-08002B2CF9AE}" pid="26" name="Objective-VersionNumber">
    <vt:r8>3</vt:r8>
  </property>
  <property fmtid="{D5CDD505-2E9C-101B-9397-08002B2CF9AE}" pid="27" name="Objective-VersionComment">
    <vt:lpwstr/>
  </property>
  <property fmtid="{D5CDD505-2E9C-101B-9397-08002B2CF9AE}" pid="28" name="Objective-FileNumber">
    <vt:lpwstr>1-2025/0440224</vt:lpwstr>
  </property>
  <property fmtid="{D5CDD505-2E9C-101B-9397-08002B2CF9AE}" pid="29" name="Objective-Classification">
    <vt:lpwstr>[Inherited - none]</vt:lpwstr>
  </property>
  <property fmtid="{D5CDD505-2E9C-101B-9397-08002B2CF9AE}" pid="30" name="Objective-Caveats">
    <vt:lpwstr/>
  </property>
  <property fmtid="{D5CDD505-2E9C-101B-9397-08002B2CF9AE}" pid="31" name="Objective-Owner Agency">
    <vt:lpwstr>CED - City and Environment Directorate</vt:lpwstr>
  </property>
  <property fmtid="{D5CDD505-2E9C-101B-9397-08002B2CF9AE}" pid="32" name="Objective-Document Type">
    <vt:lpwstr>0-Document</vt:lpwstr>
  </property>
  <property fmtid="{D5CDD505-2E9C-101B-9397-08002B2CF9AE}" pid="33" name="Objective-Language">
    <vt:lpwstr>English (en)</vt:lpwstr>
  </property>
  <property fmtid="{D5CDD505-2E9C-101B-9397-08002B2CF9AE}" pid="34" name="Objective-Jurisdiction">
    <vt:lpwstr>ACT</vt:lpwstr>
  </property>
  <property fmtid="{D5CDD505-2E9C-101B-9397-08002B2CF9AE}" pid="35" name="Objective-Customers">
    <vt:lpwstr/>
  </property>
  <property fmtid="{D5CDD505-2E9C-101B-9397-08002B2CF9AE}" pid="36" name="Objective-Places">
    <vt:lpwstr/>
  </property>
  <property fmtid="{D5CDD505-2E9C-101B-9397-08002B2CF9AE}" pid="37" name="Objective-Transaction Reference">
    <vt:lpwstr/>
  </property>
  <property fmtid="{D5CDD505-2E9C-101B-9397-08002B2CF9AE}" pid="38" name="Objective-Document Created By">
    <vt:lpwstr/>
  </property>
  <property fmtid="{D5CDD505-2E9C-101B-9397-08002B2CF9AE}" pid="39" name="Objective-Document Created On">
    <vt:lpwstr/>
  </property>
  <property fmtid="{D5CDD505-2E9C-101B-9397-08002B2CF9AE}" pid="40" name="Objective-Covers Period From">
    <vt:lpwstr/>
  </property>
  <property fmtid="{D5CDD505-2E9C-101B-9397-08002B2CF9AE}" pid="41" name="Objective-Covers Period To">
    <vt:lpwstr/>
  </property>
  <property fmtid="{D5CDD505-2E9C-101B-9397-08002B2CF9AE}" pid="42" name="Objective-Status">
    <vt:lpwstr/>
  </property>
  <property fmtid="{D5CDD505-2E9C-101B-9397-08002B2CF9AE}" pid="43" name="Objective-S28 Exemption Number">
    <vt:lpwstr/>
  </property>
  <property fmtid="{D5CDD505-2E9C-101B-9397-08002B2CF9AE}" pid="44" name="Objective-S28 Exemption">
    <vt:lpwstr/>
  </property>
  <property fmtid="{D5CDD505-2E9C-101B-9397-08002B2CF9AE}" pid="45" name="Objective-S28 Exemption Reason">
    <vt:lpwstr/>
  </property>
  <property fmtid="{D5CDD505-2E9C-101B-9397-08002B2CF9AE}" pid="46" name="Objective-S28 Comments if partial exemption">
    <vt:lpwstr/>
  </property>
  <property fmtid="{D5CDD505-2E9C-101B-9397-08002B2CF9AE}" pid="47" name="Objective-S28 Date Approved">
    <vt:lpwstr/>
  </property>
</Properties>
</file>