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6A902"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780EB1DA" w14:textId="0C3B42CA" w:rsidR="00C17FAB" w:rsidRDefault="007D7F17">
      <w:pPr>
        <w:pStyle w:val="Billname"/>
        <w:spacing w:before="700"/>
      </w:pPr>
      <w:r>
        <w:t>Emerge</w:t>
      </w:r>
      <w:r w:rsidR="00F302AA">
        <w:t xml:space="preserve">ncies </w:t>
      </w:r>
      <w:r w:rsidR="00FD75CE">
        <w:t>(</w:t>
      </w:r>
      <w:r w:rsidR="00F302AA">
        <w:t>Fees</w:t>
      </w:r>
      <w:r w:rsidR="00FD75CE">
        <w:t>) Determination</w:t>
      </w:r>
      <w:r w:rsidR="00F302AA">
        <w:t xml:space="preserve"> </w:t>
      </w:r>
      <w:r w:rsidR="00B72755">
        <w:t>2026</w:t>
      </w:r>
      <w:r w:rsidR="00961163">
        <w:t xml:space="preserve"> (No 2)</w:t>
      </w:r>
    </w:p>
    <w:p w14:paraId="66C9E969" w14:textId="4A5D7ACA" w:rsidR="00C17FAB" w:rsidRDefault="002D7C60" w:rsidP="00DA3B00">
      <w:pPr>
        <w:spacing w:before="340"/>
        <w:rPr>
          <w:rFonts w:ascii="Arial" w:hAnsi="Arial" w:cs="Arial"/>
          <w:b/>
          <w:bCs/>
        </w:rPr>
      </w:pPr>
      <w:r>
        <w:rPr>
          <w:rFonts w:ascii="Arial" w:hAnsi="Arial" w:cs="Arial"/>
          <w:b/>
          <w:bCs/>
        </w:rPr>
        <w:t xml:space="preserve">Disallowable instrument </w:t>
      </w:r>
      <w:r w:rsidR="00C55A41" w:rsidRPr="00522832">
        <w:rPr>
          <w:rFonts w:ascii="Arial" w:hAnsi="Arial" w:cs="Arial"/>
          <w:b/>
          <w:bCs/>
        </w:rPr>
        <w:t>DI20</w:t>
      </w:r>
      <w:r w:rsidR="00C55A41">
        <w:rPr>
          <w:rFonts w:ascii="Arial" w:hAnsi="Arial" w:cs="Arial"/>
          <w:b/>
          <w:bCs/>
        </w:rPr>
        <w:t>2</w:t>
      </w:r>
      <w:r w:rsidR="00B72755">
        <w:rPr>
          <w:rFonts w:ascii="Arial" w:hAnsi="Arial" w:cs="Arial"/>
          <w:b/>
          <w:bCs/>
        </w:rPr>
        <w:t>6</w:t>
      </w:r>
      <w:r w:rsidR="00B12316">
        <w:rPr>
          <w:rFonts w:ascii="Arial" w:hAnsi="Arial" w:cs="Arial"/>
          <w:b/>
          <w:bCs/>
        </w:rPr>
        <w:t>–</w:t>
      </w:r>
      <w:r w:rsidR="00961163">
        <w:rPr>
          <w:rFonts w:ascii="Arial" w:hAnsi="Arial" w:cs="Arial"/>
          <w:b/>
          <w:bCs/>
        </w:rPr>
        <w:t>214</w:t>
      </w:r>
    </w:p>
    <w:p w14:paraId="6B0C4CAA" w14:textId="77777777" w:rsidR="00C17FAB" w:rsidRDefault="00C17FAB" w:rsidP="00DA3B00">
      <w:pPr>
        <w:pStyle w:val="madeunder"/>
        <w:spacing w:before="300" w:after="0"/>
      </w:pPr>
      <w:r>
        <w:t xml:space="preserve">made under the  </w:t>
      </w:r>
    </w:p>
    <w:p w14:paraId="51E608B2" w14:textId="2BAD60BA" w:rsidR="00C17FAB" w:rsidRDefault="00F302AA" w:rsidP="00DA3B00">
      <w:pPr>
        <w:pStyle w:val="CoverActName"/>
        <w:spacing w:before="320" w:after="0"/>
        <w:rPr>
          <w:rFonts w:cs="Arial"/>
          <w:sz w:val="20"/>
        </w:rPr>
      </w:pPr>
      <w:r>
        <w:rPr>
          <w:rFonts w:cs="Arial"/>
          <w:sz w:val="20"/>
        </w:rPr>
        <w:t>Emergencies Act 2004</w:t>
      </w:r>
      <w:r w:rsidR="00C17FAB">
        <w:rPr>
          <w:rFonts w:cs="Arial"/>
          <w:sz w:val="20"/>
        </w:rPr>
        <w:t xml:space="preserve">, </w:t>
      </w:r>
      <w:r>
        <w:rPr>
          <w:rFonts w:cs="Arial"/>
          <w:sz w:val="20"/>
        </w:rPr>
        <w:t>section 201</w:t>
      </w:r>
      <w:r w:rsidR="00C17FAB">
        <w:rPr>
          <w:rFonts w:cs="Arial"/>
          <w:sz w:val="20"/>
        </w:rPr>
        <w:t xml:space="preserve"> (</w:t>
      </w:r>
      <w:r>
        <w:rPr>
          <w:rFonts w:cs="Arial"/>
          <w:sz w:val="20"/>
        </w:rPr>
        <w:t xml:space="preserve">Determination of </w:t>
      </w:r>
      <w:r w:rsidR="00B12316">
        <w:rPr>
          <w:rFonts w:cs="Arial"/>
          <w:sz w:val="20"/>
        </w:rPr>
        <w:t>f</w:t>
      </w:r>
      <w:r>
        <w:rPr>
          <w:rFonts w:cs="Arial"/>
          <w:sz w:val="20"/>
        </w:rPr>
        <w:t>ees)</w:t>
      </w:r>
    </w:p>
    <w:p w14:paraId="00E88715"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7392F21D" w14:textId="77777777" w:rsidR="00C17FAB" w:rsidRDefault="00C17FAB">
      <w:pPr>
        <w:pStyle w:val="N-line3"/>
        <w:pBdr>
          <w:bottom w:val="none" w:sz="0" w:space="0" w:color="auto"/>
        </w:pBdr>
      </w:pPr>
    </w:p>
    <w:p w14:paraId="675F394C" w14:textId="77777777" w:rsidR="00C17FAB" w:rsidRDefault="00C17FAB">
      <w:pPr>
        <w:pStyle w:val="N-line3"/>
        <w:pBdr>
          <w:top w:val="single" w:sz="12" w:space="1" w:color="auto"/>
          <w:bottom w:val="none" w:sz="0" w:space="0" w:color="auto"/>
        </w:pBdr>
      </w:pPr>
    </w:p>
    <w:bookmarkEnd w:id="0"/>
    <w:p w14:paraId="4B25FA3E" w14:textId="77777777" w:rsidR="004941AA" w:rsidRDefault="004941AA" w:rsidP="00202880">
      <w:pPr>
        <w:autoSpaceDE w:val="0"/>
        <w:autoSpaceDN w:val="0"/>
        <w:adjustRightInd w:val="0"/>
        <w:jc w:val="both"/>
        <w:rPr>
          <w:szCs w:val="24"/>
          <w:lang w:eastAsia="en-AU"/>
        </w:rPr>
      </w:pPr>
      <w:r>
        <w:rPr>
          <w:szCs w:val="24"/>
          <w:lang w:eastAsia="en-AU"/>
        </w:rPr>
        <w:t xml:space="preserve">Section 201 of the </w:t>
      </w:r>
      <w:r>
        <w:rPr>
          <w:i/>
          <w:iCs/>
          <w:szCs w:val="24"/>
          <w:lang w:eastAsia="en-AU"/>
        </w:rPr>
        <w:t xml:space="preserve">Emergencies Act 2004 </w:t>
      </w:r>
      <w:r>
        <w:rPr>
          <w:szCs w:val="24"/>
          <w:lang w:eastAsia="en-AU"/>
        </w:rPr>
        <w:t>allows the Minister to determine fees for the purposes of that Act.</w:t>
      </w:r>
    </w:p>
    <w:p w14:paraId="0AFDEA01" w14:textId="77777777" w:rsidR="004941AA" w:rsidRDefault="004941AA" w:rsidP="004941AA">
      <w:pPr>
        <w:autoSpaceDE w:val="0"/>
        <w:autoSpaceDN w:val="0"/>
        <w:adjustRightInd w:val="0"/>
        <w:rPr>
          <w:szCs w:val="24"/>
          <w:lang w:eastAsia="en-AU"/>
        </w:rPr>
      </w:pPr>
    </w:p>
    <w:p w14:paraId="4A06D4CC" w14:textId="77777777" w:rsidR="004941AA" w:rsidRDefault="004941AA" w:rsidP="00202880">
      <w:pPr>
        <w:autoSpaceDE w:val="0"/>
        <w:autoSpaceDN w:val="0"/>
        <w:adjustRightInd w:val="0"/>
        <w:jc w:val="both"/>
        <w:rPr>
          <w:szCs w:val="24"/>
          <w:lang w:eastAsia="en-AU"/>
        </w:rPr>
      </w:pPr>
      <w:r>
        <w:rPr>
          <w:szCs w:val="24"/>
          <w:lang w:eastAsia="en-AU"/>
        </w:rPr>
        <w:t xml:space="preserve">This determination sets the relevant fees for services provided by </w:t>
      </w:r>
      <w:r w:rsidR="00A86320">
        <w:rPr>
          <w:szCs w:val="24"/>
          <w:lang w:eastAsia="en-AU"/>
        </w:rPr>
        <w:t xml:space="preserve">an emergency service, including the </w:t>
      </w:r>
      <w:r>
        <w:rPr>
          <w:szCs w:val="24"/>
          <w:lang w:eastAsia="en-AU"/>
        </w:rPr>
        <w:t>ACT Ambulance Service and the ACT Fire and Rescue Service</w:t>
      </w:r>
      <w:r w:rsidR="00A86320">
        <w:rPr>
          <w:szCs w:val="24"/>
          <w:lang w:eastAsia="en-AU"/>
        </w:rPr>
        <w:t xml:space="preserve">. </w:t>
      </w:r>
    </w:p>
    <w:p w14:paraId="031E64F0" w14:textId="77777777" w:rsidR="004135B0" w:rsidRDefault="004135B0" w:rsidP="004941AA">
      <w:pPr>
        <w:autoSpaceDE w:val="0"/>
        <w:autoSpaceDN w:val="0"/>
        <w:adjustRightInd w:val="0"/>
        <w:rPr>
          <w:szCs w:val="24"/>
          <w:lang w:eastAsia="en-AU"/>
        </w:rPr>
      </w:pPr>
    </w:p>
    <w:p w14:paraId="74F37DAD" w14:textId="290934E7" w:rsidR="005C6E63" w:rsidRDefault="005C6E63" w:rsidP="005C6E63">
      <w:pPr>
        <w:pStyle w:val="Header"/>
        <w:tabs>
          <w:tab w:val="left" w:pos="720"/>
        </w:tabs>
        <w:jc w:val="both"/>
        <w:rPr>
          <w:rFonts w:eastAsia="SimSun"/>
          <w:bdr w:val="none" w:sz="0" w:space="0" w:color="auto" w:frame="1"/>
        </w:rPr>
      </w:pPr>
      <w:r>
        <w:rPr>
          <w:rFonts w:eastAsia="SimSun"/>
          <w:bdr w:val="none" w:sz="0" w:space="0" w:color="auto" w:frame="1"/>
        </w:rPr>
        <w:t xml:space="preserve">The new determination sets the fees that will apply beginning on 1 July </w:t>
      </w:r>
      <w:r w:rsidR="00B72755">
        <w:rPr>
          <w:rFonts w:eastAsia="SimSun"/>
          <w:bdr w:val="none" w:sz="0" w:space="0" w:color="auto" w:frame="1"/>
        </w:rPr>
        <w:t xml:space="preserve">2026 </w:t>
      </w:r>
      <w:r>
        <w:rPr>
          <w:rFonts w:eastAsia="SimSun"/>
          <w:bdr w:val="none" w:sz="0" w:space="0" w:color="auto" w:frame="1"/>
        </w:rPr>
        <w:t xml:space="preserve">and repeals the </w:t>
      </w:r>
      <w:r w:rsidR="00170998" w:rsidRPr="00B97006">
        <w:rPr>
          <w:rFonts w:eastAsia="SimSun"/>
          <w:i/>
          <w:iCs/>
          <w:bdr w:val="none" w:sz="0" w:space="0" w:color="auto" w:frame="1"/>
        </w:rPr>
        <w:t>Emergencies (Fees)</w:t>
      </w:r>
      <w:r w:rsidR="00170998">
        <w:rPr>
          <w:rFonts w:eastAsia="SimSun"/>
          <w:bdr w:val="none" w:sz="0" w:space="0" w:color="auto" w:frame="1"/>
        </w:rPr>
        <w:t xml:space="preserve"> </w:t>
      </w:r>
      <w:r w:rsidRPr="00170998">
        <w:rPr>
          <w:rFonts w:eastAsia="SimSun"/>
          <w:i/>
          <w:iCs/>
          <w:bdr w:val="none" w:sz="0" w:space="0" w:color="auto" w:frame="1"/>
        </w:rPr>
        <w:t>Determination</w:t>
      </w:r>
      <w:r w:rsidR="00B72755">
        <w:rPr>
          <w:rFonts w:eastAsia="SimSun"/>
          <w:i/>
          <w:iCs/>
          <w:bdr w:val="none" w:sz="0" w:space="0" w:color="auto" w:frame="1"/>
        </w:rPr>
        <w:t xml:space="preserve"> 202</w:t>
      </w:r>
      <w:r w:rsidR="00961163">
        <w:rPr>
          <w:rFonts w:eastAsia="SimSun"/>
          <w:i/>
          <w:iCs/>
          <w:bdr w:val="none" w:sz="0" w:space="0" w:color="auto" w:frame="1"/>
        </w:rPr>
        <w:t>6</w:t>
      </w:r>
      <w:r w:rsidR="00B72755">
        <w:rPr>
          <w:rFonts w:eastAsia="SimSun"/>
          <w:i/>
          <w:iCs/>
          <w:bdr w:val="none" w:sz="0" w:space="0" w:color="auto" w:frame="1"/>
        </w:rPr>
        <w:t xml:space="preserve"> </w:t>
      </w:r>
      <w:r w:rsidR="00B72755">
        <w:rPr>
          <w:rFonts w:eastAsia="SimSun"/>
          <w:bdr w:val="none" w:sz="0" w:space="0" w:color="auto" w:frame="1"/>
        </w:rPr>
        <w:t>DI</w:t>
      </w:r>
      <w:r w:rsidR="00961163">
        <w:rPr>
          <w:rFonts w:eastAsia="SimSun"/>
          <w:bdr w:val="none" w:sz="0" w:space="0" w:color="auto" w:frame="1"/>
        </w:rPr>
        <w:t>2026-94</w:t>
      </w:r>
      <w:r>
        <w:rPr>
          <w:rFonts w:eastAsia="SimSun"/>
          <w:bdr w:val="none" w:sz="0" w:space="0" w:color="auto" w:frame="1"/>
        </w:rPr>
        <w:t xml:space="preserve"> It provides for fee increases in line with annual adjustments to the Wages Price Index (WPI) of </w:t>
      </w:r>
      <w:r w:rsidR="00FD2776">
        <w:rPr>
          <w:rFonts w:eastAsia="SimSun"/>
          <w:bdr w:val="none" w:sz="0" w:space="0" w:color="auto" w:frame="1"/>
        </w:rPr>
        <w:t>3.25</w:t>
      </w:r>
      <w:r>
        <w:rPr>
          <w:rFonts w:eastAsia="SimSun"/>
          <w:bdr w:val="none" w:sz="0" w:space="0" w:color="auto" w:frame="1"/>
        </w:rPr>
        <w:t>%, rounded down to the nearest dollar for most fees</w:t>
      </w:r>
      <w:r w:rsidR="00690CE7" w:rsidRPr="00690CE7">
        <w:rPr>
          <w:color w:val="000000"/>
        </w:rPr>
        <w:t xml:space="preserve"> </w:t>
      </w:r>
      <w:r w:rsidR="00690CE7" w:rsidRPr="00717F56">
        <w:rPr>
          <w:color w:val="000000"/>
        </w:rPr>
        <w:t xml:space="preserve">with the exception of fees that have been consecutively rounded down in previous years by more than $1.00 in which case have been rounded up to the nearest dollar. </w:t>
      </w:r>
      <w:r>
        <w:rPr>
          <w:rFonts w:eastAsia="SimSun"/>
          <w:bdr w:val="none" w:sz="0" w:space="0" w:color="auto" w:frame="1"/>
        </w:rPr>
        <w:t xml:space="preserve">This approach also aligns with the </w:t>
      </w:r>
      <w:r w:rsidR="00B72755">
        <w:rPr>
          <w:rFonts w:eastAsia="SimSun"/>
          <w:bdr w:val="none" w:sz="0" w:space="0" w:color="auto" w:frame="1"/>
        </w:rPr>
        <w:t>2026-27</w:t>
      </w:r>
      <w:r>
        <w:rPr>
          <w:rFonts w:eastAsia="SimSun"/>
          <w:bdr w:val="none" w:sz="0" w:space="0" w:color="auto" w:frame="1"/>
        </w:rPr>
        <w:t xml:space="preserve"> Treasury Guideline for Fees and Charges. Explanatory notes in the determination list the fees previously determined to enable comparison</w:t>
      </w:r>
      <w:r w:rsidRPr="006E0325">
        <w:rPr>
          <w:rFonts w:eastAsia="SimSun"/>
          <w:bdr w:val="none" w:sz="0" w:space="0" w:color="auto" w:frame="1"/>
        </w:rPr>
        <w:t>.</w:t>
      </w:r>
      <w:r w:rsidR="00C13600" w:rsidRPr="006E0325">
        <w:rPr>
          <w:rFonts w:eastAsia="SimSun"/>
          <w:bdr w:val="none" w:sz="0" w:space="0" w:color="auto" w:frame="1"/>
        </w:rPr>
        <w:t xml:space="preserve"> There were fees and charges that were </w:t>
      </w:r>
      <w:r w:rsidR="00907B53" w:rsidRPr="006E0325">
        <w:rPr>
          <w:rFonts w:eastAsia="SimSun"/>
          <w:bdr w:val="none" w:sz="0" w:space="0" w:color="auto" w:frame="1"/>
        </w:rPr>
        <w:t>increased above</w:t>
      </w:r>
      <w:r w:rsidR="00C13600" w:rsidRPr="006E0325">
        <w:rPr>
          <w:rFonts w:eastAsia="SimSun"/>
          <w:bdr w:val="none" w:sz="0" w:space="0" w:color="auto" w:frame="1"/>
        </w:rPr>
        <w:t xml:space="preserve"> WPI, and these are items 259(g), 280(b), 281(c), 282(d), 284(f), 287(</w:t>
      </w:r>
      <w:r w:rsidR="00982C79" w:rsidRPr="006E0325">
        <w:rPr>
          <w:rFonts w:eastAsia="SimSun"/>
          <w:bdr w:val="none" w:sz="0" w:space="0" w:color="auto" w:frame="1"/>
        </w:rPr>
        <w:t>i</w:t>
      </w:r>
      <w:r w:rsidR="00C13600" w:rsidRPr="006E0325">
        <w:rPr>
          <w:rFonts w:eastAsia="SimSun"/>
          <w:bdr w:val="none" w:sz="0" w:space="0" w:color="auto" w:frame="1"/>
        </w:rPr>
        <w:t xml:space="preserve">), 289(c), 291(f) and 297. </w:t>
      </w:r>
      <w:r w:rsidR="0075435E" w:rsidRPr="006E0325">
        <w:rPr>
          <w:rFonts w:eastAsia="SimSun"/>
          <w:bdr w:val="none" w:sz="0" w:space="0" w:color="auto" w:frame="1"/>
        </w:rPr>
        <w:t>A thorough triennial review of fees and charges was undertaken, with recommendations to recalibrate fees to cover costs and to simplify fee lines to reduce overall costs to the community and to Government.</w:t>
      </w:r>
    </w:p>
    <w:p w14:paraId="374C4BC6" w14:textId="77777777" w:rsidR="00961163" w:rsidRDefault="00961163" w:rsidP="005C6E63">
      <w:pPr>
        <w:pStyle w:val="Header"/>
        <w:tabs>
          <w:tab w:val="left" w:pos="720"/>
        </w:tabs>
        <w:jc w:val="both"/>
        <w:rPr>
          <w:rFonts w:eastAsia="SimSun"/>
          <w:bdr w:val="none" w:sz="0" w:space="0" w:color="auto" w:frame="1"/>
        </w:rPr>
      </w:pPr>
    </w:p>
    <w:p w14:paraId="79423208" w14:textId="75EAFF29" w:rsidR="00961163" w:rsidRPr="006E0325" w:rsidRDefault="00961163" w:rsidP="005C6E63">
      <w:pPr>
        <w:pStyle w:val="Header"/>
        <w:tabs>
          <w:tab w:val="left" w:pos="720"/>
        </w:tabs>
        <w:jc w:val="both"/>
        <w:rPr>
          <w:rFonts w:eastAsia="SimSun"/>
          <w:bdr w:val="none" w:sz="0" w:space="0" w:color="auto" w:frame="1"/>
        </w:rPr>
      </w:pPr>
      <w:r>
        <w:rPr>
          <w:rFonts w:eastAsia="SimSun"/>
          <w:bdr w:val="none" w:sz="0" w:space="0" w:color="auto" w:frame="1"/>
        </w:rPr>
        <w:t xml:space="preserve">The instrument has a retrospective commencement however is not prejudicial as the changes do not affect anyone within the community. The changes were made to make the exemptions clearer. No fees have been increased. </w:t>
      </w:r>
    </w:p>
    <w:p w14:paraId="4F9B8062" w14:textId="77777777" w:rsidR="008D184E" w:rsidRPr="006E0325" w:rsidRDefault="008D184E" w:rsidP="004941AA">
      <w:pPr>
        <w:autoSpaceDE w:val="0"/>
        <w:autoSpaceDN w:val="0"/>
        <w:adjustRightInd w:val="0"/>
        <w:rPr>
          <w:szCs w:val="24"/>
          <w:lang w:eastAsia="en-AU"/>
        </w:rPr>
      </w:pPr>
    </w:p>
    <w:p w14:paraId="26634395" w14:textId="2CD32968" w:rsidR="00D81028" w:rsidRDefault="00D81028" w:rsidP="004941AA">
      <w:pPr>
        <w:autoSpaceDE w:val="0"/>
        <w:autoSpaceDN w:val="0"/>
        <w:adjustRightInd w:val="0"/>
        <w:rPr>
          <w:szCs w:val="24"/>
          <w:lang w:eastAsia="en-AU"/>
        </w:rPr>
      </w:pPr>
      <w:r w:rsidRPr="006E0325">
        <w:rPr>
          <w:szCs w:val="24"/>
          <w:lang w:eastAsia="en-AU"/>
        </w:rPr>
        <w:t xml:space="preserve">In relation to items 289 and 291 (unintended alarm fees), the fee </w:t>
      </w:r>
      <w:r w:rsidR="008133D1" w:rsidRPr="006E0325">
        <w:rPr>
          <w:szCs w:val="24"/>
          <w:lang w:eastAsia="en-AU"/>
        </w:rPr>
        <w:t xml:space="preserve">descriptions were </w:t>
      </w:r>
      <w:r w:rsidR="008133D1" w:rsidRPr="006E0325">
        <w:rPr>
          <w:b/>
          <w:bCs/>
          <w:szCs w:val="24"/>
          <w:lang w:eastAsia="en-AU"/>
        </w:rPr>
        <w:t>changed from</w:t>
      </w:r>
      <w:r w:rsidR="008133D1" w:rsidRPr="006E0325">
        <w:rPr>
          <w:szCs w:val="24"/>
          <w:lang w:eastAsia="en-AU"/>
        </w:rPr>
        <w:t xml:space="preserve"> </w:t>
      </w:r>
      <w:r w:rsidR="008133D1" w:rsidRPr="006E0325">
        <w:rPr>
          <w:i/>
          <w:iCs/>
          <w:szCs w:val="24"/>
          <w:lang w:eastAsia="en-AU"/>
        </w:rPr>
        <w:t xml:space="preserve">residential (289) </w:t>
      </w:r>
      <w:r w:rsidR="008133D1" w:rsidRPr="006E0325">
        <w:rPr>
          <w:szCs w:val="24"/>
          <w:lang w:eastAsia="en-AU"/>
        </w:rPr>
        <w:t>and</w:t>
      </w:r>
      <w:r w:rsidR="008133D1" w:rsidRPr="006E0325">
        <w:rPr>
          <w:i/>
          <w:iCs/>
          <w:szCs w:val="24"/>
          <w:lang w:eastAsia="en-AU"/>
        </w:rPr>
        <w:t xml:space="preserve"> commercial (291) alarms</w:t>
      </w:r>
      <w:r w:rsidR="008133D1" w:rsidRPr="006E0325">
        <w:rPr>
          <w:szCs w:val="24"/>
          <w:lang w:eastAsia="en-AU"/>
        </w:rPr>
        <w:t xml:space="preserve"> </w:t>
      </w:r>
      <w:r w:rsidR="008133D1" w:rsidRPr="006E0325">
        <w:rPr>
          <w:b/>
          <w:bCs/>
          <w:szCs w:val="24"/>
          <w:lang w:eastAsia="en-AU"/>
        </w:rPr>
        <w:t>to</w:t>
      </w:r>
      <w:r w:rsidR="008133D1" w:rsidRPr="006E0325">
        <w:rPr>
          <w:szCs w:val="24"/>
          <w:lang w:eastAsia="en-AU"/>
        </w:rPr>
        <w:t xml:space="preserve"> </w:t>
      </w:r>
      <w:r w:rsidR="008133D1" w:rsidRPr="006E0325">
        <w:rPr>
          <w:i/>
          <w:iCs/>
          <w:szCs w:val="24"/>
          <w:lang w:eastAsia="en-AU"/>
        </w:rPr>
        <w:t xml:space="preserve">alarm causes attributed to an individual (289) </w:t>
      </w:r>
      <w:r w:rsidR="008133D1" w:rsidRPr="006E0325">
        <w:rPr>
          <w:szCs w:val="24"/>
          <w:lang w:eastAsia="en-AU"/>
        </w:rPr>
        <w:t>and</w:t>
      </w:r>
      <w:r w:rsidR="008133D1" w:rsidRPr="006E0325">
        <w:rPr>
          <w:i/>
          <w:iCs/>
        </w:rPr>
        <w:t xml:space="preserve"> </w:t>
      </w:r>
      <w:r w:rsidR="008133D1" w:rsidRPr="006E0325">
        <w:rPr>
          <w:i/>
          <w:iCs/>
          <w:szCs w:val="24"/>
          <w:lang w:eastAsia="en-AU"/>
        </w:rPr>
        <w:t>alarm causes attributable to the Building Owner or Owner's Corporation</w:t>
      </w:r>
      <w:r w:rsidR="00F62916" w:rsidRPr="006E0325">
        <w:rPr>
          <w:i/>
          <w:iCs/>
          <w:szCs w:val="24"/>
          <w:lang w:eastAsia="en-AU"/>
        </w:rPr>
        <w:t xml:space="preserve"> (291)</w:t>
      </w:r>
      <w:r w:rsidR="008133D1" w:rsidRPr="006E0325">
        <w:rPr>
          <w:szCs w:val="24"/>
          <w:lang w:eastAsia="en-AU"/>
        </w:rPr>
        <w:t>. They have been restructured so that the fees are now attributable to either a building occupant (individual) or building owner / body corporate.</w:t>
      </w:r>
      <w:r w:rsidR="008133D1" w:rsidRPr="006E0325">
        <w:t xml:space="preserve"> T</w:t>
      </w:r>
      <w:r w:rsidR="008133D1" w:rsidRPr="006E0325">
        <w:rPr>
          <w:szCs w:val="24"/>
          <w:lang w:eastAsia="en-AU"/>
        </w:rPr>
        <w:t>he fee change is to ensure a fairer charging system with more targeted incentives to reduce false alarm incidents in residential buildings</w:t>
      </w:r>
      <w:r w:rsidRPr="006E0325">
        <w:rPr>
          <w:szCs w:val="24"/>
          <w:lang w:eastAsia="en-AU"/>
        </w:rPr>
        <w:t>.</w:t>
      </w:r>
    </w:p>
    <w:p w14:paraId="21FA30DA" w14:textId="77777777" w:rsidR="00D81028" w:rsidRDefault="00D81028" w:rsidP="004941AA">
      <w:pPr>
        <w:autoSpaceDE w:val="0"/>
        <w:autoSpaceDN w:val="0"/>
        <w:adjustRightInd w:val="0"/>
        <w:rPr>
          <w:szCs w:val="24"/>
          <w:lang w:eastAsia="en-AU"/>
        </w:rPr>
      </w:pPr>
    </w:p>
    <w:p w14:paraId="71B24C8A" w14:textId="528E22BD" w:rsidR="005A29B3" w:rsidRDefault="00045CEB" w:rsidP="004941AA">
      <w:pPr>
        <w:autoSpaceDE w:val="0"/>
        <w:autoSpaceDN w:val="0"/>
        <w:adjustRightInd w:val="0"/>
        <w:rPr>
          <w:szCs w:val="24"/>
          <w:lang w:eastAsia="en-AU"/>
        </w:rPr>
      </w:pPr>
      <w:r>
        <w:rPr>
          <w:szCs w:val="24"/>
          <w:lang w:eastAsia="en-AU"/>
        </w:rPr>
        <w:t>The determination does not impose new fees</w:t>
      </w:r>
      <w:r w:rsidR="0075371F">
        <w:rPr>
          <w:szCs w:val="24"/>
          <w:lang w:eastAsia="en-AU"/>
        </w:rPr>
        <w:t>.</w:t>
      </w:r>
    </w:p>
    <w:p w14:paraId="499D1E64" w14:textId="77777777" w:rsidR="004941AA" w:rsidRDefault="004941AA" w:rsidP="004941AA">
      <w:pPr>
        <w:autoSpaceDE w:val="0"/>
        <w:autoSpaceDN w:val="0"/>
        <w:adjustRightInd w:val="0"/>
        <w:rPr>
          <w:szCs w:val="24"/>
          <w:lang w:eastAsia="en-AU"/>
        </w:rPr>
      </w:pPr>
    </w:p>
    <w:p w14:paraId="2BA3BDD1" w14:textId="77777777" w:rsidR="004941AA" w:rsidRDefault="004941AA" w:rsidP="00B24183">
      <w:pPr>
        <w:autoSpaceDE w:val="0"/>
        <w:autoSpaceDN w:val="0"/>
        <w:adjustRightInd w:val="0"/>
        <w:spacing w:after="240"/>
        <w:rPr>
          <w:szCs w:val="24"/>
          <w:lang w:eastAsia="en-AU"/>
        </w:rPr>
      </w:pPr>
      <w:r>
        <w:rPr>
          <w:szCs w:val="24"/>
          <w:lang w:eastAsia="en-AU"/>
        </w:rPr>
        <w:lastRenderedPageBreak/>
        <w:t xml:space="preserve">This determination is a disallowable instrument and must be presented to the Legislative Assembly within 6 sitting days after its notification day pursuant to section 64 of the </w:t>
      </w:r>
      <w:r>
        <w:rPr>
          <w:i/>
          <w:iCs/>
          <w:szCs w:val="24"/>
          <w:lang w:eastAsia="en-AU"/>
        </w:rPr>
        <w:t>Legislation</w:t>
      </w:r>
      <w:r>
        <w:rPr>
          <w:szCs w:val="24"/>
          <w:lang w:eastAsia="en-AU"/>
        </w:rPr>
        <w:t xml:space="preserve"> </w:t>
      </w:r>
      <w:r>
        <w:rPr>
          <w:i/>
          <w:iCs/>
          <w:szCs w:val="24"/>
          <w:lang w:eastAsia="en-AU"/>
        </w:rPr>
        <w:t>Act 2001</w:t>
      </w:r>
      <w:r>
        <w:rPr>
          <w:szCs w:val="24"/>
          <w:lang w:eastAsia="en-AU"/>
        </w:rPr>
        <w:t>.</w:t>
      </w:r>
    </w:p>
    <w:p w14:paraId="0BC52F66" w14:textId="77777777" w:rsidR="00EF2B55" w:rsidRDefault="00EF2B55" w:rsidP="00B24183">
      <w:pPr>
        <w:pStyle w:val="BodyText"/>
        <w:spacing w:after="240"/>
        <w:jc w:val="both"/>
        <w:rPr>
          <w:b/>
        </w:rPr>
      </w:pPr>
    </w:p>
    <w:p w14:paraId="42037339" w14:textId="3C43B009" w:rsidR="00CF3B4B" w:rsidRDefault="00A86320" w:rsidP="00B24183">
      <w:pPr>
        <w:pStyle w:val="BodyText"/>
        <w:spacing w:after="240"/>
        <w:jc w:val="both"/>
        <w:rPr>
          <w:b/>
        </w:rPr>
      </w:pPr>
      <w:r w:rsidRPr="004404A3">
        <w:rPr>
          <w:b/>
        </w:rPr>
        <w:t>Regulatory Impact Statement (RIS)</w:t>
      </w:r>
    </w:p>
    <w:p w14:paraId="19682781" w14:textId="07014CB0" w:rsidR="00BA7198" w:rsidRDefault="00A86320" w:rsidP="00B24183">
      <w:pPr>
        <w:pStyle w:val="BodyText"/>
        <w:spacing w:after="240"/>
        <w:jc w:val="both"/>
        <w:rPr>
          <w:szCs w:val="24"/>
          <w:lang w:eastAsia="en-AU"/>
        </w:rPr>
      </w:pPr>
      <w:r>
        <w:rPr>
          <w:lang w:eastAsia="en-AU"/>
        </w:rPr>
        <w:t xml:space="preserve">A RIS is not required for this fee determination due to section 36(1)(k) of the </w:t>
      </w:r>
      <w:r w:rsidRPr="004404A3">
        <w:rPr>
          <w:i/>
          <w:lang w:eastAsia="en-AU"/>
        </w:rPr>
        <w:t>Legislation Act 2001</w:t>
      </w:r>
      <w:r>
        <w:rPr>
          <w:lang w:eastAsia="en-AU"/>
        </w:rPr>
        <w:t xml:space="preserve">, which states that a RIS need not be prepared for an amendment of a fee consistent with announced government policy. </w:t>
      </w:r>
      <w:r w:rsidR="00BE2C1D">
        <w:rPr>
          <w:lang w:eastAsia="en-AU"/>
        </w:rPr>
        <w:t xml:space="preserve">The emergency services </w:t>
      </w:r>
      <w:r>
        <w:rPr>
          <w:szCs w:val="24"/>
          <w:lang w:eastAsia="en-AU"/>
        </w:rPr>
        <w:t xml:space="preserve">fees continued by this instrument are consistent with the Government’s policies </w:t>
      </w:r>
      <w:r w:rsidR="00BE2C1D">
        <w:rPr>
          <w:szCs w:val="24"/>
          <w:lang w:eastAsia="en-AU"/>
        </w:rPr>
        <w:t xml:space="preserve">for </w:t>
      </w:r>
      <w:r w:rsidR="000D5938">
        <w:rPr>
          <w:szCs w:val="24"/>
          <w:lang w:eastAsia="en-AU"/>
        </w:rPr>
        <w:t xml:space="preserve">partial or full cost recovery for certain services provided by the ACT’s emergency services. </w:t>
      </w:r>
    </w:p>
    <w:p w14:paraId="4BC03284" w14:textId="372B6DD4" w:rsidR="00A86320" w:rsidRPr="00FE0761" w:rsidRDefault="000D5938" w:rsidP="00CF3B4B">
      <w:pPr>
        <w:pStyle w:val="BodyText"/>
        <w:spacing w:after="240"/>
        <w:jc w:val="both"/>
        <w:rPr>
          <w:lang w:eastAsia="en-AU"/>
        </w:rPr>
      </w:pPr>
      <w:r>
        <w:rPr>
          <w:szCs w:val="24"/>
          <w:lang w:eastAsia="en-AU"/>
        </w:rPr>
        <w:t xml:space="preserve">Fees </w:t>
      </w:r>
      <w:r w:rsidR="00BA7198">
        <w:rPr>
          <w:szCs w:val="24"/>
          <w:lang w:eastAsia="en-AU"/>
        </w:rPr>
        <w:t>paid</w:t>
      </w:r>
      <w:r>
        <w:rPr>
          <w:szCs w:val="24"/>
          <w:lang w:eastAsia="en-AU"/>
        </w:rPr>
        <w:t xml:space="preserve"> under the </w:t>
      </w:r>
      <w:r w:rsidR="00BA7198">
        <w:rPr>
          <w:szCs w:val="24"/>
          <w:lang w:eastAsia="en-AU"/>
        </w:rPr>
        <w:t xml:space="preserve">fee </w:t>
      </w:r>
      <w:r>
        <w:rPr>
          <w:szCs w:val="24"/>
          <w:lang w:eastAsia="en-AU"/>
        </w:rPr>
        <w:t>determination are</w:t>
      </w:r>
      <w:r w:rsidR="00BA7198">
        <w:rPr>
          <w:szCs w:val="24"/>
          <w:lang w:eastAsia="en-AU"/>
        </w:rPr>
        <w:t xml:space="preserve"> included as</w:t>
      </w:r>
      <w:r>
        <w:rPr>
          <w:szCs w:val="24"/>
          <w:lang w:eastAsia="en-AU"/>
        </w:rPr>
        <w:t xml:space="preserve"> revenue for the ACT Emergency Services A</w:t>
      </w:r>
      <w:r w:rsidR="00BA7198">
        <w:rPr>
          <w:szCs w:val="24"/>
          <w:lang w:eastAsia="en-AU"/>
        </w:rPr>
        <w:t xml:space="preserve">gency and are used to fund the provision of emergency services to the ACT community. The fees are increased </w:t>
      </w:r>
      <w:r w:rsidR="003F33C8">
        <w:rPr>
          <w:szCs w:val="24"/>
          <w:lang w:eastAsia="en-AU"/>
        </w:rPr>
        <w:t>annually</w:t>
      </w:r>
      <w:r w:rsidR="00BA7198">
        <w:rPr>
          <w:szCs w:val="24"/>
          <w:lang w:eastAsia="en-AU"/>
        </w:rPr>
        <w:t xml:space="preserve"> in line with inflation, based on changes in the Wage Price index</w:t>
      </w:r>
      <w:r w:rsidR="00A94080">
        <w:rPr>
          <w:szCs w:val="24"/>
          <w:lang w:eastAsia="en-AU"/>
        </w:rPr>
        <w:t>,</w:t>
      </w:r>
      <w:r w:rsidR="00BA7198">
        <w:rPr>
          <w:szCs w:val="24"/>
          <w:lang w:eastAsia="en-AU"/>
        </w:rPr>
        <w:t xml:space="preserve"> to reflect increases in the cost of delivering these services. </w:t>
      </w:r>
    </w:p>
    <w:p w14:paraId="79868A62" w14:textId="77777777" w:rsidR="00A86320" w:rsidRPr="004404A3" w:rsidRDefault="00A86320" w:rsidP="00A86320">
      <w:pPr>
        <w:pStyle w:val="BodyText"/>
        <w:spacing w:after="240"/>
        <w:jc w:val="both"/>
        <w:rPr>
          <w:b/>
        </w:rPr>
      </w:pPr>
      <w:r w:rsidRPr="004404A3">
        <w:rPr>
          <w:b/>
        </w:rPr>
        <w:t>Human Rights</w:t>
      </w:r>
    </w:p>
    <w:p w14:paraId="3977C212" w14:textId="59E867C5" w:rsidR="00A86320" w:rsidRDefault="00A86320" w:rsidP="00A86320">
      <w:pPr>
        <w:autoSpaceDE w:val="0"/>
        <w:autoSpaceDN w:val="0"/>
        <w:adjustRightInd w:val="0"/>
      </w:pPr>
      <w:r w:rsidRPr="00EB3913">
        <w:t>The Standing Committee on Justice and Community Safety (Legislative Scrutiny R</w:t>
      </w:r>
      <w:r>
        <w:t>ole) terms of reference require</w:t>
      </w:r>
      <w:r w:rsidRPr="00EB3913">
        <w:t xml:space="preserve"> consideration of human rights</w:t>
      </w:r>
      <w:r>
        <w:t xml:space="preserve"> impacts</w:t>
      </w:r>
      <w:r w:rsidRPr="00EB3913">
        <w:t>, among other matters. In this cas</w:t>
      </w:r>
      <w:r>
        <w:t>e, no human rights are impacted</w:t>
      </w:r>
      <w:r w:rsidR="00EF7837">
        <w:t>.</w:t>
      </w:r>
    </w:p>
    <w:p w14:paraId="43E1C7EF" w14:textId="77777777" w:rsidR="00C47390" w:rsidRPr="00C44DDB" w:rsidRDefault="00C47390" w:rsidP="00A86320">
      <w:pPr>
        <w:autoSpaceDE w:val="0"/>
        <w:autoSpaceDN w:val="0"/>
        <w:adjustRightInd w:val="0"/>
        <w:rPr>
          <w:szCs w:val="24"/>
          <w:lang w:eastAsia="en-AU"/>
        </w:rPr>
      </w:pPr>
    </w:p>
    <w:p w14:paraId="425CF8BE" w14:textId="47BFEDB8" w:rsidR="00A86320" w:rsidRPr="004404A3" w:rsidRDefault="00A86320" w:rsidP="00A86320">
      <w:pPr>
        <w:pStyle w:val="BodyText"/>
        <w:spacing w:after="240"/>
        <w:jc w:val="both"/>
        <w:rPr>
          <w:b/>
        </w:rPr>
      </w:pPr>
      <w:r w:rsidRPr="004404A3">
        <w:rPr>
          <w:b/>
        </w:rPr>
        <w:t>Outline of provisions</w:t>
      </w:r>
    </w:p>
    <w:p w14:paraId="03BF6074" w14:textId="77777777" w:rsidR="00C17FAB" w:rsidRDefault="000D5938">
      <w:r w:rsidRPr="000D5938">
        <w:rPr>
          <w:b/>
        </w:rPr>
        <w:t>Clause 1</w:t>
      </w:r>
      <w:r>
        <w:t xml:space="preserve"> sets out the formal title of the determination.</w:t>
      </w:r>
    </w:p>
    <w:p w14:paraId="5FE3E3EF" w14:textId="77777777" w:rsidR="000D5938" w:rsidRDefault="000D5938"/>
    <w:p w14:paraId="44AC1E97" w14:textId="1F8D96E1" w:rsidR="000D5938" w:rsidRDefault="000D5938">
      <w:r w:rsidRPr="000D5938">
        <w:rPr>
          <w:b/>
        </w:rPr>
        <w:t>Clause</w:t>
      </w:r>
      <w:r w:rsidRPr="00835093">
        <w:rPr>
          <w:b/>
        </w:rPr>
        <w:t xml:space="preserve"> 2</w:t>
      </w:r>
      <w:r>
        <w:t xml:space="preserve"> provides for the determination to commence on 1 July </w:t>
      </w:r>
      <w:r w:rsidR="00B72755">
        <w:t>2026</w:t>
      </w:r>
      <w:r>
        <w:t xml:space="preserve">. </w:t>
      </w:r>
    </w:p>
    <w:p w14:paraId="1A1E6DBC" w14:textId="77777777" w:rsidR="00835093" w:rsidRDefault="00835093"/>
    <w:p w14:paraId="1C6487D6" w14:textId="5A6ABC34" w:rsidR="00835093" w:rsidRDefault="00835093">
      <w:r w:rsidRPr="00835093">
        <w:rPr>
          <w:b/>
        </w:rPr>
        <w:t>Clause 3</w:t>
      </w:r>
      <w:r>
        <w:t xml:space="preserve"> explains that </w:t>
      </w:r>
      <w:r w:rsidR="0026434B">
        <w:t xml:space="preserve">Column 2, </w:t>
      </w:r>
      <w:r>
        <w:t>Schedule 1 sets out the services for which fees are determined</w:t>
      </w:r>
      <w:r w:rsidR="0026434B">
        <w:t xml:space="preserve">, while </w:t>
      </w:r>
      <w:r>
        <w:t xml:space="preserve">the amount payable for each service </w:t>
      </w:r>
      <w:r w:rsidR="0026434B">
        <w:t>is listed in Column 3 of that Schedule.</w:t>
      </w:r>
      <w:r w:rsidR="00B42F21">
        <w:t xml:space="preserve"> Column 1 contains the item numbers for each of the fees. It should be noted that the numbering for these items does not start at 1, contains gaps, and </w:t>
      </w:r>
      <w:r w:rsidR="00B12634">
        <w:t xml:space="preserve">is not always consecutive. </w:t>
      </w:r>
      <w:r w:rsidR="00B42F21">
        <w:t>These numbering anomalies reflect the item numbers that were allocated in earlier years’ determinations</w:t>
      </w:r>
      <w:r w:rsidR="00330690">
        <w:t xml:space="preserve">. These item numbers are programmed into the </w:t>
      </w:r>
      <w:r w:rsidR="00B42F21">
        <w:t xml:space="preserve">billing system </w:t>
      </w:r>
      <w:r w:rsidR="00330690">
        <w:t>that issues invoices to clients. Amend</w:t>
      </w:r>
      <w:r w:rsidR="006900B0">
        <w:t>ing</w:t>
      </w:r>
      <w:r w:rsidR="00330690">
        <w:t xml:space="preserve"> that system takes some time, and it was not possible to implement new item numbers in time for the proposed commencement of the new fee determination.  Over time, it is intended to update the numbering system to a more logical and sequential system and make corresponding changes to the billing system. </w:t>
      </w:r>
    </w:p>
    <w:p w14:paraId="57BBDB9B" w14:textId="77777777" w:rsidR="0026434B" w:rsidRDefault="0026434B"/>
    <w:p w14:paraId="5CE4B25B" w14:textId="77777777" w:rsidR="00330690" w:rsidRDefault="00835093">
      <w:r w:rsidRPr="00835093">
        <w:rPr>
          <w:b/>
        </w:rPr>
        <w:t>Clause 4</w:t>
      </w:r>
      <w:r>
        <w:t xml:space="preserve"> explains </w:t>
      </w:r>
      <w:r w:rsidR="0026434B">
        <w:t>how</w:t>
      </w:r>
      <w:r>
        <w:t xml:space="preserve"> the determined fees </w:t>
      </w:r>
      <w:r w:rsidR="0026434B">
        <w:t>should be paid, including who is liable to pay and who receives the payment</w:t>
      </w:r>
      <w:r w:rsidR="0040419E">
        <w:t xml:space="preserve">. </w:t>
      </w:r>
      <w:r w:rsidR="0092236F">
        <w:t xml:space="preserve"> </w:t>
      </w:r>
    </w:p>
    <w:p w14:paraId="4C9B4039" w14:textId="77777777" w:rsidR="00330690" w:rsidRDefault="00330690"/>
    <w:p w14:paraId="7AFBAB83" w14:textId="77777777" w:rsidR="0026434B" w:rsidRDefault="0092236F">
      <w:r>
        <w:t xml:space="preserve">Clause 4 (1) explains that </w:t>
      </w:r>
      <w:r w:rsidR="00C02976">
        <w:t xml:space="preserve">fees for the fire services in items 255 to 274 in schedule 1 are payable by the person who requested those services. These items do not impose fees for attendance at fire-related emergencies. </w:t>
      </w:r>
    </w:p>
    <w:p w14:paraId="23EFB482" w14:textId="77777777" w:rsidR="0040419E" w:rsidRDefault="0040419E"/>
    <w:p w14:paraId="3DEC92B4" w14:textId="77777777" w:rsidR="00C02976" w:rsidRDefault="0026434B">
      <w:r>
        <w:t>Clause 4</w:t>
      </w:r>
      <w:r w:rsidR="00B12634">
        <w:t xml:space="preserve"> </w:t>
      </w:r>
      <w:r>
        <w:t>(</w:t>
      </w:r>
      <w:r w:rsidR="00C02976">
        <w:t>2</w:t>
      </w:r>
      <w:r>
        <w:t xml:space="preserve">) provides that certain fees relating to </w:t>
      </w:r>
      <w:r w:rsidR="00C02976">
        <w:t>automatic fire alarms system (set out in items 279 to 287 of schedule 1</w:t>
      </w:r>
      <w:r w:rsidR="0043066B">
        <w:t xml:space="preserve">) </w:t>
      </w:r>
      <w:r w:rsidR="00C02976">
        <w:t xml:space="preserve">are </w:t>
      </w:r>
      <w:r w:rsidR="0043066B">
        <w:t xml:space="preserve">payable </w:t>
      </w:r>
      <w:r w:rsidR="00C02976">
        <w:t xml:space="preserve">by the automatic fire alarm system provider. </w:t>
      </w:r>
    </w:p>
    <w:p w14:paraId="37C4D510" w14:textId="77777777" w:rsidR="00C02976" w:rsidRDefault="00C02976"/>
    <w:p w14:paraId="152EA034" w14:textId="77777777" w:rsidR="00AC7660" w:rsidRDefault="00C02976">
      <w:r>
        <w:t>Clause 4</w:t>
      </w:r>
      <w:r w:rsidR="00B12634">
        <w:t xml:space="preserve"> </w:t>
      </w:r>
      <w:r>
        <w:t xml:space="preserve">(3) provides that the fees in items </w:t>
      </w:r>
      <w:r w:rsidR="00AC7660">
        <w:t xml:space="preserve">289 and 291, which relate to unintended alarm fees, are payable by the occupier of the building where the unintended fire alarm happened. </w:t>
      </w:r>
    </w:p>
    <w:p w14:paraId="38C4B91E" w14:textId="77777777" w:rsidR="00AC7660" w:rsidRDefault="00AC7660"/>
    <w:p w14:paraId="6DFE7FA6" w14:textId="77777777" w:rsidR="00AC7660" w:rsidRDefault="00AC7660" w:rsidP="00354460">
      <w:pPr>
        <w:keepLines/>
        <w:autoSpaceDE w:val="0"/>
        <w:autoSpaceDN w:val="0"/>
        <w:adjustRightInd w:val="0"/>
        <w:rPr>
          <w:rFonts w:ascii="TimesNewRomanPSMT" w:hAnsi="TimesNewRomanPSMT" w:cs="TimesNewRomanPSMT"/>
          <w:szCs w:val="24"/>
          <w:lang w:eastAsia="en-AU"/>
        </w:rPr>
      </w:pPr>
      <w:r>
        <w:t>Clause 4</w:t>
      </w:r>
      <w:r w:rsidR="00B12634">
        <w:t xml:space="preserve"> </w:t>
      </w:r>
      <w:r>
        <w:t xml:space="preserve">(4) provides that the fees in items 294 to 298, which relate to services provided by ACT Ambulance Service (including emergency medical treatment and non-emergency medical treatment and transfer) and the aeromedical retrieval service, are payable by the person receiving the service. It should be noted that section 201 (2) of the </w:t>
      </w:r>
      <w:r w:rsidRPr="00AC7660">
        <w:rPr>
          <w:i/>
        </w:rPr>
        <w:t>Emergencies Act 2004</w:t>
      </w:r>
      <w:r>
        <w:t xml:space="preserve"> provides that a</w:t>
      </w:r>
      <w:r>
        <w:rPr>
          <w:rFonts w:ascii="TimesNewRomanPSMT" w:hAnsi="TimesNewRomanPSMT" w:cs="TimesNewRomanPSMT"/>
          <w:szCs w:val="24"/>
          <w:lang w:eastAsia="en-AU"/>
        </w:rPr>
        <w:t xml:space="preserve"> fee determined for a service provided to a person by an emergency service is payable by the person even if the person did not ask for, or consent to, the provision of the service. </w:t>
      </w:r>
    </w:p>
    <w:p w14:paraId="5773F5A5" w14:textId="77777777" w:rsidR="00AC7660" w:rsidRDefault="00AC7660" w:rsidP="00AC7660">
      <w:pPr>
        <w:autoSpaceDE w:val="0"/>
        <w:autoSpaceDN w:val="0"/>
        <w:adjustRightInd w:val="0"/>
      </w:pPr>
    </w:p>
    <w:p w14:paraId="16A39BFA" w14:textId="47C9649A" w:rsidR="00835093" w:rsidRPr="006E0325" w:rsidRDefault="00C02976">
      <w:r w:rsidRPr="006E0325">
        <w:t>Clause 4</w:t>
      </w:r>
      <w:r w:rsidR="00B12634" w:rsidRPr="006E0325">
        <w:t xml:space="preserve"> </w:t>
      </w:r>
      <w:r w:rsidRPr="006E0325">
        <w:t xml:space="preserve">(5) provides that </w:t>
      </w:r>
      <w:r w:rsidR="00AC7660" w:rsidRPr="006E0325">
        <w:t xml:space="preserve">certain </w:t>
      </w:r>
      <w:r w:rsidRPr="006E0325">
        <w:t xml:space="preserve">fire service fees are payable only </w:t>
      </w:r>
      <w:r w:rsidR="0026434B" w:rsidRPr="006E0325">
        <w:t>in a lump sum, unless otherwise agreed by the Chief Officer, ACT Fire and Rescue</w:t>
      </w:r>
      <w:r w:rsidR="00297CCF" w:rsidRPr="006E0325">
        <w:t xml:space="preserve"> Service.</w:t>
      </w:r>
    </w:p>
    <w:p w14:paraId="00CE7A91" w14:textId="77777777" w:rsidR="003712E5" w:rsidRPr="006E0325" w:rsidRDefault="003712E5"/>
    <w:p w14:paraId="1144EEE3" w14:textId="4F75E586" w:rsidR="003712E5" w:rsidRPr="006E0325" w:rsidRDefault="003712E5">
      <w:r w:rsidRPr="006E0325">
        <w:t>Clause 4 (6) explains th</w:t>
      </w:r>
      <w:r w:rsidR="00907B53" w:rsidRPr="006E0325">
        <w:t>e</w:t>
      </w:r>
      <w:r w:rsidRPr="006E0325">
        <w:t xml:space="preserve"> fees for the fire services </w:t>
      </w:r>
      <w:r w:rsidR="008B5ED3" w:rsidRPr="006E0325">
        <w:t>for</w:t>
      </w:r>
      <w:r w:rsidRPr="006E0325">
        <w:t xml:space="preserve"> items 258</w:t>
      </w:r>
      <w:r w:rsidR="0075435E" w:rsidRPr="006E0325">
        <w:t>(f) (oxygen cylinder refill)</w:t>
      </w:r>
      <w:r w:rsidRPr="006E0325">
        <w:t>, 260.1</w:t>
      </w:r>
      <w:r w:rsidR="008B5ED3" w:rsidRPr="006E0325">
        <w:t>(i) (hydrostatic test – first cylinder including nitrous wash)</w:t>
      </w:r>
      <w:r w:rsidRPr="006E0325">
        <w:t>, 261.1</w:t>
      </w:r>
      <w:r w:rsidR="008B5ED3" w:rsidRPr="006E0325">
        <w:t>(k) (hydrostatic test – each subsequent cylinder including nitrous wash)</w:t>
      </w:r>
      <w:r w:rsidRPr="006E0325">
        <w:t>, 262</w:t>
      </w:r>
      <w:r w:rsidR="008B5ED3" w:rsidRPr="006E0325">
        <w:t>(l) (LPG cylinders testing)</w:t>
      </w:r>
      <w:r w:rsidRPr="006E0325">
        <w:t>, 264</w:t>
      </w:r>
      <w:r w:rsidR="008B5ED3" w:rsidRPr="006E0325">
        <w:t xml:space="preserve">(a) (air cylinder testing), and </w:t>
      </w:r>
      <w:r w:rsidRPr="006E0325">
        <w:t>265</w:t>
      </w:r>
      <w:r w:rsidR="008B5ED3" w:rsidRPr="006E0325">
        <w:t xml:space="preserve">(b) (oxygen cylinder testing) </w:t>
      </w:r>
      <w:r w:rsidRPr="006E0325">
        <w:t xml:space="preserve">in </w:t>
      </w:r>
      <w:r w:rsidR="008B5ED3" w:rsidRPr="006E0325">
        <w:t>S</w:t>
      </w:r>
      <w:r w:rsidRPr="006E0325">
        <w:t xml:space="preserve">chedule 1 </w:t>
      </w:r>
      <w:r w:rsidR="00907B53" w:rsidRPr="006E0325">
        <w:t xml:space="preserve">which </w:t>
      </w:r>
      <w:r w:rsidRPr="006E0325">
        <w:t>have been removed as the services are no longer offered by ACT Fire &amp; Rescue.</w:t>
      </w:r>
    </w:p>
    <w:p w14:paraId="2B61F754" w14:textId="77777777" w:rsidR="0075435E" w:rsidRPr="006E0325" w:rsidRDefault="0075435E"/>
    <w:p w14:paraId="24BBBB69" w14:textId="65AD4ADF" w:rsidR="00FD4397" w:rsidRPr="006E0325" w:rsidRDefault="0026434B">
      <w:r w:rsidRPr="006E0325">
        <w:rPr>
          <w:b/>
        </w:rPr>
        <w:t>Clause 5</w:t>
      </w:r>
      <w:r w:rsidR="00A94080" w:rsidRPr="006E0325">
        <w:rPr>
          <w:b/>
        </w:rPr>
        <w:t xml:space="preserve"> </w:t>
      </w:r>
      <w:r w:rsidR="00E5137F" w:rsidRPr="006E0325">
        <w:rPr>
          <w:b/>
        </w:rPr>
        <w:t xml:space="preserve">(1) </w:t>
      </w:r>
      <w:r w:rsidR="00A94080" w:rsidRPr="006E0325">
        <w:t>sets out</w:t>
      </w:r>
      <w:r w:rsidR="00AC7660" w:rsidRPr="006E0325">
        <w:t xml:space="preserve"> the fee exemptions that apply to certain emergency and non-emergency treatment and patient transfer</w:t>
      </w:r>
      <w:r w:rsidR="00330690" w:rsidRPr="006E0325">
        <w:t xml:space="preserve"> </w:t>
      </w:r>
      <w:r w:rsidR="005F4905" w:rsidRPr="006E0325">
        <w:t>fees</w:t>
      </w:r>
      <w:r w:rsidR="00330690" w:rsidRPr="006E0325">
        <w:t>.</w:t>
      </w:r>
    </w:p>
    <w:p w14:paraId="511176F9" w14:textId="77777777" w:rsidR="00FD4397" w:rsidRPr="006E0325" w:rsidRDefault="00FD4397"/>
    <w:p w14:paraId="3F38D684" w14:textId="567AFD99" w:rsidR="00E5137F" w:rsidRDefault="007961B2">
      <w:r w:rsidRPr="006E0325">
        <w:t xml:space="preserve">In summary, exemptions apply to: </w:t>
      </w:r>
      <w:r w:rsidR="009B11A6" w:rsidRPr="006E0325">
        <w:t>H</w:t>
      </w:r>
      <w:r w:rsidRPr="006E0325">
        <w:t xml:space="preserve">olders of certain concessions cards that include an entitlement to ambulance services; </w:t>
      </w:r>
      <w:r w:rsidR="009B11A6" w:rsidRPr="006E0325">
        <w:t>or ACT school students who become ill or injured</w:t>
      </w:r>
      <w:r w:rsidR="009B11A6" w:rsidRPr="009B11A6">
        <w:t xml:space="preserve"> at school or during an approved school activity, regardless of time of day or day of week; </w:t>
      </w:r>
      <w:r w:rsidR="009B11A6">
        <w:t xml:space="preserve">or </w:t>
      </w:r>
      <w:r>
        <w:t xml:space="preserve">entitled persons under the </w:t>
      </w:r>
      <w:r w:rsidRPr="007961B2">
        <w:rPr>
          <w:i/>
        </w:rPr>
        <w:t>Children and Young People Act</w:t>
      </w:r>
      <w:r>
        <w:rPr>
          <w:i/>
        </w:rPr>
        <w:t xml:space="preserve"> 2008</w:t>
      </w:r>
      <w:r>
        <w:t xml:space="preserve">; </w:t>
      </w:r>
      <w:r w:rsidR="009B11A6" w:rsidRPr="009B11A6">
        <w:t xml:space="preserve">or people involved in motor vehicle crashes; </w:t>
      </w:r>
      <w:r w:rsidR="00784A64" w:rsidRPr="00784A64">
        <w:t xml:space="preserve">individuals who are assessed by ambulance personnel at the request of other emergency services if ambulance transport does not occur; </w:t>
      </w:r>
      <w:r w:rsidR="00784A64">
        <w:t xml:space="preserve">or </w:t>
      </w:r>
      <w:r w:rsidR="009B11A6" w:rsidRPr="009B11A6">
        <w:t xml:space="preserve">persons arrested or in police custody; </w:t>
      </w:r>
      <w:r w:rsidR="00784A64">
        <w:t xml:space="preserve">or </w:t>
      </w:r>
      <w:r w:rsidR="009B11A6">
        <w:t xml:space="preserve">persons who claim to be </w:t>
      </w:r>
      <w:r w:rsidR="00FD4397">
        <w:t>victims of family or domestic violenc</w:t>
      </w:r>
      <w:r w:rsidR="004D3BF0">
        <w:t>e</w:t>
      </w:r>
      <w:r w:rsidR="009B11A6">
        <w:t>,</w:t>
      </w:r>
      <w:r w:rsidR="004D3BF0">
        <w:t xml:space="preserve"> victims of sexual assault</w:t>
      </w:r>
      <w:r w:rsidR="009B11A6">
        <w:t xml:space="preserve"> and victims of violent crime</w:t>
      </w:r>
      <w:r w:rsidR="004D3BF0">
        <w:t xml:space="preserve">; </w:t>
      </w:r>
      <w:r w:rsidR="00784A64">
        <w:t xml:space="preserve">or </w:t>
      </w:r>
      <w:r w:rsidR="009B11A6">
        <w:t xml:space="preserve">patients on an Emergency Apprehension Order under s80 of the </w:t>
      </w:r>
      <w:r w:rsidR="009B11A6" w:rsidRPr="009B11A6">
        <w:rPr>
          <w:i/>
          <w:iCs/>
        </w:rPr>
        <w:t>Mental Health Act 2015</w:t>
      </w:r>
      <w:r w:rsidR="009B11A6">
        <w:t xml:space="preserve">; </w:t>
      </w:r>
      <w:r w:rsidR="00784A64">
        <w:t xml:space="preserve">or persons treated by the </w:t>
      </w:r>
      <w:r w:rsidR="00784A64" w:rsidRPr="009B11A6">
        <w:t>Police Ambulance &amp; Clinician Early Response team</w:t>
      </w:r>
      <w:r w:rsidR="00784A64">
        <w:t xml:space="preserve">; or </w:t>
      </w:r>
      <w:r w:rsidR="00784A64" w:rsidRPr="00784A64">
        <w:t>person</w:t>
      </w:r>
      <w:r w:rsidR="00784A64">
        <w:t>s</w:t>
      </w:r>
      <w:r w:rsidR="00784A64" w:rsidRPr="00784A64">
        <w:t xml:space="preserve"> who receive any treatment or transport for the provision of palliative care, including voluntary assisted dying; or ambulance services provided to people who die or could not be resuscitated in the care of ACT Ambulance Service officers; </w:t>
      </w:r>
      <w:r w:rsidR="00784A64">
        <w:t>and</w:t>
      </w:r>
      <w:r w:rsidR="009B11A6" w:rsidRPr="009B11A6">
        <w:t xml:space="preserve"> ambulance services provided in relation to people performing good Samaritan acts</w:t>
      </w:r>
      <w:r w:rsidR="009B11A6">
        <w:t>.</w:t>
      </w:r>
    </w:p>
    <w:p w14:paraId="0258A92F" w14:textId="77777777" w:rsidR="00FD4397" w:rsidRDefault="00FD4397"/>
    <w:p w14:paraId="2E4370DE" w14:textId="77777777" w:rsidR="00D00F36" w:rsidRDefault="00D00F36" w:rsidP="00D00F36">
      <w:r w:rsidRPr="00D00F36">
        <w:rPr>
          <w:b/>
          <w:bCs/>
        </w:rPr>
        <w:t>Clause 5 (2)</w:t>
      </w:r>
      <w:r>
        <w:t xml:space="preserve"> corrects reference to the Commonwealth Government’s Department of Human Services to Services Australia. </w:t>
      </w:r>
    </w:p>
    <w:p w14:paraId="6C4DB529" w14:textId="77777777" w:rsidR="00D00F36" w:rsidRDefault="00D00F36" w:rsidP="00D00F36"/>
    <w:p w14:paraId="49F226F4" w14:textId="7AE6E310" w:rsidR="00D00F36" w:rsidRDefault="00D00F36" w:rsidP="00D00F36">
      <w:r w:rsidRPr="00D00F36">
        <w:rPr>
          <w:b/>
          <w:bCs/>
        </w:rPr>
        <w:t>Clause 5 (3)</w:t>
      </w:r>
      <w:r>
        <w:t xml:space="preserve"> updates reference to the </w:t>
      </w:r>
      <w:r w:rsidRPr="00D00F36">
        <w:t>NSW Ambulance Service, NSW Police, Fire &amp; Rescue NSW, NSW Rural Fire Service, NSW State Emergency Service, or Aviation Rescue Fire Fighting Service (ARFFS)</w:t>
      </w:r>
      <w:r>
        <w:t>.</w:t>
      </w:r>
    </w:p>
    <w:p w14:paraId="0E86150F" w14:textId="77777777" w:rsidR="00D00F36" w:rsidRDefault="00D00F36"/>
    <w:p w14:paraId="178BAC40" w14:textId="25C489FE" w:rsidR="00303722" w:rsidRDefault="007F4DB7" w:rsidP="005F7670">
      <w:r w:rsidRPr="00D00F36">
        <w:rPr>
          <w:b/>
          <w:bCs/>
        </w:rPr>
        <w:t>Clause 5 (</w:t>
      </w:r>
      <w:r>
        <w:rPr>
          <w:b/>
          <w:bCs/>
        </w:rPr>
        <w:t>4</w:t>
      </w:r>
      <w:r w:rsidRPr="00D00F36">
        <w:rPr>
          <w:b/>
          <w:bCs/>
        </w:rPr>
        <w:t>)</w:t>
      </w:r>
      <w:r>
        <w:t xml:space="preserve"> corrects </w:t>
      </w:r>
      <w:r w:rsidR="005D51A1">
        <w:t xml:space="preserve">the </w:t>
      </w:r>
      <w:r w:rsidR="005D51A1" w:rsidRPr="005D51A1">
        <w:t xml:space="preserve">two </w:t>
      </w:r>
      <w:r w:rsidR="009333D2">
        <w:t xml:space="preserve">Fees </w:t>
      </w:r>
      <w:r w:rsidR="005D51A1" w:rsidRPr="005D51A1">
        <w:t xml:space="preserve">exemptions </w:t>
      </w:r>
      <w:r w:rsidR="005D51A1">
        <w:t xml:space="preserve">(d) and (e) </w:t>
      </w:r>
      <w:r w:rsidR="00520F8B">
        <w:t xml:space="preserve">that </w:t>
      </w:r>
      <w:r w:rsidR="005D51A1" w:rsidRPr="005D51A1">
        <w:t>were inadvertently combined</w:t>
      </w:r>
      <w:r w:rsidR="00520F8B">
        <w:t xml:space="preserve"> </w:t>
      </w:r>
      <w:r w:rsidR="005F7670">
        <w:t>under DI2026-</w:t>
      </w:r>
      <w:r w:rsidR="00A76123">
        <w:t>94 and</w:t>
      </w:r>
      <w:r w:rsidR="00155882">
        <w:t xml:space="preserve"> separating them to </w:t>
      </w:r>
      <w:r w:rsidR="00006E8B">
        <w:t xml:space="preserve">ensure clarity </w:t>
      </w:r>
      <w:r w:rsidR="00FF5313">
        <w:t xml:space="preserve">in </w:t>
      </w:r>
      <w:r w:rsidR="00E164DF">
        <w:t>meaning and expected outcomes of these exemptions.</w:t>
      </w:r>
    </w:p>
    <w:p w14:paraId="6A437865" w14:textId="77777777" w:rsidR="007C0F54" w:rsidRDefault="007C0F54"/>
    <w:p w14:paraId="2F794407" w14:textId="14EB204C" w:rsidR="00303722" w:rsidRDefault="007C0F54">
      <w:r w:rsidRPr="00D30A50">
        <w:rPr>
          <w:b/>
          <w:bCs/>
        </w:rPr>
        <w:lastRenderedPageBreak/>
        <w:t>Clause 5 (5)</w:t>
      </w:r>
      <w:r>
        <w:t xml:space="preserve"> updates reference to </w:t>
      </w:r>
      <w:r w:rsidR="00E718E2" w:rsidRPr="00E718E2">
        <w:rPr>
          <w:i/>
          <w:iCs/>
        </w:rPr>
        <w:t>Motor Accident Injuries (Premiums and Administration) Regulation 2019</w:t>
      </w:r>
      <w:r w:rsidR="00E718E2">
        <w:t xml:space="preserve"> </w:t>
      </w:r>
      <w:r w:rsidR="00D30A50">
        <w:t>under</w:t>
      </w:r>
      <w:r w:rsidR="00067EFC">
        <w:t xml:space="preserve"> Fee exemptions (d)</w:t>
      </w:r>
      <w:r w:rsidR="00EC5669">
        <w:t xml:space="preserve"> replacing </w:t>
      </w:r>
      <w:r w:rsidR="00176A1D">
        <w:t>t</w:t>
      </w:r>
      <w:r w:rsidR="00176A1D" w:rsidRPr="00176A1D">
        <w:t xml:space="preserve">he </w:t>
      </w:r>
      <w:r w:rsidR="00176A1D" w:rsidRPr="00176A1D">
        <w:rPr>
          <w:i/>
          <w:iCs/>
        </w:rPr>
        <w:t>Road Transport (Third-Party Insurance) Regulation 2008</w:t>
      </w:r>
      <w:r w:rsidR="00176A1D">
        <w:t>, which was repealed in February 2020.</w:t>
      </w:r>
    </w:p>
    <w:p w14:paraId="087FD5BC" w14:textId="77777777" w:rsidR="00303722" w:rsidRDefault="00303722"/>
    <w:p w14:paraId="1E5F1E9B" w14:textId="77777777" w:rsidR="00B12634" w:rsidRDefault="00FD4397">
      <w:r w:rsidRPr="00FD4397">
        <w:rPr>
          <w:b/>
        </w:rPr>
        <w:t>Clause 6</w:t>
      </w:r>
      <w:r>
        <w:t xml:space="preserve"> sets out the situations in which certain fees may be waived. </w:t>
      </w:r>
    </w:p>
    <w:p w14:paraId="4225F26F" w14:textId="77777777" w:rsidR="00B12634" w:rsidRDefault="00B12634"/>
    <w:p w14:paraId="44D259CD" w14:textId="77777777" w:rsidR="00FD4397" w:rsidRDefault="00FD4397">
      <w:r>
        <w:t>Clause 6 (1) provides for the waiver of fees for items 289 and 291 (unintended fire alarm fees) where the Chief Officer ACT Fire and Rescue</w:t>
      </w:r>
      <w:r w:rsidR="00297CCF">
        <w:t xml:space="preserve"> Service</w:t>
      </w:r>
      <w:r>
        <w:t xml:space="preserve"> could not have been prevented by reasonable maintenance or was otherwise outside the reasonable control of the owner of the building. </w:t>
      </w:r>
    </w:p>
    <w:p w14:paraId="54CBE044" w14:textId="77777777" w:rsidR="00B12634" w:rsidRDefault="00B12634"/>
    <w:p w14:paraId="2C6785E4" w14:textId="77777777" w:rsidR="00B12634" w:rsidRDefault="00B12634">
      <w:r>
        <w:t>Clause 6 (2) provides for the waiver of emergency ambulance fees, non-emergency patient transport fees and aero-medical retrieval fees where the Chief Office</w:t>
      </w:r>
      <w:r w:rsidR="00297CCF">
        <w:t>r</w:t>
      </w:r>
      <w:r>
        <w:t xml:space="preserve"> ACT Ambulance Service is satisfied that exceptional personal or other circumstances apply to the person to whom the services were provided. These circumstances are set out in schedule 2. </w:t>
      </w:r>
    </w:p>
    <w:p w14:paraId="47E720A2" w14:textId="77777777" w:rsidR="00201612" w:rsidRDefault="00201612"/>
    <w:p w14:paraId="1A8858F7" w14:textId="75FFAAE1" w:rsidR="00B12634" w:rsidRDefault="00201612">
      <w:r>
        <w:t xml:space="preserve">6 (3) </w:t>
      </w:r>
      <w:r w:rsidR="00E5137F">
        <w:t xml:space="preserve">provides </w:t>
      </w:r>
      <w:r w:rsidR="00E5137F" w:rsidRPr="00E5137F">
        <w:t>verification</w:t>
      </w:r>
      <w:r w:rsidR="00E5137F">
        <w:t xml:space="preserve"> and assurance to the ACTAS Chief Officer of </w:t>
      </w:r>
      <w:r w:rsidR="00E5137F" w:rsidRPr="00E5137F">
        <w:t xml:space="preserve">a financial hardship waiver, where ACT Shared Services Debt Management </w:t>
      </w:r>
      <w:r w:rsidR="00E5137F">
        <w:t>undertakes a due diligence assessment of</w:t>
      </w:r>
      <w:r w:rsidR="00E5137F" w:rsidRPr="00E5137F">
        <w:t xml:space="preserve"> the legitimacy of the applicant’s financial hardship claim.</w:t>
      </w:r>
    </w:p>
    <w:p w14:paraId="4E4F8D58" w14:textId="77777777" w:rsidR="00E5137F" w:rsidRDefault="00E5137F"/>
    <w:p w14:paraId="7BC9CD19" w14:textId="77777777" w:rsidR="00B12634" w:rsidRDefault="00B12634">
      <w:r w:rsidRPr="00824B86">
        <w:rPr>
          <w:b/>
        </w:rPr>
        <w:t>Clause 7</w:t>
      </w:r>
      <w:r>
        <w:t xml:space="preserve"> contains definitions of key terms used in the fee determination. These include: alarm system; exceptional personal or other circumstances; fire; relevant concession card; road, road related area and motor vehicle; unintended alarm. </w:t>
      </w:r>
    </w:p>
    <w:p w14:paraId="07CE4254" w14:textId="77777777" w:rsidR="002A2934" w:rsidRDefault="002A2934">
      <w:pPr>
        <w:rPr>
          <w:b/>
        </w:rPr>
      </w:pPr>
    </w:p>
    <w:p w14:paraId="0ED348F1" w14:textId="1773BCA9" w:rsidR="00824B86" w:rsidRDefault="00824B86">
      <w:r>
        <w:rPr>
          <w:b/>
        </w:rPr>
        <w:t>Clause 8</w:t>
      </w:r>
      <w:r>
        <w:t xml:space="preserve"> revokes the </w:t>
      </w:r>
      <w:r w:rsidR="00B72755">
        <w:t>202</w:t>
      </w:r>
      <w:r w:rsidR="00961163">
        <w:t>6</w:t>
      </w:r>
      <w:r w:rsidR="00C55A41">
        <w:t xml:space="preserve"> </w:t>
      </w:r>
      <w:r>
        <w:t>fee determination</w:t>
      </w:r>
      <w:r w:rsidR="00D713F0">
        <w:t xml:space="preserve"> (</w:t>
      </w:r>
      <w:r w:rsidR="00C55A41">
        <w:t>DI</w:t>
      </w:r>
      <w:r w:rsidR="00B72755">
        <w:t>202</w:t>
      </w:r>
      <w:r w:rsidR="00961163">
        <w:t>6</w:t>
      </w:r>
      <w:r w:rsidR="00B72755">
        <w:t>-</w:t>
      </w:r>
      <w:r w:rsidR="00961163">
        <w:t>94</w:t>
      </w:r>
      <w:r w:rsidR="00D713F0">
        <w:t>)</w:t>
      </w:r>
      <w:r>
        <w:t>.</w:t>
      </w:r>
    </w:p>
    <w:p w14:paraId="5AA1F069" w14:textId="77777777" w:rsidR="00824B86" w:rsidRDefault="00824B86"/>
    <w:p w14:paraId="1190C217" w14:textId="77777777" w:rsidR="00824B86" w:rsidRDefault="00824B86">
      <w:r>
        <w:t>Schedule 1 sets out the fees that are payable for specified services. As previously explained, the numbering used in column 1 is an histori</w:t>
      </w:r>
      <w:r w:rsidR="002A2934">
        <w:t>c</w:t>
      </w:r>
      <w:r>
        <w:t xml:space="preserve">al artefact that has been included in this schedule because it is currently used by the billing system. It is proposed to amend the numbering system in the </w:t>
      </w:r>
      <w:r w:rsidR="00BB638A">
        <w:t>future</w:t>
      </w:r>
      <w:r>
        <w:t xml:space="preserve"> and update the billing system accordingly. </w:t>
      </w:r>
    </w:p>
    <w:p w14:paraId="7972ACF1" w14:textId="77777777" w:rsidR="00824B86" w:rsidRDefault="00824B86"/>
    <w:p w14:paraId="3F61896B" w14:textId="77777777" w:rsidR="00824B86" w:rsidRPr="00824B86" w:rsidRDefault="00824B86">
      <w:r>
        <w:t xml:space="preserve">Schedule 2 explains when the Chief Officer ACT Ambulance Service may be </w:t>
      </w:r>
      <w:r w:rsidR="002A2934">
        <w:t xml:space="preserve">satisfied </w:t>
      </w:r>
      <w:r>
        <w:t>that exceptional personal or other circumstances exist for the purpose of waiving a fee that would otherwise be payable under the fee determination. These circumstances have been drafted on the basis of current ACT</w:t>
      </w:r>
      <w:r w:rsidR="00297CCF">
        <w:t xml:space="preserve"> </w:t>
      </w:r>
      <w:r>
        <w:t>A</w:t>
      </w:r>
      <w:r w:rsidR="00297CCF">
        <w:t>mbulance Service</w:t>
      </w:r>
      <w:r>
        <w:t xml:space="preserve"> waiver policies. They are included in the fee determination to make them more accessible to ACT</w:t>
      </w:r>
      <w:r w:rsidR="00297CCF">
        <w:t xml:space="preserve"> Ambulance Service</w:t>
      </w:r>
      <w:r>
        <w:t xml:space="preserve"> clients and enhance transparency in decision making in relation to waiver applications. </w:t>
      </w:r>
    </w:p>
    <w:sectPr w:rsidR="00824B86" w:rsidRPr="00824B86" w:rsidSect="00355CF7">
      <w:headerReference w:type="even" r:id="rId8"/>
      <w:headerReference w:type="default" r:id="rId9"/>
      <w:footerReference w:type="even" r:id="rId10"/>
      <w:footerReference w:type="default" r:id="rId11"/>
      <w:headerReference w:type="first" r:id="rId12"/>
      <w:footerReference w:type="first" r:id="rId13"/>
      <w:pgSz w:w="11907" w:h="16839" w:code="9"/>
      <w:pgMar w:top="1440" w:right="1275"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C1DC9" w14:textId="77777777" w:rsidR="00AF1C0F" w:rsidRDefault="00AF1C0F" w:rsidP="00C17FAB">
      <w:r>
        <w:separator/>
      </w:r>
    </w:p>
  </w:endnote>
  <w:endnote w:type="continuationSeparator" w:id="0">
    <w:p w14:paraId="1CE6ABA8" w14:textId="77777777" w:rsidR="00AF1C0F" w:rsidRDefault="00AF1C0F"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6F00D" w14:textId="77777777" w:rsidR="00E94694" w:rsidRDefault="00E946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0E593" w14:textId="64756FDF" w:rsidR="00E94694" w:rsidRPr="00E94694" w:rsidRDefault="00E94694" w:rsidP="00E94694">
    <w:pPr>
      <w:pStyle w:val="Footer"/>
      <w:jc w:val="center"/>
      <w:rPr>
        <w:rFonts w:cs="Arial"/>
        <w:sz w:val="14"/>
      </w:rPr>
    </w:pPr>
    <w:r w:rsidRPr="00E94694">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83DBD" w14:textId="77777777" w:rsidR="00E94694" w:rsidRDefault="00E94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EBB72" w14:textId="77777777" w:rsidR="00AF1C0F" w:rsidRDefault="00AF1C0F" w:rsidP="00C17FAB">
      <w:r>
        <w:separator/>
      </w:r>
    </w:p>
  </w:footnote>
  <w:footnote w:type="continuationSeparator" w:id="0">
    <w:p w14:paraId="6581DC15" w14:textId="77777777" w:rsidR="00AF1C0F" w:rsidRDefault="00AF1C0F"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720D3" w14:textId="77777777" w:rsidR="00E94694" w:rsidRDefault="00E94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0F32" w14:textId="77777777" w:rsidR="00E94694" w:rsidRDefault="00E946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57D9F" w14:textId="77777777" w:rsidR="00E94694" w:rsidRDefault="00E946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Restart w:val="0"/>
      <w:pStyle w:val="AH5Sec"/>
      <w:lvlText w:val="%5"/>
      <w:lvlJc w:val="left"/>
      <w:pPr>
        <w:tabs>
          <w:tab w:val="num" w:pos="700"/>
        </w:tabs>
        <w:ind w:left="700" w:hanging="700"/>
      </w:pPr>
      <w:rPr>
        <w:rFonts w:cs="Times New Roman"/>
        <w:b/>
        <w:i w:val="0"/>
      </w:rPr>
    </w:lvl>
    <w:lvl w:ilvl="5">
      <w:start w:val="1"/>
      <w:numFmt w:val="decimal"/>
      <w:lvlText w:val="(%6)"/>
      <w:lvlJc w:val="right"/>
      <w:pPr>
        <w:tabs>
          <w:tab w:val="num" w:pos="700"/>
        </w:tabs>
        <w:ind w:left="700" w:hanging="200"/>
      </w:pPr>
      <w:rPr>
        <w:rFonts w:cs="Times New Roman"/>
        <w:b w:val="0"/>
      </w:rPr>
    </w:lvl>
    <w:lvl w:ilvl="6">
      <w:start w:val="1"/>
      <w:numFmt w:val="lowerLetter"/>
      <w:lvlText w:val="(%7)"/>
      <w:lvlJc w:val="right"/>
      <w:pPr>
        <w:tabs>
          <w:tab w:val="num" w:pos="1200"/>
        </w:tabs>
        <w:ind w:left="1200" w:hanging="200"/>
      </w:pPr>
      <w:rPr>
        <w:rFonts w:cs="Times New Roman"/>
        <w:b w:val="0"/>
        <w:i w:val="0"/>
      </w:rPr>
    </w:lvl>
    <w:lvl w:ilvl="7">
      <w:start w:val="1"/>
      <w:numFmt w:val="lowerRoman"/>
      <w:lvlText w:val="(%8)"/>
      <w:lvlJc w:val="right"/>
      <w:pPr>
        <w:tabs>
          <w:tab w:val="num" w:pos="1740"/>
        </w:tabs>
        <w:ind w:left="1740" w:hanging="200"/>
      </w:pPr>
      <w:rPr>
        <w:rFonts w:cs="Times New Roman"/>
        <w:b w:val="0"/>
        <w:i w:val="0"/>
      </w:rPr>
    </w:lvl>
    <w:lvl w:ilvl="8">
      <w:start w:val="1"/>
      <w:numFmt w:val="upperLetter"/>
      <w:lvlText w:val="(%9)"/>
      <w:lvlJc w:val="right"/>
      <w:pPr>
        <w:tabs>
          <w:tab w:val="num" w:pos="2260"/>
        </w:tabs>
        <w:ind w:left="2260" w:hanging="200"/>
      </w:pPr>
      <w:rPr>
        <w:rFonts w:cs="Times New Roman"/>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F39613A"/>
    <w:multiLevelType w:val="hybridMultilevel"/>
    <w:tmpl w:val="BD94707C"/>
    <w:lvl w:ilvl="0" w:tplc="11AA2AD0">
      <w:start w:val="2"/>
      <w:numFmt w:val="bullet"/>
      <w:lvlText w:val="-"/>
      <w:lvlJc w:val="left"/>
      <w:pPr>
        <w:ind w:left="720" w:hanging="360"/>
      </w:pPr>
      <w:rPr>
        <w:rFonts w:ascii="Times New Roman" w:eastAsia="Times New Roman" w:hAnsi="Times New Roman"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hint="default"/>
      </w:rPr>
    </w:lvl>
    <w:lvl w:ilvl="2" w:tplc="04090005">
      <w:start w:val="1"/>
      <w:numFmt w:val="bullet"/>
      <w:lvlText w:val=""/>
      <w:lvlJc w:val="left"/>
      <w:pPr>
        <w:tabs>
          <w:tab w:val="num" w:pos="2250"/>
        </w:tabs>
        <w:ind w:left="2250" w:hanging="360"/>
      </w:pPr>
      <w:rPr>
        <w:rFonts w:ascii="Wingdings" w:hAnsi="Wingdings" w:hint="default"/>
      </w:rPr>
    </w:lvl>
    <w:lvl w:ilvl="3" w:tplc="04090001">
      <w:start w:val="1"/>
      <w:numFmt w:val="bullet"/>
      <w:lvlText w:val=""/>
      <w:lvlJc w:val="left"/>
      <w:pPr>
        <w:tabs>
          <w:tab w:val="num" w:pos="2970"/>
        </w:tabs>
        <w:ind w:left="2970" w:hanging="360"/>
      </w:pPr>
      <w:rPr>
        <w:rFonts w:ascii="Symbol" w:hAnsi="Symbol" w:hint="default"/>
      </w:rPr>
    </w:lvl>
    <w:lvl w:ilvl="4" w:tplc="04090003">
      <w:start w:val="1"/>
      <w:numFmt w:val="bullet"/>
      <w:lvlText w:val="o"/>
      <w:lvlJc w:val="left"/>
      <w:pPr>
        <w:tabs>
          <w:tab w:val="num" w:pos="3690"/>
        </w:tabs>
        <w:ind w:left="3690" w:hanging="360"/>
      </w:pPr>
      <w:rPr>
        <w:rFonts w:ascii="Courier New" w:hAnsi="Courier New" w:hint="default"/>
      </w:rPr>
    </w:lvl>
    <w:lvl w:ilvl="5" w:tplc="04090005">
      <w:start w:val="1"/>
      <w:numFmt w:val="bullet"/>
      <w:lvlText w:val=""/>
      <w:lvlJc w:val="left"/>
      <w:pPr>
        <w:tabs>
          <w:tab w:val="num" w:pos="4410"/>
        </w:tabs>
        <w:ind w:left="4410" w:hanging="360"/>
      </w:pPr>
      <w:rPr>
        <w:rFonts w:ascii="Wingdings" w:hAnsi="Wingdings" w:hint="default"/>
      </w:rPr>
    </w:lvl>
    <w:lvl w:ilvl="6" w:tplc="04090001">
      <w:start w:val="1"/>
      <w:numFmt w:val="bullet"/>
      <w:lvlText w:val=""/>
      <w:lvlJc w:val="left"/>
      <w:pPr>
        <w:tabs>
          <w:tab w:val="num" w:pos="5130"/>
        </w:tabs>
        <w:ind w:left="5130" w:hanging="360"/>
      </w:pPr>
      <w:rPr>
        <w:rFonts w:ascii="Symbol" w:hAnsi="Symbol" w:hint="default"/>
      </w:rPr>
    </w:lvl>
    <w:lvl w:ilvl="7" w:tplc="04090003">
      <w:start w:val="1"/>
      <w:numFmt w:val="bullet"/>
      <w:lvlText w:val="o"/>
      <w:lvlJc w:val="left"/>
      <w:pPr>
        <w:tabs>
          <w:tab w:val="num" w:pos="5850"/>
        </w:tabs>
        <w:ind w:left="5850" w:hanging="360"/>
      </w:pPr>
      <w:rPr>
        <w:rFonts w:ascii="Courier New" w:hAnsi="Courier New" w:hint="default"/>
      </w:rPr>
    </w:lvl>
    <w:lvl w:ilvl="8" w:tplc="04090005">
      <w:start w:val="1"/>
      <w:numFmt w:val="bullet"/>
      <w:lvlText w:val=""/>
      <w:lvlJc w:val="left"/>
      <w:pPr>
        <w:tabs>
          <w:tab w:val="num" w:pos="6570"/>
        </w:tabs>
        <w:ind w:left="6570" w:hanging="360"/>
      </w:pPr>
      <w:rPr>
        <w:rFonts w:ascii="Wingdings" w:hAnsi="Wingdings" w:hint="default"/>
      </w:rPr>
    </w:lvl>
  </w:abstractNum>
  <w:abstractNum w:abstractNumId="6"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cs="Times New Roman" w:hint="default"/>
      </w:rPr>
    </w:lvl>
    <w:lvl w:ilvl="1" w:tplc="04090019">
      <w:start w:val="1"/>
      <w:numFmt w:val="lowerLetter"/>
      <w:lvlText w:val="%2."/>
      <w:lvlJc w:val="left"/>
      <w:pPr>
        <w:tabs>
          <w:tab w:val="num" w:pos="1114"/>
        </w:tabs>
        <w:ind w:left="1114" w:hanging="360"/>
      </w:pPr>
      <w:rPr>
        <w:rFonts w:cs="Times New Roman"/>
      </w:rPr>
    </w:lvl>
    <w:lvl w:ilvl="2" w:tplc="0409001B">
      <w:start w:val="1"/>
      <w:numFmt w:val="lowerRoman"/>
      <w:lvlText w:val="%3."/>
      <w:lvlJc w:val="right"/>
      <w:pPr>
        <w:tabs>
          <w:tab w:val="num" w:pos="1834"/>
        </w:tabs>
        <w:ind w:left="1834" w:hanging="180"/>
      </w:pPr>
      <w:rPr>
        <w:rFonts w:cs="Times New Roman"/>
      </w:rPr>
    </w:lvl>
    <w:lvl w:ilvl="3" w:tplc="0409000F">
      <w:start w:val="1"/>
      <w:numFmt w:val="decimal"/>
      <w:lvlText w:val="%4."/>
      <w:lvlJc w:val="left"/>
      <w:pPr>
        <w:tabs>
          <w:tab w:val="num" w:pos="2554"/>
        </w:tabs>
        <w:ind w:left="2554" w:hanging="360"/>
      </w:pPr>
      <w:rPr>
        <w:rFonts w:cs="Times New Roman"/>
      </w:rPr>
    </w:lvl>
    <w:lvl w:ilvl="4" w:tplc="04090019">
      <w:start w:val="1"/>
      <w:numFmt w:val="lowerLetter"/>
      <w:lvlText w:val="%5."/>
      <w:lvlJc w:val="left"/>
      <w:pPr>
        <w:tabs>
          <w:tab w:val="num" w:pos="3274"/>
        </w:tabs>
        <w:ind w:left="3274" w:hanging="360"/>
      </w:pPr>
      <w:rPr>
        <w:rFonts w:cs="Times New Roman"/>
      </w:rPr>
    </w:lvl>
    <w:lvl w:ilvl="5" w:tplc="0409001B">
      <w:start w:val="1"/>
      <w:numFmt w:val="lowerRoman"/>
      <w:lvlText w:val="%6."/>
      <w:lvlJc w:val="right"/>
      <w:pPr>
        <w:tabs>
          <w:tab w:val="num" w:pos="3994"/>
        </w:tabs>
        <w:ind w:left="3994" w:hanging="180"/>
      </w:pPr>
      <w:rPr>
        <w:rFonts w:cs="Times New Roman"/>
      </w:rPr>
    </w:lvl>
    <w:lvl w:ilvl="6" w:tplc="0409000F">
      <w:start w:val="1"/>
      <w:numFmt w:val="decimal"/>
      <w:lvlText w:val="%7."/>
      <w:lvlJc w:val="left"/>
      <w:pPr>
        <w:tabs>
          <w:tab w:val="num" w:pos="4714"/>
        </w:tabs>
        <w:ind w:left="4714" w:hanging="360"/>
      </w:pPr>
      <w:rPr>
        <w:rFonts w:cs="Times New Roman"/>
      </w:rPr>
    </w:lvl>
    <w:lvl w:ilvl="7" w:tplc="04090019">
      <w:start w:val="1"/>
      <w:numFmt w:val="lowerLetter"/>
      <w:lvlText w:val="%8."/>
      <w:lvlJc w:val="left"/>
      <w:pPr>
        <w:tabs>
          <w:tab w:val="num" w:pos="5434"/>
        </w:tabs>
        <w:ind w:left="5434" w:hanging="360"/>
      </w:pPr>
      <w:rPr>
        <w:rFonts w:cs="Times New Roman"/>
      </w:rPr>
    </w:lvl>
    <w:lvl w:ilvl="8" w:tplc="0409001B">
      <w:start w:val="1"/>
      <w:numFmt w:val="lowerRoman"/>
      <w:lvlText w:val="%9."/>
      <w:lvlJc w:val="right"/>
      <w:pPr>
        <w:tabs>
          <w:tab w:val="num" w:pos="6154"/>
        </w:tabs>
        <w:ind w:left="6154" w:hanging="180"/>
      </w:pPr>
      <w:rPr>
        <w:rFonts w:cs="Times New Roman"/>
      </w:rPr>
    </w:lvl>
  </w:abstractNum>
  <w:abstractNum w:abstractNumId="7"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8" w15:restartNumberingAfterBreak="0">
    <w:nsid w:val="4BE95D6C"/>
    <w:multiLevelType w:val="hybridMultilevel"/>
    <w:tmpl w:val="7AD4B9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 w15:restartNumberingAfterBreak="0">
    <w:nsid w:val="7A89259E"/>
    <w:multiLevelType w:val="multilevel"/>
    <w:tmpl w:val="A59A8506"/>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pStyle w:val="Apara"/>
      <w:lvlText w:val="%7."/>
      <w:lvlJc w:val="left"/>
      <w:pPr>
        <w:tabs>
          <w:tab w:val="num" w:pos="5040"/>
        </w:tabs>
        <w:ind w:left="5040" w:hanging="720"/>
      </w:pPr>
      <w:rPr>
        <w:rFonts w:cs="Times New Roman"/>
      </w:rPr>
    </w:lvl>
    <w:lvl w:ilvl="7">
      <w:start w:val="1"/>
      <w:numFmt w:val="decimal"/>
      <w:pStyle w:val="Asubpara"/>
      <w:lvlText w:val="%8."/>
      <w:lvlJc w:val="left"/>
      <w:pPr>
        <w:tabs>
          <w:tab w:val="num" w:pos="5760"/>
        </w:tabs>
        <w:ind w:left="5760" w:hanging="720"/>
      </w:pPr>
      <w:rPr>
        <w:rFonts w:cs="Times New Roman"/>
      </w:rPr>
    </w:lvl>
    <w:lvl w:ilvl="8">
      <w:start w:val="1"/>
      <w:numFmt w:val="decimal"/>
      <w:pStyle w:val="Asubsubpara"/>
      <w:lvlText w:val="%9."/>
      <w:lvlJc w:val="left"/>
      <w:pPr>
        <w:tabs>
          <w:tab w:val="num" w:pos="6480"/>
        </w:tabs>
        <w:ind w:left="6480" w:hanging="720"/>
      </w:pPr>
      <w:rPr>
        <w:rFonts w:cs="Times New Roman"/>
      </w:rPr>
    </w:lvl>
  </w:abstractNum>
  <w:num w:numId="1" w16cid:durableId="1231622734">
    <w:abstractNumId w:val="2"/>
  </w:num>
  <w:num w:numId="2" w16cid:durableId="27726983">
    <w:abstractNumId w:val="0"/>
  </w:num>
  <w:num w:numId="3" w16cid:durableId="1199466201">
    <w:abstractNumId w:val="3"/>
  </w:num>
  <w:num w:numId="4" w16cid:durableId="1270240090">
    <w:abstractNumId w:val="7"/>
  </w:num>
  <w:num w:numId="5" w16cid:durableId="1700862184">
    <w:abstractNumId w:val="9"/>
  </w:num>
  <w:num w:numId="6" w16cid:durableId="548957871">
    <w:abstractNumId w:val="1"/>
  </w:num>
  <w:num w:numId="7" w16cid:durableId="1589995584">
    <w:abstractNumId w:val="5"/>
  </w:num>
  <w:num w:numId="8" w16cid:durableId="1625384995">
    <w:abstractNumId w:val="6"/>
  </w:num>
  <w:num w:numId="9" w16cid:durableId="2064088445">
    <w:abstractNumId w:val="10"/>
  </w:num>
  <w:num w:numId="10" w16cid:durableId="1483042298">
    <w:abstractNumId w:val="4"/>
  </w:num>
  <w:num w:numId="11" w16cid:durableId="18870638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60"/>
    <w:rsid w:val="00005C21"/>
    <w:rsid w:val="00006E8B"/>
    <w:rsid w:val="00006FAA"/>
    <w:rsid w:val="0001664E"/>
    <w:rsid w:val="00020E77"/>
    <w:rsid w:val="00026337"/>
    <w:rsid w:val="00033E3B"/>
    <w:rsid w:val="000371BF"/>
    <w:rsid w:val="00045CEB"/>
    <w:rsid w:val="0005615D"/>
    <w:rsid w:val="00061DD6"/>
    <w:rsid w:val="00067EFC"/>
    <w:rsid w:val="000718EE"/>
    <w:rsid w:val="00081968"/>
    <w:rsid w:val="00085346"/>
    <w:rsid w:val="000860B7"/>
    <w:rsid w:val="000C0391"/>
    <w:rsid w:val="000D2F40"/>
    <w:rsid w:val="000D4A96"/>
    <w:rsid w:val="000D5938"/>
    <w:rsid w:val="000D6DD0"/>
    <w:rsid w:val="001039F9"/>
    <w:rsid w:val="00110068"/>
    <w:rsid w:val="0012076E"/>
    <w:rsid w:val="00127261"/>
    <w:rsid w:val="00131CD9"/>
    <w:rsid w:val="00132B7F"/>
    <w:rsid w:val="00135C34"/>
    <w:rsid w:val="00155566"/>
    <w:rsid w:val="00155882"/>
    <w:rsid w:val="0016232A"/>
    <w:rsid w:val="0016266D"/>
    <w:rsid w:val="00170998"/>
    <w:rsid w:val="00176682"/>
    <w:rsid w:val="00176A1D"/>
    <w:rsid w:val="0018603C"/>
    <w:rsid w:val="001958BF"/>
    <w:rsid w:val="001A1452"/>
    <w:rsid w:val="001D10F7"/>
    <w:rsid w:val="001D404C"/>
    <w:rsid w:val="00201612"/>
    <w:rsid w:val="0020231E"/>
    <w:rsid w:val="00202880"/>
    <w:rsid w:val="002140D2"/>
    <w:rsid w:val="00220D63"/>
    <w:rsid w:val="00231A94"/>
    <w:rsid w:val="00240C92"/>
    <w:rsid w:val="0026434B"/>
    <w:rsid w:val="00295D57"/>
    <w:rsid w:val="00297CCF"/>
    <w:rsid w:val="002A2934"/>
    <w:rsid w:val="002A4EB5"/>
    <w:rsid w:val="002C098D"/>
    <w:rsid w:val="002C5168"/>
    <w:rsid w:val="002D1180"/>
    <w:rsid w:val="002D1CF7"/>
    <w:rsid w:val="002D7C60"/>
    <w:rsid w:val="002E28B1"/>
    <w:rsid w:val="002E4B74"/>
    <w:rsid w:val="002E5448"/>
    <w:rsid w:val="002F03B9"/>
    <w:rsid w:val="00303722"/>
    <w:rsid w:val="00306807"/>
    <w:rsid w:val="0032185C"/>
    <w:rsid w:val="00321F7D"/>
    <w:rsid w:val="00330690"/>
    <w:rsid w:val="003438F4"/>
    <w:rsid w:val="00350FA3"/>
    <w:rsid w:val="00354460"/>
    <w:rsid w:val="00355CF7"/>
    <w:rsid w:val="003712E5"/>
    <w:rsid w:val="003744F1"/>
    <w:rsid w:val="00375E07"/>
    <w:rsid w:val="00387D2A"/>
    <w:rsid w:val="00392711"/>
    <w:rsid w:val="003B08BE"/>
    <w:rsid w:val="003B2BC9"/>
    <w:rsid w:val="003B47F9"/>
    <w:rsid w:val="003B53A6"/>
    <w:rsid w:val="003C37AC"/>
    <w:rsid w:val="003D75F0"/>
    <w:rsid w:val="003E7461"/>
    <w:rsid w:val="003F33C8"/>
    <w:rsid w:val="003F4CA5"/>
    <w:rsid w:val="0040419E"/>
    <w:rsid w:val="00404BF8"/>
    <w:rsid w:val="00411EE6"/>
    <w:rsid w:val="004135B0"/>
    <w:rsid w:val="0043066B"/>
    <w:rsid w:val="00434BDE"/>
    <w:rsid w:val="004404A3"/>
    <w:rsid w:val="00487D54"/>
    <w:rsid w:val="004907F2"/>
    <w:rsid w:val="004930ED"/>
    <w:rsid w:val="004941AA"/>
    <w:rsid w:val="0049586E"/>
    <w:rsid w:val="004A468C"/>
    <w:rsid w:val="004C0B90"/>
    <w:rsid w:val="004C123E"/>
    <w:rsid w:val="004D3BF0"/>
    <w:rsid w:val="004D45DD"/>
    <w:rsid w:val="004D7B09"/>
    <w:rsid w:val="004E4962"/>
    <w:rsid w:val="005071F5"/>
    <w:rsid w:val="00511A7C"/>
    <w:rsid w:val="00514C7E"/>
    <w:rsid w:val="00520A1F"/>
    <w:rsid w:val="00520F8B"/>
    <w:rsid w:val="00522832"/>
    <w:rsid w:val="00526F98"/>
    <w:rsid w:val="00543A25"/>
    <w:rsid w:val="005446CC"/>
    <w:rsid w:val="005525B9"/>
    <w:rsid w:val="00581888"/>
    <w:rsid w:val="00595B47"/>
    <w:rsid w:val="005A29B3"/>
    <w:rsid w:val="005B0630"/>
    <w:rsid w:val="005C5E71"/>
    <w:rsid w:val="005C6E63"/>
    <w:rsid w:val="005D51A1"/>
    <w:rsid w:val="005F4905"/>
    <w:rsid w:val="005F6682"/>
    <w:rsid w:val="005F7670"/>
    <w:rsid w:val="00600353"/>
    <w:rsid w:val="00606388"/>
    <w:rsid w:val="00614E00"/>
    <w:rsid w:val="00632EFC"/>
    <w:rsid w:val="006463BA"/>
    <w:rsid w:val="00663D1E"/>
    <w:rsid w:val="00670E4C"/>
    <w:rsid w:val="00673A2C"/>
    <w:rsid w:val="00674843"/>
    <w:rsid w:val="0068425A"/>
    <w:rsid w:val="006900B0"/>
    <w:rsid w:val="00690CE7"/>
    <w:rsid w:val="006E0325"/>
    <w:rsid w:val="006F0348"/>
    <w:rsid w:val="00721EB4"/>
    <w:rsid w:val="00730A9E"/>
    <w:rsid w:val="007346AC"/>
    <w:rsid w:val="00734FC4"/>
    <w:rsid w:val="007439BD"/>
    <w:rsid w:val="007455D2"/>
    <w:rsid w:val="00751EB7"/>
    <w:rsid w:val="0075371F"/>
    <w:rsid w:val="0075435E"/>
    <w:rsid w:val="0075575F"/>
    <w:rsid w:val="00780B38"/>
    <w:rsid w:val="00784A64"/>
    <w:rsid w:val="007854D3"/>
    <w:rsid w:val="007877C1"/>
    <w:rsid w:val="00790CEB"/>
    <w:rsid w:val="007961B2"/>
    <w:rsid w:val="007B245A"/>
    <w:rsid w:val="007C0F54"/>
    <w:rsid w:val="007D0623"/>
    <w:rsid w:val="007D5060"/>
    <w:rsid w:val="007D7F17"/>
    <w:rsid w:val="007F25A9"/>
    <w:rsid w:val="007F4DB7"/>
    <w:rsid w:val="008014E9"/>
    <w:rsid w:val="008133D1"/>
    <w:rsid w:val="008224D3"/>
    <w:rsid w:val="00824B86"/>
    <w:rsid w:val="00835093"/>
    <w:rsid w:val="008424D8"/>
    <w:rsid w:val="00843FAA"/>
    <w:rsid w:val="00885958"/>
    <w:rsid w:val="008A22D2"/>
    <w:rsid w:val="008B07E8"/>
    <w:rsid w:val="008B5ED3"/>
    <w:rsid w:val="008C73EA"/>
    <w:rsid w:val="008D184E"/>
    <w:rsid w:val="008D49EA"/>
    <w:rsid w:val="008E791C"/>
    <w:rsid w:val="008F043B"/>
    <w:rsid w:val="00901A91"/>
    <w:rsid w:val="0090327A"/>
    <w:rsid w:val="00903996"/>
    <w:rsid w:val="00907B53"/>
    <w:rsid w:val="00912BC2"/>
    <w:rsid w:val="009168F0"/>
    <w:rsid w:val="00920729"/>
    <w:rsid w:val="0092236F"/>
    <w:rsid w:val="0093309F"/>
    <w:rsid w:val="009333D2"/>
    <w:rsid w:val="0093525F"/>
    <w:rsid w:val="0094631B"/>
    <w:rsid w:val="00946399"/>
    <w:rsid w:val="00947B48"/>
    <w:rsid w:val="009508A5"/>
    <w:rsid w:val="00952ADD"/>
    <w:rsid w:val="009552DF"/>
    <w:rsid w:val="00960183"/>
    <w:rsid w:val="00961163"/>
    <w:rsid w:val="0096158B"/>
    <w:rsid w:val="00964D1C"/>
    <w:rsid w:val="00976231"/>
    <w:rsid w:val="00982C79"/>
    <w:rsid w:val="0098564F"/>
    <w:rsid w:val="0099227B"/>
    <w:rsid w:val="00994394"/>
    <w:rsid w:val="009A1A99"/>
    <w:rsid w:val="009B11A6"/>
    <w:rsid w:val="009B2340"/>
    <w:rsid w:val="009E6638"/>
    <w:rsid w:val="009F643F"/>
    <w:rsid w:val="00A05236"/>
    <w:rsid w:val="00A1158F"/>
    <w:rsid w:val="00A20236"/>
    <w:rsid w:val="00A211FF"/>
    <w:rsid w:val="00A3135D"/>
    <w:rsid w:val="00A330D0"/>
    <w:rsid w:val="00A347EC"/>
    <w:rsid w:val="00A50F17"/>
    <w:rsid w:val="00A60288"/>
    <w:rsid w:val="00A67D4F"/>
    <w:rsid w:val="00A708F0"/>
    <w:rsid w:val="00A76123"/>
    <w:rsid w:val="00A82FB9"/>
    <w:rsid w:val="00A83538"/>
    <w:rsid w:val="00A86320"/>
    <w:rsid w:val="00A94080"/>
    <w:rsid w:val="00AA0430"/>
    <w:rsid w:val="00AB0DAE"/>
    <w:rsid w:val="00AB59E4"/>
    <w:rsid w:val="00AC7660"/>
    <w:rsid w:val="00AF1C0F"/>
    <w:rsid w:val="00AF4DB9"/>
    <w:rsid w:val="00B11080"/>
    <w:rsid w:val="00B12316"/>
    <w:rsid w:val="00B12634"/>
    <w:rsid w:val="00B23CEC"/>
    <w:rsid w:val="00B24183"/>
    <w:rsid w:val="00B3057C"/>
    <w:rsid w:val="00B42F21"/>
    <w:rsid w:val="00B64E1F"/>
    <w:rsid w:val="00B72755"/>
    <w:rsid w:val="00B9043C"/>
    <w:rsid w:val="00B97006"/>
    <w:rsid w:val="00BA1772"/>
    <w:rsid w:val="00BA6AE8"/>
    <w:rsid w:val="00BA7198"/>
    <w:rsid w:val="00BB276A"/>
    <w:rsid w:val="00BB638A"/>
    <w:rsid w:val="00BD08A7"/>
    <w:rsid w:val="00BD7609"/>
    <w:rsid w:val="00BE2C1D"/>
    <w:rsid w:val="00C02976"/>
    <w:rsid w:val="00C13600"/>
    <w:rsid w:val="00C17105"/>
    <w:rsid w:val="00C17FAB"/>
    <w:rsid w:val="00C21ED7"/>
    <w:rsid w:val="00C44DDB"/>
    <w:rsid w:val="00C47390"/>
    <w:rsid w:val="00C55595"/>
    <w:rsid w:val="00C55A41"/>
    <w:rsid w:val="00C74E4F"/>
    <w:rsid w:val="00C94D89"/>
    <w:rsid w:val="00CC2BA0"/>
    <w:rsid w:val="00CC4563"/>
    <w:rsid w:val="00CE3C3E"/>
    <w:rsid w:val="00CE599C"/>
    <w:rsid w:val="00CF1A6B"/>
    <w:rsid w:val="00CF3B4B"/>
    <w:rsid w:val="00D00F36"/>
    <w:rsid w:val="00D02DC5"/>
    <w:rsid w:val="00D1274C"/>
    <w:rsid w:val="00D30A50"/>
    <w:rsid w:val="00D418F6"/>
    <w:rsid w:val="00D45B83"/>
    <w:rsid w:val="00D65F36"/>
    <w:rsid w:val="00D666AA"/>
    <w:rsid w:val="00D713F0"/>
    <w:rsid w:val="00D81028"/>
    <w:rsid w:val="00D96AEB"/>
    <w:rsid w:val="00DA3B00"/>
    <w:rsid w:val="00DA6A41"/>
    <w:rsid w:val="00DC5C46"/>
    <w:rsid w:val="00DD551E"/>
    <w:rsid w:val="00DE0A71"/>
    <w:rsid w:val="00DE3202"/>
    <w:rsid w:val="00DE5215"/>
    <w:rsid w:val="00E10494"/>
    <w:rsid w:val="00E15BAC"/>
    <w:rsid w:val="00E164DF"/>
    <w:rsid w:val="00E44C73"/>
    <w:rsid w:val="00E50423"/>
    <w:rsid w:val="00E5137F"/>
    <w:rsid w:val="00E60538"/>
    <w:rsid w:val="00E67F03"/>
    <w:rsid w:val="00E718E2"/>
    <w:rsid w:val="00E833A6"/>
    <w:rsid w:val="00E94694"/>
    <w:rsid w:val="00EA1B00"/>
    <w:rsid w:val="00EA5DD7"/>
    <w:rsid w:val="00EB0651"/>
    <w:rsid w:val="00EB339D"/>
    <w:rsid w:val="00EB3913"/>
    <w:rsid w:val="00EC5669"/>
    <w:rsid w:val="00ED1916"/>
    <w:rsid w:val="00EF2B55"/>
    <w:rsid w:val="00EF465F"/>
    <w:rsid w:val="00EF7837"/>
    <w:rsid w:val="00F236E8"/>
    <w:rsid w:val="00F239E0"/>
    <w:rsid w:val="00F302AA"/>
    <w:rsid w:val="00F31F70"/>
    <w:rsid w:val="00F523BB"/>
    <w:rsid w:val="00F62916"/>
    <w:rsid w:val="00F87CC8"/>
    <w:rsid w:val="00F92E1A"/>
    <w:rsid w:val="00FB2CB5"/>
    <w:rsid w:val="00FD1FB2"/>
    <w:rsid w:val="00FD2776"/>
    <w:rsid w:val="00FD4397"/>
    <w:rsid w:val="00FD6B9F"/>
    <w:rsid w:val="00FD75CE"/>
    <w:rsid w:val="00FE0761"/>
    <w:rsid w:val="00FE7B40"/>
    <w:rsid w:val="00FF3B74"/>
    <w:rsid w:val="00FF531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4C858D"/>
  <w14:defaultImageDpi w14:val="0"/>
  <w15:docId w15:val="{14081D73-9608-4119-BF6C-8762D797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link w:val="Heading1Char"/>
    <w:uiPriority w:val="9"/>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link w:val="Heading2Char"/>
    <w:uiPriority w:val="9"/>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link w:val="Heading3Char"/>
    <w:uiPriority w:val="9"/>
    <w:qFormat/>
    <w:rsid w:val="007346AC"/>
    <w:pPr>
      <w:keepNext/>
      <w:pBdr>
        <w:right w:val="single" w:sz="4" w:space="4" w:color="auto"/>
      </w:pBdr>
      <w:outlineLvl w:val="2"/>
    </w:pPr>
    <w:rPr>
      <w:i/>
      <w:iCs/>
      <w:sz w:val="22"/>
      <w:szCs w:val="22"/>
    </w:rPr>
  </w:style>
  <w:style w:type="paragraph" w:styleId="Heading4">
    <w:name w:val="heading 4"/>
    <w:basedOn w:val="Normal"/>
    <w:next w:val="Normal"/>
    <w:link w:val="Heading4Char"/>
    <w:uiPriority w:val="9"/>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lang w:eastAsia="en-US"/>
    </w:rPr>
  </w:style>
  <w:style w:type="paragraph" w:styleId="Title">
    <w:name w:val="Title"/>
    <w:basedOn w:val="Normal"/>
    <w:link w:val="TitleChar"/>
    <w:uiPriority w:val="10"/>
    <w:qFormat/>
    <w:rsid w:val="007346AC"/>
    <w:pPr>
      <w:pBdr>
        <w:top w:val="single" w:sz="4" w:space="1" w:color="auto"/>
        <w:bottom w:val="single" w:sz="4" w:space="1" w:color="auto"/>
      </w:pBdr>
      <w:spacing w:before="240" w:after="240"/>
    </w:pPr>
    <w:rPr>
      <w:rFonts w:ascii="Arial" w:hAnsi="Arial"/>
      <w:b/>
      <w:kern w:val="28"/>
      <w:sz w:val="4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lang w:eastAsia="en-US"/>
    </w:rPr>
  </w:style>
  <w:style w:type="paragraph" w:styleId="Footer">
    <w:name w:val="footer"/>
    <w:basedOn w:val="Normal"/>
    <w:link w:val="FooterChar"/>
    <w:uiPriority w:val="99"/>
    <w:semiHidden/>
    <w:rsid w:val="007346AC"/>
    <w:pPr>
      <w:tabs>
        <w:tab w:val="left" w:pos="2880"/>
      </w:tabs>
      <w:spacing w:before="120" w:after="60" w:line="240" w:lineRule="exact"/>
    </w:pPr>
    <w:rPr>
      <w:rFonts w:ascii="Arial" w:hAnsi="Arial"/>
      <w:sz w:val="18"/>
    </w:rPr>
  </w:style>
  <w:style w:type="character" w:customStyle="1" w:styleId="FooterChar">
    <w:name w:val="Footer Char"/>
    <w:basedOn w:val="DefaultParagraphFont"/>
    <w:link w:val="Footer"/>
    <w:uiPriority w:val="99"/>
    <w:semiHidden/>
    <w:rPr>
      <w:sz w:val="24"/>
      <w:lang w:eastAsia="en-US"/>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link w:val="HeaderChar"/>
    <w:uiPriority w:val="99"/>
    <w:semiHidden/>
    <w:rsid w:val="007346AC"/>
    <w:pPr>
      <w:tabs>
        <w:tab w:val="left" w:pos="2880"/>
        <w:tab w:val="center" w:pos="4153"/>
        <w:tab w:val="right" w:pos="8306"/>
      </w:tabs>
    </w:pPr>
  </w:style>
  <w:style w:type="character" w:customStyle="1" w:styleId="HeaderChar">
    <w:name w:val="Header Char"/>
    <w:basedOn w:val="DefaultParagraphFont"/>
    <w:link w:val="Header"/>
    <w:uiPriority w:val="99"/>
    <w:semiHidden/>
    <w:rPr>
      <w:sz w:val="24"/>
      <w:lang w:eastAsia="en-US"/>
    </w:r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rPr>
      <w:rFonts w:cs="Times New Roman"/>
    </w:rPr>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uiPriority w:val="99"/>
    <w:semiHidden/>
    <w:rsid w:val="007346AC"/>
    <w:rPr>
      <w:rFonts w:cs="Times New Roman"/>
    </w:rPr>
  </w:style>
  <w:style w:type="paragraph" w:customStyle="1" w:styleId="Aparabullet">
    <w:name w:val="A para bullet"/>
    <w:basedOn w:val="Normal"/>
    <w:rsid w:val="007346AC"/>
    <w:pPr>
      <w:numPr>
        <w:numId w:val="4"/>
      </w:numPr>
    </w:pPr>
  </w:style>
  <w:style w:type="paragraph" w:styleId="TOC1">
    <w:name w:val="toc 1"/>
    <w:basedOn w:val="Normal"/>
    <w:next w:val="Normal"/>
    <w:autoRedefine/>
    <w:uiPriority w:val="39"/>
    <w:semiHidden/>
    <w:rsid w:val="007346AC"/>
  </w:style>
  <w:style w:type="paragraph" w:styleId="TOC2">
    <w:name w:val="toc 2"/>
    <w:basedOn w:val="Normal"/>
    <w:next w:val="Normal"/>
    <w:autoRedefine/>
    <w:uiPriority w:val="39"/>
    <w:semiHidden/>
    <w:rsid w:val="007346AC"/>
    <w:pPr>
      <w:ind w:left="240"/>
    </w:pPr>
  </w:style>
  <w:style w:type="paragraph" w:styleId="TOC3">
    <w:name w:val="toc 3"/>
    <w:basedOn w:val="Normal"/>
    <w:next w:val="Normal"/>
    <w:autoRedefine/>
    <w:uiPriority w:val="39"/>
    <w:semiHidden/>
    <w:rsid w:val="007346AC"/>
    <w:pPr>
      <w:ind w:left="480"/>
    </w:pPr>
  </w:style>
  <w:style w:type="paragraph" w:styleId="TOC4">
    <w:name w:val="toc 4"/>
    <w:basedOn w:val="Normal"/>
    <w:next w:val="Normal"/>
    <w:autoRedefine/>
    <w:uiPriority w:val="39"/>
    <w:semiHidden/>
    <w:rsid w:val="007346AC"/>
    <w:pPr>
      <w:ind w:left="720"/>
    </w:pPr>
  </w:style>
  <w:style w:type="paragraph" w:styleId="TOC5">
    <w:name w:val="toc 5"/>
    <w:basedOn w:val="Normal"/>
    <w:next w:val="Normal"/>
    <w:autoRedefine/>
    <w:uiPriority w:val="39"/>
    <w:semiHidden/>
    <w:rsid w:val="007346AC"/>
    <w:pPr>
      <w:ind w:left="960"/>
    </w:pPr>
  </w:style>
  <w:style w:type="paragraph" w:styleId="TOC6">
    <w:name w:val="toc 6"/>
    <w:basedOn w:val="Normal"/>
    <w:next w:val="Normal"/>
    <w:autoRedefine/>
    <w:uiPriority w:val="39"/>
    <w:semiHidden/>
    <w:rsid w:val="007346AC"/>
    <w:pPr>
      <w:ind w:left="1200"/>
    </w:pPr>
  </w:style>
  <w:style w:type="paragraph" w:styleId="TOC7">
    <w:name w:val="toc 7"/>
    <w:basedOn w:val="Normal"/>
    <w:next w:val="Normal"/>
    <w:autoRedefine/>
    <w:uiPriority w:val="39"/>
    <w:semiHidden/>
    <w:rsid w:val="007346AC"/>
    <w:pPr>
      <w:ind w:left="1440"/>
    </w:pPr>
  </w:style>
  <w:style w:type="paragraph" w:styleId="TOC8">
    <w:name w:val="toc 8"/>
    <w:basedOn w:val="Normal"/>
    <w:next w:val="Normal"/>
    <w:autoRedefine/>
    <w:uiPriority w:val="39"/>
    <w:semiHidden/>
    <w:rsid w:val="007346AC"/>
    <w:pPr>
      <w:ind w:left="1680"/>
    </w:pPr>
  </w:style>
  <w:style w:type="paragraph" w:styleId="TOC9">
    <w:name w:val="toc 9"/>
    <w:basedOn w:val="Normal"/>
    <w:next w:val="Normal"/>
    <w:autoRedefine/>
    <w:uiPriority w:val="39"/>
    <w:semiHidden/>
    <w:rsid w:val="007346AC"/>
    <w:pPr>
      <w:ind w:left="1920"/>
    </w:pPr>
  </w:style>
  <w:style w:type="character" w:styleId="Hyperlink">
    <w:name w:val="Hyperlink"/>
    <w:basedOn w:val="DefaultParagraphFont"/>
    <w:uiPriority w:val="99"/>
    <w:semiHidden/>
    <w:rsid w:val="007346AC"/>
    <w:rPr>
      <w:rFonts w:cs="Times New Roman"/>
      <w:color w:val="0000FF"/>
      <w:u w:val="single"/>
    </w:rPr>
  </w:style>
  <w:style w:type="paragraph" w:styleId="BodyTextIndent">
    <w:name w:val="Body Text Indent"/>
    <w:basedOn w:val="Normal"/>
    <w:link w:val="BodyTextIndentChar"/>
    <w:uiPriority w:val="99"/>
    <w:semiHidden/>
    <w:rsid w:val="007346AC"/>
    <w:pPr>
      <w:spacing w:before="120" w:after="60"/>
      <w:ind w:left="709"/>
    </w:pPr>
  </w:style>
  <w:style w:type="character" w:customStyle="1" w:styleId="BodyTextIndentChar">
    <w:name w:val="Body Text Indent Char"/>
    <w:basedOn w:val="DefaultParagraphFont"/>
    <w:link w:val="BodyTextIndent"/>
    <w:uiPriority w:val="99"/>
    <w:semiHidden/>
    <w:rPr>
      <w:sz w:val="24"/>
      <w:lang w:eastAsia="en-US"/>
    </w:r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uiPriority w:val="99"/>
    <w:semiHidden/>
    <w:rsid w:val="007346AC"/>
    <w:rPr>
      <w:rFonts w:cs="Times New Roman"/>
      <w:color w:val="800080"/>
      <w:u w:val="single"/>
    </w:rPr>
  </w:style>
  <w:style w:type="character" w:styleId="FootnoteReference">
    <w:name w:val="footnote reference"/>
    <w:basedOn w:val="DefaultParagraphFont"/>
    <w:uiPriority w:val="99"/>
    <w:semiHidden/>
    <w:rsid w:val="007346AC"/>
    <w:rPr>
      <w:rFonts w:ascii="Times New Roman" w:hAnsi="Times New Roman" w:cs="Times New Roman"/>
      <w:sz w:val="24"/>
      <w:szCs w:val="24"/>
      <w:vertAlign w:val="superscript"/>
    </w:rPr>
  </w:style>
  <w:style w:type="paragraph" w:styleId="FootnoteText">
    <w:name w:val="footnote text"/>
    <w:basedOn w:val="Normal"/>
    <w:link w:val="FootnoteTextChar"/>
    <w:uiPriority w:val="99"/>
    <w:semiHidden/>
    <w:rsid w:val="007346AC"/>
    <w:pPr>
      <w:spacing w:before="80" w:after="60"/>
      <w:jc w:val="both"/>
    </w:pPr>
    <w:rPr>
      <w:szCs w:val="24"/>
    </w:rPr>
  </w:style>
  <w:style w:type="character" w:customStyle="1" w:styleId="FootnoteTextChar">
    <w:name w:val="Footnote Text Char"/>
    <w:basedOn w:val="DefaultParagraphFont"/>
    <w:link w:val="FootnoteText"/>
    <w:uiPriority w:val="99"/>
    <w:semiHidden/>
    <w:rPr>
      <w:lang w:eastAsia="en-US"/>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rPr>
      <w:rFonts w:cs="Times New Roman"/>
    </w:rPr>
  </w:style>
  <w:style w:type="paragraph" w:styleId="BodyText">
    <w:name w:val="Body Text"/>
    <w:basedOn w:val="Normal"/>
    <w:link w:val="BodyTextChar"/>
    <w:uiPriority w:val="99"/>
    <w:rsid w:val="00A86320"/>
    <w:pPr>
      <w:spacing w:after="120"/>
    </w:pPr>
  </w:style>
  <w:style w:type="character" w:customStyle="1" w:styleId="BodyTextChar">
    <w:name w:val="Body Text Char"/>
    <w:basedOn w:val="DefaultParagraphFont"/>
    <w:link w:val="BodyText"/>
    <w:uiPriority w:val="99"/>
    <w:locked/>
    <w:rsid w:val="00A86320"/>
    <w:rPr>
      <w:rFonts w:cs="Times New Roman"/>
      <w:sz w:val="24"/>
      <w:lang w:val="x-none" w:eastAsia="en-US"/>
    </w:rPr>
  </w:style>
  <w:style w:type="paragraph" w:styleId="BalloonText">
    <w:name w:val="Balloon Text"/>
    <w:basedOn w:val="Normal"/>
    <w:link w:val="BalloonTextChar"/>
    <w:uiPriority w:val="99"/>
    <w:semiHidden/>
    <w:unhideWhenUsed/>
    <w:rsid w:val="00A20236"/>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20236"/>
    <w:rPr>
      <w:rFonts w:ascii="Segoe UI" w:hAnsi="Segoe UI" w:cs="Segoe UI"/>
      <w:sz w:val="18"/>
      <w:szCs w:val="18"/>
      <w:lang w:val="x-none" w:eastAsia="en-US"/>
    </w:rPr>
  </w:style>
  <w:style w:type="paragraph" w:styleId="ListParagraph">
    <w:name w:val="List Paragraph"/>
    <w:basedOn w:val="Normal"/>
    <w:uiPriority w:val="34"/>
    <w:qFormat/>
    <w:rsid w:val="004C123E"/>
    <w:pPr>
      <w:ind w:left="720"/>
      <w:contextualSpacing/>
    </w:pPr>
  </w:style>
  <w:style w:type="paragraph" w:styleId="Revision">
    <w:name w:val="Revision"/>
    <w:hidden/>
    <w:uiPriority w:val="99"/>
    <w:semiHidden/>
    <w:rsid w:val="00135C34"/>
    <w:rPr>
      <w:sz w:val="24"/>
      <w:lang w:eastAsia="en-US"/>
    </w:rPr>
  </w:style>
  <w:style w:type="character" w:styleId="CommentReference">
    <w:name w:val="annotation reference"/>
    <w:basedOn w:val="DefaultParagraphFont"/>
    <w:uiPriority w:val="99"/>
    <w:rsid w:val="00392711"/>
    <w:rPr>
      <w:sz w:val="16"/>
      <w:szCs w:val="16"/>
    </w:rPr>
  </w:style>
  <w:style w:type="paragraph" w:styleId="CommentText">
    <w:name w:val="annotation text"/>
    <w:basedOn w:val="Normal"/>
    <w:link w:val="CommentTextChar"/>
    <w:uiPriority w:val="99"/>
    <w:rsid w:val="00392711"/>
    <w:rPr>
      <w:sz w:val="20"/>
    </w:rPr>
  </w:style>
  <w:style w:type="character" w:customStyle="1" w:styleId="CommentTextChar">
    <w:name w:val="Comment Text Char"/>
    <w:basedOn w:val="DefaultParagraphFont"/>
    <w:link w:val="CommentText"/>
    <w:uiPriority w:val="99"/>
    <w:rsid w:val="00392711"/>
    <w:rPr>
      <w:lang w:eastAsia="en-US"/>
    </w:rPr>
  </w:style>
  <w:style w:type="paragraph" w:styleId="CommentSubject">
    <w:name w:val="annotation subject"/>
    <w:basedOn w:val="CommentText"/>
    <w:next w:val="CommentText"/>
    <w:link w:val="CommentSubjectChar"/>
    <w:uiPriority w:val="99"/>
    <w:rsid w:val="00392711"/>
    <w:rPr>
      <w:b/>
      <w:bCs/>
    </w:rPr>
  </w:style>
  <w:style w:type="character" w:customStyle="1" w:styleId="CommentSubjectChar">
    <w:name w:val="Comment Subject Char"/>
    <w:basedOn w:val="CommentTextChar"/>
    <w:link w:val="CommentSubject"/>
    <w:uiPriority w:val="99"/>
    <w:rsid w:val="0039271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82428">
      <w:bodyDiv w:val="1"/>
      <w:marLeft w:val="0"/>
      <w:marRight w:val="0"/>
      <w:marTop w:val="0"/>
      <w:marBottom w:val="0"/>
      <w:divBdr>
        <w:top w:val="none" w:sz="0" w:space="0" w:color="auto"/>
        <w:left w:val="none" w:sz="0" w:space="0" w:color="auto"/>
        <w:bottom w:val="none" w:sz="0" w:space="0" w:color="auto"/>
        <w:right w:val="none" w:sz="0" w:space="0" w:color="auto"/>
      </w:divBdr>
    </w:div>
    <w:div w:id="642809732">
      <w:bodyDiv w:val="1"/>
      <w:marLeft w:val="0"/>
      <w:marRight w:val="0"/>
      <w:marTop w:val="0"/>
      <w:marBottom w:val="0"/>
      <w:divBdr>
        <w:top w:val="none" w:sz="0" w:space="0" w:color="auto"/>
        <w:left w:val="none" w:sz="0" w:space="0" w:color="auto"/>
        <w:bottom w:val="none" w:sz="0" w:space="0" w:color="auto"/>
        <w:right w:val="none" w:sz="0" w:space="0" w:color="auto"/>
      </w:divBdr>
    </w:div>
    <w:div w:id="97773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2667F-9C46-47D7-B9F9-726849FCF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1676</Words>
  <Characters>8852</Characters>
  <Application>Microsoft Office Word</Application>
  <DocSecurity>0</DocSecurity>
  <Lines>172</Lines>
  <Paragraphs>43</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dc:description/>
  <cp:lastModifiedBy>PCODCS</cp:lastModifiedBy>
  <cp:revision>4</cp:revision>
  <cp:lastPrinted>2006-03-31T04:28:00Z</cp:lastPrinted>
  <dcterms:created xsi:type="dcterms:W3CDTF">2026-10-06T00:14:00Z</dcterms:created>
  <dcterms:modified xsi:type="dcterms:W3CDTF">2026-10-06T00:14:00Z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OUTFROMJMS">
    <vt:lpwstr/>
  </property>
  <property fmtid="{D5CDD505-2E9C-101B-9397-08002B2CF9AE}" pid="3" name="DMSID">
    <vt:lpwstr>9505985</vt:lpwstr>
  </property>
  <property fmtid="{D5CDD505-2E9C-101B-9397-08002B2CF9AE}" pid="4" name="JMSREQUIREDCHECKIN">
    <vt:lpwstr/>
  </property>
  <property fmtid="{D5CDD505-2E9C-101B-9397-08002B2CF9AE}" pid="5" name="MSIP_Label_69af8531-eb46-4968-8cb3-105d2f5ea87e_Enabled">
    <vt:lpwstr>true</vt:lpwstr>
  </property>
  <property fmtid="{D5CDD505-2E9C-101B-9397-08002B2CF9AE}" pid="6" name="MSIP_Label_69af8531-eb46-4968-8cb3-105d2f5ea87e_SetDate">
    <vt:lpwstr>2024-05-12T03:58:33Z</vt:lpwstr>
  </property>
  <property fmtid="{D5CDD505-2E9C-101B-9397-08002B2CF9AE}" pid="7" name="MSIP_Label_69af8531-eb46-4968-8cb3-105d2f5ea87e_Method">
    <vt:lpwstr>Standard</vt:lpwstr>
  </property>
  <property fmtid="{D5CDD505-2E9C-101B-9397-08002B2CF9AE}" pid="8" name="MSIP_Label_69af8531-eb46-4968-8cb3-105d2f5ea87e_Name">
    <vt:lpwstr>Official - No Marking</vt:lpwstr>
  </property>
  <property fmtid="{D5CDD505-2E9C-101B-9397-08002B2CF9AE}" pid="9" name="MSIP_Label_69af8531-eb46-4968-8cb3-105d2f5ea87e_SiteId">
    <vt:lpwstr>b46c1908-0334-4236-b978-585ee88e4199</vt:lpwstr>
  </property>
  <property fmtid="{D5CDD505-2E9C-101B-9397-08002B2CF9AE}" pid="10" name="MSIP_Label_69af8531-eb46-4968-8cb3-105d2f5ea87e_ActionId">
    <vt:lpwstr>be5b37ec-dac0-4b15-94af-8ccdc86697cf</vt:lpwstr>
  </property>
  <property fmtid="{D5CDD505-2E9C-101B-9397-08002B2CF9AE}" pid="11" name="MSIP_Label_69af8531-eb46-4968-8cb3-105d2f5ea87e_ContentBits">
    <vt:lpwstr>0</vt:lpwstr>
  </property>
</Properties>
</file>