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5F9B" w14:textId="77777777" w:rsidR="00E90DF9" w:rsidRPr="008C3B92" w:rsidRDefault="00E90DF9" w:rsidP="00E90DF9">
      <w:pPr>
        <w:spacing w:after="0"/>
        <w:rPr>
          <w:rFonts w:ascii="Arial" w:hAnsi="Arial" w:cs="Arial"/>
          <w:b/>
          <w:bCs/>
          <w:sz w:val="24"/>
          <w:szCs w:val="24"/>
        </w:rPr>
      </w:pPr>
    </w:p>
    <w:p w14:paraId="5C6C9ECA" w14:textId="1B04C238"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582943">
        <w:rPr>
          <w:rFonts w:ascii="Arial" w:hAnsi="Arial" w:cs="Arial"/>
          <w:b/>
          <w:bCs/>
          <w:sz w:val="24"/>
          <w:szCs w:val="24"/>
        </w:rPr>
        <w:t>6</w:t>
      </w:r>
    </w:p>
    <w:p w14:paraId="4E149149" w14:textId="77777777" w:rsidR="00E90DF9" w:rsidRPr="00BB387E" w:rsidRDefault="00E90DF9" w:rsidP="00E90DF9">
      <w:pPr>
        <w:spacing w:after="0"/>
        <w:jc w:val="center"/>
        <w:rPr>
          <w:rFonts w:ascii="Arial" w:hAnsi="Arial" w:cs="Arial"/>
          <w:b/>
          <w:sz w:val="24"/>
          <w:szCs w:val="24"/>
        </w:rPr>
      </w:pPr>
    </w:p>
    <w:p w14:paraId="06167890" w14:textId="77777777" w:rsidR="00E90DF9" w:rsidRPr="00BB387E" w:rsidRDefault="00E90DF9" w:rsidP="00E90DF9">
      <w:pPr>
        <w:spacing w:after="0"/>
        <w:jc w:val="center"/>
        <w:rPr>
          <w:rFonts w:ascii="Arial" w:hAnsi="Arial" w:cs="Arial"/>
          <w:b/>
          <w:sz w:val="24"/>
          <w:szCs w:val="24"/>
        </w:rPr>
      </w:pPr>
    </w:p>
    <w:p w14:paraId="271BD407" w14:textId="77777777" w:rsidR="00E90DF9" w:rsidRPr="00BB387E" w:rsidRDefault="00E90DF9" w:rsidP="00E90DF9">
      <w:pPr>
        <w:spacing w:after="0"/>
        <w:jc w:val="center"/>
        <w:rPr>
          <w:rFonts w:ascii="Arial" w:hAnsi="Arial" w:cs="Arial"/>
          <w:b/>
          <w:sz w:val="24"/>
          <w:szCs w:val="24"/>
        </w:rPr>
      </w:pPr>
    </w:p>
    <w:p w14:paraId="71A1CE5B" w14:textId="77777777" w:rsidR="00E90DF9" w:rsidRPr="00BB387E" w:rsidRDefault="00E90DF9" w:rsidP="00E90DF9">
      <w:pPr>
        <w:spacing w:after="0"/>
        <w:jc w:val="center"/>
        <w:rPr>
          <w:rFonts w:ascii="Arial" w:hAnsi="Arial" w:cs="Arial"/>
          <w:b/>
          <w:sz w:val="24"/>
          <w:szCs w:val="24"/>
        </w:rPr>
      </w:pPr>
    </w:p>
    <w:p w14:paraId="677673A4" w14:textId="77777777" w:rsidR="00E90DF9" w:rsidRPr="00BB387E" w:rsidRDefault="00E90DF9" w:rsidP="00E90DF9">
      <w:pPr>
        <w:spacing w:after="0"/>
        <w:jc w:val="center"/>
        <w:rPr>
          <w:rFonts w:ascii="Arial" w:hAnsi="Arial" w:cs="Arial"/>
          <w:b/>
          <w:bCs/>
          <w:sz w:val="24"/>
          <w:szCs w:val="24"/>
        </w:rPr>
      </w:pPr>
    </w:p>
    <w:p w14:paraId="463F3AB6" w14:textId="77777777" w:rsidR="00E90DF9" w:rsidRPr="00BB387E" w:rsidRDefault="00E90DF9" w:rsidP="00E90DF9">
      <w:pPr>
        <w:spacing w:after="0"/>
        <w:jc w:val="center"/>
        <w:rPr>
          <w:rFonts w:ascii="Arial" w:hAnsi="Arial" w:cs="Arial"/>
          <w:b/>
          <w:bCs/>
          <w:sz w:val="24"/>
          <w:szCs w:val="24"/>
        </w:rPr>
      </w:pPr>
    </w:p>
    <w:p w14:paraId="02BC33AF"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091772B4"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63982AB9" w14:textId="77777777" w:rsidR="00E90DF9" w:rsidRPr="00BB387E" w:rsidRDefault="00E90DF9" w:rsidP="00E90DF9">
      <w:pPr>
        <w:spacing w:after="0"/>
        <w:jc w:val="center"/>
        <w:rPr>
          <w:rFonts w:ascii="Arial" w:hAnsi="Arial" w:cs="Arial"/>
          <w:b/>
          <w:sz w:val="24"/>
          <w:szCs w:val="24"/>
        </w:rPr>
      </w:pPr>
    </w:p>
    <w:p w14:paraId="5FABE90A" w14:textId="77777777" w:rsidR="00E90DF9" w:rsidRPr="00BB387E" w:rsidRDefault="00E90DF9" w:rsidP="00E90DF9">
      <w:pPr>
        <w:spacing w:after="0"/>
        <w:jc w:val="center"/>
        <w:rPr>
          <w:rFonts w:ascii="Arial" w:hAnsi="Arial" w:cs="Arial"/>
          <w:b/>
          <w:sz w:val="24"/>
          <w:szCs w:val="24"/>
        </w:rPr>
      </w:pPr>
    </w:p>
    <w:p w14:paraId="6118207D" w14:textId="77777777" w:rsidR="00E90DF9" w:rsidRPr="00BB387E" w:rsidRDefault="00E90DF9" w:rsidP="00E90DF9">
      <w:pPr>
        <w:spacing w:after="0"/>
        <w:jc w:val="center"/>
        <w:rPr>
          <w:rFonts w:ascii="Arial" w:hAnsi="Arial" w:cs="Arial"/>
          <w:b/>
          <w:sz w:val="24"/>
          <w:szCs w:val="24"/>
        </w:rPr>
      </w:pPr>
    </w:p>
    <w:p w14:paraId="75A33EE9" w14:textId="4095B364"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12B1793E" w14:textId="77777777" w:rsidR="00E90DF9" w:rsidRPr="00BB387E" w:rsidRDefault="00E90DF9" w:rsidP="00E90DF9">
      <w:pPr>
        <w:spacing w:after="0"/>
        <w:jc w:val="center"/>
        <w:rPr>
          <w:rFonts w:ascii="Arial" w:hAnsi="Arial" w:cs="Arial"/>
          <w:b/>
          <w:sz w:val="24"/>
          <w:szCs w:val="24"/>
        </w:rPr>
      </w:pPr>
    </w:p>
    <w:p w14:paraId="3D84F818" w14:textId="77777777" w:rsidR="00E90DF9" w:rsidRPr="00BB387E" w:rsidRDefault="00E90DF9" w:rsidP="00E90DF9">
      <w:pPr>
        <w:spacing w:after="0"/>
        <w:jc w:val="center"/>
        <w:rPr>
          <w:rFonts w:ascii="Arial" w:hAnsi="Arial" w:cs="Arial"/>
          <w:b/>
          <w:sz w:val="24"/>
          <w:szCs w:val="24"/>
        </w:rPr>
      </w:pPr>
    </w:p>
    <w:p w14:paraId="312E8FE1" w14:textId="77777777" w:rsidR="00E90DF9" w:rsidRPr="00BB387E" w:rsidRDefault="00E90DF9" w:rsidP="00E90DF9">
      <w:pPr>
        <w:spacing w:after="0"/>
        <w:jc w:val="center"/>
        <w:rPr>
          <w:rFonts w:ascii="Arial" w:hAnsi="Arial" w:cs="Arial"/>
          <w:b/>
          <w:sz w:val="24"/>
          <w:szCs w:val="24"/>
        </w:rPr>
      </w:pPr>
    </w:p>
    <w:p w14:paraId="62527870" w14:textId="77777777" w:rsidR="00E90DF9" w:rsidRPr="00BB387E" w:rsidRDefault="00E90DF9" w:rsidP="00E90DF9">
      <w:pPr>
        <w:spacing w:after="0"/>
        <w:jc w:val="center"/>
        <w:rPr>
          <w:rFonts w:ascii="Arial" w:hAnsi="Arial" w:cs="Arial"/>
          <w:b/>
          <w:sz w:val="24"/>
          <w:szCs w:val="24"/>
        </w:rPr>
      </w:pPr>
    </w:p>
    <w:p w14:paraId="10E34864" w14:textId="77777777" w:rsidR="00E90DF9" w:rsidRPr="00BB387E" w:rsidRDefault="00E90DF9" w:rsidP="00E90DF9">
      <w:pPr>
        <w:spacing w:after="0"/>
        <w:jc w:val="center"/>
        <w:rPr>
          <w:rFonts w:ascii="Arial" w:hAnsi="Arial" w:cs="Arial"/>
          <w:b/>
          <w:sz w:val="24"/>
          <w:szCs w:val="24"/>
        </w:rPr>
      </w:pPr>
    </w:p>
    <w:p w14:paraId="7A5CE6C9" w14:textId="77777777" w:rsidR="00E90DF9" w:rsidRPr="00D535FC" w:rsidRDefault="00E90DF9" w:rsidP="00E90DF9">
      <w:pPr>
        <w:spacing w:after="0"/>
        <w:jc w:val="center"/>
        <w:rPr>
          <w:rFonts w:ascii="Arial" w:hAnsi="Arial" w:cs="Arial"/>
          <w:b/>
          <w:sz w:val="24"/>
          <w:szCs w:val="24"/>
        </w:rPr>
      </w:pPr>
    </w:p>
    <w:p w14:paraId="590EB1A4" w14:textId="63FB5E25" w:rsidR="00E90DF9" w:rsidRPr="00D535FC" w:rsidRDefault="008F5CF0" w:rsidP="00E90DF9">
      <w:pPr>
        <w:spacing w:after="0"/>
        <w:jc w:val="center"/>
        <w:rPr>
          <w:rFonts w:ascii="Arial" w:hAnsi="Arial" w:cs="Arial"/>
          <w:b/>
          <w:bCs/>
          <w:sz w:val="24"/>
          <w:szCs w:val="24"/>
        </w:rPr>
      </w:pPr>
      <w:r w:rsidRPr="00D535FC">
        <w:rPr>
          <w:rFonts w:ascii="Arial" w:hAnsi="Arial" w:cs="Arial"/>
          <w:b/>
          <w:bCs/>
          <w:sz w:val="24"/>
          <w:szCs w:val="24"/>
        </w:rPr>
        <w:t>GAMING MACHINE (HARM PREVENTION AND REDUCTION) AMENDMENT BILL 2026</w:t>
      </w:r>
    </w:p>
    <w:p w14:paraId="15262383" w14:textId="77777777" w:rsidR="00D535FC" w:rsidRPr="00BB387E" w:rsidRDefault="00D535FC" w:rsidP="00E90DF9">
      <w:pPr>
        <w:spacing w:after="0"/>
        <w:jc w:val="center"/>
        <w:rPr>
          <w:rFonts w:ascii="Arial" w:hAnsi="Arial" w:cs="Arial"/>
          <w:b/>
          <w:bCs/>
          <w:sz w:val="24"/>
          <w:szCs w:val="24"/>
        </w:rPr>
      </w:pPr>
    </w:p>
    <w:p w14:paraId="1BE97576" w14:textId="3D57A056" w:rsidR="00E90DF9" w:rsidRPr="00781E2B" w:rsidRDefault="00E90DF9" w:rsidP="008F5CF0">
      <w:pPr>
        <w:spacing w:after="0"/>
        <w:rPr>
          <w:rFonts w:ascii="Arial" w:hAnsi="Arial" w:cs="Arial"/>
          <w:i/>
          <w:iCs/>
          <w:color w:val="FF0000"/>
          <w:sz w:val="24"/>
          <w:szCs w:val="24"/>
        </w:rPr>
      </w:pPr>
    </w:p>
    <w:p w14:paraId="664BEC68" w14:textId="77777777" w:rsidR="00E90DF9" w:rsidRDefault="00E90DF9" w:rsidP="00E90DF9">
      <w:pPr>
        <w:spacing w:after="0"/>
        <w:jc w:val="center"/>
        <w:rPr>
          <w:rFonts w:ascii="Arial" w:hAnsi="Arial" w:cs="Arial"/>
          <w:b/>
          <w:bCs/>
          <w:sz w:val="24"/>
          <w:szCs w:val="24"/>
        </w:rPr>
      </w:pPr>
      <w:r w:rsidRPr="00BB387E">
        <w:rPr>
          <w:rFonts w:ascii="Arial" w:hAnsi="Arial" w:cs="Arial"/>
          <w:b/>
          <w:bCs/>
          <w:sz w:val="24"/>
          <w:szCs w:val="24"/>
        </w:rPr>
        <w:t>EXPLANATORY STATEMENT</w:t>
      </w:r>
      <w:r>
        <w:rPr>
          <w:rFonts w:ascii="Arial" w:hAnsi="Arial" w:cs="Arial"/>
          <w:b/>
          <w:bCs/>
          <w:sz w:val="24"/>
          <w:szCs w:val="24"/>
        </w:rPr>
        <w:t xml:space="preserve"> </w:t>
      </w:r>
    </w:p>
    <w:p w14:paraId="09B948FF"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and</w:t>
      </w:r>
    </w:p>
    <w:p w14:paraId="243211BD"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2FDF54DB" w14:textId="77777777" w:rsidR="00E90DF9" w:rsidRPr="00BB387E" w:rsidRDefault="00E90DF9" w:rsidP="00E90DF9">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25C71D31" w14:textId="77777777" w:rsidR="00E90DF9" w:rsidRPr="00BB387E" w:rsidRDefault="00E90DF9" w:rsidP="00E90DF9">
      <w:pPr>
        <w:spacing w:after="0"/>
        <w:jc w:val="center"/>
        <w:rPr>
          <w:rFonts w:ascii="Arial" w:hAnsi="Arial" w:cs="Arial"/>
          <w:b/>
          <w:sz w:val="24"/>
          <w:szCs w:val="24"/>
        </w:rPr>
      </w:pPr>
    </w:p>
    <w:p w14:paraId="62B7AD27" w14:textId="77777777" w:rsidR="00E90DF9" w:rsidRPr="00BB387E" w:rsidRDefault="00E90DF9" w:rsidP="00E90DF9">
      <w:pPr>
        <w:spacing w:after="0"/>
        <w:jc w:val="center"/>
        <w:rPr>
          <w:rFonts w:ascii="Arial" w:hAnsi="Arial" w:cs="Arial"/>
          <w:b/>
          <w:sz w:val="24"/>
          <w:szCs w:val="24"/>
        </w:rPr>
      </w:pPr>
    </w:p>
    <w:p w14:paraId="3B7A8E87" w14:textId="77777777" w:rsidR="00E90DF9" w:rsidRPr="00BB387E" w:rsidRDefault="00E90DF9" w:rsidP="00E90DF9">
      <w:pPr>
        <w:spacing w:after="0"/>
        <w:jc w:val="center"/>
        <w:rPr>
          <w:rFonts w:ascii="Arial" w:hAnsi="Arial" w:cs="Arial"/>
          <w:b/>
          <w:sz w:val="24"/>
          <w:szCs w:val="24"/>
        </w:rPr>
      </w:pPr>
    </w:p>
    <w:p w14:paraId="67BAB751" w14:textId="77777777" w:rsidR="00E90DF9" w:rsidRDefault="00E90DF9" w:rsidP="00E90DF9">
      <w:pPr>
        <w:spacing w:after="0"/>
        <w:jc w:val="center"/>
        <w:rPr>
          <w:rFonts w:ascii="Arial" w:hAnsi="Arial" w:cs="Arial"/>
          <w:b/>
          <w:sz w:val="24"/>
          <w:szCs w:val="24"/>
        </w:rPr>
      </w:pPr>
    </w:p>
    <w:p w14:paraId="3D25356F" w14:textId="77777777" w:rsidR="00E90DF9" w:rsidRDefault="00E90DF9" w:rsidP="00E90DF9">
      <w:pPr>
        <w:spacing w:after="0"/>
        <w:jc w:val="center"/>
        <w:rPr>
          <w:rFonts w:ascii="Arial" w:hAnsi="Arial" w:cs="Arial"/>
          <w:b/>
          <w:sz w:val="24"/>
          <w:szCs w:val="24"/>
        </w:rPr>
      </w:pPr>
    </w:p>
    <w:p w14:paraId="5A9A0527" w14:textId="77777777" w:rsidR="00E90DF9" w:rsidRDefault="00E90DF9" w:rsidP="00E90DF9">
      <w:pPr>
        <w:spacing w:after="0"/>
        <w:jc w:val="center"/>
        <w:rPr>
          <w:rFonts w:ascii="Arial" w:hAnsi="Arial" w:cs="Arial"/>
          <w:b/>
          <w:sz w:val="24"/>
          <w:szCs w:val="24"/>
        </w:rPr>
      </w:pPr>
    </w:p>
    <w:p w14:paraId="4CDC9EA3" w14:textId="77777777" w:rsidR="00E90DF9" w:rsidRPr="00BB387E" w:rsidRDefault="00E90DF9" w:rsidP="00E90DF9">
      <w:pPr>
        <w:spacing w:after="0"/>
        <w:jc w:val="center"/>
        <w:rPr>
          <w:rFonts w:ascii="Arial" w:hAnsi="Arial" w:cs="Arial"/>
          <w:b/>
          <w:sz w:val="24"/>
          <w:szCs w:val="24"/>
        </w:rPr>
      </w:pPr>
    </w:p>
    <w:p w14:paraId="01179C4F" w14:textId="77777777" w:rsidR="00E90DF9" w:rsidRDefault="00E90DF9" w:rsidP="00E90DF9">
      <w:pPr>
        <w:keepNext/>
        <w:widowControl w:val="0"/>
        <w:spacing w:after="0"/>
        <w:jc w:val="center"/>
        <w:outlineLvl w:val="7"/>
        <w:rPr>
          <w:rFonts w:ascii="Arial" w:hAnsi="Arial" w:cs="Arial"/>
          <w:b/>
          <w:bCs/>
          <w:sz w:val="24"/>
          <w:szCs w:val="24"/>
        </w:rPr>
      </w:pPr>
    </w:p>
    <w:p w14:paraId="63FA2BF3" w14:textId="77777777" w:rsidR="00B9385E" w:rsidRDefault="00B9385E" w:rsidP="00E90DF9">
      <w:pPr>
        <w:keepNext/>
        <w:widowControl w:val="0"/>
        <w:spacing w:after="0"/>
        <w:jc w:val="center"/>
        <w:outlineLvl w:val="7"/>
        <w:rPr>
          <w:rFonts w:ascii="Arial" w:hAnsi="Arial" w:cs="Arial"/>
          <w:b/>
          <w:bCs/>
          <w:sz w:val="24"/>
          <w:szCs w:val="24"/>
        </w:rPr>
      </w:pPr>
    </w:p>
    <w:p w14:paraId="158291B5" w14:textId="77777777" w:rsidR="00B9385E" w:rsidRDefault="00B9385E" w:rsidP="00E90DF9">
      <w:pPr>
        <w:keepNext/>
        <w:widowControl w:val="0"/>
        <w:spacing w:after="0"/>
        <w:jc w:val="center"/>
        <w:outlineLvl w:val="7"/>
        <w:rPr>
          <w:rFonts w:ascii="Arial" w:hAnsi="Arial" w:cs="Arial"/>
          <w:b/>
          <w:bCs/>
          <w:sz w:val="24"/>
          <w:szCs w:val="24"/>
        </w:rPr>
      </w:pPr>
    </w:p>
    <w:p w14:paraId="5C2D898C" w14:textId="77777777" w:rsidR="00B9385E" w:rsidRDefault="00B9385E" w:rsidP="00E90DF9">
      <w:pPr>
        <w:keepNext/>
        <w:widowControl w:val="0"/>
        <w:spacing w:after="0"/>
        <w:jc w:val="center"/>
        <w:outlineLvl w:val="7"/>
        <w:rPr>
          <w:rFonts w:ascii="Arial" w:hAnsi="Arial" w:cs="Arial"/>
          <w:b/>
          <w:bCs/>
          <w:sz w:val="24"/>
          <w:szCs w:val="24"/>
        </w:rPr>
      </w:pPr>
    </w:p>
    <w:p w14:paraId="3547463A" w14:textId="77777777" w:rsidR="00B9385E" w:rsidRDefault="00B9385E" w:rsidP="00E90DF9">
      <w:pPr>
        <w:keepNext/>
        <w:widowControl w:val="0"/>
        <w:spacing w:after="0"/>
        <w:jc w:val="center"/>
        <w:outlineLvl w:val="7"/>
        <w:rPr>
          <w:rFonts w:ascii="Arial" w:hAnsi="Arial" w:cs="Arial"/>
          <w:b/>
          <w:bCs/>
          <w:sz w:val="24"/>
          <w:szCs w:val="24"/>
        </w:rPr>
      </w:pPr>
    </w:p>
    <w:p w14:paraId="461523AD" w14:textId="77777777" w:rsidR="00E90DF9" w:rsidRPr="00D535FC" w:rsidRDefault="00E90DF9" w:rsidP="00D10EB6">
      <w:pPr>
        <w:keepNext/>
        <w:widowControl w:val="0"/>
        <w:spacing w:after="0"/>
        <w:ind w:right="-613"/>
        <w:jc w:val="right"/>
        <w:outlineLvl w:val="7"/>
        <w:rPr>
          <w:rFonts w:ascii="Arial" w:hAnsi="Arial" w:cs="Arial"/>
          <w:b/>
          <w:bCs/>
          <w:sz w:val="24"/>
          <w:szCs w:val="24"/>
        </w:rPr>
      </w:pPr>
      <w:r w:rsidRPr="00D535FC">
        <w:rPr>
          <w:rFonts w:ascii="Arial" w:hAnsi="Arial" w:cs="Arial"/>
          <w:b/>
          <w:bCs/>
          <w:sz w:val="24"/>
          <w:szCs w:val="24"/>
        </w:rPr>
        <w:t>Presented by</w:t>
      </w:r>
    </w:p>
    <w:p w14:paraId="340671F6" w14:textId="64D78C8F" w:rsidR="00E90DF9" w:rsidRPr="00D535FC" w:rsidRDefault="008F5CF0" w:rsidP="00D10EB6">
      <w:pPr>
        <w:spacing w:after="0"/>
        <w:ind w:right="-613"/>
        <w:jc w:val="right"/>
        <w:rPr>
          <w:rFonts w:ascii="Arial" w:hAnsi="Arial" w:cs="Arial"/>
          <w:b/>
          <w:bCs/>
          <w:sz w:val="24"/>
          <w:szCs w:val="24"/>
        </w:rPr>
      </w:pPr>
      <w:r w:rsidRPr="00D535FC">
        <w:rPr>
          <w:rFonts w:ascii="Arial" w:hAnsi="Arial" w:cs="Arial"/>
          <w:b/>
          <w:bCs/>
          <w:sz w:val="24"/>
          <w:szCs w:val="24"/>
        </w:rPr>
        <w:t>MARISA PATERSON</w:t>
      </w:r>
      <w:r w:rsidR="00E90DF9" w:rsidRPr="00D535FC">
        <w:rPr>
          <w:rFonts w:ascii="Arial" w:hAnsi="Arial" w:cs="Arial"/>
          <w:b/>
          <w:bCs/>
          <w:sz w:val="24"/>
          <w:szCs w:val="24"/>
        </w:rPr>
        <w:t xml:space="preserve"> MLA</w:t>
      </w:r>
    </w:p>
    <w:p w14:paraId="2B65FA14" w14:textId="60EAF8DD" w:rsidR="00E90DF9" w:rsidRPr="00D535FC" w:rsidRDefault="008F5CF0" w:rsidP="00D10EB6">
      <w:pPr>
        <w:spacing w:after="0"/>
        <w:ind w:right="-613"/>
        <w:jc w:val="right"/>
        <w:rPr>
          <w:rFonts w:ascii="Arial" w:hAnsi="Arial" w:cs="Arial"/>
          <w:b/>
          <w:bCs/>
          <w:sz w:val="24"/>
          <w:szCs w:val="24"/>
        </w:rPr>
      </w:pPr>
      <w:r w:rsidRPr="00D535FC">
        <w:rPr>
          <w:rFonts w:ascii="Arial" w:hAnsi="Arial" w:cs="Arial"/>
          <w:b/>
          <w:bCs/>
          <w:sz w:val="24"/>
          <w:szCs w:val="24"/>
        </w:rPr>
        <w:t>MINISTER FOR GAMING REFORM</w:t>
      </w:r>
    </w:p>
    <w:p w14:paraId="722CCE31" w14:textId="22DF5A39" w:rsidR="00E90DF9" w:rsidRPr="00D535FC" w:rsidRDefault="008F5CF0" w:rsidP="00D10EB6">
      <w:pPr>
        <w:spacing w:after="0"/>
        <w:ind w:right="-613"/>
        <w:jc w:val="right"/>
        <w:rPr>
          <w:rFonts w:ascii="Arial" w:hAnsi="Arial" w:cs="Arial"/>
          <w:b/>
          <w:bCs/>
          <w:sz w:val="24"/>
          <w:szCs w:val="24"/>
        </w:rPr>
      </w:pPr>
      <w:r w:rsidRPr="00D535FC">
        <w:rPr>
          <w:rFonts w:ascii="Arial" w:hAnsi="Arial" w:cs="Arial"/>
          <w:b/>
          <w:bCs/>
          <w:sz w:val="24"/>
          <w:szCs w:val="24"/>
        </w:rPr>
        <w:t>OCTOBER</w:t>
      </w:r>
      <w:r w:rsidR="00E90DF9" w:rsidRPr="00D535FC">
        <w:rPr>
          <w:rFonts w:ascii="Arial" w:hAnsi="Arial" w:cs="Arial"/>
          <w:b/>
          <w:bCs/>
          <w:sz w:val="24"/>
          <w:szCs w:val="24"/>
        </w:rPr>
        <w:t xml:space="preserve"> 202</w:t>
      </w:r>
      <w:r w:rsidR="0012506C" w:rsidRPr="00D535FC">
        <w:rPr>
          <w:rFonts w:ascii="Arial" w:hAnsi="Arial" w:cs="Arial"/>
          <w:b/>
          <w:bCs/>
          <w:sz w:val="24"/>
          <w:szCs w:val="24"/>
        </w:rPr>
        <w:t>6</w:t>
      </w:r>
    </w:p>
    <w:p w14:paraId="764EA7E1" w14:textId="3F41ACE8" w:rsidR="00E90DF9" w:rsidRPr="008C3B92" w:rsidRDefault="00D9312C" w:rsidP="00E90DF9">
      <w:pPr>
        <w:spacing w:after="0" w:line="240" w:lineRule="auto"/>
        <w:rPr>
          <w:rFonts w:ascii="Arial" w:hAnsi="Arial" w:cs="Arial"/>
          <w:b/>
          <w:bCs/>
          <w:sz w:val="24"/>
          <w:szCs w:val="24"/>
          <w:u w:val="single"/>
        </w:rPr>
        <w:sectPr w:rsidR="00E90DF9" w:rsidRPr="008C3B92" w:rsidSect="001F25C8">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9" w:footer="675" w:gutter="0"/>
          <w:pgNumType w:start="1"/>
          <w:cols w:space="708"/>
          <w:docGrid w:linePitch="360"/>
        </w:sectPr>
      </w:pPr>
      <w:sdt>
        <w:sdtPr>
          <w:rPr>
            <w:rFonts w:ascii="Arial" w:hAnsi="Arial" w:cs="Arial"/>
            <w:b/>
            <w:bCs/>
            <w:sz w:val="24"/>
            <w:szCs w:val="24"/>
            <w:u w:val="single"/>
          </w:rPr>
          <w:id w:val="-1423633877"/>
          <w:docPartObj>
            <w:docPartGallery w:val="Watermarks"/>
          </w:docPartObj>
        </w:sdtPr>
        <w:sdtEndPr/>
        <w:sdtContent>
          <w:r w:rsidR="00A07436" w:rsidRPr="00A07436">
            <w:rPr>
              <w:rFonts w:ascii="Arial" w:hAnsi="Arial" w:cs="Arial"/>
              <w:b/>
              <w:bCs/>
              <w:noProof/>
              <w:sz w:val="24"/>
              <w:szCs w:val="24"/>
              <w:u w:val="single"/>
            </w:rPr>
            <mc:AlternateContent>
              <mc:Choice Requires="wps">
                <w:drawing>
                  <wp:anchor distT="0" distB="0" distL="114300" distR="114300" simplePos="0" relativeHeight="251658240" behindDoc="1" locked="0" layoutInCell="0" allowOverlap="1" wp14:anchorId="0FD6D2E6" wp14:editId="571E4108">
                    <wp:simplePos x="0" y="0"/>
                    <wp:positionH relativeFrom="margin">
                      <wp:align>center</wp:align>
                    </wp:positionH>
                    <wp:positionV relativeFrom="margin">
                      <wp:align>center</wp:align>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6D2E6" id="_x0000_t202" coordsize="21600,21600" o:spt="202" path="m,l,21600r21600,l21600,xe">
                    <v:stroke joinstyle="miter"/>
                    <v:path gradientshapeok="t" o:connecttype="rect"/>
                  </v:shapetype>
                  <v:shape id="Text Box 1" o:spid="_x0000_s1026" type="#_x0000_t202" style="position:absolute;margin-left:0;margin-top:0;width:468pt;height:234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sdtContent>
      </w:sdt>
      <w:r w:rsidR="00E90DF9" w:rsidRPr="008C3B92">
        <w:rPr>
          <w:rFonts w:ascii="Arial" w:hAnsi="Arial" w:cs="Arial"/>
          <w:b/>
          <w:bCs/>
          <w:sz w:val="24"/>
          <w:szCs w:val="24"/>
          <w:u w:val="single"/>
        </w:rPr>
        <w:br w:type="page"/>
      </w:r>
    </w:p>
    <w:p w14:paraId="428B67D0" w14:textId="0B204503" w:rsidR="00E90DF9" w:rsidRPr="002774AD" w:rsidRDefault="00F0648D" w:rsidP="00E90DF9">
      <w:pPr>
        <w:pStyle w:val="Heading1"/>
        <w:jc w:val="center"/>
        <w:rPr>
          <w:b w:val="0"/>
          <w:bCs w:val="0"/>
        </w:rPr>
      </w:pPr>
      <w:r>
        <w:lastRenderedPageBreak/>
        <w:t>GAMING MACHINE (HARM PREVENTION AND REDUCTION) AMENDMENT BILL 2026</w:t>
      </w:r>
    </w:p>
    <w:p w14:paraId="791A60D0" w14:textId="77777777" w:rsidR="00E90DF9" w:rsidRDefault="00E90DF9" w:rsidP="00E90DF9">
      <w:pPr>
        <w:spacing w:after="0"/>
        <w:contextualSpacing/>
        <w:rPr>
          <w:rFonts w:ascii="Arial" w:hAnsi="Arial" w:cs="Arial"/>
          <w:bCs/>
          <w:sz w:val="24"/>
          <w:szCs w:val="24"/>
        </w:rPr>
      </w:pPr>
    </w:p>
    <w:p w14:paraId="04010BFE" w14:textId="1CF77346" w:rsidR="00E90DF9" w:rsidRPr="00834FC9" w:rsidRDefault="00E90DF9" w:rsidP="00E90DF9">
      <w:pPr>
        <w:spacing w:after="0"/>
        <w:contextualSpacing/>
        <w:rPr>
          <w:rFonts w:ascii="Arial" w:hAnsi="Arial" w:cs="Arial"/>
          <w:bCs/>
          <w:sz w:val="24"/>
          <w:szCs w:val="24"/>
        </w:rPr>
      </w:pPr>
      <w:r w:rsidRPr="00834FC9">
        <w:rPr>
          <w:rFonts w:ascii="Arial" w:hAnsi="Arial" w:cs="Arial"/>
          <w:bCs/>
          <w:sz w:val="24"/>
          <w:szCs w:val="24"/>
        </w:rPr>
        <w:t xml:space="preserve">The Bill </w:t>
      </w:r>
      <w:r w:rsidRPr="00257917">
        <w:rPr>
          <w:rFonts w:ascii="Arial" w:hAnsi="Arial" w:cs="Arial"/>
          <w:bCs/>
          <w:sz w:val="24"/>
          <w:szCs w:val="24"/>
        </w:rPr>
        <w:t>is</w:t>
      </w:r>
      <w:r w:rsidRPr="00834FC9">
        <w:rPr>
          <w:rFonts w:ascii="Arial" w:hAnsi="Arial" w:cs="Arial"/>
          <w:bCs/>
          <w:sz w:val="24"/>
          <w:szCs w:val="24"/>
        </w:rPr>
        <w:t xml:space="preserve"> a Significant 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3735CFA3" w14:textId="77777777" w:rsidR="00E90DF9" w:rsidRPr="00834FC9" w:rsidRDefault="00E90DF9" w:rsidP="00E90DF9">
      <w:pPr>
        <w:spacing w:after="0"/>
        <w:rPr>
          <w:rFonts w:ascii="Arial" w:hAnsi="Arial" w:cs="Arial"/>
          <w:bCs/>
          <w:sz w:val="24"/>
          <w:szCs w:val="24"/>
          <w:highlight w:val="yellow"/>
        </w:rPr>
      </w:pPr>
    </w:p>
    <w:p w14:paraId="266B7B2E" w14:textId="77777777" w:rsidR="00E90DF9" w:rsidRDefault="00E90DF9" w:rsidP="00E90DF9">
      <w:pPr>
        <w:pStyle w:val="Heading2"/>
      </w:pPr>
      <w:r>
        <w:t>OVERVIEW OF THE BILL</w:t>
      </w:r>
    </w:p>
    <w:p w14:paraId="0483C397" w14:textId="5181BF5D" w:rsidR="00E35424" w:rsidRDefault="00941F92" w:rsidP="00E90DF9">
      <w:pPr>
        <w:spacing w:after="120"/>
        <w:ind w:right="-45"/>
        <w:rPr>
          <w:rFonts w:ascii="Arial" w:hAnsi="Arial" w:cs="Arial"/>
          <w:iCs/>
          <w:sz w:val="24"/>
          <w:szCs w:val="24"/>
        </w:rPr>
      </w:pPr>
      <w:r>
        <w:rPr>
          <w:rFonts w:ascii="Arial" w:hAnsi="Arial" w:cs="Arial"/>
          <w:iCs/>
          <w:sz w:val="24"/>
          <w:szCs w:val="24"/>
        </w:rPr>
        <w:t>The Bill makes a number of amendments to strengthen responses to gambling harm in venues</w:t>
      </w:r>
      <w:r w:rsidR="00DE4772">
        <w:rPr>
          <w:rFonts w:ascii="Arial" w:hAnsi="Arial" w:cs="Arial"/>
          <w:iCs/>
          <w:sz w:val="24"/>
          <w:szCs w:val="24"/>
        </w:rPr>
        <w:t xml:space="preserve"> operating electronic gaming machines (EGMs)</w:t>
      </w:r>
      <w:r>
        <w:rPr>
          <w:rFonts w:ascii="Arial" w:hAnsi="Arial" w:cs="Arial"/>
          <w:iCs/>
          <w:sz w:val="24"/>
          <w:szCs w:val="24"/>
        </w:rPr>
        <w:t xml:space="preserve">. </w:t>
      </w:r>
    </w:p>
    <w:p w14:paraId="4654ED01" w14:textId="211A84A2" w:rsidR="004A71CF" w:rsidRDefault="00E35424" w:rsidP="00E90DF9">
      <w:pPr>
        <w:spacing w:after="120"/>
        <w:ind w:right="-45"/>
        <w:rPr>
          <w:rFonts w:ascii="Arial" w:hAnsi="Arial" w:cs="Arial"/>
          <w:iCs/>
          <w:sz w:val="24"/>
          <w:szCs w:val="24"/>
        </w:rPr>
      </w:pPr>
      <w:r>
        <w:rPr>
          <w:rFonts w:ascii="Arial" w:hAnsi="Arial" w:cs="Arial"/>
          <w:iCs/>
          <w:sz w:val="24"/>
          <w:szCs w:val="24"/>
        </w:rPr>
        <w:t xml:space="preserve">The purpose of this Bill is to amend the </w:t>
      </w:r>
      <w:r w:rsidRPr="00E35424">
        <w:rPr>
          <w:rFonts w:ascii="Arial" w:hAnsi="Arial" w:cs="Arial"/>
          <w:i/>
          <w:sz w:val="24"/>
          <w:szCs w:val="24"/>
        </w:rPr>
        <w:t>Gaming Machine Act 2004</w:t>
      </w:r>
      <w:r>
        <w:rPr>
          <w:rFonts w:ascii="Arial" w:hAnsi="Arial" w:cs="Arial"/>
          <w:iCs/>
          <w:sz w:val="24"/>
          <w:szCs w:val="24"/>
        </w:rPr>
        <w:t xml:space="preserve"> and </w:t>
      </w:r>
      <w:r w:rsidRPr="00E35424">
        <w:rPr>
          <w:rFonts w:ascii="Arial" w:hAnsi="Arial" w:cs="Arial"/>
          <w:i/>
          <w:sz w:val="24"/>
          <w:szCs w:val="24"/>
        </w:rPr>
        <w:t xml:space="preserve">Gaming Machine Regulation 2004 </w:t>
      </w:r>
      <w:r>
        <w:rPr>
          <w:rFonts w:ascii="Arial" w:hAnsi="Arial" w:cs="Arial"/>
          <w:iCs/>
          <w:sz w:val="24"/>
          <w:szCs w:val="24"/>
        </w:rPr>
        <w:t xml:space="preserve">to establish the legislative framework for account-based gaming </w:t>
      </w:r>
      <w:r w:rsidR="004A71CF">
        <w:rPr>
          <w:rFonts w:ascii="Arial" w:hAnsi="Arial" w:cs="Arial"/>
          <w:iCs/>
          <w:sz w:val="24"/>
          <w:szCs w:val="24"/>
        </w:rPr>
        <w:t xml:space="preserve">with additional harm minimisation features including pre-commitment controls for gambling losses and </w:t>
      </w:r>
      <w:r w:rsidR="00B6672F">
        <w:rPr>
          <w:rFonts w:ascii="Arial" w:hAnsi="Arial" w:cs="Arial"/>
          <w:iCs/>
          <w:sz w:val="24"/>
          <w:szCs w:val="24"/>
        </w:rPr>
        <w:t>playing periods</w:t>
      </w:r>
      <w:r w:rsidR="004A71CF">
        <w:rPr>
          <w:rFonts w:ascii="Arial" w:hAnsi="Arial" w:cs="Arial"/>
          <w:iCs/>
          <w:sz w:val="24"/>
          <w:szCs w:val="24"/>
        </w:rPr>
        <w:t xml:space="preserve">. The framework will establish that a person must first apply for a player account and have their identity positively verified before a player card can be issued. A person will be required to set a gambling loss limit using the pre-commitment controls when setting up an account and will be subject to a mandatory </w:t>
      </w:r>
      <w:r w:rsidR="003B6819">
        <w:rPr>
          <w:rFonts w:ascii="Arial" w:hAnsi="Arial" w:cs="Arial"/>
          <w:iCs/>
          <w:sz w:val="24"/>
          <w:szCs w:val="24"/>
        </w:rPr>
        <w:t>15-minute</w:t>
      </w:r>
      <w:r w:rsidR="001525E0">
        <w:rPr>
          <w:rFonts w:ascii="Arial" w:hAnsi="Arial" w:cs="Arial"/>
          <w:iCs/>
          <w:sz w:val="24"/>
          <w:szCs w:val="24"/>
        </w:rPr>
        <w:t xml:space="preserve"> </w:t>
      </w:r>
      <w:r w:rsidR="004A71CF">
        <w:rPr>
          <w:rFonts w:ascii="Arial" w:hAnsi="Arial" w:cs="Arial"/>
          <w:iCs/>
          <w:sz w:val="24"/>
          <w:szCs w:val="24"/>
        </w:rPr>
        <w:t xml:space="preserve">break following </w:t>
      </w:r>
      <w:r w:rsidR="001525E0">
        <w:rPr>
          <w:rFonts w:ascii="Arial" w:hAnsi="Arial" w:cs="Arial"/>
          <w:iCs/>
          <w:sz w:val="24"/>
          <w:szCs w:val="24"/>
        </w:rPr>
        <w:t>an</w:t>
      </w:r>
      <w:r w:rsidR="004A71CF">
        <w:rPr>
          <w:rFonts w:ascii="Arial" w:hAnsi="Arial" w:cs="Arial"/>
          <w:iCs/>
          <w:sz w:val="24"/>
          <w:szCs w:val="24"/>
        </w:rPr>
        <w:t xml:space="preserve"> hour of play. </w:t>
      </w:r>
    </w:p>
    <w:p w14:paraId="2B478ECE" w14:textId="115F0110" w:rsidR="00E35424" w:rsidRDefault="00140807" w:rsidP="00E90DF9">
      <w:pPr>
        <w:spacing w:after="120"/>
        <w:ind w:right="-45"/>
        <w:rPr>
          <w:rFonts w:ascii="Arial" w:hAnsi="Arial" w:cs="Arial"/>
          <w:iCs/>
          <w:sz w:val="24"/>
          <w:szCs w:val="24"/>
        </w:rPr>
      </w:pPr>
      <w:r>
        <w:rPr>
          <w:rFonts w:ascii="Arial" w:hAnsi="Arial" w:cs="Arial"/>
          <w:iCs/>
          <w:sz w:val="24"/>
          <w:szCs w:val="24"/>
        </w:rPr>
        <w:t>The Bill will also make amendment</w:t>
      </w:r>
      <w:r w:rsidR="00240BDB">
        <w:rPr>
          <w:rFonts w:ascii="Arial" w:hAnsi="Arial" w:cs="Arial"/>
          <w:iCs/>
          <w:sz w:val="24"/>
          <w:szCs w:val="24"/>
        </w:rPr>
        <w:t>s</w:t>
      </w:r>
      <w:r>
        <w:rPr>
          <w:rFonts w:ascii="Arial" w:hAnsi="Arial" w:cs="Arial"/>
          <w:iCs/>
          <w:sz w:val="24"/>
          <w:szCs w:val="24"/>
        </w:rPr>
        <w:t xml:space="preserve"> to </w:t>
      </w:r>
      <w:r w:rsidR="00E35424" w:rsidRPr="00E35424">
        <w:rPr>
          <w:rFonts w:ascii="Arial" w:hAnsi="Arial" w:cs="Arial"/>
          <w:iCs/>
          <w:sz w:val="24"/>
          <w:szCs w:val="24"/>
        </w:rPr>
        <w:t>reduce the number of EGMs in the Territory to 1,000 by 2045,</w:t>
      </w:r>
      <w:r w:rsidR="00E35424">
        <w:rPr>
          <w:rFonts w:ascii="Arial" w:hAnsi="Arial" w:cs="Arial"/>
          <w:iCs/>
          <w:sz w:val="24"/>
          <w:szCs w:val="24"/>
        </w:rPr>
        <w:t xml:space="preserve"> </w:t>
      </w:r>
      <w:r w:rsidR="00E35424" w:rsidRPr="00E35424">
        <w:rPr>
          <w:rFonts w:ascii="Arial" w:hAnsi="Arial" w:cs="Arial"/>
          <w:iCs/>
          <w:sz w:val="24"/>
          <w:szCs w:val="24"/>
        </w:rPr>
        <w:t>through a mandated</w:t>
      </w:r>
      <w:r w:rsidR="00E35424">
        <w:rPr>
          <w:rFonts w:ascii="Arial" w:hAnsi="Arial" w:cs="Arial"/>
          <w:iCs/>
          <w:sz w:val="24"/>
          <w:szCs w:val="24"/>
        </w:rPr>
        <w:t xml:space="preserve"> </w:t>
      </w:r>
      <w:r w:rsidR="00E35424" w:rsidRPr="00E35424">
        <w:rPr>
          <w:rFonts w:ascii="Arial" w:hAnsi="Arial" w:cs="Arial"/>
          <w:iCs/>
          <w:sz w:val="24"/>
          <w:szCs w:val="24"/>
        </w:rPr>
        <w:t>reduction of 500 EGMs every four years</w:t>
      </w:r>
      <w:r w:rsidR="00E35424">
        <w:rPr>
          <w:rFonts w:ascii="Arial" w:hAnsi="Arial" w:cs="Arial"/>
          <w:iCs/>
          <w:sz w:val="24"/>
          <w:szCs w:val="24"/>
        </w:rPr>
        <w:t xml:space="preserve">. </w:t>
      </w:r>
      <w:r w:rsidR="00240BDB" w:rsidRPr="00240BDB">
        <w:rPr>
          <w:rFonts w:ascii="Arial" w:hAnsi="Arial" w:cs="Arial"/>
          <w:iCs/>
          <w:sz w:val="24"/>
          <w:szCs w:val="24"/>
        </w:rPr>
        <w:t xml:space="preserve">The intent is to reduce the harm caused by use of </w:t>
      </w:r>
      <w:r w:rsidR="00240BDB">
        <w:rPr>
          <w:rFonts w:ascii="Arial" w:hAnsi="Arial" w:cs="Arial"/>
          <w:iCs/>
          <w:sz w:val="24"/>
          <w:szCs w:val="24"/>
        </w:rPr>
        <w:t>gaming machines</w:t>
      </w:r>
      <w:r w:rsidR="00240BDB" w:rsidRPr="00240BDB">
        <w:rPr>
          <w:rFonts w:ascii="Arial" w:hAnsi="Arial" w:cs="Arial"/>
          <w:iCs/>
          <w:sz w:val="24"/>
          <w:szCs w:val="24"/>
        </w:rPr>
        <w:t xml:space="preserve"> by reducing access to and availability of </w:t>
      </w:r>
      <w:r w:rsidR="00240BDB">
        <w:rPr>
          <w:rFonts w:ascii="Arial" w:hAnsi="Arial" w:cs="Arial"/>
          <w:iCs/>
          <w:sz w:val="24"/>
          <w:szCs w:val="24"/>
        </w:rPr>
        <w:t>gaming machine</w:t>
      </w:r>
      <w:r w:rsidR="00240BDB" w:rsidRPr="00240BDB">
        <w:rPr>
          <w:rFonts w:ascii="Arial" w:hAnsi="Arial" w:cs="Arial"/>
          <w:iCs/>
          <w:sz w:val="24"/>
          <w:szCs w:val="24"/>
        </w:rPr>
        <w:t xml:space="preserve"> venues in the ACT.</w:t>
      </w:r>
    </w:p>
    <w:p w14:paraId="7D9B5174" w14:textId="611E3856" w:rsidR="000B3686" w:rsidRDefault="000B3686" w:rsidP="00E90DF9">
      <w:pPr>
        <w:spacing w:after="120"/>
        <w:ind w:right="-45"/>
        <w:rPr>
          <w:rFonts w:ascii="Arial" w:hAnsi="Arial" w:cs="Arial"/>
          <w:iCs/>
          <w:sz w:val="24"/>
          <w:szCs w:val="24"/>
        </w:rPr>
      </w:pPr>
      <w:r>
        <w:rPr>
          <w:rFonts w:ascii="Arial" w:hAnsi="Arial" w:cs="Arial"/>
          <w:iCs/>
          <w:sz w:val="24"/>
          <w:szCs w:val="24"/>
        </w:rPr>
        <w:t>Other amendments include:</w:t>
      </w:r>
    </w:p>
    <w:p w14:paraId="1E2D70EE" w14:textId="0E345427" w:rsidR="000B3686" w:rsidRDefault="000B3686" w:rsidP="000B3686">
      <w:pPr>
        <w:pStyle w:val="ListParagraph"/>
        <w:numPr>
          <w:ilvl w:val="0"/>
          <w:numId w:val="3"/>
        </w:numPr>
        <w:spacing w:after="120"/>
        <w:ind w:right="-45"/>
        <w:rPr>
          <w:rFonts w:ascii="Arial" w:hAnsi="Arial" w:cs="Arial"/>
          <w:iCs/>
          <w:sz w:val="24"/>
          <w:szCs w:val="24"/>
        </w:rPr>
      </w:pPr>
      <w:r>
        <w:rPr>
          <w:rFonts w:ascii="Arial" w:hAnsi="Arial" w:cs="Arial"/>
          <w:iCs/>
          <w:sz w:val="24"/>
          <w:szCs w:val="24"/>
        </w:rPr>
        <w:t>banning ATM</w:t>
      </w:r>
      <w:r w:rsidR="00CA0581">
        <w:rPr>
          <w:rFonts w:ascii="Arial" w:hAnsi="Arial" w:cs="Arial"/>
          <w:iCs/>
          <w:sz w:val="24"/>
          <w:szCs w:val="24"/>
        </w:rPr>
        <w:t xml:space="preserve">s </w:t>
      </w:r>
      <w:r>
        <w:rPr>
          <w:rFonts w:ascii="Arial" w:hAnsi="Arial" w:cs="Arial"/>
          <w:iCs/>
          <w:sz w:val="24"/>
          <w:szCs w:val="24"/>
        </w:rPr>
        <w:t>at all venues with gaming machines; and</w:t>
      </w:r>
    </w:p>
    <w:p w14:paraId="417E1713" w14:textId="76B1E49A" w:rsidR="000B3686" w:rsidRPr="000B3686" w:rsidRDefault="008A663F" w:rsidP="000B3686">
      <w:pPr>
        <w:pStyle w:val="ListParagraph"/>
        <w:numPr>
          <w:ilvl w:val="0"/>
          <w:numId w:val="3"/>
        </w:numPr>
        <w:spacing w:after="120"/>
        <w:ind w:right="-45"/>
        <w:rPr>
          <w:rFonts w:ascii="Arial" w:hAnsi="Arial" w:cs="Arial"/>
          <w:iCs/>
          <w:sz w:val="24"/>
          <w:szCs w:val="24"/>
        </w:rPr>
      </w:pPr>
      <w:r w:rsidRPr="008A663F">
        <w:rPr>
          <w:rFonts w:ascii="Arial" w:hAnsi="Arial" w:cs="Arial"/>
          <w:iCs/>
          <w:sz w:val="24"/>
          <w:szCs w:val="24"/>
        </w:rPr>
        <w:t>establish</w:t>
      </w:r>
      <w:r>
        <w:rPr>
          <w:rFonts w:ascii="Arial" w:hAnsi="Arial" w:cs="Arial"/>
          <w:iCs/>
          <w:sz w:val="24"/>
          <w:szCs w:val="24"/>
        </w:rPr>
        <w:t>ing</w:t>
      </w:r>
      <w:r w:rsidRPr="008A663F">
        <w:rPr>
          <w:rFonts w:ascii="Arial" w:hAnsi="Arial" w:cs="Arial"/>
          <w:iCs/>
          <w:sz w:val="24"/>
          <w:szCs w:val="24"/>
        </w:rPr>
        <w:t xml:space="preserve"> the necessary legislative architecture to enable additional requirements for gaming venues who transition to an updated network communications protocol</w:t>
      </w:r>
      <w:r>
        <w:rPr>
          <w:rFonts w:ascii="Arial" w:hAnsi="Arial" w:cs="Arial"/>
          <w:iCs/>
          <w:sz w:val="24"/>
          <w:szCs w:val="24"/>
        </w:rPr>
        <w:t xml:space="preserve">. </w:t>
      </w:r>
    </w:p>
    <w:p w14:paraId="00C987C1" w14:textId="2E88D472" w:rsidR="008D11FB" w:rsidRPr="00531776" w:rsidRDefault="008D11FB" w:rsidP="00531776">
      <w:pPr>
        <w:tabs>
          <w:tab w:val="left" w:pos="425"/>
        </w:tabs>
        <w:spacing w:before="120" w:after="120"/>
        <w:rPr>
          <w:rFonts w:ascii="Arial" w:hAnsi="Arial" w:cs="Arial"/>
          <w:sz w:val="24"/>
          <w:szCs w:val="24"/>
        </w:rPr>
      </w:pPr>
      <w:r w:rsidRPr="00531776">
        <w:rPr>
          <w:rFonts w:ascii="Arial" w:hAnsi="Arial" w:cs="Arial"/>
          <w:sz w:val="24"/>
          <w:szCs w:val="24"/>
        </w:rPr>
        <w:t xml:space="preserve">Gambling harm extends beyond financial harm, to psychological, emotional, and social harm, both for consumers of gambling products, the people around them, and the broader community. Major harms </w:t>
      </w:r>
      <w:r w:rsidR="00257917">
        <w:rPr>
          <w:rFonts w:ascii="Arial" w:hAnsi="Arial" w:cs="Arial"/>
          <w:sz w:val="24"/>
          <w:szCs w:val="24"/>
        </w:rPr>
        <w:t>caused by</w:t>
      </w:r>
      <w:r w:rsidRPr="00531776">
        <w:rPr>
          <w:rFonts w:ascii="Arial" w:hAnsi="Arial" w:cs="Arial"/>
          <w:sz w:val="24"/>
          <w:szCs w:val="24"/>
        </w:rPr>
        <w:t xml:space="preserve"> gambling products may include relationship and family breakdown, financial stress and emotional and psychological suffering. The Productivity Commission estimates that for every person experiencing gambling related harm, there are five to ten other people who are </w:t>
      </w:r>
      <w:r w:rsidR="00257917">
        <w:rPr>
          <w:rFonts w:ascii="Arial" w:hAnsi="Arial" w:cs="Arial"/>
          <w:sz w:val="24"/>
          <w:szCs w:val="24"/>
        </w:rPr>
        <w:t xml:space="preserve">also </w:t>
      </w:r>
      <w:r w:rsidRPr="00531776">
        <w:rPr>
          <w:rFonts w:ascii="Arial" w:hAnsi="Arial" w:cs="Arial"/>
          <w:sz w:val="24"/>
          <w:szCs w:val="24"/>
        </w:rPr>
        <w:t>affected.</w:t>
      </w:r>
      <w:r w:rsidRPr="00531776">
        <w:rPr>
          <w:rFonts w:ascii="Arial" w:hAnsi="Arial" w:cs="Arial"/>
          <w:vertAlign w:val="superscript"/>
        </w:rPr>
        <w:footnoteReference w:id="1"/>
      </w:r>
    </w:p>
    <w:p w14:paraId="49422698" w14:textId="524AEDDC" w:rsidR="008D11FB" w:rsidRPr="00531776" w:rsidRDefault="008D11FB" w:rsidP="00531776">
      <w:pPr>
        <w:tabs>
          <w:tab w:val="left" w:pos="425"/>
        </w:tabs>
        <w:spacing w:before="120" w:after="120"/>
        <w:rPr>
          <w:rFonts w:ascii="Arial" w:hAnsi="Arial" w:cs="Arial"/>
          <w:sz w:val="24"/>
          <w:szCs w:val="24"/>
        </w:rPr>
      </w:pPr>
      <w:r w:rsidRPr="00531776">
        <w:rPr>
          <w:rFonts w:ascii="Arial" w:hAnsi="Arial" w:cs="Arial"/>
          <w:sz w:val="24"/>
          <w:szCs w:val="24"/>
        </w:rPr>
        <w:t xml:space="preserve">The 2024 ACT Gambling Survey reveals that approximately one in six ACT adults (15.8%), that is </w:t>
      </w:r>
      <w:r w:rsidR="00257917">
        <w:rPr>
          <w:rFonts w:ascii="Arial" w:hAnsi="Arial" w:cs="Arial"/>
          <w:sz w:val="24"/>
          <w:szCs w:val="24"/>
        </w:rPr>
        <w:t xml:space="preserve">over </w:t>
      </w:r>
      <w:r w:rsidRPr="00531776">
        <w:rPr>
          <w:rFonts w:ascii="Arial" w:hAnsi="Arial" w:cs="Arial"/>
          <w:sz w:val="24"/>
          <w:szCs w:val="24"/>
        </w:rPr>
        <w:t>58,</w:t>
      </w:r>
      <w:r w:rsidR="00257917" w:rsidRPr="00531776">
        <w:rPr>
          <w:rFonts w:ascii="Arial" w:hAnsi="Arial" w:cs="Arial"/>
          <w:sz w:val="24"/>
          <w:szCs w:val="24"/>
        </w:rPr>
        <w:t>0</w:t>
      </w:r>
      <w:r w:rsidR="00257917">
        <w:rPr>
          <w:rFonts w:ascii="Arial" w:hAnsi="Arial" w:cs="Arial"/>
          <w:sz w:val="24"/>
          <w:szCs w:val="24"/>
        </w:rPr>
        <w:t>00</w:t>
      </w:r>
      <w:r w:rsidR="00257917" w:rsidRPr="00531776">
        <w:rPr>
          <w:rFonts w:ascii="Arial" w:hAnsi="Arial" w:cs="Arial"/>
          <w:sz w:val="24"/>
          <w:szCs w:val="24"/>
        </w:rPr>
        <w:t xml:space="preserve"> </w:t>
      </w:r>
      <w:r w:rsidRPr="00531776">
        <w:rPr>
          <w:rFonts w:ascii="Arial" w:hAnsi="Arial" w:cs="Arial"/>
          <w:sz w:val="24"/>
          <w:szCs w:val="24"/>
        </w:rPr>
        <w:t>people, reported experiencing at least one type of gambling harm</w:t>
      </w:r>
      <w:r w:rsidR="00257917">
        <w:rPr>
          <w:rFonts w:ascii="Arial" w:hAnsi="Arial" w:cs="Arial"/>
          <w:sz w:val="24"/>
          <w:szCs w:val="24"/>
        </w:rPr>
        <w:t>. This includes</w:t>
      </w:r>
      <w:r w:rsidRPr="00531776">
        <w:rPr>
          <w:rFonts w:ascii="Arial" w:hAnsi="Arial" w:cs="Arial"/>
          <w:sz w:val="24"/>
          <w:szCs w:val="24"/>
        </w:rPr>
        <w:t xml:space="preserve">, for example, harm from their own gambling, harm from someone else’s gambling or legacy harm from gambling prior to the last 12 months. </w:t>
      </w:r>
    </w:p>
    <w:p w14:paraId="09CF78F4" w14:textId="06F5BFC9" w:rsidR="008D11FB" w:rsidRPr="00531776" w:rsidRDefault="008D11FB" w:rsidP="00531776">
      <w:pPr>
        <w:tabs>
          <w:tab w:val="left" w:pos="425"/>
        </w:tabs>
        <w:spacing w:before="120" w:after="120"/>
        <w:rPr>
          <w:rFonts w:ascii="Arial" w:hAnsi="Arial" w:cs="Arial"/>
          <w:sz w:val="24"/>
          <w:szCs w:val="24"/>
        </w:rPr>
      </w:pPr>
      <w:r w:rsidRPr="00531776">
        <w:rPr>
          <w:rFonts w:ascii="Arial" w:hAnsi="Arial" w:cs="Arial"/>
          <w:sz w:val="24"/>
          <w:szCs w:val="24"/>
        </w:rPr>
        <w:lastRenderedPageBreak/>
        <w:t xml:space="preserve">The </w:t>
      </w:r>
      <w:r w:rsidR="0027098C">
        <w:rPr>
          <w:rFonts w:ascii="Arial" w:hAnsi="Arial" w:cs="Arial"/>
          <w:sz w:val="24"/>
          <w:szCs w:val="24"/>
        </w:rPr>
        <w:t xml:space="preserve">2024 </w:t>
      </w:r>
      <w:r w:rsidRPr="00531776">
        <w:rPr>
          <w:rFonts w:ascii="Arial" w:hAnsi="Arial" w:cs="Arial"/>
          <w:sz w:val="24"/>
          <w:szCs w:val="24"/>
        </w:rPr>
        <w:t>ACT Gambling Survey also found that gambling on EGMs is among the more harmful form</w:t>
      </w:r>
      <w:r w:rsidR="00D153FF">
        <w:rPr>
          <w:rFonts w:ascii="Arial" w:hAnsi="Arial" w:cs="Arial"/>
          <w:sz w:val="24"/>
          <w:szCs w:val="24"/>
        </w:rPr>
        <w:t>s</w:t>
      </w:r>
      <w:r w:rsidRPr="00531776">
        <w:rPr>
          <w:rFonts w:ascii="Arial" w:hAnsi="Arial" w:cs="Arial"/>
          <w:sz w:val="24"/>
          <w:szCs w:val="24"/>
        </w:rPr>
        <w:t xml:space="preserve"> of gambling in the Territory</w:t>
      </w:r>
      <w:r w:rsidR="00D153FF">
        <w:rPr>
          <w:rFonts w:ascii="Arial" w:hAnsi="Arial" w:cs="Arial"/>
          <w:sz w:val="24"/>
          <w:szCs w:val="24"/>
        </w:rPr>
        <w:t xml:space="preserve"> with</w:t>
      </w:r>
      <w:r w:rsidRPr="00531776">
        <w:rPr>
          <w:rFonts w:ascii="Arial" w:hAnsi="Arial" w:cs="Arial"/>
          <w:sz w:val="24"/>
          <w:szCs w:val="24"/>
        </w:rPr>
        <w:t xml:space="preserve"> EGMs account</w:t>
      </w:r>
      <w:r w:rsidR="00D153FF">
        <w:rPr>
          <w:rFonts w:ascii="Arial" w:hAnsi="Arial" w:cs="Arial"/>
          <w:sz w:val="24"/>
          <w:szCs w:val="24"/>
        </w:rPr>
        <w:t>ing</w:t>
      </w:r>
      <w:r w:rsidRPr="00531776">
        <w:rPr>
          <w:rFonts w:ascii="Arial" w:hAnsi="Arial" w:cs="Arial"/>
          <w:sz w:val="24"/>
          <w:szCs w:val="24"/>
        </w:rPr>
        <w:t xml:space="preserve"> for one-third of the total burden of gambling harm.</w:t>
      </w:r>
      <w:r w:rsidRPr="00531776">
        <w:rPr>
          <w:rFonts w:ascii="Arial" w:hAnsi="Arial" w:cs="Arial"/>
          <w:vertAlign w:val="superscript"/>
        </w:rPr>
        <w:footnoteReference w:id="2"/>
      </w:r>
      <w:r w:rsidRPr="00531776">
        <w:rPr>
          <w:rFonts w:ascii="Arial" w:hAnsi="Arial" w:cs="Arial"/>
          <w:sz w:val="24"/>
          <w:szCs w:val="24"/>
          <w:vertAlign w:val="superscript"/>
        </w:rPr>
        <w:t xml:space="preserve"> </w:t>
      </w:r>
    </w:p>
    <w:p w14:paraId="775FD30C" w14:textId="1CCB3546" w:rsidR="008D11FB" w:rsidRPr="00531776" w:rsidRDefault="008D11FB" w:rsidP="00531776">
      <w:pPr>
        <w:tabs>
          <w:tab w:val="left" w:pos="425"/>
        </w:tabs>
        <w:spacing w:before="120" w:after="120"/>
        <w:rPr>
          <w:rFonts w:ascii="Arial" w:hAnsi="Arial" w:cs="Arial"/>
          <w:sz w:val="24"/>
          <w:szCs w:val="24"/>
        </w:rPr>
      </w:pPr>
      <w:r w:rsidRPr="00531776">
        <w:rPr>
          <w:rFonts w:ascii="Arial" w:hAnsi="Arial" w:cs="Arial"/>
          <w:sz w:val="24"/>
          <w:szCs w:val="24"/>
        </w:rPr>
        <w:t xml:space="preserve">The 2024 </w:t>
      </w:r>
      <w:r w:rsidR="0027098C">
        <w:rPr>
          <w:rFonts w:ascii="Arial" w:hAnsi="Arial" w:cs="Arial"/>
          <w:sz w:val="24"/>
          <w:szCs w:val="24"/>
        </w:rPr>
        <w:t>ACT Gambling S</w:t>
      </w:r>
      <w:r w:rsidRPr="00531776">
        <w:rPr>
          <w:rFonts w:ascii="Arial" w:hAnsi="Arial" w:cs="Arial"/>
          <w:sz w:val="24"/>
          <w:szCs w:val="24"/>
        </w:rPr>
        <w:t xml:space="preserve">urvey further identified that frequency of gambling is an important factor that increases one’s risk of experiencing problem gambling. It was found that people who gamble on EGMs at-least monthly were 2-4 more times likely to report moderate-risk or problem gambling. </w:t>
      </w:r>
    </w:p>
    <w:p w14:paraId="32306C38" w14:textId="718ECACF" w:rsidR="008D11FB" w:rsidRPr="00531776" w:rsidRDefault="008D11FB" w:rsidP="00531776">
      <w:pPr>
        <w:tabs>
          <w:tab w:val="left" w:pos="425"/>
        </w:tabs>
        <w:spacing w:before="120" w:after="120"/>
        <w:rPr>
          <w:rFonts w:ascii="Arial" w:hAnsi="Arial" w:cs="Arial"/>
          <w:sz w:val="24"/>
          <w:szCs w:val="24"/>
        </w:rPr>
      </w:pPr>
      <w:r w:rsidRPr="00531776">
        <w:rPr>
          <w:rFonts w:ascii="Arial" w:hAnsi="Arial" w:cs="Arial"/>
          <w:sz w:val="24"/>
          <w:szCs w:val="24"/>
        </w:rPr>
        <w:t>Limiting the availability and convenience of EGMs</w:t>
      </w:r>
      <w:r w:rsidR="00733250">
        <w:rPr>
          <w:rFonts w:ascii="Arial" w:hAnsi="Arial" w:cs="Arial"/>
          <w:sz w:val="24"/>
          <w:szCs w:val="24"/>
        </w:rPr>
        <w:t xml:space="preserve"> through these reforms</w:t>
      </w:r>
      <w:r w:rsidRPr="00531776">
        <w:rPr>
          <w:rFonts w:ascii="Arial" w:hAnsi="Arial" w:cs="Arial"/>
          <w:sz w:val="24"/>
          <w:szCs w:val="24"/>
        </w:rPr>
        <w:t xml:space="preserve"> is therefore expected to reduce harm. Recent research has found that gambling harm in Western Australia – where EGMs are restricted to a single casino – is approximately one-third lower than in other jurisdictions, largely due to reduced EGM accessibility.</w:t>
      </w:r>
      <w:r w:rsidRPr="00531776">
        <w:rPr>
          <w:rFonts w:ascii="Arial" w:hAnsi="Arial" w:cs="Arial"/>
          <w:vertAlign w:val="superscript"/>
        </w:rPr>
        <w:footnoteReference w:id="3"/>
      </w:r>
      <w:r w:rsidRPr="00531776">
        <w:rPr>
          <w:rFonts w:ascii="Arial" w:hAnsi="Arial" w:cs="Arial"/>
          <w:sz w:val="24"/>
          <w:szCs w:val="24"/>
        </w:rPr>
        <w:t xml:space="preserve"> </w:t>
      </w:r>
    </w:p>
    <w:p w14:paraId="3696E8F4" w14:textId="247429EB" w:rsidR="00E35424" w:rsidRDefault="002C1CB9" w:rsidP="00E90DF9">
      <w:pPr>
        <w:spacing w:after="120"/>
        <w:ind w:right="-45"/>
        <w:rPr>
          <w:rFonts w:ascii="Arial" w:hAnsi="Arial" w:cs="Arial"/>
          <w:iCs/>
          <w:sz w:val="24"/>
          <w:szCs w:val="24"/>
        </w:rPr>
      </w:pPr>
      <w:r>
        <w:rPr>
          <w:rFonts w:ascii="Arial" w:hAnsi="Arial" w:cs="Arial"/>
          <w:iCs/>
          <w:sz w:val="24"/>
          <w:szCs w:val="24"/>
        </w:rPr>
        <w:t xml:space="preserve">The Bill seeks to balance minimising harm from gambling whilst supporting </w:t>
      </w:r>
      <w:r w:rsidR="001D439E">
        <w:rPr>
          <w:rFonts w:ascii="Arial" w:hAnsi="Arial" w:cs="Arial"/>
          <w:iCs/>
          <w:sz w:val="24"/>
          <w:szCs w:val="24"/>
        </w:rPr>
        <w:t>a financially viable club industry into the future.</w:t>
      </w:r>
      <w:r w:rsidR="00C87C8F">
        <w:rPr>
          <w:rFonts w:ascii="Arial" w:hAnsi="Arial" w:cs="Arial"/>
          <w:iCs/>
          <w:sz w:val="24"/>
          <w:szCs w:val="24"/>
        </w:rPr>
        <w:t xml:space="preserve"> The Bill outlines that the first compulsory surrender reduction will not occur until 2029 and that the provisions relating to account-based gaming and </w:t>
      </w:r>
      <w:r w:rsidR="00D60978">
        <w:rPr>
          <w:rFonts w:ascii="Arial" w:hAnsi="Arial" w:cs="Arial"/>
          <w:iCs/>
          <w:sz w:val="24"/>
          <w:szCs w:val="24"/>
        </w:rPr>
        <w:t xml:space="preserve">the </w:t>
      </w:r>
      <w:r w:rsidR="00C87C8F">
        <w:rPr>
          <w:rFonts w:ascii="Arial" w:hAnsi="Arial" w:cs="Arial"/>
          <w:iCs/>
          <w:sz w:val="24"/>
          <w:szCs w:val="24"/>
        </w:rPr>
        <w:t xml:space="preserve">banning </w:t>
      </w:r>
      <w:r w:rsidR="00D60978">
        <w:rPr>
          <w:rFonts w:ascii="Arial" w:hAnsi="Arial" w:cs="Arial"/>
          <w:iCs/>
          <w:sz w:val="24"/>
          <w:szCs w:val="24"/>
        </w:rPr>
        <w:t xml:space="preserve">of </w:t>
      </w:r>
      <w:r w:rsidR="00C87C8F">
        <w:rPr>
          <w:rFonts w:ascii="Arial" w:hAnsi="Arial" w:cs="Arial"/>
          <w:iCs/>
          <w:sz w:val="24"/>
          <w:szCs w:val="24"/>
        </w:rPr>
        <w:t xml:space="preserve">ATMS will not commence until written notice is given by the Minister. These are important mechanisms which </w:t>
      </w:r>
      <w:r w:rsidR="00D60978">
        <w:rPr>
          <w:rFonts w:ascii="Arial" w:hAnsi="Arial" w:cs="Arial"/>
          <w:iCs/>
          <w:sz w:val="24"/>
          <w:szCs w:val="24"/>
        </w:rPr>
        <w:t xml:space="preserve">seek to acknowledge that gaming machine venues will need sufficient time following the notification of this Bill to adapt their business operations, make any upgrades to venue management technology and implement an account-based system.  </w:t>
      </w:r>
      <w:r w:rsidR="00C87C8F">
        <w:rPr>
          <w:rFonts w:ascii="Arial" w:hAnsi="Arial" w:cs="Arial"/>
          <w:iCs/>
          <w:sz w:val="24"/>
          <w:szCs w:val="24"/>
        </w:rPr>
        <w:t xml:space="preserve">  </w:t>
      </w:r>
      <w:r w:rsidR="001D439E">
        <w:rPr>
          <w:rFonts w:ascii="Arial" w:hAnsi="Arial" w:cs="Arial"/>
          <w:iCs/>
          <w:sz w:val="24"/>
          <w:szCs w:val="24"/>
        </w:rPr>
        <w:t xml:space="preserve"> </w:t>
      </w:r>
    </w:p>
    <w:p w14:paraId="29448047" w14:textId="11CE12EB" w:rsidR="00240BDB" w:rsidRPr="00531776" w:rsidRDefault="004C7BA9" w:rsidP="00E90DF9">
      <w:pPr>
        <w:rPr>
          <w:rFonts w:ascii="Arial" w:hAnsi="Arial" w:cs="Arial"/>
          <w:iCs/>
          <w:sz w:val="24"/>
          <w:szCs w:val="24"/>
        </w:rPr>
      </w:pPr>
      <w:r w:rsidRPr="00531776">
        <w:rPr>
          <w:rFonts w:ascii="Arial" w:hAnsi="Arial" w:cs="Arial"/>
          <w:iCs/>
          <w:sz w:val="24"/>
          <w:szCs w:val="24"/>
        </w:rPr>
        <w:t xml:space="preserve">The Bill applies to licensees who are predominantly corporations or incorporated associations. Under </w:t>
      </w:r>
      <w:r w:rsidR="005B6D6B" w:rsidRPr="00531776">
        <w:rPr>
          <w:rFonts w:ascii="Arial" w:hAnsi="Arial" w:cs="Arial"/>
          <w:iCs/>
          <w:sz w:val="24"/>
          <w:szCs w:val="24"/>
        </w:rPr>
        <w:t xml:space="preserve">section 28 of the </w:t>
      </w:r>
      <w:r w:rsidR="005B6D6B" w:rsidRPr="00531776">
        <w:rPr>
          <w:rFonts w:ascii="Arial" w:hAnsi="Arial" w:cs="Arial"/>
          <w:i/>
          <w:sz w:val="24"/>
          <w:szCs w:val="24"/>
        </w:rPr>
        <w:t>Gaming Machine Act 2004</w:t>
      </w:r>
      <w:r w:rsidR="005B6D6B" w:rsidRPr="00531776">
        <w:rPr>
          <w:rFonts w:ascii="Arial" w:hAnsi="Arial" w:cs="Arial"/>
          <w:iCs/>
          <w:sz w:val="24"/>
          <w:szCs w:val="24"/>
        </w:rPr>
        <w:t xml:space="preserve"> it is technically possible for a person (i.e. sole trader) to apply for a class B licence and authorisation certificate</w:t>
      </w:r>
      <w:r w:rsidR="00D153FF">
        <w:rPr>
          <w:rFonts w:ascii="Arial" w:hAnsi="Arial" w:cs="Arial"/>
          <w:iCs/>
          <w:sz w:val="24"/>
          <w:szCs w:val="24"/>
        </w:rPr>
        <w:t>.</w:t>
      </w:r>
      <w:r w:rsidR="005B6D6B" w:rsidRPr="00531776">
        <w:rPr>
          <w:rFonts w:ascii="Arial" w:hAnsi="Arial" w:cs="Arial"/>
          <w:iCs/>
          <w:sz w:val="24"/>
          <w:szCs w:val="24"/>
        </w:rPr>
        <w:t xml:space="preserve"> </w:t>
      </w:r>
      <w:r w:rsidR="00D153FF">
        <w:rPr>
          <w:rFonts w:ascii="Arial" w:hAnsi="Arial" w:cs="Arial"/>
          <w:iCs/>
          <w:sz w:val="24"/>
          <w:szCs w:val="24"/>
        </w:rPr>
        <w:t>H</w:t>
      </w:r>
      <w:r w:rsidR="005B6D6B" w:rsidRPr="00531776">
        <w:rPr>
          <w:rFonts w:ascii="Arial" w:hAnsi="Arial" w:cs="Arial"/>
          <w:iCs/>
          <w:sz w:val="24"/>
          <w:szCs w:val="24"/>
        </w:rPr>
        <w:t>owever</w:t>
      </w:r>
      <w:r w:rsidR="00D153FF">
        <w:rPr>
          <w:rFonts w:ascii="Arial" w:hAnsi="Arial" w:cs="Arial"/>
          <w:iCs/>
          <w:sz w:val="24"/>
          <w:szCs w:val="24"/>
        </w:rPr>
        <w:t>,</w:t>
      </w:r>
      <w:r w:rsidR="005B6D6B" w:rsidRPr="00531776">
        <w:rPr>
          <w:rFonts w:ascii="Arial" w:hAnsi="Arial" w:cs="Arial"/>
          <w:iCs/>
          <w:sz w:val="24"/>
          <w:szCs w:val="24"/>
        </w:rPr>
        <w:t xml:space="preserve"> in practice</w:t>
      </w:r>
      <w:r w:rsidR="00D153FF">
        <w:rPr>
          <w:rFonts w:ascii="Arial" w:hAnsi="Arial" w:cs="Arial"/>
          <w:iCs/>
          <w:sz w:val="24"/>
          <w:szCs w:val="24"/>
        </w:rPr>
        <w:t>,</w:t>
      </w:r>
      <w:r w:rsidR="005B6D6B" w:rsidRPr="00531776">
        <w:rPr>
          <w:rFonts w:ascii="Arial" w:hAnsi="Arial" w:cs="Arial"/>
          <w:iCs/>
          <w:sz w:val="24"/>
          <w:szCs w:val="24"/>
        </w:rPr>
        <w:t xml:space="preserve"> there are currently no sole traders operating under a gaming machine license in the ACT.  </w:t>
      </w:r>
      <w:r w:rsidRPr="00531776">
        <w:rPr>
          <w:rFonts w:ascii="Arial" w:hAnsi="Arial" w:cs="Arial"/>
          <w:iCs/>
          <w:sz w:val="24"/>
          <w:szCs w:val="24"/>
        </w:rPr>
        <w:t xml:space="preserve"> </w:t>
      </w:r>
    </w:p>
    <w:p w14:paraId="25E5EC3A" w14:textId="5E62DF51" w:rsidR="00E90DF9" w:rsidRDefault="00E90DF9" w:rsidP="00E90DF9">
      <w:pPr>
        <w:rPr>
          <w:rFonts w:ascii="Arial" w:hAnsi="Arial" w:cs="Arial"/>
          <w:b/>
          <w:sz w:val="24"/>
          <w:szCs w:val="24"/>
        </w:rPr>
      </w:pPr>
      <w:r w:rsidRPr="00AC59DF">
        <w:rPr>
          <w:rFonts w:ascii="Arial" w:hAnsi="Arial" w:cs="Arial"/>
          <w:b/>
          <w:sz w:val="24"/>
          <w:szCs w:val="24"/>
        </w:rPr>
        <w:t>CONSULTATION ON THE PROPOSED APPROACH</w:t>
      </w:r>
    </w:p>
    <w:p w14:paraId="039C84EE" w14:textId="29B88E79" w:rsidR="00262C0F" w:rsidRDefault="00262C0F" w:rsidP="00E90DF9">
      <w:pPr>
        <w:rPr>
          <w:rFonts w:ascii="Arial" w:hAnsi="Arial" w:cs="Arial"/>
          <w:iCs/>
          <w:sz w:val="24"/>
          <w:szCs w:val="24"/>
        </w:rPr>
      </w:pPr>
      <w:r w:rsidRPr="00262C0F">
        <w:rPr>
          <w:rFonts w:ascii="Arial" w:hAnsi="Arial" w:cs="Arial"/>
          <w:iCs/>
          <w:sz w:val="24"/>
          <w:szCs w:val="24"/>
        </w:rPr>
        <w:t xml:space="preserve">Extensive consultation has occurred </w:t>
      </w:r>
      <w:r w:rsidR="00F63A61">
        <w:rPr>
          <w:rFonts w:ascii="Arial" w:hAnsi="Arial" w:cs="Arial"/>
          <w:iCs/>
          <w:sz w:val="24"/>
          <w:szCs w:val="24"/>
        </w:rPr>
        <w:t xml:space="preserve">on the account-based gaming reforms through the Cashless Gaming Working Group. The stakeholders </w:t>
      </w:r>
      <w:r w:rsidR="0088329F">
        <w:rPr>
          <w:rFonts w:ascii="Arial" w:hAnsi="Arial" w:cs="Arial"/>
          <w:iCs/>
          <w:sz w:val="24"/>
          <w:szCs w:val="24"/>
        </w:rPr>
        <w:t xml:space="preserve">represented on the Working Group </w:t>
      </w:r>
      <w:r w:rsidR="0018351F">
        <w:rPr>
          <w:rFonts w:ascii="Arial" w:hAnsi="Arial" w:cs="Arial"/>
          <w:iCs/>
          <w:sz w:val="24"/>
          <w:szCs w:val="24"/>
        </w:rPr>
        <w:t xml:space="preserve">included: </w:t>
      </w:r>
    </w:p>
    <w:p w14:paraId="5C4B3C41" w14:textId="77777777" w:rsidR="00F63A61" w:rsidRPr="00F63A61" w:rsidRDefault="00F63A61" w:rsidP="00F63A61">
      <w:pPr>
        <w:numPr>
          <w:ilvl w:val="0"/>
          <w:numId w:val="5"/>
        </w:numPr>
        <w:rPr>
          <w:rFonts w:ascii="Arial" w:hAnsi="Arial" w:cs="Arial"/>
          <w:bCs/>
          <w:iCs/>
          <w:sz w:val="24"/>
          <w:szCs w:val="24"/>
          <w:lang w:eastAsia="en-AU"/>
        </w:rPr>
      </w:pPr>
      <w:proofErr w:type="spellStart"/>
      <w:r w:rsidRPr="00F63A61">
        <w:rPr>
          <w:rFonts w:ascii="Arial" w:hAnsi="Arial" w:cs="Arial"/>
          <w:bCs/>
          <w:iCs/>
          <w:sz w:val="24"/>
          <w:szCs w:val="24"/>
          <w:lang w:eastAsia="en-AU"/>
        </w:rPr>
        <w:t>ClubsACT</w:t>
      </w:r>
      <w:proofErr w:type="spellEnd"/>
      <w:r w:rsidRPr="00F63A61">
        <w:rPr>
          <w:rFonts w:ascii="Arial" w:hAnsi="Arial" w:cs="Arial"/>
          <w:bCs/>
          <w:iCs/>
          <w:sz w:val="24"/>
          <w:szCs w:val="24"/>
          <w:lang w:eastAsia="en-AU"/>
        </w:rPr>
        <w:t>, including several ACT club representatives</w:t>
      </w:r>
    </w:p>
    <w:p w14:paraId="4D537C67"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Relationships Australia</w:t>
      </w:r>
    </w:p>
    <w:p w14:paraId="16D85FC0"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 xml:space="preserve">Care Financial Counselling </w:t>
      </w:r>
    </w:p>
    <w:p w14:paraId="05DE048C"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 xml:space="preserve">Canberra Gambling Reform Alliance </w:t>
      </w:r>
    </w:p>
    <w:p w14:paraId="31612063"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ACTCOSS</w:t>
      </w:r>
    </w:p>
    <w:p w14:paraId="76245246"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lastRenderedPageBreak/>
        <w:t>Youth Coalition</w:t>
      </w:r>
    </w:p>
    <w:p w14:paraId="6A753F3D"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ANU</w:t>
      </w:r>
    </w:p>
    <w:p w14:paraId="2F07F216" w14:textId="77777777" w:rsidR="00F63A61" w:rsidRPr="00F63A61" w:rsidRDefault="00F63A61" w:rsidP="00F63A61">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 xml:space="preserve">Canberra Multicultural Community Forum </w:t>
      </w:r>
    </w:p>
    <w:p w14:paraId="0A0D68AC" w14:textId="53A3715C" w:rsidR="00262C0F" w:rsidRPr="0003453B" w:rsidRDefault="00F63A61" w:rsidP="00E90DF9">
      <w:pPr>
        <w:numPr>
          <w:ilvl w:val="0"/>
          <w:numId w:val="5"/>
        </w:numPr>
        <w:rPr>
          <w:rFonts w:ascii="Arial" w:hAnsi="Arial" w:cs="Arial"/>
          <w:bCs/>
          <w:iCs/>
          <w:sz w:val="24"/>
          <w:szCs w:val="24"/>
          <w:lang w:eastAsia="en-AU"/>
        </w:rPr>
      </w:pPr>
      <w:r w:rsidRPr="00F63A61">
        <w:rPr>
          <w:rFonts w:ascii="Arial" w:hAnsi="Arial" w:cs="Arial"/>
          <w:bCs/>
          <w:iCs/>
          <w:sz w:val="24"/>
          <w:szCs w:val="24"/>
          <w:lang w:eastAsia="en-AU"/>
        </w:rPr>
        <w:t xml:space="preserve">Gaming Technologies Association. </w:t>
      </w:r>
    </w:p>
    <w:p w14:paraId="23CB6687" w14:textId="0B517A49" w:rsidR="00CF76B1" w:rsidRPr="005B0897" w:rsidRDefault="00CF76B1" w:rsidP="005B0897">
      <w:pPr>
        <w:rPr>
          <w:rFonts w:ascii="Arial" w:hAnsi="Arial" w:cs="Arial"/>
          <w:b/>
          <w:sz w:val="24"/>
          <w:szCs w:val="24"/>
        </w:rPr>
      </w:pPr>
      <w:r w:rsidRPr="005B0897">
        <w:rPr>
          <w:rFonts w:ascii="Arial" w:hAnsi="Arial" w:cs="Arial"/>
          <w:b/>
          <w:sz w:val="24"/>
          <w:szCs w:val="24"/>
        </w:rPr>
        <w:t>CLIMATE IMPACT</w:t>
      </w:r>
    </w:p>
    <w:p w14:paraId="265A2B2A" w14:textId="64079EFB" w:rsidR="00A53E70" w:rsidRPr="007C569C" w:rsidRDefault="007C569C" w:rsidP="005B0897">
      <w:pPr>
        <w:rPr>
          <w:rFonts w:ascii="Arial" w:hAnsi="Arial" w:cs="Arial"/>
          <w:iCs/>
          <w:sz w:val="24"/>
          <w:szCs w:val="24"/>
        </w:rPr>
      </w:pPr>
      <w:r w:rsidRPr="007C569C">
        <w:rPr>
          <w:rFonts w:ascii="Arial" w:hAnsi="Arial" w:cs="Arial"/>
          <w:iCs/>
          <w:sz w:val="24"/>
          <w:szCs w:val="24"/>
        </w:rPr>
        <w:t xml:space="preserve">This Bill does not have a climate impact. </w:t>
      </w:r>
    </w:p>
    <w:p w14:paraId="1E002791" w14:textId="13B1C834" w:rsidR="00E90DF9" w:rsidRDefault="00E90DF9" w:rsidP="00E90DF9">
      <w:pPr>
        <w:pStyle w:val="Heading2"/>
      </w:pPr>
      <w:r>
        <w:t xml:space="preserve">CONSISTENCY WITH </w:t>
      </w:r>
      <w:r w:rsidRPr="008C225D">
        <w:t>HUMAN RIGHTS</w:t>
      </w:r>
    </w:p>
    <w:p w14:paraId="3AA827AB" w14:textId="77777777" w:rsidR="00E90DF9" w:rsidRPr="00414921" w:rsidRDefault="00E90DF9" w:rsidP="00E90DF9">
      <w:pPr>
        <w:rPr>
          <w:rFonts w:ascii="Arial" w:hAnsi="Arial" w:cs="Arial"/>
          <w:b/>
          <w:bCs/>
          <w:iCs/>
          <w:sz w:val="24"/>
          <w:szCs w:val="24"/>
        </w:rPr>
      </w:pPr>
      <w:r w:rsidRPr="00414921">
        <w:rPr>
          <w:rFonts w:ascii="Arial" w:hAnsi="Arial" w:cs="Arial"/>
          <w:b/>
          <w:bCs/>
          <w:iCs/>
          <w:sz w:val="24"/>
          <w:szCs w:val="24"/>
        </w:rPr>
        <w:t>Rights engaged</w:t>
      </w:r>
    </w:p>
    <w:p w14:paraId="25980DC1" w14:textId="77777777" w:rsidR="00EB45CA" w:rsidRDefault="00EB45CA" w:rsidP="00EB45CA">
      <w:pPr>
        <w:spacing w:after="0"/>
        <w:rPr>
          <w:rFonts w:ascii="Arial" w:hAnsi="Arial" w:cs="Arial"/>
          <w:iCs/>
          <w:sz w:val="24"/>
          <w:szCs w:val="24"/>
        </w:rPr>
      </w:pPr>
      <w:r>
        <w:rPr>
          <w:rFonts w:ascii="Arial" w:hAnsi="Arial" w:cs="Arial"/>
          <w:iCs/>
          <w:sz w:val="24"/>
          <w:szCs w:val="24"/>
        </w:rPr>
        <w:t xml:space="preserve">The Bill engages the following sections of the </w:t>
      </w:r>
      <w:r w:rsidRPr="0026681A">
        <w:rPr>
          <w:rFonts w:ascii="Arial" w:hAnsi="Arial" w:cs="Arial"/>
          <w:i/>
          <w:sz w:val="24"/>
          <w:szCs w:val="24"/>
        </w:rPr>
        <w:t>Human Rights Act 2004</w:t>
      </w:r>
      <w:r>
        <w:rPr>
          <w:rFonts w:ascii="Arial" w:hAnsi="Arial" w:cs="Arial"/>
          <w:iCs/>
          <w:sz w:val="24"/>
          <w:szCs w:val="24"/>
        </w:rPr>
        <w:t xml:space="preserve"> (</w:t>
      </w:r>
      <w:r w:rsidRPr="002E2989">
        <w:rPr>
          <w:rFonts w:ascii="Arial" w:hAnsi="Arial" w:cs="Arial"/>
          <w:b/>
          <w:bCs/>
          <w:iCs/>
          <w:sz w:val="24"/>
          <w:szCs w:val="24"/>
        </w:rPr>
        <w:t>HRA</w:t>
      </w:r>
      <w:r>
        <w:rPr>
          <w:rFonts w:ascii="Arial" w:hAnsi="Arial" w:cs="Arial"/>
          <w:iCs/>
          <w:sz w:val="24"/>
          <w:szCs w:val="24"/>
        </w:rPr>
        <w:t>):</w:t>
      </w:r>
    </w:p>
    <w:p w14:paraId="555474B0" w14:textId="77777777" w:rsidR="00EB45CA" w:rsidRPr="00023256" w:rsidRDefault="00EB45CA" w:rsidP="00EB45CA">
      <w:pPr>
        <w:pStyle w:val="ListParagraph"/>
        <w:numPr>
          <w:ilvl w:val="0"/>
          <w:numId w:val="6"/>
        </w:numPr>
        <w:rPr>
          <w:rFonts w:ascii="Arial" w:hAnsi="Arial" w:cs="Arial"/>
          <w:iCs/>
          <w:sz w:val="24"/>
          <w:szCs w:val="24"/>
        </w:rPr>
      </w:pPr>
      <w:r>
        <w:rPr>
          <w:rFonts w:ascii="Arial" w:hAnsi="Arial" w:cs="Arial"/>
          <w:iCs/>
          <w:sz w:val="24"/>
          <w:szCs w:val="24"/>
        </w:rPr>
        <w:t xml:space="preserve">Section 11 – right to protection of the family and children </w:t>
      </w:r>
      <w:r w:rsidRPr="002E2989">
        <w:rPr>
          <w:rFonts w:ascii="Arial" w:hAnsi="Arial" w:cs="Arial"/>
          <w:i/>
          <w:sz w:val="24"/>
          <w:szCs w:val="24"/>
        </w:rPr>
        <w:t>(promote</w:t>
      </w:r>
      <w:r>
        <w:rPr>
          <w:rFonts w:ascii="Arial" w:hAnsi="Arial" w:cs="Arial"/>
          <w:i/>
          <w:sz w:val="24"/>
          <w:szCs w:val="24"/>
        </w:rPr>
        <w:t>d</w:t>
      </w:r>
      <w:r w:rsidRPr="002E2989">
        <w:rPr>
          <w:rFonts w:ascii="Arial" w:hAnsi="Arial" w:cs="Arial"/>
          <w:i/>
          <w:sz w:val="24"/>
          <w:szCs w:val="24"/>
        </w:rPr>
        <w:t>)</w:t>
      </w:r>
    </w:p>
    <w:p w14:paraId="68C48ABD" w14:textId="27A95296" w:rsidR="008D00AB" w:rsidRPr="00531776" w:rsidRDefault="00EB45CA" w:rsidP="008D00AB">
      <w:pPr>
        <w:pStyle w:val="ListParagraph"/>
        <w:numPr>
          <w:ilvl w:val="0"/>
          <w:numId w:val="6"/>
        </w:numPr>
        <w:rPr>
          <w:rFonts w:ascii="Arial" w:hAnsi="Arial" w:cs="Arial"/>
          <w:iCs/>
          <w:sz w:val="24"/>
          <w:szCs w:val="24"/>
        </w:rPr>
      </w:pPr>
      <w:r>
        <w:rPr>
          <w:rFonts w:ascii="Arial" w:hAnsi="Arial" w:cs="Arial"/>
          <w:iCs/>
          <w:sz w:val="24"/>
          <w:szCs w:val="24"/>
        </w:rPr>
        <w:t xml:space="preserve">Section 12 – right to privacy and reputation </w:t>
      </w:r>
      <w:r w:rsidRPr="002E2989">
        <w:rPr>
          <w:rFonts w:ascii="Arial" w:hAnsi="Arial" w:cs="Arial"/>
          <w:i/>
          <w:sz w:val="24"/>
          <w:szCs w:val="24"/>
        </w:rPr>
        <w:t>(limit</w:t>
      </w:r>
      <w:r>
        <w:rPr>
          <w:rFonts w:ascii="Arial" w:hAnsi="Arial" w:cs="Arial"/>
          <w:i/>
          <w:sz w:val="24"/>
          <w:szCs w:val="24"/>
        </w:rPr>
        <w:t>ed</w:t>
      </w:r>
      <w:r w:rsidRPr="002E2989">
        <w:rPr>
          <w:rFonts w:ascii="Arial" w:hAnsi="Arial" w:cs="Arial"/>
          <w:i/>
          <w:sz w:val="24"/>
          <w:szCs w:val="24"/>
        </w:rPr>
        <w:t>)</w:t>
      </w:r>
    </w:p>
    <w:p w14:paraId="75D0DE58" w14:textId="77777777" w:rsidR="00EB45CA" w:rsidRDefault="00EB45CA" w:rsidP="00EB45CA">
      <w:pPr>
        <w:pStyle w:val="ListParagraph"/>
        <w:numPr>
          <w:ilvl w:val="0"/>
          <w:numId w:val="6"/>
        </w:numPr>
        <w:rPr>
          <w:rFonts w:ascii="Arial" w:hAnsi="Arial" w:cs="Arial"/>
          <w:iCs/>
          <w:sz w:val="24"/>
          <w:szCs w:val="24"/>
        </w:rPr>
      </w:pPr>
      <w:r>
        <w:rPr>
          <w:rFonts w:ascii="Arial" w:hAnsi="Arial" w:cs="Arial"/>
          <w:iCs/>
          <w:sz w:val="24"/>
          <w:szCs w:val="24"/>
        </w:rPr>
        <w:t>Section 22 – rights in criminal proceedings (right to presumption of innocence) (</w:t>
      </w:r>
      <w:r>
        <w:rPr>
          <w:rFonts w:ascii="Arial" w:hAnsi="Arial" w:cs="Arial"/>
          <w:i/>
          <w:sz w:val="24"/>
          <w:szCs w:val="24"/>
        </w:rPr>
        <w:t>limited)</w:t>
      </w:r>
      <w:r>
        <w:rPr>
          <w:rFonts w:ascii="Arial" w:hAnsi="Arial" w:cs="Arial"/>
          <w:iCs/>
          <w:sz w:val="24"/>
          <w:szCs w:val="24"/>
        </w:rPr>
        <w:t xml:space="preserve"> </w:t>
      </w:r>
    </w:p>
    <w:p w14:paraId="68EEDEB6" w14:textId="77777777" w:rsidR="00EB45CA" w:rsidRPr="00A81EEA" w:rsidRDefault="00EB45CA" w:rsidP="00EB45CA">
      <w:pPr>
        <w:pStyle w:val="ListParagraph"/>
        <w:rPr>
          <w:rFonts w:ascii="Arial" w:hAnsi="Arial" w:cs="Arial"/>
          <w:iCs/>
          <w:sz w:val="24"/>
          <w:szCs w:val="24"/>
        </w:rPr>
      </w:pPr>
    </w:p>
    <w:p w14:paraId="0C61066B" w14:textId="77777777" w:rsidR="009510AB" w:rsidRDefault="00EB45CA" w:rsidP="00EB45CA">
      <w:pPr>
        <w:rPr>
          <w:rFonts w:ascii="Arial" w:hAnsi="Arial" w:cs="Arial"/>
          <w:iCs/>
          <w:sz w:val="24"/>
          <w:szCs w:val="24"/>
        </w:rPr>
      </w:pPr>
      <w:r>
        <w:rPr>
          <w:rFonts w:ascii="Arial" w:hAnsi="Arial" w:cs="Arial"/>
          <w:iCs/>
          <w:sz w:val="24"/>
          <w:szCs w:val="24"/>
        </w:rPr>
        <w:t>The ways in which the Bill does this are set out below.</w:t>
      </w:r>
    </w:p>
    <w:p w14:paraId="2EE2D8FD" w14:textId="25D21E42" w:rsidR="00EB45CA" w:rsidRPr="00023256" w:rsidRDefault="009510AB" w:rsidP="00EB45CA">
      <w:pPr>
        <w:rPr>
          <w:rFonts w:ascii="Arial" w:hAnsi="Arial" w:cs="Arial"/>
          <w:iCs/>
          <w:sz w:val="24"/>
          <w:szCs w:val="24"/>
        </w:rPr>
      </w:pPr>
      <w:r w:rsidRPr="009510AB">
        <w:rPr>
          <w:rFonts w:ascii="Arial" w:hAnsi="Arial" w:cs="Arial"/>
          <w:iCs/>
          <w:sz w:val="24"/>
          <w:szCs w:val="24"/>
        </w:rPr>
        <w:t xml:space="preserve">While </w:t>
      </w:r>
      <w:r>
        <w:rPr>
          <w:rFonts w:ascii="Arial" w:hAnsi="Arial" w:cs="Arial"/>
          <w:iCs/>
          <w:sz w:val="24"/>
          <w:szCs w:val="24"/>
        </w:rPr>
        <w:t>many</w:t>
      </w:r>
      <w:r w:rsidRPr="009510AB">
        <w:rPr>
          <w:rFonts w:ascii="Arial" w:hAnsi="Arial" w:cs="Arial"/>
          <w:iCs/>
          <w:sz w:val="24"/>
          <w:szCs w:val="24"/>
        </w:rPr>
        <w:t xml:space="preserve"> of the provisions </w:t>
      </w:r>
      <w:r w:rsidR="00FF6829">
        <w:rPr>
          <w:rFonts w:ascii="Arial" w:hAnsi="Arial" w:cs="Arial"/>
          <w:iCs/>
          <w:sz w:val="24"/>
          <w:szCs w:val="24"/>
        </w:rPr>
        <w:t>in the Bill only</w:t>
      </w:r>
      <w:r w:rsidRPr="009510AB">
        <w:rPr>
          <w:rFonts w:ascii="Arial" w:hAnsi="Arial" w:cs="Arial"/>
          <w:iCs/>
          <w:sz w:val="24"/>
          <w:szCs w:val="24"/>
        </w:rPr>
        <w:t xml:space="preserve"> apply to licensees and would not, in most cases, engage the HRA, this assessment considers the potential limitation of rights where a licensee operates as a sole trader. In those circumstances, the HRA is engaged and the rights analysis is therefore required. </w:t>
      </w:r>
    </w:p>
    <w:p w14:paraId="774721D1" w14:textId="77777777" w:rsidR="00E90DF9" w:rsidRDefault="00E90DF9" w:rsidP="00E90DF9">
      <w:pPr>
        <w:rPr>
          <w:rFonts w:ascii="Arial" w:hAnsi="Arial" w:cs="Arial"/>
          <w:b/>
          <w:bCs/>
          <w:i/>
          <w:sz w:val="24"/>
          <w:szCs w:val="24"/>
        </w:rPr>
      </w:pPr>
      <w:r w:rsidRPr="00412152">
        <w:rPr>
          <w:rFonts w:ascii="Arial" w:hAnsi="Arial" w:cs="Arial"/>
          <w:b/>
          <w:bCs/>
          <w:i/>
          <w:sz w:val="24"/>
          <w:szCs w:val="24"/>
        </w:rPr>
        <w:t>Rights Promoted</w:t>
      </w:r>
    </w:p>
    <w:p w14:paraId="6E6C04E9" w14:textId="3AD0C2AE" w:rsidR="00EB45CA" w:rsidRPr="000431A0" w:rsidRDefault="00EB45CA" w:rsidP="00EB45CA">
      <w:pPr>
        <w:rPr>
          <w:rFonts w:ascii="Arial" w:hAnsi="Arial" w:cs="Arial"/>
          <w:sz w:val="24"/>
          <w:szCs w:val="24"/>
          <w:lang w:eastAsia="en-AU"/>
        </w:rPr>
      </w:pPr>
      <w:r>
        <w:rPr>
          <w:rFonts w:ascii="Arial" w:hAnsi="Arial" w:cs="Arial"/>
          <w:sz w:val="24"/>
          <w:szCs w:val="24"/>
          <w:lang w:eastAsia="en-AU"/>
        </w:rPr>
        <w:t xml:space="preserve">Under section 11 of the HRA, the right to protection of the family and children </w:t>
      </w:r>
      <w:r w:rsidRPr="00507BEB">
        <w:rPr>
          <w:rFonts w:ascii="Arial" w:hAnsi="Arial" w:cs="Arial"/>
          <w:sz w:val="24"/>
          <w:szCs w:val="24"/>
          <w:lang w:eastAsia="en-AU"/>
        </w:rPr>
        <w:t>recognises the importance of the family unit in making up society and the benefits that come from preserving family relations</w:t>
      </w:r>
      <w:r>
        <w:rPr>
          <w:rFonts w:ascii="Arial" w:hAnsi="Arial" w:cs="Arial"/>
          <w:sz w:val="24"/>
          <w:szCs w:val="24"/>
          <w:lang w:eastAsia="en-AU"/>
        </w:rPr>
        <w:t>.</w:t>
      </w:r>
      <w:r w:rsidR="00AB4219">
        <w:rPr>
          <w:rFonts w:ascii="Arial" w:hAnsi="Arial" w:cs="Arial"/>
          <w:sz w:val="24"/>
          <w:szCs w:val="24"/>
          <w:lang w:eastAsia="en-AU"/>
        </w:rPr>
        <w:t xml:space="preserve"> </w:t>
      </w:r>
      <w:r>
        <w:rPr>
          <w:rFonts w:ascii="Arial" w:hAnsi="Arial" w:cs="Arial"/>
          <w:sz w:val="24"/>
          <w:szCs w:val="24"/>
          <w:lang w:eastAsia="en-AU"/>
        </w:rPr>
        <w:t xml:space="preserve">The right also protects the special human rights of children, </w:t>
      </w:r>
      <w:r w:rsidR="00DE4772">
        <w:rPr>
          <w:rFonts w:ascii="Arial" w:hAnsi="Arial" w:cs="Arial"/>
          <w:sz w:val="24"/>
          <w:szCs w:val="24"/>
          <w:lang w:eastAsia="en-AU"/>
        </w:rPr>
        <w:t>considering</w:t>
      </w:r>
      <w:r>
        <w:rPr>
          <w:rFonts w:ascii="Arial" w:hAnsi="Arial" w:cs="Arial"/>
          <w:sz w:val="24"/>
          <w:szCs w:val="24"/>
          <w:lang w:eastAsia="en-AU"/>
        </w:rPr>
        <w:t xml:space="preserve"> their particular vulnerabilities. </w:t>
      </w:r>
    </w:p>
    <w:p w14:paraId="7A0CFA6B" w14:textId="71926DB8" w:rsidR="007773D1" w:rsidRDefault="00063273" w:rsidP="00E90DF9">
      <w:pPr>
        <w:rPr>
          <w:rFonts w:ascii="Arial" w:hAnsi="Arial" w:cs="Arial"/>
          <w:iCs/>
          <w:sz w:val="24"/>
          <w:szCs w:val="24"/>
        </w:rPr>
      </w:pPr>
      <w:r w:rsidRPr="00063273">
        <w:rPr>
          <w:rFonts w:ascii="Arial" w:hAnsi="Arial" w:cs="Arial"/>
          <w:iCs/>
          <w:sz w:val="24"/>
          <w:szCs w:val="24"/>
        </w:rPr>
        <w:t xml:space="preserve">The amendments relating to account-based gaming will promote the right to protection of the family and children by </w:t>
      </w:r>
      <w:r w:rsidR="00412152">
        <w:rPr>
          <w:rFonts w:ascii="Arial" w:hAnsi="Arial" w:cs="Arial"/>
          <w:iCs/>
          <w:sz w:val="24"/>
          <w:szCs w:val="24"/>
        </w:rPr>
        <w:t xml:space="preserve">including specific offence provisions relating to children. The Bill </w:t>
      </w:r>
      <w:r w:rsidRPr="00063273">
        <w:rPr>
          <w:rFonts w:ascii="Arial" w:hAnsi="Arial" w:cs="Arial"/>
          <w:iCs/>
          <w:sz w:val="24"/>
          <w:szCs w:val="24"/>
        </w:rPr>
        <w:t>introduc</w:t>
      </w:r>
      <w:r w:rsidR="00412152">
        <w:rPr>
          <w:rFonts w:ascii="Arial" w:hAnsi="Arial" w:cs="Arial"/>
          <w:iCs/>
          <w:sz w:val="24"/>
          <w:szCs w:val="24"/>
        </w:rPr>
        <w:t>es</w:t>
      </w:r>
      <w:r w:rsidRPr="00063273">
        <w:rPr>
          <w:rFonts w:ascii="Arial" w:hAnsi="Arial" w:cs="Arial"/>
          <w:iCs/>
          <w:sz w:val="24"/>
          <w:szCs w:val="24"/>
        </w:rPr>
        <w:t xml:space="preserve"> mandatory identity verification at the point of player account creation and following a period of exclusion. </w:t>
      </w:r>
      <w:r w:rsidR="00412152">
        <w:rPr>
          <w:rFonts w:ascii="Arial" w:hAnsi="Arial" w:cs="Arial"/>
          <w:iCs/>
          <w:sz w:val="24"/>
          <w:szCs w:val="24"/>
        </w:rPr>
        <w:t>Section 67</w:t>
      </w:r>
      <w:r w:rsidR="00D704C3">
        <w:rPr>
          <w:rFonts w:ascii="Arial" w:hAnsi="Arial" w:cs="Arial"/>
          <w:iCs/>
          <w:sz w:val="24"/>
          <w:szCs w:val="24"/>
        </w:rPr>
        <w:t>J</w:t>
      </w:r>
      <w:r w:rsidR="00412152">
        <w:rPr>
          <w:rFonts w:ascii="Arial" w:hAnsi="Arial" w:cs="Arial"/>
          <w:iCs/>
          <w:sz w:val="24"/>
          <w:szCs w:val="24"/>
        </w:rPr>
        <w:t xml:space="preserve">(1) of the Bill creates an offence for the licensee to issue a player card to a child. </w:t>
      </w:r>
      <w:r w:rsidRPr="00063273">
        <w:rPr>
          <w:rFonts w:ascii="Arial" w:hAnsi="Arial" w:cs="Arial"/>
          <w:iCs/>
          <w:sz w:val="24"/>
          <w:szCs w:val="24"/>
        </w:rPr>
        <w:t>Th</w:t>
      </w:r>
      <w:r w:rsidR="00412152">
        <w:rPr>
          <w:rFonts w:ascii="Arial" w:hAnsi="Arial" w:cs="Arial"/>
          <w:iCs/>
          <w:sz w:val="24"/>
          <w:szCs w:val="24"/>
        </w:rPr>
        <w:t>e rights of a child</w:t>
      </w:r>
      <w:r w:rsidRPr="00063273">
        <w:rPr>
          <w:rFonts w:ascii="Arial" w:hAnsi="Arial" w:cs="Arial"/>
          <w:iCs/>
          <w:sz w:val="24"/>
          <w:szCs w:val="24"/>
        </w:rPr>
        <w:t xml:space="preserve"> right </w:t>
      </w:r>
      <w:r w:rsidR="00412152">
        <w:rPr>
          <w:rFonts w:ascii="Arial" w:hAnsi="Arial" w:cs="Arial"/>
          <w:iCs/>
          <w:sz w:val="24"/>
          <w:szCs w:val="24"/>
        </w:rPr>
        <w:t xml:space="preserve">are </w:t>
      </w:r>
      <w:r w:rsidRPr="00063273">
        <w:rPr>
          <w:rFonts w:ascii="Arial" w:hAnsi="Arial" w:cs="Arial"/>
          <w:iCs/>
          <w:sz w:val="24"/>
          <w:szCs w:val="24"/>
        </w:rPr>
        <w:t>supported by mitigating the risks of a player account being set up by a minor.</w:t>
      </w:r>
      <w:r w:rsidR="00004A04">
        <w:rPr>
          <w:rFonts w:ascii="Arial" w:hAnsi="Arial" w:cs="Arial"/>
          <w:iCs/>
          <w:sz w:val="24"/>
          <w:szCs w:val="24"/>
        </w:rPr>
        <w:t xml:space="preserve"> </w:t>
      </w:r>
    </w:p>
    <w:p w14:paraId="0EF57870" w14:textId="19114E78" w:rsidR="00FE6C83" w:rsidRDefault="00063273" w:rsidP="00E90DF9">
      <w:pPr>
        <w:rPr>
          <w:rFonts w:ascii="Arial" w:hAnsi="Arial" w:cs="Arial"/>
          <w:iCs/>
          <w:sz w:val="24"/>
          <w:szCs w:val="24"/>
        </w:rPr>
      </w:pPr>
      <w:r w:rsidRPr="00063273">
        <w:rPr>
          <w:rFonts w:ascii="Arial" w:hAnsi="Arial" w:cs="Arial"/>
          <w:iCs/>
          <w:sz w:val="24"/>
          <w:szCs w:val="24"/>
        </w:rPr>
        <w:t>Additionally, the mandated use of cashless player cards for gaming machines also supports the right to protection of children by ensuring that gaming machines will no longer be accessible to minors who might have been left unattended at a premises.</w:t>
      </w:r>
      <w:r w:rsidR="00412152">
        <w:rPr>
          <w:rFonts w:ascii="Arial" w:hAnsi="Arial" w:cs="Arial"/>
          <w:iCs/>
          <w:sz w:val="24"/>
          <w:szCs w:val="24"/>
        </w:rPr>
        <w:t xml:space="preserve"> Section 67</w:t>
      </w:r>
      <w:r w:rsidR="00AD11BD">
        <w:rPr>
          <w:rFonts w:ascii="Arial" w:hAnsi="Arial" w:cs="Arial"/>
          <w:iCs/>
          <w:sz w:val="24"/>
          <w:szCs w:val="24"/>
        </w:rPr>
        <w:t>J</w:t>
      </w:r>
      <w:r w:rsidR="00412152">
        <w:rPr>
          <w:rFonts w:ascii="Arial" w:hAnsi="Arial" w:cs="Arial"/>
          <w:iCs/>
          <w:sz w:val="24"/>
          <w:szCs w:val="24"/>
        </w:rPr>
        <w:t xml:space="preserve">(2) makes it an offence for the licensee to allow a child to use the account-based gaming system on the licensee’s authorised premises. </w:t>
      </w:r>
    </w:p>
    <w:p w14:paraId="0FF9D92C" w14:textId="02E4F6DD" w:rsidR="00471169" w:rsidRDefault="00471169" w:rsidP="00E90DF9">
      <w:pPr>
        <w:rPr>
          <w:rFonts w:ascii="Arial" w:hAnsi="Arial" w:cs="Arial"/>
          <w:iCs/>
          <w:sz w:val="24"/>
          <w:szCs w:val="24"/>
        </w:rPr>
      </w:pPr>
      <w:r>
        <w:rPr>
          <w:rFonts w:ascii="Arial" w:hAnsi="Arial" w:cs="Arial"/>
          <w:iCs/>
          <w:sz w:val="24"/>
          <w:szCs w:val="24"/>
        </w:rPr>
        <w:lastRenderedPageBreak/>
        <w:t>Research shows that early childhood exposure to gambling increases the risk of a person experiencing serious gambling harm in adulthood.</w:t>
      </w:r>
      <w:r w:rsidR="00546820">
        <w:rPr>
          <w:rStyle w:val="FootnoteReference"/>
          <w:rFonts w:ascii="Arial" w:hAnsi="Arial"/>
          <w:iCs/>
          <w:sz w:val="24"/>
          <w:szCs w:val="24"/>
        </w:rPr>
        <w:footnoteReference w:id="4"/>
      </w:r>
      <w:r>
        <w:rPr>
          <w:rFonts w:ascii="Arial" w:hAnsi="Arial" w:cs="Arial"/>
          <w:iCs/>
          <w:sz w:val="24"/>
          <w:szCs w:val="24"/>
        </w:rPr>
        <w:t xml:space="preserve"> </w:t>
      </w:r>
      <w:r w:rsidR="00546820">
        <w:rPr>
          <w:rFonts w:ascii="Arial" w:hAnsi="Arial" w:cs="Arial"/>
          <w:iCs/>
          <w:sz w:val="24"/>
          <w:szCs w:val="24"/>
        </w:rPr>
        <w:t>It also indicates that the earlier the exposure to gambling, the greater the risk of gambling harm.</w:t>
      </w:r>
      <w:r w:rsidR="00546820">
        <w:rPr>
          <w:rStyle w:val="FootnoteReference"/>
          <w:rFonts w:ascii="Arial" w:hAnsi="Arial"/>
          <w:iCs/>
          <w:sz w:val="24"/>
          <w:szCs w:val="24"/>
        </w:rPr>
        <w:footnoteReference w:id="5"/>
      </w:r>
      <w:r w:rsidR="00546820">
        <w:rPr>
          <w:rFonts w:ascii="Arial" w:hAnsi="Arial" w:cs="Arial"/>
          <w:iCs/>
          <w:sz w:val="24"/>
          <w:szCs w:val="24"/>
        </w:rPr>
        <w:t xml:space="preserve"> </w:t>
      </w:r>
      <w:r w:rsidR="00116801">
        <w:rPr>
          <w:rFonts w:ascii="Arial" w:hAnsi="Arial" w:cs="Arial"/>
          <w:iCs/>
          <w:sz w:val="24"/>
          <w:szCs w:val="24"/>
        </w:rPr>
        <w:t xml:space="preserve">A study conducted by the Australian Institute of Family Studies in 2018 found that despite strict laws and regulations </w:t>
      </w:r>
      <w:r w:rsidR="00133961">
        <w:rPr>
          <w:rFonts w:ascii="Arial" w:hAnsi="Arial" w:cs="Arial"/>
          <w:iCs/>
          <w:sz w:val="24"/>
          <w:szCs w:val="24"/>
        </w:rPr>
        <w:t>surrounding</w:t>
      </w:r>
      <w:r w:rsidR="00116801">
        <w:rPr>
          <w:rFonts w:ascii="Arial" w:hAnsi="Arial" w:cs="Arial"/>
          <w:iCs/>
          <w:sz w:val="24"/>
          <w:szCs w:val="24"/>
        </w:rPr>
        <w:t xml:space="preserve"> entry into gaming venues, about</w:t>
      </w:r>
      <w:r w:rsidR="00116801" w:rsidRPr="00116801">
        <w:rPr>
          <w:rFonts w:ascii="Arial" w:hAnsi="Arial" w:cs="Arial"/>
          <w:iCs/>
          <w:sz w:val="24"/>
          <w:szCs w:val="24"/>
        </w:rPr>
        <w:t xml:space="preserve"> 2 per cent of 16-17 year-olds – some 9000 </w:t>
      </w:r>
      <w:r w:rsidR="00133961">
        <w:rPr>
          <w:rFonts w:ascii="Arial" w:hAnsi="Arial" w:cs="Arial"/>
          <w:iCs/>
          <w:sz w:val="24"/>
          <w:szCs w:val="24"/>
        </w:rPr>
        <w:t>minors</w:t>
      </w:r>
      <w:r w:rsidR="0088329F">
        <w:rPr>
          <w:rFonts w:ascii="Arial" w:hAnsi="Arial" w:cs="Arial"/>
          <w:iCs/>
          <w:sz w:val="24"/>
          <w:szCs w:val="24"/>
        </w:rPr>
        <w:t xml:space="preserve"> –</w:t>
      </w:r>
      <w:r w:rsidR="00133961">
        <w:rPr>
          <w:rFonts w:ascii="Arial" w:hAnsi="Arial" w:cs="Arial"/>
          <w:iCs/>
          <w:sz w:val="24"/>
          <w:szCs w:val="24"/>
        </w:rPr>
        <w:t xml:space="preserve"> </w:t>
      </w:r>
      <w:r w:rsidR="00116801">
        <w:rPr>
          <w:rFonts w:ascii="Arial" w:hAnsi="Arial" w:cs="Arial"/>
          <w:iCs/>
          <w:sz w:val="24"/>
          <w:szCs w:val="24"/>
        </w:rPr>
        <w:t>had</w:t>
      </w:r>
      <w:r w:rsidR="0088329F">
        <w:rPr>
          <w:rFonts w:ascii="Arial" w:hAnsi="Arial" w:cs="Arial"/>
          <w:iCs/>
          <w:sz w:val="24"/>
          <w:szCs w:val="24"/>
        </w:rPr>
        <w:t xml:space="preserve"> </w:t>
      </w:r>
      <w:r w:rsidR="00116801" w:rsidRPr="00116801">
        <w:rPr>
          <w:rFonts w:ascii="Arial" w:hAnsi="Arial" w:cs="Arial"/>
          <w:iCs/>
          <w:sz w:val="24"/>
          <w:szCs w:val="24"/>
        </w:rPr>
        <w:t>reported having spent money on poker machines, casino table games and Keno.</w:t>
      </w:r>
      <w:r w:rsidR="00DC0D12">
        <w:rPr>
          <w:rStyle w:val="FootnoteReference"/>
          <w:rFonts w:ascii="Arial" w:hAnsi="Arial"/>
          <w:iCs/>
          <w:sz w:val="24"/>
          <w:szCs w:val="24"/>
        </w:rPr>
        <w:footnoteReference w:id="6"/>
      </w:r>
    </w:p>
    <w:p w14:paraId="54FE1438" w14:textId="29391C0A" w:rsidR="00E90DF9" w:rsidRPr="00BC3EF0" w:rsidRDefault="00E90DF9" w:rsidP="00E90DF9">
      <w:pPr>
        <w:rPr>
          <w:rFonts w:ascii="Arial" w:hAnsi="Arial" w:cs="Arial"/>
          <w:b/>
          <w:bCs/>
          <w:i/>
          <w:sz w:val="24"/>
          <w:szCs w:val="24"/>
        </w:rPr>
      </w:pPr>
      <w:r w:rsidRPr="00BC3EF0">
        <w:rPr>
          <w:rFonts w:ascii="Arial" w:hAnsi="Arial" w:cs="Arial"/>
          <w:b/>
          <w:bCs/>
          <w:i/>
          <w:sz w:val="24"/>
          <w:szCs w:val="24"/>
        </w:rPr>
        <w:t>Rights Limited</w:t>
      </w:r>
    </w:p>
    <w:p w14:paraId="5717405B" w14:textId="77777777" w:rsidR="00AD2A3A" w:rsidRPr="000D192F" w:rsidRDefault="00AD2A3A" w:rsidP="00AD2A3A">
      <w:pPr>
        <w:rPr>
          <w:rFonts w:ascii="Arial" w:hAnsi="Arial" w:cs="Arial"/>
          <w:sz w:val="24"/>
          <w:szCs w:val="24"/>
          <w:lang w:eastAsia="en-AU"/>
        </w:rPr>
      </w:pPr>
      <w:r w:rsidRPr="000D192F">
        <w:rPr>
          <w:rFonts w:ascii="Arial" w:hAnsi="Arial" w:cs="Arial"/>
          <w:sz w:val="24"/>
          <w:szCs w:val="24"/>
          <w:lang w:eastAsia="en-AU"/>
        </w:rPr>
        <w:t xml:space="preserve">The preamble to the HRA notes that few rights are absolute and that they may be subject to reasonable limits in law that can be demonstrably justified in a free and democratic society. </w:t>
      </w:r>
    </w:p>
    <w:p w14:paraId="320CBEC6" w14:textId="77777777" w:rsidR="00AD2A3A" w:rsidRPr="000D192F" w:rsidRDefault="00AD2A3A" w:rsidP="00AD2A3A">
      <w:pPr>
        <w:rPr>
          <w:rFonts w:ascii="Arial" w:hAnsi="Arial" w:cs="Arial"/>
          <w:sz w:val="24"/>
          <w:szCs w:val="24"/>
          <w:lang w:eastAsia="en-AU"/>
        </w:rPr>
      </w:pPr>
      <w:r w:rsidRPr="000D192F">
        <w:rPr>
          <w:rFonts w:ascii="Arial" w:hAnsi="Arial" w:cs="Arial"/>
          <w:sz w:val="24"/>
          <w:szCs w:val="24"/>
          <w:lang w:eastAsia="en-AU"/>
        </w:rPr>
        <w:t xml:space="preserve">Section 28 (2) of the HRA contains the framework that is used to determine the acceptable limitations that may be placed on human rights. </w:t>
      </w:r>
    </w:p>
    <w:p w14:paraId="2DFF71FF" w14:textId="77777777" w:rsidR="00AD2A3A" w:rsidRDefault="00AD2A3A" w:rsidP="00AD2A3A">
      <w:pPr>
        <w:rPr>
          <w:rFonts w:ascii="Arial" w:hAnsi="Arial" w:cs="Arial"/>
          <w:sz w:val="24"/>
          <w:szCs w:val="24"/>
          <w:lang w:eastAsia="en-AU"/>
        </w:rPr>
      </w:pPr>
      <w:r w:rsidRPr="000D192F">
        <w:rPr>
          <w:rFonts w:ascii="Arial" w:hAnsi="Arial" w:cs="Arial"/>
          <w:sz w:val="24"/>
          <w:szCs w:val="24"/>
          <w:lang w:eastAsia="en-AU"/>
        </w:rPr>
        <w:t xml:space="preserve">Section 28 of the HRA requires that any limitation on a human right be authorised by a Territory law, be based on evidence, and be reasonable to achieve a legitimate aim. Whether a limitation is reasonable depends on whether it is proportionate. </w:t>
      </w:r>
    </w:p>
    <w:p w14:paraId="404A1838" w14:textId="2FBF3332" w:rsidR="00AD2A3A" w:rsidRPr="00AD2A3A" w:rsidRDefault="00AD2A3A" w:rsidP="00AD2A3A">
      <w:pPr>
        <w:rPr>
          <w:rFonts w:ascii="Arial" w:hAnsi="Arial" w:cs="Arial"/>
          <w:sz w:val="24"/>
          <w:szCs w:val="24"/>
          <w:u w:val="single"/>
          <w:lang w:eastAsia="en-AU"/>
        </w:rPr>
      </w:pPr>
      <w:r w:rsidRPr="004F2E12">
        <w:rPr>
          <w:rFonts w:ascii="Arial" w:hAnsi="Arial" w:cs="Arial"/>
          <w:iCs/>
          <w:sz w:val="24"/>
          <w:szCs w:val="24"/>
          <w:u w:val="single"/>
        </w:rPr>
        <w:t>Section 12 – right to privacy and reputation</w:t>
      </w:r>
    </w:p>
    <w:p w14:paraId="39978987" w14:textId="4BF3EE9A" w:rsidR="00E90DF9" w:rsidRPr="00414921" w:rsidRDefault="00E90DF9" w:rsidP="00E90DF9">
      <w:pPr>
        <w:pStyle w:val="ListParagraph"/>
        <w:numPr>
          <w:ilvl w:val="0"/>
          <w:numId w:val="1"/>
        </w:numPr>
        <w:rPr>
          <w:rFonts w:ascii="Arial" w:hAnsi="Arial" w:cs="Arial"/>
          <w:b/>
          <w:bCs/>
          <w:i/>
          <w:sz w:val="24"/>
          <w:szCs w:val="24"/>
        </w:rPr>
      </w:pPr>
      <w:r w:rsidRPr="00414921">
        <w:rPr>
          <w:rFonts w:ascii="Arial" w:hAnsi="Arial" w:cs="Arial"/>
          <w:b/>
          <w:bCs/>
          <w:i/>
          <w:sz w:val="24"/>
          <w:szCs w:val="24"/>
        </w:rPr>
        <w:t>Nature of the right and the limitation (s28</w:t>
      </w:r>
      <w:r w:rsidR="008F2B15">
        <w:rPr>
          <w:rFonts w:ascii="Arial" w:hAnsi="Arial" w:cs="Arial"/>
          <w:b/>
          <w:bCs/>
          <w:i/>
          <w:sz w:val="24"/>
          <w:szCs w:val="24"/>
        </w:rPr>
        <w:t>(2)</w:t>
      </w:r>
      <w:r w:rsidRPr="00414921">
        <w:rPr>
          <w:rFonts w:ascii="Arial" w:hAnsi="Arial" w:cs="Arial"/>
          <w:b/>
          <w:bCs/>
          <w:i/>
          <w:sz w:val="24"/>
          <w:szCs w:val="24"/>
        </w:rPr>
        <w:t>(a) and</w:t>
      </w:r>
      <w:r>
        <w:rPr>
          <w:rFonts w:ascii="Arial" w:hAnsi="Arial" w:cs="Arial"/>
          <w:b/>
          <w:bCs/>
          <w:i/>
          <w:sz w:val="24"/>
          <w:szCs w:val="24"/>
        </w:rPr>
        <w:t xml:space="preserve"> </w:t>
      </w:r>
      <w:r w:rsidRPr="00414921">
        <w:rPr>
          <w:rFonts w:ascii="Arial" w:hAnsi="Arial" w:cs="Arial"/>
          <w:b/>
          <w:bCs/>
          <w:i/>
          <w:sz w:val="24"/>
          <w:szCs w:val="24"/>
        </w:rPr>
        <w:t>(c))</w:t>
      </w:r>
    </w:p>
    <w:p w14:paraId="0583DAB6" w14:textId="77777777" w:rsidR="00E90DF9" w:rsidRDefault="00E90DF9" w:rsidP="00E90DF9">
      <w:pPr>
        <w:pStyle w:val="ListParagraph"/>
        <w:ind w:left="360"/>
        <w:rPr>
          <w:rFonts w:ascii="Arial" w:hAnsi="Arial" w:cs="Arial"/>
          <w:i/>
          <w:color w:val="FF0000"/>
          <w:sz w:val="24"/>
          <w:szCs w:val="24"/>
        </w:rPr>
      </w:pPr>
    </w:p>
    <w:p w14:paraId="51510A87" w14:textId="77777777" w:rsidR="008C501A" w:rsidRPr="00531776" w:rsidRDefault="008C501A" w:rsidP="00531776">
      <w:pPr>
        <w:rPr>
          <w:rFonts w:ascii="Arial" w:hAnsi="Arial" w:cs="Arial"/>
          <w:iCs/>
          <w:sz w:val="24"/>
          <w:szCs w:val="24"/>
        </w:rPr>
      </w:pPr>
      <w:r w:rsidRPr="00531776">
        <w:rPr>
          <w:rFonts w:ascii="Arial" w:hAnsi="Arial" w:cs="Arial"/>
          <w:iCs/>
          <w:sz w:val="24"/>
          <w:szCs w:val="24"/>
        </w:rPr>
        <w:t xml:space="preserve">Under section 12 of the HRA, everyone has the right to not have their privacy, family, home or correspondence interfered with unlawfully or arbitrarily and not to have their reputation unlawfully attacked. </w:t>
      </w:r>
    </w:p>
    <w:p w14:paraId="1B6498FD" w14:textId="41911FE8" w:rsidR="001C7190" w:rsidRDefault="008C501A" w:rsidP="00531776">
      <w:r w:rsidRPr="00531776">
        <w:rPr>
          <w:rFonts w:ascii="Arial" w:hAnsi="Arial" w:cs="Arial"/>
          <w:iCs/>
          <w:sz w:val="24"/>
          <w:szCs w:val="24"/>
        </w:rPr>
        <w:t>This right is engaged and limited by the account-based gaming amendments that involve capturing and storing customers’ identification</w:t>
      </w:r>
      <w:r w:rsidR="00060E45">
        <w:rPr>
          <w:rFonts w:ascii="Arial" w:hAnsi="Arial" w:cs="Arial"/>
          <w:iCs/>
          <w:sz w:val="24"/>
          <w:szCs w:val="24"/>
        </w:rPr>
        <w:t xml:space="preserve"> </w:t>
      </w:r>
      <w:r w:rsidRPr="00531776">
        <w:rPr>
          <w:rFonts w:ascii="Arial" w:hAnsi="Arial" w:cs="Arial"/>
          <w:iCs/>
          <w:sz w:val="24"/>
          <w:szCs w:val="24"/>
        </w:rPr>
        <w:t>data</w:t>
      </w:r>
      <w:r w:rsidR="00060E45">
        <w:rPr>
          <w:rFonts w:ascii="Arial" w:hAnsi="Arial" w:cs="Arial"/>
          <w:iCs/>
          <w:sz w:val="24"/>
          <w:szCs w:val="24"/>
        </w:rPr>
        <w:t xml:space="preserve"> and using their player information to strengthen responses to gambling harm in venues.</w:t>
      </w:r>
      <w:r w:rsidRPr="00531776">
        <w:rPr>
          <w:rFonts w:ascii="Arial" w:hAnsi="Arial" w:cs="Arial"/>
          <w:iCs/>
          <w:sz w:val="24"/>
          <w:szCs w:val="24"/>
        </w:rPr>
        <w:t xml:space="preserve"> </w:t>
      </w:r>
    </w:p>
    <w:p w14:paraId="596C84C3" w14:textId="66BE27B4" w:rsidR="001C7190" w:rsidRDefault="001C7190" w:rsidP="00531776">
      <w:pPr>
        <w:rPr>
          <w:rFonts w:ascii="Arial" w:hAnsi="Arial" w:cs="Arial"/>
          <w:iCs/>
          <w:sz w:val="24"/>
          <w:szCs w:val="24"/>
        </w:rPr>
      </w:pPr>
      <w:r w:rsidRPr="00531776">
        <w:rPr>
          <w:rFonts w:ascii="Arial" w:hAnsi="Arial" w:cs="Arial"/>
          <w:iCs/>
          <w:sz w:val="24"/>
          <w:szCs w:val="24"/>
        </w:rPr>
        <w:t xml:space="preserve">The </w:t>
      </w:r>
      <w:r w:rsidR="008F0BFD" w:rsidRPr="00531776">
        <w:rPr>
          <w:rFonts w:ascii="Arial" w:hAnsi="Arial" w:cs="Arial"/>
          <w:iCs/>
          <w:sz w:val="24"/>
          <w:szCs w:val="24"/>
        </w:rPr>
        <w:t>framework</w:t>
      </w:r>
      <w:r w:rsidRPr="00531776">
        <w:rPr>
          <w:rFonts w:ascii="Arial" w:hAnsi="Arial" w:cs="Arial"/>
          <w:iCs/>
          <w:sz w:val="24"/>
          <w:szCs w:val="24"/>
        </w:rPr>
        <w:t xml:space="preserve"> involves the introduction of an account-based gaming system that </w:t>
      </w:r>
      <w:r w:rsidR="003F0BF5">
        <w:rPr>
          <w:rFonts w:ascii="Arial" w:hAnsi="Arial" w:cs="Arial"/>
          <w:iCs/>
          <w:sz w:val="24"/>
          <w:szCs w:val="24"/>
        </w:rPr>
        <w:t>is made up of gaming components</w:t>
      </w:r>
      <w:r w:rsidR="009E4ACA">
        <w:rPr>
          <w:rFonts w:ascii="Arial" w:hAnsi="Arial" w:cs="Arial"/>
          <w:iCs/>
          <w:sz w:val="24"/>
          <w:szCs w:val="24"/>
        </w:rPr>
        <w:t xml:space="preserve"> (as defined under new section 68 of the Bill)</w:t>
      </w:r>
      <w:r w:rsidR="003F0BF5">
        <w:rPr>
          <w:rFonts w:ascii="Arial" w:hAnsi="Arial" w:cs="Arial"/>
          <w:iCs/>
          <w:sz w:val="24"/>
          <w:szCs w:val="24"/>
        </w:rPr>
        <w:t xml:space="preserve">, </w:t>
      </w:r>
      <w:r w:rsidR="008D00AB" w:rsidRPr="00531776">
        <w:rPr>
          <w:rFonts w:ascii="Arial" w:hAnsi="Arial" w:cs="Arial"/>
          <w:iCs/>
          <w:sz w:val="24"/>
          <w:szCs w:val="24"/>
        </w:rPr>
        <w:t>an individual’s player account</w:t>
      </w:r>
      <w:r w:rsidR="003F0BF5">
        <w:rPr>
          <w:rFonts w:ascii="Arial" w:hAnsi="Arial" w:cs="Arial"/>
          <w:iCs/>
          <w:sz w:val="24"/>
          <w:szCs w:val="24"/>
        </w:rPr>
        <w:t xml:space="preserve"> and </w:t>
      </w:r>
      <w:r w:rsidR="008D00AB" w:rsidRPr="00531776">
        <w:rPr>
          <w:rFonts w:ascii="Arial" w:hAnsi="Arial" w:cs="Arial"/>
          <w:iCs/>
          <w:sz w:val="24"/>
          <w:szCs w:val="24"/>
        </w:rPr>
        <w:t>an individual’s player card</w:t>
      </w:r>
      <w:r w:rsidR="008D00AB">
        <w:rPr>
          <w:rFonts w:ascii="Arial" w:hAnsi="Arial" w:cs="Arial"/>
          <w:iCs/>
          <w:sz w:val="24"/>
          <w:szCs w:val="24"/>
        </w:rPr>
        <w:t xml:space="preserve">, </w:t>
      </w:r>
      <w:r w:rsidRPr="00531776">
        <w:rPr>
          <w:rFonts w:ascii="Arial" w:hAnsi="Arial" w:cs="Arial"/>
          <w:iCs/>
          <w:sz w:val="24"/>
          <w:szCs w:val="24"/>
        </w:rPr>
        <w:t>that</w:t>
      </w:r>
      <w:r w:rsidR="00F35A67">
        <w:rPr>
          <w:rFonts w:ascii="Arial" w:hAnsi="Arial" w:cs="Arial"/>
          <w:iCs/>
          <w:sz w:val="24"/>
          <w:szCs w:val="24"/>
        </w:rPr>
        <w:t xml:space="preserve"> prevents a person from playing a gaming machine without using a player card and monitors, records and control’s a person’s use of the gaming machine and system. </w:t>
      </w:r>
    </w:p>
    <w:p w14:paraId="0A3320E2" w14:textId="77777777" w:rsidR="009D1DBA" w:rsidRDefault="009D1DBA" w:rsidP="00531776">
      <w:pPr>
        <w:rPr>
          <w:rFonts w:ascii="Arial" w:hAnsi="Arial" w:cs="Arial"/>
          <w:iCs/>
          <w:sz w:val="24"/>
          <w:szCs w:val="24"/>
        </w:rPr>
      </w:pPr>
    </w:p>
    <w:p w14:paraId="0654C110" w14:textId="77777777" w:rsidR="009D1DBA" w:rsidRPr="00531776" w:rsidRDefault="009D1DBA" w:rsidP="00531776">
      <w:pPr>
        <w:rPr>
          <w:rFonts w:ascii="Arial" w:hAnsi="Arial" w:cs="Arial"/>
          <w:iCs/>
          <w:sz w:val="24"/>
          <w:szCs w:val="24"/>
        </w:rPr>
      </w:pPr>
    </w:p>
    <w:p w14:paraId="153B0661" w14:textId="07B1B3B8" w:rsidR="00013024" w:rsidRPr="00531776" w:rsidRDefault="008C501A" w:rsidP="00531776">
      <w:pPr>
        <w:rPr>
          <w:rFonts w:ascii="Arial" w:hAnsi="Arial" w:cs="Arial"/>
          <w:sz w:val="24"/>
          <w:szCs w:val="24"/>
        </w:rPr>
      </w:pPr>
      <w:r w:rsidRPr="00531776">
        <w:rPr>
          <w:rFonts w:ascii="Arial" w:hAnsi="Arial" w:cs="Arial"/>
          <w:sz w:val="24"/>
          <w:szCs w:val="24"/>
        </w:rPr>
        <w:lastRenderedPageBreak/>
        <w:t>The below amendments involve the collection</w:t>
      </w:r>
      <w:r w:rsidR="009B785B">
        <w:rPr>
          <w:rFonts w:ascii="Arial" w:hAnsi="Arial" w:cs="Arial"/>
          <w:sz w:val="24"/>
          <w:szCs w:val="24"/>
        </w:rPr>
        <w:t>, use</w:t>
      </w:r>
      <w:r w:rsidRPr="00531776">
        <w:rPr>
          <w:rFonts w:ascii="Arial" w:hAnsi="Arial" w:cs="Arial"/>
          <w:sz w:val="24"/>
          <w:szCs w:val="24"/>
        </w:rPr>
        <w:t xml:space="preserve"> and storage of personal information </w:t>
      </w:r>
      <w:r w:rsidR="00FC0253" w:rsidRPr="00531776">
        <w:rPr>
          <w:rFonts w:ascii="Arial" w:hAnsi="Arial" w:cs="Arial"/>
          <w:sz w:val="24"/>
          <w:szCs w:val="24"/>
        </w:rPr>
        <w:t xml:space="preserve">which </w:t>
      </w:r>
      <w:r w:rsidRPr="00531776">
        <w:rPr>
          <w:rFonts w:ascii="Arial" w:hAnsi="Arial" w:cs="Arial"/>
          <w:sz w:val="24"/>
          <w:szCs w:val="24"/>
        </w:rPr>
        <w:t xml:space="preserve">limit the right to privacy. </w:t>
      </w:r>
    </w:p>
    <w:p w14:paraId="03FB5529" w14:textId="77777777" w:rsidR="008C501A" w:rsidRDefault="008C501A" w:rsidP="00E90DF9">
      <w:pPr>
        <w:pStyle w:val="ListParagraph"/>
        <w:ind w:left="360"/>
        <w:rPr>
          <w:rFonts w:ascii="Arial" w:hAnsi="Arial" w:cs="Arial"/>
          <w:i/>
          <w:color w:val="FF0000"/>
          <w:sz w:val="24"/>
          <w:szCs w:val="24"/>
        </w:rPr>
      </w:pPr>
    </w:p>
    <w:tbl>
      <w:tblPr>
        <w:tblStyle w:val="TableGrid"/>
        <w:tblW w:w="0" w:type="auto"/>
        <w:tblInd w:w="360" w:type="dxa"/>
        <w:tblLook w:val="04A0" w:firstRow="1" w:lastRow="0" w:firstColumn="1" w:lastColumn="0" w:noHBand="0" w:noVBand="1"/>
      </w:tblPr>
      <w:tblGrid>
        <w:gridCol w:w="2990"/>
        <w:gridCol w:w="5533"/>
      </w:tblGrid>
      <w:tr w:rsidR="008420DF" w:rsidRPr="006122DE" w14:paraId="659D0F79" w14:textId="77777777" w:rsidTr="001F25C8">
        <w:trPr>
          <w:cantSplit/>
          <w:trHeight w:val="262"/>
        </w:trPr>
        <w:tc>
          <w:tcPr>
            <w:tcW w:w="2990" w:type="dxa"/>
          </w:tcPr>
          <w:p w14:paraId="4E088A2D" w14:textId="77777777" w:rsidR="008420DF" w:rsidRPr="006122DE" w:rsidRDefault="008420DF" w:rsidP="001F25C8">
            <w:pPr>
              <w:pStyle w:val="ListParagraph"/>
              <w:ind w:left="0"/>
              <w:rPr>
                <w:rFonts w:ascii="Arial" w:hAnsi="Arial" w:cs="Arial"/>
                <w:b/>
                <w:bCs/>
              </w:rPr>
            </w:pPr>
            <w:r w:rsidRPr="006122DE">
              <w:rPr>
                <w:rFonts w:ascii="Arial" w:hAnsi="Arial" w:cs="Arial"/>
                <w:b/>
                <w:bCs/>
              </w:rPr>
              <w:t xml:space="preserve">Section </w:t>
            </w:r>
          </w:p>
        </w:tc>
        <w:tc>
          <w:tcPr>
            <w:tcW w:w="5533" w:type="dxa"/>
          </w:tcPr>
          <w:p w14:paraId="38A9CFFE" w14:textId="77777777" w:rsidR="008420DF" w:rsidRPr="006122DE" w:rsidRDefault="008420DF" w:rsidP="001F25C8">
            <w:pPr>
              <w:pStyle w:val="ListParagraph"/>
              <w:ind w:left="0"/>
              <w:rPr>
                <w:rFonts w:ascii="Arial" w:hAnsi="Arial" w:cs="Arial"/>
                <w:b/>
                <w:bCs/>
              </w:rPr>
            </w:pPr>
            <w:r w:rsidRPr="006122DE">
              <w:rPr>
                <w:rFonts w:ascii="Arial" w:hAnsi="Arial" w:cs="Arial"/>
                <w:b/>
                <w:bCs/>
              </w:rPr>
              <w:t xml:space="preserve">Nature of the limitation </w:t>
            </w:r>
          </w:p>
        </w:tc>
      </w:tr>
      <w:tr w:rsidR="008420DF" w:rsidRPr="006122DE" w14:paraId="1B68720C" w14:textId="77777777" w:rsidTr="001F25C8">
        <w:trPr>
          <w:cantSplit/>
          <w:trHeight w:val="3538"/>
        </w:trPr>
        <w:tc>
          <w:tcPr>
            <w:tcW w:w="2990" w:type="dxa"/>
          </w:tcPr>
          <w:p w14:paraId="47C22765" w14:textId="484B09A0" w:rsidR="008B715B" w:rsidRPr="006122DE" w:rsidRDefault="008B715B" w:rsidP="001F25C8">
            <w:pPr>
              <w:pStyle w:val="ListParagraph"/>
              <w:ind w:left="0"/>
              <w:rPr>
                <w:rFonts w:ascii="Arial" w:hAnsi="Arial" w:cs="Arial"/>
              </w:rPr>
            </w:pPr>
            <w:r w:rsidRPr="006122DE">
              <w:rPr>
                <w:rFonts w:ascii="Arial" w:hAnsi="Arial" w:cs="Arial"/>
              </w:rPr>
              <w:t>Section 67E</w:t>
            </w:r>
            <w:r w:rsidR="00A04E51">
              <w:rPr>
                <w:rFonts w:ascii="Arial" w:hAnsi="Arial" w:cs="Arial"/>
              </w:rPr>
              <w:t xml:space="preserve"> and 67</w:t>
            </w:r>
            <w:r w:rsidR="00AA7006">
              <w:rPr>
                <w:rFonts w:ascii="Arial" w:hAnsi="Arial" w:cs="Arial"/>
              </w:rPr>
              <w:t>P</w:t>
            </w:r>
          </w:p>
          <w:p w14:paraId="7221B82C" w14:textId="77777777" w:rsidR="008B715B" w:rsidRPr="006122DE" w:rsidRDefault="008B715B" w:rsidP="001F25C8">
            <w:pPr>
              <w:pStyle w:val="ListParagraph"/>
              <w:ind w:left="0"/>
              <w:rPr>
                <w:rFonts w:ascii="Arial" w:hAnsi="Arial" w:cs="Arial"/>
              </w:rPr>
            </w:pPr>
          </w:p>
          <w:p w14:paraId="21F71FEA" w14:textId="0D46030B" w:rsidR="008B715B" w:rsidRDefault="008B715B" w:rsidP="001F25C8">
            <w:pPr>
              <w:pStyle w:val="ListParagraph"/>
              <w:ind w:left="0"/>
              <w:rPr>
                <w:rFonts w:ascii="Arial" w:hAnsi="Arial" w:cs="Arial"/>
              </w:rPr>
            </w:pPr>
            <w:r w:rsidRPr="006122DE">
              <w:rPr>
                <w:rFonts w:ascii="Arial" w:hAnsi="Arial" w:cs="Arial"/>
              </w:rPr>
              <w:t xml:space="preserve">Licensees must verify identity of account holders </w:t>
            </w:r>
          </w:p>
          <w:p w14:paraId="5C30DFF2" w14:textId="77777777" w:rsidR="00A04E51" w:rsidRDefault="00A04E51" w:rsidP="001F25C8">
            <w:pPr>
              <w:pStyle w:val="ListParagraph"/>
              <w:ind w:left="0"/>
              <w:rPr>
                <w:rFonts w:ascii="Arial" w:hAnsi="Arial" w:cs="Arial"/>
              </w:rPr>
            </w:pPr>
          </w:p>
          <w:p w14:paraId="67D3775A" w14:textId="7D57FD4F" w:rsidR="00A04E51" w:rsidRPr="006122DE" w:rsidRDefault="00A04E51" w:rsidP="001F25C8">
            <w:pPr>
              <w:pStyle w:val="ListParagraph"/>
              <w:ind w:left="0"/>
              <w:rPr>
                <w:rFonts w:ascii="Arial" w:hAnsi="Arial" w:cs="Arial"/>
              </w:rPr>
            </w:pPr>
            <w:r>
              <w:rPr>
                <w:rFonts w:ascii="Arial" w:hAnsi="Arial" w:cs="Arial"/>
              </w:rPr>
              <w:t>People excluded from gaming machines</w:t>
            </w:r>
          </w:p>
          <w:p w14:paraId="6062DB6F" w14:textId="77777777" w:rsidR="008B715B" w:rsidRPr="006122DE" w:rsidRDefault="008B715B" w:rsidP="001F25C8">
            <w:pPr>
              <w:pStyle w:val="ListParagraph"/>
              <w:ind w:left="0"/>
              <w:rPr>
                <w:rFonts w:ascii="Arial" w:hAnsi="Arial" w:cs="Arial"/>
              </w:rPr>
            </w:pPr>
          </w:p>
          <w:p w14:paraId="65A60319" w14:textId="77777777" w:rsidR="008B715B" w:rsidRPr="006122DE" w:rsidRDefault="008B715B" w:rsidP="001F25C8">
            <w:pPr>
              <w:pStyle w:val="ListParagraph"/>
              <w:ind w:left="0"/>
              <w:rPr>
                <w:rFonts w:ascii="Arial" w:hAnsi="Arial" w:cs="Arial"/>
              </w:rPr>
            </w:pPr>
          </w:p>
          <w:p w14:paraId="056D6A5B" w14:textId="77777777" w:rsidR="008B715B" w:rsidRPr="006122DE" w:rsidRDefault="008B715B" w:rsidP="001F25C8">
            <w:pPr>
              <w:pStyle w:val="ListParagraph"/>
              <w:ind w:left="0"/>
              <w:rPr>
                <w:rFonts w:ascii="Arial" w:hAnsi="Arial" w:cs="Arial"/>
              </w:rPr>
            </w:pPr>
          </w:p>
          <w:p w14:paraId="7CAC50EC" w14:textId="77777777" w:rsidR="008B715B" w:rsidRPr="006122DE" w:rsidRDefault="008B715B" w:rsidP="001F25C8">
            <w:pPr>
              <w:pStyle w:val="ListParagraph"/>
              <w:ind w:left="0"/>
              <w:rPr>
                <w:rFonts w:ascii="Arial" w:hAnsi="Arial" w:cs="Arial"/>
              </w:rPr>
            </w:pPr>
          </w:p>
          <w:p w14:paraId="7161BF29" w14:textId="77777777" w:rsidR="008B715B" w:rsidRPr="006122DE" w:rsidRDefault="008B715B" w:rsidP="001F25C8">
            <w:pPr>
              <w:pStyle w:val="ListParagraph"/>
              <w:ind w:left="0"/>
              <w:rPr>
                <w:rFonts w:ascii="Arial" w:hAnsi="Arial" w:cs="Arial"/>
              </w:rPr>
            </w:pPr>
          </w:p>
          <w:p w14:paraId="13A37044" w14:textId="255C4E78" w:rsidR="008420DF" w:rsidRPr="006122DE" w:rsidRDefault="008420DF" w:rsidP="001F25C8">
            <w:pPr>
              <w:pStyle w:val="ListParagraph"/>
              <w:ind w:left="0"/>
              <w:rPr>
                <w:rFonts w:ascii="Arial" w:hAnsi="Arial" w:cs="Arial"/>
              </w:rPr>
            </w:pPr>
            <w:r w:rsidRPr="006122DE">
              <w:rPr>
                <w:rFonts w:ascii="Arial" w:hAnsi="Arial" w:cs="Arial"/>
              </w:rPr>
              <w:t xml:space="preserve"> </w:t>
            </w:r>
          </w:p>
        </w:tc>
        <w:tc>
          <w:tcPr>
            <w:tcW w:w="5533" w:type="dxa"/>
          </w:tcPr>
          <w:p w14:paraId="5850528D" w14:textId="4F116B54" w:rsidR="008B715B" w:rsidRPr="006122DE" w:rsidRDefault="00F700E0" w:rsidP="001F25C8">
            <w:pPr>
              <w:pStyle w:val="ListParagraph"/>
              <w:ind w:left="0"/>
              <w:rPr>
                <w:rFonts w:ascii="Arial" w:hAnsi="Arial" w:cs="Arial"/>
              </w:rPr>
            </w:pPr>
            <w:r w:rsidRPr="006122DE">
              <w:rPr>
                <w:rFonts w:ascii="Arial" w:hAnsi="Arial" w:cs="Arial"/>
              </w:rPr>
              <w:t xml:space="preserve">This section requires gaming machine licensees to verify the identity of a person immediately before establishing a player account for that person.  </w:t>
            </w:r>
          </w:p>
          <w:p w14:paraId="54BF376A" w14:textId="77777777" w:rsidR="008B715B" w:rsidRPr="006122DE" w:rsidRDefault="008B715B" w:rsidP="001F25C8">
            <w:pPr>
              <w:pStyle w:val="ListParagraph"/>
              <w:ind w:left="0"/>
              <w:rPr>
                <w:rFonts w:ascii="Arial" w:hAnsi="Arial" w:cs="Arial"/>
              </w:rPr>
            </w:pPr>
          </w:p>
          <w:p w14:paraId="4C0D596C" w14:textId="2B31FB51" w:rsidR="00F700E0" w:rsidRPr="006122DE" w:rsidRDefault="00F700E0" w:rsidP="00F700E0">
            <w:pPr>
              <w:pStyle w:val="ListParagraph"/>
              <w:ind w:left="0"/>
              <w:rPr>
                <w:rFonts w:ascii="Arial" w:hAnsi="Arial" w:cs="Arial"/>
              </w:rPr>
            </w:pPr>
            <w:r w:rsidRPr="006122DE">
              <w:rPr>
                <w:rFonts w:ascii="Arial" w:hAnsi="Arial" w:cs="Arial"/>
              </w:rPr>
              <w:t xml:space="preserve">The right to privacy </w:t>
            </w:r>
            <w:r w:rsidR="00114B46">
              <w:rPr>
                <w:rFonts w:ascii="Arial" w:hAnsi="Arial" w:cs="Arial"/>
              </w:rPr>
              <w:t>is</w:t>
            </w:r>
            <w:r w:rsidRPr="006122DE">
              <w:rPr>
                <w:rFonts w:ascii="Arial" w:hAnsi="Arial" w:cs="Arial"/>
              </w:rPr>
              <w:t xml:space="preserve"> limited by this section because it requires </w:t>
            </w:r>
            <w:r w:rsidR="00114B46">
              <w:rPr>
                <w:rFonts w:ascii="Arial" w:hAnsi="Arial" w:cs="Arial"/>
              </w:rPr>
              <w:t xml:space="preserve">the disclosure and </w:t>
            </w:r>
            <w:r w:rsidRPr="006122DE">
              <w:rPr>
                <w:rFonts w:ascii="Arial" w:hAnsi="Arial" w:cs="Arial"/>
              </w:rPr>
              <w:t>collection of personal information</w:t>
            </w:r>
            <w:r w:rsidR="00114B46">
              <w:rPr>
                <w:rFonts w:ascii="Arial" w:hAnsi="Arial" w:cs="Arial"/>
              </w:rPr>
              <w:t>,</w:t>
            </w:r>
            <w:r w:rsidRPr="006122DE">
              <w:rPr>
                <w:rFonts w:ascii="Arial" w:hAnsi="Arial" w:cs="Arial"/>
              </w:rPr>
              <w:t xml:space="preserve"> and there is a possibility that personal information may be shared</w:t>
            </w:r>
            <w:r w:rsidR="00790689">
              <w:rPr>
                <w:rFonts w:ascii="Arial" w:hAnsi="Arial" w:cs="Arial"/>
              </w:rPr>
              <w:t xml:space="preserve"> with a</w:t>
            </w:r>
            <w:r w:rsidR="006D32DA">
              <w:rPr>
                <w:rFonts w:ascii="Arial" w:hAnsi="Arial" w:cs="Arial"/>
              </w:rPr>
              <w:t xml:space="preserve"> venue</w:t>
            </w:r>
            <w:r w:rsidR="009B785B">
              <w:rPr>
                <w:rFonts w:ascii="Arial" w:hAnsi="Arial" w:cs="Arial"/>
              </w:rPr>
              <w:t>’</w:t>
            </w:r>
            <w:r w:rsidR="006D32DA">
              <w:rPr>
                <w:rFonts w:ascii="Arial" w:hAnsi="Arial" w:cs="Arial"/>
              </w:rPr>
              <w:t>s</w:t>
            </w:r>
            <w:r w:rsidR="00790689">
              <w:rPr>
                <w:rFonts w:ascii="Arial" w:hAnsi="Arial" w:cs="Arial"/>
              </w:rPr>
              <w:t xml:space="preserve"> gambling contact officer and the </w:t>
            </w:r>
            <w:r w:rsidR="0014236E">
              <w:rPr>
                <w:rFonts w:ascii="Arial" w:hAnsi="Arial" w:cs="Arial"/>
              </w:rPr>
              <w:t>ACT Gambling and Racing C</w:t>
            </w:r>
            <w:r w:rsidR="00790689">
              <w:rPr>
                <w:rFonts w:ascii="Arial" w:hAnsi="Arial" w:cs="Arial"/>
              </w:rPr>
              <w:t>ommission</w:t>
            </w:r>
            <w:r w:rsidR="0014236E">
              <w:rPr>
                <w:rFonts w:ascii="Arial" w:hAnsi="Arial" w:cs="Arial"/>
              </w:rPr>
              <w:t xml:space="preserve"> (the Commission)</w:t>
            </w:r>
            <w:r w:rsidRPr="006122DE">
              <w:rPr>
                <w:rFonts w:ascii="Arial" w:hAnsi="Arial" w:cs="Arial"/>
              </w:rPr>
              <w:t xml:space="preserve">. </w:t>
            </w:r>
            <w:r w:rsidR="002A18E9">
              <w:rPr>
                <w:rFonts w:ascii="Arial" w:hAnsi="Arial" w:cs="Arial"/>
              </w:rPr>
              <w:t xml:space="preserve">A GCO may be the licensee or a person appointed by the licensee. </w:t>
            </w:r>
          </w:p>
          <w:p w14:paraId="7615EFAD" w14:textId="372C6BA3" w:rsidR="008B715B" w:rsidRDefault="008B715B" w:rsidP="001F25C8">
            <w:pPr>
              <w:pStyle w:val="ListParagraph"/>
              <w:ind w:left="0"/>
              <w:rPr>
                <w:rFonts w:ascii="Arial" w:hAnsi="Arial" w:cs="Arial"/>
              </w:rPr>
            </w:pPr>
          </w:p>
          <w:p w14:paraId="2051B1B6" w14:textId="378329DE" w:rsidR="001278B3" w:rsidRDefault="00BE4B28" w:rsidP="001F25C8">
            <w:pPr>
              <w:pStyle w:val="ListParagraph"/>
              <w:ind w:left="0"/>
              <w:rPr>
                <w:rFonts w:ascii="Arial" w:hAnsi="Arial" w:cs="Arial"/>
              </w:rPr>
            </w:pPr>
            <w:r>
              <w:rPr>
                <w:rFonts w:ascii="Arial" w:hAnsi="Arial" w:cs="Arial"/>
              </w:rPr>
              <w:t xml:space="preserve">A gambling contact officer </w:t>
            </w:r>
            <w:r w:rsidR="001278B3">
              <w:rPr>
                <w:rFonts w:ascii="Arial" w:hAnsi="Arial" w:cs="Arial"/>
              </w:rPr>
              <w:t>(G</w:t>
            </w:r>
            <w:r w:rsidR="00D8297C">
              <w:rPr>
                <w:rFonts w:ascii="Arial" w:hAnsi="Arial" w:cs="Arial"/>
              </w:rPr>
              <w:t>C</w:t>
            </w:r>
            <w:r w:rsidR="001278B3">
              <w:rPr>
                <w:rFonts w:ascii="Arial" w:hAnsi="Arial" w:cs="Arial"/>
              </w:rPr>
              <w:t xml:space="preserve">O) has functions under the Gambling and Racing Control </w:t>
            </w:r>
            <w:r w:rsidR="00370326">
              <w:rPr>
                <w:rFonts w:ascii="Arial" w:hAnsi="Arial" w:cs="Arial"/>
              </w:rPr>
              <w:t xml:space="preserve">(Code of Practice) Regulation 2002. </w:t>
            </w:r>
            <w:r w:rsidR="00CE59F2">
              <w:rPr>
                <w:rFonts w:ascii="Arial" w:hAnsi="Arial" w:cs="Arial"/>
              </w:rPr>
              <w:t>These include</w:t>
            </w:r>
            <w:r w:rsidR="00235EA5">
              <w:rPr>
                <w:rFonts w:ascii="Arial" w:hAnsi="Arial" w:cs="Arial"/>
              </w:rPr>
              <w:t xml:space="preserve"> but are not limited to, helping </w:t>
            </w:r>
            <w:r w:rsidR="00C92C79">
              <w:rPr>
                <w:rFonts w:ascii="Arial" w:hAnsi="Arial" w:cs="Arial"/>
              </w:rPr>
              <w:t>help people to obtain information and counselling about gambling harm</w:t>
            </w:r>
            <w:r w:rsidR="007B452B">
              <w:rPr>
                <w:rFonts w:ascii="Arial" w:hAnsi="Arial" w:cs="Arial"/>
              </w:rPr>
              <w:t xml:space="preserve"> and</w:t>
            </w:r>
            <w:r w:rsidR="00235EA5">
              <w:rPr>
                <w:rFonts w:ascii="Arial" w:hAnsi="Arial" w:cs="Arial"/>
              </w:rPr>
              <w:t xml:space="preserve"> keeping a re</w:t>
            </w:r>
            <w:r w:rsidR="007B1B68">
              <w:rPr>
                <w:rFonts w:ascii="Arial" w:hAnsi="Arial" w:cs="Arial"/>
              </w:rPr>
              <w:t>gister</w:t>
            </w:r>
            <w:r w:rsidR="00235EA5">
              <w:rPr>
                <w:rFonts w:ascii="Arial" w:hAnsi="Arial" w:cs="Arial"/>
              </w:rPr>
              <w:t xml:space="preserve"> </w:t>
            </w:r>
            <w:r w:rsidR="007B1B68">
              <w:rPr>
                <w:rFonts w:ascii="Arial" w:hAnsi="Arial" w:cs="Arial"/>
              </w:rPr>
              <w:t xml:space="preserve">of </w:t>
            </w:r>
            <w:r w:rsidR="007B452B">
              <w:rPr>
                <w:rFonts w:ascii="Arial" w:hAnsi="Arial" w:cs="Arial"/>
              </w:rPr>
              <w:t>reported gambling harm.</w:t>
            </w:r>
            <w:r w:rsidR="002A18E9">
              <w:rPr>
                <w:rFonts w:ascii="Arial" w:hAnsi="Arial" w:cs="Arial"/>
              </w:rPr>
              <w:t xml:space="preserve"> </w:t>
            </w:r>
          </w:p>
          <w:p w14:paraId="28AEED07" w14:textId="77777777" w:rsidR="001278B3" w:rsidRPr="006122DE" w:rsidRDefault="001278B3" w:rsidP="001F25C8">
            <w:pPr>
              <w:pStyle w:val="ListParagraph"/>
              <w:ind w:left="0"/>
              <w:rPr>
                <w:rFonts w:ascii="Arial" w:hAnsi="Arial" w:cs="Arial"/>
              </w:rPr>
            </w:pPr>
          </w:p>
          <w:p w14:paraId="604C7052" w14:textId="28D43271" w:rsidR="009D2784" w:rsidRPr="006122DE" w:rsidRDefault="009D2784" w:rsidP="009D2784">
            <w:pPr>
              <w:pStyle w:val="ListParagraph"/>
              <w:ind w:left="0"/>
              <w:rPr>
                <w:rFonts w:ascii="Arial" w:hAnsi="Arial" w:cs="Arial"/>
              </w:rPr>
            </w:pPr>
            <w:r w:rsidRPr="006122DE">
              <w:rPr>
                <w:rFonts w:ascii="Arial" w:hAnsi="Arial" w:cs="Arial"/>
              </w:rPr>
              <w:t xml:space="preserve">While section 67E has been drafted broadly to </w:t>
            </w:r>
            <w:r w:rsidR="002A18E9">
              <w:rPr>
                <w:rFonts w:ascii="Arial" w:hAnsi="Arial" w:cs="Arial"/>
              </w:rPr>
              <w:t>require</w:t>
            </w:r>
            <w:r w:rsidR="002A18E9" w:rsidRPr="006122DE">
              <w:rPr>
                <w:rFonts w:ascii="Arial" w:hAnsi="Arial" w:cs="Arial"/>
              </w:rPr>
              <w:t xml:space="preserve"> </w:t>
            </w:r>
            <w:r w:rsidRPr="006122DE">
              <w:rPr>
                <w:rFonts w:ascii="Arial" w:hAnsi="Arial" w:cs="Arial"/>
              </w:rPr>
              <w:t xml:space="preserve">licensees </w:t>
            </w:r>
            <w:r w:rsidR="002A18E9">
              <w:rPr>
                <w:rFonts w:ascii="Arial" w:hAnsi="Arial" w:cs="Arial"/>
              </w:rPr>
              <w:t>to</w:t>
            </w:r>
            <w:r w:rsidR="002A18E9" w:rsidRPr="006122DE">
              <w:rPr>
                <w:rFonts w:ascii="Arial" w:hAnsi="Arial" w:cs="Arial"/>
              </w:rPr>
              <w:t xml:space="preserve"> </w:t>
            </w:r>
            <w:r w:rsidRPr="006122DE">
              <w:rPr>
                <w:rFonts w:ascii="Arial" w:hAnsi="Arial" w:cs="Arial"/>
              </w:rPr>
              <w:t>comply with identity verification in</w:t>
            </w:r>
            <w:r w:rsidR="00041D88">
              <w:rPr>
                <w:rFonts w:ascii="Arial" w:hAnsi="Arial" w:cs="Arial"/>
              </w:rPr>
              <w:t xml:space="preserve"> accordance with a procedure approved by the commission</w:t>
            </w:r>
            <w:r w:rsidRPr="006122DE">
              <w:rPr>
                <w:rFonts w:ascii="Arial" w:hAnsi="Arial" w:cs="Arial"/>
              </w:rPr>
              <w:t xml:space="preserve">, it is anticipated that at the very minimum, the information necessary to be collected may include the </w:t>
            </w:r>
            <w:r w:rsidR="008420DF" w:rsidRPr="006122DE">
              <w:rPr>
                <w:rFonts w:ascii="Arial" w:hAnsi="Arial" w:cs="Arial"/>
              </w:rPr>
              <w:t xml:space="preserve">person’s name, email address, and mobile number. </w:t>
            </w:r>
          </w:p>
          <w:p w14:paraId="329CE3AB" w14:textId="77777777" w:rsidR="009D2784" w:rsidRPr="006122DE" w:rsidRDefault="009D2784" w:rsidP="009D2784">
            <w:pPr>
              <w:pStyle w:val="ListParagraph"/>
              <w:ind w:left="0"/>
              <w:rPr>
                <w:rFonts w:ascii="Arial" w:hAnsi="Arial" w:cs="Arial"/>
              </w:rPr>
            </w:pPr>
          </w:p>
          <w:p w14:paraId="18369986" w14:textId="3E55D6CA" w:rsidR="008420DF" w:rsidRPr="006122DE" w:rsidRDefault="008420DF" w:rsidP="009D2784">
            <w:pPr>
              <w:pStyle w:val="ListParagraph"/>
              <w:ind w:left="0"/>
              <w:rPr>
                <w:rFonts w:ascii="Arial" w:hAnsi="Arial" w:cs="Arial"/>
              </w:rPr>
            </w:pPr>
            <w:r w:rsidRPr="006122DE">
              <w:rPr>
                <w:rFonts w:ascii="Arial" w:hAnsi="Arial" w:cs="Arial"/>
              </w:rPr>
              <w:t xml:space="preserve">Depending on the </w:t>
            </w:r>
            <w:r w:rsidR="009D2784" w:rsidRPr="006122DE">
              <w:rPr>
                <w:rFonts w:ascii="Arial" w:hAnsi="Arial" w:cs="Arial"/>
              </w:rPr>
              <w:t>account-based gaming</w:t>
            </w:r>
            <w:r w:rsidRPr="006122DE">
              <w:rPr>
                <w:rFonts w:ascii="Arial" w:hAnsi="Arial" w:cs="Arial"/>
              </w:rPr>
              <w:t xml:space="preserve"> system that each </w:t>
            </w:r>
            <w:r w:rsidR="009D2784" w:rsidRPr="006122DE">
              <w:rPr>
                <w:rFonts w:ascii="Arial" w:hAnsi="Arial" w:cs="Arial"/>
              </w:rPr>
              <w:t>licensee implements</w:t>
            </w:r>
            <w:r w:rsidRPr="006122DE">
              <w:rPr>
                <w:rFonts w:ascii="Arial" w:hAnsi="Arial" w:cs="Arial"/>
              </w:rPr>
              <w:t>, other personal information that may be collected could include an identification document for identity verification</w:t>
            </w:r>
            <w:r w:rsidR="00114B46">
              <w:rPr>
                <w:rFonts w:ascii="Arial" w:hAnsi="Arial" w:cs="Arial"/>
              </w:rPr>
              <w:t>, such as a driver’s licence or passport</w:t>
            </w:r>
            <w:r w:rsidR="00A04E51">
              <w:rPr>
                <w:rFonts w:ascii="Arial" w:hAnsi="Arial" w:cs="Arial"/>
              </w:rPr>
              <w:t>.</w:t>
            </w:r>
          </w:p>
          <w:p w14:paraId="569730A2" w14:textId="77777777" w:rsidR="002E2D31" w:rsidRDefault="002E2D31" w:rsidP="009D2784">
            <w:pPr>
              <w:pStyle w:val="ListParagraph"/>
              <w:ind w:left="0"/>
              <w:rPr>
                <w:rFonts w:ascii="Arial" w:hAnsi="Arial" w:cs="Arial"/>
              </w:rPr>
            </w:pPr>
          </w:p>
          <w:p w14:paraId="5ACCA2A1" w14:textId="5E526153" w:rsidR="00A04E51" w:rsidRPr="00531776" w:rsidRDefault="0022604C" w:rsidP="00531776">
            <w:pPr>
              <w:pStyle w:val="NoSpacing"/>
              <w:rPr>
                <w:rFonts w:ascii="Arial" w:hAnsi="Arial" w:cs="Arial"/>
              </w:rPr>
            </w:pPr>
            <w:r w:rsidRPr="00531776">
              <w:rPr>
                <w:rFonts w:ascii="Arial" w:hAnsi="Arial" w:cs="Arial"/>
                <w:lang w:eastAsia="en-AU"/>
              </w:rPr>
              <w:t>Under section 67</w:t>
            </w:r>
            <w:r w:rsidR="00AA7006">
              <w:rPr>
                <w:rFonts w:ascii="Arial" w:hAnsi="Arial" w:cs="Arial"/>
                <w:lang w:eastAsia="en-AU"/>
              </w:rPr>
              <w:t>P</w:t>
            </w:r>
            <w:r w:rsidRPr="00531776">
              <w:rPr>
                <w:rFonts w:ascii="Arial" w:hAnsi="Arial" w:cs="Arial"/>
                <w:lang w:eastAsia="en-AU"/>
              </w:rPr>
              <w:t xml:space="preserve"> a licensee must carry out an identification check for a person following a period of self-exclusion who wishes to set up an account.</w:t>
            </w:r>
            <w:r w:rsidR="00571F60">
              <w:rPr>
                <w:rFonts w:ascii="Arial" w:hAnsi="Arial" w:cs="Arial"/>
                <w:lang w:eastAsia="en-AU"/>
              </w:rPr>
              <w:t xml:space="preserve"> </w:t>
            </w:r>
            <w:r w:rsidR="00A04E51">
              <w:rPr>
                <w:rFonts w:ascii="Arial" w:hAnsi="Arial" w:cs="Arial"/>
                <w:lang w:eastAsia="en-AU"/>
              </w:rPr>
              <w:t xml:space="preserve"> </w:t>
            </w:r>
          </w:p>
          <w:p w14:paraId="7D4A032B" w14:textId="088D5FB2" w:rsidR="009D2784" w:rsidRPr="006122DE" w:rsidRDefault="009D2784" w:rsidP="00531776">
            <w:pPr>
              <w:pStyle w:val="NoSpacing"/>
            </w:pPr>
          </w:p>
        </w:tc>
      </w:tr>
      <w:tr w:rsidR="009B75BD" w:rsidRPr="006122DE" w14:paraId="1D736543" w14:textId="77777777" w:rsidTr="001F25C8">
        <w:trPr>
          <w:cantSplit/>
          <w:trHeight w:val="2612"/>
        </w:trPr>
        <w:tc>
          <w:tcPr>
            <w:tcW w:w="2990" w:type="dxa"/>
          </w:tcPr>
          <w:p w14:paraId="1A1DB72D" w14:textId="6D2B0B16" w:rsidR="009B75BD" w:rsidRDefault="009B75BD" w:rsidP="001F25C8">
            <w:pPr>
              <w:pStyle w:val="ListParagraph"/>
              <w:ind w:left="0"/>
              <w:rPr>
                <w:rFonts w:ascii="Arial" w:hAnsi="Arial" w:cs="Arial"/>
              </w:rPr>
            </w:pPr>
            <w:r>
              <w:rPr>
                <w:rFonts w:ascii="Arial" w:hAnsi="Arial" w:cs="Arial"/>
              </w:rPr>
              <w:t>Section 67</w:t>
            </w:r>
            <w:r w:rsidR="002D2DB4">
              <w:rPr>
                <w:rFonts w:ascii="Arial" w:hAnsi="Arial" w:cs="Arial"/>
              </w:rPr>
              <w:t>S</w:t>
            </w:r>
            <w:r>
              <w:rPr>
                <w:rFonts w:ascii="Arial" w:hAnsi="Arial" w:cs="Arial"/>
              </w:rPr>
              <w:t xml:space="preserve"> and </w:t>
            </w:r>
            <w:r w:rsidR="00FF648B">
              <w:rPr>
                <w:rFonts w:ascii="Arial" w:hAnsi="Arial" w:cs="Arial"/>
              </w:rPr>
              <w:t xml:space="preserve">Section 28 </w:t>
            </w:r>
          </w:p>
          <w:p w14:paraId="721C3616" w14:textId="77777777" w:rsidR="009B75BD" w:rsidRDefault="009B75BD" w:rsidP="001F25C8">
            <w:pPr>
              <w:pStyle w:val="ListParagraph"/>
              <w:ind w:left="0"/>
              <w:rPr>
                <w:rFonts w:ascii="Arial" w:hAnsi="Arial" w:cs="Arial"/>
              </w:rPr>
            </w:pPr>
          </w:p>
          <w:p w14:paraId="27C61E57" w14:textId="27552FC6" w:rsidR="009B75BD" w:rsidRDefault="002D2DB4" w:rsidP="001F25C8">
            <w:pPr>
              <w:pStyle w:val="ListParagraph"/>
              <w:ind w:left="0"/>
              <w:rPr>
                <w:rFonts w:ascii="Arial" w:hAnsi="Arial" w:cs="Arial"/>
              </w:rPr>
            </w:pPr>
            <w:r>
              <w:rPr>
                <w:rFonts w:ascii="Arial" w:hAnsi="Arial" w:cs="Arial"/>
              </w:rPr>
              <w:t xml:space="preserve">Licensees must apply pre-commitment controls for gaming machines </w:t>
            </w:r>
          </w:p>
          <w:p w14:paraId="1F90C67F" w14:textId="77777777" w:rsidR="00FF648B" w:rsidRDefault="00FF648B" w:rsidP="001F25C8">
            <w:pPr>
              <w:pStyle w:val="ListParagraph"/>
              <w:ind w:left="0"/>
              <w:rPr>
                <w:rFonts w:ascii="Arial" w:hAnsi="Arial" w:cs="Arial"/>
              </w:rPr>
            </w:pPr>
          </w:p>
          <w:p w14:paraId="698F406A" w14:textId="2AAA93E4" w:rsidR="00FF648B" w:rsidRPr="006122DE" w:rsidRDefault="00F006B5" w:rsidP="001F25C8">
            <w:pPr>
              <w:pStyle w:val="ListParagraph"/>
              <w:ind w:left="0"/>
              <w:rPr>
                <w:rFonts w:ascii="Arial" w:hAnsi="Arial" w:cs="Arial"/>
              </w:rPr>
            </w:pPr>
            <w:r>
              <w:rPr>
                <w:rFonts w:ascii="Arial" w:hAnsi="Arial" w:cs="Arial"/>
              </w:rPr>
              <w:t xml:space="preserve">Pre-commitment controls </w:t>
            </w:r>
          </w:p>
        </w:tc>
        <w:tc>
          <w:tcPr>
            <w:tcW w:w="5533" w:type="dxa"/>
          </w:tcPr>
          <w:p w14:paraId="02B42ADD" w14:textId="0A167E3F" w:rsidR="002D2DB4" w:rsidRDefault="009B75BD" w:rsidP="001F25C8">
            <w:pPr>
              <w:pStyle w:val="ListParagraph"/>
              <w:ind w:left="0"/>
              <w:rPr>
                <w:rFonts w:ascii="Arial" w:hAnsi="Arial" w:cs="Arial"/>
              </w:rPr>
            </w:pPr>
            <w:r>
              <w:rPr>
                <w:rFonts w:ascii="Arial" w:hAnsi="Arial" w:cs="Arial"/>
              </w:rPr>
              <w:t>Section 67</w:t>
            </w:r>
            <w:r w:rsidR="002D2DB4">
              <w:rPr>
                <w:rFonts w:ascii="Arial" w:hAnsi="Arial" w:cs="Arial"/>
              </w:rPr>
              <w:t>S</w:t>
            </w:r>
            <w:r>
              <w:rPr>
                <w:rFonts w:ascii="Arial" w:hAnsi="Arial" w:cs="Arial"/>
              </w:rPr>
              <w:t xml:space="preserve"> requires a licensee’s account-based gaming system</w:t>
            </w:r>
            <w:r w:rsidR="002D2DB4">
              <w:rPr>
                <w:rFonts w:ascii="Arial" w:hAnsi="Arial" w:cs="Arial"/>
              </w:rPr>
              <w:t xml:space="preserve"> </w:t>
            </w:r>
            <w:r w:rsidR="00AF7D2C">
              <w:rPr>
                <w:rFonts w:ascii="Arial" w:hAnsi="Arial" w:cs="Arial"/>
              </w:rPr>
              <w:t>to</w:t>
            </w:r>
            <w:r w:rsidR="008F38D2">
              <w:rPr>
                <w:rFonts w:ascii="Arial" w:hAnsi="Arial" w:cs="Arial"/>
              </w:rPr>
              <w:t xml:space="preserve"> apply pre-commitment controls and for those controls to function in a way approved by the commission. </w:t>
            </w:r>
          </w:p>
          <w:p w14:paraId="3E71A6DA" w14:textId="77777777" w:rsidR="002D2DB4" w:rsidRDefault="002D2DB4" w:rsidP="001F25C8">
            <w:pPr>
              <w:pStyle w:val="ListParagraph"/>
              <w:ind w:left="0"/>
              <w:rPr>
                <w:rFonts w:ascii="Arial" w:hAnsi="Arial" w:cs="Arial"/>
              </w:rPr>
            </w:pPr>
          </w:p>
          <w:p w14:paraId="37A704E4" w14:textId="3EE0975A" w:rsidR="009B75BD" w:rsidRPr="006122DE" w:rsidRDefault="00FF648B" w:rsidP="00F006B5">
            <w:pPr>
              <w:pStyle w:val="ListParagraph"/>
              <w:ind w:left="0"/>
              <w:rPr>
                <w:rFonts w:ascii="Arial" w:hAnsi="Arial" w:cs="Arial"/>
              </w:rPr>
            </w:pPr>
            <w:r>
              <w:rPr>
                <w:rFonts w:ascii="Arial" w:hAnsi="Arial" w:cs="Arial"/>
              </w:rPr>
              <w:t xml:space="preserve">Section 28 </w:t>
            </w:r>
            <w:r w:rsidR="00F006B5">
              <w:rPr>
                <w:rFonts w:ascii="Arial" w:hAnsi="Arial" w:cs="Arial"/>
              </w:rPr>
              <w:t>prescribes a</w:t>
            </w:r>
            <w:r w:rsidR="009B75BD">
              <w:rPr>
                <w:rFonts w:ascii="Arial" w:hAnsi="Arial" w:cs="Arial"/>
              </w:rPr>
              <w:t xml:space="preserve"> number of requirements for a gaming machine connected to the system (referred to as ‘pre-commitment controls’). This includes that the system must identify a person (i.e. the player) proposing to play the gaming machine. The information attached to the player includes a net loss limit</w:t>
            </w:r>
            <w:r w:rsidR="00746D21">
              <w:rPr>
                <w:rFonts w:ascii="Arial" w:hAnsi="Arial" w:cs="Arial"/>
              </w:rPr>
              <w:t xml:space="preserve"> the person has set</w:t>
            </w:r>
            <w:r w:rsidR="00B6672F">
              <w:rPr>
                <w:rFonts w:ascii="Arial" w:hAnsi="Arial" w:cs="Arial"/>
              </w:rPr>
              <w:t xml:space="preserve"> or playing period</w:t>
            </w:r>
            <w:r w:rsidR="009B75BD">
              <w:rPr>
                <w:rFonts w:ascii="Arial" w:hAnsi="Arial" w:cs="Arial"/>
              </w:rPr>
              <w:t xml:space="preserve">. </w:t>
            </w:r>
          </w:p>
        </w:tc>
      </w:tr>
      <w:tr w:rsidR="007745EF" w:rsidRPr="006122DE" w14:paraId="5EA5C370" w14:textId="77777777" w:rsidTr="001F25C8">
        <w:trPr>
          <w:cantSplit/>
          <w:trHeight w:val="2612"/>
        </w:trPr>
        <w:tc>
          <w:tcPr>
            <w:tcW w:w="2990" w:type="dxa"/>
          </w:tcPr>
          <w:p w14:paraId="6A514C3D" w14:textId="3CF479E8" w:rsidR="007745EF" w:rsidRDefault="007745EF" w:rsidP="001F25C8">
            <w:pPr>
              <w:pStyle w:val="ListParagraph"/>
              <w:ind w:left="0"/>
              <w:rPr>
                <w:rFonts w:ascii="Arial" w:hAnsi="Arial" w:cs="Arial"/>
              </w:rPr>
            </w:pPr>
            <w:r>
              <w:rPr>
                <w:rFonts w:ascii="Arial" w:hAnsi="Arial" w:cs="Arial"/>
              </w:rPr>
              <w:lastRenderedPageBreak/>
              <w:t>Section 67</w:t>
            </w:r>
            <w:r w:rsidR="00C20DB3">
              <w:rPr>
                <w:rFonts w:ascii="Arial" w:hAnsi="Arial" w:cs="Arial"/>
              </w:rPr>
              <w:t>T</w:t>
            </w:r>
          </w:p>
          <w:p w14:paraId="000015ED" w14:textId="77777777" w:rsidR="007745EF" w:rsidRDefault="007745EF" w:rsidP="001F25C8">
            <w:pPr>
              <w:pStyle w:val="ListParagraph"/>
              <w:ind w:left="0"/>
              <w:rPr>
                <w:rFonts w:ascii="Arial" w:hAnsi="Arial" w:cs="Arial"/>
              </w:rPr>
            </w:pPr>
          </w:p>
          <w:p w14:paraId="2FDD3DE3" w14:textId="09F58A82" w:rsidR="007745EF" w:rsidRPr="006122DE" w:rsidRDefault="007745EF" w:rsidP="001F25C8">
            <w:pPr>
              <w:pStyle w:val="ListParagraph"/>
              <w:ind w:left="0"/>
              <w:rPr>
                <w:rFonts w:ascii="Arial" w:hAnsi="Arial" w:cs="Arial"/>
              </w:rPr>
            </w:pPr>
            <w:r>
              <w:rPr>
                <w:rFonts w:ascii="Arial" w:hAnsi="Arial" w:cs="Arial"/>
              </w:rPr>
              <w:t xml:space="preserve">Use or disclosure of </w:t>
            </w:r>
            <w:r w:rsidR="003B6819">
              <w:rPr>
                <w:rFonts w:ascii="Arial" w:hAnsi="Arial" w:cs="Arial"/>
              </w:rPr>
              <w:t>account</w:t>
            </w:r>
            <w:r>
              <w:rPr>
                <w:rFonts w:ascii="Arial" w:hAnsi="Arial" w:cs="Arial"/>
              </w:rPr>
              <w:t xml:space="preserve"> information</w:t>
            </w:r>
          </w:p>
        </w:tc>
        <w:tc>
          <w:tcPr>
            <w:tcW w:w="5533" w:type="dxa"/>
          </w:tcPr>
          <w:p w14:paraId="48445EA0" w14:textId="4AC261C9" w:rsidR="007745EF" w:rsidRDefault="007745EF" w:rsidP="001F25C8">
            <w:pPr>
              <w:pStyle w:val="ListParagraph"/>
              <w:ind w:left="0"/>
              <w:rPr>
                <w:rFonts w:ascii="Arial" w:hAnsi="Arial" w:cs="Arial"/>
              </w:rPr>
            </w:pPr>
            <w:r>
              <w:rPr>
                <w:rFonts w:ascii="Arial" w:hAnsi="Arial" w:cs="Arial"/>
              </w:rPr>
              <w:t>Section 67</w:t>
            </w:r>
            <w:r w:rsidR="00C20DB3">
              <w:rPr>
                <w:rFonts w:ascii="Arial" w:hAnsi="Arial" w:cs="Arial"/>
              </w:rPr>
              <w:t>T</w:t>
            </w:r>
            <w:r>
              <w:rPr>
                <w:rFonts w:ascii="Arial" w:hAnsi="Arial" w:cs="Arial"/>
              </w:rPr>
              <w:t xml:space="preserve"> provides for the use </w:t>
            </w:r>
            <w:r>
              <w:rPr>
                <w:rFonts w:ascii="Arial" w:hAnsi="Arial" w:cs="Arial"/>
                <w:i/>
                <w:iCs/>
              </w:rPr>
              <w:t xml:space="preserve">and </w:t>
            </w:r>
            <w:r>
              <w:rPr>
                <w:rFonts w:ascii="Arial" w:hAnsi="Arial" w:cs="Arial"/>
              </w:rPr>
              <w:t xml:space="preserve">disclosure of </w:t>
            </w:r>
            <w:r w:rsidR="004C5CC5">
              <w:rPr>
                <w:rFonts w:ascii="Arial" w:hAnsi="Arial" w:cs="Arial"/>
              </w:rPr>
              <w:t>account</w:t>
            </w:r>
            <w:r>
              <w:rPr>
                <w:rFonts w:ascii="Arial" w:hAnsi="Arial" w:cs="Arial"/>
              </w:rPr>
              <w:t xml:space="preserve"> information in a range of circumstances, including:</w:t>
            </w:r>
          </w:p>
          <w:p w14:paraId="7C5CCE29" w14:textId="77777777" w:rsidR="007745EF" w:rsidRDefault="007745EF" w:rsidP="007745EF">
            <w:pPr>
              <w:pStyle w:val="ListParagraph"/>
              <w:numPr>
                <w:ilvl w:val="0"/>
                <w:numId w:val="10"/>
              </w:numPr>
              <w:rPr>
                <w:rFonts w:ascii="Arial" w:hAnsi="Arial" w:cs="Arial"/>
              </w:rPr>
            </w:pPr>
            <w:r>
              <w:rPr>
                <w:rFonts w:ascii="Arial" w:hAnsi="Arial" w:cs="Arial"/>
              </w:rPr>
              <w:t>If the person has the consent of the person to whom the information relates,</w:t>
            </w:r>
          </w:p>
          <w:p w14:paraId="13C31820" w14:textId="77777777" w:rsidR="007745EF" w:rsidRDefault="007745EF" w:rsidP="007745EF">
            <w:pPr>
              <w:pStyle w:val="ListParagraph"/>
              <w:numPr>
                <w:ilvl w:val="0"/>
                <w:numId w:val="10"/>
              </w:numPr>
              <w:rPr>
                <w:rFonts w:ascii="Arial" w:hAnsi="Arial" w:cs="Arial"/>
              </w:rPr>
            </w:pPr>
            <w:r>
              <w:rPr>
                <w:rFonts w:ascii="Arial" w:hAnsi="Arial" w:cs="Arial"/>
              </w:rPr>
              <w:t>If the use or disclosure of the information is required or authorised by or under an Australian law or a court or tribunal order,</w:t>
            </w:r>
          </w:p>
          <w:p w14:paraId="43B1529C" w14:textId="77777777" w:rsidR="007745EF" w:rsidRDefault="007745EF" w:rsidP="007745EF">
            <w:pPr>
              <w:pStyle w:val="ListParagraph"/>
              <w:numPr>
                <w:ilvl w:val="0"/>
                <w:numId w:val="10"/>
              </w:numPr>
              <w:rPr>
                <w:rFonts w:ascii="Arial" w:hAnsi="Arial" w:cs="Arial"/>
              </w:rPr>
            </w:pPr>
            <w:r>
              <w:rPr>
                <w:rFonts w:ascii="Arial" w:hAnsi="Arial" w:cs="Arial"/>
              </w:rPr>
              <w:t>If the person discloses the information to a member of a law enforcement agency for use in connection with the detection, investigation or prosecution of an offence,</w:t>
            </w:r>
          </w:p>
          <w:p w14:paraId="5D2A40DE" w14:textId="77777777" w:rsidR="007745EF" w:rsidRDefault="007745EF" w:rsidP="007745EF">
            <w:pPr>
              <w:pStyle w:val="ListParagraph"/>
              <w:numPr>
                <w:ilvl w:val="0"/>
                <w:numId w:val="10"/>
              </w:numPr>
              <w:rPr>
                <w:rFonts w:ascii="Arial" w:hAnsi="Arial" w:cs="Arial"/>
              </w:rPr>
            </w:pPr>
            <w:r>
              <w:rPr>
                <w:rFonts w:ascii="Arial" w:hAnsi="Arial" w:cs="Arial"/>
              </w:rPr>
              <w:t xml:space="preserve">If the person uses or discloses the information in relation to the performance of a function under the Act or another gaming law, </w:t>
            </w:r>
          </w:p>
          <w:p w14:paraId="3E10DEDD" w14:textId="77777777" w:rsidR="007745EF" w:rsidRDefault="007745EF" w:rsidP="007745EF">
            <w:pPr>
              <w:pStyle w:val="ListParagraph"/>
              <w:numPr>
                <w:ilvl w:val="0"/>
                <w:numId w:val="10"/>
              </w:numPr>
              <w:rPr>
                <w:rFonts w:ascii="Arial" w:hAnsi="Arial" w:cs="Arial"/>
              </w:rPr>
            </w:pPr>
            <w:r>
              <w:rPr>
                <w:rFonts w:ascii="Arial" w:hAnsi="Arial" w:cs="Arial"/>
              </w:rPr>
              <w:t>If the information the person uses or discloses has lawfully been made publicly available,</w:t>
            </w:r>
          </w:p>
          <w:p w14:paraId="690C9F65" w14:textId="77777777" w:rsidR="007745EF" w:rsidRDefault="007745EF" w:rsidP="007745EF">
            <w:pPr>
              <w:pStyle w:val="ListParagraph"/>
              <w:numPr>
                <w:ilvl w:val="0"/>
                <w:numId w:val="10"/>
              </w:numPr>
              <w:rPr>
                <w:rFonts w:ascii="Arial" w:hAnsi="Arial" w:cs="Arial"/>
              </w:rPr>
            </w:pPr>
            <w:r>
              <w:rPr>
                <w:rFonts w:ascii="Arial" w:hAnsi="Arial" w:cs="Arial"/>
              </w:rPr>
              <w:t xml:space="preserve">If the person discloses the information to the Minister or the administrative unit responsible for the Act or the Control Act and the information is de-identified, </w:t>
            </w:r>
          </w:p>
          <w:p w14:paraId="04BF548B" w14:textId="77777777" w:rsidR="007745EF" w:rsidRDefault="007745EF" w:rsidP="007745EF">
            <w:pPr>
              <w:pStyle w:val="ListParagraph"/>
              <w:numPr>
                <w:ilvl w:val="0"/>
                <w:numId w:val="10"/>
              </w:numPr>
              <w:rPr>
                <w:rFonts w:ascii="Arial" w:hAnsi="Arial" w:cs="Arial"/>
              </w:rPr>
            </w:pPr>
            <w:r>
              <w:rPr>
                <w:rFonts w:ascii="Arial" w:hAnsi="Arial" w:cs="Arial"/>
              </w:rPr>
              <w:t>If the person discloses the information to a person who conducts research and the information is de-identified, and</w:t>
            </w:r>
          </w:p>
          <w:p w14:paraId="3DFA805D" w14:textId="77777777" w:rsidR="007745EF" w:rsidRDefault="007745EF" w:rsidP="007745EF">
            <w:pPr>
              <w:pStyle w:val="ListParagraph"/>
              <w:numPr>
                <w:ilvl w:val="0"/>
                <w:numId w:val="10"/>
              </w:numPr>
              <w:rPr>
                <w:rFonts w:ascii="Arial" w:hAnsi="Arial" w:cs="Arial"/>
              </w:rPr>
            </w:pPr>
            <w:r>
              <w:rPr>
                <w:rFonts w:ascii="Arial" w:hAnsi="Arial" w:cs="Arial"/>
              </w:rPr>
              <w:t>If both of the following apply:</w:t>
            </w:r>
          </w:p>
          <w:p w14:paraId="250D5A95" w14:textId="77777777" w:rsidR="007745EF" w:rsidRDefault="007745EF" w:rsidP="007745EF">
            <w:pPr>
              <w:pStyle w:val="ListParagraph"/>
              <w:numPr>
                <w:ilvl w:val="1"/>
                <w:numId w:val="10"/>
              </w:numPr>
              <w:rPr>
                <w:rFonts w:ascii="Arial" w:hAnsi="Arial" w:cs="Arial"/>
              </w:rPr>
            </w:pPr>
            <w:r>
              <w:rPr>
                <w:rFonts w:ascii="Arial" w:hAnsi="Arial" w:cs="Arial"/>
              </w:rPr>
              <w:t xml:space="preserve">it is unreasonable or impracticable to obtain consent to the use or disclosure from the person to whom the pre-commitment information relates, </w:t>
            </w:r>
          </w:p>
          <w:p w14:paraId="6ACF1B17" w14:textId="77777777" w:rsidR="00EC03D0" w:rsidRDefault="00EC03D0">
            <w:pPr>
              <w:pStyle w:val="ListParagraph"/>
              <w:numPr>
                <w:ilvl w:val="1"/>
                <w:numId w:val="10"/>
              </w:numPr>
              <w:rPr>
                <w:rFonts w:ascii="Arial" w:hAnsi="Arial" w:cs="Arial"/>
              </w:rPr>
            </w:pPr>
            <w:r>
              <w:rPr>
                <w:rFonts w:ascii="Arial" w:hAnsi="Arial" w:cs="Arial"/>
              </w:rPr>
              <w:t xml:space="preserve">the person reasonably believes that the use or disclosure is necessary to lessen or prevent a serious threat to the life, health or safety of an individual, or to public health or safety. </w:t>
            </w:r>
          </w:p>
          <w:p w14:paraId="2AA6FE0A" w14:textId="77777777" w:rsidR="00060E45" w:rsidRDefault="00060E45" w:rsidP="00060E45">
            <w:pPr>
              <w:rPr>
                <w:rFonts w:ascii="Arial" w:hAnsi="Arial" w:cs="Arial"/>
              </w:rPr>
            </w:pPr>
          </w:p>
          <w:p w14:paraId="69417E3B" w14:textId="77777777" w:rsidR="00060E45" w:rsidRDefault="00060E45" w:rsidP="00060E45">
            <w:pPr>
              <w:rPr>
                <w:rFonts w:ascii="Arial" w:hAnsi="Arial" w:cs="Arial"/>
              </w:rPr>
            </w:pPr>
            <w:r>
              <w:rPr>
                <w:rFonts w:ascii="Arial" w:hAnsi="Arial" w:cs="Arial"/>
              </w:rPr>
              <w:t>‘Account information’ is defined in the Bill to mean “</w:t>
            </w:r>
            <w:r w:rsidRPr="00060E45">
              <w:rPr>
                <w:rFonts w:ascii="Arial" w:hAnsi="Arial" w:cs="Arial"/>
              </w:rPr>
              <w:t xml:space="preserve">information about a person obtained by a licensee as a result of the person doing any of the following: </w:t>
            </w:r>
          </w:p>
          <w:p w14:paraId="0AEB2B08" w14:textId="1035D7BA" w:rsidR="00060E45" w:rsidRDefault="00060E45" w:rsidP="00060E45">
            <w:pPr>
              <w:rPr>
                <w:rFonts w:ascii="Arial" w:hAnsi="Arial" w:cs="Arial"/>
              </w:rPr>
            </w:pPr>
            <w:r w:rsidRPr="00060E45">
              <w:rPr>
                <w:rFonts w:ascii="Arial" w:hAnsi="Arial" w:cs="Arial"/>
              </w:rPr>
              <w:t xml:space="preserve">(a) holding, and using, a player account for the licensee’s </w:t>
            </w:r>
            <w:r w:rsidR="003E2672" w:rsidRPr="00060E45">
              <w:rPr>
                <w:rFonts w:ascii="Arial" w:hAnsi="Arial" w:cs="Arial"/>
              </w:rPr>
              <w:t>account-based</w:t>
            </w:r>
            <w:r w:rsidRPr="00060E45">
              <w:rPr>
                <w:rFonts w:ascii="Arial" w:hAnsi="Arial" w:cs="Arial"/>
              </w:rPr>
              <w:t xml:space="preserve"> system; </w:t>
            </w:r>
          </w:p>
          <w:p w14:paraId="4D443F6C" w14:textId="77777777" w:rsidR="00060E45" w:rsidRDefault="00060E45" w:rsidP="00060E45">
            <w:pPr>
              <w:rPr>
                <w:rFonts w:ascii="Arial" w:hAnsi="Arial" w:cs="Arial"/>
              </w:rPr>
            </w:pPr>
            <w:r w:rsidRPr="00060E45">
              <w:rPr>
                <w:rFonts w:ascii="Arial" w:hAnsi="Arial" w:cs="Arial"/>
              </w:rPr>
              <w:t xml:space="preserve">(b) having, and using, a player card issued by the licensee; </w:t>
            </w:r>
          </w:p>
          <w:p w14:paraId="559C0CD9" w14:textId="5DEB918C" w:rsidR="00060E45" w:rsidRPr="00531776" w:rsidRDefault="00060E45" w:rsidP="00531776">
            <w:pPr>
              <w:rPr>
                <w:rFonts w:ascii="Arial" w:hAnsi="Arial" w:cs="Arial"/>
              </w:rPr>
            </w:pPr>
            <w:r w:rsidRPr="00060E45">
              <w:rPr>
                <w:rFonts w:ascii="Arial" w:hAnsi="Arial" w:cs="Arial"/>
              </w:rPr>
              <w:t>(c) operating a gaming machine on the licensee’s authorised premises.</w:t>
            </w:r>
            <w:r>
              <w:rPr>
                <w:rFonts w:ascii="Arial" w:hAnsi="Arial" w:cs="Arial"/>
              </w:rPr>
              <w:t>”</w:t>
            </w:r>
          </w:p>
        </w:tc>
      </w:tr>
      <w:tr w:rsidR="008420DF" w:rsidRPr="006122DE" w14:paraId="68B6CB1D" w14:textId="77777777" w:rsidTr="001F25C8">
        <w:trPr>
          <w:cantSplit/>
          <w:trHeight w:val="2612"/>
        </w:trPr>
        <w:tc>
          <w:tcPr>
            <w:tcW w:w="2990" w:type="dxa"/>
          </w:tcPr>
          <w:p w14:paraId="093CBA74" w14:textId="5F998458" w:rsidR="008420DF" w:rsidRPr="006122DE" w:rsidRDefault="00481537" w:rsidP="001F25C8">
            <w:pPr>
              <w:pStyle w:val="ListParagraph"/>
              <w:ind w:left="0"/>
              <w:rPr>
                <w:rFonts w:ascii="Arial" w:hAnsi="Arial" w:cs="Arial"/>
              </w:rPr>
            </w:pPr>
            <w:r w:rsidRPr="006122DE">
              <w:rPr>
                <w:rFonts w:ascii="Arial" w:hAnsi="Arial" w:cs="Arial"/>
              </w:rPr>
              <w:lastRenderedPageBreak/>
              <w:t xml:space="preserve">Section </w:t>
            </w:r>
            <w:r w:rsidR="004C15A9">
              <w:rPr>
                <w:rFonts w:ascii="Arial" w:hAnsi="Arial" w:cs="Arial"/>
              </w:rPr>
              <w:t>67</w:t>
            </w:r>
            <w:r w:rsidR="000D2DB9">
              <w:rPr>
                <w:rFonts w:ascii="Arial" w:hAnsi="Arial" w:cs="Arial"/>
              </w:rPr>
              <w:t>U</w:t>
            </w:r>
            <w:r w:rsidR="004C15A9">
              <w:rPr>
                <w:rFonts w:ascii="Arial" w:hAnsi="Arial" w:cs="Arial"/>
              </w:rPr>
              <w:t xml:space="preserve"> </w:t>
            </w:r>
            <w:r w:rsidR="005F44BA">
              <w:rPr>
                <w:rFonts w:ascii="Arial" w:hAnsi="Arial" w:cs="Arial"/>
              </w:rPr>
              <w:t xml:space="preserve">of the Act </w:t>
            </w:r>
            <w:r w:rsidR="004C15A9">
              <w:rPr>
                <w:rFonts w:ascii="Arial" w:hAnsi="Arial" w:cs="Arial"/>
              </w:rPr>
              <w:t>and section 29</w:t>
            </w:r>
            <w:r w:rsidR="005F44BA">
              <w:rPr>
                <w:rFonts w:ascii="Arial" w:hAnsi="Arial" w:cs="Arial"/>
              </w:rPr>
              <w:t xml:space="preserve"> of the Regulation</w:t>
            </w:r>
          </w:p>
          <w:p w14:paraId="4792112F" w14:textId="77777777" w:rsidR="00481537" w:rsidRPr="006122DE" w:rsidRDefault="00481537" w:rsidP="001F25C8">
            <w:pPr>
              <w:pStyle w:val="ListParagraph"/>
              <w:ind w:left="0"/>
              <w:rPr>
                <w:rFonts w:ascii="Arial" w:hAnsi="Arial" w:cs="Arial"/>
              </w:rPr>
            </w:pPr>
          </w:p>
          <w:p w14:paraId="37ACEBF9" w14:textId="41F401AA" w:rsidR="00481537" w:rsidRPr="006122DE" w:rsidRDefault="002A4604" w:rsidP="001F25C8">
            <w:pPr>
              <w:pStyle w:val="ListParagraph"/>
              <w:ind w:left="0"/>
              <w:rPr>
                <w:rFonts w:ascii="Arial" w:hAnsi="Arial" w:cs="Arial"/>
              </w:rPr>
            </w:pPr>
            <w:r>
              <w:rPr>
                <w:rFonts w:ascii="Arial" w:hAnsi="Arial" w:cs="Arial"/>
              </w:rPr>
              <w:t>Record keeping requirements</w:t>
            </w:r>
            <w:r w:rsidR="00481537" w:rsidRPr="006122DE">
              <w:rPr>
                <w:rFonts w:ascii="Arial" w:hAnsi="Arial" w:cs="Arial"/>
              </w:rPr>
              <w:t xml:space="preserve"> </w:t>
            </w:r>
          </w:p>
        </w:tc>
        <w:tc>
          <w:tcPr>
            <w:tcW w:w="5533" w:type="dxa"/>
          </w:tcPr>
          <w:p w14:paraId="34DC1AA1" w14:textId="78559617" w:rsidR="00481537" w:rsidRPr="006122DE" w:rsidRDefault="00481537" w:rsidP="001F25C8">
            <w:pPr>
              <w:pStyle w:val="ListParagraph"/>
              <w:ind w:left="0"/>
              <w:rPr>
                <w:rFonts w:ascii="Arial" w:hAnsi="Arial" w:cs="Arial"/>
              </w:rPr>
            </w:pPr>
            <w:r w:rsidRPr="006122DE">
              <w:rPr>
                <w:rFonts w:ascii="Arial" w:hAnsi="Arial" w:cs="Arial"/>
              </w:rPr>
              <w:t xml:space="preserve">This section requires that a licensee </w:t>
            </w:r>
            <w:r w:rsidR="008877EC">
              <w:rPr>
                <w:rFonts w:ascii="Arial" w:hAnsi="Arial" w:cs="Arial"/>
              </w:rPr>
              <w:t xml:space="preserve">must </w:t>
            </w:r>
            <w:r w:rsidRPr="006122DE">
              <w:rPr>
                <w:rFonts w:ascii="Arial" w:hAnsi="Arial" w:cs="Arial"/>
              </w:rPr>
              <w:t xml:space="preserve">keep a record of </w:t>
            </w:r>
            <w:r w:rsidR="004C15A9">
              <w:rPr>
                <w:rFonts w:ascii="Arial" w:hAnsi="Arial" w:cs="Arial"/>
              </w:rPr>
              <w:t>matters prescribed by regulation</w:t>
            </w:r>
            <w:r w:rsidR="00B9633E">
              <w:rPr>
                <w:rFonts w:ascii="Arial" w:hAnsi="Arial" w:cs="Arial"/>
              </w:rPr>
              <w:t xml:space="preserve">. New section 29 of the Regulation </w:t>
            </w:r>
            <w:r w:rsidR="004C15A9">
              <w:rPr>
                <w:rFonts w:ascii="Arial" w:hAnsi="Arial" w:cs="Arial"/>
              </w:rPr>
              <w:t>includes</w:t>
            </w:r>
            <w:r w:rsidR="00D06D01">
              <w:rPr>
                <w:rFonts w:ascii="Arial" w:hAnsi="Arial" w:cs="Arial"/>
              </w:rPr>
              <w:t xml:space="preserve"> player cards issued</w:t>
            </w:r>
            <w:r w:rsidR="00060E45">
              <w:rPr>
                <w:rFonts w:ascii="Arial" w:hAnsi="Arial" w:cs="Arial"/>
              </w:rPr>
              <w:t xml:space="preserve"> and cancelled</w:t>
            </w:r>
            <w:r w:rsidR="00D06D01">
              <w:rPr>
                <w:rFonts w:ascii="Arial" w:hAnsi="Arial" w:cs="Arial"/>
              </w:rPr>
              <w:t>,</w:t>
            </w:r>
            <w:r w:rsidR="00060E45">
              <w:rPr>
                <w:rFonts w:ascii="Arial" w:hAnsi="Arial" w:cs="Arial"/>
              </w:rPr>
              <w:t xml:space="preserve"> player accounts opened and closed,</w:t>
            </w:r>
            <w:r w:rsidR="00D06D01">
              <w:rPr>
                <w:rFonts w:ascii="Arial" w:hAnsi="Arial" w:cs="Arial"/>
              </w:rPr>
              <w:t xml:space="preserve"> system transactions, value of player credits held/expired and information identifying each player</w:t>
            </w:r>
            <w:r w:rsidR="006409C2">
              <w:rPr>
                <w:rFonts w:ascii="Arial" w:hAnsi="Arial" w:cs="Arial"/>
              </w:rPr>
              <w:t xml:space="preserve"> (worked out from the</w:t>
            </w:r>
            <w:r w:rsidR="00430501">
              <w:rPr>
                <w:rFonts w:ascii="Arial" w:hAnsi="Arial" w:cs="Arial"/>
              </w:rPr>
              <w:t xml:space="preserve"> other information recorded)</w:t>
            </w:r>
            <w:r w:rsidR="00D06D01">
              <w:rPr>
                <w:rFonts w:ascii="Arial" w:hAnsi="Arial" w:cs="Arial"/>
              </w:rPr>
              <w:t xml:space="preserve">. </w:t>
            </w:r>
          </w:p>
          <w:p w14:paraId="42747A34" w14:textId="77777777" w:rsidR="006400A2" w:rsidRPr="006122DE" w:rsidRDefault="006400A2" w:rsidP="001F25C8">
            <w:pPr>
              <w:pStyle w:val="ListParagraph"/>
              <w:ind w:left="0"/>
              <w:rPr>
                <w:rFonts w:ascii="Arial" w:hAnsi="Arial" w:cs="Arial"/>
              </w:rPr>
            </w:pPr>
          </w:p>
          <w:p w14:paraId="3AF6057B" w14:textId="4F3FD6B8" w:rsidR="0046576D" w:rsidRDefault="006400A2" w:rsidP="001F25C8">
            <w:pPr>
              <w:pStyle w:val="ListParagraph"/>
              <w:ind w:left="0"/>
              <w:rPr>
                <w:rFonts w:ascii="Arial" w:hAnsi="Arial" w:cs="Arial"/>
              </w:rPr>
            </w:pPr>
            <w:r w:rsidRPr="006122DE">
              <w:rPr>
                <w:rFonts w:ascii="Arial" w:hAnsi="Arial" w:cs="Arial"/>
              </w:rPr>
              <w:t>The amendments provide that a copy of the above records be provided to the commission if asked</w:t>
            </w:r>
            <w:r w:rsidR="004C15A9">
              <w:rPr>
                <w:rFonts w:ascii="Arial" w:hAnsi="Arial" w:cs="Arial"/>
              </w:rPr>
              <w:t xml:space="preserve"> within the stated period</w:t>
            </w:r>
            <w:r w:rsidRPr="006122DE">
              <w:rPr>
                <w:rFonts w:ascii="Arial" w:hAnsi="Arial" w:cs="Arial"/>
              </w:rPr>
              <w:t xml:space="preserve"> </w:t>
            </w:r>
            <w:r w:rsidR="0046576D">
              <w:rPr>
                <w:rFonts w:ascii="Arial" w:hAnsi="Arial" w:cs="Arial"/>
              </w:rPr>
              <w:t>(section</w:t>
            </w:r>
            <w:r w:rsidR="004C15A9">
              <w:rPr>
                <w:rFonts w:ascii="Arial" w:hAnsi="Arial" w:cs="Arial"/>
              </w:rPr>
              <w:t xml:space="preserve"> 67</w:t>
            </w:r>
            <w:r w:rsidR="00EB7EE8">
              <w:rPr>
                <w:rFonts w:ascii="Arial" w:hAnsi="Arial" w:cs="Arial"/>
              </w:rPr>
              <w:t>V</w:t>
            </w:r>
            <w:r w:rsidR="004C15A9">
              <w:rPr>
                <w:rFonts w:ascii="Arial" w:hAnsi="Arial" w:cs="Arial"/>
              </w:rPr>
              <w:t>(2)</w:t>
            </w:r>
            <w:r w:rsidR="0046576D">
              <w:rPr>
                <w:rFonts w:ascii="Arial" w:hAnsi="Arial" w:cs="Arial"/>
              </w:rPr>
              <w:t>).</w:t>
            </w:r>
          </w:p>
          <w:p w14:paraId="2194E8E1" w14:textId="79E1A96B" w:rsidR="008420DF" w:rsidRPr="006122DE" w:rsidRDefault="008420DF" w:rsidP="001F25C8">
            <w:pPr>
              <w:pStyle w:val="ListParagraph"/>
              <w:ind w:left="0"/>
              <w:rPr>
                <w:rFonts w:ascii="Arial" w:hAnsi="Arial" w:cs="Arial"/>
              </w:rPr>
            </w:pPr>
          </w:p>
        </w:tc>
      </w:tr>
      <w:tr w:rsidR="00746D21" w:rsidRPr="006122DE" w14:paraId="6CE53A63" w14:textId="77777777" w:rsidTr="001F25C8">
        <w:trPr>
          <w:cantSplit/>
          <w:trHeight w:val="2612"/>
        </w:trPr>
        <w:tc>
          <w:tcPr>
            <w:tcW w:w="2990" w:type="dxa"/>
          </w:tcPr>
          <w:p w14:paraId="0B5BA85A" w14:textId="3821AAC0" w:rsidR="00746D21" w:rsidRDefault="00746D21" w:rsidP="001F25C8">
            <w:pPr>
              <w:pStyle w:val="ListParagraph"/>
              <w:ind w:left="0"/>
              <w:rPr>
                <w:rFonts w:ascii="Arial" w:hAnsi="Arial" w:cs="Arial"/>
              </w:rPr>
            </w:pPr>
            <w:r>
              <w:rPr>
                <w:rFonts w:ascii="Arial" w:hAnsi="Arial" w:cs="Arial"/>
              </w:rPr>
              <w:t>Section</w:t>
            </w:r>
            <w:r w:rsidR="004C15A9">
              <w:rPr>
                <w:rFonts w:ascii="Arial" w:hAnsi="Arial" w:cs="Arial"/>
              </w:rPr>
              <w:t xml:space="preserve"> 67</w:t>
            </w:r>
            <w:r w:rsidR="003F348D">
              <w:rPr>
                <w:rFonts w:ascii="Arial" w:hAnsi="Arial" w:cs="Arial"/>
              </w:rPr>
              <w:t>V</w:t>
            </w:r>
            <w:r w:rsidR="004C15A9">
              <w:rPr>
                <w:rFonts w:ascii="Arial" w:hAnsi="Arial" w:cs="Arial"/>
              </w:rPr>
              <w:t xml:space="preserve"> </w:t>
            </w:r>
            <w:r w:rsidR="005F44BA">
              <w:rPr>
                <w:rFonts w:ascii="Arial" w:hAnsi="Arial" w:cs="Arial"/>
              </w:rPr>
              <w:t xml:space="preserve">of the Act </w:t>
            </w:r>
            <w:r w:rsidR="004C15A9">
              <w:rPr>
                <w:rFonts w:ascii="Arial" w:hAnsi="Arial" w:cs="Arial"/>
              </w:rPr>
              <w:t>and section 30</w:t>
            </w:r>
            <w:r>
              <w:rPr>
                <w:rFonts w:ascii="Arial" w:hAnsi="Arial" w:cs="Arial"/>
              </w:rPr>
              <w:t xml:space="preserve"> </w:t>
            </w:r>
            <w:r w:rsidR="005F44BA">
              <w:rPr>
                <w:rFonts w:ascii="Arial" w:hAnsi="Arial" w:cs="Arial"/>
              </w:rPr>
              <w:t>of the Regulation</w:t>
            </w:r>
          </w:p>
          <w:p w14:paraId="23DAD4F4" w14:textId="77777777" w:rsidR="00746D21" w:rsidRDefault="00746D21" w:rsidP="001F25C8">
            <w:pPr>
              <w:pStyle w:val="ListParagraph"/>
              <w:ind w:left="0"/>
              <w:rPr>
                <w:rFonts w:ascii="Arial" w:hAnsi="Arial" w:cs="Arial"/>
              </w:rPr>
            </w:pPr>
          </w:p>
          <w:p w14:paraId="187965C4" w14:textId="760BC6AB" w:rsidR="00746D21" w:rsidRPr="006122DE" w:rsidRDefault="00746D21" w:rsidP="001F25C8">
            <w:pPr>
              <w:pStyle w:val="ListParagraph"/>
              <w:ind w:left="0"/>
              <w:rPr>
                <w:rFonts w:ascii="Arial" w:hAnsi="Arial" w:cs="Arial"/>
              </w:rPr>
            </w:pPr>
            <w:r>
              <w:rPr>
                <w:rFonts w:ascii="Arial" w:hAnsi="Arial" w:cs="Arial"/>
              </w:rPr>
              <w:t xml:space="preserve">Reports to commission </w:t>
            </w:r>
          </w:p>
        </w:tc>
        <w:tc>
          <w:tcPr>
            <w:tcW w:w="5533" w:type="dxa"/>
          </w:tcPr>
          <w:p w14:paraId="3DBB322D" w14:textId="066BED31" w:rsidR="00CD11D0" w:rsidRPr="006122DE" w:rsidRDefault="00612C49" w:rsidP="00CD11D0">
            <w:pPr>
              <w:pStyle w:val="ListParagraph"/>
              <w:ind w:left="0"/>
              <w:rPr>
                <w:rFonts w:ascii="Arial" w:hAnsi="Arial" w:cs="Arial"/>
              </w:rPr>
            </w:pPr>
            <w:r>
              <w:rPr>
                <w:rFonts w:ascii="Arial" w:hAnsi="Arial" w:cs="Arial"/>
              </w:rPr>
              <w:t>Section 67V of the Act</w:t>
            </w:r>
            <w:r w:rsidR="00CD11D0">
              <w:rPr>
                <w:rFonts w:ascii="Arial" w:hAnsi="Arial" w:cs="Arial"/>
              </w:rPr>
              <w:t xml:space="preserve"> requires a licensee to prepare a written report </w:t>
            </w:r>
            <w:r w:rsidR="008355D5">
              <w:rPr>
                <w:rFonts w:ascii="Arial" w:hAnsi="Arial" w:cs="Arial"/>
              </w:rPr>
              <w:t>each month about each person who holds a player account</w:t>
            </w:r>
            <w:r w:rsidR="00CD11D0">
              <w:rPr>
                <w:rFonts w:ascii="Arial" w:hAnsi="Arial" w:cs="Arial"/>
              </w:rPr>
              <w:t xml:space="preserve">, however this must only contain </w:t>
            </w:r>
            <w:r w:rsidR="00CD11D0">
              <w:rPr>
                <w:rFonts w:ascii="Arial" w:hAnsi="Arial" w:cs="Arial"/>
                <w:i/>
                <w:iCs/>
              </w:rPr>
              <w:t xml:space="preserve">de-identified information </w:t>
            </w:r>
            <w:r w:rsidR="00CD11D0">
              <w:rPr>
                <w:rFonts w:ascii="Arial" w:hAnsi="Arial" w:cs="Arial"/>
              </w:rPr>
              <w:t>(</w:t>
            </w:r>
            <w:r w:rsidR="004C15A9">
              <w:rPr>
                <w:rFonts w:ascii="Arial" w:hAnsi="Arial" w:cs="Arial"/>
              </w:rPr>
              <w:t>section 67</w:t>
            </w:r>
            <w:r w:rsidR="003F348D">
              <w:rPr>
                <w:rFonts w:ascii="Arial" w:hAnsi="Arial" w:cs="Arial"/>
              </w:rPr>
              <w:t>V</w:t>
            </w:r>
            <w:r w:rsidR="004C15A9">
              <w:rPr>
                <w:rFonts w:ascii="Arial" w:hAnsi="Arial" w:cs="Arial"/>
              </w:rPr>
              <w:t>(2)</w:t>
            </w:r>
            <w:r w:rsidR="008355D5">
              <w:rPr>
                <w:rFonts w:ascii="Arial" w:hAnsi="Arial" w:cs="Arial"/>
              </w:rPr>
              <w:t>)</w:t>
            </w:r>
            <w:r w:rsidR="00CD11D0">
              <w:rPr>
                <w:rFonts w:ascii="Arial" w:hAnsi="Arial" w:cs="Arial"/>
              </w:rPr>
              <w:t xml:space="preserve">. A copy of these reports must be given to the commission </w:t>
            </w:r>
            <w:r w:rsidR="00CD11D0" w:rsidRPr="006122DE">
              <w:rPr>
                <w:rFonts w:ascii="Arial" w:hAnsi="Arial" w:cs="Arial"/>
              </w:rPr>
              <w:t xml:space="preserve">not later than 1 month after the end of a financial year </w:t>
            </w:r>
            <w:r w:rsidR="00CD11D0">
              <w:rPr>
                <w:rFonts w:ascii="Arial" w:hAnsi="Arial" w:cs="Arial"/>
              </w:rPr>
              <w:t xml:space="preserve">(section </w:t>
            </w:r>
            <w:r w:rsidR="001B3DA0">
              <w:rPr>
                <w:rFonts w:ascii="Arial" w:hAnsi="Arial" w:cs="Arial"/>
              </w:rPr>
              <w:t>67V</w:t>
            </w:r>
            <w:r w:rsidR="00CD11D0">
              <w:rPr>
                <w:rFonts w:ascii="Arial" w:hAnsi="Arial" w:cs="Arial"/>
              </w:rPr>
              <w:t>(</w:t>
            </w:r>
            <w:r w:rsidR="00741A90">
              <w:rPr>
                <w:rFonts w:ascii="Arial" w:hAnsi="Arial" w:cs="Arial"/>
              </w:rPr>
              <w:t>5</w:t>
            </w:r>
            <w:r w:rsidR="00CD11D0">
              <w:rPr>
                <w:rFonts w:ascii="Arial" w:hAnsi="Arial" w:cs="Arial"/>
              </w:rPr>
              <w:t>)</w:t>
            </w:r>
            <w:r w:rsidR="00CD11D0" w:rsidRPr="006122DE">
              <w:rPr>
                <w:rFonts w:ascii="Arial" w:hAnsi="Arial" w:cs="Arial"/>
              </w:rPr>
              <w:t xml:space="preserve">. </w:t>
            </w:r>
          </w:p>
          <w:p w14:paraId="4EC637FC" w14:textId="77777777" w:rsidR="00CD11D0" w:rsidRDefault="00CD11D0" w:rsidP="00CD11D0">
            <w:pPr>
              <w:pStyle w:val="ListParagraph"/>
              <w:ind w:left="0"/>
              <w:rPr>
                <w:rFonts w:ascii="Arial" w:hAnsi="Arial" w:cs="Arial"/>
              </w:rPr>
            </w:pPr>
          </w:p>
          <w:p w14:paraId="214BD6EB" w14:textId="50DE516E" w:rsidR="00CD11D0" w:rsidRPr="006122DE" w:rsidRDefault="004C15A9" w:rsidP="00CD11D0">
            <w:pPr>
              <w:pStyle w:val="ListParagraph"/>
              <w:ind w:left="0"/>
              <w:rPr>
                <w:rFonts w:ascii="Arial" w:hAnsi="Arial" w:cs="Arial"/>
              </w:rPr>
            </w:pPr>
            <w:r>
              <w:rPr>
                <w:rFonts w:ascii="Arial" w:hAnsi="Arial" w:cs="Arial"/>
              </w:rPr>
              <w:t xml:space="preserve">The information to be included in the report is prescribed by regulation (refer section 30) and includes </w:t>
            </w:r>
            <w:r w:rsidR="00CD11D0" w:rsidRPr="006122DE">
              <w:rPr>
                <w:rFonts w:ascii="Arial" w:hAnsi="Arial" w:cs="Arial"/>
              </w:rPr>
              <w:t>demographic characteristics (age and gender</w:t>
            </w:r>
            <w:r w:rsidR="00EB7EE8">
              <w:rPr>
                <w:rFonts w:ascii="Arial" w:hAnsi="Arial" w:cs="Arial"/>
              </w:rPr>
              <w:t xml:space="preserve"> (if available)</w:t>
            </w:r>
            <w:r w:rsidR="00CD11D0" w:rsidRPr="006122DE">
              <w:rPr>
                <w:rFonts w:ascii="Arial" w:hAnsi="Arial" w:cs="Arial"/>
              </w:rPr>
              <w:t>), overall gambling losses, loss limits and session length</w:t>
            </w:r>
            <w:r w:rsidR="00DB0F60">
              <w:rPr>
                <w:rFonts w:ascii="Arial" w:hAnsi="Arial" w:cs="Arial"/>
              </w:rPr>
              <w:t>s</w:t>
            </w:r>
            <w:r w:rsidR="00CD11D0" w:rsidRPr="006122DE">
              <w:rPr>
                <w:rFonts w:ascii="Arial" w:hAnsi="Arial" w:cs="Arial"/>
              </w:rPr>
              <w:t xml:space="preserve">.  </w:t>
            </w:r>
          </w:p>
          <w:p w14:paraId="66474291" w14:textId="75771596" w:rsidR="00CD11D0" w:rsidRDefault="00AF0DC5" w:rsidP="00CD11D0">
            <w:pPr>
              <w:pStyle w:val="ListParagraph"/>
              <w:ind w:left="0"/>
              <w:rPr>
                <w:rFonts w:ascii="Arial" w:hAnsi="Arial" w:cs="Arial"/>
              </w:rPr>
            </w:pPr>
            <w:r>
              <w:rPr>
                <w:rFonts w:ascii="Arial" w:hAnsi="Arial" w:cs="Arial"/>
              </w:rPr>
              <w:t>67V</w:t>
            </w:r>
            <w:r w:rsidR="00EB7EE8">
              <w:rPr>
                <w:rFonts w:ascii="Arial" w:hAnsi="Arial" w:cs="Arial"/>
              </w:rPr>
              <w:t>(2)</w:t>
            </w:r>
            <w:r>
              <w:rPr>
                <w:rFonts w:ascii="Arial" w:hAnsi="Arial" w:cs="Arial"/>
              </w:rPr>
              <w:t xml:space="preserve"> </w:t>
            </w:r>
            <w:r w:rsidR="00CD11D0" w:rsidRPr="006122DE">
              <w:rPr>
                <w:rFonts w:ascii="Arial" w:hAnsi="Arial" w:cs="Arial"/>
              </w:rPr>
              <w:t>provide</w:t>
            </w:r>
            <w:r w:rsidR="00EB7EE8">
              <w:rPr>
                <w:rFonts w:ascii="Arial" w:hAnsi="Arial" w:cs="Arial"/>
              </w:rPr>
              <w:t>s</w:t>
            </w:r>
            <w:r w:rsidR="00CD11D0" w:rsidRPr="006122DE">
              <w:rPr>
                <w:rFonts w:ascii="Arial" w:hAnsi="Arial" w:cs="Arial"/>
              </w:rPr>
              <w:t xml:space="preserve"> that the</w:t>
            </w:r>
            <w:r w:rsidR="00DB0F60">
              <w:rPr>
                <w:rFonts w:ascii="Arial" w:hAnsi="Arial" w:cs="Arial"/>
              </w:rPr>
              <w:t xml:space="preserve"> information only be provided in a de-identified form. It </w:t>
            </w:r>
            <w:r w:rsidR="00CD11D0" w:rsidRPr="006122DE">
              <w:rPr>
                <w:rFonts w:ascii="Arial" w:hAnsi="Arial" w:cs="Arial"/>
              </w:rPr>
              <w:t xml:space="preserve">should not be linked with identifying details of players such as name or address. </w:t>
            </w:r>
          </w:p>
          <w:p w14:paraId="07C53358" w14:textId="77777777" w:rsidR="00DB0F60" w:rsidRDefault="00DB0F60" w:rsidP="00CD11D0">
            <w:pPr>
              <w:pStyle w:val="ListParagraph"/>
              <w:ind w:left="0"/>
              <w:rPr>
                <w:rFonts w:ascii="Arial" w:hAnsi="Arial" w:cs="Arial"/>
              </w:rPr>
            </w:pPr>
          </w:p>
          <w:p w14:paraId="527FD08B" w14:textId="0A5F0AE0" w:rsidR="00DB0F60" w:rsidRPr="006122DE" w:rsidRDefault="00DB0F60" w:rsidP="00CD11D0">
            <w:pPr>
              <w:pStyle w:val="ListParagraph"/>
              <w:ind w:left="0"/>
              <w:rPr>
                <w:rFonts w:ascii="Arial" w:hAnsi="Arial" w:cs="Arial"/>
              </w:rPr>
            </w:pPr>
            <w:r>
              <w:rPr>
                <w:rFonts w:ascii="Arial" w:hAnsi="Arial" w:cs="Arial"/>
              </w:rPr>
              <w:t xml:space="preserve">These reports are required to be kept by licensees for at least 2 years after the report is prepared (section </w:t>
            </w:r>
            <w:r w:rsidR="00EE1277">
              <w:rPr>
                <w:rFonts w:ascii="Arial" w:hAnsi="Arial" w:cs="Arial"/>
              </w:rPr>
              <w:t>67V</w:t>
            </w:r>
            <w:r>
              <w:rPr>
                <w:rFonts w:ascii="Arial" w:hAnsi="Arial" w:cs="Arial"/>
              </w:rPr>
              <w:t>(</w:t>
            </w:r>
            <w:r w:rsidR="001B3DA0">
              <w:rPr>
                <w:rFonts w:ascii="Arial" w:hAnsi="Arial" w:cs="Arial"/>
              </w:rPr>
              <w:t>4</w:t>
            </w:r>
            <w:r>
              <w:rPr>
                <w:rFonts w:ascii="Arial" w:hAnsi="Arial" w:cs="Arial"/>
              </w:rPr>
              <w:t xml:space="preserve">)). </w:t>
            </w:r>
          </w:p>
          <w:p w14:paraId="0441D717" w14:textId="5180BAC5" w:rsidR="00746D21" w:rsidRPr="006122DE" w:rsidRDefault="00746D21" w:rsidP="001F25C8">
            <w:pPr>
              <w:pStyle w:val="ListParagraph"/>
              <w:ind w:left="0"/>
              <w:rPr>
                <w:rFonts w:ascii="Arial" w:hAnsi="Arial" w:cs="Arial"/>
              </w:rPr>
            </w:pPr>
          </w:p>
        </w:tc>
      </w:tr>
      <w:tr w:rsidR="008420DF" w:rsidRPr="006122DE" w14:paraId="45435463" w14:textId="77777777" w:rsidTr="001F25C8">
        <w:trPr>
          <w:cantSplit/>
          <w:trHeight w:val="2886"/>
        </w:trPr>
        <w:tc>
          <w:tcPr>
            <w:tcW w:w="2990" w:type="dxa"/>
          </w:tcPr>
          <w:p w14:paraId="375F6317" w14:textId="5DB9BCA7" w:rsidR="006400A2" w:rsidRPr="006122DE" w:rsidRDefault="00442B90" w:rsidP="001F25C8">
            <w:pPr>
              <w:pStyle w:val="ListParagraph"/>
              <w:ind w:left="0"/>
              <w:rPr>
                <w:rFonts w:ascii="Arial" w:hAnsi="Arial" w:cs="Arial"/>
              </w:rPr>
            </w:pPr>
            <w:r w:rsidRPr="006122DE">
              <w:rPr>
                <w:rFonts w:ascii="Arial" w:hAnsi="Arial" w:cs="Arial"/>
              </w:rPr>
              <w:lastRenderedPageBreak/>
              <w:t xml:space="preserve">Section </w:t>
            </w:r>
            <w:r w:rsidR="004C15A9">
              <w:rPr>
                <w:rFonts w:ascii="Arial" w:hAnsi="Arial" w:cs="Arial"/>
              </w:rPr>
              <w:t>67</w:t>
            </w:r>
            <w:r w:rsidR="00AA7125">
              <w:rPr>
                <w:rFonts w:ascii="Arial" w:hAnsi="Arial" w:cs="Arial"/>
              </w:rPr>
              <w:t>W</w:t>
            </w:r>
            <w:r w:rsidR="004C15A9">
              <w:rPr>
                <w:rFonts w:ascii="Arial" w:hAnsi="Arial" w:cs="Arial"/>
              </w:rPr>
              <w:t xml:space="preserve"> and section </w:t>
            </w:r>
            <w:r w:rsidR="00995552">
              <w:rPr>
                <w:rFonts w:ascii="Arial" w:hAnsi="Arial" w:cs="Arial"/>
              </w:rPr>
              <w:t>3</w:t>
            </w:r>
            <w:r w:rsidR="004C15A9">
              <w:rPr>
                <w:rFonts w:ascii="Arial" w:hAnsi="Arial" w:cs="Arial"/>
              </w:rPr>
              <w:t>1</w:t>
            </w:r>
            <w:r w:rsidRPr="006122DE">
              <w:rPr>
                <w:rFonts w:ascii="Arial" w:hAnsi="Arial" w:cs="Arial"/>
              </w:rPr>
              <w:t xml:space="preserve"> </w:t>
            </w:r>
          </w:p>
          <w:p w14:paraId="683C1830" w14:textId="77777777" w:rsidR="00442B90" w:rsidRPr="006122DE" w:rsidRDefault="00442B90" w:rsidP="001F25C8">
            <w:pPr>
              <w:pStyle w:val="ListParagraph"/>
              <w:ind w:left="0"/>
              <w:rPr>
                <w:rFonts w:ascii="Arial" w:hAnsi="Arial" w:cs="Arial"/>
              </w:rPr>
            </w:pPr>
          </w:p>
          <w:p w14:paraId="09F374EE" w14:textId="398742C3" w:rsidR="00442B90" w:rsidRPr="006122DE" w:rsidRDefault="00741A90" w:rsidP="001F25C8">
            <w:pPr>
              <w:pStyle w:val="ListParagraph"/>
              <w:ind w:left="0"/>
              <w:rPr>
                <w:rFonts w:ascii="Arial" w:hAnsi="Arial" w:cs="Arial"/>
              </w:rPr>
            </w:pPr>
            <w:r>
              <w:rPr>
                <w:rFonts w:ascii="Arial" w:hAnsi="Arial" w:cs="Arial"/>
              </w:rPr>
              <w:t xml:space="preserve">Monthly </w:t>
            </w:r>
            <w:r w:rsidR="00185C69">
              <w:rPr>
                <w:rFonts w:ascii="Arial" w:hAnsi="Arial" w:cs="Arial"/>
              </w:rPr>
              <w:t>a</w:t>
            </w:r>
            <w:r w:rsidR="00442B90" w:rsidRPr="006122DE">
              <w:rPr>
                <w:rFonts w:ascii="Arial" w:hAnsi="Arial" w:cs="Arial"/>
              </w:rPr>
              <w:t xml:space="preserve">ctivity statements </w:t>
            </w:r>
          </w:p>
          <w:p w14:paraId="1BE24241" w14:textId="77777777" w:rsidR="006400A2" w:rsidRPr="006122DE" w:rsidRDefault="006400A2" w:rsidP="001F25C8">
            <w:pPr>
              <w:pStyle w:val="ListParagraph"/>
              <w:ind w:left="0"/>
              <w:rPr>
                <w:rFonts w:ascii="Arial" w:hAnsi="Arial" w:cs="Arial"/>
              </w:rPr>
            </w:pPr>
          </w:p>
          <w:p w14:paraId="042EA45C" w14:textId="50550372" w:rsidR="008420DF" w:rsidRPr="006122DE" w:rsidRDefault="008420DF" w:rsidP="001F25C8">
            <w:pPr>
              <w:pStyle w:val="ListParagraph"/>
              <w:ind w:left="0"/>
              <w:rPr>
                <w:rFonts w:ascii="Arial" w:hAnsi="Arial" w:cs="Arial"/>
              </w:rPr>
            </w:pPr>
            <w:r w:rsidRPr="006122DE">
              <w:rPr>
                <w:rFonts w:ascii="Arial" w:hAnsi="Arial" w:cs="Arial"/>
              </w:rPr>
              <w:t xml:space="preserve"> </w:t>
            </w:r>
          </w:p>
        </w:tc>
        <w:tc>
          <w:tcPr>
            <w:tcW w:w="5533" w:type="dxa"/>
          </w:tcPr>
          <w:p w14:paraId="4912CA68" w14:textId="748422CF" w:rsidR="008420DF" w:rsidRPr="006122DE" w:rsidRDefault="00612C49" w:rsidP="001F25C8">
            <w:pPr>
              <w:pStyle w:val="ListParagraph"/>
              <w:ind w:left="0"/>
              <w:rPr>
                <w:rFonts w:ascii="Arial" w:hAnsi="Arial" w:cs="Arial"/>
              </w:rPr>
            </w:pPr>
            <w:r>
              <w:rPr>
                <w:rFonts w:ascii="Arial" w:hAnsi="Arial" w:cs="Arial"/>
              </w:rPr>
              <w:t>Section 67W of the Act</w:t>
            </w:r>
            <w:r w:rsidR="00442B90" w:rsidRPr="006122DE">
              <w:rPr>
                <w:rFonts w:ascii="Arial" w:hAnsi="Arial" w:cs="Arial"/>
              </w:rPr>
              <w:t xml:space="preserve"> requires licensees to give each person who holds a player account a document each month </w:t>
            </w:r>
            <w:r w:rsidR="00DB0F60" w:rsidRPr="006122DE">
              <w:rPr>
                <w:rFonts w:ascii="Arial" w:hAnsi="Arial" w:cs="Arial"/>
              </w:rPr>
              <w:t>w</w:t>
            </w:r>
            <w:r w:rsidR="00DB0F60">
              <w:rPr>
                <w:rFonts w:ascii="Arial" w:hAnsi="Arial" w:cs="Arial"/>
              </w:rPr>
              <w:t>hich</w:t>
            </w:r>
            <w:r w:rsidR="00DB0F60" w:rsidRPr="006122DE">
              <w:rPr>
                <w:rFonts w:ascii="Arial" w:hAnsi="Arial" w:cs="Arial"/>
              </w:rPr>
              <w:t xml:space="preserve"> </w:t>
            </w:r>
            <w:r w:rsidR="00442B90" w:rsidRPr="006122DE">
              <w:rPr>
                <w:rFonts w:ascii="Arial" w:hAnsi="Arial" w:cs="Arial"/>
              </w:rPr>
              <w:t xml:space="preserve">sets out transactions relating to their account. </w:t>
            </w:r>
          </w:p>
          <w:p w14:paraId="214E7884" w14:textId="77777777" w:rsidR="00442B90" w:rsidRPr="006122DE" w:rsidRDefault="00442B90" w:rsidP="001F25C8">
            <w:pPr>
              <w:pStyle w:val="ListParagraph"/>
              <w:ind w:left="0"/>
              <w:rPr>
                <w:rFonts w:ascii="Arial" w:hAnsi="Arial" w:cs="Arial"/>
              </w:rPr>
            </w:pPr>
          </w:p>
          <w:p w14:paraId="55DCB6DB" w14:textId="7B815278" w:rsidR="00442B90" w:rsidRDefault="002E2D31" w:rsidP="001F25C8">
            <w:pPr>
              <w:pStyle w:val="ListParagraph"/>
              <w:ind w:left="0"/>
              <w:rPr>
                <w:rFonts w:ascii="Arial" w:hAnsi="Arial" w:cs="Arial"/>
              </w:rPr>
            </w:pPr>
            <w:r w:rsidRPr="006122DE">
              <w:rPr>
                <w:rFonts w:ascii="Arial" w:hAnsi="Arial" w:cs="Arial"/>
              </w:rPr>
              <w:t xml:space="preserve">Information to be included in the statement </w:t>
            </w:r>
            <w:r w:rsidR="00DB0F60">
              <w:rPr>
                <w:rFonts w:ascii="Arial" w:hAnsi="Arial" w:cs="Arial"/>
              </w:rPr>
              <w:t xml:space="preserve">is </w:t>
            </w:r>
            <w:r w:rsidR="00D81616">
              <w:rPr>
                <w:rFonts w:ascii="Arial" w:hAnsi="Arial" w:cs="Arial"/>
              </w:rPr>
              <w:t>prescribed by regulation (and is set out in section 31)</w:t>
            </w:r>
            <w:r w:rsidR="00DB0F60">
              <w:rPr>
                <w:rFonts w:ascii="Arial" w:hAnsi="Arial" w:cs="Arial"/>
              </w:rPr>
              <w:t xml:space="preserve"> and </w:t>
            </w:r>
            <w:r w:rsidRPr="006122DE">
              <w:rPr>
                <w:rFonts w:ascii="Arial" w:hAnsi="Arial" w:cs="Arial"/>
              </w:rPr>
              <w:t xml:space="preserve">includes credit added, credits redeemed, losses, winnings, number of bets placed and the opening and closing balance. </w:t>
            </w:r>
          </w:p>
          <w:p w14:paraId="0BBEE757" w14:textId="77777777" w:rsidR="00D81616" w:rsidRDefault="00D81616" w:rsidP="001F25C8">
            <w:pPr>
              <w:pStyle w:val="ListParagraph"/>
              <w:ind w:left="0"/>
              <w:rPr>
                <w:rFonts w:ascii="Arial" w:hAnsi="Arial" w:cs="Arial"/>
              </w:rPr>
            </w:pPr>
          </w:p>
          <w:p w14:paraId="0B921087" w14:textId="2B45B65D" w:rsidR="00D81616" w:rsidRPr="006122DE" w:rsidRDefault="00D81616" w:rsidP="001F25C8">
            <w:pPr>
              <w:pStyle w:val="ListParagraph"/>
              <w:ind w:left="0"/>
              <w:rPr>
                <w:rFonts w:ascii="Arial" w:hAnsi="Arial" w:cs="Arial"/>
              </w:rPr>
            </w:pPr>
            <w:r>
              <w:rPr>
                <w:rFonts w:ascii="Arial" w:hAnsi="Arial" w:cs="Arial"/>
              </w:rPr>
              <w:t>Activity statements must be provided as soon as practicable, but not later than 7 days, after the end of the month to which the statement applies and in the way chosen by the account holder (section 67</w:t>
            </w:r>
            <w:r w:rsidR="00AA7125">
              <w:rPr>
                <w:rFonts w:ascii="Arial" w:hAnsi="Arial" w:cs="Arial"/>
              </w:rPr>
              <w:t>W</w:t>
            </w:r>
            <w:r>
              <w:rPr>
                <w:rFonts w:ascii="Arial" w:hAnsi="Arial" w:cs="Arial"/>
              </w:rPr>
              <w:t>(2)).</w:t>
            </w:r>
          </w:p>
          <w:p w14:paraId="67652F3E" w14:textId="77777777" w:rsidR="002E2D31" w:rsidRPr="006122DE" w:rsidRDefault="002E2D31" w:rsidP="001F25C8">
            <w:pPr>
              <w:pStyle w:val="ListParagraph"/>
              <w:ind w:left="0"/>
              <w:rPr>
                <w:rFonts w:ascii="Arial" w:hAnsi="Arial" w:cs="Arial"/>
              </w:rPr>
            </w:pPr>
          </w:p>
          <w:p w14:paraId="45068229" w14:textId="743EE06E" w:rsidR="002E2D31" w:rsidRPr="006122DE" w:rsidRDefault="002E2D31" w:rsidP="001F25C8">
            <w:pPr>
              <w:pStyle w:val="ListParagraph"/>
              <w:ind w:left="0"/>
              <w:rPr>
                <w:rFonts w:ascii="Arial" w:hAnsi="Arial" w:cs="Arial"/>
              </w:rPr>
            </w:pPr>
            <w:r w:rsidRPr="006122DE">
              <w:rPr>
                <w:rFonts w:ascii="Arial" w:hAnsi="Arial" w:cs="Arial"/>
              </w:rPr>
              <w:t xml:space="preserve">Depending on the account-based system that each licensee implements, these </w:t>
            </w:r>
            <w:r w:rsidR="00EE14C6">
              <w:rPr>
                <w:rFonts w:ascii="Arial" w:hAnsi="Arial" w:cs="Arial"/>
              </w:rPr>
              <w:t xml:space="preserve">activity statements </w:t>
            </w:r>
            <w:r w:rsidRPr="006122DE">
              <w:rPr>
                <w:rFonts w:ascii="Arial" w:hAnsi="Arial" w:cs="Arial"/>
              </w:rPr>
              <w:t xml:space="preserve">may be held by the licensee’s system. </w:t>
            </w:r>
            <w:r w:rsidR="00BB3661">
              <w:rPr>
                <w:rFonts w:ascii="Arial" w:hAnsi="Arial" w:cs="Arial"/>
              </w:rPr>
              <w:t xml:space="preserve">A licensee will be committing an offence under the Bill if they are not able to provide an activity statement to an account holder that has been prepared within the last 7 years (section </w:t>
            </w:r>
            <w:r w:rsidR="00A43682">
              <w:rPr>
                <w:rFonts w:ascii="Arial" w:hAnsi="Arial" w:cs="Arial"/>
              </w:rPr>
              <w:t>67W</w:t>
            </w:r>
            <w:r w:rsidR="00BB3661">
              <w:rPr>
                <w:rFonts w:ascii="Arial" w:hAnsi="Arial" w:cs="Arial"/>
              </w:rPr>
              <w:t xml:space="preserve">(4) </w:t>
            </w:r>
          </w:p>
          <w:p w14:paraId="25B5A9E4" w14:textId="16DE3111" w:rsidR="002E2D31" w:rsidRPr="006122DE" w:rsidRDefault="002E2D31" w:rsidP="001F25C8">
            <w:pPr>
              <w:pStyle w:val="ListParagraph"/>
              <w:ind w:left="0"/>
              <w:rPr>
                <w:rFonts w:ascii="Arial" w:hAnsi="Arial" w:cs="Arial"/>
              </w:rPr>
            </w:pPr>
          </w:p>
        </w:tc>
      </w:tr>
    </w:tbl>
    <w:p w14:paraId="575C34B3" w14:textId="77777777" w:rsidR="008C501A" w:rsidRPr="0003453B" w:rsidRDefault="008C501A" w:rsidP="00E90DF9">
      <w:pPr>
        <w:pStyle w:val="ListParagraph"/>
        <w:ind w:left="360"/>
        <w:rPr>
          <w:rFonts w:ascii="Arial" w:hAnsi="Arial" w:cs="Arial"/>
          <w:iCs/>
          <w:color w:val="FF0000"/>
          <w:sz w:val="24"/>
          <w:szCs w:val="24"/>
        </w:rPr>
      </w:pPr>
    </w:p>
    <w:p w14:paraId="38DB061E" w14:textId="77777777" w:rsidR="00E90DF9" w:rsidRDefault="00E90DF9" w:rsidP="00E90DF9">
      <w:pPr>
        <w:pStyle w:val="ListParagraph"/>
        <w:ind w:left="360"/>
        <w:rPr>
          <w:rFonts w:ascii="Arial" w:hAnsi="Arial" w:cs="Arial"/>
          <w:i/>
          <w:color w:val="FF0000"/>
          <w:sz w:val="24"/>
          <w:szCs w:val="24"/>
        </w:rPr>
      </w:pPr>
    </w:p>
    <w:p w14:paraId="45867F3F" w14:textId="5E936E7B" w:rsidR="00E90DF9" w:rsidRPr="00414921" w:rsidRDefault="00E90DF9" w:rsidP="00E90DF9">
      <w:pPr>
        <w:pStyle w:val="ListParagraph"/>
        <w:numPr>
          <w:ilvl w:val="0"/>
          <w:numId w:val="1"/>
        </w:numPr>
        <w:rPr>
          <w:rFonts w:ascii="Arial" w:hAnsi="Arial" w:cs="Arial"/>
          <w:b/>
          <w:bCs/>
          <w:i/>
          <w:sz w:val="24"/>
          <w:szCs w:val="24"/>
        </w:rPr>
      </w:pPr>
      <w:r w:rsidRPr="00414921">
        <w:rPr>
          <w:rFonts w:ascii="Arial" w:hAnsi="Arial" w:cs="Arial"/>
          <w:b/>
          <w:bCs/>
          <w:i/>
          <w:sz w:val="24"/>
          <w:szCs w:val="24"/>
        </w:rPr>
        <w:t>Legitimate purpose (s28</w:t>
      </w:r>
      <w:r w:rsidR="00E01BBF">
        <w:rPr>
          <w:rFonts w:ascii="Arial" w:hAnsi="Arial" w:cs="Arial"/>
          <w:b/>
          <w:bCs/>
          <w:i/>
          <w:sz w:val="24"/>
          <w:szCs w:val="24"/>
        </w:rPr>
        <w:t>(2)</w:t>
      </w:r>
      <w:r w:rsidRPr="00414921">
        <w:rPr>
          <w:rFonts w:ascii="Arial" w:hAnsi="Arial" w:cs="Arial"/>
          <w:b/>
          <w:bCs/>
          <w:i/>
          <w:sz w:val="24"/>
          <w:szCs w:val="24"/>
        </w:rPr>
        <w:t>(b))</w:t>
      </w:r>
    </w:p>
    <w:p w14:paraId="53CC5F44" w14:textId="77777777" w:rsidR="00E90DF9" w:rsidRDefault="00E90DF9" w:rsidP="00E90DF9">
      <w:pPr>
        <w:pStyle w:val="ListParagraph"/>
        <w:ind w:left="360"/>
        <w:rPr>
          <w:rFonts w:ascii="Arial" w:hAnsi="Arial" w:cs="Arial"/>
          <w:i/>
          <w:color w:val="FF0000"/>
          <w:sz w:val="24"/>
          <w:szCs w:val="24"/>
        </w:rPr>
      </w:pPr>
    </w:p>
    <w:p w14:paraId="4234D303" w14:textId="2708BC55" w:rsidR="00EE14C6" w:rsidRPr="00EE14C6" w:rsidRDefault="00EE14C6" w:rsidP="00EE14C6">
      <w:pPr>
        <w:pStyle w:val="ListParagraph"/>
        <w:ind w:left="360"/>
        <w:rPr>
          <w:rFonts w:ascii="Arial" w:hAnsi="Arial" w:cs="Arial"/>
          <w:iCs/>
          <w:sz w:val="24"/>
          <w:szCs w:val="24"/>
        </w:rPr>
      </w:pPr>
      <w:r w:rsidRPr="00EE14C6">
        <w:rPr>
          <w:rFonts w:ascii="Arial" w:hAnsi="Arial" w:cs="Arial"/>
          <w:iCs/>
          <w:sz w:val="24"/>
          <w:szCs w:val="24"/>
        </w:rPr>
        <w:t xml:space="preserve">The range of provisions in the Bill that limit the right to privacy are categorised into the following </w:t>
      </w:r>
      <w:r w:rsidRPr="00CD11D0">
        <w:rPr>
          <w:rFonts w:ascii="Arial" w:hAnsi="Arial" w:cs="Arial"/>
          <w:iCs/>
          <w:sz w:val="24"/>
          <w:szCs w:val="24"/>
        </w:rPr>
        <w:t xml:space="preserve">three </w:t>
      </w:r>
      <w:r w:rsidRPr="00EE14C6">
        <w:rPr>
          <w:rFonts w:ascii="Arial" w:hAnsi="Arial" w:cs="Arial"/>
          <w:iCs/>
          <w:sz w:val="24"/>
          <w:szCs w:val="24"/>
        </w:rPr>
        <w:t>broad related areas:</w:t>
      </w:r>
    </w:p>
    <w:p w14:paraId="0DF4B9FD" w14:textId="1A51762F" w:rsidR="00B47DC0" w:rsidRPr="00B47DC0" w:rsidRDefault="00B47DC0" w:rsidP="00B47DC0">
      <w:pPr>
        <w:pStyle w:val="ListParagraph"/>
        <w:numPr>
          <w:ilvl w:val="0"/>
          <w:numId w:val="11"/>
        </w:numPr>
        <w:rPr>
          <w:rFonts w:ascii="Arial" w:hAnsi="Arial" w:cs="Arial"/>
          <w:iCs/>
          <w:sz w:val="24"/>
          <w:szCs w:val="24"/>
        </w:rPr>
      </w:pPr>
      <w:r w:rsidRPr="00B47DC0">
        <w:rPr>
          <w:rFonts w:ascii="Arial" w:hAnsi="Arial" w:cs="Arial"/>
          <w:iCs/>
          <w:sz w:val="24"/>
          <w:szCs w:val="24"/>
        </w:rPr>
        <w:t>Identity verification: s 67E</w:t>
      </w:r>
      <w:r w:rsidR="00CD11D0">
        <w:rPr>
          <w:rFonts w:ascii="Arial" w:hAnsi="Arial" w:cs="Arial"/>
          <w:iCs/>
          <w:sz w:val="24"/>
          <w:szCs w:val="24"/>
        </w:rPr>
        <w:t xml:space="preserve">, </w:t>
      </w:r>
      <w:r w:rsidR="00AC3B70">
        <w:rPr>
          <w:rFonts w:ascii="Arial" w:hAnsi="Arial" w:cs="Arial"/>
          <w:iCs/>
          <w:sz w:val="24"/>
          <w:szCs w:val="24"/>
        </w:rPr>
        <w:t xml:space="preserve">s </w:t>
      </w:r>
      <w:r w:rsidR="00CD11D0">
        <w:rPr>
          <w:rFonts w:ascii="Arial" w:hAnsi="Arial" w:cs="Arial"/>
          <w:iCs/>
          <w:sz w:val="24"/>
          <w:szCs w:val="24"/>
        </w:rPr>
        <w:t>67</w:t>
      </w:r>
      <w:r w:rsidR="00154941">
        <w:rPr>
          <w:rFonts w:ascii="Arial" w:hAnsi="Arial" w:cs="Arial"/>
          <w:iCs/>
          <w:sz w:val="24"/>
          <w:szCs w:val="24"/>
        </w:rPr>
        <w:t>P</w:t>
      </w:r>
    </w:p>
    <w:p w14:paraId="008FC86D" w14:textId="287E99F2" w:rsidR="00B47DC0" w:rsidRPr="00B47DC0" w:rsidRDefault="00B47DC0" w:rsidP="00B47DC0">
      <w:pPr>
        <w:pStyle w:val="ListParagraph"/>
        <w:numPr>
          <w:ilvl w:val="0"/>
          <w:numId w:val="11"/>
        </w:numPr>
        <w:rPr>
          <w:rFonts w:ascii="Arial" w:hAnsi="Arial" w:cs="Arial"/>
          <w:iCs/>
          <w:sz w:val="24"/>
          <w:szCs w:val="24"/>
        </w:rPr>
      </w:pPr>
      <w:r w:rsidRPr="00B47DC0">
        <w:rPr>
          <w:rFonts w:ascii="Arial" w:hAnsi="Arial" w:cs="Arial"/>
          <w:iCs/>
          <w:sz w:val="24"/>
          <w:szCs w:val="24"/>
        </w:rPr>
        <w:t xml:space="preserve">Pre-commitment </w:t>
      </w:r>
      <w:r w:rsidR="004C5CC5">
        <w:rPr>
          <w:rFonts w:ascii="Arial" w:hAnsi="Arial" w:cs="Arial"/>
          <w:iCs/>
          <w:sz w:val="24"/>
          <w:szCs w:val="24"/>
        </w:rPr>
        <w:t>control</w:t>
      </w:r>
      <w:r w:rsidRPr="00B47DC0">
        <w:rPr>
          <w:rFonts w:ascii="Arial" w:hAnsi="Arial" w:cs="Arial"/>
          <w:iCs/>
          <w:sz w:val="24"/>
          <w:szCs w:val="24"/>
        </w:rPr>
        <w:t>s</w:t>
      </w:r>
      <w:r w:rsidR="00AC3B70">
        <w:rPr>
          <w:rFonts w:ascii="Arial" w:hAnsi="Arial" w:cs="Arial"/>
          <w:iCs/>
          <w:sz w:val="24"/>
          <w:szCs w:val="24"/>
        </w:rPr>
        <w:t>:</w:t>
      </w:r>
      <w:r w:rsidRPr="00B47DC0">
        <w:rPr>
          <w:rFonts w:ascii="Arial" w:hAnsi="Arial" w:cs="Arial"/>
          <w:iCs/>
          <w:sz w:val="24"/>
          <w:szCs w:val="24"/>
        </w:rPr>
        <w:t xml:space="preserve"> </w:t>
      </w:r>
      <w:r w:rsidR="00AC3B70">
        <w:rPr>
          <w:rFonts w:ascii="Arial" w:hAnsi="Arial" w:cs="Arial"/>
          <w:iCs/>
          <w:sz w:val="24"/>
          <w:szCs w:val="24"/>
        </w:rPr>
        <w:t xml:space="preserve">s </w:t>
      </w:r>
      <w:r w:rsidRPr="00B47DC0">
        <w:rPr>
          <w:rFonts w:ascii="Arial" w:hAnsi="Arial" w:cs="Arial"/>
          <w:iCs/>
          <w:sz w:val="24"/>
          <w:szCs w:val="24"/>
        </w:rPr>
        <w:t>67</w:t>
      </w:r>
      <w:r w:rsidR="007C5DE3">
        <w:rPr>
          <w:rFonts w:ascii="Arial" w:hAnsi="Arial" w:cs="Arial"/>
          <w:iCs/>
          <w:sz w:val="24"/>
          <w:szCs w:val="24"/>
        </w:rPr>
        <w:t>S</w:t>
      </w:r>
      <w:r w:rsidR="0055003B">
        <w:rPr>
          <w:rFonts w:ascii="Arial" w:hAnsi="Arial" w:cs="Arial"/>
          <w:iCs/>
          <w:sz w:val="24"/>
          <w:szCs w:val="24"/>
        </w:rPr>
        <w:t xml:space="preserve"> and</w:t>
      </w:r>
      <w:r w:rsidRPr="00B47DC0">
        <w:rPr>
          <w:rFonts w:ascii="Arial" w:hAnsi="Arial" w:cs="Arial"/>
          <w:iCs/>
          <w:sz w:val="24"/>
          <w:szCs w:val="24"/>
        </w:rPr>
        <w:t xml:space="preserve"> s</w:t>
      </w:r>
      <w:r w:rsidR="007C5DE3">
        <w:rPr>
          <w:rFonts w:ascii="Arial" w:hAnsi="Arial" w:cs="Arial"/>
          <w:iCs/>
          <w:sz w:val="24"/>
          <w:szCs w:val="24"/>
        </w:rPr>
        <w:t xml:space="preserve"> 28</w:t>
      </w:r>
    </w:p>
    <w:p w14:paraId="115BD027" w14:textId="52747E54" w:rsidR="00B47DC0" w:rsidRDefault="00E40848" w:rsidP="008B33D0">
      <w:pPr>
        <w:pStyle w:val="ListParagraph"/>
        <w:numPr>
          <w:ilvl w:val="0"/>
          <w:numId w:val="11"/>
        </w:numPr>
        <w:rPr>
          <w:rFonts w:ascii="Arial" w:hAnsi="Arial" w:cs="Arial"/>
          <w:iCs/>
          <w:sz w:val="24"/>
          <w:szCs w:val="24"/>
        </w:rPr>
      </w:pPr>
      <w:r>
        <w:rPr>
          <w:rFonts w:ascii="Arial" w:hAnsi="Arial" w:cs="Arial"/>
          <w:iCs/>
          <w:sz w:val="24"/>
          <w:szCs w:val="24"/>
        </w:rPr>
        <w:t xml:space="preserve">Record-keeping and reporting: </w:t>
      </w:r>
      <w:r w:rsidR="00B47DC0" w:rsidRPr="00B47DC0">
        <w:rPr>
          <w:rFonts w:ascii="Arial" w:hAnsi="Arial" w:cs="Arial"/>
          <w:iCs/>
          <w:sz w:val="24"/>
          <w:szCs w:val="24"/>
        </w:rPr>
        <w:t xml:space="preserve">s </w:t>
      </w:r>
      <w:r w:rsidR="00AC3B70">
        <w:rPr>
          <w:rFonts w:ascii="Arial" w:hAnsi="Arial" w:cs="Arial"/>
          <w:iCs/>
          <w:sz w:val="24"/>
          <w:szCs w:val="24"/>
        </w:rPr>
        <w:t>67</w:t>
      </w:r>
      <w:r w:rsidR="007015F2">
        <w:rPr>
          <w:rFonts w:ascii="Arial" w:hAnsi="Arial" w:cs="Arial"/>
          <w:iCs/>
          <w:sz w:val="24"/>
          <w:szCs w:val="24"/>
        </w:rPr>
        <w:t>T</w:t>
      </w:r>
      <w:r w:rsidR="00AC3B70">
        <w:rPr>
          <w:rFonts w:ascii="Arial" w:hAnsi="Arial" w:cs="Arial"/>
          <w:iCs/>
          <w:sz w:val="24"/>
          <w:szCs w:val="24"/>
        </w:rPr>
        <w:t xml:space="preserve">, s </w:t>
      </w:r>
      <w:r w:rsidR="007015F2">
        <w:rPr>
          <w:rFonts w:ascii="Arial" w:hAnsi="Arial" w:cs="Arial"/>
          <w:iCs/>
          <w:sz w:val="24"/>
          <w:szCs w:val="24"/>
        </w:rPr>
        <w:t>67U</w:t>
      </w:r>
      <w:r w:rsidR="00B47DC0" w:rsidRPr="00B47DC0">
        <w:rPr>
          <w:rFonts w:ascii="Arial" w:hAnsi="Arial" w:cs="Arial"/>
          <w:iCs/>
          <w:sz w:val="24"/>
          <w:szCs w:val="24"/>
        </w:rPr>
        <w:t>, s 2</w:t>
      </w:r>
      <w:r>
        <w:rPr>
          <w:rFonts w:ascii="Arial" w:hAnsi="Arial" w:cs="Arial"/>
          <w:iCs/>
          <w:sz w:val="24"/>
          <w:szCs w:val="24"/>
        </w:rPr>
        <w:t>9</w:t>
      </w:r>
      <w:r w:rsidR="007015F2">
        <w:rPr>
          <w:rFonts w:ascii="Arial" w:hAnsi="Arial" w:cs="Arial"/>
          <w:iCs/>
          <w:sz w:val="24"/>
          <w:szCs w:val="24"/>
        </w:rPr>
        <w:t xml:space="preserve">, s </w:t>
      </w:r>
      <w:r w:rsidR="00781312">
        <w:rPr>
          <w:rFonts w:ascii="Arial" w:hAnsi="Arial" w:cs="Arial"/>
          <w:iCs/>
          <w:sz w:val="24"/>
          <w:szCs w:val="24"/>
        </w:rPr>
        <w:t>67V</w:t>
      </w:r>
      <w:r w:rsidR="00B6401A">
        <w:rPr>
          <w:rFonts w:ascii="Arial" w:hAnsi="Arial" w:cs="Arial"/>
          <w:iCs/>
          <w:sz w:val="24"/>
          <w:szCs w:val="24"/>
        </w:rPr>
        <w:t xml:space="preserve">, </w:t>
      </w:r>
      <w:r>
        <w:rPr>
          <w:rFonts w:ascii="Arial" w:hAnsi="Arial" w:cs="Arial"/>
          <w:iCs/>
          <w:sz w:val="24"/>
          <w:szCs w:val="24"/>
        </w:rPr>
        <w:t>s</w:t>
      </w:r>
      <w:r w:rsidR="00B6401A">
        <w:rPr>
          <w:rFonts w:ascii="Arial" w:hAnsi="Arial" w:cs="Arial"/>
          <w:iCs/>
          <w:sz w:val="24"/>
          <w:szCs w:val="24"/>
        </w:rPr>
        <w:t xml:space="preserve"> </w:t>
      </w:r>
      <w:r>
        <w:rPr>
          <w:rFonts w:ascii="Arial" w:hAnsi="Arial" w:cs="Arial"/>
          <w:iCs/>
          <w:sz w:val="24"/>
          <w:szCs w:val="24"/>
        </w:rPr>
        <w:t>30</w:t>
      </w:r>
      <w:r w:rsidR="00B6401A">
        <w:rPr>
          <w:rFonts w:ascii="Arial" w:hAnsi="Arial" w:cs="Arial"/>
          <w:iCs/>
          <w:sz w:val="24"/>
          <w:szCs w:val="24"/>
        </w:rPr>
        <w:t>, s 67W and s 31</w:t>
      </w:r>
      <w:r w:rsidR="008B33D0">
        <w:rPr>
          <w:rFonts w:ascii="Arial" w:hAnsi="Arial" w:cs="Arial"/>
          <w:iCs/>
          <w:sz w:val="24"/>
          <w:szCs w:val="24"/>
        </w:rPr>
        <w:t>.</w:t>
      </w:r>
    </w:p>
    <w:p w14:paraId="13F44B9A" w14:textId="77777777" w:rsidR="00E40848" w:rsidRPr="00531776" w:rsidRDefault="00E40848" w:rsidP="00531776">
      <w:pPr>
        <w:pStyle w:val="ListParagraph"/>
        <w:rPr>
          <w:rFonts w:ascii="Arial" w:hAnsi="Arial" w:cs="Arial"/>
          <w:iCs/>
          <w:sz w:val="24"/>
          <w:szCs w:val="24"/>
        </w:rPr>
      </w:pPr>
    </w:p>
    <w:p w14:paraId="28035290" w14:textId="2640289D" w:rsidR="00B92182" w:rsidRPr="00531776" w:rsidRDefault="005C56CF" w:rsidP="00B3213F">
      <w:pPr>
        <w:pStyle w:val="ListParagraph"/>
        <w:ind w:left="360"/>
        <w:rPr>
          <w:rFonts w:ascii="Arial" w:hAnsi="Arial" w:cs="Arial"/>
          <w:iCs/>
          <w:sz w:val="24"/>
          <w:szCs w:val="24"/>
        </w:rPr>
      </w:pPr>
      <w:r>
        <w:rPr>
          <w:rFonts w:ascii="Arial" w:hAnsi="Arial" w:cs="Arial"/>
          <w:iCs/>
          <w:sz w:val="24"/>
          <w:szCs w:val="24"/>
        </w:rPr>
        <w:t>The</w:t>
      </w:r>
      <w:r w:rsidR="00EE14C6">
        <w:rPr>
          <w:rFonts w:ascii="Arial" w:hAnsi="Arial" w:cs="Arial"/>
          <w:iCs/>
          <w:sz w:val="24"/>
          <w:szCs w:val="24"/>
        </w:rPr>
        <w:t xml:space="preserve"> limitation on the right to privacy pursues the legitimate purpose of facilitating an account-based gaming system in the ACT </w:t>
      </w:r>
      <w:r w:rsidR="00B3213F">
        <w:rPr>
          <w:rFonts w:ascii="Arial" w:hAnsi="Arial" w:cs="Arial"/>
          <w:iCs/>
          <w:sz w:val="24"/>
          <w:szCs w:val="24"/>
        </w:rPr>
        <w:t xml:space="preserve">which supports gambling harm minimisation objectives. This includes supporting individuals who directly experience gambling harm and also assisting licensees to better identify who is experiencing gambling harm. </w:t>
      </w:r>
      <w:r w:rsidR="00AC3B70" w:rsidRPr="00AC3B70">
        <w:rPr>
          <w:rFonts w:ascii="Arial" w:hAnsi="Arial" w:cs="Arial"/>
          <w:iCs/>
          <w:sz w:val="24"/>
          <w:szCs w:val="24"/>
        </w:rPr>
        <w:t>Overall,</w:t>
      </w:r>
      <w:r w:rsidR="00A803EC" w:rsidRPr="00531776">
        <w:rPr>
          <w:rFonts w:ascii="Arial" w:hAnsi="Arial" w:cs="Arial"/>
          <w:iCs/>
          <w:sz w:val="24"/>
          <w:szCs w:val="24"/>
        </w:rPr>
        <w:t xml:space="preserve"> the</w:t>
      </w:r>
      <w:r w:rsidRPr="00531776">
        <w:rPr>
          <w:rFonts w:ascii="Arial" w:hAnsi="Arial" w:cs="Arial"/>
          <w:iCs/>
          <w:sz w:val="24"/>
          <w:szCs w:val="24"/>
        </w:rPr>
        <w:t xml:space="preserve"> measures support </w:t>
      </w:r>
      <w:r w:rsidR="00EE14C6" w:rsidRPr="00531776">
        <w:rPr>
          <w:rFonts w:ascii="Arial" w:hAnsi="Arial" w:cs="Arial"/>
          <w:iCs/>
          <w:sz w:val="24"/>
          <w:szCs w:val="24"/>
        </w:rPr>
        <w:t xml:space="preserve">the </w:t>
      </w:r>
      <w:r w:rsidRPr="00531776">
        <w:rPr>
          <w:rFonts w:ascii="Arial" w:hAnsi="Arial" w:cs="Arial"/>
          <w:iCs/>
          <w:sz w:val="24"/>
          <w:szCs w:val="24"/>
        </w:rPr>
        <w:t xml:space="preserve">legitimate purpose of the scheme to promote community safety and reduce gambling related harms. </w:t>
      </w:r>
    </w:p>
    <w:p w14:paraId="39473DA7" w14:textId="77777777" w:rsidR="00635931" w:rsidRDefault="00635931" w:rsidP="006F64D8">
      <w:pPr>
        <w:pStyle w:val="ListParagraph"/>
        <w:ind w:left="360"/>
        <w:rPr>
          <w:rFonts w:ascii="Arial" w:hAnsi="Arial" w:cs="Arial"/>
          <w:iCs/>
          <w:sz w:val="24"/>
          <w:szCs w:val="24"/>
        </w:rPr>
      </w:pPr>
    </w:p>
    <w:p w14:paraId="3A867FF3" w14:textId="77777777" w:rsidR="00013024" w:rsidRDefault="00013024" w:rsidP="006F64D8">
      <w:pPr>
        <w:pStyle w:val="ListParagraph"/>
        <w:ind w:left="360"/>
        <w:rPr>
          <w:rFonts w:ascii="Arial" w:hAnsi="Arial" w:cs="Arial"/>
          <w:iCs/>
          <w:sz w:val="24"/>
          <w:szCs w:val="24"/>
        </w:rPr>
      </w:pPr>
    </w:p>
    <w:p w14:paraId="4DCD4BAA" w14:textId="77777777" w:rsidR="00013024" w:rsidRDefault="00013024" w:rsidP="006F64D8">
      <w:pPr>
        <w:pStyle w:val="ListParagraph"/>
        <w:ind w:left="360"/>
        <w:rPr>
          <w:rFonts w:ascii="Arial" w:hAnsi="Arial" w:cs="Arial"/>
          <w:iCs/>
          <w:sz w:val="24"/>
          <w:szCs w:val="24"/>
        </w:rPr>
      </w:pPr>
    </w:p>
    <w:p w14:paraId="42A63820" w14:textId="77777777" w:rsidR="00013024" w:rsidRDefault="00013024" w:rsidP="006F64D8">
      <w:pPr>
        <w:pStyle w:val="ListParagraph"/>
        <w:ind w:left="360"/>
        <w:rPr>
          <w:rFonts w:ascii="Arial" w:hAnsi="Arial" w:cs="Arial"/>
          <w:iCs/>
          <w:sz w:val="24"/>
          <w:szCs w:val="24"/>
        </w:rPr>
      </w:pPr>
    </w:p>
    <w:p w14:paraId="64D69945" w14:textId="77777777" w:rsidR="00013024" w:rsidRDefault="00013024" w:rsidP="006F64D8">
      <w:pPr>
        <w:pStyle w:val="ListParagraph"/>
        <w:ind w:left="360"/>
        <w:rPr>
          <w:rFonts w:ascii="Arial" w:hAnsi="Arial" w:cs="Arial"/>
          <w:iCs/>
          <w:sz w:val="24"/>
          <w:szCs w:val="24"/>
        </w:rPr>
      </w:pPr>
    </w:p>
    <w:p w14:paraId="2748DA48" w14:textId="77777777" w:rsidR="00013024" w:rsidRDefault="00013024" w:rsidP="006F64D8">
      <w:pPr>
        <w:pStyle w:val="ListParagraph"/>
        <w:ind w:left="360"/>
        <w:rPr>
          <w:rFonts w:ascii="Arial" w:hAnsi="Arial" w:cs="Arial"/>
          <w:iCs/>
          <w:sz w:val="24"/>
          <w:szCs w:val="24"/>
        </w:rPr>
      </w:pPr>
    </w:p>
    <w:p w14:paraId="39070D01" w14:textId="77777777" w:rsidR="00013024" w:rsidRDefault="00013024" w:rsidP="006F64D8">
      <w:pPr>
        <w:pStyle w:val="ListParagraph"/>
        <w:ind w:left="360"/>
        <w:rPr>
          <w:rFonts w:ascii="Arial" w:hAnsi="Arial" w:cs="Arial"/>
          <w:iCs/>
          <w:sz w:val="24"/>
          <w:szCs w:val="24"/>
        </w:rPr>
      </w:pPr>
    </w:p>
    <w:p w14:paraId="08D9299F" w14:textId="77777777" w:rsidR="00013024" w:rsidRDefault="00013024" w:rsidP="006F64D8">
      <w:pPr>
        <w:pStyle w:val="ListParagraph"/>
        <w:ind w:left="360"/>
        <w:rPr>
          <w:rFonts w:ascii="Arial" w:hAnsi="Arial" w:cs="Arial"/>
          <w:iCs/>
          <w:sz w:val="24"/>
          <w:szCs w:val="24"/>
        </w:rPr>
      </w:pPr>
    </w:p>
    <w:p w14:paraId="3FFD33E7" w14:textId="77777777" w:rsidR="00013024" w:rsidRDefault="00013024" w:rsidP="006F64D8">
      <w:pPr>
        <w:pStyle w:val="ListParagraph"/>
        <w:ind w:left="360"/>
        <w:rPr>
          <w:rFonts w:ascii="Arial" w:hAnsi="Arial" w:cs="Arial"/>
          <w:iCs/>
          <w:sz w:val="24"/>
          <w:szCs w:val="24"/>
        </w:rPr>
      </w:pPr>
    </w:p>
    <w:p w14:paraId="3ED6FD8C" w14:textId="77777777" w:rsidR="00013024" w:rsidRDefault="00013024" w:rsidP="006F64D8">
      <w:pPr>
        <w:pStyle w:val="ListParagraph"/>
        <w:ind w:left="360"/>
        <w:rPr>
          <w:rFonts w:ascii="Arial" w:hAnsi="Arial" w:cs="Arial"/>
          <w:iCs/>
          <w:sz w:val="24"/>
          <w:szCs w:val="24"/>
        </w:rPr>
      </w:pPr>
    </w:p>
    <w:p w14:paraId="4F14C6F9" w14:textId="77777777" w:rsidR="00013024" w:rsidRPr="006F64D8" w:rsidRDefault="00013024" w:rsidP="006F64D8">
      <w:pPr>
        <w:pStyle w:val="ListParagraph"/>
        <w:ind w:left="360"/>
        <w:rPr>
          <w:rFonts w:ascii="Arial" w:hAnsi="Arial" w:cs="Arial"/>
          <w:iCs/>
          <w:sz w:val="24"/>
          <w:szCs w:val="24"/>
        </w:rPr>
      </w:pPr>
    </w:p>
    <w:tbl>
      <w:tblPr>
        <w:tblStyle w:val="TableGrid"/>
        <w:tblW w:w="0" w:type="auto"/>
        <w:tblInd w:w="360" w:type="dxa"/>
        <w:tblLook w:val="04A0" w:firstRow="1" w:lastRow="0" w:firstColumn="1" w:lastColumn="0" w:noHBand="0" w:noVBand="1"/>
      </w:tblPr>
      <w:tblGrid>
        <w:gridCol w:w="2990"/>
        <w:gridCol w:w="5533"/>
      </w:tblGrid>
      <w:tr w:rsidR="006D1CD7" w:rsidRPr="006122DE" w14:paraId="765C5B8B" w14:textId="77777777" w:rsidTr="001F25C8">
        <w:trPr>
          <w:cantSplit/>
          <w:trHeight w:val="262"/>
        </w:trPr>
        <w:tc>
          <w:tcPr>
            <w:tcW w:w="2990" w:type="dxa"/>
          </w:tcPr>
          <w:p w14:paraId="75CCA008" w14:textId="77777777" w:rsidR="006D1CD7" w:rsidRPr="006122DE" w:rsidRDefault="006D1CD7" w:rsidP="001F25C8">
            <w:pPr>
              <w:pStyle w:val="ListParagraph"/>
              <w:ind w:left="0"/>
              <w:rPr>
                <w:rFonts w:ascii="Arial" w:hAnsi="Arial" w:cs="Arial"/>
                <w:b/>
                <w:bCs/>
              </w:rPr>
            </w:pPr>
            <w:r w:rsidRPr="006122DE">
              <w:rPr>
                <w:rFonts w:ascii="Arial" w:hAnsi="Arial" w:cs="Arial"/>
                <w:b/>
                <w:bCs/>
              </w:rPr>
              <w:t xml:space="preserve">Section </w:t>
            </w:r>
          </w:p>
        </w:tc>
        <w:tc>
          <w:tcPr>
            <w:tcW w:w="5533" w:type="dxa"/>
          </w:tcPr>
          <w:p w14:paraId="462436EF" w14:textId="22F7803D" w:rsidR="006D1CD7" w:rsidRPr="006122DE" w:rsidRDefault="006D1CD7" w:rsidP="001F25C8">
            <w:pPr>
              <w:pStyle w:val="ListParagraph"/>
              <w:ind w:left="0"/>
              <w:rPr>
                <w:rFonts w:ascii="Arial" w:hAnsi="Arial" w:cs="Arial"/>
                <w:b/>
                <w:bCs/>
              </w:rPr>
            </w:pPr>
            <w:r>
              <w:rPr>
                <w:rFonts w:ascii="Arial" w:hAnsi="Arial" w:cs="Arial"/>
                <w:b/>
                <w:bCs/>
              </w:rPr>
              <w:t xml:space="preserve">Legitimate purpose </w:t>
            </w:r>
            <w:r w:rsidRPr="006122DE">
              <w:rPr>
                <w:rFonts w:ascii="Arial" w:hAnsi="Arial" w:cs="Arial"/>
                <w:b/>
                <w:bCs/>
              </w:rPr>
              <w:t xml:space="preserve"> </w:t>
            </w:r>
          </w:p>
        </w:tc>
      </w:tr>
      <w:tr w:rsidR="006D1CD7" w:rsidRPr="006122DE" w14:paraId="063DA8C3" w14:textId="77777777" w:rsidTr="00B92182">
        <w:trPr>
          <w:cantSplit/>
          <w:trHeight w:val="2543"/>
        </w:trPr>
        <w:tc>
          <w:tcPr>
            <w:tcW w:w="2990" w:type="dxa"/>
          </w:tcPr>
          <w:p w14:paraId="4142E96F" w14:textId="1A78B777" w:rsidR="00E645C4" w:rsidRDefault="00E645C4" w:rsidP="001F25C8">
            <w:pPr>
              <w:pStyle w:val="ListParagraph"/>
              <w:ind w:left="0"/>
              <w:rPr>
                <w:rFonts w:ascii="Arial" w:hAnsi="Arial" w:cs="Arial"/>
              </w:rPr>
            </w:pPr>
            <w:r>
              <w:rPr>
                <w:rFonts w:ascii="Arial" w:hAnsi="Arial" w:cs="Arial"/>
              </w:rPr>
              <w:t xml:space="preserve">Identity verification </w:t>
            </w:r>
          </w:p>
          <w:p w14:paraId="042FD39B" w14:textId="77777777" w:rsidR="00E645C4" w:rsidRDefault="00E645C4" w:rsidP="001F25C8">
            <w:pPr>
              <w:pStyle w:val="ListParagraph"/>
              <w:ind w:left="0"/>
              <w:rPr>
                <w:rFonts w:ascii="Arial" w:hAnsi="Arial" w:cs="Arial"/>
              </w:rPr>
            </w:pPr>
          </w:p>
          <w:p w14:paraId="3069F2A6" w14:textId="24230F3F" w:rsidR="006D1CD7" w:rsidRPr="006122DE" w:rsidRDefault="00E645C4" w:rsidP="001F25C8">
            <w:pPr>
              <w:pStyle w:val="ListParagraph"/>
              <w:ind w:left="0"/>
              <w:rPr>
                <w:rFonts w:ascii="Arial" w:hAnsi="Arial" w:cs="Arial"/>
              </w:rPr>
            </w:pPr>
            <w:r>
              <w:rPr>
                <w:rFonts w:ascii="Arial" w:hAnsi="Arial" w:cs="Arial"/>
              </w:rPr>
              <w:t>Section 67E and 67</w:t>
            </w:r>
            <w:r w:rsidR="00987FFB">
              <w:rPr>
                <w:rFonts w:ascii="Arial" w:hAnsi="Arial" w:cs="Arial"/>
              </w:rPr>
              <w:t>P</w:t>
            </w:r>
          </w:p>
        </w:tc>
        <w:tc>
          <w:tcPr>
            <w:tcW w:w="5533" w:type="dxa"/>
          </w:tcPr>
          <w:p w14:paraId="1ADF7F4D" w14:textId="0CA1E0AA" w:rsidR="006D1CD7" w:rsidRDefault="00885479" w:rsidP="00885479">
            <w:pPr>
              <w:pStyle w:val="ListParagraph"/>
              <w:ind w:left="0"/>
              <w:rPr>
                <w:rFonts w:ascii="Arial" w:hAnsi="Arial" w:cs="Arial"/>
              </w:rPr>
            </w:pPr>
            <w:r>
              <w:rPr>
                <w:rFonts w:ascii="Arial" w:hAnsi="Arial" w:cs="Arial"/>
              </w:rPr>
              <w:t xml:space="preserve">To ensure that </w:t>
            </w:r>
            <w:r w:rsidR="006D1CD7" w:rsidRPr="006D1CD7">
              <w:rPr>
                <w:rFonts w:ascii="Arial" w:hAnsi="Arial" w:cs="Arial"/>
              </w:rPr>
              <w:t xml:space="preserve">gaming machines can only be accessed by adults aged 18 and over and those who are not currently subject to an exclusion deed. </w:t>
            </w:r>
          </w:p>
          <w:p w14:paraId="372A8F8A" w14:textId="77777777" w:rsidR="00885479" w:rsidRDefault="00885479" w:rsidP="00885479">
            <w:pPr>
              <w:pStyle w:val="ListParagraph"/>
              <w:ind w:left="0"/>
              <w:rPr>
                <w:rFonts w:ascii="Arial" w:hAnsi="Arial" w:cs="Arial"/>
              </w:rPr>
            </w:pPr>
          </w:p>
          <w:p w14:paraId="17FA825F" w14:textId="700CB482" w:rsidR="006D1CD7" w:rsidRDefault="00A4213C" w:rsidP="006D1CD7">
            <w:pPr>
              <w:pStyle w:val="ListParagraph"/>
              <w:ind w:left="0"/>
              <w:rPr>
                <w:rFonts w:ascii="Arial" w:hAnsi="Arial" w:cs="Arial"/>
              </w:rPr>
            </w:pPr>
            <w:r>
              <w:rPr>
                <w:rFonts w:ascii="Arial" w:hAnsi="Arial" w:cs="Arial"/>
              </w:rPr>
              <w:t>Self-exclusion</w:t>
            </w:r>
            <w:r w:rsidR="00885479">
              <w:rPr>
                <w:rFonts w:ascii="Arial" w:hAnsi="Arial" w:cs="Arial"/>
              </w:rPr>
              <w:t xml:space="preserve"> provide</w:t>
            </w:r>
            <w:r>
              <w:rPr>
                <w:rFonts w:ascii="Arial" w:hAnsi="Arial" w:cs="Arial"/>
              </w:rPr>
              <w:t>s</w:t>
            </w:r>
            <w:r w:rsidR="00885479">
              <w:rPr>
                <w:rFonts w:ascii="Arial" w:hAnsi="Arial" w:cs="Arial"/>
              </w:rPr>
              <w:t xml:space="preserve"> </w:t>
            </w:r>
            <w:r w:rsidR="00885479" w:rsidRPr="00885479">
              <w:rPr>
                <w:rFonts w:ascii="Arial" w:hAnsi="Arial" w:cs="Arial"/>
              </w:rPr>
              <w:t xml:space="preserve">an opt-in safety mechanism for people who may be aware that they are </w:t>
            </w:r>
            <w:r w:rsidR="00885479">
              <w:rPr>
                <w:rFonts w:ascii="Arial" w:hAnsi="Arial" w:cs="Arial"/>
              </w:rPr>
              <w:t xml:space="preserve">experiencing, or </w:t>
            </w:r>
            <w:r w:rsidR="00885479" w:rsidRPr="00885479">
              <w:rPr>
                <w:rFonts w:ascii="Arial" w:hAnsi="Arial" w:cs="Arial"/>
              </w:rPr>
              <w:t xml:space="preserve">at risk of </w:t>
            </w:r>
            <w:r w:rsidR="00885479">
              <w:rPr>
                <w:rFonts w:ascii="Arial" w:hAnsi="Arial" w:cs="Arial"/>
              </w:rPr>
              <w:t>experiencing, gambling harm.</w:t>
            </w:r>
            <w:r w:rsidR="00EB6463">
              <w:rPr>
                <w:rFonts w:ascii="Arial" w:hAnsi="Arial" w:cs="Arial"/>
              </w:rPr>
              <w:t xml:space="preserve"> The identity verification process ensures t</w:t>
            </w:r>
            <w:r w:rsidR="00EB6463" w:rsidRPr="006D503F">
              <w:rPr>
                <w:rFonts w:ascii="Arial" w:hAnsi="Arial" w:cs="Arial"/>
              </w:rPr>
              <w:t>hat a person who has been self-excluded cannot</w:t>
            </w:r>
            <w:r w:rsidR="00EB6463">
              <w:rPr>
                <w:rFonts w:ascii="Arial" w:hAnsi="Arial" w:cs="Arial"/>
              </w:rPr>
              <w:t xml:space="preserve"> use their account or</w:t>
            </w:r>
            <w:r w:rsidR="00EB6463" w:rsidRPr="006D503F">
              <w:rPr>
                <w:rFonts w:ascii="Arial" w:hAnsi="Arial" w:cs="Arial"/>
              </w:rPr>
              <w:t xml:space="preserve"> </w:t>
            </w:r>
            <w:r w:rsidR="00EB6463">
              <w:rPr>
                <w:rFonts w:ascii="Arial" w:hAnsi="Arial" w:cs="Arial"/>
              </w:rPr>
              <w:t xml:space="preserve">set up a </w:t>
            </w:r>
            <w:r w:rsidR="00EB6463" w:rsidRPr="006D503F">
              <w:rPr>
                <w:rFonts w:ascii="Arial" w:hAnsi="Arial" w:cs="Arial"/>
              </w:rPr>
              <w:t xml:space="preserve">new account during the period of exclusion. </w:t>
            </w:r>
          </w:p>
          <w:p w14:paraId="2E982B55" w14:textId="77777777" w:rsidR="00BF0BDD" w:rsidRDefault="00BF0BDD" w:rsidP="006D1CD7">
            <w:pPr>
              <w:pStyle w:val="ListParagraph"/>
              <w:ind w:left="0"/>
              <w:rPr>
                <w:rFonts w:ascii="Arial" w:hAnsi="Arial" w:cs="Arial"/>
              </w:rPr>
            </w:pPr>
          </w:p>
          <w:p w14:paraId="102793E4" w14:textId="410CF233" w:rsidR="00BF0BDD" w:rsidRDefault="00BF0BDD" w:rsidP="006D1CD7">
            <w:pPr>
              <w:pStyle w:val="ListParagraph"/>
              <w:ind w:left="0"/>
              <w:rPr>
                <w:rFonts w:ascii="Arial" w:hAnsi="Arial" w:cs="Arial"/>
              </w:rPr>
            </w:pPr>
            <w:r>
              <w:rPr>
                <w:rFonts w:ascii="Arial" w:hAnsi="Arial" w:cs="Arial"/>
              </w:rPr>
              <w:t>Verification will also ensure a licensee complies with their obligations to ensure a person does not hold multiple player accounts and cards (section 67H).</w:t>
            </w:r>
          </w:p>
          <w:p w14:paraId="0528B894" w14:textId="48B4EE1C" w:rsidR="00EB6463" w:rsidRPr="006122DE" w:rsidRDefault="00EB6463" w:rsidP="006D1CD7">
            <w:pPr>
              <w:pStyle w:val="ListParagraph"/>
              <w:ind w:left="0"/>
              <w:rPr>
                <w:rFonts w:ascii="Arial" w:hAnsi="Arial" w:cs="Arial"/>
              </w:rPr>
            </w:pPr>
          </w:p>
        </w:tc>
      </w:tr>
      <w:tr w:rsidR="006D1CD7" w:rsidRPr="006122DE" w14:paraId="7080BC30" w14:textId="77777777" w:rsidTr="00B92182">
        <w:trPr>
          <w:cantSplit/>
          <w:trHeight w:val="2400"/>
        </w:trPr>
        <w:tc>
          <w:tcPr>
            <w:tcW w:w="2990" w:type="dxa"/>
          </w:tcPr>
          <w:p w14:paraId="3C48BFDB" w14:textId="51B1789B" w:rsidR="00E645C4" w:rsidRDefault="00E645C4" w:rsidP="001F25C8">
            <w:pPr>
              <w:pStyle w:val="ListParagraph"/>
              <w:ind w:left="0"/>
              <w:rPr>
                <w:rFonts w:ascii="Arial" w:hAnsi="Arial" w:cs="Arial"/>
              </w:rPr>
            </w:pPr>
            <w:r>
              <w:rPr>
                <w:rFonts w:ascii="Arial" w:hAnsi="Arial" w:cs="Arial"/>
              </w:rPr>
              <w:t xml:space="preserve">Pre-commitment </w:t>
            </w:r>
            <w:r w:rsidR="004C5CC5">
              <w:rPr>
                <w:rFonts w:ascii="Arial" w:hAnsi="Arial" w:cs="Arial"/>
              </w:rPr>
              <w:t>controls</w:t>
            </w:r>
            <w:r>
              <w:rPr>
                <w:rFonts w:ascii="Arial" w:hAnsi="Arial" w:cs="Arial"/>
              </w:rPr>
              <w:t xml:space="preserve"> </w:t>
            </w:r>
          </w:p>
          <w:p w14:paraId="213697B2" w14:textId="77777777" w:rsidR="00E645C4" w:rsidRDefault="00E645C4" w:rsidP="001F25C8">
            <w:pPr>
              <w:pStyle w:val="ListParagraph"/>
              <w:ind w:left="0"/>
              <w:rPr>
                <w:rFonts w:ascii="Arial" w:hAnsi="Arial" w:cs="Arial"/>
              </w:rPr>
            </w:pPr>
          </w:p>
          <w:p w14:paraId="6E9F5D33" w14:textId="7E4FF933" w:rsidR="006D1CD7" w:rsidRPr="006122DE" w:rsidRDefault="00E645C4" w:rsidP="001F25C8">
            <w:pPr>
              <w:pStyle w:val="ListParagraph"/>
              <w:ind w:left="0"/>
              <w:rPr>
                <w:rFonts w:ascii="Arial" w:hAnsi="Arial" w:cs="Arial"/>
              </w:rPr>
            </w:pPr>
            <w:r>
              <w:rPr>
                <w:rFonts w:ascii="Arial" w:hAnsi="Arial" w:cs="Arial"/>
              </w:rPr>
              <w:t>Section 67</w:t>
            </w:r>
            <w:r w:rsidR="00987FFB">
              <w:rPr>
                <w:rFonts w:ascii="Arial" w:hAnsi="Arial" w:cs="Arial"/>
              </w:rPr>
              <w:t>S</w:t>
            </w:r>
            <w:r w:rsidR="0055003B">
              <w:rPr>
                <w:rFonts w:ascii="Arial" w:hAnsi="Arial" w:cs="Arial"/>
              </w:rPr>
              <w:t xml:space="preserve"> and </w:t>
            </w:r>
            <w:r w:rsidR="00987FFB">
              <w:rPr>
                <w:rFonts w:ascii="Arial" w:hAnsi="Arial" w:cs="Arial"/>
              </w:rPr>
              <w:t xml:space="preserve">28 </w:t>
            </w:r>
            <w:r w:rsidR="006D1CD7" w:rsidRPr="006122DE">
              <w:rPr>
                <w:rFonts w:ascii="Arial" w:hAnsi="Arial" w:cs="Arial"/>
              </w:rPr>
              <w:t xml:space="preserve"> </w:t>
            </w:r>
          </w:p>
        </w:tc>
        <w:tc>
          <w:tcPr>
            <w:tcW w:w="5533" w:type="dxa"/>
          </w:tcPr>
          <w:p w14:paraId="70250E88" w14:textId="6C3C9B85" w:rsidR="0062095B" w:rsidRPr="0062095B" w:rsidRDefault="0062095B" w:rsidP="0062095B">
            <w:pPr>
              <w:rPr>
                <w:rFonts w:ascii="Arial" w:hAnsi="Arial" w:cs="Arial"/>
                <w:iCs/>
              </w:rPr>
            </w:pPr>
            <w:r w:rsidRPr="0062095B">
              <w:rPr>
                <w:rFonts w:ascii="Arial" w:hAnsi="Arial" w:cs="Arial"/>
              </w:rPr>
              <w:t xml:space="preserve">To enable compliance monitoring of </w:t>
            </w:r>
            <w:r>
              <w:rPr>
                <w:rFonts w:ascii="Arial" w:hAnsi="Arial" w:cs="Arial"/>
                <w:iCs/>
              </w:rPr>
              <w:t>licensees</w:t>
            </w:r>
            <w:r w:rsidRPr="0062095B">
              <w:rPr>
                <w:rFonts w:ascii="Arial" w:hAnsi="Arial" w:cs="Arial"/>
              </w:rPr>
              <w:t xml:space="preserve"> and</w:t>
            </w:r>
            <w:r>
              <w:rPr>
                <w:rFonts w:ascii="Arial" w:hAnsi="Arial" w:cs="Arial"/>
              </w:rPr>
              <w:t xml:space="preserve"> achieve</w:t>
            </w:r>
            <w:r w:rsidRPr="0062095B">
              <w:rPr>
                <w:rFonts w:ascii="Arial" w:hAnsi="Arial" w:cs="Arial"/>
              </w:rPr>
              <w:t xml:space="preserve"> the regulatory goal of reducing harm</w:t>
            </w:r>
            <w:r>
              <w:rPr>
                <w:rFonts w:ascii="Arial" w:hAnsi="Arial" w:cs="Arial"/>
              </w:rPr>
              <w:t xml:space="preserve"> </w:t>
            </w:r>
            <w:r w:rsidRPr="0062095B">
              <w:rPr>
                <w:rFonts w:ascii="Arial" w:hAnsi="Arial" w:cs="Arial"/>
              </w:rPr>
              <w:t xml:space="preserve">from </w:t>
            </w:r>
            <w:r>
              <w:rPr>
                <w:rFonts w:ascii="Arial" w:hAnsi="Arial" w:cs="Arial"/>
                <w:iCs/>
              </w:rPr>
              <w:t>gambling on gaming machines</w:t>
            </w:r>
            <w:r w:rsidR="000D6F2C">
              <w:rPr>
                <w:rFonts w:ascii="Arial" w:hAnsi="Arial" w:cs="Arial"/>
                <w:iCs/>
              </w:rPr>
              <w:t xml:space="preserve"> by providing controls for gambling losses to reduce impulsive over-spending</w:t>
            </w:r>
            <w:r>
              <w:rPr>
                <w:rFonts w:ascii="Arial" w:hAnsi="Arial" w:cs="Arial"/>
                <w:iCs/>
              </w:rPr>
              <w:t xml:space="preserve">. </w:t>
            </w:r>
          </w:p>
          <w:p w14:paraId="4B7206EE" w14:textId="6713C641" w:rsidR="006D1CD7" w:rsidRPr="006122DE" w:rsidRDefault="006D1CD7" w:rsidP="001F25C8">
            <w:pPr>
              <w:pStyle w:val="ListParagraph"/>
              <w:ind w:left="0"/>
              <w:rPr>
                <w:rFonts w:ascii="Arial" w:hAnsi="Arial" w:cs="Arial"/>
              </w:rPr>
            </w:pPr>
          </w:p>
        </w:tc>
      </w:tr>
      <w:tr w:rsidR="006D1CD7" w:rsidRPr="006122DE" w14:paraId="037AEAD5" w14:textId="77777777" w:rsidTr="00B92182">
        <w:trPr>
          <w:cantSplit/>
          <w:trHeight w:val="1125"/>
        </w:trPr>
        <w:tc>
          <w:tcPr>
            <w:tcW w:w="2990" w:type="dxa"/>
          </w:tcPr>
          <w:p w14:paraId="58D2F99C" w14:textId="0FFE32F8" w:rsidR="006D1CD7" w:rsidRDefault="00E645C4" w:rsidP="001F25C8">
            <w:pPr>
              <w:pStyle w:val="ListParagraph"/>
              <w:ind w:left="0"/>
              <w:rPr>
                <w:rFonts w:ascii="Arial" w:hAnsi="Arial" w:cs="Arial"/>
              </w:rPr>
            </w:pPr>
            <w:r>
              <w:rPr>
                <w:rFonts w:ascii="Arial" w:hAnsi="Arial" w:cs="Arial"/>
              </w:rPr>
              <w:t>Record keeping and reporting</w:t>
            </w:r>
          </w:p>
          <w:p w14:paraId="039191B4" w14:textId="77777777" w:rsidR="00E645C4" w:rsidRDefault="00E645C4" w:rsidP="001F25C8">
            <w:pPr>
              <w:pStyle w:val="ListParagraph"/>
              <w:ind w:left="0"/>
              <w:rPr>
                <w:rFonts w:ascii="Arial" w:hAnsi="Arial" w:cs="Arial"/>
              </w:rPr>
            </w:pPr>
          </w:p>
          <w:p w14:paraId="66411C8D" w14:textId="307755C3" w:rsidR="00E645C4" w:rsidRPr="006122DE" w:rsidRDefault="00E645C4" w:rsidP="001F25C8">
            <w:pPr>
              <w:pStyle w:val="ListParagraph"/>
              <w:ind w:left="0"/>
              <w:rPr>
                <w:rFonts w:ascii="Arial" w:hAnsi="Arial" w:cs="Arial"/>
              </w:rPr>
            </w:pPr>
            <w:r>
              <w:rPr>
                <w:rFonts w:ascii="Arial" w:hAnsi="Arial" w:cs="Arial"/>
              </w:rPr>
              <w:t>Section</w:t>
            </w:r>
            <w:r w:rsidR="0055003B">
              <w:rPr>
                <w:rFonts w:ascii="Arial" w:hAnsi="Arial" w:cs="Arial"/>
              </w:rPr>
              <w:t xml:space="preserve"> </w:t>
            </w:r>
            <w:r w:rsidR="00987FFB">
              <w:rPr>
                <w:rFonts w:ascii="Arial" w:hAnsi="Arial" w:cs="Arial"/>
                <w:iCs/>
                <w:sz w:val="24"/>
                <w:szCs w:val="24"/>
              </w:rPr>
              <w:t>67T, 67U</w:t>
            </w:r>
            <w:r w:rsidR="00987FFB" w:rsidRPr="00B47DC0">
              <w:rPr>
                <w:rFonts w:ascii="Arial" w:hAnsi="Arial" w:cs="Arial"/>
                <w:iCs/>
                <w:sz w:val="24"/>
                <w:szCs w:val="24"/>
              </w:rPr>
              <w:t>, 2</w:t>
            </w:r>
            <w:r w:rsidR="00987FFB">
              <w:rPr>
                <w:rFonts w:ascii="Arial" w:hAnsi="Arial" w:cs="Arial"/>
                <w:iCs/>
                <w:sz w:val="24"/>
                <w:szCs w:val="24"/>
              </w:rPr>
              <w:t>9, 67V, 30, 67W and 31</w:t>
            </w:r>
          </w:p>
          <w:p w14:paraId="30BEBB0D" w14:textId="77777777" w:rsidR="006D1CD7" w:rsidRPr="006122DE" w:rsidRDefault="006D1CD7" w:rsidP="001F25C8">
            <w:pPr>
              <w:pStyle w:val="ListParagraph"/>
              <w:ind w:left="0"/>
              <w:rPr>
                <w:rFonts w:ascii="Arial" w:hAnsi="Arial" w:cs="Arial"/>
              </w:rPr>
            </w:pPr>
          </w:p>
          <w:p w14:paraId="201AB259" w14:textId="77777777" w:rsidR="006D1CD7" w:rsidRPr="006122DE" w:rsidRDefault="006D1CD7" w:rsidP="001F25C8">
            <w:pPr>
              <w:pStyle w:val="ListParagraph"/>
              <w:ind w:left="0"/>
              <w:rPr>
                <w:rFonts w:ascii="Arial" w:hAnsi="Arial" w:cs="Arial"/>
              </w:rPr>
            </w:pPr>
            <w:r w:rsidRPr="006122DE">
              <w:rPr>
                <w:rFonts w:ascii="Arial" w:hAnsi="Arial" w:cs="Arial"/>
              </w:rPr>
              <w:t xml:space="preserve"> </w:t>
            </w:r>
          </w:p>
        </w:tc>
        <w:tc>
          <w:tcPr>
            <w:tcW w:w="5533" w:type="dxa"/>
          </w:tcPr>
          <w:p w14:paraId="29DFA5FD" w14:textId="0C386134" w:rsidR="00EB6463" w:rsidRDefault="00E645C4" w:rsidP="00E645C4">
            <w:pPr>
              <w:pStyle w:val="ListParagraph"/>
              <w:ind w:left="0"/>
              <w:rPr>
                <w:rFonts w:ascii="Arial" w:hAnsi="Arial" w:cs="Arial"/>
              </w:rPr>
            </w:pPr>
            <w:r>
              <w:rPr>
                <w:rFonts w:ascii="Arial" w:hAnsi="Arial" w:cs="Arial"/>
              </w:rPr>
              <w:t xml:space="preserve">Recording and regular reporting supports further harm minimisation research by providing a strong evidence base of gambling behaviours and patterns in the ACT environment. </w:t>
            </w:r>
            <w:r w:rsidR="00A207AC" w:rsidRPr="00531776">
              <w:rPr>
                <w:rFonts w:ascii="Arial" w:hAnsi="Arial" w:cs="Arial"/>
              </w:rPr>
              <w:t>The recording of d</w:t>
            </w:r>
            <w:r w:rsidR="00EB6463" w:rsidRPr="00A207AC">
              <w:rPr>
                <w:rFonts w:ascii="Arial" w:hAnsi="Arial" w:cs="Arial"/>
              </w:rPr>
              <w:t>emographic information</w:t>
            </w:r>
            <w:r w:rsidR="00927F25">
              <w:rPr>
                <w:rFonts w:ascii="Arial" w:hAnsi="Arial" w:cs="Arial"/>
              </w:rPr>
              <w:t xml:space="preserve"> </w:t>
            </w:r>
            <w:r w:rsidR="00B740AF">
              <w:rPr>
                <w:rFonts w:ascii="Arial" w:hAnsi="Arial" w:cs="Arial"/>
              </w:rPr>
              <w:t xml:space="preserve">in commission reports </w:t>
            </w:r>
            <w:r w:rsidR="0069687F">
              <w:rPr>
                <w:rFonts w:ascii="Arial" w:hAnsi="Arial" w:cs="Arial"/>
              </w:rPr>
              <w:t xml:space="preserve">will </w:t>
            </w:r>
            <w:r w:rsidR="00927F25">
              <w:rPr>
                <w:rFonts w:ascii="Arial" w:hAnsi="Arial" w:cs="Arial"/>
              </w:rPr>
              <w:t>help to better understand specific trends related to gambling and can help provide better</w:t>
            </w:r>
            <w:r w:rsidR="00C155B5">
              <w:rPr>
                <w:rFonts w:ascii="Arial" w:hAnsi="Arial" w:cs="Arial"/>
              </w:rPr>
              <w:t>, more targeted, support services both in venues and across the Territory</w:t>
            </w:r>
            <w:r w:rsidR="00EB6463" w:rsidRPr="00A207AC">
              <w:rPr>
                <w:rFonts w:ascii="Arial" w:hAnsi="Arial" w:cs="Arial"/>
              </w:rPr>
              <w:t>.</w:t>
            </w:r>
          </w:p>
          <w:p w14:paraId="7591DCE5" w14:textId="77777777" w:rsidR="00EB6463" w:rsidRDefault="00EB6463" w:rsidP="00E645C4">
            <w:pPr>
              <w:pStyle w:val="ListParagraph"/>
              <w:ind w:left="0"/>
              <w:rPr>
                <w:rFonts w:ascii="Arial" w:hAnsi="Arial" w:cs="Arial"/>
              </w:rPr>
            </w:pPr>
          </w:p>
          <w:p w14:paraId="6AEE1414" w14:textId="7445C28E" w:rsidR="00E645C4" w:rsidRDefault="00E645C4" w:rsidP="00E645C4">
            <w:pPr>
              <w:pStyle w:val="ListParagraph"/>
              <w:ind w:left="0"/>
              <w:rPr>
                <w:rFonts w:ascii="Arial" w:hAnsi="Arial" w:cs="Arial"/>
              </w:rPr>
            </w:pPr>
            <w:r>
              <w:rPr>
                <w:rFonts w:ascii="Arial" w:hAnsi="Arial" w:cs="Arial"/>
              </w:rPr>
              <w:t xml:space="preserve">Activity statements </w:t>
            </w:r>
            <w:r w:rsidR="00E17C98">
              <w:rPr>
                <w:rFonts w:ascii="Arial" w:hAnsi="Arial" w:cs="Arial"/>
              </w:rPr>
              <w:t>help people to track their spending and</w:t>
            </w:r>
            <w:r w:rsidR="0050412E">
              <w:rPr>
                <w:rFonts w:ascii="Arial" w:hAnsi="Arial" w:cs="Arial"/>
              </w:rPr>
              <w:t xml:space="preserve"> positively</w:t>
            </w:r>
            <w:r w:rsidR="00E17C98">
              <w:rPr>
                <w:rFonts w:ascii="Arial" w:hAnsi="Arial" w:cs="Arial"/>
              </w:rPr>
              <w:t xml:space="preserve"> impact gambling behaviours </w:t>
            </w:r>
            <w:r w:rsidR="0050412E">
              <w:rPr>
                <w:rFonts w:ascii="Arial" w:hAnsi="Arial" w:cs="Arial"/>
              </w:rPr>
              <w:t>by encouraging awareness and reflection.</w:t>
            </w:r>
          </w:p>
          <w:p w14:paraId="15AC0650" w14:textId="3345C5D6" w:rsidR="00E17C98" w:rsidRPr="0050412E" w:rsidRDefault="00E17C98" w:rsidP="00E645C4">
            <w:pPr>
              <w:pStyle w:val="ListParagraph"/>
              <w:ind w:left="0"/>
              <w:rPr>
                <w:rFonts w:ascii="Arial" w:hAnsi="Arial" w:cs="Arial"/>
              </w:rPr>
            </w:pPr>
          </w:p>
        </w:tc>
      </w:tr>
    </w:tbl>
    <w:p w14:paraId="22D58E9B" w14:textId="77777777" w:rsidR="006D1CD7" w:rsidRDefault="006D1CD7" w:rsidP="00E90DF9">
      <w:pPr>
        <w:pStyle w:val="ListParagraph"/>
        <w:ind w:left="360"/>
        <w:rPr>
          <w:rFonts w:ascii="Arial" w:hAnsi="Arial" w:cs="Arial"/>
          <w:i/>
          <w:color w:val="FF0000"/>
          <w:sz w:val="24"/>
          <w:szCs w:val="24"/>
        </w:rPr>
      </w:pPr>
    </w:p>
    <w:p w14:paraId="51346B7D" w14:textId="77777777" w:rsidR="00E90DF9" w:rsidRDefault="00E90DF9" w:rsidP="00E90DF9">
      <w:pPr>
        <w:pStyle w:val="ListParagraph"/>
        <w:ind w:left="360"/>
        <w:rPr>
          <w:rFonts w:ascii="Arial" w:hAnsi="Arial" w:cs="Arial"/>
          <w:i/>
          <w:color w:val="FF0000"/>
          <w:sz w:val="24"/>
          <w:szCs w:val="24"/>
        </w:rPr>
      </w:pPr>
    </w:p>
    <w:p w14:paraId="185B12A5" w14:textId="77777777" w:rsidR="00013024" w:rsidRDefault="00013024" w:rsidP="00E90DF9">
      <w:pPr>
        <w:pStyle w:val="ListParagraph"/>
        <w:ind w:left="360"/>
        <w:rPr>
          <w:rFonts w:ascii="Arial" w:hAnsi="Arial" w:cs="Arial"/>
          <w:i/>
          <w:color w:val="FF0000"/>
          <w:sz w:val="24"/>
          <w:szCs w:val="24"/>
        </w:rPr>
      </w:pPr>
    </w:p>
    <w:p w14:paraId="4EDF9EDB" w14:textId="77777777" w:rsidR="00013024" w:rsidRDefault="00013024" w:rsidP="00E90DF9">
      <w:pPr>
        <w:pStyle w:val="ListParagraph"/>
        <w:ind w:left="360"/>
        <w:rPr>
          <w:rFonts w:ascii="Arial" w:hAnsi="Arial" w:cs="Arial"/>
          <w:i/>
          <w:color w:val="FF0000"/>
          <w:sz w:val="24"/>
          <w:szCs w:val="24"/>
        </w:rPr>
      </w:pPr>
    </w:p>
    <w:p w14:paraId="27BBD9D5" w14:textId="77777777" w:rsidR="00013024" w:rsidRDefault="00013024" w:rsidP="00E90DF9">
      <w:pPr>
        <w:pStyle w:val="ListParagraph"/>
        <w:ind w:left="360"/>
        <w:rPr>
          <w:rFonts w:ascii="Arial" w:hAnsi="Arial" w:cs="Arial"/>
          <w:i/>
          <w:color w:val="FF0000"/>
          <w:sz w:val="24"/>
          <w:szCs w:val="24"/>
        </w:rPr>
      </w:pPr>
    </w:p>
    <w:p w14:paraId="687725F2" w14:textId="77777777" w:rsidR="00013024" w:rsidRDefault="00013024" w:rsidP="00E90DF9">
      <w:pPr>
        <w:pStyle w:val="ListParagraph"/>
        <w:ind w:left="360"/>
        <w:rPr>
          <w:rFonts w:ascii="Arial" w:hAnsi="Arial" w:cs="Arial"/>
          <w:i/>
          <w:color w:val="FF0000"/>
          <w:sz w:val="24"/>
          <w:szCs w:val="24"/>
        </w:rPr>
      </w:pPr>
    </w:p>
    <w:p w14:paraId="5EBEC1AE" w14:textId="77777777" w:rsidR="00013024" w:rsidRDefault="00013024" w:rsidP="00E90DF9">
      <w:pPr>
        <w:pStyle w:val="ListParagraph"/>
        <w:ind w:left="360"/>
        <w:rPr>
          <w:rFonts w:ascii="Arial" w:hAnsi="Arial" w:cs="Arial"/>
          <w:i/>
          <w:color w:val="FF0000"/>
          <w:sz w:val="24"/>
          <w:szCs w:val="24"/>
        </w:rPr>
      </w:pPr>
    </w:p>
    <w:p w14:paraId="7658A9C1" w14:textId="77777777" w:rsidR="00013024" w:rsidRDefault="00013024" w:rsidP="00E90DF9">
      <w:pPr>
        <w:pStyle w:val="ListParagraph"/>
        <w:ind w:left="360"/>
        <w:rPr>
          <w:rFonts w:ascii="Arial" w:hAnsi="Arial" w:cs="Arial"/>
          <w:i/>
          <w:color w:val="FF0000"/>
          <w:sz w:val="24"/>
          <w:szCs w:val="24"/>
        </w:rPr>
      </w:pPr>
    </w:p>
    <w:p w14:paraId="287B70A9" w14:textId="77777777" w:rsidR="00013024" w:rsidRDefault="00013024" w:rsidP="00E90DF9">
      <w:pPr>
        <w:pStyle w:val="ListParagraph"/>
        <w:ind w:left="360"/>
        <w:rPr>
          <w:rFonts w:ascii="Arial" w:hAnsi="Arial" w:cs="Arial"/>
          <w:i/>
          <w:color w:val="FF0000"/>
          <w:sz w:val="24"/>
          <w:szCs w:val="24"/>
        </w:rPr>
      </w:pPr>
    </w:p>
    <w:p w14:paraId="18A56D5E" w14:textId="77777777" w:rsidR="00013024" w:rsidRDefault="00013024" w:rsidP="00E90DF9">
      <w:pPr>
        <w:pStyle w:val="ListParagraph"/>
        <w:ind w:left="360"/>
        <w:rPr>
          <w:rFonts w:ascii="Arial" w:hAnsi="Arial" w:cs="Arial"/>
          <w:i/>
          <w:color w:val="FF0000"/>
          <w:sz w:val="24"/>
          <w:szCs w:val="24"/>
        </w:rPr>
      </w:pPr>
    </w:p>
    <w:p w14:paraId="3BA14AD7" w14:textId="77777777" w:rsidR="00013024" w:rsidRDefault="00013024" w:rsidP="00E90DF9">
      <w:pPr>
        <w:pStyle w:val="ListParagraph"/>
        <w:ind w:left="360"/>
        <w:rPr>
          <w:rFonts w:ascii="Arial" w:hAnsi="Arial" w:cs="Arial"/>
          <w:i/>
          <w:color w:val="FF0000"/>
          <w:sz w:val="24"/>
          <w:szCs w:val="24"/>
        </w:rPr>
      </w:pPr>
    </w:p>
    <w:p w14:paraId="4760F0D1" w14:textId="77777777" w:rsidR="00013024" w:rsidRDefault="00013024" w:rsidP="00E90DF9">
      <w:pPr>
        <w:pStyle w:val="ListParagraph"/>
        <w:ind w:left="360"/>
        <w:rPr>
          <w:rFonts w:ascii="Arial" w:hAnsi="Arial" w:cs="Arial"/>
          <w:i/>
          <w:color w:val="FF0000"/>
          <w:sz w:val="24"/>
          <w:szCs w:val="24"/>
        </w:rPr>
      </w:pPr>
    </w:p>
    <w:p w14:paraId="361D91C8" w14:textId="77777777" w:rsidR="00013024" w:rsidRDefault="00013024" w:rsidP="00E90DF9">
      <w:pPr>
        <w:pStyle w:val="ListParagraph"/>
        <w:ind w:left="360"/>
        <w:rPr>
          <w:rFonts w:ascii="Arial" w:hAnsi="Arial" w:cs="Arial"/>
          <w:i/>
          <w:color w:val="FF0000"/>
          <w:sz w:val="24"/>
          <w:szCs w:val="24"/>
        </w:rPr>
      </w:pPr>
    </w:p>
    <w:p w14:paraId="50FC2C66" w14:textId="77777777" w:rsidR="00013024" w:rsidRPr="007C565D" w:rsidRDefault="00013024" w:rsidP="00E90DF9">
      <w:pPr>
        <w:pStyle w:val="ListParagraph"/>
        <w:ind w:left="360"/>
        <w:rPr>
          <w:rFonts w:ascii="Arial" w:hAnsi="Arial" w:cs="Arial"/>
          <w:i/>
          <w:color w:val="FF0000"/>
          <w:sz w:val="24"/>
          <w:szCs w:val="24"/>
        </w:rPr>
      </w:pPr>
    </w:p>
    <w:p w14:paraId="630C85B5" w14:textId="1ADAC673" w:rsidR="00E90DF9" w:rsidRPr="00414921" w:rsidRDefault="00E90DF9" w:rsidP="00E90DF9">
      <w:pPr>
        <w:pStyle w:val="ListParagraph"/>
        <w:numPr>
          <w:ilvl w:val="0"/>
          <w:numId w:val="1"/>
        </w:numPr>
        <w:rPr>
          <w:rFonts w:ascii="Arial" w:hAnsi="Arial" w:cs="Arial"/>
          <w:b/>
          <w:bCs/>
          <w:i/>
          <w:sz w:val="24"/>
          <w:szCs w:val="24"/>
        </w:rPr>
      </w:pPr>
      <w:r w:rsidRPr="00414921">
        <w:rPr>
          <w:rFonts w:ascii="Arial" w:hAnsi="Arial" w:cs="Arial"/>
          <w:b/>
          <w:bCs/>
          <w:i/>
          <w:sz w:val="24"/>
          <w:szCs w:val="24"/>
        </w:rPr>
        <w:t>Rational connection between the limitation and the purpose (s28</w:t>
      </w:r>
      <w:r w:rsidR="00E01BBF">
        <w:rPr>
          <w:rFonts w:ascii="Arial" w:hAnsi="Arial" w:cs="Arial"/>
          <w:b/>
          <w:bCs/>
          <w:i/>
          <w:sz w:val="24"/>
          <w:szCs w:val="24"/>
        </w:rPr>
        <w:t>(2)</w:t>
      </w:r>
      <w:r w:rsidRPr="00414921">
        <w:rPr>
          <w:rFonts w:ascii="Arial" w:hAnsi="Arial" w:cs="Arial"/>
          <w:b/>
          <w:bCs/>
          <w:i/>
          <w:sz w:val="24"/>
          <w:szCs w:val="24"/>
        </w:rPr>
        <w:t>(d))</w:t>
      </w:r>
    </w:p>
    <w:p w14:paraId="72724EC9" w14:textId="77777777" w:rsidR="00E90DF9" w:rsidRDefault="00E90DF9" w:rsidP="00E90DF9">
      <w:pPr>
        <w:pStyle w:val="ListParagraph"/>
        <w:ind w:left="360"/>
        <w:rPr>
          <w:rFonts w:ascii="Arial" w:hAnsi="Arial" w:cs="Arial"/>
          <w:i/>
          <w:color w:val="FF0000"/>
          <w:sz w:val="24"/>
          <w:szCs w:val="24"/>
        </w:rPr>
      </w:pPr>
    </w:p>
    <w:tbl>
      <w:tblPr>
        <w:tblStyle w:val="TableGrid"/>
        <w:tblW w:w="0" w:type="auto"/>
        <w:tblInd w:w="360" w:type="dxa"/>
        <w:tblLook w:val="04A0" w:firstRow="1" w:lastRow="0" w:firstColumn="1" w:lastColumn="0" w:noHBand="0" w:noVBand="1"/>
      </w:tblPr>
      <w:tblGrid>
        <w:gridCol w:w="2990"/>
        <w:gridCol w:w="5533"/>
      </w:tblGrid>
      <w:tr w:rsidR="00661E1E" w:rsidRPr="006122DE" w14:paraId="6E496390" w14:textId="77777777" w:rsidTr="117F4AFF">
        <w:trPr>
          <w:cantSplit/>
          <w:trHeight w:val="262"/>
        </w:trPr>
        <w:tc>
          <w:tcPr>
            <w:tcW w:w="2990" w:type="dxa"/>
          </w:tcPr>
          <w:p w14:paraId="1CD7F163" w14:textId="77777777" w:rsidR="00661E1E" w:rsidRPr="006122DE" w:rsidRDefault="00661E1E" w:rsidP="001F25C8">
            <w:pPr>
              <w:pStyle w:val="ListParagraph"/>
              <w:ind w:left="0"/>
              <w:rPr>
                <w:rFonts w:ascii="Arial" w:hAnsi="Arial" w:cs="Arial"/>
                <w:b/>
                <w:bCs/>
              </w:rPr>
            </w:pPr>
            <w:r w:rsidRPr="006122DE">
              <w:rPr>
                <w:rFonts w:ascii="Arial" w:hAnsi="Arial" w:cs="Arial"/>
                <w:b/>
                <w:bCs/>
              </w:rPr>
              <w:t xml:space="preserve">Section </w:t>
            </w:r>
          </w:p>
        </w:tc>
        <w:tc>
          <w:tcPr>
            <w:tcW w:w="5533" w:type="dxa"/>
          </w:tcPr>
          <w:p w14:paraId="2354262D" w14:textId="16C36D26" w:rsidR="00661E1E" w:rsidRPr="006122DE" w:rsidRDefault="00723EAC" w:rsidP="001F25C8">
            <w:pPr>
              <w:pStyle w:val="ListParagraph"/>
              <w:ind w:left="0"/>
              <w:rPr>
                <w:rFonts w:ascii="Arial" w:hAnsi="Arial" w:cs="Arial"/>
                <w:b/>
                <w:bCs/>
              </w:rPr>
            </w:pPr>
            <w:r>
              <w:rPr>
                <w:rFonts w:ascii="Arial" w:hAnsi="Arial" w:cs="Arial"/>
                <w:b/>
                <w:bCs/>
              </w:rPr>
              <w:t>Rational connection</w:t>
            </w:r>
            <w:r w:rsidR="00661E1E">
              <w:rPr>
                <w:rFonts w:ascii="Arial" w:hAnsi="Arial" w:cs="Arial"/>
                <w:b/>
                <w:bCs/>
              </w:rPr>
              <w:t xml:space="preserve"> </w:t>
            </w:r>
            <w:r w:rsidR="00661E1E" w:rsidRPr="006122DE">
              <w:rPr>
                <w:rFonts w:ascii="Arial" w:hAnsi="Arial" w:cs="Arial"/>
                <w:b/>
                <w:bCs/>
              </w:rPr>
              <w:t xml:space="preserve"> </w:t>
            </w:r>
          </w:p>
        </w:tc>
      </w:tr>
      <w:tr w:rsidR="00661E1E" w:rsidRPr="006122DE" w14:paraId="59BFFDF1" w14:textId="77777777" w:rsidTr="117F4AFF">
        <w:trPr>
          <w:cantSplit/>
          <w:trHeight w:val="1408"/>
        </w:trPr>
        <w:tc>
          <w:tcPr>
            <w:tcW w:w="2990" w:type="dxa"/>
          </w:tcPr>
          <w:p w14:paraId="40799528" w14:textId="77777777" w:rsidR="000B65EF" w:rsidRDefault="000B65EF" w:rsidP="000B65EF">
            <w:pPr>
              <w:pStyle w:val="ListParagraph"/>
              <w:ind w:left="0"/>
              <w:rPr>
                <w:rFonts w:ascii="Arial" w:hAnsi="Arial" w:cs="Arial"/>
              </w:rPr>
            </w:pPr>
            <w:r>
              <w:rPr>
                <w:rFonts w:ascii="Arial" w:hAnsi="Arial" w:cs="Arial"/>
              </w:rPr>
              <w:t xml:space="preserve">Identity verification </w:t>
            </w:r>
          </w:p>
          <w:p w14:paraId="135BFEB1" w14:textId="77777777" w:rsidR="000B65EF" w:rsidRDefault="000B65EF" w:rsidP="000B65EF">
            <w:pPr>
              <w:pStyle w:val="ListParagraph"/>
              <w:ind w:left="0"/>
              <w:rPr>
                <w:rFonts w:ascii="Arial" w:hAnsi="Arial" w:cs="Arial"/>
              </w:rPr>
            </w:pPr>
          </w:p>
          <w:p w14:paraId="5B95A34F" w14:textId="5CBFA954" w:rsidR="00661E1E" w:rsidRPr="006122DE" w:rsidRDefault="00AB5624" w:rsidP="001F25C8">
            <w:pPr>
              <w:pStyle w:val="ListParagraph"/>
              <w:ind w:left="0"/>
              <w:rPr>
                <w:rFonts w:ascii="Arial" w:hAnsi="Arial" w:cs="Arial"/>
              </w:rPr>
            </w:pPr>
            <w:r>
              <w:rPr>
                <w:rFonts w:ascii="Arial" w:hAnsi="Arial" w:cs="Arial"/>
              </w:rPr>
              <w:t>Section 67E and 67P</w:t>
            </w:r>
          </w:p>
        </w:tc>
        <w:tc>
          <w:tcPr>
            <w:tcW w:w="5533" w:type="dxa"/>
          </w:tcPr>
          <w:p w14:paraId="2B56261B" w14:textId="69F5C10F" w:rsidR="00D341FB" w:rsidRDefault="002C5C96" w:rsidP="00D341FB">
            <w:pPr>
              <w:rPr>
                <w:rFonts w:ascii="Arial" w:hAnsi="Arial" w:cs="Arial"/>
                <w:lang w:eastAsia="en-AU"/>
              </w:rPr>
            </w:pPr>
            <w:r w:rsidRPr="00531776">
              <w:rPr>
                <w:rFonts w:ascii="Arial" w:hAnsi="Arial" w:cs="Arial"/>
              </w:rPr>
              <w:t xml:space="preserve">The collection of </w:t>
            </w:r>
            <w:r w:rsidR="00294B17">
              <w:rPr>
                <w:rFonts w:ascii="Arial" w:hAnsi="Arial" w:cs="Arial"/>
              </w:rPr>
              <w:t>identification</w:t>
            </w:r>
            <w:r w:rsidRPr="00531776">
              <w:rPr>
                <w:rFonts w:ascii="Arial" w:hAnsi="Arial" w:cs="Arial"/>
              </w:rPr>
              <w:t xml:space="preserve"> information is required to ensure that a player account cannot be created by a child or someone subject to self-exclusion</w:t>
            </w:r>
            <w:r w:rsidR="00E4666B" w:rsidRPr="00531776">
              <w:rPr>
                <w:rFonts w:ascii="Arial" w:hAnsi="Arial" w:cs="Arial"/>
              </w:rPr>
              <w:t>.</w:t>
            </w:r>
            <w:r w:rsidR="00D341FB" w:rsidRPr="00531776">
              <w:rPr>
                <w:rFonts w:ascii="Arial" w:hAnsi="Arial" w:cs="Arial"/>
              </w:rPr>
              <w:t xml:space="preserve"> </w:t>
            </w:r>
            <w:r w:rsidR="00A32DF0">
              <w:rPr>
                <w:rFonts w:ascii="Arial" w:hAnsi="Arial" w:cs="Arial"/>
              </w:rPr>
              <w:t>The commission will settle what information is to be provided</w:t>
            </w:r>
            <w:r w:rsidR="00B740AF">
              <w:rPr>
                <w:rFonts w:ascii="Arial" w:hAnsi="Arial" w:cs="Arial"/>
              </w:rPr>
              <w:t xml:space="preserve"> in an approved procedure, which is to be a notifiable instrument (section 67E).</w:t>
            </w:r>
            <w:r w:rsidR="00A32DF0">
              <w:rPr>
                <w:rFonts w:ascii="Arial" w:hAnsi="Arial" w:cs="Arial"/>
              </w:rPr>
              <w:t xml:space="preserve"> </w:t>
            </w:r>
            <w:r w:rsidR="00B740AF">
              <w:rPr>
                <w:rFonts w:ascii="Arial" w:hAnsi="Arial" w:cs="Arial"/>
              </w:rPr>
              <w:t>I</w:t>
            </w:r>
            <w:r w:rsidR="00D341FB" w:rsidRPr="00531776">
              <w:rPr>
                <w:rFonts w:ascii="Arial" w:hAnsi="Arial" w:cs="Arial"/>
                <w:lang w:eastAsia="en-AU"/>
              </w:rPr>
              <w:t xml:space="preserve">t is anticipated that the information necessary to be collected </w:t>
            </w:r>
            <w:r w:rsidR="00D341FB">
              <w:rPr>
                <w:rFonts w:ascii="Arial" w:hAnsi="Arial" w:cs="Arial"/>
                <w:lang w:eastAsia="en-AU"/>
              </w:rPr>
              <w:t>will</w:t>
            </w:r>
            <w:r w:rsidR="00D341FB" w:rsidRPr="00531776">
              <w:rPr>
                <w:rFonts w:ascii="Arial" w:hAnsi="Arial" w:cs="Arial"/>
                <w:lang w:eastAsia="en-AU"/>
              </w:rPr>
              <w:t xml:space="preserve"> include the person’s name, email address, and mobile </w:t>
            </w:r>
            <w:r w:rsidR="0069687F">
              <w:rPr>
                <w:rFonts w:ascii="Arial" w:hAnsi="Arial" w:cs="Arial"/>
                <w:lang w:eastAsia="en-AU"/>
              </w:rPr>
              <w:t xml:space="preserve">phone </w:t>
            </w:r>
            <w:r w:rsidR="00D341FB" w:rsidRPr="00531776">
              <w:rPr>
                <w:rFonts w:ascii="Arial" w:hAnsi="Arial" w:cs="Arial"/>
                <w:lang w:eastAsia="en-AU"/>
              </w:rPr>
              <w:t>number</w:t>
            </w:r>
            <w:r w:rsidR="00D341FB">
              <w:rPr>
                <w:rFonts w:ascii="Arial" w:hAnsi="Arial" w:cs="Arial"/>
                <w:lang w:eastAsia="en-AU"/>
              </w:rPr>
              <w:t>, to enable checks to be conducted. This will likely be facilitated by identi</w:t>
            </w:r>
            <w:r w:rsidR="0069687F">
              <w:rPr>
                <w:rFonts w:ascii="Arial" w:hAnsi="Arial" w:cs="Arial"/>
                <w:lang w:eastAsia="en-AU"/>
              </w:rPr>
              <w:t>t</w:t>
            </w:r>
            <w:r w:rsidR="00D341FB">
              <w:rPr>
                <w:rFonts w:ascii="Arial" w:hAnsi="Arial" w:cs="Arial"/>
                <w:lang w:eastAsia="en-AU"/>
              </w:rPr>
              <w:t xml:space="preserve">y documents, such as a driver’s licence or passport. </w:t>
            </w:r>
          </w:p>
          <w:p w14:paraId="7143D8BF" w14:textId="0653E5B2" w:rsidR="00A32DF0" w:rsidRPr="00A32DF0" w:rsidRDefault="00A32DF0" w:rsidP="00A32DF0">
            <w:pPr>
              <w:rPr>
                <w:rFonts w:ascii="Arial" w:hAnsi="Arial" w:cs="Arial"/>
                <w:lang w:eastAsia="en-AU"/>
              </w:rPr>
            </w:pPr>
            <w:r w:rsidRPr="00A32DF0">
              <w:rPr>
                <w:rFonts w:ascii="Arial" w:hAnsi="Arial" w:cs="Arial"/>
                <w:lang w:eastAsia="en-AU"/>
              </w:rPr>
              <w:t xml:space="preserve">If </w:t>
            </w:r>
            <w:r>
              <w:rPr>
                <w:rFonts w:ascii="Arial" w:hAnsi="Arial" w:cs="Arial"/>
                <w:lang w:eastAsia="en-AU"/>
              </w:rPr>
              <w:t xml:space="preserve">this </w:t>
            </w:r>
            <w:r w:rsidRPr="00A32DF0">
              <w:rPr>
                <w:rFonts w:ascii="Arial" w:hAnsi="Arial" w:cs="Arial"/>
                <w:lang w:eastAsia="en-AU"/>
              </w:rPr>
              <w:t>personal information is not collected, it would be impossible to</w:t>
            </w:r>
            <w:r>
              <w:rPr>
                <w:rFonts w:ascii="Arial" w:hAnsi="Arial" w:cs="Arial"/>
                <w:lang w:eastAsia="en-AU"/>
              </w:rPr>
              <w:t xml:space="preserve"> ensure that the individual is who they claim to be and:</w:t>
            </w:r>
            <w:r w:rsidRPr="00A32DF0">
              <w:rPr>
                <w:rFonts w:ascii="Arial" w:hAnsi="Arial" w:cs="Arial"/>
                <w:lang w:eastAsia="en-AU"/>
              </w:rPr>
              <w:t> </w:t>
            </w:r>
          </w:p>
          <w:p w14:paraId="52DEFE43" w14:textId="00BD0D86" w:rsidR="00A32DF0" w:rsidRPr="00A32DF0" w:rsidRDefault="00A32DF0" w:rsidP="00A32DF0">
            <w:pPr>
              <w:numPr>
                <w:ilvl w:val="0"/>
                <w:numId w:val="12"/>
              </w:numPr>
              <w:rPr>
                <w:rFonts w:ascii="Arial" w:hAnsi="Arial" w:cs="Arial"/>
                <w:lang w:eastAsia="en-AU"/>
              </w:rPr>
            </w:pPr>
            <w:r>
              <w:rPr>
                <w:rFonts w:ascii="Arial" w:hAnsi="Arial" w:cs="Arial"/>
                <w:lang w:eastAsia="en-AU"/>
              </w:rPr>
              <w:t>know</w:t>
            </w:r>
            <w:r w:rsidRPr="00A32DF0">
              <w:rPr>
                <w:rFonts w:ascii="Arial" w:hAnsi="Arial" w:cs="Arial"/>
                <w:lang w:eastAsia="en-AU"/>
              </w:rPr>
              <w:t xml:space="preserve"> who is at risk of gambling harm, and for licensees to identify and take responsive action to prevent harm or further harm. This would compromise licensees’ ability to effectively respond to risk of harm over time,</w:t>
            </w:r>
          </w:p>
          <w:p w14:paraId="78D477B5" w14:textId="77777777" w:rsidR="00661E1E" w:rsidRDefault="00A32DF0" w:rsidP="00A32DF0">
            <w:pPr>
              <w:numPr>
                <w:ilvl w:val="0"/>
                <w:numId w:val="13"/>
              </w:numPr>
              <w:rPr>
                <w:rFonts w:ascii="Arial" w:hAnsi="Arial" w:cs="Arial"/>
                <w:lang w:eastAsia="en-AU"/>
              </w:rPr>
            </w:pPr>
            <w:r>
              <w:rPr>
                <w:rFonts w:ascii="Arial" w:hAnsi="Arial" w:cs="Arial"/>
                <w:lang w:eastAsia="en-AU"/>
              </w:rPr>
              <w:t>k</w:t>
            </w:r>
            <w:r w:rsidRPr="00A32DF0">
              <w:rPr>
                <w:rFonts w:ascii="Arial" w:hAnsi="Arial" w:cs="Arial"/>
                <w:lang w:eastAsia="en-AU"/>
              </w:rPr>
              <w:t xml:space="preserve">now who is subject to an exclusion </w:t>
            </w:r>
            <w:r>
              <w:rPr>
                <w:rFonts w:ascii="Arial" w:hAnsi="Arial" w:cs="Arial"/>
                <w:lang w:eastAsia="en-AU"/>
              </w:rPr>
              <w:t>deed</w:t>
            </w:r>
            <w:r w:rsidRPr="00A32DF0">
              <w:rPr>
                <w:rFonts w:ascii="Arial" w:hAnsi="Arial" w:cs="Arial"/>
                <w:lang w:eastAsia="en-AU"/>
              </w:rPr>
              <w:t>, and therefore, must be excluded from the gambling activity in order to comply with the law</w:t>
            </w:r>
            <w:r>
              <w:rPr>
                <w:rFonts w:ascii="Arial" w:hAnsi="Arial" w:cs="Arial"/>
                <w:lang w:eastAsia="en-AU"/>
              </w:rPr>
              <w:t>,</w:t>
            </w:r>
          </w:p>
          <w:p w14:paraId="1DBF94E6" w14:textId="5CB710F5" w:rsidR="00A32DF0" w:rsidRPr="00531776" w:rsidRDefault="00A32DF0" w:rsidP="00531776">
            <w:pPr>
              <w:numPr>
                <w:ilvl w:val="0"/>
                <w:numId w:val="13"/>
              </w:numPr>
              <w:rPr>
                <w:rFonts w:ascii="Arial" w:hAnsi="Arial" w:cs="Arial"/>
              </w:rPr>
            </w:pPr>
            <w:r>
              <w:rPr>
                <w:rFonts w:ascii="Arial" w:hAnsi="Arial" w:cs="Arial"/>
                <w:lang w:eastAsia="en-AU"/>
              </w:rPr>
              <w:t>identify who is under the age of 18 years.</w:t>
            </w:r>
          </w:p>
        </w:tc>
      </w:tr>
      <w:tr w:rsidR="00661E1E" w:rsidRPr="006122DE" w14:paraId="1E16FE95" w14:textId="77777777" w:rsidTr="117F4AFF">
        <w:trPr>
          <w:cantSplit/>
          <w:trHeight w:val="2148"/>
        </w:trPr>
        <w:tc>
          <w:tcPr>
            <w:tcW w:w="2990" w:type="dxa"/>
          </w:tcPr>
          <w:p w14:paraId="79DE8C2B" w14:textId="56BA0709" w:rsidR="000B65EF" w:rsidRDefault="000B65EF" w:rsidP="000B65EF">
            <w:pPr>
              <w:pStyle w:val="ListParagraph"/>
              <w:ind w:left="0"/>
              <w:rPr>
                <w:rFonts w:ascii="Arial" w:hAnsi="Arial" w:cs="Arial"/>
              </w:rPr>
            </w:pPr>
            <w:r>
              <w:rPr>
                <w:rFonts w:ascii="Arial" w:hAnsi="Arial" w:cs="Arial"/>
              </w:rPr>
              <w:lastRenderedPageBreak/>
              <w:t xml:space="preserve">Pre-commitment </w:t>
            </w:r>
            <w:r w:rsidR="004C5CC5">
              <w:rPr>
                <w:rFonts w:ascii="Arial" w:hAnsi="Arial" w:cs="Arial"/>
              </w:rPr>
              <w:t>controls</w:t>
            </w:r>
            <w:r>
              <w:rPr>
                <w:rFonts w:ascii="Arial" w:hAnsi="Arial" w:cs="Arial"/>
              </w:rPr>
              <w:t xml:space="preserve"> </w:t>
            </w:r>
          </w:p>
          <w:p w14:paraId="69B45384" w14:textId="77777777" w:rsidR="000B65EF" w:rsidRDefault="000B65EF" w:rsidP="000B65EF">
            <w:pPr>
              <w:pStyle w:val="ListParagraph"/>
              <w:ind w:left="0"/>
              <w:rPr>
                <w:rFonts w:ascii="Arial" w:hAnsi="Arial" w:cs="Arial"/>
              </w:rPr>
            </w:pPr>
          </w:p>
          <w:p w14:paraId="7D957F1A" w14:textId="79D3177E" w:rsidR="00661E1E" w:rsidRPr="006122DE" w:rsidRDefault="00AB5624" w:rsidP="001F25C8">
            <w:pPr>
              <w:pStyle w:val="ListParagraph"/>
              <w:ind w:left="0"/>
              <w:rPr>
                <w:rFonts w:ascii="Arial" w:hAnsi="Arial" w:cs="Arial"/>
              </w:rPr>
            </w:pPr>
            <w:r>
              <w:rPr>
                <w:rFonts w:ascii="Arial" w:hAnsi="Arial" w:cs="Arial"/>
              </w:rPr>
              <w:t xml:space="preserve">Section 67S and 28 </w:t>
            </w:r>
            <w:r w:rsidRPr="006122DE">
              <w:rPr>
                <w:rFonts w:ascii="Arial" w:hAnsi="Arial" w:cs="Arial"/>
              </w:rPr>
              <w:t xml:space="preserve"> </w:t>
            </w:r>
          </w:p>
        </w:tc>
        <w:tc>
          <w:tcPr>
            <w:tcW w:w="5533" w:type="dxa"/>
          </w:tcPr>
          <w:p w14:paraId="719C0DA5" w14:textId="77777777" w:rsidR="000E0842" w:rsidRDefault="000E0842" w:rsidP="001F25C8">
            <w:pPr>
              <w:pStyle w:val="ListParagraph"/>
              <w:ind w:left="0"/>
              <w:rPr>
                <w:rFonts w:ascii="Arial" w:hAnsi="Arial" w:cs="Arial"/>
              </w:rPr>
            </w:pPr>
          </w:p>
          <w:p w14:paraId="0BFC1A55" w14:textId="3A507AB6" w:rsidR="00F1314E" w:rsidRPr="00531776" w:rsidRDefault="00762A1B" w:rsidP="00531776">
            <w:pPr>
              <w:pStyle w:val="ListParagraph"/>
              <w:ind w:left="0"/>
              <w:rPr>
                <w:rFonts w:ascii="Arial" w:hAnsi="Arial" w:cs="Arial"/>
              </w:rPr>
            </w:pPr>
            <w:r>
              <w:rPr>
                <w:rFonts w:ascii="Arial" w:hAnsi="Arial" w:cs="Arial"/>
              </w:rPr>
              <w:t xml:space="preserve">To effectively implement pre-commitment controls, the system must identify the person playing, which includes their net loss limits set. </w:t>
            </w:r>
            <w:r w:rsidR="00B740AF">
              <w:rPr>
                <w:rFonts w:ascii="Arial" w:hAnsi="Arial" w:cs="Arial"/>
              </w:rPr>
              <w:t>Evidence from</w:t>
            </w:r>
            <w:r w:rsidR="00AA7ECD">
              <w:rPr>
                <w:rFonts w:ascii="Arial" w:hAnsi="Arial" w:cs="Arial"/>
              </w:rPr>
              <w:t xml:space="preserve"> a review</w:t>
            </w:r>
            <w:r w:rsidR="00F1314E" w:rsidRPr="00531776">
              <w:rPr>
                <w:rFonts w:ascii="Arial" w:hAnsi="Arial" w:cs="Arial"/>
              </w:rPr>
              <w:t xml:space="preserve"> of pre-commitment features</w:t>
            </w:r>
            <w:r w:rsidR="00B740AF">
              <w:rPr>
                <w:rFonts w:ascii="Arial" w:hAnsi="Arial" w:cs="Arial"/>
              </w:rPr>
              <w:t xml:space="preserve"> indicates</w:t>
            </w:r>
            <w:r w:rsidR="00F1314E" w:rsidRPr="00531776">
              <w:rPr>
                <w:rFonts w:ascii="Arial" w:hAnsi="Arial" w:cs="Arial"/>
              </w:rPr>
              <w:t xml:space="preserve"> that daily monetary limits assist all individuals who gamble to control impulsive over-spending.</w:t>
            </w:r>
            <w:r w:rsidR="00F1314E" w:rsidRPr="00F1314E">
              <w:rPr>
                <w:vertAlign w:val="superscript"/>
              </w:rPr>
              <w:footnoteReference w:id="7"/>
            </w:r>
          </w:p>
          <w:p w14:paraId="597EBCBE" w14:textId="77777777" w:rsidR="00F1314E" w:rsidRDefault="00F1314E" w:rsidP="001F25C8">
            <w:pPr>
              <w:pStyle w:val="ListParagraph"/>
              <w:ind w:left="0"/>
              <w:rPr>
                <w:rFonts w:ascii="Arial" w:hAnsi="Arial" w:cs="Arial"/>
              </w:rPr>
            </w:pPr>
          </w:p>
          <w:p w14:paraId="11520E08" w14:textId="6948CE5C" w:rsidR="00F1314E" w:rsidRDefault="00AA7ECD" w:rsidP="001F25C8">
            <w:pPr>
              <w:pStyle w:val="ListParagraph"/>
              <w:ind w:left="0"/>
              <w:rPr>
                <w:rFonts w:ascii="Arial" w:hAnsi="Arial" w:cs="Arial"/>
              </w:rPr>
            </w:pPr>
            <w:r>
              <w:rPr>
                <w:rFonts w:ascii="Arial" w:hAnsi="Arial" w:cs="Arial"/>
              </w:rPr>
              <w:t xml:space="preserve">Whilst the primary purpose of pre-commitment controls is harm minimisation, data obtained through the controls can be used to </w:t>
            </w:r>
            <w:r w:rsidR="00644C71">
              <w:rPr>
                <w:rFonts w:ascii="Arial" w:hAnsi="Arial" w:cs="Arial"/>
              </w:rPr>
              <w:t xml:space="preserve">also </w:t>
            </w:r>
            <w:r>
              <w:rPr>
                <w:rFonts w:ascii="Arial" w:hAnsi="Arial" w:cs="Arial"/>
              </w:rPr>
              <w:t>improve compliance outcomes.</w:t>
            </w:r>
            <w:r w:rsidR="00644C71">
              <w:rPr>
                <w:rFonts w:ascii="Arial" w:hAnsi="Arial" w:cs="Arial"/>
              </w:rPr>
              <w:t xml:space="preserve"> For example, the regulator can ensure compliance is maintained and investigate any incidents, such as non-compliance with the requirement to set gambling loss limits and timeframes for raising limits. </w:t>
            </w:r>
          </w:p>
          <w:p w14:paraId="41D6C113" w14:textId="77777777" w:rsidR="000E0842" w:rsidRDefault="000E0842" w:rsidP="001F25C8">
            <w:pPr>
              <w:pStyle w:val="ListParagraph"/>
              <w:ind w:left="0"/>
              <w:rPr>
                <w:rFonts w:ascii="Arial" w:hAnsi="Arial" w:cs="Arial"/>
              </w:rPr>
            </w:pPr>
          </w:p>
          <w:p w14:paraId="2E8421F2" w14:textId="7765CE36" w:rsidR="00D55FF2" w:rsidRPr="006122DE" w:rsidRDefault="00D55FF2" w:rsidP="001F25C8">
            <w:pPr>
              <w:pStyle w:val="ListParagraph"/>
              <w:ind w:left="0"/>
              <w:rPr>
                <w:rFonts w:ascii="Arial" w:hAnsi="Arial" w:cs="Arial"/>
              </w:rPr>
            </w:pPr>
          </w:p>
        </w:tc>
      </w:tr>
      <w:tr w:rsidR="00661E1E" w:rsidRPr="006122DE" w14:paraId="0431CAAD" w14:textId="77777777" w:rsidTr="117F4AFF">
        <w:trPr>
          <w:cantSplit/>
          <w:trHeight w:val="1275"/>
        </w:trPr>
        <w:tc>
          <w:tcPr>
            <w:tcW w:w="2990" w:type="dxa"/>
          </w:tcPr>
          <w:p w14:paraId="57046CA8" w14:textId="77777777" w:rsidR="000B65EF" w:rsidRDefault="000B65EF" w:rsidP="000B65EF">
            <w:pPr>
              <w:pStyle w:val="ListParagraph"/>
              <w:ind w:left="0"/>
              <w:rPr>
                <w:rFonts w:ascii="Arial" w:hAnsi="Arial" w:cs="Arial"/>
              </w:rPr>
            </w:pPr>
            <w:r>
              <w:rPr>
                <w:rFonts w:ascii="Arial" w:hAnsi="Arial" w:cs="Arial"/>
              </w:rPr>
              <w:lastRenderedPageBreak/>
              <w:t>Record keeping and reporting</w:t>
            </w:r>
          </w:p>
          <w:p w14:paraId="47259609" w14:textId="18A0820A" w:rsidR="000B65EF" w:rsidRPr="006122DE" w:rsidRDefault="000B65EF" w:rsidP="000B65EF">
            <w:pPr>
              <w:pStyle w:val="ListParagraph"/>
              <w:ind w:left="0"/>
              <w:rPr>
                <w:rFonts w:ascii="Arial" w:hAnsi="Arial" w:cs="Arial"/>
              </w:rPr>
            </w:pPr>
          </w:p>
          <w:p w14:paraId="115B5A65" w14:textId="77777777" w:rsidR="00661E1E" w:rsidRPr="006122DE" w:rsidRDefault="00661E1E" w:rsidP="001F25C8">
            <w:pPr>
              <w:pStyle w:val="ListParagraph"/>
              <w:ind w:left="0"/>
              <w:rPr>
                <w:rFonts w:ascii="Arial" w:hAnsi="Arial" w:cs="Arial"/>
              </w:rPr>
            </w:pPr>
          </w:p>
          <w:p w14:paraId="6764E86B" w14:textId="77777777" w:rsidR="00AB5624" w:rsidRPr="006122DE" w:rsidRDefault="00AB5624" w:rsidP="00AB5624">
            <w:pPr>
              <w:pStyle w:val="ListParagraph"/>
              <w:ind w:left="0"/>
              <w:rPr>
                <w:rFonts w:ascii="Arial" w:hAnsi="Arial" w:cs="Arial"/>
              </w:rPr>
            </w:pPr>
            <w:r>
              <w:rPr>
                <w:rFonts w:ascii="Arial" w:hAnsi="Arial" w:cs="Arial"/>
              </w:rPr>
              <w:t xml:space="preserve">Section </w:t>
            </w:r>
            <w:r>
              <w:rPr>
                <w:rFonts w:ascii="Arial" w:hAnsi="Arial" w:cs="Arial"/>
                <w:iCs/>
                <w:sz w:val="24"/>
                <w:szCs w:val="24"/>
              </w:rPr>
              <w:t>67T, 67U</w:t>
            </w:r>
            <w:r w:rsidRPr="00B47DC0">
              <w:rPr>
                <w:rFonts w:ascii="Arial" w:hAnsi="Arial" w:cs="Arial"/>
                <w:iCs/>
                <w:sz w:val="24"/>
                <w:szCs w:val="24"/>
              </w:rPr>
              <w:t>, 2</w:t>
            </w:r>
            <w:r>
              <w:rPr>
                <w:rFonts w:ascii="Arial" w:hAnsi="Arial" w:cs="Arial"/>
                <w:iCs/>
                <w:sz w:val="24"/>
                <w:szCs w:val="24"/>
              </w:rPr>
              <w:t>9, 67V, 30, 67W and 31</w:t>
            </w:r>
          </w:p>
          <w:p w14:paraId="78A79ABF" w14:textId="58D603AC" w:rsidR="00661E1E" w:rsidRPr="006122DE" w:rsidRDefault="00661E1E" w:rsidP="001F25C8">
            <w:pPr>
              <w:pStyle w:val="ListParagraph"/>
              <w:ind w:left="0"/>
              <w:rPr>
                <w:rFonts w:ascii="Arial" w:hAnsi="Arial" w:cs="Arial"/>
              </w:rPr>
            </w:pPr>
          </w:p>
        </w:tc>
        <w:tc>
          <w:tcPr>
            <w:tcW w:w="5533" w:type="dxa"/>
          </w:tcPr>
          <w:p w14:paraId="521B45D4" w14:textId="1A0C2550" w:rsidR="00202720" w:rsidRDefault="0022761A" w:rsidP="004D53C4">
            <w:pPr>
              <w:pStyle w:val="CS-Paragraphnumbering"/>
              <w:numPr>
                <w:ilvl w:val="0"/>
                <w:numId w:val="0"/>
              </w:numPr>
              <w:spacing w:before="120" w:line="240" w:lineRule="auto"/>
              <w:rPr>
                <w:rFonts w:ascii="Arial" w:hAnsi="Arial" w:cs="Arial"/>
                <w:sz w:val="22"/>
                <w:szCs w:val="22"/>
              </w:rPr>
            </w:pPr>
            <w:r w:rsidRPr="00531776">
              <w:rPr>
                <w:rFonts w:ascii="Arial" w:hAnsi="Arial" w:cs="Arial"/>
                <w:sz w:val="22"/>
                <w:szCs w:val="22"/>
              </w:rPr>
              <w:t>The specific information</w:t>
            </w:r>
            <w:r w:rsidR="00704312">
              <w:rPr>
                <w:rFonts w:ascii="Arial" w:hAnsi="Arial" w:cs="Arial"/>
                <w:sz w:val="22"/>
                <w:szCs w:val="22"/>
              </w:rPr>
              <w:t xml:space="preserve"> to be included in reports to the commission</w:t>
            </w:r>
            <w:r w:rsidRPr="00531776">
              <w:rPr>
                <w:rFonts w:ascii="Arial" w:hAnsi="Arial" w:cs="Arial"/>
                <w:sz w:val="22"/>
                <w:szCs w:val="22"/>
              </w:rPr>
              <w:t xml:space="preserve"> related to de-identified player behaviours will ensure research can be undertaken for harm minimisation purposes.</w:t>
            </w:r>
            <w:r w:rsidR="00704312">
              <w:rPr>
                <w:rFonts w:ascii="Arial" w:hAnsi="Arial" w:cs="Arial"/>
                <w:sz w:val="22"/>
                <w:szCs w:val="22"/>
              </w:rPr>
              <w:t xml:space="preserve"> This includes for example </w:t>
            </w:r>
            <w:r w:rsidR="00CB4DB2">
              <w:rPr>
                <w:rFonts w:ascii="Arial" w:hAnsi="Arial" w:cs="Arial"/>
                <w:sz w:val="22"/>
                <w:szCs w:val="22"/>
              </w:rPr>
              <w:t xml:space="preserve">the use of information for </w:t>
            </w:r>
            <w:r w:rsidR="00704312">
              <w:rPr>
                <w:rFonts w:ascii="Arial" w:hAnsi="Arial" w:cs="Arial"/>
                <w:sz w:val="22"/>
                <w:szCs w:val="22"/>
              </w:rPr>
              <w:t>the development of the ACT Gambling Survey</w:t>
            </w:r>
            <w:r w:rsidR="003D55A1">
              <w:rPr>
                <w:rFonts w:ascii="Arial" w:hAnsi="Arial" w:cs="Arial"/>
                <w:sz w:val="22"/>
                <w:szCs w:val="22"/>
              </w:rPr>
              <w:t xml:space="preserve">. The Gambling and Racing Commission </w:t>
            </w:r>
            <w:r w:rsidR="00D55722">
              <w:rPr>
                <w:rFonts w:ascii="Arial" w:hAnsi="Arial" w:cs="Arial"/>
                <w:sz w:val="22"/>
                <w:szCs w:val="22"/>
              </w:rPr>
              <w:t xml:space="preserve">conducts </w:t>
            </w:r>
            <w:r w:rsidR="0087296B">
              <w:rPr>
                <w:rFonts w:ascii="Arial" w:hAnsi="Arial" w:cs="Arial"/>
                <w:sz w:val="22"/>
                <w:szCs w:val="22"/>
              </w:rPr>
              <w:t>a gambling prevalence survey approximately every 5 year</w:t>
            </w:r>
            <w:r w:rsidR="003D0215">
              <w:rPr>
                <w:rFonts w:ascii="Arial" w:hAnsi="Arial" w:cs="Arial"/>
                <w:sz w:val="22"/>
                <w:szCs w:val="22"/>
              </w:rPr>
              <w:t>s</w:t>
            </w:r>
            <w:r w:rsidR="00467312">
              <w:rPr>
                <w:rFonts w:ascii="Arial" w:hAnsi="Arial" w:cs="Arial"/>
                <w:sz w:val="22"/>
                <w:szCs w:val="22"/>
              </w:rPr>
              <w:t xml:space="preserve"> which has typically relied on </w:t>
            </w:r>
            <w:r w:rsidR="00430564">
              <w:rPr>
                <w:rFonts w:ascii="Arial" w:hAnsi="Arial" w:cs="Arial"/>
                <w:sz w:val="22"/>
                <w:szCs w:val="22"/>
              </w:rPr>
              <w:t xml:space="preserve">survey data from a cross-section of the ACT population (i.e., self-reported data). </w:t>
            </w:r>
          </w:p>
          <w:p w14:paraId="4A77FF32" w14:textId="77777777" w:rsidR="00202720" w:rsidRDefault="00202720" w:rsidP="004D53C4">
            <w:pPr>
              <w:pStyle w:val="CS-Paragraphnumbering"/>
              <w:numPr>
                <w:ilvl w:val="0"/>
                <w:numId w:val="0"/>
              </w:numPr>
              <w:spacing w:before="120" w:line="240" w:lineRule="auto"/>
              <w:rPr>
                <w:rFonts w:ascii="Arial" w:hAnsi="Arial" w:cs="Arial"/>
                <w:sz w:val="22"/>
                <w:szCs w:val="22"/>
              </w:rPr>
            </w:pPr>
          </w:p>
          <w:p w14:paraId="4F74BB9A" w14:textId="13FC4CFF" w:rsidR="0022761A" w:rsidRPr="00531776" w:rsidRDefault="007C4232" w:rsidP="005E3BAB">
            <w:pPr>
              <w:pStyle w:val="CS-Paragraphnumbering"/>
              <w:numPr>
                <w:ilvl w:val="0"/>
                <w:numId w:val="0"/>
              </w:numPr>
              <w:spacing w:before="120" w:line="240" w:lineRule="auto"/>
              <w:rPr>
                <w:rFonts w:ascii="Arial" w:hAnsi="Arial" w:cs="Arial"/>
                <w:sz w:val="22"/>
                <w:szCs w:val="22"/>
              </w:rPr>
            </w:pPr>
            <w:r>
              <w:rPr>
                <w:rFonts w:ascii="Arial" w:hAnsi="Arial" w:cs="Arial"/>
                <w:sz w:val="22"/>
                <w:szCs w:val="22"/>
              </w:rPr>
              <w:t xml:space="preserve">The collection of </w:t>
            </w:r>
            <w:r w:rsidR="003D636E">
              <w:rPr>
                <w:rFonts w:ascii="Arial" w:hAnsi="Arial" w:cs="Arial"/>
                <w:sz w:val="22"/>
                <w:szCs w:val="22"/>
              </w:rPr>
              <w:t xml:space="preserve">data </w:t>
            </w:r>
            <w:r w:rsidR="00D4641D">
              <w:rPr>
                <w:rFonts w:ascii="Arial" w:hAnsi="Arial" w:cs="Arial"/>
                <w:sz w:val="22"/>
                <w:szCs w:val="22"/>
              </w:rPr>
              <w:t xml:space="preserve">from </w:t>
            </w:r>
            <w:r w:rsidR="00427606">
              <w:rPr>
                <w:rFonts w:ascii="Arial" w:hAnsi="Arial" w:cs="Arial"/>
                <w:sz w:val="22"/>
                <w:szCs w:val="22"/>
              </w:rPr>
              <w:t>the account-based system records</w:t>
            </w:r>
            <w:r w:rsidR="00D4641D">
              <w:rPr>
                <w:rFonts w:ascii="Arial" w:hAnsi="Arial" w:cs="Arial"/>
                <w:sz w:val="22"/>
                <w:szCs w:val="22"/>
              </w:rPr>
              <w:t xml:space="preserve"> </w:t>
            </w:r>
            <w:r w:rsidR="007C1996">
              <w:rPr>
                <w:rFonts w:ascii="Arial" w:hAnsi="Arial" w:cs="Arial"/>
                <w:sz w:val="22"/>
                <w:szCs w:val="22"/>
              </w:rPr>
              <w:t xml:space="preserve">may provide more objective </w:t>
            </w:r>
            <w:r w:rsidR="0077754E">
              <w:rPr>
                <w:rFonts w:ascii="Arial" w:hAnsi="Arial" w:cs="Arial"/>
                <w:sz w:val="22"/>
                <w:szCs w:val="22"/>
              </w:rPr>
              <w:t xml:space="preserve">data </w:t>
            </w:r>
            <w:r w:rsidR="0069687F">
              <w:rPr>
                <w:rFonts w:ascii="Arial" w:hAnsi="Arial" w:cs="Arial"/>
                <w:sz w:val="22"/>
                <w:szCs w:val="22"/>
              </w:rPr>
              <w:t xml:space="preserve">source </w:t>
            </w:r>
            <w:r w:rsidR="0077754E">
              <w:rPr>
                <w:rFonts w:ascii="Arial" w:hAnsi="Arial" w:cs="Arial"/>
                <w:sz w:val="22"/>
                <w:szCs w:val="22"/>
              </w:rPr>
              <w:t>for future surveys</w:t>
            </w:r>
            <w:r w:rsidR="00427606">
              <w:rPr>
                <w:rFonts w:ascii="Arial" w:hAnsi="Arial" w:cs="Arial"/>
                <w:sz w:val="22"/>
                <w:szCs w:val="22"/>
              </w:rPr>
              <w:t>. A study conducted on the accuracy of self-reported data with actual online gambling wins and losses, found that between 34% and 40% of people underestimated their losses and overestimated their wins.</w:t>
            </w:r>
            <w:r w:rsidR="00427606">
              <w:rPr>
                <w:rStyle w:val="FootnoteReference"/>
                <w:rFonts w:ascii="Arial" w:hAnsi="Arial"/>
                <w:sz w:val="22"/>
                <w:szCs w:val="22"/>
              </w:rPr>
              <w:footnoteReference w:id="8"/>
            </w:r>
            <w:r w:rsidR="00427606">
              <w:rPr>
                <w:rFonts w:ascii="Arial" w:hAnsi="Arial" w:cs="Arial"/>
                <w:sz w:val="22"/>
                <w:szCs w:val="22"/>
              </w:rPr>
              <w:t xml:space="preserve"> </w:t>
            </w:r>
            <w:r w:rsidR="002126A7">
              <w:rPr>
                <w:rFonts w:ascii="Arial" w:hAnsi="Arial" w:cs="Arial"/>
                <w:sz w:val="22"/>
                <w:szCs w:val="22"/>
              </w:rPr>
              <w:t xml:space="preserve">It is therefore expected that </w:t>
            </w:r>
            <w:r w:rsidR="005E3BAB">
              <w:rPr>
                <w:rFonts w:ascii="Arial" w:hAnsi="Arial" w:cs="Arial"/>
                <w:sz w:val="22"/>
                <w:szCs w:val="22"/>
              </w:rPr>
              <w:t xml:space="preserve">record keeping and reporting will </w:t>
            </w:r>
            <w:r w:rsidR="00FE220F">
              <w:rPr>
                <w:rFonts w:ascii="Arial" w:hAnsi="Arial" w:cs="Arial"/>
                <w:sz w:val="22"/>
                <w:szCs w:val="22"/>
              </w:rPr>
              <w:t>allow</w:t>
            </w:r>
            <w:r w:rsidR="00CD270A">
              <w:rPr>
                <w:rFonts w:ascii="Arial" w:hAnsi="Arial" w:cs="Arial"/>
                <w:sz w:val="22"/>
                <w:szCs w:val="22"/>
              </w:rPr>
              <w:t xml:space="preserve"> </w:t>
            </w:r>
            <w:r w:rsidR="00704312">
              <w:rPr>
                <w:rFonts w:ascii="Arial" w:hAnsi="Arial" w:cs="Arial"/>
                <w:sz w:val="22"/>
                <w:szCs w:val="22"/>
              </w:rPr>
              <w:t xml:space="preserve">trends to be </w:t>
            </w:r>
            <w:r w:rsidR="00FE220F">
              <w:rPr>
                <w:rFonts w:ascii="Arial" w:hAnsi="Arial" w:cs="Arial"/>
                <w:sz w:val="22"/>
                <w:szCs w:val="22"/>
              </w:rPr>
              <w:t xml:space="preserve">more easily </w:t>
            </w:r>
            <w:r w:rsidR="00704312">
              <w:rPr>
                <w:rFonts w:ascii="Arial" w:hAnsi="Arial" w:cs="Arial"/>
                <w:sz w:val="22"/>
                <w:szCs w:val="22"/>
              </w:rPr>
              <w:t xml:space="preserve">identified and mapped, to target gambling issues and </w:t>
            </w:r>
            <w:r w:rsidR="00FE220F">
              <w:rPr>
                <w:rFonts w:ascii="Arial" w:hAnsi="Arial" w:cs="Arial"/>
                <w:sz w:val="22"/>
                <w:szCs w:val="22"/>
              </w:rPr>
              <w:t xml:space="preserve">understand </w:t>
            </w:r>
            <w:r w:rsidR="00704312">
              <w:rPr>
                <w:rFonts w:ascii="Arial" w:hAnsi="Arial" w:cs="Arial"/>
                <w:sz w:val="22"/>
                <w:szCs w:val="22"/>
              </w:rPr>
              <w:t>where to direct harm minimisation activities.</w:t>
            </w:r>
          </w:p>
          <w:p w14:paraId="309154D8" w14:textId="77777777" w:rsidR="0058189E" w:rsidRDefault="0058189E" w:rsidP="004D53C4">
            <w:pPr>
              <w:pStyle w:val="CS-Paragraphnumbering"/>
              <w:numPr>
                <w:ilvl w:val="0"/>
                <w:numId w:val="0"/>
              </w:numPr>
              <w:spacing w:before="120" w:line="240" w:lineRule="auto"/>
              <w:rPr>
                <w:rFonts w:ascii="Arial" w:hAnsi="Arial" w:cs="Arial"/>
              </w:rPr>
            </w:pPr>
          </w:p>
          <w:p w14:paraId="67D1273E" w14:textId="418A62B2" w:rsidR="004D53C4" w:rsidRDefault="004D53C4" w:rsidP="004D53C4">
            <w:pPr>
              <w:pStyle w:val="CS-Paragraphnumbering"/>
              <w:numPr>
                <w:ilvl w:val="0"/>
                <w:numId w:val="0"/>
              </w:numPr>
              <w:spacing w:before="120" w:line="240" w:lineRule="auto"/>
              <w:rPr>
                <w:rFonts w:ascii="Arial" w:hAnsi="Arial" w:cs="Arial"/>
                <w:sz w:val="22"/>
                <w:szCs w:val="22"/>
              </w:rPr>
            </w:pPr>
            <w:r w:rsidRPr="004D53C4">
              <w:rPr>
                <w:rFonts w:ascii="Arial" w:hAnsi="Arial" w:cs="Arial"/>
                <w:sz w:val="22"/>
                <w:szCs w:val="22"/>
              </w:rPr>
              <w:t xml:space="preserve">In March 2025, a study was published which looked at the use and impact of the National Consumer Protection Framework </w:t>
            </w:r>
            <w:r>
              <w:rPr>
                <w:rFonts w:ascii="Arial" w:hAnsi="Arial" w:cs="Arial"/>
                <w:sz w:val="22"/>
                <w:szCs w:val="22"/>
              </w:rPr>
              <w:t xml:space="preserve">(NCPF) </w:t>
            </w:r>
            <w:r w:rsidRPr="004D53C4">
              <w:rPr>
                <w:rFonts w:ascii="Arial" w:hAnsi="Arial" w:cs="Arial"/>
                <w:sz w:val="22"/>
                <w:szCs w:val="22"/>
              </w:rPr>
              <w:t>activity statements on gambling behaviour. It found that more than half of the study participants opened their statements at least ‘sometimes’ (57.2%).</w:t>
            </w:r>
            <w:r w:rsidRPr="004D53C4">
              <w:rPr>
                <w:rStyle w:val="FootnoteReference"/>
                <w:rFonts w:ascii="Arial" w:hAnsi="Arial" w:cs="Arial"/>
                <w:sz w:val="22"/>
                <w:szCs w:val="22"/>
              </w:rPr>
              <w:footnoteReference w:id="9"/>
            </w:r>
            <w:r w:rsidRPr="004D53C4">
              <w:rPr>
                <w:rFonts w:ascii="Arial" w:hAnsi="Arial" w:cs="Arial"/>
                <w:sz w:val="22"/>
                <w:szCs w:val="22"/>
              </w:rPr>
              <w:t xml:space="preserve"> In terms of assisting participants to track their spending, almost two-thirds (63.9%) of participants reported that the statements were at least ‘slightly important’.</w:t>
            </w:r>
            <w:r w:rsidRPr="004D53C4">
              <w:rPr>
                <w:rStyle w:val="FootnoteReference"/>
                <w:rFonts w:ascii="Arial" w:hAnsi="Arial" w:cs="Arial"/>
                <w:sz w:val="22"/>
                <w:szCs w:val="22"/>
              </w:rPr>
              <w:footnoteReference w:id="10"/>
            </w:r>
            <w:r w:rsidRPr="004D53C4">
              <w:rPr>
                <w:rFonts w:ascii="Arial" w:hAnsi="Arial" w:cs="Arial"/>
                <w:sz w:val="22"/>
                <w:szCs w:val="22"/>
              </w:rPr>
              <w:t xml:space="preserve"> In terms of impacting gambling behaviour, almost one-fifth (17.6%) of customers self-reported that the statements decreased their gambling and less than one percent self-reported an increase in their gambling.</w:t>
            </w:r>
            <w:r w:rsidRPr="004D53C4">
              <w:rPr>
                <w:rStyle w:val="FootnoteReference"/>
                <w:rFonts w:ascii="Arial" w:hAnsi="Arial" w:cs="Arial"/>
                <w:sz w:val="22"/>
                <w:szCs w:val="22"/>
              </w:rPr>
              <w:footnoteReference w:id="11"/>
            </w:r>
            <w:r w:rsidRPr="004D53C4">
              <w:rPr>
                <w:rFonts w:ascii="Arial" w:hAnsi="Arial" w:cs="Arial"/>
                <w:sz w:val="22"/>
                <w:szCs w:val="22"/>
              </w:rPr>
              <w:t xml:space="preserve"> </w:t>
            </w:r>
          </w:p>
          <w:p w14:paraId="339355F4" w14:textId="77777777" w:rsidR="00C916B2" w:rsidRPr="004D53C4" w:rsidRDefault="00C916B2" w:rsidP="004D53C4">
            <w:pPr>
              <w:pStyle w:val="CS-Paragraphnumbering"/>
              <w:numPr>
                <w:ilvl w:val="0"/>
                <w:numId w:val="0"/>
              </w:numPr>
              <w:spacing w:before="120" w:line="240" w:lineRule="auto"/>
              <w:rPr>
                <w:rFonts w:ascii="Arial" w:hAnsi="Arial" w:cs="Arial"/>
                <w:sz w:val="22"/>
                <w:szCs w:val="22"/>
              </w:rPr>
            </w:pPr>
          </w:p>
          <w:p w14:paraId="6332C611" w14:textId="51227F5E" w:rsidR="004D53C4" w:rsidRDefault="004D53C4" w:rsidP="004D53C4">
            <w:pPr>
              <w:pStyle w:val="CS-Paragraphnumbering"/>
              <w:numPr>
                <w:ilvl w:val="0"/>
                <w:numId w:val="0"/>
              </w:numPr>
              <w:spacing w:before="120" w:line="240" w:lineRule="auto"/>
              <w:rPr>
                <w:rFonts w:ascii="Arial" w:hAnsi="Arial" w:cs="Arial"/>
                <w:sz w:val="22"/>
                <w:szCs w:val="22"/>
              </w:rPr>
            </w:pPr>
            <w:r w:rsidRPr="004D53C4">
              <w:rPr>
                <w:rFonts w:ascii="Arial" w:hAnsi="Arial" w:cs="Arial"/>
                <w:sz w:val="22"/>
                <w:szCs w:val="22"/>
              </w:rPr>
              <w:t xml:space="preserve">Whilst engagement with activity statements was lower for participants who had self-reported problem gambling severity, this cohort reported </w:t>
            </w:r>
            <w:r w:rsidR="002B52C9">
              <w:rPr>
                <w:rFonts w:ascii="Arial" w:hAnsi="Arial" w:cs="Arial"/>
                <w:sz w:val="22"/>
                <w:szCs w:val="22"/>
              </w:rPr>
              <w:t xml:space="preserve">they were </w:t>
            </w:r>
            <w:r w:rsidRPr="004D53C4">
              <w:rPr>
                <w:rFonts w:ascii="Arial" w:hAnsi="Arial" w:cs="Arial"/>
                <w:sz w:val="22"/>
                <w:szCs w:val="22"/>
              </w:rPr>
              <w:t xml:space="preserve">more likely to benefit from activity statements. Self-reported data indicated that this classification of participants </w:t>
            </w:r>
            <w:r w:rsidR="0069687F">
              <w:rPr>
                <w:rFonts w:ascii="Arial" w:hAnsi="Arial" w:cs="Arial"/>
                <w:sz w:val="22"/>
                <w:szCs w:val="22"/>
              </w:rPr>
              <w:t>was</w:t>
            </w:r>
            <w:r w:rsidR="0069687F" w:rsidRPr="004D53C4">
              <w:rPr>
                <w:rFonts w:ascii="Arial" w:hAnsi="Arial" w:cs="Arial"/>
                <w:sz w:val="22"/>
                <w:szCs w:val="22"/>
              </w:rPr>
              <w:t xml:space="preserve"> </w:t>
            </w:r>
            <w:r w:rsidRPr="004D53C4">
              <w:rPr>
                <w:rFonts w:ascii="Arial" w:hAnsi="Arial" w:cs="Arial"/>
                <w:sz w:val="22"/>
                <w:szCs w:val="22"/>
              </w:rPr>
              <w:t>more likely to see a decrease in gambling behaviour due to reading statements.</w:t>
            </w:r>
            <w:r w:rsidRPr="004D53C4">
              <w:rPr>
                <w:rStyle w:val="FootnoteReference"/>
                <w:rFonts w:ascii="Arial" w:hAnsi="Arial" w:cs="Arial"/>
                <w:sz w:val="22"/>
                <w:szCs w:val="22"/>
              </w:rPr>
              <w:footnoteReference w:id="12"/>
            </w:r>
            <w:r w:rsidRPr="004D53C4">
              <w:rPr>
                <w:rFonts w:ascii="Arial" w:hAnsi="Arial" w:cs="Arial"/>
                <w:sz w:val="22"/>
                <w:szCs w:val="22"/>
              </w:rPr>
              <w:t xml:space="preserve"> This was the case for those with moderate- and high-risk gambling severity scores as well as those who recorded a greater number of bets.</w:t>
            </w:r>
            <w:r w:rsidRPr="004D53C4">
              <w:rPr>
                <w:rStyle w:val="FootnoteReference"/>
                <w:rFonts w:ascii="Arial" w:hAnsi="Arial" w:cs="Arial"/>
                <w:sz w:val="22"/>
                <w:szCs w:val="22"/>
              </w:rPr>
              <w:footnoteReference w:id="13"/>
            </w:r>
          </w:p>
          <w:p w14:paraId="6272609A" w14:textId="77777777" w:rsidR="00C916B2" w:rsidRPr="004D53C4" w:rsidRDefault="00C916B2" w:rsidP="004D53C4">
            <w:pPr>
              <w:pStyle w:val="CS-Paragraphnumbering"/>
              <w:numPr>
                <w:ilvl w:val="0"/>
                <w:numId w:val="0"/>
              </w:numPr>
              <w:spacing w:before="120" w:line="240" w:lineRule="auto"/>
              <w:rPr>
                <w:rFonts w:ascii="Arial" w:hAnsi="Arial" w:cs="Arial"/>
                <w:sz w:val="22"/>
                <w:szCs w:val="22"/>
              </w:rPr>
            </w:pPr>
          </w:p>
          <w:p w14:paraId="50E88B38" w14:textId="337D23D9" w:rsidR="00661E1E" w:rsidRPr="0050412E" w:rsidRDefault="004D53C4" w:rsidP="004D548B">
            <w:pPr>
              <w:spacing w:line="240" w:lineRule="auto"/>
              <w:rPr>
                <w:rFonts w:ascii="Arial" w:hAnsi="Arial" w:cs="Arial"/>
              </w:rPr>
            </w:pPr>
            <w:r w:rsidRPr="004D53C4">
              <w:rPr>
                <w:rFonts w:ascii="Arial" w:hAnsi="Arial" w:cs="Arial"/>
              </w:rPr>
              <w:t xml:space="preserve">Under these amendments, licensees would be required to produce activity statements containing </w:t>
            </w:r>
            <w:r w:rsidRPr="004D53C4">
              <w:rPr>
                <w:rFonts w:ascii="Arial" w:hAnsi="Arial" w:cs="Arial"/>
              </w:rPr>
              <w:lastRenderedPageBreak/>
              <w:t xml:space="preserve">information similar to that in the NCPF activity statements to help people track their spending. </w:t>
            </w:r>
            <w:r w:rsidR="00A32DF0">
              <w:rPr>
                <w:rFonts w:ascii="Arial" w:hAnsi="Arial" w:cs="Arial"/>
              </w:rPr>
              <w:t>This provides an opportunity for reflection</w:t>
            </w:r>
            <w:r w:rsidR="0069687F">
              <w:rPr>
                <w:rFonts w:ascii="Arial" w:hAnsi="Arial" w:cs="Arial"/>
              </w:rPr>
              <w:t xml:space="preserve"> by gambling participants</w:t>
            </w:r>
            <w:r w:rsidR="00A32DF0">
              <w:rPr>
                <w:rFonts w:ascii="Arial" w:hAnsi="Arial" w:cs="Arial"/>
              </w:rPr>
              <w:t xml:space="preserve">, and may assist with the overall intent of the </w:t>
            </w:r>
            <w:r w:rsidR="008F0BFD">
              <w:rPr>
                <w:rFonts w:ascii="Arial" w:hAnsi="Arial" w:cs="Arial"/>
              </w:rPr>
              <w:t>framework</w:t>
            </w:r>
            <w:r w:rsidR="00A32DF0">
              <w:rPr>
                <w:rFonts w:ascii="Arial" w:hAnsi="Arial" w:cs="Arial"/>
              </w:rPr>
              <w:t xml:space="preserve"> to reduce gambling harm. </w:t>
            </w:r>
          </w:p>
        </w:tc>
      </w:tr>
    </w:tbl>
    <w:p w14:paraId="5172803E" w14:textId="77777777" w:rsidR="00E90DF9" w:rsidRPr="004D53C4" w:rsidRDefault="00E90DF9" w:rsidP="004D53C4">
      <w:pPr>
        <w:rPr>
          <w:rFonts w:ascii="Arial" w:hAnsi="Arial" w:cs="Arial"/>
          <w:i/>
          <w:color w:val="FF0000"/>
          <w:sz w:val="24"/>
          <w:szCs w:val="24"/>
        </w:rPr>
      </w:pPr>
    </w:p>
    <w:p w14:paraId="30AEBBAB" w14:textId="29AD45A6" w:rsidR="00E90DF9" w:rsidRDefault="00E90DF9" w:rsidP="00E90DF9">
      <w:pPr>
        <w:pStyle w:val="ListParagraph"/>
        <w:numPr>
          <w:ilvl w:val="0"/>
          <w:numId w:val="1"/>
        </w:numPr>
        <w:rPr>
          <w:rFonts w:ascii="Arial" w:hAnsi="Arial" w:cs="Arial"/>
          <w:b/>
          <w:bCs/>
          <w:i/>
          <w:sz w:val="24"/>
          <w:szCs w:val="24"/>
        </w:rPr>
      </w:pPr>
      <w:r w:rsidRPr="00414921">
        <w:rPr>
          <w:rFonts w:ascii="Arial" w:hAnsi="Arial" w:cs="Arial"/>
          <w:b/>
          <w:bCs/>
          <w:i/>
          <w:sz w:val="24"/>
          <w:szCs w:val="24"/>
        </w:rPr>
        <w:t>Proportionality (s28</w:t>
      </w:r>
      <w:r w:rsidR="00E01BBF">
        <w:rPr>
          <w:rFonts w:ascii="Arial" w:hAnsi="Arial" w:cs="Arial"/>
          <w:b/>
          <w:bCs/>
          <w:i/>
          <w:sz w:val="24"/>
          <w:szCs w:val="24"/>
        </w:rPr>
        <w:t>(2)</w:t>
      </w:r>
      <w:r w:rsidRPr="00414921">
        <w:rPr>
          <w:rFonts w:ascii="Arial" w:hAnsi="Arial" w:cs="Arial"/>
          <w:b/>
          <w:bCs/>
          <w:i/>
          <w:sz w:val="24"/>
          <w:szCs w:val="24"/>
        </w:rPr>
        <w:t>(e))</w:t>
      </w:r>
    </w:p>
    <w:p w14:paraId="3A624D3D" w14:textId="77777777" w:rsidR="00E90DF9" w:rsidRPr="00414921" w:rsidRDefault="00E90DF9" w:rsidP="00E90DF9">
      <w:pPr>
        <w:pStyle w:val="ListParagraph"/>
        <w:ind w:left="360"/>
        <w:rPr>
          <w:rFonts w:ascii="Arial" w:hAnsi="Arial" w:cs="Arial"/>
          <w:b/>
          <w:bCs/>
          <w:i/>
          <w:sz w:val="24"/>
          <w:szCs w:val="24"/>
        </w:rPr>
      </w:pPr>
    </w:p>
    <w:p w14:paraId="2D314BF4" w14:textId="33B5DF15" w:rsidR="00A32DF0" w:rsidRDefault="00F70F1F" w:rsidP="00E90DF9">
      <w:pPr>
        <w:ind w:left="360"/>
        <w:rPr>
          <w:rFonts w:ascii="Arial" w:hAnsi="Arial" w:cs="Arial"/>
          <w:iCs/>
          <w:sz w:val="24"/>
          <w:szCs w:val="24"/>
        </w:rPr>
      </w:pPr>
      <w:r>
        <w:rPr>
          <w:rFonts w:ascii="Arial" w:hAnsi="Arial" w:cs="Arial"/>
          <w:iCs/>
          <w:sz w:val="24"/>
          <w:szCs w:val="24"/>
        </w:rPr>
        <w:t xml:space="preserve">The limitations on the right to privacy are considered proportionate to the legitimate purposes. </w:t>
      </w:r>
      <w:r w:rsidR="00A32DF0">
        <w:rPr>
          <w:rFonts w:ascii="Arial" w:hAnsi="Arial" w:cs="Arial"/>
          <w:iCs/>
          <w:sz w:val="24"/>
          <w:szCs w:val="24"/>
        </w:rPr>
        <w:t xml:space="preserve">The amendments requiring the collection, storage, </w:t>
      </w:r>
      <w:r w:rsidR="00BD13C4">
        <w:rPr>
          <w:rFonts w:ascii="Arial" w:hAnsi="Arial" w:cs="Arial"/>
          <w:iCs/>
          <w:sz w:val="24"/>
          <w:szCs w:val="24"/>
        </w:rPr>
        <w:t>use</w:t>
      </w:r>
      <w:r w:rsidR="00A32DF0">
        <w:rPr>
          <w:rFonts w:ascii="Arial" w:hAnsi="Arial" w:cs="Arial"/>
          <w:iCs/>
          <w:sz w:val="24"/>
          <w:szCs w:val="24"/>
        </w:rPr>
        <w:t xml:space="preserve"> and sharing of personal information are no more expansive than necessary to facilitate effective implementation of </w:t>
      </w:r>
      <w:r w:rsidR="00605071">
        <w:rPr>
          <w:rFonts w:ascii="Arial" w:hAnsi="Arial" w:cs="Arial"/>
          <w:iCs/>
          <w:sz w:val="24"/>
          <w:szCs w:val="24"/>
        </w:rPr>
        <w:t xml:space="preserve">an account-based gaming system. </w:t>
      </w:r>
    </w:p>
    <w:p w14:paraId="2BAFADD4" w14:textId="4D1E8AC9" w:rsidR="00F70F1F" w:rsidRDefault="00F70F1F" w:rsidP="00E90DF9">
      <w:pPr>
        <w:ind w:left="360"/>
        <w:rPr>
          <w:rFonts w:ascii="Arial" w:hAnsi="Arial" w:cs="Arial"/>
          <w:iCs/>
          <w:sz w:val="24"/>
          <w:szCs w:val="24"/>
        </w:rPr>
      </w:pPr>
      <w:r>
        <w:rPr>
          <w:rFonts w:ascii="Arial" w:hAnsi="Arial" w:cs="Arial"/>
          <w:iCs/>
          <w:sz w:val="24"/>
          <w:szCs w:val="24"/>
        </w:rPr>
        <w:t xml:space="preserve">The amendments may subject a player to having some personal data collected and stored by a gaming machine licensee. The amount and type of personal information </w:t>
      </w:r>
      <w:r w:rsidR="009D1DBA">
        <w:rPr>
          <w:rFonts w:ascii="Arial" w:hAnsi="Arial" w:cs="Arial"/>
          <w:iCs/>
          <w:sz w:val="24"/>
          <w:szCs w:val="24"/>
        </w:rPr>
        <w:t xml:space="preserve">is </w:t>
      </w:r>
      <w:r>
        <w:rPr>
          <w:rFonts w:ascii="Arial" w:hAnsi="Arial" w:cs="Arial"/>
          <w:iCs/>
          <w:sz w:val="24"/>
          <w:szCs w:val="24"/>
        </w:rPr>
        <w:t xml:space="preserve">limited only to </w:t>
      </w:r>
      <w:r w:rsidR="00BD13C4">
        <w:rPr>
          <w:rFonts w:ascii="Arial" w:hAnsi="Arial" w:cs="Arial"/>
          <w:iCs/>
          <w:sz w:val="24"/>
          <w:szCs w:val="24"/>
        </w:rPr>
        <w:t xml:space="preserve">what is required </w:t>
      </w:r>
      <w:r w:rsidR="006437DD" w:rsidRPr="006437DD">
        <w:rPr>
          <w:rFonts w:ascii="Arial" w:hAnsi="Arial" w:cs="Arial"/>
          <w:iCs/>
          <w:sz w:val="24"/>
          <w:szCs w:val="24"/>
        </w:rPr>
        <w:t xml:space="preserve">for </w:t>
      </w:r>
      <w:r w:rsidR="00BD13C4">
        <w:rPr>
          <w:rFonts w:ascii="Arial" w:hAnsi="Arial" w:cs="Arial"/>
          <w:iCs/>
          <w:sz w:val="24"/>
          <w:szCs w:val="24"/>
        </w:rPr>
        <w:t xml:space="preserve">identification, </w:t>
      </w:r>
      <w:r w:rsidR="006437DD" w:rsidRPr="006437DD">
        <w:rPr>
          <w:rFonts w:ascii="Arial" w:hAnsi="Arial" w:cs="Arial"/>
          <w:iCs/>
          <w:sz w:val="24"/>
          <w:szCs w:val="24"/>
        </w:rPr>
        <w:t xml:space="preserve">compliance and reporting purposes which is proportionate to the level of risk associated with the gambling activity and the responsibility of licensees to observe and act appropriately to prevent the risk of harm </w:t>
      </w:r>
      <w:r w:rsidR="00BD13C4">
        <w:rPr>
          <w:rFonts w:ascii="Arial" w:hAnsi="Arial" w:cs="Arial"/>
          <w:iCs/>
          <w:sz w:val="24"/>
          <w:szCs w:val="24"/>
        </w:rPr>
        <w:t xml:space="preserve">and </w:t>
      </w:r>
      <w:r w:rsidR="006437DD">
        <w:rPr>
          <w:rFonts w:ascii="Arial" w:hAnsi="Arial" w:cs="Arial"/>
          <w:iCs/>
          <w:sz w:val="24"/>
          <w:szCs w:val="24"/>
        </w:rPr>
        <w:t>for</w:t>
      </w:r>
      <w:r w:rsidR="00605071">
        <w:rPr>
          <w:rFonts w:ascii="Arial" w:hAnsi="Arial" w:cs="Arial"/>
          <w:iCs/>
          <w:sz w:val="24"/>
          <w:szCs w:val="24"/>
        </w:rPr>
        <w:t xml:space="preserve"> </w:t>
      </w:r>
      <w:r>
        <w:rPr>
          <w:rFonts w:ascii="Arial" w:hAnsi="Arial" w:cs="Arial"/>
          <w:iCs/>
          <w:sz w:val="24"/>
          <w:szCs w:val="24"/>
        </w:rPr>
        <w:t xml:space="preserve">harm minimisation purposes. </w:t>
      </w:r>
    </w:p>
    <w:p w14:paraId="19AF298D" w14:textId="62D5087B" w:rsidR="00AE693D" w:rsidRDefault="00AE693D" w:rsidP="00AE693D">
      <w:pPr>
        <w:ind w:left="360"/>
        <w:rPr>
          <w:rFonts w:ascii="Arial" w:hAnsi="Arial" w:cs="Arial"/>
          <w:iCs/>
          <w:sz w:val="24"/>
          <w:szCs w:val="24"/>
        </w:rPr>
      </w:pPr>
      <w:r>
        <w:rPr>
          <w:rFonts w:ascii="Arial" w:hAnsi="Arial" w:cs="Arial"/>
          <w:iCs/>
          <w:sz w:val="24"/>
          <w:szCs w:val="24"/>
        </w:rPr>
        <w:t xml:space="preserve">Licensees will be required to notify prospective players </w:t>
      </w:r>
      <w:r w:rsidR="0069687F">
        <w:rPr>
          <w:rFonts w:ascii="Arial" w:hAnsi="Arial" w:cs="Arial"/>
          <w:iCs/>
          <w:sz w:val="24"/>
          <w:szCs w:val="24"/>
        </w:rPr>
        <w:t xml:space="preserve">about </w:t>
      </w:r>
      <w:r>
        <w:rPr>
          <w:rFonts w:ascii="Arial" w:hAnsi="Arial" w:cs="Arial"/>
          <w:iCs/>
          <w:sz w:val="24"/>
          <w:szCs w:val="24"/>
        </w:rPr>
        <w:t xml:space="preserve">where personal information will be collected and used, including for </w:t>
      </w:r>
      <w:r w:rsidR="00BD13C4">
        <w:rPr>
          <w:rFonts w:ascii="Arial" w:hAnsi="Arial" w:cs="Arial"/>
          <w:iCs/>
          <w:sz w:val="24"/>
          <w:szCs w:val="24"/>
        </w:rPr>
        <w:t xml:space="preserve">the purpose of </w:t>
      </w:r>
      <w:r>
        <w:rPr>
          <w:rFonts w:ascii="Arial" w:hAnsi="Arial" w:cs="Arial"/>
          <w:iCs/>
          <w:sz w:val="24"/>
          <w:szCs w:val="24"/>
        </w:rPr>
        <w:t>activity statements</w:t>
      </w:r>
      <w:r w:rsidR="00BD13C4">
        <w:rPr>
          <w:rFonts w:ascii="Arial" w:hAnsi="Arial" w:cs="Arial"/>
          <w:iCs/>
          <w:sz w:val="24"/>
          <w:szCs w:val="24"/>
        </w:rPr>
        <w:t>,</w:t>
      </w:r>
      <w:r>
        <w:rPr>
          <w:rFonts w:ascii="Arial" w:hAnsi="Arial" w:cs="Arial"/>
          <w:iCs/>
          <w:sz w:val="24"/>
          <w:szCs w:val="24"/>
        </w:rPr>
        <w:t xml:space="preserve"> at the time of account creation. </w:t>
      </w:r>
      <w:r w:rsidR="00BD13C4">
        <w:rPr>
          <w:rFonts w:ascii="Arial" w:hAnsi="Arial" w:cs="Arial"/>
          <w:iCs/>
          <w:sz w:val="24"/>
          <w:szCs w:val="24"/>
        </w:rPr>
        <w:t xml:space="preserve">This will be standard practice. </w:t>
      </w:r>
    </w:p>
    <w:p w14:paraId="68B25A10" w14:textId="21B34FEB" w:rsidR="006D4EDB" w:rsidRDefault="00EE71C2" w:rsidP="00AE693D">
      <w:pPr>
        <w:ind w:left="360"/>
        <w:rPr>
          <w:rFonts w:ascii="Arial" w:hAnsi="Arial" w:cs="Arial"/>
          <w:iCs/>
          <w:sz w:val="24"/>
          <w:szCs w:val="24"/>
        </w:rPr>
      </w:pPr>
      <w:r>
        <w:rPr>
          <w:rFonts w:ascii="Arial" w:hAnsi="Arial" w:cs="Arial"/>
          <w:iCs/>
          <w:sz w:val="24"/>
          <w:szCs w:val="24"/>
        </w:rPr>
        <w:t>Identi</w:t>
      </w:r>
      <w:r w:rsidR="0069687F">
        <w:rPr>
          <w:rFonts w:ascii="Arial" w:hAnsi="Arial" w:cs="Arial"/>
          <w:iCs/>
          <w:sz w:val="24"/>
          <w:szCs w:val="24"/>
        </w:rPr>
        <w:t>t</w:t>
      </w:r>
      <w:r>
        <w:rPr>
          <w:rFonts w:ascii="Arial" w:hAnsi="Arial" w:cs="Arial"/>
          <w:iCs/>
          <w:sz w:val="24"/>
          <w:szCs w:val="24"/>
        </w:rPr>
        <w:t xml:space="preserve">y verification is an important component </w:t>
      </w:r>
      <w:r w:rsidR="005F7348">
        <w:rPr>
          <w:rFonts w:ascii="Arial" w:hAnsi="Arial" w:cs="Arial"/>
          <w:iCs/>
          <w:sz w:val="24"/>
          <w:szCs w:val="24"/>
        </w:rPr>
        <w:t xml:space="preserve">of the account-based framework </w:t>
      </w:r>
      <w:r w:rsidR="00251872">
        <w:rPr>
          <w:rFonts w:ascii="Arial" w:hAnsi="Arial" w:cs="Arial"/>
          <w:iCs/>
          <w:sz w:val="24"/>
          <w:szCs w:val="24"/>
        </w:rPr>
        <w:t xml:space="preserve">to ensure that children and excluded persons </w:t>
      </w:r>
      <w:r w:rsidR="006536A7">
        <w:rPr>
          <w:rFonts w:ascii="Arial" w:hAnsi="Arial" w:cs="Arial"/>
          <w:iCs/>
          <w:sz w:val="24"/>
          <w:szCs w:val="24"/>
        </w:rPr>
        <w:t>cannot</w:t>
      </w:r>
      <w:r w:rsidR="00251872">
        <w:rPr>
          <w:rFonts w:ascii="Arial" w:hAnsi="Arial" w:cs="Arial"/>
          <w:iCs/>
          <w:sz w:val="24"/>
          <w:szCs w:val="24"/>
        </w:rPr>
        <w:t xml:space="preserve"> use gaming machines.</w:t>
      </w:r>
      <w:r w:rsidR="007810CF">
        <w:rPr>
          <w:rFonts w:ascii="Arial" w:hAnsi="Arial" w:cs="Arial"/>
          <w:iCs/>
          <w:sz w:val="24"/>
          <w:szCs w:val="24"/>
        </w:rPr>
        <w:t xml:space="preserve"> In particular, section </w:t>
      </w:r>
      <w:r w:rsidR="00BF4DF3">
        <w:rPr>
          <w:rFonts w:ascii="Arial" w:hAnsi="Arial" w:cs="Arial"/>
          <w:iCs/>
          <w:sz w:val="24"/>
          <w:szCs w:val="24"/>
        </w:rPr>
        <w:t>67</w:t>
      </w:r>
      <w:r w:rsidR="00B234CD">
        <w:rPr>
          <w:rFonts w:ascii="Arial" w:hAnsi="Arial" w:cs="Arial"/>
          <w:iCs/>
          <w:sz w:val="24"/>
          <w:szCs w:val="24"/>
        </w:rPr>
        <w:t>P</w:t>
      </w:r>
      <w:r w:rsidR="00BF4DF3">
        <w:rPr>
          <w:rFonts w:ascii="Arial" w:hAnsi="Arial" w:cs="Arial"/>
          <w:iCs/>
          <w:sz w:val="24"/>
          <w:szCs w:val="24"/>
        </w:rPr>
        <w:t xml:space="preserve"> provides for an additional layer of oversight</w:t>
      </w:r>
      <w:r w:rsidR="006B437F">
        <w:rPr>
          <w:rFonts w:ascii="Arial" w:hAnsi="Arial" w:cs="Arial"/>
          <w:iCs/>
          <w:sz w:val="24"/>
          <w:szCs w:val="24"/>
        </w:rPr>
        <w:t xml:space="preserve"> </w:t>
      </w:r>
      <w:r w:rsidR="006536A7">
        <w:rPr>
          <w:rFonts w:ascii="Arial" w:hAnsi="Arial" w:cs="Arial"/>
          <w:iCs/>
          <w:sz w:val="24"/>
          <w:szCs w:val="24"/>
        </w:rPr>
        <w:t xml:space="preserve">for </w:t>
      </w:r>
      <w:r w:rsidR="00763634">
        <w:rPr>
          <w:rFonts w:ascii="Arial" w:hAnsi="Arial" w:cs="Arial"/>
          <w:iCs/>
          <w:sz w:val="24"/>
          <w:szCs w:val="24"/>
        </w:rPr>
        <w:t xml:space="preserve">circumstances where a person </w:t>
      </w:r>
      <w:r w:rsidR="00B938B3">
        <w:rPr>
          <w:rFonts w:ascii="Arial" w:hAnsi="Arial" w:cs="Arial"/>
          <w:iCs/>
          <w:sz w:val="24"/>
          <w:szCs w:val="24"/>
        </w:rPr>
        <w:t>who was</w:t>
      </w:r>
      <w:r w:rsidR="00B9446C">
        <w:rPr>
          <w:rFonts w:ascii="Arial" w:hAnsi="Arial" w:cs="Arial"/>
          <w:iCs/>
          <w:sz w:val="24"/>
          <w:szCs w:val="24"/>
        </w:rPr>
        <w:t xml:space="preserve"> excluded</w:t>
      </w:r>
      <w:r w:rsidR="007E2A60">
        <w:rPr>
          <w:rFonts w:ascii="Arial" w:hAnsi="Arial" w:cs="Arial"/>
          <w:iCs/>
          <w:sz w:val="24"/>
          <w:szCs w:val="24"/>
        </w:rPr>
        <w:t xml:space="preserve"> and </w:t>
      </w:r>
      <w:r w:rsidR="00CE072A">
        <w:rPr>
          <w:rFonts w:ascii="Arial" w:hAnsi="Arial" w:cs="Arial"/>
          <w:iCs/>
          <w:sz w:val="24"/>
          <w:szCs w:val="24"/>
        </w:rPr>
        <w:t>held a</w:t>
      </w:r>
      <w:r w:rsidR="007E2A60">
        <w:rPr>
          <w:rFonts w:ascii="Arial" w:hAnsi="Arial" w:cs="Arial"/>
          <w:iCs/>
          <w:sz w:val="24"/>
          <w:szCs w:val="24"/>
        </w:rPr>
        <w:t xml:space="preserve"> </w:t>
      </w:r>
      <w:r w:rsidR="00CE072A">
        <w:rPr>
          <w:rFonts w:ascii="Arial" w:hAnsi="Arial" w:cs="Arial"/>
          <w:iCs/>
          <w:sz w:val="24"/>
          <w:szCs w:val="24"/>
        </w:rPr>
        <w:t>player account</w:t>
      </w:r>
      <w:r w:rsidR="003D2924">
        <w:rPr>
          <w:rFonts w:ascii="Arial" w:hAnsi="Arial" w:cs="Arial"/>
          <w:iCs/>
          <w:sz w:val="24"/>
          <w:szCs w:val="24"/>
        </w:rPr>
        <w:t xml:space="preserve">, </w:t>
      </w:r>
      <w:r w:rsidR="00B9446C">
        <w:rPr>
          <w:rFonts w:ascii="Arial" w:hAnsi="Arial" w:cs="Arial"/>
          <w:iCs/>
          <w:sz w:val="24"/>
          <w:szCs w:val="24"/>
        </w:rPr>
        <w:t>must have their identity verified</w:t>
      </w:r>
      <w:r w:rsidR="003D2924">
        <w:rPr>
          <w:rFonts w:ascii="Arial" w:hAnsi="Arial" w:cs="Arial"/>
          <w:iCs/>
          <w:sz w:val="24"/>
          <w:szCs w:val="24"/>
        </w:rPr>
        <w:t xml:space="preserve"> </w:t>
      </w:r>
      <w:r w:rsidR="00B7193E">
        <w:rPr>
          <w:rFonts w:ascii="Arial" w:hAnsi="Arial" w:cs="Arial"/>
          <w:iCs/>
          <w:sz w:val="24"/>
          <w:szCs w:val="24"/>
        </w:rPr>
        <w:t xml:space="preserve">following the exclusion period </w:t>
      </w:r>
      <w:r w:rsidR="003D2924">
        <w:rPr>
          <w:rFonts w:ascii="Arial" w:hAnsi="Arial" w:cs="Arial"/>
          <w:iCs/>
          <w:sz w:val="24"/>
          <w:szCs w:val="24"/>
        </w:rPr>
        <w:t xml:space="preserve">before play can recommence. </w:t>
      </w:r>
    </w:p>
    <w:p w14:paraId="7E9E5F69" w14:textId="1016D58D" w:rsidR="000E227D" w:rsidRPr="00531776" w:rsidRDefault="000E227D" w:rsidP="00AE693D">
      <w:pPr>
        <w:ind w:left="360"/>
        <w:rPr>
          <w:rFonts w:ascii="Arial" w:hAnsi="Arial" w:cs="Arial"/>
          <w:iCs/>
          <w:sz w:val="24"/>
          <w:szCs w:val="24"/>
        </w:rPr>
      </w:pPr>
      <w:r>
        <w:rPr>
          <w:rFonts w:ascii="Arial" w:hAnsi="Arial" w:cs="Arial"/>
          <w:iCs/>
          <w:sz w:val="24"/>
          <w:szCs w:val="24"/>
        </w:rPr>
        <w:t>Section 67</w:t>
      </w:r>
      <w:r w:rsidR="00175223">
        <w:rPr>
          <w:rFonts w:ascii="Arial" w:hAnsi="Arial" w:cs="Arial"/>
          <w:iCs/>
          <w:sz w:val="24"/>
          <w:szCs w:val="24"/>
        </w:rPr>
        <w:t>T</w:t>
      </w:r>
      <w:r>
        <w:rPr>
          <w:rFonts w:ascii="Arial" w:hAnsi="Arial" w:cs="Arial"/>
          <w:iCs/>
          <w:sz w:val="24"/>
          <w:szCs w:val="24"/>
        </w:rPr>
        <w:t xml:space="preserve"> of the Bill sets out the circumstances where account information can be used or disclosed. This is an important safeguard included in the Bill, as it provides confined circumstances where use and disclosure of information obtained by a licensee is permitted. Any use or disclosure of the information outside the scope of section 67</w:t>
      </w:r>
      <w:r w:rsidR="00175223">
        <w:rPr>
          <w:rFonts w:ascii="Arial" w:hAnsi="Arial" w:cs="Arial"/>
          <w:iCs/>
          <w:sz w:val="24"/>
          <w:szCs w:val="24"/>
        </w:rPr>
        <w:t>T</w:t>
      </w:r>
      <w:r>
        <w:rPr>
          <w:rFonts w:ascii="Arial" w:hAnsi="Arial" w:cs="Arial"/>
          <w:iCs/>
          <w:sz w:val="24"/>
          <w:szCs w:val="24"/>
        </w:rPr>
        <w:t xml:space="preserve"> is an offence, with a maximum penalty of 50 </w:t>
      </w:r>
      <w:r>
        <w:rPr>
          <w:rFonts w:ascii="Arial" w:hAnsi="Arial" w:cs="Arial"/>
          <w:iCs/>
          <w:sz w:val="24"/>
          <w:szCs w:val="24"/>
        </w:rPr>
        <w:lastRenderedPageBreak/>
        <w:t xml:space="preserve">penalty units. </w:t>
      </w:r>
      <w:r w:rsidR="0004522F">
        <w:rPr>
          <w:rFonts w:ascii="Arial" w:hAnsi="Arial" w:cs="Arial"/>
          <w:iCs/>
          <w:sz w:val="24"/>
          <w:szCs w:val="24"/>
        </w:rPr>
        <w:t>This provision is designed to ensure the protection of account information.</w:t>
      </w:r>
    </w:p>
    <w:p w14:paraId="2A28F922" w14:textId="770DC029" w:rsidR="00F70F1F" w:rsidRDefault="000E227D" w:rsidP="006437DD">
      <w:pPr>
        <w:ind w:left="360"/>
        <w:rPr>
          <w:rFonts w:ascii="Arial" w:hAnsi="Arial" w:cs="Arial"/>
          <w:iCs/>
          <w:sz w:val="24"/>
          <w:szCs w:val="24"/>
        </w:rPr>
      </w:pPr>
      <w:r>
        <w:rPr>
          <w:rFonts w:ascii="Arial" w:hAnsi="Arial" w:cs="Arial"/>
          <w:iCs/>
          <w:sz w:val="24"/>
          <w:szCs w:val="24"/>
        </w:rPr>
        <w:t>A further</w:t>
      </w:r>
      <w:r w:rsidR="00605071">
        <w:rPr>
          <w:rFonts w:ascii="Arial" w:hAnsi="Arial" w:cs="Arial"/>
          <w:iCs/>
          <w:sz w:val="24"/>
          <w:szCs w:val="24"/>
        </w:rPr>
        <w:t xml:space="preserve"> safeguard included in the Bill is set out in section 67</w:t>
      </w:r>
      <w:r w:rsidR="00252A71">
        <w:rPr>
          <w:rFonts w:ascii="Arial" w:hAnsi="Arial" w:cs="Arial"/>
          <w:iCs/>
          <w:sz w:val="24"/>
          <w:szCs w:val="24"/>
        </w:rPr>
        <w:t>C</w:t>
      </w:r>
      <w:r w:rsidR="00605071">
        <w:rPr>
          <w:rFonts w:ascii="Arial" w:hAnsi="Arial" w:cs="Arial"/>
          <w:iCs/>
          <w:sz w:val="24"/>
          <w:szCs w:val="24"/>
        </w:rPr>
        <w:t xml:space="preserve"> which provides that the commission may approve requirements for operating an account-based gaming system, including requirements about</w:t>
      </w:r>
      <w:r w:rsidR="003B0EA4">
        <w:rPr>
          <w:rFonts w:ascii="Arial" w:hAnsi="Arial" w:cs="Arial"/>
          <w:iCs/>
          <w:sz w:val="24"/>
          <w:szCs w:val="24"/>
        </w:rPr>
        <w:t xml:space="preserve"> the</w:t>
      </w:r>
      <w:r w:rsidR="00605071">
        <w:rPr>
          <w:rFonts w:ascii="Arial" w:hAnsi="Arial" w:cs="Arial"/>
          <w:iCs/>
          <w:sz w:val="24"/>
          <w:szCs w:val="24"/>
        </w:rPr>
        <w:t xml:space="preserve"> security </w:t>
      </w:r>
      <w:r w:rsidR="003B0EA4">
        <w:rPr>
          <w:rFonts w:ascii="Arial" w:hAnsi="Arial" w:cs="Arial"/>
          <w:iCs/>
          <w:sz w:val="24"/>
          <w:szCs w:val="24"/>
        </w:rPr>
        <w:t>of information collected by or held in the system and technical or operational requirements for the system</w:t>
      </w:r>
      <w:r w:rsidR="00605071">
        <w:rPr>
          <w:rFonts w:ascii="Arial" w:hAnsi="Arial" w:cs="Arial"/>
          <w:iCs/>
          <w:sz w:val="24"/>
          <w:szCs w:val="24"/>
        </w:rPr>
        <w:t xml:space="preserve">. </w:t>
      </w:r>
      <w:r w:rsidR="003B0EA4">
        <w:rPr>
          <w:rFonts w:ascii="Arial" w:hAnsi="Arial" w:cs="Arial"/>
          <w:iCs/>
          <w:sz w:val="24"/>
          <w:szCs w:val="24"/>
        </w:rPr>
        <w:t xml:space="preserve">The commission may cancel or suspend the approval of an account-based system if it does not operate as designed or </w:t>
      </w:r>
      <w:r w:rsidR="00175223">
        <w:rPr>
          <w:rFonts w:ascii="Arial" w:hAnsi="Arial" w:cs="Arial"/>
          <w:iCs/>
          <w:sz w:val="24"/>
          <w:szCs w:val="24"/>
        </w:rPr>
        <w:t>intended or</w:t>
      </w:r>
      <w:r w:rsidR="003B0EA4">
        <w:rPr>
          <w:rFonts w:ascii="Arial" w:hAnsi="Arial" w:cs="Arial"/>
          <w:iCs/>
          <w:sz w:val="24"/>
          <w:szCs w:val="24"/>
        </w:rPr>
        <w:t xml:space="preserve"> is not in compliance with the Act (section </w:t>
      </w:r>
      <w:r w:rsidR="00BE36CE">
        <w:rPr>
          <w:rFonts w:ascii="Arial" w:hAnsi="Arial" w:cs="Arial"/>
          <w:iCs/>
          <w:sz w:val="24"/>
          <w:szCs w:val="24"/>
        </w:rPr>
        <w:t>70</w:t>
      </w:r>
      <w:r w:rsidR="003B0EA4">
        <w:rPr>
          <w:rFonts w:ascii="Arial" w:hAnsi="Arial" w:cs="Arial"/>
          <w:iCs/>
          <w:sz w:val="24"/>
          <w:szCs w:val="24"/>
        </w:rPr>
        <w:t xml:space="preserve">). </w:t>
      </w:r>
      <w:r w:rsidR="000A6CB4">
        <w:rPr>
          <w:rFonts w:ascii="Arial" w:hAnsi="Arial" w:cs="Arial"/>
          <w:iCs/>
          <w:sz w:val="24"/>
          <w:szCs w:val="24"/>
        </w:rPr>
        <w:t>Additionally,</w:t>
      </w:r>
      <w:r w:rsidR="001F654C">
        <w:rPr>
          <w:rFonts w:ascii="Arial" w:hAnsi="Arial" w:cs="Arial"/>
          <w:iCs/>
          <w:sz w:val="24"/>
          <w:szCs w:val="24"/>
        </w:rPr>
        <w:t xml:space="preserve"> minor</w:t>
      </w:r>
      <w:r w:rsidR="000A6CB4">
        <w:rPr>
          <w:rFonts w:ascii="Arial" w:hAnsi="Arial" w:cs="Arial"/>
          <w:iCs/>
          <w:sz w:val="24"/>
          <w:szCs w:val="24"/>
        </w:rPr>
        <w:t xml:space="preserve"> </w:t>
      </w:r>
      <w:r w:rsidR="005841A3">
        <w:rPr>
          <w:rFonts w:ascii="Arial" w:hAnsi="Arial" w:cs="Arial"/>
          <w:iCs/>
          <w:sz w:val="24"/>
          <w:szCs w:val="24"/>
        </w:rPr>
        <w:t xml:space="preserve">amendments </w:t>
      </w:r>
      <w:r w:rsidR="00F5081E">
        <w:rPr>
          <w:rFonts w:ascii="Arial" w:hAnsi="Arial" w:cs="Arial"/>
          <w:iCs/>
          <w:sz w:val="24"/>
          <w:szCs w:val="24"/>
        </w:rPr>
        <w:t xml:space="preserve">will be </w:t>
      </w:r>
      <w:r w:rsidR="005841A3">
        <w:rPr>
          <w:rFonts w:ascii="Arial" w:hAnsi="Arial" w:cs="Arial"/>
          <w:iCs/>
          <w:sz w:val="24"/>
          <w:szCs w:val="24"/>
        </w:rPr>
        <w:t xml:space="preserve">made to section 97(1) </w:t>
      </w:r>
      <w:r w:rsidR="00432FEF">
        <w:rPr>
          <w:rFonts w:ascii="Arial" w:hAnsi="Arial" w:cs="Arial"/>
          <w:iCs/>
          <w:sz w:val="24"/>
          <w:szCs w:val="24"/>
        </w:rPr>
        <w:t xml:space="preserve">that require a person’s control procedures for gaming components or an account-based system to include operational details about record keeping and </w:t>
      </w:r>
      <w:r w:rsidR="001F654C">
        <w:rPr>
          <w:rFonts w:ascii="Arial" w:hAnsi="Arial" w:cs="Arial"/>
          <w:iCs/>
          <w:sz w:val="24"/>
          <w:szCs w:val="24"/>
        </w:rPr>
        <w:t xml:space="preserve">security. This </w:t>
      </w:r>
      <w:r w:rsidR="007B05A5">
        <w:rPr>
          <w:rFonts w:ascii="Arial" w:hAnsi="Arial" w:cs="Arial"/>
          <w:iCs/>
          <w:sz w:val="24"/>
          <w:szCs w:val="24"/>
        </w:rPr>
        <w:t xml:space="preserve">provides an additional safeguard. </w:t>
      </w:r>
      <w:r w:rsidR="00605071">
        <w:rPr>
          <w:rFonts w:ascii="Arial" w:hAnsi="Arial" w:cs="Arial"/>
          <w:iCs/>
          <w:sz w:val="24"/>
          <w:szCs w:val="24"/>
        </w:rPr>
        <w:t xml:space="preserve"> </w:t>
      </w:r>
    </w:p>
    <w:p w14:paraId="435151B8" w14:textId="5240334E" w:rsidR="00B05414" w:rsidRDefault="00556010" w:rsidP="00B05414">
      <w:pPr>
        <w:ind w:left="360"/>
        <w:rPr>
          <w:rFonts w:ascii="Arial" w:hAnsi="Arial" w:cs="Arial"/>
          <w:iCs/>
          <w:sz w:val="24"/>
          <w:szCs w:val="24"/>
        </w:rPr>
      </w:pPr>
      <w:r>
        <w:rPr>
          <w:rFonts w:ascii="Arial" w:hAnsi="Arial" w:cs="Arial"/>
          <w:iCs/>
          <w:sz w:val="24"/>
          <w:szCs w:val="24"/>
        </w:rPr>
        <w:t xml:space="preserve">Under section </w:t>
      </w:r>
      <w:r w:rsidR="009D4A05">
        <w:rPr>
          <w:rFonts w:ascii="Arial" w:hAnsi="Arial" w:cs="Arial"/>
          <w:iCs/>
          <w:sz w:val="24"/>
          <w:szCs w:val="24"/>
        </w:rPr>
        <w:t>67U(2)</w:t>
      </w:r>
      <w:r>
        <w:rPr>
          <w:rFonts w:ascii="Arial" w:hAnsi="Arial" w:cs="Arial"/>
          <w:iCs/>
          <w:sz w:val="24"/>
          <w:szCs w:val="24"/>
        </w:rPr>
        <w:t xml:space="preserve"> of the Bill the commission may ask for a copy of a licensee’s records related to their account-based system. </w:t>
      </w:r>
      <w:r w:rsidR="00382C1A">
        <w:rPr>
          <w:rFonts w:ascii="Arial" w:hAnsi="Arial" w:cs="Arial"/>
          <w:iCs/>
          <w:sz w:val="24"/>
          <w:szCs w:val="24"/>
        </w:rPr>
        <w:t>The role of the commission</w:t>
      </w:r>
      <w:r w:rsidR="006E7CE4">
        <w:rPr>
          <w:rFonts w:ascii="Arial" w:hAnsi="Arial" w:cs="Arial"/>
          <w:iCs/>
          <w:sz w:val="24"/>
          <w:szCs w:val="24"/>
        </w:rPr>
        <w:t xml:space="preserve"> is to monitor and regulate gambling activities in the Territory, including gaming machines. </w:t>
      </w:r>
      <w:r>
        <w:rPr>
          <w:rFonts w:ascii="Arial" w:hAnsi="Arial" w:cs="Arial"/>
          <w:iCs/>
          <w:sz w:val="24"/>
          <w:szCs w:val="24"/>
        </w:rPr>
        <w:t>These amendments are necessary to allow the commission to carry ou</w:t>
      </w:r>
      <w:r w:rsidR="00543F37">
        <w:rPr>
          <w:rFonts w:ascii="Arial" w:hAnsi="Arial" w:cs="Arial"/>
          <w:iCs/>
          <w:sz w:val="24"/>
          <w:szCs w:val="24"/>
        </w:rPr>
        <w:t>t</w:t>
      </w:r>
      <w:r>
        <w:rPr>
          <w:rFonts w:ascii="Arial" w:hAnsi="Arial" w:cs="Arial"/>
          <w:iCs/>
          <w:sz w:val="24"/>
          <w:szCs w:val="24"/>
        </w:rPr>
        <w:t xml:space="preserve"> their regulatory duties and provide oversight over the activities of a licensee. </w:t>
      </w:r>
      <w:r w:rsidR="0004522F">
        <w:rPr>
          <w:rFonts w:ascii="Arial" w:hAnsi="Arial" w:cs="Arial"/>
          <w:iCs/>
          <w:sz w:val="24"/>
          <w:szCs w:val="24"/>
        </w:rPr>
        <w:t xml:space="preserve">It is an offence under the Bill for a licensee to fail to give a copy of the records requested within the period stated in the request. The offence is strict liability and attracts a maximum penalty of 10 penalty units. </w:t>
      </w:r>
    </w:p>
    <w:p w14:paraId="696510F4" w14:textId="12317D6A" w:rsidR="00382C1A" w:rsidRPr="00531776" w:rsidRDefault="00382C1A" w:rsidP="00382C1A">
      <w:pPr>
        <w:ind w:left="360"/>
        <w:rPr>
          <w:rFonts w:ascii="Arial" w:hAnsi="Arial" w:cs="Arial"/>
          <w:iCs/>
          <w:sz w:val="24"/>
          <w:szCs w:val="24"/>
        </w:rPr>
      </w:pPr>
      <w:r>
        <w:rPr>
          <w:rFonts w:ascii="Arial" w:hAnsi="Arial" w:cs="Arial"/>
          <w:iCs/>
          <w:sz w:val="24"/>
          <w:szCs w:val="24"/>
        </w:rPr>
        <w:t xml:space="preserve">In relation to </w:t>
      </w:r>
      <w:r w:rsidR="00314499">
        <w:rPr>
          <w:rFonts w:ascii="Arial" w:hAnsi="Arial" w:cs="Arial"/>
          <w:iCs/>
          <w:sz w:val="24"/>
          <w:szCs w:val="24"/>
        </w:rPr>
        <w:t>record keeping</w:t>
      </w:r>
      <w:r>
        <w:rPr>
          <w:rFonts w:ascii="Arial" w:hAnsi="Arial" w:cs="Arial"/>
          <w:iCs/>
          <w:sz w:val="24"/>
          <w:szCs w:val="24"/>
        </w:rPr>
        <w:t xml:space="preserve"> for account-based gaming systems, it is necessary that information identifying each player the licensee holds player credits for is collected and recorded. </w:t>
      </w:r>
      <w:r w:rsidR="00543F37">
        <w:rPr>
          <w:rFonts w:ascii="Arial" w:hAnsi="Arial" w:cs="Arial"/>
          <w:iCs/>
          <w:sz w:val="24"/>
          <w:szCs w:val="24"/>
        </w:rPr>
        <w:t>This is necessary to track who opens an account for the purpose of identifying who is at risk of experiencing gambling harm</w:t>
      </w:r>
      <w:r w:rsidR="00392D52">
        <w:rPr>
          <w:rFonts w:ascii="Arial" w:hAnsi="Arial" w:cs="Arial"/>
          <w:iCs/>
          <w:sz w:val="24"/>
          <w:szCs w:val="24"/>
        </w:rPr>
        <w:t xml:space="preserve">. It is also necessary to collect information related to transaction information so licensees can take responsive actions to prevent harm or further harm and provide people with information about their spending behaviours. </w:t>
      </w:r>
      <w:r>
        <w:rPr>
          <w:rFonts w:ascii="Arial" w:hAnsi="Arial" w:cs="Arial"/>
          <w:iCs/>
          <w:sz w:val="24"/>
          <w:szCs w:val="24"/>
        </w:rPr>
        <w:t>There is a requirement that a written report of the records</w:t>
      </w:r>
      <w:r w:rsidR="0004522F">
        <w:rPr>
          <w:rFonts w:ascii="Arial" w:hAnsi="Arial" w:cs="Arial"/>
          <w:iCs/>
          <w:sz w:val="24"/>
          <w:szCs w:val="24"/>
        </w:rPr>
        <w:t xml:space="preserve"> for each person who holds a player account for the licensee’s account-based accounting system</w:t>
      </w:r>
      <w:r>
        <w:rPr>
          <w:rFonts w:ascii="Arial" w:hAnsi="Arial" w:cs="Arial"/>
          <w:iCs/>
          <w:sz w:val="24"/>
          <w:szCs w:val="24"/>
        </w:rPr>
        <w:t xml:space="preserve"> must be prepared within 1 week of the end of each month and that these written reports only contain </w:t>
      </w:r>
      <w:r w:rsidRPr="00ED2C78">
        <w:rPr>
          <w:rFonts w:ascii="Arial" w:hAnsi="Arial" w:cs="Arial"/>
          <w:iCs/>
          <w:sz w:val="24"/>
          <w:szCs w:val="24"/>
        </w:rPr>
        <w:t xml:space="preserve">de-identified </w:t>
      </w:r>
      <w:r>
        <w:rPr>
          <w:rFonts w:ascii="Arial" w:hAnsi="Arial" w:cs="Arial"/>
          <w:iCs/>
          <w:sz w:val="24"/>
          <w:szCs w:val="24"/>
        </w:rPr>
        <w:t xml:space="preserve">information. </w:t>
      </w:r>
      <w:r w:rsidR="0004522F">
        <w:rPr>
          <w:rFonts w:ascii="Arial" w:hAnsi="Arial" w:cs="Arial"/>
          <w:iCs/>
          <w:sz w:val="24"/>
          <w:szCs w:val="24"/>
        </w:rPr>
        <w:t xml:space="preserve">Section </w:t>
      </w:r>
      <w:r w:rsidR="00085AB1">
        <w:rPr>
          <w:rFonts w:ascii="Arial" w:hAnsi="Arial" w:cs="Arial"/>
          <w:iCs/>
          <w:sz w:val="24"/>
          <w:szCs w:val="24"/>
        </w:rPr>
        <w:t>30</w:t>
      </w:r>
      <w:r w:rsidR="0004522F">
        <w:rPr>
          <w:rFonts w:ascii="Arial" w:hAnsi="Arial" w:cs="Arial"/>
          <w:iCs/>
          <w:sz w:val="24"/>
          <w:szCs w:val="24"/>
        </w:rPr>
        <w:t xml:space="preserve"> provides that the reports include the person’s age and the person’s gender (if provided). </w:t>
      </w:r>
      <w:r>
        <w:rPr>
          <w:rFonts w:ascii="Arial" w:hAnsi="Arial" w:cs="Arial"/>
          <w:iCs/>
          <w:sz w:val="24"/>
          <w:szCs w:val="24"/>
        </w:rPr>
        <w:t xml:space="preserve">This is designed to support </w:t>
      </w:r>
      <w:r w:rsidRPr="00ED2C78">
        <w:rPr>
          <w:rFonts w:ascii="Arial" w:hAnsi="Arial" w:cs="Arial"/>
          <w:iCs/>
          <w:sz w:val="24"/>
          <w:szCs w:val="24"/>
        </w:rPr>
        <w:t>further harm minimisation research by providing a strong evidence base of gambling behaviours and patterns in the ACT environment.</w:t>
      </w:r>
      <w:r>
        <w:rPr>
          <w:rFonts w:ascii="Arial" w:hAnsi="Arial" w:cs="Arial"/>
          <w:iCs/>
          <w:sz w:val="24"/>
          <w:szCs w:val="24"/>
        </w:rPr>
        <w:t xml:space="preserve"> The reports are required to be kept for at least 2 years after the report was prepared. </w:t>
      </w:r>
      <w:r w:rsidR="00DA572E">
        <w:rPr>
          <w:rFonts w:ascii="Arial" w:hAnsi="Arial" w:cs="Arial"/>
          <w:iCs/>
          <w:sz w:val="24"/>
          <w:szCs w:val="24"/>
        </w:rPr>
        <w:t xml:space="preserve">These reports will help support the commission fulfil its role of monitoring and regulating gambling activities in the Territory and provides an additional layer of oversight. </w:t>
      </w:r>
    </w:p>
    <w:p w14:paraId="35C6BB4A" w14:textId="28EF232E" w:rsidR="0090403D" w:rsidRDefault="00FB0686" w:rsidP="00DF1AF3">
      <w:pPr>
        <w:ind w:left="360"/>
        <w:rPr>
          <w:rFonts w:ascii="Arial" w:hAnsi="Arial" w:cs="Arial"/>
          <w:iCs/>
          <w:sz w:val="24"/>
          <w:szCs w:val="24"/>
        </w:rPr>
      </w:pPr>
      <w:r>
        <w:rPr>
          <w:rFonts w:ascii="Arial" w:hAnsi="Arial" w:cs="Arial"/>
          <w:iCs/>
          <w:sz w:val="24"/>
          <w:szCs w:val="24"/>
        </w:rPr>
        <w:t xml:space="preserve">The recording of information </w:t>
      </w:r>
      <w:r w:rsidR="002E54CF">
        <w:rPr>
          <w:rFonts w:ascii="Arial" w:hAnsi="Arial" w:cs="Arial"/>
          <w:iCs/>
          <w:sz w:val="24"/>
          <w:szCs w:val="24"/>
        </w:rPr>
        <w:t>in relation to activity statements under section 3</w:t>
      </w:r>
      <w:r w:rsidR="00466376">
        <w:rPr>
          <w:rFonts w:ascii="Arial" w:hAnsi="Arial" w:cs="Arial"/>
          <w:iCs/>
          <w:sz w:val="24"/>
          <w:szCs w:val="24"/>
        </w:rPr>
        <w:t>1</w:t>
      </w:r>
      <w:r w:rsidR="002E54CF">
        <w:rPr>
          <w:rFonts w:ascii="Arial" w:hAnsi="Arial" w:cs="Arial"/>
          <w:iCs/>
          <w:sz w:val="24"/>
          <w:szCs w:val="24"/>
        </w:rPr>
        <w:t xml:space="preserve"> </w:t>
      </w:r>
      <w:r>
        <w:rPr>
          <w:rFonts w:ascii="Arial" w:hAnsi="Arial" w:cs="Arial"/>
          <w:iCs/>
          <w:sz w:val="24"/>
          <w:szCs w:val="24"/>
        </w:rPr>
        <w:t xml:space="preserve">has been drafted to maintain consistency with information already required under the </w:t>
      </w:r>
      <w:r w:rsidR="00D173F3" w:rsidRPr="00D173F3">
        <w:rPr>
          <w:rFonts w:ascii="Arial" w:hAnsi="Arial" w:cs="Arial"/>
          <w:i/>
          <w:sz w:val="24"/>
          <w:szCs w:val="24"/>
        </w:rPr>
        <w:t>Gaming Machine Regulation 2004</w:t>
      </w:r>
      <w:r w:rsidR="00D173F3">
        <w:rPr>
          <w:rFonts w:ascii="Arial" w:hAnsi="Arial" w:cs="Arial"/>
          <w:iCs/>
          <w:sz w:val="24"/>
          <w:szCs w:val="24"/>
        </w:rPr>
        <w:t xml:space="preserve"> and the </w:t>
      </w:r>
      <w:r w:rsidR="00D173F3" w:rsidRPr="00D173F3">
        <w:rPr>
          <w:rFonts w:ascii="Arial" w:hAnsi="Arial" w:cs="Arial"/>
          <w:i/>
          <w:sz w:val="24"/>
          <w:szCs w:val="24"/>
        </w:rPr>
        <w:t>Gambling and Racing Control (Code of Practice) Regulation 2002</w:t>
      </w:r>
      <w:r w:rsidR="00D173F3">
        <w:rPr>
          <w:rFonts w:ascii="Arial" w:hAnsi="Arial" w:cs="Arial"/>
          <w:iCs/>
          <w:sz w:val="24"/>
          <w:szCs w:val="24"/>
        </w:rPr>
        <w:t>.</w:t>
      </w:r>
      <w:r w:rsidR="000D0F7C">
        <w:rPr>
          <w:rFonts w:ascii="Arial" w:hAnsi="Arial" w:cs="Arial"/>
          <w:iCs/>
          <w:sz w:val="24"/>
          <w:szCs w:val="24"/>
        </w:rPr>
        <w:t xml:space="preserve"> </w:t>
      </w:r>
      <w:r>
        <w:rPr>
          <w:rFonts w:ascii="Arial" w:hAnsi="Arial" w:cs="Arial"/>
          <w:iCs/>
          <w:sz w:val="24"/>
          <w:szCs w:val="24"/>
        </w:rPr>
        <w:t xml:space="preserve">This </w:t>
      </w:r>
      <w:r w:rsidR="00F5081E">
        <w:rPr>
          <w:rFonts w:ascii="Arial" w:hAnsi="Arial" w:cs="Arial"/>
          <w:iCs/>
          <w:sz w:val="24"/>
          <w:szCs w:val="24"/>
        </w:rPr>
        <w:t>will facilitate</w:t>
      </w:r>
      <w:r>
        <w:rPr>
          <w:rFonts w:ascii="Arial" w:hAnsi="Arial" w:cs="Arial"/>
          <w:iCs/>
          <w:sz w:val="24"/>
          <w:szCs w:val="24"/>
        </w:rPr>
        <w:t xml:space="preserve"> compliance with and </w:t>
      </w:r>
      <w:r>
        <w:rPr>
          <w:rFonts w:ascii="Arial" w:hAnsi="Arial" w:cs="Arial"/>
          <w:iCs/>
          <w:sz w:val="24"/>
          <w:szCs w:val="24"/>
        </w:rPr>
        <w:lastRenderedPageBreak/>
        <w:t xml:space="preserve">enforcement of the scheme. It is also to ensure that recording requirements are not more burdensome for </w:t>
      </w:r>
      <w:r w:rsidR="00FA6FD5">
        <w:rPr>
          <w:rFonts w:ascii="Arial" w:hAnsi="Arial" w:cs="Arial"/>
          <w:iCs/>
          <w:sz w:val="24"/>
          <w:szCs w:val="24"/>
        </w:rPr>
        <w:t xml:space="preserve">gaming machine </w:t>
      </w:r>
      <w:r w:rsidR="000D0F7C">
        <w:rPr>
          <w:rFonts w:ascii="Arial" w:hAnsi="Arial" w:cs="Arial"/>
          <w:iCs/>
          <w:sz w:val="24"/>
          <w:szCs w:val="24"/>
        </w:rPr>
        <w:t>licensees</w:t>
      </w:r>
      <w:r>
        <w:rPr>
          <w:rFonts w:ascii="Arial" w:hAnsi="Arial" w:cs="Arial"/>
          <w:iCs/>
          <w:sz w:val="24"/>
          <w:szCs w:val="24"/>
        </w:rPr>
        <w:t xml:space="preserve"> when compared to other </w:t>
      </w:r>
      <w:r w:rsidR="00A33066">
        <w:rPr>
          <w:rFonts w:ascii="Arial" w:hAnsi="Arial" w:cs="Arial"/>
          <w:iCs/>
          <w:sz w:val="24"/>
          <w:szCs w:val="24"/>
        </w:rPr>
        <w:t xml:space="preserve">licensee types (i.e., activity statements for online betting accounts). </w:t>
      </w:r>
      <w:r w:rsidR="004470CE">
        <w:rPr>
          <w:rFonts w:ascii="Arial" w:hAnsi="Arial" w:cs="Arial"/>
          <w:iCs/>
          <w:sz w:val="24"/>
          <w:szCs w:val="24"/>
        </w:rPr>
        <w:t xml:space="preserve">Regulations may make further provision in relation to account-based systems, including record keeping by licensees and information to be provided by licensees to the commission (section 67X). </w:t>
      </w:r>
    </w:p>
    <w:p w14:paraId="59583723" w14:textId="2855CADC" w:rsidR="00C92EC3" w:rsidRDefault="00C92EC3" w:rsidP="00C92EC3">
      <w:pPr>
        <w:ind w:left="360"/>
        <w:rPr>
          <w:rFonts w:ascii="Arial" w:hAnsi="Arial" w:cs="Arial"/>
          <w:iCs/>
          <w:sz w:val="24"/>
          <w:szCs w:val="24"/>
        </w:rPr>
      </w:pPr>
      <w:r>
        <w:rPr>
          <w:rFonts w:ascii="Arial" w:hAnsi="Arial" w:cs="Arial"/>
          <w:iCs/>
          <w:sz w:val="24"/>
          <w:szCs w:val="24"/>
        </w:rPr>
        <w:t xml:space="preserve">The amendments are balanced with various safeguards that already exist, including </w:t>
      </w:r>
      <w:r w:rsidR="00BF31D5">
        <w:rPr>
          <w:rFonts w:ascii="Arial" w:hAnsi="Arial" w:cs="Arial"/>
          <w:iCs/>
          <w:sz w:val="24"/>
          <w:szCs w:val="24"/>
        </w:rPr>
        <w:t>safeguards</w:t>
      </w:r>
      <w:r>
        <w:rPr>
          <w:rFonts w:ascii="Arial" w:hAnsi="Arial" w:cs="Arial"/>
          <w:iCs/>
          <w:sz w:val="24"/>
          <w:szCs w:val="24"/>
        </w:rPr>
        <w:t xml:space="preserve"> in privacy laws. </w:t>
      </w:r>
      <w:r w:rsidRPr="00BE5911">
        <w:rPr>
          <w:rFonts w:ascii="Arial" w:hAnsi="Arial" w:cs="Arial"/>
          <w:iCs/>
          <w:sz w:val="24"/>
          <w:szCs w:val="24"/>
        </w:rPr>
        <w:t xml:space="preserve">Entities </w:t>
      </w:r>
      <w:r w:rsidRPr="00712F6B">
        <w:rPr>
          <w:rFonts w:ascii="Arial" w:hAnsi="Arial" w:cs="Arial"/>
          <w:iCs/>
          <w:sz w:val="24"/>
          <w:szCs w:val="24"/>
        </w:rPr>
        <w:t xml:space="preserve">with an annual turnover </w:t>
      </w:r>
      <w:r w:rsidR="00F5081E">
        <w:rPr>
          <w:rFonts w:ascii="Arial" w:hAnsi="Arial" w:cs="Arial"/>
          <w:iCs/>
          <w:sz w:val="24"/>
          <w:szCs w:val="24"/>
        </w:rPr>
        <w:t xml:space="preserve">of </w:t>
      </w:r>
      <w:r w:rsidRPr="00712F6B">
        <w:rPr>
          <w:rFonts w:ascii="Arial" w:hAnsi="Arial" w:cs="Arial"/>
          <w:iCs/>
          <w:sz w:val="24"/>
          <w:szCs w:val="24"/>
        </w:rPr>
        <w:t xml:space="preserve">more than $3 million </w:t>
      </w:r>
      <w:r>
        <w:rPr>
          <w:rFonts w:ascii="Arial" w:hAnsi="Arial" w:cs="Arial"/>
          <w:iCs/>
          <w:sz w:val="24"/>
          <w:szCs w:val="24"/>
        </w:rPr>
        <w:t>(</w:t>
      </w:r>
      <w:r w:rsidRPr="00712F6B">
        <w:rPr>
          <w:rFonts w:ascii="Arial" w:hAnsi="Arial" w:cs="Arial"/>
          <w:iCs/>
          <w:sz w:val="24"/>
          <w:szCs w:val="24"/>
        </w:rPr>
        <w:t>subject to some exceptions</w:t>
      </w:r>
      <w:r>
        <w:rPr>
          <w:rFonts w:ascii="Arial" w:hAnsi="Arial" w:cs="Arial"/>
          <w:iCs/>
          <w:sz w:val="24"/>
          <w:szCs w:val="24"/>
        </w:rPr>
        <w:t xml:space="preserve">) </w:t>
      </w:r>
      <w:r w:rsidRPr="00BE5911">
        <w:rPr>
          <w:rFonts w:ascii="Arial" w:hAnsi="Arial" w:cs="Arial"/>
          <w:iCs/>
          <w:sz w:val="24"/>
          <w:szCs w:val="24"/>
        </w:rPr>
        <w:t xml:space="preserve">that handle </w:t>
      </w:r>
      <w:r w:rsidR="00BF31D5">
        <w:rPr>
          <w:rFonts w:ascii="Arial" w:hAnsi="Arial" w:cs="Arial"/>
          <w:iCs/>
          <w:sz w:val="24"/>
          <w:szCs w:val="24"/>
        </w:rPr>
        <w:t>personal information</w:t>
      </w:r>
      <w:r w:rsidRPr="00BE5911">
        <w:rPr>
          <w:rFonts w:ascii="Arial" w:hAnsi="Arial" w:cs="Arial"/>
          <w:iCs/>
          <w:sz w:val="24"/>
          <w:szCs w:val="24"/>
        </w:rPr>
        <w:t xml:space="preserve"> </w:t>
      </w:r>
      <w:r w:rsidRPr="00712F6B">
        <w:rPr>
          <w:rFonts w:ascii="Arial" w:hAnsi="Arial" w:cs="Arial"/>
          <w:iCs/>
          <w:sz w:val="24"/>
          <w:szCs w:val="24"/>
        </w:rPr>
        <w:t xml:space="preserve">have responsibilities under </w:t>
      </w:r>
      <w:r w:rsidRPr="00BE5911">
        <w:rPr>
          <w:rFonts w:ascii="Arial" w:hAnsi="Arial" w:cs="Arial"/>
          <w:iCs/>
          <w:sz w:val="24"/>
          <w:szCs w:val="24"/>
        </w:rPr>
        <w:t xml:space="preserve">the </w:t>
      </w:r>
      <w:r w:rsidRPr="00BE5911">
        <w:rPr>
          <w:rFonts w:ascii="Arial" w:hAnsi="Arial" w:cs="Arial"/>
          <w:i/>
          <w:iCs/>
          <w:sz w:val="24"/>
          <w:szCs w:val="24"/>
        </w:rPr>
        <w:t>Privacy Act 1988</w:t>
      </w:r>
      <w:r w:rsidRPr="00BE5911">
        <w:rPr>
          <w:rFonts w:ascii="Arial" w:hAnsi="Arial" w:cs="Arial"/>
          <w:iCs/>
          <w:sz w:val="24"/>
          <w:szCs w:val="24"/>
        </w:rPr>
        <w:t xml:space="preserve"> (</w:t>
      </w:r>
      <w:proofErr w:type="spellStart"/>
      <w:r w:rsidRPr="00BE5911">
        <w:rPr>
          <w:rFonts w:ascii="Arial" w:hAnsi="Arial" w:cs="Arial"/>
          <w:iCs/>
          <w:sz w:val="24"/>
          <w:szCs w:val="24"/>
        </w:rPr>
        <w:t>Cth</w:t>
      </w:r>
      <w:proofErr w:type="spellEnd"/>
      <w:r w:rsidRPr="00BE5911">
        <w:rPr>
          <w:rFonts w:ascii="Arial" w:hAnsi="Arial" w:cs="Arial"/>
          <w:iCs/>
          <w:sz w:val="24"/>
          <w:szCs w:val="24"/>
        </w:rPr>
        <w:t xml:space="preserve">) </w:t>
      </w:r>
      <w:r>
        <w:rPr>
          <w:rFonts w:ascii="Arial" w:hAnsi="Arial" w:cs="Arial"/>
          <w:iCs/>
          <w:sz w:val="24"/>
          <w:szCs w:val="24"/>
        </w:rPr>
        <w:t xml:space="preserve">(Privacy Act) </w:t>
      </w:r>
      <w:r w:rsidR="00BF31D5">
        <w:rPr>
          <w:rFonts w:ascii="Arial" w:hAnsi="Arial" w:cs="Arial"/>
          <w:iCs/>
          <w:sz w:val="24"/>
          <w:szCs w:val="24"/>
        </w:rPr>
        <w:t>in relation to</w:t>
      </w:r>
      <w:r w:rsidRPr="00BE5911">
        <w:rPr>
          <w:rFonts w:ascii="Arial" w:hAnsi="Arial" w:cs="Arial"/>
          <w:iCs/>
          <w:sz w:val="24"/>
          <w:szCs w:val="24"/>
        </w:rPr>
        <w:t xml:space="preserve"> the collection, use, disclosure and storage of personal information</w:t>
      </w:r>
      <w:r w:rsidR="00F5081E">
        <w:rPr>
          <w:rFonts w:ascii="Arial" w:hAnsi="Arial" w:cs="Arial"/>
          <w:iCs/>
          <w:sz w:val="24"/>
          <w:szCs w:val="24"/>
        </w:rPr>
        <w:t>. The Privacy Act</w:t>
      </w:r>
      <w:r w:rsidRPr="00BE5911">
        <w:rPr>
          <w:rFonts w:ascii="Arial" w:hAnsi="Arial" w:cs="Arial"/>
          <w:iCs/>
          <w:sz w:val="24"/>
          <w:szCs w:val="24"/>
        </w:rPr>
        <w:t xml:space="preserve"> gives individuals a complaints mechanism pathway </w:t>
      </w:r>
      <w:r w:rsidR="00F5081E">
        <w:rPr>
          <w:rFonts w:ascii="Arial" w:hAnsi="Arial" w:cs="Arial"/>
          <w:iCs/>
          <w:sz w:val="24"/>
          <w:szCs w:val="24"/>
        </w:rPr>
        <w:t xml:space="preserve">in the event of </w:t>
      </w:r>
      <w:r w:rsidRPr="00BE5911">
        <w:rPr>
          <w:rFonts w:ascii="Arial" w:hAnsi="Arial" w:cs="Arial"/>
          <w:iCs/>
          <w:sz w:val="24"/>
          <w:szCs w:val="24"/>
        </w:rPr>
        <w:t xml:space="preserve">mishandling of their personal information as well as a private action in tort if an entity commits a serious invasion of their privacy involving their private information. </w:t>
      </w:r>
    </w:p>
    <w:p w14:paraId="039CE13B" w14:textId="7E54261F" w:rsidR="009F15A4" w:rsidRDefault="009F15A4" w:rsidP="009F15A4">
      <w:pPr>
        <w:ind w:left="360"/>
        <w:rPr>
          <w:rFonts w:ascii="Arial" w:hAnsi="Arial" w:cs="Arial"/>
          <w:iCs/>
          <w:sz w:val="24"/>
          <w:szCs w:val="24"/>
        </w:rPr>
      </w:pPr>
      <w:r>
        <w:rPr>
          <w:rFonts w:ascii="Arial" w:hAnsi="Arial" w:cs="Arial"/>
          <w:iCs/>
          <w:sz w:val="24"/>
          <w:szCs w:val="24"/>
        </w:rPr>
        <w:t xml:space="preserve">These entities, as well as smaller businesses which are </w:t>
      </w:r>
      <w:r w:rsidRPr="00424698">
        <w:rPr>
          <w:rFonts w:ascii="Arial" w:hAnsi="Arial" w:cs="Arial"/>
          <w:iCs/>
          <w:sz w:val="24"/>
          <w:szCs w:val="24"/>
        </w:rPr>
        <w:t>related to a larger bod</w:t>
      </w:r>
      <w:r>
        <w:rPr>
          <w:rFonts w:ascii="Arial" w:hAnsi="Arial" w:cs="Arial"/>
          <w:iCs/>
          <w:sz w:val="24"/>
          <w:szCs w:val="24"/>
        </w:rPr>
        <w:t>ies</w:t>
      </w:r>
      <w:r w:rsidRPr="00424698">
        <w:rPr>
          <w:rFonts w:ascii="Arial" w:hAnsi="Arial" w:cs="Arial"/>
          <w:iCs/>
          <w:sz w:val="24"/>
          <w:szCs w:val="24"/>
        </w:rPr>
        <w:t xml:space="preserve"> corporate that </w:t>
      </w:r>
      <w:r>
        <w:rPr>
          <w:rFonts w:ascii="Arial" w:hAnsi="Arial" w:cs="Arial"/>
          <w:iCs/>
          <w:sz w:val="24"/>
          <w:szCs w:val="24"/>
        </w:rPr>
        <w:t>are</w:t>
      </w:r>
      <w:r w:rsidRPr="00424698">
        <w:rPr>
          <w:rFonts w:ascii="Arial" w:hAnsi="Arial" w:cs="Arial"/>
          <w:iCs/>
          <w:sz w:val="24"/>
          <w:szCs w:val="24"/>
        </w:rPr>
        <w:t xml:space="preserve"> subject to the Privacy Act</w:t>
      </w:r>
      <w:r>
        <w:rPr>
          <w:rFonts w:ascii="Arial" w:hAnsi="Arial" w:cs="Arial"/>
          <w:iCs/>
          <w:sz w:val="24"/>
          <w:szCs w:val="24"/>
        </w:rPr>
        <w:t xml:space="preserve"> or have </w:t>
      </w:r>
      <w:r w:rsidRPr="00424698">
        <w:rPr>
          <w:rFonts w:ascii="Arial" w:hAnsi="Arial" w:cs="Arial"/>
          <w:iCs/>
          <w:sz w:val="24"/>
          <w:szCs w:val="24"/>
        </w:rPr>
        <w:t>voluntarily opted into the Privacy Act</w:t>
      </w:r>
      <w:r>
        <w:rPr>
          <w:rFonts w:ascii="Arial" w:hAnsi="Arial" w:cs="Arial"/>
          <w:iCs/>
          <w:sz w:val="24"/>
          <w:szCs w:val="24"/>
        </w:rPr>
        <w:t xml:space="preserve">, must comply with the </w:t>
      </w:r>
      <w:r w:rsidRPr="00424698">
        <w:rPr>
          <w:rFonts w:ascii="Arial" w:hAnsi="Arial" w:cs="Arial"/>
          <w:iCs/>
          <w:sz w:val="24"/>
          <w:szCs w:val="24"/>
        </w:rPr>
        <w:t>Australian Privacy Principles</w:t>
      </w:r>
      <w:r>
        <w:rPr>
          <w:rFonts w:ascii="Arial" w:hAnsi="Arial" w:cs="Arial"/>
          <w:iCs/>
          <w:sz w:val="24"/>
          <w:szCs w:val="24"/>
        </w:rPr>
        <w:t xml:space="preserve"> set out in Schedule 1 of the Privacy Act</w:t>
      </w:r>
      <w:r w:rsidR="00F5081E">
        <w:rPr>
          <w:rFonts w:ascii="Arial" w:hAnsi="Arial" w:cs="Arial"/>
          <w:iCs/>
          <w:sz w:val="24"/>
          <w:szCs w:val="24"/>
        </w:rPr>
        <w:t>. This</w:t>
      </w:r>
      <w:r>
        <w:rPr>
          <w:rFonts w:ascii="Arial" w:hAnsi="Arial" w:cs="Arial"/>
          <w:iCs/>
          <w:sz w:val="24"/>
          <w:szCs w:val="24"/>
        </w:rPr>
        <w:t xml:space="preserve"> include</w:t>
      </w:r>
      <w:r w:rsidR="00F5081E">
        <w:rPr>
          <w:rFonts w:ascii="Arial" w:hAnsi="Arial" w:cs="Arial"/>
          <w:iCs/>
          <w:sz w:val="24"/>
          <w:szCs w:val="24"/>
        </w:rPr>
        <w:t>s</w:t>
      </w:r>
      <w:r>
        <w:rPr>
          <w:rFonts w:ascii="Arial" w:hAnsi="Arial" w:cs="Arial"/>
          <w:iCs/>
          <w:sz w:val="24"/>
          <w:szCs w:val="24"/>
        </w:rPr>
        <w:t xml:space="preserve"> limitations on the</w:t>
      </w:r>
      <w:r w:rsidRPr="00424698">
        <w:rPr>
          <w:rFonts w:ascii="Arial" w:hAnsi="Arial" w:cs="Arial"/>
          <w:iCs/>
          <w:sz w:val="24"/>
          <w:szCs w:val="24"/>
        </w:rPr>
        <w:t xml:space="preserve"> use and disclosure</w:t>
      </w:r>
      <w:r>
        <w:rPr>
          <w:rFonts w:ascii="Arial" w:hAnsi="Arial" w:cs="Arial"/>
          <w:iCs/>
          <w:sz w:val="24"/>
          <w:szCs w:val="24"/>
        </w:rPr>
        <w:t xml:space="preserve"> of personal information and r</w:t>
      </w:r>
      <w:r w:rsidRPr="00424698">
        <w:rPr>
          <w:rFonts w:ascii="Arial" w:hAnsi="Arial" w:cs="Arial"/>
          <w:iCs/>
          <w:sz w:val="24"/>
          <w:szCs w:val="24"/>
        </w:rPr>
        <w:t>egulat</w:t>
      </w:r>
      <w:r>
        <w:rPr>
          <w:rFonts w:ascii="Arial" w:hAnsi="Arial" w:cs="Arial"/>
          <w:iCs/>
          <w:sz w:val="24"/>
          <w:szCs w:val="24"/>
        </w:rPr>
        <w:t>ion of</w:t>
      </w:r>
      <w:r w:rsidRPr="00424698">
        <w:rPr>
          <w:rFonts w:ascii="Arial" w:hAnsi="Arial" w:cs="Arial"/>
          <w:iCs/>
          <w:sz w:val="24"/>
          <w:szCs w:val="24"/>
        </w:rPr>
        <w:t xml:space="preserve"> the use of personal information for direct marketing purposes.</w:t>
      </w:r>
      <w:r w:rsidRPr="00F949C2">
        <w:rPr>
          <w:rFonts w:ascii="Arial" w:hAnsi="Arial" w:cs="Arial"/>
          <w:iCs/>
          <w:sz w:val="24"/>
          <w:szCs w:val="24"/>
        </w:rPr>
        <w:t xml:space="preserve"> </w:t>
      </w:r>
      <w:r>
        <w:rPr>
          <w:rFonts w:ascii="Arial" w:hAnsi="Arial" w:cs="Arial"/>
          <w:iCs/>
          <w:sz w:val="24"/>
          <w:szCs w:val="24"/>
        </w:rPr>
        <w:t>R</w:t>
      </w:r>
      <w:r w:rsidRPr="00F949C2">
        <w:rPr>
          <w:rFonts w:ascii="Arial" w:hAnsi="Arial" w:cs="Arial"/>
          <w:iCs/>
          <w:sz w:val="24"/>
          <w:szCs w:val="24"/>
        </w:rPr>
        <w:t xml:space="preserve">easonable steps </w:t>
      </w:r>
      <w:r>
        <w:rPr>
          <w:rFonts w:ascii="Arial" w:hAnsi="Arial" w:cs="Arial"/>
          <w:iCs/>
          <w:sz w:val="24"/>
          <w:szCs w:val="24"/>
        </w:rPr>
        <w:t xml:space="preserve">must be taken </w:t>
      </w:r>
      <w:r w:rsidRPr="00F949C2">
        <w:rPr>
          <w:rFonts w:ascii="Arial" w:hAnsi="Arial" w:cs="Arial"/>
          <w:iCs/>
          <w:sz w:val="24"/>
          <w:szCs w:val="24"/>
        </w:rPr>
        <w:t xml:space="preserve">to protect personal information from misuse, interference, loss, and unauthorised access. </w:t>
      </w:r>
    </w:p>
    <w:p w14:paraId="69B8B551" w14:textId="77777777" w:rsidR="009F15A4" w:rsidRDefault="009F15A4" w:rsidP="009F15A4">
      <w:pPr>
        <w:ind w:left="360"/>
        <w:rPr>
          <w:rFonts w:ascii="Arial" w:hAnsi="Arial" w:cs="Arial"/>
          <w:iCs/>
          <w:sz w:val="24"/>
          <w:szCs w:val="24"/>
        </w:rPr>
      </w:pPr>
      <w:r w:rsidRPr="006A41FF">
        <w:rPr>
          <w:rFonts w:ascii="Arial" w:hAnsi="Arial" w:cs="Arial"/>
          <w:iCs/>
          <w:sz w:val="24"/>
          <w:szCs w:val="24"/>
        </w:rPr>
        <w:t>The Office of the Australian Information Commissioner</w:t>
      </w:r>
      <w:r>
        <w:rPr>
          <w:rFonts w:ascii="Arial" w:hAnsi="Arial" w:cs="Arial"/>
          <w:iCs/>
          <w:sz w:val="24"/>
          <w:szCs w:val="24"/>
        </w:rPr>
        <w:t xml:space="preserve"> (OAIC</w:t>
      </w:r>
      <w:r w:rsidRPr="006A41FF">
        <w:rPr>
          <w:rFonts w:ascii="Arial" w:hAnsi="Arial" w:cs="Arial"/>
          <w:iCs/>
          <w:sz w:val="24"/>
          <w:szCs w:val="24"/>
        </w:rPr>
        <w:t xml:space="preserve">) provides detailed </w:t>
      </w:r>
      <w:r>
        <w:rPr>
          <w:rFonts w:ascii="Arial" w:hAnsi="Arial" w:cs="Arial"/>
          <w:iCs/>
          <w:sz w:val="24"/>
          <w:szCs w:val="24"/>
        </w:rPr>
        <w:t>information</w:t>
      </w:r>
      <w:r w:rsidRPr="006A41FF">
        <w:rPr>
          <w:rFonts w:ascii="Arial" w:hAnsi="Arial" w:cs="Arial"/>
          <w:iCs/>
          <w:sz w:val="24"/>
          <w:szCs w:val="24"/>
        </w:rPr>
        <w:t xml:space="preserve"> on how </w:t>
      </w:r>
      <w:r>
        <w:rPr>
          <w:rFonts w:ascii="Arial" w:hAnsi="Arial" w:cs="Arial"/>
          <w:iCs/>
          <w:sz w:val="24"/>
          <w:szCs w:val="24"/>
        </w:rPr>
        <w:t>the principles</w:t>
      </w:r>
      <w:r w:rsidRPr="006A41FF">
        <w:rPr>
          <w:rFonts w:ascii="Arial" w:hAnsi="Arial" w:cs="Arial"/>
          <w:iCs/>
          <w:sz w:val="24"/>
          <w:szCs w:val="24"/>
        </w:rPr>
        <w:t xml:space="preserve"> should be interpreted and implemented</w:t>
      </w:r>
      <w:r>
        <w:rPr>
          <w:rFonts w:ascii="Arial" w:hAnsi="Arial" w:cs="Arial"/>
          <w:iCs/>
          <w:sz w:val="24"/>
          <w:szCs w:val="24"/>
        </w:rPr>
        <w:t>.</w:t>
      </w:r>
    </w:p>
    <w:p w14:paraId="5FBCFC35" w14:textId="0601EAFF" w:rsidR="0004522F" w:rsidRDefault="009F15A4" w:rsidP="0004522F">
      <w:pPr>
        <w:ind w:left="360"/>
        <w:rPr>
          <w:rFonts w:ascii="Arial" w:hAnsi="Arial" w:cs="Arial"/>
          <w:iCs/>
          <w:sz w:val="24"/>
          <w:szCs w:val="24"/>
        </w:rPr>
      </w:pPr>
      <w:r>
        <w:rPr>
          <w:rFonts w:ascii="Arial" w:hAnsi="Arial" w:cs="Arial"/>
          <w:iCs/>
          <w:sz w:val="24"/>
          <w:szCs w:val="24"/>
        </w:rPr>
        <w:t xml:space="preserve">These amendments represent a reasonable and justifiable limitation on the right to privacy and reputation, which is balanced with the importance of improving community safety and reducing gambling harms.  </w:t>
      </w:r>
    </w:p>
    <w:p w14:paraId="7AD0143C" w14:textId="0884FA59" w:rsidR="00585784" w:rsidRPr="00AD2A3A" w:rsidRDefault="00585784" w:rsidP="00FC65E5">
      <w:pPr>
        <w:rPr>
          <w:rFonts w:ascii="Arial" w:hAnsi="Arial" w:cs="Arial"/>
          <w:sz w:val="24"/>
          <w:szCs w:val="24"/>
          <w:u w:val="single"/>
          <w:lang w:eastAsia="en-AU"/>
        </w:rPr>
      </w:pPr>
      <w:r w:rsidRPr="00AC3B70">
        <w:rPr>
          <w:rFonts w:ascii="Arial" w:hAnsi="Arial" w:cs="Arial"/>
          <w:iCs/>
          <w:sz w:val="24"/>
          <w:szCs w:val="24"/>
          <w:u w:val="single"/>
        </w:rPr>
        <w:t>Section 22 – Rights in criminal proceedings</w:t>
      </w:r>
      <w:r>
        <w:rPr>
          <w:rFonts w:ascii="Arial" w:hAnsi="Arial" w:cs="Arial"/>
          <w:iCs/>
          <w:sz w:val="24"/>
          <w:szCs w:val="24"/>
          <w:u w:val="single"/>
        </w:rPr>
        <w:t xml:space="preserve"> </w:t>
      </w:r>
    </w:p>
    <w:p w14:paraId="5586E7B6" w14:textId="4FFE6B79" w:rsidR="00585784" w:rsidRDefault="00585784" w:rsidP="00442B4A">
      <w:pPr>
        <w:pStyle w:val="ListParagraph"/>
        <w:numPr>
          <w:ilvl w:val="0"/>
          <w:numId w:val="8"/>
        </w:numPr>
        <w:rPr>
          <w:rFonts w:ascii="Arial" w:hAnsi="Arial" w:cs="Arial"/>
          <w:b/>
          <w:bCs/>
          <w:i/>
          <w:sz w:val="24"/>
          <w:szCs w:val="24"/>
        </w:rPr>
      </w:pPr>
      <w:r w:rsidRPr="00414921">
        <w:rPr>
          <w:rFonts w:ascii="Arial" w:hAnsi="Arial" w:cs="Arial"/>
          <w:b/>
          <w:bCs/>
          <w:i/>
          <w:sz w:val="24"/>
          <w:szCs w:val="24"/>
        </w:rPr>
        <w:t>Nature of the right and the limitation (s28</w:t>
      </w:r>
      <w:r>
        <w:rPr>
          <w:rFonts w:ascii="Arial" w:hAnsi="Arial" w:cs="Arial"/>
          <w:b/>
          <w:bCs/>
          <w:i/>
          <w:sz w:val="24"/>
          <w:szCs w:val="24"/>
        </w:rPr>
        <w:t>(2)</w:t>
      </w:r>
      <w:r w:rsidRPr="00414921">
        <w:rPr>
          <w:rFonts w:ascii="Arial" w:hAnsi="Arial" w:cs="Arial"/>
          <w:b/>
          <w:bCs/>
          <w:i/>
          <w:sz w:val="24"/>
          <w:szCs w:val="24"/>
        </w:rPr>
        <w:t>(a) and</w:t>
      </w:r>
      <w:r>
        <w:rPr>
          <w:rFonts w:ascii="Arial" w:hAnsi="Arial" w:cs="Arial"/>
          <w:b/>
          <w:bCs/>
          <w:i/>
          <w:sz w:val="24"/>
          <w:szCs w:val="24"/>
        </w:rPr>
        <w:t xml:space="preserve"> </w:t>
      </w:r>
      <w:r w:rsidRPr="00414921">
        <w:rPr>
          <w:rFonts w:ascii="Arial" w:hAnsi="Arial" w:cs="Arial"/>
          <w:b/>
          <w:bCs/>
          <w:i/>
          <w:sz w:val="24"/>
          <w:szCs w:val="24"/>
        </w:rPr>
        <w:t>(c))</w:t>
      </w:r>
    </w:p>
    <w:p w14:paraId="05E8A760" w14:textId="77777777" w:rsidR="00442B4A" w:rsidRPr="00442B4A" w:rsidRDefault="00442B4A" w:rsidP="00442B4A">
      <w:pPr>
        <w:pStyle w:val="ListParagraph"/>
        <w:ind w:left="360"/>
        <w:rPr>
          <w:rFonts w:ascii="Arial" w:hAnsi="Arial" w:cs="Arial"/>
          <w:b/>
          <w:bCs/>
          <w:i/>
          <w:sz w:val="24"/>
          <w:szCs w:val="24"/>
        </w:rPr>
      </w:pPr>
    </w:p>
    <w:p w14:paraId="79152F05" w14:textId="77777777" w:rsidR="00442B4A" w:rsidRDefault="00442B4A" w:rsidP="00442B4A">
      <w:pPr>
        <w:pStyle w:val="ListParagraph"/>
        <w:ind w:left="360"/>
        <w:rPr>
          <w:rFonts w:ascii="Arial" w:hAnsi="Arial" w:cs="Arial"/>
          <w:iCs/>
          <w:sz w:val="24"/>
          <w:szCs w:val="24"/>
        </w:rPr>
      </w:pPr>
      <w:r>
        <w:rPr>
          <w:rFonts w:ascii="Arial" w:hAnsi="Arial" w:cs="Arial"/>
          <w:iCs/>
          <w:sz w:val="24"/>
          <w:szCs w:val="24"/>
        </w:rPr>
        <w:t xml:space="preserve">Under section 22(1) of the HRA, everyone charged with a criminal offence has the right to be presumed innocent until proved guilty according to law. </w:t>
      </w:r>
    </w:p>
    <w:p w14:paraId="3CB9D531" w14:textId="77777777" w:rsidR="00442B4A" w:rsidRDefault="00442B4A" w:rsidP="00442B4A">
      <w:pPr>
        <w:pStyle w:val="ListParagraph"/>
        <w:ind w:left="360"/>
        <w:rPr>
          <w:rFonts w:ascii="Arial" w:hAnsi="Arial" w:cs="Arial"/>
          <w:iCs/>
          <w:sz w:val="24"/>
          <w:szCs w:val="24"/>
        </w:rPr>
      </w:pPr>
    </w:p>
    <w:p w14:paraId="50A86B77" w14:textId="12A0F901" w:rsidR="00C75F00" w:rsidRDefault="00442B4A" w:rsidP="00712AD4">
      <w:pPr>
        <w:pStyle w:val="ListParagraph"/>
        <w:ind w:left="360"/>
        <w:rPr>
          <w:rFonts w:ascii="Arial" w:hAnsi="Arial" w:cs="Arial"/>
          <w:iCs/>
          <w:sz w:val="24"/>
          <w:szCs w:val="24"/>
        </w:rPr>
      </w:pPr>
      <w:r w:rsidRPr="00736677">
        <w:rPr>
          <w:rFonts w:ascii="Arial" w:hAnsi="Arial" w:cs="Arial"/>
          <w:iCs/>
          <w:sz w:val="24"/>
          <w:szCs w:val="24"/>
        </w:rPr>
        <w:t xml:space="preserve">The Bill includes provisions which limit the right to be presumed innocent. </w:t>
      </w:r>
      <w:r w:rsidR="00777A91">
        <w:rPr>
          <w:rFonts w:ascii="Arial" w:hAnsi="Arial" w:cs="Arial"/>
          <w:iCs/>
          <w:sz w:val="24"/>
          <w:szCs w:val="24"/>
        </w:rPr>
        <w:t xml:space="preserve">Many </w:t>
      </w:r>
      <w:r w:rsidRPr="00736677">
        <w:rPr>
          <w:rFonts w:ascii="Arial" w:hAnsi="Arial" w:cs="Arial"/>
          <w:iCs/>
          <w:sz w:val="24"/>
          <w:szCs w:val="24"/>
        </w:rPr>
        <w:t>offences in the Bill provide for strict liability offence</w:t>
      </w:r>
      <w:r>
        <w:rPr>
          <w:rFonts w:ascii="Arial" w:hAnsi="Arial" w:cs="Arial"/>
          <w:iCs/>
          <w:sz w:val="24"/>
          <w:szCs w:val="24"/>
        </w:rPr>
        <w:t xml:space="preserve">s. </w:t>
      </w:r>
    </w:p>
    <w:p w14:paraId="262FF6CB" w14:textId="77777777" w:rsidR="00C75F00" w:rsidRDefault="00C75F00" w:rsidP="00712AD4">
      <w:pPr>
        <w:pStyle w:val="ListParagraph"/>
        <w:ind w:left="360"/>
        <w:rPr>
          <w:rFonts w:ascii="Arial" w:hAnsi="Arial" w:cs="Arial"/>
          <w:iCs/>
          <w:sz w:val="24"/>
          <w:szCs w:val="24"/>
        </w:rPr>
      </w:pPr>
    </w:p>
    <w:p w14:paraId="3F8B164F" w14:textId="19793B3A" w:rsidR="00C75F00" w:rsidRDefault="002E7F90" w:rsidP="00712AD4">
      <w:pPr>
        <w:pStyle w:val="ListParagraph"/>
        <w:ind w:left="360"/>
        <w:rPr>
          <w:rFonts w:ascii="Arial" w:hAnsi="Arial" w:cs="Arial"/>
          <w:iCs/>
          <w:sz w:val="24"/>
          <w:szCs w:val="24"/>
        </w:rPr>
      </w:pPr>
      <w:r>
        <w:rPr>
          <w:rFonts w:ascii="Arial" w:hAnsi="Arial" w:cs="Arial"/>
          <w:iCs/>
          <w:sz w:val="24"/>
          <w:szCs w:val="24"/>
        </w:rPr>
        <w:t>F</w:t>
      </w:r>
      <w:r w:rsidR="00142B87">
        <w:rPr>
          <w:rFonts w:ascii="Arial" w:hAnsi="Arial" w:cs="Arial"/>
          <w:iCs/>
          <w:sz w:val="24"/>
          <w:szCs w:val="24"/>
        </w:rPr>
        <w:t>our</w:t>
      </w:r>
      <w:r w:rsidR="00843C09">
        <w:rPr>
          <w:rFonts w:ascii="Arial" w:hAnsi="Arial" w:cs="Arial"/>
          <w:iCs/>
          <w:sz w:val="24"/>
          <w:szCs w:val="24"/>
        </w:rPr>
        <w:t xml:space="preserve"> </w:t>
      </w:r>
      <w:r w:rsidR="00442B4A" w:rsidRPr="00A71A42">
        <w:rPr>
          <w:rFonts w:ascii="Arial" w:hAnsi="Arial" w:cs="Arial"/>
          <w:iCs/>
          <w:sz w:val="24"/>
          <w:szCs w:val="24"/>
        </w:rPr>
        <w:t xml:space="preserve">offences </w:t>
      </w:r>
      <w:r w:rsidR="006349AC">
        <w:rPr>
          <w:rFonts w:ascii="Arial" w:hAnsi="Arial" w:cs="Arial"/>
          <w:iCs/>
          <w:sz w:val="24"/>
          <w:szCs w:val="24"/>
        </w:rPr>
        <w:t>(sections 67</w:t>
      </w:r>
      <w:r w:rsidR="00C87823">
        <w:rPr>
          <w:rFonts w:ascii="Arial" w:hAnsi="Arial" w:cs="Arial"/>
          <w:iCs/>
          <w:sz w:val="24"/>
          <w:szCs w:val="24"/>
        </w:rPr>
        <w:t>S</w:t>
      </w:r>
      <w:r w:rsidR="00E648D1">
        <w:rPr>
          <w:rFonts w:ascii="Arial" w:hAnsi="Arial" w:cs="Arial"/>
          <w:iCs/>
          <w:sz w:val="24"/>
          <w:szCs w:val="24"/>
        </w:rPr>
        <w:t>(1)</w:t>
      </w:r>
      <w:r w:rsidR="000E736C">
        <w:rPr>
          <w:rFonts w:ascii="Arial" w:hAnsi="Arial" w:cs="Arial"/>
          <w:iCs/>
          <w:sz w:val="24"/>
          <w:szCs w:val="24"/>
        </w:rPr>
        <w:t>, 67S</w:t>
      </w:r>
      <w:r w:rsidR="00E648D1">
        <w:rPr>
          <w:rFonts w:ascii="Arial" w:hAnsi="Arial" w:cs="Arial"/>
          <w:iCs/>
          <w:sz w:val="24"/>
          <w:szCs w:val="24"/>
        </w:rPr>
        <w:t xml:space="preserve">(3), </w:t>
      </w:r>
      <w:r w:rsidR="00843C09">
        <w:rPr>
          <w:rFonts w:ascii="Arial" w:hAnsi="Arial" w:cs="Arial"/>
          <w:iCs/>
          <w:sz w:val="24"/>
          <w:szCs w:val="24"/>
        </w:rPr>
        <w:t>67W(1) and 67W(2)</w:t>
      </w:r>
      <w:r w:rsidR="006349AC">
        <w:rPr>
          <w:rFonts w:ascii="Arial" w:hAnsi="Arial" w:cs="Arial"/>
          <w:iCs/>
          <w:sz w:val="24"/>
          <w:szCs w:val="24"/>
        </w:rPr>
        <w:t xml:space="preserve"> </w:t>
      </w:r>
      <w:r w:rsidR="00442B4A" w:rsidRPr="00A71A42">
        <w:rPr>
          <w:rFonts w:ascii="Arial" w:hAnsi="Arial" w:cs="Arial"/>
          <w:iCs/>
          <w:sz w:val="24"/>
          <w:szCs w:val="24"/>
        </w:rPr>
        <w:t>provide exemptions that allow a defence to prosecution</w:t>
      </w:r>
      <w:r w:rsidR="00843C09">
        <w:rPr>
          <w:rFonts w:ascii="Arial" w:hAnsi="Arial" w:cs="Arial"/>
          <w:iCs/>
          <w:sz w:val="24"/>
          <w:szCs w:val="24"/>
        </w:rPr>
        <w:t xml:space="preserve">. </w:t>
      </w:r>
    </w:p>
    <w:p w14:paraId="7EF0F3BC" w14:textId="77777777" w:rsidR="00022387" w:rsidRDefault="00022387" w:rsidP="00712AD4">
      <w:pPr>
        <w:pStyle w:val="ListParagraph"/>
        <w:ind w:left="360"/>
        <w:rPr>
          <w:rFonts w:ascii="Arial" w:hAnsi="Arial" w:cs="Arial"/>
          <w:iCs/>
          <w:sz w:val="24"/>
          <w:szCs w:val="24"/>
        </w:rPr>
      </w:pPr>
    </w:p>
    <w:p w14:paraId="2F5C0F1B" w14:textId="13BA8523" w:rsidR="0076335E" w:rsidRDefault="00B911DD" w:rsidP="00712AD4">
      <w:pPr>
        <w:pStyle w:val="ListParagraph"/>
        <w:ind w:left="360"/>
        <w:rPr>
          <w:rFonts w:ascii="Arial" w:hAnsi="Arial" w:cs="Arial"/>
          <w:iCs/>
          <w:sz w:val="24"/>
          <w:szCs w:val="24"/>
        </w:rPr>
      </w:pPr>
      <w:r>
        <w:rPr>
          <w:rFonts w:ascii="Arial" w:hAnsi="Arial" w:cs="Arial"/>
          <w:iCs/>
          <w:sz w:val="24"/>
          <w:szCs w:val="24"/>
        </w:rPr>
        <w:t>Two offences</w:t>
      </w:r>
      <w:r w:rsidR="00022387">
        <w:rPr>
          <w:rFonts w:ascii="Arial" w:hAnsi="Arial" w:cs="Arial"/>
          <w:iCs/>
          <w:sz w:val="24"/>
          <w:szCs w:val="24"/>
        </w:rPr>
        <w:t xml:space="preserve"> contain </w:t>
      </w:r>
      <w:r w:rsidR="006349AC">
        <w:rPr>
          <w:rFonts w:ascii="Arial" w:hAnsi="Arial" w:cs="Arial"/>
          <w:iCs/>
          <w:sz w:val="24"/>
          <w:szCs w:val="24"/>
        </w:rPr>
        <w:t>a reasonable steps defence (section 151</w:t>
      </w:r>
      <w:r w:rsidR="00465AA1">
        <w:rPr>
          <w:rFonts w:ascii="Arial" w:hAnsi="Arial" w:cs="Arial"/>
          <w:iCs/>
          <w:sz w:val="24"/>
          <w:szCs w:val="24"/>
        </w:rPr>
        <w:t>B</w:t>
      </w:r>
      <w:r w:rsidR="006349AC">
        <w:rPr>
          <w:rFonts w:ascii="Arial" w:hAnsi="Arial" w:cs="Arial"/>
          <w:iCs/>
          <w:sz w:val="24"/>
          <w:szCs w:val="24"/>
        </w:rPr>
        <w:t>(</w:t>
      </w:r>
      <w:r>
        <w:rPr>
          <w:rFonts w:ascii="Arial" w:hAnsi="Arial" w:cs="Arial"/>
          <w:iCs/>
          <w:sz w:val="24"/>
          <w:szCs w:val="24"/>
        </w:rPr>
        <w:t>2</w:t>
      </w:r>
      <w:r w:rsidR="006349AC">
        <w:rPr>
          <w:rFonts w:ascii="Arial" w:hAnsi="Arial" w:cs="Arial"/>
          <w:iCs/>
          <w:sz w:val="24"/>
          <w:szCs w:val="24"/>
        </w:rPr>
        <w:t>)</w:t>
      </w:r>
      <w:r>
        <w:rPr>
          <w:rFonts w:ascii="Arial" w:hAnsi="Arial" w:cs="Arial"/>
          <w:iCs/>
          <w:sz w:val="24"/>
          <w:szCs w:val="24"/>
        </w:rPr>
        <w:t xml:space="preserve"> and 151</w:t>
      </w:r>
      <w:r w:rsidR="00465AA1">
        <w:rPr>
          <w:rFonts w:ascii="Arial" w:hAnsi="Arial" w:cs="Arial"/>
          <w:iCs/>
          <w:sz w:val="24"/>
          <w:szCs w:val="24"/>
        </w:rPr>
        <w:t>B</w:t>
      </w:r>
      <w:r>
        <w:rPr>
          <w:rFonts w:ascii="Arial" w:hAnsi="Arial" w:cs="Arial"/>
          <w:iCs/>
          <w:sz w:val="24"/>
          <w:szCs w:val="24"/>
        </w:rPr>
        <w:t>(3)</w:t>
      </w:r>
      <w:r w:rsidR="006349AC">
        <w:rPr>
          <w:rFonts w:ascii="Arial" w:hAnsi="Arial" w:cs="Arial"/>
          <w:iCs/>
          <w:sz w:val="24"/>
          <w:szCs w:val="24"/>
        </w:rPr>
        <w:t xml:space="preserve">). </w:t>
      </w:r>
      <w:r w:rsidR="00442B4A" w:rsidRPr="00A71A42">
        <w:rPr>
          <w:rFonts w:ascii="Arial" w:hAnsi="Arial" w:cs="Arial"/>
          <w:iCs/>
          <w:sz w:val="24"/>
          <w:szCs w:val="24"/>
        </w:rPr>
        <w:t xml:space="preserve"> </w:t>
      </w:r>
    </w:p>
    <w:p w14:paraId="1C1A6714" w14:textId="77777777" w:rsidR="0076335E" w:rsidRDefault="0076335E" w:rsidP="00712AD4">
      <w:pPr>
        <w:pStyle w:val="ListParagraph"/>
        <w:ind w:left="360"/>
        <w:rPr>
          <w:rFonts w:ascii="Arial" w:hAnsi="Arial" w:cs="Arial"/>
          <w:iCs/>
          <w:sz w:val="24"/>
          <w:szCs w:val="24"/>
        </w:rPr>
      </w:pPr>
    </w:p>
    <w:p w14:paraId="2E063A35" w14:textId="7D47690C" w:rsidR="00712AD4" w:rsidRDefault="006349AC" w:rsidP="00712AD4">
      <w:pPr>
        <w:pStyle w:val="ListParagraph"/>
        <w:ind w:left="360"/>
        <w:rPr>
          <w:rFonts w:ascii="Arial" w:hAnsi="Arial" w:cs="Arial"/>
          <w:iCs/>
          <w:sz w:val="24"/>
          <w:szCs w:val="24"/>
        </w:rPr>
      </w:pPr>
      <w:r>
        <w:rPr>
          <w:rFonts w:ascii="Arial" w:hAnsi="Arial" w:cs="Arial"/>
          <w:iCs/>
          <w:sz w:val="24"/>
          <w:szCs w:val="24"/>
        </w:rPr>
        <w:lastRenderedPageBreak/>
        <w:t>I</w:t>
      </w:r>
      <w:r w:rsidR="00442B4A" w:rsidRPr="00A71A42">
        <w:rPr>
          <w:rFonts w:ascii="Arial" w:hAnsi="Arial" w:cs="Arial"/>
          <w:iCs/>
          <w:sz w:val="24"/>
          <w:szCs w:val="24"/>
        </w:rPr>
        <w:t xml:space="preserve">n these circumstances the evidential </w:t>
      </w:r>
      <w:r w:rsidR="00212E4D">
        <w:rPr>
          <w:rFonts w:ascii="Arial" w:hAnsi="Arial" w:cs="Arial"/>
          <w:iCs/>
          <w:sz w:val="24"/>
          <w:szCs w:val="24"/>
        </w:rPr>
        <w:t xml:space="preserve">or legal </w:t>
      </w:r>
      <w:r w:rsidR="00442B4A" w:rsidRPr="00A71A42">
        <w:rPr>
          <w:rFonts w:ascii="Arial" w:hAnsi="Arial" w:cs="Arial"/>
          <w:iCs/>
          <w:sz w:val="24"/>
          <w:szCs w:val="24"/>
        </w:rPr>
        <w:t>burden falls on the accused</w:t>
      </w:r>
      <w:r w:rsidR="00212E4D">
        <w:rPr>
          <w:rFonts w:ascii="Arial" w:hAnsi="Arial" w:cs="Arial"/>
          <w:iCs/>
          <w:sz w:val="24"/>
          <w:szCs w:val="24"/>
        </w:rPr>
        <w:t>,</w:t>
      </w:r>
      <w:r>
        <w:rPr>
          <w:rFonts w:ascii="Arial" w:hAnsi="Arial" w:cs="Arial"/>
          <w:iCs/>
          <w:sz w:val="24"/>
          <w:szCs w:val="24"/>
        </w:rPr>
        <w:t xml:space="preserve"> </w:t>
      </w:r>
      <w:r w:rsidR="00442B4A" w:rsidRPr="00A71A42">
        <w:rPr>
          <w:rFonts w:ascii="Arial" w:hAnsi="Arial" w:cs="Arial"/>
          <w:iCs/>
          <w:sz w:val="24"/>
          <w:szCs w:val="24"/>
        </w:rPr>
        <w:t xml:space="preserve">albeit to a lower standard of proof (see </w:t>
      </w:r>
      <w:r w:rsidR="00442B4A" w:rsidRPr="00A71A42">
        <w:rPr>
          <w:rFonts w:ascii="Arial" w:hAnsi="Arial" w:cs="Arial"/>
          <w:i/>
          <w:sz w:val="24"/>
          <w:szCs w:val="24"/>
        </w:rPr>
        <w:t>Criminal Code 2002</w:t>
      </w:r>
      <w:r w:rsidR="00442B4A" w:rsidRPr="00A71A42">
        <w:rPr>
          <w:rFonts w:ascii="Arial" w:hAnsi="Arial" w:cs="Arial"/>
          <w:iCs/>
          <w:sz w:val="24"/>
          <w:szCs w:val="24"/>
        </w:rPr>
        <w:t>, section 58).</w:t>
      </w:r>
      <w:r w:rsidR="0011557A" w:rsidRPr="0011557A">
        <w:rPr>
          <w:rFonts w:ascii="Arial" w:hAnsi="Arial" w:cs="Arial"/>
          <w:iCs/>
          <w:sz w:val="24"/>
          <w:szCs w:val="24"/>
        </w:rPr>
        <w:t xml:space="preserve"> </w:t>
      </w:r>
      <w:r w:rsidR="0011557A">
        <w:rPr>
          <w:rFonts w:ascii="Arial" w:hAnsi="Arial" w:cs="Arial"/>
          <w:iCs/>
          <w:sz w:val="24"/>
          <w:szCs w:val="24"/>
        </w:rPr>
        <w:t>The reverse burden offences shift the onus of proof to the accused to prove that the defence or excuse applies.</w:t>
      </w:r>
    </w:p>
    <w:p w14:paraId="48225E22" w14:textId="77777777" w:rsidR="00712AD4" w:rsidRDefault="00712AD4" w:rsidP="00712AD4">
      <w:pPr>
        <w:pStyle w:val="ListParagraph"/>
        <w:ind w:left="360"/>
        <w:rPr>
          <w:rFonts w:ascii="Arial" w:hAnsi="Arial" w:cs="Arial"/>
          <w:iCs/>
          <w:sz w:val="24"/>
          <w:szCs w:val="24"/>
        </w:rPr>
      </w:pPr>
    </w:p>
    <w:p w14:paraId="3712BCE6" w14:textId="30EB9E71" w:rsidR="00F41DF0" w:rsidRDefault="00712AD4" w:rsidP="00712AD4">
      <w:pPr>
        <w:pStyle w:val="ListParagraph"/>
        <w:ind w:left="360"/>
        <w:rPr>
          <w:rFonts w:ascii="Arial" w:hAnsi="Arial" w:cs="Arial"/>
          <w:iCs/>
          <w:sz w:val="24"/>
          <w:szCs w:val="24"/>
        </w:rPr>
      </w:pPr>
      <w:r w:rsidRPr="00531776">
        <w:rPr>
          <w:rFonts w:ascii="Arial" w:hAnsi="Arial" w:cs="Arial"/>
          <w:iCs/>
          <w:sz w:val="24"/>
          <w:szCs w:val="24"/>
        </w:rPr>
        <w:t>The use of strict liability elements engages and limits the right to be presumed innocent until proven guilty under section 22 of the HR</w:t>
      </w:r>
      <w:r>
        <w:rPr>
          <w:rFonts w:ascii="Arial" w:hAnsi="Arial" w:cs="Arial"/>
          <w:iCs/>
          <w:sz w:val="24"/>
          <w:szCs w:val="24"/>
        </w:rPr>
        <w:t>A</w:t>
      </w:r>
      <w:r w:rsidRPr="00531776">
        <w:rPr>
          <w:rFonts w:ascii="Arial" w:hAnsi="Arial" w:cs="Arial"/>
          <w:iCs/>
          <w:sz w:val="24"/>
          <w:szCs w:val="24"/>
        </w:rPr>
        <w:t xml:space="preserve">. The presumption of innocence means that the prosecution has the burden of proving ‘beyond reasonable doubt’ that the accused committed the charged offence, including all physical and mental elements. The scheme limits this right because it allows for the imposition of criminal liability without the need to prove fault for some elements of these offences.  </w:t>
      </w:r>
    </w:p>
    <w:p w14:paraId="713B87D3" w14:textId="77777777" w:rsidR="00712AD4" w:rsidRPr="00531776" w:rsidRDefault="00712AD4" w:rsidP="00712AD4">
      <w:pPr>
        <w:pStyle w:val="ListParagraph"/>
        <w:ind w:left="360"/>
        <w:rPr>
          <w:rFonts w:ascii="Arial" w:hAnsi="Arial" w:cs="Arial"/>
          <w:iCs/>
          <w:sz w:val="24"/>
          <w:szCs w:val="24"/>
        </w:rPr>
      </w:pPr>
    </w:p>
    <w:p w14:paraId="08D24DD2" w14:textId="3795DFE1" w:rsidR="008906E3" w:rsidRDefault="00A71A42" w:rsidP="00442B4A">
      <w:pPr>
        <w:pStyle w:val="ListParagraph"/>
        <w:ind w:left="360"/>
        <w:rPr>
          <w:rFonts w:ascii="Arial" w:hAnsi="Arial" w:cs="Arial"/>
          <w:iCs/>
          <w:sz w:val="24"/>
          <w:szCs w:val="24"/>
        </w:rPr>
      </w:pPr>
      <w:r w:rsidRPr="00531776">
        <w:rPr>
          <w:rFonts w:ascii="Arial" w:hAnsi="Arial" w:cs="Arial"/>
          <w:iCs/>
          <w:sz w:val="24"/>
          <w:szCs w:val="24"/>
        </w:rPr>
        <w:t>All</w:t>
      </w:r>
      <w:r w:rsidR="007114D1">
        <w:rPr>
          <w:rFonts w:ascii="Arial" w:hAnsi="Arial" w:cs="Arial"/>
          <w:iCs/>
          <w:sz w:val="24"/>
          <w:szCs w:val="24"/>
        </w:rPr>
        <w:t xml:space="preserve"> but </w:t>
      </w:r>
      <w:r w:rsidR="00571F60">
        <w:rPr>
          <w:rFonts w:ascii="Arial" w:hAnsi="Arial" w:cs="Arial"/>
          <w:iCs/>
          <w:sz w:val="24"/>
          <w:szCs w:val="24"/>
        </w:rPr>
        <w:t xml:space="preserve">two </w:t>
      </w:r>
      <w:r w:rsidRPr="00531776">
        <w:rPr>
          <w:rFonts w:ascii="Arial" w:hAnsi="Arial" w:cs="Arial"/>
          <w:iCs/>
          <w:sz w:val="24"/>
          <w:szCs w:val="24"/>
        </w:rPr>
        <w:t>of the strict liability offence provisions</w:t>
      </w:r>
      <w:r w:rsidR="00F41DF0" w:rsidRPr="00A71A42">
        <w:rPr>
          <w:rFonts w:ascii="Arial" w:hAnsi="Arial" w:cs="Arial"/>
          <w:iCs/>
          <w:sz w:val="24"/>
          <w:szCs w:val="24"/>
        </w:rPr>
        <w:t xml:space="preserve"> apply to licensees and would not, in most cases, engage the HRA</w:t>
      </w:r>
      <w:r w:rsidR="00F5081E">
        <w:rPr>
          <w:rFonts w:ascii="Arial" w:hAnsi="Arial" w:cs="Arial"/>
          <w:iCs/>
          <w:sz w:val="24"/>
          <w:szCs w:val="24"/>
        </w:rPr>
        <w:t>. However,</w:t>
      </w:r>
      <w:r w:rsidR="00F41DF0" w:rsidRPr="00A71A42">
        <w:rPr>
          <w:rFonts w:ascii="Arial" w:hAnsi="Arial" w:cs="Arial"/>
          <w:iCs/>
          <w:sz w:val="24"/>
          <w:szCs w:val="24"/>
        </w:rPr>
        <w:t xml:space="preserve"> this assessment considers the potential limitation of rights in criminal proceedings where a licensee operates as a sole trader. </w:t>
      </w:r>
    </w:p>
    <w:p w14:paraId="591A37E3" w14:textId="77777777" w:rsidR="008906E3" w:rsidRDefault="008906E3" w:rsidP="00442B4A">
      <w:pPr>
        <w:pStyle w:val="ListParagraph"/>
        <w:ind w:left="360"/>
        <w:rPr>
          <w:rFonts w:ascii="Arial" w:hAnsi="Arial" w:cs="Arial"/>
          <w:iCs/>
          <w:sz w:val="24"/>
          <w:szCs w:val="24"/>
        </w:rPr>
      </w:pPr>
    </w:p>
    <w:p w14:paraId="0CEB6562" w14:textId="36F53A62" w:rsidR="00220D6C" w:rsidRDefault="007114D1" w:rsidP="007B19E1">
      <w:pPr>
        <w:pStyle w:val="ListParagraph"/>
        <w:ind w:left="360"/>
        <w:rPr>
          <w:rFonts w:ascii="Arial" w:hAnsi="Arial" w:cs="Arial"/>
          <w:iCs/>
          <w:sz w:val="24"/>
          <w:szCs w:val="24"/>
        </w:rPr>
      </w:pPr>
      <w:r>
        <w:rPr>
          <w:rFonts w:ascii="Arial" w:hAnsi="Arial" w:cs="Arial"/>
          <w:iCs/>
          <w:sz w:val="24"/>
          <w:szCs w:val="24"/>
        </w:rPr>
        <w:t>The offence under section 67</w:t>
      </w:r>
      <w:r w:rsidR="008906E3">
        <w:rPr>
          <w:rFonts w:ascii="Arial" w:hAnsi="Arial" w:cs="Arial"/>
          <w:iCs/>
          <w:sz w:val="24"/>
          <w:szCs w:val="24"/>
        </w:rPr>
        <w:t>I</w:t>
      </w:r>
      <w:r w:rsidR="006349AC">
        <w:rPr>
          <w:rFonts w:ascii="Arial" w:hAnsi="Arial" w:cs="Arial"/>
          <w:iCs/>
          <w:sz w:val="24"/>
          <w:szCs w:val="24"/>
        </w:rPr>
        <w:t xml:space="preserve">(1) applies if a person </w:t>
      </w:r>
      <w:r w:rsidR="00E8416C">
        <w:rPr>
          <w:rFonts w:ascii="Arial" w:hAnsi="Arial" w:cs="Arial"/>
          <w:iCs/>
          <w:sz w:val="24"/>
          <w:szCs w:val="24"/>
        </w:rPr>
        <w:t>seeks to redeem</w:t>
      </w:r>
      <w:r w:rsidR="006349AC">
        <w:rPr>
          <w:rFonts w:ascii="Arial" w:hAnsi="Arial" w:cs="Arial"/>
          <w:iCs/>
          <w:sz w:val="24"/>
          <w:szCs w:val="24"/>
        </w:rPr>
        <w:t xml:space="preserve"> credit held on another person’s player account. </w:t>
      </w:r>
      <w:r w:rsidR="00F5081E">
        <w:rPr>
          <w:rFonts w:ascii="Arial" w:hAnsi="Arial" w:cs="Arial"/>
          <w:iCs/>
          <w:sz w:val="24"/>
          <w:szCs w:val="24"/>
        </w:rPr>
        <w:t xml:space="preserve">It would cover circumstances where a person takes active steps to redeem another person’s credit, but the </w:t>
      </w:r>
      <w:r w:rsidR="00CB3540">
        <w:rPr>
          <w:rFonts w:ascii="Arial" w:hAnsi="Arial" w:cs="Arial"/>
          <w:iCs/>
          <w:sz w:val="24"/>
          <w:szCs w:val="24"/>
        </w:rPr>
        <w:t xml:space="preserve">offence would not </w:t>
      </w:r>
      <w:r w:rsidR="00CB00FE">
        <w:rPr>
          <w:rFonts w:ascii="Arial" w:hAnsi="Arial" w:cs="Arial"/>
          <w:iCs/>
          <w:sz w:val="24"/>
          <w:szCs w:val="24"/>
        </w:rPr>
        <w:t xml:space="preserve">apply where </w:t>
      </w:r>
      <w:r w:rsidR="007B19E1">
        <w:rPr>
          <w:rFonts w:ascii="Arial" w:hAnsi="Arial" w:cs="Arial"/>
          <w:iCs/>
          <w:sz w:val="24"/>
          <w:szCs w:val="24"/>
        </w:rPr>
        <w:t>a person</w:t>
      </w:r>
      <w:r w:rsidR="00F5081E">
        <w:rPr>
          <w:rFonts w:ascii="Arial" w:hAnsi="Arial" w:cs="Arial"/>
          <w:iCs/>
          <w:sz w:val="24"/>
          <w:szCs w:val="24"/>
        </w:rPr>
        <w:t xml:space="preserve"> simply</w:t>
      </w:r>
      <w:r w:rsidR="007B19E1">
        <w:rPr>
          <w:rFonts w:ascii="Arial" w:hAnsi="Arial" w:cs="Arial"/>
          <w:iCs/>
          <w:sz w:val="24"/>
          <w:szCs w:val="24"/>
        </w:rPr>
        <w:t xml:space="preserve"> ma</w:t>
      </w:r>
      <w:r w:rsidR="00F5081E">
        <w:rPr>
          <w:rFonts w:ascii="Arial" w:hAnsi="Arial" w:cs="Arial"/>
          <w:iCs/>
          <w:sz w:val="24"/>
          <w:szCs w:val="24"/>
        </w:rPr>
        <w:t>de</w:t>
      </w:r>
      <w:r w:rsidR="00CB00FE">
        <w:rPr>
          <w:rFonts w:ascii="Arial" w:hAnsi="Arial" w:cs="Arial"/>
          <w:iCs/>
          <w:sz w:val="24"/>
          <w:szCs w:val="24"/>
        </w:rPr>
        <w:t xml:space="preserve"> </w:t>
      </w:r>
      <w:r w:rsidR="007B19E1">
        <w:rPr>
          <w:rFonts w:ascii="Arial" w:hAnsi="Arial" w:cs="Arial"/>
          <w:iCs/>
          <w:sz w:val="24"/>
          <w:szCs w:val="24"/>
        </w:rPr>
        <w:t xml:space="preserve">an inquiry at a venue about </w:t>
      </w:r>
      <w:r w:rsidR="00CB00FE">
        <w:rPr>
          <w:rFonts w:ascii="Arial" w:hAnsi="Arial" w:cs="Arial"/>
          <w:iCs/>
          <w:sz w:val="24"/>
          <w:szCs w:val="24"/>
        </w:rPr>
        <w:t>whether</w:t>
      </w:r>
      <w:r w:rsidR="0098399A">
        <w:rPr>
          <w:rFonts w:ascii="Arial" w:hAnsi="Arial" w:cs="Arial"/>
          <w:iCs/>
          <w:sz w:val="24"/>
          <w:szCs w:val="24"/>
        </w:rPr>
        <w:t xml:space="preserve"> </w:t>
      </w:r>
      <w:r w:rsidR="00985CDF">
        <w:rPr>
          <w:rFonts w:ascii="Arial" w:hAnsi="Arial" w:cs="Arial"/>
          <w:iCs/>
          <w:sz w:val="24"/>
          <w:szCs w:val="24"/>
        </w:rPr>
        <w:t>they c</w:t>
      </w:r>
      <w:r w:rsidR="007B19E1">
        <w:rPr>
          <w:rFonts w:ascii="Arial" w:hAnsi="Arial" w:cs="Arial"/>
          <w:iCs/>
          <w:sz w:val="24"/>
          <w:szCs w:val="24"/>
        </w:rPr>
        <w:t>ould</w:t>
      </w:r>
      <w:r w:rsidR="00985CDF">
        <w:rPr>
          <w:rFonts w:ascii="Arial" w:hAnsi="Arial" w:cs="Arial"/>
          <w:iCs/>
          <w:sz w:val="24"/>
          <w:szCs w:val="24"/>
        </w:rPr>
        <w:t xml:space="preserve"> redeem credit on behalf of another person. </w:t>
      </w:r>
      <w:r w:rsidR="00552764">
        <w:rPr>
          <w:rFonts w:ascii="Arial" w:hAnsi="Arial" w:cs="Arial"/>
          <w:iCs/>
          <w:sz w:val="24"/>
          <w:szCs w:val="24"/>
        </w:rPr>
        <w:t xml:space="preserve"> </w:t>
      </w:r>
    </w:p>
    <w:p w14:paraId="313B5FBB" w14:textId="77777777" w:rsidR="00220D6C" w:rsidRDefault="00220D6C" w:rsidP="00442B4A">
      <w:pPr>
        <w:pStyle w:val="ListParagraph"/>
        <w:ind w:left="360"/>
        <w:rPr>
          <w:rFonts w:ascii="Arial" w:hAnsi="Arial" w:cs="Arial"/>
          <w:iCs/>
          <w:sz w:val="24"/>
          <w:szCs w:val="24"/>
        </w:rPr>
      </w:pPr>
    </w:p>
    <w:p w14:paraId="79FB3225" w14:textId="754032D2" w:rsidR="0076335E" w:rsidRPr="00531776" w:rsidRDefault="006349AC" w:rsidP="00531776">
      <w:pPr>
        <w:pStyle w:val="ListParagraph"/>
        <w:ind w:left="360"/>
        <w:rPr>
          <w:rFonts w:ascii="Arial" w:hAnsi="Arial" w:cs="Arial"/>
          <w:iCs/>
          <w:sz w:val="24"/>
          <w:szCs w:val="24"/>
        </w:rPr>
      </w:pPr>
      <w:r>
        <w:rPr>
          <w:rFonts w:ascii="Arial" w:hAnsi="Arial" w:cs="Arial"/>
          <w:iCs/>
          <w:sz w:val="24"/>
          <w:szCs w:val="24"/>
        </w:rPr>
        <w:t xml:space="preserve">The offence under </w:t>
      </w:r>
      <w:r w:rsidR="008906E3">
        <w:rPr>
          <w:rFonts w:ascii="Arial" w:hAnsi="Arial" w:cs="Arial"/>
          <w:iCs/>
          <w:sz w:val="24"/>
          <w:szCs w:val="24"/>
        </w:rPr>
        <w:t>67I(2)</w:t>
      </w:r>
      <w:r w:rsidR="00013024">
        <w:rPr>
          <w:rFonts w:ascii="Arial" w:hAnsi="Arial" w:cs="Arial"/>
          <w:iCs/>
          <w:sz w:val="24"/>
          <w:szCs w:val="24"/>
        </w:rPr>
        <w:t xml:space="preserve"> </w:t>
      </w:r>
      <w:r w:rsidR="008906E3">
        <w:rPr>
          <w:rFonts w:ascii="Arial" w:hAnsi="Arial" w:cs="Arial"/>
          <w:iCs/>
          <w:sz w:val="24"/>
          <w:szCs w:val="24"/>
        </w:rPr>
        <w:t>applies t</w:t>
      </w:r>
      <w:r w:rsidR="007114D1">
        <w:rPr>
          <w:rFonts w:ascii="Arial" w:hAnsi="Arial" w:cs="Arial"/>
          <w:iCs/>
          <w:sz w:val="24"/>
          <w:szCs w:val="24"/>
        </w:rPr>
        <w:t>o a person if the person uses another person’s player card that is linked to another person’s player account.</w:t>
      </w:r>
      <w:r w:rsidR="008906E3">
        <w:rPr>
          <w:rFonts w:ascii="Arial" w:hAnsi="Arial" w:cs="Arial"/>
          <w:iCs/>
          <w:sz w:val="24"/>
          <w:szCs w:val="24"/>
        </w:rPr>
        <w:t xml:space="preserve"> </w:t>
      </w:r>
    </w:p>
    <w:p w14:paraId="5C8BF5F6" w14:textId="77777777" w:rsidR="0076335E" w:rsidRDefault="0076335E" w:rsidP="00442B4A">
      <w:pPr>
        <w:pStyle w:val="ListParagraph"/>
        <w:ind w:left="360"/>
        <w:rPr>
          <w:rFonts w:ascii="Arial" w:hAnsi="Arial" w:cs="Arial"/>
          <w:iCs/>
          <w:sz w:val="24"/>
          <w:szCs w:val="24"/>
        </w:rPr>
      </w:pPr>
    </w:p>
    <w:p w14:paraId="2DEB4C13" w14:textId="4173E9EE" w:rsidR="0076335E" w:rsidRPr="00F079C0" w:rsidRDefault="0076335E" w:rsidP="00442B4A">
      <w:pPr>
        <w:pStyle w:val="ListParagraph"/>
        <w:ind w:left="360"/>
        <w:rPr>
          <w:rFonts w:ascii="Arial" w:hAnsi="Arial" w:cs="Arial"/>
          <w:iCs/>
          <w:sz w:val="24"/>
          <w:szCs w:val="24"/>
        </w:rPr>
      </w:pPr>
      <w:r>
        <w:rPr>
          <w:rFonts w:ascii="Arial" w:hAnsi="Arial" w:cs="Arial"/>
          <w:iCs/>
          <w:sz w:val="24"/>
          <w:szCs w:val="24"/>
        </w:rPr>
        <w:t>T</w:t>
      </w:r>
      <w:r w:rsidR="00F41DF0">
        <w:rPr>
          <w:rFonts w:ascii="Arial" w:hAnsi="Arial" w:cs="Arial"/>
          <w:iCs/>
          <w:sz w:val="24"/>
          <w:szCs w:val="24"/>
        </w:rPr>
        <w:t xml:space="preserve">he following table lists the offences in the Bill which engage section 22(1) and the nature of the limitation each creates on rights in criminal proceedings. </w:t>
      </w:r>
    </w:p>
    <w:p w14:paraId="322F38DC" w14:textId="77777777" w:rsidR="00442B4A" w:rsidRDefault="00442B4A" w:rsidP="00531776">
      <w:pPr>
        <w:pStyle w:val="ListParagraph"/>
        <w:ind w:left="360"/>
      </w:pPr>
    </w:p>
    <w:tbl>
      <w:tblPr>
        <w:tblStyle w:val="TableGrid"/>
        <w:tblW w:w="8930" w:type="dxa"/>
        <w:tblInd w:w="279" w:type="dxa"/>
        <w:tblLook w:val="04A0" w:firstRow="1" w:lastRow="0" w:firstColumn="1" w:lastColumn="0" w:noHBand="0" w:noVBand="1"/>
      </w:tblPr>
      <w:tblGrid>
        <w:gridCol w:w="3544"/>
        <w:gridCol w:w="5386"/>
      </w:tblGrid>
      <w:tr w:rsidR="00442B4A" w:rsidRPr="00497CA7" w14:paraId="6F49019E" w14:textId="77777777" w:rsidTr="001F25C8">
        <w:trPr>
          <w:cantSplit/>
          <w:trHeight w:val="20"/>
        </w:trPr>
        <w:tc>
          <w:tcPr>
            <w:tcW w:w="3544" w:type="dxa"/>
          </w:tcPr>
          <w:p w14:paraId="2FB28E8C" w14:textId="77777777" w:rsidR="00442B4A" w:rsidRPr="00497CA7" w:rsidRDefault="00442B4A" w:rsidP="001F25C8">
            <w:pPr>
              <w:spacing w:after="0" w:line="280" w:lineRule="atLeast"/>
              <w:rPr>
                <w:rFonts w:ascii="Arial" w:hAnsi="Arial" w:cs="Arial"/>
                <w:b/>
                <w:bCs/>
              </w:rPr>
            </w:pPr>
            <w:r w:rsidRPr="00497CA7">
              <w:rPr>
                <w:rFonts w:ascii="Arial" w:hAnsi="Arial" w:cs="Arial"/>
                <w:b/>
                <w:bCs/>
              </w:rPr>
              <w:t>Section</w:t>
            </w:r>
          </w:p>
          <w:p w14:paraId="7013556B" w14:textId="77777777" w:rsidR="00442B4A" w:rsidRPr="00497CA7" w:rsidRDefault="00442B4A" w:rsidP="001F25C8">
            <w:pPr>
              <w:spacing w:after="0" w:line="280" w:lineRule="atLeast"/>
              <w:rPr>
                <w:rFonts w:ascii="Arial" w:hAnsi="Arial" w:cs="Arial"/>
                <w:b/>
                <w:bCs/>
              </w:rPr>
            </w:pPr>
          </w:p>
        </w:tc>
        <w:tc>
          <w:tcPr>
            <w:tcW w:w="5386" w:type="dxa"/>
          </w:tcPr>
          <w:p w14:paraId="30C0CB6E" w14:textId="77777777" w:rsidR="00442B4A" w:rsidRPr="00497CA7" w:rsidRDefault="00442B4A" w:rsidP="001F25C8">
            <w:pPr>
              <w:spacing w:after="0" w:line="280" w:lineRule="atLeast"/>
              <w:rPr>
                <w:rFonts w:ascii="Arial" w:hAnsi="Arial" w:cs="Arial"/>
                <w:b/>
                <w:bCs/>
              </w:rPr>
            </w:pPr>
            <w:r w:rsidRPr="00497CA7">
              <w:rPr>
                <w:rFonts w:ascii="Arial" w:hAnsi="Arial" w:cs="Arial"/>
                <w:b/>
                <w:bCs/>
              </w:rPr>
              <w:t>Nature of the limitation</w:t>
            </w:r>
          </w:p>
        </w:tc>
      </w:tr>
      <w:tr w:rsidR="00FD1CE7" w:rsidRPr="00497CA7" w14:paraId="44F9BEB8" w14:textId="77777777" w:rsidTr="001F25C8">
        <w:trPr>
          <w:cantSplit/>
          <w:trHeight w:val="20"/>
        </w:trPr>
        <w:tc>
          <w:tcPr>
            <w:tcW w:w="3544" w:type="dxa"/>
            <w:vMerge w:val="restart"/>
          </w:tcPr>
          <w:p w14:paraId="69717029" w14:textId="71FDC30C" w:rsidR="00FD1CE7" w:rsidRPr="00497CA7" w:rsidRDefault="00FD1CE7" w:rsidP="001F25C8">
            <w:pPr>
              <w:spacing w:after="0" w:line="280" w:lineRule="atLeast"/>
              <w:rPr>
                <w:rFonts w:ascii="Arial" w:hAnsi="Arial" w:cs="Arial"/>
              </w:rPr>
            </w:pPr>
            <w:r w:rsidRPr="00497CA7">
              <w:rPr>
                <w:rFonts w:ascii="Arial" w:hAnsi="Arial" w:cs="Arial"/>
              </w:rPr>
              <w:t>Section 67B</w:t>
            </w:r>
          </w:p>
          <w:p w14:paraId="71645B4C" w14:textId="77777777" w:rsidR="00FD1CE7" w:rsidRPr="00497CA7" w:rsidRDefault="00FD1CE7" w:rsidP="001F25C8">
            <w:pPr>
              <w:spacing w:after="0" w:line="280" w:lineRule="atLeast"/>
              <w:rPr>
                <w:rFonts w:ascii="Arial" w:hAnsi="Arial" w:cs="Arial"/>
              </w:rPr>
            </w:pPr>
          </w:p>
          <w:p w14:paraId="1524ADC7" w14:textId="791CC37C" w:rsidR="00FD1CE7" w:rsidRPr="00497CA7" w:rsidRDefault="00FD1CE7" w:rsidP="001F25C8">
            <w:pPr>
              <w:spacing w:after="0" w:line="280" w:lineRule="atLeast"/>
              <w:rPr>
                <w:rFonts w:ascii="Arial" w:hAnsi="Arial" w:cs="Arial"/>
              </w:rPr>
            </w:pPr>
            <w:r w:rsidRPr="00497CA7">
              <w:rPr>
                <w:rFonts w:ascii="Arial" w:hAnsi="Arial" w:cs="Arial"/>
              </w:rPr>
              <w:t>Licensees must have approved account-based gaming system</w:t>
            </w:r>
          </w:p>
          <w:p w14:paraId="61AB989B" w14:textId="77777777" w:rsidR="00FD1CE7" w:rsidRPr="00497CA7" w:rsidRDefault="00FD1CE7" w:rsidP="001F25C8">
            <w:pPr>
              <w:spacing w:after="0" w:line="280" w:lineRule="atLeast"/>
              <w:rPr>
                <w:rFonts w:ascii="Arial" w:hAnsi="Arial" w:cs="Arial"/>
              </w:rPr>
            </w:pPr>
          </w:p>
          <w:p w14:paraId="1D035258" w14:textId="77777777" w:rsidR="00FD1CE7" w:rsidRPr="00497CA7" w:rsidRDefault="00FD1CE7" w:rsidP="001F25C8">
            <w:pPr>
              <w:spacing w:after="0" w:line="280" w:lineRule="atLeast"/>
              <w:rPr>
                <w:rFonts w:ascii="Arial" w:hAnsi="Arial" w:cs="Arial"/>
              </w:rPr>
            </w:pPr>
          </w:p>
          <w:p w14:paraId="0F875771" w14:textId="1376C358" w:rsidR="00FD1CE7" w:rsidRPr="00497CA7" w:rsidRDefault="00FD1CE7" w:rsidP="001F25C8">
            <w:pPr>
              <w:spacing w:after="0" w:line="280" w:lineRule="atLeast"/>
              <w:rPr>
                <w:rFonts w:ascii="Arial" w:hAnsi="Arial" w:cs="Arial"/>
              </w:rPr>
            </w:pPr>
          </w:p>
        </w:tc>
        <w:tc>
          <w:tcPr>
            <w:tcW w:w="5386" w:type="dxa"/>
          </w:tcPr>
          <w:p w14:paraId="331854DA" w14:textId="5A3177DD" w:rsidR="00FD1CE7" w:rsidRDefault="00FD1CE7" w:rsidP="001F25C8">
            <w:pPr>
              <w:spacing w:after="0" w:line="280" w:lineRule="atLeast"/>
              <w:rPr>
                <w:rFonts w:ascii="Arial" w:hAnsi="Arial" w:cs="Arial"/>
              </w:rPr>
            </w:pPr>
            <w:r>
              <w:rPr>
                <w:rFonts w:ascii="Arial" w:hAnsi="Arial" w:cs="Arial"/>
              </w:rPr>
              <w:t>Sub-section (1)</w:t>
            </w:r>
          </w:p>
          <w:p w14:paraId="495301D9" w14:textId="77777777" w:rsidR="00FD1CE7" w:rsidRDefault="00FD1CE7" w:rsidP="001F25C8">
            <w:pPr>
              <w:spacing w:after="0" w:line="280" w:lineRule="atLeast"/>
              <w:rPr>
                <w:rFonts w:ascii="Arial" w:hAnsi="Arial" w:cs="Arial"/>
              </w:rPr>
            </w:pPr>
          </w:p>
          <w:p w14:paraId="2310A4B8" w14:textId="745C46F5" w:rsidR="00FD1CE7" w:rsidRPr="00497CA7" w:rsidRDefault="00FD1CE7" w:rsidP="001F25C8">
            <w:pPr>
              <w:spacing w:after="0" w:line="280" w:lineRule="atLeast"/>
              <w:rPr>
                <w:rFonts w:ascii="Arial" w:hAnsi="Arial" w:cs="Arial"/>
              </w:rPr>
            </w:pPr>
            <w:r w:rsidRPr="00497CA7">
              <w:rPr>
                <w:rFonts w:ascii="Arial" w:hAnsi="Arial" w:cs="Arial"/>
              </w:rPr>
              <w:t>Provides for an offence for</w:t>
            </w:r>
            <w:r>
              <w:rPr>
                <w:rFonts w:ascii="Arial" w:hAnsi="Arial" w:cs="Arial"/>
              </w:rPr>
              <w:t xml:space="preserve"> a licensee if a gaming machine</w:t>
            </w:r>
            <w:r w:rsidRPr="00497CA7">
              <w:rPr>
                <w:rFonts w:ascii="Arial" w:hAnsi="Arial" w:cs="Arial"/>
              </w:rPr>
              <w:t xml:space="preserve"> </w:t>
            </w:r>
            <w:r>
              <w:rPr>
                <w:rFonts w:ascii="Arial" w:hAnsi="Arial" w:cs="Arial"/>
              </w:rPr>
              <w:t>is operated on the licensee’s authorised premises and the gaming machine</w:t>
            </w:r>
            <w:r w:rsidRPr="00497CA7">
              <w:rPr>
                <w:rFonts w:ascii="Arial" w:hAnsi="Arial" w:cs="Arial"/>
              </w:rPr>
              <w:t xml:space="preserve"> is not connected to an account-based gaming system approved by the commission</w:t>
            </w:r>
            <w:r>
              <w:rPr>
                <w:rFonts w:ascii="Arial" w:hAnsi="Arial" w:cs="Arial"/>
              </w:rPr>
              <w:t xml:space="preserve"> under 69</w:t>
            </w:r>
            <w:r w:rsidRPr="00497CA7">
              <w:rPr>
                <w:rFonts w:ascii="Arial" w:hAnsi="Arial" w:cs="Arial"/>
              </w:rPr>
              <w:t xml:space="preserve">. </w:t>
            </w:r>
          </w:p>
          <w:p w14:paraId="21ECBA53" w14:textId="77777777" w:rsidR="00FD1CE7" w:rsidRPr="00497CA7" w:rsidRDefault="00FD1CE7" w:rsidP="001F25C8">
            <w:pPr>
              <w:spacing w:after="0" w:line="280" w:lineRule="atLeast"/>
              <w:rPr>
                <w:rFonts w:ascii="Arial" w:hAnsi="Arial" w:cs="Arial"/>
              </w:rPr>
            </w:pPr>
          </w:p>
          <w:p w14:paraId="69A209B2" w14:textId="131B243C" w:rsidR="00FD1CE7" w:rsidRDefault="00FD1CE7" w:rsidP="001F25C8">
            <w:pPr>
              <w:spacing w:after="0" w:line="280" w:lineRule="atLeast"/>
              <w:rPr>
                <w:rFonts w:ascii="Arial" w:hAnsi="Arial" w:cs="Arial"/>
              </w:rPr>
            </w:pPr>
            <w:r w:rsidRPr="00497CA7">
              <w:rPr>
                <w:rFonts w:ascii="Arial" w:hAnsi="Arial" w:cs="Arial"/>
              </w:rPr>
              <w:t>This offence is a strict liability offence.</w:t>
            </w:r>
            <w:r>
              <w:rPr>
                <w:rFonts w:ascii="Arial" w:hAnsi="Arial" w:cs="Arial"/>
              </w:rPr>
              <w:t xml:space="preserve"> </w:t>
            </w:r>
          </w:p>
          <w:p w14:paraId="0DDF2777" w14:textId="16E1D5F2" w:rsidR="00FD1CE7" w:rsidRPr="00497CA7" w:rsidRDefault="00FD1CE7" w:rsidP="001F25C8">
            <w:pPr>
              <w:spacing w:after="0" w:line="280" w:lineRule="atLeast"/>
              <w:rPr>
                <w:rFonts w:ascii="Arial" w:hAnsi="Arial" w:cs="Arial"/>
              </w:rPr>
            </w:pPr>
          </w:p>
        </w:tc>
      </w:tr>
      <w:tr w:rsidR="00FD1CE7" w:rsidRPr="00497CA7" w14:paraId="3AED6466" w14:textId="77777777" w:rsidTr="001F25C8">
        <w:trPr>
          <w:cantSplit/>
          <w:trHeight w:val="20"/>
        </w:trPr>
        <w:tc>
          <w:tcPr>
            <w:tcW w:w="3544" w:type="dxa"/>
            <w:vMerge/>
          </w:tcPr>
          <w:p w14:paraId="2B891B10" w14:textId="77777777" w:rsidR="00FD1CE7" w:rsidRPr="00497CA7" w:rsidRDefault="00FD1CE7" w:rsidP="001F25C8">
            <w:pPr>
              <w:spacing w:after="0" w:line="280" w:lineRule="atLeast"/>
              <w:rPr>
                <w:rFonts w:ascii="Arial" w:hAnsi="Arial" w:cs="Arial"/>
              </w:rPr>
            </w:pPr>
          </w:p>
        </w:tc>
        <w:tc>
          <w:tcPr>
            <w:tcW w:w="5386" w:type="dxa"/>
          </w:tcPr>
          <w:p w14:paraId="2BC4A80B" w14:textId="77777777" w:rsidR="00FD1CE7" w:rsidRDefault="00FD1CE7" w:rsidP="001F25C8">
            <w:pPr>
              <w:spacing w:after="0" w:line="280" w:lineRule="atLeast"/>
              <w:rPr>
                <w:rFonts w:ascii="Arial" w:hAnsi="Arial" w:cs="Arial"/>
              </w:rPr>
            </w:pPr>
            <w:r>
              <w:rPr>
                <w:rFonts w:ascii="Arial" w:hAnsi="Arial" w:cs="Arial"/>
              </w:rPr>
              <w:t xml:space="preserve">Sub-section (2) </w:t>
            </w:r>
          </w:p>
          <w:p w14:paraId="315A638A" w14:textId="77777777" w:rsidR="00FD1CE7" w:rsidRDefault="00FD1CE7" w:rsidP="001F25C8">
            <w:pPr>
              <w:spacing w:after="0" w:line="280" w:lineRule="atLeast"/>
              <w:rPr>
                <w:rFonts w:ascii="Arial" w:hAnsi="Arial" w:cs="Arial"/>
              </w:rPr>
            </w:pPr>
          </w:p>
          <w:p w14:paraId="0CEBFD81" w14:textId="28B36054" w:rsidR="00FD1CE7" w:rsidRDefault="00FD1CE7" w:rsidP="001F25C8">
            <w:pPr>
              <w:spacing w:after="0" w:line="280" w:lineRule="atLeast"/>
              <w:rPr>
                <w:rFonts w:ascii="Arial" w:hAnsi="Arial" w:cs="Arial"/>
              </w:rPr>
            </w:pPr>
            <w:r>
              <w:rPr>
                <w:rFonts w:ascii="Arial" w:hAnsi="Arial" w:cs="Arial"/>
              </w:rPr>
              <w:t xml:space="preserve">Provides for an offence </w:t>
            </w:r>
            <w:r w:rsidRPr="00497CA7">
              <w:rPr>
                <w:rFonts w:ascii="Arial" w:hAnsi="Arial" w:cs="Arial"/>
              </w:rPr>
              <w:t>for</w:t>
            </w:r>
            <w:r>
              <w:rPr>
                <w:rFonts w:ascii="Arial" w:hAnsi="Arial" w:cs="Arial"/>
              </w:rPr>
              <w:t xml:space="preserve"> a licensee if a gaming machine</w:t>
            </w:r>
            <w:r w:rsidRPr="00497CA7">
              <w:rPr>
                <w:rFonts w:ascii="Arial" w:hAnsi="Arial" w:cs="Arial"/>
              </w:rPr>
              <w:t xml:space="preserve"> </w:t>
            </w:r>
            <w:r>
              <w:rPr>
                <w:rFonts w:ascii="Arial" w:hAnsi="Arial" w:cs="Arial"/>
              </w:rPr>
              <w:t>is operated on the licensee’s authorised premises and the gaming machine</w:t>
            </w:r>
            <w:r w:rsidRPr="00497CA7">
              <w:rPr>
                <w:rFonts w:ascii="Arial" w:hAnsi="Arial" w:cs="Arial"/>
              </w:rPr>
              <w:t xml:space="preserve"> is connected to an account-based gaming system approved by the commission</w:t>
            </w:r>
            <w:r>
              <w:rPr>
                <w:rFonts w:ascii="Arial" w:hAnsi="Arial" w:cs="Arial"/>
              </w:rPr>
              <w:t xml:space="preserve"> under 69 but is not operating as per that approval. </w:t>
            </w:r>
          </w:p>
          <w:p w14:paraId="70867D6E" w14:textId="77777777" w:rsidR="00FD1CE7" w:rsidRDefault="00FD1CE7" w:rsidP="001F25C8">
            <w:pPr>
              <w:spacing w:after="0" w:line="280" w:lineRule="atLeast"/>
              <w:rPr>
                <w:rFonts w:ascii="Arial" w:hAnsi="Arial" w:cs="Arial"/>
              </w:rPr>
            </w:pPr>
          </w:p>
          <w:p w14:paraId="333E4285" w14:textId="77777777" w:rsidR="00FD1CE7" w:rsidRDefault="00FD1CE7" w:rsidP="00FD1CE7">
            <w:pPr>
              <w:spacing w:after="0" w:line="280" w:lineRule="atLeast"/>
              <w:rPr>
                <w:rFonts w:ascii="Arial" w:hAnsi="Arial" w:cs="Arial"/>
              </w:rPr>
            </w:pPr>
            <w:r w:rsidRPr="00497CA7">
              <w:rPr>
                <w:rFonts w:ascii="Arial" w:hAnsi="Arial" w:cs="Arial"/>
              </w:rPr>
              <w:t>This offence is a strict liability offence.</w:t>
            </w:r>
            <w:r>
              <w:rPr>
                <w:rFonts w:ascii="Arial" w:hAnsi="Arial" w:cs="Arial"/>
              </w:rPr>
              <w:t xml:space="preserve"> </w:t>
            </w:r>
          </w:p>
          <w:p w14:paraId="45DFEF55" w14:textId="637A1734" w:rsidR="00FD1CE7" w:rsidRPr="00497CA7" w:rsidRDefault="00FD1CE7" w:rsidP="001F25C8">
            <w:pPr>
              <w:spacing w:after="0" w:line="280" w:lineRule="atLeast"/>
              <w:rPr>
                <w:rFonts w:ascii="Arial" w:hAnsi="Arial" w:cs="Arial"/>
              </w:rPr>
            </w:pPr>
          </w:p>
        </w:tc>
      </w:tr>
      <w:tr w:rsidR="00C209EF" w:rsidRPr="00497CA7" w14:paraId="377E9A15" w14:textId="77777777" w:rsidTr="00531776">
        <w:trPr>
          <w:cantSplit/>
          <w:trHeight w:val="1846"/>
        </w:trPr>
        <w:tc>
          <w:tcPr>
            <w:tcW w:w="3544" w:type="dxa"/>
          </w:tcPr>
          <w:p w14:paraId="4947F91F" w14:textId="77777777" w:rsidR="00C209EF" w:rsidRPr="00497CA7" w:rsidRDefault="00C209EF" w:rsidP="00C209EF">
            <w:pPr>
              <w:spacing w:after="0" w:line="280" w:lineRule="atLeast"/>
              <w:rPr>
                <w:rFonts w:ascii="Arial" w:hAnsi="Arial" w:cs="Arial"/>
              </w:rPr>
            </w:pPr>
            <w:r w:rsidRPr="00497CA7">
              <w:rPr>
                <w:rFonts w:ascii="Arial" w:hAnsi="Arial" w:cs="Arial"/>
              </w:rPr>
              <w:t>Section 67E</w:t>
            </w:r>
            <w:r>
              <w:rPr>
                <w:rFonts w:ascii="Arial" w:hAnsi="Arial" w:cs="Arial"/>
              </w:rPr>
              <w:t>(1)</w:t>
            </w:r>
          </w:p>
          <w:p w14:paraId="692CE856" w14:textId="77777777" w:rsidR="00C209EF" w:rsidRPr="00497CA7" w:rsidRDefault="00C209EF" w:rsidP="00C209EF">
            <w:pPr>
              <w:spacing w:after="0" w:line="280" w:lineRule="atLeast"/>
              <w:rPr>
                <w:rFonts w:ascii="Arial" w:hAnsi="Arial" w:cs="Arial"/>
              </w:rPr>
            </w:pPr>
          </w:p>
          <w:p w14:paraId="4C37D959" w14:textId="1BE69C07" w:rsidR="00C209EF" w:rsidRPr="00497CA7" w:rsidRDefault="00C209EF" w:rsidP="00C209EF">
            <w:pPr>
              <w:spacing w:after="0" w:line="280" w:lineRule="atLeast"/>
              <w:rPr>
                <w:rFonts w:ascii="Arial" w:hAnsi="Arial" w:cs="Arial"/>
              </w:rPr>
            </w:pPr>
            <w:r w:rsidRPr="00497CA7">
              <w:rPr>
                <w:rFonts w:ascii="Arial" w:hAnsi="Arial" w:cs="Arial"/>
              </w:rPr>
              <w:t xml:space="preserve">Licensees must verify identity of account holders </w:t>
            </w:r>
          </w:p>
        </w:tc>
        <w:tc>
          <w:tcPr>
            <w:tcW w:w="5386" w:type="dxa"/>
          </w:tcPr>
          <w:p w14:paraId="1A8E7675" w14:textId="77777777" w:rsidR="00C209EF" w:rsidRPr="00497CA7" w:rsidRDefault="00C209EF" w:rsidP="00C209EF">
            <w:pPr>
              <w:spacing w:after="0" w:line="280" w:lineRule="atLeast"/>
              <w:rPr>
                <w:rFonts w:ascii="Arial" w:hAnsi="Arial" w:cs="Arial"/>
              </w:rPr>
            </w:pPr>
            <w:r w:rsidRPr="00497CA7">
              <w:rPr>
                <w:rFonts w:ascii="Arial" w:hAnsi="Arial" w:cs="Arial"/>
              </w:rPr>
              <w:t xml:space="preserve">Provides for an offence </w:t>
            </w:r>
            <w:r>
              <w:rPr>
                <w:rFonts w:ascii="Arial" w:hAnsi="Arial" w:cs="Arial"/>
              </w:rPr>
              <w:t xml:space="preserve">for a licensee </w:t>
            </w:r>
            <w:r w:rsidRPr="00497CA7">
              <w:rPr>
                <w:rFonts w:ascii="Arial" w:hAnsi="Arial" w:cs="Arial"/>
              </w:rPr>
              <w:t xml:space="preserve">if a licensee establishes a player account for a person and did not verify the identity of said person in a way approved by the commission. </w:t>
            </w:r>
          </w:p>
          <w:p w14:paraId="66632046" w14:textId="77777777" w:rsidR="00C209EF" w:rsidRPr="00497CA7" w:rsidRDefault="00C209EF" w:rsidP="00C209EF">
            <w:pPr>
              <w:spacing w:after="0" w:line="280" w:lineRule="atLeast"/>
              <w:rPr>
                <w:rFonts w:ascii="Arial" w:hAnsi="Arial" w:cs="Arial"/>
              </w:rPr>
            </w:pPr>
          </w:p>
          <w:p w14:paraId="03D9F8FF" w14:textId="77777777" w:rsidR="00C209EF" w:rsidRPr="00497CA7" w:rsidRDefault="00C209EF" w:rsidP="00C209EF">
            <w:pPr>
              <w:spacing w:after="0" w:line="280" w:lineRule="atLeast"/>
              <w:rPr>
                <w:rFonts w:ascii="Arial" w:hAnsi="Arial" w:cs="Arial"/>
              </w:rPr>
            </w:pPr>
            <w:r w:rsidRPr="00497CA7">
              <w:rPr>
                <w:rFonts w:ascii="Arial" w:hAnsi="Arial" w:cs="Arial"/>
              </w:rPr>
              <w:t xml:space="preserve">This offence is a strict liability offence. </w:t>
            </w:r>
          </w:p>
          <w:p w14:paraId="35CDE95E" w14:textId="03C1FC0A" w:rsidR="00C209EF" w:rsidRPr="00497CA7" w:rsidRDefault="00C209EF" w:rsidP="00C209EF">
            <w:pPr>
              <w:spacing w:after="0" w:line="280" w:lineRule="atLeast"/>
              <w:rPr>
                <w:rFonts w:ascii="Arial" w:hAnsi="Arial" w:cs="Arial"/>
              </w:rPr>
            </w:pPr>
            <w:r w:rsidRPr="00497CA7">
              <w:rPr>
                <w:rFonts w:ascii="Arial" w:hAnsi="Arial" w:cs="Arial"/>
              </w:rPr>
              <w:t xml:space="preserve"> </w:t>
            </w:r>
          </w:p>
        </w:tc>
      </w:tr>
      <w:tr w:rsidR="00C209EF" w:rsidRPr="00497CA7" w14:paraId="6AFC27BF" w14:textId="77777777" w:rsidTr="001F25C8">
        <w:trPr>
          <w:cantSplit/>
          <w:trHeight w:val="1741"/>
        </w:trPr>
        <w:tc>
          <w:tcPr>
            <w:tcW w:w="3544" w:type="dxa"/>
          </w:tcPr>
          <w:p w14:paraId="139CD637" w14:textId="2C1202E8" w:rsidR="00C209EF" w:rsidRPr="00497CA7" w:rsidRDefault="00C209EF" w:rsidP="00C209EF">
            <w:pPr>
              <w:spacing w:after="0" w:line="280" w:lineRule="atLeast"/>
              <w:rPr>
                <w:rFonts w:ascii="Arial" w:hAnsi="Arial" w:cs="Arial"/>
              </w:rPr>
            </w:pPr>
            <w:r w:rsidRPr="00497CA7">
              <w:rPr>
                <w:rFonts w:ascii="Arial" w:hAnsi="Arial" w:cs="Arial"/>
              </w:rPr>
              <w:t xml:space="preserve">Section </w:t>
            </w:r>
            <w:r>
              <w:rPr>
                <w:rFonts w:ascii="Arial" w:hAnsi="Arial" w:cs="Arial"/>
              </w:rPr>
              <w:t>67F</w:t>
            </w:r>
            <w:r w:rsidR="0018305F">
              <w:rPr>
                <w:rFonts w:ascii="Arial" w:hAnsi="Arial" w:cs="Arial"/>
              </w:rPr>
              <w:t>(1)</w:t>
            </w:r>
          </w:p>
          <w:p w14:paraId="02D2C4E4" w14:textId="77777777" w:rsidR="00C209EF" w:rsidRPr="00497CA7" w:rsidRDefault="00C209EF" w:rsidP="00C209EF">
            <w:pPr>
              <w:spacing w:after="0" w:line="280" w:lineRule="atLeast"/>
              <w:rPr>
                <w:rFonts w:ascii="Arial" w:hAnsi="Arial" w:cs="Arial"/>
              </w:rPr>
            </w:pPr>
          </w:p>
          <w:p w14:paraId="58D81A54" w14:textId="7EAA7D15" w:rsidR="00C209EF" w:rsidRPr="00497CA7" w:rsidRDefault="00C209EF" w:rsidP="00C209EF">
            <w:pPr>
              <w:spacing w:after="0" w:line="280" w:lineRule="atLeast"/>
              <w:rPr>
                <w:rFonts w:ascii="Arial" w:hAnsi="Arial" w:cs="Arial"/>
              </w:rPr>
            </w:pPr>
            <w:r w:rsidRPr="00497CA7">
              <w:rPr>
                <w:rFonts w:ascii="Arial" w:hAnsi="Arial" w:cs="Arial"/>
              </w:rPr>
              <w:t>Player account must be used</w:t>
            </w:r>
          </w:p>
        </w:tc>
        <w:tc>
          <w:tcPr>
            <w:tcW w:w="5386" w:type="dxa"/>
          </w:tcPr>
          <w:p w14:paraId="7CBEFD77" w14:textId="77777777" w:rsidR="00C209EF" w:rsidRPr="00497CA7" w:rsidRDefault="00C209EF" w:rsidP="00C209EF">
            <w:pPr>
              <w:spacing w:after="0" w:line="280" w:lineRule="atLeast"/>
              <w:rPr>
                <w:rFonts w:ascii="Arial" w:hAnsi="Arial" w:cs="Arial"/>
              </w:rPr>
            </w:pPr>
            <w:r w:rsidRPr="00497CA7">
              <w:rPr>
                <w:rFonts w:ascii="Arial" w:hAnsi="Arial" w:cs="Arial"/>
              </w:rPr>
              <w:t>Provides for an offence</w:t>
            </w:r>
            <w:r>
              <w:rPr>
                <w:rFonts w:ascii="Arial" w:hAnsi="Arial" w:cs="Arial"/>
              </w:rPr>
              <w:t xml:space="preserve"> for a licensee</w:t>
            </w:r>
            <w:r w:rsidRPr="00497CA7">
              <w:rPr>
                <w:rFonts w:ascii="Arial" w:hAnsi="Arial" w:cs="Arial"/>
              </w:rPr>
              <w:t xml:space="preserve"> if a person operate</w:t>
            </w:r>
            <w:r>
              <w:rPr>
                <w:rFonts w:ascii="Arial" w:hAnsi="Arial" w:cs="Arial"/>
              </w:rPr>
              <w:t>s</w:t>
            </w:r>
            <w:r w:rsidRPr="00497CA7">
              <w:rPr>
                <w:rFonts w:ascii="Arial" w:hAnsi="Arial" w:cs="Arial"/>
              </w:rPr>
              <w:t xml:space="preserve"> a gaming machine and that person does not hold a player account with the licensee. </w:t>
            </w:r>
          </w:p>
          <w:p w14:paraId="460EC1E1" w14:textId="77777777" w:rsidR="00C209EF" w:rsidRPr="00497CA7" w:rsidRDefault="00C209EF" w:rsidP="00C209EF">
            <w:pPr>
              <w:spacing w:after="0" w:line="280" w:lineRule="atLeast"/>
              <w:rPr>
                <w:rFonts w:ascii="Arial" w:hAnsi="Arial" w:cs="Arial"/>
              </w:rPr>
            </w:pPr>
          </w:p>
          <w:p w14:paraId="25312F9C" w14:textId="35C02E18" w:rsidR="00C209EF" w:rsidRPr="00497CA7" w:rsidRDefault="00C209EF" w:rsidP="00C209EF">
            <w:pPr>
              <w:spacing w:after="0" w:line="280" w:lineRule="atLeast"/>
              <w:rPr>
                <w:rFonts w:ascii="Arial" w:hAnsi="Arial" w:cs="Arial"/>
              </w:rPr>
            </w:pPr>
            <w:r w:rsidRPr="00497CA7">
              <w:rPr>
                <w:rFonts w:ascii="Arial" w:hAnsi="Arial" w:cs="Arial"/>
              </w:rPr>
              <w:t xml:space="preserve">This offence is a strict liability offence. </w:t>
            </w:r>
          </w:p>
        </w:tc>
      </w:tr>
      <w:tr w:rsidR="00E17B10" w:rsidRPr="00497CA7" w14:paraId="58A2341A" w14:textId="77777777" w:rsidTr="001F25C8">
        <w:trPr>
          <w:cantSplit/>
          <w:trHeight w:val="1741"/>
        </w:trPr>
        <w:tc>
          <w:tcPr>
            <w:tcW w:w="3544" w:type="dxa"/>
            <w:vMerge w:val="restart"/>
          </w:tcPr>
          <w:p w14:paraId="5F3B8DAE" w14:textId="77777777" w:rsidR="00E17B10" w:rsidRDefault="00E17B10" w:rsidP="00C209EF">
            <w:pPr>
              <w:spacing w:after="0" w:line="280" w:lineRule="atLeast"/>
              <w:rPr>
                <w:rFonts w:ascii="Arial" w:hAnsi="Arial" w:cs="Arial"/>
              </w:rPr>
            </w:pPr>
            <w:r>
              <w:rPr>
                <w:rFonts w:ascii="Arial" w:hAnsi="Arial" w:cs="Arial"/>
              </w:rPr>
              <w:t>Section 67G</w:t>
            </w:r>
          </w:p>
          <w:p w14:paraId="3D66C554" w14:textId="77777777" w:rsidR="00E17B10" w:rsidRDefault="00E17B10" w:rsidP="00C209EF">
            <w:pPr>
              <w:spacing w:after="0" w:line="280" w:lineRule="atLeast"/>
              <w:rPr>
                <w:rFonts w:ascii="Arial" w:hAnsi="Arial" w:cs="Arial"/>
              </w:rPr>
            </w:pPr>
          </w:p>
          <w:p w14:paraId="07E61C08" w14:textId="77777777" w:rsidR="00E17B10" w:rsidRPr="00497CA7" w:rsidRDefault="00E17B10" w:rsidP="00ED3911">
            <w:pPr>
              <w:spacing w:after="0" w:line="280" w:lineRule="atLeast"/>
              <w:rPr>
                <w:rFonts w:ascii="Arial" w:hAnsi="Arial" w:cs="Arial"/>
              </w:rPr>
            </w:pPr>
            <w:r>
              <w:rPr>
                <w:rFonts w:ascii="Arial" w:hAnsi="Arial" w:cs="Arial"/>
              </w:rPr>
              <w:t xml:space="preserve">Players cards must be used to play machines </w:t>
            </w:r>
          </w:p>
          <w:p w14:paraId="26A4CB72" w14:textId="610E2BF6" w:rsidR="00E17B10" w:rsidRPr="00497CA7" w:rsidRDefault="00E17B10" w:rsidP="00C209EF">
            <w:pPr>
              <w:spacing w:after="0" w:line="280" w:lineRule="atLeast"/>
              <w:rPr>
                <w:rFonts w:ascii="Arial" w:hAnsi="Arial" w:cs="Arial"/>
              </w:rPr>
            </w:pPr>
          </w:p>
        </w:tc>
        <w:tc>
          <w:tcPr>
            <w:tcW w:w="5386" w:type="dxa"/>
          </w:tcPr>
          <w:p w14:paraId="5A80D95A" w14:textId="77777777" w:rsidR="00E17B10" w:rsidRPr="00497CA7" w:rsidRDefault="00E17B10" w:rsidP="00ED3911">
            <w:pPr>
              <w:spacing w:after="0" w:line="280" w:lineRule="atLeast"/>
              <w:rPr>
                <w:rFonts w:ascii="Arial" w:hAnsi="Arial" w:cs="Arial"/>
              </w:rPr>
            </w:pPr>
            <w:r w:rsidRPr="00497CA7">
              <w:rPr>
                <w:rFonts w:ascii="Arial" w:hAnsi="Arial" w:cs="Arial"/>
              </w:rPr>
              <w:t xml:space="preserve">Sub-section (1) </w:t>
            </w:r>
          </w:p>
          <w:p w14:paraId="1C1F28EA" w14:textId="77777777" w:rsidR="00E17B10" w:rsidRPr="00497CA7" w:rsidRDefault="00E17B10" w:rsidP="00ED3911">
            <w:pPr>
              <w:spacing w:after="0" w:line="280" w:lineRule="atLeast"/>
              <w:rPr>
                <w:rFonts w:ascii="Arial" w:hAnsi="Arial" w:cs="Arial"/>
              </w:rPr>
            </w:pPr>
          </w:p>
          <w:p w14:paraId="72715CF7" w14:textId="77777777" w:rsidR="00E17B10" w:rsidRPr="00497CA7" w:rsidRDefault="00E17B10" w:rsidP="00ED3911">
            <w:pPr>
              <w:spacing w:after="0" w:line="280" w:lineRule="atLeast"/>
              <w:rPr>
                <w:rFonts w:ascii="Arial" w:hAnsi="Arial" w:cs="Arial"/>
              </w:rPr>
            </w:pPr>
            <w:r w:rsidRPr="00497CA7">
              <w:rPr>
                <w:rFonts w:ascii="Arial" w:hAnsi="Arial" w:cs="Arial"/>
              </w:rPr>
              <w:t xml:space="preserve">Provides for an offence </w:t>
            </w:r>
            <w:r>
              <w:rPr>
                <w:rFonts w:ascii="Arial" w:hAnsi="Arial" w:cs="Arial"/>
              </w:rPr>
              <w:t xml:space="preserve">for a licensee </w:t>
            </w:r>
            <w:r w:rsidRPr="00497CA7">
              <w:rPr>
                <w:rFonts w:ascii="Arial" w:hAnsi="Arial" w:cs="Arial"/>
              </w:rPr>
              <w:t>if a person operates a gaming machine and the person does not use a player card</w:t>
            </w:r>
            <w:r>
              <w:rPr>
                <w:rFonts w:ascii="Arial" w:hAnsi="Arial" w:cs="Arial"/>
              </w:rPr>
              <w:t xml:space="preserve">. </w:t>
            </w:r>
          </w:p>
          <w:p w14:paraId="02086645" w14:textId="77777777" w:rsidR="00E17B10" w:rsidRPr="00497CA7" w:rsidRDefault="00E17B10" w:rsidP="00ED3911">
            <w:pPr>
              <w:spacing w:after="0" w:line="280" w:lineRule="atLeast"/>
              <w:rPr>
                <w:rFonts w:ascii="Arial" w:hAnsi="Arial" w:cs="Arial"/>
              </w:rPr>
            </w:pPr>
          </w:p>
          <w:p w14:paraId="17482655" w14:textId="77777777" w:rsidR="00E17B10" w:rsidRPr="00497CA7" w:rsidRDefault="00E17B10" w:rsidP="00ED3911">
            <w:pPr>
              <w:spacing w:after="0" w:line="280" w:lineRule="atLeast"/>
              <w:rPr>
                <w:rFonts w:ascii="Arial" w:hAnsi="Arial" w:cs="Arial"/>
              </w:rPr>
            </w:pPr>
            <w:r w:rsidRPr="00497CA7">
              <w:rPr>
                <w:rFonts w:ascii="Arial" w:hAnsi="Arial" w:cs="Arial"/>
              </w:rPr>
              <w:t xml:space="preserve">This offence is a strict liability offence. </w:t>
            </w:r>
          </w:p>
          <w:p w14:paraId="1B1D9322" w14:textId="127BB321" w:rsidR="00E17B10" w:rsidRPr="00497CA7" w:rsidRDefault="00E17B10" w:rsidP="00C209EF">
            <w:pPr>
              <w:spacing w:after="0" w:line="280" w:lineRule="atLeast"/>
              <w:rPr>
                <w:rFonts w:ascii="Arial" w:hAnsi="Arial" w:cs="Arial"/>
              </w:rPr>
            </w:pPr>
          </w:p>
        </w:tc>
      </w:tr>
      <w:tr w:rsidR="00E17B10" w:rsidRPr="00497CA7" w14:paraId="3DC827E7" w14:textId="77777777" w:rsidTr="001F25C8">
        <w:trPr>
          <w:cantSplit/>
          <w:trHeight w:val="1741"/>
        </w:trPr>
        <w:tc>
          <w:tcPr>
            <w:tcW w:w="3544" w:type="dxa"/>
            <w:vMerge/>
          </w:tcPr>
          <w:p w14:paraId="40C48390" w14:textId="77777777" w:rsidR="00E17B10" w:rsidRPr="00497CA7" w:rsidRDefault="00E17B10" w:rsidP="00C209EF">
            <w:pPr>
              <w:spacing w:after="0" w:line="280" w:lineRule="atLeast"/>
              <w:rPr>
                <w:rFonts w:ascii="Arial" w:hAnsi="Arial" w:cs="Arial"/>
              </w:rPr>
            </w:pPr>
          </w:p>
        </w:tc>
        <w:tc>
          <w:tcPr>
            <w:tcW w:w="5386" w:type="dxa"/>
          </w:tcPr>
          <w:p w14:paraId="2FB794CE" w14:textId="77777777" w:rsidR="00E17B10" w:rsidRPr="00497CA7" w:rsidRDefault="00E17B10" w:rsidP="00E17B10">
            <w:pPr>
              <w:spacing w:after="0" w:line="280" w:lineRule="atLeast"/>
              <w:rPr>
                <w:rFonts w:ascii="Arial" w:hAnsi="Arial" w:cs="Arial"/>
              </w:rPr>
            </w:pPr>
            <w:r w:rsidRPr="00497CA7">
              <w:rPr>
                <w:rFonts w:ascii="Arial" w:hAnsi="Arial" w:cs="Arial"/>
              </w:rPr>
              <w:t>Sub-section (2)</w:t>
            </w:r>
          </w:p>
          <w:p w14:paraId="30D47BC7" w14:textId="77777777" w:rsidR="00E17B10" w:rsidRPr="00497CA7" w:rsidRDefault="00E17B10" w:rsidP="00E17B10">
            <w:pPr>
              <w:spacing w:after="0" w:line="280" w:lineRule="atLeast"/>
              <w:rPr>
                <w:rFonts w:ascii="Arial" w:hAnsi="Arial" w:cs="Arial"/>
              </w:rPr>
            </w:pPr>
          </w:p>
          <w:p w14:paraId="629D4C12" w14:textId="77777777" w:rsidR="00E17B10" w:rsidRPr="00497CA7" w:rsidRDefault="00E17B10" w:rsidP="00E17B10">
            <w:pPr>
              <w:spacing w:after="0" w:line="280" w:lineRule="atLeast"/>
              <w:rPr>
                <w:rFonts w:ascii="Arial" w:hAnsi="Arial" w:cs="Arial"/>
              </w:rPr>
            </w:pPr>
            <w:r w:rsidRPr="00497CA7">
              <w:rPr>
                <w:rFonts w:ascii="Arial" w:hAnsi="Arial" w:cs="Arial"/>
              </w:rPr>
              <w:t xml:space="preserve">Provides for an offence </w:t>
            </w:r>
            <w:r>
              <w:rPr>
                <w:rFonts w:ascii="Arial" w:hAnsi="Arial" w:cs="Arial"/>
              </w:rPr>
              <w:t xml:space="preserve">for a licensee </w:t>
            </w:r>
            <w:r w:rsidRPr="00497CA7">
              <w:rPr>
                <w:rFonts w:ascii="Arial" w:hAnsi="Arial" w:cs="Arial"/>
              </w:rPr>
              <w:t>if a person operate</w:t>
            </w:r>
            <w:r>
              <w:rPr>
                <w:rFonts w:ascii="Arial" w:hAnsi="Arial" w:cs="Arial"/>
              </w:rPr>
              <w:t>s</w:t>
            </w:r>
            <w:r w:rsidRPr="00497CA7">
              <w:rPr>
                <w:rFonts w:ascii="Arial" w:hAnsi="Arial" w:cs="Arial"/>
              </w:rPr>
              <w:t xml:space="preserve"> a gaming machine using a player card and the card is not linked to the person’s player account. </w:t>
            </w:r>
          </w:p>
          <w:p w14:paraId="477C3305" w14:textId="77777777" w:rsidR="00E17B10" w:rsidRPr="00497CA7" w:rsidRDefault="00E17B10" w:rsidP="00E17B10">
            <w:pPr>
              <w:spacing w:after="0" w:line="280" w:lineRule="atLeast"/>
              <w:rPr>
                <w:rFonts w:ascii="Arial" w:hAnsi="Arial" w:cs="Arial"/>
              </w:rPr>
            </w:pPr>
          </w:p>
          <w:p w14:paraId="02BE108D" w14:textId="77777777" w:rsidR="00E17B10" w:rsidRPr="00497CA7" w:rsidRDefault="00E17B10" w:rsidP="00E17B10">
            <w:pPr>
              <w:spacing w:after="0" w:line="280" w:lineRule="atLeast"/>
              <w:rPr>
                <w:rFonts w:ascii="Arial" w:hAnsi="Arial" w:cs="Arial"/>
              </w:rPr>
            </w:pPr>
            <w:r w:rsidRPr="00497CA7">
              <w:rPr>
                <w:rFonts w:ascii="Arial" w:hAnsi="Arial" w:cs="Arial"/>
              </w:rPr>
              <w:t xml:space="preserve">This offence is a strict liability offence. </w:t>
            </w:r>
          </w:p>
          <w:p w14:paraId="4DF7FD95" w14:textId="77777777" w:rsidR="00E17B10" w:rsidRPr="00497CA7" w:rsidRDefault="00E17B10" w:rsidP="00C209EF">
            <w:pPr>
              <w:spacing w:after="0" w:line="280" w:lineRule="atLeast"/>
              <w:rPr>
                <w:rFonts w:ascii="Arial" w:hAnsi="Arial" w:cs="Arial"/>
              </w:rPr>
            </w:pPr>
          </w:p>
        </w:tc>
      </w:tr>
      <w:tr w:rsidR="00E17B10" w:rsidRPr="00497CA7" w14:paraId="6FEE3EF3" w14:textId="77777777" w:rsidTr="001F25C8">
        <w:trPr>
          <w:cantSplit/>
          <w:trHeight w:val="1741"/>
        </w:trPr>
        <w:tc>
          <w:tcPr>
            <w:tcW w:w="3544" w:type="dxa"/>
            <w:vMerge/>
          </w:tcPr>
          <w:p w14:paraId="57C9E0C8" w14:textId="77777777" w:rsidR="00E17B10" w:rsidRPr="00497CA7" w:rsidRDefault="00E17B10" w:rsidP="00C209EF">
            <w:pPr>
              <w:spacing w:after="0" w:line="280" w:lineRule="atLeast"/>
              <w:rPr>
                <w:rFonts w:ascii="Arial" w:hAnsi="Arial" w:cs="Arial"/>
              </w:rPr>
            </w:pPr>
          </w:p>
        </w:tc>
        <w:tc>
          <w:tcPr>
            <w:tcW w:w="5386" w:type="dxa"/>
          </w:tcPr>
          <w:p w14:paraId="0FB82939" w14:textId="77777777" w:rsidR="00E17B10" w:rsidRDefault="00E17B10" w:rsidP="00E17B10">
            <w:pPr>
              <w:spacing w:after="0" w:line="280" w:lineRule="atLeast"/>
              <w:rPr>
                <w:rFonts w:ascii="Arial" w:hAnsi="Arial" w:cs="Arial"/>
              </w:rPr>
            </w:pPr>
            <w:r>
              <w:rPr>
                <w:rFonts w:ascii="Arial" w:hAnsi="Arial" w:cs="Arial"/>
              </w:rPr>
              <w:t>Sub-section (3)</w:t>
            </w:r>
          </w:p>
          <w:p w14:paraId="7C6DC1C3" w14:textId="77777777" w:rsidR="00172AD2" w:rsidRPr="00497CA7" w:rsidRDefault="00172AD2" w:rsidP="00172AD2">
            <w:pPr>
              <w:spacing w:after="0" w:line="280" w:lineRule="atLeast"/>
              <w:rPr>
                <w:rFonts w:ascii="Arial" w:hAnsi="Arial" w:cs="Arial"/>
              </w:rPr>
            </w:pPr>
          </w:p>
          <w:p w14:paraId="19AF46AF" w14:textId="77777777" w:rsidR="00172AD2" w:rsidRPr="00497CA7" w:rsidRDefault="00172AD2" w:rsidP="00172AD2">
            <w:pPr>
              <w:spacing w:after="0" w:line="280" w:lineRule="atLeast"/>
              <w:rPr>
                <w:rFonts w:ascii="Arial" w:hAnsi="Arial" w:cs="Arial"/>
              </w:rPr>
            </w:pPr>
            <w:r w:rsidRPr="00497CA7">
              <w:rPr>
                <w:rFonts w:ascii="Arial" w:hAnsi="Arial" w:cs="Arial"/>
              </w:rPr>
              <w:t>Provides for an offence</w:t>
            </w:r>
            <w:r>
              <w:rPr>
                <w:rFonts w:ascii="Arial" w:hAnsi="Arial" w:cs="Arial"/>
              </w:rPr>
              <w:t xml:space="preserve"> for a licensee</w:t>
            </w:r>
            <w:r w:rsidRPr="00497CA7">
              <w:rPr>
                <w:rFonts w:ascii="Arial" w:hAnsi="Arial" w:cs="Arial"/>
              </w:rPr>
              <w:t xml:space="preserve"> if a person operates a gaming machine using a player card and the card was not issued by the licensee</w:t>
            </w:r>
            <w:r>
              <w:rPr>
                <w:rFonts w:ascii="Arial" w:hAnsi="Arial" w:cs="Arial"/>
              </w:rPr>
              <w:t xml:space="preserve"> at the authorised premises or at other authorised premises operated by the licensee</w:t>
            </w:r>
            <w:r w:rsidRPr="00497CA7">
              <w:rPr>
                <w:rFonts w:ascii="Arial" w:hAnsi="Arial" w:cs="Arial"/>
              </w:rPr>
              <w:t xml:space="preserve">. </w:t>
            </w:r>
          </w:p>
          <w:p w14:paraId="74377054" w14:textId="77777777" w:rsidR="00172AD2" w:rsidRPr="00497CA7" w:rsidRDefault="00172AD2" w:rsidP="00172AD2">
            <w:pPr>
              <w:spacing w:after="0" w:line="280" w:lineRule="atLeast"/>
              <w:rPr>
                <w:rFonts w:ascii="Arial" w:hAnsi="Arial" w:cs="Arial"/>
              </w:rPr>
            </w:pPr>
          </w:p>
          <w:p w14:paraId="0DDD2EAB" w14:textId="77777777" w:rsidR="00172AD2" w:rsidRPr="00497CA7" w:rsidRDefault="00172AD2" w:rsidP="00172AD2">
            <w:pPr>
              <w:spacing w:after="0" w:line="280" w:lineRule="atLeast"/>
              <w:rPr>
                <w:rFonts w:ascii="Arial" w:hAnsi="Arial" w:cs="Arial"/>
              </w:rPr>
            </w:pPr>
            <w:r w:rsidRPr="00497CA7">
              <w:rPr>
                <w:rFonts w:ascii="Arial" w:hAnsi="Arial" w:cs="Arial"/>
              </w:rPr>
              <w:t xml:space="preserve">This offence is a strict liability offence. </w:t>
            </w:r>
          </w:p>
          <w:p w14:paraId="76C147D9" w14:textId="485E0143" w:rsidR="00E17B10" w:rsidRPr="00497CA7" w:rsidRDefault="00E17B10" w:rsidP="00172AD2">
            <w:pPr>
              <w:spacing w:after="0" w:line="280" w:lineRule="atLeast"/>
              <w:rPr>
                <w:rFonts w:ascii="Arial" w:hAnsi="Arial" w:cs="Arial"/>
              </w:rPr>
            </w:pPr>
          </w:p>
        </w:tc>
      </w:tr>
      <w:tr w:rsidR="00491205" w:rsidRPr="00497CA7" w14:paraId="47413796" w14:textId="77777777" w:rsidTr="001F25C8">
        <w:trPr>
          <w:cantSplit/>
          <w:trHeight w:val="1741"/>
        </w:trPr>
        <w:tc>
          <w:tcPr>
            <w:tcW w:w="3544" w:type="dxa"/>
            <w:vMerge w:val="restart"/>
          </w:tcPr>
          <w:p w14:paraId="0401615D" w14:textId="63BCBAA5" w:rsidR="00491205" w:rsidRPr="00497CA7" w:rsidRDefault="00491205" w:rsidP="00C209EF">
            <w:pPr>
              <w:spacing w:after="0" w:line="280" w:lineRule="atLeast"/>
              <w:rPr>
                <w:rFonts w:ascii="Arial" w:hAnsi="Arial" w:cs="Arial"/>
              </w:rPr>
            </w:pPr>
            <w:r w:rsidRPr="00497CA7">
              <w:rPr>
                <w:rFonts w:ascii="Arial" w:hAnsi="Arial" w:cs="Arial"/>
              </w:rPr>
              <w:t xml:space="preserve">Section </w:t>
            </w:r>
            <w:r>
              <w:rPr>
                <w:rFonts w:ascii="Arial" w:hAnsi="Arial" w:cs="Arial"/>
              </w:rPr>
              <w:t>67H</w:t>
            </w:r>
          </w:p>
          <w:p w14:paraId="28763D37" w14:textId="77777777" w:rsidR="00491205" w:rsidRDefault="00491205" w:rsidP="00C209EF">
            <w:pPr>
              <w:spacing w:after="0" w:line="280" w:lineRule="atLeast"/>
              <w:rPr>
                <w:rFonts w:ascii="Arial" w:hAnsi="Arial" w:cs="Arial"/>
              </w:rPr>
            </w:pPr>
          </w:p>
          <w:p w14:paraId="68EDC88A" w14:textId="77777777" w:rsidR="00491205" w:rsidRPr="00497CA7" w:rsidRDefault="00491205" w:rsidP="00C209EF">
            <w:pPr>
              <w:spacing w:after="0" w:line="280" w:lineRule="atLeast"/>
              <w:rPr>
                <w:rFonts w:ascii="Arial" w:hAnsi="Arial" w:cs="Arial"/>
              </w:rPr>
            </w:pPr>
            <w:r>
              <w:rPr>
                <w:rFonts w:ascii="Arial" w:hAnsi="Arial" w:cs="Arial"/>
              </w:rPr>
              <w:t>Multiple player accounts and cards prohibited</w:t>
            </w:r>
          </w:p>
          <w:p w14:paraId="1CD77AAD" w14:textId="77777777" w:rsidR="00491205" w:rsidRPr="00497CA7" w:rsidRDefault="00491205" w:rsidP="00C209EF">
            <w:pPr>
              <w:spacing w:after="0" w:line="280" w:lineRule="atLeast"/>
              <w:rPr>
                <w:rFonts w:ascii="Arial" w:hAnsi="Arial" w:cs="Arial"/>
              </w:rPr>
            </w:pPr>
          </w:p>
          <w:p w14:paraId="2046B4B7" w14:textId="34EFDC4C" w:rsidR="00491205" w:rsidRPr="00497CA7" w:rsidRDefault="00491205" w:rsidP="00ED3911">
            <w:pPr>
              <w:spacing w:after="0" w:line="280" w:lineRule="atLeast"/>
              <w:rPr>
                <w:rFonts w:ascii="Arial" w:hAnsi="Arial" w:cs="Arial"/>
              </w:rPr>
            </w:pPr>
          </w:p>
        </w:tc>
        <w:tc>
          <w:tcPr>
            <w:tcW w:w="5386" w:type="dxa"/>
          </w:tcPr>
          <w:p w14:paraId="792C7067" w14:textId="6D0C4CDA" w:rsidR="00491205" w:rsidRDefault="00491205" w:rsidP="00C209EF">
            <w:pPr>
              <w:spacing w:after="0" w:line="280" w:lineRule="atLeast"/>
              <w:rPr>
                <w:rFonts w:ascii="Arial" w:hAnsi="Arial" w:cs="Arial"/>
              </w:rPr>
            </w:pPr>
            <w:r>
              <w:rPr>
                <w:rFonts w:ascii="Arial" w:hAnsi="Arial" w:cs="Arial"/>
              </w:rPr>
              <w:t>Sub-section (1)</w:t>
            </w:r>
          </w:p>
          <w:p w14:paraId="15ECA0CF" w14:textId="77777777" w:rsidR="00491205" w:rsidRDefault="00491205" w:rsidP="00C209EF">
            <w:pPr>
              <w:spacing w:after="0" w:line="280" w:lineRule="atLeast"/>
              <w:rPr>
                <w:rFonts w:ascii="Arial" w:hAnsi="Arial" w:cs="Arial"/>
              </w:rPr>
            </w:pPr>
          </w:p>
          <w:p w14:paraId="571C9775" w14:textId="2260DDDF" w:rsidR="00491205" w:rsidRPr="007F7D34" w:rsidRDefault="00491205" w:rsidP="00C209EF">
            <w:pPr>
              <w:spacing w:after="0" w:line="280" w:lineRule="atLeast"/>
              <w:rPr>
                <w:rFonts w:ascii="Arial" w:hAnsi="Arial" w:cs="Arial"/>
              </w:rPr>
            </w:pPr>
            <w:r w:rsidRPr="007F7D34">
              <w:rPr>
                <w:rFonts w:ascii="Arial" w:hAnsi="Arial" w:cs="Arial"/>
              </w:rPr>
              <w:t xml:space="preserve">Provides for an offence if </w:t>
            </w:r>
            <w:r>
              <w:rPr>
                <w:rFonts w:ascii="Arial" w:hAnsi="Arial" w:cs="Arial"/>
              </w:rPr>
              <w:t>a</w:t>
            </w:r>
            <w:r w:rsidRPr="007F7D34">
              <w:rPr>
                <w:rFonts w:ascii="Arial" w:hAnsi="Arial" w:cs="Arial"/>
              </w:rPr>
              <w:t xml:space="preserve"> licensee opens more than </w:t>
            </w:r>
            <w:r>
              <w:rPr>
                <w:rFonts w:ascii="Arial" w:hAnsi="Arial" w:cs="Arial"/>
              </w:rPr>
              <w:t xml:space="preserve">one </w:t>
            </w:r>
            <w:r w:rsidRPr="007F7D34">
              <w:rPr>
                <w:rFonts w:ascii="Arial" w:hAnsi="Arial" w:cs="Arial"/>
              </w:rPr>
              <w:t>player account for the same account-based system.</w:t>
            </w:r>
          </w:p>
          <w:p w14:paraId="538F9B2F" w14:textId="29D11BE3" w:rsidR="00491205" w:rsidRPr="00497CA7" w:rsidRDefault="00491205" w:rsidP="00C209EF">
            <w:pPr>
              <w:spacing w:after="0" w:line="280" w:lineRule="atLeast"/>
              <w:rPr>
                <w:rFonts w:ascii="Arial" w:hAnsi="Arial" w:cs="Arial"/>
              </w:rPr>
            </w:pPr>
          </w:p>
        </w:tc>
      </w:tr>
      <w:tr w:rsidR="00491205" w:rsidRPr="00497CA7" w14:paraId="36449840" w14:textId="77777777" w:rsidTr="001F25C8">
        <w:trPr>
          <w:cantSplit/>
          <w:trHeight w:val="20"/>
        </w:trPr>
        <w:tc>
          <w:tcPr>
            <w:tcW w:w="3544" w:type="dxa"/>
            <w:vMerge/>
          </w:tcPr>
          <w:p w14:paraId="6D8F495B" w14:textId="30D23355" w:rsidR="00491205" w:rsidRPr="00497CA7" w:rsidRDefault="00491205" w:rsidP="00ED3911">
            <w:pPr>
              <w:spacing w:after="0" w:line="280" w:lineRule="atLeast"/>
              <w:rPr>
                <w:rFonts w:ascii="Arial" w:hAnsi="Arial" w:cs="Arial"/>
              </w:rPr>
            </w:pPr>
          </w:p>
        </w:tc>
        <w:tc>
          <w:tcPr>
            <w:tcW w:w="5386" w:type="dxa"/>
          </w:tcPr>
          <w:p w14:paraId="01B09C7F" w14:textId="6949018B" w:rsidR="00491205" w:rsidRDefault="00491205" w:rsidP="00C209EF">
            <w:pPr>
              <w:spacing w:after="0" w:line="280" w:lineRule="atLeast"/>
              <w:rPr>
                <w:rFonts w:ascii="Arial" w:hAnsi="Arial" w:cs="Arial"/>
              </w:rPr>
            </w:pPr>
            <w:r>
              <w:rPr>
                <w:rFonts w:ascii="Arial" w:hAnsi="Arial" w:cs="Arial"/>
              </w:rPr>
              <w:t>Sub-section (2)</w:t>
            </w:r>
          </w:p>
          <w:p w14:paraId="1E8C29FF" w14:textId="77777777" w:rsidR="00491205" w:rsidRDefault="00491205" w:rsidP="00C209EF">
            <w:pPr>
              <w:spacing w:after="0" w:line="280" w:lineRule="atLeast"/>
              <w:rPr>
                <w:rFonts w:ascii="Arial" w:hAnsi="Arial" w:cs="Arial"/>
              </w:rPr>
            </w:pPr>
          </w:p>
          <w:p w14:paraId="5DC1846D" w14:textId="77777777" w:rsidR="00491205" w:rsidRDefault="00491205" w:rsidP="00491205">
            <w:pPr>
              <w:spacing w:after="0" w:line="280" w:lineRule="atLeast"/>
              <w:rPr>
                <w:rFonts w:ascii="Arial" w:hAnsi="Arial" w:cs="Arial"/>
              </w:rPr>
            </w:pPr>
            <w:r>
              <w:rPr>
                <w:rFonts w:ascii="Arial" w:hAnsi="Arial" w:cs="Arial"/>
              </w:rPr>
              <w:t xml:space="preserve">Provides for an offence if a licensee issues a player card, and the person already holds a card for the same system. </w:t>
            </w:r>
          </w:p>
          <w:p w14:paraId="64023172" w14:textId="77777777" w:rsidR="00491205" w:rsidRDefault="00491205" w:rsidP="00491205">
            <w:pPr>
              <w:spacing w:after="0" w:line="280" w:lineRule="atLeast"/>
              <w:rPr>
                <w:rFonts w:ascii="Arial" w:hAnsi="Arial" w:cs="Arial"/>
              </w:rPr>
            </w:pPr>
          </w:p>
          <w:p w14:paraId="432FD92D" w14:textId="77777777" w:rsidR="00491205" w:rsidRPr="00497CA7" w:rsidRDefault="00491205" w:rsidP="00491205">
            <w:pPr>
              <w:spacing w:after="0" w:line="280" w:lineRule="atLeast"/>
              <w:rPr>
                <w:rFonts w:ascii="Arial" w:hAnsi="Arial" w:cs="Arial"/>
              </w:rPr>
            </w:pPr>
            <w:r w:rsidRPr="00497CA7">
              <w:rPr>
                <w:rFonts w:ascii="Arial" w:hAnsi="Arial" w:cs="Arial"/>
              </w:rPr>
              <w:t xml:space="preserve">This offence is a strict liability offence. </w:t>
            </w:r>
          </w:p>
          <w:p w14:paraId="3E35EFFD" w14:textId="60252E24" w:rsidR="00491205" w:rsidRPr="00497CA7" w:rsidRDefault="00491205" w:rsidP="00ED3911">
            <w:pPr>
              <w:spacing w:after="0" w:line="280" w:lineRule="atLeast"/>
              <w:rPr>
                <w:rFonts w:ascii="Arial" w:hAnsi="Arial" w:cs="Arial"/>
              </w:rPr>
            </w:pPr>
          </w:p>
        </w:tc>
      </w:tr>
      <w:tr w:rsidR="00DA3351" w:rsidRPr="00497CA7" w14:paraId="21C432DD" w14:textId="77777777" w:rsidTr="00A20603">
        <w:trPr>
          <w:cantSplit/>
          <w:trHeight w:val="1835"/>
        </w:trPr>
        <w:tc>
          <w:tcPr>
            <w:tcW w:w="3544" w:type="dxa"/>
            <w:vMerge w:val="restart"/>
          </w:tcPr>
          <w:p w14:paraId="4D632675" w14:textId="328B39C6" w:rsidR="00DA3351" w:rsidRDefault="00DA3351" w:rsidP="00C209EF">
            <w:pPr>
              <w:spacing w:after="0" w:line="280" w:lineRule="atLeast"/>
              <w:rPr>
                <w:rFonts w:ascii="Arial" w:hAnsi="Arial" w:cs="Arial"/>
              </w:rPr>
            </w:pPr>
            <w:r>
              <w:rPr>
                <w:rFonts w:ascii="Arial" w:hAnsi="Arial" w:cs="Arial"/>
              </w:rPr>
              <w:t>Section 67I</w:t>
            </w:r>
          </w:p>
          <w:p w14:paraId="2BB00E24" w14:textId="77777777" w:rsidR="00DA3351" w:rsidRDefault="00DA3351" w:rsidP="00C209EF">
            <w:pPr>
              <w:spacing w:after="0" w:line="280" w:lineRule="atLeast"/>
              <w:rPr>
                <w:rFonts w:ascii="Arial" w:hAnsi="Arial" w:cs="Arial"/>
              </w:rPr>
            </w:pPr>
          </w:p>
          <w:p w14:paraId="557DA018" w14:textId="02FE1787" w:rsidR="00DA3351" w:rsidRDefault="00DA3351" w:rsidP="00C209EF">
            <w:pPr>
              <w:spacing w:after="0" w:line="280" w:lineRule="atLeast"/>
              <w:rPr>
                <w:rFonts w:ascii="Arial" w:hAnsi="Arial" w:cs="Arial"/>
              </w:rPr>
            </w:pPr>
            <w:r>
              <w:rPr>
                <w:rFonts w:ascii="Arial" w:hAnsi="Arial" w:cs="Arial"/>
              </w:rPr>
              <w:t xml:space="preserve">Using another person’s player account or card prohibited </w:t>
            </w:r>
          </w:p>
        </w:tc>
        <w:tc>
          <w:tcPr>
            <w:tcW w:w="5386" w:type="dxa"/>
          </w:tcPr>
          <w:p w14:paraId="216BB417" w14:textId="77777777" w:rsidR="00DA3351" w:rsidRDefault="00DA3351" w:rsidP="00C209EF">
            <w:pPr>
              <w:spacing w:after="0" w:line="280" w:lineRule="atLeast"/>
              <w:rPr>
                <w:rFonts w:ascii="Arial" w:hAnsi="Arial" w:cs="Arial"/>
              </w:rPr>
            </w:pPr>
            <w:r>
              <w:rPr>
                <w:rFonts w:ascii="Arial" w:hAnsi="Arial" w:cs="Arial"/>
              </w:rPr>
              <w:t>Sub-section (1)</w:t>
            </w:r>
          </w:p>
          <w:p w14:paraId="1736F2C4" w14:textId="77777777" w:rsidR="00DA3351" w:rsidRDefault="00DA3351" w:rsidP="00C209EF">
            <w:pPr>
              <w:spacing w:after="0" w:line="280" w:lineRule="atLeast"/>
              <w:rPr>
                <w:rFonts w:ascii="Arial" w:hAnsi="Arial" w:cs="Arial"/>
              </w:rPr>
            </w:pPr>
          </w:p>
          <w:p w14:paraId="4A23BD11" w14:textId="77777777" w:rsidR="00DA3351" w:rsidRDefault="00DA3351" w:rsidP="00C209EF">
            <w:pPr>
              <w:spacing w:after="0" w:line="280" w:lineRule="atLeast"/>
              <w:rPr>
                <w:rFonts w:ascii="Arial" w:hAnsi="Arial" w:cs="Arial"/>
              </w:rPr>
            </w:pPr>
            <w:r>
              <w:rPr>
                <w:rFonts w:ascii="Arial" w:hAnsi="Arial" w:cs="Arial"/>
              </w:rPr>
              <w:t xml:space="preserve">Provides for an offence if </w:t>
            </w:r>
            <w:r w:rsidRPr="00F5081E">
              <w:rPr>
                <w:rFonts w:ascii="Arial" w:hAnsi="Arial" w:cs="Arial"/>
              </w:rPr>
              <w:t xml:space="preserve">a </w:t>
            </w:r>
            <w:r w:rsidRPr="004D548B">
              <w:rPr>
                <w:rFonts w:ascii="Arial" w:hAnsi="Arial" w:cs="Arial"/>
              </w:rPr>
              <w:t>person</w:t>
            </w:r>
            <w:r w:rsidRPr="00F5081E">
              <w:rPr>
                <w:rFonts w:ascii="Arial" w:hAnsi="Arial" w:cs="Arial"/>
              </w:rPr>
              <w:t xml:space="preserve"> seeks</w:t>
            </w:r>
            <w:r>
              <w:rPr>
                <w:rFonts w:ascii="Arial" w:hAnsi="Arial" w:cs="Arial"/>
              </w:rPr>
              <w:t xml:space="preserve"> to redeem credit held on another person’s player account. </w:t>
            </w:r>
          </w:p>
          <w:p w14:paraId="11E29186" w14:textId="77777777" w:rsidR="00556F27" w:rsidRDefault="00556F27" w:rsidP="00C209EF">
            <w:pPr>
              <w:spacing w:after="0" w:line="280" w:lineRule="atLeast"/>
              <w:rPr>
                <w:rFonts w:ascii="Arial" w:hAnsi="Arial" w:cs="Arial"/>
              </w:rPr>
            </w:pPr>
          </w:p>
          <w:p w14:paraId="039CB36C" w14:textId="77777777" w:rsidR="00556F27" w:rsidRPr="00497CA7" w:rsidRDefault="00556F27" w:rsidP="00556F27">
            <w:pPr>
              <w:spacing w:after="0" w:line="280" w:lineRule="atLeast"/>
              <w:rPr>
                <w:rFonts w:ascii="Arial" w:hAnsi="Arial" w:cs="Arial"/>
              </w:rPr>
            </w:pPr>
            <w:r w:rsidRPr="00497CA7">
              <w:rPr>
                <w:rFonts w:ascii="Arial" w:hAnsi="Arial" w:cs="Arial"/>
              </w:rPr>
              <w:t xml:space="preserve">This offence is a strict liability offence. </w:t>
            </w:r>
          </w:p>
          <w:p w14:paraId="4F739FBF" w14:textId="20E44382" w:rsidR="00556F27" w:rsidRDefault="00556F27" w:rsidP="00C209EF">
            <w:pPr>
              <w:spacing w:after="0" w:line="280" w:lineRule="atLeast"/>
              <w:rPr>
                <w:rFonts w:ascii="Arial" w:hAnsi="Arial" w:cs="Arial"/>
              </w:rPr>
            </w:pPr>
          </w:p>
        </w:tc>
      </w:tr>
      <w:tr w:rsidR="00DA3351" w:rsidRPr="00497CA7" w14:paraId="41CA1CC3" w14:textId="77777777" w:rsidTr="00A20603">
        <w:trPr>
          <w:cantSplit/>
          <w:trHeight w:val="1835"/>
        </w:trPr>
        <w:tc>
          <w:tcPr>
            <w:tcW w:w="3544" w:type="dxa"/>
            <w:vMerge/>
          </w:tcPr>
          <w:p w14:paraId="61B5EE3A" w14:textId="77777777" w:rsidR="00DA3351" w:rsidDel="00DD0C59" w:rsidRDefault="00DA3351" w:rsidP="00C209EF">
            <w:pPr>
              <w:spacing w:after="0" w:line="280" w:lineRule="atLeast"/>
              <w:rPr>
                <w:rFonts w:ascii="Arial" w:hAnsi="Arial" w:cs="Arial"/>
              </w:rPr>
            </w:pPr>
          </w:p>
        </w:tc>
        <w:tc>
          <w:tcPr>
            <w:tcW w:w="5386" w:type="dxa"/>
          </w:tcPr>
          <w:p w14:paraId="11B01979" w14:textId="77777777" w:rsidR="00DA3351" w:rsidRDefault="00DA3351" w:rsidP="00C209EF">
            <w:pPr>
              <w:spacing w:after="0" w:line="280" w:lineRule="atLeast"/>
              <w:rPr>
                <w:rFonts w:ascii="Arial" w:hAnsi="Arial" w:cs="Arial"/>
              </w:rPr>
            </w:pPr>
            <w:r>
              <w:rPr>
                <w:rFonts w:ascii="Arial" w:hAnsi="Arial" w:cs="Arial"/>
              </w:rPr>
              <w:t>Sub-section (2)</w:t>
            </w:r>
          </w:p>
          <w:p w14:paraId="6868F653" w14:textId="77777777" w:rsidR="00556F27" w:rsidRDefault="00556F27" w:rsidP="00C209EF">
            <w:pPr>
              <w:spacing w:after="0" w:line="280" w:lineRule="atLeast"/>
              <w:rPr>
                <w:rFonts w:ascii="Arial" w:hAnsi="Arial" w:cs="Arial"/>
              </w:rPr>
            </w:pPr>
          </w:p>
          <w:p w14:paraId="719B1EEE" w14:textId="617C211C" w:rsidR="00556F27" w:rsidRDefault="00556F27" w:rsidP="00556F27">
            <w:pPr>
              <w:spacing w:after="0" w:line="280" w:lineRule="atLeast"/>
              <w:rPr>
                <w:rFonts w:ascii="Arial" w:hAnsi="Arial" w:cs="Arial"/>
              </w:rPr>
            </w:pPr>
            <w:r>
              <w:rPr>
                <w:rFonts w:ascii="Arial" w:hAnsi="Arial" w:cs="Arial"/>
              </w:rPr>
              <w:t xml:space="preserve">Provides for an offence for a person if </w:t>
            </w:r>
            <w:r w:rsidR="00DC02F3">
              <w:rPr>
                <w:rFonts w:ascii="Arial" w:hAnsi="Arial" w:cs="Arial"/>
              </w:rPr>
              <w:t xml:space="preserve">a </w:t>
            </w:r>
            <w:r w:rsidRPr="00531776">
              <w:rPr>
                <w:rFonts w:ascii="Arial" w:hAnsi="Arial" w:cs="Arial"/>
                <w:i/>
                <w:iCs/>
              </w:rPr>
              <w:t>person</w:t>
            </w:r>
            <w:r>
              <w:rPr>
                <w:rFonts w:ascii="Arial" w:hAnsi="Arial" w:cs="Arial"/>
              </w:rPr>
              <w:t xml:space="preserve"> plays a gaming machine on a licensee’s authorised premises using a player card and the card is linked to another person’s player account. </w:t>
            </w:r>
          </w:p>
          <w:p w14:paraId="66FE83D9" w14:textId="77777777" w:rsidR="00556F27" w:rsidRDefault="00556F27" w:rsidP="00556F27">
            <w:pPr>
              <w:spacing w:after="0" w:line="280" w:lineRule="atLeast"/>
              <w:rPr>
                <w:rFonts w:ascii="Arial" w:hAnsi="Arial" w:cs="Arial"/>
              </w:rPr>
            </w:pPr>
          </w:p>
          <w:p w14:paraId="4D15118B" w14:textId="77777777" w:rsidR="00556F27" w:rsidRPr="00497CA7" w:rsidRDefault="00556F27" w:rsidP="00556F27">
            <w:pPr>
              <w:spacing w:after="0" w:line="280" w:lineRule="atLeast"/>
              <w:rPr>
                <w:rFonts w:ascii="Arial" w:hAnsi="Arial" w:cs="Arial"/>
              </w:rPr>
            </w:pPr>
            <w:r w:rsidRPr="00497CA7">
              <w:rPr>
                <w:rFonts w:ascii="Arial" w:hAnsi="Arial" w:cs="Arial"/>
              </w:rPr>
              <w:t xml:space="preserve">This offence is a strict liability offence. </w:t>
            </w:r>
          </w:p>
          <w:p w14:paraId="1B811332" w14:textId="22826BB8" w:rsidR="00556F27" w:rsidRDefault="00556F27" w:rsidP="00C209EF">
            <w:pPr>
              <w:spacing w:after="0" w:line="280" w:lineRule="atLeast"/>
              <w:rPr>
                <w:rFonts w:ascii="Arial" w:hAnsi="Arial" w:cs="Arial"/>
              </w:rPr>
            </w:pPr>
          </w:p>
        </w:tc>
      </w:tr>
      <w:tr w:rsidR="003D3072" w:rsidRPr="00497CA7" w14:paraId="24613953" w14:textId="77777777" w:rsidTr="001F25C8">
        <w:trPr>
          <w:cantSplit/>
          <w:trHeight w:val="20"/>
        </w:trPr>
        <w:tc>
          <w:tcPr>
            <w:tcW w:w="3544" w:type="dxa"/>
            <w:vMerge w:val="restart"/>
          </w:tcPr>
          <w:p w14:paraId="1DFF7A5B" w14:textId="51DBA6A0" w:rsidR="003D3072" w:rsidRPr="00497CA7" w:rsidRDefault="003D3072" w:rsidP="00C209EF">
            <w:pPr>
              <w:spacing w:after="0" w:line="280" w:lineRule="atLeast"/>
              <w:rPr>
                <w:rFonts w:ascii="Arial" w:hAnsi="Arial" w:cs="Arial"/>
              </w:rPr>
            </w:pPr>
            <w:r w:rsidRPr="00497CA7">
              <w:rPr>
                <w:rFonts w:ascii="Arial" w:hAnsi="Arial" w:cs="Arial"/>
              </w:rPr>
              <w:t>Section 67</w:t>
            </w:r>
            <w:r>
              <w:rPr>
                <w:rFonts w:ascii="Arial" w:hAnsi="Arial" w:cs="Arial"/>
              </w:rPr>
              <w:t>J</w:t>
            </w:r>
          </w:p>
          <w:p w14:paraId="1063DBD0" w14:textId="77777777" w:rsidR="003D3072" w:rsidRPr="00497CA7" w:rsidRDefault="003D3072" w:rsidP="00C209EF">
            <w:pPr>
              <w:spacing w:after="0" w:line="280" w:lineRule="atLeast"/>
              <w:rPr>
                <w:rFonts w:ascii="Arial" w:hAnsi="Arial" w:cs="Arial"/>
              </w:rPr>
            </w:pPr>
          </w:p>
          <w:p w14:paraId="0144B5DD" w14:textId="72943B96" w:rsidR="003D3072" w:rsidRPr="00497CA7" w:rsidRDefault="003D3072" w:rsidP="00C209EF">
            <w:pPr>
              <w:spacing w:after="0" w:line="280" w:lineRule="atLeast"/>
              <w:rPr>
                <w:rFonts w:ascii="Arial" w:hAnsi="Arial" w:cs="Arial"/>
              </w:rPr>
            </w:pPr>
            <w:r>
              <w:rPr>
                <w:rFonts w:ascii="Arial" w:hAnsi="Arial" w:cs="Arial"/>
              </w:rPr>
              <w:t xml:space="preserve">Children prohibited from using account-based systems </w:t>
            </w:r>
          </w:p>
          <w:p w14:paraId="22AB7503" w14:textId="40FF2B4A" w:rsidR="003D3072" w:rsidRPr="00497CA7" w:rsidRDefault="003D3072" w:rsidP="00C209EF">
            <w:pPr>
              <w:spacing w:after="0" w:line="280" w:lineRule="atLeast"/>
              <w:rPr>
                <w:rFonts w:ascii="Arial" w:hAnsi="Arial" w:cs="Arial"/>
              </w:rPr>
            </w:pPr>
          </w:p>
        </w:tc>
        <w:tc>
          <w:tcPr>
            <w:tcW w:w="5386" w:type="dxa"/>
          </w:tcPr>
          <w:p w14:paraId="1F97D1F0" w14:textId="7680CA2E" w:rsidR="003D3072" w:rsidRPr="00497CA7" w:rsidRDefault="003D3072" w:rsidP="00C209EF">
            <w:pPr>
              <w:spacing w:after="0" w:line="280" w:lineRule="atLeast"/>
              <w:rPr>
                <w:rFonts w:ascii="Arial" w:hAnsi="Arial" w:cs="Arial"/>
              </w:rPr>
            </w:pPr>
            <w:r w:rsidRPr="00497CA7">
              <w:rPr>
                <w:rFonts w:ascii="Arial" w:hAnsi="Arial" w:cs="Arial"/>
              </w:rPr>
              <w:t>Sub-section (1)</w:t>
            </w:r>
          </w:p>
          <w:p w14:paraId="08E916EA" w14:textId="77777777" w:rsidR="003D3072" w:rsidRPr="00497CA7" w:rsidRDefault="003D3072" w:rsidP="00C209EF">
            <w:pPr>
              <w:spacing w:after="0" w:line="280" w:lineRule="atLeast"/>
              <w:rPr>
                <w:rFonts w:ascii="Arial" w:hAnsi="Arial" w:cs="Arial"/>
              </w:rPr>
            </w:pPr>
          </w:p>
          <w:p w14:paraId="39C7A4AC" w14:textId="04E91A97" w:rsidR="003D3072" w:rsidRPr="00497CA7" w:rsidRDefault="003D3072" w:rsidP="00C209EF">
            <w:pPr>
              <w:spacing w:after="0" w:line="280" w:lineRule="atLeast"/>
              <w:rPr>
                <w:rFonts w:ascii="Arial" w:hAnsi="Arial" w:cs="Arial"/>
              </w:rPr>
            </w:pPr>
            <w:r w:rsidRPr="00497CA7">
              <w:rPr>
                <w:rFonts w:ascii="Arial" w:hAnsi="Arial" w:cs="Arial"/>
              </w:rPr>
              <w:t xml:space="preserve">Provides for an offence </w:t>
            </w:r>
            <w:r>
              <w:rPr>
                <w:rFonts w:ascii="Arial" w:hAnsi="Arial" w:cs="Arial"/>
              </w:rPr>
              <w:t xml:space="preserve">for a licensee </w:t>
            </w:r>
            <w:r w:rsidRPr="00497CA7">
              <w:rPr>
                <w:rFonts w:ascii="Arial" w:hAnsi="Arial" w:cs="Arial"/>
              </w:rPr>
              <w:t xml:space="preserve">if a licensee issues a player card to a child. </w:t>
            </w:r>
          </w:p>
          <w:p w14:paraId="500E98D6" w14:textId="77777777" w:rsidR="003D3072" w:rsidRPr="00497CA7" w:rsidRDefault="003D3072" w:rsidP="00C209EF">
            <w:pPr>
              <w:spacing w:after="0" w:line="280" w:lineRule="atLeast"/>
              <w:rPr>
                <w:rFonts w:ascii="Arial" w:hAnsi="Arial" w:cs="Arial"/>
              </w:rPr>
            </w:pPr>
          </w:p>
          <w:p w14:paraId="14A1BBBE" w14:textId="77777777" w:rsidR="003D3072" w:rsidRPr="00497CA7" w:rsidRDefault="003D3072" w:rsidP="00C209EF">
            <w:pPr>
              <w:spacing w:after="0" w:line="280" w:lineRule="atLeast"/>
              <w:rPr>
                <w:rFonts w:ascii="Arial" w:hAnsi="Arial" w:cs="Arial"/>
              </w:rPr>
            </w:pPr>
            <w:r w:rsidRPr="00497CA7">
              <w:rPr>
                <w:rFonts w:ascii="Arial" w:hAnsi="Arial" w:cs="Arial"/>
              </w:rPr>
              <w:t>This offence is a strict liability offence.</w:t>
            </w:r>
          </w:p>
          <w:p w14:paraId="0D056E32" w14:textId="1ACB6F79" w:rsidR="003D3072" w:rsidRPr="00497CA7" w:rsidRDefault="003D3072" w:rsidP="00C209EF">
            <w:pPr>
              <w:spacing w:after="0" w:line="280" w:lineRule="atLeast"/>
              <w:rPr>
                <w:rFonts w:ascii="Arial" w:hAnsi="Arial" w:cs="Arial"/>
              </w:rPr>
            </w:pPr>
          </w:p>
        </w:tc>
      </w:tr>
      <w:tr w:rsidR="003D3072" w:rsidRPr="00497CA7" w14:paraId="199773B7" w14:textId="77777777" w:rsidTr="00531776">
        <w:trPr>
          <w:cantSplit/>
          <w:trHeight w:val="2336"/>
        </w:trPr>
        <w:tc>
          <w:tcPr>
            <w:tcW w:w="3544" w:type="dxa"/>
            <w:vMerge/>
          </w:tcPr>
          <w:p w14:paraId="599111A8" w14:textId="2AA1BBB3" w:rsidR="003D3072" w:rsidRPr="00497CA7" w:rsidRDefault="003D3072" w:rsidP="00C209EF">
            <w:pPr>
              <w:spacing w:after="0" w:line="280" w:lineRule="atLeast"/>
              <w:rPr>
                <w:rFonts w:ascii="Arial" w:hAnsi="Arial" w:cs="Arial"/>
              </w:rPr>
            </w:pPr>
          </w:p>
        </w:tc>
        <w:tc>
          <w:tcPr>
            <w:tcW w:w="5386" w:type="dxa"/>
          </w:tcPr>
          <w:p w14:paraId="5B267BC9" w14:textId="77777777" w:rsidR="003D3072" w:rsidRPr="00497CA7" w:rsidRDefault="003D3072" w:rsidP="00C209EF">
            <w:pPr>
              <w:spacing w:after="0" w:line="280" w:lineRule="atLeast"/>
              <w:rPr>
                <w:rFonts w:ascii="Arial" w:hAnsi="Arial" w:cs="Arial"/>
              </w:rPr>
            </w:pPr>
            <w:r w:rsidRPr="00497CA7">
              <w:rPr>
                <w:rFonts w:ascii="Arial" w:hAnsi="Arial" w:cs="Arial"/>
              </w:rPr>
              <w:t>Sub-section (2)</w:t>
            </w:r>
          </w:p>
          <w:p w14:paraId="1C965DEB" w14:textId="77777777" w:rsidR="003D3072" w:rsidRPr="00497CA7" w:rsidRDefault="003D3072" w:rsidP="00C209EF">
            <w:pPr>
              <w:spacing w:after="0" w:line="280" w:lineRule="atLeast"/>
              <w:rPr>
                <w:rFonts w:ascii="Arial" w:hAnsi="Arial" w:cs="Arial"/>
              </w:rPr>
            </w:pPr>
          </w:p>
          <w:p w14:paraId="08932410" w14:textId="3BBEE62C" w:rsidR="003D3072" w:rsidRPr="00497CA7" w:rsidRDefault="003D3072" w:rsidP="00C209EF">
            <w:pPr>
              <w:spacing w:after="0" w:line="280" w:lineRule="atLeast"/>
              <w:rPr>
                <w:rFonts w:ascii="Arial" w:hAnsi="Arial" w:cs="Arial"/>
              </w:rPr>
            </w:pPr>
            <w:r w:rsidRPr="00497CA7">
              <w:rPr>
                <w:rFonts w:ascii="Arial" w:hAnsi="Arial" w:cs="Arial"/>
              </w:rPr>
              <w:t xml:space="preserve">Provides for an offence </w:t>
            </w:r>
            <w:r>
              <w:rPr>
                <w:rFonts w:ascii="Arial" w:hAnsi="Arial" w:cs="Arial"/>
              </w:rPr>
              <w:t xml:space="preserve">for a licensee </w:t>
            </w:r>
            <w:r w:rsidRPr="00497CA7">
              <w:rPr>
                <w:rFonts w:ascii="Arial" w:hAnsi="Arial" w:cs="Arial"/>
              </w:rPr>
              <w:t xml:space="preserve">if a licensee allows a child to use the account-based gaming system. </w:t>
            </w:r>
          </w:p>
          <w:p w14:paraId="6734383E" w14:textId="77777777" w:rsidR="003D3072" w:rsidRPr="00497CA7" w:rsidRDefault="003D3072" w:rsidP="00C209EF">
            <w:pPr>
              <w:spacing w:after="0" w:line="280" w:lineRule="atLeast"/>
              <w:rPr>
                <w:rFonts w:ascii="Arial" w:hAnsi="Arial" w:cs="Arial"/>
              </w:rPr>
            </w:pPr>
          </w:p>
          <w:p w14:paraId="68DA4BB6" w14:textId="2591096B" w:rsidR="003D3072" w:rsidRPr="00497CA7" w:rsidRDefault="003D3072" w:rsidP="00C209EF">
            <w:pPr>
              <w:spacing w:after="0" w:line="280" w:lineRule="atLeast"/>
              <w:rPr>
                <w:rFonts w:ascii="Arial" w:hAnsi="Arial" w:cs="Arial"/>
              </w:rPr>
            </w:pPr>
            <w:r w:rsidRPr="00497CA7">
              <w:rPr>
                <w:rFonts w:ascii="Arial" w:hAnsi="Arial" w:cs="Arial"/>
              </w:rPr>
              <w:t xml:space="preserve">This offence is a strict liability offence. </w:t>
            </w:r>
          </w:p>
        </w:tc>
      </w:tr>
      <w:tr w:rsidR="00C209EF" w:rsidRPr="00497CA7" w14:paraId="490DDA81" w14:textId="77777777" w:rsidTr="001F25C8">
        <w:trPr>
          <w:cantSplit/>
          <w:trHeight w:val="2248"/>
        </w:trPr>
        <w:tc>
          <w:tcPr>
            <w:tcW w:w="3544" w:type="dxa"/>
          </w:tcPr>
          <w:p w14:paraId="3487D84E" w14:textId="022E228D" w:rsidR="00C209EF" w:rsidRPr="00497CA7" w:rsidRDefault="00C209EF" w:rsidP="00C209EF">
            <w:pPr>
              <w:spacing w:after="0" w:line="280" w:lineRule="atLeast"/>
              <w:rPr>
                <w:rFonts w:ascii="Arial" w:hAnsi="Arial" w:cs="Arial"/>
              </w:rPr>
            </w:pPr>
            <w:r w:rsidRPr="00497CA7">
              <w:rPr>
                <w:rFonts w:ascii="Arial" w:hAnsi="Arial" w:cs="Arial"/>
              </w:rPr>
              <w:t>Section 67</w:t>
            </w:r>
            <w:r>
              <w:rPr>
                <w:rFonts w:ascii="Arial" w:hAnsi="Arial" w:cs="Arial"/>
              </w:rPr>
              <w:t>K</w:t>
            </w:r>
            <w:r w:rsidR="00532852">
              <w:rPr>
                <w:rFonts w:ascii="Arial" w:hAnsi="Arial" w:cs="Arial"/>
              </w:rPr>
              <w:t>(1)</w:t>
            </w:r>
          </w:p>
          <w:p w14:paraId="45DCE993" w14:textId="77777777" w:rsidR="00C209EF" w:rsidRPr="00497CA7" w:rsidRDefault="00C209EF" w:rsidP="00C209EF">
            <w:pPr>
              <w:spacing w:after="0" w:line="280" w:lineRule="atLeast"/>
              <w:rPr>
                <w:rFonts w:ascii="Arial" w:hAnsi="Arial" w:cs="Arial"/>
              </w:rPr>
            </w:pPr>
          </w:p>
          <w:p w14:paraId="69D3468D" w14:textId="1EEEBE32" w:rsidR="00C209EF" w:rsidRPr="00497CA7" w:rsidRDefault="003D3072" w:rsidP="00C209EF">
            <w:pPr>
              <w:spacing w:after="0" w:line="280" w:lineRule="atLeast"/>
              <w:rPr>
                <w:rFonts w:ascii="Arial" w:hAnsi="Arial" w:cs="Arial"/>
              </w:rPr>
            </w:pPr>
            <w:r>
              <w:rPr>
                <w:rFonts w:ascii="Arial" w:hAnsi="Arial" w:cs="Arial"/>
              </w:rPr>
              <w:t xml:space="preserve">Purchasing player credit </w:t>
            </w:r>
            <w:r w:rsidR="00C209EF">
              <w:rPr>
                <w:rFonts w:ascii="Arial" w:hAnsi="Arial" w:cs="Arial"/>
              </w:rPr>
              <w:t xml:space="preserve"> </w:t>
            </w:r>
          </w:p>
        </w:tc>
        <w:tc>
          <w:tcPr>
            <w:tcW w:w="5386" w:type="dxa"/>
          </w:tcPr>
          <w:p w14:paraId="5E65B90F" w14:textId="78CD80C3" w:rsidR="00C209EF" w:rsidRDefault="00C209EF" w:rsidP="00C209EF">
            <w:pPr>
              <w:spacing w:after="0" w:line="280" w:lineRule="atLeast"/>
              <w:rPr>
                <w:rFonts w:ascii="Arial" w:hAnsi="Arial" w:cs="Arial"/>
              </w:rPr>
            </w:pPr>
            <w:r>
              <w:rPr>
                <w:rFonts w:ascii="Arial" w:hAnsi="Arial" w:cs="Arial"/>
              </w:rPr>
              <w:t xml:space="preserve">Provides for an offence for a licensee </w:t>
            </w:r>
            <w:r w:rsidRPr="002B0F7C">
              <w:rPr>
                <w:rFonts w:ascii="Arial" w:hAnsi="Arial" w:cs="Arial"/>
              </w:rPr>
              <w:t xml:space="preserve">if a licensee allows a person to make a payment to the licensee for player credits and the person does not make the payment by transferring funds </w:t>
            </w:r>
            <w:r w:rsidR="00AA282C">
              <w:rPr>
                <w:rFonts w:ascii="Arial" w:hAnsi="Arial" w:cs="Arial"/>
              </w:rPr>
              <w:t>in</w:t>
            </w:r>
            <w:r w:rsidR="00AA282C" w:rsidRPr="002B0F7C">
              <w:rPr>
                <w:rFonts w:ascii="Arial" w:hAnsi="Arial" w:cs="Arial"/>
              </w:rPr>
              <w:t xml:space="preserve"> </w:t>
            </w:r>
            <w:r w:rsidRPr="002B0F7C">
              <w:rPr>
                <w:rFonts w:ascii="Arial" w:hAnsi="Arial" w:cs="Arial"/>
              </w:rPr>
              <w:t>a way approved in the regulation.</w:t>
            </w:r>
          </w:p>
          <w:p w14:paraId="7054E9A8" w14:textId="77777777" w:rsidR="00C209EF" w:rsidRDefault="00C209EF" w:rsidP="00C209EF">
            <w:pPr>
              <w:spacing w:after="0" w:line="280" w:lineRule="atLeast"/>
              <w:rPr>
                <w:rFonts w:ascii="Arial" w:hAnsi="Arial" w:cs="Arial"/>
              </w:rPr>
            </w:pPr>
          </w:p>
          <w:p w14:paraId="20C2A62C" w14:textId="77777777" w:rsidR="00C209EF" w:rsidRDefault="00C209EF" w:rsidP="00C209EF">
            <w:pPr>
              <w:spacing w:after="0" w:line="280" w:lineRule="atLeast"/>
              <w:rPr>
                <w:rFonts w:ascii="Arial" w:hAnsi="Arial" w:cs="Arial"/>
              </w:rPr>
            </w:pPr>
            <w:r>
              <w:rPr>
                <w:rFonts w:ascii="Arial" w:hAnsi="Arial" w:cs="Arial"/>
              </w:rPr>
              <w:t xml:space="preserve">This offence is a strict liability offence. </w:t>
            </w:r>
          </w:p>
          <w:p w14:paraId="191EAE35" w14:textId="1C8583CD" w:rsidR="00C209EF" w:rsidRPr="00497CA7" w:rsidRDefault="00C209EF" w:rsidP="00C209EF">
            <w:pPr>
              <w:spacing w:after="0" w:line="280" w:lineRule="atLeast"/>
              <w:rPr>
                <w:rFonts w:ascii="Arial" w:hAnsi="Arial" w:cs="Arial"/>
              </w:rPr>
            </w:pPr>
          </w:p>
        </w:tc>
      </w:tr>
      <w:tr w:rsidR="00554FA7" w:rsidRPr="00497CA7" w14:paraId="159E350F" w14:textId="77777777" w:rsidTr="001F25C8">
        <w:trPr>
          <w:cantSplit/>
          <w:trHeight w:val="1687"/>
        </w:trPr>
        <w:tc>
          <w:tcPr>
            <w:tcW w:w="3544" w:type="dxa"/>
          </w:tcPr>
          <w:p w14:paraId="395EC982" w14:textId="08541038" w:rsidR="00554FA7" w:rsidRDefault="00554FA7" w:rsidP="00554FA7">
            <w:pPr>
              <w:spacing w:after="0" w:line="280" w:lineRule="atLeast"/>
              <w:rPr>
                <w:rFonts w:ascii="Arial" w:hAnsi="Arial" w:cs="Arial"/>
              </w:rPr>
            </w:pPr>
            <w:r>
              <w:rPr>
                <w:rFonts w:ascii="Arial" w:hAnsi="Arial" w:cs="Arial"/>
              </w:rPr>
              <w:t>Section 67N</w:t>
            </w:r>
            <w:r w:rsidR="000973F1">
              <w:rPr>
                <w:rFonts w:ascii="Arial" w:hAnsi="Arial" w:cs="Arial"/>
              </w:rPr>
              <w:t>(1)</w:t>
            </w:r>
          </w:p>
          <w:p w14:paraId="04655486" w14:textId="77777777" w:rsidR="00554FA7" w:rsidRDefault="00554FA7" w:rsidP="00554FA7">
            <w:pPr>
              <w:spacing w:after="0" w:line="280" w:lineRule="atLeast"/>
              <w:rPr>
                <w:rFonts w:ascii="Arial" w:hAnsi="Arial" w:cs="Arial"/>
              </w:rPr>
            </w:pPr>
          </w:p>
          <w:p w14:paraId="65B0F0BB" w14:textId="3E09A230" w:rsidR="00554FA7" w:rsidRDefault="00554FA7" w:rsidP="00554FA7">
            <w:pPr>
              <w:spacing w:after="0" w:line="280" w:lineRule="atLeast"/>
              <w:rPr>
                <w:rFonts w:ascii="Arial" w:hAnsi="Arial" w:cs="Arial"/>
              </w:rPr>
            </w:pPr>
            <w:r>
              <w:rPr>
                <w:rFonts w:ascii="Arial" w:hAnsi="Arial" w:cs="Arial"/>
              </w:rPr>
              <w:t>People excluded from gaming machines</w:t>
            </w:r>
            <w:r w:rsidR="000973F1">
              <w:rPr>
                <w:rFonts w:ascii="Arial" w:hAnsi="Arial" w:cs="Arial"/>
              </w:rPr>
              <w:t xml:space="preserve"> – new player accounts </w:t>
            </w:r>
          </w:p>
        </w:tc>
        <w:tc>
          <w:tcPr>
            <w:tcW w:w="5386" w:type="dxa"/>
          </w:tcPr>
          <w:p w14:paraId="5E9D86CD" w14:textId="77777777" w:rsidR="000973F1" w:rsidRDefault="000973F1" w:rsidP="000973F1">
            <w:pPr>
              <w:spacing w:after="0" w:line="280" w:lineRule="atLeast"/>
              <w:rPr>
                <w:rFonts w:ascii="Arial" w:hAnsi="Arial" w:cs="Arial"/>
              </w:rPr>
            </w:pPr>
            <w:r>
              <w:rPr>
                <w:rFonts w:ascii="Arial" w:hAnsi="Arial" w:cs="Arial"/>
              </w:rPr>
              <w:t xml:space="preserve">Provides for an offence for a licensee if a licensee opens an account for a person who has been excluded from gaming machines. </w:t>
            </w:r>
          </w:p>
          <w:p w14:paraId="5C496001" w14:textId="77777777" w:rsidR="000973F1" w:rsidRDefault="000973F1" w:rsidP="000973F1">
            <w:pPr>
              <w:spacing w:after="0" w:line="280" w:lineRule="atLeast"/>
              <w:rPr>
                <w:rFonts w:ascii="Arial" w:hAnsi="Arial" w:cs="Arial"/>
              </w:rPr>
            </w:pPr>
          </w:p>
          <w:p w14:paraId="05F4F809" w14:textId="77777777" w:rsidR="000973F1" w:rsidRDefault="000973F1" w:rsidP="000973F1">
            <w:pPr>
              <w:spacing w:after="0" w:line="280" w:lineRule="atLeast"/>
              <w:rPr>
                <w:rFonts w:ascii="Arial" w:hAnsi="Arial" w:cs="Arial"/>
              </w:rPr>
            </w:pPr>
            <w:r>
              <w:rPr>
                <w:rFonts w:ascii="Arial" w:hAnsi="Arial" w:cs="Arial"/>
              </w:rPr>
              <w:t xml:space="preserve">This offence is a strict liability offence. </w:t>
            </w:r>
          </w:p>
          <w:p w14:paraId="50101FBB" w14:textId="77777777" w:rsidR="00554FA7" w:rsidRDefault="00554FA7" w:rsidP="00C209EF">
            <w:pPr>
              <w:spacing w:after="0" w:line="280" w:lineRule="atLeast"/>
              <w:rPr>
                <w:rFonts w:ascii="Arial" w:hAnsi="Arial" w:cs="Arial"/>
              </w:rPr>
            </w:pPr>
          </w:p>
        </w:tc>
      </w:tr>
      <w:tr w:rsidR="000973F1" w:rsidRPr="00497CA7" w14:paraId="66EE778F" w14:textId="77777777" w:rsidTr="001F25C8">
        <w:trPr>
          <w:cantSplit/>
          <w:trHeight w:val="1687"/>
        </w:trPr>
        <w:tc>
          <w:tcPr>
            <w:tcW w:w="3544" w:type="dxa"/>
          </w:tcPr>
          <w:p w14:paraId="70A5592F" w14:textId="77777777" w:rsidR="000973F1" w:rsidRDefault="000973F1" w:rsidP="00554FA7">
            <w:pPr>
              <w:spacing w:after="0" w:line="280" w:lineRule="atLeast"/>
              <w:rPr>
                <w:rFonts w:ascii="Arial" w:hAnsi="Arial" w:cs="Arial"/>
              </w:rPr>
            </w:pPr>
            <w:r>
              <w:rPr>
                <w:rFonts w:ascii="Arial" w:hAnsi="Arial" w:cs="Arial"/>
              </w:rPr>
              <w:t>Section 67O(1)</w:t>
            </w:r>
          </w:p>
          <w:p w14:paraId="51AC2043" w14:textId="77777777" w:rsidR="000973F1" w:rsidRDefault="000973F1" w:rsidP="00554FA7">
            <w:pPr>
              <w:spacing w:after="0" w:line="280" w:lineRule="atLeast"/>
              <w:rPr>
                <w:rFonts w:ascii="Arial" w:hAnsi="Arial" w:cs="Arial"/>
              </w:rPr>
            </w:pPr>
          </w:p>
          <w:p w14:paraId="526920AC" w14:textId="66062345" w:rsidR="000973F1" w:rsidRDefault="000973F1" w:rsidP="00554FA7">
            <w:pPr>
              <w:spacing w:after="0" w:line="280" w:lineRule="atLeast"/>
              <w:rPr>
                <w:rFonts w:ascii="Arial" w:hAnsi="Arial" w:cs="Arial"/>
              </w:rPr>
            </w:pPr>
            <w:r>
              <w:rPr>
                <w:rFonts w:ascii="Arial" w:hAnsi="Arial" w:cs="Arial"/>
              </w:rPr>
              <w:t xml:space="preserve">People excluded from gaming machines – existing player cards </w:t>
            </w:r>
          </w:p>
        </w:tc>
        <w:tc>
          <w:tcPr>
            <w:tcW w:w="5386" w:type="dxa"/>
          </w:tcPr>
          <w:p w14:paraId="5766F880" w14:textId="77777777" w:rsidR="000973F1" w:rsidRDefault="003370F7" w:rsidP="000973F1">
            <w:pPr>
              <w:spacing w:after="0" w:line="280" w:lineRule="atLeast"/>
              <w:rPr>
                <w:rFonts w:ascii="Arial" w:hAnsi="Arial" w:cs="Arial"/>
              </w:rPr>
            </w:pPr>
            <w:r>
              <w:rPr>
                <w:rFonts w:ascii="Arial" w:hAnsi="Arial" w:cs="Arial"/>
              </w:rPr>
              <w:t>Provides for an offence for a licensee if a licensee fails to ensure that the player card of a person excluded</w:t>
            </w:r>
            <w:r w:rsidR="00DF1A13">
              <w:rPr>
                <w:rFonts w:ascii="Arial" w:hAnsi="Arial" w:cs="Arial"/>
              </w:rPr>
              <w:t xml:space="preserve"> from gaming machines is unable </w:t>
            </w:r>
            <w:r w:rsidR="005079AD">
              <w:rPr>
                <w:rFonts w:ascii="Arial" w:hAnsi="Arial" w:cs="Arial"/>
              </w:rPr>
              <w:t xml:space="preserve">to be used to play gaming machines at the premises. </w:t>
            </w:r>
          </w:p>
          <w:p w14:paraId="6BF84A05" w14:textId="77777777" w:rsidR="005079AD" w:rsidRDefault="005079AD" w:rsidP="000973F1">
            <w:pPr>
              <w:spacing w:after="0" w:line="280" w:lineRule="atLeast"/>
              <w:rPr>
                <w:rFonts w:ascii="Arial" w:hAnsi="Arial" w:cs="Arial"/>
              </w:rPr>
            </w:pPr>
          </w:p>
          <w:p w14:paraId="7113B220" w14:textId="77777777" w:rsidR="005079AD" w:rsidRDefault="005079AD" w:rsidP="000973F1">
            <w:pPr>
              <w:spacing w:after="0" w:line="280" w:lineRule="atLeast"/>
              <w:rPr>
                <w:rFonts w:ascii="Arial" w:hAnsi="Arial" w:cs="Arial"/>
              </w:rPr>
            </w:pPr>
            <w:r>
              <w:rPr>
                <w:rFonts w:ascii="Arial" w:hAnsi="Arial" w:cs="Arial"/>
              </w:rPr>
              <w:t>This offence is a strict liability offence.</w:t>
            </w:r>
          </w:p>
          <w:p w14:paraId="26174CEA" w14:textId="792BC6B2" w:rsidR="005079AD" w:rsidRDefault="005079AD" w:rsidP="000973F1">
            <w:pPr>
              <w:spacing w:after="0" w:line="280" w:lineRule="atLeast"/>
              <w:rPr>
                <w:rFonts w:ascii="Arial" w:hAnsi="Arial" w:cs="Arial"/>
              </w:rPr>
            </w:pPr>
          </w:p>
        </w:tc>
      </w:tr>
      <w:tr w:rsidR="0037000D" w:rsidRPr="00497CA7" w14:paraId="195A7BF2" w14:textId="77777777" w:rsidTr="00531776">
        <w:trPr>
          <w:cantSplit/>
          <w:trHeight w:val="2703"/>
        </w:trPr>
        <w:tc>
          <w:tcPr>
            <w:tcW w:w="3544" w:type="dxa"/>
          </w:tcPr>
          <w:p w14:paraId="3D0BFE26" w14:textId="7ED1BDC2" w:rsidR="0037000D" w:rsidRDefault="0037000D" w:rsidP="00C209EF">
            <w:pPr>
              <w:spacing w:after="0" w:line="280" w:lineRule="atLeast"/>
              <w:rPr>
                <w:rFonts w:ascii="Arial" w:hAnsi="Arial" w:cs="Arial"/>
              </w:rPr>
            </w:pPr>
            <w:r>
              <w:rPr>
                <w:rFonts w:ascii="Arial" w:hAnsi="Arial" w:cs="Arial"/>
              </w:rPr>
              <w:t>Section 67P(2)</w:t>
            </w:r>
          </w:p>
          <w:p w14:paraId="7D96CB8C" w14:textId="77777777" w:rsidR="0037000D" w:rsidRDefault="0037000D" w:rsidP="00C209EF">
            <w:pPr>
              <w:spacing w:after="0" w:line="280" w:lineRule="atLeast"/>
              <w:rPr>
                <w:rFonts w:ascii="Arial" w:hAnsi="Arial" w:cs="Arial"/>
              </w:rPr>
            </w:pPr>
          </w:p>
          <w:p w14:paraId="26078706" w14:textId="2406DFDA" w:rsidR="0037000D" w:rsidRDefault="0037000D" w:rsidP="00C209EF">
            <w:pPr>
              <w:spacing w:after="0" w:line="280" w:lineRule="atLeast"/>
              <w:rPr>
                <w:rFonts w:ascii="Arial" w:hAnsi="Arial" w:cs="Arial"/>
              </w:rPr>
            </w:pPr>
            <w:r>
              <w:rPr>
                <w:rFonts w:ascii="Arial" w:hAnsi="Arial" w:cs="Arial"/>
              </w:rPr>
              <w:t xml:space="preserve">People excluded from gaming machines – existing player accounts </w:t>
            </w:r>
          </w:p>
        </w:tc>
        <w:tc>
          <w:tcPr>
            <w:tcW w:w="5386" w:type="dxa"/>
          </w:tcPr>
          <w:p w14:paraId="65380AFE" w14:textId="77777777" w:rsidR="0037000D" w:rsidRDefault="0037000D" w:rsidP="00EB63E9">
            <w:pPr>
              <w:spacing w:after="0" w:line="280" w:lineRule="atLeast"/>
              <w:rPr>
                <w:rFonts w:ascii="Arial" w:hAnsi="Arial" w:cs="Arial"/>
              </w:rPr>
            </w:pPr>
            <w:r>
              <w:rPr>
                <w:rFonts w:ascii="Arial" w:hAnsi="Arial" w:cs="Arial"/>
              </w:rPr>
              <w:t xml:space="preserve">Provides for an offence for a licensee if a </w:t>
            </w:r>
            <w:r w:rsidRPr="00F1423F">
              <w:rPr>
                <w:rFonts w:ascii="Arial" w:hAnsi="Arial" w:cs="Arial"/>
              </w:rPr>
              <w:t>person who has been excluded and held an account prior to being excluded does not have their ID checked most recently after they stop being excluded.</w:t>
            </w:r>
          </w:p>
          <w:p w14:paraId="320AB194" w14:textId="77777777" w:rsidR="0037000D" w:rsidRDefault="0037000D" w:rsidP="00EB63E9">
            <w:pPr>
              <w:spacing w:after="0" w:line="280" w:lineRule="atLeast"/>
              <w:rPr>
                <w:rFonts w:ascii="Arial" w:hAnsi="Arial" w:cs="Arial"/>
              </w:rPr>
            </w:pPr>
          </w:p>
          <w:p w14:paraId="5F4B458B" w14:textId="77777777" w:rsidR="0037000D" w:rsidRDefault="0037000D" w:rsidP="00EB63E9">
            <w:pPr>
              <w:spacing w:after="0" w:line="280" w:lineRule="atLeast"/>
              <w:rPr>
                <w:rFonts w:ascii="Arial" w:hAnsi="Arial" w:cs="Arial"/>
              </w:rPr>
            </w:pPr>
            <w:r>
              <w:rPr>
                <w:rFonts w:ascii="Arial" w:hAnsi="Arial" w:cs="Arial"/>
              </w:rPr>
              <w:t xml:space="preserve">This offence is a strict liability offence. </w:t>
            </w:r>
          </w:p>
          <w:p w14:paraId="3B31A343" w14:textId="77777777" w:rsidR="0037000D" w:rsidRDefault="0037000D" w:rsidP="00C209EF">
            <w:pPr>
              <w:spacing w:after="0" w:line="280" w:lineRule="atLeast"/>
              <w:rPr>
                <w:rFonts w:ascii="Arial" w:hAnsi="Arial" w:cs="Arial"/>
              </w:rPr>
            </w:pPr>
          </w:p>
          <w:p w14:paraId="7A511BED" w14:textId="77777777" w:rsidR="0037000D" w:rsidRDefault="0037000D" w:rsidP="00C209EF">
            <w:pPr>
              <w:spacing w:after="0" w:line="280" w:lineRule="atLeast"/>
              <w:rPr>
                <w:rFonts w:ascii="Arial" w:hAnsi="Arial" w:cs="Arial"/>
              </w:rPr>
            </w:pPr>
          </w:p>
          <w:p w14:paraId="09D3B1D9" w14:textId="72DE6412" w:rsidR="0037000D" w:rsidRDefault="0037000D" w:rsidP="00EB63E9">
            <w:pPr>
              <w:spacing w:after="0" w:line="280" w:lineRule="atLeast"/>
              <w:rPr>
                <w:rFonts w:ascii="Arial" w:hAnsi="Arial" w:cs="Arial"/>
              </w:rPr>
            </w:pPr>
          </w:p>
        </w:tc>
      </w:tr>
      <w:tr w:rsidR="00B45BB6" w:rsidRPr="00497CA7" w14:paraId="2C3FC12D" w14:textId="77777777" w:rsidTr="0037000D">
        <w:trPr>
          <w:cantSplit/>
          <w:trHeight w:val="2703"/>
        </w:trPr>
        <w:tc>
          <w:tcPr>
            <w:tcW w:w="3544" w:type="dxa"/>
            <w:vMerge w:val="restart"/>
          </w:tcPr>
          <w:p w14:paraId="1F57F7AB" w14:textId="77777777" w:rsidR="00B45BB6" w:rsidRDefault="00B45BB6" w:rsidP="006350D7">
            <w:pPr>
              <w:spacing w:after="0" w:line="280" w:lineRule="atLeast"/>
              <w:rPr>
                <w:rFonts w:ascii="Arial" w:hAnsi="Arial" w:cs="Arial"/>
              </w:rPr>
            </w:pPr>
            <w:r>
              <w:rPr>
                <w:rFonts w:ascii="Arial" w:hAnsi="Arial" w:cs="Arial"/>
              </w:rPr>
              <w:lastRenderedPageBreak/>
              <w:t>Section 67S</w:t>
            </w:r>
          </w:p>
          <w:p w14:paraId="0CC523A8" w14:textId="77777777" w:rsidR="00B45BB6" w:rsidRDefault="00B45BB6" w:rsidP="006350D7">
            <w:pPr>
              <w:spacing w:after="0" w:line="280" w:lineRule="atLeast"/>
              <w:rPr>
                <w:rFonts w:ascii="Arial" w:hAnsi="Arial" w:cs="Arial"/>
              </w:rPr>
            </w:pPr>
          </w:p>
          <w:p w14:paraId="2F6ABB0C" w14:textId="77777777" w:rsidR="00B45BB6" w:rsidRDefault="00B45BB6" w:rsidP="006350D7">
            <w:pPr>
              <w:spacing w:after="0" w:line="280" w:lineRule="atLeast"/>
              <w:rPr>
                <w:rFonts w:ascii="Arial" w:hAnsi="Arial" w:cs="Arial"/>
              </w:rPr>
            </w:pPr>
            <w:r>
              <w:rPr>
                <w:rFonts w:ascii="Arial" w:hAnsi="Arial" w:cs="Arial"/>
              </w:rPr>
              <w:t>Licensees must apply pre-commitment controls for gaming machines</w:t>
            </w:r>
          </w:p>
          <w:p w14:paraId="6B358060" w14:textId="55EA09D6" w:rsidR="00B45BB6" w:rsidRDefault="00B45BB6" w:rsidP="00C209EF">
            <w:pPr>
              <w:spacing w:after="0" w:line="280" w:lineRule="atLeast"/>
              <w:rPr>
                <w:rFonts w:ascii="Arial" w:hAnsi="Arial" w:cs="Arial"/>
              </w:rPr>
            </w:pPr>
            <w:r>
              <w:rPr>
                <w:rFonts w:ascii="Arial" w:hAnsi="Arial" w:cs="Arial"/>
              </w:rPr>
              <w:t xml:space="preserve"> </w:t>
            </w:r>
          </w:p>
        </w:tc>
        <w:tc>
          <w:tcPr>
            <w:tcW w:w="5386" w:type="dxa"/>
          </w:tcPr>
          <w:p w14:paraId="63B5AA4A" w14:textId="77777777" w:rsidR="00B45BB6" w:rsidRDefault="00B45BB6" w:rsidP="006350D7">
            <w:pPr>
              <w:spacing w:after="0" w:line="280" w:lineRule="atLeast"/>
              <w:rPr>
                <w:rFonts w:ascii="Arial" w:hAnsi="Arial" w:cs="Arial"/>
              </w:rPr>
            </w:pPr>
            <w:r>
              <w:rPr>
                <w:rFonts w:ascii="Arial" w:hAnsi="Arial" w:cs="Arial"/>
              </w:rPr>
              <w:t>Sub-section (1)</w:t>
            </w:r>
          </w:p>
          <w:p w14:paraId="4B52D2DE" w14:textId="77777777" w:rsidR="00B45BB6" w:rsidRDefault="00B45BB6" w:rsidP="006350D7">
            <w:pPr>
              <w:spacing w:after="0" w:line="280" w:lineRule="atLeast"/>
              <w:rPr>
                <w:rFonts w:ascii="Arial" w:hAnsi="Arial" w:cs="Arial"/>
              </w:rPr>
            </w:pPr>
          </w:p>
          <w:p w14:paraId="43705D66" w14:textId="77777777" w:rsidR="00B45BB6" w:rsidRDefault="00B45BB6" w:rsidP="006350D7">
            <w:pPr>
              <w:spacing w:after="0" w:line="280" w:lineRule="atLeast"/>
              <w:rPr>
                <w:rFonts w:ascii="Arial" w:hAnsi="Arial" w:cs="Arial"/>
              </w:rPr>
            </w:pPr>
            <w:r>
              <w:rPr>
                <w:rFonts w:ascii="Arial" w:hAnsi="Arial" w:cs="Arial"/>
              </w:rPr>
              <w:t xml:space="preserve">Provides for an offence for a licensee if a licensee operates a gaming machine at their authorised premises that is not connected to an account-based gaming system that gives effect to the pre-commitment controls. </w:t>
            </w:r>
          </w:p>
          <w:p w14:paraId="48BBE839" w14:textId="77777777" w:rsidR="00B45BB6" w:rsidRDefault="00B45BB6" w:rsidP="006350D7">
            <w:pPr>
              <w:spacing w:after="0" w:line="280" w:lineRule="atLeast"/>
              <w:rPr>
                <w:rFonts w:ascii="Arial" w:hAnsi="Arial" w:cs="Arial"/>
              </w:rPr>
            </w:pPr>
          </w:p>
          <w:p w14:paraId="6BC8A833" w14:textId="37E62296" w:rsidR="00B45BB6" w:rsidRDefault="00B45BB6" w:rsidP="006350D7">
            <w:pPr>
              <w:spacing w:after="0" w:line="280" w:lineRule="atLeast"/>
              <w:rPr>
                <w:rFonts w:ascii="Arial" w:hAnsi="Arial" w:cs="Arial"/>
              </w:rPr>
            </w:pPr>
            <w:r>
              <w:rPr>
                <w:rFonts w:ascii="Arial" w:hAnsi="Arial" w:cs="Arial"/>
              </w:rPr>
              <w:t xml:space="preserve">The offence does not apply if the licensee took all reasonable steps to ensure the gaming machine was connected to an account-based gaming system that gives effect to the pre-commitment controls. The defendant has the evidential burden of proof in these circumstances. </w:t>
            </w:r>
          </w:p>
          <w:p w14:paraId="7E8AC1F5" w14:textId="7E5C73CA" w:rsidR="00B45BB6" w:rsidRDefault="00B45BB6" w:rsidP="00EB63E9">
            <w:pPr>
              <w:spacing w:after="0" w:line="280" w:lineRule="atLeast"/>
              <w:rPr>
                <w:rFonts w:ascii="Arial" w:hAnsi="Arial" w:cs="Arial"/>
              </w:rPr>
            </w:pPr>
          </w:p>
        </w:tc>
      </w:tr>
      <w:tr w:rsidR="00B45BB6" w:rsidRPr="00497CA7" w14:paraId="5DD89409" w14:textId="77777777" w:rsidTr="00531776">
        <w:trPr>
          <w:cantSplit/>
          <w:trHeight w:val="5377"/>
        </w:trPr>
        <w:tc>
          <w:tcPr>
            <w:tcW w:w="3544" w:type="dxa"/>
            <w:vMerge/>
          </w:tcPr>
          <w:p w14:paraId="0AA8C72E" w14:textId="3562CC79" w:rsidR="00B45BB6" w:rsidRPr="00497CA7" w:rsidRDefault="00B45BB6" w:rsidP="00C209EF">
            <w:pPr>
              <w:spacing w:after="0" w:line="280" w:lineRule="atLeast"/>
              <w:rPr>
                <w:rFonts w:ascii="Arial" w:hAnsi="Arial" w:cs="Arial"/>
              </w:rPr>
            </w:pPr>
          </w:p>
        </w:tc>
        <w:tc>
          <w:tcPr>
            <w:tcW w:w="5386" w:type="dxa"/>
          </w:tcPr>
          <w:p w14:paraId="3FB869D3" w14:textId="77777777" w:rsidR="00B45BB6" w:rsidRDefault="00B45BB6" w:rsidP="00B45BB6">
            <w:pPr>
              <w:spacing w:after="0" w:line="280" w:lineRule="atLeast"/>
              <w:rPr>
                <w:rFonts w:ascii="Arial" w:hAnsi="Arial" w:cs="Arial"/>
              </w:rPr>
            </w:pPr>
            <w:r>
              <w:rPr>
                <w:rFonts w:ascii="Arial" w:hAnsi="Arial" w:cs="Arial"/>
              </w:rPr>
              <w:t xml:space="preserve">Sub-section (3) </w:t>
            </w:r>
          </w:p>
          <w:p w14:paraId="20C09ACC" w14:textId="77777777" w:rsidR="00B45BB6" w:rsidRDefault="00B45BB6" w:rsidP="00B45BB6">
            <w:pPr>
              <w:spacing w:after="0" w:line="280" w:lineRule="atLeast"/>
              <w:rPr>
                <w:rFonts w:ascii="Arial" w:hAnsi="Arial" w:cs="Arial"/>
              </w:rPr>
            </w:pPr>
          </w:p>
          <w:p w14:paraId="17FF411B" w14:textId="77777777" w:rsidR="00B45BB6" w:rsidRDefault="00B45BB6" w:rsidP="00B45BB6">
            <w:pPr>
              <w:spacing w:after="0" w:line="280" w:lineRule="atLeast"/>
              <w:rPr>
                <w:rFonts w:ascii="Arial" w:hAnsi="Arial" w:cs="Arial"/>
              </w:rPr>
            </w:pPr>
            <w:r>
              <w:rPr>
                <w:rFonts w:ascii="Arial" w:hAnsi="Arial" w:cs="Arial"/>
              </w:rPr>
              <w:t xml:space="preserve">Provides for an offence for a licensee if a licensee operates a gaming machine at their authorised premises that is not connected to an account-based gaming system that gives effect to the pre-commitment controls and is the controls are not functioning in the way in which it was approved by the commission. </w:t>
            </w:r>
          </w:p>
          <w:p w14:paraId="367156BE" w14:textId="77777777" w:rsidR="00B45BB6" w:rsidRDefault="00B45BB6" w:rsidP="00B45BB6">
            <w:pPr>
              <w:spacing w:after="0" w:line="280" w:lineRule="atLeast"/>
              <w:rPr>
                <w:rFonts w:ascii="Arial" w:hAnsi="Arial" w:cs="Arial"/>
              </w:rPr>
            </w:pPr>
          </w:p>
          <w:p w14:paraId="30F90F9C" w14:textId="4F69C4AB" w:rsidR="00B45BB6" w:rsidRPr="00497CA7" w:rsidRDefault="00B45BB6" w:rsidP="00B45BB6">
            <w:pPr>
              <w:spacing w:after="0" w:line="280" w:lineRule="atLeast"/>
              <w:rPr>
                <w:rFonts w:ascii="Arial" w:hAnsi="Arial" w:cs="Arial"/>
              </w:rPr>
            </w:pPr>
            <w:r>
              <w:rPr>
                <w:rFonts w:ascii="Arial" w:hAnsi="Arial" w:cs="Arial"/>
              </w:rPr>
              <w:t xml:space="preserve">The offence does not apply if the licensee took all reasonable steps to ensure </w:t>
            </w:r>
            <w:r w:rsidR="007D1303">
              <w:rPr>
                <w:rFonts w:ascii="Arial" w:hAnsi="Arial" w:cs="Arial"/>
              </w:rPr>
              <w:t xml:space="preserve">the pre-commitment controls were functioning in the way in which the controls were approved to function. </w:t>
            </w:r>
            <w:r>
              <w:rPr>
                <w:rFonts w:ascii="Arial" w:hAnsi="Arial" w:cs="Arial"/>
              </w:rPr>
              <w:t xml:space="preserve">The defendant has the evidential burden of proof in these circumstances. </w:t>
            </w:r>
          </w:p>
        </w:tc>
      </w:tr>
      <w:tr w:rsidR="00C209EF" w:rsidRPr="00497CA7" w14:paraId="04E5DE7E" w14:textId="77777777" w:rsidTr="001F25C8">
        <w:trPr>
          <w:cantSplit/>
          <w:trHeight w:val="1687"/>
        </w:trPr>
        <w:tc>
          <w:tcPr>
            <w:tcW w:w="3544" w:type="dxa"/>
          </w:tcPr>
          <w:p w14:paraId="7E5F8F31" w14:textId="7DDB04C1" w:rsidR="00C209EF" w:rsidRPr="00531776" w:rsidRDefault="00C209EF" w:rsidP="00C209EF">
            <w:pPr>
              <w:spacing w:after="0" w:line="280" w:lineRule="atLeast"/>
              <w:rPr>
                <w:rFonts w:ascii="Arial" w:hAnsi="Arial" w:cs="Arial"/>
              </w:rPr>
            </w:pPr>
            <w:r w:rsidRPr="00531776">
              <w:rPr>
                <w:rFonts w:ascii="Arial" w:hAnsi="Arial" w:cs="Arial"/>
              </w:rPr>
              <w:t>Section 67</w:t>
            </w:r>
            <w:r w:rsidR="00812B1E">
              <w:rPr>
                <w:rFonts w:ascii="Arial" w:hAnsi="Arial" w:cs="Arial"/>
              </w:rPr>
              <w:t>T</w:t>
            </w:r>
            <w:r w:rsidRPr="00531776">
              <w:rPr>
                <w:rFonts w:ascii="Arial" w:hAnsi="Arial" w:cs="Arial"/>
              </w:rPr>
              <w:t>(2)</w:t>
            </w:r>
          </w:p>
          <w:p w14:paraId="6CF018F9" w14:textId="77777777" w:rsidR="00C209EF" w:rsidRPr="00531776" w:rsidRDefault="00C209EF" w:rsidP="00C209EF">
            <w:pPr>
              <w:spacing w:after="0" w:line="280" w:lineRule="atLeast"/>
              <w:rPr>
                <w:rFonts w:ascii="Arial" w:hAnsi="Arial" w:cs="Arial"/>
              </w:rPr>
            </w:pPr>
          </w:p>
          <w:p w14:paraId="0D32F4E6" w14:textId="565261BD" w:rsidR="00C209EF" w:rsidRPr="00531776" w:rsidRDefault="00C209EF" w:rsidP="00C209EF">
            <w:pPr>
              <w:spacing w:after="0" w:line="280" w:lineRule="atLeast"/>
              <w:rPr>
                <w:rFonts w:ascii="Arial" w:hAnsi="Arial" w:cs="Arial"/>
              </w:rPr>
            </w:pPr>
            <w:r w:rsidRPr="00531776">
              <w:rPr>
                <w:rFonts w:ascii="Arial" w:hAnsi="Arial" w:cs="Arial"/>
              </w:rPr>
              <w:t>Use or disclosure of account information</w:t>
            </w:r>
          </w:p>
        </w:tc>
        <w:tc>
          <w:tcPr>
            <w:tcW w:w="5386" w:type="dxa"/>
          </w:tcPr>
          <w:p w14:paraId="39617986" w14:textId="317C72CB" w:rsidR="00C209EF" w:rsidRPr="00531776" w:rsidRDefault="00C209EF" w:rsidP="00C209EF">
            <w:pPr>
              <w:spacing w:after="0" w:line="280" w:lineRule="atLeast"/>
              <w:rPr>
                <w:rFonts w:ascii="Arial" w:hAnsi="Arial" w:cs="Arial"/>
              </w:rPr>
            </w:pPr>
          </w:p>
          <w:p w14:paraId="76E9DD90" w14:textId="5D3EE13D" w:rsidR="00C209EF" w:rsidRPr="00531776" w:rsidRDefault="00C209EF" w:rsidP="00C209EF">
            <w:pPr>
              <w:spacing w:after="0" w:line="280" w:lineRule="atLeast"/>
              <w:rPr>
                <w:rFonts w:ascii="Arial" w:hAnsi="Arial" w:cs="Arial"/>
              </w:rPr>
            </w:pPr>
            <w:r w:rsidRPr="00531776">
              <w:rPr>
                <w:rFonts w:ascii="Arial" w:hAnsi="Arial" w:cs="Arial"/>
              </w:rPr>
              <w:t xml:space="preserve">Provides for an offence for a licensee that the disclosure or use of account information is prohibited unless </w:t>
            </w:r>
            <w:r w:rsidR="00AA282C">
              <w:rPr>
                <w:rFonts w:ascii="Arial" w:hAnsi="Arial" w:cs="Arial"/>
              </w:rPr>
              <w:t>it i</w:t>
            </w:r>
            <w:r w:rsidRPr="00531776">
              <w:rPr>
                <w:rFonts w:ascii="Arial" w:hAnsi="Arial" w:cs="Arial"/>
              </w:rPr>
              <w:t>s in accordance with the section.</w:t>
            </w:r>
          </w:p>
        </w:tc>
      </w:tr>
      <w:tr w:rsidR="0081088B" w:rsidRPr="00497CA7" w14:paraId="676B1545" w14:textId="77777777" w:rsidTr="001F25C8">
        <w:trPr>
          <w:cantSplit/>
          <w:trHeight w:val="1687"/>
        </w:trPr>
        <w:tc>
          <w:tcPr>
            <w:tcW w:w="3544" w:type="dxa"/>
            <w:vMerge w:val="restart"/>
          </w:tcPr>
          <w:p w14:paraId="16788FD7" w14:textId="5FFDE34A" w:rsidR="0081088B" w:rsidRDefault="0081088B" w:rsidP="00C209EF">
            <w:pPr>
              <w:spacing w:after="0" w:line="280" w:lineRule="atLeast"/>
              <w:rPr>
                <w:rFonts w:ascii="Arial" w:hAnsi="Arial" w:cs="Arial"/>
              </w:rPr>
            </w:pPr>
            <w:r>
              <w:rPr>
                <w:rFonts w:ascii="Arial" w:hAnsi="Arial" w:cs="Arial"/>
              </w:rPr>
              <w:t>Section 67</w:t>
            </w:r>
            <w:r w:rsidR="002E786F">
              <w:rPr>
                <w:rFonts w:ascii="Arial" w:hAnsi="Arial" w:cs="Arial"/>
              </w:rPr>
              <w:t>U</w:t>
            </w:r>
          </w:p>
          <w:p w14:paraId="36767C05" w14:textId="77777777" w:rsidR="0081088B" w:rsidRDefault="0081088B" w:rsidP="00C209EF">
            <w:pPr>
              <w:spacing w:after="0" w:line="280" w:lineRule="atLeast"/>
              <w:rPr>
                <w:rFonts w:ascii="Arial" w:hAnsi="Arial" w:cs="Arial"/>
              </w:rPr>
            </w:pPr>
          </w:p>
          <w:p w14:paraId="7D88C6EB" w14:textId="3E000FB9" w:rsidR="0081088B" w:rsidRPr="0003095A" w:rsidRDefault="0081088B" w:rsidP="00C209EF">
            <w:pPr>
              <w:spacing w:after="0" w:line="280" w:lineRule="atLeast"/>
              <w:rPr>
                <w:rFonts w:ascii="Arial" w:hAnsi="Arial" w:cs="Arial"/>
              </w:rPr>
            </w:pPr>
            <w:r>
              <w:rPr>
                <w:rFonts w:ascii="Arial" w:hAnsi="Arial" w:cs="Arial"/>
              </w:rPr>
              <w:t>Record keeping requirements</w:t>
            </w:r>
          </w:p>
        </w:tc>
        <w:tc>
          <w:tcPr>
            <w:tcW w:w="5386" w:type="dxa"/>
          </w:tcPr>
          <w:p w14:paraId="70A40FEA" w14:textId="77777777" w:rsidR="0081088B" w:rsidRDefault="0081088B" w:rsidP="00C209EF">
            <w:pPr>
              <w:spacing w:after="0" w:line="280" w:lineRule="atLeast"/>
              <w:rPr>
                <w:rFonts w:ascii="Arial" w:hAnsi="Arial" w:cs="Arial"/>
              </w:rPr>
            </w:pPr>
            <w:r>
              <w:rPr>
                <w:rFonts w:ascii="Arial" w:hAnsi="Arial" w:cs="Arial"/>
              </w:rPr>
              <w:t>Sub-section (1)</w:t>
            </w:r>
          </w:p>
          <w:p w14:paraId="482D4C7E" w14:textId="77777777" w:rsidR="0081088B" w:rsidRDefault="0081088B" w:rsidP="00C209EF">
            <w:pPr>
              <w:spacing w:after="0" w:line="280" w:lineRule="atLeast"/>
              <w:rPr>
                <w:rFonts w:ascii="Arial" w:hAnsi="Arial" w:cs="Arial"/>
              </w:rPr>
            </w:pPr>
          </w:p>
          <w:p w14:paraId="515A855D" w14:textId="77777777" w:rsidR="0081088B" w:rsidRDefault="008E38DF" w:rsidP="00C209EF">
            <w:pPr>
              <w:spacing w:after="0" w:line="280" w:lineRule="atLeast"/>
              <w:rPr>
                <w:rFonts w:ascii="Arial" w:hAnsi="Arial" w:cs="Arial"/>
              </w:rPr>
            </w:pPr>
            <w:r w:rsidRPr="008E38DF">
              <w:rPr>
                <w:rFonts w:ascii="Arial" w:hAnsi="Arial" w:cs="Arial"/>
              </w:rPr>
              <w:t>Provides for an offence if a licensee does not keep a record of the matters prescribed by regulation.</w:t>
            </w:r>
          </w:p>
          <w:p w14:paraId="2AC77268" w14:textId="77777777" w:rsidR="007136EF" w:rsidRDefault="007136EF" w:rsidP="00C209EF">
            <w:pPr>
              <w:spacing w:after="0" w:line="280" w:lineRule="atLeast"/>
              <w:rPr>
                <w:rFonts w:ascii="Arial" w:hAnsi="Arial" w:cs="Arial"/>
              </w:rPr>
            </w:pPr>
          </w:p>
          <w:p w14:paraId="45C362CB" w14:textId="77777777" w:rsidR="007136EF" w:rsidRDefault="007136EF" w:rsidP="007136EF">
            <w:pPr>
              <w:spacing w:after="0" w:line="280" w:lineRule="atLeast"/>
              <w:rPr>
                <w:rFonts w:ascii="Arial" w:hAnsi="Arial" w:cs="Arial"/>
              </w:rPr>
            </w:pPr>
            <w:r>
              <w:rPr>
                <w:rFonts w:ascii="Arial" w:hAnsi="Arial" w:cs="Arial"/>
              </w:rPr>
              <w:t xml:space="preserve">This offence is a strict liability offence. </w:t>
            </w:r>
          </w:p>
          <w:p w14:paraId="03441F22" w14:textId="125E687F" w:rsidR="007136EF" w:rsidRPr="0003095A" w:rsidDel="00EB5B5D" w:rsidRDefault="007136EF" w:rsidP="00C209EF">
            <w:pPr>
              <w:spacing w:after="0" w:line="280" w:lineRule="atLeast"/>
              <w:rPr>
                <w:rFonts w:ascii="Arial" w:hAnsi="Arial" w:cs="Arial"/>
              </w:rPr>
            </w:pPr>
          </w:p>
        </w:tc>
      </w:tr>
      <w:tr w:rsidR="0081088B" w:rsidRPr="00497CA7" w14:paraId="20CA2C02" w14:textId="77777777" w:rsidTr="001F25C8">
        <w:trPr>
          <w:cantSplit/>
          <w:trHeight w:val="1687"/>
        </w:trPr>
        <w:tc>
          <w:tcPr>
            <w:tcW w:w="3544" w:type="dxa"/>
            <w:vMerge/>
          </w:tcPr>
          <w:p w14:paraId="7BA3E1AB" w14:textId="77777777" w:rsidR="0081088B" w:rsidRDefault="0081088B" w:rsidP="00C209EF">
            <w:pPr>
              <w:spacing w:after="0" w:line="280" w:lineRule="atLeast"/>
              <w:rPr>
                <w:rFonts w:ascii="Arial" w:hAnsi="Arial" w:cs="Arial"/>
              </w:rPr>
            </w:pPr>
          </w:p>
        </w:tc>
        <w:tc>
          <w:tcPr>
            <w:tcW w:w="5386" w:type="dxa"/>
          </w:tcPr>
          <w:p w14:paraId="3DC9977E" w14:textId="77777777" w:rsidR="0081088B" w:rsidRDefault="0081088B" w:rsidP="00C209EF">
            <w:pPr>
              <w:spacing w:after="0" w:line="280" w:lineRule="atLeast"/>
              <w:rPr>
                <w:rFonts w:ascii="Arial" w:hAnsi="Arial" w:cs="Arial"/>
              </w:rPr>
            </w:pPr>
            <w:r>
              <w:rPr>
                <w:rFonts w:ascii="Arial" w:hAnsi="Arial" w:cs="Arial"/>
              </w:rPr>
              <w:t>Sub-section (2)</w:t>
            </w:r>
          </w:p>
          <w:p w14:paraId="478880C0" w14:textId="77777777" w:rsidR="009B6A18" w:rsidRDefault="009B6A18" w:rsidP="00C209EF">
            <w:pPr>
              <w:spacing w:after="0" w:line="280" w:lineRule="atLeast"/>
              <w:rPr>
                <w:rFonts w:ascii="Arial" w:hAnsi="Arial" w:cs="Arial"/>
              </w:rPr>
            </w:pPr>
          </w:p>
          <w:p w14:paraId="4203EA5E" w14:textId="77777777" w:rsidR="009B6A18" w:rsidRDefault="009B6A18" w:rsidP="00C209EF">
            <w:pPr>
              <w:spacing w:after="0" w:line="280" w:lineRule="atLeast"/>
              <w:rPr>
                <w:rFonts w:ascii="Arial" w:hAnsi="Arial" w:cs="Arial"/>
              </w:rPr>
            </w:pPr>
            <w:r w:rsidRPr="009B6A18">
              <w:rPr>
                <w:rFonts w:ascii="Arial" w:hAnsi="Arial" w:cs="Arial"/>
              </w:rPr>
              <w:t>Provides for an offence if the licensees fail to give a copy of the records to the commission if requested by the commission.</w:t>
            </w:r>
          </w:p>
          <w:p w14:paraId="33EDC01D" w14:textId="77777777" w:rsidR="007136EF" w:rsidRDefault="007136EF" w:rsidP="00C209EF">
            <w:pPr>
              <w:spacing w:after="0" w:line="280" w:lineRule="atLeast"/>
              <w:rPr>
                <w:rFonts w:ascii="Arial" w:hAnsi="Arial" w:cs="Arial"/>
              </w:rPr>
            </w:pPr>
          </w:p>
          <w:p w14:paraId="4F7A3D1C" w14:textId="77777777" w:rsidR="007136EF" w:rsidRDefault="007136EF" w:rsidP="007136EF">
            <w:pPr>
              <w:spacing w:after="0" w:line="280" w:lineRule="atLeast"/>
              <w:rPr>
                <w:rFonts w:ascii="Arial" w:hAnsi="Arial" w:cs="Arial"/>
              </w:rPr>
            </w:pPr>
            <w:r>
              <w:rPr>
                <w:rFonts w:ascii="Arial" w:hAnsi="Arial" w:cs="Arial"/>
              </w:rPr>
              <w:t xml:space="preserve">This offence is a strict liability offence. </w:t>
            </w:r>
          </w:p>
          <w:p w14:paraId="59154A24" w14:textId="78C43B4C" w:rsidR="007136EF" w:rsidRPr="0003095A" w:rsidDel="00EB5B5D" w:rsidRDefault="007136EF" w:rsidP="00C209EF">
            <w:pPr>
              <w:spacing w:after="0" w:line="280" w:lineRule="atLeast"/>
              <w:rPr>
                <w:rFonts w:ascii="Arial" w:hAnsi="Arial" w:cs="Arial"/>
              </w:rPr>
            </w:pPr>
          </w:p>
        </w:tc>
      </w:tr>
      <w:tr w:rsidR="004916BE" w:rsidRPr="00497CA7" w14:paraId="32CF3239" w14:textId="77777777" w:rsidTr="001F25C8">
        <w:trPr>
          <w:cantSplit/>
          <w:trHeight w:val="1687"/>
        </w:trPr>
        <w:tc>
          <w:tcPr>
            <w:tcW w:w="3544" w:type="dxa"/>
            <w:vMerge w:val="restart"/>
          </w:tcPr>
          <w:p w14:paraId="25EC96B6" w14:textId="77777777" w:rsidR="004916BE" w:rsidRDefault="004916BE" w:rsidP="00C209EF">
            <w:pPr>
              <w:spacing w:after="0" w:line="280" w:lineRule="atLeast"/>
              <w:rPr>
                <w:rFonts w:ascii="Arial" w:hAnsi="Arial" w:cs="Arial"/>
              </w:rPr>
            </w:pPr>
            <w:r>
              <w:rPr>
                <w:rFonts w:ascii="Arial" w:hAnsi="Arial" w:cs="Arial"/>
              </w:rPr>
              <w:t>Section 67V</w:t>
            </w:r>
          </w:p>
          <w:p w14:paraId="6CD07E94" w14:textId="77777777" w:rsidR="004916BE" w:rsidRDefault="004916BE" w:rsidP="00C209EF">
            <w:pPr>
              <w:spacing w:after="0" w:line="280" w:lineRule="atLeast"/>
              <w:rPr>
                <w:rFonts w:ascii="Arial" w:hAnsi="Arial" w:cs="Arial"/>
              </w:rPr>
            </w:pPr>
          </w:p>
          <w:p w14:paraId="6337D002" w14:textId="7702A32F" w:rsidR="004916BE" w:rsidRPr="009D1D82" w:rsidRDefault="004916BE" w:rsidP="00C209EF">
            <w:pPr>
              <w:spacing w:after="0" w:line="280" w:lineRule="atLeast"/>
              <w:rPr>
                <w:rFonts w:ascii="Arial" w:hAnsi="Arial" w:cs="Arial"/>
              </w:rPr>
            </w:pPr>
            <w:r>
              <w:rPr>
                <w:rFonts w:ascii="Arial" w:hAnsi="Arial" w:cs="Arial"/>
              </w:rPr>
              <w:t>Reports to commission</w:t>
            </w:r>
          </w:p>
        </w:tc>
        <w:tc>
          <w:tcPr>
            <w:tcW w:w="5386" w:type="dxa"/>
          </w:tcPr>
          <w:p w14:paraId="48A85295" w14:textId="77777777" w:rsidR="004916BE" w:rsidRDefault="004916BE" w:rsidP="00C209EF">
            <w:pPr>
              <w:spacing w:after="0" w:line="280" w:lineRule="atLeast"/>
              <w:rPr>
                <w:rFonts w:ascii="Arial" w:hAnsi="Arial" w:cs="Arial"/>
              </w:rPr>
            </w:pPr>
            <w:r>
              <w:rPr>
                <w:rFonts w:ascii="Arial" w:hAnsi="Arial" w:cs="Arial"/>
              </w:rPr>
              <w:t>Sub-section (1)</w:t>
            </w:r>
          </w:p>
          <w:p w14:paraId="2552752C" w14:textId="77777777" w:rsidR="004916BE" w:rsidRDefault="004916BE" w:rsidP="00C209EF">
            <w:pPr>
              <w:spacing w:after="0" w:line="280" w:lineRule="atLeast"/>
              <w:rPr>
                <w:rFonts w:ascii="Arial" w:hAnsi="Arial" w:cs="Arial"/>
              </w:rPr>
            </w:pPr>
          </w:p>
          <w:p w14:paraId="2B95FEA9" w14:textId="77777777" w:rsidR="004916BE" w:rsidRDefault="004916BE" w:rsidP="00C209EF">
            <w:pPr>
              <w:spacing w:after="0" w:line="280" w:lineRule="atLeast"/>
              <w:rPr>
                <w:rFonts w:ascii="Arial" w:hAnsi="Arial" w:cs="Arial"/>
              </w:rPr>
            </w:pPr>
            <w:r w:rsidRPr="007A71EE">
              <w:rPr>
                <w:rFonts w:ascii="Arial" w:hAnsi="Arial" w:cs="Arial"/>
              </w:rPr>
              <w:t>Provides for an offence for failing to prepare a written report of the records kept for the month containing only de-identified information.</w:t>
            </w:r>
          </w:p>
          <w:p w14:paraId="1CD4EF42" w14:textId="77777777" w:rsidR="004916BE" w:rsidRDefault="004916BE" w:rsidP="00C209EF">
            <w:pPr>
              <w:spacing w:after="0" w:line="280" w:lineRule="atLeast"/>
              <w:rPr>
                <w:rFonts w:ascii="Arial" w:hAnsi="Arial" w:cs="Arial"/>
              </w:rPr>
            </w:pPr>
          </w:p>
          <w:p w14:paraId="07DC556D" w14:textId="77777777" w:rsidR="004916BE" w:rsidRDefault="004916BE" w:rsidP="004916BE">
            <w:pPr>
              <w:spacing w:after="0" w:line="280" w:lineRule="atLeast"/>
              <w:rPr>
                <w:rFonts w:ascii="Arial" w:hAnsi="Arial" w:cs="Arial"/>
              </w:rPr>
            </w:pPr>
            <w:r>
              <w:rPr>
                <w:rFonts w:ascii="Arial" w:hAnsi="Arial" w:cs="Arial"/>
              </w:rPr>
              <w:t xml:space="preserve">This offence is a strict liability offence. </w:t>
            </w:r>
          </w:p>
          <w:p w14:paraId="6F33D715" w14:textId="6D1EEFC1" w:rsidR="004916BE" w:rsidRPr="009D1D82" w:rsidDel="00EB5B5D" w:rsidRDefault="004916BE" w:rsidP="00C209EF">
            <w:pPr>
              <w:spacing w:after="0" w:line="280" w:lineRule="atLeast"/>
              <w:rPr>
                <w:rFonts w:ascii="Arial" w:hAnsi="Arial" w:cs="Arial"/>
              </w:rPr>
            </w:pPr>
          </w:p>
        </w:tc>
      </w:tr>
      <w:tr w:rsidR="004916BE" w:rsidRPr="00497CA7" w14:paraId="6F56A38A" w14:textId="77777777" w:rsidTr="001F25C8">
        <w:trPr>
          <w:cantSplit/>
          <w:trHeight w:val="1687"/>
        </w:trPr>
        <w:tc>
          <w:tcPr>
            <w:tcW w:w="3544" w:type="dxa"/>
            <w:vMerge/>
          </w:tcPr>
          <w:p w14:paraId="5B156729" w14:textId="77777777" w:rsidR="004916BE" w:rsidRPr="009D1D82" w:rsidRDefault="004916BE" w:rsidP="00C209EF">
            <w:pPr>
              <w:spacing w:after="0" w:line="280" w:lineRule="atLeast"/>
              <w:rPr>
                <w:rFonts w:ascii="Arial" w:hAnsi="Arial" w:cs="Arial"/>
              </w:rPr>
            </w:pPr>
          </w:p>
        </w:tc>
        <w:tc>
          <w:tcPr>
            <w:tcW w:w="5386" w:type="dxa"/>
          </w:tcPr>
          <w:p w14:paraId="3FA1A6AC" w14:textId="77777777" w:rsidR="004916BE" w:rsidRDefault="004916BE" w:rsidP="00C209EF">
            <w:pPr>
              <w:spacing w:after="0" w:line="280" w:lineRule="atLeast"/>
              <w:rPr>
                <w:rFonts w:ascii="Arial" w:hAnsi="Arial" w:cs="Arial"/>
              </w:rPr>
            </w:pPr>
            <w:r>
              <w:rPr>
                <w:rFonts w:ascii="Arial" w:hAnsi="Arial" w:cs="Arial"/>
              </w:rPr>
              <w:t>Sub-section (2)</w:t>
            </w:r>
          </w:p>
          <w:p w14:paraId="39940B05" w14:textId="77777777" w:rsidR="004916BE" w:rsidRDefault="004916BE" w:rsidP="00C209EF">
            <w:pPr>
              <w:spacing w:after="0" w:line="280" w:lineRule="atLeast"/>
              <w:rPr>
                <w:rFonts w:ascii="Arial" w:hAnsi="Arial" w:cs="Arial"/>
              </w:rPr>
            </w:pPr>
          </w:p>
          <w:p w14:paraId="5A4F4186" w14:textId="77777777" w:rsidR="004916BE" w:rsidRDefault="004916BE" w:rsidP="00C209EF">
            <w:pPr>
              <w:spacing w:after="0" w:line="280" w:lineRule="atLeast"/>
              <w:rPr>
                <w:rFonts w:ascii="Arial" w:hAnsi="Arial" w:cs="Arial"/>
              </w:rPr>
            </w:pPr>
            <w:r w:rsidRPr="0093251B">
              <w:rPr>
                <w:rFonts w:ascii="Arial" w:hAnsi="Arial" w:cs="Arial"/>
              </w:rPr>
              <w:t>Provides for an offence if the report is not prepared within 1 week after the end of each month.</w:t>
            </w:r>
          </w:p>
          <w:p w14:paraId="06A10C49" w14:textId="77777777" w:rsidR="004916BE" w:rsidRDefault="004916BE" w:rsidP="00C209EF">
            <w:pPr>
              <w:spacing w:after="0" w:line="280" w:lineRule="atLeast"/>
              <w:rPr>
                <w:rFonts w:ascii="Arial" w:hAnsi="Arial" w:cs="Arial"/>
              </w:rPr>
            </w:pPr>
          </w:p>
          <w:p w14:paraId="42267885" w14:textId="77777777" w:rsidR="004916BE" w:rsidRDefault="004916BE" w:rsidP="004916BE">
            <w:pPr>
              <w:spacing w:after="0" w:line="280" w:lineRule="atLeast"/>
              <w:rPr>
                <w:rFonts w:ascii="Arial" w:hAnsi="Arial" w:cs="Arial"/>
              </w:rPr>
            </w:pPr>
            <w:r>
              <w:rPr>
                <w:rFonts w:ascii="Arial" w:hAnsi="Arial" w:cs="Arial"/>
              </w:rPr>
              <w:t xml:space="preserve">This offence is a strict liability offence. </w:t>
            </w:r>
          </w:p>
          <w:p w14:paraId="5F237BF1" w14:textId="246107D7" w:rsidR="004916BE" w:rsidRPr="009D1D82" w:rsidDel="00EB5B5D" w:rsidRDefault="004916BE" w:rsidP="00C209EF">
            <w:pPr>
              <w:spacing w:after="0" w:line="280" w:lineRule="atLeast"/>
              <w:rPr>
                <w:rFonts w:ascii="Arial" w:hAnsi="Arial" w:cs="Arial"/>
              </w:rPr>
            </w:pPr>
          </w:p>
        </w:tc>
      </w:tr>
      <w:tr w:rsidR="004916BE" w:rsidRPr="00497CA7" w14:paraId="2F095356" w14:textId="77777777" w:rsidTr="001F25C8">
        <w:trPr>
          <w:cantSplit/>
          <w:trHeight w:val="1687"/>
        </w:trPr>
        <w:tc>
          <w:tcPr>
            <w:tcW w:w="3544" w:type="dxa"/>
            <w:vMerge/>
          </w:tcPr>
          <w:p w14:paraId="78AB2D49" w14:textId="77777777" w:rsidR="004916BE" w:rsidRPr="009D1D82" w:rsidRDefault="004916BE" w:rsidP="00C209EF">
            <w:pPr>
              <w:spacing w:after="0" w:line="280" w:lineRule="atLeast"/>
              <w:rPr>
                <w:rFonts w:ascii="Arial" w:hAnsi="Arial" w:cs="Arial"/>
              </w:rPr>
            </w:pPr>
          </w:p>
        </w:tc>
        <w:tc>
          <w:tcPr>
            <w:tcW w:w="5386" w:type="dxa"/>
          </w:tcPr>
          <w:p w14:paraId="75DC053B" w14:textId="77777777" w:rsidR="004916BE" w:rsidRDefault="004916BE" w:rsidP="00C209EF">
            <w:pPr>
              <w:spacing w:after="0" w:line="280" w:lineRule="atLeast"/>
              <w:rPr>
                <w:rFonts w:ascii="Arial" w:hAnsi="Arial" w:cs="Arial"/>
              </w:rPr>
            </w:pPr>
            <w:r>
              <w:rPr>
                <w:rFonts w:ascii="Arial" w:hAnsi="Arial" w:cs="Arial"/>
              </w:rPr>
              <w:t>Sub-section (3)</w:t>
            </w:r>
          </w:p>
          <w:p w14:paraId="7DAA4768" w14:textId="77777777" w:rsidR="004916BE" w:rsidRDefault="004916BE" w:rsidP="00C209EF">
            <w:pPr>
              <w:spacing w:after="0" w:line="280" w:lineRule="atLeast"/>
              <w:rPr>
                <w:rFonts w:ascii="Arial" w:hAnsi="Arial" w:cs="Arial"/>
              </w:rPr>
            </w:pPr>
          </w:p>
          <w:p w14:paraId="37DAC8A4" w14:textId="77777777" w:rsidR="004916BE" w:rsidRDefault="004916BE" w:rsidP="00C209EF">
            <w:pPr>
              <w:spacing w:after="0" w:line="280" w:lineRule="atLeast"/>
              <w:rPr>
                <w:rFonts w:ascii="Arial" w:hAnsi="Arial" w:cs="Arial"/>
              </w:rPr>
            </w:pPr>
            <w:r w:rsidRPr="00F6488B">
              <w:rPr>
                <w:rFonts w:ascii="Arial" w:hAnsi="Arial" w:cs="Arial"/>
              </w:rPr>
              <w:t>Provides for an offence if the licensee does not keep each report for at least 2 years.</w:t>
            </w:r>
          </w:p>
          <w:p w14:paraId="1350741B" w14:textId="77777777" w:rsidR="004916BE" w:rsidRDefault="004916BE" w:rsidP="00C209EF">
            <w:pPr>
              <w:spacing w:after="0" w:line="280" w:lineRule="atLeast"/>
              <w:rPr>
                <w:rFonts w:ascii="Arial" w:hAnsi="Arial" w:cs="Arial"/>
              </w:rPr>
            </w:pPr>
          </w:p>
          <w:p w14:paraId="57D099C4" w14:textId="77777777" w:rsidR="004916BE" w:rsidRDefault="004916BE" w:rsidP="004916BE">
            <w:pPr>
              <w:spacing w:after="0" w:line="280" w:lineRule="atLeast"/>
              <w:rPr>
                <w:rFonts w:ascii="Arial" w:hAnsi="Arial" w:cs="Arial"/>
              </w:rPr>
            </w:pPr>
            <w:r>
              <w:rPr>
                <w:rFonts w:ascii="Arial" w:hAnsi="Arial" w:cs="Arial"/>
              </w:rPr>
              <w:t xml:space="preserve">This offence is a strict liability offence. </w:t>
            </w:r>
          </w:p>
          <w:p w14:paraId="59F53544" w14:textId="6CA94049" w:rsidR="004916BE" w:rsidRPr="009D1D82" w:rsidDel="00EB5B5D" w:rsidRDefault="004916BE" w:rsidP="00C209EF">
            <w:pPr>
              <w:spacing w:after="0" w:line="280" w:lineRule="atLeast"/>
              <w:rPr>
                <w:rFonts w:ascii="Arial" w:hAnsi="Arial" w:cs="Arial"/>
              </w:rPr>
            </w:pPr>
          </w:p>
        </w:tc>
      </w:tr>
      <w:tr w:rsidR="004916BE" w:rsidRPr="00497CA7" w14:paraId="671F7D98" w14:textId="77777777" w:rsidTr="001F25C8">
        <w:trPr>
          <w:cantSplit/>
          <w:trHeight w:val="1687"/>
        </w:trPr>
        <w:tc>
          <w:tcPr>
            <w:tcW w:w="3544" w:type="dxa"/>
            <w:vMerge/>
          </w:tcPr>
          <w:p w14:paraId="0A83C588" w14:textId="77777777" w:rsidR="004916BE" w:rsidRPr="009D1D82" w:rsidRDefault="004916BE" w:rsidP="00C209EF">
            <w:pPr>
              <w:spacing w:after="0" w:line="280" w:lineRule="atLeast"/>
              <w:rPr>
                <w:rFonts w:ascii="Arial" w:hAnsi="Arial" w:cs="Arial"/>
              </w:rPr>
            </w:pPr>
          </w:p>
        </w:tc>
        <w:tc>
          <w:tcPr>
            <w:tcW w:w="5386" w:type="dxa"/>
          </w:tcPr>
          <w:p w14:paraId="438D0EF2" w14:textId="77777777" w:rsidR="004916BE" w:rsidRDefault="004916BE" w:rsidP="00C209EF">
            <w:pPr>
              <w:spacing w:after="0" w:line="280" w:lineRule="atLeast"/>
              <w:rPr>
                <w:rFonts w:ascii="Arial" w:hAnsi="Arial" w:cs="Arial"/>
              </w:rPr>
            </w:pPr>
            <w:r>
              <w:rPr>
                <w:rFonts w:ascii="Arial" w:hAnsi="Arial" w:cs="Arial"/>
              </w:rPr>
              <w:t>Sub-section (4)</w:t>
            </w:r>
          </w:p>
          <w:p w14:paraId="7250315A" w14:textId="77777777" w:rsidR="004916BE" w:rsidRDefault="004916BE" w:rsidP="00C209EF">
            <w:pPr>
              <w:spacing w:after="0" w:line="280" w:lineRule="atLeast"/>
              <w:rPr>
                <w:rFonts w:ascii="Arial" w:hAnsi="Arial" w:cs="Arial"/>
              </w:rPr>
            </w:pPr>
          </w:p>
          <w:p w14:paraId="0A4D74D8" w14:textId="77777777" w:rsidR="004916BE" w:rsidRDefault="004916BE" w:rsidP="00C209EF">
            <w:pPr>
              <w:spacing w:after="0" w:line="280" w:lineRule="atLeast"/>
              <w:rPr>
                <w:rFonts w:ascii="Arial" w:hAnsi="Arial" w:cs="Arial"/>
              </w:rPr>
            </w:pPr>
            <w:r w:rsidRPr="004916BE">
              <w:rPr>
                <w:rFonts w:ascii="Arial" w:hAnsi="Arial" w:cs="Arial"/>
              </w:rPr>
              <w:t>Provides for an offence if the licensee does not give a copy of all reports for a financial year to the commission not later than 1 month after the end of that financial year.</w:t>
            </w:r>
          </w:p>
          <w:p w14:paraId="1C5CA152" w14:textId="77777777" w:rsidR="004916BE" w:rsidRDefault="004916BE" w:rsidP="00C209EF">
            <w:pPr>
              <w:spacing w:after="0" w:line="280" w:lineRule="atLeast"/>
              <w:rPr>
                <w:rFonts w:ascii="Arial" w:hAnsi="Arial" w:cs="Arial"/>
              </w:rPr>
            </w:pPr>
          </w:p>
          <w:p w14:paraId="70EC0438" w14:textId="3AF25A42" w:rsidR="004916BE" w:rsidRDefault="004916BE" w:rsidP="00C209EF">
            <w:pPr>
              <w:spacing w:after="0" w:line="280" w:lineRule="atLeast"/>
              <w:rPr>
                <w:rFonts w:ascii="Arial" w:hAnsi="Arial" w:cs="Arial"/>
              </w:rPr>
            </w:pPr>
            <w:r>
              <w:rPr>
                <w:rFonts w:ascii="Arial" w:hAnsi="Arial" w:cs="Arial"/>
              </w:rPr>
              <w:t xml:space="preserve">This offence is a strict liability offence. </w:t>
            </w:r>
          </w:p>
          <w:p w14:paraId="7C3DBA42" w14:textId="0F88FD5F" w:rsidR="004916BE" w:rsidRDefault="004916BE" w:rsidP="00C209EF">
            <w:pPr>
              <w:spacing w:after="0" w:line="280" w:lineRule="atLeast"/>
              <w:rPr>
                <w:rFonts w:ascii="Arial" w:hAnsi="Arial" w:cs="Arial"/>
              </w:rPr>
            </w:pPr>
          </w:p>
        </w:tc>
      </w:tr>
      <w:tr w:rsidR="001D5D81" w:rsidRPr="00497CA7" w14:paraId="3FB431AF" w14:textId="77777777" w:rsidTr="001F25C8">
        <w:trPr>
          <w:cantSplit/>
          <w:trHeight w:val="1687"/>
        </w:trPr>
        <w:tc>
          <w:tcPr>
            <w:tcW w:w="3544" w:type="dxa"/>
            <w:vMerge w:val="restart"/>
          </w:tcPr>
          <w:p w14:paraId="38D32DBF" w14:textId="77777777" w:rsidR="001D5D81" w:rsidRDefault="001D5D81" w:rsidP="00C209EF">
            <w:pPr>
              <w:spacing w:after="0" w:line="280" w:lineRule="atLeast"/>
              <w:rPr>
                <w:rFonts w:ascii="Arial" w:hAnsi="Arial" w:cs="Arial"/>
              </w:rPr>
            </w:pPr>
            <w:r>
              <w:rPr>
                <w:rFonts w:ascii="Arial" w:hAnsi="Arial" w:cs="Arial"/>
              </w:rPr>
              <w:lastRenderedPageBreak/>
              <w:t>Section 67W</w:t>
            </w:r>
          </w:p>
          <w:p w14:paraId="7477624E" w14:textId="77777777" w:rsidR="001D5D81" w:rsidRDefault="001D5D81" w:rsidP="00C209EF">
            <w:pPr>
              <w:spacing w:after="0" w:line="280" w:lineRule="atLeast"/>
              <w:rPr>
                <w:rFonts w:ascii="Arial" w:hAnsi="Arial" w:cs="Arial"/>
              </w:rPr>
            </w:pPr>
          </w:p>
          <w:p w14:paraId="7B9C9467" w14:textId="61355E79" w:rsidR="001D5D81" w:rsidRPr="009D1D82" w:rsidRDefault="001D5D81" w:rsidP="00C209EF">
            <w:pPr>
              <w:spacing w:after="0" w:line="280" w:lineRule="atLeast"/>
              <w:rPr>
                <w:rFonts w:ascii="Arial" w:hAnsi="Arial" w:cs="Arial"/>
              </w:rPr>
            </w:pPr>
            <w:r>
              <w:rPr>
                <w:rFonts w:ascii="Arial" w:hAnsi="Arial" w:cs="Arial"/>
              </w:rPr>
              <w:t xml:space="preserve">Monthly activity statements </w:t>
            </w:r>
          </w:p>
        </w:tc>
        <w:tc>
          <w:tcPr>
            <w:tcW w:w="5386" w:type="dxa"/>
          </w:tcPr>
          <w:p w14:paraId="1A029CED" w14:textId="77777777" w:rsidR="001D5D81" w:rsidRDefault="001D5D81" w:rsidP="00C209EF">
            <w:pPr>
              <w:spacing w:after="0" w:line="280" w:lineRule="atLeast"/>
              <w:rPr>
                <w:rFonts w:ascii="Arial" w:hAnsi="Arial" w:cs="Arial"/>
              </w:rPr>
            </w:pPr>
            <w:r>
              <w:rPr>
                <w:rFonts w:ascii="Arial" w:hAnsi="Arial" w:cs="Arial"/>
              </w:rPr>
              <w:t>Sub-section (1)</w:t>
            </w:r>
          </w:p>
          <w:p w14:paraId="0B9D9109" w14:textId="77777777" w:rsidR="001D5D81" w:rsidRDefault="001D5D81" w:rsidP="00C209EF">
            <w:pPr>
              <w:spacing w:after="0" w:line="280" w:lineRule="atLeast"/>
              <w:rPr>
                <w:rFonts w:ascii="Arial" w:hAnsi="Arial" w:cs="Arial"/>
              </w:rPr>
            </w:pPr>
          </w:p>
          <w:p w14:paraId="68DDE6A3" w14:textId="77777777" w:rsidR="001D5D81" w:rsidRDefault="001D5D81" w:rsidP="00C209EF">
            <w:pPr>
              <w:spacing w:after="0" w:line="280" w:lineRule="atLeast"/>
              <w:rPr>
                <w:rFonts w:ascii="Arial" w:hAnsi="Arial" w:cs="Arial"/>
              </w:rPr>
            </w:pPr>
            <w:r>
              <w:rPr>
                <w:rFonts w:ascii="Arial" w:hAnsi="Arial" w:cs="Arial"/>
              </w:rPr>
              <w:t xml:space="preserve">Provides for an offence if a licensee does not prepare a document each month containing the information prescribed by regulation for each person who holds a player account. </w:t>
            </w:r>
          </w:p>
          <w:p w14:paraId="27F1C2D9" w14:textId="77777777" w:rsidR="001D5D81" w:rsidRDefault="001D5D81" w:rsidP="00C209EF">
            <w:pPr>
              <w:spacing w:after="0" w:line="280" w:lineRule="atLeast"/>
              <w:rPr>
                <w:rFonts w:ascii="Arial" w:hAnsi="Arial" w:cs="Arial"/>
              </w:rPr>
            </w:pPr>
          </w:p>
          <w:p w14:paraId="3BE4195C" w14:textId="5381538B" w:rsidR="001D5D81" w:rsidRDefault="001D5D81" w:rsidP="00F11E19">
            <w:pPr>
              <w:spacing w:after="0" w:line="280" w:lineRule="atLeast"/>
              <w:rPr>
                <w:rFonts w:ascii="Arial" w:hAnsi="Arial" w:cs="Arial"/>
              </w:rPr>
            </w:pPr>
            <w:r>
              <w:rPr>
                <w:rFonts w:ascii="Arial" w:hAnsi="Arial" w:cs="Arial"/>
              </w:rPr>
              <w:t xml:space="preserve">This offence is a strict liability offence. The offence does not apply in relation to an account-holder during a non-gaming period. The defendant has the evidential burden of proof in these circumstances. </w:t>
            </w:r>
          </w:p>
          <w:p w14:paraId="40F630A0" w14:textId="53E3527A" w:rsidR="001D5D81" w:rsidRDefault="001D5D81" w:rsidP="00C209EF">
            <w:pPr>
              <w:spacing w:after="0" w:line="280" w:lineRule="atLeast"/>
              <w:rPr>
                <w:rFonts w:ascii="Arial" w:hAnsi="Arial" w:cs="Arial"/>
              </w:rPr>
            </w:pPr>
          </w:p>
        </w:tc>
      </w:tr>
      <w:tr w:rsidR="001D5D81" w:rsidRPr="00497CA7" w14:paraId="23BF4959" w14:textId="77777777" w:rsidTr="001F25C8">
        <w:trPr>
          <w:cantSplit/>
          <w:trHeight w:val="1687"/>
        </w:trPr>
        <w:tc>
          <w:tcPr>
            <w:tcW w:w="3544" w:type="dxa"/>
            <w:vMerge/>
          </w:tcPr>
          <w:p w14:paraId="36D1B460" w14:textId="77777777" w:rsidR="001D5D81" w:rsidRPr="009D1D82" w:rsidRDefault="001D5D81" w:rsidP="00C209EF">
            <w:pPr>
              <w:spacing w:after="0" w:line="280" w:lineRule="atLeast"/>
              <w:rPr>
                <w:rFonts w:ascii="Arial" w:hAnsi="Arial" w:cs="Arial"/>
              </w:rPr>
            </w:pPr>
          </w:p>
        </w:tc>
        <w:tc>
          <w:tcPr>
            <w:tcW w:w="5386" w:type="dxa"/>
          </w:tcPr>
          <w:p w14:paraId="0660BE54" w14:textId="77777777" w:rsidR="001D5D81" w:rsidRDefault="001D5D81" w:rsidP="00C209EF">
            <w:pPr>
              <w:spacing w:after="0" w:line="280" w:lineRule="atLeast"/>
              <w:rPr>
                <w:rFonts w:ascii="Arial" w:hAnsi="Arial" w:cs="Arial"/>
              </w:rPr>
            </w:pPr>
            <w:r>
              <w:rPr>
                <w:rFonts w:ascii="Arial" w:hAnsi="Arial" w:cs="Arial"/>
              </w:rPr>
              <w:t>Sub-section (2)</w:t>
            </w:r>
          </w:p>
          <w:p w14:paraId="242C5219" w14:textId="77777777" w:rsidR="001D5D81" w:rsidRDefault="001D5D81" w:rsidP="00C209EF">
            <w:pPr>
              <w:spacing w:after="0" w:line="280" w:lineRule="atLeast"/>
              <w:rPr>
                <w:rFonts w:ascii="Arial" w:hAnsi="Arial" w:cs="Arial"/>
              </w:rPr>
            </w:pPr>
          </w:p>
          <w:p w14:paraId="2E19D648" w14:textId="77777777" w:rsidR="001D5D81" w:rsidRDefault="001D5D81" w:rsidP="00C209EF">
            <w:pPr>
              <w:spacing w:after="0" w:line="280" w:lineRule="atLeast"/>
              <w:rPr>
                <w:rFonts w:ascii="Arial" w:hAnsi="Arial" w:cs="Arial"/>
              </w:rPr>
            </w:pPr>
            <w:r>
              <w:rPr>
                <w:rFonts w:ascii="Arial" w:hAnsi="Arial" w:cs="Arial"/>
              </w:rPr>
              <w:t xml:space="preserve">Provides for an offence if the licensee fails to give an activity statement to an account holder as soon as practicable, but not later than 7 days after the end of the month to which the statement applies and in a way chosen by the account holder. </w:t>
            </w:r>
          </w:p>
          <w:p w14:paraId="3861497A" w14:textId="77777777" w:rsidR="001D5D81" w:rsidRDefault="001D5D81" w:rsidP="00C209EF">
            <w:pPr>
              <w:spacing w:after="0" w:line="280" w:lineRule="atLeast"/>
              <w:rPr>
                <w:rFonts w:ascii="Arial" w:hAnsi="Arial" w:cs="Arial"/>
              </w:rPr>
            </w:pPr>
          </w:p>
          <w:p w14:paraId="24D42C86" w14:textId="02174F7D" w:rsidR="001D5D81" w:rsidRDefault="001D5D81" w:rsidP="00E074F5">
            <w:pPr>
              <w:spacing w:after="0" w:line="280" w:lineRule="atLeast"/>
              <w:rPr>
                <w:rFonts w:ascii="Arial" w:hAnsi="Arial" w:cs="Arial"/>
              </w:rPr>
            </w:pPr>
            <w:r>
              <w:rPr>
                <w:rFonts w:ascii="Arial" w:hAnsi="Arial" w:cs="Arial"/>
              </w:rPr>
              <w:t>This offence is a strict liability offence. The offence does not apply in relation to an account-holder during a non-gaming period. The defendant has the evidential burden of proof in these circumstances.</w:t>
            </w:r>
          </w:p>
          <w:p w14:paraId="260187B1" w14:textId="3700F3ED" w:rsidR="001D5D81" w:rsidRDefault="001D5D81" w:rsidP="00C209EF">
            <w:pPr>
              <w:spacing w:after="0" w:line="280" w:lineRule="atLeast"/>
              <w:rPr>
                <w:rFonts w:ascii="Arial" w:hAnsi="Arial" w:cs="Arial"/>
              </w:rPr>
            </w:pPr>
          </w:p>
        </w:tc>
      </w:tr>
      <w:tr w:rsidR="001D5D81" w:rsidRPr="00497CA7" w14:paraId="199F4D7D" w14:textId="77777777" w:rsidTr="001F25C8">
        <w:trPr>
          <w:cantSplit/>
          <w:trHeight w:val="1687"/>
        </w:trPr>
        <w:tc>
          <w:tcPr>
            <w:tcW w:w="3544" w:type="dxa"/>
            <w:vMerge/>
          </w:tcPr>
          <w:p w14:paraId="3990D458" w14:textId="77777777" w:rsidR="001D5D81" w:rsidRPr="009D1D82" w:rsidRDefault="001D5D81" w:rsidP="00C209EF">
            <w:pPr>
              <w:spacing w:after="0" w:line="280" w:lineRule="atLeast"/>
              <w:rPr>
                <w:rFonts w:ascii="Arial" w:hAnsi="Arial" w:cs="Arial"/>
              </w:rPr>
            </w:pPr>
          </w:p>
        </w:tc>
        <w:tc>
          <w:tcPr>
            <w:tcW w:w="5386" w:type="dxa"/>
          </w:tcPr>
          <w:p w14:paraId="7F631A9B" w14:textId="4EEE4E0F" w:rsidR="001D5D81" w:rsidRDefault="001D5D81" w:rsidP="00C209EF">
            <w:pPr>
              <w:spacing w:after="0" w:line="280" w:lineRule="atLeast"/>
              <w:rPr>
                <w:rFonts w:ascii="Arial" w:hAnsi="Arial" w:cs="Arial"/>
              </w:rPr>
            </w:pPr>
            <w:r>
              <w:rPr>
                <w:rFonts w:ascii="Arial" w:hAnsi="Arial" w:cs="Arial"/>
              </w:rPr>
              <w:t>Sub-section (4)</w:t>
            </w:r>
          </w:p>
          <w:p w14:paraId="229496A7" w14:textId="77777777" w:rsidR="001D5D81" w:rsidRDefault="001D5D81" w:rsidP="00C209EF">
            <w:pPr>
              <w:spacing w:after="0" w:line="280" w:lineRule="atLeast"/>
              <w:rPr>
                <w:rFonts w:ascii="Arial" w:hAnsi="Arial" w:cs="Arial"/>
              </w:rPr>
            </w:pPr>
          </w:p>
          <w:p w14:paraId="3AF62F0B" w14:textId="77777777" w:rsidR="001D5D81" w:rsidRDefault="001D5D81" w:rsidP="00290CCF">
            <w:pPr>
              <w:spacing w:after="0" w:line="280" w:lineRule="atLeast"/>
              <w:rPr>
                <w:rFonts w:ascii="Arial" w:hAnsi="Arial" w:cs="Arial"/>
              </w:rPr>
            </w:pPr>
            <w:r>
              <w:rPr>
                <w:rFonts w:ascii="Arial" w:hAnsi="Arial" w:cs="Arial"/>
              </w:rPr>
              <w:t xml:space="preserve">Provides for an offence for a licensee if an account </w:t>
            </w:r>
            <w:r w:rsidRPr="00290CCF">
              <w:rPr>
                <w:rFonts w:ascii="Arial" w:hAnsi="Arial" w:cs="Arial"/>
              </w:rPr>
              <w:t>holder asks to be given an activity statement prepared within the last 7 years; and the licensee fails to give the activity statement to the account holder</w:t>
            </w:r>
            <w:r>
              <w:rPr>
                <w:rFonts w:ascii="Arial" w:hAnsi="Arial" w:cs="Arial"/>
              </w:rPr>
              <w:t xml:space="preserve"> </w:t>
            </w:r>
            <w:r w:rsidRPr="00290CCF">
              <w:rPr>
                <w:rFonts w:ascii="Arial" w:hAnsi="Arial" w:cs="Arial"/>
              </w:rPr>
              <w:t>as soon as practicable, but not later than 7 days, after the day the account holder asks for the statement; and in the way chosen by the account holder.</w:t>
            </w:r>
          </w:p>
          <w:p w14:paraId="2FF40D40" w14:textId="77777777" w:rsidR="001D5D81" w:rsidRDefault="001D5D81" w:rsidP="00290CCF">
            <w:pPr>
              <w:spacing w:after="0" w:line="280" w:lineRule="atLeast"/>
              <w:rPr>
                <w:rFonts w:ascii="Arial" w:hAnsi="Arial" w:cs="Arial"/>
              </w:rPr>
            </w:pPr>
          </w:p>
          <w:p w14:paraId="3FE4320A" w14:textId="77777777" w:rsidR="001D5D81" w:rsidRDefault="001D5D81" w:rsidP="007D05DD">
            <w:pPr>
              <w:spacing w:after="0" w:line="280" w:lineRule="atLeast"/>
              <w:rPr>
                <w:rFonts w:ascii="Arial" w:hAnsi="Arial" w:cs="Arial"/>
              </w:rPr>
            </w:pPr>
            <w:r>
              <w:rPr>
                <w:rFonts w:ascii="Arial" w:hAnsi="Arial" w:cs="Arial"/>
              </w:rPr>
              <w:t xml:space="preserve">This offence is a strict liability offence. </w:t>
            </w:r>
          </w:p>
          <w:p w14:paraId="042EFCA7" w14:textId="1F5B7240" w:rsidR="001D5D81" w:rsidRDefault="001D5D81" w:rsidP="00290CCF">
            <w:pPr>
              <w:spacing w:after="0" w:line="280" w:lineRule="atLeast"/>
              <w:rPr>
                <w:rFonts w:ascii="Arial" w:hAnsi="Arial" w:cs="Arial"/>
              </w:rPr>
            </w:pPr>
          </w:p>
        </w:tc>
      </w:tr>
      <w:tr w:rsidR="001D5D81" w:rsidRPr="00497CA7" w14:paraId="3EB35FD8" w14:textId="77777777" w:rsidTr="001F25C8">
        <w:trPr>
          <w:cantSplit/>
          <w:trHeight w:val="1687"/>
        </w:trPr>
        <w:tc>
          <w:tcPr>
            <w:tcW w:w="3544" w:type="dxa"/>
            <w:vMerge/>
          </w:tcPr>
          <w:p w14:paraId="317E2751" w14:textId="77777777" w:rsidR="001D5D81" w:rsidRPr="009D1D82" w:rsidRDefault="001D5D81" w:rsidP="00C209EF">
            <w:pPr>
              <w:spacing w:after="0" w:line="280" w:lineRule="atLeast"/>
              <w:rPr>
                <w:rFonts w:ascii="Arial" w:hAnsi="Arial" w:cs="Arial"/>
              </w:rPr>
            </w:pPr>
          </w:p>
        </w:tc>
        <w:tc>
          <w:tcPr>
            <w:tcW w:w="5386" w:type="dxa"/>
          </w:tcPr>
          <w:p w14:paraId="7DE00B6F" w14:textId="77777777" w:rsidR="001D5D81" w:rsidRDefault="001D5D81" w:rsidP="00C209EF">
            <w:pPr>
              <w:spacing w:after="0" w:line="280" w:lineRule="atLeast"/>
              <w:rPr>
                <w:rFonts w:ascii="Arial" w:hAnsi="Arial" w:cs="Arial"/>
              </w:rPr>
            </w:pPr>
            <w:r>
              <w:rPr>
                <w:rFonts w:ascii="Arial" w:hAnsi="Arial" w:cs="Arial"/>
              </w:rPr>
              <w:t>Sub-section (5)</w:t>
            </w:r>
          </w:p>
          <w:p w14:paraId="36C07BEB" w14:textId="77777777" w:rsidR="001D5D81" w:rsidRDefault="001D5D81" w:rsidP="00C209EF">
            <w:pPr>
              <w:spacing w:after="0" w:line="280" w:lineRule="atLeast"/>
              <w:rPr>
                <w:rFonts w:ascii="Arial" w:hAnsi="Arial" w:cs="Arial"/>
              </w:rPr>
            </w:pPr>
          </w:p>
          <w:p w14:paraId="7CF17386" w14:textId="77777777" w:rsidR="001D5D81" w:rsidRDefault="001D5D81" w:rsidP="00C209EF">
            <w:pPr>
              <w:spacing w:after="0" w:line="280" w:lineRule="atLeast"/>
              <w:rPr>
                <w:rFonts w:ascii="Arial" w:hAnsi="Arial" w:cs="Arial"/>
              </w:rPr>
            </w:pPr>
            <w:r>
              <w:rPr>
                <w:rFonts w:ascii="Arial" w:hAnsi="Arial" w:cs="Arial"/>
              </w:rPr>
              <w:t xml:space="preserve">Provides for an offence if the licensee gives an activity statements to an account-holder during a non-gaming period and the account holder had not asked to be given the activity statements. </w:t>
            </w:r>
          </w:p>
          <w:p w14:paraId="551C1870" w14:textId="77777777" w:rsidR="001D5D81" w:rsidRDefault="001D5D81" w:rsidP="00C209EF">
            <w:pPr>
              <w:spacing w:after="0" w:line="280" w:lineRule="atLeast"/>
              <w:rPr>
                <w:rFonts w:ascii="Arial" w:hAnsi="Arial" w:cs="Arial"/>
              </w:rPr>
            </w:pPr>
          </w:p>
          <w:p w14:paraId="43DEBC84" w14:textId="77777777" w:rsidR="001D5D81" w:rsidRDefault="001D5D81" w:rsidP="001D5D81">
            <w:pPr>
              <w:spacing w:after="0" w:line="280" w:lineRule="atLeast"/>
              <w:rPr>
                <w:rFonts w:ascii="Arial" w:hAnsi="Arial" w:cs="Arial"/>
              </w:rPr>
            </w:pPr>
            <w:r>
              <w:rPr>
                <w:rFonts w:ascii="Arial" w:hAnsi="Arial" w:cs="Arial"/>
              </w:rPr>
              <w:t xml:space="preserve">This offence is a strict liability offence. </w:t>
            </w:r>
          </w:p>
          <w:p w14:paraId="4FB71BD3" w14:textId="1DD56254" w:rsidR="001D5D81" w:rsidRDefault="001D5D81" w:rsidP="00C209EF">
            <w:pPr>
              <w:spacing w:after="0" w:line="280" w:lineRule="atLeast"/>
              <w:rPr>
                <w:rFonts w:ascii="Arial" w:hAnsi="Arial" w:cs="Arial"/>
              </w:rPr>
            </w:pPr>
          </w:p>
        </w:tc>
      </w:tr>
      <w:tr w:rsidR="001D5D81" w:rsidRPr="00497CA7" w14:paraId="10329212" w14:textId="77777777" w:rsidTr="001F25C8">
        <w:trPr>
          <w:cantSplit/>
          <w:trHeight w:val="1687"/>
        </w:trPr>
        <w:tc>
          <w:tcPr>
            <w:tcW w:w="3544" w:type="dxa"/>
            <w:vMerge/>
          </w:tcPr>
          <w:p w14:paraId="08081CCB" w14:textId="77777777" w:rsidR="001D5D81" w:rsidRPr="009D1D82" w:rsidRDefault="001D5D81" w:rsidP="00C209EF">
            <w:pPr>
              <w:spacing w:after="0" w:line="280" w:lineRule="atLeast"/>
              <w:rPr>
                <w:rFonts w:ascii="Arial" w:hAnsi="Arial" w:cs="Arial"/>
              </w:rPr>
            </w:pPr>
          </w:p>
        </w:tc>
        <w:tc>
          <w:tcPr>
            <w:tcW w:w="5386" w:type="dxa"/>
          </w:tcPr>
          <w:p w14:paraId="5A19B283" w14:textId="77777777" w:rsidR="001D5D81" w:rsidRDefault="001D5D81" w:rsidP="00C209EF">
            <w:pPr>
              <w:spacing w:after="0" w:line="280" w:lineRule="atLeast"/>
              <w:rPr>
                <w:rFonts w:ascii="Arial" w:hAnsi="Arial" w:cs="Arial"/>
              </w:rPr>
            </w:pPr>
            <w:r>
              <w:rPr>
                <w:rFonts w:ascii="Arial" w:hAnsi="Arial" w:cs="Arial"/>
              </w:rPr>
              <w:t>Sub-section (7)</w:t>
            </w:r>
          </w:p>
          <w:p w14:paraId="26CA9D6E" w14:textId="77777777" w:rsidR="001D5D81" w:rsidRDefault="001D5D81" w:rsidP="00C209EF">
            <w:pPr>
              <w:spacing w:after="0" w:line="280" w:lineRule="atLeast"/>
              <w:rPr>
                <w:rFonts w:ascii="Arial" w:hAnsi="Arial" w:cs="Arial"/>
              </w:rPr>
            </w:pPr>
          </w:p>
          <w:p w14:paraId="135B2CE9" w14:textId="2AB997AD" w:rsidR="001D5D81" w:rsidRDefault="00EF757B" w:rsidP="00C209EF">
            <w:pPr>
              <w:spacing w:after="0" w:line="280" w:lineRule="atLeast"/>
              <w:rPr>
                <w:rFonts w:ascii="Arial" w:hAnsi="Arial" w:cs="Arial"/>
              </w:rPr>
            </w:pPr>
            <w:r>
              <w:rPr>
                <w:rFonts w:ascii="Arial" w:hAnsi="Arial" w:cs="Arial"/>
              </w:rPr>
              <w:t xml:space="preserve">Provides for an offence if a licensee charges a fee for giving an activity statements. </w:t>
            </w:r>
          </w:p>
          <w:p w14:paraId="1F441FA5" w14:textId="77777777" w:rsidR="00EF757B" w:rsidRDefault="00EF757B" w:rsidP="00C209EF">
            <w:pPr>
              <w:spacing w:after="0" w:line="280" w:lineRule="atLeast"/>
              <w:rPr>
                <w:rFonts w:ascii="Arial" w:hAnsi="Arial" w:cs="Arial"/>
              </w:rPr>
            </w:pPr>
          </w:p>
          <w:p w14:paraId="01DBB8C6" w14:textId="39B420EF" w:rsidR="00EF757B" w:rsidRDefault="00EF757B" w:rsidP="00C209EF">
            <w:pPr>
              <w:spacing w:after="0" w:line="280" w:lineRule="atLeast"/>
              <w:rPr>
                <w:rFonts w:ascii="Arial" w:hAnsi="Arial" w:cs="Arial"/>
              </w:rPr>
            </w:pPr>
            <w:r>
              <w:rPr>
                <w:rFonts w:ascii="Arial" w:hAnsi="Arial" w:cs="Arial"/>
              </w:rPr>
              <w:t xml:space="preserve">This offence is a strict liability offence. </w:t>
            </w:r>
          </w:p>
          <w:p w14:paraId="3A45509E" w14:textId="486595C0" w:rsidR="001D5D81" w:rsidRDefault="001D5D81" w:rsidP="00C209EF">
            <w:pPr>
              <w:spacing w:after="0" w:line="280" w:lineRule="atLeast"/>
              <w:rPr>
                <w:rFonts w:ascii="Arial" w:hAnsi="Arial" w:cs="Arial"/>
              </w:rPr>
            </w:pPr>
          </w:p>
        </w:tc>
      </w:tr>
      <w:tr w:rsidR="00C90846" w:rsidRPr="00497CA7" w14:paraId="630316DB" w14:textId="77777777" w:rsidTr="001F25C8">
        <w:trPr>
          <w:cantSplit/>
          <w:trHeight w:val="1687"/>
        </w:trPr>
        <w:tc>
          <w:tcPr>
            <w:tcW w:w="3544" w:type="dxa"/>
          </w:tcPr>
          <w:p w14:paraId="0AF7F36B" w14:textId="1E71590C" w:rsidR="00C90846" w:rsidRDefault="00C90846" w:rsidP="00C209EF">
            <w:pPr>
              <w:spacing w:after="0" w:line="280" w:lineRule="atLeast"/>
              <w:rPr>
                <w:rFonts w:ascii="Arial" w:hAnsi="Arial" w:cs="Arial"/>
              </w:rPr>
            </w:pPr>
            <w:r>
              <w:rPr>
                <w:rFonts w:ascii="Arial" w:hAnsi="Arial" w:cs="Arial"/>
              </w:rPr>
              <w:t>Section 151A(</w:t>
            </w:r>
            <w:r w:rsidR="0024676E">
              <w:rPr>
                <w:rFonts w:ascii="Arial" w:hAnsi="Arial" w:cs="Arial"/>
              </w:rPr>
              <w:t>3)</w:t>
            </w:r>
          </w:p>
          <w:p w14:paraId="0B3A9147" w14:textId="77777777" w:rsidR="00C90846" w:rsidRDefault="00C90846" w:rsidP="00C209EF">
            <w:pPr>
              <w:spacing w:after="0" w:line="280" w:lineRule="atLeast"/>
              <w:rPr>
                <w:rFonts w:ascii="Arial" w:hAnsi="Arial" w:cs="Arial"/>
              </w:rPr>
            </w:pPr>
          </w:p>
          <w:p w14:paraId="01E8A5BB" w14:textId="0907FC63" w:rsidR="00C90846" w:rsidRPr="009D1D82" w:rsidRDefault="00C90846" w:rsidP="00C209EF">
            <w:pPr>
              <w:spacing w:after="0" w:line="280" w:lineRule="atLeast"/>
              <w:rPr>
                <w:rFonts w:ascii="Arial" w:hAnsi="Arial" w:cs="Arial"/>
              </w:rPr>
            </w:pPr>
            <w:r>
              <w:rPr>
                <w:rFonts w:ascii="Arial" w:hAnsi="Arial" w:cs="Arial"/>
              </w:rPr>
              <w:t xml:space="preserve">Gaming machine harm reduction guidance </w:t>
            </w:r>
          </w:p>
        </w:tc>
        <w:tc>
          <w:tcPr>
            <w:tcW w:w="5386" w:type="dxa"/>
          </w:tcPr>
          <w:p w14:paraId="23420BD9" w14:textId="5053D838" w:rsidR="00C90846" w:rsidRDefault="0024676E" w:rsidP="00C209EF">
            <w:pPr>
              <w:spacing w:after="0" w:line="280" w:lineRule="atLeast"/>
              <w:rPr>
                <w:rFonts w:ascii="Arial" w:hAnsi="Arial" w:cs="Arial"/>
              </w:rPr>
            </w:pPr>
            <w:r>
              <w:rPr>
                <w:rFonts w:ascii="Arial" w:hAnsi="Arial" w:cs="Arial"/>
              </w:rPr>
              <w:t xml:space="preserve">Provides for an offence of a licensee if the licensee fails to comply with a determination </w:t>
            </w:r>
            <w:r w:rsidR="000A76D8">
              <w:rPr>
                <w:rFonts w:ascii="Arial" w:hAnsi="Arial" w:cs="Arial"/>
              </w:rPr>
              <w:t>regarding the</w:t>
            </w:r>
            <w:r w:rsidR="000A76D8" w:rsidRPr="000A76D8">
              <w:rPr>
                <w:rFonts w:ascii="Arial" w:hAnsi="Arial" w:cs="Arial"/>
              </w:rPr>
              <w:t xml:space="preserve"> display of text, images or symbols at authorised premises explaining how a person can access guidance published by the commission about gaming machine harm reduction.</w:t>
            </w:r>
          </w:p>
          <w:p w14:paraId="552AB8DF" w14:textId="3B14F9C4" w:rsidR="000A76D8" w:rsidRDefault="000A76D8" w:rsidP="00C209EF">
            <w:pPr>
              <w:spacing w:after="0" w:line="280" w:lineRule="atLeast"/>
              <w:rPr>
                <w:rFonts w:ascii="Arial" w:hAnsi="Arial" w:cs="Arial"/>
              </w:rPr>
            </w:pPr>
          </w:p>
        </w:tc>
      </w:tr>
      <w:tr w:rsidR="00CC12E7" w:rsidRPr="00497CA7" w14:paraId="74EE566C" w14:textId="77777777" w:rsidTr="001F25C8">
        <w:trPr>
          <w:cantSplit/>
          <w:trHeight w:val="1687"/>
        </w:trPr>
        <w:tc>
          <w:tcPr>
            <w:tcW w:w="3544" w:type="dxa"/>
            <w:vMerge w:val="restart"/>
          </w:tcPr>
          <w:p w14:paraId="258405D3" w14:textId="2C575B31" w:rsidR="00CC12E7" w:rsidRDefault="00CC12E7" w:rsidP="00C209EF">
            <w:pPr>
              <w:spacing w:after="0" w:line="280" w:lineRule="atLeast"/>
              <w:rPr>
                <w:rFonts w:ascii="Arial" w:hAnsi="Arial" w:cs="Arial"/>
              </w:rPr>
            </w:pPr>
            <w:r>
              <w:rPr>
                <w:rFonts w:ascii="Arial" w:hAnsi="Arial" w:cs="Arial"/>
              </w:rPr>
              <w:t>Section 151</w:t>
            </w:r>
            <w:r w:rsidR="003E4EB4">
              <w:rPr>
                <w:rFonts w:ascii="Arial" w:hAnsi="Arial" w:cs="Arial"/>
              </w:rPr>
              <w:t>B</w:t>
            </w:r>
          </w:p>
          <w:p w14:paraId="0F946440" w14:textId="77777777" w:rsidR="00CC12E7" w:rsidRDefault="00CC12E7" w:rsidP="00C209EF">
            <w:pPr>
              <w:spacing w:after="0" w:line="280" w:lineRule="atLeast"/>
              <w:rPr>
                <w:rFonts w:ascii="Arial" w:hAnsi="Arial" w:cs="Arial"/>
              </w:rPr>
            </w:pPr>
          </w:p>
          <w:p w14:paraId="2AC209CC" w14:textId="3C7D4780" w:rsidR="00CC12E7" w:rsidRPr="009D1D82" w:rsidRDefault="00DD037B" w:rsidP="00C209EF">
            <w:pPr>
              <w:spacing w:after="0" w:line="280" w:lineRule="atLeast"/>
              <w:rPr>
                <w:rFonts w:ascii="Arial" w:hAnsi="Arial" w:cs="Arial"/>
              </w:rPr>
            </w:pPr>
            <w:r>
              <w:rPr>
                <w:rFonts w:ascii="Arial" w:hAnsi="Arial" w:cs="Arial"/>
              </w:rPr>
              <w:t>B</w:t>
            </w:r>
            <w:r w:rsidR="00CC12E7">
              <w:rPr>
                <w:rFonts w:ascii="Arial" w:hAnsi="Arial" w:cs="Arial"/>
              </w:rPr>
              <w:t xml:space="preserve">reaks in play </w:t>
            </w:r>
          </w:p>
        </w:tc>
        <w:tc>
          <w:tcPr>
            <w:tcW w:w="5386" w:type="dxa"/>
          </w:tcPr>
          <w:p w14:paraId="698917E3" w14:textId="77777777" w:rsidR="00CC12E7" w:rsidRPr="00DC69D6" w:rsidRDefault="00CC12E7" w:rsidP="00572808">
            <w:pPr>
              <w:spacing w:after="0" w:line="280" w:lineRule="atLeast"/>
              <w:rPr>
                <w:rFonts w:ascii="Arial" w:hAnsi="Arial" w:cs="Arial"/>
              </w:rPr>
            </w:pPr>
            <w:r w:rsidRPr="00DC69D6">
              <w:rPr>
                <w:rFonts w:ascii="Arial" w:hAnsi="Arial" w:cs="Arial"/>
              </w:rPr>
              <w:t>Sub-section (2)</w:t>
            </w:r>
          </w:p>
          <w:p w14:paraId="4B665F2E" w14:textId="77777777" w:rsidR="00CC12E7" w:rsidRPr="00DC69D6" w:rsidRDefault="00CC12E7" w:rsidP="00572808">
            <w:pPr>
              <w:spacing w:after="0" w:line="280" w:lineRule="atLeast"/>
              <w:rPr>
                <w:rFonts w:ascii="Arial" w:hAnsi="Arial" w:cs="Arial"/>
              </w:rPr>
            </w:pPr>
          </w:p>
          <w:p w14:paraId="76BA8E23" w14:textId="706CA803" w:rsidR="00CC12E7" w:rsidRDefault="00CC12E7" w:rsidP="00572808">
            <w:pPr>
              <w:spacing w:after="0" w:line="280" w:lineRule="atLeast"/>
              <w:rPr>
                <w:rFonts w:ascii="Arial" w:hAnsi="Arial" w:cs="Arial"/>
              </w:rPr>
            </w:pPr>
            <w:r w:rsidRPr="00DC69D6">
              <w:rPr>
                <w:rFonts w:ascii="Arial" w:hAnsi="Arial" w:cs="Arial"/>
              </w:rPr>
              <w:t>Provides for an offence for a licensee if a licensee fails to stop a person from playing a gaming machine for a period longer than 1 hour</w:t>
            </w:r>
            <w:r>
              <w:rPr>
                <w:rFonts w:ascii="Arial" w:hAnsi="Arial" w:cs="Arial"/>
              </w:rPr>
              <w:t xml:space="preserve">. </w:t>
            </w:r>
          </w:p>
          <w:p w14:paraId="68C925AA" w14:textId="77777777" w:rsidR="009F43A4" w:rsidRDefault="009F43A4" w:rsidP="00572808">
            <w:pPr>
              <w:spacing w:after="0" w:line="280" w:lineRule="atLeast"/>
              <w:rPr>
                <w:rFonts w:ascii="Arial" w:hAnsi="Arial" w:cs="Arial"/>
              </w:rPr>
            </w:pPr>
          </w:p>
          <w:p w14:paraId="5645FB15" w14:textId="77777777" w:rsidR="00AC4196" w:rsidRDefault="00AC4196" w:rsidP="00572808">
            <w:pPr>
              <w:spacing w:after="0" w:line="280" w:lineRule="atLeast"/>
              <w:rPr>
                <w:rFonts w:ascii="Arial" w:hAnsi="Arial" w:cs="Arial"/>
              </w:rPr>
            </w:pPr>
          </w:p>
          <w:p w14:paraId="09DCE92D" w14:textId="4A8183EC" w:rsidR="000F2E68" w:rsidRPr="004D548B" w:rsidRDefault="000F2E68" w:rsidP="000F2E68">
            <w:pPr>
              <w:rPr>
                <w:rFonts w:ascii="Arial" w:hAnsi="Arial" w:cs="Arial"/>
              </w:rPr>
            </w:pPr>
            <w:r w:rsidRPr="004D548B">
              <w:rPr>
                <w:rFonts w:ascii="Arial" w:hAnsi="Arial" w:cs="Arial"/>
              </w:rPr>
              <w:t xml:space="preserve">This offence is not strict liability, so it has fault elements. As the fault elements are not stipulated in the section, the default fault elements under section 22 of the </w:t>
            </w:r>
            <w:r w:rsidRPr="004D548B">
              <w:rPr>
                <w:rFonts w:ascii="Arial" w:hAnsi="Arial" w:cs="Arial"/>
                <w:i/>
                <w:iCs/>
              </w:rPr>
              <w:t>Criminal Code 2002</w:t>
            </w:r>
            <w:r w:rsidRPr="004D548B">
              <w:rPr>
                <w:rFonts w:ascii="Arial" w:hAnsi="Arial" w:cs="Arial"/>
              </w:rPr>
              <w:t xml:space="preserve"> apply. </w:t>
            </w:r>
          </w:p>
          <w:p w14:paraId="7AEA134C" w14:textId="5B7A510F" w:rsidR="000F2E68" w:rsidRPr="004D548B" w:rsidRDefault="000F2E68" w:rsidP="000F2E68">
            <w:pPr>
              <w:rPr>
                <w:rFonts w:ascii="Arial" w:hAnsi="Arial" w:cs="Arial"/>
              </w:rPr>
            </w:pPr>
            <w:r w:rsidRPr="004D548B">
              <w:rPr>
                <w:rFonts w:ascii="Arial" w:hAnsi="Arial" w:cs="Arial"/>
              </w:rPr>
              <w:t xml:space="preserve">The default fault element for conduct is intention. In this offence, the conduct is the licensee’s failure to stop a person from playing a gaming machine. Therefore, the licensee must intend to not stop a person from playing a gaming machine. </w:t>
            </w:r>
          </w:p>
          <w:p w14:paraId="00F35468" w14:textId="4635C9D1" w:rsidR="000F2E68" w:rsidRPr="004D548B" w:rsidRDefault="000F2E68" w:rsidP="000F2E68">
            <w:pPr>
              <w:rPr>
                <w:rFonts w:ascii="Arial" w:hAnsi="Arial" w:cs="Arial"/>
              </w:rPr>
            </w:pPr>
            <w:r w:rsidRPr="004D548B">
              <w:rPr>
                <w:rFonts w:ascii="Arial" w:hAnsi="Arial" w:cs="Arial"/>
              </w:rPr>
              <w:t>The default element for a circumstance or result is recklessness. In this offence the result is the person had played the gaming machine for at least an hour</w:t>
            </w:r>
            <w:r>
              <w:rPr>
                <w:rFonts w:ascii="Arial" w:hAnsi="Arial" w:cs="Arial"/>
              </w:rPr>
              <w:t>.</w:t>
            </w:r>
          </w:p>
          <w:p w14:paraId="6B3EC102" w14:textId="408E7AD2" w:rsidR="000F2E68" w:rsidRPr="004D548B" w:rsidRDefault="000F2E68" w:rsidP="000F2E68">
            <w:pPr>
              <w:rPr>
                <w:rFonts w:ascii="Arial" w:hAnsi="Arial" w:cs="Arial"/>
              </w:rPr>
            </w:pPr>
            <w:r w:rsidRPr="004D548B">
              <w:rPr>
                <w:rFonts w:ascii="Arial" w:hAnsi="Arial" w:cs="Arial"/>
              </w:rPr>
              <w:t xml:space="preserve">Therefore, in addition to intending not to stop the person from playing a gaming machine, the licensee must be reckless as to whether a person had played the gaming machine for 1 hour or more, as applicable in the situation. </w:t>
            </w:r>
          </w:p>
          <w:p w14:paraId="270BE009" w14:textId="77777777" w:rsidR="000F2E68" w:rsidRDefault="000F2E68" w:rsidP="00572808">
            <w:pPr>
              <w:spacing w:after="0" w:line="280" w:lineRule="atLeast"/>
              <w:rPr>
                <w:rFonts w:ascii="Arial" w:hAnsi="Arial" w:cs="Arial"/>
              </w:rPr>
            </w:pPr>
          </w:p>
          <w:p w14:paraId="545A35E8" w14:textId="77777777" w:rsidR="00CC12E7" w:rsidRDefault="00CC12E7" w:rsidP="00572808">
            <w:pPr>
              <w:spacing w:after="0" w:line="280" w:lineRule="atLeast"/>
              <w:rPr>
                <w:rFonts w:ascii="Arial" w:hAnsi="Arial" w:cs="Arial"/>
              </w:rPr>
            </w:pPr>
          </w:p>
          <w:p w14:paraId="1ACC6F75" w14:textId="4D426C1D" w:rsidR="00CC12E7" w:rsidRDefault="00CC12E7" w:rsidP="00572808">
            <w:pPr>
              <w:spacing w:after="0" w:line="280" w:lineRule="atLeast"/>
              <w:rPr>
                <w:rFonts w:ascii="Arial" w:hAnsi="Arial" w:cs="Arial"/>
              </w:rPr>
            </w:pPr>
            <w:r>
              <w:rPr>
                <w:rFonts w:ascii="Arial" w:hAnsi="Arial" w:cs="Arial"/>
              </w:rPr>
              <w:t>It is a defence to a prosecution i</w:t>
            </w:r>
            <w:r w:rsidR="00715142">
              <w:rPr>
                <w:rFonts w:ascii="Arial" w:hAnsi="Arial" w:cs="Arial"/>
              </w:rPr>
              <w:t>f</w:t>
            </w:r>
            <w:r>
              <w:rPr>
                <w:rFonts w:ascii="Arial" w:hAnsi="Arial" w:cs="Arial"/>
              </w:rPr>
              <w:t xml:space="preserve"> the licensee took all reasonable steps to stop the person from playing the gaming machines. The defendant has the legal burden of proof in these circumstances. </w:t>
            </w:r>
          </w:p>
          <w:p w14:paraId="70FEAAE0" w14:textId="315E45AC" w:rsidR="00CC12E7" w:rsidRDefault="00CC12E7" w:rsidP="00572808">
            <w:pPr>
              <w:spacing w:after="0" w:line="280" w:lineRule="atLeast"/>
              <w:rPr>
                <w:rFonts w:ascii="Arial" w:hAnsi="Arial" w:cs="Arial"/>
              </w:rPr>
            </w:pPr>
          </w:p>
        </w:tc>
      </w:tr>
      <w:tr w:rsidR="00CC12E7" w:rsidRPr="00497CA7" w14:paraId="7906336D" w14:textId="77777777" w:rsidTr="001F25C8">
        <w:trPr>
          <w:cantSplit/>
          <w:trHeight w:val="1687"/>
        </w:trPr>
        <w:tc>
          <w:tcPr>
            <w:tcW w:w="3544" w:type="dxa"/>
            <w:vMerge/>
          </w:tcPr>
          <w:p w14:paraId="5A437D8D" w14:textId="77777777" w:rsidR="00CC12E7" w:rsidRPr="009D1D82" w:rsidRDefault="00CC12E7" w:rsidP="00C209EF">
            <w:pPr>
              <w:spacing w:after="0" w:line="280" w:lineRule="atLeast"/>
              <w:rPr>
                <w:rFonts w:ascii="Arial" w:hAnsi="Arial" w:cs="Arial"/>
              </w:rPr>
            </w:pPr>
          </w:p>
        </w:tc>
        <w:tc>
          <w:tcPr>
            <w:tcW w:w="5386" w:type="dxa"/>
          </w:tcPr>
          <w:p w14:paraId="56F4B095" w14:textId="77777777" w:rsidR="00CC12E7" w:rsidRDefault="00CC12E7" w:rsidP="00C209EF">
            <w:pPr>
              <w:spacing w:after="0" w:line="280" w:lineRule="atLeast"/>
              <w:rPr>
                <w:rFonts w:ascii="Arial" w:hAnsi="Arial" w:cs="Arial"/>
              </w:rPr>
            </w:pPr>
            <w:r>
              <w:rPr>
                <w:rFonts w:ascii="Arial" w:hAnsi="Arial" w:cs="Arial"/>
              </w:rPr>
              <w:t>Sub-section (3)</w:t>
            </w:r>
          </w:p>
          <w:p w14:paraId="61E88A1C" w14:textId="77777777" w:rsidR="00CC12E7" w:rsidRDefault="00CC12E7" w:rsidP="00C209EF">
            <w:pPr>
              <w:spacing w:after="0" w:line="280" w:lineRule="atLeast"/>
              <w:rPr>
                <w:rFonts w:ascii="Arial" w:hAnsi="Arial" w:cs="Arial"/>
              </w:rPr>
            </w:pPr>
          </w:p>
          <w:p w14:paraId="1B34F153" w14:textId="052AE304" w:rsidR="00E610ED" w:rsidRDefault="00CB66AA" w:rsidP="00C209EF">
            <w:pPr>
              <w:spacing w:after="0" w:line="280" w:lineRule="atLeast"/>
              <w:rPr>
                <w:rFonts w:ascii="Arial" w:hAnsi="Arial" w:cs="Arial"/>
              </w:rPr>
            </w:pPr>
            <w:r w:rsidRPr="00CB66AA">
              <w:rPr>
                <w:rFonts w:ascii="Arial" w:hAnsi="Arial" w:cs="Arial"/>
              </w:rPr>
              <w:t>Provides for an offence if a licensee fails to stop a person from resuming gaming machine play of less than 15 minutes after stopping.</w:t>
            </w:r>
          </w:p>
          <w:p w14:paraId="184B165B" w14:textId="77777777" w:rsidR="001B7FCF" w:rsidRDefault="001B7FCF" w:rsidP="00C209EF">
            <w:pPr>
              <w:spacing w:after="0" w:line="280" w:lineRule="atLeast"/>
              <w:rPr>
                <w:rFonts w:ascii="Arial" w:hAnsi="Arial" w:cs="Arial"/>
              </w:rPr>
            </w:pPr>
          </w:p>
          <w:p w14:paraId="55D04592" w14:textId="77777777" w:rsidR="00572433" w:rsidRDefault="00572433" w:rsidP="00C209EF">
            <w:pPr>
              <w:spacing w:after="0" w:line="280" w:lineRule="atLeast"/>
              <w:rPr>
                <w:rFonts w:ascii="Arial" w:hAnsi="Arial" w:cs="Arial"/>
              </w:rPr>
            </w:pPr>
          </w:p>
          <w:p w14:paraId="29F1E250" w14:textId="73A57746" w:rsidR="000F2E68" w:rsidRPr="004D548B" w:rsidRDefault="000F2E68" w:rsidP="000F2E68">
            <w:pPr>
              <w:rPr>
                <w:rFonts w:ascii="Arial" w:hAnsi="Arial" w:cs="Arial"/>
              </w:rPr>
            </w:pPr>
            <w:r w:rsidRPr="004D548B">
              <w:rPr>
                <w:rFonts w:ascii="Arial" w:hAnsi="Arial" w:cs="Arial"/>
              </w:rPr>
              <w:t xml:space="preserve">This offence is not strict liability, so it has fault elements. As the fault elements are not stipulated in the section, the default fault elements under section 22 of the </w:t>
            </w:r>
            <w:r w:rsidRPr="004D548B">
              <w:rPr>
                <w:rFonts w:ascii="Arial" w:hAnsi="Arial" w:cs="Arial"/>
                <w:i/>
                <w:iCs/>
              </w:rPr>
              <w:t>Criminal Code 2002</w:t>
            </w:r>
            <w:r w:rsidRPr="004D548B">
              <w:rPr>
                <w:rFonts w:ascii="Arial" w:hAnsi="Arial" w:cs="Arial"/>
              </w:rPr>
              <w:t xml:space="preserve"> apply. </w:t>
            </w:r>
          </w:p>
          <w:p w14:paraId="3F83D0AF" w14:textId="76D01244" w:rsidR="000F2E68" w:rsidRPr="004D548B" w:rsidRDefault="000F2E68" w:rsidP="000F2E68">
            <w:pPr>
              <w:rPr>
                <w:rFonts w:ascii="Arial" w:hAnsi="Arial" w:cs="Arial"/>
              </w:rPr>
            </w:pPr>
            <w:r w:rsidRPr="004D548B">
              <w:rPr>
                <w:rFonts w:ascii="Arial" w:hAnsi="Arial" w:cs="Arial"/>
              </w:rPr>
              <w:t xml:space="preserve">The default fault element for conduct is intention. In this offence, the conduct is the licensee’s failure to stop a person from playing a gaming machine. Therefore, the licensee must intend to not stop a person from playing a gaming machine. </w:t>
            </w:r>
          </w:p>
          <w:p w14:paraId="3EE99733" w14:textId="2C4791A8" w:rsidR="000F2E68" w:rsidRPr="004D548B" w:rsidRDefault="000F2E68" w:rsidP="000F2E68">
            <w:pPr>
              <w:rPr>
                <w:rFonts w:ascii="Arial" w:hAnsi="Arial" w:cs="Arial"/>
              </w:rPr>
            </w:pPr>
            <w:r w:rsidRPr="004D548B">
              <w:rPr>
                <w:rFonts w:ascii="Arial" w:hAnsi="Arial" w:cs="Arial"/>
              </w:rPr>
              <w:t>The default element for a circumstance or result is recklessness. In this offences, the results are:</w:t>
            </w:r>
          </w:p>
          <w:p w14:paraId="225A6043" w14:textId="77777777" w:rsidR="000F2E68" w:rsidRPr="004D548B" w:rsidRDefault="000F2E68" w:rsidP="000F2E68">
            <w:pPr>
              <w:pStyle w:val="ListParagraph"/>
              <w:numPr>
                <w:ilvl w:val="0"/>
                <w:numId w:val="46"/>
              </w:numPr>
              <w:spacing w:after="200" w:line="276" w:lineRule="auto"/>
              <w:contextualSpacing/>
              <w:rPr>
                <w:rFonts w:ascii="Arial" w:hAnsi="Arial" w:cs="Arial"/>
              </w:rPr>
            </w:pPr>
            <w:r w:rsidRPr="004D548B">
              <w:rPr>
                <w:rFonts w:ascii="Arial" w:hAnsi="Arial" w:cs="Arial"/>
              </w:rPr>
              <w:t xml:space="preserve">the person had played the gaming machine for at least an hour, and </w:t>
            </w:r>
          </w:p>
          <w:p w14:paraId="002BB0ED" w14:textId="4B9A4251" w:rsidR="000F2E68" w:rsidRPr="004D548B" w:rsidRDefault="000F2E68" w:rsidP="000F2E68">
            <w:pPr>
              <w:pStyle w:val="ListParagraph"/>
              <w:numPr>
                <w:ilvl w:val="0"/>
                <w:numId w:val="46"/>
              </w:numPr>
              <w:spacing w:after="200" w:line="276" w:lineRule="auto"/>
              <w:contextualSpacing/>
              <w:rPr>
                <w:rFonts w:ascii="Arial" w:hAnsi="Arial" w:cs="Arial"/>
              </w:rPr>
            </w:pPr>
            <w:r w:rsidRPr="004D548B">
              <w:rPr>
                <w:rFonts w:ascii="Arial" w:hAnsi="Arial" w:cs="Arial"/>
              </w:rPr>
              <w:t xml:space="preserve">the person had not taken a break of 15 minutes or longer. </w:t>
            </w:r>
          </w:p>
          <w:p w14:paraId="54D2BB41" w14:textId="572B5632" w:rsidR="000F2E68" w:rsidRPr="000F2E68" w:rsidRDefault="000F2E68" w:rsidP="004D548B">
            <w:pPr>
              <w:rPr>
                <w:rFonts w:ascii="Arial" w:hAnsi="Arial" w:cs="Arial"/>
              </w:rPr>
            </w:pPr>
            <w:r w:rsidRPr="004D548B">
              <w:rPr>
                <w:rFonts w:ascii="Arial" w:hAnsi="Arial" w:cs="Arial"/>
              </w:rPr>
              <w:t xml:space="preserve">Therefore, in addition to intending not to stop the person from playing a gaming machine, the licensee must be reckless as to whether a person had played the gaming machine for 1 hour or more and/or had not taken a break of 15 minutes or more, as applicable in the situation. </w:t>
            </w:r>
          </w:p>
          <w:p w14:paraId="76751871" w14:textId="580068B6" w:rsidR="00CB66AA" w:rsidRDefault="00CB66AA" w:rsidP="00CB66AA">
            <w:pPr>
              <w:spacing w:after="0" w:line="280" w:lineRule="atLeast"/>
              <w:rPr>
                <w:rFonts w:ascii="Arial" w:hAnsi="Arial" w:cs="Arial"/>
              </w:rPr>
            </w:pPr>
            <w:r>
              <w:rPr>
                <w:rFonts w:ascii="Arial" w:hAnsi="Arial" w:cs="Arial"/>
              </w:rPr>
              <w:t xml:space="preserve">It is a defence to a prosecution </w:t>
            </w:r>
            <w:r w:rsidR="00C92F12">
              <w:rPr>
                <w:rFonts w:ascii="Arial" w:hAnsi="Arial" w:cs="Arial"/>
              </w:rPr>
              <w:t>if the</w:t>
            </w:r>
            <w:r>
              <w:rPr>
                <w:rFonts w:ascii="Arial" w:hAnsi="Arial" w:cs="Arial"/>
              </w:rPr>
              <w:t xml:space="preserve"> licensee</w:t>
            </w:r>
            <w:r w:rsidR="00C92F12">
              <w:rPr>
                <w:rFonts w:ascii="Arial" w:hAnsi="Arial" w:cs="Arial"/>
              </w:rPr>
              <w:t xml:space="preserve"> proves they</w:t>
            </w:r>
            <w:r>
              <w:rPr>
                <w:rFonts w:ascii="Arial" w:hAnsi="Arial" w:cs="Arial"/>
              </w:rPr>
              <w:t xml:space="preserve"> took all reasonable steps to stop the person from playing the gaming machines. The defendant has the legal burden of proof in these circumstances. </w:t>
            </w:r>
          </w:p>
          <w:p w14:paraId="6A3471FF" w14:textId="47A6EBB8" w:rsidR="00CB66AA" w:rsidRDefault="00CB66AA" w:rsidP="00C209EF">
            <w:pPr>
              <w:spacing w:after="0" w:line="280" w:lineRule="atLeast"/>
              <w:rPr>
                <w:rFonts w:ascii="Arial" w:hAnsi="Arial" w:cs="Arial"/>
              </w:rPr>
            </w:pPr>
          </w:p>
        </w:tc>
      </w:tr>
      <w:tr w:rsidR="00C209EF" w:rsidRPr="00497CA7" w14:paraId="6BDBABFE" w14:textId="77777777" w:rsidTr="001F25C8">
        <w:trPr>
          <w:cantSplit/>
          <w:trHeight w:val="1687"/>
        </w:trPr>
        <w:tc>
          <w:tcPr>
            <w:tcW w:w="3544" w:type="dxa"/>
          </w:tcPr>
          <w:p w14:paraId="5F7CD8DB" w14:textId="363EE464" w:rsidR="00C209EF" w:rsidRPr="00531776" w:rsidRDefault="00C209EF" w:rsidP="00C209EF">
            <w:pPr>
              <w:spacing w:after="0" w:line="280" w:lineRule="atLeast"/>
              <w:rPr>
                <w:rFonts w:ascii="Arial" w:hAnsi="Arial" w:cs="Arial"/>
              </w:rPr>
            </w:pPr>
            <w:r w:rsidRPr="00531776">
              <w:rPr>
                <w:rFonts w:ascii="Arial" w:hAnsi="Arial" w:cs="Arial"/>
              </w:rPr>
              <w:t>Section 153A(1)</w:t>
            </w:r>
          </w:p>
          <w:p w14:paraId="5BFCA0BE" w14:textId="77777777" w:rsidR="00C209EF" w:rsidRPr="00531776" w:rsidRDefault="00C209EF" w:rsidP="00C209EF">
            <w:pPr>
              <w:spacing w:after="0" w:line="280" w:lineRule="atLeast"/>
              <w:rPr>
                <w:rFonts w:ascii="Arial" w:hAnsi="Arial" w:cs="Arial"/>
              </w:rPr>
            </w:pPr>
          </w:p>
          <w:p w14:paraId="2B33CE79" w14:textId="1DDFD610" w:rsidR="00C209EF" w:rsidRPr="00531776" w:rsidRDefault="00C209EF" w:rsidP="00C209EF">
            <w:pPr>
              <w:spacing w:after="0" w:line="280" w:lineRule="atLeast"/>
              <w:rPr>
                <w:rFonts w:ascii="Arial" w:hAnsi="Arial" w:cs="Arial"/>
              </w:rPr>
            </w:pPr>
            <w:r w:rsidRPr="00531776">
              <w:rPr>
                <w:rFonts w:ascii="Arial" w:hAnsi="Arial" w:cs="Arial"/>
              </w:rPr>
              <w:t>Automatic teller machines prohibited</w:t>
            </w:r>
          </w:p>
        </w:tc>
        <w:tc>
          <w:tcPr>
            <w:tcW w:w="5386" w:type="dxa"/>
          </w:tcPr>
          <w:p w14:paraId="22F3FCFF" w14:textId="3BCB96C3" w:rsidR="00C209EF" w:rsidRDefault="00C209EF" w:rsidP="00C209EF">
            <w:pPr>
              <w:spacing w:after="0" w:line="280" w:lineRule="atLeast"/>
              <w:rPr>
                <w:rFonts w:ascii="Arial" w:hAnsi="Arial" w:cs="Arial"/>
              </w:rPr>
            </w:pPr>
            <w:r w:rsidRPr="00531776">
              <w:rPr>
                <w:rFonts w:ascii="Arial" w:hAnsi="Arial" w:cs="Arial"/>
              </w:rPr>
              <w:t>Provides for an offence for a licensee if a licensee fails to ensure</w:t>
            </w:r>
            <w:r w:rsidR="0060543A" w:rsidRPr="0060543A">
              <w:rPr>
                <w:rFonts w:ascii="Arial" w:hAnsi="Arial" w:cs="Arial"/>
              </w:rPr>
              <w:t xml:space="preserve"> an automatic teller machine is </w:t>
            </w:r>
            <w:r w:rsidR="0060543A">
              <w:rPr>
                <w:rFonts w:ascii="Arial" w:hAnsi="Arial" w:cs="Arial"/>
              </w:rPr>
              <w:t xml:space="preserve">not </w:t>
            </w:r>
            <w:r w:rsidR="0060543A" w:rsidRPr="0060543A">
              <w:rPr>
                <w:rFonts w:ascii="Arial" w:hAnsi="Arial" w:cs="Arial"/>
              </w:rPr>
              <w:t>located on any part of the licensee’s authorised premises or related premises</w:t>
            </w:r>
            <w:r w:rsidR="005A502C">
              <w:rPr>
                <w:rFonts w:ascii="Arial" w:hAnsi="Arial" w:cs="Arial"/>
              </w:rPr>
              <w:t xml:space="preserve"> if the ATM is within </w:t>
            </w:r>
            <w:r w:rsidR="00810688">
              <w:rPr>
                <w:rFonts w:ascii="Arial" w:hAnsi="Arial" w:cs="Arial"/>
              </w:rPr>
              <w:t>500m</w:t>
            </w:r>
            <w:r w:rsidR="005A502C">
              <w:rPr>
                <w:rFonts w:ascii="Arial" w:hAnsi="Arial" w:cs="Arial"/>
              </w:rPr>
              <w:t xml:space="preserve"> of a premises operating EGMs</w:t>
            </w:r>
            <w:r w:rsidR="0060543A" w:rsidRPr="0060543A">
              <w:rPr>
                <w:rFonts w:ascii="Arial" w:hAnsi="Arial" w:cs="Arial"/>
              </w:rPr>
              <w:t xml:space="preserve">. </w:t>
            </w:r>
          </w:p>
          <w:p w14:paraId="1CE4CDB1" w14:textId="77777777" w:rsidR="0060543A" w:rsidRPr="00531776" w:rsidRDefault="0060543A" w:rsidP="00C209EF">
            <w:pPr>
              <w:spacing w:after="0" w:line="280" w:lineRule="atLeast"/>
              <w:rPr>
                <w:rFonts w:ascii="Arial" w:hAnsi="Arial" w:cs="Arial"/>
              </w:rPr>
            </w:pPr>
          </w:p>
          <w:p w14:paraId="7D84D491" w14:textId="413E2264" w:rsidR="0060543A" w:rsidRPr="00531776" w:rsidRDefault="00C209EF" w:rsidP="00653057">
            <w:pPr>
              <w:spacing w:after="0" w:line="280" w:lineRule="atLeast"/>
              <w:rPr>
                <w:rFonts w:ascii="Arial" w:hAnsi="Arial" w:cs="Arial"/>
              </w:rPr>
            </w:pPr>
            <w:r w:rsidRPr="00A72518">
              <w:rPr>
                <w:rFonts w:ascii="Arial" w:hAnsi="Arial" w:cs="Arial"/>
              </w:rPr>
              <w:t xml:space="preserve">This offence is a strict liability offence. </w:t>
            </w:r>
          </w:p>
        </w:tc>
      </w:tr>
      <w:tr w:rsidR="00676FAF" w:rsidRPr="00497CA7" w14:paraId="5A39B51E" w14:textId="77777777" w:rsidTr="001F25C8">
        <w:trPr>
          <w:cantSplit/>
          <w:trHeight w:val="1687"/>
        </w:trPr>
        <w:tc>
          <w:tcPr>
            <w:tcW w:w="3544" w:type="dxa"/>
          </w:tcPr>
          <w:p w14:paraId="6A3BBF4E" w14:textId="39467789" w:rsidR="00676FAF" w:rsidRDefault="00676FAF" w:rsidP="00C209EF">
            <w:pPr>
              <w:spacing w:after="0" w:line="280" w:lineRule="atLeast"/>
              <w:rPr>
                <w:rFonts w:ascii="Arial" w:hAnsi="Arial" w:cs="Arial"/>
              </w:rPr>
            </w:pPr>
            <w:r>
              <w:rPr>
                <w:rFonts w:ascii="Arial" w:hAnsi="Arial" w:cs="Arial"/>
              </w:rPr>
              <w:lastRenderedPageBreak/>
              <w:t>Section 154A</w:t>
            </w:r>
            <w:r w:rsidR="00A61ED0">
              <w:rPr>
                <w:rFonts w:ascii="Arial" w:hAnsi="Arial" w:cs="Arial"/>
              </w:rPr>
              <w:t>(1)</w:t>
            </w:r>
          </w:p>
          <w:p w14:paraId="19198E9D" w14:textId="77777777" w:rsidR="00676FAF" w:rsidRDefault="00676FAF" w:rsidP="00C209EF">
            <w:pPr>
              <w:spacing w:after="0" w:line="280" w:lineRule="atLeast"/>
              <w:rPr>
                <w:rFonts w:ascii="Arial" w:hAnsi="Arial" w:cs="Arial"/>
              </w:rPr>
            </w:pPr>
          </w:p>
          <w:p w14:paraId="6BB46C60" w14:textId="784D9550" w:rsidR="00676FAF" w:rsidRPr="00676FAF" w:rsidRDefault="00676FAF" w:rsidP="00C209EF">
            <w:pPr>
              <w:spacing w:after="0" w:line="280" w:lineRule="atLeast"/>
              <w:rPr>
                <w:rFonts w:ascii="Arial" w:hAnsi="Arial" w:cs="Arial"/>
              </w:rPr>
            </w:pPr>
            <w:r>
              <w:rPr>
                <w:rFonts w:ascii="Arial" w:hAnsi="Arial" w:cs="Arial"/>
              </w:rPr>
              <w:t xml:space="preserve">Giving promotional material </w:t>
            </w:r>
          </w:p>
        </w:tc>
        <w:tc>
          <w:tcPr>
            <w:tcW w:w="5386" w:type="dxa"/>
          </w:tcPr>
          <w:p w14:paraId="76C03C32" w14:textId="77777777" w:rsidR="00676FAF" w:rsidRDefault="00A61ED0" w:rsidP="00832C6E">
            <w:pPr>
              <w:spacing w:after="0" w:line="280" w:lineRule="atLeast"/>
              <w:rPr>
                <w:rFonts w:ascii="Arial" w:hAnsi="Arial" w:cs="Arial"/>
              </w:rPr>
            </w:pPr>
            <w:r>
              <w:rPr>
                <w:rFonts w:ascii="Arial" w:hAnsi="Arial" w:cs="Arial"/>
              </w:rPr>
              <w:t xml:space="preserve">Provides for an offence if a licensee </w:t>
            </w:r>
            <w:r w:rsidR="00832C6E" w:rsidRPr="00832C6E">
              <w:rPr>
                <w:rFonts w:ascii="Arial" w:hAnsi="Arial" w:cs="Arial"/>
              </w:rPr>
              <w:t xml:space="preserve">gives advertising or promotional material relating to gambling activities at any of the licensee’s authorised premises to a person; </w:t>
            </w:r>
            <w:r w:rsidR="00832C6E">
              <w:rPr>
                <w:rFonts w:ascii="Arial" w:hAnsi="Arial" w:cs="Arial"/>
              </w:rPr>
              <w:t xml:space="preserve">and </w:t>
            </w:r>
            <w:r w:rsidR="00832C6E" w:rsidRPr="00832C6E">
              <w:rPr>
                <w:rFonts w:ascii="Arial" w:hAnsi="Arial" w:cs="Arial"/>
              </w:rPr>
              <w:t>the material is given to the person by mail, email, telephone, SMS, social media or using an application on a mobile telephone, tablet or other device.</w:t>
            </w:r>
          </w:p>
          <w:p w14:paraId="0F196482" w14:textId="77777777" w:rsidR="00832C6E" w:rsidRDefault="00832C6E" w:rsidP="00832C6E">
            <w:pPr>
              <w:spacing w:after="0" w:line="280" w:lineRule="atLeast"/>
              <w:rPr>
                <w:rFonts w:ascii="Arial" w:hAnsi="Arial" w:cs="Arial"/>
              </w:rPr>
            </w:pPr>
          </w:p>
          <w:p w14:paraId="0D944CF5" w14:textId="77777777" w:rsidR="00832C6E" w:rsidRDefault="00832C6E" w:rsidP="00832C6E">
            <w:pPr>
              <w:spacing w:after="0" w:line="280" w:lineRule="atLeast"/>
              <w:rPr>
                <w:rFonts w:ascii="Arial" w:hAnsi="Arial" w:cs="Arial"/>
              </w:rPr>
            </w:pPr>
            <w:r>
              <w:rPr>
                <w:rFonts w:ascii="Arial" w:hAnsi="Arial" w:cs="Arial"/>
              </w:rPr>
              <w:t xml:space="preserve">This offence is a strict liability offence. </w:t>
            </w:r>
          </w:p>
          <w:p w14:paraId="03AE8BE6" w14:textId="12E34AEF" w:rsidR="00832C6E" w:rsidRPr="00676FAF" w:rsidRDefault="00832C6E" w:rsidP="00832C6E">
            <w:pPr>
              <w:spacing w:after="0" w:line="280" w:lineRule="atLeast"/>
              <w:rPr>
                <w:rFonts w:ascii="Arial" w:hAnsi="Arial" w:cs="Arial"/>
              </w:rPr>
            </w:pPr>
          </w:p>
        </w:tc>
      </w:tr>
    </w:tbl>
    <w:p w14:paraId="50FE2981" w14:textId="77777777" w:rsidR="00442B4A" w:rsidRDefault="00442B4A" w:rsidP="009F15A4">
      <w:pPr>
        <w:ind w:left="360"/>
        <w:rPr>
          <w:rFonts w:ascii="Arial" w:hAnsi="Arial" w:cs="Arial"/>
          <w:iCs/>
          <w:sz w:val="24"/>
          <w:szCs w:val="24"/>
        </w:rPr>
      </w:pPr>
    </w:p>
    <w:p w14:paraId="75CB9220" w14:textId="5CEAD7ED" w:rsidR="00877864" w:rsidRDefault="00877864" w:rsidP="00877864">
      <w:pPr>
        <w:pStyle w:val="ListParagraph"/>
        <w:numPr>
          <w:ilvl w:val="0"/>
          <w:numId w:val="8"/>
        </w:numPr>
        <w:rPr>
          <w:rFonts w:ascii="Arial" w:hAnsi="Arial" w:cs="Arial"/>
          <w:b/>
          <w:bCs/>
          <w:i/>
          <w:sz w:val="24"/>
          <w:szCs w:val="24"/>
        </w:rPr>
      </w:pPr>
      <w:r w:rsidRPr="00877864">
        <w:rPr>
          <w:rFonts w:ascii="Arial" w:hAnsi="Arial" w:cs="Arial"/>
          <w:b/>
          <w:bCs/>
          <w:i/>
          <w:sz w:val="24"/>
          <w:szCs w:val="24"/>
        </w:rPr>
        <w:t>Legitimate purpose (s28(2)(b))</w:t>
      </w:r>
    </w:p>
    <w:p w14:paraId="7201D045" w14:textId="77777777" w:rsidR="00A71A42" w:rsidRDefault="00A71A42" w:rsidP="00A71A42">
      <w:pPr>
        <w:pStyle w:val="ListParagraph"/>
        <w:ind w:left="360"/>
        <w:rPr>
          <w:rFonts w:ascii="Arial" w:hAnsi="Arial" w:cs="Arial"/>
          <w:b/>
          <w:bCs/>
          <w:i/>
          <w:sz w:val="24"/>
          <w:szCs w:val="24"/>
        </w:rPr>
      </w:pPr>
    </w:p>
    <w:p w14:paraId="6F30828D" w14:textId="627C12E7" w:rsidR="00A71A42" w:rsidRDefault="00A71A42" w:rsidP="00A71A42">
      <w:pPr>
        <w:pStyle w:val="ListParagraph"/>
        <w:ind w:left="360"/>
        <w:rPr>
          <w:rFonts w:ascii="Arial" w:hAnsi="Arial" w:cs="Arial"/>
          <w:iCs/>
          <w:sz w:val="24"/>
          <w:szCs w:val="24"/>
        </w:rPr>
      </w:pPr>
      <w:r w:rsidRPr="00531776">
        <w:rPr>
          <w:rFonts w:ascii="Arial" w:hAnsi="Arial" w:cs="Arial"/>
          <w:iCs/>
          <w:sz w:val="24"/>
          <w:szCs w:val="24"/>
        </w:rPr>
        <w:t xml:space="preserve">Each of the offence provisions will play an important role in ensuring effective administration of </w:t>
      </w:r>
      <w:r>
        <w:rPr>
          <w:rFonts w:ascii="Arial" w:hAnsi="Arial" w:cs="Arial"/>
          <w:iCs/>
          <w:sz w:val="24"/>
          <w:szCs w:val="24"/>
        </w:rPr>
        <w:t>an account-based player system in the ACT</w:t>
      </w:r>
      <w:r w:rsidRPr="00531776">
        <w:rPr>
          <w:rFonts w:ascii="Arial" w:hAnsi="Arial" w:cs="Arial"/>
          <w:iCs/>
          <w:sz w:val="24"/>
          <w:szCs w:val="24"/>
        </w:rPr>
        <w:t xml:space="preserve"> and ensuring licensees’ compliance with their obligations. These contribute to the scheme’s overall intent to prevent and reduce gambling harm and the risk of this harm.</w:t>
      </w:r>
    </w:p>
    <w:p w14:paraId="1F05F1B6" w14:textId="77777777" w:rsidR="00877864" w:rsidRPr="00531776" w:rsidRDefault="00877864" w:rsidP="00531776">
      <w:pPr>
        <w:rPr>
          <w:rFonts w:ascii="Arial" w:hAnsi="Arial" w:cs="Arial"/>
          <w:b/>
          <w:bCs/>
          <w:i/>
          <w:sz w:val="24"/>
          <w:szCs w:val="24"/>
        </w:rPr>
      </w:pPr>
    </w:p>
    <w:tbl>
      <w:tblPr>
        <w:tblStyle w:val="TableGrid"/>
        <w:tblW w:w="8930" w:type="dxa"/>
        <w:tblInd w:w="279" w:type="dxa"/>
        <w:tblLook w:val="04A0" w:firstRow="1" w:lastRow="0" w:firstColumn="1" w:lastColumn="0" w:noHBand="0" w:noVBand="1"/>
      </w:tblPr>
      <w:tblGrid>
        <w:gridCol w:w="3544"/>
        <w:gridCol w:w="5386"/>
      </w:tblGrid>
      <w:tr w:rsidR="002F2A5F" w:rsidRPr="00497CA7" w14:paraId="05E513EC" w14:textId="77777777" w:rsidTr="001F25C8">
        <w:trPr>
          <w:cantSplit/>
          <w:trHeight w:val="20"/>
        </w:trPr>
        <w:tc>
          <w:tcPr>
            <w:tcW w:w="3544" w:type="dxa"/>
          </w:tcPr>
          <w:p w14:paraId="37A1B2A6" w14:textId="77777777" w:rsidR="002F2A5F" w:rsidRPr="00497CA7" w:rsidRDefault="002F2A5F" w:rsidP="001F25C8">
            <w:pPr>
              <w:spacing w:after="0" w:line="280" w:lineRule="atLeast"/>
              <w:rPr>
                <w:rFonts w:ascii="Arial" w:hAnsi="Arial" w:cs="Arial"/>
                <w:b/>
                <w:bCs/>
              </w:rPr>
            </w:pPr>
            <w:r w:rsidRPr="00497CA7">
              <w:rPr>
                <w:rFonts w:ascii="Arial" w:hAnsi="Arial" w:cs="Arial"/>
                <w:b/>
                <w:bCs/>
              </w:rPr>
              <w:t>Section</w:t>
            </w:r>
          </w:p>
          <w:p w14:paraId="514F55C2" w14:textId="77777777" w:rsidR="002F2A5F" w:rsidRPr="00497CA7" w:rsidRDefault="002F2A5F" w:rsidP="001F25C8">
            <w:pPr>
              <w:spacing w:after="0" w:line="280" w:lineRule="atLeast"/>
              <w:rPr>
                <w:rFonts w:ascii="Arial" w:hAnsi="Arial" w:cs="Arial"/>
                <w:b/>
                <w:bCs/>
              </w:rPr>
            </w:pPr>
          </w:p>
        </w:tc>
        <w:tc>
          <w:tcPr>
            <w:tcW w:w="5386" w:type="dxa"/>
          </w:tcPr>
          <w:p w14:paraId="6B99C9F1" w14:textId="0382627F" w:rsidR="002F2A5F" w:rsidRPr="00497CA7" w:rsidRDefault="002F2A5F" w:rsidP="001F25C8">
            <w:pPr>
              <w:spacing w:after="0" w:line="280" w:lineRule="atLeast"/>
              <w:rPr>
                <w:rFonts w:ascii="Arial" w:hAnsi="Arial" w:cs="Arial"/>
                <w:b/>
                <w:bCs/>
              </w:rPr>
            </w:pPr>
            <w:r>
              <w:rPr>
                <w:rFonts w:ascii="Arial" w:hAnsi="Arial" w:cs="Arial"/>
                <w:b/>
                <w:bCs/>
              </w:rPr>
              <w:t xml:space="preserve">Legitimate purpose </w:t>
            </w:r>
          </w:p>
        </w:tc>
      </w:tr>
      <w:tr w:rsidR="00B75DA6" w:rsidRPr="00497CA7" w14:paraId="3358B442" w14:textId="77777777" w:rsidTr="001F25C8">
        <w:trPr>
          <w:cantSplit/>
          <w:trHeight w:val="20"/>
        </w:trPr>
        <w:tc>
          <w:tcPr>
            <w:tcW w:w="3544" w:type="dxa"/>
            <w:vMerge w:val="restart"/>
          </w:tcPr>
          <w:p w14:paraId="4039F178" w14:textId="0D7E243F" w:rsidR="00B75DA6" w:rsidRPr="00497CA7" w:rsidRDefault="00B75DA6" w:rsidP="001F25C8">
            <w:pPr>
              <w:spacing w:after="0" w:line="280" w:lineRule="atLeast"/>
              <w:rPr>
                <w:rFonts w:ascii="Arial" w:hAnsi="Arial" w:cs="Arial"/>
              </w:rPr>
            </w:pPr>
            <w:r w:rsidRPr="00497CA7">
              <w:rPr>
                <w:rFonts w:ascii="Arial" w:hAnsi="Arial" w:cs="Arial"/>
              </w:rPr>
              <w:t>Section 67B</w:t>
            </w:r>
          </w:p>
          <w:p w14:paraId="09F14CEF" w14:textId="77777777" w:rsidR="00B75DA6" w:rsidRPr="00497CA7" w:rsidRDefault="00B75DA6" w:rsidP="001F25C8">
            <w:pPr>
              <w:spacing w:after="0" w:line="280" w:lineRule="atLeast"/>
              <w:rPr>
                <w:rFonts w:ascii="Arial" w:hAnsi="Arial" w:cs="Arial"/>
              </w:rPr>
            </w:pPr>
          </w:p>
          <w:p w14:paraId="0921131E" w14:textId="77777777" w:rsidR="00B75DA6" w:rsidRPr="00497CA7" w:rsidRDefault="00B75DA6" w:rsidP="001F25C8">
            <w:pPr>
              <w:spacing w:after="0" w:line="280" w:lineRule="atLeast"/>
              <w:rPr>
                <w:rFonts w:ascii="Arial" w:hAnsi="Arial" w:cs="Arial"/>
              </w:rPr>
            </w:pPr>
            <w:r w:rsidRPr="00497CA7">
              <w:rPr>
                <w:rFonts w:ascii="Arial" w:hAnsi="Arial" w:cs="Arial"/>
              </w:rPr>
              <w:t>Licensees must have approved account-based gaming system</w:t>
            </w:r>
          </w:p>
          <w:p w14:paraId="54E71268" w14:textId="77777777" w:rsidR="00B75DA6" w:rsidRPr="00497CA7" w:rsidRDefault="00B75DA6" w:rsidP="001F25C8">
            <w:pPr>
              <w:spacing w:after="0" w:line="280" w:lineRule="atLeast"/>
              <w:rPr>
                <w:rFonts w:ascii="Arial" w:hAnsi="Arial" w:cs="Arial"/>
              </w:rPr>
            </w:pPr>
          </w:p>
          <w:p w14:paraId="3FB9F593" w14:textId="77777777" w:rsidR="00B75DA6" w:rsidRPr="00497CA7" w:rsidRDefault="00B75DA6" w:rsidP="001F25C8">
            <w:pPr>
              <w:spacing w:after="0" w:line="280" w:lineRule="atLeast"/>
              <w:rPr>
                <w:rFonts w:ascii="Arial" w:hAnsi="Arial" w:cs="Arial"/>
              </w:rPr>
            </w:pPr>
          </w:p>
          <w:p w14:paraId="5C0EE16A" w14:textId="77777777" w:rsidR="00B75DA6" w:rsidRPr="00497CA7" w:rsidRDefault="00B75DA6" w:rsidP="001F25C8">
            <w:pPr>
              <w:spacing w:after="0" w:line="280" w:lineRule="atLeast"/>
              <w:rPr>
                <w:rFonts w:ascii="Arial" w:hAnsi="Arial" w:cs="Arial"/>
              </w:rPr>
            </w:pPr>
          </w:p>
        </w:tc>
        <w:tc>
          <w:tcPr>
            <w:tcW w:w="5386" w:type="dxa"/>
          </w:tcPr>
          <w:p w14:paraId="69635992" w14:textId="77777777" w:rsidR="00B75DA6" w:rsidRDefault="00B75DA6" w:rsidP="00B75DA6">
            <w:pPr>
              <w:spacing w:after="0" w:line="280" w:lineRule="atLeast"/>
              <w:rPr>
                <w:rFonts w:ascii="Arial" w:hAnsi="Arial" w:cs="Arial"/>
              </w:rPr>
            </w:pPr>
            <w:r>
              <w:rPr>
                <w:rFonts w:ascii="Arial" w:hAnsi="Arial" w:cs="Arial"/>
              </w:rPr>
              <w:t>Sub-section (1)</w:t>
            </w:r>
          </w:p>
          <w:p w14:paraId="273F93C9" w14:textId="77777777" w:rsidR="00B75DA6" w:rsidRDefault="00B75DA6" w:rsidP="001F25C8">
            <w:pPr>
              <w:spacing w:after="0" w:line="280" w:lineRule="atLeast"/>
              <w:rPr>
                <w:rFonts w:ascii="Arial" w:hAnsi="Arial" w:cs="Arial"/>
              </w:rPr>
            </w:pPr>
          </w:p>
          <w:p w14:paraId="0C76F9E2" w14:textId="54A68F8D" w:rsidR="00B75DA6" w:rsidRDefault="00B75DA6" w:rsidP="001F25C8">
            <w:pPr>
              <w:spacing w:after="0" w:line="280" w:lineRule="atLeast"/>
              <w:rPr>
                <w:rFonts w:ascii="Arial" w:hAnsi="Arial" w:cs="Arial"/>
              </w:rPr>
            </w:pPr>
            <w:r>
              <w:rPr>
                <w:rFonts w:ascii="Arial" w:hAnsi="Arial" w:cs="Arial"/>
              </w:rPr>
              <w:t>To ensure that licensees ensure that every gaming machine is connected to an account-based gaming system approved by the commission</w:t>
            </w:r>
            <w:r w:rsidR="00602AC9">
              <w:rPr>
                <w:rFonts w:ascii="Arial" w:hAnsi="Arial" w:cs="Arial"/>
              </w:rPr>
              <w:t>.</w:t>
            </w:r>
          </w:p>
          <w:p w14:paraId="000AA496" w14:textId="6D1DB1EC" w:rsidR="00B75DA6" w:rsidRPr="00497CA7" w:rsidRDefault="00B75DA6" w:rsidP="001F25C8">
            <w:pPr>
              <w:spacing w:after="0" w:line="280" w:lineRule="atLeast"/>
              <w:rPr>
                <w:rFonts w:ascii="Arial" w:hAnsi="Arial" w:cs="Arial"/>
              </w:rPr>
            </w:pPr>
          </w:p>
        </w:tc>
      </w:tr>
      <w:tr w:rsidR="00B75DA6" w:rsidRPr="00497CA7" w14:paraId="6A2B9C6F" w14:textId="77777777" w:rsidTr="001F25C8">
        <w:trPr>
          <w:cantSplit/>
          <w:trHeight w:val="20"/>
        </w:trPr>
        <w:tc>
          <w:tcPr>
            <w:tcW w:w="3544" w:type="dxa"/>
            <w:vMerge/>
          </w:tcPr>
          <w:p w14:paraId="56D866C9" w14:textId="77777777" w:rsidR="00B75DA6" w:rsidRPr="00497CA7" w:rsidRDefault="00B75DA6" w:rsidP="001F25C8">
            <w:pPr>
              <w:spacing w:after="0" w:line="280" w:lineRule="atLeast"/>
              <w:rPr>
                <w:rFonts w:ascii="Arial" w:hAnsi="Arial" w:cs="Arial"/>
              </w:rPr>
            </w:pPr>
          </w:p>
        </w:tc>
        <w:tc>
          <w:tcPr>
            <w:tcW w:w="5386" w:type="dxa"/>
          </w:tcPr>
          <w:p w14:paraId="637F47F1" w14:textId="2BF8334E" w:rsidR="00B75DA6" w:rsidRDefault="00B75DA6" w:rsidP="001F25C8">
            <w:pPr>
              <w:spacing w:after="0" w:line="280" w:lineRule="atLeast"/>
              <w:rPr>
                <w:rFonts w:ascii="Arial" w:hAnsi="Arial" w:cs="Arial"/>
              </w:rPr>
            </w:pPr>
            <w:r>
              <w:rPr>
                <w:rFonts w:ascii="Arial" w:hAnsi="Arial" w:cs="Arial"/>
              </w:rPr>
              <w:t>Sub-section (2)</w:t>
            </w:r>
          </w:p>
          <w:p w14:paraId="58122E38" w14:textId="77777777" w:rsidR="00B75DA6" w:rsidRDefault="00B75DA6" w:rsidP="001F25C8">
            <w:pPr>
              <w:spacing w:after="0" w:line="280" w:lineRule="atLeast"/>
              <w:rPr>
                <w:rFonts w:ascii="Arial" w:hAnsi="Arial" w:cs="Arial"/>
              </w:rPr>
            </w:pPr>
          </w:p>
          <w:p w14:paraId="4826574E" w14:textId="54CC631A" w:rsidR="00B75DA6" w:rsidRDefault="003F70E8" w:rsidP="001F25C8">
            <w:pPr>
              <w:spacing w:after="0" w:line="280" w:lineRule="atLeast"/>
              <w:rPr>
                <w:rFonts w:ascii="Arial" w:hAnsi="Arial" w:cs="Arial"/>
              </w:rPr>
            </w:pPr>
            <w:r>
              <w:rPr>
                <w:rFonts w:ascii="Arial" w:hAnsi="Arial" w:cs="Arial"/>
              </w:rPr>
              <w:t xml:space="preserve">To ensure that licensees ensure that </w:t>
            </w:r>
            <w:r w:rsidR="00286EB7">
              <w:rPr>
                <w:rFonts w:ascii="Arial" w:hAnsi="Arial" w:cs="Arial"/>
              </w:rPr>
              <w:t>a gaming machine</w:t>
            </w:r>
            <w:r w:rsidR="00286EB7" w:rsidRPr="00497CA7">
              <w:rPr>
                <w:rFonts w:ascii="Arial" w:hAnsi="Arial" w:cs="Arial"/>
              </w:rPr>
              <w:t xml:space="preserve"> </w:t>
            </w:r>
            <w:r w:rsidR="00286EB7">
              <w:rPr>
                <w:rFonts w:ascii="Arial" w:hAnsi="Arial" w:cs="Arial"/>
              </w:rPr>
              <w:t xml:space="preserve">is </w:t>
            </w:r>
            <w:r w:rsidR="00074230">
              <w:rPr>
                <w:rFonts w:ascii="Arial" w:hAnsi="Arial" w:cs="Arial"/>
              </w:rPr>
              <w:t xml:space="preserve">connected to an account-based gaming system approved by the commission and is operating in the way that is approved. </w:t>
            </w:r>
          </w:p>
          <w:p w14:paraId="46EC1698" w14:textId="77777777" w:rsidR="00B75DA6" w:rsidRDefault="00B75DA6" w:rsidP="001F25C8">
            <w:pPr>
              <w:spacing w:after="0" w:line="280" w:lineRule="atLeast"/>
              <w:rPr>
                <w:rFonts w:ascii="Arial" w:hAnsi="Arial" w:cs="Arial"/>
              </w:rPr>
            </w:pPr>
          </w:p>
        </w:tc>
      </w:tr>
      <w:tr w:rsidR="00D07AE7" w:rsidRPr="00497CA7" w14:paraId="2BC1CDA4" w14:textId="77777777" w:rsidTr="002F3B21">
        <w:trPr>
          <w:cantSplit/>
          <w:trHeight w:val="1835"/>
        </w:trPr>
        <w:tc>
          <w:tcPr>
            <w:tcW w:w="3544" w:type="dxa"/>
          </w:tcPr>
          <w:p w14:paraId="21EB520E" w14:textId="77777777" w:rsidR="00D07AE7" w:rsidRPr="00497CA7" w:rsidRDefault="00D07AE7" w:rsidP="00D07AE7">
            <w:pPr>
              <w:spacing w:after="0" w:line="280" w:lineRule="atLeast"/>
              <w:rPr>
                <w:rFonts w:ascii="Arial" w:hAnsi="Arial" w:cs="Arial"/>
              </w:rPr>
            </w:pPr>
            <w:r w:rsidRPr="00497CA7">
              <w:rPr>
                <w:rFonts w:ascii="Arial" w:hAnsi="Arial" w:cs="Arial"/>
              </w:rPr>
              <w:t>Section 67E</w:t>
            </w:r>
            <w:r>
              <w:rPr>
                <w:rFonts w:ascii="Arial" w:hAnsi="Arial" w:cs="Arial"/>
              </w:rPr>
              <w:t>(1)</w:t>
            </w:r>
          </w:p>
          <w:p w14:paraId="5BB7A4B9" w14:textId="77777777" w:rsidR="00D07AE7" w:rsidRPr="00497CA7" w:rsidRDefault="00D07AE7" w:rsidP="00D07AE7">
            <w:pPr>
              <w:spacing w:after="0" w:line="280" w:lineRule="atLeast"/>
              <w:rPr>
                <w:rFonts w:ascii="Arial" w:hAnsi="Arial" w:cs="Arial"/>
              </w:rPr>
            </w:pPr>
          </w:p>
          <w:p w14:paraId="3177FBC1" w14:textId="00CC6CDC" w:rsidR="00D07AE7" w:rsidRPr="00497CA7" w:rsidRDefault="00D07AE7" w:rsidP="00D07AE7">
            <w:pPr>
              <w:spacing w:after="0" w:line="280" w:lineRule="atLeast"/>
              <w:rPr>
                <w:rFonts w:ascii="Arial" w:hAnsi="Arial" w:cs="Arial"/>
              </w:rPr>
            </w:pPr>
            <w:r w:rsidRPr="00497CA7">
              <w:rPr>
                <w:rFonts w:ascii="Arial" w:hAnsi="Arial" w:cs="Arial"/>
              </w:rPr>
              <w:t xml:space="preserve">Licensees must verify identity of account holders </w:t>
            </w:r>
          </w:p>
        </w:tc>
        <w:tc>
          <w:tcPr>
            <w:tcW w:w="5386" w:type="dxa"/>
          </w:tcPr>
          <w:p w14:paraId="43B90356" w14:textId="098008BB" w:rsidR="00D07AE7" w:rsidRPr="00497CA7" w:rsidRDefault="00D07AE7" w:rsidP="00D07AE7">
            <w:pPr>
              <w:spacing w:after="0" w:line="280" w:lineRule="atLeast"/>
              <w:rPr>
                <w:rFonts w:ascii="Arial" w:hAnsi="Arial" w:cs="Arial"/>
              </w:rPr>
            </w:pPr>
            <w:r>
              <w:rPr>
                <w:rFonts w:ascii="Arial" w:hAnsi="Arial" w:cs="Arial"/>
              </w:rPr>
              <w:t xml:space="preserve">To ensure a licensee verifies the identity of a person immediately prior to establishing a player account for a person. This ensures player accounts are linked to an individual person that is not under 18 years of age or subject to self-exclusion. </w:t>
            </w:r>
          </w:p>
        </w:tc>
      </w:tr>
      <w:tr w:rsidR="00D07AE7" w:rsidRPr="00497CA7" w14:paraId="124CD02D" w14:textId="77777777" w:rsidTr="002F3B21">
        <w:trPr>
          <w:cantSplit/>
          <w:trHeight w:val="1835"/>
        </w:trPr>
        <w:tc>
          <w:tcPr>
            <w:tcW w:w="3544" w:type="dxa"/>
          </w:tcPr>
          <w:p w14:paraId="6D829D77" w14:textId="23153BDE" w:rsidR="00D07AE7" w:rsidRPr="00497CA7" w:rsidRDefault="00D07AE7" w:rsidP="00D07AE7">
            <w:pPr>
              <w:spacing w:after="0" w:line="280" w:lineRule="atLeast"/>
              <w:rPr>
                <w:rFonts w:ascii="Arial" w:hAnsi="Arial" w:cs="Arial"/>
              </w:rPr>
            </w:pPr>
            <w:r w:rsidRPr="00497CA7">
              <w:rPr>
                <w:rFonts w:ascii="Arial" w:hAnsi="Arial" w:cs="Arial"/>
              </w:rPr>
              <w:t>Section 67</w:t>
            </w:r>
            <w:r>
              <w:rPr>
                <w:rFonts w:ascii="Arial" w:hAnsi="Arial" w:cs="Arial"/>
              </w:rPr>
              <w:t>F(1)</w:t>
            </w:r>
          </w:p>
          <w:p w14:paraId="46DFD631" w14:textId="77777777" w:rsidR="00D07AE7" w:rsidRPr="00497CA7" w:rsidRDefault="00D07AE7" w:rsidP="00D07AE7">
            <w:pPr>
              <w:spacing w:after="0" w:line="280" w:lineRule="atLeast"/>
              <w:rPr>
                <w:rFonts w:ascii="Arial" w:hAnsi="Arial" w:cs="Arial"/>
              </w:rPr>
            </w:pPr>
          </w:p>
          <w:p w14:paraId="171881EB" w14:textId="1428E84D" w:rsidR="00D07AE7" w:rsidRPr="00497CA7" w:rsidRDefault="00D07AE7" w:rsidP="00D07AE7">
            <w:pPr>
              <w:spacing w:after="0" w:line="280" w:lineRule="atLeast"/>
              <w:rPr>
                <w:rFonts w:ascii="Arial" w:hAnsi="Arial" w:cs="Arial"/>
              </w:rPr>
            </w:pPr>
            <w:r w:rsidRPr="00497CA7">
              <w:rPr>
                <w:rFonts w:ascii="Arial" w:hAnsi="Arial" w:cs="Arial"/>
              </w:rPr>
              <w:t>Player account must be used</w:t>
            </w:r>
          </w:p>
        </w:tc>
        <w:tc>
          <w:tcPr>
            <w:tcW w:w="5386" w:type="dxa"/>
          </w:tcPr>
          <w:p w14:paraId="223CD1E4" w14:textId="006484EE" w:rsidR="00D07AE7" w:rsidRDefault="00D07AE7" w:rsidP="00D07AE7">
            <w:pPr>
              <w:spacing w:after="0" w:line="280" w:lineRule="atLeast"/>
              <w:rPr>
                <w:rFonts w:ascii="Arial" w:hAnsi="Arial" w:cs="Arial"/>
              </w:rPr>
            </w:pPr>
            <w:r>
              <w:rPr>
                <w:rFonts w:ascii="Arial" w:hAnsi="Arial" w:cs="Arial"/>
              </w:rPr>
              <w:t>To ensure that a licensee does not allow a person to operate a gaming machine anonymously and that a player account must be used. This enables</w:t>
            </w:r>
            <w:r w:rsidRPr="002E7580">
              <w:rPr>
                <w:rFonts w:ascii="Arial" w:hAnsi="Arial" w:cs="Arial"/>
              </w:rPr>
              <w:t xml:space="preserve"> consumer accountability </w:t>
            </w:r>
            <w:r>
              <w:rPr>
                <w:rFonts w:ascii="Arial" w:hAnsi="Arial" w:cs="Arial"/>
              </w:rPr>
              <w:t xml:space="preserve">through the tracking of gambling spending and allows an opportunity for the licensee to monitor the risk of gambling harm. </w:t>
            </w:r>
          </w:p>
        </w:tc>
      </w:tr>
      <w:tr w:rsidR="0037252A" w:rsidRPr="00497CA7" w14:paraId="14FAAB06" w14:textId="77777777" w:rsidTr="002F3B21">
        <w:trPr>
          <w:cantSplit/>
          <w:trHeight w:val="1549"/>
        </w:trPr>
        <w:tc>
          <w:tcPr>
            <w:tcW w:w="3544" w:type="dxa"/>
            <w:vMerge w:val="restart"/>
          </w:tcPr>
          <w:p w14:paraId="4978EB2F" w14:textId="77777777" w:rsidR="0037252A" w:rsidRDefault="0037252A" w:rsidP="007232DB">
            <w:pPr>
              <w:spacing w:after="0" w:line="280" w:lineRule="atLeast"/>
              <w:rPr>
                <w:rFonts w:ascii="Arial" w:hAnsi="Arial" w:cs="Arial"/>
              </w:rPr>
            </w:pPr>
            <w:r>
              <w:rPr>
                <w:rFonts w:ascii="Arial" w:hAnsi="Arial" w:cs="Arial"/>
              </w:rPr>
              <w:lastRenderedPageBreak/>
              <w:t>Section 67G</w:t>
            </w:r>
          </w:p>
          <w:p w14:paraId="3EE340EB" w14:textId="77777777" w:rsidR="0037252A" w:rsidRDefault="0037252A" w:rsidP="007232DB">
            <w:pPr>
              <w:spacing w:after="0" w:line="280" w:lineRule="atLeast"/>
              <w:rPr>
                <w:rFonts w:ascii="Arial" w:hAnsi="Arial" w:cs="Arial"/>
              </w:rPr>
            </w:pPr>
          </w:p>
          <w:p w14:paraId="2F3E3EDB" w14:textId="77777777" w:rsidR="0037252A" w:rsidRPr="00497CA7" w:rsidRDefault="0037252A" w:rsidP="007232DB">
            <w:pPr>
              <w:spacing w:after="0" w:line="280" w:lineRule="atLeast"/>
              <w:rPr>
                <w:rFonts w:ascii="Arial" w:hAnsi="Arial" w:cs="Arial"/>
              </w:rPr>
            </w:pPr>
            <w:r>
              <w:rPr>
                <w:rFonts w:ascii="Arial" w:hAnsi="Arial" w:cs="Arial"/>
              </w:rPr>
              <w:t xml:space="preserve">Players cards must be used to play machines </w:t>
            </w:r>
          </w:p>
          <w:p w14:paraId="4C52D692" w14:textId="169E50C0" w:rsidR="0037252A" w:rsidRPr="00497CA7" w:rsidRDefault="0037252A" w:rsidP="00D07AE7">
            <w:pPr>
              <w:spacing w:after="0" w:line="280" w:lineRule="atLeast"/>
              <w:rPr>
                <w:rFonts w:ascii="Arial" w:hAnsi="Arial" w:cs="Arial"/>
              </w:rPr>
            </w:pPr>
          </w:p>
        </w:tc>
        <w:tc>
          <w:tcPr>
            <w:tcW w:w="5386" w:type="dxa"/>
          </w:tcPr>
          <w:p w14:paraId="1040D474" w14:textId="77777777" w:rsidR="0009304C" w:rsidRPr="00497CA7" w:rsidRDefault="0009304C" w:rsidP="0009304C">
            <w:pPr>
              <w:spacing w:after="0" w:line="280" w:lineRule="atLeast"/>
              <w:rPr>
                <w:rFonts w:ascii="Arial" w:hAnsi="Arial" w:cs="Arial"/>
              </w:rPr>
            </w:pPr>
            <w:r w:rsidRPr="00497CA7">
              <w:rPr>
                <w:rFonts w:ascii="Arial" w:hAnsi="Arial" w:cs="Arial"/>
              </w:rPr>
              <w:t xml:space="preserve">Sub-section (1) </w:t>
            </w:r>
          </w:p>
          <w:p w14:paraId="1A48CDC7" w14:textId="24B7977A" w:rsidR="00825AD9" w:rsidRDefault="00544891" w:rsidP="00825AD9">
            <w:pPr>
              <w:spacing w:after="0" w:line="280" w:lineRule="atLeast"/>
              <w:rPr>
                <w:rFonts w:ascii="Arial" w:hAnsi="Arial" w:cs="Arial"/>
              </w:rPr>
            </w:pPr>
            <w:r>
              <w:rPr>
                <w:rFonts w:ascii="Arial" w:hAnsi="Arial" w:cs="Arial"/>
              </w:rPr>
              <w:t xml:space="preserve">To ensure that a licensee </w:t>
            </w:r>
            <w:r w:rsidR="00875F2C">
              <w:rPr>
                <w:rFonts w:ascii="Arial" w:hAnsi="Arial" w:cs="Arial"/>
              </w:rPr>
              <w:t>enforces mandatory carded play</w:t>
            </w:r>
            <w:r w:rsidR="00A0496B">
              <w:rPr>
                <w:rFonts w:ascii="Arial" w:hAnsi="Arial" w:cs="Arial"/>
              </w:rPr>
              <w:t xml:space="preserve">. </w:t>
            </w:r>
            <w:r w:rsidR="00825AD9">
              <w:rPr>
                <w:rFonts w:ascii="Arial" w:hAnsi="Arial" w:cs="Arial"/>
              </w:rPr>
              <w:t>This enables</w:t>
            </w:r>
            <w:r w:rsidR="00825AD9" w:rsidRPr="002E7580">
              <w:rPr>
                <w:rFonts w:ascii="Arial" w:hAnsi="Arial" w:cs="Arial"/>
              </w:rPr>
              <w:t xml:space="preserve"> consumer accountability </w:t>
            </w:r>
            <w:r w:rsidR="00825AD9">
              <w:rPr>
                <w:rFonts w:ascii="Arial" w:hAnsi="Arial" w:cs="Arial"/>
              </w:rPr>
              <w:t>through the tracking of gambling spending and allows an opportunity for the licensee to monitor the risk of gambling harm.</w:t>
            </w:r>
          </w:p>
          <w:p w14:paraId="7BD860D5" w14:textId="6DA90179" w:rsidR="00825AD9" w:rsidRDefault="00825AD9" w:rsidP="00D07AE7">
            <w:pPr>
              <w:spacing w:after="0" w:line="280" w:lineRule="atLeast"/>
              <w:rPr>
                <w:rFonts w:ascii="Arial" w:hAnsi="Arial" w:cs="Arial"/>
              </w:rPr>
            </w:pPr>
          </w:p>
          <w:p w14:paraId="7184F6BD" w14:textId="77AF8D48" w:rsidR="00825AD9" w:rsidRPr="00497CA7" w:rsidRDefault="00825AD9" w:rsidP="00825AD9">
            <w:pPr>
              <w:spacing w:after="0" w:line="280" w:lineRule="atLeast"/>
              <w:rPr>
                <w:rFonts w:ascii="Arial" w:hAnsi="Arial" w:cs="Arial"/>
              </w:rPr>
            </w:pPr>
          </w:p>
        </w:tc>
      </w:tr>
      <w:tr w:rsidR="0037252A" w:rsidRPr="00497CA7" w14:paraId="117F5E5E" w14:textId="77777777" w:rsidTr="002F3B21">
        <w:trPr>
          <w:cantSplit/>
          <w:trHeight w:val="1549"/>
        </w:trPr>
        <w:tc>
          <w:tcPr>
            <w:tcW w:w="3544" w:type="dxa"/>
            <w:vMerge/>
          </w:tcPr>
          <w:p w14:paraId="458D5769" w14:textId="77777777" w:rsidR="0037252A" w:rsidRPr="00497CA7" w:rsidDel="00D07AE7" w:rsidRDefault="0037252A" w:rsidP="00D07AE7">
            <w:pPr>
              <w:spacing w:after="0" w:line="280" w:lineRule="atLeast"/>
              <w:rPr>
                <w:rFonts w:ascii="Arial" w:hAnsi="Arial" w:cs="Arial"/>
              </w:rPr>
            </w:pPr>
          </w:p>
        </w:tc>
        <w:tc>
          <w:tcPr>
            <w:tcW w:w="5386" w:type="dxa"/>
          </w:tcPr>
          <w:p w14:paraId="21A35EED" w14:textId="77777777" w:rsidR="001B1BB8" w:rsidRPr="00497CA7" w:rsidRDefault="001B1BB8" w:rsidP="001B1BB8">
            <w:pPr>
              <w:spacing w:after="0" w:line="280" w:lineRule="atLeast"/>
              <w:rPr>
                <w:rFonts w:ascii="Arial" w:hAnsi="Arial" w:cs="Arial"/>
              </w:rPr>
            </w:pPr>
            <w:r w:rsidRPr="00497CA7">
              <w:rPr>
                <w:rFonts w:ascii="Arial" w:hAnsi="Arial" w:cs="Arial"/>
              </w:rPr>
              <w:t>Sub-section (2)</w:t>
            </w:r>
          </w:p>
          <w:p w14:paraId="5DB2C4D4" w14:textId="77777777" w:rsidR="00825AD9" w:rsidRDefault="0019346C" w:rsidP="00825AD9">
            <w:pPr>
              <w:spacing w:after="0" w:line="280" w:lineRule="atLeast"/>
              <w:rPr>
                <w:rFonts w:ascii="Arial" w:hAnsi="Arial" w:cs="Arial"/>
              </w:rPr>
            </w:pPr>
            <w:r>
              <w:rPr>
                <w:rFonts w:ascii="Arial" w:hAnsi="Arial" w:cs="Arial"/>
              </w:rPr>
              <w:t xml:space="preserve">To ensure that a licensee enforces mandatory account-based play. </w:t>
            </w:r>
            <w:r w:rsidR="00825AD9">
              <w:rPr>
                <w:rFonts w:ascii="Arial" w:hAnsi="Arial" w:cs="Arial"/>
              </w:rPr>
              <w:t>This enables</w:t>
            </w:r>
            <w:r w:rsidR="00825AD9" w:rsidRPr="002E7580">
              <w:rPr>
                <w:rFonts w:ascii="Arial" w:hAnsi="Arial" w:cs="Arial"/>
              </w:rPr>
              <w:t xml:space="preserve"> consumer accountability </w:t>
            </w:r>
            <w:r w:rsidR="00825AD9">
              <w:rPr>
                <w:rFonts w:ascii="Arial" w:hAnsi="Arial" w:cs="Arial"/>
              </w:rPr>
              <w:t>through the tracking of gambling spending and allows an opportunity for the licensee to monitor the risk of gambling harm.</w:t>
            </w:r>
          </w:p>
          <w:p w14:paraId="5A5F34F4" w14:textId="2E35D6AD" w:rsidR="0037252A" w:rsidDel="00D07AE7" w:rsidRDefault="0037252A" w:rsidP="00D07AE7">
            <w:pPr>
              <w:spacing w:after="0" w:line="280" w:lineRule="atLeast"/>
              <w:rPr>
                <w:rFonts w:ascii="Arial" w:hAnsi="Arial" w:cs="Arial"/>
              </w:rPr>
            </w:pPr>
          </w:p>
        </w:tc>
      </w:tr>
      <w:tr w:rsidR="0037252A" w:rsidRPr="00497CA7" w14:paraId="51EFF14C" w14:textId="77777777" w:rsidTr="002F3B21">
        <w:trPr>
          <w:cantSplit/>
          <w:trHeight w:val="1549"/>
        </w:trPr>
        <w:tc>
          <w:tcPr>
            <w:tcW w:w="3544" w:type="dxa"/>
            <w:vMerge/>
          </w:tcPr>
          <w:p w14:paraId="5D51FACF" w14:textId="77777777" w:rsidR="0037252A" w:rsidRPr="00497CA7" w:rsidDel="00D07AE7" w:rsidRDefault="0037252A" w:rsidP="00D07AE7">
            <w:pPr>
              <w:spacing w:after="0" w:line="280" w:lineRule="atLeast"/>
              <w:rPr>
                <w:rFonts w:ascii="Arial" w:hAnsi="Arial" w:cs="Arial"/>
              </w:rPr>
            </w:pPr>
          </w:p>
        </w:tc>
        <w:tc>
          <w:tcPr>
            <w:tcW w:w="5386" w:type="dxa"/>
          </w:tcPr>
          <w:p w14:paraId="34018D62" w14:textId="77777777" w:rsidR="00544891" w:rsidRPr="00497CA7" w:rsidRDefault="00544891" w:rsidP="00544891">
            <w:pPr>
              <w:spacing w:after="0" w:line="280" w:lineRule="atLeast"/>
              <w:rPr>
                <w:rFonts w:ascii="Arial" w:hAnsi="Arial" w:cs="Arial"/>
              </w:rPr>
            </w:pPr>
            <w:r w:rsidRPr="00497CA7">
              <w:rPr>
                <w:rFonts w:ascii="Arial" w:hAnsi="Arial" w:cs="Arial"/>
              </w:rPr>
              <w:t>Sub-section (3)</w:t>
            </w:r>
          </w:p>
          <w:p w14:paraId="019628E8" w14:textId="77777777" w:rsidR="0037252A" w:rsidRDefault="0019346C" w:rsidP="00D07AE7">
            <w:pPr>
              <w:spacing w:after="0" w:line="280" w:lineRule="atLeast"/>
              <w:rPr>
                <w:rFonts w:ascii="Arial" w:hAnsi="Arial" w:cs="Arial"/>
              </w:rPr>
            </w:pPr>
            <w:r>
              <w:rPr>
                <w:rFonts w:ascii="Arial" w:hAnsi="Arial" w:cs="Arial"/>
              </w:rPr>
              <w:t xml:space="preserve">To ensure a licensee does not allow </w:t>
            </w:r>
            <w:r w:rsidR="00F9520F">
              <w:rPr>
                <w:rFonts w:ascii="Arial" w:hAnsi="Arial" w:cs="Arial"/>
              </w:rPr>
              <w:t xml:space="preserve">player cards </w:t>
            </w:r>
            <w:r w:rsidR="00DD365D">
              <w:rPr>
                <w:rFonts w:ascii="Arial" w:hAnsi="Arial" w:cs="Arial"/>
              </w:rPr>
              <w:t xml:space="preserve">from other </w:t>
            </w:r>
            <w:r w:rsidR="00BA7908">
              <w:rPr>
                <w:rFonts w:ascii="Arial" w:hAnsi="Arial" w:cs="Arial"/>
              </w:rPr>
              <w:t>licensees to be operable with their system</w:t>
            </w:r>
            <w:r w:rsidR="00BB1019">
              <w:rPr>
                <w:rFonts w:ascii="Arial" w:hAnsi="Arial" w:cs="Arial"/>
              </w:rPr>
              <w:t xml:space="preserve">, as a way of circumventing </w:t>
            </w:r>
            <w:r w:rsidR="009B5B4B">
              <w:rPr>
                <w:rFonts w:ascii="Arial" w:hAnsi="Arial" w:cs="Arial"/>
              </w:rPr>
              <w:t xml:space="preserve">venue limits. </w:t>
            </w:r>
          </w:p>
          <w:p w14:paraId="735C6076" w14:textId="77777777" w:rsidR="00825AD9" w:rsidRDefault="00825AD9" w:rsidP="00D07AE7">
            <w:pPr>
              <w:spacing w:after="0" w:line="280" w:lineRule="atLeast"/>
              <w:rPr>
                <w:rFonts w:ascii="Arial" w:hAnsi="Arial" w:cs="Arial"/>
              </w:rPr>
            </w:pPr>
          </w:p>
          <w:p w14:paraId="6A334F7D" w14:textId="77777777" w:rsidR="00825AD9" w:rsidRDefault="00825AD9" w:rsidP="00D07AE7">
            <w:pPr>
              <w:spacing w:after="0" w:line="280" w:lineRule="atLeast"/>
              <w:rPr>
                <w:rFonts w:ascii="Arial" w:hAnsi="Arial" w:cs="Arial"/>
              </w:rPr>
            </w:pPr>
            <w:r>
              <w:rPr>
                <w:rFonts w:ascii="Arial" w:hAnsi="Arial" w:cs="Arial"/>
              </w:rPr>
              <w:t>The licensee is uniquely placed to track gaming machine play in venues through business-as-usual ‘Know Your Customer’ procedures as well as enhanced account-sign up measures.</w:t>
            </w:r>
          </w:p>
          <w:p w14:paraId="2D0FCB1D" w14:textId="63072009" w:rsidR="00825AD9" w:rsidDel="00D07AE7" w:rsidRDefault="00825AD9" w:rsidP="00D07AE7">
            <w:pPr>
              <w:spacing w:after="0" w:line="280" w:lineRule="atLeast"/>
              <w:rPr>
                <w:rFonts w:ascii="Arial" w:hAnsi="Arial" w:cs="Arial"/>
              </w:rPr>
            </w:pPr>
          </w:p>
        </w:tc>
      </w:tr>
      <w:tr w:rsidR="00247DC4" w:rsidRPr="00497CA7" w14:paraId="687009ED" w14:textId="77777777" w:rsidTr="002F3B21">
        <w:trPr>
          <w:cantSplit/>
          <w:trHeight w:val="1549"/>
        </w:trPr>
        <w:tc>
          <w:tcPr>
            <w:tcW w:w="3544" w:type="dxa"/>
            <w:vMerge w:val="restart"/>
          </w:tcPr>
          <w:p w14:paraId="1E01631D" w14:textId="39C6F5CD" w:rsidR="00247DC4" w:rsidRPr="00497CA7" w:rsidRDefault="00247DC4" w:rsidP="00D07AE7">
            <w:pPr>
              <w:spacing w:after="0" w:line="280" w:lineRule="atLeast"/>
              <w:rPr>
                <w:rFonts w:ascii="Arial" w:hAnsi="Arial" w:cs="Arial"/>
              </w:rPr>
            </w:pPr>
            <w:r w:rsidRPr="00497CA7">
              <w:rPr>
                <w:rFonts w:ascii="Arial" w:hAnsi="Arial" w:cs="Arial"/>
              </w:rPr>
              <w:t>Section 67</w:t>
            </w:r>
            <w:r>
              <w:rPr>
                <w:rFonts w:ascii="Arial" w:hAnsi="Arial" w:cs="Arial"/>
              </w:rPr>
              <w:t>H</w:t>
            </w:r>
          </w:p>
          <w:p w14:paraId="36440662" w14:textId="77777777" w:rsidR="00247DC4" w:rsidRDefault="00247DC4" w:rsidP="00D07AE7">
            <w:pPr>
              <w:spacing w:after="0" w:line="280" w:lineRule="atLeast"/>
              <w:rPr>
                <w:rFonts w:ascii="Arial" w:hAnsi="Arial" w:cs="Arial"/>
              </w:rPr>
            </w:pPr>
          </w:p>
          <w:p w14:paraId="25B31826" w14:textId="5DFA7AFD" w:rsidR="00247DC4" w:rsidRPr="00497CA7" w:rsidRDefault="00247DC4" w:rsidP="00D07AE7">
            <w:pPr>
              <w:spacing w:after="0" w:line="280" w:lineRule="atLeast"/>
              <w:rPr>
                <w:rFonts w:ascii="Arial" w:hAnsi="Arial" w:cs="Arial"/>
              </w:rPr>
            </w:pPr>
            <w:r>
              <w:rPr>
                <w:rFonts w:ascii="Arial" w:hAnsi="Arial" w:cs="Arial"/>
              </w:rPr>
              <w:t>Multiple player accounts and cards prohibited</w:t>
            </w:r>
          </w:p>
        </w:tc>
        <w:tc>
          <w:tcPr>
            <w:tcW w:w="5386" w:type="dxa"/>
          </w:tcPr>
          <w:p w14:paraId="2098476E" w14:textId="77777777" w:rsidR="00247DC4" w:rsidRDefault="00247DC4" w:rsidP="00D07AE7">
            <w:pPr>
              <w:spacing w:after="0" w:line="280" w:lineRule="atLeast"/>
              <w:rPr>
                <w:rFonts w:ascii="Arial" w:hAnsi="Arial" w:cs="Arial"/>
              </w:rPr>
            </w:pPr>
            <w:r>
              <w:rPr>
                <w:rFonts w:ascii="Arial" w:hAnsi="Arial" w:cs="Arial"/>
              </w:rPr>
              <w:t>Sub-section (1)</w:t>
            </w:r>
          </w:p>
          <w:p w14:paraId="3F1DA97C" w14:textId="77777777" w:rsidR="00247DC4" w:rsidRDefault="00247DC4" w:rsidP="00D07AE7">
            <w:pPr>
              <w:spacing w:after="0" w:line="280" w:lineRule="atLeast"/>
              <w:rPr>
                <w:rFonts w:ascii="Arial" w:hAnsi="Arial" w:cs="Arial"/>
              </w:rPr>
            </w:pPr>
          </w:p>
          <w:p w14:paraId="4A83AFE6" w14:textId="77777777" w:rsidR="00247DC4" w:rsidRDefault="00247DC4" w:rsidP="00D07AE7">
            <w:pPr>
              <w:spacing w:after="0" w:line="280" w:lineRule="atLeast"/>
              <w:rPr>
                <w:rFonts w:ascii="Arial" w:hAnsi="Arial" w:cs="Arial"/>
              </w:rPr>
            </w:pPr>
            <w:r>
              <w:rPr>
                <w:rFonts w:ascii="Arial" w:hAnsi="Arial" w:cs="Arial"/>
              </w:rPr>
              <w:t xml:space="preserve">To ensure a licensee does not allow a person to create duplicate accounts which makes it difficult to track gambling behaviours and does not have the effect of consumer accountability.  </w:t>
            </w:r>
          </w:p>
          <w:p w14:paraId="62B22CDD" w14:textId="295864BF" w:rsidR="00247DC4" w:rsidRDefault="00247DC4" w:rsidP="00D07AE7">
            <w:pPr>
              <w:spacing w:after="0" w:line="280" w:lineRule="atLeast"/>
              <w:rPr>
                <w:rFonts w:ascii="Arial" w:hAnsi="Arial" w:cs="Arial"/>
              </w:rPr>
            </w:pPr>
          </w:p>
        </w:tc>
      </w:tr>
      <w:tr w:rsidR="00247DC4" w:rsidRPr="00497CA7" w14:paraId="7359EF6F" w14:textId="77777777" w:rsidTr="002F3B21">
        <w:trPr>
          <w:cantSplit/>
          <w:trHeight w:val="1549"/>
        </w:trPr>
        <w:tc>
          <w:tcPr>
            <w:tcW w:w="3544" w:type="dxa"/>
            <w:vMerge/>
          </w:tcPr>
          <w:p w14:paraId="1388A82F" w14:textId="77777777" w:rsidR="00247DC4" w:rsidRPr="00497CA7" w:rsidRDefault="00247DC4" w:rsidP="00D07AE7">
            <w:pPr>
              <w:spacing w:after="0" w:line="280" w:lineRule="atLeast"/>
              <w:rPr>
                <w:rFonts w:ascii="Arial" w:hAnsi="Arial" w:cs="Arial"/>
              </w:rPr>
            </w:pPr>
          </w:p>
        </w:tc>
        <w:tc>
          <w:tcPr>
            <w:tcW w:w="5386" w:type="dxa"/>
          </w:tcPr>
          <w:p w14:paraId="7B2F26EB" w14:textId="77777777" w:rsidR="00247DC4" w:rsidRDefault="00247DC4" w:rsidP="00D07AE7">
            <w:pPr>
              <w:spacing w:after="0" w:line="280" w:lineRule="atLeast"/>
              <w:rPr>
                <w:rFonts w:ascii="Arial" w:hAnsi="Arial" w:cs="Arial"/>
              </w:rPr>
            </w:pPr>
            <w:r>
              <w:rPr>
                <w:rFonts w:ascii="Arial" w:hAnsi="Arial" w:cs="Arial"/>
              </w:rPr>
              <w:t>Sub-section (2)</w:t>
            </w:r>
          </w:p>
          <w:p w14:paraId="752D1838" w14:textId="77777777" w:rsidR="00247DC4" w:rsidRDefault="00247DC4" w:rsidP="00D07AE7">
            <w:pPr>
              <w:spacing w:after="0" w:line="280" w:lineRule="atLeast"/>
              <w:rPr>
                <w:rFonts w:ascii="Arial" w:hAnsi="Arial" w:cs="Arial"/>
              </w:rPr>
            </w:pPr>
          </w:p>
          <w:p w14:paraId="26D2B212" w14:textId="01F07E6D" w:rsidR="00247DC4" w:rsidRDefault="00247DC4" w:rsidP="00D07AE7">
            <w:pPr>
              <w:spacing w:after="0" w:line="280" w:lineRule="atLeast"/>
              <w:rPr>
                <w:rFonts w:ascii="Arial" w:hAnsi="Arial" w:cs="Arial"/>
              </w:rPr>
            </w:pPr>
            <w:r>
              <w:rPr>
                <w:rFonts w:ascii="Arial" w:hAnsi="Arial" w:cs="Arial"/>
              </w:rPr>
              <w:t xml:space="preserve">To ensure a licensee does not allow a person to have duplicate cards which makes it difficult to track gambling behaviours and does not have the effect of consumer accountability.  </w:t>
            </w:r>
          </w:p>
          <w:p w14:paraId="7CA8D0A9" w14:textId="095B214B" w:rsidR="00247DC4" w:rsidRDefault="00247DC4" w:rsidP="00D07AE7">
            <w:pPr>
              <w:spacing w:after="0" w:line="280" w:lineRule="atLeast"/>
              <w:rPr>
                <w:rFonts w:ascii="Arial" w:hAnsi="Arial" w:cs="Arial"/>
              </w:rPr>
            </w:pPr>
          </w:p>
        </w:tc>
      </w:tr>
      <w:tr w:rsidR="00B00254" w:rsidRPr="00497CA7" w14:paraId="1DD80ACE" w14:textId="77777777" w:rsidTr="002F3B21">
        <w:trPr>
          <w:cantSplit/>
          <w:trHeight w:val="1549"/>
        </w:trPr>
        <w:tc>
          <w:tcPr>
            <w:tcW w:w="3544" w:type="dxa"/>
            <w:vMerge w:val="restart"/>
          </w:tcPr>
          <w:p w14:paraId="2F3DE619" w14:textId="77777777" w:rsidR="00B00254" w:rsidRDefault="00B00254" w:rsidP="00D07AE7">
            <w:pPr>
              <w:spacing w:after="0" w:line="280" w:lineRule="atLeast"/>
              <w:rPr>
                <w:rFonts w:ascii="Arial" w:hAnsi="Arial" w:cs="Arial"/>
              </w:rPr>
            </w:pPr>
            <w:r>
              <w:rPr>
                <w:rFonts w:ascii="Arial" w:hAnsi="Arial" w:cs="Arial"/>
              </w:rPr>
              <w:t>Section 67I</w:t>
            </w:r>
          </w:p>
          <w:p w14:paraId="014B5DC4" w14:textId="77777777" w:rsidR="00B00254" w:rsidRDefault="00B00254" w:rsidP="00D07AE7">
            <w:pPr>
              <w:spacing w:after="0" w:line="280" w:lineRule="atLeast"/>
              <w:rPr>
                <w:rFonts w:ascii="Arial" w:hAnsi="Arial" w:cs="Arial"/>
              </w:rPr>
            </w:pPr>
          </w:p>
          <w:p w14:paraId="31EA243D" w14:textId="2353343D" w:rsidR="00B00254" w:rsidRPr="00497CA7" w:rsidRDefault="00B00254" w:rsidP="00D07AE7">
            <w:pPr>
              <w:spacing w:after="0" w:line="280" w:lineRule="atLeast"/>
              <w:rPr>
                <w:rFonts w:ascii="Arial" w:hAnsi="Arial" w:cs="Arial"/>
              </w:rPr>
            </w:pPr>
            <w:r>
              <w:rPr>
                <w:rFonts w:ascii="Arial" w:hAnsi="Arial" w:cs="Arial"/>
              </w:rPr>
              <w:t>Using another person’s player account or card prohibited</w:t>
            </w:r>
          </w:p>
        </w:tc>
        <w:tc>
          <w:tcPr>
            <w:tcW w:w="5386" w:type="dxa"/>
          </w:tcPr>
          <w:p w14:paraId="67C3EC3C" w14:textId="77777777" w:rsidR="00B00254" w:rsidRDefault="00B00254" w:rsidP="007F6232">
            <w:pPr>
              <w:spacing w:after="0" w:line="280" w:lineRule="atLeast"/>
              <w:rPr>
                <w:rFonts w:ascii="Arial" w:hAnsi="Arial" w:cs="Arial"/>
              </w:rPr>
            </w:pPr>
            <w:r>
              <w:rPr>
                <w:rFonts w:ascii="Arial" w:hAnsi="Arial" w:cs="Arial"/>
              </w:rPr>
              <w:t>Sub-section (1)</w:t>
            </w:r>
          </w:p>
          <w:p w14:paraId="50C6EF7D" w14:textId="77777777" w:rsidR="00B00254" w:rsidRDefault="00B00254" w:rsidP="00D07AE7">
            <w:pPr>
              <w:spacing w:after="0" w:line="280" w:lineRule="atLeast"/>
              <w:rPr>
                <w:rFonts w:ascii="Arial" w:hAnsi="Arial" w:cs="Arial"/>
              </w:rPr>
            </w:pPr>
          </w:p>
          <w:p w14:paraId="7E7D093B" w14:textId="2624F256" w:rsidR="00B00254" w:rsidRDefault="00B00254" w:rsidP="00D07AE7">
            <w:pPr>
              <w:spacing w:after="0" w:line="280" w:lineRule="atLeast"/>
              <w:rPr>
                <w:rFonts w:ascii="Arial" w:hAnsi="Arial" w:cs="Arial"/>
              </w:rPr>
            </w:pPr>
            <w:r>
              <w:rPr>
                <w:rFonts w:ascii="Arial" w:hAnsi="Arial" w:cs="Arial"/>
              </w:rPr>
              <w:t xml:space="preserve">To ensure a person does not redeem credit which does not belong to </w:t>
            </w:r>
            <w:r w:rsidR="004C6ADC">
              <w:rPr>
                <w:rFonts w:ascii="Arial" w:hAnsi="Arial" w:cs="Arial"/>
              </w:rPr>
              <w:t>them and obtain funds that they have no entitlement to</w:t>
            </w:r>
            <w:r>
              <w:rPr>
                <w:rFonts w:ascii="Arial" w:hAnsi="Arial" w:cs="Arial"/>
              </w:rPr>
              <w:t>.</w:t>
            </w:r>
          </w:p>
        </w:tc>
      </w:tr>
      <w:tr w:rsidR="00B00254" w:rsidRPr="00497CA7" w14:paraId="713B4FD1" w14:textId="77777777" w:rsidTr="002F3B21">
        <w:trPr>
          <w:cantSplit/>
          <w:trHeight w:val="1549"/>
        </w:trPr>
        <w:tc>
          <w:tcPr>
            <w:tcW w:w="3544" w:type="dxa"/>
            <w:vMerge/>
          </w:tcPr>
          <w:p w14:paraId="68EB86C2" w14:textId="77777777" w:rsidR="00B00254" w:rsidRPr="00497CA7" w:rsidRDefault="00B00254" w:rsidP="00D07AE7">
            <w:pPr>
              <w:spacing w:after="0" w:line="280" w:lineRule="atLeast"/>
              <w:rPr>
                <w:rFonts w:ascii="Arial" w:hAnsi="Arial" w:cs="Arial"/>
              </w:rPr>
            </w:pPr>
          </w:p>
        </w:tc>
        <w:tc>
          <w:tcPr>
            <w:tcW w:w="5386" w:type="dxa"/>
          </w:tcPr>
          <w:p w14:paraId="0B8A4CF2" w14:textId="77777777" w:rsidR="00B00254" w:rsidRDefault="00B00254" w:rsidP="00B00254">
            <w:pPr>
              <w:spacing w:after="0" w:line="280" w:lineRule="atLeast"/>
              <w:rPr>
                <w:rFonts w:ascii="Arial" w:hAnsi="Arial" w:cs="Arial"/>
              </w:rPr>
            </w:pPr>
            <w:r>
              <w:rPr>
                <w:rFonts w:ascii="Arial" w:hAnsi="Arial" w:cs="Arial"/>
              </w:rPr>
              <w:t>Sub-section (2)</w:t>
            </w:r>
          </w:p>
          <w:p w14:paraId="4EE6D5B4" w14:textId="77777777" w:rsidR="00B00254" w:rsidRDefault="00B00254" w:rsidP="00D07AE7">
            <w:pPr>
              <w:spacing w:after="0" w:line="280" w:lineRule="atLeast"/>
              <w:rPr>
                <w:rFonts w:ascii="Arial" w:hAnsi="Arial" w:cs="Arial"/>
              </w:rPr>
            </w:pPr>
          </w:p>
          <w:p w14:paraId="46E4010C" w14:textId="1465C777" w:rsidR="00B00254" w:rsidRDefault="00B00254" w:rsidP="00B00254">
            <w:pPr>
              <w:spacing w:after="0" w:line="280" w:lineRule="atLeast"/>
              <w:rPr>
                <w:rFonts w:ascii="Arial" w:hAnsi="Arial" w:cs="Arial"/>
              </w:rPr>
            </w:pPr>
            <w:r>
              <w:rPr>
                <w:rFonts w:ascii="Arial" w:hAnsi="Arial" w:cs="Arial"/>
              </w:rPr>
              <w:t xml:space="preserve">To ensure a person cannot circumvent the account-based system by in effect playing ‘anonymously’ under another person’s account. </w:t>
            </w:r>
            <w:r w:rsidR="004C6ADC">
              <w:rPr>
                <w:rFonts w:ascii="Arial" w:hAnsi="Arial" w:cs="Arial"/>
              </w:rPr>
              <w:t xml:space="preserve">Playing </w:t>
            </w:r>
            <w:r w:rsidR="00A94C04">
              <w:rPr>
                <w:rFonts w:ascii="Arial" w:hAnsi="Arial" w:cs="Arial"/>
              </w:rPr>
              <w:t xml:space="preserve">under an identified account helps a person to keep track of their gambling and provide a licensee with more information about potentially harmful gambling behaviours.  </w:t>
            </w:r>
          </w:p>
          <w:p w14:paraId="2E9DA7CE" w14:textId="0E275C7C" w:rsidR="00B00254" w:rsidRDefault="00B00254" w:rsidP="00D07AE7">
            <w:pPr>
              <w:spacing w:after="0" w:line="280" w:lineRule="atLeast"/>
              <w:rPr>
                <w:rFonts w:ascii="Arial" w:hAnsi="Arial" w:cs="Arial"/>
              </w:rPr>
            </w:pPr>
          </w:p>
        </w:tc>
      </w:tr>
      <w:tr w:rsidR="006445CF" w:rsidRPr="00497CA7" w14:paraId="10F14980" w14:textId="77777777" w:rsidTr="002F3B21">
        <w:trPr>
          <w:cantSplit/>
          <w:trHeight w:val="1549"/>
        </w:trPr>
        <w:tc>
          <w:tcPr>
            <w:tcW w:w="3544" w:type="dxa"/>
            <w:vMerge w:val="restart"/>
          </w:tcPr>
          <w:p w14:paraId="272660DC" w14:textId="77777777" w:rsidR="006445CF" w:rsidRDefault="006445CF" w:rsidP="00D07AE7">
            <w:pPr>
              <w:spacing w:after="0" w:line="280" w:lineRule="atLeast"/>
              <w:rPr>
                <w:rFonts w:ascii="Arial" w:hAnsi="Arial" w:cs="Arial"/>
              </w:rPr>
            </w:pPr>
            <w:r>
              <w:rPr>
                <w:rFonts w:ascii="Arial" w:hAnsi="Arial" w:cs="Arial"/>
              </w:rPr>
              <w:t>Section 67J</w:t>
            </w:r>
          </w:p>
          <w:p w14:paraId="122FB56B" w14:textId="77777777" w:rsidR="006445CF" w:rsidRDefault="006445CF" w:rsidP="00D07AE7">
            <w:pPr>
              <w:spacing w:after="0" w:line="280" w:lineRule="atLeast"/>
              <w:rPr>
                <w:rFonts w:ascii="Arial" w:hAnsi="Arial" w:cs="Arial"/>
              </w:rPr>
            </w:pPr>
          </w:p>
          <w:p w14:paraId="011EA499" w14:textId="77777777" w:rsidR="006445CF" w:rsidRPr="00497CA7" w:rsidRDefault="006445CF" w:rsidP="00E67515">
            <w:pPr>
              <w:spacing w:after="0" w:line="280" w:lineRule="atLeast"/>
              <w:rPr>
                <w:rFonts w:ascii="Arial" w:hAnsi="Arial" w:cs="Arial"/>
              </w:rPr>
            </w:pPr>
            <w:r>
              <w:rPr>
                <w:rFonts w:ascii="Arial" w:hAnsi="Arial" w:cs="Arial"/>
              </w:rPr>
              <w:t xml:space="preserve">Children prohibited from using account-based systems </w:t>
            </w:r>
          </w:p>
          <w:p w14:paraId="3E394505" w14:textId="61279017" w:rsidR="006445CF" w:rsidRPr="00497CA7" w:rsidRDefault="006445CF" w:rsidP="00D07AE7">
            <w:pPr>
              <w:spacing w:after="0" w:line="280" w:lineRule="atLeast"/>
              <w:rPr>
                <w:rFonts w:ascii="Arial" w:hAnsi="Arial" w:cs="Arial"/>
              </w:rPr>
            </w:pPr>
          </w:p>
        </w:tc>
        <w:tc>
          <w:tcPr>
            <w:tcW w:w="5386" w:type="dxa"/>
          </w:tcPr>
          <w:p w14:paraId="5BEA21E8" w14:textId="77777777" w:rsidR="006445CF" w:rsidRDefault="006445CF" w:rsidP="00B00254">
            <w:pPr>
              <w:spacing w:after="0" w:line="280" w:lineRule="atLeast"/>
              <w:rPr>
                <w:rFonts w:ascii="Arial" w:hAnsi="Arial" w:cs="Arial"/>
              </w:rPr>
            </w:pPr>
            <w:r>
              <w:rPr>
                <w:rFonts w:ascii="Arial" w:hAnsi="Arial" w:cs="Arial"/>
              </w:rPr>
              <w:t>Sub-section (1)</w:t>
            </w:r>
          </w:p>
          <w:p w14:paraId="08772C68" w14:textId="77777777" w:rsidR="006445CF" w:rsidRDefault="006445CF" w:rsidP="00B00254">
            <w:pPr>
              <w:spacing w:after="0" w:line="280" w:lineRule="atLeast"/>
              <w:rPr>
                <w:rFonts w:ascii="Arial" w:hAnsi="Arial" w:cs="Arial"/>
              </w:rPr>
            </w:pPr>
          </w:p>
          <w:p w14:paraId="0552AE1D" w14:textId="51C829E0" w:rsidR="006445CF" w:rsidRDefault="006445CF" w:rsidP="00B00254">
            <w:pPr>
              <w:spacing w:after="0" w:line="280" w:lineRule="atLeast"/>
              <w:rPr>
                <w:rFonts w:ascii="Arial" w:hAnsi="Arial" w:cs="Arial"/>
              </w:rPr>
            </w:pPr>
            <w:r>
              <w:rPr>
                <w:rFonts w:ascii="Arial" w:hAnsi="Arial" w:cs="Arial"/>
              </w:rPr>
              <w:t>To ensure that a licensee does not issue a player card to a person under 18 years of age</w:t>
            </w:r>
            <w:r w:rsidR="009D1742">
              <w:rPr>
                <w:rFonts w:ascii="Arial" w:hAnsi="Arial" w:cs="Arial"/>
              </w:rPr>
              <w:t xml:space="preserve">. </w:t>
            </w:r>
          </w:p>
          <w:p w14:paraId="3619A590" w14:textId="4BCCBCE3" w:rsidR="00C00703" w:rsidRDefault="00C00703" w:rsidP="00B00254">
            <w:pPr>
              <w:spacing w:after="0" w:line="280" w:lineRule="atLeast"/>
              <w:rPr>
                <w:rFonts w:ascii="Arial" w:hAnsi="Arial" w:cs="Arial"/>
              </w:rPr>
            </w:pPr>
          </w:p>
        </w:tc>
      </w:tr>
      <w:tr w:rsidR="006445CF" w:rsidRPr="00497CA7" w14:paraId="5298C200" w14:textId="77777777" w:rsidTr="002F3B21">
        <w:trPr>
          <w:cantSplit/>
          <w:trHeight w:val="1549"/>
        </w:trPr>
        <w:tc>
          <w:tcPr>
            <w:tcW w:w="3544" w:type="dxa"/>
            <w:vMerge/>
          </w:tcPr>
          <w:p w14:paraId="5291FCEE" w14:textId="77777777" w:rsidR="006445CF" w:rsidRPr="00497CA7" w:rsidRDefault="006445CF" w:rsidP="00D07AE7">
            <w:pPr>
              <w:spacing w:after="0" w:line="280" w:lineRule="atLeast"/>
              <w:rPr>
                <w:rFonts w:ascii="Arial" w:hAnsi="Arial" w:cs="Arial"/>
              </w:rPr>
            </w:pPr>
          </w:p>
        </w:tc>
        <w:tc>
          <w:tcPr>
            <w:tcW w:w="5386" w:type="dxa"/>
          </w:tcPr>
          <w:p w14:paraId="57D7208A" w14:textId="77777777" w:rsidR="006445CF" w:rsidRDefault="006445CF" w:rsidP="00B00254">
            <w:pPr>
              <w:spacing w:after="0" w:line="280" w:lineRule="atLeast"/>
              <w:rPr>
                <w:rFonts w:ascii="Arial" w:hAnsi="Arial" w:cs="Arial"/>
              </w:rPr>
            </w:pPr>
            <w:r>
              <w:rPr>
                <w:rFonts w:ascii="Arial" w:hAnsi="Arial" w:cs="Arial"/>
              </w:rPr>
              <w:t>Sub-section (2)</w:t>
            </w:r>
          </w:p>
          <w:p w14:paraId="3CC98AA6" w14:textId="77777777" w:rsidR="006445CF" w:rsidRDefault="006445CF" w:rsidP="00B00254">
            <w:pPr>
              <w:spacing w:after="0" w:line="280" w:lineRule="atLeast"/>
              <w:rPr>
                <w:rFonts w:ascii="Arial" w:hAnsi="Arial" w:cs="Arial"/>
              </w:rPr>
            </w:pPr>
          </w:p>
          <w:p w14:paraId="45A1286D" w14:textId="32CB1F75" w:rsidR="006445CF" w:rsidRDefault="00C00703" w:rsidP="00B00254">
            <w:pPr>
              <w:spacing w:after="0" w:line="280" w:lineRule="atLeast"/>
              <w:rPr>
                <w:rFonts w:ascii="Arial" w:hAnsi="Arial" w:cs="Arial"/>
              </w:rPr>
            </w:pPr>
            <w:r>
              <w:rPr>
                <w:rFonts w:ascii="Arial" w:hAnsi="Arial" w:cs="Arial"/>
              </w:rPr>
              <w:t xml:space="preserve">To ensure a licensee does </w:t>
            </w:r>
            <w:r w:rsidR="009D1742">
              <w:rPr>
                <w:rFonts w:ascii="Arial" w:hAnsi="Arial" w:cs="Arial"/>
              </w:rPr>
              <w:t>not allow a child to use the account-based gaming system on the licensee’s authorised premises.</w:t>
            </w:r>
          </w:p>
        </w:tc>
      </w:tr>
      <w:tr w:rsidR="00D07AE7" w:rsidRPr="00497CA7" w14:paraId="7AD741B4" w14:textId="77777777" w:rsidTr="001F25C8">
        <w:trPr>
          <w:cantSplit/>
          <w:trHeight w:val="1400"/>
        </w:trPr>
        <w:tc>
          <w:tcPr>
            <w:tcW w:w="3544" w:type="dxa"/>
          </w:tcPr>
          <w:p w14:paraId="7592DCA3" w14:textId="1A544A19" w:rsidR="009D1742" w:rsidRDefault="009D1742" w:rsidP="00D07AE7">
            <w:pPr>
              <w:spacing w:after="0" w:line="280" w:lineRule="atLeast"/>
              <w:rPr>
                <w:rFonts w:ascii="Arial" w:hAnsi="Arial" w:cs="Arial"/>
              </w:rPr>
            </w:pPr>
            <w:r>
              <w:rPr>
                <w:rFonts w:ascii="Arial" w:hAnsi="Arial" w:cs="Arial"/>
              </w:rPr>
              <w:t>Section 67K(1)</w:t>
            </w:r>
          </w:p>
          <w:p w14:paraId="003A2BC7" w14:textId="77777777" w:rsidR="009D1742" w:rsidRDefault="009D1742" w:rsidP="00D07AE7">
            <w:pPr>
              <w:spacing w:after="0" w:line="280" w:lineRule="atLeast"/>
              <w:rPr>
                <w:rFonts w:ascii="Arial" w:hAnsi="Arial" w:cs="Arial"/>
              </w:rPr>
            </w:pPr>
          </w:p>
          <w:p w14:paraId="0AA27439" w14:textId="3865478C" w:rsidR="009D1742" w:rsidRPr="00497CA7" w:rsidRDefault="009D1742" w:rsidP="00D07AE7">
            <w:pPr>
              <w:spacing w:after="0" w:line="280" w:lineRule="atLeast"/>
              <w:rPr>
                <w:rFonts w:ascii="Arial" w:hAnsi="Arial" w:cs="Arial"/>
              </w:rPr>
            </w:pPr>
            <w:r>
              <w:rPr>
                <w:rFonts w:ascii="Arial" w:hAnsi="Arial" w:cs="Arial"/>
              </w:rPr>
              <w:t xml:space="preserve">Purchasing player credit </w:t>
            </w:r>
          </w:p>
          <w:p w14:paraId="7923228E" w14:textId="77777777" w:rsidR="00D07AE7" w:rsidRPr="00497CA7" w:rsidRDefault="00D07AE7" w:rsidP="006445CF">
            <w:pPr>
              <w:spacing w:after="0" w:line="280" w:lineRule="atLeast"/>
              <w:rPr>
                <w:rFonts w:ascii="Arial" w:hAnsi="Arial" w:cs="Arial"/>
              </w:rPr>
            </w:pPr>
          </w:p>
        </w:tc>
        <w:tc>
          <w:tcPr>
            <w:tcW w:w="5386" w:type="dxa"/>
          </w:tcPr>
          <w:p w14:paraId="0080B712" w14:textId="77777777" w:rsidR="008850AE" w:rsidRDefault="008850AE" w:rsidP="008850AE">
            <w:pPr>
              <w:spacing w:after="0" w:line="280" w:lineRule="atLeast"/>
              <w:rPr>
                <w:rFonts w:ascii="Arial" w:hAnsi="Arial" w:cs="Arial"/>
              </w:rPr>
            </w:pPr>
            <w:r>
              <w:rPr>
                <w:rFonts w:ascii="Arial" w:hAnsi="Arial" w:cs="Arial"/>
              </w:rPr>
              <w:t xml:space="preserve">To ensure a licensee does not allow a person to make a payment in exchange for player credits in a way not approved by the regulation. </w:t>
            </w:r>
          </w:p>
          <w:p w14:paraId="2AA2A6D7" w14:textId="77777777" w:rsidR="008850AE" w:rsidRDefault="008850AE" w:rsidP="008850AE">
            <w:pPr>
              <w:spacing w:after="0" w:line="280" w:lineRule="atLeast"/>
              <w:rPr>
                <w:rFonts w:ascii="Arial" w:hAnsi="Arial" w:cs="Arial"/>
              </w:rPr>
            </w:pPr>
          </w:p>
          <w:p w14:paraId="7CB15D01" w14:textId="6277D7E7" w:rsidR="008850AE" w:rsidRPr="00FD33CB" w:rsidRDefault="008850AE" w:rsidP="008850AE">
            <w:pPr>
              <w:spacing w:after="0" w:line="280" w:lineRule="atLeast"/>
              <w:rPr>
                <w:rFonts w:ascii="Arial" w:hAnsi="Arial" w:cs="Arial"/>
                <w:iCs/>
              </w:rPr>
            </w:pPr>
            <w:r>
              <w:rPr>
                <w:rFonts w:ascii="Arial" w:hAnsi="Arial" w:cs="Arial"/>
              </w:rPr>
              <w:t xml:space="preserve">This provides consistency with current safeguards in the </w:t>
            </w:r>
            <w:r w:rsidRPr="008E2875">
              <w:rPr>
                <w:rFonts w:ascii="Arial" w:hAnsi="Arial" w:cs="Arial"/>
                <w:i/>
              </w:rPr>
              <w:t>Gambling and Racing Control (Code of Practice) Regulation 2002</w:t>
            </w:r>
            <w:r>
              <w:rPr>
                <w:rFonts w:ascii="Arial" w:hAnsi="Arial" w:cs="Arial"/>
                <w:i/>
              </w:rPr>
              <w:t xml:space="preserve"> </w:t>
            </w:r>
            <w:r w:rsidRPr="00FD33CB">
              <w:rPr>
                <w:rFonts w:ascii="Arial" w:hAnsi="Arial" w:cs="Arial"/>
                <w:iCs/>
              </w:rPr>
              <w:t xml:space="preserve">schedule 1, section 1.23 relating to how winnings may be paid out and up to what amount. </w:t>
            </w:r>
          </w:p>
          <w:p w14:paraId="3B49F316" w14:textId="77777777" w:rsidR="008850AE" w:rsidRPr="00FD33CB" w:rsidRDefault="008850AE" w:rsidP="008850AE">
            <w:pPr>
              <w:spacing w:after="0" w:line="280" w:lineRule="atLeast"/>
              <w:rPr>
                <w:rFonts w:ascii="Arial" w:hAnsi="Arial" w:cs="Arial"/>
                <w:iCs/>
              </w:rPr>
            </w:pPr>
          </w:p>
          <w:p w14:paraId="21943ED6" w14:textId="4D510BCE" w:rsidR="00D07AE7" w:rsidRDefault="008850AE" w:rsidP="008850AE">
            <w:pPr>
              <w:spacing w:after="0" w:line="280" w:lineRule="atLeast"/>
              <w:rPr>
                <w:rFonts w:ascii="Arial" w:hAnsi="Arial" w:cs="Arial"/>
                <w:iCs/>
              </w:rPr>
            </w:pPr>
            <w:r w:rsidRPr="00FD33CB">
              <w:rPr>
                <w:rFonts w:ascii="Arial" w:hAnsi="Arial" w:cs="Arial"/>
                <w:iCs/>
              </w:rPr>
              <w:t>T</w:t>
            </w:r>
            <w:r>
              <w:rPr>
                <w:rFonts w:ascii="Arial" w:hAnsi="Arial" w:cs="Arial"/>
                <w:iCs/>
              </w:rPr>
              <w:t>his is intended to</w:t>
            </w:r>
            <w:r w:rsidRPr="00FD33CB">
              <w:rPr>
                <w:rFonts w:ascii="Arial" w:hAnsi="Arial" w:cs="Arial"/>
                <w:iCs/>
              </w:rPr>
              <w:t xml:space="preserve"> </w:t>
            </w:r>
            <w:r>
              <w:rPr>
                <w:rFonts w:ascii="Arial" w:hAnsi="Arial" w:cs="Arial"/>
                <w:iCs/>
              </w:rPr>
              <w:t xml:space="preserve">address money laundering risks by enabling the source of funds to be more easily identified. </w:t>
            </w:r>
          </w:p>
          <w:p w14:paraId="081077F9" w14:textId="1EFF796C" w:rsidR="008850AE" w:rsidRPr="00497CA7" w:rsidRDefault="008850AE" w:rsidP="008850AE">
            <w:pPr>
              <w:spacing w:after="0" w:line="280" w:lineRule="atLeast"/>
              <w:rPr>
                <w:rFonts w:ascii="Arial" w:hAnsi="Arial" w:cs="Arial"/>
              </w:rPr>
            </w:pPr>
          </w:p>
        </w:tc>
      </w:tr>
      <w:tr w:rsidR="00D07AE7" w:rsidRPr="00497CA7" w14:paraId="4385BD7C" w14:textId="77777777" w:rsidTr="00531776">
        <w:trPr>
          <w:cantSplit/>
          <w:trHeight w:val="1870"/>
        </w:trPr>
        <w:tc>
          <w:tcPr>
            <w:tcW w:w="3544" w:type="dxa"/>
          </w:tcPr>
          <w:p w14:paraId="0A129D34" w14:textId="77777777" w:rsidR="006A78C1" w:rsidRDefault="006A78C1" w:rsidP="006A78C1">
            <w:pPr>
              <w:spacing w:after="0" w:line="280" w:lineRule="atLeast"/>
              <w:rPr>
                <w:rFonts w:ascii="Arial" w:hAnsi="Arial" w:cs="Arial"/>
              </w:rPr>
            </w:pPr>
            <w:r>
              <w:rPr>
                <w:rFonts w:ascii="Arial" w:hAnsi="Arial" w:cs="Arial"/>
              </w:rPr>
              <w:t>Section 67N(1)</w:t>
            </w:r>
          </w:p>
          <w:p w14:paraId="072577A3" w14:textId="77777777" w:rsidR="006A78C1" w:rsidRDefault="006A78C1" w:rsidP="006A78C1">
            <w:pPr>
              <w:spacing w:after="0" w:line="280" w:lineRule="atLeast"/>
              <w:rPr>
                <w:rFonts w:ascii="Arial" w:hAnsi="Arial" w:cs="Arial"/>
              </w:rPr>
            </w:pPr>
          </w:p>
          <w:p w14:paraId="4D784643" w14:textId="7D53F477" w:rsidR="00D07AE7" w:rsidRPr="00497CA7" w:rsidRDefault="006A78C1" w:rsidP="00D07AE7">
            <w:pPr>
              <w:spacing w:after="0" w:line="280" w:lineRule="atLeast"/>
              <w:rPr>
                <w:rFonts w:ascii="Arial" w:hAnsi="Arial" w:cs="Arial"/>
              </w:rPr>
            </w:pPr>
            <w:r>
              <w:rPr>
                <w:rFonts w:ascii="Arial" w:hAnsi="Arial" w:cs="Arial"/>
              </w:rPr>
              <w:t xml:space="preserve">People excluded from gaming machines – new player accounts </w:t>
            </w:r>
          </w:p>
        </w:tc>
        <w:tc>
          <w:tcPr>
            <w:tcW w:w="5386" w:type="dxa"/>
          </w:tcPr>
          <w:p w14:paraId="0BF4A5B5" w14:textId="6132B3E3" w:rsidR="00D07AE7" w:rsidRPr="00FD33CB" w:rsidRDefault="005971C3" w:rsidP="00D07AE7">
            <w:pPr>
              <w:spacing w:after="0" w:line="280" w:lineRule="atLeast"/>
              <w:rPr>
                <w:rFonts w:ascii="Arial" w:hAnsi="Arial" w:cs="Arial"/>
                <w:iCs/>
              </w:rPr>
            </w:pPr>
            <w:r>
              <w:rPr>
                <w:rFonts w:ascii="Arial" w:hAnsi="Arial" w:cs="Arial"/>
              </w:rPr>
              <w:t xml:space="preserve">To ensure a licensee does not allow a person to play gaming machines prior to the expiration of their exclusion period. </w:t>
            </w:r>
          </w:p>
        </w:tc>
      </w:tr>
      <w:tr w:rsidR="006A78C1" w:rsidRPr="00497CA7" w14:paraId="14D139D7" w14:textId="77777777" w:rsidTr="00531776">
        <w:trPr>
          <w:cantSplit/>
          <w:trHeight w:val="2136"/>
        </w:trPr>
        <w:tc>
          <w:tcPr>
            <w:tcW w:w="3544" w:type="dxa"/>
          </w:tcPr>
          <w:p w14:paraId="30F5C95F" w14:textId="77777777" w:rsidR="004309FC" w:rsidRDefault="004309FC" w:rsidP="004309FC">
            <w:pPr>
              <w:spacing w:after="0" w:line="280" w:lineRule="atLeast"/>
              <w:rPr>
                <w:rFonts w:ascii="Arial" w:hAnsi="Arial" w:cs="Arial"/>
              </w:rPr>
            </w:pPr>
            <w:r>
              <w:rPr>
                <w:rFonts w:ascii="Arial" w:hAnsi="Arial" w:cs="Arial"/>
              </w:rPr>
              <w:lastRenderedPageBreak/>
              <w:t>Section 67O(1)</w:t>
            </w:r>
          </w:p>
          <w:p w14:paraId="603B19ED" w14:textId="77777777" w:rsidR="004309FC" w:rsidRDefault="004309FC" w:rsidP="004309FC">
            <w:pPr>
              <w:spacing w:after="0" w:line="280" w:lineRule="atLeast"/>
              <w:rPr>
                <w:rFonts w:ascii="Arial" w:hAnsi="Arial" w:cs="Arial"/>
              </w:rPr>
            </w:pPr>
          </w:p>
          <w:p w14:paraId="1B942BB8" w14:textId="565E7FD3" w:rsidR="006A78C1" w:rsidRDefault="004309FC" w:rsidP="004309FC">
            <w:pPr>
              <w:spacing w:after="0" w:line="280" w:lineRule="atLeast"/>
              <w:rPr>
                <w:rFonts w:ascii="Arial" w:hAnsi="Arial" w:cs="Arial"/>
              </w:rPr>
            </w:pPr>
            <w:r>
              <w:rPr>
                <w:rFonts w:ascii="Arial" w:hAnsi="Arial" w:cs="Arial"/>
              </w:rPr>
              <w:t>People excluded from gaming machines – existing player cards</w:t>
            </w:r>
          </w:p>
        </w:tc>
        <w:tc>
          <w:tcPr>
            <w:tcW w:w="5386" w:type="dxa"/>
          </w:tcPr>
          <w:p w14:paraId="1E5DF01D" w14:textId="294EC452" w:rsidR="006A78C1" w:rsidDel="008850AE" w:rsidRDefault="00B75CC6" w:rsidP="00D07AE7">
            <w:pPr>
              <w:spacing w:after="0" w:line="280" w:lineRule="atLeast"/>
              <w:rPr>
                <w:rFonts w:ascii="Arial" w:hAnsi="Arial" w:cs="Arial"/>
              </w:rPr>
            </w:pPr>
            <w:r>
              <w:rPr>
                <w:rFonts w:ascii="Arial" w:hAnsi="Arial" w:cs="Arial"/>
              </w:rPr>
              <w:t>To ensure a licensee does not allow a person to play gaming machines prior to the expiration of their exclusion period.</w:t>
            </w:r>
          </w:p>
        </w:tc>
      </w:tr>
      <w:tr w:rsidR="00D07AE7" w:rsidRPr="00497CA7" w14:paraId="628896F7" w14:textId="77777777" w:rsidTr="00531776">
        <w:trPr>
          <w:cantSplit/>
          <w:trHeight w:val="1692"/>
        </w:trPr>
        <w:tc>
          <w:tcPr>
            <w:tcW w:w="3544" w:type="dxa"/>
          </w:tcPr>
          <w:p w14:paraId="4FC6279D" w14:textId="77777777" w:rsidR="00DE78F6" w:rsidRDefault="00DE78F6" w:rsidP="00DE78F6">
            <w:pPr>
              <w:spacing w:after="0" w:line="280" w:lineRule="atLeast"/>
              <w:rPr>
                <w:rFonts w:ascii="Arial" w:hAnsi="Arial" w:cs="Arial"/>
              </w:rPr>
            </w:pPr>
            <w:r>
              <w:rPr>
                <w:rFonts w:ascii="Arial" w:hAnsi="Arial" w:cs="Arial"/>
              </w:rPr>
              <w:t>Section 67P(2)</w:t>
            </w:r>
          </w:p>
          <w:p w14:paraId="7FEA8DAB" w14:textId="77777777" w:rsidR="00DE78F6" w:rsidRDefault="00DE78F6" w:rsidP="00DE78F6">
            <w:pPr>
              <w:spacing w:after="0" w:line="280" w:lineRule="atLeast"/>
              <w:rPr>
                <w:rFonts w:ascii="Arial" w:hAnsi="Arial" w:cs="Arial"/>
              </w:rPr>
            </w:pPr>
          </w:p>
          <w:p w14:paraId="35F2FEEB" w14:textId="6449DEF1" w:rsidR="00D07AE7" w:rsidRPr="00497CA7" w:rsidRDefault="00DE78F6" w:rsidP="00DE78F6">
            <w:pPr>
              <w:spacing w:after="0" w:line="280" w:lineRule="atLeast"/>
              <w:rPr>
                <w:rFonts w:ascii="Arial" w:hAnsi="Arial" w:cs="Arial"/>
              </w:rPr>
            </w:pPr>
            <w:r>
              <w:rPr>
                <w:rFonts w:ascii="Arial" w:hAnsi="Arial" w:cs="Arial"/>
              </w:rPr>
              <w:t>People excluded from gaming machines – existing player accounts</w:t>
            </w:r>
          </w:p>
        </w:tc>
        <w:tc>
          <w:tcPr>
            <w:tcW w:w="5386" w:type="dxa"/>
          </w:tcPr>
          <w:p w14:paraId="462A5EED" w14:textId="2279E6B0" w:rsidR="00D07AE7" w:rsidRDefault="00B75CC6" w:rsidP="00D07AE7">
            <w:pPr>
              <w:spacing w:after="0" w:line="280" w:lineRule="atLeast"/>
              <w:rPr>
                <w:rFonts w:ascii="Arial" w:hAnsi="Arial" w:cs="Arial"/>
              </w:rPr>
            </w:pPr>
            <w:r>
              <w:rPr>
                <w:rFonts w:ascii="Arial" w:hAnsi="Arial" w:cs="Arial"/>
              </w:rPr>
              <w:t xml:space="preserve">To ensure a licensee does not allow someone who is not the holder </w:t>
            </w:r>
            <w:r w:rsidR="00EA3126">
              <w:rPr>
                <w:rFonts w:ascii="Arial" w:hAnsi="Arial" w:cs="Arial"/>
              </w:rPr>
              <w:t xml:space="preserve">of an account and card to </w:t>
            </w:r>
            <w:r w:rsidR="00D033AF">
              <w:rPr>
                <w:rFonts w:ascii="Arial" w:hAnsi="Arial" w:cs="Arial"/>
              </w:rPr>
              <w:t xml:space="preserve">reinstate a person’s account following a period of exclusion. </w:t>
            </w:r>
          </w:p>
        </w:tc>
      </w:tr>
      <w:tr w:rsidR="00D07AE7" w:rsidRPr="00497CA7" w14:paraId="6360C321" w14:textId="77777777" w:rsidTr="002F3B21">
        <w:trPr>
          <w:cantSplit/>
          <w:trHeight w:val="1975"/>
        </w:trPr>
        <w:tc>
          <w:tcPr>
            <w:tcW w:w="3544" w:type="dxa"/>
            <w:vMerge w:val="restart"/>
          </w:tcPr>
          <w:p w14:paraId="1E05042C" w14:textId="3CAC8BA3" w:rsidR="00D07AE7" w:rsidRDefault="00D07AE7" w:rsidP="00D07AE7">
            <w:pPr>
              <w:spacing w:after="0" w:line="280" w:lineRule="atLeast"/>
              <w:rPr>
                <w:rFonts w:ascii="Arial" w:hAnsi="Arial" w:cs="Arial"/>
              </w:rPr>
            </w:pPr>
            <w:r>
              <w:rPr>
                <w:rFonts w:ascii="Arial" w:hAnsi="Arial" w:cs="Arial"/>
              </w:rPr>
              <w:t>Section 67</w:t>
            </w:r>
            <w:r w:rsidR="00C727B6">
              <w:rPr>
                <w:rFonts w:ascii="Arial" w:hAnsi="Arial" w:cs="Arial"/>
              </w:rPr>
              <w:t>S</w:t>
            </w:r>
          </w:p>
          <w:p w14:paraId="417DE0CE" w14:textId="77777777" w:rsidR="00D07AE7" w:rsidRDefault="00D07AE7" w:rsidP="00D07AE7">
            <w:pPr>
              <w:spacing w:after="0" w:line="280" w:lineRule="atLeast"/>
              <w:rPr>
                <w:rFonts w:ascii="Arial" w:hAnsi="Arial" w:cs="Arial"/>
              </w:rPr>
            </w:pPr>
          </w:p>
          <w:p w14:paraId="152609FE" w14:textId="77777777" w:rsidR="00D07AE7" w:rsidRPr="00497CA7" w:rsidRDefault="00D07AE7" w:rsidP="00D07AE7">
            <w:pPr>
              <w:spacing w:after="0" w:line="280" w:lineRule="atLeast"/>
              <w:rPr>
                <w:rFonts w:ascii="Arial" w:hAnsi="Arial" w:cs="Arial"/>
              </w:rPr>
            </w:pPr>
            <w:r>
              <w:rPr>
                <w:rFonts w:ascii="Arial" w:hAnsi="Arial" w:cs="Arial"/>
              </w:rPr>
              <w:t xml:space="preserve">Licensees must apply pre-commitment controls for gaming machines </w:t>
            </w:r>
          </w:p>
        </w:tc>
        <w:tc>
          <w:tcPr>
            <w:tcW w:w="5386" w:type="dxa"/>
          </w:tcPr>
          <w:p w14:paraId="047EF3A8" w14:textId="09075226" w:rsidR="00D07AE7" w:rsidRDefault="00D07AE7" w:rsidP="00D07AE7">
            <w:pPr>
              <w:spacing w:after="0" w:line="280" w:lineRule="atLeast"/>
              <w:rPr>
                <w:rFonts w:ascii="Arial" w:hAnsi="Arial" w:cs="Arial"/>
              </w:rPr>
            </w:pPr>
            <w:r>
              <w:rPr>
                <w:rFonts w:ascii="Arial" w:hAnsi="Arial" w:cs="Arial"/>
              </w:rPr>
              <w:t>Sub-section (1)</w:t>
            </w:r>
          </w:p>
          <w:p w14:paraId="06D4A426" w14:textId="77777777" w:rsidR="00D07AE7" w:rsidRDefault="00D07AE7" w:rsidP="00D07AE7">
            <w:pPr>
              <w:spacing w:after="0" w:line="280" w:lineRule="atLeast"/>
              <w:rPr>
                <w:rFonts w:ascii="Arial" w:hAnsi="Arial" w:cs="Arial"/>
              </w:rPr>
            </w:pPr>
          </w:p>
          <w:p w14:paraId="46694CD5" w14:textId="3743434D" w:rsidR="00D07AE7" w:rsidRDefault="00D07AE7" w:rsidP="00D07AE7">
            <w:pPr>
              <w:spacing w:after="0" w:line="280" w:lineRule="atLeast"/>
              <w:rPr>
                <w:rFonts w:ascii="Arial" w:hAnsi="Arial" w:cs="Arial"/>
              </w:rPr>
            </w:pPr>
            <w:r>
              <w:rPr>
                <w:rFonts w:ascii="Arial" w:hAnsi="Arial" w:cs="Arial"/>
              </w:rPr>
              <w:t xml:space="preserve">To ensure that licensees only operate gaming machines connected to a pre-commitment system to minimise the risk of harm arising from </w:t>
            </w:r>
            <w:r w:rsidRPr="0017724C">
              <w:rPr>
                <w:rFonts w:ascii="Arial" w:hAnsi="Arial" w:cs="Arial"/>
              </w:rPr>
              <w:t>impulsive over-spending.</w:t>
            </w:r>
            <w:r>
              <w:rPr>
                <w:rFonts w:ascii="Arial" w:hAnsi="Arial" w:cs="Arial"/>
              </w:rPr>
              <w:t xml:space="preserve"> </w:t>
            </w:r>
          </w:p>
          <w:p w14:paraId="5D633201" w14:textId="77777777" w:rsidR="00D07AE7" w:rsidRDefault="00D07AE7" w:rsidP="00D07AE7">
            <w:pPr>
              <w:spacing w:after="0" w:line="280" w:lineRule="atLeast"/>
              <w:rPr>
                <w:rFonts w:ascii="Arial" w:hAnsi="Arial" w:cs="Arial"/>
              </w:rPr>
            </w:pPr>
          </w:p>
          <w:p w14:paraId="1F806B0F" w14:textId="74892479" w:rsidR="00D07AE7" w:rsidRDefault="00D07AE7" w:rsidP="00D07AE7">
            <w:pPr>
              <w:spacing w:after="0" w:line="280" w:lineRule="atLeast"/>
              <w:rPr>
                <w:rFonts w:ascii="Arial" w:hAnsi="Arial" w:cs="Arial"/>
              </w:rPr>
            </w:pPr>
            <w:r>
              <w:rPr>
                <w:rFonts w:ascii="Arial" w:hAnsi="Arial" w:cs="Arial"/>
              </w:rPr>
              <w:t>Sub-section (2) provides</w:t>
            </w:r>
            <w:r w:rsidR="006461C9">
              <w:rPr>
                <w:rFonts w:ascii="Arial" w:hAnsi="Arial" w:cs="Arial"/>
              </w:rPr>
              <w:t xml:space="preserve"> a</w:t>
            </w:r>
            <w:r>
              <w:rPr>
                <w:rFonts w:ascii="Arial" w:hAnsi="Arial" w:cs="Arial"/>
              </w:rPr>
              <w:t xml:space="preserve"> general defence of ‘taking reasonable steps’. </w:t>
            </w:r>
            <w:r w:rsidR="006461C9">
              <w:rPr>
                <w:rFonts w:ascii="Arial" w:hAnsi="Arial" w:cs="Arial"/>
              </w:rPr>
              <w:t xml:space="preserve">This </w:t>
            </w:r>
            <w:r>
              <w:rPr>
                <w:rFonts w:ascii="Arial" w:hAnsi="Arial" w:cs="Arial"/>
              </w:rPr>
              <w:t>defence impose</w:t>
            </w:r>
            <w:r w:rsidR="006461C9">
              <w:rPr>
                <w:rFonts w:ascii="Arial" w:hAnsi="Arial" w:cs="Arial"/>
              </w:rPr>
              <w:t>s</w:t>
            </w:r>
            <w:r>
              <w:rPr>
                <w:rFonts w:ascii="Arial" w:hAnsi="Arial" w:cs="Arial"/>
              </w:rPr>
              <w:t xml:space="preserve"> an evidential burden on the licensee as the defendant. </w:t>
            </w:r>
          </w:p>
          <w:p w14:paraId="142B7CD5" w14:textId="7AE37A41" w:rsidR="00D07AE7" w:rsidRPr="00497CA7" w:rsidRDefault="00D07AE7" w:rsidP="00D07AE7">
            <w:pPr>
              <w:spacing w:after="0" w:line="280" w:lineRule="atLeast"/>
              <w:rPr>
                <w:rFonts w:ascii="Arial" w:hAnsi="Arial" w:cs="Arial"/>
              </w:rPr>
            </w:pPr>
          </w:p>
        </w:tc>
      </w:tr>
      <w:tr w:rsidR="00D07AE7" w:rsidRPr="00497CA7" w14:paraId="50974289" w14:textId="77777777" w:rsidTr="002F3B21">
        <w:trPr>
          <w:cantSplit/>
          <w:trHeight w:val="1975"/>
        </w:trPr>
        <w:tc>
          <w:tcPr>
            <w:tcW w:w="3544" w:type="dxa"/>
            <w:vMerge/>
          </w:tcPr>
          <w:p w14:paraId="3A8CB452" w14:textId="77777777" w:rsidR="00D07AE7" w:rsidRDefault="00D07AE7" w:rsidP="00D07AE7">
            <w:pPr>
              <w:spacing w:after="0" w:line="280" w:lineRule="atLeast"/>
              <w:rPr>
                <w:rFonts w:ascii="Arial" w:hAnsi="Arial" w:cs="Arial"/>
              </w:rPr>
            </w:pPr>
          </w:p>
        </w:tc>
        <w:tc>
          <w:tcPr>
            <w:tcW w:w="5386" w:type="dxa"/>
          </w:tcPr>
          <w:p w14:paraId="6BE46F1F" w14:textId="4A1CE73A" w:rsidR="00D07AE7" w:rsidRDefault="00D07AE7" w:rsidP="00D07AE7">
            <w:pPr>
              <w:spacing w:after="0" w:line="280" w:lineRule="atLeast"/>
              <w:rPr>
                <w:rFonts w:ascii="Arial" w:hAnsi="Arial" w:cs="Arial"/>
              </w:rPr>
            </w:pPr>
            <w:r>
              <w:rPr>
                <w:rFonts w:ascii="Arial" w:hAnsi="Arial" w:cs="Arial"/>
              </w:rPr>
              <w:t>Sub-section (</w:t>
            </w:r>
            <w:r w:rsidR="001D50C2">
              <w:rPr>
                <w:rFonts w:ascii="Arial" w:hAnsi="Arial" w:cs="Arial"/>
              </w:rPr>
              <w:t>3)</w:t>
            </w:r>
          </w:p>
          <w:p w14:paraId="72AC50D3" w14:textId="77777777" w:rsidR="00D07AE7" w:rsidRDefault="00D07AE7" w:rsidP="00D07AE7">
            <w:pPr>
              <w:spacing w:after="0" w:line="280" w:lineRule="atLeast"/>
              <w:rPr>
                <w:rFonts w:ascii="Arial" w:hAnsi="Arial" w:cs="Arial"/>
              </w:rPr>
            </w:pPr>
          </w:p>
          <w:p w14:paraId="39284BB3" w14:textId="77777777" w:rsidR="00D07AE7" w:rsidRDefault="00D07AE7" w:rsidP="00D07AE7">
            <w:pPr>
              <w:spacing w:after="0" w:line="280" w:lineRule="atLeast"/>
              <w:rPr>
                <w:rFonts w:ascii="Arial" w:hAnsi="Arial" w:cs="Arial"/>
              </w:rPr>
            </w:pPr>
            <w:r>
              <w:rPr>
                <w:rFonts w:ascii="Arial" w:hAnsi="Arial" w:cs="Arial"/>
              </w:rPr>
              <w:t>To ensure that licensees ensure that the pre-commitment controls function in the way in which the controls were approved by the commission to function.</w:t>
            </w:r>
          </w:p>
          <w:p w14:paraId="7D16D05E" w14:textId="77777777" w:rsidR="00D07AE7" w:rsidRDefault="00D07AE7" w:rsidP="00D07AE7">
            <w:pPr>
              <w:spacing w:after="0" w:line="280" w:lineRule="atLeast"/>
              <w:rPr>
                <w:rFonts w:ascii="Arial" w:hAnsi="Arial" w:cs="Arial"/>
              </w:rPr>
            </w:pPr>
          </w:p>
          <w:p w14:paraId="6C01B709" w14:textId="2E3CC567" w:rsidR="00D07AE7" w:rsidRDefault="00D07AE7" w:rsidP="00D07AE7">
            <w:pPr>
              <w:spacing w:after="0" w:line="280" w:lineRule="atLeast"/>
              <w:rPr>
                <w:rFonts w:ascii="Arial" w:hAnsi="Arial" w:cs="Arial"/>
              </w:rPr>
            </w:pPr>
            <w:r>
              <w:rPr>
                <w:rFonts w:ascii="Arial" w:hAnsi="Arial" w:cs="Arial"/>
              </w:rPr>
              <w:t xml:space="preserve">Sub-section (4) provides </w:t>
            </w:r>
            <w:r w:rsidR="006461C9">
              <w:rPr>
                <w:rFonts w:ascii="Arial" w:hAnsi="Arial" w:cs="Arial"/>
              </w:rPr>
              <w:t xml:space="preserve">a </w:t>
            </w:r>
            <w:r>
              <w:rPr>
                <w:rFonts w:ascii="Arial" w:hAnsi="Arial" w:cs="Arial"/>
              </w:rPr>
              <w:t xml:space="preserve">general defence of ‘taking reasonable steps’. </w:t>
            </w:r>
            <w:r w:rsidR="006461C9">
              <w:rPr>
                <w:rFonts w:ascii="Arial" w:hAnsi="Arial" w:cs="Arial"/>
              </w:rPr>
              <w:t xml:space="preserve">This </w:t>
            </w:r>
            <w:r>
              <w:rPr>
                <w:rFonts w:ascii="Arial" w:hAnsi="Arial" w:cs="Arial"/>
              </w:rPr>
              <w:t>defences impose</w:t>
            </w:r>
            <w:r w:rsidR="006461C9">
              <w:rPr>
                <w:rFonts w:ascii="Arial" w:hAnsi="Arial" w:cs="Arial"/>
              </w:rPr>
              <w:t>s</w:t>
            </w:r>
            <w:r>
              <w:rPr>
                <w:rFonts w:ascii="Arial" w:hAnsi="Arial" w:cs="Arial"/>
              </w:rPr>
              <w:t xml:space="preserve"> an evidential burden on the licensee as the defendant. </w:t>
            </w:r>
          </w:p>
          <w:p w14:paraId="7FFB204A" w14:textId="77777777" w:rsidR="00D07AE7" w:rsidRDefault="00D07AE7" w:rsidP="00D07AE7">
            <w:pPr>
              <w:spacing w:after="0" w:line="280" w:lineRule="atLeast"/>
              <w:rPr>
                <w:rFonts w:ascii="Arial" w:hAnsi="Arial" w:cs="Arial"/>
              </w:rPr>
            </w:pPr>
          </w:p>
          <w:p w14:paraId="42EE71F9" w14:textId="299EBC0D" w:rsidR="00D07AE7" w:rsidRDefault="00D07AE7" w:rsidP="00D07AE7">
            <w:pPr>
              <w:spacing w:after="0" w:line="280" w:lineRule="atLeast"/>
              <w:rPr>
                <w:rFonts w:ascii="Arial" w:hAnsi="Arial" w:cs="Arial"/>
              </w:rPr>
            </w:pPr>
          </w:p>
        </w:tc>
      </w:tr>
      <w:tr w:rsidR="00D07AE7" w:rsidRPr="00497CA7" w14:paraId="164D0854" w14:textId="77777777" w:rsidTr="001F25C8">
        <w:trPr>
          <w:cantSplit/>
          <w:trHeight w:val="1687"/>
        </w:trPr>
        <w:tc>
          <w:tcPr>
            <w:tcW w:w="3544" w:type="dxa"/>
          </w:tcPr>
          <w:p w14:paraId="3A9B93A5" w14:textId="5230D254" w:rsidR="00D07AE7" w:rsidRPr="00531776" w:rsidRDefault="00D07AE7" w:rsidP="00D07AE7">
            <w:pPr>
              <w:spacing w:after="0" w:line="280" w:lineRule="atLeast"/>
              <w:rPr>
                <w:rFonts w:ascii="Arial" w:hAnsi="Arial" w:cs="Arial"/>
              </w:rPr>
            </w:pPr>
            <w:r w:rsidRPr="00531776">
              <w:rPr>
                <w:rFonts w:ascii="Arial" w:hAnsi="Arial" w:cs="Arial"/>
              </w:rPr>
              <w:t>Section 67</w:t>
            </w:r>
            <w:r w:rsidR="00915140">
              <w:rPr>
                <w:rFonts w:ascii="Arial" w:hAnsi="Arial" w:cs="Arial"/>
              </w:rPr>
              <w:t>T(2)</w:t>
            </w:r>
          </w:p>
          <w:p w14:paraId="7D7BE5A6" w14:textId="77777777" w:rsidR="00D07AE7" w:rsidRPr="00531776" w:rsidRDefault="00D07AE7" w:rsidP="00D07AE7">
            <w:pPr>
              <w:spacing w:after="0" w:line="280" w:lineRule="atLeast"/>
              <w:rPr>
                <w:rFonts w:ascii="Arial" w:hAnsi="Arial" w:cs="Arial"/>
              </w:rPr>
            </w:pPr>
          </w:p>
          <w:p w14:paraId="152600CD" w14:textId="77777777" w:rsidR="00D07AE7" w:rsidRPr="00531776" w:rsidRDefault="00D07AE7" w:rsidP="00D07AE7">
            <w:pPr>
              <w:spacing w:after="0" w:line="280" w:lineRule="atLeast"/>
              <w:rPr>
                <w:rFonts w:ascii="Arial" w:hAnsi="Arial" w:cs="Arial"/>
              </w:rPr>
            </w:pPr>
            <w:r w:rsidRPr="00531776">
              <w:rPr>
                <w:rFonts w:ascii="Arial" w:hAnsi="Arial" w:cs="Arial"/>
              </w:rPr>
              <w:t>Use or disclosure of pre-commitment information</w:t>
            </w:r>
          </w:p>
        </w:tc>
        <w:tc>
          <w:tcPr>
            <w:tcW w:w="5386" w:type="dxa"/>
          </w:tcPr>
          <w:p w14:paraId="6DF976BC" w14:textId="7A8DCFC8" w:rsidR="00D07AE7" w:rsidRPr="00531776" w:rsidRDefault="00D07AE7" w:rsidP="00D07AE7">
            <w:pPr>
              <w:spacing w:after="0" w:line="280" w:lineRule="atLeast"/>
              <w:rPr>
                <w:rFonts w:ascii="Arial" w:hAnsi="Arial" w:cs="Arial"/>
              </w:rPr>
            </w:pPr>
            <w:r>
              <w:rPr>
                <w:rFonts w:ascii="Arial" w:hAnsi="Arial" w:cs="Arial"/>
              </w:rPr>
              <w:t>To ensure licensees do not use data captured for compliance purposes improperly</w:t>
            </w:r>
            <w:r w:rsidR="00F83D18">
              <w:rPr>
                <w:rFonts w:ascii="Arial" w:hAnsi="Arial" w:cs="Arial"/>
              </w:rPr>
              <w:t xml:space="preserve"> beyond the scope of circumstances listed. This aims to protect the information obtained by licensees, including personal information</w:t>
            </w:r>
            <w:r w:rsidR="0032394B">
              <w:rPr>
                <w:rFonts w:ascii="Arial" w:hAnsi="Arial" w:cs="Arial"/>
              </w:rPr>
              <w:t>, about individuals, and acts as an important safeguard</w:t>
            </w:r>
            <w:r w:rsidR="00F83D18">
              <w:rPr>
                <w:rFonts w:ascii="Arial" w:hAnsi="Arial" w:cs="Arial"/>
              </w:rPr>
              <w:t>.</w:t>
            </w:r>
            <w:r>
              <w:rPr>
                <w:rFonts w:ascii="Arial" w:hAnsi="Arial" w:cs="Arial"/>
              </w:rPr>
              <w:t xml:space="preserve"> </w:t>
            </w:r>
          </w:p>
        </w:tc>
      </w:tr>
      <w:tr w:rsidR="005665E7" w:rsidRPr="00497CA7" w14:paraId="1BD1C2DE" w14:textId="77777777" w:rsidTr="001F25C8">
        <w:trPr>
          <w:cantSplit/>
          <w:trHeight w:val="1687"/>
        </w:trPr>
        <w:tc>
          <w:tcPr>
            <w:tcW w:w="3544" w:type="dxa"/>
            <w:vMerge w:val="restart"/>
          </w:tcPr>
          <w:p w14:paraId="1FA2E147" w14:textId="12B0DA86" w:rsidR="005665E7" w:rsidRDefault="005665E7" w:rsidP="005665E7">
            <w:pPr>
              <w:spacing w:after="0" w:line="280" w:lineRule="atLeast"/>
              <w:rPr>
                <w:rFonts w:ascii="Arial" w:hAnsi="Arial" w:cs="Arial"/>
              </w:rPr>
            </w:pPr>
            <w:r>
              <w:rPr>
                <w:rFonts w:ascii="Arial" w:hAnsi="Arial" w:cs="Arial"/>
              </w:rPr>
              <w:lastRenderedPageBreak/>
              <w:t>Section 67</w:t>
            </w:r>
            <w:r w:rsidR="002E786F">
              <w:rPr>
                <w:rFonts w:ascii="Arial" w:hAnsi="Arial" w:cs="Arial"/>
              </w:rPr>
              <w:t>U</w:t>
            </w:r>
          </w:p>
          <w:p w14:paraId="46A9117F" w14:textId="77777777" w:rsidR="005665E7" w:rsidRDefault="005665E7" w:rsidP="005665E7">
            <w:pPr>
              <w:spacing w:after="0" w:line="280" w:lineRule="atLeast"/>
              <w:rPr>
                <w:rFonts w:ascii="Arial" w:hAnsi="Arial" w:cs="Arial"/>
              </w:rPr>
            </w:pPr>
          </w:p>
          <w:p w14:paraId="1A2485CB" w14:textId="5F111186" w:rsidR="005665E7" w:rsidRPr="00915140" w:rsidRDefault="005665E7" w:rsidP="005665E7">
            <w:pPr>
              <w:spacing w:after="0" w:line="280" w:lineRule="atLeast"/>
              <w:rPr>
                <w:rFonts w:ascii="Arial" w:hAnsi="Arial" w:cs="Arial"/>
              </w:rPr>
            </w:pPr>
            <w:r>
              <w:rPr>
                <w:rFonts w:ascii="Arial" w:hAnsi="Arial" w:cs="Arial"/>
              </w:rPr>
              <w:t>Record keeping requirements</w:t>
            </w:r>
          </w:p>
        </w:tc>
        <w:tc>
          <w:tcPr>
            <w:tcW w:w="5386" w:type="dxa"/>
          </w:tcPr>
          <w:p w14:paraId="7CA03A92" w14:textId="50528756" w:rsidR="005665E7" w:rsidRDefault="005665E7" w:rsidP="005665E7">
            <w:pPr>
              <w:spacing w:after="0" w:line="280" w:lineRule="atLeast"/>
              <w:rPr>
                <w:rFonts w:ascii="Arial" w:hAnsi="Arial" w:cs="Arial"/>
              </w:rPr>
            </w:pPr>
            <w:r>
              <w:rPr>
                <w:rFonts w:ascii="Arial" w:hAnsi="Arial" w:cs="Arial"/>
              </w:rPr>
              <w:t>Sub-section (1)</w:t>
            </w:r>
          </w:p>
          <w:p w14:paraId="29F3E4DB" w14:textId="77777777" w:rsidR="005665E7" w:rsidRDefault="005665E7" w:rsidP="005665E7">
            <w:pPr>
              <w:spacing w:after="0" w:line="280" w:lineRule="atLeast"/>
              <w:rPr>
                <w:rFonts w:ascii="Arial" w:hAnsi="Arial" w:cs="Arial"/>
              </w:rPr>
            </w:pPr>
          </w:p>
          <w:p w14:paraId="6CC09A2D" w14:textId="77777777" w:rsidR="005665E7" w:rsidRDefault="00406C40" w:rsidP="005665E7">
            <w:pPr>
              <w:spacing w:after="0" w:line="280" w:lineRule="atLeast"/>
              <w:rPr>
                <w:rFonts w:ascii="Arial" w:hAnsi="Arial" w:cs="Arial"/>
              </w:rPr>
            </w:pPr>
            <w:r>
              <w:rPr>
                <w:rFonts w:ascii="Arial" w:hAnsi="Arial" w:cs="Arial"/>
              </w:rPr>
              <w:t>To facilitate licensee’s effective administration of an account-based player system scheme by ensuring record keeping. These records are provided to the commission to allow them to monitor compliance and also assist further research be undertaken for harm minimisation purposes.</w:t>
            </w:r>
          </w:p>
          <w:p w14:paraId="062D8847" w14:textId="2D7A6576" w:rsidR="00406C40" w:rsidRDefault="00406C40" w:rsidP="005665E7">
            <w:pPr>
              <w:spacing w:after="0" w:line="280" w:lineRule="atLeast"/>
              <w:rPr>
                <w:rFonts w:ascii="Arial" w:hAnsi="Arial" w:cs="Arial"/>
              </w:rPr>
            </w:pPr>
          </w:p>
        </w:tc>
      </w:tr>
      <w:tr w:rsidR="005665E7" w:rsidRPr="00497CA7" w14:paraId="2F147B67" w14:textId="77777777" w:rsidTr="001F25C8">
        <w:trPr>
          <w:cantSplit/>
          <w:trHeight w:val="1687"/>
        </w:trPr>
        <w:tc>
          <w:tcPr>
            <w:tcW w:w="3544" w:type="dxa"/>
            <w:vMerge/>
          </w:tcPr>
          <w:p w14:paraId="31196EF3" w14:textId="77777777" w:rsidR="005665E7" w:rsidRPr="00915140" w:rsidRDefault="005665E7" w:rsidP="005665E7">
            <w:pPr>
              <w:spacing w:after="0" w:line="280" w:lineRule="atLeast"/>
              <w:rPr>
                <w:rFonts w:ascii="Arial" w:hAnsi="Arial" w:cs="Arial"/>
              </w:rPr>
            </w:pPr>
          </w:p>
        </w:tc>
        <w:tc>
          <w:tcPr>
            <w:tcW w:w="5386" w:type="dxa"/>
          </w:tcPr>
          <w:p w14:paraId="5D68C36A" w14:textId="0D32438B" w:rsidR="005665E7" w:rsidRDefault="005665E7" w:rsidP="005665E7">
            <w:pPr>
              <w:spacing w:after="0" w:line="280" w:lineRule="atLeast"/>
              <w:rPr>
                <w:rFonts w:ascii="Arial" w:hAnsi="Arial" w:cs="Arial"/>
              </w:rPr>
            </w:pPr>
            <w:r>
              <w:rPr>
                <w:rFonts w:ascii="Arial" w:hAnsi="Arial" w:cs="Arial"/>
              </w:rPr>
              <w:t xml:space="preserve">Sub-section (2) </w:t>
            </w:r>
          </w:p>
          <w:p w14:paraId="171DAEC6" w14:textId="77777777" w:rsidR="005665E7" w:rsidRDefault="005665E7" w:rsidP="005665E7">
            <w:pPr>
              <w:spacing w:after="0" w:line="280" w:lineRule="atLeast"/>
              <w:rPr>
                <w:rFonts w:ascii="Arial" w:hAnsi="Arial" w:cs="Arial"/>
              </w:rPr>
            </w:pPr>
          </w:p>
          <w:p w14:paraId="79D50EC5" w14:textId="77777777" w:rsidR="00406C40" w:rsidRDefault="00406C40" w:rsidP="00406C40">
            <w:pPr>
              <w:spacing w:after="0" w:line="280" w:lineRule="atLeast"/>
              <w:rPr>
                <w:rFonts w:ascii="Arial" w:hAnsi="Arial" w:cs="Arial"/>
              </w:rPr>
            </w:pPr>
            <w:r>
              <w:rPr>
                <w:rFonts w:ascii="Arial" w:hAnsi="Arial" w:cs="Arial"/>
              </w:rPr>
              <w:t xml:space="preserve">To ensure licensees provide these records if requested to the commission to allow them to monitor compliance and also assist further research be undertaken for harm minimisation purposes. </w:t>
            </w:r>
          </w:p>
          <w:p w14:paraId="37C22BBB" w14:textId="77777777" w:rsidR="005665E7" w:rsidRDefault="005665E7" w:rsidP="005665E7">
            <w:pPr>
              <w:spacing w:after="0" w:line="280" w:lineRule="atLeast"/>
              <w:rPr>
                <w:rFonts w:ascii="Arial" w:hAnsi="Arial" w:cs="Arial"/>
              </w:rPr>
            </w:pPr>
          </w:p>
        </w:tc>
      </w:tr>
      <w:tr w:rsidR="005665E7" w:rsidRPr="00497CA7" w14:paraId="1F9B824C" w14:textId="77777777" w:rsidTr="001F25C8">
        <w:trPr>
          <w:cantSplit/>
          <w:trHeight w:val="1687"/>
        </w:trPr>
        <w:tc>
          <w:tcPr>
            <w:tcW w:w="3544" w:type="dxa"/>
          </w:tcPr>
          <w:p w14:paraId="596FFDED" w14:textId="77777777" w:rsidR="007345A0" w:rsidRDefault="007345A0" w:rsidP="007345A0">
            <w:pPr>
              <w:spacing w:after="0" w:line="280" w:lineRule="atLeast"/>
              <w:rPr>
                <w:rFonts w:ascii="Arial" w:hAnsi="Arial" w:cs="Arial"/>
              </w:rPr>
            </w:pPr>
            <w:r>
              <w:rPr>
                <w:rFonts w:ascii="Arial" w:hAnsi="Arial" w:cs="Arial"/>
              </w:rPr>
              <w:t>Section 67V</w:t>
            </w:r>
          </w:p>
          <w:p w14:paraId="386D63EF" w14:textId="77777777" w:rsidR="007345A0" w:rsidRDefault="007345A0" w:rsidP="007345A0">
            <w:pPr>
              <w:spacing w:after="0" w:line="280" w:lineRule="atLeast"/>
              <w:rPr>
                <w:rFonts w:ascii="Arial" w:hAnsi="Arial" w:cs="Arial"/>
              </w:rPr>
            </w:pPr>
          </w:p>
          <w:p w14:paraId="79511ABD" w14:textId="579FA4CF" w:rsidR="005665E7" w:rsidRPr="00915140" w:rsidRDefault="007345A0" w:rsidP="007345A0">
            <w:pPr>
              <w:spacing w:after="0" w:line="280" w:lineRule="atLeast"/>
              <w:rPr>
                <w:rFonts w:ascii="Arial" w:hAnsi="Arial" w:cs="Arial"/>
              </w:rPr>
            </w:pPr>
            <w:r>
              <w:rPr>
                <w:rFonts w:ascii="Arial" w:hAnsi="Arial" w:cs="Arial"/>
              </w:rPr>
              <w:t>Reports to commission</w:t>
            </w:r>
          </w:p>
        </w:tc>
        <w:tc>
          <w:tcPr>
            <w:tcW w:w="5386" w:type="dxa"/>
          </w:tcPr>
          <w:p w14:paraId="377BB355" w14:textId="23EAD8E3" w:rsidR="005665E7" w:rsidRDefault="00BE5833" w:rsidP="005665E7">
            <w:pPr>
              <w:spacing w:after="0" w:line="280" w:lineRule="atLeast"/>
              <w:rPr>
                <w:rFonts w:ascii="Arial" w:hAnsi="Arial" w:cs="Arial"/>
              </w:rPr>
            </w:pPr>
            <w:r>
              <w:rPr>
                <w:rFonts w:ascii="Arial" w:hAnsi="Arial" w:cs="Arial"/>
              </w:rPr>
              <w:t>To ensure licensees provide reports to the commission to allow them to monitor compliance and also assist further research be undertaken for harm minimisation purposes.</w:t>
            </w:r>
          </w:p>
        </w:tc>
      </w:tr>
      <w:tr w:rsidR="007345A0" w:rsidRPr="00497CA7" w14:paraId="7105F4B1" w14:textId="77777777" w:rsidTr="001F25C8">
        <w:trPr>
          <w:cantSplit/>
          <w:trHeight w:val="1687"/>
        </w:trPr>
        <w:tc>
          <w:tcPr>
            <w:tcW w:w="3544" w:type="dxa"/>
          </w:tcPr>
          <w:p w14:paraId="2A61F2E2" w14:textId="77777777" w:rsidR="007345A0" w:rsidRDefault="00BE5833" w:rsidP="007345A0">
            <w:pPr>
              <w:spacing w:after="0" w:line="280" w:lineRule="atLeast"/>
              <w:rPr>
                <w:rFonts w:ascii="Arial" w:hAnsi="Arial" w:cs="Arial"/>
              </w:rPr>
            </w:pPr>
            <w:r>
              <w:rPr>
                <w:rFonts w:ascii="Arial" w:hAnsi="Arial" w:cs="Arial"/>
              </w:rPr>
              <w:t>Section 67W</w:t>
            </w:r>
          </w:p>
          <w:p w14:paraId="7D299D9D" w14:textId="77777777" w:rsidR="0088293D" w:rsidRDefault="0088293D" w:rsidP="007345A0">
            <w:pPr>
              <w:spacing w:after="0" w:line="280" w:lineRule="atLeast"/>
              <w:rPr>
                <w:rFonts w:ascii="Arial" w:hAnsi="Arial" w:cs="Arial"/>
              </w:rPr>
            </w:pPr>
          </w:p>
          <w:p w14:paraId="70D60AF5" w14:textId="45B59073" w:rsidR="0088293D" w:rsidRDefault="0088293D" w:rsidP="007345A0">
            <w:pPr>
              <w:spacing w:after="0" w:line="280" w:lineRule="atLeast"/>
              <w:rPr>
                <w:rFonts w:ascii="Arial" w:hAnsi="Arial" w:cs="Arial"/>
              </w:rPr>
            </w:pPr>
            <w:r>
              <w:rPr>
                <w:rFonts w:ascii="Arial" w:hAnsi="Arial" w:cs="Arial"/>
              </w:rPr>
              <w:t>Monthly activity statements</w:t>
            </w:r>
          </w:p>
        </w:tc>
        <w:tc>
          <w:tcPr>
            <w:tcW w:w="5386" w:type="dxa"/>
          </w:tcPr>
          <w:p w14:paraId="15E395EF" w14:textId="6C6DBBE9" w:rsidR="007345A0" w:rsidRDefault="0088293D" w:rsidP="005665E7">
            <w:pPr>
              <w:spacing w:after="0" w:line="280" w:lineRule="atLeast"/>
              <w:rPr>
                <w:rFonts w:ascii="Arial" w:hAnsi="Arial" w:cs="Arial"/>
              </w:rPr>
            </w:pPr>
            <w:r>
              <w:rPr>
                <w:rFonts w:ascii="Arial" w:hAnsi="Arial" w:cs="Arial"/>
              </w:rPr>
              <w:t>To require licensees to provide activity statements to facilitate effective administration of an account-based player system scheme. This ensures people can track their spending, and it can positively impact gambling behaviours by encouraging awareness and reflection.</w:t>
            </w:r>
          </w:p>
          <w:p w14:paraId="140F38F0" w14:textId="77777777" w:rsidR="008A0BD0" w:rsidRDefault="008A0BD0" w:rsidP="005665E7">
            <w:pPr>
              <w:spacing w:after="0" w:line="280" w:lineRule="atLeast"/>
              <w:rPr>
                <w:rFonts w:ascii="Arial" w:hAnsi="Arial" w:cs="Arial"/>
              </w:rPr>
            </w:pPr>
          </w:p>
          <w:p w14:paraId="4F85CF7C" w14:textId="361BF6A4" w:rsidR="008A0BD0" w:rsidRDefault="008A0BD0" w:rsidP="008A0BD0">
            <w:pPr>
              <w:spacing w:after="0" w:line="280" w:lineRule="atLeast"/>
              <w:rPr>
                <w:rFonts w:ascii="Arial" w:hAnsi="Arial" w:cs="Arial"/>
              </w:rPr>
            </w:pPr>
            <w:r>
              <w:rPr>
                <w:rFonts w:ascii="Arial" w:hAnsi="Arial" w:cs="Arial"/>
              </w:rPr>
              <w:t>Sub-section (</w:t>
            </w:r>
            <w:r w:rsidR="00161872">
              <w:rPr>
                <w:rFonts w:ascii="Arial" w:hAnsi="Arial" w:cs="Arial"/>
              </w:rPr>
              <w:t>3</w:t>
            </w:r>
            <w:r>
              <w:rPr>
                <w:rFonts w:ascii="Arial" w:hAnsi="Arial" w:cs="Arial"/>
              </w:rPr>
              <w:t xml:space="preserve">) provides </w:t>
            </w:r>
            <w:r w:rsidR="00161872">
              <w:rPr>
                <w:rFonts w:ascii="Arial" w:hAnsi="Arial" w:cs="Arial"/>
              </w:rPr>
              <w:t>for defence</w:t>
            </w:r>
            <w:r w:rsidR="00845DAD">
              <w:rPr>
                <w:rFonts w:ascii="Arial" w:hAnsi="Arial" w:cs="Arial"/>
              </w:rPr>
              <w:t xml:space="preserve">s </w:t>
            </w:r>
            <w:r w:rsidR="00161872">
              <w:rPr>
                <w:rFonts w:ascii="Arial" w:hAnsi="Arial" w:cs="Arial"/>
              </w:rPr>
              <w:t xml:space="preserve">during a non-gaming period. </w:t>
            </w:r>
            <w:r>
              <w:rPr>
                <w:rFonts w:ascii="Arial" w:hAnsi="Arial" w:cs="Arial"/>
              </w:rPr>
              <w:t xml:space="preserve">These defences impose an evidential burden on the licensee as the defendant. </w:t>
            </w:r>
          </w:p>
          <w:p w14:paraId="137943C7" w14:textId="77777777" w:rsidR="008A0BD0" w:rsidRDefault="008A0BD0" w:rsidP="005665E7">
            <w:pPr>
              <w:spacing w:after="0" w:line="280" w:lineRule="atLeast"/>
              <w:rPr>
                <w:rFonts w:ascii="Arial" w:hAnsi="Arial" w:cs="Arial"/>
              </w:rPr>
            </w:pPr>
          </w:p>
          <w:p w14:paraId="5E6F5B14" w14:textId="63682159" w:rsidR="0088293D" w:rsidRDefault="0088293D" w:rsidP="005665E7">
            <w:pPr>
              <w:spacing w:after="0" w:line="280" w:lineRule="atLeast"/>
              <w:rPr>
                <w:rFonts w:ascii="Arial" w:hAnsi="Arial" w:cs="Arial"/>
              </w:rPr>
            </w:pPr>
          </w:p>
        </w:tc>
      </w:tr>
      <w:tr w:rsidR="00E46C54" w:rsidRPr="00497CA7" w14:paraId="22C87542" w14:textId="77777777" w:rsidTr="001F25C8">
        <w:trPr>
          <w:cantSplit/>
          <w:trHeight w:val="1687"/>
        </w:trPr>
        <w:tc>
          <w:tcPr>
            <w:tcW w:w="3544" w:type="dxa"/>
          </w:tcPr>
          <w:p w14:paraId="6790ACAC" w14:textId="77777777" w:rsidR="00E46C54" w:rsidRDefault="00E46C54" w:rsidP="007345A0">
            <w:pPr>
              <w:spacing w:after="0" w:line="280" w:lineRule="atLeast"/>
              <w:rPr>
                <w:rFonts w:ascii="Arial" w:hAnsi="Arial" w:cs="Arial"/>
              </w:rPr>
            </w:pPr>
            <w:r>
              <w:rPr>
                <w:rFonts w:ascii="Arial" w:hAnsi="Arial" w:cs="Arial"/>
              </w:rPr>
              <w:t>Section 151A(3)</w:t>
            </w:r>
          </w:p>
          <w:p w14:paraId="6023AEA1" w14:textId="77777777" w:rsidR="00E46C54" w:rsidRDefault="00E46C54" w:rsidP="007345A0">
            <w:pPr>
              <w:spacing w:after="0" w:line="280" w:lineRule="atLeast"/>
              <w:rPr>
                <w:rFonts w:ascii="Arial" w:hAnsi="Arial" w:cs="Arial"/>
              </w:rPr>
            </w:pPr>
          </w:p>
          <w:p w14:paraId="4EDB6DB5" w14:textId="7B2EF54A" w:rsidR="00E46C54" w:rsidRDefault="00E46C54" w:rsidP="007345A0">
            <w:pPr>
              <w:spacing w:after="0" w:line="280" w:lineRule="atLeast"/>
              <w:rPr>
                <w:rFonts w:ascii="Arial" w:hAnsi="Arial" w:cs="Arial"/>
              </w:rPr>
            </w:pPr>
            <w:r>
              <w:rPr>
                <w:rFonts w:ascii="Arial" w:hAnsi="Arial" w:cs="Arial"/>
              </w:rPr>
              <w:t xml:space="preserve">Gaming machine harm reduction guidance </w:t>
            </w:r>
          </w:p>
        </w:tc>
        <w:tc>
          <w:tcPr>
            <w:tcW w:w="5386" w:type="dxa"/>
          </w:tcPr>
          <w:p w14:paraId="530C87F4" w14:textId="48CEBC06" w:rsidR="00E46C54" w:rsidRDefault="00E46C54" w:rsidP="005665E7">
            <w:pPr>
              <w:spacing w:after="0" w:line="280" w:lineRule="atLeast"/>
              <w:rPr>
                <w:rFonts w:ascii="Arial" w:hAnsi="Arial" w:cs="Arial"/>
              </w:rPr>
            </w:pPr>
            <w:r>
              <w:rPr>
                <w:rFonts w:ascii="Arial" w:hAnsi="Arial" w:cs="Arial"/>
              </w:rPr>
              <w:t xml:space="preserve">To require that licensees </w:t>
            </w:r>
            <w:r w:rsidR="002F7ACF">
              <w:rPr>
                <w:rFonts w:ascii="Arial" w:hAnsi="Arial" w:cs="Arial"/>
              </w:rPr>
              <w:t xml:space="preserve">display any </w:t>
            </w:r>
            <w:r w:rsidR="004A6169" w:rsidRPr="004A6169">
              <w:rPr>
                <w:rFonts w:ascii="Arial" w:hAnsi="Arial" w:cs="Arial"/>
              </w:rPr>
              <w:t xml:space="preserve">text, images or symbols at </w:t>
            </w:r>
            <w:r w:rsidR="004A6169">
              <w:rPr>
                <w:rFonts w:ascii="Arial" w:hAnsi="Arial" w:cs="Arial"/>
              </w:rPr>
              <w:t xml:space="preserve">their </w:t>
            </w:r>
            <w:r w:rsidR="004A6169" w:rsidRPr="004A6169">
              <w:rPr>
                <w:rFonts w:ascii="Arial" w:hAnsi="Arial" w:cs="Arial"/>
              </w:rPr>
              <w:t xml:space="preserve">authorised premises </w:t>
            </w:r>
            <w:r w:rsidR="004A6169">
              <w:rPr>
                <w:rFonts w:ascii="Arial" w:hAnsi="Arial" w:cs="Arial"/>
              </w:rPr>
              <w:t>which explains</w:t>
            </w:r>
            <w:r w:rsidR="004A6169" w:rsidRPr="004A6169">
              <w:rPr>
                <w:rFonts w:ascii="Arial" w:hAnsi="Arial" w:cs="Arial"/>
              </w:rPr>
              <w:t xml:space="preserve"> how a person can access guidance published by the commission about gaming machine harm reduction.</w:t>
            </w:r>
          </w:p>
        </w:tc>
      </w:tr>
      <w:tr w:rsidR="00565023" w:rsidRPr="00497CA7" w14:paraId="61693B6C" w14:textId="77777777" w:rsidTr="001F25C8">
        <w:trPr>
          <w:cantSplit/>
          <w:trHeight w:val="1687"/>
        </w:trPr>
        <w:tc>
          <w:tcPr>
            <w:tcW w:w="3544" w:type="dxa"/>
            <w:vMerge w:val="restart"/>
          </w:tcPr>
          <w:p w14:paraId="6379255C" w14:textId="13CBC4B9" w:rsidR="00565023" w:rsidRPr="00F87ECE" w:rsidRDefault="00565023" w:rsidP="00693112">
            <w:pPr>
              <w:spacing w:after="0" w:line="280" w:lineRule="atLeast"/>
              <w:rPr>
                <w:rFonts w:ascii="Arial" w:hAnsi="Arial" w:cs="Arial"/>
              </w:rPr>
            </w:pPr>
            <w:r w:rsidRPr="00F87ECE">
              <w:rPr>
                <w:rFonts w:ascii="Arial" w:hAnsi="Arial" w:cs="Arial"/>
              </w:rPr>
              <w:lastRenderedPageBreak/>
              <w:t xml:space="preserve">Section </w:t>
            </w:r>
            <w:r>
              <w:rPr>
                <w:rFonts w:ascii="Arial" w:hAnsi="Arial" w:cs="Arial"/>
              </w:rPr>
              <w:t>151</w:t>
            </w:r>
            <w:r w:rsidR="00B14112">
              <w:rPr>
                <w:rFonts w:ascii="Arial" w:hAnsi="Arial" w:cs="Arial"/>
              </w:rPr>
              <w:t>B</w:t>
            </w:r>
          </w:p>
          <w:p w14:paraId="399B32FB" w14:textId="77777777" w:rsidR="00565023" w:rsidRPr="00F87ECE" w:rsidRDefault="00565023" w:rsidP="00693112">
            <w:pPr>
              <w:spacing w:after="0" w:line="280" w:lineRule="atLeast"/>
              <w:rPr>
                <w:rFonts w:ascii="Arial" w:hAnsi="Arial" w:cs="Arial"/>
              </w:rPr>
            </w:pPr>
          </w:p>
          <w:p w14:paraId="7583996D" w14:textId="0F64EA19" w:rsidR="00565023" w:rsidRDefault="00DD037B" w:rsidP="00693112">
            <w:pPr>
              <w:spacing w:after="0" w:line="280" w:lineRule="atLeast"/>
              <w:rPr>
                <w:rFonts w:ascii="Arial" w:hAnsi="Arial" w:cs="Arial"/>
              </w:rPr>
            </w:pPr>
            <w:r>
              <w:rPr>
                <w:rFonts w:ascii="Arial" w:hAnsi="Arial" w:cs="Arial"/>
              </w:rPr>
              <w:t>Breaks</w:t>
            </w:r>
            <w:r w:rsidR="00565023" w:rsidRPr="00F87ECE">
              <w:rPr>
                <w:rFonts w:ascii="Arial" w:hAnsi="Arial" w:cs="Arial"/>
              </w:rPr>
              <w:t xml:space="preserve"> in play</w:t>
            </w:r>
          </w:p>
        </w:tc>
        <w:tc>
          <w:tcPr>
            <w:tcW w:w="5386" w:type="dxa"/>
          </w:tcPr>
          <w:p w14:paraId="0063377F" w14:textId="77777777" w:rsidR="00565023" w:rsidRDefault="00565023" w:rsidP="00693112">
            <w:pPr>
              <w:spacing w:after="0" w:line="280" w:lineRule="atLeast"/>
              <w:rPr>
                <w:rFonts w:ascii="Arial" w:hAnsi="Arial" w:cs="Arial"/>
              </w:rPr>
            </w:pPr>
            <w:r>
              <w:rPr>
                <w:rFonts w:ascii="Arial" w:hAnsi="Arial" w:cs="Arial"/>
              </w:rPr>
              <w:t>Sub-section (2)</w:t>
            </w:r>
          </w:p>
          <w:p w14:paraId="7954BD81" w14:textId="77777777" w:rsidR="00565023" w:rsidRDefault="00565023" w:rsidP="00693112">
            <w:pPr>
              <w:spacing w:after="0" w:line="280" w:lineRule="atLeast"/>
              <w:rPr>
                <w:rFonts w:ascii="Arial" w:hAnsi="Arial" w:cs="Arial"/>
              </w:rPr>
            </w:pPr>
          </w:p>
          <w:p w14:paraId="7812F3F6" w14:textId="77777777" w:rsidR="00565023" w:rsidRDefault="00565023" w:rsidP="00693112">
            <w:pPr>
              <w:spacing w:after="0" w:line="280" w:lineRule="atLeast"/>
              <w:rPr>
                <w:rFonts w:ascii="Arial" w:hAnsi="Arial" w:cs="Arial"/>
              </w:rPr>
            </w:pPr>
            <w:r>
              <w:rPr>
                <w:rFonts w:ascii="Arial" w:hAnsi="Arial" w:cs="Arial"/>
              </w:rPr>
              <w:t>To ensure licensees stop a person from playing a gaming machine for a period longer than 1 hour.</w:t>
            </w:r>
          </w:p>
          <w:p w14:paraId="01C58E63" w14:textId="77777777" w:rsidR="00DE575D" w:rsidRDefault="00DE575D" w:rsidP="00693112">
            <w:pPr>
              <w:spacing w:after="0" w:line="280" w:lineRule="atLeast"/>
              <w:rPr>
                <w:rFonts w:ascii="Arial" w:hAnsi="Arial" w:cs="Arial"/>
              </w:rPr>
            </w:pPr>
          </w:p>
          <w:p w14:paraId="6F1A1655" w14:textId="2A63447E" w:rsidR="00171613" w:rsidRDefault="00DE575D" w:rsidP="00693112">
            <w:pPr>
              <w:spacing w:after="0" w:line="280" w:lineRule="atLeast"/>
              <w:rPr>
                <w:rFonts w:ascii="Arial" w:hAnsi="Arial" w:cs="Arial"/>
              </w:rPr>
            </w:pPr>
            <w:r>
              <w:rPr>
                <w:rFonts w:ascii="Arial" w:hAnsi="Arial" w:cs="Arial"/>
              </w:rPr>
              <w:t xml:space="preserve">Sub-section (4) </w:t>
            </w:r>
            <w:r w:rsidR="002C2479">
              <w:rPr>
                <w:rFonts w:ascii="Arial" w:hAnsi="Arial" w:cs="Arial"/>
              </w:rPr>
              <w:t xml:space="preserve">provides a defence to </w:t>
            </w:r>
            <w:r w:rsidR="00912A7A">
              <w:rPr>
                <w:rFonts w:ascii="Arial" w:hAnsi="Arial" w:cs="Arial"/>
              </w:rPr>
              <w:t xml:space="preserve">a </w:t>
            </w:r>
            <w:r w:rsidR="00215CB3">
              <w:rPr>
                <w:rFonts w:ascii="Arial" w:hAnsi="Arial" w:cs="Arial"/>
              </w:rPr>
              <w:t>prosecution</w:t>
            </w:r>
            <w:r w:rsidR="00912A7A">
              <w:rPr>
                <w:rFonts w:ascii="Arial" w:hAnsi="Arial" w:cs="Arial"/>
              </w:rPr>
              <w:t xml:space="preserve"> </w:t>
            </w:r>
            <w:r w:rsidR="00B111A2">
              <w:rPr>
                <w:rFonts w:ascii="Arial" w:hAnsi="Arial" w:cs="Arial"/>
              </w:rPr>
              <w:t>if the licensee took all reasonable steps to stop the person from playing the gaming machines. The defendant has the legal burden of proof in these circumstances.</w:t>
            </w:r>
          </w:p>
          <w:p w14:paraId="3E2F22D4" w14:textId="77777777" w:rsidR="00171613" w:rsidRDefault="00171613" w:rsidP="00693112">
            <w:pPr>
              <w:spacing w:after="0" w:line="280" w:lineRule="atLeast"/>
              <w:rPr>
                <w:rFonts w:ascii="Arial" w:hAnsi="Arial" w:cs="Arial"/>
              </w:rPr>
            </w:pPr>
          </w:p>
          <w:p w14:paraId="54A1E208" w14:textId="6D12767F" w:rsidR="00171613" w:rsidRDefault="00171613" w:rsidP="00693112">
            <w:pPr>
              <w:spacing w:after="0" w:line="280" w:lineRule="atLeast"/>
              <w:rPr>
                <w:rFonts w:ascii="Arial" w:hAnsi="Arial" w:cs="Arial"/>
              </w:rPr>
            </w:pPr>
          </w:p>
        </w:tc>
      </w:tr>
      <w:tr w:rsidR="00565023" w:rsidRPr="00497CA7" w14:paraId="233DD763" w14:textId="77777777" w:rsidTr="001F25C8">
        <w:trPr>
          <w:cantSplit/>
          <w:trHeight w:val="1687"/>
        </w:trPr>
        <w:tc>
          <w:tcPr>
            <w:tcW w:w="3544" w:type="dxa"/>
            <w:vMerge/>
          </w:tcPr>
          <w:p w14:paraId="54992E84" w14:textId="77777777" w:rsidR="00565023" w:rsidRDefault="00565023" w:rsidP="007345A0">
            <w:pPr>
              <w:spacing w:after="0" w:line="280" w:lineRule="atLeast"/>
              <w:rPr>
                <w:rFonts w:ascii="Arial" w:hAnsi="Arial" w:cs="Arial"/>
              </w:rPr>
            </w:pPr>
          </w:p>
        </w:tc>
        <w:tc>
          <w:tcPr>
            <w:tcW w:w="5386" w:type="dxa"/>
          </w:tcPr>
          <w:p w14:paraId="1E2477A8" w14:textId="77777777" w:rsidR="00565023" w:rsidRDefault="00565023" w:rsidP="00565023">
            <w:pPr>
              <w:spacing w:after="0" w:line="280" w:lineRule="atLeast"/>
              <w:rPr>
                <w:rFonts w:ascii="Arial" w:hAnsi="Arial" w:cs="Arial"/>
              </w:rPr>
            </w:pPr>
            <w:r>
              <w:rPr>
                <w:rFonts w:ascii="Arial" w:hAnsi="Arial" w:cs="Arial"/>
              </w:rPr>
              <w:t>Sub-section (3)</w:t>
            </w:r>
          </w:p>
          <w:p w14:paraId="780F3D12" w14:textId="77777777" w:rsidR="00565023" w:rsidRDefault="00565023" w:rsidP="00565023">
            <w:pPr>
              <w:spacing w:after="0" w:line="280" w:lineRule="atLeast"/>
              <w:rPr>
                <w:rFonts w:ascii="Arial" w:hAnsi="Arial" w:cs="Arial"/>
              </w:rPr>
            </w:pPr>
          </w:p>
          <w:p w14:paraId="2D65EDA8" w14:textId="77777777" w:rsidR="00565023" w:rsidRDefault="00565023" w:rsidP="00565023">
            <w:pPr>
              <w:spacing w:after="0" w:line="280" w:lineRule="atLeast"/>
              <w:rPr>
                <w:rFonts w:ascii="Arial" w:hAnsi="Arial" w:cs="Arial"/>
              </w:rPr>
            </w:pPr>
            <w:r>
              <w:rPr>
                <w:rFonts w:ascii="Arial" w:hAnsi="Arial" w:cs="Arial"/>
              </w:rPr>
              <w:t>To ensure licensees stop a person from resuming gaming machine play for at least 15 minutes after stopping.</w:t>
            </w:r>
          </w:p>
          <w:p w14:paraId="583F7F49" w14:textId="77777777" w:rsidR="00B111A2" w:rsidRDefault="00B111A2" w:rsidP="00565023">
            <w:pPr>
              <w:spacing w:after="0" w:line="280" w:lineRule="atLeast"/>
              <w:rPr>
                <w:rFonts w:ascii="Arial" w:hAnsi="Arial" w:cs="Arial"/>
              </w:rPr>
            </w:pPr>
          </w:p>
          <w:p w14:paraId="0FA88FC0" w14:textId="77777777" w:rsidR="00B111A2" w:rsidRDefault="00B111A2" w:rsidP="00B111A2">
            <w:pPr>
              <w:spacing w:after="0" w:line="280" w:lineRule="atLeast"/>
              <w:rPr>
                <w:rFonts w:ascii="Arial" w:hAnsi="Arial" w:cs="Arial"/>
              </w:rPr>
            </w:pPr>
            <w:r>
              <w:rPr>
                <w:rFonts w:ascii="Arial" w:hAnsi="Arial" w:cs="Arial"/>
              </w:rPr>
              <w:t>Sub-section (4) provides a defence to a prosecution if the licensee took all reasonable steps to stop the person from playing the gaming machines. The defendant has the legal burden of proof in these circumstances.</w:t>
            </w:r>
          </w:p>
          <w:p w14:paraId="139A5865" w14:textId="7BA6E1F5" w:rsidR="00B111A2" w:rsidRDefault="00B111A2" w:rsidP="00565023">
            <w:pPr>
              <w:spacing w:after="0" w:line="280" w:lineRule="atLeast"/>
              <w:rPr>
                <w:rFonts w:ascii="Arial" w:hAnsi="Arial" w:cs="Arial"/>
              </w:rPr>
            </w:pPr>
          </w:p>
        </w:tc>
      </w:tr>
      <w:tr w:rsidR="007345A0" w:rsidRPr="00497CA7" w14:paraId="67DE0F0A" w14:textId="77777777" w:rsidTr="001F25C8">
        <w:trPr>
          <w:cantSplit/>
          <w:trHeight w:val="1687"/>
        </w:trPr>
        <w:tc>
          <w:tcPr>
            <w:tcW w:w="3544" w:type="dxa"/>
          </w:tcPr>
          <w:p w14:paraId="5C96B73A" w14:textId="7FA60067" w:rsidR="00565023" w:rsidRDefault="00565023" w:rsidP="00565023">
            <w:pPr>
              <w:spacing w:after="0" w:line="280" w:lineRule="atLeast"/>
              <w:rPr>
                <w:rFonts w:ascii="Arial" w:hAnsi="Arial" w:cs="Arial"/>
              </w:rPr>
            </w:pPr>
            <w:r>
              <w:rPr>
                <w:rFonts w:ascii="Arial" w:hAnsi="Arial" w:cs="Arial"/>
              </w:rPr>
              <w:t>Section 153A(1)</w:t>
            </w:r>
          </w:p>
          <w:p w14:paraId="1D001D84" w14:textId="77777777" w:rsidR="00565023" w:rsidRDefault="00565023" w:rsidP="00565023">
            <w:pPr>
              <w:spacing w:after="0" w:line="280" w:lineRule="atLeast"/>
              <w:rPr>
                <w:rFonts w:ascii="Arial" w:hAnsi="Arial" w:cs="Arial"/>
              </w:rPr>
            </w:pPr>
          </w:p>
          <w:p w14:paraId="2D94C420" w14:textId="28790495" w:rsidR="007345A0" w:rsidRDefault="00565023" w:rsidP="00565023">
            <w:pPr>
              <w:spacing w:after="0" w:line="280" w:lineRule="atLeast"/>
              <w:rPr>
                <w:rFonts w:ascii="Arial" w:hAnsi="Arial" w:cs="Arial"/>
              </w:rPr>
            </w:pPr>
            <w:r>
              <w:rPr>
                <w:rFonts w:ascii="Arial" w:hAnsi="Arial" w:cs="Arial"/>
              </w:rPr>
              <w:t>Automatic teller machines prohibited</w:t>
            </w:r>
          </w:p>
        </w:tc>
        <w:tc>
          <w:tcPr>
            <w:tcW w:w="5386" w:type="dxa"/>
          </w:tcPr>
          <w:p w14:paraId="7710807C" w14:textId="0C637DF3" w:rsidR="007345A0" w:rsidRDefault="00565023" w:rsidP="005665E7">
            <w:pPr>
              <w:spacing w:after="0" w:line="280" w:lineRule="atLeast"/>
              <w:rPr>
                <w:rFonts w:ascii="Arial" w:hAnsi="Arial" w:cs="Arial"/>
              </w:rPr>
            </w:pPr>
            <w:r>
              <w:rPr>
                <w:rFonts w:ascii="Arial" w:hAnsi="Arial" w:cs="Arial"/>
              </w:rPr>
              <w:t>To ensure licensees do not allow an ATM to be located in or on any part of a licensee’s premises</w:t>
            </w:r>
            <w:r w:rsidR="005A502C">
              <w:rPr>
                <w:rFonts w:ascii="Arial" w:hAnsi="Arial" w:cs="Arial"/>
              </w:rPr>
              <w:t xml:space="preserve"> or related premises that are within </w:t>
            </w:r>
            <w:r w:rsidR="00810688">
              <w:rPr>
                <w:rFonts w:ascii="Arial" w:hAnsi="Arial" w:cs="Arial"/>
              </w:rPr>
              <w:t>500m</w:t>
            </w:r>
            <w:r w:rsidR="005A502C">
              <w:rPr>
                <w:rFonts w:ascii="Arial" w:hAnsi="Arial" w:cs="Arial"/>
              </w:rPr>
              <w:t xml:space="preserve"> of a premises operating electronic gaming machines</w:t>
            </w:r>
            <w:r>
              <w:rPr>
                <w:rFonts w:ascii="Arial" w:hAnsi="Arial" w:cs="Arial"/>
              </w:rPr>
              <w:t>.</w:t>
            </w:r>
          </w:p>
          <w:p w14:paraId="33C7C832" w14:textId="77777777" w:rsidR="00CF6123" w:rsidRDefault="00CF6123" w:rsidP="005665E7">
            <w:pPr>
              <w:spacing w:after="0" w:line="280" w:lineRule="atLeast"/>
              <w:rPr>
                <w:rFonts w:ascii="Arial" w:hAnsi="Arial" w:cs="Arial"/>
              </w:rPr>
            </w:pPr>
          </w:p>
          <w:p w14:paraId="62027695" w14:textId="04278868" w:rsidR="00DF42BE" w:rsidRDefault="00DF42BE" w:rsidP="00DF42BE">
            <w:pPr>
              <w:spacing w:after="0" w:line="280" w:lineRule="atLeast"/>
              <w:rPr>
                <w:rFonts w:ascii="Arial" w:hAnsi="Arial" w:cs="Arial"/>
              </w:rPr>
            </w:pPr>
          </w:p>
          <w:p w14:paraId="3F34CE60" w14:textId="027DE951" w:rsidR="00DF42BE" w:rsidRDefault="00DF42BE" w:rsidP="005665E7">
            <w:pPr>
              <w:spacing w:after="0" w:line="280" w:lineRule="atLeast"/>
              <w:rPr>
                <w:rFonts w:ascii="Arial" w:hAnsi="Arial" w:cs="Arial"/>
              </w:rPr>
            </w:pPr>
          </w:p>
        </w:tc>
      </w:tr>
      <w:tr w:rsidR="005665E7" w:rsidRPr="00497CA7" w14:paraId="2944999B" w14:textId="77777777" w:rsidTr="001F25C8">
        <w:trPr>
          <w:cantSplit/>
          <w:trHeight w:val="1687"/>
        </w:trPr>
        <w:tc>
          <w:tcPr>
            <w:tcW w:w="3544" w:type="dxa"/>
          </w:tcPr>
          <w:p w14:paraId="45E7DD9B" w14:textId="77777777" w:rsidR="000B4DF4" w:rsidRDefault="000B4DF4" w:rsidP="000B4DF4">
            <w:pPr>
              <w:spacing w:after="0" w:line="280" w:lineRule="atLeast"/>
              <w:rPr>
                <w:rFonts w:ascii="Arial" w:hAnsi="Arial" w:cs="Arial"/>
              </w:rPr>
            </w:pPr>
            <w:r>
              <w:rPr>
                <w:rFonts w:ascii="Arial" w:hAnsi="Arial" w:cs="Arial"/>
              </w:rPr>
              <w:t>Section 154A(1)</w:t>
            </w:r>
          </w:p>
          <w:p w14:paraId="6B2D54E7" w14:textId="77777777" w:rsidR="000B4DF4" w:rsidRDefault="000B4DF4" w:rsidP="000B4DF4">
            <w:pPr>
              <w:spacing w:after="0" w:line="280" w:lineRule="atLeast"/>
              <w:rPr>
                <w:rFonts w:ascii="Arial" w:hAnsi="Arial" w:cs="Arial"/>
              </w:rPr>
            </w:pPr>
          </w:p>
          <w:p w14:paraId="56147EB6" w14:textId="451F1AB4" w:rsidR="005665E7" w:rsidRPr="006F2754" w:rsidRDefault="000B4DF4" w:rsidP="000B4DF4">
            <w:pPr>
              <w:spacing w:after="0" w:line="280" w:lineRule="atLeast"/>
              <w:rPr>
                <w:rFonts w:ascii="Arial" w:hAnsi="Arial" w:cs="Arial"/>
              </w:rPr>
            </w:pPr>
            <w:r>
              <w:rPr>
                <w:rFonts w:ascii="Arial" w:hAnsi="Arial" w:cs="Arial"/>
              </w:rPr>
              <w:t>Giving promotional material</w:t>
            </w:r>
            <w:r w:rsidR="005665E7">
              <w:rPr>
                <w:rFonts w:ascii="Arial" w:hAnsi="Arial" w:cs="Arial"/>
              </w:rPr>
              <w:t xml:space="preserve"> </w:t>
            </w:r>
          </w:p>
        </w:tc>
        <w:tc>
          <w:tcPr>
            <w:tcW w:w="5386" w:type="dxa"/>
          </w:tcPr>
          <w:p w14:paraId="6B4DF889" w14:textId="21CF86CD" w:rsidR="005665E7" w:rsidRDefault="000B4DF4" w:rsidP="005665E7">
            <w:pPr>
              <w:spacing w:after="0" w:line="280" w:lineRule="atLeast"/>
              <w:rPr>
                <w:rFonts w:ascii="Arial" w:hAnsi="Arial" w:cs="Arial"/>
              </w:rPr>
            </w:pPr>
            <w:r>
              <w:rPr>
                <w:rFonts w:ascii="Arial" w:hAnsi="Arial" w:cs="Arial"/>
              </w:rPr>
              <w:t>To ensure licensee do not give advertising or promotional material of gambling activities to a person as not to encourage gambling</w:t>
            </w:r>
            <w:r w:rsidR="00A17E58">
              <w:rPr>
                <w:rFonts w:ascii="Arial" w:hAnsi="Arial" w:cs="Arial"/>
              </w:rPr>
              <w:t xml:space="preserve"> to people experiencing, or at risk of experiencing, gambling harm. </w:t>
            </w:r>
          </w:p>
        </w:tc>
      </w:tr>
    </w:tbl>
    <w:p w14:paraId="054B30E3" w14:textId="77777777" w:rsidR="00585784" w:rsidRDefault="00585784" w:rsidP="00443DCD">
      <w:pPr>
        <w:rPr>
          <w:rFonts w:ascii="Arial" w:hAnsi="Arial" w:cs="Arial"/>
          <w:iCs/>
          <w:sz w:val="24"/>
          <w:szCs w:val="24"/>
        </w:rPr>
      </w:pPr>
    </w:p>
    <w:p w14:paraId="72E11CD4" w14:textId="77777777" w:rsidR="00BE5A63" w:rsidRDefault="00324E2D" w:rsidP="00BE5A63">
      <w:pPr>
        <w:pStyle w:val="ListParagraph"/>
        <w:numPr>
          <w:ilvl w:val="0"/>
          <w:numId w:val="8"/>
        </w:numPr>
        <w:rPr>
          <w:rFonts w:ascii="Arial" w:hAnsi="Arial" w:cs="Arial"/>
          <w:b/>
          <w:bCs/>
          <w:i/>
          <w:sz w:val="24"/>
          <w:szCs w:val="24"/>
        </w:rPr>
      </w:pPr>
      <w:r w:rsidRPr="00324E2D">
        <w:rPr>
          <w:rFonts w:ascii="Arial" w:hAnsi="Arial" w:cs="Arial"/>
          <w:b/>
          <w:bCs/>
          <w:i/>
          <w:sz w:val="24"/>
          <w:szCs w:val="24"/>
        </w:rPr>
        <w:t>Rational connection between the limitation and the purpose (s28(2)(d))</w:t>
      </w:r>
    </w:p>
    <w:p w14:paraId="671EAD3B" w14:textId="77777777" w:rsidR="00BE5A63" w:rsidRDefault="00BE5A63" w:rsidP="00BE5A63">
      <w:pPr>
        <w:pStyle w:val="ListParagraph"/>
        <w:ind w:left="360"/>
        <w:rPr>
          <w:rFonts w:ascii="Arial" w:hAnsi="Arial" w:cs="Arial"/>
          <w:b/>
          <w:bCs/>
          <w:i/>
          <w:sz w:val="24"/>
          <w:szCs w:val="24"/>
        </w:rPr>
      </w:pPr>
    </w:p>
    <w:p w14:paraId="4212B01A" w14:textId="6C3F1B85" w:rsidR="0037637E" w:rsidRDefault="00944781" w:rsidP="00BE5A63">
      <w:pPr>
        <w:pStyle w:val="ListParagraph"/>
        <w:ind w:left="360"/>
        <w:rPr>
          <w:rFonts w:ascii="Arial" w:hAnsi="Arial" w:cs="Arial"/>
          <w:iCs/>
          <w:sz w:val="24"/>
          <w:szCs w:val="24"/>
        </w:rPr>
      </w:pPr>
      <w:r w:rsidRPr="00BE5A63">
        <w:rPr>
          <w:rFonts w:ascii="Arial" w:hAnsi="Arial" w:cs="Arial"/>
          <w:iCs/>
          <w:sz w:val="24"/>
          <w:szCs w:val="24"/>
        </w:rPr>
        <w:t xml:space="preserve">To ensure that the harm minimisation benefits of account-based gaming are achieved, it is necessary to provide adequate regulatory powers </w:t>
      </w:r>
      <w:r w:rsidR="001F2BAB">
        <w:rPr>
          <w:rFonts w:ascii="Arial" w:hAnsi="Arial" w:cs="Arial"/>
          <w:iCs/>
          <w:sz w:val="24"/>
          <w:szCs w:val="24"/>
        </w:rPr>
        <w:t>to</w:t>
      </w:r>
      <w:r w:rsidR="001F2BAB" w:rsidRPr="00BE5A63">
        <w:rPr>
          <w:rFonts w:ascii="Arial" w:hAnsi="Arial" w:cs="Arial"/>
          <w:iCs/>
          <w:sz w:val="24"/>
          <w:szCs w:val="24"/>
        </w:rPr>
        <w:t xml:space="preserve"> </w:t>
      </w:r>
      <w:r w:rsidRPr="00BE5A63">
        <w:rPr>
          <w:rFonts w:ascii="Arial" w:hAnsi="Arial" w:cs="Arial"/>
          <w:iCs/>
          <w:sz w:val="24"/>
          <w:szCs w:val="24"/>
        </w:rPr>
        <w:t>support enforcement</w:t>
      </w:r>
      <w:r w:rsidR="0037637E" w:rsidRPr="00BE5A63">
        <w:rPr>
          <w:rFonts w:ascii="Arial" w:hAnsi="Arial" w:cs="Arial"/>
          <w:iCs/>
          <w:sz w:val="24"/>
          <w:szCs w:val="24"/>
        </w:rPr>
        <w:t xml:space="preserve">. </w:t>
      </w:r>
      <w:bookmarkStart w:id="0" w:name="OLE_LINK1"/>
      <w:r w:rsidR="005D5ECE">
        <w:rPr>
          <w:rFonts w:ascii="Arial" w:hAnsi="Arial" w:cs="Arial"/>
          <w:iCs/>
          <w:sz w:val="24"/>
          <w:szCs w:val="24"/>
        </w:rPr>
        <w:t xml:space="preserve">Effective implementation and administration of account-based gaming systems </w:t>
      </w:r>
      <w:r w:rsidR="009D1DBA">
        <w:rPr>
          <w:rFonts w:ascii="Arial" w:hAnsi="Arial" w:cs="Arial"/>
          <w:iCs/>
          <w:sz w:val="24"/>
          <w:szCs w:val="24"/>
        </w:rPr>
        <w:t>require</w:t>
      </w:r>
      <w:r w:rsidR="005D5ECE">
        <w:rPr>
          <w:rFonts w:ascii="Arial" w:hAnsi="Arial" w:cs="Arial"/>
          <w:iCs/>
          <w:sz w:val="24"/>
          <w:szCs w:val="24"/>
        </w:rPr>
        <w:t xml:space="preserve"> that suitable sanctions exist to encourage compliance by gam</w:t>
      </w:r>
      <w:r w:rsidR="00A75F54">
        <w:rPr>
          <w:rFonts w:ascii="Arial" w:hAnsi="Arial" w:cs="Arial"/>
          <w:iCs/>
          <w:sz w:val="24"/>
          <w:szCs w:val="24"/>
        </w:rPr>
        <w:t>ing</w:t>
      </w:r>
      <w:r w:rsidR="005D5ECE">
        <w:rPr>
          <w:rFonts w:ascii="Arial" w:hAnsi="Arial" w:cs="Arial"/>
          <w:iCs/>
          <w:sz w:val="24"/>
          <w:szCs w:val="24"/>
        </w:rPr>
        <w:t xml:space="preserve"> licensees. </w:t>
      </w:r>
    </w:p>
    <w:p w14:paraId="45F4836A" w14:textId="77777777" w:rsidR="005D5ECE" w:rsidRPr="00BE5A63" w:rsidRDefault="005D5ECE" w:rsidP="00BE5A63">
      <w:pPr>
        <w:pStyle w:val="ListParagraph"/>
        <w:ind w:left="360"/>
        <w:rPr>
          <w:rFonts w:ascii="Arial" w:hAnsi="Arial" w:cs="Arial"/>
          <w:b/>
          <w:bCs/>
          <w:i/>
          <w:sz w:val="24"/>
          <w:szCs w:val="24"/>
        </w:rPr>
      </w:pPr>
    </w:p>
    <w:p w14:paraId="45019625" w14:textId="08FA6DB2" w:rsidR="00027F47" w:rsidRDefault="0037637E" w:rsidP="00027F47">
      <w:pPr>
        <w:ind w:left="360"/>
        <w:rPr>
          <w:rFonts w:ascii="Arial" w:hAnsi="Arial" w:cs="Arial"/>
          <w:iCs/>
          <w:sz w:val="24"/>
          <w:szCs w:val="24"/>
        </w:rPr>
      </w:pPr>
      <w:r w:rsidRPr="004C2A22">
        <w:rPr>
          <w:rFonts w:ascii="Arial" w:hAnsi="Arial" w:cs="Arial"/>
          <w:iCs/>
          <w:sz w:val="24"/>
          <w:szCs w:val="24"/>
        </w:rPr>
        <w:t xml:space="preserve">Strict liability provisions have been included in the Bill where the significance </w:t>
      </w:r>
      <w:r>
        <w:rPr>
          <w:rFonts w:ascii="Arial" w:hAnsi="Arial" w:cs="Arial"/>
          <w:iCs/>
          <w:sz w:val="24"/>
          <w:szCs w:val="24"/>
        </w:rPr>
        <w:t xml:space="preserve">for compliance is critical. They have been determined as critical for compliance due </w:t>
      </w:r>
      <w:r>
        <w:rPr>
          <w:rFonts w:ascii="Arial" w:hAnsi="Arial" w:cs="Arial"/>
          <w:iCs/>
          <w:sz w:val="24"/>
          <w:szCs w:val="24"/>
        </w:rPr>
        <w:lastRenderedPageBreak/>
        <w:t xml:space="preserve">to their nature and ability to impede the efforts and intent of the scheme to protect </w:t>
      </w:r>
      <w:r w:rsidR="00E3380A">
        <w:rPr>
          <w:rFonts w:ascii="Arial" w:hAnsi="Arial" w:cs="Arial"/>
          <w:iCs/>
          <w:sz w:val="24"/>
          <w:szCs w:val="24"/>
        </w:rPr>
        <w:t>consumers</w:t>
      </w:r>
      <w:r>
        <w:rPr>
          <w:rFonts w:ascii="Arial" w:hAnsi="Arial" w:cs="Arial"/>
          <w:iCs/>
          <w:sz w:val="24"/>
          <w:szCs w:val="24"/>
        </w:rPr>
        <w:t xml:space="preserve"> from </w:t>
      </w:r>
      <w:r w:rsidR="008B2A0A">
        <w:rPr>
          <w:rFonts w:ascii="Arial" w:hAnsi="Arial" w:cs="Arial"/>
          <w:iCs/>
          <w:sz w:val="24"/>
          <w:szCs w:val="24"/>
        </w:rPr>
        <w:t xml:space="preserve">gambling harms arising from gaming machines. </w:t>
      </w:r>
    </w:p>
    <w:p w14:paraId="5821C070" w14:textId="44BA7946" w:rsidR="00027F47" w:rsidRDefault="00027F47" w:rsidP="00027F47">
      <w:pPr>
        <w:ind w:left="360"/>
        <w:rPr>
          <w:rFonts w:ascii="Arial" w:hAnsi="Arial" w:cs="Arial"/>
          <w:iCs/>
          <w:sz w:val="24"/>
          <w:szCs w:val="24"/>
        </w:rPr>
      </w:pPr>
      <w:r>
        <w:rPr>
          <w:rFonts w:ascii="Arial" w:hAnsi="Arial" w:cs="Arial"/>
          <w:iCs/>
          <w:sz w:val="24"/>
          <w:szCs w:val="24"/>
        </w:rPr>
        <w:t>Where</w:t>
      </w:r>
      <w:r w:rsidDel="005D2505">
        <w:rPr>
          <w:rFonts w:ascii="Arial" w:hAnsi="Arial" w:cs="Arial"/>
          <w:iCs/>
          <w:sz w:val="24"/>
          <w:szCs w:val="24"/>
        </w:rPr>
        <w:t xml:space="preserve"> </w:t>
      </w:r>
      <w:r>
        <w:rPr>
          <w:rFonts w:ascii="Arial" w:hAnsi="Arial" w:cs="Arial"/>
          <w:iCs/>
          <w:sz w:val="24"/>
          <w:szCs w:val="24"/>
        </w:rPr>
        <w:t xml:space="preserve">strict liability offences are applied to the account-based gaming framework, they are necessary to deter </w:t>
      </w:r>
      <w:r w:rsidR="00E3380A">
        <w:rPr>
          <w:rFonts w:ascii="Arial" w:hAnsi="Arial" w:cs="Arial"/>
          <w:iCs/>
          <w:sz w:val="24"/>
          <w:szCs w:val="24"/>
        </w:rPr>
        <w:t xml:space="preserve">licensee </w:t>
      </w:r>
      <w:r>
        <w:rPr>
          <w:rFonts w:ascii="Arial" w:hAnsi="Arial" w:cs="Arial"/>
          <w:iCs/>
          <w:sz w:val="24"/>
          <w:szCs w:val="24"/>
        </w:rPr>
        <w:t xml:space="preserve">non-compliance with these requirements and protections. </w:t>
      </w:r>
    </w:p>
    <w:p w14:paraId="119490E7" w14:textId="7FB7F332" w:rsidR="00E77AD8" w:rsidRPr="00E77AD8" w:rsidRDefault="00E77AD8" w:rsidP="00E77AD8">
      <w:pPr>
        <w:ind w:left="360"/>
        <w:rPr>
          <w:rFonts w:ascii="Arial" w:hAnsi="Arial" w:cs="Arial"/>
          <w:iCs/>
          <w:sz w:val="24"/>
          <w:szCs w:val="24"/>
        </w:rPr>
      </w:pPr>
      <w:r w:rsidRPr="00E77AD8">
        <w:rPr>
          <w:rFonts w:ascii="Arial" w:hAnsi="Arial" w:cs="Arial"/>
          <w:iCs/>
          <w:sz w:val="24"/>
          <w:szCs w:val="24"/>
        </w:rPr>
        <w:t>Strict liability offences typically arise in a regulatory context where, for reasons such as public safety and ensuring that regulatory schemes are complied with, strict compliance must be demanded. </w:t>
      </w:r>
      <w:r w:rsidR="001F2BAB">
        <w:rPr>
          <w:rFonts w:ascii="Arial" w:hAnsi="Arial" w:cs="Arial"/>
          <w:iCs/>
          <w:sz w:val="24"/>
          <w:szCs w:val="24"/>
        </w:rPr>
        <w:t>They are</w:t>
      </w:r>
      <w:r w:rsidR="001F2BAB" w:rsidRPr="00E77AD8">
        <w:rPr>
          <w:rFonts w:ascii="Arial" w:hAnsi="Arial" w:cs="Arial"/>
          <w:iCs/>
          <w:sz w:val="24"/>
          <w:szCs w:val="24"/>
        </w:rPr>
        <w:t xml:space="preserve"> </w:t>
      </w:r>
      <w:r w:rsidRPr="00E77AD8">
        <w:rPr>
          <w:rFonts w:ascii="Arial" w:hAnsi="Arial" w:cs="Arial"/>
          <w:iCs/>
          <w:sz w:val="24"/>
          <w:szCs w:val="24"/>
        </w:rPr>
        <w:t xml:space="preserve">also typically </w:t>
      </w:r>
      <w:r w:rsidR="001F2BAB">
        <w:rPr>
          <w:rFonts w:ascii="Arial" w:hAnsi="Arial" w:cs="Arial"/>
          <w:iCs/>
          <w:sz w:val="24"/>
          <w:szCs w:val="24"/>
        </w:rPr>
        <w:t>used</w:t>
      </w:r>
      <w:r w:rsidR="001F2BAB" w:rsidRPr="00E77AD8">
        <w:rPr>
          <w:rFonts w:ascii="Arial" w:hAnsi="Arial" w:cs="Arial"/>
          <w:iCs/>
          <w:sz w:val="24"/>
          <w:szCs w:val="24"/>
        </w:rPr>
        <w:t xml:space="preserve"> </w:t>
      </w:r>
      <w:r w:rsidRPr="00E77AD8">
        <w:rPr>
          <w:rFonts w:ascii="Arial" w:hAnsi="Arial" w:cs="Arial"/>
          <w:iCs/>
          <w:sz w:val="24"/>
          <w:szCs w:val="24"/>
        </w:rPr>
        <w:t>in cases where a defendant can reasonably be expected, because of their involvement with the regulated activity, to know what the requirements of the law are, and as such the mental, or fault, element can justifiably be excluded.  </w:t>
      </w:r>
    </w:p>
    <w:p w14:paraId="75F4F24C" w14:textId="6FF18A6D" w:rsidR="00D05524" w:rsidRDefault="00E77AD8" w:rsidP="00D85B01">
      <w:pPr>
        <w:ind w:left="360"/>
        <w:rPr>
          <w:rFonts w:ascii="Arial" w:hAnsi="Arial" w:cs="Arial"/>
          <w:iCs/>
          <w:sz w:val="24"/>
          <w:szCs w:val="24"/>
        </w:rPr>
      </w:pPr>
      <w:r w:rsidRPr="00E77AD8">
        <w:rPr>
          <w:rFonts w:ascii="Arial" w:hAnsi="Arial" w:cs="Arial"/>
          <w:iCs/>
          <w:sz w:val="24"/>
          <w:szCs w:val="24"/>
        </w:rPr>
        <w:t xml:space="preserve">Strict liability applies in the Bill </w:t>
      </w:r>
      <w:r>
        <w:rPr>
          <w:rFonts w:ascii="Arial" w:hAnsi="Arial" w:cs="Arial"/>
          <w:iCs/>
          <w:sz w:val="24"/>
          <w:szCs w:val="24"/>
        </w:rPr>
        <w:t>apply only to</w:t>
      </w:r>
      <w:r w:rsidRPr="00E77AD8">
        <w:rPr>
          <w:rFonts w:ascii="Arial" w:hAnsi="Arial" w:cs="Arial"/>
          <w:iCs/>
          <w:sz w:val="24"/>
          <w:szCs w:val="24"/>
        </w:rPr>
        <w:t> licen</w:t>
      </w:r>
      <w:r>
        <w:rPr>
          <w:rFonts w:ascii="Arial" w:hAnsi="Arial" w:cs="Arial"/>
          <w:iCs/>
          <w:sz w:val="24"/>
          <w:szCs w:val="24"/>
        </w:rPr>
        <w:t>s</w:t>
      </w:r>
      <w:r w:rsidRPr="00E77AD8">
        <w:rPr>
          <w:rFonts w:ascii="Arial" w:hAnsi="Arial" w:cs="Arial"/>
          <w:iCs/>
          <w:sz w:val="24"/>
          <w:szCs w:val="24"/>
        </w:rPr>
        <w:t>ees who should have a high degree of understanding of the regulatory framework. They also relate to action or inaction which is administrative or procedural in nature, </w:t>
      </w:r>
      <w:r w:rsidR="001F2BAB">
        <w:rPr>
          <w:rFonts w:ascii="Arial" w:hAnsi="Arial" w:cs="Arial"/>
          <w:iCs/>
          <w:sz w:val="24"/>
          <w:szCs w:val="24"/>
        </w:rPr>
        <w:t>where</w:t>
      </w:r>
      <w:r w:rsidRPr="00E77AD8">
        <w:rPr>
          <w:rFonts w:ascii="Arial" w:hAnsi="Arial" w:cs="Arial"/>
          <w:iCs/>
          <w:sz w:val="24"/>
          <w:szCs w:val="24"/>
        </w:rPr>
        <w:t xml:space="preserve"> strict compliance must be demanded to ensure the scheme fulfills its purpose.</w:t>
      </w:r>
      <w:r w:rsidR="00E67B9D">
        <w:rPr>
          <w:rFonts w:ascii="Arial" w:hAnsi="Arial" w:cs="Arial"/>
          <w:iCs/>
          <w:sz w:val="24"/>
          <w:szCs w:val="24"/>
        </w:rPr>
        <w:t xml:space="preserve"> </w:t>
      </w:r>
      <w:r w:rsidRPr="00E77AD8">
        <w:rPr>
          <w:rFonts w:ascii="Arial" w:hAnsi="Arial" w:cs="Arial"/>
          <w:iCs/>
          <w:sz w:val="24"/>
          <w:szCs w:val="24"/>
        </w:rPr>
        <w:t>Strict liability ensures that the ongoing administration of the scheme is not compromised by simple administrative oversights or failures</w:t>
      </w:r>
      <w:r>
        <w:rPr>
          <w:rFonts w:ascii="Arial" w:hAnsi="Arial" w:cs="Arial"/>
          <w:iCs/>
          <w:sz w:val="24"/>
          <w:szCs w:val="24"/>
        </w:rPr>
        <w:t>.</w:t>
      </w:r>
      <w:r w:rsidR="006E679D">
        <w:rPr>
          <w:rFonts w:ascii="Arial" w:hAnsi="Arial" w:cs="Arial"/>
          <w:iCs/>
          <w:sz w:val="24"/>
          <w:szCs w:val="24"/>
        </w:rPr>
        <w:t xml:space="preserve"> </w:t>
      </w:r>
      <w:r w:rsidR="00007204">
        <w:rPr>
          <w:rFonts w:ascii="Arial" w:hAnsi="Arial" w:cs="Arial"/>
          <w:iCs/>
          <w:sz w:val="24"/>
          <w:szCs w:val="24"/>
        </w:rPr>
        <w:t>Section 67</w:t>
      </w:r>
      <w:r w:rsidR="00D05524">
        <w:rPr>
          <w:rFonts w:ascii="Arial" w:hAnsi="Arial" w:cs="Arial"/>
          <w:iCs/>
          <w:sz w:val="24"/>
          <w:szCs w:val="24"/>
        </w:rPr>
        <w:t>I</w:t>
      </w:r>
      <w:r w:rsidR="00007204">
        <w:rPr>
          <w:rFonts w:ascii="Arial" w:hAnsi="Arial" w:cs="Arial"/>
          <w:iCs/>
          <w:sz w:val="24"/>
          <w:szCs w:val="24"/>
        </w:rPr>
        <w:t xml:space="preserve"> </w:t>
      </w:r>
      <w:r w:rsidR="00A36296">
        <w:rPr>
          <w:rFonts w:ascii="Arial" w:hAnsi="Arial" w:cs="Arial"/>
          <w:iCs/>
          <w:sz w:val="24"/>
          <w:szCs w:val="24"/>
        </w:rPr>
        <w:t>provides for two offences which apply to an individual</w:t>
      </w:r>
      <w:r w:rsidR="00FB0D1D">
        <w:rPr>
          <w:rFonts w:ascii="Arial" w:hAnsi="Arial" w:cs="Arial"/>
          <w:iCs/>
          <w:sz w:val="24"/>
          <w:szCs w:val="24"/>
        </w:rPr>
        <w:t xml:space="preserve">. The </w:t>
      </w:r>
      <w:r w:rsidR="00BF6013">
        <w:rPr>
          <w:rFonts w:ascii="Arial" w:hAnsi="Arial" w:cs="Arial"/>
          <w:iCs/>
          <w:sz w:val="24"/>
          <w:szCs w:val="24"/>
        </w:rPr>
        <w:t>first</w:t>
      </w:r>
      <w:r w:rsidR="004F2D6C">
        <w:rPr>
          <w:rFonts w:ascii="Arial" w:hAnsi="Arial" w:cs="Arial"/>
          <w:iCs/>
          <w:sz w:val="24"/>
          <w:szCs w:val="24"/>
        </w:rPr>
        <w:t xml:space="preserve"> applies if a person </w:t>
      </w:r>
      <w:r w:rsidR="004A3F4D">
        <w:rPr>
          <w:rFonts w:ascii="Arial" w:hAnsi="Arial" w:cs="Arial"/>
          <w:iCs/>
          <w:sz w:val="24"/>
          <w:szCs w:val="24"/>
        </w:rPr>
        <w:t>seeks to redeem</w:t>
      </w:r>
      <w:r w:rsidR="004F2D6C">
        <w:rPr>
          <w:rFonts w:ascii="Arial" w:hAnsi="Arial" w:cs="Arial"/>
          <w:iCs/>
          <w:sz w:val="24"/>
          <w:szCs w:val="24"/>
        </w:rPr>
        <w:t xml:space="preserve"> credit held on another person’s player account and the second applies is a person plays a gaming machines using a player card linked to another person’s player account</w:t>
      </w:r>
      <w:r w:rsidR="0005690A">
        <w:rPr>
          <w:rFonts w:ascii="Arial" w:hAnsi="Arial" w:cs="Arial"/>
          <w:iCs/>
          <w:sz w:val="24"/>
          <w:szCs w:val="24"/>
        </w:rPr>
        <w:t xml:space="preserve">. </w:t>
      </w:r>
      <w:r w:rsidR="00AF521A">
        <w:rPr>
          <w:rFonts w:ascii="Arial" w:hAnsi="Arial" w:cs="Arial"/>
          <w:iCs/>
          <w:sz w:val="24"/>
          <w:szCs w:val="24"/>
        </w:rPr>
        <w:t xml:space="preserve">These offences are strict </w:t>
      </w:r>
      <w:r w:rsidR="008F0059">
        <w:rPr>
          <w:rFonts w:ascii="Arial" w:hAnsi="Arial" w:cs="Arial"/>
          <w:iCs/>
          <w:sz w:val="24"/>
          <w:szCs w:val="24"/>
        </w:rPr>
        <w:t xml:space="preserve">liability offences </w:t>
      </w:r>
      <w:r w:rsidR="00050AA0">
        <w:rPr>
          <w:rFonts w:ascii="Arial" w:hAnsi="Arial" w:cs="Arial"/>
          <w:iCs/>
          <w:sz w:val="24"/>
          <w:szCs w:val="24"/>
        </w:rPr>
        <w:t xml:space="preserve">to </w:t>
      </w:r>
      <w:r w:rsidR="001F2BAB">
        <w:rPr>
          <w:rFonts w:ascii="Arial" w:hAnsi="Arial" w:cs="Arial"/>
          <w:iCs/>
          <w:sz w:val="24"/>
          <w:szCs w:val="24"/>
        </w:rPr>
        <w:t>promote</w:t>
      </w:r>
      <w:r w:rsidR="00050AA0">
        <w:rPr>
          <w:rFonts w:ascii="Arial" w:hAnsi="Arial" w:cs="Arial"/>
          <w:iCs/>
          <w:sz w:val="24"/>
          <w:szCs w:val="24"/>
        </w:rPr>
        <w:t xml:space="preserve"> efficiency and </w:t>
      </w:r>
      <w:r w:rsidR="001F2BAB">
        <w:rPr>
          <w:rFonts w:ascii="Arial" w:hAnsi="Arial" w:cs="Arial"/>
          <w:iCs/>
          <w:sz w:val="24"/>
          <w:szCs w:val="24"/>
        </w:rPr>
        <w:t xml:space="preserve">allow </w:t>
      </w:r>
      <w:r w:rsidR="00050AA0">
        <w:rPr>
          <w:rFonts w:ascii="Arial" w:hAnsi="Arial" w:cs="Arial"/>
          <w:iCs/>
          <w:sz w:val="24"/>
          <w:szCs w:val="24"/>
        </w:rPr>
        <w:t xml:space="preserve">immediate action </w:t>
      </w:r>
      <w:r w:rsidR="001F2BAB">
        <w:rPr>
          <w:rFonts w:ascii="Arial" w:hAnsi="Arial" w:cs="Arial"/>
          <w:iCs/>
          <w:sz w:val="24"/>
          <w:szCs w:val="24"/>
        </w:rPr>
        <w:t xml:space="preserve">to </w:t>
      </w:r>
      <w:r w:rsidR="00050AA0">
        <w:rPr>
          <w:rFonts w:ascii="Arial" w:hAnsi="Arial" w:cs="Arial"/>
          <w:iCs/>
          <w:sz w:val="24"/>
          <w:szCs w:val="24"/>
        </w:rPr>
        <w:t xml:space="preserve">be taken by the </w:t>
      </w:r>
      <w:r w:rsidR="008C5CA3">
        <w:rPr>
          <w:rFonts w:ascii="Arial" w:hAnsi="Arial" w:cs="Arial"/>
          <w:iCs/>
          <w:sz w:val="24"/>
          <w:szCs w:val="24"/>
        </w:rPr>
        <w:t>c</w:t>
      </w:r>
      <w:r w:rsidR="00FD00DE">
        <w:rPr>
          <w:rFonts w:ascii="Arial" w:hAnsi="Arial" w:cs="Arial"/>
          <w:iCs/>
          <w:sz w:val="24"/>
          <w:szCs w:val="24"/>
        </w:rPr>
        <w:t xml:space="preserve">ommission, as the regulator, </w:t>
      </w:r>
      <w:r w:rsidR="001F2BAB">
        <w:rPr>
          <w:rFonts w:ascii="Arial" w:hAnsi="Arial" w:cs="Arial"/>
          <w:iCs/>
          <w:sz w:val="24"/>
          <w:szCs w:val="24"/>
        </w:rPr>
        <w:t xml:space="preserve">to </w:t>
      </w:r>
      <w:r w:rsidR="00FD00DE">
        <w:rPr>
          <w:rFonts w:ascii="Arial" w:hAnsi="Arial" w:cs="Arial"/>
          <w:iCs/>
          <w:sz w:val="24"/>
          <w:szCs w:val="24"/>
        </w:rPr>
        <w:t xml:space="preserve">prevent </w:t>
      </w:r>
      <w:r w:rsidR="00081DB8">
        <w:rPr>
          <w:rFonts w:ascii="Arial" w:hAnsi="Arial" w:cs="Arial"/>
          <w:iCs/>
          <w:sz w:val="24"/>
          <w:szCs w:val="24"/>
        </w:rPr>
        <w:t xml:space="preserve">gambling harm at the earliest identified opportunity. </w:t>
      </w:r>
      <w:r w:rsidR="0005690A">
        <w:rPr>
          <w:rFonts w:ascii="Arial" w:hAnsi="Arial" w:cs="Arial"/>
          <w:iCs/>
          <w:sz w:val="24"/>
          <w:szCs w:val="24"/>
        </w:rPr>
        <w:t xml:space="preserve">  </w:t>
      </w:r>
    </w:p>
    <w:p w14:paraId="3D32A7BE" w14:textId="7BA8A903" w:rsidR="00D85B01" w:rsidRPr="00531776" w:rsidRDefault="00D85B01" w:rsidP="00D85B01">
      <w:pPr>
        <w:ind w:left="360"/>
        <w:rPr>
          <w:rFonts w:ascii="Arial" w:hAnsi="Arial" w:cs="Arial"/>
          <w:iCs/>
          <w:sz w:val="24"/>
          <w:szCs w:val="24"/>
        </w:rPr>
      </w:pPr>
      <w:r w:rsidRPr="00531776">
        <w:rPr>
          <w:rFonts w:ascii="Arial" w:hAnsi="Arial" w:cs="Arial"/>
          <w:iCs/>
          <w:sz w:val="24"/>
          <w:szCs w:val="24"/>
        </w:rPr>
        <w:t xml:space="preserve">Sections 67S(1), 67S(3), 67W(1) and 67W(2) provide exemptions </w:t>
      </w:r>
      <w:r w:rsidR="006461C9">
        <w:rPr>
          <w:rFonts w:ascii="Arial" w:hAnsi="Arial" w:cs="Arial"/>
          <w:iCs/>
          <w:sz w:val="24"/>
          <w:szCs w:val="24"/>
        </w:rPr>
        <w:t xml:space="preserve">to offences </w:t>
      </w:r>
      <w:r w:rsidRPr="00531776">
        <w:rPr>
          <w:rFonts w:ascii="Arial" w:hAnsi="Arial" w:cs="Arial"/>
          <w:iCs/>
          <w:sz w:val="24"/>
          <w:szCs w:val="24"/>
        </w:rPr>
        <w:t>that impose an evidential burden on the defendant. Section 151</w:t>
      </w:r>
      <w:r w:rsidR="00B14112">
        <w:rPr>
          <w:rFonts w:ascii="Arial" w:hAnsi="Arial" w:cs="Arial"/>
          <w:iCs/>
          <w:sz w:val="24"/>
          <w:szCs w:val="24"/>
        </w:rPr>
        <w:t>B</w:t>
      </w:r>
      <w:r w:rsidRPr="00531776">
        <w:rPr>
          <w:rFonts w:ascii="Arial" w:hAnsi="Arial" w:cs="Arial"/>
          <w:iCs/>
          <w:sz w:val="24"/>
          <w:szCs w:val="24"/>
        </w:rPr>
        <w:t>(2) and 151</w:t>
      </w:r>
      <w:r w:rsidR="00B14112">
        <w:rPr>
          <w:rFonts w:ascii="Arial" w:hAnsi="Arial" w:cs="Arial"/>
          <w:iCs/>
          <w:sz w:val="24"/>
          <w:szCs w:val="24"/>
        </w:rPr>
        <w:t>B</w:t>
      </w:r>
      <w:r w:rsidRPr="00531776">
        <w:rPr>
          <w:rFonts w:ascii="Arial" w:hAnsi="Arial" w:cs="Arial"/>
          <w:iCs/>
          <w:sz w:val="24"/>
          <w:szCs w:val="24"/>
        </w:rPr>
        <w:t xml:space="preserve">(3)) </w:t>
      </w:r>
      <w:r w:rsidR="00562EA4" w:rsidRPr="00531776">
        <w:rPr>
          <w:rFonts w:ascii="Arial" w:hAnsi="Arial" w:cs="Arial"/>
          <w:iCs/>
          <w:sz w:val="24"/>
          <w:szCs w:val="24"/>
        </w:rPr>
        <w:t xml:space="preserve">provide a defence of </w:t>
      </w:r>
      <w:r w:rsidR="006461C9">
        <w:rPr>
          <w:rFonts w:ascii="Arial" w:hAnsi="Arial" w:cs="Arial"/>
          <w:iCs/>
          <w:sz w:val="24"/>
          <w:szCs w:val="24"/>
        </w:rPr>
        <w:t>‘</w:t>
      </w:r>
      <w:r w:rsidR="00562EA4" w:rsidRPr="00531776">
        <w:rPr>
          <w:rFonts w:ascii="Arial" w:hAnsi="Arial" w:cs="Arial"/>
          <w:iCs/>
          <w:sz w:val="24"/>
          <w:szCs w:val="24"/>
        </w:rPr>
        <w:t>reasonable steps</w:t>
      </w:r>
      <w:r w:rsidR="006461C9">
        <w:rPr>
          <w:rFonts w:ascii="Arial" w:hAnsi="Arial" w:cs="Arial"/>
          <w:iCs/>
          <w:sz w:val="24"/>
          <w:szCs w:val="24"/>
        </w:rPr>
        <w:t>’</w:t>
      </w:r>
      <w:r w:rsidR="00562EA4" w:rsidRPr="00531776">
        <w:rPr>
          <w:rFonts w:ascii="Arial" w:hAnsi="Arial" w:cs="Arial"/>
          <w:iCs/>
          <w:sz w:val="24"/>
          <w:szCs w:val="24"/>
        </w:rPr>
        <w:t xml:space="preserve"> that imposes </w:t>
      </w:r>
      <w:r w:rsidR="00426BDC" w:rsidRPr="00531776">
        <w:rPr>
          <w:rFonts w:ascii="Arial" w:hAnsi="Arial" w:cs="Arial"/>
          <w:iCs/>
          <w:sz w:val="24"/>
          <w:szCs w:val="24"/>
        </w:rPr>
        <w:t>a legal burden on the defendant.</w:t>
      </w:r>
      <w:r w:rsidR="00426BDC">
        <w:rPr>
          <w:rFonts w:ascii="Arial" w:hAnsi="Arial" w:cs="Arial"/>
          <w:sz w:val="24"/>
          <w:szCs w:val="24"/>
        </w:rPr>
        <w:t xml:space="preserve"> </w:t>
      </w:r>
      <w:r w:rsidR="00E75A3C">
        <w:rPr>
          <w:rFonts w:ascii="Arial" w:hAnsi="Arial" w:cs="Arial"/>
          <w:iCs/>
          <w:sz w:val="24"/>
          <w:szCs w:val="24"/>
        </w:rPr>
        <w:t xml:space="preserve">Guidelines or </w:t>
      </w:r>
      <w:r w:rsidR="0043595F">
        <w:rPr>
          <w:rFonts w:ascii="Arial" w:hAnsi="Arial" w:cs="Arial"/>
          <w:iCs/>
          <w:sz w:val="24"/>
          <w:szCs w:val="24"/>
        </w:rPr>
        <w:t>other written documentation will be provided to licensee</w:t>
      </w:r>
      <w:r w:rsidR="007007CE">
        <w:rPr>
          <w:rFonts w:ascii="Arial" w:hAnsi="Arial" w:cs="Arial"/>
          <w:iCs/>
          <w:sz w:val="24"/>
          <w:szCs w:val="24"/>
        </w:rPr>
        <w:t xml:space="preserve">s </w:t>
      </w:r>
      <w:r w:rsidR="0043595F">
        <w:rPr>
          <w:rFonts w:ascii="Arial" w:hAnsi="Arial" w:cs="Arial"/>
          <w:iCs/>
          <w:sz w:val="24"/>
          <w:szCs w:val="24"/>
        </w:rPr>
        <w:t>prior to the commencement date, which set out expectation</w:t>
      </w:r>
      <w:r w:rsidR="007007CE">
        <w:rPr>
          <w:rFonts w:ascii="Arial" w:hAnsi="Arial" w:cs="Arial"/>
          <w:iCs/>
          <w:sz w:val="24"/>
          <w:szCs w:val="24"/>
        </w:rPr>
        <w:t>s</w:t>
      </w:r>
      <w:r w:rsidR="0043595F">
        <w:rPr>
          <w:rFonts w:ascii="Arial" w:hAnsi="Arial" w:cs="Arial"/>
          <w:iCs/>
          <w:sz w:val="24"/>
          <w:szCs w:val="24"/>
        </w:rPr>
        <w:t xml:space="preserve"> </w:t>
      </w:r>
      <w:r w:rsidR="000A279F">
        <w:rPr>
          <w:rFonts w:ascii="Arial" w:hAnsi="Arial" w:cs="Arial"/>
          <w:iCs/>
          <w:sz w:val="24"/>
          <w:szCs w:val="24"/>
        </w:rPr>
        <w:t xml:space="preserve">for how a licensee is expected to </w:t>
      </w:r>
      <w:r w:rsidR="007007CE">
        <w:rPr>
          <w:rFonts w:ascii="Arial" w:hAnsi="Arial" w:cs="Arial"/>
          <w:iCs/>
          <w:sz w:val="24"/>
          <w:szCs w:val="24"/>
        </w:rPr>
        <w:t xml:space="preserve">comply section 151B. </w:t>
      </w:r>
      <w:r w:rsidR="008C6EA3">
        <w:rPr>
          <w:rFonts w:ascii="Arial" w:hAnsi="Arial" w:cs="Arial"/>
          <w:iCs/>
          <w:sz w:val="24"/>
          <w:szCs w:val="24"/>
        </w:rPr>
        <w:t xml:space="preserve"> </w:t>
      </w:r>
    </w:p>
    <w:p w14:paraId="74B9C334" w14:textId="478E1E97" w:rsidR="00C254AB" w:rsidRDefault="00E71166" w:rsidP="00013024">
      <w:pPr>
        <w:ind w:left="360"/>
        <w:rPr>
          <w:rFonts w:ascii="Arial" w:hAnsi="Arial" w:cs="Arial"/>
          <w:iCs/>
          <w:sz w:val="24"/>
          <w:szCs w:val="24"/>
        </w:rPr>
      </w:pPr>
      <w:r>
        <w:rPr>
          <w:rFonts w:ascii="Arial" w:hAnsi="Arial" w:cs="Arial"/>
          <w:iCs/>
          <w:sz w:val="24"/>
          <w:szCs w:val="24"/>
        </w:rPr>
        <w:t>To this extent, the offences limit the right to be presumed innocent in criminal proceedings. T</w:t>
      </w:r>
      <w:r w:rsidR="00027F47">
        <w:rPr>
          <w:rFonts w:ascii="Arial" w:hAnsi="Arial" w:cs="Arial"/>
          <w:iCs/>
          <w:sz w:val="24"/>
          <w:szCs w:val="24"/>
        </w:rPr>
        <w:t xml:space="preserve">his limitation exists to ensure that the </w:t>
      </w:r>
      <w:r w:rsidR="008D2EEE">
        <w:rPr>
          <w:rFonts w:ascii="Arial" w:hAnsi="Arial" w:cs="Arial"/>
          <w:iCs/>
          <w:sz w:val="24"/>
          <w:szCs w:val="24"/>
        </w:rPr>
        <w:t xml:space="preserve">relevant </w:t>
      </w:r>
      <w:r w:rsidR="00027F47">
        <w:rPr>
          <w:rFonts w:ascii="Arial" w:hAnsi="Arial" w:cs="Arial"/>
          <w:iCs/>
          <w:sz w:val="24"/>
          <w:szCs w:val="24"/>
        </w:rPr>
        <w:t>offence</w:t>
      </w:r>
      <w:r w:rsidR="008D2EEE">
        <w:rPr>
          <w:rFonts w:ascii="Arial" w:hAnsi="Arial" w:cs="Arial"/>
          <w:iCs/>
          <w:sz w:val="24"/>
          <w:szCs w:val="24"/>
        </w:rPr>
        <w:t>s</w:t>
      </w:r>
      <w:r w:rsidR="00027F47">
        <w:rPr>
          <w:rFonts w:ascii="Arial" w:hAnsi="Arial" w:cs="Arial"/>
          <w:iCs/>
          <w:sz w:val="24"/>
          <w:szCs w:val="24"/>
        </w:rPr>
        <w:t xml:space="preserve"> </w:t>
      </w:r>
      <w:r w:rsidR="008D2EEE">
        <w:rPr>
          <w:rFonts w:ascii="Arial" w:hAnsi="Arial" w:cs="Arial"/>
          <w:iCs/>
          <w:sz w:val="24"/>
          <w:szCs w:val="24"/>
        </w:rPr>
        <w:t xml:space="preserve">are </w:t>
      </w:r>
      <w:r w:rsidR="00027F47">
        <w:rPr>
          <w:rFonts w:ascii="Arial" w:hAnsi="Arial" w:cs="Arial"/>
          <w:iCs/>
          <w:sz w:val="24"/>
          <w:szCs w:val="24"/>
        </w:rPr>
        <w:t xml:space="preserve">not rendered futile. </w:t>
      </w:r>
      <w:r>
        <w:rPr>
          <w:rFonts w:ascii="Arial" w:hAnsi="Arial" w:cs="Arial"/>
          <w:iCs/>
          <w:sz w:val="24"/>
          <w:szCs w:val="24"/>
        </w:rPr>
        <w:t>Requiring</w:t>
      </w:r>
      <w:r w:rsidRPr="00E71166">
        <w:rPr>
          <w:rFonts w:ascii="Arial" w:hAnsi="Arial" w:cs="Arial"/>
          <w:iCs/>
          <w:sz w:val="24"/>
          <w:szCs w:val="24"/>
        </w:rPr>
        <w:t xml:space="preserve"> the prosecution to disprove matters that are uniquely within the defendant’s knowledge could undermine the effective operation of the offence. </w:t>
      </w:r>
      <w:r w:rsidR="00027F47">
        <w:rPr>
          <w:rFonts w:ascii="Arial" w:hAnsi="Arial" w:cs="Arial"/>
          <w:iCs/>
          <w:sz w:val="24"/>
          <w:szCs w:val="24"/>
        </w:rPr>
        <w:t>Should the prosecution be required to disprove all possible defences, even those that are irrelevant or fanciful, then prosecution of the offences would inevitably be impossible to pursue or rarely, if ever, succeed.</w:t>
      </w:r>
      <w:r>
        <w:rPr>
          <w:rFonts w:ascii="Arial" w:hAnsi="Arial" w:cs="Arial"/>
          <w:iCs/>
          <w:sz w:val="24"/>
          <w:szCs w:val="24"/>
        </w:rPr>
        <w:t xml:space="preserve"> Pl</w:t>
      </w:r>
      <w:r w:rsidRPr="00E71166">
        <w:rPr>
          <w:rFonts w:ascii="Arial" w:hAnsi="Arial" w:cs="Arial"/>
          <w:iCs/>
          <w:sz w:val="24"/>
          <w:szCs w:val="24"/>
        </w:rPr>
        <w:t>acing the evidential</w:t>
      </w:r>
      <w:r w:rsidR="00703341">
        <w:rPr>
          <w:rFonts w:ascii="Arial" w:hAnsi="Arial" w:cs="Arial"/>
          <w:iCs/>
          <w:sz w:val="24"/>
          <w:szCs w:val="24"/>
        </w:rPr>
        <w:t xml:space="preserve"> or legal</w:t>
      </w:r>
      <w:r w:rsidRPr="00E71166">
        <w:rPr>
          <w:rFonts w:ascii="Arial" w:hAnsi="Arial" w:cs="Arial"/>
          <w:iCs/>
          <w:sz w:val="24"/>
          <w:szCs w:val="24"/>
        </w:rPr>
        <w:t xml:space="preserve"> burden on the accused seeking to rely on the defence reinforces the regulatory expectation that licensees </w:t>
      </w:r>
      <w:r>
        <w:rPr>
          <w:rFonts w:ascii="Arial" w:hAnsi="Arial" w:cs="Arial"/>
          <w:iCs/>
          <w:sz w:val="24"/>
          <w:szCs w:val="24"/>
        </w:rPr>
        <w:t xml:space="preserve">are responsible for the administration and implementation of the account-based gaming system to </w:t>
      </w:r>
      <w:r w:rsidRPr="00E71166">
        <w:rPr>
          <w:rFonts w:ascii="Arial" w:hAnsi="Arial" w:cs="Arial"/>
          <w:iCs/>
          <w:sz w:val="24"/>
          <w:szCs w:val="24"/>
        </w:rPr>
        <w:t>monitor for the risk of gambling harm.  </w:t>
      </w:r>
    </w:p>
    <w:p w14:paraId="4CCE2447" w14:textId="2BB45665" w:rsidR="00C254AB" w:rsidRPr="00C254AB" w:rsidRDefault="00C254AB" w:rsidP="00C254AB">
      <w:pPr>
        <w:pStyle w:val="ListParagraph"/>
        <w:numPr>
          <w:ilvl w:val="0"/>
          <w:numId w:val="8"/>
        </w:numPr>
        <w:rPr>
          <w:rFonts w:ascii="Arial" w:hAnsi="Arial" w:cs="Arial"/>
          <w:iCs/>
          <w:sz w:val="24"/>
          <w:szCs w:val="24"/>
        </w:rPr>
      </w:pPr>
      <w:r w:rsidRPr="00C254AB">
        <w:rPr>
          <w:rFonts w:ascii="Arial" w:hAnsi="Arial" w:cs="Arial"/>
          <w:b/>
          <w:bCs/>
          <w:i/>
          <w:sz w:val="24"/>
          <w:szCs w:val="24"/>
        </w:rPr>
        <w:lastRenderedPageBreak/>
        <w:t>Proportionality (s28(2)(e))</w:t>
      </w:r>
    </w:p>
    <w:p w14:paraId="19FFB502" w14:textId="77777777" w:rsidR="00C254AB" w:rsidRDefault="00C254AB" w:rsidP="00C254AB">
      <w:pPr>
        <w:pStyle w:val="ListParagraph"/>
        <w:ind w:left="360"/>
        <w:rPr>
          <w:rFonts w:ascii="Arial" w:hAnsi="Arial" w:cs="Arial"/>
          <w:b/>
          <w:bCs/>
          <w:i/>
          <w:sz w:val="24"/>
          <w:szCs w:val="24"/>
        </w:rPr>
      </w:pPr>
    </w:p>
    <w:p w14:paraId="2541FAFC" w14:textId="77777777" w:rsidR="008F0BFD" w:rsidRDefault="00C254AB" w:rsidP="008F0BFD">
      <w:pPr>
        <w:pStyle w:val="ListParagraph"/>
        <w:ind w:left="360"/>
        <w:rPr>
          <w:rFonts w:ascii="Arial" w:hAnsi="Arial" w:cs="Arial"/>
          <w:iCs/>
          <w:sz w:val="24"/>
          <w:szCs w:val="24"/>
        </w:rPr>
      </w:pPr>
      <w:r>
        <w:rPr>
          <w:rFonts w:ascii="Arial" w:hAnsi="Arial" w:cs="Arial"/>
          <w:iCs/>
          <w:sz w:val="24"/>
          <w:szCs w:val="24"/>
        </w:rPr>
        <w:t xml:space="preserve">Part 5A of the Bill, </w:t>
      </w:r>
      <w:r w:rsidR="0012305F">
        <w:rPr>
          <w:rFonts w:ascii="Arial" w:hAnsi="Arial" w:cs="Arial"/>
          <w:iCs/>
          <w:sz w:val="24"/>
          <w:szCs w:val="24"/>
        </w:rPr>
        <w:t xml:space="preserve">which provides a number of offences for gaming machine licensees, includes a number of strict liability offences which are necessary for the effective enforcement of the regulatory regime. </w:t>
      </w:r>
    </w:p>
    <w:p w14:paraId="7F2917B2" w14:textId="77777777" w:rsidR="008F0BFD" w:rsidRDefault="008F0BFD" w:rsidP="008F0BFD">
      <w:pPr>
        <w:pStyle w:val="ListParagraph"/>
        <w:ind w:left="360"/>
        <w:rPr>
          <w:rFonts w:ascii="Arial" w:hAnsi="Arial" w:cs="Arial"/>
          <w:iCs/>
          <w:sz w:val="24"/>
          <w:szCs w:val="24"/>
        </w:rPr>
      </w:pPr>
    </w:p>
    <w:p w14:paraId="69C26C85" w14:textId="787650F8" w:rsidR="008F0BFD" w:rsidRDefault="008F0BFD" w:rsidP="008F0BFD">
      <w:pPr>
        <w:pStyle w:val="ListParagraph"/>
        <w:ind w:left="360"/>
        <w:rPr>
          <w:rFonts w:ascii="Arial" w:hAnsi="Arial" w:cs="Arial"/>
          <w:iCs/>
          <w:sz w:val="24"/>
          <w:szCs w:val="24"/>
        </w:rPr>
      </w:pPr>
      <w:r w:rsidRPr="00531776">
        <w:rPr>
          <w:rFonts w:ascii="Arial" w:hAnsi="Arial" w:cs="Arial"/>
          <w:iCs/>
          <w:sz w:val="24"/>
          <w:szCs w:val="24"/>
        </w:rPr>
        <w:t xml:space="preserve">The limitations on rights in criminal proceedings are considered proportionate to the legitimate purpose, given the need to </w:t>
      </w:r>
      <w:r>
        <w:rPr>
          <w:rFonts w:ascii="Arial" w:hAnsi="Arial" w:cs="Arial"/>
          <w:iCs/>
          <w:sz w:val="24"/>
          <w:szCs w:val="24"/>
        </w:rPr>
        <w:t xml:space="preserve">regulate </w:t>
      </w:r>
      <w:r w:rsidR="00D92D43">
        <w:rPr>
          <w:rFonts w:ascii="Arial" w:hAnsi="Arial" w:cs="Arial"/>
          <w:iCs/>
          <w:sz w:val="24"/>
          <w:szCs w:val="24"/>
        </w:rPr>
        <w:t xml:space="preserve">licensees implementing and administering the </w:t>
      </w:r>
      <w:r>
        <w:rPr>
          <w:rFonts w:ascii="Arial" w:hAnsi="Arial" w:cs="Arial"/>
          <w:iCs/>
          <w:sz w:val="24"/>
          <w:szCs w:val="24"/>
        </w:rPr>
        <w:t xml:space="preserve">account-based gaming framework. </w:t>
      </w:r>
    </w:p>
    <w:p w14:paraId="22537B58" w14:textId="77777777" w:rsidR="00DF5FE5" w:rsidRDefault="00DF5FE5" w:rsidP="008F0BFD">
      <w:pPr>
        <w:pStyle w:val="ListParagraph"/>
        <w:ind w:left="360"/>
        <w:rPr>
          <w:rFonts w:ascii="Arial" w:hAnsi="Arial" w:cs="Arial"/>
          <w:iCs/>
          <w:sz w:val="24"/>
          <w:szCs w:val="24"/>
        </w:rPr>
      </w:pPr>
    </w:p>
    <w:p w14:paraId="03BE8221" w14:textId="1D54FDEA" w:rsidR="00FD4917" w:rsidRDefault="00FD4917" w:rsidP="008F0BFD">
      <w:pPr>
        <w:pStyle w:val="ListParagraph"/>
        <w:ind w:left="360"/>
        <w:rPr>
          <w:rFonts w:ascii="Arial" w:hAnsi="Arial" w:cs="Arial"/>
          <w:iCs/>
          <w:sz w:val="24"/>
          <w:szCs w:val="24"/>
        </w:rPr>
      </w:pPr>
      <w:r>
        <w:rPr>
          <w:rFonts w:ascii="Arial" w:hAnsi="Arial" w:cs="Arial"/>
          <w:iCs/>
          <w:sz w:val="24"/>
          <w:szCs w:val="24"/>
        </w:rPr>
        <w:t>All but two s</w:t>
      </w:r>
      <w:r w:rsidR="00DF5FE5" w:rsidRPr="00E77AD8">
        <w:rPr>
          <w:rFonts w:ascii="Arial" w:hAnsi="Arial" w:cs="Arial"/>
          <w:iCs/>
          <w:sz w:val="24"/>
          <w:szCs w:val="24"/>
        </w:rPr>
        <w:t>trict liability </w:t>
      </w:r>
      <w:r>
        <w:rPr>
          <w:rFonts w:ascii="Arial" w:hAnsi="Arial" w:cs="Arial"/>
          <w:iCs/>
          <w:sz w:val="24"/>
          <w:szCs w:val="24"/>
        </w:rPr>
        <w:t xml:space="preserve">offence </w:t>
      </w:r>
      <w:r w:rsidR="00DF5FE5" w:rsidRPr="00E77AD8">
        <w:rPr>
          <w:rFonts w:ascii="Arial" w:hAnsi="Arial" w:cs="Arial"/>
          <w:iCs/>
          <w:sz w:val="24"/>
          <w:szCs w:val="24"/>
        </w:rPr>
        <w:t xml:space="preserve">in the Bill </w:t>
      </w:r>
      <w:r>
        <w:rPr>
          <w:rFonts w:ascii="Arial" w:hAnsi="Arial" w:cs="Arial"/>
          <w:iCs/>
          <w:sz w:val="24"/>
          <w:szCs w:val="24"/>
        </w:rPr>
        <w:t xml:space="preserve">apply </w:t>
      </w:r>
      <w:r w:rsidR="00DF5FE5">
        <w:rPr>
          <w:rFonts w:ascii="Arial" w:hAnsi="Arial" w:cs="Arial"/>
          <w:iCs/>
          <w:sz w:val="24"/>
          <w:szCs w:val="24"/>
        </w:rPr>
        <w:t>only to</w:t>
      </w:r>
      <w:r w:rsidR="00DF5FE5" w:rsidRPr="00E77AD8">
        <w:rPr>
          <w:rFonts w:ascii="Arial" w:hAnsi="Arial" w:cs="Arial"/>
          <w:iCs/>
          <w:sz w:val="24"/>
          <w:szCs w:val="24"/>
        </w:rPr>
        <w:t> licen</w:t>
      </w:r>
      <w:r w:rsidR="00DF5FE5">
        <w:rPr>
          <w:rFonts w:ascii="Arial" w:hAnsi="Arial" w:cs="Arial"/>
          <w:iCs/>
          <w:sz w:val="24"/>
          <w:szCs w:val="24"/>
        </w:rPr>
        <w:t>s</w:t>
      </w:r>
      <w:r w:rsidR="00DF5FE5" w:rsidRPr="00E77AD8">
        <w:rPr>
          <w:rFonts w:ascii="Arial" w:hAnsi="Arial" w:cs="Arial"/>
          <w:iCs/>
          <w:sz w:val="24"/>
          <w:szCs w:val="24"/>
        </w:rPr>
        <w:t>ees who should have a high degree of understanding of the regulatory framework.</w:t>
      </w:r>
      <w:r w:rsidR="00DF5FE5">
        <w:rPr>
          <w:rFonts w:ascii="Arial" w:hAnsi="Arial" w:cs="Arial"/>
          <w:iCs/>
          <w:sz w:val="24"/>
          <w:szCs w:val="24"/>
        </w:rPr>
        <w:t xml:space="preserve"> Licensees are expected to have a high degree of awareness and understanding of the regulatory framework and their obligations for account-based gaming. The risk of inadvertent breaches of these offences is considered to be low. In any case, the defence of reasonable mistake of fact inherently applies through section 36 of the </w:t>
      </w:r>
      <w:r w:rsidR="00DF5FE5">
        <w:rPr>
          <w:rFonts w:ascii="Arial" w:hAnsi="Arial" w:cs="Arial"/>
          <w:i/>
          <w:sz w:val="24"/>
          <w:szCs w:val="24"/>
        </w:rPr>
        <w:t xml:space="preserve">Criminal Code 2002 </w:t>
      </w:r>
      <w:r w:rsidR="00DF5FE5">
        <w:rPr>
          <w:rFonts w:ascii="Arial" w:hAnsi="Arial" w:cs="Arial"/>
          <w:iCs/>
          <w:sz w:val="24"/>
          <w:szCs w:val="24"/>
        </w:rPr>
        <w:t>to all strict liability offences.</w:t>
      </w:r>
    </w:p>
    <w:p w14:paraId="300E71BC" w14:textId="609DC84E" w:rsidR="00FD4917" w:rsidRDefault="00015E21" w:rsidP="008F0BFD">
      <w:pPr>
        <w:pStyle w:val="ListParagraph"/>
        <w:ind w:left="360"/>
        <w:rPr>
          <w:rFonts w:ascii="Arial" w:hAnsi="Arial" w:cs="Arial"/>
          <w:iCs/>
          <w:sz w:val="24"/>
          <w:szCs w:val="24"/>
        </w:rPr>
      </w:pPr>
      <w:r>
        <w:rPr>
          <w:rFonts w:ascii="Arial" w:hAnsi="Arial" w:cs="Arial"/>
          <w:iCs/>
          <w:sz w:val="24"/>
          <w:szCs w:val="24"/>
        </w:rPr>
        <w:t>The two strict liability offences which apply to a person</w:t>
      </w:r>
      <w:r w:rsidR="006A49F9">
        <w:rPr>
          <w:rFonts w:ascii="Arial" w:hAnsi="Arial" w:cs="Arial"/>
          <w:iCs/>
          <w:sz w:val="24"/>
          <w:szCs w:val="24"/>
        </w:rPr>
        <w:t>, section 67</w:t>
      </w:r>
      <w:r w:rsidR="009547F0">
        <w:rPr>
          <w:rFonts w:ascii="Arial" w:hAnsi="Arial" w:cs="Arial"/>
          <w:iCs/>
          <w:sz w:val="24"/>
          <w:szCs w:val="24"/>
        </w:rPr>
        <w:t>I</w:t>
      </w:r>
      <w:r w:rsidR="006A49F9">
        <w:rPr>
          <w:rFonts w:ascii="Arial" w:hAnsi="Arial" w:cs="Arial"/>
          <w:iCs/>
          <w:sz w:val="24"/>
          <w:szCs w:val="24"/>
        </w:rPr>
        <w:t>(1) and 67</w:t>
      </w:r>
      <w:r w:rsidR="009547F0">
        <w:rPr>
          <w:rFonts w:ascii="Arial" w:hAnsi="Arial" w:cs="Arial"/>
          <w:iCs/>
          <w:sz w:val="24"/>
          <w:szCs w:val="24"/>
        </w:rPr>
        <w:t>I</w:t>
      </w:r>
      <w:r w:rsidR="006A49F9">
        <w:rPr>
          <w:rFonts w:ascii="Arial" w:hAnsi="Arial" w:cs="Arial"/>
          <w:iCs/>
          <w:sz w:val="24"/>
          <w:szCs w:val="24"/>
        </w:rPr>
        <w:t>(</w:t>
      </w:r>
      <w:r w:rsidR="0002113B">
        <w:rPr>
          <w:rFonts w:ascii="Arial" w:hAnsi="Arial" w:cs="Arial"/>
          <w:iCs/>
          <w:sz w:val="24"/>
          <w:szCs w:val="24"/>
        </w:rPr>
        <w:t xml:space="preserve">2) are proportionate </w:t>
      </w:r>
      <w:r w:rsidR="00D806E8">
        <w:rPr>
          <w:rFonts w:ascii="Arial" w:hAnsi="Arial" w:cs="Arial"/>
          <w:iCs/>
          <w:sz w:val="24"/>
          <w:szCs w:val="24"/>
        </w:rPr>
        <w:t>because a person</w:t>
      </w:r>
      <w:r w:rsidR="00370488">
        <w:rPr>
          <w:rFonts w:ascii="Arial" w:hAnsi="Arial" w:cs="Arial"/>
          <w:iCs/>
          <w:sz w:val="24"/>
          <w:szCs w:val="24"/>
        </w:rPr>
        <w:t xml:space="preserve"> using </w:t>
      </w:r>
      <w:r w:rsidR="00DA57DF">
        <w:rPr>
          <w:rFonts w:ascii="Arial" w:hAnsi="Arial" w:cs="Arial"/>
          <w:iCs/>
          <w:sz w:val="24"/>
          <w:szCs w:val="24"/>
        </w:rPr>
        <w:t>another person’s player account or card is reasonably expected to understand that the</w:t>
      </w:r>
      <w:r w:rsidR="00D73D3C">
        <w:rPr>
          <w:rFonts w:ascii="Arial" w:hAnsi="Arial" w:cs="Arial"/>
          <w:iCs/>
          <w:sz w:val="24"/>
          <w:szCs w:val="24"/>
        </w:rPr>
        <w:t xml:space="preserve"> account and card do not belong to them. It is</w:t>
      </w:r>
      <w:r w:rsidR="00F04996">
        <w:rPr>
          <w:rFonts w:ascii="Arial" w:hAnsi="Arial" w:cs="Arial"/>
          <w:iCs/>
          <w:sz w:val="24"/>
          <w:szCs w:val="24"/>
        </w:rPr>
        <w:t xml:space="preserve"> expected that</w:t>
      </w:r>
      <w:r w:rsidR="00192D8D">
        <w:rPr>
          <w:rFonts w:ascii="Arial" w:hAnsi="Arial" w:cs="Arial"/>
          <w:iCs/>
          <w:sz w:val="24"/>
          <w:szCs w:val="24"/>
        </w:rPr>
        <w:t xml:space="preserve"> licensees will </w:t>
      </w:r>
      <w:r w:rsidR="003D22FA">
        <w:rPr>
          <w:rFonts w:ascii="Arial" w:hAnsi="Arial" w:cs="Arial"/>
          <w:iCs/>
          <w:sz w:val="24"/>
          <w:szCs w:val="24"/>
        </w:rPr>
        <w:t xml:space="preserve">publicly inform patrons of </w:t>
      </w:r>
      <w:r w:rsidR="00626048">
        <w:rPr>
          <w:rFonts w:ascii="Arial" w:hAnsi="Arial" w:cs="Arial"/>
          <w:iCs/>
          <w:sz w:val="24"/>
          <w:szCs w:val="24"/>
        </w:rPr>
        <w:t xml:space="preserve">the </w:t>
      </w:r>
      <w:r w:rsidR="003D22FA">
        <w:rPr>
          <w:rFonts w:ascii="Arial" w:hAnsi="Arial" w:cs="Arial"/>
          <w:iCs/>
          <w:sz w:val="24"/>
          <w:szCs w:val="24"/>
        </w:rPr>
        <w:t>changes t</w:t>
      </w:r>
      <w:r w:rsidR="00626048">
        <w:rPr>
          <w:rFonts w:ascii="Arial" w:hAnsi="Arial" w:cs="Arial"/>
          <w:iCs/>
          <w:sz w:val="24"/>
          <w:szCs w:val="24"/>
        </w:rPr>
        <w:t>o</w:t>
      </w:r>
      <w:r w:rsidR="003D22FA">
        <w:rPr>
          <w:rFonts w:ascii="Arial" w:hAnsi="Arial" w:cs="Arial"/>
          <w:iCs/>
          <w:sz w:val="24"/>
          <w:szCs w:val="24"/>
        </w:rPr>
        <w:t xml:space="preserve"> gaming laws in relation to the need to hold an identity verified account to use gaming machines. </w:t>
      </w:r>
      <w:r w:rsidR="00EE61CD">
        <w:rPr>
          <w:rFonts w:ascii="Arial" w:hAnsi="Arial" w:cs="Arial"/>
          <w:iCs/>
          <w:sz w:val="24"/>
          <w:szCs w:val="24"/>
        </w:rPr>
        <w:t xml:space="preserve"> </w:t>
      </w:r>
    </w:p>
    <w:p w14:paraId="5DDB6813" w14:textId="77777777" w:rsidR="008D3383" w:rsidRDefault="008D3383" w:rsidP="008D3383">
      <w:pPr>
        <w:pStyle w:val="ListParagraph"/>
        <w:ind w:left="360"/>
        <w:rPr>
          <w:rFonts w:ascii="Arial" w:hAnsi="Arial" w:cs="Arial"/>
          <w:iCs/>
          <w:sz w:val="24"/>
          <w:szCs w:val="24"/>
        </w:rPr>
      </w:pPr>
    </w:p>
    <w:p w14:paraId="46D3B7F7" w14:textId="219ADB09" w:rsidR="00AC3B70" w:rsidRDefault="008D3383" w:rsidP="00EB04BB">
      <w:pPr>
        <w:pStyle w:val="ListParagraph"/>
        <w:ind w:left="360"/>
        <w:rPr>
          <w:rFonts w:ascii="Arial" w:hAnsi="Arial" w:cs="Arial"/>
          <w:iCs/>
          <w:sz w:val="24"/>
          <w:szCs w:val="24"/>
        </w:rPr>
      </w:pPr>
      <w:r w:rsidRPr="00AF7A62">
        <w:rPr>
          <w:rFonts w:ascii="Arial" w:hAnsi="Arial" w:cs="Arial"/>
          <w:iCs/>
          <w:sz w:val="24"/>
          <w:szCs w:val="24"/>
        </w:rPr>
        <w:t>A less restrictive approach (namely, making the offences not strict liability) would still enable enforcement, but would not be as effective a deterrent </w:t>
      </w:r>
      <w:r w:rsidR="00F57C36">
        <w:rPr>
          <w:rFonts w:ascii="Arial" w:hAnsi="Arial" w:cs="Arial"/>
          <w:iCs/>
          <w:sz w:val="24"/>
          <w:szCs w:val="24"/>
        </w:rPr>
        <w:t>as</w:t>
      </w:r>
      <w:r w:rsidRPr="00AF7A62">
        <w:rPr>
          <w:rFonts w:ascii="Arial" w:hAnsi="Arial" w:cs="Arial"/>
          <w:iCs/>
          <w:sz w:val="24"/>
          <w:szCs w:val="24"/>
        </w:rPr>
        <w:t xml:space="preserve"> strict liability offences, and the effect the prohibited conduct would have on the enforceability of the </w:t>
      </w:r>
      <w:r>
        <w:rPr>
          <w:rFonts w:ascii="Arial" w:hAnsi="Arial" w:cs="Arial"/>
          <w:iCs/>
          <w:sz w:val="24"/>
          <w:szCs w:val="24"/>
        </w:rPr>
        <w:t>account-based gaming framework</w:t>
      </w:r>
      <w:r w:rsidRPr="00AF7A62">
        <w:rPr>
          <w:rFonts w:ascii="Arial" w:hAnsi="Arial" w:cs="Arial"/>
          <w:iCs/>
          <w:sz w:val="24"/>
          <w:szCs w:val="24"/>
        </w:rPr>
        <w:t>.</w:t>
      </w:r>
      <w:r>
        <w:rPr>
          <w:rFonts w:ascii="Arial" w:hAnsi="Arial" w:cs="Arial"/>
          <w:iCs/>
          <w:sz w:val="24"/>
          <w:szCs w:val="24"/>
        </w:rPr>
        <w:t xml:space="preserve"> </w:t>
      </w:r>
      <w:r w:rsidRPr="00AF7A62">
        <w:rPr>
          <w:rFonts w:ascii="Arial" w:hAnsi="Arial" w:cs="Arial"/>
          <w:iCs/>
          <w:sz w:val="24"/>
          <w:szCs w:val="24"/>
        </w:rPr>
        <w:t>A less restrictive approach would compromise the </w:t>
      </w:r>
      <w:r>
        <w:rPr>
          <w:rFonts w:ascii="Arial" w:hAnsi="Arial" w:cs="Arial"/>
          <w:iCs/>
          <w:sz w:val="24"/>
          <w:szCs w:val="24"/>
        </w:rPr>
        <w:t xml:space="preserve">ability to protect the community </w:t>
      </w:r>
      <w:r w:rsidR="00F57C36">
        <w:rPr>
          <w:rFonts w:ascii="Arial" w:hAnsi="Arial" w:cs="Arial"/>
          <w:iCs/>
          <w:sz w:val="24"/>
          <w:szCs w:val="24"/>
        </w:rPr>
        <w:t xml:space="preserve">efficiently and quickly </w:t>
      </w:r>
      <w:r>
        <w:rPr>
          <w:rFonts w:ascii="Arial" w:hAnsi="Arial" w:cs="Arial"/>
          <w:iCs/>
          <w:sz w:val="24"/>
          <w:szCs w:val="24"/>
        </w:rPr>
        <w:t xml:space="preserve">from gambling harms arising from gaming machines. </w:t>
      </w:r>
    </w:p>
    <w:p w14:paraId="3E840850" w14:textId="77777777" w:rsidR="00EB04BB" w:rsidRDefault="00EB04BB" w:rsidP="00AC3B70">
      <w:pPr>
        <w:pStyle w:val="ListParagraph"/>
        <w:ind w:left="360"/>
      </w:pPr>
    </w:p>
    <w:p w14:paraId="25349736" w14:textId="2021F3B9" w:rsidR="00AC3B70" w:rsidRDefault="002517FA" w:rsidP="00A86EF6">
      <w:pPr>
        <w:pStyle w:val="ListParagraph"/>
        <w:ind w:left="360"/>
        <w:rPr>
          <w:rFonts w:ascii="Arial" w:hAnsi="Arial" w:cs="Arial"/>
          <w:iCs/>
          <w:sz w:val="24"/>
          <w:szCs w:val="24"/>
        </w:rPr>
      </w:pPr>
      <w:r>
        <w:rPr>
          <w:rFonts w:ascii="Arial" w:hAnsi="Arial" w:cs="Arial"/>
          <w:iCs/>
          <w:sz w:val="24"/>
          <w:szCs w:val="24"/>
        </w:rPr>
        <w:t xml:space="preserve">Four </w:t>
      </w:r>
      <w:r w:rsidR="00EB04BB">
        <w:rPr>
          <w:rFonts w:ascii="Arial" w:hAnsi="Arial" w:cs="Arial"/>
          <w:iCs/>
          <w:sz w:val="24"/>
          <w:szCs w:val="24"/>
        </w:rPr>
        <w:t>offences in the Bill provide exceptions that operate as a defence. As an orthodox legal principle</w:t>
      </w:r>
      <w:r w:rsidR="008D2EEE">
        <w:rPr>
          <w:rFonts w:ascii="Arial" w:hAnsi="Arial" w:cs="Arial"/>
          <w:iCs/>
          <w:sz w:val="24"/>
          <w:szCs w:val="24"/>
        </w:rPr>
        <w:t>,</w:t>
      </w:r>
      <w:r w:rsidR="00EB04BB">
        <w:rPr>
          <w:rFonts w:ascii="Arial" w:hAnsi="Arial" w:cs="Arial"/>
          <w:iCs/>
          <w:sz w:val="24"/>
          <w:szCs w:val="24"/>
        </w:rPr>
        <w:t xml:space="preserve"> an accused person has an evidential burden of proof when seeking to rely on a defence to a standard of ‘reasonable possibility’. This is the case because to do otherwise would require the prosecution to disprove all possible defences, even if the defence is irrelevant or fanciful.</w:t>
      </w:r>
      <w:r w:rsidR="00EB04BB" w:rsidRPr="00FB17D9">
        <w:rPr>
          <w:rFonts w:ascii="Arial" w:hAnsi="Arial" w:cs="Arial"/>
          <w:iCs/>
          <w:sz w:val="24"/>
          <w:szCs w:val="24"/>
        </w:rPr>
        <w:t xml:space="preserve"> </w:t>
      </w:r>
    </w:p>
    <w:p w14:paraId="0F9E48EB" w14:textId="77777777" w:rsidR="008F0BFD" w:rsidRPr="00AC3B70" w:rsidRDefault="008F0BFD" w:rsidP="00AC3B70">
      <w:pPr>
        <w:pStyle w:val="ListParagraph"/>
        <w:ind w:left="360"/>
      </w:pPr>
    </w:p>
    <w:p w14:paraId="6A28C10C" w14:textId="705B99A4" w:rsidR="0055440E" w:rsidRDefault="0055440E" w:rsidP="00C5273C">
      <w:pPr>
        <w:ind w:left="360"/>
        <w:rPr>
          <w:rFonts w:ascii="Arial" w:hAnsi="Arial" w:cs="Arial"/>
          <w:iCs/>
          <w:sz w:val="24"/>
          <w:szCs w:val="24"/>
        </w:rPr>
      </w:pPr>
      <w:r>
        <w:rPr>
          <w:rFonts w:ascii="Arial" w:hAnsi="Arial" w:cs="Arial"/>
          <w:iCs/>
          <w:sz w:val="24"/>
          <w:szCs w:val="24"/>
        </w:rPr>
        <w:t xml:space="preserve">Where the Bill provides exceptions to offences which supply a defence, </w:t>
      </w:r>
      <w:r w:rsidRPr="00FB17D9">
        <w:rPr>
          <w:rFonts w:ascii="Arial" w:hAnsi="Arial" w:cs="Arial"/>
          <w:iCs/>
          <w:sz w:val="24"/>
          <w:szCs w:val="24"/>
        </w:rPr>
        <w:t xml:space="preserve">the accused person is uniquely or better placed </w:t>
      </w:r>
      <w:r>
        <w:rPr>
          <w:rFonts w:ascii="Arial" w:hAnsi="Arial" w:cs="Arial"/>
          <w:iCs/>
          <w:sz w:val="24"/>
          <w:szCs w:val="24"/>
        </w:rPr>
        <w:t xml:space="preserve">to </w:t>
      </w:r>
      <w:r w:rsidRPr="00FB17D9">
        <w:rPr>
          <w:rFonts w:ascii="Arial" w:hAnsi="Arial" w:cs="Arial"/>
          <w:iCs/>
          <w:sz w:val="24"/>
          <w:szCs w:val="24"/>
        </w:rPr>
        <w:t xml:space="preserve">produce evidence </w:t>
      </w:r>
      <w:r>
        <w:rPr>
          <w:rFonts w:ascii="Arial" w:hAnsi="Arial" w:cs="Arial"/>
          <w:iCs/>
          <w:sz w:val="24"/>
          <w:szCs w:val="24"/>
        </w:rPr>
        <w:t>to explain why they should be excused.</w:t>
      </w:r>
      <w:r w:rsidRPr="00FB17D9" w:rsidDel="00703133">
        <w:rPr>
          <w:rFonts w:ascii="Arial" w:hAnsi="Arial" w:cs="Arial"/>
          <w:iCs/>
          <w:sz w:val="24"/>
          <w:szCs w:val="24"/>
        </w:rPr>
        <w:t xml:space="preserve"> </w:t>
      </w:r>
    </w:p>
    <w:p w14:paraId="629F3B1F" w14:textId="403ADA85" w:rsidR="009F1245" w:rsidRDefault="0055440E" w:rsidP="009F1245">
      <w:pPr>
        <w:ind w:left="360"/>
        <w:rPr>
          <w:rFonts w:ascii="Arial" w:hAnsi="Arial" w:cs="Arial"/>
          <w:iCs/>
          <w:sz w:val="24"/>
          <w:szCs w:val="24"/>
        </w:rPr>
      </w:pPr>
      <w:r>
        <w:rPr>
          <w:rFonts w:ascii="Arial" w:hAnsi="Arial" w:cs="Arial"/>
          <w:iCs/>
          <w:sz w:val="24"/>
          <w:szCs w:val="24"/>
        </w:rPr>
        <w:t>Moreover, placing the evidential burden on the accused seeking to rely on the defence reinforces the regulatory expectation that gaming machine licensee</w:t>
      </w:r>
      <w:r w:rsidR="00AB081B">
        <w:rPr>
          <w:rFonts w:ascii="Arial" w:hAnsi="Arial" w:cs="Arial"/>
          <w:iCs/>
          <w:sz w:val="24"/>
          <w:szCs w:val="24"/>
        </w:rPr>
        <w:t xml:space="preserve">s have </w:t>
      </w:r>
      <w:r>
        <w:rPr>
          <w:rFonts w:ascii="Arial" w:hAnsi="Arial" w:cs="Arial"/>
          <w:iCs/>
          <w:sz w:val="24"/>
          <w:szCs w:val="24"/>
        </w:rPr>
        <w:t xml:space="preserve">in place systems to ensure that gaming machines are indeed connected to the necessary systems and functioning as intended and approved by the commission. </w:t>
      </w:r>
    </w:p>
    <w:p w14:paraId="3566E4A1" w14:textId="77777777" w:rsidR="00DE4772" w:rsidRDefault="00DE4772" w:rsidP="009F1245">
      <w:pPr>
        <w:ind w:left="360"/>
        <w:rPr>
          <w:rFonts w:ascii="Arial" w:hAnsi="Arial" w:cs="Arial"/>
          <w:iCs/>
          <w:sz w:val="24"/>
          <w:szCs w:val="24"/>
        </w:rPr>
      </w:pPr>
    </w:p>
    <w:p w14:paraId="70FB69A3" w14:textId="0D96424F" w:rsidR="00DE4772" w:rsidRDefault="00DE4772">
      <w:pPr>
        <w:spacing w:after="160" w:line="259" w:lineRule="auto"/>
        <w:rPr>
          <w:rFonts w:ascii="Arial" w:hAnsi="Arial" w:cs="Arial"/>
          <w:iCs/>
          <w:sz w:val="24"/>
          <w:szCs w:val="24"/>
        </w:rPr>
      </w:pPr>
      <w:r>
        <w:rPr>
          <w:rFonts w:ascii="Arial" w:hAnsi="Arial" w:cs="Arial"/>
          <w:iCs/>
          <w:sz w:val="24"/>
          <w:szCs w:val="24"/>
        </w:rPr>
        <w:lastRenderedPageBreak/>
        <w:br w:type="page"/>
      </w:r>
    </w:p>
    <w:p w14:paraId="587A799C" w14:textId="77777777" w:rsidR="00DE4772" w:rsidRDefault="00DE4772" w:rsidP="009F1245">
      <w:pPr>
        <w:ind w:left="360"/>
        <w:rPr>
          <w:rFonts w:ascii="Arial" w:hAnsi="Arial" w:cs="Arial"/>
          <w:iCs/>
          <w:sz w:val="24"/>
          <w:szCs w:val="24"/>
        </w:rPr>
      </w:pPr>
    </w:p>
    <w:p w14:paraId="66BEC609" w14:textId="23CD5072" w:rsidR="00E90DF9" w:rsidRPr="00943C7F" w:rsidRDefault="00DA67C7" w:rsidP="00E90DF9">
      <w:pPr>
        <w:pStyle w:val="Heading2"/>
        <w:ind w:left="-108"/>
        <w:jc w:val="center"/>
        <w:rPr>
          <w:rFonts w:asciiTheme="minorHAnsi" w:hAnsiTheme="minorHAnsi" w:cs="Arial"/>
          <w:b w:val="0"/>
          <w:bCs/>
          <w:i/>
          <w:iCs/>
          <w:sz w:val="28"/>
          <w:szCs w:val="28"/>
        </w:rPr>
      </w:pPr>
      <w:r>
        <w:rPr>
          <w:rFonts w:asciiTheme="minorHAnsi" w:hAnsiTheme="minorHAnsi" w:cs="Arial"/>
          <w:b w:val="0"/>
          <w:sz w:val="28"/>
          <w:szCs w:val="28"/>
          <w:lang w:eastAsia="en-AU"/>
        </w:rPr>
        <w:t>Gaming Machine (Harm Prevention and Reduction) Amendment Bill 2026</w:t>
      </w:r>
    </w:p>
    <w:bookmarkEnd w:id="0"/>
    <w:p w14:paraId="3FC035F1" w14:textId="77777777" w:rsidR="00E90DF9" w:rsidRPr="003E5EE6" w:rsidRDefault="00E90DF9" w:rsidP="00E90DF9">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4BE2285B" w14:textId="77777777" w:rsidR="00E90DF9" w:rsidRDefault="00E90DF9" w:rsidP="00E90DF9"/>
    <w:p w14:paraId="3E3301AD" w14:textId="77777777" w:rsidR="00E90DF9" w:rsidRPr="00D77995" w:rsidRDefault="00E90DF9" w:rsidP="00E90DF9"/>
    <w:p w14:paraId="45D422CA" w14:textId="148208FE" w:rsidR="00E90DF9" w:rsidRDefault="00E90DF9" w:rsidP="00E90DF9">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DA67C7">
        <w:rPr>
          <w:rFonts w:asciiTheme="minorHAnsi" w:hAnsiTheme="minorHAnsi"/>
          <w:b/>
        </w:rPr>
        <w:t>Gaming Machine (Harm Prevention and Reduction) Amendment Bill 2026</w:t>
      </w:r>
      <w:r w:rsidRPr="00521950">
        <w:rPr>
          <w:rFonts w:asciiTheme="minorHAnsi" w:hAnsiTheme="minorHAnsi"/>
        </w:rPr>
        <w:t>.  In my opinion,</w:t>
      </w:r>
      <w:r>
        <w:rPr>
          <w:rFonts w:asciiTheme="minorHAnsi" w:hAnsiTheme="minorHAnsi"/>
        </w:rPr>
        <w:t xml:space="preserve"> having regard to the Bill and the outline of the policy considerations and justification of any limitations on rights outlined in this explanatory statement, </w:t>
      </w:r>
      <w:r w:rsidRPr="00521950">
        <w:rPr>
          <w:rFonts w:asciiTheme="minorHAnsi" w:hAnsiTheme="minorHAnsi"/>
        </w:rPr>
        <w:t>the Bill</w:t>
      </w:r>
      <w:r w:rsidRPr="005162FA">
        <w:rPr>
          <w:rFonts w:asciiTheme="minorHAnsi" w:hAnsiTheme="minorHAnsi"/>
        </w:rPr>
        <w:t xml:space="preserve"> </w:t>
      </w:r>
      <w:r w:rsidRPr="00521950">
        <w:rPr>
          <w:rFonts w:asciiTheme="minorHAnsi" w:hAnsiTheme="minorHAnsi"/>
        </w:rPr>
        <w:t xml:space="preserve">as presented </w:t>
      </w:r>
      <w:r>
        <w:rPr>
          <w:rFonts w:asciiTheme="minorHAnsi" w:hAnsiTheme="minorHAnsi"/>
        </w:rPr>
        <w:t xml:space="preserve">to the Legislative </w:t>
      </w:r>
      <w:r w:rsidRPr="00AF279A">
        <w:rPr>
          <w:rFonts w:asciiTheme="minorHAnsi" w:hAnsiTheme="minorHAnsi"/>
        </w:rPr>
        <w:t>Assembly</w:t>
      </w:r>
      <w:r w:rsidRPr="005A6736">
        <w:rPr>
          <w:rFonts w:asciiTheme="minorHAnsi" w:hAnsiTheme="minorHAnsi"/>
          <w:b/>
        </w:rPr>
        <w:t xml:space="preserve"> is </w:t>
      </w:r>
      <w:r w:rsidRPr="00AF279A">
        <w:rPr>
          <w:rFonts w:asciiTheme="minorHAnsi" w:hAnsiTheme="minorHAnsi"/>
        </w:rPr>
        <w:t>consistent</w:t>
      </w:r>
      <w:r w:rsidRPr="00521950">
        <w:rPr>
          <w:rFonts w:asciiTheme="minorHAnsi" w:hAnsiTheme="minorHAnsi"/>
        </w:rPr>
        <w:t xml:space="preserve"> with the </w:t>
      </w:r>
      <w:r w:rsidRPr="00521950">
        <w:rPr>
          <w:rFonts w:asciiTheme="minorHAnsi" w:hAnsiTheme="minorHAnsi"/>
          <w:i/>
          <w:iCs/>
        </w:rPr>
        <w:t>Human Rights Act 2004</w:t>
      </w:r>
      <w:r>
        <w:rPr>
          <w:rFonts w:asciiTheme="minorHAnsi" w:hAnsiTheme="minorHAnsi"/>
          <w:i/>
          <w:iCs/>
        </w:rPr>
        <w:t>.</w:t>
      </w:r>
    </w:p>
    <w:p w14:paraId="76476A29" w14:textId="77777777" w:rsidR="00E90DF9" w:rsidRDefault="00E90DF9" w:rsidP="00E90DF9">
      <w:pPr>
        <w:rPr>
          <w:rFonts w:asciiTheme="minorHAnsi" w:hAnsiTheme="minorHAnsi" w:cstheme="minorHAnsi"/>
        </w:rPr>
      </w:pPr>
    </w:p>
    <w:p w14:paraId="2CC08B60" w14:textId="77777777" w:rsidR="00E90DF9" w:rsidRDefault="00E90DF9" w:rsidP="00E90DF9">
      <w:pPr>
        <w:rPr>
          <w:rFonts w:asciiTheme="minorHAnsi" w:hAnsiTheme="minorHAnsi" w:cstheme="minorHAnsi"/>
        </w:rPr>
      </w:pPr>
    </w:p>
    <w:p w14:paraId="71AFABAD" w14:textId="77777777" w:rsidR="00E90DF9" w:rsidRDefault="00E90DF9" w:rsidP="00E90DF9">
      <w:pPr>
        <w:rPr>
          <w:rFonts w:asciiTheme="minorHAnsi" w:hAnsiTheme="minorHAnsi" w:cstheme="minorHAnsi"/>
        </w:rPr>
      </w:pPr>
      <w:r>
        <w:rPr>
          <w:rFonts w:asciiTheme="minorHAnsi" w:hAnsiTheme="minorHAnsi" w:cstheme="minorHAnsi"/>
        </w:rPr>
        <w:t>………………………………………………….</w:t>
      </w:r>
    </w:p>
    <w:p w14:paraId="7B5A08D3" w14:textId="3B96021E" w:rsidR="00E90DF9" w:rsidRDefault="00376695" w:rsidP="00E90DF9">
      <w:pPr>
        <w:rPr>
          <w:rFonts w:asciiTheme="minorHAnsi" w:hAnsiTheme="minorHAnsi" w:cstheme="minorHAnsi"/>
        </w:rPr>
      </w:pPr>
      <w:r>
        <w:rPr>
          <w:rFonts w:asciiTheme="minorHAnsi" w:hAnsiTheme="minorHAnsi" w:cstheme="minorHAnsi"/>
        </w:rPr>
        <w:t>Tara Cheyne</w:t>
      </w:r>
      <w:r w:rsidR="00E90DF9">
        <w:rPr>
          <w:rFonts w:asciiTheme="minorHAnsi" w:hAnsiTheme="minorHAnsi" w:cstheme="minorHAnsi"/>
        </w:rPr>
        <w:t xml:space="preserve"> MLA</w:t>
      </w:r>
      <w:r w:rsidR="00E90DF9">
        <w:rPr>
          <w:rFonts w:asciiTheme="minorHAnsi" w:hAnsiTheme="minorHAnsi" w:cstheme="minorHAnsi"/>
        </w:rPr>
        <w:br/>
        <w:t>Attorney-General</w:t>
      </w:r>
    </w:p>
    <w:p w14:paraId="481185F5" w14:textId="77777777" w:rsidR="00E90DF9" w:rsidRPr="006D52AC" w:rsidRDefault="00E90DF9" w:rsidP="00E90DF9">
      <w:pPr>
        <w:spacing w:before="200"/>
        <w:rPr>
          <w:rFonts w:ascii="Arial" w:hAnsi="Arial" w:cs="Arial"/>
          <w:sz w:val="24"/>
          <w:szCs w:val="24"/>
        </w:rPr>
      </w:pPr>
    </w:p>
    <w:p w14:paraId="634CD2DB" w14:textId="77777777" w:rsidR="00E90DF9" w:rsidRDefault="00E90DF9" w:rsidP="00E90DF9">
      <w:pPr>
        <w:pStyle w:val="Heading2"/>
        <w:pageBreakBefore/>
        <w:spacing w:before="240" w:after="240"/>
      </w:pPr>
      <w:r w:rsidRPr="008C225D">
        <w:lastRenderedPageBreak/>
        <w:t>CLAUSE NOTES</w:t>
      </w:r>
    </w:p>
    <w:p w14:paraId="15420702" w14:textId="77777777" w:rsidR="00E90DF9" w:rsidRPr="00E76504" w:rsidRDefault="00E90DF9" w:rsidP="00E90DF9"/>
    <w:p w14:paraId="21139D56" w14:textId="77777777" w:rsidR="00E90DF9" w:rsidRDefault="00E90DF9" w:rsidP="00E90DF9">
      <w:pPr>
        <w:pStyle w:val="Heading3"/>
      </w:pPr>
      <w:r w:rsidRPr="00ED3B77">
        <w:t>Clause 1</w:t>
      </w:r>
      <w:r w:rsidRPr="00ED3B77">
        <w:tab/>
        <w:t>Name of Act</w:t>
      </w:r>
    </w:p>
    <w:p w14:paraId="5FCD3C10" w14:textId="0A85B0CB" w:rsidR="00BD14F8" w:rsidRPr="00BD14F8" w:rsidRDefault="00BD14F8" w:rsidP="00BD14F8">
      <w:r>
        <w:t xml:space="preserve">This clause names the short title of this Act as the </w:t>
      </w:r>
      <w:r w:rsidRPr="009124E6">
        <w:rPr>
          <w:i/>
          <w:iCs/>
        </w:rPr>
        <w:t>Gaming Machine (Harm Prevention and Reduction) Amendment Act 2026</w:t>
      </w:r>
      <w:r>
        <w:t>.</w:t>
      </w:r>
    </w:p>
    <w:p w14:paraId="0887BC45" w14:textId="77777777" w:rsidR="00E90DF9" w:rsidRDefault="00E90DF9" w:rsidP="00E90DF9">
      <w:pPr>
        <w:pStyle w:val="Heading3"/>
      </w:pPr>
      <w:r w:rsidRPr="00ED3B77">
        <w:t>Clause 2</w:t>
      </w:r>
      <w:r w:rsidRPr="00ED3B77">
        <w:tab/>
        <w:t>Commencement</w:t>
      </w:r>
    </w:p>
    <w:p w14:paraId="28013B35" w14:textId="4C7B43B0" w:rsidR="00BD14F8" w:rsidRDefault="002A5AEE" w:rsidP="00BD14F8">
      <w:r>
        <w:t>This clause provides that the following provision</w:t>
      </w:r>
      <w:r w:rsidR="00DE4772">
        <w:t>s</w:t>
      </w:r>
      <w:r>
        <w:t xml:space="preserve"> commence on the day after th</w:t>
      </w:r>
      <w:r w:rsidR="009D1DBA">
        <w:t>e</w:t>
      </w:r>
      <w:r>
        <w:t xml:space="preserve"> Act’s notification day: sections 3, 4-10, 13-14, 37, 39-41, 43, 45, 49, 51, 54, 56-57, 59, 66 and schedule 1, amendments [1.1] – [1.4].</w:t>
      </w:r>
    </w:p>
    <w:p w14:paraId="354274FC" w14:textId="7DB7A1BF" w:rsidR="002A5AEE" w:rsidRDefault="001D7F2A" w:rsidP="00BD14F8">
      <w:r>
        <w:t>Sections 30, 32, 42 and 64 will commence 12 months after th</w:t>
      </w:r>
      <w:r w:rsidR="009D1DBA">
        <w:t>e</w:t>
      </w:r>
      <w:r>
        <w:t xml:space="preserve"> Act’s notification day. </w:t>
      </w:r>
    </w:p>
    <w:p w14:paraId="662EAF22" w14:textId="43CA17B5" w:rsidR="001D7F2A" w:rsidRDefault="001D7F2A" w:rsidP="00BD14F8">
      <w:r>
        <w:t xml:space="preserve">The remaining provisions of this Act commences by written Ministerial notice. </w:t>
      </w:r>
    </w:p>
    <w:p w14:paraId="71B0FC41" w14:textId="0BF20985" w:rsidR="001D7F2A" w:rsidRPr="00BD14F8" w:rsidRDefault="001D7F2A" w:rsidP="00BD14F8">
      <w:r>
        <w:t>If a Ministerial notice has not been made within 18 months of th</w:t>
      </w:r>
      <w:r w:rsidR="009D1DBA">
        <w:t>e</w:t>
      </w:r>
      <w:r>
        <w:t xml:space="preserve"> Act being notified on the ACT Legislation Register, the remaining provisions not mentioned above will automatically commence on the first day after that period. </w:t>
      </w:r>
    </w:p>
    <w:p w14:paraId="5A4E563E" w14:textId="77777777" w:rsidR="00E90DF9" w:rsidRPr="00ED3B77" w:rsidRDefault="00E90DF9" w:rsidP="00E90DF9">
      <w:pPr>
        <w:pStyle w:val="Heading3"/>
      </w:pPr>
      <w:r w:rsidRPr="00ED3B77">
        <w:t>Clause 3</w:t>
      </w:r>
      <w:r w:rsidRPr="00ED3B77">
        <w:tab/>
        <w:t>Legislation amended</w:t>
      </w:r>
    </w:p>
    <w:p w14:paraId="1D2F2C5D" w14:textId="6F93879C" w:rsidR="00B10812" w:rsidRDefault="00045DCC">
      <w:pPr>
        <w:rPr>
          <w:rFonts w:cs="Calibri"/>
          <w:iCs/>
          <w:color w:val="000000" w:themeColor="text1"/>
        </w:rPr>
      </w:pPr>
      <w:r w:rsidRPr="00045DCC">
        <w:rPr>
          <w:rFonts w:cs="Calibri"/>
          <w:iCs/>
          <w:color w:val="000000" w:themeColor="text1"/>
        </w:rPr>
        <w:t>This clause lists the legislation amended by th</w:t>
      </w:r>
      <w:r w:rsidR="009D1DBA">
        <w:rPr>
          <w:rFonts w:cs="Calibri"/>
          <w:iCs/>
          <w:color w:val="000000" w:themeColor="text1"/>
        </w:rPr>
        <w:t>e</w:t>
      </w:r>
      <w:r w:rsidRPr="00045DCC">
        <w:rPr>
          <w:rFonts w:cs="Calibri"/>
          <w:iCs/>
          <w:color w:val="000000" w:themeColor="text1"/>
        </w:rPr>
        <w:t xml:space="preserve"> Act, which are:</w:t>
      </w:r>
    </w:p>
    <w:p w14:paraId="32BA19A7" w14:textId="1175E7DF" w:rsidR="00F802A7" w:rsidRPr="00F802A7" w:rsidRDefault="00F802A7" w:rsidP="00F802A7">
      <w:pPr>
        <w:pStyle w:val="ListParagraph"/>
        <w:numPr>
          <w:ilvl w:val="0"/>
          <w:numId w:val="17"/>
        </w:numPr>
        <w:rPr>
          <w:i/>
          <w:color w:val="000000" w:themeColor="text1"/>
        </w:rPr>
      </w:pPr>
      <w:r w:rsidRPr="00F802A7">
        <w:rPr>
          <w:i/>
          <w:color w:val="000000" w:themeColor="text1"/>
        </w:rPr>
        <w:t>Gaming Machine Act 2004</w:t>
      </w:r>
    </w:p>
    <w:p w14:paraId="6D1E75D4" w14:textId="13CA7CC0" w:rsidR="00F802A7" w:rsidRPr="00F802A7" w:rsidRDefault="00F802A7" w:rsidP="00F802A7">
      <w:pPr>
        <w:pStyle w:val="ListParagraph"/>
        <w:numPr>
          <w:ilvl w:val="0"/>
          <w:numId w:val="17"/>
        </w:numPr>
        <w:rPr>
          <w:i/>
          <w:color w:val="000000" w:themeColor="text1"/>
        </w:rPr>
      </w:pPr>
      <w:r w:rsidRPr="00F802A7">
        <w:rPr>
          <w:i/>
          <w:color w:val="000000" w:themeColor="text1"/>
        </w:rPr>
        <w:t>Gaming Machine Regulation 2004</w:t>
      </w:r>
    </w:p>
    <w:p w14:paraId="2F64140F" w14:textId="7C7D8CBD" w:rsidR="00F802A7" w:rsidRPr="00F802A7" w:rsidRDefault="00F802A7" w:rsidP="00F802A7">
      <w:pPr>
        <w:pStyle w:val="ListParagraph"/>
        <w:numPr>
          <w:ilvl w:val="0"/>
          <w:numId w:val="17"/>
        </w:numPr>
        <w:rPr>
          <w:i/>
          <w:color w:val="000000" w:themeColor="text1"/>
        </w:rPr>
      </w:pPr>
      <w:r w:rsidRPr="00F802A7">
        <w:rPr>
          <w:i/>
          <w:color w:val="000000" w:themeColor="text1"/>
        </w:rPr>
        <w:t>Gambling and Racing Control Act 1999</w:t>
      </w:r>
    </w:p>
    <w:p w14:paraId="7D8DEE90" w14:textId="5DAA42E2" w:rsidR="00F802A7" w:rsidRPr="00F802A7" w:rsidRDefault="00F802A7" w:rsidP="00F802A7">
      <w:pPr>
        <w:pStyle w:val="ListParagraph"/>
        <w:numPr>
          <w:ilvl w:val="0"/>
          <w:numId w:val="17"/>
        </w:numPr>
        <w:rPr>
          <w:i/>
          <w:color w:val="000000" w:themeColor="text1"/>
        </w:rPr>
      </w:pPr>
      <w:r w:rsidRPr="00F802A7">
        <w:rPr>
          <w:i/>
          <w:color w:val="000000" w:themeColor="text1"/>
        </w:rPr>
        <w:t>Gambling and Racing Control (Code of Practice) Regulation 2002</w:t>
      </w:r>
    </w:p>
    <w:p w14:paraId="70934DB0" w14:textId="2BC6D49D" w:rsidR="00617CCA" w:rsidRPr="00617CCA" w:rsidRDefault="00F802A7" w:rsidP="00617CCA">
      <w:pPr>
        <w:pStyle w:val="ListParagraph"/>
        <w:numPr>
          <w:ilvl w:val="0"/>
          <w:numId w:val="17"/>
        </w:numPr>
        <w:rPr>
          <w:i/>
          <w:color w:val="000000" w:themeColor="text1"/>
        </w:rPr>
      </w:pPr>
      <w:r w:rsidRPr="00F802A7">
        <w:rPr>
          <w:i/>
          <w:color w:val="000000" w:themeColor="text1"/>
        </w:rPr>
        <w:t>Unclaimed Money Act 1950</w:t>
      </w:r>
    </w:p>
    <w:p w14:paraId="5C6EC780" w14:textId="77777777" w:rsidR="0048293E" w:rsidRDefault="0048293E" w:rsidP="008552E8">
      <w:pPr>
        <w:rPr>
          <w:rFonts w:ascii="Arial" w:hAnsi="Arial" w:cs="Arial"/>
          <w:b/>
          <w:bCs/>
          <w:sz w:val="24"/>
          <w:szCs w:val="24"/>
        </w:rPr>
      </w:pPr>
    </w:p>
    <w:p w14:paraId="4FFB4C3A" w14:textId="655A835F" w:rsidR="008552E8" w:rsidRPr="00294668" w:rsidRDefault="00294668" w:rsidP="008552E8">
      <w:pPr>
        <w:rPr>
          <w:rFonts w:ascii="Arial" w:hAnsi="Arial" w:cs="Arial"/>
          <w:b/>
          <w:bCs/>
          <w:sz w:val="24"/>
          <w:szCs w:val="24"/>
        </w:rPr>
      </w:pPr>
      <w:r w:rsidRPr="00294668">
        <w:rPr>
          <w:rFonts w:ascii="Arial" w:hAnsi="Arial" w:cs="Arial"/>
          <w:b/>
          <w:bCs/>
          <w:sz w:val="24"/>
          <w:szCs w:val="24"/>
        </w:rPr>
        <w:t>Part 2</w:t>
      </w:r>
      <w:r>
        <w:rPr>
          <w:rFonts w:ascii="Arial" w:hAnsi="Arial" w:cs="Arial"/>
          <w:b/>
          <w:bCs/>
          <w:sz w:val="24"/>
          <w:szCs w:val="24"/>
        </w:rPr>
        <w:tab/>
      </w:r>
      <w:r>
        <w:rPr>
          <w:rFonts w:ascii="Arial" w:hAnsi="Arial" w:cs="Arial"/>
          <w:b/>
          <w:bCs/>
          <w:sz w:val="24"/>
          <w:szCs w:val="24"/>
        </w:rPr>
        <w:tab/>
      </w:r>
      <w:r w:rsidRPr="00294668">
        <w:rPr>
          <w:rFonts w:ascii="Arial" w:hAnsi="Arial" w:cs="Arial"/>
          <w:b/>
          <w:bCs/>
          <w:sz w:val="24"/>
          <w:szCs w:val="24"/>
        </w:rPr>
        <w:t>Gaming Machine Act 2004</w:t>
      </w:r>
    </w:p>
    <w:p w14:paraId="2F023A3C" w14:textId="77777777" w:rsidR="0048293E" w:rsidRDefault="0048293E" w:rsidP="0048293E">
      <w:pPr>
        <w:pStyle w:val="Heading3"/>
      </w:pPr>
      <w:r w:rsidRPr="00ED3B77">
        <w:t xml:space="preserve">Clause </w:t>
      </w:r>
      <w:r>
        <w:t>4</w:t>
      </w:r>
      <w:r w:rsidRPr="00ED3B77">
        <w:tab/>
      </w:r>
      <w:r w:rsidRPr="00E574B0">
        <w:t>Part 2A and division 2A.2 headings</w:t>
      </w:r>
    </w:p>
    <w:p w14:paraId="0380EE49" w14:textId="77777777" w:rsidR="0048293E" w:rsidRPr="0048293E" w:rsidRDefault="0048293E" w:rsidP="0048293E">
      <w:pPr>
        <w:rPr>
          <w:rFonts w:asciiTheme="minorHAnsi" w:hAnsiTheme="minorHAnsi" w:cstheme="minorHAnsi"/>
        </w:rPr>
      </w:pPr>
      <w:r w:rsidRPr="0048293E">
        <w:rPr>
          <w:rFonts w:asciiTheme="minorHAnsi" w:hAnsiTheme="minorHAnsi" w:cstheme="minorHAnsi"/>
        </w:rPr>
        <w:t xml:space="preserve">This clause substitutes the Part2A and division 2A.2 headings to provide for the compulsory surrender scheme reducing the cap on authorisations to 1000 or fewer by 2045 and existing voluntary surrender agreements. </w:t>
      </w:r>
    </w:p>
    <w:p w14:paraId="04421BDF" w14:textId="77777777" w:rsidR="0048293E" w:rsidRDefault="0048293E" w:rsidP="0048293E">
      <w:pPr>
        <w:pStyle w:val="Heading3"/>
      </w:pPr>
      <w:r w:rsidRPr="00ED3B77">
        <w:t xml:space="preserve">Clause </w:t>
      </w:r>
      <w:r>
        <w:t>5</w:t>
      </w:r>
      <w:r w:rsidRPr="00ED3B77">
        <w:tab/>
      </w:r>
      <w:r w:rsidRPr="00E574B0">
        <w:t>Sections 10A to 10F</w:t>
      </w:r>
    </w:p>
    <w:p w14:paraId="7733FA13" w14:textId="77777777" w:rsidR="0048293E" w:rsidRPr="0048293E" w:rsidRDefault="0048293E" w:rsidP="0048293E">
      <w:pPr>
        <w:rPr>
          <w:rFonts w:cs="Calibri"/>
        </w:rPr>
      </w:pPr>
      <w:r w:rsidRPr="0048293E">
        <w:rPr>
          <w:rFonts w:cs="Calibri"/>
        </w:rPr>
        <w:t xml:space="preserve">This clause omits sections 10A to 10F from the Act, which relate to a previous voluntary surrender scheme.    </w:t>
      </w:r>
    </w:p>
    <w:p w14:paraId="200D905C" w14:textId="77777777" w:rsidR="0048293E" w:rsidRDefault="0048293E" w:rsidP="0048293E">
      <w:pPr>
        <w:pStyle w:val="Heading3"/>
      </w:pPr>
      <w:r w:rsidRPr="00ED3B77">
        <w:lastRenderedPageBreak/>
        <w:t xml:space="preserve">Clause </w:t>
      </w:r>
      <w:r>
        <w:t>6</w:t>
      </w:r>
      <w:r w:rsidRPr="00ED3B77">
        <w:tab/>
      </w:r>
      <w:r w:rsidRPr="00E574B0">
        <w:t>Offsets New section 10H (1) (aa)</w:t>
      </w:r>
    </w:p>
    <w:p w14:paraId="4367CACD" w14:textId="77777777" w:rsidR="0048293E" w:rsidRPr="0048293E" w:rsidRDefault="0048293E" w:rsidP="0048293E">
      <w:pPr>
        <w:rPr>
          <w:rFonts w:cs="Calibri"/>
        </w:rPr>
      </w:pPr>
      <w:r w:rsidRPr="0048293E">
        <w:rPr>
          <w:rFonts w:cs="Calibri"/>
        </w:rPr>
        <w:t xml:space="preserve">This clause inserts a new section 10H (1) (aa) which provides for offsets in relation to a voluntary surrender agreement entered into by a licensee with the Territory on or before 8 February 2019 under the repealed provision. </w:t>
      </w:r>
    </w:p>
    <w:p w14:paraId="7FDBE8D8" w14:textId="77777777" w:rsidR="0048293E" w:rsidRDefault="0048293E" w:rsidP="0048293E">
      <w:pPr>
        <w:pStyle w:val="Heading3"/>
      </w:pPr>
      <w:r w:rsidRPr="00ED3B77">
        <w:t xml:space="preserve">Clause </w:t>
      </w:r>
      <w:r>
        <w:t>7</w:t>
      </w:r>
      <w:r w:rsidRPr="00ED3B77">
        <w:tab/>
      </w:r>
      <w:r w:rsidRPr="00881100">
        <w:t>Section 10H (1) (b)</w:t>
      </w:r>
    </w:p>
    <w:p w14:paraId="3280A686" w14:textId="6229F46F" w:rsidR="0048293E" w:rsidRPr="0048293E" w:rsidRDefault="0048293E" w:rsidP="0048293E">
      <w:pPr>
        <w:rPr>
          <w:rFonts w:cs="Calibri"/>
        </w:rPr>
      </w:pPr>
      <w:r w:rsidRPr="0048293E">
        <w:rPr>
          <w:rFonts w:cs="Calibri"/>
        </w:rPr>
        <w:t>This clause omits ‘a voluntary’ and substitutes it with ‘the voluntary’</w:t>
      </w:r>
      <w:r w:rsidR="009D1DBA">
        <w:rPr>
          <w:rFonts w:cs="Calibri"/>
        </w:rPr>
        <w:t xml:space="preserve">. </w:t>
      </w:r>
    </w:p>
    <w:p w14:paraId="0C81267E" w14:textId="77777777" w:rsidR="0048293E" w:rsidRDefault="0048293E" w:rsidP="0048293E">
      <w:pPr>
        <w:pStyle w:val="Heading3"/>
      </w:pPr>
      <w:r w:rsidRPr="00ED3B77">
        <w:t xml:space="preserve">Clause </w:t>
      </w:r>
      <w:r>
        <w:t>8</w:t>
      </w:r>
      <w:r w:rsidRPr="00ED3B77">
        <w:tab/>
      </w:r>
      <w:r w:rsidRPr="00215E30">
        <w:t xml:space="preserve">Section 10H (4), new definition of </w:t>
      </w:r>
      <w:r w:rsidRPr="00215E30">
        <w:rPr>
          <w:i/>
          <w:iCs/>
        </w:rPr>
        <w:t>repealed provision</w:t>
      </w:r>
    </w:p>
    <w:p w14:paraId="51AE7202" w14:textId="77777777" w:rsidR="0048293E" w:rsidRPr="0048293E" w:rsidRDefault="0048293E" w:rsidP="0048293E">
      <w:pPr>
        <w:rPr>
          <w:rFonts w:cs="Calibri"/>
          <w:i/>
          <w:iCs/>
        </w:rPr>
      </w:pPr>
      <w:r w:rsidRPr="0048293E">
        <w:rPr>
          <w:rFonts w:cs="Calibri"/>
        </w:rPr>
        <w:t>This clause inserts a new definition of</w:t>
      </w:r>
      <w:r w:rsidRPr="0048293E">
        <w:rPr>
          <w:rFonts w:cs="Calibri"/>
          <w:i/>
          <w:iCs/>
        </w:rPr>
        <w:t xml:space="preserve"> ‘</w:t>
      </w:r>
      <w:r w:rsidRPr="0048293E">
        <w:rPr>
          <w:rFonts w:cs="Calibri"/>
        </w:rPr>
        <w:t xml:space="preserve">repealed provision’ which provides for section 10C as in force immediately before the day the </w:t>
      </w:r>
      <w:r w:rsidRPr="0048293E">
        <w:rPr>
          <w:rFonts w:cs="Calibri"/>
          <w:i/>
          <w:iCs/>
        </w:rPr>
        <w:t>Gaming Machine (Harm Prevention and Reduction) Amendment Act 2026</w:t>
      </w:r>
      <w:r w:rsidRPr="0048293E">
        <w:rPr>
          <w:rFonts w:cs="Calibri"/>
        </w:rPr>
        <w:t>, section 5 commences.</w:t>
      </w:r>
    </w:p>
    <w:p w14:paraId="2C58A672" w14:textId="77777777" w:rsidR="0048293E" w:rsidRDefault="0048293E" w:rsidP="0048293E">
      <w:pPr>
        <w:pStyle w:val="Heading3"/>
      </w:pPr>
      <w:r w:rsidRPr="00ED3B77">
        <w:t xml:space="preserve">Clause </w:t>
      </w:r>
      <w:r>
        <w:t>9</w:t>
      </w:r>
      <w:r w:rsidRPr="00ED3B77">
        <w:tab/>
      </w:r>
      <w:r w:rsidRPr="00215E30">
        <w:t>New division 2A.3</w:t>
      </w:r>
    </w:p>
    <w:p w14:paraId="03A3F85E" w14:textId="740D5998" w:rsidR="0048293E" w:rsidRPr="0048293E" w:rsidRDefault="0048293E" w:rsidP="0048293E">
      <w:pPr>
        <w:rPr>
          <w:rFonts w:cs="Calibri"/>
          <w:b/>
          <w:bCs/>
          <w:i/>
          <w:iCs/>
        </w:rPr>
      </w:pPr>
      <w:r w:rsidRPr="0048293E">
        <w:rPr>
          <w:rFonts w:cs="Calibri"/>
        </w:rPr>
        <w:t>This clause inserts a new division 2A.3 which sets out definitions of compulsory surrender in 10I, including</w:t>
      </w:r>
      <w:r>
        <w:rPr>
          <w:rFonts w:cs="Calibri"/>
        </w:rPr>
        <w:t xml:space="preserve"> </w:t>
      </w:r>
      <w:r w:rsidRPr="0048293E">
        <w:rPr>
          <w:rFonts w:cs="Calibri"/>
          <w:i/>
          <w:iCs/>
        </w:rPr>
        <w:t>authorisations target, cap on authorisations, final determination, final surrender obligation, provisional determination, provisional surrender obligation and reduction year.</w:t>
      </w:r>
    </w:p>
    <w:p w14:paraId="447BEA51" w14:textId="77777777" w:rsidR="0048293E" w:rsidRPr="0048293E" w:rsidRDefault="0048293E" w:rsidP="0048293E">
      <w:pPr>
        <w:rPr>
          <w:rFonts w:cs="Calibri"/>
        </w:rPr>
      </w:pPr>
      <w:r w:rsidRPr="0048293E">
        <w:rPr>
          <w:rFonts w:cs="Calibri"/>
        </w:rPr>
        <w:t>Table 10J provides the target cap on authorisations each reduction year with column 2 showing the authorisations target and column 3 showing the reduction year.</w:t>
      </w:r>
    </w:p>
    <w:p w14:paraId="60D8F9CB" w14:textId="77777777" w:rsidR="0048293E" w:rsidRPr="0048293E" w:rsidRDefault="0048293E" w:rsidP="0048293E">
      <w:pPr>
        <w:rPr>
          <w:rFonts w:cs="Calibri"/>
        </w:rPr>
      </w:pPr>
      <w:r w:rsidRPr="0048293E">
        <w:rPr>
          <w:rFonts w:cs="Calibri"/>
        </w:rPr>
        <w:t xml:space="preserve">Section 10K sets out the determination of provisional surrender obligations of all licensees which is made by the Minister in a reduction year, in accordance with the requirements provided in section 10K (1) – (5). </w:t>
      </w:r>
    </w:p>
    <w:p w14:paraId="7EF3CED0" w14:textId="77777777" w:rsidR="0048293E" w:rsidRPr="0048293E" w:rsidRDefault="0048293E" w:rsidP="0048293E">
      <w:pPr>
        <w:rPr>
          <w:rFonts w:cs="Calibri"/>
        </w:rPr>
      </w:pPr>
      <w:r w:rsidRPr="0048293E">
        <w:rPr>
          <w:rFonts w:cs="Calibri"/>
        </w:rPr>
        <w:t xml:space="preserve">Section 10L sets out the determination of final surrender obligations of all licensees which is made by the Minister in a reduction year, in accordance with the requirements provided in section 10L (1) – (5). </w:t>
      </w:r>
    </w:p>
    <w:p w14:paraId="6A51FB3E" w14:textId="77777777" w:rsidR="0048293E" w:rsidRPr="0048293E" w:rsidRDefault="0048293E" w:rsidP="0048293E">
      <w:pPr>
        <w:rPr>
          <w:rFonts w:cs="Calibri"/>
        </w:rPr>
      </w:pPr>
      <w:r w:rsidRPr="0048293E">
        <w:rPr>
          <w:rFonts w:cs="Calibri"/>
        </w:rPr>
        <w:t xml:space="preserve">Section 10M provides that the cap on authorisations must not exceed the authorisations target, in accordance with section 10M (1) – (4). Section 10M (4) sets out that sections 10O – 10Q do not apply in relation to a reduction year if the Minister revokes the final determination for the year. </w:t>
      </w:r>
    </w:p>
    <w:p w14:paraId="66207920" w14:textId="77777777" w:rsidR="0048293E" w:rsidRPr="0048293E" w:rsidRDefault="0048293E" w:rsidP="0048293E">
      <w:pPr>
        <w:rPr>
          <w:rFonts w:cs="Calibri"/>
        </w:rPr>
      </w:pPr>
      <w:r w:rsidRPr="0048293E">
        <w:rPr>
          <w:rFonts w:cs="Calibri"/>
        </w:rPr>
        <w:t xml:space="preserve">Section 10N sets out that the Minister must make guidelines about how the surrender obligations for licensees are to be worked out for a provisional determination and final determination and that a guideline is a disallowable instrument.   </w:t>
      </w:r>
    </w:p>
    <w:p w14:paraId="06D3A748" w14:textId="77777777" w:rsidR="0048293E" w:rsidRPr="0048293E" w:rsidRDefault="0048293E" w:rsidP="0048293E">
      <w:pPr>
        <w:rPr>
          <w:rFonts w:cs="Calibri"/>
        </w:rPr>
      </w:pPr>
      <w:r w:rsidRPr="0048293E">
        <w:rPr>
          <w:rFonts w:cs="Calibri"/>
        </w:rPr>
        <w:t xml:space="preserve">Section 10O sets out that a licensee must give notice to the Commission in the form of a written statement each reduction year about authorisations to be surrendered by the licensee to meet the licensee’s final surrender obligation for that year and that the statement must be given before 1 April in the reduction year. Section 10O (3) sets out information which must be included in the written statement. Section 10O (4) provides that if the licensee has not given the commission the statement under subsection (1) by 1 April in the reduction year, the commission must give the licensee written notice that— (a) not later than 3 days after the day the licensee receives the notice, the licensee must give the commission the statement; and (b) failure to comply with the notice may </w:t>
      </w:r>
      <w:r w:rsidRPr="0048293E">
        <w:rPr>
          <w:rFonts w:cs="Calibri"/>
        </w:rPr>
        <w:lastRenderedPageBreak/>
        <w:t xml:space="preserve">be a ground for disciplinary action under section 57. Section 10O (5) provides for if the number of authorisations identified in the statement is less than the number required to meet the licensee’s final surrender obligation, the Commission must give the licensee written notice and the timeframe the licensee must abide by to provide the Commission with a written statement and that failure to comply with the notice may be a ground for a disciplinary action under section 57. Section 10O (6) sets out actions the Commission may take if a licensee has not complied with subsection (4) or (5) by the required day. </w:t>
      </w:r>
    </w:p>
    <w:p w14:paraId="00C522CB" w14:textId="77777777" w:rsidR="0048293E" w:rsidRPr="0048293E" w:rsidRDefault="0048293E" w:rsidP="0048293E">
      <w:pPr>
        <w:rPr>
          <w:rFonts w:cs="Calibri"/>
        </w:rPr>
      </w:pPr>
      <w:r w:rsidRPr="0048293E">
        <w:rPr>
          <w:rFonts w:cs="Calibri"/>
        </w:rPr>
        <w:t>Section 10P provides for requirements regarding surrender of authorisations for gaming machines in relation to licensees, including that the Commission, as soon as practicable after 30 June in a reduction year, amend the licensee’s authorisation schedule to remove the authorisation number for each surrendered authorisation.</w:t>
      </w:r>
    </w:p>
    <w:p w14:paraId="25D46A9D" w14:textId="77777777" w:rsidR="0048293E" w:rsidRPr="0048293E" w:rsidRDefault="0048293E" w:rsidP="0048293E">
      <w:pPr>
        <w:rPr>
          <w:rFonts w:cs="Calibri"/>
        </w:rPr>
      </w:pPr>
      <w:r w:rsidRPr="0048293E">
        <w:rPr>
          <w:rFonts w:cs="Calibri"/>
        </w:rPr>
        <w:t xml:space="preserve">Section 10Q provides for requirements regarding storage permit for interim purpose for each gaming machine association with an authorisation surrendered under section 10P and also sets out that the Commission must give the licensee a storage permit for an interim purpose under section 127N (b). </w:t>
      </w:r>
    </w:p>
    <w:p w14:paraId="610ACA99" w14:textId="77777777" w:rsidR="0048293E" w:rsidRPr="0048293E" w:rsidRDefault="0048293E" w:rsidP="0048293E">
      <w:pPr>
        <w:rPr>
          <w:rFonts w:cs="Calibri"/>
        </w:rPr>
      </w:pPr>
      <w:r w:rsidRPr="0048293E">
        <w:rPr>
          <w:rFonts w:cs="Calibri"/>
        </w:rPr>
        <w:t xml:space="preserve">Section 10R sets out certain actions which are prohibited, 10R(1) sets out that the section does not apply to a reduction year if the Minister does not make a provisional determination for that year. Prohibited actions include that a licensee must not transfer or acquire an authorisation certificate under section 37E during a prohibited period, as per section 10R(2), trading of authorisations and gaming machines under division 6A.6 is also suspended during a prohibited period, as per section 10R(3) and section 10R(4) sets out the meaning of ‘prohibited period.’ </w:t>
      </w:r>
    </w:p>
    <w:p w14:paraId="760B3272" w14:textId="77777777" w:rsidR="0048293E" w:rsidRDefault="0048293E" w:rsidP="0048293E">
      <w:pPr>
        <w:pStyle w:val="Heading3"/>
      </w:pPr>
      <w:r w:rsidRPr="00ED3B77">
        <w:t xml:space="preserve">Clause </w:t>
      </w:r>
      <w:r>
        <w:t>10</w:t>
      </w:r>
      <w:r w:rsidRPr="00ED3B77">
        <w:tab/>
      </w:r>
      <w:r w:rsidRPr="00215E30">
        <w:t>Section 10T</w:t>
      </w:r>
    </w:p>
    <w:p w14:paraId="22C42565" w14:textId="788E8F7C" w:rsidR="0048293E" w:rsidRPr="000E0F9E" w:rsidRDefault="0048293E" w:rsidP="0048293E">
      <w:pPr>
        <w:rPr>
          <w:rFonts w:ascii="Times New Roman" w:hAnsi="Times New Roman"/>
          <w:b/>
          <w:bCs/>
          <w:i/>
          <w:iCs/>
        </w:rPr>
      </w:pPr>
      <w:r w:rsidRPr="0048293E">
        <w:rPr>
          <w:rFonts w:cs="Calibri"/>
        </w:rPr>
        <w:t>This clause sets out that Division 2A.2 expires on 1 April 2028 and that (other than division 2A.2), the following dictionary definitions expire on 31 December 2045</w:t>
      </w:r>
      <w:r>
        <w:rPr>
          <w:rFonts w:cs="Calibri"/>
        </w:rPr>
        <w:t xml:space="preserve"> </w:t>
      </w:r>
      <w:r w:rsidRPr="0048293E">
        <w:rPr>
          <w:rFonts w:cs="Calibri"/>
          <w:i/>
          <w:iCs/>
        </w:rPr>
        <w:t>authorisations target, cap on authorisations, final determination, final surrender obligation, provisional determination, provisional surrender obligation and reduction year</w:t>
      </w:r>
      <w:r w:rsidRPr="0048293E">
        <w:rPr>
          <w:rFonts w:ascii="Times New Roman" w:hAnsi="Times New Roman"/>
          <w:i/>
          <w:iCs/>
        </w:rPr>
        <w:t>.</w:t>
      </w:r>
    </w:p>
    <w:p w14:paraId="59DB64B0" w14:textId="77777777" w:rsidR="0048293E" w:rsidRDefault="0048293E" w:rsidP="0048293E">
      <w:pPr>
        <w:pStyle w:val="Heading3"/>
      </w:pPr>
      <w:r w:rsidRPr="00ED3B77">
        <w:t xml:space="preserve">Clause </w:t>
      </w:r>
      <w:r>
        <w:t>11</w:t>
      </w:r>
      <w:r w:rsidRPr="00ED3B77">
        <w:tab/>
      </w:r>
      <w:r w:rsidRPr="00215E30">
        <w:t>Authorisation certificate for class C gaming machines— contents of application Section 22 (2) (c), example 4</w:t>
      </w:r>
    </w:p>
    <w:p w14:paraId="50B29B56" w14:textId="77777777" w:rsidR="0048293E" w:rsidRPr="0048293E" w:rsidRDefault="0048293E" w:rsidP="0048293E">
      <w:pPr>
        <w:rPr>
          <w:rFonts w:cs="Calibri"/>
        </w:rPr>
      </w:pPr>
      <w:r w:rsidRPr="0048293E">
        <w:rPr>
          <w:rFonts w:cs="Calibri"/>
        </w:rPr>
        <w:t xml:space="preserve">This clause omits section 22 (2) (c), example 4 ‘cash payment limits.’ </w:t>
      </w:r>
    </w:p>
    <w:p w14:paraId="6EFE258E" w14:textId="77777777" w:rsidR="0048293E" w:rsidRDefault="0048293E" w:rsidP="0048293E">
      <w:pPr>
        <w:pStyle w:val="Heading3"/>
      </w:pPr>
      <w:r w:rsidRPr="00ED3B77">
        <w:t xml:space="preserve">Clause </w:t>
      </w:r>
      <w:r>
        <w:t>12</w:t>
      </w:r>
      <w:r w:rsidRPr="00ED3B77">
        <w:tab/>
      </w:r>
      <w:r w:rsidRPr="00215E30">
        <w:t>Transferring an authorisation certificate Section 37E (2) (b)</w:t>
      </w:r>
    </w:p>
    <w:p w14:paraId="26F3A755" w14:textId="77777777" w:rsidR="0048293E" w:rsidRPr="0048293E" w:rsidRDefault="0048293E" w:rsidP="0048293E">
      <w:pPr>
        <w:rPr>
          <w:rFonts w:cs="Calibri"/>
        </w:rPr>
      </w:pPr>
      <w:r w:rsidRPr="0048293E">
        <w:rPr>
          <w:rFonts w:cs="Calibri"/>
        </w:rPr>
        <w:t xml:space="preserve">This clause omits ‘amounts taken during’ from section 37E (2) (b).    </w:t>
      </w:r>
    </w:p>
    <w:p w14:paraId="6C672D56" w14:textId="77777777" w:rsidR="0048293E" w:rsidRDefault="0048293E" w:rsidP="0048293E">
      <w:pPr>
        <w:pStyle w:val="Heading3"/>
      </w:pPr>
      <w:r w:rsidRPr="00ED3B77">
        <w:t xml:space="preserve">Clause </w:t>
      </w:r>
      <w:r>
        <w:t>13</w:t>
      </w:r>
      <w:r w:rsidRPr="00ED3B77">
        <w:tab/>
      </w:r>
      <w:r w:rsidRPr="00215E30">
        <w:t>Surrender of licences, authorisation certificates and authorisations Section 37F (2) (c)</w:t>
      </w:r>
    </w:p>
    <w:p w14:paraId="4D4324B1" w14:textId="77777777" w:rsidR="0048293E" w:rsidRPr="0048293E" w:rsidRDefault="0048293E" w:rsidP="0048293E">
      <w:pPr>
        <w:rPr>
          <w:rFonts w:cs="Calibri"/>
        </w:rPr>
      </w:pPr>
      <w:r w:rsidRPr="0048293E">
        <w:rPr>
          <w:rFonts w:cs="Calibri"/>
        </w:rPr>
        <w:t>This clause inserts ‘schedule’ after ‘authorisation’ in section 37F (2) (c).</w:t>
      </w:r>
    </w:p>
    <w:p w14:paraId="23E37C3C" w14:textId="77777777" w:rsidR="0048293E" w:rsidRPr="00ED3B77" w:rsidRDefault="0048293E" w:rsidP="0048293E">
      <w:pPr>
        <w:pStyle w:val="Heading3"/>
        <w:rPr>
          <w:b w:val="0"/>
        </w:rPr>
      </w:pPr>
      <w:r w:rsidRPr="00ED3B77">
        <w:lastRenderedPageBreak/>
        <w:t xml:space="preserve">Clause </w:t>
      </w:r>
      <w:r>
        <w:t>14</w:t>
      </w:r>
      <w:r w:rsidRPr="00ED3B77">
        <w:tab/>
      </w:r>
      <w:r w:rsidRPr="00215E30">
        <w:t>Section 37F (4)</w:t>
      </w:r>
    </w:p>
    <w:p w14:paraId="6921CCC8" w14:textId="77777777" w:rsidR="0048293E" w:rsidRPr="0048293E" w:rsidRDefault="0048293E" w:rsidP="0048293E">
      <w:pPr>
        <w:rPr>
          <w:rFonts w:cs="Calibri"/>
        </w:rPr>
      </w:pPr>
      <w:r w:rsidRPr="0048293E">
        <w:rPr>
          <w:rFonts w:cs="Calibri"/>
        </w:rPr>
        <w:t xml:space="preserve">This clause sets out actions the Commission must do if a licensee surrenders an authorisation certificate or an authorisation under section 37F. </w:t>
      </w:r>
    </w:p>
    <w:p w14:paraId="16135701" w14:textId="49BB6B20" w:rsidR="00224857" w:rsidRDefault="00224857" w:rsidP="00617CCA">
      <w:pPr>
        <w:pStyle w:val="Heading3"/>
      </w:pPr>
      <w:r>
        <w:t>Clause 15</w:t>
      </w:r>
      <w:r w:rsidR="00406B87">
        <w:tab/>
      </w:r>
      <w:r>
        <w:t>Section 43</w:t>
      </w:r>
    </w:p>
    <w:p w14:paraId="6E23EBEE" w14:textId="32386F62" w:rsidR="00224857" w:rsidRPr="00224857" w:rsidRDefault="00224857" w:rsidP="00224857">
      <w:r>
        <w:t xml:space="preserve">This clause </w:t>
      </w:r>
      <w:r w:rsidR="009E5706">
        <w:t>substitutes</w:t>
      </w:r>
      <w:r>
        <w:t xml:space="preserve"> section 43 of the </w:t>
      </w:r>
      <w:r w:rsidR="009E72B4">
        <w:t xml:space="preserve">Gaming </w:t>
      </w:r>
      <w:r>
        <w:t>Act to replace previous language relating to ‘gaming machines and peripheral equipment’ with ‘gaming components’ and ‘account-based system</w:t>
      </w:r>
      <w:r w:rsidR="009E5706">
        <w:t>s</w:t>
      </w:r>
      <w:r>
        <w:t>’.</w:t>
      </w:r>
    </w:p>
    <w:p w14:paraId="5BCEA0E8" w14:textId="747E5ED8" w:rsidR="00224857" w:rsidRDefault="00224857" w:rsidP="00617CCA">
      <w:pPr>
        <w:pStyle w:val="Heading3"/>
      </w:pPr>
      <w:r>
        <w:t>Clause 16</w:t>
      </w:r>
      <w:r>
        <w:tab/>
        <w:t>Accounts relating to gaming machines</w:t>
      </w:r>
    </w:p>
    <w:p w14:paraId="18EC0669" w14:textId="65515EDA" w:rsidR="00224857" w:rsidRPr="00224857" w:rsidRDefault="00224857" w:rsidP="00224857">
      <w:pPr>
        <w:rPr>
          <w:rFonts w:ascii="Arial" w:hAnsi="Arial" w:cs="Arial"/>
          <w:b/>
          <w:bCs/>
        </w:rPr>
      </w:pPr>
      <w:r>
        <w:tab/>
      </w:r>
      <w:r>
        <w:tab/>
      </w:r>
      <w:r w:rsidRPr="00224857">
        <w:rPr>
          <w:rFonts w:ascii="Arial" w:hAnsi="Arial" w:cs="Arial"/>
          <w:b/>
          <w:bCs/>
          <w:sz w:val="24"/>
          <w:szCs w:val="24"/>
        </w:rPr>
        <w:t>Section 52 (a)</w:t>
      </w:r>
    </w:p>
    <w:p w14:paraId="7D9E49F0" w14:textId="4E780963" w:rsidR="00224857" w:rsidRDefault="009E72B4" w:rsidP="00224857">
      <w:r>
        <w:t>This clause substitute</w:t>
      </w:r>
      <w:r w:rsidR="0082587E">
        <w:t xml:space="preserve">s </w:t>
      </w:r>
      <w:r>
        <w:t xml:space="preserve">language in section 52 of the Gaming Act to replace an outdated term which infers physical amounts are to be ‘taken’ from a machine, which is now incorrect with the transition to cashless interactions with gaming machines. </w:t>
      </w:r>
    </w:p>
    <w:p w14:paraId="4142C060" w14:textId="739AE4D3" w:rsidR="008552E8" w:rsidRDefault="008552E8" w:rsidP="008552E8">
      <w:pPr>
        <w:pStyle w:val="Heading3"/>
      </w:pPr>
      <w:r>
        <w:t>Clause 17</w:t>
      </w:r>
      <w:r>
        <w:tab/>
        <w:t>Annual report of clubs</w:t>
      </w:r>
    </w:p>
    <w:p w14:paraId="38DB0C4D" w14:textId="5C8514B9" w:rsidR="008552E8" w:rsidRPr="00224857" w:rsidRDefault="008552E8" w:rsidP="008552E8">
      <w:pPr>
        <w:rPr>
          <w:rFonts w:ascii="Arial" w:hAnsi="Arial" w:cs="Arial"/>
          <w:b/>
          <w:bCs/>
        </w:rPr>
      </w:pPr>
      <w:r>
        <w:tab/>
      </w:r>
      <w:r>
        <w:tab/>
      </w:r>
      <w:r>
        <w:rPr>
          <w:rFonts w:ascii="Arial" w:hAnsi="Arial" w:cs="Arial"/>
          <w:b/>
          <w:bCs/>
          <w:sz w:val="24"/>
          <w:szCs w:val="24"/>
        </w:rPr>
        <w:t>New section 54 (1) (</w:t>
      </w:r>
      <w:proofErr w:type="spellStart"/>
      <w:r>
        <w:rPr>
          <w:rFonts w:ascii="Arial" w:hAnsi="Arial" w:cs="Arial"/>
          <w:b/>
          <w:bCs/>
          <w:sz w:val="24"/>
          <w:szCs w:val="24"/>
        </w:rPr>
        <w:t>ea</w:t>
      </w:r>
      <w:proofErr w:type="spellEnd"/>
      <w:r>
        <w:rPr>
          <w:rFonts w:ascii="Arial" w:hAnsi="Arial" w:cs="Arial"/>
          <w:b/>
          <w:bCs/>
          <w:sz w:val="24"/>
          <w:szCs w:val="24"/>
        </w:rPr>
        <w:t>) and (</w:t>
      </w:r>
      <w:proofErr w:type="spellStart"/>
      <w:r>
        <w:rPr>
          <w:rFonts w:ascii="Arial" w:hAnsi="Arial" w:cs="Arial"/>
          <w:b/>
          <w:bCs/>
          <w:sz w:val="24"/>
          <w:szCs w:val="24"/>
        </w:rPr>
        <w:t>eb</w:t>
      </w:r>
      <w:proofErr w:type="spellEnd"/>
      <w:r>
        <w:rPr>
          <w:rFonts w:ascii="Arial" w:hAnsi="Arial" w:cs="Arial"/>
          <w:b/>
          <w:bCs/>
          <w:sz w:val="24"/>
          <w:szCs w:val="24"/>
        </w:rPr>
        <w:t>)</w:t>
      </w:r>
    </w:p>
    <w:p w14:paraId="5596D6E4" w14:textId="4D751752" w:rsidR="00224857" w:rsidRDefault="00A03BBB" w:rsidP="00224857">
      <w:r>
        <w:t>This clause inserts a new section that provides that the annual reports of clubs must now report on the</w:t>
      </w:r>
      <w:r w:rsidRPr="00A03BBB">
        <w:t xml:space="preserve"> value of any expired credit the club held in each month of the year</w:t>
      </w:r>
      <w:r>
        <w:t xml:space="preserve"> and </w:t>
      </w:r>
      <w:r w:rsidRPr="00A03BBB">
        <w:t xml:space="preserve">the amount of any money the club paid in each month of the year, </w:t>
      </w:r>
      <w:r>
        <w:t xml:space="preserve">to either the public trustee and guardian or the gambling harm prevention and mitigation fund. </w:t>
      </w:r>
    </w:p>
    <w:p w14:paraId="6A11928F" w14:textId="0C5CE6C7" w:rsidR="00A052AB" w:rsidRDefault="00A052AB" w:rsidP="00A052AB">
      <w:pPr>
        <w:pStyle w:val="Heading3"/>
      </w:pPr>
      <w:r>
        <w:t>Clause 18</w:t>
      </w:r>
      <w:r>
        <w:tab/>
        <w:t>Other conditions of club licences</w:t>
      </w:r>
    </w:p>
    <w:p w14:paraId="2DD44158" w14:textId="43A7CFBD" w:rsidR="00A052AB" w:rsidRPr="00A052AB" w:rsidRDefault="00A052AB" w:rsidP="00A052AB">
      <w:pPr>
        <w:rPr>
          <w:rFonts w:ascii="Arial" w:hAnsi="Arial" w:cs="Arial"/>
          <w:b/>
          <w:bCs/>
        </w:rPr>
      </w:pPr>
      <w:r>
        <w:tab/>
      </w:r>
      <w:r>
        <w:tab/>
      </w:r>
      <w:r w:rsidRPr="00A052AB">
        <w:rPr>
          <w:rFonts w:ascii="Arial" w:hAnsi="Arial" w:cs="Arial"/>
          <w:b/>
          <w:bCs/>
          <w:sz w:val="24"/>
          <w:szCs w:val="24"/>
        </w:rPr>
        <w:t>Section 55 (f)</w:t>
      </w:r>
    </w:p>
    <w:p w14:paraId="18910D1D" w14:textId="6E0CE8AA" w:rsidR="00A03BBB" w:rsidRDefault="009F006E" w:rsidP="00224857">
      <w:r>
        <w:t xml:space="preserve">This clause inserts that only members, temporary members and signed in guests who hold a player account for the licensee’s account-based system used in the club can play gaming machines in the club. </w:t>
      </w:r>
    </w:p>
    <w:p w14:paraId="175E072A" w14:textId="77777777" w:rsidR="000D7197" w:rsidRDefault="000D7197" w:rsidP="000D7197">
      <w:pPr>
        <w:pStyle w:val="Heading3"/>
        <w:rPr>
          <w:bCs/>
          <w:i/>
          <w:iCs/>
        </w:rPr>
      </w:pPr>
      <w:r>
        <w:t>Clause 19</w:t>
      </w:r>
      <w:r>
        <w:tab/>
      </w:r>
      <w:r w:rsidRPr="000D7197">
        <w:rPr>
          <w:bCs/>
        </w:rPr>
        <w:t xml:space="preserve">Meaning of </w:t>
      </w:r>
      <w:r w:rsidRPr="000D7197">
        <w:rPr>
          <w:bCs/>
          <w:i/>
          <w:iCs/>
        </w:rPr>
        <w:t xml:space="preserve">centralised monitoring system </w:t>
      </w:r>
    </w:p>
    <w:p w14:paraId="673E4AA8" w14:textId="6219EB20" w:rsidR="000D7197" w:rsidRDefault="000D7197" w:rsidP="000D7197">
      <w:pPr>
        <w:pStyle w:val="Heading3"/>
        <w:ind w:left="1440"/>
      </w:pPr>
      <w:r w:rsidRPr="000D7197">
        <w:rPr>
          <w:bCs/>
        </w:rPr>
        <w:t xml:space="preserve">Section 66 (1), definition of </w:t>
      </w:r>
      <w:r w:rsidRPr="000D7197">
        <w:rPr>
          <w:bCs/>
          <w:i/>
          <w:iCs/>
        </w:rPr>
        <w:t>centralised monitoring system</w:t>
      </w:r>
      <w:r w:rsidRPr="000D7197">
        <w:rPr>
          <w:bCs/>
        </w:rPr>
        <w:t>, paragraph (a)</w:t>
      </w:r>
    </w:p>
    <w:p w14:paraId="357966B1" w14:textId="31DFD654" w:rsidR="00224857" w:rsidRPr="00224857" w:rsidRDefault="00677D89" w:rsidP="00224857">
      <w:r>
        <w:t>This clause update</w:t>
      </w:r>
      <w:r w:rsidR="0082587E">
        <w:t>s</w:t>
      </w:r>
      <w:r>
        <w:t xml:space="preserve"> language related to gaming machines to the broader definition of ‘gaming components’.</w:t>
      </w:r>
    </w:p>
    <w:p w14:paraId="51EB9662" w14:textId="7EFD706A" w:rsidR="00617CCA" w:rsidRPr="00ED3B77" w:rsidRDefault="00617CCA" w:rsidP="00617CCA">
      <w:pPr>
        <w:pStyle w:val="Heading3"/>
      </w:pPr>
      <w:r w:rsidRPr="00ED3B77">
        <w:t xml:space="preserve">Clause </w:t>
      </w:r>
      <w:r>
        <w:t>20</w:t>
      </w:r>
      <w:r w:rsidRPr="00ED3B77">
        <w:tab/>
      </w:r>
      <w:r>
        <w:t>New part 5A</w:t>
      </w:r>
    </w:p>
    <w:p w14:paraId="381B699D" w14:textId="77777777" w:rsidR="005F4284" w:rsidRDefault="005F4284" w:rsidP="00617CCA">
      <w:pPr>
        <w:rPr>
          <w:iCs/>
          <w:color w:val="000000" w:themeColor="text1"/>
        </w:rPr>
      </w:pPr>
      <w:r>
        <w:rPr>
          <w:iCs/>
          <w:color w:val="000000" w:themeColor="text1"/>
        </w:rPr>
        <w:t>This clause creates new part 5A, which introduces new definitions for:</w:t>
      </w:r>
    </w:p>
    <w:p w14:paraId="7F103A1E" w14:textId="031E6296" w:rsidR="005F4284" w:rsidRPr="005F4284" w:rsidRDefault="005F4284" w:rsidP="005F4284">
      <w:pPr>
        <w:pStyle w:val="ListParagraph"/>
        <w:numPr>
          <w:ilvl w:val="0"/>
          <w:numId w:val="18"/>
        </w:numPr>
        <w:rPr>
          <w:iCs/>
          <w:color w:val="000000" w:themeColor="text1"/>
        </w:rPr>
      </w:pPr>
      <w:r w:rsidRPr="005F4284">
        <w:rPr>
          <w:i/>
          <w:iCs/>
          <w:color w:val="000000" w:themeColor="text1"/>
        </w:rPr>
        <w:t>account-based system</w:t>
      </w:r>
      <w:r>
        <w:rPr>
          <w:iCs/>
          <w:color w:val="000000" w:themeColor="text1"/>
        </w:rPr>
        <w:t xml:space="preserve"> </w:t>
      </w:r>
      <w:r w:rsidR="00946AD8">
        <w:rPr>
          <w:iCs/>
          <w:color w:val="000000" w:themeColor="text1"/>
        </w:rPr>
        <w:t>means</w:t>
      </w:r>
      <w:r>
        <w:rPr>
          <w:iCs/>
          <w:color w:val="000000" w:themeColor="text1"/>
        </w:rPr>
        <w:t xml:space="preserve"> </w:t>
      </w:r>
      <w:r w:rsidRPr="005F4284">
        <w:rPr>
          <w:iCs/>
          <w:color w:val="000000" w:themeColor="text1"/>
        </w:rPr>
        <w:t xml:space="preserve">a system made up of gaming components, player accounts and player cards that— </w:t>
      </w:r>
    </w:p>
    <w:p w14:paraId="2B6AC9D5" w14:textId="77777777" w:rsidR="00946AD8" w:rsidRDefault="005F4284" w:rsidP="00946AD8">
      <w:pPr>
        <w:pStyle w:val="ListParagraph"/>
        <w:numPr>
          <w:ilvl w:val="0"/>
          <w:numId w:val="31"/>
        </w:numPr>
        <w:rPr>
          <w:iCs/>
          <w:color w:val="000000" w:themeColor="text1"/>
        </w:rPr>
      </w:pPr>
      <w:r w:rsidRPr="00946AD8">
        <w:rPr>
          <w:iCs/>
          <w:color w:val="000000" w:themeColor="text1"/>
        </w:rPr>
        <w:t>prevents a person from playing a gaming machine without using a player card;</w:t>
      </w:r>
    </w:p>
    <w:p w14:paraId="0E599E3F" w14:textId="4C95D720" w:rsidR="005F4284" w:rsidRPr="00946AD8" w:rsidRDefault="005F4284" w:rsidP="00946AD8">
      <w:pPr>
        <w:pStyle w:val="ListParagraph"/>
        <w:numPr>
          <w:ilvl w:val="0"/>
          <w:numId w:val="31"/>
        </w:numPr>
        <w:rPr>
          <w:iCs/>
          <w:color w:val="000000" w:themeColor="text1"/>
        </w:rPr>
      </w:pPr>
      <w:r w:rsidRPr="00946AD8">
        <w:rPr>
          <w:iCs/>
          <w:color w:val="000000" w:themeColor="text1"/>
        </w:rPr>
        <w:lastRenderedPageBreak/>
        <w:t xml:space="preserve">monitors, records and controls a person’s— </w:t>
      </w:r>
    </w:p>
    <w:p w14:paraId="3E0383E8" w14:textId="77777777" w:rsidR="00946AD8" w:rsidRDefault="005F4284" w:rsidP="00946AD8">
      <w:pPr>
        <w:pStyle w:val="ListParagraph"/>
        <w:numPr>
          <w:ilvl w:val="0"/>
          <w:numId w:val="32"/>
        </w:numPr>
        <w:rPr>
          <w:iCs/>
          <w:color w:val="000000" w:themeColor="text1"/>
        </w:rPr>
      </w:pPr>
      <w:r w:rsidRPr="00946AD8">
        <w:rPr>
          <w:iCs/>
          <w:color w:val="000000" w:themeColor="text1"/>
        </w:rPr>
        <w:t xml:space="preserve">use of the gaming machine; and </w:t>
      </w:r>
    </w:p>
    <w:p w14:paraId="0CD13454" w14:textId="452BD7D3" w:rsidR="005F4284" w:rsidRPr="00946AD8" w:rsidRDefault="005F4284" w:rsidP="00946AD8">
      <w:pPr>
        <w:pStyle w:val="ListParagraph"/>
        <w:numPr>
          <w:ilvl w:val="0"/>
          <w:numId w:val="32"/>
        </w:numPr>
        <w:rPr>
          <w:iCs/>
          <w:color w:val="000000" w:themeColor="text1"/>
        </w:rPr>
      </w:pPr>
      <w:r w:rsidRPr="00946AD8">
        <w:rPr>
          <w:iCs/>
          <w:color w:val="000000" w:themeColor="text1"/>
        </w:rPr>
        <w:t xml:space="preserve">use of the system. </w:t>
      </w:r>
    </w:p>
    <w:p w14:paraId="50D13E1A" w14:textId="0CA9018B" w:rsidR="005F4284" w:rsidRPr="005F4284" w:rsidRDefault="005F4284" w:rsidP="005F4284">
      <w:pPr>
        <w:pStyle w:val="ListParagraph"/>
        <w:numPr>
          <w:ilvl w:val="0"/>
          <w:numId w:val="18"/>
        </w:numPr>
        <w:rPr>
          <w:iCs/>
          <w:color w:val="000000" w:themeColor="text1"/>
        </w:rPr>
      </w:pPr>
      <w:r w:rsidRPr="005F4284">
        <w:rPr>
          <w:i/>
          <w:iCs/>
          <w:color w:val="000000" w:themeColor="text1"/>
        </w:rPr>
        <w:t>expired credit</w:t>
      </w:r>
      <w:r>
        <w:rPr>
          <w:color w:val="000000" w:themeColor="text1"/>
        </w:rPr>
        <w:t xml:space="preserve"> - </w:t>
      </w:r>
      <w:r w:rsidRPr="005F4284">
        <w:rPr>
          <w:iCs/>
          <w:color w:val="000000" w:themeColor="text1"/>
        </w:rPr>
        <w:t xml:space="preserve">see section 67L (2). </w:t>
      </w:r>
    </w:p>
    <w:p w14:paraId="06483F25" w14:textId="3E6FA8C7" w:rsidR="005F4284" w:rsidRPr="005F4284" w:rsidRDefault="005F4284" w:rsidP="005F4284">
      <w:pPr>
        <w:pStyle w:val="ListParagraph"/>
        <w:numPr>
          <w:ilvl w:val="0"/>
          <w:numId w:val="18"/>
        </w:numPr>
        <w:rPr>
          <w:iCs/>
          <w:color w:val="000000" w:themeColor="text1"/>
        </w:rPr>
      </w:pPr>
      <w:r w:rsidRPr="005F4284">
        <w:rPr>
          <w:i/>
          <w:iCs/>
          <w:color w:val="000000" w:themeColor="text1"/>
        </w:rPr>
        <w:t>player account</w:t>
      </w:r>
      <w:r w:rsidR="00457B2D">
        <w:rPr>
          <w:color w:val="000000" w:themeColor="text1"/>
        </w:rPr>
        <w:t xml:space="preserve">, </w:t>
      </w:r>
      <w:r w:rsidRPr="005F4284">
        <w:rPr>
          <w:iCs/>
          <w:color w:val="000000" w:themeColor="text1"/>
        </w:rPr>
        <w:t xml:space="preserve">of a person for a licensee’s account-based system, means the person’s account that enables the person to— </w:t>
      </w:r>
    </w:p>
    <w:p w14:paraId="15539E7A" w14:textId="77777777" w:rsidR="00946AD8" w:rsidRDefault="005F4284" w:rsidP="00946AD8">
      <w:pPr>
        <w:pStyle w:val="ListParagraph"/>
        <w:numPr>
          <w:ilvl w:val="0"/>
          <w:numId w:val="33"/>
        </w:numPr>
        <w:rPr>
          <w:iCs/>
          <w:color w:val="000000" w:themeColor="text1"/>
        </w:rPr>
      </w:pPr>
      <w:r w:rsidRPr="00946AD8">
        <w:rPr>
          <w:iCs/>
          <w:color w:val="000000" w:themeColor="text1"/>
        </w:rPr>
        <w:t xml:space="preserve">hold player credit for gaming machines on 1 or more of the licensee’s authorised premises using the same system; and </w:t>
      </w:r>
    </w:p>
    <w:p w14:paraId="6BA2ED27" w14:textId="2DFE7177" w:rsidR="005F4284" w:rsidRPr="00946AD8" w:rsidRDefault="005F4284" w:rsidP="00946AD8">
      <w:pPr>
        <w:pStyle w:val="ListParagraph"/>
        <w:numPr>
          <w:ilvl w:val="0"/>
          <w:numId w:val="33"/>
        </w:numPr>
        <w:rPr>
          <w:iCs/>
          <w:color w:val="000000" w:themeColor="text1"/>
        </w:rPr>
      </w:pPr>
      <w:r w:rsidRPr="00946AD8">
        <w:rPr>
          <w:iCs/>
          <w:color w:val="000000" w:themeColor="text1"/>
        </w:rPr>
        <w:t xml:space="preserve">otherwise use the system. </w:t>
      </w:r>
    </w:p>
    <w:p w14:paraId="6470ED66" w14:textId="1FC3586D" w:rsidR="005F4284" w:rsidRPr="005F4284" w:rsidRDefault="005F4284" w:rsidP="005F4284">
      <w:pPr>
        <w:pStyle w:val="ListParagraph"/>
        <w:numPr>
          <w:ilvl w:val="0"/>
          <w:numId w:val="18"/>
        </w:numPr>
        <w:rPr>
          <w:iCs/>
          <w:color w:val="000000" w:themeColor="text1"/>
        </w:rPr>
      </w:pPr>
      <w:r w:rsidRPr="005F4284">
        <w:rPr>
          <w:i/>
          <w:iCs/>
          <w:color w:val="000000" w:themeColor="text1"/>
        </w:rPr>
        <w:t>player card</w:t>
      </w:r>
      <w:r w:rsidR="00946AD8">
        <w:rPr>
          <w:i/>
          <w:iCs/>
          <w:color w:val="000000" w:themeColor="text1"/>
        </w:rPr>
        <w:t xml:space="preserve"> </w:t>
      </w:r>
      <w:r w:rsidR="00946AD8">
        <w:rPr>
          <w:color w:val="000000" w:themeColor="text1"/>
        </w:rPr>
        <w:t>means</w:t>
      </w:r>
      <w:r>
        <w:rPr>
          <w:color w:val="000000" w:themeColor="text1"/>
        </w:rPr>
        <w:t xml:space="preserve"> </w:t>
      </w:r>
      <w:r w:rsidRPr="005F4284">
        <w:rPr>
          <w:iCs/>
          <w:color w:val="000000" w:themeColor="text1"/>
        </w:rPr>
        <w:t xml:space="preserve">a device issued to a person by a licensee to enable the person to use player credit held in the person’s player account to play gaming machines on 1 or more of the licensee’s authorised premises using the same account-based system. </w:t>
      </w:r>
    </w:p>
    <w:p w14:paraId="5B504230" w14:textId="0E06727B" w:rsidR="005F4284" w:rsidRPr="005F4284" w:rsidRDefault="005F4284" w:rsidP="005F4284">
      <w:pPr>
        <w:pStyle w:val="ListParagraph"/>
        <w:numPr>
          <w:ilvl w:val="0"/>
          <w:numId w:val="18"/>
        </w:numPr>
        <w:rPr>
          <w:iCs/>
          <w:color w:val="000000" w:themeColor="text1"/>
        </w:rPr>
      </w:pPr>
      <w:r w:rsidRPr="005F4284">
        <w:rPr>
          <w:i/>
          <w:iCs/>
          <w:color w:val="000000" w:themeColor="text1"/>
        </w:rPr>
        <w:t>player credit</w:t>
      </w:r>
      <w:r w:rsidRPr="005F4284">
        <w:rPr>
          <w:color w:val="000000" w:themeColor="text1"/>
        </w:rPr>
        <w:t xml:space="preserve"> </w:t>
      </w:r>
      <w:r w:rsidR="00946AD8">
        <w:rPr>
          <w:color w:val="000000" w:themeColor="text1"/>
        </w:rPr>
        <w:t>means</w:t>
      </w:r>
      <w:r>
        <w:rPr>
          <w:color w:val="000000" w:themeColor="text1"/>
        </w:rPr>
        <w:t xml:space="preserve"> </w:t>
      </w:r>
      <w:r w:rsidRPr="005F4284">
        <w:rPr>
          <w:iCs/>
          <w:color w:val="000000" w:themeColor="text1"/>
        </w:rPr>
        <w:t xml:space="preserve">the credit held in a person’s player account for gaming machine play or redemption. </w:t>
      </w:r>
    </w:p>
    <w:p w14:paraId="31080700" w14:textId="35F8BD47" w:rsidR="005F4284" w:rsidRPr="005F4284" w:rsidRDefault="005F4284" w:rsidP="005F4284">
      <w:pPr>
        <w:pStyle w:val="ListParagraph"/>
        <w:numPr>
          <w:ilvl w:val="0"/>
          <w:numId w:val="18"/>
        </w:numPr>
        <w:rPr>
          <w:iCs/>
          <w:color w:val="000000" w:themeColor="text1"/>
        </w:rPr>
      </w:pPr>
      <w:r w:rsidRPr="005F4284">
        <w:rPr>
          <w:i/>
          <w:iCs/>
          <w:color w:val="000000" w:themeColor="text1"/>
        </w:rPr>
        <w:t>purchased credit</w:t>
      </w:r>
      <w:r>
        <w:rPr>
          <w:color w:val="000000" w:themeColor="text1"/>
        </w:rPr>
        <w:t xml:space="preserve"> - </w:t>
      </w:r>
      <w:r w:rsidRPr="005F4284">
        <w:rPr>
          <w:iCs/>
          <w:color w:val="000000" w:themeColor="text1"/>
        </w:rPr>
        <w:t xml:space="preserve">see section 67K (1) (a). </w:t>
      </w:r>
    </w:p>
    <w:p w14:paraId="3A97A449" w14:textId="0342B36A" w:rsidR="003744C8" w:rsidRPr="00946AD8" w:rsidRDefault="005F4284" w:rsidP="00946AD8">
      <w:pPr>
        <w:pStyle w:val="ListParagraph"/>
        <w:numPr>
          <w:ilvl w:val="0"/>
          <w:numId w:val="18"/>
        </w:numPr>
        <w:rPr>
          <w:iCs/>
          <w:color w:val="000000" w:themeColor="text1"/>
        </w:rPr>
      </w:pPr>
      <w:r w:rsidRPr="005F4284">
        <w:rPr>
          <w:i/>
          <w:iCs/>
          <w:color w:val="000000" w:themeColor="text1"/>
        </w:rPr>
        <w:t>redeems</w:t>
      </w:r>
      <w:r>
        <w:rPr>
          <w:color w:val="000000" w:themeColor="text1"/>
        </w:rPr>
        <w:t xml:space="preserve"> </w:t>
      </w:r>
      <w:r w:rsidR="00946AD8">
        <w:rPr>
          <w:color w:val="000000" w:themeColor="text1"/>
        </w:rPr>
        <w:t>–</w:t>
      </w:r>
      <w:r w:rsidRPr="00946AD8">
        <w:rPr>
          <w:color w:val="000000" w:themeColor="text1"/>
        </w:rPr>
        <w:t xml:space="preserve"> </w:t>
      </w:r>
      <w:r w:rsidRPr="00946AD8">
        <w:rPr>
          <w:iCs/>
          <w:color w:val="000000" w:themeColor="text1"/>
        </w:rPr>
        <w:t xml:space="preserve">player credit held in a person’s player account is </w:t>
      </w:r>
      <w:r w:rsidRPr="00946AD8">
        <w:rPr>
          <w:i/>
          <w:iCs/>
          <w:color w:val="000000" w:themeColor="text1"/>
        </w:rPr>
        <w:t xml:space="preserve">redeemed </w:t>
      </w:r>
      <w:r w:rsidRPr="00946AD8">
        <w:rPr>
          <w:iCs/>
          <w:color w:val="000000" w:themeColor="text1"/>
        </w:rPr>
        <w:t>if a licensee gives the person an amount of money, corresponding to the value of the credit, in exchange for the credit.</w:t>
      </w:r>
    </w:p>
    <w:p w14:paraId="31516010" w14:textId="77777777" w:rsidR="004D6B7B" w:rsidRPr="004D6B7B" w:rsidRDefault="004D6B7B" w:rsidP="004D6B7B">
      <w:pPr>
        <w:pStyle w:val="ListParagraph"/>
        <w:ind w:left="765"/>
        <w:rPr>
          <w:color w:val="000000" w:themeColor="text1"/>
        </w:rPr>
      </w:pPr>
    </w:p>
    <w:p w14:paraId="4F5FE0FA" w14:textId="3177982C" w:rsidR="003744C8" w:rsidRDefault="003744C8" w:rsidP="003744C8">
      <w:pPr>
        <w:ind w:left="405"/>
        <w:rPr>
          <w:iCs/>
          <w:color w:val="000000" w:themeColor="text1"/>
        </w:rPr>
      </w:pPr>
      <w:r>
        <w:rPr>
          <w:iCs/>
          <w:color w:val="000000" w:themeColor="text1"/>
        </w:rPr>
        <w:t>This clause also creates new division</w:t>
      </w:r>
      <w:r w:rsidR="00D90FA1">
        <w:rPr>
          <w:iCs/>
          <w:color w:val="000000" w:themeColor="text1"/>
        </w:rPr>
        <w:t>s</w:t>
      </w:r>
      <w:r>
        <w:rPr>
          <w:iCs/>
          <w:color w:val="000000" w:themeColor="text1"/>
        </w:rPr>
        <w:t xml:space="preserve"> 5A.2</w:t>
      </w:r>
      <w:r w:rsidR="007A7F5E">
        <w:rPr>
          <w:iCs/>
          <w:color w:val="000000" w:themeColor="text1"/>
        </w:rPr>
        <w:t>, 5A.3</w:t>
      </w:r>
      <w:r w:rsidR="00C82A37">
        <w:rPr>
          <w:iCs/>
          <w:color w:val="000000" w:themeColor="text1"/>
        </w:rPr>
        <w:t>, 5A.4</w:t>
      </w:r>
      <w:r w:rsidR="00E100F5">
        <w:rPr>
          <w:iCs/>
          <w:color w:val="000000" w:themeColor="text1"/>
        </w:rPr>
        <w:t>, 5A.5</w:t>
      </w:r>
      <w:r w:rsidR="00FB032C">
        <w:rPr>
          <w:iCs/>
          <w:color w:val="000000" w:themeColor="text1"/>
        </w:rPr>
        <w:t xml:space="preserve"> and </w:t>
      </w:r>
      <w:r w:rsidR="00E42CD3">
        <w:rPr>
          <w:iCs/>
          <w:color w:val="000000" w:themeColor="text1"/>
        </w:rPr>
        <w:t>5A.6</w:t>
      </w:r>
      <w:r>
        <w:rPr>
          <w:iCs/>
          <w:color w:val="000000" w:themeColor="text1"/>
        </w:rPr>
        <w:t xml:space="preserve"> which establishes a legislative framework for account-based gaming. As part of the new account-based gaming framework, this Act introduces the sections discussed in the next paragraphs. </w:t>
      </w:r>
    </w:p>
    <w:p w14:paraId="12FC76D7" w14:textId="09B25EB2" w:rsidR="003744C8" w:rsidRPr="00254EC1" w:rsidRDefault="00254EC1" w:rsidP="003744C8">
      <w:pPr>
        <w:ind w:left="405"/>
        <w:rPr>
          <w:iCs/>
          <w:color w:val="000000" w:themeColor="text1"/>
          <w:u w:val="single"/>
        </w:rPr>
      </w:pPr>
      <w:r w:rsidRPr="00254EC1">
        <w:rPr>
          <w:iCs/>
          <w:color w:val="000000" w:themeColor="text1"/>
          <w:u w:val="single"/>
        </w:rPr>
        <w:t>New division 5A.2</w:t>
      </w:r>
    </w:p>
    <w:p w14:paraId="66B7C4FB" w14:textId="77777777" w:rsidR="00854013" w:rsidRDefault="004D6B7B" w:rsidP="00854013">
      <w:pPr>
        <w:ind w:left="405"/>
        <w:rPr>
          <w:iCs/>
          <w:color w:val="000000" w:themeColor="text1"/>
        </w:rPr>
      </w:pPr>
      <w:r w:rsidRPr="004D6B7B">
        <w:rPr>
          <w:iCs/>
          <w:color w:val="000000" w:themeColor="text1"/>
        </w:rPr>
        <w:t>New section 67</w:t>
      </w:r>
      <w:r w:rsidR="00854013" w:rsidRPr="004D6B7B">
        <w:rPr>
          <w:iCs/>
          <w:color w:val="000000" w:themeColor="text1"/>
        </w:rPr>
        <w:t>B</w:t>
      </w:r>
      <w:r w:rsidR="00854013">
        <w:rPr>
          <w:iCs/>
          <w:color w:val="000000" w:themeColor="text1"/>
        </w:rPr>
        <w:t xml:space="preserve"> introduces</w:t>
      </w:r>
      <w:r>
        <w:rPr>
          <w:iCs/>
          <w:color w:val="000000" w:themeColor="text1"/>
        </w:rPr>
        <w:t xml:space="preserve"> an obligation for gaming machine licensees to have an approved account-based system. </w:t>
      </w:r>
      <w:r w:rsidR="00C05B63">
        <w:rPr>
          <w:iCs/>
          <w:color w:val="000000" w:themeColor="text1"/>
        </w:rPr>
        <w:t xml:space="preserve">New section </w:t>
      </w:r>
      <w:r w:rsidR="00854013">
        <w:rPr>
          <w:iCs/>
          <w:color w:val="000000" w:themeColor="text1"/>
        </w:rPr>
        <w:t>67B contains two offences in relation to having an approved account-based system, making it an offence for a licensee:</w:t>
      </w:r>
      <w:r w:rsidR="00854013" w:rsidRPr="00854013">
        <w:rPr>
          <w:iCs/>
          <w:color w:val="000000" w:themeColor="text1"/>
        </w:rPr>
        <w:t xml:space="preserve"> </w:t>
      </w:r>
    </w:p>
    <w:p w14:paraId="4044EB72" w14:textId="77777777" w:rsidR="00854013" w:rsidRDefault="00854013" w:rsidP="00854013">
      <w:pPr>
        <w:pStyle w:val="ListParagraph"/>
        <w:numPr>
          <w:ilvl w:val="0"/>
          <w:numId w:val="40"/>
        </w:numPr>
        <w:rPr>
          <w:iCs/>
          <w:color w:val="000000" w:themeColor="text1"/>
        </w:rPr>
      </w:pPr>
      <w:r w:rsidRPr="00854013">
        <w:rPr>
          <w:iCs/>
          <w:color w:val="000000" w:themeColor="text1"/>
        </w:rPr>
        <w:t>if a licensee operates a gaming machine and the gaming machine is not connected to an account-based system for which an approval under section 69 of the Act is in force</w:t>
      </w:r>
      <w:r>
        <w:rPr>
          <w:iCs/>
          <w:color w:val="000000" w:themeColor="text1"/>
        </w:rPr>
        <w:t>; and</w:t>
      </w:r>
    </w:p>
    <w:p w14:paraId="463CDB76" w14:textId="77777777" w:rsidR="00854013" w:rsidRDefault="00854013" w:rsidP="00854013">
      <w:pPr>
        <w:pStyle w:val="ListParagraph"/>
        <w:numPr>
          <w:ilvl w:val="0"/>
          <w:numId w:val="40"/>
        </w:numPr>
        <w:rPr>
          <w:iCs/>
          <w:color w:val="000000" w:themeColor="text1"/>
        </w:rPr>
      </w:pPr>
      <w:r w:rsidRPr="00854013">
        <w:rPr>
          <w:iCs/>
          <w:color w:val="000000" w:themeColor="text1"/>
        </w:rPr>
        <w:t>if a licensee operates a gaming machine and the gaming machine is connected to an account-based system for which an approval under section 69 of the Act is in force but the system is not operating in accordance with that approval.</w:t>
      </w:r>
    </w:p>
    <w:p w14:paraId="2F095778" w14:textId="146D7562" w:rsidR="00854013" w:rsidRDefault="00854013" w:rsidP="00854013">
      <w:pPr>
        <w:pStyle w:val="ListParagraph"/>
        <w:ind w:left="1125"/>
        <w:rPr>
          <w:iCs/>
          <w:color w:val="000000" w:themeColor="text1"/>
        </w:rPr>
      </w:pPr>
      <w:r w:rsidRPr="00854013">
        <w:rPr>
          <w:iCs/>
          <w:color w:val="000000" w:themeColor="text1"/>
        </w:rPr>
        <w:t xml:space="preserve"> </w:t>
      </w:r>
    </w:p>
    <w:p w14:paraId="4469C546" w14:textId="6E4889A4" w:rsidR="00854013" w:rsidRPr="00854013" w:rsidRDefault="00854013" w:rsidP="00854013">
      <w:pPr>
        <w:ind w:left="405"/>
        <w:rPr>
          <w:iCs/>
          <w:color w:val="000000" w:themeColor="text1"/>
        </w:rPr>
      </w:pPr>
      <w:r w:rsidRPr="00854013">
        <w:rPr>
          <w:iCs/>
          <w:color w:val="000000" w:themeColor="text1"/>
        </w:rPr>
        <w:t>These offences are strict liability offences, carrying a maximum penalty of 100 penalty units. The purpose of these offences is ensure that licensees ensure that every gaming machine is connected to an account-based gaming system approved by the commission</w:t>
      </w:r>
      <w:r w:rsidR="006D6C20">
        <w:rPr>
          <w:iCs/>
          <w:color w:val="000000" w:themeColor="text1"/>
        </w:rPr>
        <w:t>.</w:t>
      </w:r>
    </w:p>
    <w:p w14:paraId="7C64F703" w14:textId="08E5F206" w:rsidR="003744C8" w:rsidRDefault="00361C10" w:rsidP="003744C8">
      <w:pPr>
        <w:ind w:left="405"/>
        <w:rPr>
          <w:iCs/>
          <w:color w:val="000000" w:themeColor="text1"/>
        </w:rPr>
      </w:pPr>
      <w:r>
        <w:rPr>
          <w:iCs/>
          <w:color w:val="000000" w:themeColor="text1"/>
        </w:rPr>
        <w:t xml:space="preserve">New section 67C introduces that the ACT Gambling and Racing Commission may approve requirements for operating account-based systems. An approval under section 67C is a notifiable instrument. </w:t>
      </w:r>
    </w:p>
    <w:p w14:paraId="39F0F678" w14:textId="2A0F3DE8" w:rsidR="00C3053C" w:rsidRDefault="00511187" w:rsidP="00C3053C">
      <w:pPr>
        <w:ind w:left="405"/>
        <w:rPr>
          <w:iCs/>
          <w:color w:val="000000" w:themeColor="text1"/>
        </w:rPr>
      </w:pPr>
      <w:r>
        <w:rPr>
          <w:iCs/>
          <w:color w:val="000000" w:themeColor="text1"/>
        </w:rPr>
        <w:t xml:space="preserve">New section 67D </w:t>
      </w:r>
      <w:r w:rsidR="00C3053C">
        <w:rPr>
          <w:iCs/>
          <w:color w:val="000000" w:themeColor="text1"/>
        </w:rPr>
        <w:t xml:space="preserve">introduces commission-initiated changes to account-based systems. Section 67D notes that the commission may notify a licensee, </w:t>
      </w:r>
      <w:r w:rsidR="00C3053C" w:rsidRPr="00C3053C">
        <w:rPr>
          <w:iCs/>
          <w:color w:val="000000" w:themeColor="text1"/>
        </w:rPr>
        <w:t xml:space="preserve">in writing, that the licensee must make a change to the licensee’s account-based system (a </w:t>
      </w:r>
      <w:r w:rsidR="00C3053C" w:rsidRPr="00A910D7">
        <w:rPr>
          <w:i/>
          <w:iCs/>
          <w:color w:val="000000" w:themeColor="text1"/>
        </w:rPr>
        <w:t>required change</w:t>
      </w:r>
      <w:r w:rsidR="00C3053C" w:rsidRPr="00A910D7">
        <w:rPr>
          <w:iCs/>
          <w:color w:val="000000" w:themeColor="text1"/>
        </w:rPr>
        <w:t>)</w:t>
      </w:r>
      <w:r w:rsidR="00C3053C" w:rsidRPr="00C3053C">
        <w:rPr>
          <w:iCs/>
          <w:color w:val="000000" w:themeColor="text1"/>
        </w:rPr>
        <w:t xml:space="preserve"> because of an additional requirement, or a change to an existing requirement, under</w:t>
      </w:r>
      <w:r w:rsidR="00C3053C">
        <w:rPr>
          <w:iCs/>
          <w:color w:val="000000" w:themeColor="text1"/>
        </w:rPr>
        <w:t xml:space="preserve"> either </w:t>
      </w:r>
      <w:r w:rsidR="00C3053C" w:rsidRPr="00C3053C">
        <w:rPr>
          <w:iCs/>
          <w:color w:val="000000" w:themeColor="text1"/>
        </w:rPr>
        <w:t>section 67C</w:t>
      </w:r>
      <w:r w:rsidR="00C3053C">
        <w:rPr>
          <w:iCs/>
          <w:color w:val="000000" w:themeColor="text1"/>
        </w:rPr>
        <w:t xml:space="preserve"> or </w:t>
      </w:r>
      <w:r w:rsidR="00C3053C" w:rsidRPr="00C3053C">
        <w:rPr>
          <w:iCs/>
          <w:color w:val="000000" w:themeColor="text1"/>
        </w:rPr>
        <w:t>an approved standard.</w:t>
      </w:r>
      <w:r w:rsidR="00C3053C">
        <w:rPr>
          <w:iCs/>
          <w:color w:val="000000" w:themeColor="text1"/>
        </w:rPr>
        <w:t xml:space="preserve"> Section 67D sets out what the notice must include and that the </w:t>
      </w:r>
      <w:r w:rsidR="00C3053C" w:rsidRPr="00C3053C">
        <w:rPr>
          <w:iCs/>
          <w:color w:val="000000" w:themeColor="text1"/>
        </w:rPr>
        <w:t xml:space="preserve">commission may, on application by the licensee, approve a later day by which the licensee must make the required </w:t>
      </w:r>
      <w:r w:rsidR="00C3053C" w:rsidRPr="00C3053C">
        <w:rPr>
          <w:iCs/>
          <w:color w:val="000000" w:themeColor="text1"/>
        </w:rPr>
        <w:lastRenderedPageBreak/>
        <w:t>change.</w:t>
      </w:r>
      <w:r w:rsidR="00C3053C">
        <w:rPr>
          <w:iCs/>
          <w:color w:val="000000" w:themeColor="text1"/>
        </w:rPr>
        <w:t xml:space="preserve"> Section 67D also provides that a </w:t>
      </w:r>
      <w:r w:rsidR="00C3053C" w:rsidRPr="00C3053C">
        <w:rPr>
          <w:iCs/>
          <w:color w:val="000000" w:themeColor="text1"/>
        </w:rPr>
        <w:t>licensee’s account-based system stops being approved under section 69 if the licensee does not make the required change by the day stated in the notice or a later day approved by the commission</w:t>
      </w:r>
      <w:r w:rsidR="00C3053C">
        <w:rPr>
          <w:iCs/>
          <w:color w:val="000000" w:themeColor="text1"/>
        </w:rPr>
        <w:t xml:space="preserve">. </w:t>
      </w:r>
    </w:p>
    <w:p w14:paraId="7737D0B9" w14:textId="5193A2BE" w:rsidR="00D90FA1" w:rsidRPr="00D90FA1" w:rsidRDefault="00D90FA1" w:rsidP="00C3053C">
      <w:pPr>
        <w:ind w:left="405"/>
        <w:rPr>
          <w:iCs/>
          <w:color w:val="000000" w:themeColor="text1"/>
          <w:u w:val="single"/>
        </w:rPr>
      </w:pPr>
      <w:r w:rsidRPr="00D90FA1">
        <w:rPr>
          <w:iCs/>
          <w:color w:val="000000" w:themeColor="text1"/>
          <w:u w:val="single"/>
        </w:rPr>
        <w:t>New division 5A.3</w:t>
      </w:r>
    </w:p>
    <w:p w14:paraId="076A8EBC" w14:textId="05258450" w:rsidR="00D90FA1" w:rsidRDefault="00AF2704" w:rsidP="00C3053C">
      <w:pPr>
        <w:ind w:left="405"/>
        <w:rPr>
          <w:iCs/>
          <w:color w:val="000000" w:themeColor="text1"/>
        </w:rPr>
      </w:pPr>
      <w:r>
        <w:rPr>
          <w:iCs/>
          <w:color w:val="000000" w:themeColor="text1"/>
        </w:rPr>
        <w:t xml:space="preserve">New section 67E makes it an offence if a licensee fails to verify the identity of a person immediately before opening an account in accordance with a procedure approved by the commission. This offence carries a maximum penalty unit of 50 penalty units and is a strict liability offence. The purpose of this offence </w:t>
      </w:r>
      <w:r w:rsidR="0018145C">
        <w:rPr>
          <w:iCs/>
          <w:color w:val="000000" w:themeColor="text1"/>
        </w:rPr>
        <w:t>is to</w:t>
      </w:r>
      <w:r w:rsidR="0018145C" w:rsidRPr="0018145C">
        <w:rPr>
          <w:iCs/>
          <w:color w:val="000000" w:themeColor="text1"/>
        </w:rPr>
        <w:t xml:space="preserve"> ensure</w:t>
      </w:r>
      <w:r w:rsidR="0018145C">
        <w:rPr>
          <w:iCs/>
          <w:color w:val="000000" w:themeColor="text1"/>
        </w:rPr>
        <w:t xml:space="preserve"> playe</w:t>
      </w:r>
      <w:r w:rsidR="0018145C" w:rsidRPr="0018145C">
        <w:rPr>
          <w:iCs/>
          <w:color w:val="000000" w:themeColor="text1"/>
        </w:rPr>
        <w:t>r accounts are linked to an individual person that is not under 18 years of age or subject to self-exclusion.</w:t>
      </w:r>
    </w:p>
    <w:p w14:paraId="0C4756D9" w14:textId="583B8FA3" w:rsidR="00D7728D" w:rsidRDefault="00D7728D" w:rsidP="00D7728D">
      <w:pPr>
        <w:ind w:left="405"/>
        <w:rPr>
          <w:iCs/>
          <w:color w:val="000000" w:themeColor="text1"/>
        </w:rPr>
      </w:pPr>
      <w:r>
        <w:rPr>
          <w:iCs/>
          <w:color w:val="000000" w:themeColor="text1"/>
        </w:rPr>
        <w:t xml:space="preserve">New section 67F makes it an offence if a licensee allows a person to play a gaming machine on the licensee’s authorised premises and the person does not hold a player account for the licensee’s account-based system used at that premises. This offence carries a maximum penalty unit of 50 penalty units and is a strict liability offence. The purpose of this offence is to </w:t>
      </w:r>
      <w:r w:rsidRPr="00D7728D">
        <w:rPr>
          <w:iCs/>
          <w:color w:val="000000" w:themeColor="text1"/>
        </w:rPr>
        <w:t>ensure that a licensee does not allow a person to operate a gaming machine anonymously and that a player account must be used. This enables consumer accountability through the tracking of gambling spending and allows an opportunity for the licensee to monitor the risk of gambling harm.</w:t>
      </w:r>
    </w:p>
    <w:p w14:paraId="1E5E0AF6" w14:textId="1B2E1218" w:rsidR="00A912C1" w:rsidRDefault="00621924" w:rsidP="00A912C1">
      <w:pPr>
        <w:ind w:left="405"/>
        <w:rPr>
          <w:iCs/>
          <w:color w:val="000000" w:themeColor="text1"/>
        </w:rPr>
      </w:pPr>
      <w:r>
        <w:rPr>
          <w:iCs/>
          <w:color w:val="000000" w:themeColor="text1"/>
        </w:rPr>
        <w:t>New section 67G contains t</w:t>
      </w:r>
      <w:r w:rsidR="009766D1">
        <w:rPr>
          <w:iCs/>
          <w:color w:val="000000" w:themeColor="text1"/>
        </w:rPr>
        <w:t>h</w:t>
      </w:r>
      <w:r>
        <w:rPr>
          <w:iCs/>
          <w:color w:val="000000" w:themeColor="text1"/>
        </w:rPr>
        <w:t>ree offences in relation to player cards being used to play machines, making it an offence for a licensee if a person operates a gaming machine:</w:t>
      </w:r>
      <w:r w:rsidR="00A912C1" w:rsidRPr="00A912C1">
        <w:rPr>
          <w:iCs/>
          <w:color w:val="000000" w:themeColor="text1"/>
        </w:rPr>
        <w:t xml:space="preserve"> </w:t>
      </w:r>
    </w:p>
    <w:p w14:paraId="130F3865" w14:textId="77777777" w:rsidR="00A912C1" w:rsidRDefault="00A912C1" w:rsidP="00A912C1">
      <w:pPr>
        <w:pStyle w:val="ListParagraph"/>
        <w:numPr>
          <w:ilvl w:val="0"/>
          <w:numId w:val="20"/>
        </w:numPr>
        <w:rPr>
          <w:iCs/>
          <w:color w:val="000000" w:themeColor="text1"/>
        </w:rPr>
      </w:pPr>
      <w:r w:rsidRPr="00621924">
        <w:rPr>
          <w:iCs/>
          <w:color w:val="000000" w:themeColor="text1"/>
        </w:rPr>
        <w:t>and the person does not use a player card</w:t>
      </w:r>
      <w:r>
        <w:rPr>
          <w:iCs/>
          <w:color w:val="000000" w:themeColor="text1"/>
        </w:rPr>
        <w:t>;</w:t>
      </w:r>
    </w:p>
    <w:p w14:paraId="49F33EF3" w14:textId="77777777" w:rsidR="00A912C1" w:rsidRDefault="00A912C1" w:rsidP="00A912C1">
      <w:pPr>
        <w:pStyle w:val="ListParagraph"/>
        <w:numPr>
          <w:ilvl w:val="0"/>
          <w:numId w:val="20"/>
        </w:numPr>
        <w:rPr>
          <w:iCs/>
          <w:color w:val="000000" w:themeColor="text1"/>
        </w:rPr>
      </w:pPr>
      <w:r w:rsidRPr="00621924">
        <w:rPr>
          <w:iCs/>
          <w:color w:val="000000" w:themeColor="text1"/>
        </w:rPr>
        <w:t>using a player card and the card is not linked to the person’s player account</w:t>
      </w:r>
      <w:r>
        <w:rPr>
          <w:iCs/>
          <w:color w:val="000000" w:themeColor="text1"/>
        </w:rPr>
        <w:t>; and</w:t>
      </w:r>
    </w:p>
    <w:p w14:paraId="132DD57D" w14:textId="2B46D3F5" w:rsidR="00A912C1" w:rsidRDefault="00A912C1" w:rsidP="00A912C1">
      <w:pPr>
        <w:pStyle w:val="ListParagraph"/>
        <w:numPr>
          <w:ilvl w:val="0"/>
          <w:numId w:val="20"/>
        </w:numPr>
        <w:rPr>
          <w:iCs/>
          <w:color w:val="000000" w:themeColor="text1"/>
        </w:rPr>
      </w:pPr>
      <w:r w:rsidRPr="00621924">
        <w:rPr>
          <w:iCs/>
          <w:color w:val="000000" w:themeColor="text1"/>
        </w:rPr>
        <w:t>using a player card and the card was not issued by the licensee at the authorised premises or at other authorised premises operated by the licensee.</w:t>
      </w:r>
    </w:p>
    <w:p w14:paraId="07533DC4" w14:textId="77777777" w:rsidR="00A912C1" w:rsidRPr="00A912C1" w:rsidRDefault="00A912C1" w:rsidP="00A912C1">
      <w:pPr>
        <w:pStyle w:val="ListParagraph"/>
        <w:ind w:left="1125"/>
        <w:rPr>
          <w:iCs/>
          <w:color w:val="000000" w:themeColor="text1"/>
        </w:rPr>
      </w:pPr>
    </w:p>
    <w:p w14:paraId="4BA6DED2" w14:textId="3A57C4AC" w:rsidR="00A912C1" w:rsidRPr="00A912C1" w:rsidRDefault="00A912C1" w:rsidP="00A912C1">
      <w:pPr>
        <w:ind w:left="405"/>
        <w:rPr>
          <w:iCs/>
          <w:color w:val="000000" w:themeColor="text1"/>
        </w:rPr>
      </w:pPr>
      <w:r w:rsidRPr="00A912C1">
        <w:rPr>
          <w:iCs/>
          <w:color w:val="000000" w:themeColor="text1"/>
        </w:rPr>
        <w:t>These offence</w:t>
      </w:r>
      <w:r w:rsidR="009766D1">
        <w:rPr>
          <w:iCs/>
          <w:color w:val="000000" w:themeColor="text1"/>
        </w:rPr>
        <w:t>s</w:t>
      </w:r>
      <w:r w:rsidRPr="00A912C1">
        <w:rPr>
          <w:iCs/>
          <w:color w:val="000000" w:themeColor="text1"/>
        </w:rPr>
        <w:t xml:space="preserve"> are strict liability offences, carrying a maximum penalty of 50 penalty units. The purpose of these offences </w:t>
      </w:r>
      <w:r>
        <w:rPr>
          <w:iCs/>
          <w:color w:val="000000" w:themeColor="text1"/>
        </w:rPr>
        <w:t xml:space="preserve">is to </w:t>
      </w:r>
      <w:r w:rsidRPr="00A912C1">
        <w:rPr>
          <w:iCs/>
          <w:color w:val="000000" w:themeColor="text1"/>
        </w:rPr>
        <w:t>ensure that a licensee enforces mandatory carded play. This enables consumer accountability through the tracking of gambling spending and allows an opportunity for the licensee to monitor the risk of gambling harm.</w:t>
      </w:r>
      <w:r>
        <w:rPr>
          <w:iCs/>
          <w:color w:val="000000" w:themeColor="text1"/>
        </w:rPr>
        <w:t xml:space="preserve"> It is also to</w:t>
      </w:r>
      <w:r w:rsidRPr="00A912C1">
        <w:rPr>
          <w:iCs/>
          <w:color w:val="000000" w:themeColor="text1"/>
        </w:rPr>
        <w:t xml:space="preserve"> ensure a licensee does not allow player cards from other licensees to be operable with their system, as a way of circumventing venue limits. </w:t>
      </w:r>
    </w:p>
    <w:p w14:paraId="28D13FF6" w14:textId="109197E1" w:rsidR="009766D1" w:rsidRDefault="00451DA6" w:rsidP="00A912C1">
      <w:pPr>
        <w:ind w:left="405"/>
        <w:rPr>
          <w:iCs/>
          <w:color w:val="000000" w:themeColor="text1"/>
        </w:rPr>
      </w:pPr>
      <w:r>
        <w:rPr>
          <w:iCs/>
          <w:color w:val="000000" w:themeColor="text1"/>
        </w:rPr>
        <w:t>New section 67H</w:t>
      </w:r>
      <w:r w:rsidR="009766D1">
        <w:rPr>
          <w:iCs/>
          <w:color w:val="000000" w:themeColor="text1"/>
        </w:rPr>
        <w:t xml:space="preserve"> contains two offences in relation to the prohibition of multiple player accounts and cards, making it an offence if a licensee:</w:t>
      </w:r>
    </w:p>
    <w:p w14:paraId="3483C846" w14:textId="6E135450" w:rsidR="00A912C1" w:rsidRDefault="009766D1" w:rsidP="009766D1">
      <w:pPr>
        <w:pStyle w:val="ListParagraph"/>
        <w:numPr>
          <w:ilvl w:val="0"/>
          <w:numId w:val="21"/>
        </w:numPr>
        <w:rPr>
          <w:iCs/>
          <w:color w:val="000000" w:themeColor="text1"/>
        </w:rPr>
      </w:pPr>
      <w:r w:rsidRPr="009766D1">
        <w:rPr>
          <w:iCs/>
          <w:color w:val="000000" w:themeColor="text1"/>
        </w:rPr>
        <w:t>opens more than one player account for the same account-based system</w:t>
      </w:r>
      <w:r>
        <w:rPr>
          <w:iCs/>
          <w:color w:val="000000" w:themeColor="text1"/>
        </w:rPr>
        <w:t>; and</w:t>
      </w:r>
    </w:p>
    <w:p w14:paraId="04BC388B" w14:textId="471BECA2" w:rsidR="009766D1" w:rsidRDefault="009766D1" w:rsidP="009766D1">
      <w:pPr>
        <w:pStyle w:val="ListParagraph"/>
        <w:numPr>
          <w:ilvl w:val="0"/>
          <w:numId w:val="21"/>
        </w:numPr>
        <w:rPr>
          <w:iCs/>
          <w:color w:val="000000" w:themeColor="text1"/>
        </w:rPr>
      </w:pPr>
      <w:r w:rsidRPr="009766D1">
        <w:rPr>
          <w:iCs/>
          <w:color w:val="000000" w:themeColor="text1"/>
        </w:rPr>
        <w:t>issues a player card, and the person already holds a card for the same system.</w:t>
      </w:r>
    </w:p>
    <w:p w14:paraId="591A40B1" w14:textId="77777777" w:rsidR="009766D1" w:rsidRPr="009766D1" w:rsidRDefault="009766D1" w:rsidP="009766D1">
      <w:pPr>
        <w:pStyle w:val="ListParagraph"/>
        <w:ind w:left="1170"/>
        <w:rPr>
          <w:iCs/>
          <w:color w:val="000000" w:themeColor="text1"/>
        </w:rPr>
      </w:pPr>
    </w:p>
    <w:p w14:paraId="4BCF7CED" w14:textId="3A15C4FD" w:rsidR="00DD7ABB" w:rsidRDefault="009766D1" w:rsidP="00DD7ABB">
      <w:pPr>
        <w:ind w:left="405"/>
        <w:rPr>
          <w:iCs/>
          <w:color w:val="000000" w:themeColor="text1"/>
        </w:rPr>
      </w:pPr>
      <w:r>
        <w:rPr>
          <w:iCs/>
          <w:color w:val="000000" w:themeColor="text1"/>
        </w:rPr>
        <w:t>These offences</w:t>
      </w:r>
      <w:r w:rsidRPr="00A912C1">
        <w:rPr>
          <w:iCs/>
          <w:color w:val="000000" w:themeColor="text1"/>
        </w:rPr>
        <w:t xml:space="preserve"> are strict liability offences, carrying a maximum penalty of 50 penalty units.</w:t>
      </w:r>
      <w:r w:rsidR="00DD7ABB">
        <w:rPr>
          <w:iCs/>
          <w:color w:val="000000" w:themeColor="text1"/>
        </w:rPr>
        <w:t xml:space="preserve"> The purpose of these offences is to </w:t>
      </w:r>
      <w:r w:rsidR="00DD7ABB" w:rsidRPr="00DD7ABB">
        <w:rPr>
          <w:iCs/>
          <w:color w:val="000000" w:themeColor="text1"/>
        </w:rPr>
        <w:t xml:space="preserve">ensure a licensee does not allow a person to have duplicate cards </w:t>
      </w:r>
      <w:r w:rsidR="00DD7ABB">
        <w:rPr>
          <w:iCs/>
          <w:color w:val="000000" w:themeColor="text1"/>
        </w:rPr>
        <w:t xml:space="preserve">or accounts </w:t>
      </w:r>
      <w:r w:rsidR="00DD7ABB" w:rsidRPr="00DD7ABB">
        <w:rPr>
          <w:iCs/>
          <w:color w:val="000000" w:themeColor="text1"/>
        </w:rPr>
        <w:t xml:space="preserve">which makes it difficult to track gambling behaviours and does not </w:t>
      </w:r>
      <w:r w:rsidR="009E5706">
        <w:rPr>
          <w:iCs/>
          <w:color w:val="000000" w:themeColor="text1"/>
        </w:rPr>
        <w:t>promote</w:t>
      </w:r>
      <w:r w:rsidR="00DD7ABB" w:rsidRPr="00DD7ABB">
        <w:rPr>
          <w:iCs/>
          <w:color w:val="000000" w:themeColor="text1"/>
        </w:rPr>
        <w:t xml:space="preserve"> consumer accountability.  </w:t>
      </w:r>
    </w:p>
    <w:p w14:paraId="16BC8997" w14:textId="32D5C04F" w:rsidR="00EF4814" w:rsidRDefault="00EF4814" w:rsidP="00DD7ABB">
      <w:pPr>
        <w:ind w:left="405"/>
        <w:rPr>
          <w:iCs/>
          <w:color w:val="000000" w:themeColor="text1"/>
        </w:rPr>
      </w:pPr>
      <w:r>
        <w:rPr>
          <w:iCs/>
          <w:color w:val="000000" w:themeColor="text1"/>
        </w:rPr>
        <w:lastRenderedPageBreak/>
        <w:t xml:space="preserve">New section 67I </w:t>
      </w:r>
      <w:r w:rsidR="00131DF9">
        <w:rPr>
          <w:iCs/>
          <w:color w:val="000000" w:themeColor="text1"/>
        </w:rPr>
        <w:t>contains two offences in relation to a person using another person’s player account or card, making it an offence for a person to:</w:t>
      </w:r>
    </w:p>
    <w:p w14:paraId="138E49AC" w14:textId="1E0CC7FA" w:rsidR="00131DF9" w:rsidRDefault="00131DF9" w:rsidP="00131DF9">
      <w:pPr>
        <w:pStyle w:val="ListParagraph"/>
        <w:numPr>
          <w:ilvl w:val="0"/>
          <w:numId w:val="22"/>
        </w:numPr>
        <w:rPr>
          <w:iCs/>
          <w:color w:val="000000" w:themeColor="text1"/>
        </w:rPr>
      </w:pPr>
      <w:r w:rsidRPr="00131DF9">
        <w:rPr>
          <w:iCs/>
          <w:color w:val="000000" w:themeColor="text1"/>
        </w:rPr>
        <w:t>seek to redeem credit held on another person’s player account</w:t>
      </w:r>
      <w:r>
        <w:rPr>
          <w:iCs/>
          <w:color w:val="000000" w:themeColor="text1"/>
        </w:rPr>
        <w:t>; and</w:t>
      </w:r>
    </w:p>
    <w:p w14:paraId="327BA8A3" w14:textId="6B0A5908" w:rsidR="00EF4814" w:rsidRDefault="00131DF9" w:rsidP="00C876DE">
      <w:pPr>
        <w:pStyle w:val="ListParagraph"/>
        <w:numPr>
          <w:ilvl w:val="0"/>
          <w:numId w:val="22"/>
        </w:numPr>
        <w:rPr>
          <w:iCs/>
          <w:color w:val="000000" w:themeColor="text1"/>
        </w:rPr>
      </w:pPr>
      <w:r w:rsidRPr="00131DF9">
        <w:rPr>
          <w:iCs/>
          <w:color w:val="000000" w:themeColor="text1"/>
        </w:rPr>
        <w:t>play a gaming machine on a licensee’s authorised premises using a player card and the card is linked to another person’s player account.</w:t>
      </w:r>
    </w:p>
    <w:p w14:paraId="201951ED" w14:textId="77777777" w:rsidR="00C876DE" w:rsidRPr="00C876DE" w:rsidRDefault="00C876DE" w:rsidP="00C876DE">
      <w:pPr>
        <w:pStyle w:val="ListParagraph"/>
        <w:ind w:left="1125"/>
        <w:rPr>
          <w:iCs/>
          <w:color w:val="000000" w:themeColor="text1"/>
        </w:rPr>
      </w:pPr>
    </w:p>
    <w:p w14:paraId="1D0140FE" w14:textId="466823DC" w:rsidR="00E95B8C" w:rsidRDefault="00BD5ABD" w:rsidP="00E95B8C">
      <w:pPr>
        <w:ind w:left="405"/>
        <w:rPr>
          <w:iCs/>
          <w:color w:val="000000" w:themeColor="text1"/>
        </w:rPr>
      </w:pPr>
      <w:r>
        <w:rPr>
          <w:iCs/>
          <w:color w:val="000000" w:themeColor="text1"/>
        </w:rPr>
        <w:t xml:space="preserve">These offences are strict liability offences for a person, carrying a maximum penalty of 10 penalty units. </w:t>
      </w:r>
      <w:r w:rsidR="00E95B8C">
        <w:rPr>
          <w:iCs/>
          <w:color w:val="000000" w:themeColor="text1"/>
        </w:rPr>
        <w:t xml:space="preserve">The purpose of these offence is to firstly </w:t>
      </w:r>
      <w:r w:rsidR="00E95B8C" w:rsidRPr="00E95B8C">
        <w:rPr>
          <w:iCs/>
          <w:color w:val="000000" w:themeColor="text1"/>
        </w:rPr>
        <w:t>ensure a person does not redeem credit which does not belong to them and obtain funds that they have no entitlement to</w:t>
      </w:r>
      <w:r w:rsidR="00E95B8C">
        <w:rPr>
          <w:iCs/>
          <w:color w:val="000000" w:themeColor="text1"/>
        </w:rPr>
        <w:t xml:space="preserve"> and secondly to </w:t>
      </w:r>
      <w:r w:rsidR="00E95B8C" w:rsidRPr="00E95B8C">
        <w:rPr>
          <w:iCs/>
          <w:color w:val="000000" w:themeColor="text1"/>
        </w:rPr>
        <w:t xml:space="preserve">ensure a person cannot circumvent the account-based system by in effect playing ‘anonymously’ under another person’s account. Playing under an identified account helps a person to keep track of their gambling and provide a licensee with more information about potentially harmful gambling behaviours.  </w:t>
      </w:r>
    </w:p>
    <w:p w14:paraId="25602BFA" w14:textId="7C419B28" w:rsidR="00941E2F" w:rsidRDefault="00941E2F" w:rsidP="00E95B8C">
      <w:pPr>
        <w:ind w:left="405"/>
        <w:rPr>
          <w:iCs/>
          <w:color w:val="000000" w:themeColor="text1"/>
        </w:rPr>
      </w:pPr>
      <w:r>
        <w:rPr>
          <w:iCs/>
          <w:color w:val="000000" w:themeColor="text1"/>
        </w:rPr>
        <w:t>New section 67J</w:t>
      </w:r>
      <w:r w:rsidR="004C2930">
        <w:rPr>
          <w:iCs/>
          <w:color w:val="000000" w:themeColor="text1"/>
        </w:rPr>
        <w:t xml:space="preserve"> contains two offences in relation to children being prohibited from using account-based systems, making it an offence for a licensee:</w:t>
      </w:r>
    </w:p>
    <w:p w14:paraId="40BB3914" w14:textId="1FE84788" w:rsidR="004C2930" w:rsidRDefault="004C2930" w:rsidP="004C2930">
      <w:pPr>
        <w:pStyle w:val="ListParagraph"/>
        <w:numPr>
          <w:ilvl w:val="0"/>
          <w:numId w:val="23"/>
        </w:numPr>
        <w:rPr>
          <w:iCs/>
          <w:color w:val="000000" w:themeColor="text1"/>
        </w:rPr>
      </w:pPr>
      <w:r w:rsidRPr="004C2930">
        <w:rPr>
          <w:iCs/>
          <w:color w:val="000000" w:themeColor="text1"/>
        </w:rPr>
        <w:t>if a licensee issues a player card to a child</w:t>
      </w:r>
      <w:r>
        <w:rPr>
          <w:iCs/>
          <w:color w:val="000000" w:themeColor="text1"/>
        </w:rPr>
        <w:t>; and</w:t>
      </w:r>
    </w:p>
    <w:p w14:paraId="61773876" w14:textId="4485E6B3" w:rsidR="004C2930" w:rsidRDefault="004C2930" w:rsidP="004C2930">
      <w:pPr>
        <w:pStyle w:val="ListParagraph"/>
        <w:numPr>
          <w:ilvl w:val="0"/>
          <w:numId w:val="23"/>
        </w:numPr>
        <w:rPr>
          <w:iCs/>
          <w:color w:val="000000" w:themeColor="text1"/>
        </w:rPr>
      </w:pPr>
      <w:r w:rsidRPr="004C2930">
        <w:rPr>
          <w:iCs/>
          <w:color w:val="000000" w:themeColor="text1"/>
        </w:rPr>
        <w:t>if a licensee allows a child to use the account-based gaming system.</w:t>
      </w:r>
    </w:p>
    <w:p w14:paraId="6C113B68" w14:textId="77777777" w:rsidR="004C2930" w:rsidRPr="004C2930" w:rsidRDefault="004C2930" w:rsidP="004C2930">
      <w:pPr>
        <w:pStyle w:val="ListParagraph"/>
        <w:ind w:left="1125"/>
        <w:rPr>
          <w:iCs/>
          <w:color w:val="000000" w:themeColor="text1"/>
        </w:rPr>
      </w:pPr>
    </w:p>
    <w:p w14:paraId="6F24DBAB" w14:textId="6722D68F" w:rsidR="004C2930" w:rsidRDefault="004C2930" w:rsidP="004C2930">
      <w:pPr>
        <w:ind w:left="405"/>
        <w:rPr>
          <w:iCs/>
          <w:color w:val="000000" w:themeColor="text1"/>
        </w:rPr>
      </w:pPr>
      <w:r>
        <w:rPr>
          <w:iCs/>
          <w:color w:val="000000" w:themeColor="text1"/>
        </w:rPr>
        <w:t xml:space="preserve">These offences are strict liability offences, carrying a maximum penalty of 50 penalty units. The purpose of these offences is to </w:t>
      </w:r>
      <w:r w:rsidRPr="004C2930">
        <w:rPr>
          <w:iCs/>
          <w:color w:val="000000" w:themeColor="text1"/>
        </w:rPr>
        <w:t>ensure that a licensee does not issue a player card to a person under 18 years of age</w:t>
      </w:r>
      <w:r>
        <w:rPr>
          <w:iCs/>
          <w:color w:val="000000" w:themeColor="text1"/>
        </w:rPr>
        <w:t xml:space="preserve"> and ensure </w:t>
      </w:r>
      <w:r w:rsidRPr="004C2930">
        <w:rPr>
          <w:iCs/>
          <w:color w:val="000000" w:themeColor="text1"/>
        </w:rPr>
        <w:t>a licensee does not allow a child to use the account-based gaming system on the licensee’s authorised premises.</w:t>
      </w:r>
      <w:r>
        <w:rPr>
          <w:iCs/>
          <w:color w:val="000000" w:themeColor="text1"/>
        </w:rPr>
        <w:t xml:space="preserve"> These offences are aimed at reducing youth exposure to gambling in venues. </w:t>
      </w:r>
    </w:p>
    <w:p w14:paraId="6D7A7A45" w14:textId="7032F533" w:rsidR="004C2930" w:rsidRDefault="004C2930" w:rsidP="004C2930">
      <w:pPr>
        <w:ind w:left="405"/>
        <w:rPr>
          <w:iCs/>
          <w:color w:val="000000" w:themeColor="text1"/>
        </w:rPr>
      </w:pPr>
      <w:r>
        <w:rPr>
          <w:iCs/>
          <w:color w:val="000000" w:themeColor="text1"/>
        </w:rPr>
        <w:t xml:space="preserve">New section 67K makes it an offence </w:t>
      </w:r>
      <w:r w:rsidRPr="004C2930">
        <w:rPr>
          <w:iCs/>
          <w:color w:val="000000" w:themeColor="text1"/>
        </w:rPr>
        <w:t xml:space="preserve">for a licensee if a licensee allows a person to make a payment to the licensee for player credits and the person does not make the payment by transferring funds </w:t>
      </w:r>
      <w:r w:rsidR="00977F07">
        <w:rPr>
          <w:iCs/>
          <w:color w:val="000000" w:themeColor="text1"/>
        </w:rPr>
        <w:t>in</w:t>
      </w:r>
      <w:r w:rsidR="00977F07" w:rsidRPr="004C2930">
        <w:rPr>
          <w:iCs/>
          <w:color w:val="000000" w:themeColor="text1"/>
        </w:rPr>
        <w:t xml:space="preserve"> </w:t>
      </w:r>
      <w:r w:rsidRPr="004C2930">
        <w:rPr>
          <w:iCs/>
          <w:color w:val="000000" w:themeColor="text1"/>
        </w:rPr>
        <w:t>a way approved in the regulation.</w:t>
      </w:r>
      <w:r>
        <w:rPr>
          <w:iCs/>
          <w:color w:val="000000" w:themeColor="text1"/>
        </w:rPr>
        <w:t xml:space="preserve"> This offence is a strict liability offence, carrying a maximum penalty of 50 penalty units. The purpose of this offence is t</w:t>
      </w:r>
      <w:r w:rsidRPr="004C2930">
        <w:rPr>
          <w:iCs/>
          <w:color w:val="000000" w:themeColor="text1"/>
        </w:rPr>
        <w:t>o address money laundering risks by enabling the source of funds to be more easily identified.</w:t>
      </w:r>
    </w:p>
    <w:p w14:paraId="1898278B" w14:textId="0D46039C" w:rsidR="00B55750" w:rsidRDefault="008F388B" w:rsidP="00B55750">
      <w:pPr>
        <w:ind w:left="405"/>
        <w:rPr>
          <w:iCs/>
          <w:color w:val="000000" w:themeColor="text1"/>
        </w:rPr>
      </w:pPr>
      <w:r>
        <w:rPr>
          <w:iCs/>
          <w:color w:val="000000" w:themeColor="text1"/>
        </w:rPr>
        <w:t xml:space="preserve">New section 67L introduces </w:t>
      </w:r>
      <w:r w:rsidR="00B55750">
        <w:rPr>
          <w:iCs/>
          <w:color w:val="000000" w:themeColor="text1"/>
        </w:rPr>
        <w:t>obligation on</w:t>
      </w:r>
      <w:r>
        <w:rPr>
          <w:iCs/>
          <w:color w:val="000000" w:themeColor="text1"/>
        </w:rPr>
        <w:t xml:space="preserve"> licensees for dealing with expired player credit. </w:t>
      </w:r>
      <w:r w:rsidR="00B55750">
        <w:rPr>
          <w:iCs/>
          <w:color w:val="000000" w:themeColor="text1"/>
        </w:rPr>
        <w:t xml:space="preserve">New section 67L provides that if a person takes no account action in relation to their player account for 6 years and their credit remains in the account at the end of the </w:t>
      </w:r>
      <w:r w:rsidR="006D6821">
        <w:rPr>
          <w:iCs/>
          <w:color w:val="000000" w:themeColor="text1"/>
        </w:rPr>
        <w:t>6-year</w:t>
      </w:r>
      <w:r w:rsidR="00B55750">
        <w:rPr>
          <w:iCs/>
          <w:color w:val="000000" w:themeColor="text1"/>
        </w:rPr>
        <w:t xml:space="preserve"> period, then the credit expires and can no longer be redeemed. </w:t>
      </w:r>
      <w:r w:rsidR="00B55750" w:rsidRPr="00B55750">
        <w:rPr>
          <w:iCs/>
          <w:color w:val="000000" w:themeColor="text1"/>
        </w:rPr>
        <w:t xml:space="preserve">Not later than 1 month after the day a person’s player credit becomes expired, the licensee must make the following payments: </w:t>
      </w:r>
    </w:p>
    <w:p w14:paraId="3899394E" w14:textId="77777777" w:rsidR="00135B8B" w:rsidRDefault="00B55750" w:rsidP="00135B8B">
      <w:pPr>
        <w:pStyle w:val="ListParagraph"/>
        <w:numPr>
          <w:ilvl w:val="0"/>
          <w:numId w:val="25"/>
        </w:numPr>
        <w:spacing w:line="280" w:lineRule="atLeast"/>
      </w:pPr>
      <w:r w:rsidRPr="00135B8B">
        <w:t xml:space="preserve">to the public trustee and guardian—an amount of money corresponding to the value of the expired credit; </w:t>
      </w:r>
    </w:p>
    <w:p w14:paraId="1F3FCF12" w14:textId="1F06D009" w:rsidR="003A0013" w:rsidRDefault="00B55750" w:rsidP="009D1DBA">
      <w:pPr>
        <w:pStyle w:val="ListParagraph"/>
        <w:numPr>
          <w:ilvl w:val="0"/>
          <w:numId w:val="25"/>
        </w:numPr>
        <w:spacing w:line="280" w:lineRule="atLeast"/>
      </w:pPr>
      <w:r w:rsidRPr="00135B8B">
        <w:t>to the gambling harm prevention and mitigation fund—an amount of money corresponding to the interest earned by the licensee on any player credit held in the person’s player account during the 6-year period.</w:t>
      </w:r>
    </w:p>
    <w:p w14:paraId="1B14649E" w14:textId="77777777" w:rsidR="009D1DBA" w:rsidRPr="009D1DBA" w:rsidRDefault="009D1DBA" w:rsidP="009D1DBA">
      <w:pPr>
        <w:pStyle w:val="ListParagraph"/>
        <w:spacing w:line="280" w:lineRule="atLeast"/>
        <w:ind w:left="1777"/>
      </w:pPr>
    </w:p>
    <w:p w14:paraId="7D4FBD20" w14:textId="1600295F" w:rsidR="008C07D6" w:rsidRDefault="00B55750" w:rsidP="008C07D6">
      <w:pPr>
        <w:ind w:left="405"/>
        <w:rPr>
          <w:iCs/>
          <w:color w:val="000000" w:themeColor="text1"/>
        </w:rPr>
      </w:pPr>
      <w:r>
        <w:rPr>
          <w:iCs/>
          <w:color w:val="000000" w:themeColor="text1"/>
        </w:rPr>
        <w:t xml:space="preserve">New section 67L also provides that a licensee must give written notice </w:t>
      </w:r>
      <w:r w:rsidR="008C07D6">
        <w:rPr>
          <w:iCs/>
          <w:color w:val="000000" w:themeColor="text1"/>
        </w:rPr>
        <w:t xml:space="preserve">to a person if </w:t>
      </w:r>
      <w:r w:rsidR="008C07D6" w:rsidRPr="008C07D6">
        <w:rPr>
          <w:iCs/>
          <w:color w:val="000000" w:themeColor="text1"/>
        </w:rPr>
        <w:t xml:space="preserve">there is player credit in </w:t>
      </w:r>
      <w:r w:rsidR="008C07D6">
        <w:rPr>
          <w:iCs/>
          <w:color w:val="000000" w:themeColor="text1"/>
        </w:rPr>
        <w:t xml:space="preserve">the </w:t>
      </w:r>
      <w:r w:rsidR="008C07D6" w:rsidRPr="008C07D6">
        <w:rPr>
          <w:iCs/>
          <w:color w:val="000000" w:themeColor="text1"/>
        </w:rPr>
        <w:t xml:space="preserve">person’s player account 5 years after the day the person last takes an </w:t>
      </w:r>
      <w:r w:rsidR="008C07D6" w:rsidRPr="008C07D6">
        <w:rPr>
          <w:iCs/>
          <w:color w:val="000000" w:themeColor="text1"/>
        </w:rPr>
        <w:lastRenderedPageBreak/>
        <w:t>account action</w:t>
      </w:r>
      <w:r w:rsidR="008C07D6">
        <w:rPr>
          <w:iCs/>
          <w:color w:val="000000" w:themeColor="text1"/>
        </w:rPr>
        <w:t xml:space="preserve">. The written notice must include details of what will happen to the credits if they are not redeemed at the end of the </w:t>
      </w:r>
      <w:r w:rsidR="006D6821">
        <w:rPr>
          <w:iCs/>
          <w:color w:val="000000" w:themeColor="text1"/>
        </w:rPr>
        <w:t>6-year</w:t>
      </w:r>
      <w:r w:rsidR="008C07D6">
        <w:rPr>
          <w:iCs/>
          <w:color w:val="000000" w:themeColor="text1"/>
        </w:rPr>
        <w:t xml:space="preserve"> period. This section introduces new definition:</w:t>
      </w:r>
    </w:p>
    <w:p w14:paraId="0C625282" w14:textId="11F24D4B" w:rsidR="008C07D6" w:rsidRPr="006D6821" w:rsidRDefault="008C07D6" w:rsidP="006D6821">
      <w:pPr>
        <w:pStyle w:val="ListParagraph"/>
        <w:numPr>
          <w:ilvl w:val="0"/>
          <w:numId w:val="24"/>
        </w:numPr>
        <w:rPr>
          <w:iCs/>
          <w:color w:val="000000" w:themeColor="text1"/>
        </w:rPr>
      </w:pPr>
      <w:r w:rsidRPr="006D6821">
        <w:rPr>
          <w:i/>
          <w:iCs/>
          <w:color w:val="000000" w:themeColor="text1"/>
        </w:rPr>
        <w:t>account action</w:t>
      </w:r>
      <w:r w:rsidRPr="006D6821">
        <w:rPr>
          <w:iCs/>
          <w:color w:val="000000" w:themeColor="text1"/>
        </w:rPr>
        <w:t xml:space="preserve"> – in relation to a player account, means any of the following:  </w:t>
      </w:r>
    </w:p>
    <w:p w14:paraId="701559B0" w14:textId="77777777" w:rsidR="00946AD8" w:rsidRDefault="008C07D6" w:rsidP="00946AD8">
      <w:pPr>
        <w:pStyle w:val="ListParagraph"/>
        <w:numPr>
          <w:ilvl w:val="0"/>
          <w:numId w:val="34"/>
        </w:numPr>
        <w:rPr>
          <w:iCs/>
          <w:color w:val="000000" w:themeColor="text1"/>
        </w:rPr>
      </w:pPr>
      <w:r w:rsidRPr="00946AD8">
        <w:rPr>
          <w:iCs/>
          <w:color w:val="000000" w:themeColor="text1"/>
        </w:rPr>
        <w:t xml:space="preserve">a player card linked to the account is used to play a gaming machine; </w:t>
      </w:r>
    </w:p>
    <w:p w14:paraId="74308102" w14:textId="77777777" w:rsidR="00946AD8" w:rsidRDefault="008C07D6" w:rsidP="00946AD8">
      <w:pPr>
        <w:pStyle w:val="ListParagraph"/>
        <w:numPr>
          <w:ilvl w:val="0"/>
          <w:numId w:val="34"/>
        </w:numPr>
        <w:rPr>
          <w:iCs/>
          <w:color w:val="000000" w:themeColor="text1"/>
        </w:rPr>
      </w:pPr>
      <w:r w:rsidRPr="00946AD8">
        <w:rPr>
          <w:iCs/>
          <w:color w:val="000000" w:themeColor="text1"/>
        </w:rPr>
        <w:t xml:space="preserve">player credit is redeemed from the account; </w:t>
      </w:r>
    </w:p>
    <w:p w14:paraId="6CC05951" w14:textId="15658F20" w:rsidR="008C07D6" w:rsidRPr="00946AD8" w:rsidRDefault="008C07D6" w:rsidP="00946AD8">
      <w:pPr>
        <w:pStyle w:val="ListParagraph"/>
        <w:numPr>
          <w:ilvl w:val="0"/>
          <w:numId w:val="34"/>
        </w:numPr>
        <w:rPr>
          <w:iCs/>
          <w:color w:val="000000" w:themeColor="text1"/>
        </w:rPr>
      </w:pPr>
      <w:r w:rsidRPr="00946AD8">
        <w:rPr>
          <w:iCs/>
          <w:color w:val="000000" w:themeColor="text1"/>
        </w:rPr>
        <w:t>purchased credit is added to the account.</w:t>
      </w:r>
    </w:p>
    <w:p w14:paraId="388ACA05" w14:textId="77777777" w:rsidR="00135B8B" w:rsidRDefault="00135B8B" w:rsidP="00135B8B">
      <w:pPr>
        <w:spacing w:after="0"/>
        <w:ind w:left="810" w:firstLine="630"/>
        <w:rPr>
          <w:iCs/>
          <w:color w:val="000000" w:themeColor="text1"/>
        </w:rPr>
      </w:pPr>
    </w:p>
    <w:p w14:paraId="4433E350" w14:textId="16B6D15B" w:rsidR="00B55750" w:rsidRPr="00135B8B" w:rsidRDefault="00135B8B" w:rsidP="00B55750">
      <w:pPr>
        <w:ind w:left="405"/>
        <w:rPr>
          <w:iCs/>
          <w:color w:val="000000" w:themeColor="text1"/>
          <w:u w:val="single"/>
        </w:rPr>
      </w:pPr>
      <w:r w:rsidRPr="00135B8B">
        <w:rPr>
          <w:iCs/>
          <w:color w:val="000000" w:themeColor="text1"/>
          <w:u w:val="single"/>
        </w:rPr>
        <w:t>New division 5A.4</w:t>
      </w:r>
    </w:p>
    <w:p w14:paraId="5D1953E5" w14:textId="4F992257" w:rsidR="00B55750" w:rsidRDefault="00135B8B" w:rsidP="00B55750">
      <w:pPr>
        <w:ind w:left="405"/>
        <w:rPr>
          <w:iCs/>
          <w:color w:val="000000" w:themeColor="text1"/>
        </w:rPr>
      </w:pPr>
      <w:r>
        <w:rPr>
          <w:iCs/>
          <w:color w:val="000000" w:themeColor="text1"/>
        </w:rPr>
        <w:t>New section 67M introduces new definition:</w:t>
      </w:r>
    </w:p>
    <w:p w14:paraId="7ED4B717" w14:textId="71FCFF12" w:rsidR="00135B8B" w:rsidRDefault="00135B8B" w:rsidP="00135B8B">
      <w:pPr>
        <w:pStyle w:val="ListParagraph"/>
        <w:numPr>
          <w:ilvl w:val="0"/>
          <w:numId w:val="24"/>
        </w:numPr>
        <w:rPr>
          <w:iCs/>
          <w:color w:val="000000" w:themeColor="text1"/>
        </w:rPr>
      </w:pPr>
      <w:r w:rsidRPr="00135B8B">
        <w:rPr>
          <w:i/>
          <w:iCs/>
          <w:color w:val="000000" w:themeColor="text1"/>
        </w:rPr>
        <w:t>person excluded from gaming machines</w:t>
      </w:r>
      <w:r w:rsidR="00457B2D">
        <w:rPr>
          <w:i/>
          <w:iCs/>
          <w:color w:val="000000" w:themeColor="text1"/>
        </w:rPr>
        <w:t xml:space="preserve">, </w:t>
      </w:r>
      <w:r w:rsidRPr="00135B8B">
        <w:rPr>
          <w:iCs/>
          <w:color w:val="000000" w:themeColor="text1"/>
        </w:rPr>
        <w:t xml:space="preserve">in relation to authorised premises, means a person to whom the following applies: </w:t>
      </w:r>
    </w:p>
    <w:p w14:paraId="19DFF035" w14:textId="77777777" w:rsidR="00135B8B" w:rsidRDefault="00135B8B" w:rsidP="00135B8B">
      <w:pPr>
        <w:pStyle w:val="ListParagraph"/>
        <w:numPr>
          <w:ilvl w:val="0"/>
          <w:numId w:val="26"/>
        </w:numPr>
        <w:rPr>
          <w:iCs/>
          <w:color w:val="000000" w:themeColor="text1"/>
        </w:rPr>
      </w:pPr>
      <w:r w:rsidRPr="00135B8B">
        <w:rPr>
          <w:iCs/>
          <w:color w:val="000000" w:themeColor="text1"/>
        </w:rPr>
        <w:t xml:space="preserve">a gambling exclusion notice or gambling exclusion determination under the Control Act is in force in relation to the person; </w:t>
      </w:r>
    </w:p>
    <w:p w14:paraId="0753732F" w14:textId="6F6AFFDA" w:rsidR="00356ACE" w:rsidRDefault="00135B8B" w:rsidP="009D1DBA">
      <w:pPr>
        <w:pStyle w:val="ListParagraph"/>
        <w:numPr>
          <w:ilvl w:val="0"/>
          <w:numId w:val="26"/>
        </w:numPr>
        <w:rPr>
          <w:iCs/>
          <w:color w:val="000000" w:themeColor="text1"/>
        </w:rPr>
      </w:pPr>
      <w:r w:rsidRPr="00135B8B">
        <w:rPr>
          <w:iCs/>
          <w:color w:val="000000" w:themeColor="text1"/>
        </w:rPr>
        <w:t>the notice or determination excludes the person from playing gaming machines at the premises.</w:t>
      </w:r>
    </w:p>
    <w:p w14:paraId="793E34B2" w14:textId="77777777" w:rsidR="009D1DBA" w:rsidRPr="009D1DBA" w:rsidRDefault="009D1DBA" w:rsidP="009D1DBA">
      <w:pPr>
        <w:pStyle w:val="ListParagraph"/>
        <w:numPr>
          <w:ilvl w:val="0"/>
          <w:numId w:val="26"/>
        </w:numPr>
        <w:rPr>
          <w:iCs/>
          <w:color w:val="000000" w:themeColor="text1"/>
        </w:rPr>
      </w:pPr>
    </w:p>
    <w:p w14:paraId="699988E3" w14:textId="62789510" w:rsidR="00B55750" w:rsidRDefault="00F66250" w:rsidP="00B55750">
      <w:pPr>
        <w:ind w:left="405"/>
        <w:rPr>
          <w:rFonts w:asciiTheme="minorHAnsi" w:hAnsiTheme="minorHAnsi" w:cstheme="minorHAnsi"/>
        </w:rPr>
      </w:pPr>
      <w:r>
        <w:rPr>
          <w:iCs/>
          <w:color w:val="000000" w:themeColor="text1"/>
        </w:rPr>
        <w:t xml:space="preserve">New section 67N makes it an offence for a licensee to open a player account for a person excluded from gaming machines at the licensee’s authorised premises. This offence is a strict liability offence, carrying a maximum penalty of 50 penalty units. The purpose of this offence is to </w:t>
      </w:r>
      <w:r w:rsidRPr="00F66250">
        <w:rPr>
          <w:rFonts w:asciiTheme="minorHAnsi" w:hAnsiTheme="minorHAnsi" w:cstheme="minorHAnsi"/>
        </w:rPr>
        <w:t>ensure a licensee does not allow a person to play gaming machines prior to the expiration of their exclusion period</w:t>
      </w:r>
      <w:r>
        <w:rPr>
          <w:rFonts w:asciiTheme="minorHAnsi" w:hAnsiTheme="minorHAnsi" w:cstheme="minorHAnsi"/>
        </w:rPr>
        <w:t xml:space="preserve"> and potentially expose the person to gambling harm. </w:t>
      </w:r>
    </w:p>
    <w:p w14:paraId="404F0E12" w14:textId="22B8773D" w:rsidR="00F66250" w:rsidRDefault="00F66250" w:rsidP="00B55750">
      <w:pPr>
        <w:ind w:left="405"/>
        <w:rPr>
          <w:iCs/>
          <w:color w:val="000000" w:themeColor="text1"/>
        </w:rPr>
      </w:pPr>
      <w:r>
        <w:rPr>
          <w:rFonts w:asciiTheme="minorHAnsi" w:hAnsiTheme="minorHAnsi" w:cstheme="minorHAnsi"/>
        </w:rPr>
        <w:t>New section 67O makes it an offence if a licensee fails to ensure that the</w:t>
      </w:r>
      <w:r w:rsidRPr="00F66250">
        <w:rPr>
          <w:rFonts w:asciiTheme="minorHAnsi" w:hAnsiTheme="minorHAnsi" w:cstheme="minorHAnsi"/>
        </w:rPr>
        <w:t xml:space="preserve"> player card of a person excluded from gaming machines at the licensee’s authorised premises is unable to be used to play a gaming machine at the premises.</w:t>
      </w:r>
      <w:r>
        <w:rPr>
          <w:iCs/>
          <w:color w:val="000000" w:themeColor="text1"/>
        </w:rPr>
        <w:t xml:space="preserve"> This offence is a strict liability offence, carrying a maximum penalty of 50 penalty units. The purpose of this offence is to ensure a person who has chosen to self-exclude is not able to circumvent their exclusion and be exposed to further gambling harm prior to the expiration of their exclusion. </w:t>
      </w:r>
    </w:p>
    <w:p w14:paraId="6FD38978" w14:textId="758C921A" w:rsidR="00B13CDC" w:rsidRDefault="00B13CDC" w:rsidP="00B13CDC">
      <w:pPr>
        <w:ind w:left="405"/>
        <w:rPr>
          <w:rFonts w:ascii="Arial" w:hAnsi="Arial" w:cs="Arial"/>
        </w:rPr>
      </w:pPr>
      <w:r>
        <w:rPr>
          <w:iCs/>
          <w:color w:val="000000" w:themeColor="text1"/>
        </w:rPr>
        <w:t xml:space="preserve">New section 67P makes it an offence </w:t>
      </w:r>
      <w:r w:rsidRPr="00B13CDC">
        <w:rPr>
          <w:rFonts w:asciiTheme="minorHAnsi" w:hAnsiTheme="minorHAnsi" w:cstheme="minorHAnsi"/>
        </w:rPr>
        <w:t>for a licensee if a person who has been excluded and held an account prior to being excluded does not have their ID checked most recently after they stop being excluded.</w:t>
      </w:r>
      <w:r>
        <w:rPr>
          <w:rFonts w:asciiTheme="minorHAnsi" w:hAnsiTheme="minorHAnsi" w:cstheme="minorHAnsi"/>
        </w:rPr>
        <w:t xml:space="preserve"> </w:t>
      </w:r>
      <w:r>
        <w:rPr>
          <w:iCs/>
          <w:color w:val="000000" w:themeColor="text1"/>
        </w:rPr>
        <w:t xml:space="preserve">This </w:t>
      </w:r>
      <w:r w:rsidRPr="00B13CDC">
        <w:rPr>
          <w:rFonts w:asciiTheme="minorHAnsi" w:hAnsiTheme="minorHAnsi" w:cstheme="minorHAnsi"/>
          <w:iCs/>
          <w:color w:val="000000" w:themeColor="text1"/>
        </w:rPr>
        <w:t>offence is a strict liability offence, carrying a maximum penalty of 50 penalty units. The purpose of this offence is to e</w:t>
      </w:r>
      <w:r w:rsidRPr="00B13CDC">
        <w:rPr>
          <w:rFonts w:asciiTheme="minorHAnsi" w:hAnsiTheme="minorHAnsi" w:cstheme="minorHAnsi"/>
        </w:rPr>
        <w:t>nsure a licensee does not allow someone who is not the holder of an account and card to reinstate a person’s account following a period of exclusion.</w:t>
      </w:r>
      <w:r>
        <w:rPr>
          <w:rFonts w:ascii="Arial" w:hAnsi="Arial" w:cs="Arial"/>
        </w:rPr>
        <w:t xml:space="preserve"> </w:t>
      </w:r>
    </w:p>
    <w:p w14:paraId="3CB2EB0C" w14:textId="4DB37D5B" w:rsidR="00AF14A9" w:rsidRDefault="00AF14A9" w:rsidP="00B13CDC">
      <w:pPr>
        <w:ind w:left="405"/>
        <w:rPr>
          <w:rFonts w:asciiTheme="minorHAnsi" w:hAnsiTheme="minorHAnsi" w:cstheme="minorHAnsi"/>
        </w:rPr>
      </w:pPr>
      <w:r w:rsidRPr="00AF14A9">
        <w:rPr>
          <w:rFonts w:asciiTheme="minorHAnsi" w:hAnsiTheme="minorHAnsi" w:cstheme="minorHAnsi"/>
        </w:rPr>
        <w:t>New section 67Q</w:t>
      </w:r>
      <w:r>
        <w:rPr>
          <w:rFonts w:asciiTheme="minorHAnsi" w:hAnsiTheme="minorHAnsi" w:cstheme="minorHAnsi"/>
        </w:rPr>
        <w:t xml:space="preserve"> introduces obligations on a licensee for dealing with unredeemed player credit. The section provides that a licensee must </w:t>
      </w:r>
      <w:r w:rsidRPr="00AF14A9">
        <w:rPr>
          <w:rFonts w:asciiTheme="minorHAnsi" w:hAnsiTheme="minorHAnsi" w:cstheme="minorHAnsi"/>
        </w:rPr>
        <w:t xml:space="preserve">take reasonable steps to redeem player credit </w:t>
      </w:r>
      <w:r>
        <w:rPr>
          <w:rFonts w:asciiTheme="minorHAnsi" w:hAnsiTheme="minorHAnsi" w:cstheme="minorHAnsi"/>
        </w:rPr>
        <w:t xml:space="preserve">for an excluded person, </w:t>
      </w:r>
      <w:r w:rsidRPr="00AF14A9">
        <w:rPr>
          <w:rFonts w:asciiTheme="minorHAnsi" w:hAnsiTheme="minorHAnsi" w:cstheme="minorHAnsi"/>
        </w:rPr>
        <w:t>not later than 14 days after the day the person becomes excluded from gaming machines at the premises.</w:t>
      </w:r>
    </w:p>
    <w:p w14:paraId="75FA353B" w14:textId="042E1A7B" w:rsidR="00E100F5" w:rsidRPr="00E100F5" w:rsidRDefault="00E100F5" w:rsidP="00B13CDC">
      <w:pPr>
        <w:ind w:left="405"/>
        <w:rPr>
          <w:rFonts w:asciiTheme="minorHAnsi" w:hAnsiTheme="minorHAnsi" w:cstheme="minorHAnsi"/>
          <w:u w:val="single"/>
        </w:rPr>
      </w:pPr>
      <w:r w:rsidRPr="00E100F5">
        <w:rPr>
          <w:rFonts w:asciiTheme="minorHAnsi" w:hAnsiTheme="minorHAnsi" w:cstheme="minorHAnsi"/>
          <w:u w:val="single"/>
        </w:rPr>
        <w:t>New division 5A.5</w:t>
      </w:r>
    </w:p>
    <w:p w14:paraId="4B629F9C" w14:textId="44FF7F58" w:rsidR="00E100F5" w:rsidRDefault="00810063" w:rsidP="00B13CDC">
      <w:pPr>
        <w:ind w:left="405"/>
        <w:rPr>
          <w:rFonts w:asciiTheme="minorHAnsi" w:hAnsiTheme="minorHAnsi" w:cstheme="minorHAnsi"/>
        </w:rPr>
      </w:pPr>
      <w:r>
        <w:rPr>
          <w:rFonts w:asciiTheme="minorHAnsi" w:hAnsiTheme="minorHAnsi" w:cstheme="minorHAnsi"/>
        </w:rPr>
        <w:t>New section 67R introduces new definitions:</w:t>
      </w:r>
    </w:p>
    <w:p w14:paraId="200693B5" w14:textId="77777777" w:rsidR="00585DE9" w:rsidRPr="00810063" w:rsidRDefault="00585DE9" w:rsidP="00585DE9">
      <w:pPr>
        <w:pStyle w:val="ListParagraph"/>
        <w:numPr>
          <w:ilvl w:val="0"/>
          <w:numId w:val="24"/>
        </w:numPr>
        <w:rPr>
          <w:rFonts w:asciiTheme="minorHAnsi" w:hAnsiTheme="minorHAnsi" w:cstheme="minorHAnsi"/>
        </w:rPr>
      </w:pPr>
      <w:r w:rsidRPr="00810063">
        <w:rPr>
          <w:rFonts w:asciiTheme="minorHAnsi" w:hAnsiTheme="minorHAnsi" w:cstheme="minorHAnsi"/>
          <w:i/>
          <w:iCs/>
        </w:rPr>
        <w:lastRenderedPageBreak/>
        <w:t>net loss</w:t>
      </w:r>
      <w:r w:rsidRPr="00810063">
        <w:rPr>
          <w:rFonts w:asciiTheme="minorHAnsi" w:hAnsiTheme="minorHAnsi" w:cstheme="minorHAnsi"/>
        </w:rPr>
        <w:t xml:space="preserve">, for a person playing 1 or more gaming machines, means the total amount the person loses when playing the gaming machines, less the amount of winnings paid for playing the gaming machines. </w:t>
      </w:r>
    </w:p>
    <w:p w14:paraId="375D3942" w14:textId="77777777" w:rsidR="00585DE9" w:rsidRPr="00810063" w:rsidRDefault="00585DE9" w:rsidP="00585DE9">
      <w:pPr>
        <w:pStyle w:val="ListParagraph"/>
        <w:numPr>
          <w:ilvl w:val="0"/>
          <w:numId w:val="24"/>
        </w:numPr>
        <w:rPr>
          <w:rFonts w:asciiTheme="minorHAnsi" w:hAnsiTheme="minorHAnsi" w:cstheme="minorHAnsi"/>
        </w:rPr>
      </w:pPr>
      <w:r w:rsidRPr="00810063">
        <w:rPr>
          <w:rFonts w:asciiTheme="minorHAnsi" w:hAnsiTheme="minorHAnsi" w:cstheme="minorHAnsi"/>
          <w:i/>
          <w:iCs/>
        </w:rPr>
        <w:t>net loss limit</w:t>
      </w:r>
      <w:r w:rsidRPr="00810063">
        <w:rPr>
          <w:rFonts w:asciiTheme="minorHAnsi" w:hAnsiTheme="minorHAnsi" w:cstheme="minorHAnsi"/>
        </w:rPr>
        <w:t xml:space="preserve">, for a playing period, means the maximum net loss a person playing gaming machines is prepared to lose during the playing period. </w:t>
      </w:r>
    </w:p>
    <w:p w14:paraId="0E6A5CCA" w14:textId="77777777" w:rsidR="00585DE9" w:rsidRPr="00810063" w:rsidRDefault="00585DE9" w:rsidP="00585DE9">
      <w:pPr>
        <w:pStyle w:val="ListParagraph"/>
        <w:numPr>
          <w:ilvl w:val="0"/>
          <w:numId w:val="24"/>
        </w:numPr>
        <w:rPr>
          <w:rFonts w:asciiTheme="minorHAnsi" w:hAnsiTheme="minorHAnsi" w:cstheme="minorHAnsi"/>
        </w:rPr>
      </w:pPr>
      <w:r w:rsidRPr="00810063">
        <w:rPr>
          <w:rFonts w:asciiTheme="minorHAnsi" w:hAnsiTheme="minorHAnsi" w:cstheme="minorHAnsi"/>
          <w:i/>
          <w:iCs/>
        </w:rPr>
        <w:t>playing period</w:t>
      </w:r>
      <w:r w:rsidRPr="00810063">
        <w:rPr>
          <w:rFonts w:asciiTheme="minorHAnsi" w:hAnsiTheme="minorHAnsi" w:cstheme="minorHAnsi"/>
          <w:b/>
          <w:bCs/>
          <w:i/>
          <w:iCs/>
        </w:rPr>
        <w:t xml:space="preserve"> </w:t>
      </w:r>
      <w:r w:rsidRPr="00810063">
        <w:rPr>
          <w:rFonts w:asciiTheme="minorHAnsi" w:hAnsiTheme="minorHAnsi" w:cstheme="minorHAnsi"/>
        </w:rPr>
        <w:t xml:space="preserve">means— </w:t>
      </w:r>
    </w:p>
    <w:p w14:paraId="37729B58" w14:textId="77777777" w:rsidR="00946AD8" w:rsidRDefault="00585DE9" w:rsidP="00946AD8">
      <w:pPr>
        <w:pStyle w:val="ListParagraph"/>
        <w:numPr>
          <w:ilvl w:val="0"/>
          <w:numId w:val="35"/>
        </w:numPr>
        <w:rPr>
          <w:rFonts w:asciiTheme="minorHAnsi" w:hAnsiTheme="minorHAnsi" w:cstheme="minorHAnsi"/>
        </w:rPr>
      </w:pPr>
      <w:r w:rsidRPr="00946AD8">
        <w:rPr>
          <w:rFonts w:asciiTheme="minorHAnsi" w:hAnsiTheme="minorHAnsi" w:cstheme="minorHAnsi"/>
        </w:rPr>
        <w:t xml:space="preserve">the period prescribed by regulation; or </w:t>
      </w:r>
    </w:p>
    <w:p w14:paraId="583E641E" w14:textId="67EAD823" w:rsidR="00585DE9" w:rsidRPr="00946AD8" w:rsidRDefault="00585DE9" w:rsidP="00946AD8">
      <w:pPr>
        <w:pStyle w:val="ListParagraph"/>
        <w:numPr>
          <w:ilvl w:val="0"/>
          <w:numId w:val="35"/>
        </w:numPr>
        <w:rPr>
          <w:rFonts w:asciiTheme="minorHAnsi" w:hAnsiTheme="minorHAnsi" w:cstheme="minorHAnsi"/>
        </w:rPr>
      </w:pPr>
      <w:r w:rsidRPr="00946AD8">
        <w:rPr>
          <w:rFonts w:asciiTheme="minorHAnsi" w:hAnsiTheme="minorHAnsi" w:cstheme="minorHAnsi"/>
        </w:rPr>
        <w:t xml:space="preserve"> if no period is prescribed—24 hours. </w:t>
      </w:r>
    </w:p>
    <w:p w14:paraId="6C93A611" w14:textId="77777777" w:rsidR="00585DE9" w:rsidRPr="00810063" w:rsidRDefault="00585DE9" w:rsidP="00585DE9">
      <w:pPr>
        <w:pStyle w:val="ListParagraph"/>
        <w:numPr>
          <w:ilvl w:val="0"/>
          <w:numId w:val="24"/>
        </w:numPr>
        <w:rPr>
          <w:rFonts w:asciiTheme="minorHAnsi" w:hAnsiTheme="minorHAnsi" w:cstheme="minorHAnsi"/>
        </w:rPr>
      </w:pPr>
      <w:r w:rsidRPr="00810063">
        <w:rPr>
          <w:rFonts w:asciiTheme="minorHAnsi" w:hAnsiTheme="minorHAnsi" w:cstheme="minorHAnsi"/>
          <w:i/>
          <w:iCs/>
        </w:rPr>
        <w:t>pre-commitment controls</w:t>
      </w:r>
      <w:r w:rsidRPr="00810063">
        <w:rPr>
          <w:rFonts w:asciiTheme="minorHAnsi" w:hAnsiTheme="minorHAnsi" w:cstheme="minorHAnsi"/>
        </w:rPr>
        <w:t xml:space="preserve">, for an account-based system, means the following: </w:t>
      </w:r>
    </w:p>
    <w:p w14:paraId="7756CBD7" w14:textId="77777777" w:rsidR="00585DE9" w:rsidRDefault="00585DE9" w:rsidP="00585DE9">
      <w:pPr>
        <w:pStyle w:val="ListParagraph"/>
        <w:numPr>
          <w:ilvl w:val="2"/>
          <w:numId w:val="12"/>
        </w:numPr>
        <w:rPr>
          <w:rFonts w:asciiTheme="minorHAnsi" w:hAnsiTheme="minorHAnsi" w:cstheme="minorHAnsi"/>
        </w:rPr>
      </w:pPr>
      <w:r w:rsidRPr="00810063">
        <w:rPr>
          <w:rFonts w:asciiTheme="minorHAnsi" w:hAnsiTheme="minorHAnsi" w:cstheme="minorHAnsi"/>
        </w:rPr>
        <w:t xml:space="preserve">the system must identify a person (a </w:t>
      </w:r>
      <w:r w:rsidRPr="00810063">
        <w:rPr>
          <w:rFonts w:asciiTheme="minorHAnsi" w:hAnsiTheme="minorHAnsi" w:cstheme="minorHAnsi"/>
          <w:b/>
          <w:bCs/>
          <w:i/>
          <w:iCs/>
        </w:rPr>
        <w:t>player</w:t>
      </w:r>
      <w:r w:rsidRPr="00810063">
        <w:rPr>
          <w:rFonts w:asciiTheme="minorHAnsi" w:hAnsiTheme="minorHAnsi" w:cstheme="minorHAnsi"/>
        </w:rPr>
        <w:t>) proposing to play a gaming machine connected to the system;</w:t>
      </w:r>
    </w:p>
    <w:p w14:paraId="57D6E613" w14:textId="77777777" w:rsidR="00585DE9" w:rsidRPr="00457B2D" w:rsidRDefault="00585DE9" w:rsidP="00585DE9">
      <w:pPr>
        <w:pStyle w:val="ListParagraph"/>
        <w:numPr>
          <w:ilvl w:val="2"/>
          <w:numId w:val="12"/>
        </w:numPr>
        <w:rPr>
          <w:rFonts w:asciiTheme="minorHAnsi" w:hAnsiTheme="minorHAnsi" w:cstheme="minorHAnsi"/>
        </w:rPr>
      </w:pPr>
      <w:r w:rsidRPr="00457B2D">
        <w:rPr>
          <w:rFonts w:asciiTheme="minorHAnsi" w:hAnsiTheme="minorHAnsi" w:cstheme="minorHAnsi"/>
        </w:rPr>
        <w:t>the system must prevent the player from playing the gaming machine in a circumstance prescribed by regulation;</w:t>
      </w:r>
    </w:p>
    <w:p w14:paraId="6A454130" w14:textId="77777777" w:rsidR="00585DE9" w:rsidRDefault="00585DE9" w:rsidP="00585DE9">
      <w:pPr>
        <w:pStyle w:val="ListParagraph"/>
        <w:numPr>
          <w:ilvl w:val="2"/>
          <w:numId w:val="12"/>
        </w:numPr>
        <w:rPr>
          <w:rFonts w:asciiTheme="minorHAnsi" w:hAnsiTheme="minorHAnsi" w:cstheme="minorHAnsi"/>
        </w:rPr>
      </w:pPr>
      <w:r w:rsidRPr="00457B2D">
        <w:rPr>
          <w:rFonts w:asciiTheme="minorHAnsi" w:hAnsiTheme="minorHAnsi" w:cstheme="minorHAnsi"/>
        </w:rPr>
        <w:t>any other controls prescribed by regulation.</w:t>
      </w:r>
    </w:p>
    <w:p w14:paraId="00692367" w14:textId="77777777" w:rsidR="00585DE9" w:rsidRPr="00810063" w:rsidRDefault="00585DE9" w:rsidP="00585DE9">
      <w:pPr>
        <w:pStyle w:val="ListParagraph"/>
        <w:ind w:left="2160"/>
        <w:rPr>
          <w:rFonts w:asciiTheme="minorHAnsi" w:hAnsiTheme="minorHAnsi" w:cstheme="minorHAnsi"/>
        </w:rPr>
      </w:pPr>
    </w:p>
    <w:p w14:paraId="2582B59A" w14:textId="39662FB6" w:rsidR="00585DE9" w:rsidRDefault="00585DE9" w:rsidP="00B13CDC">
      <w:pPr>
        <w:ind w:left="405"/>
        <w:rPr>
          <w:rFonts w:asciiTheme="minorHAnsi" w:hAnsiTheme="minorHAnsi" w:cstheme="minorHAnsi"/>
        </w:rPr>
      </w:pPr>
      <w:r>
        <w:rPr>
          <w:rFonts w:asciiTheme="minorHAnsi" w:hAnsiTheme="minorHAnsi" w:cstheme="minorHAnsi"/>
        </w:rPr>
        <w:t>New section 67S contains two offences in relation to applying pre-commitment controls for gaming machines, making it an offence for a licensee:</w:t>
      </w:r>
    </w:p>
    <w:p w14:paraId="3D86E936" w14:textId="77777777" w:rsidR="00332F13" w:rsidRDefault="00332F13" w:rsidP="00332F13">
      <w:pPr>
        <w:pStyle w:val="ListParagraph"/>
        <w:numPr>
          <w:ilvl w:val="0"/>
          <w:numId w:val="24"/>
        </w:numPr>
        <w:rPr>
          <w:rFonts w:asciiTheme="minorHAnsi" w:hAnsiTheme="minorHAnsi" w:cstheme="minorHAnsi"/>
        </w:rPr>
      </w:pPr>
      <w:r w:rsidRPr="00585DE9">
        <w:rPr>
          <w:rFonts w:asciiTheme="minorHAnsi" w:hAnsiTheme="minorHAnsi" w:cstheme="minorHAnsi"/>
        </w:rPr>
        <w:t>if a licensee operates a gaming machine at their authorised premises that is not connected to an account-based gaming system that gives effect to the pre-commitment controls</w:t>
      </w:r>
      <w:r>
        <w:rPr>
          <w:rFonts w:asciiTheme="minorHAnsi" w:hAnsiTheme="minorHAnsi" w:cstheme="minorHAnsi"/>
        </w:rPr>
        <w:t xml:space="preserve">; and </w:t>
      </w:r>
    </w:p>
    <w:p w14:paraId="7BAD84FF" w14:textId="77777777" w:rsidR="00332F13" w:rsidRDefault="00332F13" w:rsidP="00332F13">
      <w:pPr>
        <w:pStyle w:val="ListParagraph"/>
        <w:numPr>
          <w:ilvl w:val="0"/>
          <w:numId w:val="24"/>
        </w:numPr>
        <w:rPr>
          <w:rFonts w:asciiTheme="minorHAnsi" w:hAnsiTheme="minorHAnsi" w:cstheme="minorHAnsi"/>
        </w:rPr>
      </w:pPr>
      <w:r w:rsidRPr="00585DE9">
        <w:rPr>
          <w:rFonts w:asciiTheme="minorHAnsi" w:hAnsiTheme="minorHAnsi" w:cstheme="minorHAnsi"/>
        </w:rPr>
        <w:t>if a licensee operates a gaming machine at their authorised premises that is not connected to an account-based gaming system that gives effect to the pre-commitment controls and is the controls are not functioning in the way in which it was approved by the commission.</w:t>
      </w:r>
    </w:p>
    <w:p w14:paraId="4568AF4A" w14:textId="77777777" w:rsidR="00332F13" w:rsidRPr="00585DE9" w:rsidRDefault="00332F13" w:rsidP="00332F13">
      <w:pPr>
        <w:pStyle w:val="ListParagraph"/>
        <w:ind w:left="1125"/>
        <w:rPr>
          <w:rFonts w:asciiTheme="minorHAnsi" w:hAnsiTheme="minorHAnsi" w:cstheme="minorHAnsi"/>
        </w:rPr>
      </w:pPr>
    </w:p>
    <w:p w14:paraId="1E87C98A" w14:textId="025FF122" w:rsidR="00332F13" w:rsidRPr="00332F13" w:rsidRDefault="00585DE9" w:rsidP="00332F13">
      <w:pPr>
        <w:ind w:left="405"/>
        <w:rPr>
          <w:rFonts w:asciiTheme="minorHAnsi" w:hAnsiTheme="minorHAnsi" w:cstheme="minorHAnsi"/>
        </w:rPr>
      </w:pPr>
      <w:r>
        <w:rPr>
          <w:rFonts w:asciiTheme="minorHAnsi" w:hAnsiTheme="minorHAnsi" w:cstheme="minorHAnsi"/>
        </w:rPr>
        <w:t xml:space="preserve">These offences </w:t>
      </w:r>
      <w:r w:rsidR="00332F13">
        <w:rPr>
          <w:rFonts w:asciiTheme="minorHAnsi" w:hAnsiTheme="minorHAnsi" w:cstheme="minorHAnsi"/>
        </w:rPr>
        <w:t>carry a maximum penalty of 100 penalty units. These offences do not apply if the</w:t>
      </w:r>
      <w:r w:rsidR="00332F13" w:rsidRPr="00332F13">
        <w:rPr>
          <w:rFonts w:ascii="Arial" w:hAnsi="Arial" w:cs="Arial"/>
        </w:rPr>
        <w:t xml:space="preserve"> </w:t>
      </w:r>
      <w:r w:rsidR="00332F13">
        <w:rPr>
          <w:rFonts w:asciiTheme="minorHAnsi" w:hAnsiTheme="minorHAnsi" w:cstheme="minorHAnsi"/>
        </w:rPr>
        <w:t>if</w:t>
      </w:r>
      <w:r w:rsidR="00332F13" w:rsidRPr="00332F13">
        <w:rPr>
          <w:rFonts w:asciiTheme="minorHAnsi" w:hAnsiTheme="minorHAnsi" w:cstheme="minorHAnsi"/>
        </w:rPr>
        <w:t xml:space="preserve"> the licensee took all reasonable steps</w:t>
      </w:r>
      <w:r w:rsidR="00332F13">
        <w:rPr>
          <w:rFonts w:asciiTheme="minorHAnsi" w:hAnsiTheme="minorHAnsi" w:cstheme="minorHAnsi"/>
        </w:rPr>
        <w:t xml:space="preserve"> to ensure the pre-commitment controls were connected and working as approved. </w:t>
      </w:r>
      <w:r w:rsidR="00332F13" w:rsidRPr="00332F13">
        <w:rPr>
          <w:rFonts w:asciiTheme="minorHAnsi" w:hAnsiTheme="minorHAnsi" w:cstheme="minorHAnsi"/>
        </w:rPr>
        <w:t>The defendant has the evidential burden of proof in these circumstances.</w:t>
      </w:r>
      <w:r w:rsidR="00332F13">
        <w:rPr>
          <w:rFonts w:asciiTheme="minorHAnsi" w:hAnsiTheme="minorHAnsi" w:cstheme="minorHAnsi"/>
        </w:rPr>
        <w:t xml:space="preserve"> The purpose of these offences is to </w:t>
      </w:r>
      <w:r w:rsidR="00332F13" w:rsidRPr="00332F13">
        <w:rPr>
          <w:rFonts w:asciiTheme="minorHAnsi" w:hAnsiTheme="minorHAnsi" w:cstheme="minorHAnsi"/>
        </w:rPr>
        <w:t xml:space="preserve">minimise the risk of harm arising from impulsive over-spending. </w:t>
      </w:r>
    </w:p>
    <w:p w14:paraId="5A4B70F3" w14:textId="2272281C" w:rsidR="00332F13" w:rsidRPr="00E42CD3" w:rsidRDefault="00E42CD3" w:rsidP="00332F13">
      <w:pPr>
        <w:ind w:left="405"/>
        <w:rPr>
          <w:rFonts w:asciiTheme="minorHAnsi" w:hAnsiTheme="minorHAnsi" w:cstheme="minorHAnsi"/>
          <w:u w:val="single"/>
        </w:rPr>
      </w:pPr>
      <w:r>
        <w:rPr>
          <w:rFonts w:asciiTheme="minorHAnsi" w:hAnsiTheme="minorHAnsi" w:cstheme="minorHAnsi"/>
          <w:u w:val="single"/>
        </w:rPr>
        <w:t>New d</w:t>
      </w:r>
      <w:r w:rsidRPr="00E42CD3">
        <w:rPr>
          <w:rFonts w:asciiTheme="minorHAnsi" w:hAnsiTheme="minorHAnsi" w:cstheme="minorHAnsi"/>
          <w:u w:val="single"/>
        </w:rPr>
        <w:t>ivision 5A.6</w:t>
      </w:r>
    </w:p>
    <w:p w14:paraId="2A6804C8" w14:textId="1F7A3575" w:rsidR="00E42CD3" w:rsidRDefault="005462D7" w:rsidP="00332F13">
      <w:pPr>
        <w:ind w:left="405"/>
        <w:rPr>
          <w:rFonts w:asciiTheme="minorHAnsi" w:hAnsiTheme="minorHAnsi" w:cstheme="minorHAnsi"/>
        </w:rPr>
      </w:pPr>
      <w:r>
        <w:rPr>
          <w:rFonts w:asciiTheme="minorHAnsi" w:hAnsiTheme="minorHAnsi" w:cstheme="minorHAnsi"/>
        </w:rPr>
        <w:t xml:space="preserve">New section 67T provides for the circumstances in which a person may use or disclose account information. New section 67T makes it an offence to </w:t>
      </w:r>
      <w:r w:rsidRPr="005462D7">
        <w:rPr>
          <w:rFonts w:asciiTheme="minorHAnsi" w:hAnsiTheme="minorHAnsi" w:cstheme="minorHAnsi"/>
        </w:rPr>
        <w:t xml:space="preserve">disclose or use account information in a way that is not in accordance with </w:t>
      </w:r>
      <w:r>
        <w:rPr>
          <w:rFonts w:asciiTheme="minorHAnsi" w:hAnsiTheme="minorHAnsi" w:cstheme="minorHAnsi"/>
        </w:rPr>
        <w:t xml:space="preserve">this section. The offence carries a maximum penalty of 50 penalty units. </w:t>
      </w:r>
      <w:r w:rsidR="005B1142">
        <w:rPr>
          <w:rFonts w:asciiTheme="minorHAnsi" w:hAnsiTheme="minorHAnsi" w:cstheme="minorHAnsi"/>
        </w:rPr>
        <w:t xml:space="preserve">The purpose of this offence is to </w:t>
      </w:r>
      <w:r w:rsidR="005B1142" w:rsidRPr="005B1142">
        <w:rPr>
          <w:rFonts w:asciiTheme="minorHAnsi" w:hAnsiTheme="minorHAnsi" w:cstheme="minorHAnsi"/>
        </w:rPr>
        <w:t>ensure licensees do not use data captured for compliance purposes improperly beyond the scope of circumstances listed. This aims to protect the information obtained by licensees, including personal information, about individuals, and acts as an important safeguard.</w:t>
      </w:r>
    </w:p>
    <w:p w14:paraId="68F67E5B" w14:textId="5E639B4C" w:rsidR="005462D7" w:rsidRDefault="005462D7" w:rsidP="00332F13">
      <w:pPr>
        <w:ind w:left="405"/>
        <w:rPr>
          <w:rFonts w:asciiTheme="minorHAnsi" w:hAnsiTheme="minorHAnsi" w:cstheme="minorHAnsi"/>
        </w:rPr>
      </w:pPr>
      <w:r>
        <w:rPr>
          <w:rFonts w:asciiTheme="minorHAnsi" w:hAnsiTheme="minorHAnsi" w:cstheme="minorHAnsi"/>
        </w:rPr>
        <w:t>New section 67T also introduces new definitions:</w:t>
      </w:r>
    </w:p>
    <w:p w14:paraId="103E5774" w14:textId="77777777" w:rsidR="005462D7" w:rsidRPr="00927771" w:rsidRDefault="005462D7" w:rsidP="005462D7">
      <w:pPr>
        <w:pStyle w:val="ListParagraph"/>
        <w:numPr>
          <w:ilvl w:val="0"/>
          <w:numId w:val="27"/>
        </w:numPr>
        <w:rPr>
          <w:rFonts w:asciiTheme="minorHAnsi" w:hAnsiTheme="minorHAnsi" w:cstheme="minorHAnsi"/>
        </w:rPr>
      </w:pPr>
      <w:r w:rsidRPr="00927771">
        <w:rPr>
          <w:rFonts w:asciiTheme="minorHAnsi" w:hAnsiTheme="minorHAnsi" w:cstheme="minorHAnsi"/>
          <w:i/>
          <w:iCs/>
        </w:rPr>
        <w:t xml:space="preserve">account information </w:t>
      </w:r>
      <w:r w:rsidRPr="00927771">
        <w:rPr>
          <w:rFonts w:asciiTheme="minorHAnsi" w:hAnsiTheme="minorHAnsi" w:cstheme="minorHAnsi"/>
        </w:rPr>
        <w:t xml:space="preserve">means information about a person obtained by a licensee as a result of the person doing any of the following: </w:t>
      </w:r>
    </w:p>
    <w:p w14:paraId="67693C35" w14:textId="77777777" w:rsidR="00EF4972" w:rsidRDefault="005462D7" w:rsidP="00EF4972">
      <w:pPr>
        <w:pStyle w:val="ListParagraph"/>
        <w:numPr>
          <w:ilvl w:val="0"/>
          <w:numId w:val="36"/>
        </w:numPr>
        <w:rPr>
          <w:rFonts w:asciiTheme="minorHAnsi" w:hAnsiTheme="minorHAnsi" w:cstheme="minorHAnsi"/>
        </w:rPr>
      </w:pPr>
      <w:r w:rsidRPr="00EF4972">
        <w:rPr>
          <w:rFonts w:asciiTheme="minorHAnsi" w:hAnsiTheme="minorHAnsi" w:cstheme="minorHAnsi"/>
        </w:rPr>
        <w:t xml:space="preserve">holding, and using, a player account for the licensee’s account-based system; </w:t>
      </w:r>
    </w:p>
    <w:p w14:paraId="55D6C903" w14:textId="77777777" w:rsidR="00EF4972" w:rsidRDefault="005462D7" w:rsidP="00EF4972">
      <w:pPr>
        <w:pStyle w:val="ListParagraph"/>
        <w:numPr>
          <w:ilvl w:val="0"/>
          <w:numId w:val="36"/>
        </w:numPr>
        <w:rPr>
          <w:rFonts w:asciiTheme="minorHAnsi" w:hAnsiTheme="minorHAnsi" w:cstheme="minorHAnsi"/>
        </w:rPr>
      </w:pPr>
      <w:r w:rsidRPr="00EF4972">
        <w:rPr>
          <w:rFonts w:asciiTheme="minorHAnsi" w:hAnsiTheme="minorHAnsi" w:cstheme="minorHAnsi"/>
        </w:rPr>
        <w:t xml:space="preserve">having, and using, a player card issued by the licensee; </w:t>
      </w:r>
    </w:p>
    <w:p w14:paraId="7CC6BE5C" w14:textId="648ED037" w:rsidR="005462D7" w:rsidRPr="00EF4972" w:rsidRDefault="005462D7" w:rsidP="00EF4972">
      <w:pPr>
        <w:pStyle w:val="ListParagraph"/>
        <w:numPr>
          <w:ilvl w:val="0"/>
          <w:numId w:val="36"/>
        </w:numPr>
        <w:rPr>
          <w:rFonts w:asciiTheme="minorHAnsi" w:hAnsiTheme="minorHAnsi" w:cstheme="minorHAnsi"/>
        </w:rPr>
      </w:pPr>
      <w:r w:rsidRPr="00EF4972">
        <w:rPr>
          <w:rFonts w:asciiTheme="minorHAnsi" w:hAnsiTheme="minorHAnsi" w:cstheme="minorHAnsi"/>
        </w:rPr>
        <w:t xml:space="preserve">operating a gaming machine on the licensee’s authorised premises. </w:t>
      </w:r>
    </w:p>
    <w:p w14:paraId="6F81D0E5" w14:textId="77777777" w:rsidR="005462D7" w:rsidRPr="00927771" w:rsidRDefault="005462D7" w:rsidP="005462D7">
      <w:pPr>
        <w:pStyle w:val="ListParagraph"/>
        <w:numPr>
          <w:ilvl w:val="0"/>
          <w:numId w:val="27"/>
        </w:numPr>
        <w:rPr>
          <w:rFonts w:asciiTheme="minorHAnsi" w:hAnsiTheme="minorHAnsi" w:cstheme="minorHAnsi"/>
        </w:rPr>
      </w:pPr>
      <w:r w:rsidRPr="00927771">
        <w:rPr>
          <w:rFonts w:asciiTheme="minorHAnsi" w:hAnsiTheme="minorHAnsi" w:cstheme="minorHAnsi"/>
          <w:i/>
          <w:iCs/>
        </w:rPr>
        <w:t xml:space="preserve">law enforcement agency— </w:t>
      </w:r>
    </w:p>
    <w:p w14:paraId="09067CA4" w14:textId="77777777" w:rsidR="00EF4972" w:rsidRDefault="005462D7" w:rsidP="00EF4972">
      <w:pPr>
        <w:pStyle w:val="ListParagraph"/>
        <w:numPr>
          <w:ilvl w:val="0"/>
          <w:numId w:val="37"/>
        </w:numPr>
        <w:rPr>
          <w:rFonts w:asciiTheme="minorHAnsi" w:hAnsiTheme="minorHAnsi" w:cstheme="minorHAnsi"/>
        </w:rPr>
      </w:pPr>
      <w:r w:rsidRPr="00EF4972">
        <w:rPr>
          <w:rFonts w:asciiTheme="minorHAnsi" w:hAnsiTheme="minorHAnsi" w:cstheme="minorHAnsi"/>
        </w:rPr>
        <w:lastRenderedPageBreak/>
        <w:t xml:space="preserve">see the </w:t>
      </w:r>
      <w:r w:rsidRPr="00EF4972">
        <w:rPr>
          <w:rFonts w:asciiTheme="minorHAnsi" w:hAnsiTheme="minorHAnsi" w:cstheme="minorHAnsi"/>
          <w:i/>
          <w:iCs/>
        </w:rPr>
        <w:t>Spent Convictions Act 2000</w:t>
      </w:r>
      <w:r w:rsidRPr="00EF4972">
        <w:rPr>
          <w:rFonts w:asciiTheme="minorHAnsi" w:hAnsiTheme="minorHAnsi" w:cstheme="minorHAnsi"/>
        </w:rPr>
        <w:t xml:space="preserve">, dictionary; and </w:t>
      </w:r>
    </w:p>
    <w:p w14:paraId="56840A9D" w14:textId="01E3537C" w:rsidR="005462D7" w:rsidRPr="00EF4972" w:rsidRDefault="005462D7" w:rsidP="00EF4972">
      <w:pPr>
        <w:pStyle w:val="ListParagraph"/>
        <w:numPr>
          <w:ilvl w:val="0"/>
          <w:numId w:val="37"/>
        </w:numPr>
        <w:rPr>
          <w:rFonts w:asciiTheme="minorHAnsi" w:hAnsiTheme="minorHAnsi" w:cstheme="minorHAnsi"/>
        </w:rPr>
      </w:pPr>
      <w:r w:rsidRPr="00EF4972">
        <w:rPr>
          <w:rFonts w:asciiTheme="minorHAnsi" w:hAnsiTheme="minorHAnsi" w:cstheme="minorHAnsi"/>
        </w:rPr>
        <w:t>includes an entity prescribed by regulation.</w:t>
      </w:r>
    </w:p>
    <w:p w14:paraId="73D1DE1C" w14:textId="1B38EE80" w:rsidR="00585DE9" w:rsidRDefault="00585DE9" w:rsidP="004D548B">
      <w:pPr>
        <w:pStyle w:val="ListParagraph"/>
        <w:ind w:left="1125"/>
        <w:rPr>
          <w:rFonts w:asciiTheme="minorHAnsi" w:hAnsiTheme="minorHAnsi" w:cstheme="minorHAnsi"/>
        </w:rPr>
      </w:pPr>
    </w:p>
    <w:p w14:paraId="2B937C7C" w14:textId="5E0D44F2" w:rsidR="005462D7" w:rsidRDefault="005462D7" w:rsidP="00B13CDC">
      <w:pPr>
        <w:ind w:left="405"/>
        <w:rPr>
          <w:rFonts w:asciiTheme="minorHAnsi" w:hAnsiTheme="minorHAnsi" w:cstheme="minorHAnsi"/>
        </w:rPr>
      </w:pPr>
      <w:r>
        <w:rPr>
          <w:rFonts w:asciiTheme="minorHAnsi" w:hAnsiTheme="minorHAnsi" w:cstheme="minorHAnsi"/>
        </w:rPr>
        <w:t>New section 67U contains two offences in relation to record keeping requirements for licensees, making it an offence for a licensee:</w:t>
      </w:r>
    </w:p>
    <w:p w14:paraId="0DAA8917" w14:textId="77777777" w:rsidR="005B1142" w:rsidRDefault="005B1142" w:rsidP="005B1142">
      <w:pPr>
        <w:pStyle w:val="ListParagraph"/>
        <w:numPr>
          <w:ilvl w:val="0"/>
          <w:numId w:val="27"/>
        </w:numPr>
        <w:rPr>
          <w:rFonts w:asciiTheme="minorHAnsi" w:hAnsiTheme="minorHAnsi" w:cstheme="minorHAnsi"/>
        </w:rPr>
      </w:pPr>
      <w:r w:rsidRPr="00927771">
        <w:rPr>
          <w:rFonts w:asciiTheme="minorHAnsi" w:hAnsiTheme="minorHAnsi" w:cstheme="minorHAnsi"/>
        </w:rPr>
        <w:t>if a licensee does not keep a record of the matters prescribed by regulation</w:t>
      </w:r>
      <w:r>
        <w:rPr>
          <w:rFonts w:asciiTheme="minorHAnsi" w:hAnsiTheme="minorHAnsi" w:cstheme="minorHAnsi"/>
        </w:rPr>
        <w:t>; and</w:t>
      </w:r>
    </w:p>
    <w:p w14:paraId="6259EB21" w14:textId="77777777" w:rsidR="005B1142" w:rsidRDefault="005B1142" w:rsidP="005B1142">
      <w:pPr>
        <w:pStyle w:val="ListParagraph"/>
        <w:numPr>
          <w:ilvl w:val="0"/>
          <w:numId w:val="27"/>
        </w:numPr>
        <w:rPr>
          <w:rFonts w:asciiTheme="minorHAnsi" w:hAnsiTheme="minorHAnsi" w:cstheme="minorHAnsi"/>
        </w:rPr>
      </w:pPr>
      <w:r w:rsidRPr="00927771">
        <w:rPr>
          <w:rFonts w:asciiTheme="minorHAnsi" w:hAnsiTheme="minorHAnsi" w:cstheme="minorHAnsi"/>
        </w:rPr>
        <w:t>if the licensees fail to give a copy of the records to the commission if requested by the commission.</w:t>
      </w:r>
    </w:p>
    <w:p w14:paraId="07D1D6AE" w14:textId="77777777" w:rsidR="005B1142" w:rsidRPr="005462D7" w:rsidRDefault="005B1142" w:rsidP="005B1142">
      <w:pPr>
        <w:pStyle w:val="ListParagraph"/>
        <w:ind w:left="1125"/>
        <w:rPr>
          <w:rFonts w:asciiTheme="minorHAnsi" w:hAnsiTheme="minorHAnsi" w:cstheme="minorHAnsi"/>
        </w:rPr>
      </w:pPr>
    </w:p>
    <w:p w14:paraId="2721B9CC" w14:textId="7DA40EE1" w:rsidR="00927771" w:rsidRDefault="00927771" w:rsidP="00B13CDC">
      <w:pPr>
        <w:ind w:left="405"/>
        <w:rPr>
          <w:rFonts w:asciiTheme="minorHAnsi" w:hAnsiTheme="minorHAnsi" w:cstheme="minorHAnsi"/>
        </w:rPr>
      </w:pPr>
      <w:r>
        <w:rPr>
          <w:rFonts w:asciiTheme="minorHAnsi" w:hAnsiTheme="minorHAnsi" w:cstheme="minorHAnsi"/>
        </w:rPr>
        <w:t xml:space="preserve">These offences are strict liability offences, carrying a maximum penalty of 10 penalty units. </w:t>
      </w:r>
      <w:r w:rsidR="005B1142">
        <w:rPr>
          <w:rFonts w:asciiTheme="minorHAnsi" w:hAnsiTheme="minorHAnsi" w:cstheme="minorHAnsi"/>
        </w:rPr>
        <w:t xml:space="preserve">The purpose of these offences is to </w:t>
      </w:r>
      <w:r w:rsidR="005B1142" w:rsidRPr="005B1142">
        <w:rPr>
          <w:rFonts w:asciiTheme="minorHAnsi" w:hAnsiTheme="minorHAnsi" w:cstheme="minorHAnsi"/>
        </w:rPr>
        <w:t>facilitate licensee’s effective administration of an account-based player system scheme by ensuring record keeping. These records are provided to the commission to allow them to monitor compliance and also assist further research be undertaken for harm minimisation purposes.</w:t>
      </w:r>
    </w:p>
    <w:p w14:paraId="17F2135F" w14:textId="125247CB" w:rsidR="00E560A9" w:rsidRDefault="00E560A9" w:rsidP="00B13CDC">
      <w:pPr>
        <w:ind w:left="405"/>
        <w:rPr>
          <w:rFonts w:asciiTheme="minorHAnsi" w:hAnsiTheme="minorHAnsi" w:cstheme="minorHAnsi"/>
        </w:rPr>
      </w:pPr>
      <w:r>
        <w:rPr>
          <w:rFonts w:asciiTheme="minorHAnsi" w:hAnsiTheme="minorHAnsi" w:cstheme="minorHAnsi"/>
        </w:rPr>
        <w:t>New section 67V contains four offences in relation to reporting to the commission, making it an offence for a licensee:</w:t>
      </w:r>
    </w:p>
    <w:p w14:paraId="212394A4" w14:textId="77777777" w:rsidR="0054762A" w:rsidRDefault="0054762A" w:rsidP="0054762A">
      <w:pPr>
        <w:pStyle w:val="ListParagraph"/>
        <w:numPr>
          <w:ilvl w:val="0"/>
          <w:numId w:val="28"/>
        </w:numPr>
        <w:rPr>
          <w:rFonts w:asciiTheme="minorHAnsi" w:hAnsiTheme="minorHAnsi" w:cstheme="minorHAnsi"/>
        </w:rPr>
      </w:pPr>
      <w:r w:rsidRPr="00E560A9">
        <w:rPr>
          <w:rFonts w:asciiTheme="minorHAnsi" w:hAnsiTheme="minorHAnsi" w:cstheme="minorHAnsi"/>
        </w:rPr>
        <w:t>for failing to prepare a written report of the records kept for the month containing only de-identified information</w:t>
      </w:r>
      <w:r>
        <w:rPr>
          <w:rFonts w:asciiTheme="minorHAnsi" w:hAnsiTheme="minorHAnsi" w:cstheme="minorHAnsi"/>
        </w:rPr>
        <w:t>;</w:t>
      </w:r>
    </w:p>
    <w:p w14:paraId="6D0A08CE" w14:textId="77777777" w:rsidR="0054762A" w:rsidRDefault="0054762A" w:rsidP="0054762A">
      <w:pPr>
        <w:pStyle w:val="ListParagraph"/>
        <w:numPr>
          <w:ilvl w:val="0"/>
          <w:numId w:val="28"/>
        </w:numPr>
        <w:rPr>
          <w:rFonts w:asciiTheme="minorHAnsi" w:hAnsiTheme="minorHAnsi" w:cstheme="minorHAnsi"/>
        </w:rPr>
      </w:pPr>
      <w:r w:rsidRPr="00E560A9">
        <w:rPr>
          <w:rFonts w:asciiTheme="minorHAnsi" w:hAnsiTheme="minorHAnsi" w:cstheme="minorHAnsi"/>
        </w:rPr>
        <w:t>if the report is not prepared within 1 week after the end of each month</w:t>
      </w:r>
      <w:r>
        <w:rPr>
          <w:rFonts w:asciiTheme="minorHAnsi" w:hAnsiTheme="minorHAnsi" w:cstheme="minorHAnsi"/>
        </w:rPr>
        <w:t>;</w:t>
      </w:r>
    </w:p>
    <w:p w14:paraId="3500ADA3" w14:textId="77777777" w:rsidR="0054762A" w:rsidRDefault="0054762A" w:rsidP="0054762A">
      <w:pPr>
        <w:pStyle w:val="ListParagraph"/>
        <w:numPr>
          <w:ilvl w:val="0"/>
          <w:numId w:val="28"/>
        </w:numPr>
        <w:rPr>
          <w:rFonts w:asciiTheme="minorHAnsi" w:hAnsiTheme="minorHAnsi" w:cstheme="minorHAnsi"/>
        </w:rPr>
      </w:pPr>
      <w:r w:rsidRPr="00E560A9">
        <w:rPr>
          <w:rFonts w:asciiTheme="minorHAnsi" w:hAnsiTheme="minorHAnsi" w:cstheme="minorHAnsi"/>
        </w:rPr>
        <w:t>if the licensee does not keep each report for at least 2 years</w:t>
      </w:r>
      <w:r>
        <w:rPr>
          <w:rFonts w:asciiTheme="minorHAnsi" w:hAnsiTheme="minorHAnsi" w:cstheme="minorHAnsi"/>
        </w:rPr>
        <w:t>; and</w:t>
      </w:r>
    </w:p>
    <w:p w14:paraId="76122825" w14:textId="77777777" w:rsidR="0054762A" w:rsidRDefault="0054762A" w:rsidP="0054762A">
      <w:pPr>
        <w:pStyle w:val="ListParagraph"/>
        <w:numPr>
          <w:ilvl w:val="0"/>
          <w:numId w:val="28"/>
        </w:numPr>
        <w:rPr>
          <w:rFonts w:asciiTheme="minorHAnsi" w:hAnsiTheme="minorHAnsi" w:cstheme="minorHAnsi"/>
        </w:rPr>
      </w:pPr>
      <w:r w:rsidRPr="00E560A9">
        <w:rPr>
          <w:rFonts w:asciiTheme="minorHAnsi" w:hAnsiTheme="minorHAnsi" w:cstheme="minorHAnsi"/>
        </w:rPr>
        <w:t>if the licensee does not give a copy of all reports for a financial year to the commission not later than 1 month after the end of that financial year.</w:t>
      </w:r>
    </w:p>
    <w:p w14:paraId="45546184" w14:textId="77777777" w:rsidR="0054762A" w:rsidRPr="00E560A9" w:rsidRDefault="0054762A" w:rsidP="0054762A">
      <w:pPr>
        <w:pStyle w:val="ListParagraph"/>
        <w:ind w:left="1125"/>
        <w:rPr>
          <w:rFonts w:asciiTheme="minorHAnsi" w:hAnsiTheme="minorHAnsi" w:cstheme="minorHAnsi"/>
        </w:rPr>
      </w:pPr>
    </w:p>
    <w:p w14:paraId="416F130B" w14:textId="1302306D" w:rsidR="0054762A" w:rsidRDefault="0054762A" w:rsidP="00B13CDC">
      <w:pPr>
        <w:ind w:left="405"/>
        <w:rPr>
          <w:rFonts w:asciiTheme="minorHAnsi" w:hAnsiTheme="minorHAnsi" w:cstheme="minorHAnsi"/>
        </w:rPr>
      </w:pPr>
      <w:r>
        <w:rPr>
          <w:rFonts w:asciiTheme="minorHAnsi" w:hAnsiTheme="minorHAnsi" w:cstheme="minorHAnsi"/>
        </w:rPr>
        <w:t>These offences are strict liability offences, carrying a maximum penalty of 10 penalty units. The purpose of these offences is t</w:t>
      </w:r>
      <w:r w:rsidRPr="0054762A">
        <w:rPr>
          <w:rFonts w:asciiTheme="minorHAnsi" w:hAnsiTheme="minorHAnsi" w:cstheme="minorHAnsi"/>
        </w:rPr>
        <w:t>o ensure licensees provide reports to the commission to allow them to monitor compliance and also assist further research be undertaken for harm minimisation purposes.</w:t>
      </w:r>
    </w:p>
    <w:p w14:paraId="64EEC444" w14:textId="784E1FB0" w:rsidR="0054762A" w:rsidRPr="006545D9" w:rsidRDefault="00A6211D" w:rsidP="00B13CDC">
      <w:pPr>
        <w:ind w:left="405"/>
        <w:rPr>
          <w:rFonts w:asciiTheme="minorHAnsi" w:hAnsiTheme="minorHAnsi" w:cstheme="minorHAnsi"/>
        </w:rPr>
      </w:pPr>
      <w:r>
        <w:rPr>
          <w:rFonts w:asciiTheme="minorHAnsi" w:hAnsiTheme="minorHAnsi" w:cstheme="minorHAnsi"/>
        </w:rPr>
        <w:t>New section 67W contains f</w:t>
      </w:r>
      <w:r w:rsidR="00A935AA">
        <w:rPr>
          <w:rFonts w:asciiTheme="minorHAnsi" w:hAnsiTheme="minorHAnsi" w:cstheme="minorHAnsi"/>
        </w:rPr>
        <w:t>ive</w:t>
      </w:r>
      <w:r>
        <w:rPr>
          <w:rFonts w:asciiTheme="minorHAnsi" w:hAnsiTheme="minorHAnsi" w:cstheme="minorHAnsi"/>
        </w:rPr>
        <w:t xml:space="preserve"> offences in relation to monthly activity statements, making it an </w:t>
      </w:r>
      <w:r w:rsidRPr="006545D9">
        <w:rPr>
          <w:rFonts w:asciiTheme="minorHAnsi" w:hAnsiTheme="minorHAnsi" w:cstheme="minorHAnsi"/>
        </w:rPr>
        <w:t>offence for a licensee:</w:t>
      </w:r>
    </w:p>
    <w:p w14:paraId="11D7165F" w14:textId="77777777" w:rsidR="006545D9" w:rsidRDefault="006545D9" w:rsidP="006545D9">
      <w:pPr>
        <w:pStyle w:val="ListParagraph"/>
        <w:numPr>
          <w:ilvl w:val="0"/>
          <w:numId w:val="29"/>
        </w:numPr>
        <w:rPr>
          <w:rFonts w:asciiTheme="minorHAnsi" w:hAnsiTheme="minorHAnsi" w:cstheme="minorHAnsi"/>
        </w:rPr>
      </w:pPr>
      <w:r w:rsidRPr="00A6211D">
        <w:rPr>
          <w:rFonts w:asciiTheme="minorHAnsi" w:hAnsiTheme="minorHAnsi" w:cstheme="minorHAnsi"/>
        </w:rPr>
        <w:t>if a licensee does not prepare a document each month containing the information prescribed by regulation for each person who holds a player account</w:t>
      </w:r>
      <w:r>
        <w:rPr>
          <w:rFonts w:asciiTheme="minorHAnsi" w:hAnsiTheme="minorHAnsi" w:cstheme="minorHAnsi"/>
        </w:rPr>
        <w:t>;</w:t>
      </w:r>
    </w:p>
    <w:p w14:paraId="0381F376" w14:textId="77777777" w:rsidR="006545D9" w:rsidRPr="00A6211D" w:rsidRDefault="006545D9" w:rsidP="006545D9">
      <w:pPr>
        <w:pStyle w:val="ListParagraph"/>
        <w:numPr>
          <w:ilvl w:val="0"/>
          <w:numId w:val="29"/>
        </w:numPr>
        <w:rPr>
          <w:rFonts w:asciiTheme="minorHAnsi" w:hAnsiTheme="minorHAnsi" w:cstheme="minorHAnsi"/>
        </w:rPr>
      </w:pPr>
      <w:r w:rsidRPr="00A6211D">
        <w:rPr>
          <w:rFonts w:asciiTheme="minorHAnsi" w:hAnsiTheme="minorHAnsi" w:cstheme="minorHAnsi"/>
        </w:rPr>
        <w:t xml:space="preserve"> </w:t>
      </w:r>
      <w:r w:rsidRPr="00A935AA">
        <w:rPr>
          <w:rFonts w:asciiTheme="minorHAnsi" w:hAnsiTheme="minorHAnsi" w:cstheme="minorHAnsi"/>
        </w:rPr>
        <w:t>if the licensee fails to give an activity statement to an account holder as soon as practicable, but not later than 7 days after the end of the month to which the statement applies and in a way chosen by the account holder</w:t>
      </w:r>
      <w:r>
        <w:rPr>
          <w:rFonts w:asciiTheme="minorHAnsi" w:hAnsiTheme="minorHAnsi" w:cstheme="minorHAnsi"/>
        </w:rPr>
        <w:t>;</w:t>
      </w:r>
    </w:p>
    <w:p w14:paraId="2B65AB25" w14:textId="77777777" w:rsidR="006545D9" w:rsidRPr="007D6D3F" w:rsidRDefault="006545D9" w:rsidP="006545D9">
      <w:pPr>
        <w:pStyle w:val="ListParagraph"/>
        <w:numPr>
          <w:ilvl w:val="0"/>
          <w:numId w:val="29"/>
        </w:numPr>
        <w:rPr>
          <w:rFonts w:asciiTheme="minorHAnsi" w:hAnsiTheme="minorHAnsi" w:cstheme="minorHAnsi"/>
        </w:rPr>
      </w:pPr>
      <w:r w:rsidRPr="007D6D3F">
        <w:rPr>
          <w:rFonts w:asciiTheme="minorHAnsi" w:hAnsiTheme="minorHAnsi" w:cstheme="minorHAnsi"/>
        </w:rPr>
        <w:t>if an account holder asks to be given an activity statement prepared within the last 7 years; and the licensee fails to give the activity statement to the account holder as soon as practicable, but not later than 7 days, after the day the account holder asks for the statement; and in the way chosen by the account holder</w:t>
      </w:r>
      <w:r>
        <w:rPr>
          <w:rFonts w:asciiTheme="minorHAnsi" w:hAnsiTheme="minorHAnsi" w:cstheme="minorHAnsi"/>
        </w:rPr>
        <w:t>;</w:t>
      </w:r>
    </w:p>
    <w:p w14:paraId="76636389" w14:textId="77777777" w:rsidR="006545D9" w:rsidRDefault="006545D9" w:rsidP="006545D9">
      <w:pPr>
        <w:pStyle w:val="ListParagraph"/>
        <w:numPr>
          <w:ilvl w:val="0"/>
          <w:numId w:val="29"/>
        </w:numPr>
        <w:rPr>
          <w:rFonts w:asciiTheme="minorHAnsi" w:hAnsiTheme="minorHAnsi" w:cstheme="minorHAnsi"/>
        </w:rPr>
      </w:pPr>
      <w:r w:rsidRPr="007D6D3F">
        <w:rPr>
          <w:rFonts w:asciiTheme="minorHAnsi" w:hAnsiTheme="minorHAnsi" w:cstheme="minorHAnsi"/>
        </w:rPr>
        <w:t>if the licensee gives an activity statements to an account-holder during a non-gaming period and the account holder had not asked to be given the activity statements</w:t>
      </w:r>
      <w:r>
        <w:rPr>
          <w:rFonts w:asciiTheme="minorHAnsi" w:hAnsiTheme="minorHAnsi" w:cstheme="minorHAnsi"/>
        </w:rPr>
        <w:t>; and</w:t>
      </w:r>
    </w:p>
    <w:p w14:paraId="5DEE6858" w14:textId="77777777" w:rsidR="006545D9" w:rsidRDefault="006545D9" w:rsidP="006545D9">
      <w:pPr>
        <w:pStyle w:val="ListParagraph"/>
        <w:numPr>
          <w:ilvl w:val="0"/>
          <w:numId w:val="29"/>
        </w:numPr>
        <w:rPr>
          <w:rFonts w:asciiTheme="minorHAnsi" w:hAnsiTheme="minorHAnsi" w:cstheme="minorHAnsi"/>
        </w:rPr>
      </w:pPr>
      <w:r w:rsidRPr="007D6D3F">
        <w:rPr>
          <w:rFonts w:asciiTheme="minorHAnsi" w:hAnsiTheme="minorHAnsi" w:cstheme="minorHAnsi"/>
        </w:rPr>
        <w:t>if a licensee charges a fee for giving an activity statements</w:t>
      </w:r>
      <w:r>
        <w:rPr>
          <w:rFonts w:asciiTheme="minorHAnsi" w:hAnsiTheme="minorHAnsi" w:cstheme="minorHAnsi"/>
        </w:rPr>
        <w:t xml:space="preserve">. </w:t>
      </w:r>
    </w:p>
    <w:p w14:paraId="2B8D0845" w14:textId="77777777" w:rsidR="006545D9" w:rsidRPr="00A6211D" w:rsidRDefault="006545D9" w:rsidP="006545D9">
      <w:pPr>
        <w:pStyle w:val="ListParagraph"/>
        <w:ind w:left="1125"/>
        <w:rPr>
          <w:rFonts w:asciiTheme="minorHAnsi" w:hAnsiTheme="minorHAnsi" w:cstheme="minorHAnsi"/>
        </w:rPr>
      </w:pPr>
    </w:p>
    <w:p w14:paraId="7255CC33" w14:textId="1A070026" w:rsidR="0081186C" w:rsidRDefault="006545D9" w:rsidP="0081186C">
      <w:pPr>
        <w:ind w:left="405"/>
        <w:rPr>
          <w:rFonts w:cs="Calibri"/>
        </w:rPr>
      </w:pPr>
      <w:r w:rsidRPr="006545D9">
        <w:rPr>
          <w:rFonts w:asciiTheme="minorHAnsi" w:hAnsiTheme="minorHAnsi" w:cstheme="minorHAnsi"/>
        </w:rPr>
        <w:t>These offences are strict liability offences, carrying a maximum penalty of 10 penalty units. The first two offences in the above list do not apply in relation to an account-holder during a non-</w:t>
      </w:r>
      <w:r w:rsidRPr="006545D9">
        <w:rPr>
          <w:rFonts w:asciiTheme="minorHAnsi" w:hAnsiTheme="minorHAnsi" w:cstheme="minorHAnsi"/>
        </w:rPr>
        <w:lastRenderedPageBreak/>
        <w:t>gaming period. The defendant has the evidential burden of proof in these circumstances.</w:t>
      </w:r>
      <w:r w:rsidR="0081186C">
        <w:rPr>
          <w:rFonts w:asciiTheme="minorHAnsi" w:hAnsiTheme="minorHAnsi" w:cstheme="minorHAnsi"/>
        </w:rPr>
        <w:t xml:space="preserve"> The purpose of these offences </w:t>
      </w:r>
      <w:r w:rsidR="0081186C" w:rsidRPr="0081186C">
        <w:rPr>
          <w:rFonts w:cs="Calibri"/>
        </w:rPr>
        <w:t>is to require licensee’s to provide activity statements to facilitate effective administration of an account-based player system scheme. This ensures people can track their spending, and it can positively impact gambling behaviours by encouraging awareness and reflection.</w:t>
      </w:r>
    </w:p>
    <w:p w14:paraId="4E6CB9A7" w14:textId="77777777" w:rsidR="009D1DBA" w:rsidRDefault="009D1DBA" w:rsidP="0081186C">
      <w:pPr>
        <w:ind w:left="405"/>
        <w:rPr>
          <w:rFonts w:cs="Calibri"/>
        </w:rPr>
      </w:pPr>
    </w:p>
    <w:p w14:paraId="4AB5999D" w14:textId="7864CF2C" w:rsidR="0081186C" w:rsidRDefault="0081186C" w:rsidP="0081186C">
      <w:pPr>
        <w:ind w:left="405"/>
        <w:rPr>
          <w:rFonts w:cs="Calibri"/>
        </w:rPr>
      </w:pPr>
      <w:r>
        <w:rPr>
          <w:rFonts w:cs="Calibri"/>
        </w:rPr>
        <w:t>New section 67W also introduces new definitions:</w:t>
      </w:r>
    </w:p>
    <w:p w14:paraId="41C435C3" w14:textId="77777777" w:rsidR="000928B0" w:rsidRPr="0081186C" w:rsidRDefault="000928B0" w:rsidP="000928B0">
      <w:pPr>
        <w:pStyle w:val="ListParagraph"/>
        <w:numPr>
          <w:ilvl w:val="0"/>
          <w:numId w:val="30"/>
        </w:numPr>
      </w:pPr>
      <w:r w:rsidRPr="0081186C">
        <w:rPr>
          <w:i/>
          <w:iCs/>
        </w:rPr>
        <w:t>account action</w:t>
      </w:r>
      <w:r w:rsidRPr="0081186C">
        <w:t xml:space="preserve">—see section 67L (6). </w:t>
      </w:r>
    </w:p>
    <w:p w14:paraId="1F4F58B4" w14:textId="77777777" w:rsidR="000928B0" w:rsidRPr="0081186C" w:rsidRDefault="000928B0" w:rsidP="000928B0">
      <w:pPr>
        <w:pStyle w:val="ListParagraph"/>
        <w:numPr>
          <w:ilvl w:val="0"/>
          <w:numId w:val="30"/>
        </w:numPr>
      </w:pPr>
      <w:r w:rsidRPr="0081186C">
        <w:rPr>
          <w:i/>
          <w:iCs/>
        </w:rPr>
        <w:t>non-gaming period</w:t>
      </w:r>
      <w:r w:rsidRPr="0081186C">
        <w:t xml:space="preserve">, for an account holder, means the period— </w:t>
      </w:r>
    </w:p>
    <w:p w14:paraId="6C2E2824" w14:textId="77777777" w:rsidR="00A33913" w:rsidRDefault="000928B0" w:rsidP="00A33913">
      <w:pPr>
        <w:pStyle w:val="ListParagraph"/>
        <w:numPr>
          <w:ilvl w:val="0"/>
          <w:numId w:val="38"/>
        </w:numPr>
      </w:pPr>
      <w:r w:rsidRPr="0081186C">
        <w:t xml:space="preserve">beginning 12 months after the day the holder last takes an account action in relation to their player account; and </w:t>
      </w:r>
    </w:p>
    <w:p w14:paraId="2D246D2B" w14:textId="25313795" w:rsidR="000928B0" w:rsidRDefault="000928B0" w:rsidP="00A33913">
      <w:pPr>
        <w:pStyle w:val="ListParagraph"/>
        <w:numPr>
          <w:ilvl w:val="0"/>
          <w:numId w:val="38"/>
        </w:numPr>
      </w:pPr>
      <w:r w:rsidRPr="0081186C">
        <w:t>ending when the holder next takes an account action in relation to their player account.</w:t>
      </w:r>
    </w:p>
    <w:p w14:paraId="739AFF79" w14:textId="77777777" w:rsidR="000928B0" w:rsidRPr="0081186C" w:rsidRDefault="000928B0" w:rsidP="000928B0">
      <w:pPr>
        <w:pStyle w:val="ListParagraph"/>
        <w:ind w:left="1440"/>
      </w:pPr>
    </w:p>
    <w:p w14:paraId="777176D6" w14:textId="3336F477" w:rsidR="00927771" w:rsidRDefault="000928B0" w:rsidP="00D723CA">
      <w:pPr>
        <w:ind w:left="405"/>
        <w:rPr>
          <w:rFonts w:cs="Calibri"/>
        </w:rPr>
      </w:pPr>
      <w:r>
        <w:rPr>
          <w:rFonts w:cs="Calibri"/>
        </w:rPr>
        <w:t xml:space="preserve">New section 67X </w:t>
      </w:r>
      <w:r w:rsidR="00746A0F">
        <w:rPr>
          <w:rFonts w:cs="Calibri"/>
        </w:rPr>
        <w:t xml:space="preserve">inserts that a regulation may make further provision in relation to account-bases systems. </w:t>
      </w:r>
    </w:p>
    <w:p w14:paraId="7A8AD2E6"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21</w:t>
      </w:r>
      <w:r w:rsidRPr="00E63FB6">
        <w:rPr>
          <w:rFonts w:ascii="Arial" w:eastAsia="Yu Gothic Light" w:hAnsi="Arial"/>
          <w:b/>
          <w:sz w:val="24"/>
          <w:szCs w:val="24"/>
        </w:rPr>
        <w:tab/>
        <w:t>Part 6 and division 6.1 headings</w:t>
      </w:r>
    </w:p>
    <w:p w14:paraId="3AC9BA31" w14:textId="77777777" w:rsidR="008839CE" w:rsidRPr="00E63FB6" w:rsidRDefault="008839CE" w:rsidP="008839CE">
      <w:r w:rsidRPr="00E63FB6">
        <w:t xml:space="preserve">This clause substitutes new headings for Part 6 and division 6.1 to </w:t>
      </w:r>
      <w:r>
        <w:t>align with terminology and concepts used as part of</w:t>
      </w:r>
      <w:r w:rsidRPr="00E63FB6">
        <w:t xml:space="preserve"> the account-based gaming framework. </w:t>
      </w:r>
    </w:p>
    <w:p w14:paraId="67F8AE5C" w14:textId="01A7C258" w:rsidR="008839CE" w:rsidRPr="00E63FB6" w:rsidRDefault="008839CE" w:rsidP="008839CE">
      <w:pPr>
        <w:keepNext/>
        <w:keepLines/>
        <w:spacing w:before="240" w:after="240" w:line="240" w:lineRule="auto"/>
        <w:outlineLvl w:val="2"/>
        <w:rPr>
          <w:rFonts w:ascii="Arial" w:eastAsia="Yu Gothic Light" w:hAnsi="Arial"/>
          <w:b/>
          <w:i/>
          <w:iCs/>
          <w:sz w:val="24"/>
          <w:szCs w:val="24"/>
        </w:rPr>
      </w:pPr>
      <w:r w:rsidRPr="00E63FB6">
        <w:rPr>
          <w:rFonts w:ascii="Arial" w:eastAsia="Yu Gothic Light" w:hAnsi="Arial"/>
          <w:b/>
          <w:sz w:val="24"/>
          <w:szCs w:val="24"/>
        </w:rPr>
        <w:t xml:space="preserve"> Clause 22</w:t>
      </w:r>
      <w:r w:rsidRPr="00E63FB6">
        <w:rPr>
          <w:rFonts w:ascii="Arial" w:eastAsia="Yu Gothic Light" w:hAnsi="Arial"/>
          <w:b/>
          <w:sz w:val="24"/>
          <w:szCs w:val="24"/>
        </w:rPr>
        <w:tab/>
      </w:r>
      <w:r w:rsidR="00183FB1" w:rsidRPr="00E63FB6">
        <w:rPr>
          <w:rFonts w:ascii="Arial" w:eastAsia="Yu Gothic Light" w:hAnsi="Arial"/>
          <w:b/>
          <w:sz w:val="24"/>
          <w:szCs w:val="24"/>
        </w:rPr>
        <w:t>Section 68</w:t>
      </w:r>
    </w:p>
    <w:p w14:paraId="76D6BE47" w14:textId="001FCDFC" w:rsidR="00286733" w:rsidRPr="00E63FB6" w:rsidRDefault="008839CE" w:rsidP="00286733">
      <w:r w:rsidRPr="00E63FB6">
        <w:t xml:space="preserve">This clause </w:t>
      </w:r>
      <w:r w:rsidR="005F24B8">
        <w:t xml:space="preserve">inserts a definition </w:t>
      </w:r>
      <w:r w:rsidR="00E34D28">
        <w:t>of</w:t>
      </w:r>
      <w:r w:rsidR="005F24B8" w:rsidRPr="005F24B8">
        <w:rPr>
          <w:i/>
          <w:iCs/>
        </w:rPr>
        <w:t xml:space="preserve"> </w:t>
      </w:r>
      <w:r w:rsidR="005F24B8" w:rsidRPr="00E15DAE">
        <w:rPr>
          <w:i/>
          <w:iCs/>
        </w:rPr>
        <w:t>gaming component</w:t>
      </w:r>
      <w:r w:rsidR="005F24B8">
        <w:t xml:space="preserve">. </w:t>
      </w:r>
      <w:r w:rsidR="00286733" w:rsidRPr="00E63FB6">
        <w:t xml:space="preserve">A gaming component includes gaming machines and peripheral equipment, the </w:t>
      </w:r>
      <w:r w:rsidR="00286733">
        <w:t xml:space="preserve">hardware or </w:t>
      </w:r>
      <w:r w:rsidR="00286733" w:rsidRPr="00E63FB6">
        <w:t>software</w:t>
      </w:r>
      <w:r w:rsidR="00286733">
        <w:t xml:space="preserve">, communication equipment or protocols and other technology used in </w:t>
      </w:r>
      <w:r w:rsidR="00286733" w:rsidRPr="00E63FB6">
        <w:t xml:space="preserve">connection with gaming machines and peripheral equipment. </w:t>
      </w:r>
    </w:p>
    <w:p w14:paraId="75D4C3B0" w14:textId="324517C6" w:rsidR="008839CE" w:rsidRPr="00E63FB6" w:rsidRDefault="005F24B8" w:rsidP="008839CE">
      <w:r>
        <w:t xml:space="preserve">This clause also </w:t>
      </w:r>
      <w:r w:rsidR="008839CE" w:rsidRPr="00E63FB6">
        <w:t xml:space="preserve">omits </w:t>
      </w:r>
      <w:r w:rsidR="008839CE">
        <w:t xml:space="preserve">note acceptors and ticket readers from the examples in the definition of peripheral equipment in section 68. Given gaming machines will only be playable with a player card, note acceptors and ticket readers will </w:t>
      </w:r>
      <w:r w:rsidR="008839CE" w:rsidRPr="00E63FB6">
        <w:t xml:space="preserve">longer be </w:t>
      </w:r>
      <w:r w:rsidR="00183FB1">
        <w:t>peripheral equipment</w:t>
      </w:r>
      <w:r w:rsidR="008839CE">
        <w:t xml:space="preserve"> following</w:t>
      </w:r>
      <w:r w:rsidR="008839CE" w:rsidRPr="00E63FB6">
        <w:t xml:space="preserve"> the introduction of account-based gaming. </w:t>
      </w:r>
    </w:p>
    <w:p w14:paraId="7E643437"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23</w:t>
      </w:r>
      <w:r w:rsidRPr="00E63FB6">
        <w:rPr>
          <w:rFonts w:ascii="Arial" w:eastAsia="Yu Gothic Light" w:hAnsi="Arial"/>
          <w:b/>
          <w:sz w:val="24"/>
          <w:szCs w:val="24"/>
        </w:rPr>
        <w:tab/>
        <w:t>Sections 69 and 70</w:t>
      </w:r>
    </w:p>
    <w:p w14:paraId="653416CB" w14:textId="77777777" w:rsidR="008839CE" w:rsidRPr="00E63FB6" w:rsidRDefault="008839CE" w:rsidP="008839CE">
      <w:r w:rsidRPr="00E63FB6">
        <w:t xml:space="preserve">This clause substitutes new </w:t>
      </w:r>
      <w:r>
        <w:t>s</w:t>
      </w:r>
      <w:r w:rsidRPr="00E63FB6">
        <w:t xml:space="preserve">ections 68A, 69 and 70 to replace the existing sections 69 and 70. </w:t>
      </w:r>
    </w:p>
    <w:p w14:paraId="1A5B4A7B" w14:textId="77777777" w:rsidR="008839CE" w:rsidRPr="00E63FB6" w:rsidRDefault="008839CE" w:rsidP="008839CE">
      <w:pPr>
        <w:rPr>
          <w:u w:val="single"/>
        </w:rPr>
      </w:pPr>
      <w:r w:rsidRPr="00E63FB6">
        <w:rPr>
          <w:u w:val="single"/>
        </w:rPr>
        <w:t>Section 68A – Approved standards for gaming components and account-based systems</w:t>
      </w:r>
    </w:p>
    <w:p w14:paraId="3B451744" w14:textId="77777777" w:rsidR="008839CE" w:rsidRPr="00E63FB6" w:rsidRDefault="008839CE" w:rsidP="008839CE">
      <w:r w:rsidRPr="00E63FB6">
        <w:t xml:space="preserve">This section enables the </w:t>
      </w:r>
      <w:r>
        <w:t>c</w:t>
      </w:r>
      <w:r w:rsidRPr="00E63FB6">
        <w:t>ommission to approve standards in relation to a gaming component and an account-based system. An approved standard is a notifiable instrument, and it may apply, adopt or incorporate (with or without change) a technical standard</w:t>
      </w:r>
      <w:r>
        <w:t xml:space="preserve"> such as </w:t>
      </w:r>
      <w:r w:rsidRPr="00E63FB6">
        <w:t xml:space="preserve">the Australian/New Zealand Gaming Machine National Standard. </w:t>
      </w:r>
    </w:p>
    <w:p w14:paraId="649A6996" w14:textId="77777777" w:rsidR="008839CE" w:rsidRPr="00E63FB6" w:rsidRDefault="008839CE" w:rsidP="008839CE">
      <w:pPr>
        <w:rPr>
          <w:u w:val="single"/>
        </w:rPr>
      </w:pPr>
      <w:r w:rsidRPr="00E63FB6">
        <w:rPr>
          <w:u w:val="single"/>
        </w:rPr>
        <w:t>Section 69 – Approval of gaming components and account-based systems</w:t>
      </w:r>
    </w:p>
    <w:p w14:paraId="12D19030" w14:textId="77777777" w:rsidR="008839CE" w:rsidRPr="00E63FB6" w:rsidRDefault="008839CE" w:rsidP="008839CE">
      <w:r w:rsidRPr="00E63FB6">
        <w:lastRenderedPageBreak/>
        <w:t xml:space="preserve">This section enables the </w:t>
      </w:r>
      <w:r>
        <w:t>c</w:t>
      </w:r>
      <w:r w:rsidRPr="00E63FB6">
        <w:t xml:space="preserve">ommission to approve gaming components and account-based systems on written application from licensees. </w:t>
      </w:r>
    </w:p>
    <w:p w14:paraId="542FBA43" w14:textId="77777777" w:rsidR="008839CE" w:rsidRPr="00E63FB6" w:rsidRDefault="008839CE" w:rsidP="008839CE">
      <w:r>
        <w:t>This section</w:t>
      </w:r>
      <w:r w:rsidRPr="00E63FB6">
        <w:t xml:space="preserve"> provides that the </w:t>
      </w:r>
      <w:r>
        <w:t>c</w:t>
      </w:r>
      <w:r w:rsidRPr="00E63FB6">
        <w:t xml:space="preserve">ommission must not approve a component or system unless: </w:t>
      </w:r>
    </w:p>
    <w:p w14:paraId="4609901B" w14:textId="77777777" w:rsidR="008839CE" w:rsidRPr="00E63FB6" w:rsidRDefault="008839CE" w:rsidP="008839CE">
      <w:pPr>
        <w:numPr>
          <w:ilvl w:val="0"/>
          <w:numId w:val="44"/>
        </w:numPr>
        <w:spacing w:after="0" w:line="240" w:lineRule="auto"/>
        <w:rPr>
          <w:rFonts w:cs="Calibri"/>
          <w:lang w:eastAsia="en-AU"/>
        </w:rPr>
      </w:pPr>
      <w:r w:rsidRPr="00E63FB6">
        <w:rPr>
          <w:rFonts w:cs="Calibri"/>
          <w:lang w:eastAsia="en-AU"/>
        </w:rPr>
        <w:t>they are satisfied that it complies with all relevant laws</w:t>
      </w:r>
      <w:r>
        <w:rPr>
          <w:rFonts w:cs="Calibri"/>
          <w:lang w:eastAsia="en-AU"/>
        </w:rPr>
        <w:t>,</w:t>
      </w:r>
    </w:p>
    <w:p w14:paraId="77EA27A2" w14:textId="77777777" w:rsidR="008839CE" w:rsidRPr="00E63FB6" w:rsidRDefault="008839CE" w:rsidP="008839CE">
      <w:pPr>
        <w:numPr>
          <w:ilvl w:val="0"/>
          <w:numId w:val="44"/>
        </w:numPr>
        <w:spacing w:after="0" w:line="240" w:lineRule="auto"/>
        <w:rPr>
          <w:rFonts w:cs="Calibri"/>
          <w:lang w:eastAsia="en-AU"/>
        </w:rPr>
      </w:pPr>
      <w:r w:rsidRPr="00E63FB6">
        <w:rPr>
          <w:rFonts w:cs="Calibri"/>
          <w:lang w:eastAsia="en-AU"/>
        </w:rPr>
        <w:t>they have considered the results of a technical evaluation of the component or system and any available research on the consumer protection and harm reduction implications of the component or system</w:t>
      </w:r>
      <w:r>
        <w:rPr>
          <w:rFonts w:cs="Calibri"/>
          <w:lang w:eastAsia="en-AU"/>
        </w:rPr>
        <w:t>,</w:t>
      </w:r>
    </w:p>
    <w:p w14:paraId="6CFF6B28" w14:textId="77777777" w:rsidR="008839CE" w:rsidRPr="00E63FB6" w:rsidRDefault="008839CE" w:rsidP="008839CE">
      <w:pPr>
        <w:numPr>
          <w:ilvl w:val="0"/>
          <w:numId w:val="44"/>
        </w:numPr>
        <w:spacing w:after="0" w:line="240" w:lineRule="auto"/>
        <w:rPr>
          <w:rFonts w:cs="Calibri"/>
          <w:lang w:eastAsia="en-AU"/>
        </w:rPr>
      </w:pPr>
      <w:r w:rsidRPr="00E63FB6">
        <w:rPr>
          <w:rFonts w:cs="Calibri"/>
          <w:lang w:eastAsia="en-AU"/>
        </w:rPr>
        <w:t>for a gaming component using an audio device</w:t>
      </w:r>
      <w:r>
        <w:rPr>
          <w:rFonts w:cs="Calibri"/>
          <w:lang w:eastAsia="en-AU"/>
        </w:rPr>
        <w:t xml:space="preserve"> (such as an earphone, headphone etc)</w:t>
      </w:r>
      <w:r w:rsidRPr="00E63FB6">
        <w:rPr>
          <w:rFonts w:cs="Calibri"/>
          <w:lang w:eastAsia="en-AU"/>
        </w:rPr>
        <w:t xml:space="preserve">, this device is designed to primarily assist a person with a hearing impairment, and </w:t>
      </w:r>
    </w:p>
    <w:p w14:paraId="1DBEE0BC" w14:textId="77777777" w:rsidR="008839CE" w:rsidRDefault="008839CE" w:rsidP="008839CE">
      <w:pPr>
        <w:numPr>
          <w:ilvl w:val="0"/>
          <w:numId w:val="44"/>
        </w:numPr>
        <w:spacing w:after="0" w:line="240" w:lineRule="auto"/>
        <w:rPr>
          <w:rFonts w:cs="Calibri"/>
          <w:lang w:eastAsia="en-AU"/>
        </w:rPr>
      </w:pPr>
      <w:r w:rsidRPr="00E63FB6">
        <w:rPr>
          <w:rFonts w:cs="Calibri"/>
          <w:lang w:eastAsia="en-AU"/>
        </w:rPr>
        <w:t>the commission is satisfied that an account-based system can apply pre-commitment controls and other harm reduction measures as required</w:t>
      </w:r>
      <w:r>
        <w:rPr>
          <w:rFonts w:cs="Calibri"/>
          <w:lang w:eastAsia="en-AU"/>
        </w:rPr>
        <w:t>,</w:t>
      </w:r>
      <w:r w:rsidRPr="00E63FB6">
        <w:rPr>
          <w:rFonts w:cs="Calibri"/>
          <w:lang w:eastAsia="en-AU"/>
        </w:rPr>
        <w:t xml:space="preserve"> </w:t>
      </w:r>
    </w:p>
    <w:p w14:paraId="3EC041DF" w14:textId="77777777" w:rsidR="008839CE" w:rsidRPr="00E63FB6" w:rsidRDefault="008839CE" w:rsidP="008839CE">
      <w:pPr>
        <w:numPr>
          <w:ilvl w:val="0"/>
          <w:numId w:val="44"/>
        </w:numPr>
        <w:spacing w:after="0" w:line="240" w:lineRule="auto"/>
        <w:rPr>
          <w:rFonts w:cs="Calibri"/>
          <w:lang w:eastAsia="en-AU"/>
        </w:rPr>
      </w:pPr>
      <w:r w:rsidRPr="00E63FB6">
        <w:t>each gaming component of the system is also approved</w:t>
      </w:r>
      <w:r>
        <w:t>.</w:t>
      </w:r>
      <w:r w:rsidRPr="00E63FB6">
        <w:t xml:space="preserve"> </w:t>
      </w:r>
    </w:p>
    <w:p w14:paraId="70ABDCFA" w14:textId="77777777" w:rsidR="008839CE" w:rsidRPr="00E63FB6" w:rsidRDefault="008839CE" w:rsidP="008839CE">
      <w:r>
        <w:t xml:space="preserve">The section also enables </w:t>
      </w:r>
      <w:r w:rsidRPr="00E63FB6">
        <w:t xml:space="preserve">the </w:t>
      </w:r>
      <w:r>
        <w:t>c</w:t>
      </w:r>
      <w:r w:rsidRPr="00E63FB6">
        <w:t xml:space="preserve">ommission </w:t>
      </w:r>
      <w:r>
        <w:t>to</w:t>
      </w:r>
      <w:r w:rsidRPr="00E63FB6">
        <w:t xml:space="preserve"> provide approval on conditions considered appropriate. </w:t>
      </w:r>
    </w:p>
    <w:p w14:paraId="0C496247" w14:textId="77777777" w:rsidR="008839CE" w:rsidRPr="00E63FB6" w:rsidRDefault="008839CE" w:rsidP="008839CE">
      <w:pPr>
        <w:rPr>
          <w:u w:val="single"/>
        </w:rPr>
      </w:pPr>
      <w:r w:rsidRPr="00E63FB6">
        <w:rPr>
          <w:u w:val="single"/>
        </w:rPr>
        <w:t>Section 70 – Cancellation or suspension of gaming components or systems</w:t>
      </w:r>
    </w:p>
    <w:p w14:paraId="764BF037" w14:textId="77777777" w:rsidR="008839CE" w:rsidRPr="00E63FB6" w:rsidRDefault="008839CE" w:rsidP="008839CE">
      <w:r w:rsidRPr="00E63FB6">
        <w:t xml:space="preserve">This section enables the </w:t>
      </w:r>
      <w:r>
        <w:t>c</w:t>
      </w:r>
      <w:r w:rsidRPr="00E63FB6">
        <w:t xml:space="preserve">ommission to cancel or suspend the approval of a gaming component or system if it is not operating as intended or no longer complies with a relevant law. A cancellation or suspension of a gaming component applies to all components of that kind, whether or not the other components of the same kind </w:t>
      </w:r>
      <w:r>
        <w:t>would also meet</w:t>
      </w:r>
      <w:r w:rsidRPr="00E63FB6">
        <w:t xml:space="preserve"> the threshold for cancellation or suspension</w:t>
      </w:r>
      <w:r>
        <w:t xml:space="preserve"> (i.e. irrespective of if they are still operating as intended or complying with relevant laws)</w:t>
      </w:r>
      <w:r w:rsidRPr="00E63FB6">
        <w:t xml:space="preserve">. </w:t>
      </w:r>
    </w:p>
    <w:p w14:paraId="5A4B778C"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24</w:t>
      </w:r>
      <w:r w:rsidRPr="00E63FB6">
        <w:rPr>
          <w:rFonts w:ascii="Arial" w:eastAsia="Yu Gothic Light" w:hAnsi="Arial"/>
          <w:b/>
          <w:sz w:val="24"/>
          <w:szCs w:val="24"/>
        </w:rPr>
        <w:tab/>
        <w:t>Sections 71A (a) (</w:t>
      </w:r>
      <w:proofErr w:type="spellStart"/>
      <w:r w:rsidRPr="00E63FB6">
        <w:rPr>
          <w:rFonts w:ascii="Arial" w:eastAsia="Yu Gothic Light" w:hAnsi="Arial"/>
          <w:b/>
          <w:sz w:val="24"/>
          <w:szCs w:val="24"/>
        </w:rPr>
        <w:t>i</w:t>
      </w:r>
      <w:proofErr w:type="spellEnd"/>
      <w:r w:rsidRPr="00E63FB6">
        <w:rPr>
          <w:rFonts w:ascii="Arial" w:eastAsia="Yu Gothic Light" w:hAnsi="Arial"/>
          <w:b/>
          <w:sz w:val="24"/>
          <w:szCs w:val="24"/>
        </w:rPr>
        <w:t>) to (iii) and 72 (2) (a) (</w:t>
      </w:r>
      <w:proofErr w:type="spellStart"/>
      <w:r w:rsidRPr="00E63FB6">
        <w:rPr>
          <w:rFonts w:ascii="Arial" w:eastAsia="Yu Gothic Light" w:hAnsi="Arial"/>
          <w:b/>
          <w:sz w:val="24"/>
          <w:szCs w:val="24"/>
        </w:rPr>
        <w:t>i</w:t>
      </w:r>
      <w:proofErr w:type="spellEnd"/>
      <w:r w:rsidRPr="00E63FB6">
        <w:rPr>
          <w:rFonts w:ascii="Arial" w:eastAsia="Yu Gothic Light" w:hAnsi="Arial"/>
          <w:b/>
          <w:sz w:val="24"/>
          <w:szCs w:val="24"/>
        </w:rPr>
        <w:t>) to (iii)</w:t>
      </w:r>
    </w:p>
    <w:p w14:paraId="1C362295" w14:textId="77777777" w:rsidR="008839CE" w:rsidRDefault="008839CE" w:rsidP="008839CE">
      <w:r w:rsidRPr="00E63FB6">
        <w:t>This clause substitutes</w:t>
      </w:r>
      <w:r>
        <w:t xml:space="preserve"> new terminology and concepts used a part of the account-based gaming framework into:</w:t>
      </w:r>
      <w:r w:rsidRPr="00E63FB6">
        <w:t xml:space="preserve"> </w:t>
      </w:r>
    </w:p>
    <w:p w14:paraId="63D9771B" w14:textId="77777777" w:rsidR="008839CE" w:rsidRDefault="008839CE" w:rsidP="008839CE">
      <w:pPr>
        <w:pStyle w:val="ListParagraph"/>
        <w:numPr>
          <w:ilvl w:val="0"/>
          <w:numId w:val="45"/>
        </w:numPr>
        <w:spacing w:after="200" w:line="276" w:lineRule="auto"/>
        <w:contextualSpacing/>
        <w:rPr>
          <w:rFonts w:cs="Times New Roman"/>
        </w:rPr>
      </w:pPr>
      <w:r w:rsidRPr="005F546B">
        <w:rPr>
          <w:rFonts w:cs="Times New Roman"/>
        </w:rPr>
        <w:t>the list of the things that it is an offence to supply if the supplier is not an approved suppler</w:t>
      </w:r>
      <w:r>
        <w:rPr>
          <w:rFonts w:cs="Times New Roman"/>
        </w:rPr>
        <w:t>,</w:t>
      </w:r>
      <w:r w:rsidRPr="005F546B">
        <w:rPr>
          <w:rFonts w:cs="Times New Roman"/>
        </w:rPr>
        <w:t xml:space="preserve"> and </w:t>
      </w:r>
    </w:p>
    <w:p w14:paraId="28BB43DE" w14:textId="77777777" w:rsidR="008839CE" w:rsidRDefault="008839CE" w:rsidP="008839CE">
      <w:pPr>
        <w:pStyle w:val="ListParagraph"/>
        <w:numPr>
          <w:ilvl w:val="0"/>
          <w:numId w:val="45"/>
        </w:numPr>
        <w:spacing w:after="200" w:line="276" w:lineRule="auto"/>
        <w:contextualSpacing/>
        <w:rPr>
          <w:rFonts w:cs="Times New Roman"/>
        </w:rPr>
      </w:pPr>
      <w:r w:rsidRPr="005F546B">
        <w:rPr>
          <w:rFonts w:cs="Times New Roman"/>
        </w:rPr>
        <w:t xml:space="preserve">the list of things a supplier must intend to supply, install, or maintain in order for the commission to approve them as a supplier. </w:t>
      </w:r>
    </w:p>
    <w:p w14:paraId="33275532"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25</w:t>
      </w:r>
      <w:r w:rsidRPr="00E63FB6">
        <w:rPr>
          <w:rFonts w:ascii="Arial" w:eastAsia="Yu Gothic Light" w:hAnsi="Arial"/>
          <w:b/>
          <w:sz w:val="24"/>
          <w:szCs w:val="24"/>
        </w:rPr>
        <w:tab/>
        <w:t>Control procedures</w:t>
      </w:r>
    </w:p>
    <w:p w14:paraId="06FC25D3" w14:textId="77777777" w:rsidR="008839CE" w:rsidRPr="00E63FB6" w:rsidRDefault="008839CE" w:rsidP="008839CE">
      <w:r w:rsidRPr="00E63FB6">
        <w:tab/>
      </w:r>
      <w:r w:rsidRPr="00E63FB6">
        <w:tab/>
      </w:r>
      <w:r w:rsidRPr="00E63FB6">
        <w:rPr>
          <w:rFonts w:ascii="Arial" w:eastAsia="Yu Gothic Light" w:hAnsi="Arial"/>
          <w:b/>
          <w:sz w:val="24"/>
          <w:szCs w:val="24"/>
        </w:rPr>
        <w:t>Section 97 (1)</w:t>
      </w:r>
    </w:p>
    <w:p w14:paraId="1243CE25" w14:textId="77777777" w:rsidR="008839CE" w:rsidRPr="00E63FB6" w:rsidRDefault="008839CE" w:rsidP="008839CE">
      <w:r w:rsidRPr="00E63FB6">
        <w:t xml:space="preserve">This clause </w:t>
      </w:r>
      <w:r>
        <w:t xml:space="preserve">aligns the terminology and concepts </w:t>
      </w:r>
      <w:r w:rsidRPr="00E63FB6">
        <w:t>in section 97 (1)</w:t>
      </w:r>
      <w:r>
        <w:t>, which prescribes the content of control procedures, with those</w:t>
      </w:r>
      <w:r w:rsidRPr="00E63FB6">
        <w:t xml:space="preserve"> used as part of the account-based gaming framework. </w:t>
      </w:r>
    </w:p>
    <w:p w14:paraId="4E4827A6"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26</w:t>
      </w:r>
      <w:r w:rsidRPr="00E63FB6">
        <w:rPr>
          <w:rFonts w:ascii="Arial" w:eastAsia="Yu Gothic Light" w:hAnsi="Arial"/>
          <w:b/>
          <w:sz w:val="24"/>
          <w:szCs w:val="24"/>
        </w:rPr>
        <w:tab/>
        <w:t>Section 98 heading</w:t>
      </w:r>
    </w:p>
    <w:p w14:paraId="4125ECB6" w14:textId="77777777" w:rsidR="008839CE" w:rsidRPr="00E63FB6" w:rsidRDefault="008839CE" w:rsidP="008839CE">
      <w:r w:rsidRPr="00E63FB6">
        <w:t xml:space="preserve">This clause updates the heading of section 98 to align with the terminology and concepts used as part of the account-based gaming framework. </w:t>
      </w:r>
    </w:p>
    <w:p w14:paraId="66F6E10D"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27</w:t>
      </w:r>
      <w:r w:rsidRPr="00E63FB6">
        <w:rPr>
          <w:rFonts w:ascii="Arial" w:eastAsia="Yu Gothic Light" w:hAnsi="Arial"/>
          <w:b/>
          <w:sz w:val="24"/>
          <w:szCs w:val="24"/>
        </w:rPr>
        <w:tab/>
        <w:t>Section 98 (3) (a) and (b)</w:t>
      </w:r>
    </w:p>
    <w:p w14:paraId="28248EE2" w14:textId="77777777" w:rsidR="008839CE" w:rsidRPr="00E63FB6" w:rsidRDefault="008839CE" w:rsidP="008839CE">
      <w:r w:rsidRPr="00E63FB6">
        <w:t xml:space="preserve">This clause updates the terminology and concepts in section 98 (3) (a) and (b) to align with those used as part of the account-based gaming framework. </w:t>
      </w:r>
      <w:r>
        <w:t xml:space="preserve">Section 98 (3) provides an offence if a licensee </w:t>
      </w:r>
      <w:r>
        <w:lastRenderedPageBreak/>
        <w:t xml:space="preserve">intentionally acquires unapproved equipment. The description of that equipment will be updated to align with the account-based gaming framework. </w:t>
      </w:r>
    </w:p>
    <w:p w14:paraId="1D8A41CE"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28</w:t>
      </w:r>
      <w:r w:rsidRPr="00E63FB6">
        <w:rPr>
          <w:rFonts w:ascii="Arial" w:eastAsia="Yu Gothic Light" w:hAnsi="Arial"/>
          <w:b/>
          <w:sz w:val="24"/>
          <w:szCs w:val="24"/>
        </w:rPr>
        <w:tab/>
        <w:t>Sections 121 (1) (a) (</w:t>
      </w:r>
      <w:proofErr w:type="spellStart"/>
      <w:r w:rsidRPr="00E63FB6">
        <w:rPr>
          <w:rFonts w:ascii="Arial" w:eastAsia="Yu Gothic Light" w:hAnsi="Arial"/>
          <w:b/>
          <w:sz w:val="24"/>
          <w:szCs w:val="24"/>
        </w:rPr>
        <w:t>i</w:t>
      </w:r>
      <w:proofErr w:type="spellEnd"/>
      <w:r w:rsidRPr="00E63FB6">
        <w:rPr>
          <w:rFonts w:ascii="Arial" w:eastAsia="Yu Gothic Light" w:hAnsi="Arial"/>
          <w:b/>
          <w:sz w:val="24"/>
          <w:szCs w:val="24"/>
        </w:rPr>
        <w:t>) to (iii) and 128 (1) (a) (</w:t>
      </w:r>
      <w:proofErr w:type="spellStart"/>
      <w:r w:rsidRPr="00E63FB6">
        <w:rPr>
          <w:rFonts w:ascii="Arial" w:eastAsia="Yu Gothic Light" w:hAnsi="Arial"/>
          <w:b/>
          <w:sz w:val="24"/>
          <w:szCs w:val="24"/>
        </w:rPr>
        <w:t>i</w:t>
      </w:r>
      <w:proofErr w:type="spellEnd"/>
      <w:r w:rsidRPr="00E63FB6">
        <w:rPr>
          <w:rFonts w:ascii="Arial" w:eastAsia="Yu Gothic Light" w:hAnsi="Arial"/>
          <w:b/>
          <w:sz w:val="24"/>
          <w:szCs w:val="24"/>
        </w:rPr>
        <w:t>) to (iii)</w:t>
      </w:r>
    </w:p>
    <w:p w14:paraId="5C0B3D2C" w14:textId="77777777" w:rsidR="008839CE" w:rsidRPr="00E63FB6" w:rsidRDefault="008839CE" w:rsidP="008839CE">
      <w:r w:rsidRPr="00E63FB6">
        <w:t>This clause updates the terminology and concepts in sections 121 (1) (a) (</w:t>
      </w:r>
      <w:proofErr w:type="spellStart"/>
      <w:r w:rsidRPr="00E63FB6">
        <w:t>i</w:t>
      </w:r>
      <w:proofErr w:type="spellEnd"/>
      <w:r w:rsidRPr="00E63FB6">
        <w:t>) to (iii) and 128 (1) (a) (</w:t>
      </w:r>
      <w:proofErr w:type="spellStart"/>
      <w:r w:rsidRPr="00E63FB6">
        <w:t>i</w:t>
      </w:r>
      <w:proofErr w:type="spellEnd"/>
      <w:r w:rsidRPr="00E63FB6">
        <w:t xml:space="preserve">) to (iii) to align with those used as part of the account-based gaming framework. </w:t>
      </w:r>
      <w:r>
        <w:t xml:space="preserve">Sections 121 (1) and 128 (1) provide offences for someone who is not an approved technician installing gaming machine equipment and maintaining gaming machine equipment respectively. The description of that equipment will be updated to align with the account-based gaming framework. </w:t>
      </w:r>
    </w:p>
    <w:p w14:paraId="3636A9CF"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29</w:t>
      </w:r>
      <w:r w:rsidRPr="00E63FB6">
        <w:rPr>
          <w:rFonts w:ascii="Arial" w:eastAsia="Yu Gothic Light" w:hAnsi="Arial"/>
          <w:b/>
          <w:sz w:val="24"/>
          <w:szCs w:val="24"/>
        </w:rPr>
        <w:tab/>
        <w:t>Interference with gaming machines</w:t>
      </w:r>
    </w:p>
    <w:p w14:paraId="6A1D4875" w14:textId="77777777" w:rsidR="008839CE" w:rsidRPr="00E63FB6" w:rsidRDefault="008839CE" w:rsidP="008839CE">
      <w:r w:rsidRPr="00E63FB6">
        <w:tab/>
      </w:r>
      <w:r w:rsidRPr="00E63FB6">
        <w:tab/>
      </w:r>
      <w:r w:rsidRPr="00E63FB6">
        <w:rPr>
          <w:rFonts w:ascii="Arial" w:eastAsia="Yu Gothic Light" w:hAnsi="Arial"/>
          <w:b/>
          <w:sz w:val="24"/>
          <w:szCs w:val="24"/>
        </w:rPr>
        <w:t>Section 129 (2)</w:t>
      </w:r>
    </w:p>
    <w:p w14:paraId="00719DAE" w14:textId="77777777" w:rsidR="008839CE" w:rsidRPr="00E63FB6" w:rsidRDefault="008839CE" w:rsidP="008839CE">
      <w:r w:rsidRPr="00E63FB6">
        <w:t xml:space="preserve">This clause removes reference to coin, notes, or gaming machine tokens and replaces this with player cards, in alignment with the account-based gaming framework, from this section. The section currently provides an offence for inserting into a gaming machine anything other than a coin, note, or token of the kind stated on the gaming machine. This clause therefore provides an offence for inserting into a gaming machine anything other than a player card of the kind used at the authorised premises. </w:t>
      </w:r>
    </w:p>
    <w:p w14:paraId="21BAC247"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30</w:t>
      </w:r>
      <w:r w:rsidRPr="00E63FB6">
        <w:rPr>
          <w:rFonts w:ascii="Arial" w:eastAsia="Yu Gothic Light" w:hAnsi="Arial"/>
          <w:b/>
          <w:sz w:val="24"/>
          <w:szCs w:val="24"/>
        </w:rPr>
        <w:tab/>
        <w:t>Part 10 heading</w:t>
      </w:r>
    </w:p>
    <w:p w14:paraId="14BBDBC3" w14:textId="0115DF95" w:rsidR="008839CE" w:rsidRPr="00E63FB6" w:rsidRDefault="008839CE" w:rsidP="008839CE">
      <w:r w:rsidRPr="00E63FB6">
        <w:t xml:space="preserve">This clause </w:t>
      </w:r>
      <w:r>
        <w:t>substitutes</w:t>
      </w:r>
      <w:r w:rsidRPr="00E63FB6">
        <w:t xml:space="preserve"> the current heading of part 10 – promoting responsible practices at authorised premises – with a new heading – </w:t>
      </w:r>
      <w:r w:rsidR="00A80E14">
        <w:t>m</w:t>
      </w:r>
      <w:r w:rsidRPr="00E63FB6">
        <w:t xml:space="preserve">easures to reduce gambling harm. This brings the </w:t>
      </w:r>
      <w:r>
        <w:t>heading for</w:t>
      </w:r>
      <w:r w:rsidRPr="00E63FB6">
        <w:t xml:space="preserve"> this part in line </w:t>
      </w:r>
      <w:r w:rsidR="002A0F6C">
        <w:t xml:space="preserve">with the focus of the Act and regulatory framework to prevent and reduce </w:t>
      </w:r>
      <w:r w:rsidRPr="00E63FB6">
        <w:t>systemic harm</w:t>
      </w:r>
      <w:r w:rsidR="002A0F6C">
        <w:t>,</w:t>
      </w:r>
      <w:r w:rsidRPr="00E63FB6">
        <w:t xml:space="preserve"> rather </w:t>
      </w:r>
      <w:r>
        <w:t xml:space="preserve">than a focus </w:t>
      </w:r>
      <w:r w:rsidRPr="00E63FB6">
        <w:t xml:space="preserve">on personal responsibility. </w:t>
      </w:r>
    </w:p>
    <w:p w14:paraId="05EA8F23"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31</w:t>
      </w:r>
      <w:r w:rsidRPr="00E63FB6">
        <w:rPr>
          <w:rFonts w:ascii="Arial" w:eastAsia="Yu Gothic Light" w:hAnsi="Arial"/>
          <w:b/>
          <w:sz w:val="24"/>
          <w:szCs w:val="24"/>
        </w:rPr>
        <w:tab/>
        <w:t>New sections 151A and 151B</w:t>
      </w:r>
    </w:p>
    <w:p w14:paraId="1281F1E5" w14:textId="77777777" w:rsidR="008839CE" w:rsidRPr="00E63FB6" w:rsidRDefault="008839CE" w:rsidP="008839CE">
      <w:pPr>
        <w:rPr>
          <w:u w:val="single"/>
        </w:rPr>
      </w:pPr>
      <w:r w:rsidRPr="00E63FB6">
        <w:t xml:space="preserve">This clause inserts </w:t>
      </w:r>
      <w:r>
        <w:t>n</w:t>
      </w:r>
      <w:r w:rsidRPr="00E63FB6">
        <w:t xml:space="preserve">ew sections 151A and 151B. </w:t>
      </w:r>
    </w:p>
    <w:p w14:paraId="1E29948E" w14:textId="77777777" w:rsidR="008839CE" w:rsidRPr="00E63FB6" w:rsidRDefault="008839CE" w:rsidP="008839CE">
      <w:r>
        <w:t>New section 151A</w:t>
      </w:r>
      <w:r w:rsidRPr="00E63FB6">
        <w:t xml:space="preserve"> enables the </w:t>
      </w:r>
      <w:r>
        <w:t>c</w:t>
      </w:r>
      <w:r w:rsidRPr="00E63FB6">
        <w:t xml:space="preserve">ommission to determine – via notifiable instrument – requirements for displaying information about how to access the </w:t>
      </w:r>
      <w:r>
        <w:t>c</w:t>
      </w:r>
      <w:r w:rsidRPr="00E63FB6">
        <w:t xml:space="preserve">ommission’s resources about gaming machine harm reduction. </w:t>
      </w:r>
    </w:p>
    <w:p w14:paraId="3C34C9D0" w14:textId="77777777" w:rsidR="008839CE" w:rsidRPr="00E63FB6" w:rsidRDefault="008839CE" w:rsidP="008839CE">
      <w:r w:rsidRPr="00E63FB6">
        <w:t xml:space="preserve">It also provides an offence </w:t>
      </w:r>
      <w:r>
        <w:t>if a licensee fails</w:t>
      </w:r>
      <w:r w:rsidRPr="00E63FB6">
        <w:t xml:space="preserve"> to comply with this determination. This offence </w:t>
      </w:r>
      <w:r>
        <w:t xml:space="preserve">has a maximum penalty of </w:t>
      </w:r>
      <w:r w:rsidRPr="00E63FB6">
        <w:t xml:space="preserve">5 penalty units and </w:t>
      </w:r>
      <w:r>
        <w:t xml:space="preserve">is a </w:t>
      </w:r>
      <w:r w:rsidRPr="00E63FB6">
        <w:t>strict liability</w:t>
      </w:r>
      <w:r>
        <w:t xml:space="preserve"> offence</w:t>
      </w:r>
      <w:r w:rsidRPr="00E63FB6">
        <w:t xml:space="preserve">, so fault elements are not required. </w:t>
      </w:r>
    </w:p>
    <w:p w14:paraId="502F17ED" w14:textId="77777777" w:rsidR="008839CE" w:rsidRDefault="008839CE" w:rsidP="008839CE">
      <w:r>
        <w:t xml:space="preserve">New section 151B </w:t>
      </w:r>
      <w:r w:rsidRPr="00E63FB6">
        <w:t xml:space="preserve">requires licensees to monitor the time a person spends playing gaming machines. </w:t>
      </w:r>
      <w:r>
        <w:t>The section contains two offences for licensees:</w:t>
      </w:r>
    </w:p>
    <w:p w14:paraId="39B5BBB6" w14:textId="77777777" w:rsidR="008839CE" w:rsidRDefault="008839CE" w:rsidP="008839CE">
      <w:pPr>
        <w:pStyle w:val="ListParagraph"/>
        <w:numPr>
          <w:ilvl w:val="0"/>
          <w:numId w:val="47"/>
        </w:numPr>
        <w:spacing w:after="200" w:line="276" w:lineRule="auto"/>
        <w:contextualSpacing/>
        <w:rPr>
          <w:rFonts w:cs="Times New Roman"/>
        </w:rPr>
      </w:pPr>
      <w:r w:rsidRPr="00140CCB">
        <w:rPr>
          <w:rFonts w:cs="Times New Roman"/>
        </w:rPr>
        <w:t>if a licensee fails to stop a person from playing a gaming machine for a period longer than 1 hour</w:t>
      </w:r>
      <w:r>
        <w:rPr>
          <w:rFonts w:cs="Times New Roman"/>
        </w:rPr>
        <w:t xml:space="preserve">; and </w:t>
      </w:r>
    </w:p>
    <w:p w14:paraId="0BEEFC14" w14:textId="77777777" w:rsidR="008839CE" w:rsidRPr="00140CCB" w:rsidRDefault="008839CE" w:rsidP="008839CE">
      <w:pPr>
        <w:pStyle w:val="ListParagraph"/>
        <w:numPr>
          <w:ilvl w:val="0"/>
          <w:numId w:val="47"/>
        </w:numPr>
        <w:spacing w:after="200" w:line="276" w:lineRule="auto"/>
        <w:contextualSpacing/>
        <w:rPr>
          <w:rFonts w:cs="Times New Roman"/>
        </w:rPr>
      </w:pPr>
      <w:r w:rsidRPr="00E63FB6">
        <w:rPr>
          <w:rFonts w:cs="Times New Roman"/>
        </w:rPr>
        <w:t xml:space="preserve">if a person plays a gaming machine for at least </w:t>
      </w:r>
      <w:r>
        <w:rPr>
          <w:rFonts w:cs="Times New Roman"/>
        </w:rPr>
        <w:t>1</w:t>
      </w:r>
      <w:r w:rsidRPr="00E63FB6">
        <w:rPr>
          <w:rFonts w:cs="Times New Roman"/>
        </w:rPr>
        <w:t xml:space="preserve"> hour and </w:t>
      </w:r>
      <w:r w:rsidRPr="00140CCB">
        <w:rPr>
          <w:rFonts w:cs="Times New Roman"/>
        </w:rPr>
        <w:t>a licensee fails to stop a person from resuming gaming machine play of less than 15 minutes after stopping.</w:t>
      </w:r>
    </w:p>
    <w:p w14:paraId="6A493F43" w14:textId="77777777" w:rsidR="008839CE" w:rsidRPr="00E63FB6" w:rsidRDefault="008839CE" w:rsidP="008839CE">
      <w:r>
        <w:lastRenderedPageBreak/>
        <w:t xml:space="preserve">These offences carry a maximum penalty of 50 penalty units. </w:t>
      </w:r>
      <w:r w:rsidRPr="00E63FB6">
        <w:t xml:space="preserve">Licensees will have a defence to the prosecution of these offences if the licensee proves they took all reasonable steps to stop the person from playing the gaming machine. In doing so, the licensee must not use more force, or subject anyone to greater indignity, than is necessary and reasonably to stop the person from playing the gaming machine. </w:t>
      </w:r>
      <w:r>
        <w:t>This provision</w:t>
      </w:r>
      <w:r w:rsidRPr="004714CE">
        <w:t xml:space="preserve"> itself does not authorise the use of force</w:t>
      </w:r>
      <w:r>
        <w:t xml:space="preserve">. </w:t>
      </w:r>
      <w:r w:rsidRPr="00E63FB6">
        <w:t>The licensee will have a legal burden in relation to this defence</w:t>
      </w:r>
      <w:r>
        <w:t xml:space="preserve"> so they must prove they took all reasonable steps to stop the person from playing the gaming machine on the balance of probabilities.</w:t>
      </w:r>
    </w:p>
    <w:p w14:paraId="170CEFCB" w14:textId="77777777" w:rsidR="008839CE" w:rsidRPr="00E63FB6" w:rsidRDefault="008839CE" w:rsidP="008839CE">
      <w:r>
        <w:t xml:space="preserve">These offences are </w:t>
      </w:r>
      <w:r w:rsidRPr="00E63FB6">
        <w:t>not strict liability</w:t>
      </w:r>
      <w:r>
        <w:t>,</w:t>
      </w:r>
      <w:r w:rsidRPr="00E63FB6">
        <w:t xml:space="preserve"> so</w:t>
      </w:r>
      <w:r>
        <w:t xml:space="preserve"> they</w:t>
      </w:r>
      <w:r w:rsidRPr="00E63FB6">
        <w:t xml:space="preserve"> </w:t>
      </w:r>
      <w:r>
        <w:t>have</w:t>
      </w:r>
      <w:r w:rsidRPr="00E63FB6">
        <w:t xml:space="preserve"> fault elements. As the fault elements are not stipulated in the section, the default fault elements under section 22 of the </w:t>
      </w:r>
      <w:r w:rsidRPr="005E3502">
        <w:rPr>
          <w:i/>
          <w:iCs/>
        </w:rPr>
        <w:t>Criminal Code 2002</w:t>
      </w:r>
      <w:r w:rsidRPr="00E63FB6">
        <w:t xml:space="preserve"> apply. </w:t>
      </w:r>
    </w:p>
    <w:p w14:paraId="6657FB49" w14:textId="77777777" w:rsidR="008839CE" w:rsidRDefault="008839CE" w:rsidP="008839CE">
      <w:r w:rsidRPr="00E63FB6">
        <w:t xml:space="preserve">The default fault element for conduct </w:t>
      </w:r>
      <w:r>
        <w:t>is intention. I</w:t>
      </w:r>
      <w:r w:rsidRPr="00E63FB6">
        <w:t>n these offences, the</w:t>
      </w:r>
      <w:r>
        <w:t xml:space="preserve"> conduct is the</w:t>
      </w:r>
      <w:r w:rsidRPr="00E63FB6">
        <w:t xml:space="preserve"> licensee’s failure to stop a person from playing a gaming machine. Therefore, the licensee must intend to not stop a person from playing a gaming machine. </w:t>
      </w:r>
    </w:p>
    <w:p w14:paraId="585016BB" w14:textId="77777777" w:rsidR="008839CE" w:rsidRDefault="008839CE" w:rsidP="008839CE">
      <w:r w:rsidRPr="00E63FB6">
        <w:t>The default element for a circumstance</w:t>
      </w:r>
      <w:r>
        <w:t xml:space="preserve"> or result is recklessness. I</w:t>
      </w:r>
      <w:r w:rsidRPr="00E63FB6">
        <w:t>n these offences, th</w:t>
      </w:r>
      <w:r>
        <w:t>e results are:</w:t>
      </w:r>
    </w:p>
    <w:p w14:paraId="1384DD67" w14:textId="77777777" w:rsidR="008839CE" w:rsidRDefault="008839CE" w:rsidP="008839CE">
      <w:pPr>
        <w:pStyle w:val="ListParagraph"/>
        <w:numPr>
          <w:ilvl w:val="0"/>
          <w:numId w:val="46"/>
        </w:numPr>
        <w:spacing w:after="200" w:line="276" w:lineRule="auto"/>
        <w:contextualSpacing/>
        <w:rPr>
          <w:rFonts w:cs="Times New Roman"/>
        </w:rPr>
      </w:pPr>
      <w:r w:rsidRPr="00E721FA">
        <w:rPr>
          <w:rFonts w:cs="Times New Roman"/>
        </w:rPr>
        <w:t>the person had played the gaming machine for at least an hour</w:t>
      </w:r>
      <w:r>
        <w:rPr>
          <w:rFonts w:cs="Times New Roman"/>
        </w:rPr>
        <w:t>,</w:t>
      </w:r>
      <w:r w:rsidRPr="00E721FA">
        <w:rPr>
          <w:rFonts w:cs="Times New Roman"/>
        </w:rPr>
        <w:t xml:space="preserve"> and </w:t>
      </w:r>
    </w:p>
    <w:p w14:paraId="6B2E673F" w14:textId="77777777" w:rsidR="008839CE" w:rsidRDefault="008839CE" w:rsidP="008839CE">
      <w:pPr>
        <w:pStyle w:val="ListParagraph"/>
        <w:numPr>
          <w:ilvl w:val="0"/>
          <w:numId w:val="46"/>
        </w:numPr>
        <w:spacing w:after="200" w:line="276" w:lineRule="auto"/>
        <w:contextualSpacing/>
        <w:rPr>
          <w:rFonts w:cs="Times New Roman"/>
        </w:rPr>
      </w:pPr>
      <w:r w:rsidRPr="00E721FA">
        <w:rPr>
          <w:rFonts w:cs="Times New Roman"/>
        </w:rPr>
        <w:t xml:space="preserve">in </w:t>
      </w:r>
      <w:r>
        <w:rPr>
          <w:rFonts w:cs="Times New Roman"/>
        </w:rPr>
        <w:t xml:space="preserve">relation to subsection (3), the person </w:t>
      </w:r>
      <w:r w:rsidRPr="00E721FA">
        <w:rPr>
          <w:rFonts w:cs="Times New Roman"/>
        </w:rPr>
        <w:t xml:space="preserve">had not taken a break of 15 minutes or longer. </w:t>
      </w:r>
    </w:p>
    <w:p w14:paraId="6E3BC9E1" w14:textId="77777777" w:rsidR="008839CE" w:rsidRPr="00E721FA" w:rsidRDefault="008839CE" w:rsidP="008839CE">
      <w:r w:rsidRPr="00E721FA">
        <w:t>Therefore,</w:t>
      </w:r>
      <w:r>
        <w:t xml:space="preserve"> in addition to intending not to stop the person from playing a gaming machine,</w:t>
      </w:r>
      <w:r w:rsidRPr="00E721FA">
        <w:t xml:space="preserve"> the licensee must be reckless as to whether a person had played the gaming machine for </w:t>
      </w:r>
      <w:r>
        <w:t xml:space="preserve">1 </w:t>
      </w:r>
      <w:r w:rsidRPr="00E721FA">
        <w:t>hour</w:t>
      </w:r>
      <w:r>
        <w:t xml:space="preserve"> or more</w:t>
      </w:r>
      <w:r w:rsidRPr="00E721FA">
        <w:t xml:space="preserve"> and/or had not taken a break of 15 minutes or </w:t>
      </w:r>
      <w:r>
        <w:t>more</w:t>
      </w:r>
      <w:r w:rsidRPr="00E721FA">
        <w:t xml:space="preserve">, as applicable in the situation. </w:t>
      </w:r>
    </w:p>
    <w:p w14:paraId="06BCAF75"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32</w:t>
      </w:r>
      <w:r w:rsidRPr="00E63FB6">
        <w:rPr>
          <w:rFonts w:ascii="Arial" w:eastAsia="Yu Gothic Light" w:hAnsi="Arial"/>
          <w:b/>
          <w:sz w:val="24"/>
          <w:szCs w:val="24"/>
        </w:rPr>
        <w:tab/>
        <w:t>Section 153A</w:t>
      </w:r>
    </w:p>
    <w:p w14:paraId="0FA3D294" w14:textId="5FE39536" w:rsidR="008839CE" w:rsidRDefault="008839CE" w:rsidP="008839CE">
      <w:r w:rsidRPr="00E63FB6">
        <w:t>This clause replaces the current section 153A with a revised section</w:t>
      </w:r>
      <w:r>
        <w:t xml:space="preserve"> 153A</w:t>
      </w:r>
      <w:r w:rsidRPr="00E63FB6">
        <w:t>. Currently, section 153A provides an offence for an ATM allowing withdrawals exceeding $250 in a gaming day at the licensee’s authorised premises. Revised section 153A prohibits ATMs from being located on any part of the licensee’s premises</w:t>
      </w:r>
      <w:r w:rsidR="005A502C">
        <w:t xml:space="preserve">. ATMs are also banned on a licensee’s related </w:t>
      </w:r>
      <w:r w:rsidRPr="00E63FB6">
        <w:t>premises</w:t>
      </w:r>
      <w:r w:rsidR="005A502C">
        <w:t xml:space="preserve"> if the ATM is within </w:t>
      </w:r>
      <w:r w:rsidR="00810688">
        <w:t>500m</w:t>
      </w:r>
      <w:r w:rsidR="005A502C">
        <w:t xml:space="preserve"> of a premises operating electronic gaming machines</w:t>
      </w:r>
      <w:r w:rsidRPr="00E63FB6">
        <w:t xml:space="preserve">. Related premises means any premises located on land for which the licensee, or an influential person in relation to the licensee, is the land’s lessee or occupier. </w:t>
      </w:r>
    </w:p>
    <w:p w14:paraId="1AD23EA6" w14:textId="7E3E24EA" w:rsidR="008839CE" w:rsidRPr="00E63FB6" w:rsidRDefault="008839CE" w:rsidP="008839CE">
      <w:r w:rsidRPr="00E63FB6">
        <w:t>This offence</w:t>
      </w:r>
      <w:r>
        <w:t xml:space="preserve"> has a maximum penalty of 50 penalty units and</w:t>
      </w:r>
      <w:r w:rsidRPr="00E63FB6">
        <w:t xml:space="preserve"> is strict liability so does not require fault elements. </w:t>
      </w:r>
      <w:r w:rsidR="005A502C">
        <w:t xml:space="preserve">The prosecution has the evidential burden of proving the elements of the offence. </w:t>
      </w:r>
    </w:p>
    <w:p w14:paraId="1944683D"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33</w:t>
      </w:r>
      <w:r w:rsidRPr="00E63FB6">
        <w:rPr>
          <w:rFonts w:ascii="Arial" w:eastAsia="Yu Gothic Light" w:hAnsi="Arial"/>
          <w:b/>
          <w:sz w:val="24"/>
          <w:szCs w:val="24"/>
        </w:rPr>
        <w:tab/>
        <w:t xml:space="preserve">New section 154A </w:t>
      </w:r>
    </w:p>
    <w:p w14:paraId="705FA853" w14:textId="77777777" w:rsidR="008839CE" w:rsidRDefault="008839CE" w:rsidP="008839CE">
      <w:r w:rsidRPr="00E63FB6">
        <w:t>This clause inserts new section 154A – giving promotional material – into the Act. This section provides an offence if a licensee gives advertising or promotional material about gambling activities to a person directly by mail, email, telephone, SMS, local media or using a mobile (including tablet or other device) app.</w:t>
      </w:r>
    </w:p>
    <w:p w14:paraId="20C972E3" w14:textId="77777777" w:rsidR="008839CE" w:rsidRPr="00E63FB6" w:rsidRDefault="008839CE" w:rsidP="008839CE">
      <w:r>
        <w:t xml:space="preserve">This offence has a maximum penalty of 50 penalty units and strict liability, so does not have fault elements. </w:t>
      </w:r>
    </w:p>
    <w:p w14:paraId="6B493652" w14:textId="77777777" w:rsidR="008839CE" w:rsidRPr="00E63FB6" w:rsidRDefault="008839CE" w:rsidP="008839CE">
      <w:r w:rsidRPr="00E63FB6">
        <w:lastRenderedPageBreak/>
        <w:t xml:space="preserve">Under the mandatory account-based gaming framework, all individuals will be required to provide their contact information to licensees to </w:t>
      </w:r>
      <w:r>
        <w:t>use</w:t>
      </w:r>
      <w:r w:rsidRPr="00E63FB6">
        <w:t xml:space="preserve"> gaming machines, so preventing this information from being used to send direct, targeted, or personalised marketing to patrons is an important safeguard. The most effective way to implement this intent is to prohibit all direct marketing in relation to gaming machines, given that all gaming machine patrons will have an account once the account-based framework is fully implemented. </w:t>
      </w:r>
    </w:p>
    <w:p w14:paraId="72B5C90B"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34</w:t>
      </w:r>
      <w:r w:rsidRPr="00E63FB6">
        <w:rPr>
          <w:rFonts w:ascii="Arial" w:eastAsia="Yu Gothic Light" w:hAnsi="Arial"/>
          <w:b/>
          <w:sz w:val="24"/>
          <w:szCs w:val="24"/>
        </w:rPr>
        <w:tab/>
        <w:t>Using false identification</w:t>
      </w:r>
    </w:p>
    <w:p w14:paraId="42EEA282"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ab/>
      </w:r>
      <w:r w:rsidRPr="00E63FB6">
        <w:rPr>
          <w:rFonts w:ascii="Arial" w:eastAsia="Yu Gothic Light" w:hAnsi="Arial"/>
          <w:b/>
          <w:sz w:val="24"/>
          <w:szCs w:val="24"/>
        </w:rPr>
        <w:tab/>
        <w:t>Section 157 (1) (b)</w:t>
      </w:r>
    </w:p>
    <w:p w14:paraId="57DD2446" w14:textId="77777777" w:rsidR="008839CE" w:rsidRPr="00E63FB6" w:rsidRDefault="008839CE" w:rsidP="008839CE">
      <w:r w:rsidRPr="00E63FB6">
        <w:t>This clause adds using false identification to open a player account to the conduct included in the offence under section 157</w:t>
      </w:r>
      <w:r>
        <w:t>,</w:t>
      </w:r>
      <w:r w:rsidRPr="00E63FB6">
        <w:t xml:space="preserve"> which </w:t>
      </w:r>
      <w:r>
        <w:t xml:space="preserve">currently </w:t>
      </w:r>
      <w:r w:rsidRPr="00E63FB6">
        <w:t xml:space="preserve">prohibits use of false identification to enter a gaming area or play a gaming machine. </w:t>
      </w:r>
    </w:p>
    <w:p w14:paraId="59C58378"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35</w:t>
      </w:r>
      <w:r w:rsidRPr="00E63FB6">
        <w:rPr>
          <w:rFonts w:ascii="Arial" w:eastAsia="Yu Gothic Light" w:hAnsi="Arial"/>
          <w:b/>
          <w:sz w:val="24"/>
          <w:szCs w:val="24"/>
        </w:rPr>
        <w:tab/>
        <w:t>Evidentiary certificates</w:t>
      </w:r>
    </w:p>
    <w:p w14:paraId="09517DF8"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ab/>
      </w:r>
      <w:r w:rsidRPr="00E63FB6">
        <w:rPr>
          <w:rFonts w:ascii="Arial" w:eastAsia="Yu Gothic Light" w:hAnsi="Arial"/>
          <w:b/>
          <w:sz w:val="24"/>
          <w:szCs w:val="24"/>
        </w:rPr>
        <w:tab/>
        <w:t>Section 176</w:t>
      </w:r>
    </w:p>
    <w:p w14:paraId="165A51BD" w14:textId="77777777" w:rsidR="008839CE" w:rsidRPr="00E63FB6" w:rsidRDefault="008839CE" w:rsidP="008839CE">
      <w:r w:rsidRPr="00E63FB6">
        <w:t xml:space="preserve">This clause updates the terminology and concepts in section 176 to align with those used as part of the account-based gaming framework. </w:t>
      </w:r>
    </w:p>
    <w:p w14:paraId="21FE6D72"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36</w:t>
      </w:r>
      <w:r w:rsidRPr="00E63FB6">
        <w:rPr>
          <w:rFonts w:ascii="Arial" w:eastAsia="Yu Gothic Light" w:hAnsi="Arial"/>
          <w:b/>
          <w:sz w:val="24"/>
          <w:szCs w:val="24"/>
        </w:rPr>
        <w:tab/>
        <w:t>Regulation-making power</w:t>
      </w:r>
    </w:p>
    <w:p w14:paraId="38B96137"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ab/>
      </w:r>
      <w:r w:rsidRPr="00E63FB6">
        <w:rPr>
          <w:rFonts w:ascii="Arial" w:eastAsia="Yu Gothic Light" w:hAnsi="Arial"/>
          <w:b/>
          <w:sz w:val="24"/>
          <w:szCs w:val="24"/>
        </w:rPr>
        <w:tab/>
        <w:t>Section 178 (2) (a)</w:t>
      </w:r>
    </w:p>
    <w:p w14:paraId="3AD35AAA" w14:textId="77777777" w:rsidR="008839CE" w:rsidRPr="00E63FB6" w:rsidRDefault="008839CE" w:rsidP="008839CE">
      <w:r w:rsidRPr="00E63FB6">
        <w:t xml:space="preserve">This clause updates the terminology and concepts in section 178 (2) (a) to align with those used as part of the account-based gaming framework. </w:t>
      </w:r>
    </w:p>
    <w:p w14:paraId="594A03DF"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37</w:t>
      </w:r>
      <w:r w:rsidRPr="00E63FB6">
        <w:rPr>
          <w:rFonts w:ascii="Arial" w:eastAsia="Yu Gothic Light" w:hAnsi="Arial"/>
          <w:b/>
          <w:sz w:val="24"/>
          <w:szCs w:val="24"/>
        </w:rPr>
        <w:tab/>
        <w:t>New part 24</w:t>
      </w:r>
    </w:p>
    <w:p w14:paraId="0783733B" w14:textId="77777777" w:rsidR="008839CE" w:rsidRPr="00E63FB6" w:rsidRDefault="008839CE" w:rsidP="008839CE">
      <w:r w:rsidRPr="00E63FB6">
        <w:t xml:space="preserve">This clause is technical and inserts new transitional provisions to ensure continuity of the gaming machine regulatory scheme while the account-based gaming framework is implemented. </w:t>
      </w:r>
    </w:p>
    <w:p w14:paraId="58E86384" w14:textId="77777777" w:rsidR="008839CE" w:rsidRDefault="008839CE" w:rsidP="008839CE">
      <w:r w:rsidRPr="00E63FB6">
        <w:t xml:space="preserve">Section 321 provides continuity in existing approvals of gaming machines and peripheral equipment as gaming machine components under the revised framework. However, it provides that the </w:t>
      </w:r>
      <w:r>
        <w:t>c</w:t>
      </w:r>
      <w:r w:rsidRPr="00E63FB6">
        <w:t xml:space="preserve">ommission must not approve an account-based (which may include an approved machine or equipment) unless satisfied that the system as a whole meets the new requirements under section 69 as amended. </w:t>
      </w:r>
    </w:p>
    <w:p w14:paraId="663EAAEC" w14:textId="77777777" w:rsidR="008839CE" w:rsidRPr="00140CCB" w:rsidRDefault="008839CE" w:rsidP="008839CE">
      <w:pPr>
        <w:rPr>
          <w:rFonts w:cs="Calibri"/>
          <w:iCs/>
        </w:rPr>
      </w:pPr>
      <w:r w:rsidRPr="00140CCB">
        <w:rPr>
          <w:rFonts w:cs="Calibri"/>
          <w:iCs/>
        </w:rPr>
        <w:t xml:space="preserve">Section 322 enables the Executive to make regulations dealing with transitional matters. </w:t>
      </w:r>
    </w:p>
    <w:p w14:paraId="0D301620" w14:textId="77777777" w:rsidR="008839CE" w:rsidRPr="00140CCB" w:rsidRDefault="008839CE" w:rsidP="008839CE">
      <w:pPr>
        <w:rPr>
          <w:rFonts w:cs="Calibri"/>
          <w:iCs/>
        </w:rPr>
      </w:pPr>
      <w:r w:rsidRPr="00140CCB">
        <w:rPr>
          <w:rFonts w:cs="Calibri"/>
          <w:iCs/>
        </w:rPr>
        <w:t xml:space="preserve">The section contains 2 different regulation making powers. </w:t>
      </w:r>
    </w:p>
    <w:p w14:paraId="08CD7CCE" w14:textId="77777777" w:rsidR="008839CE" w:rsidRPr="00140CCB" w:rsidRDefault="008839CE" w:rsidP="008839CE">
      <w:pPr>
        <w:rPr>
          <w:rFonts w:cs="Calibri"/>
          <w:iCs/>
        </w:rPr>
      </w:pPr>
      <w:r w:rsidRPr="00140CCB">
        <w:rPr>
          <w:rFonts w:cs="Calibri"/>
          <w:iCs/>
        </w:rPr>
        <w:t xml:space="preserve">Section 322(1) enables the making of a regulation to deal with any transitional matter that arises as a result of the enactment of the Bill. However, the scope of the regulation must be confined to the same sphere of operation as the amended Act, be strictly ancillary to the operation of the Act and not widen the Act’s purpose. </w:t>
      </w:r>
    </w:p>
    <w:p w14:paraId="4E39A0A2" w14:textId="77777777" w:rsidR="008839CE" w:rsidRPr="00140CCB" w:rsidRDefault="008839CE" w:rsidP="008839CE">
      <w:pPr>
        <w:rPr>
          <w:rFonts w:cs="Calibri"/>
          <w:iCs/>
        </w:rPr>
      </w:pPr>
      <w:r w:rsidRPr="00140CCB">
        <w:rPr>
          <w:rFonts w:cs="Calibri"/>
          <w:iCs/>
        </w:rPr>
        <w:lastRenderedPageBreak/>
        <w:t xml:space="preserve">Section 322(2) enables the making of a regulation that modifies the Act. A regulation under this section may only modify part 24 of the Act, and only if the Executive is of the opinion that the part does not adequately or appropriately deal with a transitional issue. A provision of this kind is an important mechanism for achieving the proper objectives, managing the effective operation, and eliminating transitional flaws in the application of the Act in unforeseen circumstances by allowing for flexible and responsive (but limited) modification by regulation. </w:t>
      </w:r>
    </w:p>
    <w:p w14:paraId="13D450BA" w14:textId="77777777" w:rsidR="008839CE" w:rsidRPr="00D8502A" w:rsidRDefault="008839CE" w:rsidP="008839CE">
      <w:pPr>
        <w:rPr>
          <w:rFonts w:ascii="Arial" w:hAnsi="Arial" w:cs="Arial"/>
          <w:iCs/>
          <w:sz w:val="24"/>
          <w:szCs w:val="24"/>
        </w:rPr>
      </w:pPr>
      <w:r w:rsidRPr="00140CCB">
        <w:rPr>
          <w:rFonts w:cs="Calibri"/>
          <w:iCs/>
        </w:rPr>
        <w:t>Section 322(3) gives a regulation under section 322(2) full effect according to its terms. A provision of part 24 of the Act modified by regulation will operate in the same way (in relation to another provision of the Act or any other territory law) as if it were amended by an Act, and in accordance with established principles of statutory interpretation. The section is not expressed, and does not intend, to authorise the making of a regulation limiting future enactments of the Legislative Assembly. Also, any modification by regulation of part 24 of the Act has no ongoing effect after the expiry of that chapter/part.</w:t>
      </w:r>
    </w:p>
    <w:p w14:paraId="5329BC4C" w14:textId="77777777" w:rsidR="008839CE" w:rsidRDefault="008839CE" w:rsidP="008839CE">
      <w:r w:rsidRPr="00E63FB6">
        <w:t>Section 323 provides that these transitional provisions expire 3 years after the section commences.</w:t>
      </w:r>
    </w:p>
    <w:p w14:paraId="79A01DB6" w14:textId="1177CABB" w:rsidR="007414B5" w:rsidRPr="005A6736" w:rsidRDefault="007414B5" w:rsidP="005A6736">
      <w:pPr>
        <w:pStyle w:val="Paragraphtext"/>
        <w:spacing w:line="276" w:lineRule="auto"/>
        <w:rPr>
          <w:sz w:val="22"/>
        </w:rPr>
      </w:pPr>
      <w:r w:rsidRPr="005A6736">
        <w:rPr>
          <w:rStyle w:val="PlaceholderText"/>
          <w:color w:val="000000" w:themeColor="text1"/>
          <w:sz w:val="22"/>
        </w:rPr>
        <w:t xml:space="preserve">The clause is necessary to ensure any unforeseen issues arising </w:t>
      </w:r>
      <w:r w:rsidR="00D007BD" w:rsidRPr="005A6736">
        <w:rPr>
          <w:rStyle w:val="PlaceholderText"/>
          <w:color w:val="000000" w:themeColor="text1"/>
          <w:sz w:val="22"/>
        </w:rPr>
        <w:t>from</w:t>
      </w:r>
      <w:r w:rsidRPr="005A6736">
        <w:rPr>
          <w:rStyle w:val="PlaceholderText"/>
          <w:color w:val="000000" w:themeColor="text1"/>
          <w:sz w:val="22"/>
        </w:rPr>
        <w:t xml:space="preserve"> the implementation of the technical solutions acquired by the Clubs to meet </w:t>
      </w:r>
      <w:r w:rsidR="00D007BD" w:rsidRPr="005A6736">
        <w:rPr>
          <w:rStyle w:val="PlaceholderText"/>
          <w:color w:val="000000" w:themeColor="text1"/>
          <w:sz w:val="22"/>
        </w:rPr>
        <w:t>new</w:t>
      </w:r>
      <w:r w:rsidRPr="005A6736">
        <w:rPr>
          <w:rStyle w:val="PlaceholderText"/>
          <w:color w:val="000000" w:themeColor="text1"/>
          <w:sz w:val="22"/>
        </w:rPr>
        <w:t xml:space="preserve"> legislative requirements can be addressed within the legislation. </w:t>
      </w:r>
    </w:p>
    <w:p w14:paraId="03298974" w14:textId="5CF3375F"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Clauses 38-59</w:t>
      </w:r>
      <w:r w:rsidRPr="00E63FB6">
        <w:rPr>
          <w:rFonts w:ascii="Arial" w:eastAsia="Yu Gothic Light" w:hAnsi="Arial"/>
          <w:b/>
          <w:sz w:val="24"/>
          <w:szCs w:val="24"/>
        </w:rPr>
        <w:tab/>
      </w:r>
    </w:p>
    <w:p w14:paraId="6B8AD272" w14:textId="77777777" w:rsidR="008839CE" w:rsidRPr="00E63FB6" w:rsidRDefault="008839CE" w:rsidP="008839CE">
      <w:r w:rsidRPr="00E63FB6">
        <w:t>These clauses are technical amendments to the dictionary, to update terminology and concepts to align with those used as part of the account-based gaming framework.</w:t>
      </w:r>
    </w:p>
    <w:p w14:paraId="47B85F2B"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Clause 60</w:t>
      </w:r>
      <w:r w:rsidRPr="00E63FB6">
        <w:rPr>
          <w:rFonts w:ascii="Arial" w:eastAsia="Yu Gothic Light" w:hAnsi="Arial"/>
          <w:b/>
          <w:sz w:val="24"/>
          <w:szCs w:val="24"/>
        </w:rPr>
        <w:tab/>
        <w:t>Reviewable decisions</w:t>
      </w:r>
    </w:p>
    <w:p w14:paraId="0727D9DA"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ab/>
      </w:r>
      <w:r w:rsidRPr="00E63FB6">
        <w:rPr>
          <w:rFonts w:ascii="Arial" w:eastAsia="Yu Gothic Light" w:hAnsi="Arial"/>
          <w:b/>
          <w:sz w:val="24"/>
          <w:szCs w:val="24"/>
        </w:rPr>
        <w:tab/>
        <w:t>Schedule 1, new items 16A to 16E</w:t>
      </w:r>
    </w:p>
    <w:p w14:paraId="1EDD42E2" w14:textId="77777777" w:rsidR="008839CE" w:rsidRPr="00E63FB6" w:rsidRDefault="008839CE" w:rsidP="008839CE">
      <w:r w:rsidRPr="00E63FB6">
        <w:t xml:space="preserve">This clause adds new reviewable decisions created as part of the account-based gaming framework, to the table of reviewable decisions at schedule 1. Review of these decisions by the ACAT may be sought by the entities listed in column 4, or any other person whose interests are affected by the decision. </w:t>
      </w:r>
    </w:p>
    <w:p w14:paraId="295BA4E8"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 xml:space="preserve"> Clause 61</w:t>
      </w:r>
      <w:r w:rsidRPr="00E63FB6">
        <w:rPr>
          <w:rFonts w:ascii="Arial" w:eastAsia="Yu Gothic Light" w:hAnsi="Arial"/>
          <w:b/>
          <w:sz w:val="24"/>
          <w:szCs w:val="24"/>
        </w:rPr>
        <w:tab/>
        <w:t>Notifiable actions</w:t>
      </w:r>
    </w:p>
    <w:p w14:paraId="3BD212BA" w14:textId="77777777" w:rsidR="008839CE" w:rsidRPr="00E63FB6" w:rsidRDefault="008839CE" w:rsidP="008839CE">
      <w:pPr>
        <w:keepNext/>
        <w:keepLines/>
        <w:spacing w:before="240" w:after="240" w:line="240" w:lineRule="auto"/>
        <w:outlineLvl w:val="2"/>
        <w:rPr>
          <w:rFonts w:ascii="Arial" w:eastAsia="Yu Gothic Light" w:hAnsi="Arial"/>
          <w:b/>
          <w:sz w:val="24"/>
          <w:szCs w:val="24"/>
        </w:rPr>
      </w:pPr>
      <w:r w:rsidRPr="00E63FB6">
        <w:rPr>
          <w:rFonts w:ascii="Arial" w:eastAsia="Yu Gothic Light" w:hAnsi="Arial"/>
          <w:b/>
          <w:sz w:val="24"/>
          <w:szCs w:val="24"/>
        </w:rPr>
        <w:tab/>
      </w:r>
      <w:r w:rsidRPr="00E63FB6">
        <w:rPr>
          <w:rFonts w:ascii="Arial" w:eastAsia="Yu Gothic Light" w:hAnsi="Arial"/>
          <w:b/>
          <w:sz w:val="24"/>
          <w:szCs w:val="24"/>
        </w:rPr>
        <w:tab/>
        <w:t>Schedule 2, new items 3A and 3B</w:t>
      </w:r>
    </w:p>
    <w:p w14:paraId="05253720" w14:textId="77777777" w:rsidR="008839CE" w:rsidRDefault="008839CE" w:rsidP="008839CE">
      <w:r w:rsidRPr="00E63FB6">
        <w:t xml:space="preserve">This clause adds new notifiable actions created as part of the account-based gaming framework, to the table of notifiable actions at schedule 2. Notifiable actions are notified to the </w:t>
      </w:r>
      <w:r>
        <w:t>c</w:t>
      </w:r>
      <w:r w:rsidRPr="00E63FB6">
        <w:t xml:space="preserve">ommission, and a range of additional processes apply under Part 13A. </w:t>
      </w:r>
    </w:p>
    <w:p w14:paraId="430596C7" w14:textId="6C0721C2" w:rsidR="007B57A7" w:rsidRPr="007B57A7" w:rsidRDefault="007B57A7" w:rsidP="007B57A7">
      <w:pPr>
        <w:rPr>
          <w:rFonts w:ascii="Arial" w:hAnsi="Arial" w:cs="Arial"/>
          <w:b/>
          <w:bCs/>
          <w:sz w:val="24"/>
          <w:szCs w:val="24"/>
        </w:rPr>
      </w:pPr>
      <w:r>
        <w:rPr>
          <w:rFonts w:ascii="Arial" w:hAnsi="Arial" w:cs="Arial"/>
          <w:b/>
          <w:bCs/>
          <w:sz w:val="24"/>
          <w:szCs w:val="24"/>
        </w:rPr>
        <w:t>Part 3</w:t>
      </w:r>
      <w:r w:rsidR="00FA7369">
        <w:rPr>
          <w:rFonts w:ascii="Arial" w:hAnsi="Arial" w:cs="Arial"/>
          <w:b/>
          <w:bCs/>
          <w:sz w:val="24"/>
          <w:szCs w:val="24"/>
        </w:rPr>
        <w:tab/>
      </w:r>
      <w:r w:rsidR="00FA7369">
        <w:rPr>
          <w:rFonts w:ascii="Arial" w:hAnsi="Arial" w:cs="Arial"/>
          <w:b/>
          <w:bCs/>
          <w:sz w:val="24"/>
          <w:szCs w:val="24"/>
        </w:rPr>
        <w:tab/>
      </w:r>
      <w:r>
        <w:rPr>
          <w:rFonts w:ascii="Arial" w:hAnsi="Arial" w:cs="Arial"/>
          <w:b/>
          <w:bCs/>
          <w:sz w:val="24"/>
          <w:szCs w:val="24"/>
        </w:rPr>
        <w:t xml:space="preserve">Gaming Machine Regulation 2004 </w:t>
      </w:r>
    </w:p>
    <w:p w14:paraId="58F5C8AB" w14:textId="77777777" w:rsidR="00075255" w:rsidRDefault="00075255" w:rsidP="00075255">
      <w:pPr>
        <w:pStyle w:val="Heading3"/>
        <w:rPr>
          <w:bCs/>
        </w:rPr>
      </w:pPr>
      <w:r w:rsidRPr="00ED3B77">
        <w:lastRenderedPageBreak/>
        <w:t xml:space="preserve">Clause </w:t>
      </w:r>
      <w:r>
        <w:t>62</w:t>
      </w:r>
      <w:r w:rsidRPr="00ED3B77">
        <w:tab/>
      </w:r>
      <w:r w:rsidRPr="00075255">
        <w:rPr>
          <w:bCs/>
        </w:rPr>
        <w:t xml:space="preserve">Approval of CMS—Act, s 67 (1) </w:t>
      </w:r>
    </w:p>
    <w:p w14:paraId="014B185A" w14:textId="67E50B77" w:rsidR="00075255" w:rsidRPr="00ED3B77" w:rsidRDefault="00075255" w:rsidP="00075255">
      <w:pPr>
        <w:pStyle w:val="Heading3"/>
        <w:ind w:left="720" w:firstLine="720"/>
      </w:pPr>
      <w:r w:rsidRPr="00075255">
        <w:rPr>
          <w:bCs/>
        </w:rPr>
        <w:t xml:space="preserve">Section 24 (2), definition of </w:t>
      </w:r>
      <w:r w:rsidRPr="00075255">
        <w:rPr>
          <w:bCs/>
          <w:i/>
          <w:iCs/>
        </w:rPr>
        <w:t>approved entity</w:t>
      </w:r>
    </w:p>
    <w:p w14:paraId="448CD1F0" w14:textId="0FB861E4" w:rsidR="00075255" w:rsidRDefault="00075255" w:rsidP="00F66250">
      <w:pPr>
        <w:spacing w:after="0" w:line="280" w:lineRule="atLeast"/>
        <w:rPr>
          <w:rFonts w:cs="Calibri"/>
        </w:rPr>
      </w:pPr>
      <w:r>
        <w:rPr>
          <w:rFonts w:cs="Calibri"/>
        </w:rPr>
        <w:t xml:space="preserve">This clause is a technical amendment to substitute the section reference for the definition of </w:t>
      </w:r>
      <w:r w:rsidRPr="00075255">
        <w:rPr>
          <w:rFonts w:cs="Calibri"/>
          <w:i/>
          <w:iCs/>
        </w:rPr>
        <w:t>approved entity</w:t>
      </w:r>
      <w:r>
        <w:rPr>
          <w:rFonts w:cs="Calibri"/>
        </w:rPr>
        <w:t xml:space="preserve">. </w:t>
      </w:r>
    </w:p>
    <w:p w14:paraId="4B97B55B" w14:textId="6A63EBEF" w:rsidR="00075255" w:rsidRDefault="00075255" w:rsidP="00075255">
      <w:pPr>
        <w:pStyle w:val="Heading3"/>
        <w:rPr>
          <w:bCs/>
        </w:rPr>
      </w:pPr>
      <w:r w:rsidRPr="00ED3B77">
        <w:t xml:space="preserve">Clause </w:t>
      </w:r>
      <w:r>
        <w:t>63</w:t>
      </w:r>
      <w:r w:rsidRPr="00ED3B77">
        <w:tab/>
      </w:r>
      <w:r w:rsidR="0054763D">
        <w:rPr>
          <w:bCs/>
        </w:rPr>
        <w:t xml:space="preserve">Part 6 </w:t>
      </w:r>
      <w:r w:rsidRPr="00075255">
        <w:rPr>
          <w:bCs/>
        </w:rPr>
        <w:t xml:space="preserve"> </w:t>
      </w:r>
    </w:p>
    <w:p w14:paraId="7211AB32" w14:textId="79F65F08" w:rsidR="00075255" w:rsidRDefault="00605DE8" w:rsidP="00F66250">
      <w:pPr>
        <w:spacing w:after="0" w:line="280" w:lineRule="atLeast"/>
        <w:rPr>
          <w:rFonts w:cs="Calibri"/>
        </w:rPr>
      </w:pPr>
      <w:r>
        <w:rPr>
          <w:rFonts w:cs="Calibri"/>
        </w:rPr>
        <w:t xml:space="preserve">This clause is to substitute part 6 of the </w:t>
      </w:r>
      <w:r w:rsidRPr="00605DE8">
        <w:rPr>
          <w:rFonts w:cs="Calibri"/>
          <w:i/>
          <w:iCs/>
        </w:rPr>
        <w:t>Gaming Machine Regulation 2004</w:t>
      </w:r>
      <w:r>
        <w:rPr>
          <w:rFonts w:cs="Calibri"/>
        </w:rPr>
        <w:t>.</w:t>
      </w:r>
    </w:p>
    <w:p w14:paraId="57915CB2" w14:textId="77777777" w:rsidR="00605DE8" w:rsidRDefault="00605DE8" w:rsidP="00F66250">
      <w:pPr>
        <w:spacing w:after="0" w:line="280" w:lineRule="atLeast"/>
        <w:rPr>
          <w:rFonts w:cs="Calibri"/>
        </w:rPr>
      </w:pPr>
    </w:p>
    <w:p w14:paraId="0C5331B4" w14:textId="61CF0BCC" w:rsidR="00605DE8" w:rsidRDefault="005E0291" w:rsidP="00F66250">
      <w:pPr>
        <w:spacing w:after="0" w:line="280" w:lineRule="atLeast"/>
        <w:rPr>
          <w:rFonts w:cs="Calibri"/>
        </w:rPr>
      </w:pPr>
      <w:r>
        <w:rPr>
          <w:rFonts w:cs="Calibri"/>
        </w:rPr>
        <w:t>New s</w:t>
      </w:r>
      <w:r w:rsidR="00605DE8">
        <w:rPr>
          <w:rFonts w:cs="Calibri"/>
        </w:rPr>
        <w:t xml:space="preserve">ection 27 provides that purchasing player credit is allowed by cashier or at a cash redemption terminal. </w:t>
      </w:r>
    </w:p>
    <w:p w14:paraId="6BEF8265" w14:textId="77777777" w:rsidR="00605DE8" w:rsidRDefault="00605DE8" w:rsidP="00F66250">
      <w:pPr>
        <w:spacing w:after="0" w:line="280" w:lineRule="atLeast"/>
        <w:rPr>
          <w:rFonts w:cs="Calibri"/>
        </w:rPr>
      </w:pPr>
    </w:p>
    <w:p w14:paraId="2E21F57B" w14:textId="7728871B" w:rsidR="00605DE8" w:rsidRDefault="005E0291" w:rsidP="00F66250">
      <w:pPr>
        <w:spacing w:after="0" w:line="280" w:lineRule="atLeast"/>
        <w:rPr>
          <w:rFonts w:cs="Calibri"/>
        </w:rPr>
      </w:pPr>
      <w:r>
        <w:rPr>
          <w:rFonts w:cs="Calibri"/>
        </w:rPr>
        <w:t>New s</w:t>
      </w:r>
      <w:r w:rsidR="00605DE8">
        <w:rPr>
          <w:rFonts w:cs="Calibri"/>
        </w:rPr>
        <w:t xml:space="preserve">ection 28 sets out the pre-commitment controls to support the account-based system framework in </w:t>
      </w:r>
      <w:r w:rsidR="00A34F09">
        <w:rPr>
          <w:rFonts w:cs="Calibri"/>
        </w:rPr>
        <w:t>this Act</w:t>
      </w:r>
      <w:r w:rsidR="00605DE8">
        <w:rPr>
          <w:rFonts w:cs="Calibri"/>
        </w:rPr>
        <w:t xml:space="preserve">. </w:t>
      </w:r>
      <w:r w:rsidR="00E10431">
        <w:rPr>
          <w:rFonts w:cs="Calibri"/>
        </w:rPr>
        <w:t>It provides the following controls:</w:t>
      </w:r>
    </w:p>
    <w:p w14:paraId="3030615D" w14:textId="77777777" w:rsidR="00E10431" w:rsidRDefault="00E10431" w:rsidP="00E10431">
      <w:pPr>
        <w:pStyle w:val="ListParagraph"/>
        <w:numPr>
          <w:ilvl w:val="0"/>
          <w:numId w:val="42"/>
        </w:numPr>
        <w:spacing w:line="280" w:lineRule="atLeast"/>
      </w:pPr>
      <w:r w:rsidRPr="00E10431">
        <w:t>the system must apply a net loss limit set by a player to any later playing period unless the player changes their net loss limit in accordance with paragraph (b);</w:t>
      </w:r>
    </w:p>
    <w:p w14:paraId="631BC43A" w14:textId="7FB725C1" w:rsidR="00E10431" w:rsidRPr="00E10431" w:rsidRDefault="00E10431" w:rsidP="00E10431">
      <w:pPr>
        <w:pStyle w:val="ListParagraph"/>
        <w:numPr>
          <w:ilvl w:val="0"/>
          <w:numId w:val="42"/>
        </w:numPr>
        <w:spacing w:line="280" w:lineRule="atLeast"/>
      </w:pPr>
      <w:r w:rsidRPr="00E10431">
        <w:t xml:space="preserve">if the player wants to change their existing net loss limit—the system must— </w:t>
      </w:r>
    </w:p>
    <w:p w14:paraId="0F600C86" w14:textId="77777777" w:rsidR="00E10431" w:rsidRDefault="00E10431" w:rsidP="00E10431">
      <w:pPr>
        <w:pStyle w:val="ListParagraph"/>
        <w:numPr>
          <w:ilvl w:val="0"/>
          <w:numId w:val="43"/>
        </w:numPr>
        <w:spacing w:line="280" w:lineRule="atLeast"/>
      </w:pPr>
      <w:r w:rsidRPr="00E10431">
        <w:t xml:space="preserve">not allow the player to set a net loss limit that is higher than the existing loss limit for 48 hours after the existing loss limit is set; but </w:t>
      </w:r>
    </w:p>
    <w:p w14:paraId="6164C212" w14:textId="4584B6A7" w:rsidR="00E10431" w:rsidRDefault="00E10431" w:rsidP="00E10431">
      <w:pPr>
        <w:pStyle w:val="ListParagraph"/>
        <w:numPr>
          <w:ilvl w:val="0"/>
          <w:numId w:val="43"/>
        </w:numPr>
        <w:spacing w:line="280" w:lineRule="atLeast"/>
      </w:pPr>
      <w:r w:rsidRPr="00E10431">
        <w:t>allow the player to set a net loss limit that is lower than the first loss limit at any time.</w:t>
      </w:r>
    </w:p>
    <w:p w14:paraId="3C7086D9" w14:textId="23AFDEBE" w:rsidR="005E0291" w:rsidRDefault="005E0291" w:rsidP="00E10431">
      <w:pPr>
        <w:spacing w:line="280" w:lineRule="atLeast"/>
      </w:pPr>
      <w:r>
        <w:t>New s</w:t>
      </w:r>
      <w:r w:rsidR="00E10431">
        <w:t xml:space="preserve">ection 29 </w:t>
      </w:r>
      <w:r w:rsidR="00547039">
        <w:t xml:space="preserve">prescribes matters in which licensees </w:t>
      </w:r>
      <w:r w:rsidR="004577FC">
        <w:t>are require</w:t>
      </w:r>
      <w:r>
        <w:t xml:space="preserve">d </w:t>
      </w:r>
      <w:r w:rsidR="004577FC">
        <w:t>to keep records</w:t>
      </w:r>
      <w:r>
        <w:t xml:space="preserve"> under new section 67U(1) </w:t>
      </w:r>
      <w:r w:rsidR="00A34F09">
        <w:t>in this</w:t>
      </w:r>
      <w:r>
        <w:t xml:space="preserve"> Act. </w:t>
      </w:r>
    </w:p>
    <w:p w14:paraId="62F05D49" w14:textId="677A21E9" w:rsidR="00E10431" w:rsidRDefault="005E0291" w:rsidP="00E10431">
      <w:pPr>
        <w:spacing w:line="280" w:lineRule="atLeast"/>
      </w:pPr>
      <w:r>
        <w:t xml:space="preserve">New section 30 prescribes the information in which licensee are required to report to the commission under new section 67V(1) </w:t>
      </w:r>
      <w:r w:rsidR="00A34F09">
        <w:t>in this</w:t>
      </w:r>
      <w:r>
        <w:t xml:space="preserve"> Act.</w:t>
      </w:r>
    </w:p>
    <w:p w14:paraId="7A088312" w14:textId="3C72E8BD" w:rsidR="005E0291" w:rsidRDefault="00070A79" w:rsidP="00E10431">
      <w:pPr>
        <w:spacing w:line="280" w:lineRule="atLeast"/>
      </w:pPr>
      <w:r>
        <w:t xml:space="preserve">New section 31 prescribes the information for each account holder in which the licensee must provide them in a monthly activity statement under new section 67W(1) </w:t>
      </w:r>
      <w:r w:rsidR="00A34F09">
        <w:t>in this</w:t>
      </w:r>
      <w:r>
        <w:t xml:space="preserve"> Act. </w:t>
      </w:r>
    </w:p>
    <w:p w14:paraId="5A433907" w14:textId="194093CE" w:rsidR="00E37B94" w:rsidRDefault="00E37B94" w:rsidP="00E10431">
      <w:pPr>
        <w:spacing w:line="280" w:lineRule="atLeast"/>
      </w:pPr>
      <w:r>
        <w:t xml:space="preserve">New section 32 provides </w:t>
      </w:r>
      <w:r w:rsidR="00260A4F">
        <w:t xml:space="preserve">that the commission may exempt a licensee from a requirement relating to record keeping, reporting and monthly activity statements if considered appropriate. In doing so, the commission must consider the likely effect of the exemption on the risk of gambling harm to people. </w:t>
      </w:r>
    </w:p>
    <w:p w14:paraId="6215584B" w14:textId="293EDC71" w:rsidR="00DE2636" w:rsidRDefault="00DE2636" w:rsidP="00DE2636">
      <w:pPr>
        <w:pStyle w:val="Heading3"/>
        <w:ind w:left="1440" w:hanging="1440"/>
        <w:rPr>
          <w:bCs/>
        </w:rPr>
      </w:pPr>
      <w:r w:rsidRPr="00ED3B77">
        <w:t xml:space="preserve">Clause </w:t>
      </w:r>
      <w:r>
        <w:t>64</w:t>
      </w:r>
      <w:r w:rsidRPr="00ED3B77">
        <w:tab/>
      </w:r>
      <w:r w:rsidRPr="00DE2636">
        <w:rPr>
          <w:bCs/>
        </w:rPr>
        <w:t xml:space="preserve">Restrictions on cash facilities—Act, s 178 (2) (c) Part 8A heading, note </w:t>
      </w:r>
      <w:r>
        <w:rPr>
          <w:bCs/>
        </w:rPr>
        <w:t xml:space="preserve"> </w:t>
      </w:r>
      <w:r w:rsidRPr="00075255">
        <w:rPr>
          <w:bCs/>
        </w:rPr>
        <w:t xml:space="preserve"> </w:t>
      </w:r>
    </w:p>
    <w:p w14:paraId="206D4CD2" w14:textId="321B4AE6" w:rsidR="003449EC" w:rsidRDefault="00DE2636" w:rsidP="00DE2636">
      <w:r>
        <w:t xml:space="preserve">This clause </w:t>
      </w:r>
      <w:r w:rsidR="0082587E">
        <w:t>removes</w:t>
      </w:r>
      <w:r w:rsidR="003449EC">
        <w:t xml:space="preserve"> language relating to other cash facilities</w:t>
      </w:r>
      <w:r w:rsidR="001C6A05">
        <w:t xml:space="preserve">, as a consequence of amendments made by this Act. </w:t>
      </w:r>
    </w:p>
    <w:p w14:paraId="15BB9DB7" w14:textId="77777777" w:rsidR="003449EC" w:rsidRDefault="003449EC" w:rsidP="003449EC">
      <w:pPr>
        <w:pStyle w:val="Heading3"/>
        <w:ind w:left="1440" w:hanging="1440"/>
        <w:rPr>
          <w:bCs/>
        </w:rPr>
      </w:pPr>
      <w:r>
        <w:t xml:space="preserve"> </w:t>
      </w:r>
      <w:r w:rsidRPr="00ED3B77">
        <w:t xml:space="preserve">Clause </w:t>
      </w:r>
      <w:r>
        <w:t>65</w:t>
      </w:r>
      <w:r w:rsidRPr="00ED3B77">
        <w:tab/>
      </w:r>
      <w:r w:rsidRPr="003449EC">
        <w:rPr>
          <w:bCs/>
        </w:rPr>
        <w:t>Offence to operate high-denomination note acceptor—</w:t>
      </w:r>
    </w:p>
    <w:p w14:paraId="7C3DD8D9" w14:textId="6BB4E4D5" w:rsidR="003449EC" w:rsidRDefault="003449EC" w:rsidP="003449EC">
      <w:pPr>
        <w:pStyle w:val="Heading3"/>
        <w:ind w:left="1440"/>
        <w:rPr>
          <w:bCs/>
        </w:rPr>
      </w:pPr>
      <w:r w:rsidRPr="003449EC">
        <w:rPr>
          <w:bCs/>
        </w:rPr>
        <w:t xml:space="preserve">Act, s 178 (2) (a) </w:t>
      </w:r>
    </w:p>
    <w:p w14:paraId="75D553DE" w14:textId="059D3D1B" w:rsidR="003449EC" w:rsidRDefault="003449EC" w:rsidP="003449EC">
      <w:pPr>
        <w:pStyle w:val="Heading3"/>
        <w:ind w:left="1440"/>
        <w:rPr>
          <w:bCs/>
        </w:rPr>
      </w:pPr>
      <w:r w:rsidRPr="003449EC">
        <w:rPr>
          <w:bCs/>
        </w:rPr>
        <w:t>Section 75</w:t>
      </w:r>
    </w:p>
    <w:p w14:paraId="1D40A906" w14:textId="5FE336F4" w:rsidR="00DE2636" w:rsidRDefault="003449EC" w:rsidP="00DE2636">
      <w:r>
        <w:t>This clause omits an offence relating to the operation of high denomination note acceptors. This offence is no longer relevant due to the transition to fully cashless interactions with gaming machines (i.e., a gaming machine must not accept cash of any denomination).</w:t>
      </w:r>
    </w:p>
    <w:p w14:paraId="739BC753" w14:textId="77777777" w:rsidR="001C6A05" w:rsidRDefault="001C6A05" w:rsidP="00DE2636">
      <w:pPr>
        <w:rPr>
          <w:rFonts w:ascii="Arial" w:hAnsi="Arial" w:cs="Arial"/>
          <w:b/>
          <w:bCs/>
          <w:i/>
          <w:iCs/>
          <w:sz w:val="24"/>
          <w:szCs w:val="24"/>
        </w:rPr>
      </w:pPr>
      <w:r w:rsidRPr="001C6A05">
        <w:rPr>
          <w:rFonts w:ascii="Arial" w:hAnsi="Arial" w:cs="Arial"/>
          <w:b/>
          <w:bCs/>
          <w:sz w:val="24"/>
          <w:szCs w:val="24"/>
        </w:rPr>
        <w:lastRenderedPageBreak/>
        <w:t>Clause 6</w:t>
      </w:r>
      <w:r>
        <w:rPr>
          <w:rFonts w:ascii="Arial" w:hAnsi="Arial" w:cs="Arial"/>
          <w:b/>
          <w:bCs/>
          <w:sz w:val="24"/>
          <w:szCs w:val="24"/>
        </w:rPr>
        <w:t>6</w:t>
      </w:r>
      <w:r w:rsidRPr="001C6A05">
        <w:rPr>
          <w:rFonts w:ascii="Arial" w:hAnsi="Arial" w:cs="Arial"/>
          <w:b/>
          <w:bCs/>
          <w:sz w:val="24"/>
          <w:szCs w:val="24"/>
        </w:rPr>
        <w:tab/>
        <w:t xml:space="preserve">Not gaming machines—Act, </w:t>
      </w:r>
      <w:proofErr w:type="spellStart"/>
      <w:r w:rsidRPr="001C6A05">
        <w:rPr>
          <w:rFonts w:ascii="Arial" w:hAnsi="Arial" w:cs="Arial"/>
          <w:b/>
          <w:bCs/>
          <w:sz w:val="24"/>
          <w:szCs w:val="24"/>
        </w:rPr>
        <w:t>dict</w:t>
      </w:r>
      <w:proofErr w:type="spellEnd"/>
      <w:r w:rsidRPr="001C6A05">
        <w:rPr>
          <w:rFonts w:ascii="Arial" w:hAnsi="Arial" w:cs="Arial"/>
          <w:b/>
          <w:bCs/>
          <w:sz w:val="24"/>
          <w:szCs w:val="24"/>
        </w:rPr>
        <w:t xml:space="preserve">, def </w:t>
      </w:r>
      <w:r w:rsidRPr="001C6A05">
        <w:rPr>
          <w:rFonts w:ascii="Arial" w:hAnsi="Arial" w:cs="Arial"/>
          <w:b/>
          <w:bCs/>
          <w:i/>
          <w:iCs/>
          <w:sz w:val="24"/>
          <w:szCs w:val="24"/>
        </w:rPr>
        <w:t xml:space="preserve">gaming machine </w:t>
      </w:r>
    </w:p>
    <w:p w14:paraId="23DB8AD1" w14:textId="674C4263" w:rsidR="003449EC" w:rsidRPr="001C6A05" w:rsidRDefault="001C6A05" w:rsidP="001C6A05">
      <w:pPr>
        <w:ind w:left="720" w:firstLine="720"/>
        <w:rPr>
          <w:rFonts w:ascii="Arial" w:hAnsi="Arial" w:cs="Arial"/>
          <w:b/>
          <w:bCs/>
          <w:sz w:val="24"/>
          <w:szCs w:val="24"/>
        </w:rPr>
      </w:pPr>
      <w:r w:rsidRPr="001C6A05">
        <w:rPr>
          <w:rFonts w:ascii="Arial" w:hAnsi="Arial" w:cs="Arial"/>
          <w:b/>
          <w:bCs/>
          <w:sz w:val="24"/>
          <w:szCs w:val="24"/>
        </w:rPr>
        <w:t>Section 77 (c) (</w:t>
      </w:r>
      <w:proofErr w:type="spellStart"/>
      <w:r w:rsidRPr="001C6A05">
        <w:rPr>
          <w:rFonts w:ascii="Arial" w:hAnsi="Arial" w:cs="Arial"/>
          <w:b/>
          <w:bCs/>
          <w:sz w:val="24"/>
          <w:szCs w:val="24"/>
        </w:rPr>
        <w:t>i</w:t>
      </w:r>
      <w:proofErr w:type="spellEnd"/>
      <w:r w:rsidRPr="001C6A05">
        <w:rPr>
          <w:rFonts w:ascii="Arial" w:hAnsi="Arial" w:cs="Arial"/>
          <w:b/>
          <w:bCs/>
          <w:sz w:val="24"/>
          <w:szCs w:val="24"/>
        </w:rPr>
        <w:t>)</w:t>
      </w:r>
    </w:p>
    <w:p w14:paraId="7930D982" w14:textId="39B9E093" w:rsidR="00DE2636" w:rsidRDefault="00573340" w:rsidP="00E10431">
      <w:pPr>
        <w:spacing w:line="280" w:lineRule="atLeast"/>
      </w:pPr>
      <w:r>
        <w:t xml:space="preserve">This clause expands the definition of what is not a gaming machine to align with current devices that are found in arcades or shopping centres.  </w:t>
      </w:r>
    </w:p>
    <w:p w14:paraId="35B17092" w14:textId="452F5AA6" w:rsidR="00573340" w:rsidRDefault="00573340" w:rsidP="00573340">
      <w:pPr>
        <w:rPr>
          <w:rFonts w:ascii="Arial" w:hAnsi="Arial" w:cs="Arial"/>
          <w:b/>
          <w:bCs/>
          <w:sz w:val="24"/>
          <w:szCs w:val="24"/>
        </w:rPr>
      </w:pPr>
      <w:r w:rsidRPr="001C6A05">
        <w:rPr>
          <w:rFonts w:ascii="Arial" w:hAnsi="Arial" w:cs="Arial"/>
          <w:b/>
          <w:bCs/>
          <w:sz w:val="24"/>
          <w:szCs w:val="24"/>
        </w:rPr>
        <w:t>Clause 6</w:t>
      </w:r>
      <w:r>
        <w:rPr>
          <w:rFonts w:ascii="Arial" w:hAnsi="Arial" w:cs="Arial"/>
          <w:b/>
          <w:bCs/>
          <w:sz w:val="24"/>
          <w:szCs w:val="24"/>
        </w:rPr>
        <w:t xml:space="preserve">7 </w:t>
      </w:r>
      <w:r>
        <w:rPr>
          <w:rFonts w:ascii="Arial" w:hAnsi="Arial" w:cs="Arial"/>
          <w:b/>
          <w:bCs/>
          <w:sz w:val="24"/>
          <w:szCs w:val="24"/>
        </w:rPr>
        <w:tab/>
        <w:t xml:space="preserve">Dictionary </w:t>
      </w:r>
    </w:p>
    <w:p w14:paraId="7CEBF12A" w14:textId="5C151B1E" w:rsidR="00573340" w:rsidRPr="00573340" w:rsidRDefault="00573340" w:rsidP="00573340">
      <w:pPr>
        <w:rPr>
          <w:rFonts w:asciiTheme="minorHAnsi" w:hAnsiTheme="minorHAnsi" w:cstheme="minorHAnsi"/>
        </w:rPr>
      </w:pPr>
      <w:r>
        <w:rPr>
          <w:rFonts w:asciiTheme="minorHAnsi" w:hAnsiTheme="minorHAnsi" w:cstheme="minorHAnsi"/>
        </w:rPr>
        <w:t xml:space="preserve">This clause removes definitions for </w:t>
      </w:r>
      <w:r w:rsidRPr="00573340">
        <w:rPr>
          <w:rFonts w:asciiTheme="minorHAnsi" w:hAnsiTheme="minorHAnsi" w:cstheme="minorHAnsi"/>
          <w:i/>
          <w:iCs/>
        </w:rPr>
        <w:t>cashless gaming card, cashless gaming system, expired gaming credits and gaming credits</w:t>
      </w:r>
      <w:r>
        <w:rPr>
          <w:rFonts w:asciiTheme="minorHAnsi" w:hAnsiTheme="minorHAnsi" w:cstheme="minorHAnsi"/>
          <w:i/>
          <w:iCs/>
        </w:rPr>
        <w:t>.</w:t>
      </w:r>
    </w:p>
    <w:p w14:paraId="1DAA7AB0" w14:textId="767BA844" w:rsidR="00573340" w:rsidRDefault="00573340" w:rsidP="00573340">
      <w:pPr>
        <w:rPr>
          <w:rFonts w:ascii="Arial" w:hAnsi="Arial" w:cs="Arial"/>
          <w:b/>
          <w:bCs/>
          <w:sz w:val="24"/>
          <w:szCs w:val="24"/>
        </w:rPr>
      </w:pPr>
      <w:r w:rsidRPr="001C6A05">
        <w:rPr>
          <w:rFonts w:ascii="Arial" w:hAnsi="Arial" w:cs="Arial"/>
          <w:b/>
          <w:bCs/>
          <w:sz w:val="24"/>
          <w:szCs w:val="24"/>
        </w:rPr>
        <w:t xml:space="preserve">Clause </w:t>
      </w:r>
      <w:r>
        <w:rPr>
          <w:rFonts w:ascii="Arial" w:hAnsi="Arial" w:cs="Arial"/>
          <w:b/>
          <w:bCs/>
          <w:sz w:val="24"/>
          <w:szCs w:val="24"/>
        </w:rPr>
        <w:t>68</w:t>
      </w:r>
      <w:r>
        <w:rPr>
          <w:rFonts w:ascii="Arial" w:hAnsi="Arial" w:cs="Arial"/>
          <w:b/>
          <w:bCs/>
          <w:sz w:val="24"/>
          <w:szCs w:val="24"/>
        </w:rPr>
        <w:tab/>
        <w:t xml:space="preserve">Dictionary, new definition of </w:t>
      </w:r>
      <w:r w:rsidRPr="00573340">
        <w:rPr>
          <w:rFonts w:ascii="Arial" w:hAnsi="Arial" w:cs="Arial"/>
          <w:b/>
          <w:bCs/>
          <w:i/>
          <w:iCs/>
          <w:sz w:val="24"/>
          <w:szCs w:val="24"/>
        </w:rPr>
        <w:t>net loss limit</w:t>
      </w:r>
      <w:r>
        <w:rPr>
          <w:rFonts w:ascii="Arial" w:hAnsi="Arial" w:cs="Arial"/>
          <w:b/>
          <w:bCs/>
          <w:sz w:val="24"/>
          <w:szCs w:val="24"/>
        </w:rPr>
        <w:t xml:space="preserve"> </w:t>
      </w:r>
    </w:p>
    <w:p w14:paraId="516A59D7" w14:textId="30BE2544" w:rsidR="00573340" w:rsidRDefault="00573340" w:rsidP="00E10431">
      <w:pPr>
        <w:spacing w:line="280" w:lineRule="atLeast"/>
      </w:pPr>
      <w:r>
        <w:t xml:space="preserve">This clause provides new definition for </w:t>
      </w:r>
      <w:r w:rsidRPr="00573340">
        <w:rPr>
          <w:i/>
          <w:iCs/>
        </w:rPr>
        <w:t>net loss limit</w:t>
      </w:r>
      <w:r>
        <w:t xml:space="preserve"> to support the account-based gaming framework. </w:t>
      </w:r>
    </w:p>
    <w:p w14:paraId="757A66A9" w14:textId="4518CA2A" w:rsidR="006F7774" w:rsidRDefault="006F7774" w:rsidP="006F7774">
      <w:pPr>
        <w:rPr>
          <w:rFonts w:ascii="Arial" w:hAnsi="Arial" w:cs="Arial"/>
          <w:b/>
          <w:bCs/>
          <w:sz w:val="24"/>
          <w:szCs w:val="24"/>
        </w:rPr>
      </w:pPr>
      <w:r w:rsidRPr="001C6A05">
        <w:rPr>
          <w:rFonts w:ascii="Arial" w:hAnsi="Arial" w:cs="Arial"/>
          <w:b/>
          <w:bCs/>
          <w:sz w:val="24"/>
          <w:szCs w:val="24"/>
        </w:rPr>
        <w:t xml:space="preserve">Clause </w:t>
      </w:r>
      <w:r>
        <w:rPr>
          <w:rFonts w:ascii="Arial" w:hAnsi="Arial" w:cs="Arial"/>
          <w:b/>
          <w:bCs/>
          <w:sz w:val="24"/>
          <w:szCs w:val="24"/>
        </w:rPr>
        <w:t>69</w:t>
      </w:r>
      <w:r>
        <w:rPr>
          <w:rFonts w:ascii="Arial" w:hAnsi="Arial" w:cs="Arial"/>
          <w:b/>
          <w:bCs/>
          <w:sz w:val="24"/>
          <w:szCs w:val="24"/>
        </w:rPr>
        <w:tab/>
        <w:t xml:space="preserve">Dictionary, definitions of </w:t>
      </w:r>
      <w:r w:rsidRPr="006F7774">
        <w:rPr>
          <w:rFonts w:ascii="Arial" w:hAnsi="Arial" w:cs="Arial"/>
          <w:b/>
          <w:bCs/>
          <w:i/>
          <w:iCs/>
          <w:sz w:val="24"/>
          <w:szCs w:val="24"/>
        </w:rPr>
        <w:t>player account card</w:t>
      </w:r>
      <w:r>
        <w:rPr>
          <w:rFonts w:ascii="Arial" w:hAnsi="Arial" w:cs="Arial"/>
          <w:b/>
          <w:bCs/>
          <w:sz w:val="24"/>
          <w:szCs w:val="24"/>
        </w:rPr>
        <w:t xml:space="preserve"> and </w:t>
      </w:r>
      <w:r w:rsidRPr="006F7774">
        <w:rPr>
          <w:rFonts w:ascii="Arial" w:hAnsi="Arial" w:cs="Arial"/>
          <w:b/>
          <w:bCs/>
          <w:i/>
          <w:iCs/>
          <w:sz w:val="24"/>
          <w:szCs w:val="24"/>
        </w:rPr>
        <w:t xml:space="preserve">redeems </w:t>
      </w:r>
    </w:p>
    <w:p w14:paraId="0AD10AA1" w14:textId="09A8739A" w:rsidR="006F7774" w:rsidRPr="006B76A9" w:rsidRDefault="006F7774" w:rsidP="006F7774">
      <w:pPr>
        <w:rPr>
          <w:rFonts w:asciiTheme="minorHAnsi" w:hAnsiTheme="minorHAnsi" w:cstheme="minorHAnsi"/>
          <w:b/>
          <w:bCs/>
        </w:rPr>
      </w:pPr>
      <w:r>
        <w:rPr>
          <w:rFonts w:asciiTheme="minorHAnsi" w:hAnsiTheme="minorHAnsi" w:cstheme="minorHAnsi"/>
        </w:rPr>
        <w:t xml:space="preserve">This clause removes definition for </w:t>
      </w:r>
      <w:r w:rsidRPr="006F7774">
        <w:rPr>
          <w:rFonts w:asciiTheme="minorHAnsi" w:hAnsiTheme="minorHAnsi" w:cstheme="minorHAnsi"/>
          <w:i/>
          <w:iCs/>
        </w:rPr>
        <w:t>player account card</w:t>
      </w:r>
      <w:r w:rsidRPr="006F7774">
        <w:rPr>
          <w:rFonts w:asciiTheme="minorHAnsi" w:hAnsiTheme="minorHAnsi" w:cstheme="minorHAnsi"/>
        </w:rPr>
        <w:t xml:space="preserve"> and </w:t>
      </w:r>
      <w:r w:rsidRPr="006F7774">
        <w:rPr>
          <w:rFonts w:asciiTheme="minorHAnsi" w:hAnsiTheme="minorHAnsi" w:cstheme="minorHAnsi"/>
          <w:i/>
          <w:iCs/>
        </w:rPr>
        <w:t>redeems</w:t>
      </w:r>
      <w:r>
        <w:rPr>
          <w:rFonts w:asciiTheme="minorHAnsi" w:hAnsiTheme="minorHAnsi" w:cstheme="minorHAnsi"/>
          <w:b/>
          <w:bCs/>
          <w:i/>
          <w:iCs/>
        </w:rPr>
        <w:t>.</w:t>
      </w:r>
    </w:p>
    <w:p w14:paraId="6309887A" w14:textId="77777777" w:rsidR="00986EE1" w:rsidRDefault="00406B87" w:rsidP="00986EE1">
      <w:pPr>
        <w:spacing w:line="280" w:lineRule="atLeast"/>
        <w:rPr>
          <w:rFonts w:ascii="Arial" w:hAnsi="Arial" w:cs="Arial"/>
          <w:b/>
          <w:bCs/>
          <w:sz w:val="24"/>
          <w:szCs w:val="24"/>
        </w:rPr>
      </w:pPr>
      <w:r>
        <w:rPr>
          <w:rFonts w:ascii="Arial" w:hAnsi="Arial" w:cs="Arial"/>
          <w:b/>
          <w:bCs/>
          <w:sz w:val="24"/>
          <w:szCs w:val="24"/>
        </w:rPr>
        <w:t>Schedule 1</w:t>
      </w:r>
      <w:r>
        <w:rPr>
          <w:rFonts w:ascii="Arial" w:hAnsi="Arial" w:cs="Arial"/>
          <w:b/>
          <w:bCs/>
          <w:sz w:val="24"/>
          <w:szCs w:val="24"/>
        </w:rPr>
        <w:tab/>
      </w:r>
      <w:r w:rsidR="00986EE1">
        <w:rPr>
          <w:rFonts w:ascii="Arial" w:hAnsi="Arial" w:cs="Arial"/>
          <w:b/>
          <w:bCs/>
          <w:sz w:val="24"/>
          <w:szCs w:val="24"/>
        </w:rPr>
        <w:t xml:space="preserve">Consequential amendments </w:t>
      </w:r>
    </w:p>
    <w:p w14:paraId="29728C4B" w14:textId="072C01DC" w:rsidR="00406B87" w:rsidRDefault="00986EE1" w:rsidP="00E10431">
      <w:pPr>
        <w:spacing w:line="280" w:lineRule="atLeast"/>
        <w:rPr>
          <w:rFonts w:ascii="Arial" w:hAnsi="Arial" w:cs="Arial"/>
          <w:b/>
          <w:bCs/>
          <w:sz w:val="24"/>
          <w:szCs w:val="24"/>
        </w:rPr>
      </w:pPr>
      <w:r>
        <w:rPr>
          <w:rFonts w:ascii="Arial" w:hAnsi="Arial" w:cs="Arial"/>
          <w:b/>
          <w:bCs/>
          <w:sz w:val="24"/>
          <w:szCs w:val="24"/>
        </w:rPr>
        <w:t>Part 1.1</w:t>
      </w:r>
      <w:r>
        <w:rPr>
          <w:rFonts w:ascii="Arial" w:hAnsi="Arial" w:cs="Arial"/>
          <w:b/>
          <w:bCs/>
          <w:sz w:val="24"/>
          <w:szCs w:val="24"/>
        </w:rPr>
        <w:tab/>
      </w:r>
      <w:r w:rsidR="00406B87">
        <w:rPr>
          <w:rFonts w:ascii="Arial" w:hAnsi="Arial" w:cs="Arial"/>
          <w:b/>
          <w:bCs/>
          <w:sz w:val="24"/>
          <w:szCs w:val="24"/>
        </w:rPr>
        <w:t>Gambling and Racing Control Act 1999 –</w:t>
      </w:r>
    </w:p>
    <w:p w14:paraId="4D24EAAC" w14:textId="1E522F4C" w:rsidR="00406B87" w:rsidRDefault="00406B87" w:rsidP="00E10431">
      <w:pPr>
        <w:spacing w:line="280" w:lineRule="atLeast"/>
        <w:rPr>
          <w:rFonts w:ascii="Arial" w:hAnsi="Arial" w:cs="Arial"/>
          <w:b/>
          <w:bCs/>
          <w:sz w:val="24"/>
          <w:szCs w:val="24"/>
        </w:rPr>
      </w:pPr>
      <w:r>
        <w:rPr>
          <w:rFonts w:ascii="Arial" w:hAnsi="Arial" w:cs="Arial"/>
          <w:b/>
          <w:bCs/>
          <w:sz w:val="24"/>
          <w:szCs w:val="24"/>
        </w:rPr>
        <w:t>Clause 1.1</w:t>
      </w:r>
      <w:r>
        <w:rPr>
          <w:rFonts w:ascii="Arial" w:hAnsi="Arial" w:cs="Arial"/>
          <w:b/>
          <w:bCs/>
          <w:sz w:val="24"/>
          <w:szCs w:val="24"/>
        </w:rPr>
        <w:tab/>
        <w:t>Section 23 (1) (</w:t>
      </w:r>
      <w:proofErr w:type="spellStart"/>
      <w:r>
        <w:rPr>
          <w:rFonts w:ascii="Arial" w:hAnsi="Arial" w:cs="Arial"/>
          <w:b/>
          <w:bCs/>
          <w:sz w:val="24"/>
          <w:szCs w:val="24"/>
        </w:rPr>
        <w:t>ba</w:t>
      </w:r>
      <w:proofErr w:type="spellEnd"/>
      <w:r>
        <w:rPr>
          <w:rFonts w:ascii="Arial" w:hAnsi="Arial" w:cs="Arial"/>
          <w:b/>
          <w:bCs/>
          <w:sz w:val="24"/>
          <w:szCs w:val="24"/>
        </w:rPr>
        <w:t>)</w:t>
      </w:r>
    </w:p>
    <w:p w14:paraId="14ADB957" w14:textId="426A4178" w:rsidR="00426B35" w:rsidRPr="00486340" w:rsidRDefault="00426B35" w:rsidP="00426B35">
      <w:pPr>
        <w:spacing w:line="280" w:lineRule="atLeast"/>
        <w:rPr>
          <w:b/>
          <w:bCs/>
          <w:sz w:val="26"/>
          <w:szCs w:val="26"/>
          <w:u w:val="single"/>
        </w:rPr>
      </w:pPr>
      <w:r>
        <w:rPr>
          <w:rFonts w:asciiTheme="minorHAnsi" w:hAnsiTheme="minorHAnsi" w:cstheme="minorHAnsi"/>
        </w:rPr>
        <w:t xml:space="preserve">This clause gives power to Access Canberra </w:t>
      </w:r>
      <w:r>
        <w:rPr>
          <w:szCs w:val="24"/>
        </w:rPr>
        <w:t>to inspect an EFTPOS machine as evidence if they reasonably believe it has been used in the commissioning of an offence.</w:t>
      </w:r>
    </w:p>
    <w:p w14:paraId="7B1CA332" w14:textId="0E484E21" w:rsidR="00426B35" w:rsidRDefault="00426B35" w:rsidP="00E10431">
      <w:pPr>
        <w:spacing w:line="280" w:lineRule="atLeast"/>
        <w:rPr>
          <w:rFonts w:ascii="Arial" w:hAnsi="Arial" w:cs="Arial"/>
          <w:b/>
          <w:bCs/>
          <w:sz w:val="24"/>
          <w:szCs w:val="24"/>
        </w:rPr>
      </w:pPr>
      <w:r>
        <w:rPr>
          <w:rFonts w:ascii="Arial" w:hAnsi="Arial" w:cs="Arial"/>
          <w:b/>
          <w:bCs/>
          <w:sz w:val="24"/>
          <w:szCs w:val="24"/>
        </w:rPr>
        <w:t>Clause 1.2</w:t>
      </w:r>
      <w:r>
        <w:rPr>
          <w:rFonts w:ascii="Arial" w:hAnsi="Arial" w:cs="Arial"/>
          <w:b/>
          <w:bCs/>
          <w:sz w:val="24"/>
          <w:szCs w:val="24"/>
        </w:rPr>
        <w:tab/>
        <w:t>Section 23 (1) (c)</w:t>
      </w:r>
    </w:p>
    <w:p w14:paraId="58D11C5E" w14:textId="08E0539B" w:rsidR="00426B35" w:rsidRDefault="00426B35" w:rsidP="00E10431">
      <w:pPr>
        <w:spacing w:line="280" w:lineRule="atLeast"/>
        <w:rPr>
          <w:rFonts w:cs="Calibri"/>
        </w:rPr>
      </w:pPr>
      <w:r w:rsidRPr="00426B35">
        <w:rPr>
          <w:rFonts w:cs="Calibri"/>
        </w:rPr>
        <w:t xml:space="preserve">This clause </w:t>
      </w:r>
      <w:r>
        <w:rPr>
          <w:rFonts w:cs="Calibri"/>
        </w:rPr>
        <w:t>give</w:t>
      </w:r>
      <w:r w:rsidR="0082587E">
        <w:rPr>
          <w:rFonts w:cs="Calibri"/>
        </w:rPr>
        <w:t>s</w:t>
      </w:r>
      <w:r>
        <w:rPr>
          <w:rFonts w:cs="Calibri"/>
        </w:rPr>
        <w:t xml:space="preserve"> effect to the above amendment and expand the scope of Access Canberra’s powers to inspect any thing, including gaming equipment. </w:t>
      </w:r>
    </w:p>
    <w:p w14:paraId="61BC8A26" w14:textId="5AE4D385" w:rsidR="00426B35" w:rsidRDefault="00AE1E14" w:rsidP="00E10431">
      <w:pPr>
        <w:spacing w:line="280" w:lineRule="atLeast"/>
        <w:rPr>
          <w:rFonts w:ascii="Arial" w:hAnsi="Arial" w:cs="Arial"/>
          <w:b/>
          <w:bCs/>
          <w:sz w:val="24"/>
          <w:szCs w:val="24"/>
        </w:rPr>
      </w:pPr>
      <w:r w:rsidRPr="00AE1E14">
        <w:rPr>
          <w:rFonts w:ascii="Arial" w:hAnsi="Arial" w:cs="Arial"/>
          <w:b/>
          <w:bCs/>
          <w:sz w:val="24"/>
          <w:szCs w:val="24"/>
        </w:rPr>
        <w:t>Clause 1.3</w:t>
      </w:r>
      <w:r w:rsidRPr="00AE1E14">
        <w:rPr>
          <w:rFonts w:ascii="Arial" w:hAnsi="Arial" w:cs="Arial"/>
          <w:b/>
          <w:bCs/>
          <w:sz w:val="24"/>
          <w:szCs w:val="24"/>
        </w:rPr>
        <w:tab/>
        <w:t>Section 37 (d) (iii)</w:t>
      </w:r>
    </w:p>
    <w:p w14:paraId="01FF95A2" w14:textId="4CDCEB10" w:rsidR="00AE1E14" w:rsidRDefault="00AE1E14" w:rsidP="00E10431">
      <w:pPr>
        <w:spacing w:line="280" w:lineRule="atLeast"/>
        <w:rPr>
          <w:rFonts w:asciiTheme="minorHAnsi" w:hAnsiTheme="minorHAnsi" w:cstheme="minorHAnsi"/>
        </w:rPr>
      </w:pPr>
      <w:r>
        <w:rPr>
          <w:rFonts w:asciiTheme="minorHAnsi" w:hAnsiTheme="minorHAnsi" w:cstheme="minorHAnsi"/>
        </w:rPr>
        <w:t>This clause substitute</w:t>
      </w:r>
      <w:r w:rsidR="0082587E">
        <w:rPr>
          <w:rFonts w:asciiTheme="minorHAnsi" w:hAnsiTheme="minorHAnsi" w:cstheme="minorHAnsi"/>
        </w:rPr>
        <w:t>s</w:t>
      </w:r>
      <w:r>
        <w:rPr>
          <w:rFonts w:asciiTheme="minorHAnsi" w:hAnsiTheme="minorHAnsi" w:cstheme="minorHAnsi"/>
        </w:rPr>
        <w:t xml:space="preserve"> language relating to the previous surrender scheme with language relating to the new surrender scheme. </w:t>
      </w:r>
    </w:p>
    <w:p w14:paraId="23D73D3C" w14:textId="473513A7" w:rsidR="001C1396" w:rsidRDefault="001C1396" w:rsidP="00E10431">
      <w:pPr>
        <w:spacing w:line="280" w:lineRule="atLeast"/>
        <w:rPr>
          <w:rFonts w:ascii="Arial" w:hAnsi="Arial" w:cs="Arial"/>
          <w:b/>
          <w:bCs/>
          <w:sz w:val="24"/>
          <w:szCs w:val="24"/>
        </w:rPr>
      </w:pPr>
      <w:r w:rsidRPr="001C1396">
        <w:rPr>
          <w:rFonts w:ascii="Arial" w:hAnsi="Arial" w:cs="Arial"/>
          <w:b/>
          <w:bCs/>
          <w:sz w:val="24"/>
          <w:szCs w:val="24"/>
        </w:rPr>
        <w:t>Clause 1.4</w:t>
      </w:r>
      <w:r w:rsidRPr="001C1396">
        <w:rPr>
          <w:rFonts w:ascii="Arial" w:hAnsi="Arial" w:cs="Arial"/>
          <w:b/>
          <w:bCs/>
          <w:sz w:val="24"/>
          <w:szCs w:val="24"/>
        </w:rPr>
        <w:tab/>
        <w:t xml:space="preserve"> Section 50 (5), definition of </w:t>
      </w:r>
      <w:r w:rsidRPr="001C1396">
        <w:rPr>
          <w:rFonts w:ascii="Arial" w:hAnsi="Arial" w:cs="Arial"/>
          <w:b/>
          <w:bCs/>
          <w:i/>
          <w:iCs/>
          <w:sz w:val="24"/>
          <w:szCs w:val="24"/>
        </w:rPr>
        <w:t>surrendered</w:t>
      </w:r>
      <w:r w:rsidRPr="001C1396">
        <w:rPr>
          <w:rFonts w:ascii="Arial" w:hAnsi="Arial" w:cs="Arial"/>
          <w:b/>
          <w:bCs/>
          <w:sz w:val="24"/>
          <w:szCs w:val="24"/>
        </w:rPr>
        <w:t>, paragraph (a)</w:t>
      </w:r>
    </w:p>
    <w:p w14:paraId="1C3C0009" w14:textId="2B044F70" w:rsidR="001C1396" w:rsidRDefault="00986EE1" w:rsidP="00E10431">
      <w:pPr>
        <w:spacing w:line="280" w:lineRule="atLeast"/>
        <w:rPr>
          <w:rFonts w:asciiTheme="minorHAnsi" w:hAnsiTheme="minorHAnsi" w:cstheme="minorHAnsi"/>
        </w:rPr>
      </w:pPr>
      <w:r>
        <w:rPr>
          <w:rFonts w:asciiTheme="minorHAnsi" w:hAnsiTheme="minorHAnsi" w:cstheme="minorHAnsi"/>
        </w:rPr>
        <w:t xml:space="preserve">This clause substitutes the definition of </w:t>
      </w:r>
      <w:r w:rsidRPr="00986EE1">
        <w:rPr>
          <w:rFonts w:asciiTheme="minorHAnsi" w:hAnsiTheme="minorHAnsi" w:cstheme="minorHAnsi"/>
          <w:i/>
          <w:iCs/>
        </w:rPr>
        <w:t>surrendered</w:t>
      </w:r>
      <w:r>
        <w:rPr>
          <w:rFonts w:asciiTheme="minorHAnsi" w:hAnsiTheme="minorHAnsi" w:cstheme="minorHAnsi"/>
        </w:rPr>
        <w:t>, as a consequence of amendment</w:t>
      </w:r>
      <w:r w:rsidR="00477C5F">
        <w:rPr>
          <w:rFonts w:asciiTheme="minorHAnsi" w:hAnsiTheme="minorHAnsi" w:cstheme="minorHAnsi"/>
        </w:rPr>
        <w:t>s</w:t>
      </w:r>
      <w:r>
        <w:rPr>
          <w:rFonts w:asciiTheme="minorHAnsi" w:hAnsiTheme="minorHAnsi" w:cstheme="minorHAnsi"/>
        </w:rPr>
        <w:t xml:space="preserve"> made by this Act. </w:t>
      </w:r>
    </w:p>
    <w:p w14:paraId="39E3B930" w14:textId="06BD8D9B" w:rsidR="00986EE1" w:rsidRDefault="00986EE1" w:rsidP="00E10431">
      <w:pPr>
        <w:spacing w:line="280" w:lineRule="atLeast"/>
        <w:rPr>
          <w:rFonts w:ascii="Arial" w:hAnsi="Arial" w:cs="Arial"/>
          <w:b/>
          <w:bCs/>
          <w:sz w:val="24"/>
          <w:szCs w:val="24"/>
        </w:rPr>
      </w:pPr>
      <w:r w:rsidRPr="00986EE1">
        <w:rPr>
          <w:rFonts w:ascii="Arial" w:hAnsi="Arial" w:cs="Arial"/>
          <w:b/>
          <w:bCs/>
          <w:sz w:val="24"/>
          <w:szCs w:val="24"/>
        </w:rPr>
        <w:t>Clause 1.5</w:t>
      </w:r>
      <w:r w:rsidRPr="00986EE1">
        <w:rPr>
          <w:rFonts w:ascii="Arial" w:hAnsi="Arial" w:cs="Arial"/>
          <w:b/>
          <w:bCs/>
          <w:sz w:val="24"/>
          <w:szCs w:val="24"/>
        </w:rPr>
        <w:tab/>
        <w:t>Section 51A</w:t>
      </w:r>
    </w:p>
    <w:p w14:paraId="627E8A65" w14:textId="3F1BA7A6" w:rsidR="00986EE1" w:rsidRDefault="00986EE1" w:rsidP="00E10431">
      <w:pPr>
        <w:spacing w:line="280" w:lineRule="atLeast"/>
        <w:rPr>
          <w:rFonts w:asciiTheme="minorHAnsi" w:hAnsiTheme="minorHAnsi" w:cstheme="minorHAnsi"/>
        </w:rPr>
      </w:pPr>
      <w:r>
        <w:rPr>
          <w:rFonts w:asciiTheme="minorHAnsi" w:hAnsiTheme="minorHAnsi" w:cstheme="minorHAnsi"/>
        </w:rPr>
        <w:t xml:space="preserve">This clause provides that the commission must keep a register of approvals of gaming components and account-based systems. This clause includes definitions for </w:t>
      </w:r>
      <w:r w:rsidRPr="00986EE1">
        <w:rPr>
          <w:rFonts w:asciiTheme="minorHAnsi" w:hAnsiTheme="minorHAnsi" w:cstheme="minorHAnsi"/>
          <w:i/>
          <w:iCs/>
        </w:rPr>
        <w:t>account-based system</w:t>
      </w:r>
      <w:r>
        <w:rPr>
          <w:rFonts w:asciiTheme="minorHAnsi" w:hAnsiTheme="minorHAnsi" w:cstheme="minorHAnsi"/>
        </w:rPr>
        <w:t xml:space="preserve">, </w:t>
      </w:r>
      <w:r w:rsidRPr="00986EE1">
        <w:rPr>
          <w:rFonts w:asciiTheme="minorHAnsi" w:hAnsiTheme="minorHAnsi" w:cstheme="minorHAnsi"/>
          <w:i/>
          <w:iCs/>
        </w:rPr>
        <w:t>approval</w:t>
      </w:r>
      <w:r>
        <w:rPr>
          <w:rFonts w:asciiTheme="minorHAnsi" w:hAnsiTheme="minorHAnsi" w:cstheme="minorHAnsi"/>
        </w:rPr>
        <w:t xml:space="preserve">, and </w:t>
      </w:r>
      <w:r w:rsidRPr="00986EE1">
        <w:rPr>
          <w:rFonts w:asciiTheme="minorHAnsi" w:hAnsiTheme="minorHAnsi" w:cstheme="minorHAnsi"/>
          <w:i/>
          <w:iCs/>
        </w:rPr>
        <w:t>gaming component</w:t>
      </w:r>
      <w:r>
        <w:rPr>
          <w:rFonts w:asciiTheme="minorHAnsi" w:hAnsiTheme="minorHAnsi" w:cstheme="minorHAnsi"/>
        </w:rPr>
        <w:t xml:space="preserve">. </w:t>
      </w:r>
    </w:p>
    <w:p w14:paraId="22DF7D0B" w14:textId="7CBD6A71" w:rsidR="00986EE1" w:rsidRDefault="00986EE1" w:rsidP="00E10431">
      <w:pPr>
        <w:spacing w:line="280" w:lineRule="atLeast"/>
        <w:rPr>
          <w:rFonts w:ascii="Arial" w:hAnsi="Arial" w:cs="Arial"/>
          <w:b/>
          <w:bCs/>
          <w:sz w:val="24"/>
          <w:szCs w:val="24"/>
        </w:rPr>
      </w:pPr>
      <w:r>
        <w:rPr>
          <w:rFonts w:ascii="Arial" w:hAnsi="Arial" w:cs="Arial"/>
          <w:b/>
          <w:bCs/>
          <w:sz w:val="24"/>
          <w:szCs w:val="24"/>
        </w:rPr>
        <w:t>Part 1.2</w:t>
      </w:r>
      <w:r>
        <w:rPr>
          <w:rFonts w:ascii="Arial" w:hAnsi="Arial" w:cs="Arial"/>
          <w:b/>
          <w:bCs/>
          <w:sz w:val="24"/>
          <w:szCs w:val="24"/>
        </w:rPr>
        <w:tab/>
        <w:t>Gambling and Racing Control (Code of Practice) Regulation 2002</w:t>
      </w:r>
    </w:p>
    <w:p w14:paraId="44875B11" w14:textId="67552DDD" w:rsidR="00986EE1" w:rsidRDefault="00986EE1" w:rsidP="00E10431">
      <w:pPr>
        <w:spacing w:line="280" w:lineRule="atLeast"/>
        <w:rPr>
          <w:rFonts w:ascii="Arial" w:hAnsi="Arial" w:cs="Arial"/>
          <w:b/>
          <w:bCs/>
          <w:sz w:val="24"/>
          <w:szCs w:val="24"/>
        </w:rPr>
      </w:pPr>
      <w:r>
        <w:rPr>
          <w:rFonts w:ascii="Arial" w:hAnsi="Arial" w:cs="Arial"/>
          <w:b/>
          <w:bCs/>
          <w:sz w:val="24"/>
          <w:szCs w:val="24"/>
        </w:rPr>
        <w:t>Clause 1.6</w:t>
      </w:r>
      <w:r>
        <w:rPr>
          <w:rFonts w:ascii="Arial" w:hAnsi="Arial" w:cs="Arial"/>
          <w:b/>
          <w:bCs/>
          <w:sz w:val="24"/>
          <w:szCs w:val="24"/>
        </w:rPr>
        <w:tab/>
        <w:t>Section 23 (1)</w:t>
      </w:r>
    </w:p>
    <w:p w14:paraId="69E3CE4A" w14:textId="32B7CAF6" w:rsidR="00986EE1" w:rsidRDefault="004E42C2" w:rsidP="00E10431">
      <w:pPr>
        <w:spacing w:line="280" w:lineRule="atLeast"/>
        <w:rPr>
          <w:rFonts w:asciiTheme="minorHAnsi" w:hAnsiTheme="minorHAnsi" w:cstheme="minorHAnsi"/>
        </w:rPr>
      </w:pPr>
      <w:r>
        <w:rPr>
          <w:rFonts w:asciiTheme="minorHAnsi" w:hAnsiTheme="minorHAnsi" w:cstheme="minorHAnsi"/>
        </w:rPr>
        <w:lastRenderedPageBreak/>
        <w:t>This clause is a technical amendment to reference new section 1.22A.</w:t>
      </w:r>
    </w:p>
    <w:p w14:paraId="14EC015F" w14:textId="0FA024D0" w:rsidR="004E42C2" w:rsidRDefault="004E42C2" w:rsidP="00E10431">
      <w:pPr>
        <w:spacing w:line="280" w:lineRule="atLeast"/>
        <w:rPr>
          <w:rFonts w:ascii="Arial" w:hAnsi="Arial" w:cs="Arial"/>
          <w:b/>
          <w:bCs/>
          <w:sz w:val="24"/>
          <w:szCs w:val="24"/>
        </w:rPr>
      </w:pPr>
      <w:r w:rsidRPr="004E42C2">
        <w:rPr>
          <w:rFonts w:ascii="Arial" w:hAnsi="Arial" w:cs="Arial"/>
          <w:b/>
          <w:bCs/>
          <w:sz w:val="24"/>
          <w:szCs w:val="24"/>
        </w:rPr>
        <w:t>Clause 1.7</w:t>
      </w:r>
      <w:r w:rsidRPr="004E42C2">
        <w:rPr>
          <w:rFonts w:ascii="Arial" w:hAnsi="Arial" w:cs="Arial"/>
          <w:b/>
          <w:bCs/>
          <w:sz w:val="24"/>
          <w:szCs w:val="24"/>
        </w:rPr>
        <w:tab/>
        <w:t>Schedule 1, new section 1.22A</w:t>
      </w:r>
    </w:p>
    <w:p w14:paraId="5E7E64F5" w14:textId="6657958A" w:rsidR="004E42C2" w:rsidRDefault="00F65BE1" w:rsidP="00E10431">
      <w:pPr>
        <w:spacing w:line="280" w:lineRule="atLeast"/>
        <w:rPr>
          <w:rFonts w:asciiTheme="minorHAnsi" w:hAnsiTheme="minorHAnsi" w:cstheme="minorHAnsi"/>
        </w:rPr>
      </w:pPr>
      <w:r>
        <w:rPr>
          <w:rFonts w:asciiTheme="minorHAnsi" w:hAnsiTheme="minorHAnsi" w:cstheme="minorHAnsi"/>
        </w:rPr>
        <w:t xml:space="preserve">This clause inserts new section 1.22A into the </w:t>
      </w:r>
      <w:r w:rsidRPr="00F65BE1">
        <w:rPr>
          <w:rFonts w:asciiTheme="minorHAnsi" w:hAnsiTheme="minorHAnsi" w:cstheme="minorHAnsi"/>
          <w:i/>
          <w:iCs/>
        </w:rPr>
        <w:t>Gambling and Racing Control (Code of Practice) Regulation 2002</w:t>
      </w:r>
      <w:r>
        <w:rPr>
          <w:rFonts w:asciiTheme="minorHAnsi" w:hAnsiTheme="minorHAnsi" w:cstheme="minorHAnsi"/>
          <w:i/>
          <w:iCs/>
        </w:rPr>
        <w:t xml:space="preserve"> </w:t>
      </w:r>
      <w:r>
        <w:rPr>
          <w:rFonts w:asciiTheme="minorHAnsi" w:hAnsiTheme="minorHAnsi" w:cstheme="minorHAnsi"/>
        </w:rPr>
        <w:t>in relation to cash payment limits for gaming machine licensees. New section 1.22A provides that a</w:t>
      </w:r>
      <w:r w:rsidRPr="00F65BE1">
        <w:rPr>
          <w:rFonts w:asciiTheme="minorHAnsi" w:hAnsiTheme="minorHAnsi" w:cstheme="minorHAnsi"/>
        </w:rPr>
        <w:t xml:space="preserve"> licensee must pay a gambling patron’s winnings from a gaming machine into the patron’s player account immediately after the patron stops playing the gaming machine.</w:t>
      </w:r>
      <w:r>
        <w:rPr>
          <w:rFonts w:asciiTheme="minorHAnsi" w:hAnsiTheme="minorHAnsi" w:cstheme="minorHAnsi"/>
        </w:rPr>
        <w:t xml:space="preserve"> A licensee must allow a gambling patron to redeem winnings from the patron’s player account only in cash, electronic funds transfer or by cheque. </w:t>
      </w:r>
      <w:r w:rsidRPr="00F65BE1">
        <w:rPr>
          <w:rFonts w:asciiTheme="minorHAnsi" w:hAnsiTheme="minorHAnsi" w:cstheme="minorHAnsi"/>
        </w:rPr>
        <w:t>A licensee must not allow a gambling patron to redeem more than $1,500 in cash from their player account in a gaming day</w:t>
      </w:r>
      <w:r>
        <w:rPr>
          <w:rFonts w:asciiTheme="minorHAnsi" w:hAnsiTheme="minorHAnsi" w:cstheme="minorHAnsi"/>
        </w:rPr>
        <w:t xml:space="preserve">. </w:t>
      </w:r>
    </w:p>
    <w:p w14:paraId="23EF136D" w14:textId="0DDD720C" w:rsidR="00F65BE1" w:rsidRDefault="00F65BE1" w:rsidP="00E10431">
      <w:pPr>
        <w:spacing w:line="280" w:lineRule="atLeast"/>
        <w:rPr>
          <w:rFonts w:asciiTheme="minorHAnsi" w:hAnsiTheme="minorHAnsi" w:cstheme="minorHAnsi"/>
        </w:rPr>
      </w:pPr>
      <w:r>
        <w:rPr>
          <w:rFonts w:asciiTheme="minorHAnsi" w:hAnsiTheme="minorHAnsi" w:cstheme="minorHAnsi"/>
        </w:rPr>
        <w:t>New section 1.22A also p</w:t>
      </w:r>
      <w:r>
        <w:rPr>
          <w:rStyle w:val="PlaceholderText"/>
          <w:color w:val="000000" w:themeColor="text1"/>
          <w:szCs w:val="24"/>
        </w:rPr>
        <w:t xml:space="preserve">rovides that a licensee must not cash a cheque of any kind for a gambling patron. This amendment closes a loophole which would have seen patrons still able to access additional cash in venues via cheques, despite ATMs being prohibited.  </w:t>
      </w:r>
    </w:p>
    <w:p w14:paraId="1C2AFC83" w14:textId="75ACC5AB" w:rsidR="00F65BE1" w:rsidRDefault="00125215" w:rsidP="00E10431">
      <w:pPr>
        <w:spacing w:line="280" w:lineRule="atLeast"/>
        <w:rPr>
          <w:rFonts w:asciiTheme="minorHAnsi" w:hAnsiTheme="minorHAnsi" w:cstheme="minorHAnsi"/>
        </w:rPr>
      </w:pPr>
      <w:r>
        <w:rPr>
          <w:rFonts w:asciiTheme="minorHAnsi" w:hAnsiTheme="minorHAnsi" w:cstheme="minorHAnsi"/>
        </w:rPr>
        <w:t xml:space="preserve">This clause provides definitions for </w:t>
      </w:r>
      <w:r w:rsidRPr="00125215">
        <w:rPr>
          <w:rFonts w:asciiTheme="minorHAnsi" w:hAnsiTheme="minorHAnsi" w:cstheme="minorHAnsi"/>
          <w:i/>
          <w:iCs/>
        </w:rPr>
        <w:t>gaming day</w:t>
      </w:r>
      <w:r>
        <w:rPr>
          <w:rFonts w:asciiTheme="minorHAnsi" w:hAnsiTheme="minorHAnsi" w:cstheme="minorHAnsi"/>
        </w:rPr>
        <w:t xml:space="preserve">, </w:t>
      </w:r>
      <w:r w:rsidRPr="00125215">
        <w:rPr>
          <w:rFonts w:asciiTheme="minorHAnsi" w:hAnsiTheme="minorHAnsi" w:cstheme="minorHAnsi"/>
          <w:i/>
          <w:iCs/>
        </w:rPr>
        <w:t>player account</w:t>
      </w:r>
      <w:r>
        <w:rPr>
          <w:rFonts w:asciiTheme="minorHAnsi" w:hAnsiTheme="minorHAnsi" w:cstheme="minorHAnsi"/>
        </w:rPr>
        <w:t xml:space="preserve"> and </w:t>
      </w:r>
      <w:r w:rsidRPr="00125215">
        <w:rPr>
          <w:rFonts w:asciiTheme="minorHAnsi" w:hAnsiTheme="minorHAnsi" w:cstheme="minorHAnsi"/>
          <w:i/>
          <w:iCs/>
        </w:rPr>
        <w:t>redeem</w:t>
      </w:r>
      <w:r>
        <w:rPr>
          <w:rFonts w:asciiTheme="minorHAnsi" w:hAnsiTheme="minorHAnsi" w:cstheme="minorHAnsi"/>
        </w:rPr>
        <w:t xml:space="preserve">. </w:t>
      </w:r>
    </w:p>
    <w:p w14:paraId="245CCB21" w14:textId="6E4FB923" w:rsidR="00F65BE1" w:rsidRDefault="00AB69D4" w:rsidP="00E10431">
      <w:pPr>
        <w:spacing w:line="280" w:lineRule="atLeast"/>
        <w:rPr>
          <w:rFonts w:ascii="Arial" w:hAnsi="Arial" w:cs="Arial"/>
          <w:b/>
          <w:bCs/>
          <w:sz w:val="24"/>
          <w:szCs w:val="24"/>
        </w:rPr>
      </w:pPr>
      <w:r w:rsidRPr="00AB69D4">
        <w:rPr>
          <w:rFonts w:ascii="Arial" w:hAnsi="Arial" w:cs="Arial"/>
          <w:b/>
          <w:bCs/>
          <w:sz w:val="24"/>
          <w:szCs w:val="24"/>
        </w:rPr>
        <w:t>Clause 1.8</w:t>
      </w:r>
      <w:r w:rsidRPr="00AB69D4">
        <w:rPr>
          <w:rFonts w:ascii="Arial" w:hAnsi="Arial" w:cs="Arial"/>
          <w:b/>
          <w:bCs/>
          <w:sz w:val="24"/>
          <w:szCs w:val="24"/>
        </w:rPr>
        <w:tab/>
        <w:t>Schedule 1, table 1.23, item 6</w:t>
      </w:r>
    </w:p>
    <w:p w14:paraId="663A7F87" w14:textId="3FC2332F" w:rsidR="00AB69D4" w:rsidRDefault="006B207C" w:rsidP="00E10431">
      <w:pPr>
        <w:spacing w:line="280" w:lineRule="atLeast"/>
        <w:rPr>
          <w:rFonts w:cs="Calibri"/>
        </w:rPr>
      </w:pPr>
      <w:r w:rsidRPr="006B207C">
        <w:rPr>
          <w:rFonts w:cs="Calibri"/>
        </w:rPr>
        <w:t xml:space="preserve">This </w:t>
      </w:r>
      <w:r w:rsidR="00E84BB2">
        <w:rPr>
          <w:rFonts w:cs="Calibri"/>
        </w:rPr>
        <w:t xml:space="preserve">clause </w:t>
      </w:r>
      <w:r w:rsidR="0082587E">
        <w:rPr>
          <w:rFonts w:cs="Calibri"/>
        </w:rPr>
        <w:t>removes</w:t>
      </w:r>
      <w:r w:rsidR="00992626">
        <w:rPr>
          <w:rFonts w:cs="Calibri"/>
        </w:rPr>
        <w:t xml:space="preserve"> reference to maximum winning limits for gaming machines, as a consequence of amendments made </w:t>
      </w:r>
      <w:r w:rsidR="00D249FA">
        <w:rPr>
          <w:rFonts w:cs="Calibri"/>
        </w:rPr>
        <w:t xml:space="preserve">by this Act. </w:t>
      </w:r>
    </w:p>
    <w:p w14:paraId="72ED8608" w14:textId="19B2D280" w:rsidR="00992626" w:rsidRDefault="00992626" w:rsidP="00992626">
      <w:pPr>
        <w:spacing w:line="280" w:lineRule="atLeast"/>
        <w:rPr>
          <w:rFonts w:ascii="Arial" w:hAnsi="Arial" w:cs="Arial"/>
          <w:b/>
          <w:bCs/>
          <w:sz w:val="24"/>
          <w:szCs w:val="24"/>
        </w:rPr>
      </w:pPr>
      <w:r w:rsidRPr="00AB69D4">
        <w:rPr>
          <w:rFonts w:ascii="Arial" w:hAnsi="Arial" w:cs="Arial"/>
          <w:b/>
          <w:bCs/>
          <w:sz w:val="24"/>
          <w:szCs w:val="24"/>
        </w:rPr>
        <w:t>Clause 1.</w:t>
      </w:r>
      <w:r>
        <w:rPr>
          <w:rFonts w:ascii="Arial" w:hAnsi="Arial" w:cs="Arial"/>
          <w:b/>
          <w:bCs/>
          <w:sz w:val="24"/>
          <w:szCs w:val="24"/>
        </w:rPr>
        <w:t>9</w:t>
      </w:r>
      <w:r w:rsidRPr="00AB69D4">
        <w:rPr>
          <w:rFonts w:ascii="Arial" w:hAnsi="Arial" w:cs="Arial"/>
          <w:b/>
          <w:bCs/>
          <w:sz w:val="24"/>
          <w:szCs w:val="24"/>
        </w:rPr>
        <w:tab/>
        <w:t xml:space="preserve">Schedule 1, </w:t>
      </w:r>
      <w:r w:rsidRPr="00992626">
        <w:rPr>
          <w:rFonts w:ascii="Arial" w:hAnsi="Arial" w:cs="Arial"/>
          <w:b/>
          <w:bCs/>
          <w:sz w:val="24"/>
          <w:szCs w:val="24"/>
        </w:rPr>
        <w:t>new section 1.23 (3)</w:t>
      </w:r>
    </w:p>
    <w:p w14:paraId="3EA53C24" w14:textId="2EABF259" w:rsidR="00E82EAA" w:rsidRDefault="00D552E2" w:rsidP="00992626">
      <w:pPr>
        <w:spacing w:line="280" w:lineRule="atLeast"/>
        <w:rPr>
          <w:rFonts w:cs="Calibri"/>
        </w:rPr>
      </w:pPr>
      <w:r>
        <w:rPr>
          <w:rFonts w:cs="Calibri"/>
        </w:rPr>
        <w:t xml:space="preserve">This </w:t>
      </w:r>
      <w:r w:rsidR="00E84BB2">
        <w:rPr>
          <w:rFonts w:cs="Calibri"/>
        </w:rPr>
        <w:t>clause</w:t>
      </w:r>
      <w:r w:rsidR="00DA6541">
        <w:rPr>
          <w:rFonts w:cs="Calibri"/>
        </w:rPr>
        <w:t xml:space="preserve"> provides that the section does not apply to a gaming machine licensee, </w:t>
      </w:r>
      <w:r>
        <w:rPr>
          <w:rFonts w:cs="Calibri"/>
        </w:rPr>
        <w:t xml:space="preserve">as a consequence of amendments made </w:t>
      </w:r>
      <w:r w:rsidR="00D249FA">
        <w:rPr>
          <w:rFonts w:cs="Calibri"/>
        </w:rPr>
        <w:t xml:space="preserve">by new section 1.22A. </w:t>
      </w:r>
    </w:p>
    <w:p w14:paraId="5AF1A8D6" w14:textId="27739324" w:rsidR="00715153" w:rsidRDefault="00715153" w:rsidP="00715153">
      <w:pPr>
        <w:spacing w:line="280" w:lineRule="atLeast"/>
        <w:rPr>
          <w:rFonts w:ascii="Arial" w:hAnsi="Arial" w:cs="Arial"/>
          <w:b/>
          <w:bCs/>
          <w:sz w:val="24"/>
          <w:szCs w:val="24"/>
        </w:rPr>
      </w:pPr>
      <w:r w:rsidRPr="00AB69D4">
        <w:rPr>
          <w:rFonts w:ascii="Arial" w:hAnsi="Arial" w:cs="Arial"/>
          <w:b/>
          <w:bCs/>
          <w:sz w:val="24"/>
          <w:szCs w:val="24"/>
        </w:rPr>
        <w:t>Clause 1.</w:t>
      </w:r>
      <w:r>
        <w:rPr>
          <w:rFonts w:ascii="Arial" w:hAnsi="Arial" w:cs="Arial"/>
          <w:b/>
          <w:bCs/>
          <w:sz w:val="24"/>
          <w:szCs w:val="24"/>
        </w:rPr>
        <w:t>10</w:t>
      </w:r>
      <w:r w:rsidRPr="00AB69D4">
        <w:rPr>
          <w:rFonts w:ascii="Arial" w:hAnsi="Arial" w:cs="Arial"/>
          <w:b/>
          <w:bCs/>
          <w:sz w:val="24"/>
          <w:szCs w:val="24"/>
        </w:rPr>
        <w:tab/>
        <w:t xml:space="preserve">Schedule 1, </w:t>
      </w:r>
      <w:r w:rsidRPr="00715153">
        <w:rPr>
          <w:rFonts w:ascii="Arial" w:hAnsi="Arial" w:cs="Arial"/>
          <w:b/>
          <w:bCs/>
          <w:sz w:val="24"/>
          <w:szCs w:val="24"/>
        </w:rPr>
        <w:t>new section 1.23AA (3)</w:t>
      </w:r>
    </w:p>
    <w:p w14:paraId="08F75D05" w14:textId="7AE64137" w:rsidR="00D552E2" w:rsidRDefault="00685868" w:rsidP="00992626">
      <w:pPr>
        <w:spacing w:line="280" w:lineRule="atLeast"/>
        <w:rPr>
          <w:rFonts w:cs="Calibri"/>
        </w:rPr>
      </w:pPr>
      <w:r>
        <w:rPr>
          <w:rFonts w:cs="Calibri"/>
        </w:rPr>
        <w:t>This</w:t>
      </w:r>
      <w:r w:rsidR="00E84BB2">
        <w:rPr>
          <w:rFonts w:cs="Calibri"/>
        </w:rPr>
        <w:t xml:space="preserve"> clause</w:t>
      </w:r>
      <w:r>
        <w:rPr>
          <w:rFonts w:cs="Calibri"/>
        </w:rPr>
        <w:t xml:space="preserve"> ensure</w:t>
      </w:r>
      <w:r w:rsidR="0082587E">
        <w:rPr>
          <w:rFonts w:cs="Calibri"/>
        </w:rPr>
        <w:t>s</w:t>
      </w:r>
      <w:r>
        <w:rPr>
          <w:rFonts w:cs="Calibri"/>
        </w:rPr>
        <w:t xml:space="preserve"> that patrons who have self-excluded from gaming machines are able to redeem credits under new section 67Q </w:t>
      </w:r>
      <w:r w:rsidR="00745A21">
        <w:rPr>
          <w:rFonts w:cs="Calibri"/>
        </w:rPr>
        <w:t>in this Act</w:t>
      </w:r>
      <w:r>
        <w:rPr>
          <w:rFonts w:cs="Calibri"/>
        </w:rPr>
        <w:t xml:space="preserve">. </w:t>
      </w:r>
    </w:p>
    <w:p w14:paraId="39062E5F" w14:textId="6129280D" w:rsidR="00685868" w:rsidRDefault="00685868" w:rsidP="00685868">
      <w:pPr>
        <w:spacing w:line="280" w:lineRule="atLeast"/>
        <w:rPr>
          <w:rFonts w:ascii="Arial" w:hAnsi="Arial" w:cs="Arial"/>
          <w:b/>
          <w:bCs/>
          <w:sz w:val="24"/>
          <w:szCs w:val="24"/>
        </w:rPr>
      </w:pPr>
      <w:r w:rsidRPr="00AB69D4">
        <w:rPr>
          <w:rFonts w:ascii="Arial" w:hAnsi="Arial" w:cs="Arial"/>
          <w:b/>
          <w:bCs/>
          <w:sz w:val="24"/>
          <w:szCs w:val="24"/>
        </w:rPr>
        <w:t>Clause 1.</w:t>
      </w:r>
      <w:r>
        <w:rPr>
          <w:rFonts w:ascii="Arial" w:hAnsi="Arial" w:cs="Arial"/>
          <w:b/>
          <w:bCs/>
          <w:sz w:val="24"/>
          <w:szCs w:val="24"/>
        </w:rPr>
        <w:t>11</w:t>
      </w:r>
      <w:r>
        <w:rPr>
          <w:rFonts w:ascii="Arial" w:hAnsi="Arial" w:cs="Arial"/>
          <w:b/>
          <w:bCs/>
          <w:sz w:val="24"/>
          <w:szCs w:val="24"/>
        </w:rPr>
        <w:tab/>
      </w:r>
      <w:r w:rsidR="005E30AC" w:rsidRPr="005E30AC">
        <w:rPr>
          <w:rFonts w:ascii="Arial" w:hAnsi="Arial" w:cs="Arial"/>
          <w:b/>
          <w:bCs/>
          <w:sz w:val="24"/>
          <w:szCs w:val="24"/>
        </w:rPr>
        <w:t>section 1.23A (2)</w:t>
      </w:r>
    </w:p>
    <w:p w14:paraId="46C413B2" w14:textId="6E60CC1F" w:rsidR="003273C3" w:rsidRDefault="003273C3" w:rsidP="003273C3">
      <w:pPr>
        <w:spacing w:line="280" w:lineRule="atLeast"/>
        <w:rPr>
          <w:rFonts w:cs="Calibri"/>
        </w:rPr>
      </w:pPr>
      <w:r>
        <w:rPr>
          <w:rFonts w:cs="Calibri"/>
        </w:rPr>
        <w:t xml:space="preserve">This </w:t>
      </w:r>
      <w:r w:rsidR="00E84BB2">
        <w:rPr>
          <w:rFonts w:cs="Calibri"/>
        </w:rPr>
        <w:t xml:space="preserve">clause </w:t>
      </w:r>
      <w:r w:rsidR="00DA6541">
        <w:rPr>
          <w:rFonts w:cs="Calibri"/>
        </w:rPr>
        <w:t xml:space="preserve">provides that the section does not apply to gaming machine licensees, </w:t>
      </w:r>
      <w:r>
        <w:rPr>
          <w:rFonts w:cs="Calibri"/>
        </w:rPr>
        <w:t xml:space="preserve">as a consequence of amendments made </w:t>
      </w:r>
      <w:r w:rsidR="000C3BBC">
        <w:rPr>
          <w:rFonts w:cs="Calibri"/>
        </w:rPr>
        <w:t>by new section 1.22A.</w:t>
      </w:r>
    </w:p>
    <w:p w14:paraId="5FABF9BE" w14:textId="484AA6AF" w:rsidR="0028237D" w:rsidRDefault="0028237D" w:rsidP="0028237D">
      <w:pPr>
        <w:spacing w:line="280" w:lineRule="atLeast"/>
        <w:rPr>
          <w:rFonts w:ascii="Arial" w:hAnsi="Arial" w:cs="Arial"/>
          <w:b/>
          <w:bCs/>
          <w:sz w:val="24"/>
          <w:szCs w:val="24"/>
        </w:rPr>
      </w:pPr>
      <w:r w:rsidRPr="00AB69D4">
        <w:rPr>
          <w:rFonts w:ascii="Arial" w:hAnsi="Arial" w:cs="Arial"/>
          <w:b/>
          <w:bCs/>
          <w:sz w:val="24"/>
          <w:szCs w:val="24"/>
        </w:rPr>
        <w:t>Clause 1.</w:t>
      </w:r>
      <w:r>
        <w:rPr>
          <w:rFonts w:ascii="Arial" w:hAnsi="Arial" w:cs="Arial"/>
          <w:b/>
          <w:bCs/>
          <w:sz w:val="24"/>
          <w:szCs w:val="24"/>
        </w:rPr>
        <w:t>12</w:t>
      </w:r>
      <w:r>
        <w:rPr>
          <w:rFonts w:ascii="Arial" w:hAnsi="Arial" w:cs="Arial"/>
          <w:b/>
          <w:bCs/>
          <w:sz w:val="24"/>
          <w:szCs w:val="24"/>
        </w:rPr>
        <w:tab/>
      </w:r>
      <w:r w:rsidRPr="0028237D">
        <w:rPr>
          <w:rFonts w:ascii="Arial" w:hAnsi="Arial" w:cs="Arial"/>
          <w:b/>
          <w:bCs/>
          <w:sz w:val="24"/>
          <w:szCs w:val="24"/>
        </w:rPr>
        <w:t>section 1.24</w:t>
      </w:r>
    </w:p>
    <w:p w14:paraId="07E795E0" w14:textId="5B8D1A32" w:rsidR="0028237D" w:rsidRDefault="0028237D" w:rsidP="0028237D">
      <w:pPr>
        <w:spacing w:line="280" w:lineRule="atLeast"/>
        <w:rPr>
          <w:rFonts w:cs="Calibri"/>
        </w:rPr>
      </w:pPr>
      <w:r>
        <w:rPr>
          <w:rFonts w:cs="Calibri"/>
        </w:rPr>
        <w:t xml:space="preserve">This </w:t>
      </w:r>
      <w:r w:rsidR="00E84BB2">
        <w:rPr>
          <w:rFonts w:cs="Calibri"/>
        </w:rPr>
        <w:t xml:space="preserve">clause </w:t>
      </w:r>
      <w:r>
        <w:rPr>
          <w:rFonts w:cs="Calibri"/>
        </w:rPr>
        <w:t>is a consequence of amendments made to</w:t>
      </w:r>
      <w:r w:rsidR="000C3BBC">
        <w:rPr>
          <w:rFonts w:cs="Calibri"/>
        </w:rPr>
        <w:t xml:space="preserve"> disallow cheques to be cashed by gaming machine licensees. </w:t>
      </w:r>
    </w:p>
    <w:p w14:paraId="7257BAF9" w14:textId="4FBB9DB3" w:rsidR="0028237D" w:rsidRDefault="0028237D" w:rsidP="0028237D">
      <w:pPr>
        <w:spacing w:line="280" w:lineRule="atLeast"/>
        <w:rPr>
          <w:rFonts w:ascii="Arial" w:hAnsi="Arial" w:cs="Arial"/>
          <w:b/>
          <w:bCs/>
          <w:sz w:val="24"/>
          <w:szCs w:val="24"/>
        </w:rPr>
      </w:pPr>
      <w:r w:rsidRPr="00AB69D4">
        <w:rPr>
          <w:rFonts w:ascii="Arial" w:hAnsi="Arial" w:cs="Arial"/>
          <w:b/>
          <w:bCs/>
          <w:sz w:val="24"/>
          <w:szCs w:val="24"/>
        </w:rPr>
        <w:t>Clause 1.</w:t>
      </w:r>
      <w:r>
        <w:rPr>
          <w:rFonts w:ascii="Arial" w:hAnsi="Arial" w:cs="Arial"/>
          <w:b/>
          <w:bCs/>
          <w:sz w:val="24"/>
          <w:szCs w:val="24"/>
        </w:rPr>
        <w:t>13</w:t>
      </w:r>
      <w:r>
        <w:rPr>
          <w:rFonts w:ascii="Arial" w:hAnsi="Arial" w:cs="Arial"/>
          <w:b/>
          <w:bCs/>
          <w:sz w:val="24"/>
          <w:szCs w:val="24"/>
        </w:rPr>
        <w:tab/>
      </w:r>
      <w:r w:rsidRPr="0028237D">
        <w:rPr>
          <w:rFonts w:ascii="Arial" w:hAnsi="Arial" w:cs="Arial"/>
          <w:b/>
          <w:bCs/>
          <w:sz w:val="24"/>
          <w:szCs w:val="24"/>
        </w:rPr>
        <w:t>section 1.25 (3) (c)</w:t>
      </w:r>
    </w:p>
    <w:p w14:paraId="1C35FA59" w14:textId="667EF1C5" w:rsidR="00757833" w:rsidRDefault="00757833" w:rsidP="00757833">
      <w:pPr>
        <w:spacing w:line="280" w:lineRule="atLeast"/>
        <w:rPr>
          <w:rFonts w:cs="Calibri"/>
        </w:rPr>
      </w:pPr>
      <w:r>
        <w:rPr>
          <w:rFonts w:cs="Calibri"/>
        </w:rPr>
        <w:t xml:space="preserve">This </w:t>
      </w:r>
      <w:r w:rsidR="00E84BB2">
        <w:rPr>
          <w:rFonts w:cs="Calibri"/>
        </w:rPr>
        <w:t xml:space="preserve">clause is </w:t>
      </w:r>
      <w:r>
        <w:rPr>
          <w:rFonts w:cs="Calibri"/>
        </w:rPr>
        <w:t xml:space="preserve">a consequence of amendments made </w:t>
      </w:r>
      <w:r w:rsidR="00EF2195">
        <w:rPr>
          <w:rFonts w:cs="Calibri"/>
        </w:rPr>
        <w:t xml:space="preserve">by new section 1.22A. </w:t>
      </w:r>
    </w:p>
    <w:p w14:paraId="177E8172" w14:textId="1CEC0E22" w:rsidR="0028237D" w:rsidRPr="00757833" w:rsidRDefault="00757833" w:rsidP="0028237D">
      <w:pPr>
        <w:spacing w:line="280" w:lineRule="atLeast"/>
        <w:rPr>
          <w:rFonts w:ascii="Arial" w:hAnsi="Arial" w:cs="Arial"/>
          <w:b/>
          <w:bCs/>
          <w:sz w:val="24"/>
          <w:szCs w:val="24"/>
        </w:rPr>
      </w:pPr>
      <w:r w:rsidRPr="00757833">
        <w:rPr>
          <w:rFonts w:ascii="Arial" w:hAnsi="Arial" w:cs="Arial"/>
          <w:b/>
          <w:bCs/>
          <w:sz w:val="24"/>
          <w:szCs w:val="24"/>
        </w:rPr>
        <w:t>Clause 1.14</w:t>
      </w:r>
      <w:r w:rsidRPr="00757833">
        <w:rPr>
          <w:rFonts w:ascii="Arial" w:hAnsi="Arial" w:cs="Arial"/>
          <w:b/>
          <w:bCs/>
          <w:sz w:val="24"/>
          <w:szCs w:val="24"/>
        </w:rPr>
        <w:tab/>
        <w:t>Schedule 1, section 1.30B heading</w:t>
      </w:r>
    </w:p>
    <w:p w14:paraId="34740462" w14:textId="2F0DEF54" w:rsidR="0028237D" w:rsidRDefault="00326F03" w:rsidP="0028237D">
      <w:pPr>
        <w:spacing w:line="280" w:lineRule="atLeast"/>
        <w:rPr>
          <w:rFonts w:asciiTheme="minorHAnsi" w:hAnsiTheme="minorHAnsi" w:cstheme="minorHAnsi"/>
        </w:rPr>
      </w:pPr>
      <w:r>
        <w:rPr>
          <w:rFonts w:asciiTheme="minorHAnsi" w:hAnsiTheme="minorHAnsi" w:cstheme="minorHAnsi"/>
        </w:rPr>
        <w:t xml:space="preserve">This </w:t>
      </w:r>
      <w:r w:rsidR="00E84BB2">
        <w:rPr>
          <w:rFonts w:asciiTheme="minorHAnsi" w:hAnsiTheme="minorHAnsi" w:cstheme="minorHAnsi"/>
        </w:rPr>
        <w:t xml:space="preserve">clause </w:t>
      </w:r>
      <w:r>
        <w:rPr>
          <w:rFonts w:asciiTheme="minorHAnsi" w:hAnsiTheme="minorHAnsi" w:cstheme="minorHAnsi"/>
        </w:rPr>
        <w:t>updates the heading of personally-addressed promotional material to casino licensees only, and not gaming machine licensees. This amendment is a consequence of new section 15</w:t>
      </w:r>
      <w:r w:rsidR="00EB46D7">
        <w:rPr>
          <w:rFonts w:asciiTheme="minorHAnsi" w:hAnsiTheme="minorHAnsi" w:cstheme="minorHAnsi"/>
        </w:rPr>
        <w:t>4A</w:t>
      </w:r>
      <w:r>
        <w:rPr>
          <w:rFonts w:asciiTheme="minorHAnsi" w:hAnsiTheme="minorHAnsi" w:cstheme="minorHAnsi"/>
        </w:rPr>
        <w:t xml:space="preserve"> </w:t>
      </w:r>
      <w:r w:rsidR="00745A21">
        <w:rPr>
          <w:rFonts w:asciiTheme="minorHAnsi" w:hAnsiTheme="minorHAnsi" w:cstheme="minorHAnsi"/>
        </w:rPr>
        <w:t>in this Act</w:t>
      </w:r>
      <w:r w:rsidR="00EB46D7" w:rsidRPr="00EB46D7">
        <w:rPr>
          <w:rFonts w:asciiTheme="minorHAnsi" w:hAnsiTheme="minorHAnsi" w:cstheme="minorHAnsi"/>
        </w:rPr>
        <w:t xml:space="preserve"> </w:t>
      </w:r>
      <w:r w:rsidR="00EB46D7">
        <w:rPr>
          <w:rFonts w:asciiTheme="minorHAnsi" w:hAnsiTheme="minorHAnsi" w:cstheme="minorHAnsi"/>
        </w:rPr>
        <w:t>which provides that gaming machine licensees cannot give advertising or promotional material relating to gambling activities to a person at an authorised premises.</w:t>
      </w:r>
    </w:p>
    <w:p w14:paraId="2F8E5932" w14:textId="1F6B5130" w:rsidR="00326F03" w:rsidRPr="00757833" w:rsidRDefault="00326F03" w:rsidP="009506B1">
      <w:pPr>
        <w:keepNext/>
        <w:spacing w:line="280" w:lineRule="atLeast"/>
        <w:rPr>
          <w:rFonts w:ascii="Arial" w:hAnsi="Arial" w:cs="Arial"/>
          <w:b/>
          <w:bCs/>
          <w:sz w:val="24"/>
          <w:szCs w:val="24"/>
        </w:rPr>
      </w:pPr>
      <w:r w:rsidRPr="00757833">
        <w:rPr>
          <w:rFonts w:ascii="Arial" w:hAnsi="Arial" w:cs="Arial"/>
          <w:b/>
          <w:bCs/>
          <w:sz w:val="24"/>
          <w:szCs w:val="24"/>
        </w:rPr>
        <w:lastRenderedPageBreak/>
        <w:t>Clause 1.1</w:t>
      </w:r>
      <w:r>
        <w:rPr>
          <w:rFonts w:ascii="Arial" w:hAnsi="Arial" w:cs="Arial"/>
          <w:b/>
          <w:bCs/>
          <w:sz w:val="24"/>
          <w:szCs w:val="24"/>
        </w:rPr>
        <w:t>5</w:t>
      </w:r>
      <w:r w:rsidRPr="00757833">
        <w:rPr>
          <w:rFonts w:ascii="Arial" w:hAnsi="Arial" w:cs="Arial"/>
          <w:b/>
          <w:bCs/>
          <w:sz w:val="24"/>
          <w:szCs w:val="24"/>
        </w:rPr>
        <w:tab/>
      </w:r>
      <w:r w:rsidRPr="00326F03">
        <w:rPr>
          <w:rFonts w:ascii="Arial" w:hAnsi="Arial" w:cs="Arial"/>
          <w:b/>
          <w:bCs/>
          <w:sz w:val="24"/>
          <w:szCs w:val="24"/>
        </w:rPr>
        <w:t>Schedule 1, section 1.30B (1)</w:t>
      </w:r>
    </w:p>
    <w:p w14:paraId="7A6B1B44" w14:textId="2850F6FF" w:rsidR="00326F03" w:rsidRPr="00757833" w:rsidRDefault="00EA7568" w:rsidP="0028237D">
      <w:pPr>
        <w:spacing w:line="280" w:lineRule="atLeast"/>
        <w:rPr>
          <w:rFonts w:asciiTheme="minorHAnsi" w:hAnsiTheme="minorHAnsi" w:cstheme="minorHAnsi"/>
        </w:rPr>
      </w:pPr>
      <w:r>
        <w:rPr>
          <w:rFonts w:asciiTheme="minorHAnsi" w:hAnsiTheme="minorHAnsi" w:cstheme="minorHAnsi"/>
        </w:rPr>
        <w:t>This</w:t>
      </w:r>
      <w:r w:rsidR="00E84BB2">
        <w:rPr>
          <w:rFonts w:asciiTheme="minorHAnsi" w:hAnsiTheme="minorHAnsi" w:cstheme="minorHAnsi"/>
        </w:rPr>
        <w:t xml:space="preserve"> clause</w:t>
      </w:r>
      <w:r>
        <w:rPr>
          <w:rFonts w:asciiTheme="minorHAnsi" w:hAnsiTheme="minorHAnsi" w:cstheme="minorHAnsi"/>
        </w:rPr>
        <w:t xml:space="preserve"> </w:t>
      </w:r>
      <w:r w:rsidR="00415AEB">
        <w:rPr>
          <w:rFonts w:asciiTheme="minorHAnsi" w:hAnsiTheme="minorHAnsi" w:cstheme="minorHAnsi"/>
        </w:rPr>
        <w:t>remove</w:t>
      </w:r>
      <w:r w:rsidR="0082587E">
        <w:rPr>
          <w:rFonts w:asciiTheme="minorHAnsi" w:hAnsiTheme="minorHAnsi" w:cstheme="minorHAnsi"/>
        </w:rPr>
        <w:t xml:space="preserve">s </w:t>
      </w:r>
      <w:r w:rsidR="00415AEB">
        <w:rPr>
          <w:rFonts w:asciiTheme="minorHAnsi" w:hAnsiTheme="minorHAnsi" w:cstheme="minorHAnsi"/>
        </w:rPr>
        <w:t xml:space="preserve">reference to a gaming machine licensee, </w:t>
      </w:r>
      <w:r w:rsidR="00993790">
        <w:rPr>
          <w:rFonts w:asciiTheme="minorHAnsi" w:hAnsiTheme="minorHAnsi" w:cstheme="minorHAnsi"/>
        </w:rPr>
        <w:t>as</w:t>
      </w:r>
      <w:r>
        <w:rPr>
          <w:rFonts w:asciiTheme="minorHAnsi" w:hAnsiTheme="minorHAnsi" w:cstheme="minorHAnsi"/>
        </w:rPr>
        <w:t xml:space="preserve"> a consequence of new section 15</w:t>
      </w:r>
      <w:r w:rsidR="00EB46D7">
        <w:rPr>
          <w:rFonts w:asciiTheme="minorHAnsi" w:hAnsiTheme="minorHAnsi" w:cstheme="minorHAnsi"/>
        </w:rPr>
        <w:t>4</w:t>
      </w:r>
      <w:r>
        <w:rPr>
          <w:rFonts w:asciiTheme="minorHAnsi" w:hAnsiTheme="minorHAnsi" w:cstheme="minorHAnsi"/>
        </w:rPr>
        <w:t xml:space="preserve">A </w:t>
      </w:r>
      <w:r w:rsidR="00745A21">
        <w:rPr>
          <w:rFonts w:asciiTheme="minorHAnsi" w:hAnsiTheme="minorHAnsi" w:cstheme="minorHAnsi"/>
        </w:rPr>
        <w:t>in this Act</w:t>
      </w:r>
      <w:r w:rsidR="00EB46D7">
        <w:rPr>
          <w:rFonts w:asciiTheme="minorHAnsi" w:hAnsiTheme="minorHAnsi" w:cstheme="minorHAnsi"/>
        </w:rPr>
        <w:t>.</w:t>
      </w:r>
    </w:p>
    <w:p w14:paraId="2A963F48" w14:textId="25992BC8" w:rsidR="00993790" w:rsidRDefault="00993790" w:rsidP="00993790">
      <w:pPr>
        <w:spacing w:line="280" w:lineRule="atLeast"/>
        <w:rPr>
          <w:rFonts w:ascii="Arial" w:hAnsi="Arial" w:cs="Arial"/>
          <w:b/>
          <w:bCs/>
          <w:sz w:val="24"/>
          <w:szCs w:val="24"/>
        </w:rPr>
      </w:pPr>
      <w:r w:rsidRPr="00757833">
        <w:rPr>
          <w:rFonts w:ascii="Arial" w:hAnsi="Arial" w:cs="Arial"/>
          <w:b/>
          <w:bCs/>
          <w:sz w:val="24"/>
          <w:szCs w:val="24"/>
        </w:rPr>
        <w:t>Clause 1.1</w:t>
      </w:r>
      <w:r>
        <w:rPr>
          <w:rFonts w:ascii="Arial" w:hAnsi="Arial" w:cs="Arial"/>
          <w:b/>
          <w:bCs/>
          <w:sz w:val="24"/>
          <w:szCs w:val="24"/>
        </w:rPr>
        <w:t>6</w:t>
      </w:r>
      <w:r w:rsidRPr="00757833">
        <w:rPr>
          <w:rFonts w:ascii="Arial" w:hAnsi="Arial" w:cs="Arial"/>
          <w:b/>
          <w:bCs/>
          <w:sz w:val="24"/>
          <w:szCs w:val="24"/>
        </w:rPr>
        <w:tab/>
      </w:r>
      <w:r w:rsidRPr="00326F03">
        <w:rPr>
          <w:rFonts w:ascii="Arial" w:hAnsi="Arial" w:cs="Arial"/>
          <w:b/>
          <w:bCs/>
          <w:sz w:val="24"/>
          <w:szCs w:val="24"/>
        </w:rPr>
        <w:t xml:space="preserve">Schedule 1, </w:t>
      </w:r>
      <w:r w:rsidRPr="00993790">
        <w:rPr>
          <w:rFonts w:ascii="Arial" w:hAnsi="Arial" w:cs="Arial"/>
          <w:b/>
          <w:bCs/>
          <w:sz w:val="24"/>
          <w:szCs w:val="24"/>
        </w:rPr>
        <w:t>section 1.30B (2)</w:t>
      </w:r>
    </w:p>
    <w:p w14:paraId="45D7C06B" w14:textId="0674E46E" w:rsidR="00993790" w:rsidRDefault="00993790" w:rsidP="00993790">
      <w:pPr>
        <w:spacing w:line="280" w:lineRule="atLeast"/>
        <w:rPr>
          <w:rFonts w:asciiTheme="minorHAnsi" w:hAnsiTheme="minorHAnsi" w:cstheme="minorHAnsi"/>
        </w:rPr>
      </w:pPr>
      <w:r>
        <w:rPr>
          <w:rFonts w:asciiTheme="minorHAnsi" w:hAnsiTheme="minorHAnsi" w:cstheme="minorHAnsi"/>
        </w:rPr>
        <w:t xml:space="preserve">This </w:t>
      </w:r>
      <w:r w:rsidR="00E84BB2">
        <w:rPr>
          <w:rFonts w:asciiTheme="minorHAnsi" w:hAnsiTheme="minorHAnsi" w:cstheme="minorHAnsi"/>
        </w:rPr>
        <w:t xml:space="preserve">clause </w:t>
      </w:r>
      <w:r w:rsidR="00D7366D">
        <w:rPr>
          <w:rFonts w:asciiTheme="minorHAnsi" w:hAnsiTheme="minorHAnsi" w:cstheme="minorHAnsi"/>
        </w:rPr>
        <w:t>substitute</w:t>
      </w:r>
      <w:r w:rsidR="0082587E">
        <w:rPr>
          <w:rFonts w:asciiTheme="minorHAnsi" w:hAnsiTheme="minorHAnsi" w:cstheme="minorHAnsi"/>
        </w:rPr>
        <w:t>s</w:t>
      </w:r>
      <w:r w:rsidR="00D7366D">
        <w:rPr>
          <w:rFonts w:asciiTheme="minorHAnsi" w:hAnsiTheme="minorHAnsi" w:cstheme="minorHAnsi"/>
        </w:rPr>
        <w:t xml:space="preserve"> language to refer only to the casino, </w:t>
      </w:r>
      <w:r>
        <w:rPr>
          <w:rFonts w:asciiTheme="minorHAnsi" w:hAnsiTheme="minorHAnsi" w:cstheme="minorHAnsi"/>
        </w:rPr>
        <w:t>as a consequence of new section 15</w:t>
      </w:r>
      <w:r w:rsidR="00EB46D7">
        <w:rPr>
          <w:rFonts w:asciiTheme="minorHAnsi" w:hAnsiTheme="minorHAnsi" w:cstheme="minorHAnsi"/>
        </w:rPr>
        <w:t>4</w:t>
      </w:r>
      <w:r>
        <w:rPr>
          <w:rFonts w:asciiTheme="minorHAnsi" w:hAnsiTheme="minorHAnsi" w:cstheme="minorHAnsi"/>
        </w:rPr>
        <w:t xml:space="preserve">A </w:t>
      </w:r>
      <w:r w:rsidR="00745A21">
        <w:rPr>
          <w:rFonts w:asciiTheme="minorHAnsi" w:hAnsiTheme="minorHAnsi" w:cstheme="minorHAnsi"/>
        </w:rPr>
        <w:t>in this Act</w:t>
      </w:r>
      <w:r>
        <w:rPr>
          <w:rFonts w:asciiTheme="minorHAnsi" w:hAnsiTheme="minorHAnsi" w:cstheme="minorHAnsi"/>
        </w:rPr>
        <w:t>.</w:t>
      </w:r>
    </w:p>
    <w:p w14:paraId="07C58FDE" w14:textId="77777777" w:rsidR="009D1DBA" w:rsidRDefault="009D1DBA" w:rsidP="00993790">
      <w:pPr>
        <w:spacing w:line="280" w:lineRule="atLeast"/>
        <w:rPr>
          <w:rFonts w:asciiTheme="minorHAnsi" w:hAnsiTheme="minorHAnsi" w:cstheme="minorHAnsi"/>
        </w:rPr>
      </w:pPr>
    </w:p>
    <w:p w14:paraId="75C03FB6" w14:textId="77777777" w:rsidR="009D1DBA" w:rsidRPr="00757833" w:rsidRDefault="009D1DBA" w:rsidP="00993790">
      <w:pPr>
        <w:spacing w:line="280" w:lineRule="atLeast"/>
        <w:rPr>
          <w:rFonts w:asciiTheme="minorHAnsi" w:hAnsiTheme="minorHAnsi" w:cstheme="minorHAnsi"/>
        </w:rPr>
      </w:pPr>
    </w:p>
    <w:p w14:paraId="56CA7576" w14:textId="02C374DF" w:rsidR="0065060B" w:rsidRDefault="0065060B" w:rsidP="0065060B">
      <w:pPr>
        <w:spacing w:line="280" w:lineRule="atLeast"/>
        <w:rPr>
          <w:rFonts w:ascii="Arial" w:hAnsi="Arial" w:cs="Arial"/>
          <w:b/>
          <w:bCs/>
          <w:sz w:val="24"/>
          <w:szCs w:val="24"/>
        </w:rPr>
      </w:pPr>
      <w:r>
        <w:rPr>
          <w:rFonts w:ascii="Arial" w:hAnsi="Arial" w:cs="Arial"/>
          <w:b/>
          <w:bCs/>
          <w:sz w:val="24"/>
          <w:szCs w:val="24"/>
        </w:rPr>
        <w:t>Part 1.3</w:t>
      </w:r>
      <w:r>
        <w:rPr>
          <w:rFonts w:ascii="Arial" w:hAnsi="Arial" w:cs="Arial"/>
          <w:b/>
          <w:bCs/>
          <w:sz w:val="24"/>
          <w:szCs w:val="24"/>
        </w:rPr>
        <w:tab/>
        <w:t>Unclaimed Money Act 1950</w:t>
      </w:r>
    </w:p>
    <w:p w14:paraId="594E917C" w14:textId="53915484" w:rsidR="0065060B" w:rsidRPr="0065060B" w:rsidRDefault="0065060B" w:rsidP="0065060B">
      <w:pPr>
        <w:spacing w:line="280" w:lineRule="atLeast"/>
        <w:rPr>
          <w:rFonts w:ascii="Arial" w:hAnsi="Arial" w:cs="Arial"/>
          <w:b/>
          <w:bCs/>
          <w:sz w:val="24"/>
          <w:szCs w:val="24"/>
        </w:rPr>
      </w:pPr>
      <w:r>
        <w:rPr>
          <w:rFonts w:ascii="Arial" w:hAnsi="Arial" w:cs="Arial"/>
          <w:b/>
          <w:bCs/>
          <w:sz w:val="24"/>
          <w:szCs w:val="24"/>
        </w:rPr>
        <w:t>Clause 1.17</w:t>
      </w:r>
      <w:r>
        <w:rPr>
          <w:rFonts w:ascii="Arial" w:hAnsi="Arial" w:cs="Arial"/>
          <w:b/>
          <w:bCs/>
          <w:sz w:val="24"/>
          <w:szCs w:val="24"/>
        </w:rPr>
        <w:tab/>
      </w:r>
      <w:r w:rsidRPr="0065060B">
        <w:rPr>
          <w:rFonts w:ascii="Arial" w:hAnsi="Arial" w:cs="Arial"/>
          <w:b/>
          <w:bCs/>
          <w:sz w:val="24"/>
          <w:szCs w:val="24"/>
        </w:rPr>
        <w:t xml:space="preserve">Section 26, definition of </w:t>
      </w:r>
      <w:r w:rsidRPr="0065060B">
        <w:rPr>
          <w:rFonts w:ascii="Arial" w:hAnsi="Arial" w:cs="Arial"/>
          <w:b/>
          <w:bCs/>
          <w:i/>
          <w:iCs/>
          <w:sz w:val="24"/>
          <w:szCs w:val="24"/>
        </w:rPr>
        <w:t xml:space="preserve">unclaimed money, </w:t>
      </w:r>
      <w:r w:rsidRPr="0065060B">
        <w:rPr>
          <w:rFonts w:ascii="Arial" w:hAnsi="Arial" w:cs="Arial"/>
          <w:b/>
          <w:bCs/>
          <w:sz w:val="24"/>
          <w:szCs w:val="24"/>
        </w:rPr>
        <w:t>new paragraph (da)</w:t>
      </w:r>
    </w:p>
    <w:p w14:paraId="71F2B6A9" w14:textId="0F5288BC" w:rsidR="00993790" w:rsidRDefault="0065060B" w:rsidP="00993790">
      <w:pPr>
        <w:spacing w:line="280" w:lineRule="atLeast"/>
        <w:rPr>
          <w:rFonts w:cs="Calibri"/>
        </w:rPr>
      </w:pPr>
      <w:r>
        <w:rPr>
          <w:rFonts w:cs="Calibri"/>
        </w:rPr>
        <w:t xml:space="preserve">This </w:t>
      </w:r>
      <w:r w:rsidR="00E84BB2">
        <w:rPr>
          <w:rFonts w:cs="Calibri"/>
        </w:rPr>
        <w:t xml:space="preserve">clause </w:t>
      </w:r>
      <w:r>
        <w:rPr>
          <w:rFonts w:cs="Calibri"/>
        </w:rPr>
        <w:t xml:space="preserve">is a consequence of new section 67L </w:t>
      </w:r>
      <w:r w:rsidR="00745A21">
        <w:rPr>
          <w:rFonts w:cs="Calibri"/>
        </w:rPr>
        <w:t>in this Act</w:t>
      </w:r>
      <w:r w:rsidR="00EB46D7">
        <w:rPr>
          <w:rFonts w:cs="Calibri"/>
        </w:rPr>
        <w:t xml:space="preserve"> which provides that expired credit must be paid to the public trustee and guardian</w:t>
      </w:r>
      <w:r>
        <w:rPr>
          <w:rFonts w:cs="Calibri"/>
        </w:rPr>
        <w:t xml:space="preserve">. </w:t>
      </w:r>
    </w:p>
    <w:p w14:paraId="0118DDD7" w14:textId="3BF5A7A4" w:rsidR="0065060B" w:rsidRPr="00993790" w:rsidRDefault="0065060B" w:rsidP="00993790">
      <w:pPr>
        <w:spacing w:line="280" w:lineRule="atLeast"/>
        <w:rPr>
          <w:rFonts w:cs="Calibri"/>
        </w:rPr>
      </w:pPr>
      <w:r>
        <w:rPr>
          <w:rFonts w:ascii="Arial" w:hAnsi="Arial" w:cs="Arial"/>
          <w:b/>
          <w:bCs/>
          <w:sz w:val="24"/>
          <w:szCs w:val="24"/>
        </w:rPr>
        <w:t>Clause 1.18</w:t>
      </w:r>
      <w:r>
        <w:rPr>
          <w:rFonts w:ascii="Arial" w:hAnsi="Arial" w:cs="Arial"/>
          <w:b/>
          <w:bCs/>
          <w:sz w:val="24"/>
          <w:szCs w:val="24"/>
        </w:rPr>
        <w:tab/>
      </w:r>
      <w:r w:rsidRPr="0065060B">
        <w:rPr>
          <w:rFonts w:ascii="Arial" w:hAnsi="Arial" w:cs="Arial"/>
          <w:b/>
          <w:bCs/>
          <w:sz w:val="24"/>
          <w:szCs w:val="24"/>
        </w:rPr>
        <w:t>Section 33A (1) (b) and (c)</w:t>
      </w:r>
    </w:p>
    <w:p w14:paraId="56E1D53B" w14:textId="424C61AE" w:rsidR="0065060B" w:rsidRDefault="0065060B" w:rsidP="0065060B">
      <w:pPr>
        <w:spacing w:line="280" w:lineRule="atLeast"/>
        <w:rPr>
          <w:rFonts w:cs="Calibri"/>
        </w:rPr>
      </w:pPr>
      <w:r>
        <w:rPr>
          <w:rFonts w:cs="Calibri"/>
        </w:rPr>
        <w:t xml:space="preserve">This </w:t>
      </w:r>
      <w:r w:rsidR="00E84BB2">
        <w:rPr>
          <w:rFonts w:cs="Calibri"/>
        </w:rPr>
        <w:t>clause</w:t>
      </w:r>
      <w:r w:rsidR="0082587E">
        <w:rPr>
          <w:rFonts w:cs="Calibri"/>
        </w:rPr>
        <w:t xml:space="preserve"> </w:t>
      </w:r>
      <w:r w:rsidR="00C7082B">
        <w:rPr>
          <w:rFonts w:cs="Calibri"/>
        </w:rPr>
        <w:t>insert</w:t>
      </w:r>
      <w:r w:rsidR="00210458">
        <w:rPr>
          <w:rFonts w:cs="Calibri"/>
        </w:rPr>
        <w:t>s</w:t>
      </w:r>
      <w:r w:rsidR="00C7082B">
        <w:rPr>
          <w:rFonts w:cs="Calibri"/>
        </w:rPr>
        <w:t xml:space="preserve"> reference to the Gaming Act, </w:t>
      </w:r>
      <w:r>
        <w:rPr>
          <w:rFonts w:cs="Calibri"/>
        </w:rPr>
        <w:t xml:space="preserve">as a consequence of new section 67L </w:t>
      </w:r>
      <w:r w:rsidR="00745A21">
        <w:rPr>
          <w:rFonts w:cs="Calibri"/>
        </w:rPr>
        <w:t>in this Act</w:t>
      </w:r>
      <w:r>
        <w:rPr>
          <w:rFonts w:cs="Calibri"/>
        </w:rPr>
        <w:t xml:space="preserve">. </w:t>
      </w:r>
    </w:p>
    <w:p w14:paraId="402655CF" w14:textId="61E4F804" w:rsidR="005E30AC" w:rsidRPr="005E30AC" w:rsidRDefault="005E30AC" w:rsidP="00685868">
      <w:pPr>
        <w:spacing w:line="280" w:lineRule="atLeast"/>
        <w:rPr>
          <w:rFonts w:asciiTheme="minorHAnsi" w:hAnsiTheme="minorHAnsi" w:cstheme="minorHAnsi"/>
        </w:rPr>
      </w:pPr>
    </w:p>
    <w:p w14:paraId="42138C93" w14:textId="77777777" w:rsidR="00685868" w:rsidRDefault="00685868" w:rsidP="00992626">
      <w:pPr>
        <w:spacing w:line="280" w:lineRule="atLeast"/>
        <w:rPr>
          <w:rFonts w:cs="Calibri"/>
        </w:rPr>
      </w:pPr>
    </w:p>
    <w:p w14:paraId="0E4770A0" w14:textId="77777777" w:rsidR="00992626" w:rsidRPr="006B207C" w:rsidRDefault="00992626" w:rsidP="00E10431">
      <w:pPr>
        <w:spacing w:line="280" w:lineRule="atLeast"/>
        <w:rPr>
          <w:rFonts w:cs="Calibri"/>
        </w:rPr>
      </w:pPr>
    </w:p>
    <w:sectPr w:rsidR="00992626" w:rsidRPr="006B207C" w:rsidSect="001F25C8">
      <w:footerReference w:type="default" r:id="rId17"/>
      <w:footerReference w:type="first" r:id="rId18"/>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908D9" w14:textId="77777777" w:rsidR="00D9312C" w:rsidRDefault="00D9312C" w:rsidP="00E90DF9">
      <w:pPr>
        <w:spacing w:after="0" w:line="240" w:lineRule="auto"/>
      </w:pPr>
      <w:r>
        <w:separator/>
      </w:r>
    </w:p>
  </w:endnote>
  <w:endnote w:type="continuationSeparator" w:id="0">
    <w:p w14:paraId="21B4AF23" w14:textId="77777777" w:rsidR="00D9312C" w:rsidRDefault="00D9312C"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5ABA" w14:textId="77777777" w:rsidR="000064C7" w:rsidRDefault="000064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FD22" w14:textId="56096650" w:rsidR="004061DE" w:rsidRPr="000064C7" w:rsidRDefault="000064C7" w:rsidP="000064C7">
    <w:pPr>
      <w:pStyle w:val="Footer"/>
      <w:jc w:val="center"/>
      <w:rPr>
        <w:rFonts w:cs="Arial"/>
        <w:sz w:val="14"/>
      </w:rPr>
    </w:pPr>
    <w:r w:rsidRPr="000064C7">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rsidP="001F25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7831" w14:textId="77777777" w:rsidR="00E90DF9" w:rsidRDefault="00E90DF9" w:rsidP="001F25C8">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3971806F" w14:textId="471D0974" w:rsidR="00A1666F" w:rsidRPr="00A1666F" w:rsidRDefault="00A1666F" w:rsidP="00A1666F">
    <w:pPr>
      <w:pStyle w:val="Header"/>
      <w:jc w:val="center"/>
      <w:rPr>
        <w:b/>
        <w:bCs/>
        <w:color w:val="FF0000"/>
        <w:sz w:val="32"/>
        <w:szCs w:val="32"/>
      </w:rPr>
    </w:pPr>
  </w:p>
  <w:p w14:paraId="6E75D4CC" w14:textId="3D2946C0" w:rsidR="00A1666F" w:rsidRPr="000064C7" w:rsidRDefault="000064C7" w:rsidP="000064C7">
    <w:pPr>
      <w:pStyle w:val="Footer"/>
      <w:spacing w:before="60" w:line="240" w:lineRule="auto"/>
      <w:jc w:val="center"/>
      <w:rPr>
        <w:rFonts w:cs="Arial"/>
        <w:sz w:val="14"/>
      </w:rPr>
    </w:pPr>
    <w:r w:rsidRPr="000064C7">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18A35DDE" w14:textId="41A6F59C" w:rsidR="00A1666F" w:rsidRPr="000064C7" w:rsidRDefault="000064C7" w:rsidP="000064C7">
    <w:pPr>
      <w:pStyle w:val="Footer"/>
      <w:jc w:val="center"/>
      <w:rPr>
        <w:rFonts w:cs="Arial"/>
        <w:sz w:val="14"/>
      </w:rPr>
    </w:pPr>
    <w:r w:rsidRPr="000064C7">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F3E0" w14:textId="77777777" w:rsidR="00D9312C" w:rsidRDefault="00D9312C" w:rsidP="00E90DF9">
      <w:pPr>
        <w:spacing w:after="0" w:line="240" w:lineRule="auto"/>
      </w:pPr>
      <w:r>
        <w:separator/>
      </w:r>
    </w:p>
  </w:footnote>
  <w:footnote w:type="continuationSeparator" w:id="0">
    <w:p w14:paraId="6A01277D" w14:textId="77777777" w:rsidR="00D9312C" w:rsidRDefault="00D9312C" w:rsidP="00E90DF9">
      <w:pPr>
        <w:spacing w:after="0" w:line="240" w:lineRule="auto"/>
      </w:pPr>
      <w:r>
        <w:continuationSeparator/>
      </w:r>
    </w:p>
  </w:footnote>
  <w:footnote w:id="1">
    <w:p w14:paraId="4E69B095" w14:textId="77777777" w:rsidR="008D11FB" w:rsidRPr="00C377C0" w:rsidRDefault="008D11FB" w:rsidP="008D11FB">
      <w:pPr>
        <w:pStyle w:val="FootnoteText"/>
        <w:rPr>
          <w:rFonts w:asciiTheme="minorHAnsi" w:hAnsiTheme="minorHAnsi" w:cstheme="minorHAnsi"/>
          <w:sz w:val="16"/>
          <w:szCs w:val="16"/>
          <w:lang w:val="en-AU"/>
        </w:rPr>
      </w:pPr>
      <w:r w:rsidRPr="00C377C0">
        <w:rPr>
          <w:rStyle w:val="FootnoteReference"/>
          <w:rFonts w:asciiTheme="minorHAnsi" w:hAnsiTheme="minorHAnsi" w:cstheme="minorHAnsi"/>
          <w:sz w:val="16"/>
          <w:szCs w:val="16"/>
        </w:rPr>
        <w:footnoteRef/>
      </w:r>
      <w:r w:rsidRPr="00C377C0">
        <w:rPr>
          <w:rFonts w:asciiTheme="minorHAnsi" w:hAnsiTheme="minorHAnsi" w:cstheme="minorHAnsi"/>
          <w:sz w:val="16"/>
          <w:szCs w:val="16"/>
        </w:rPr>
        <w:t xml:space="preserve"> Productivity Commission. ‘Australia’s gambling industries’. (Inquiry Report, Canberra: Productivity Commission, 1999).</w:t>
      </w:r>
    </w:p>
  </w:footnote>
  <w:footnote w:id="2">
    <w:p w14:paraId="06B479BD" w14:textId="77777777" w:rsidR="008D11FB" w:rsidRPr="00C377C0" w:rsidRDefault="008D11FB" w:rsidP="008D11FB">
      <w:pPr>
        <w:pStyle w:val="FootnoteText"/>
        <w:rPr>
          <w:rFonts w:asciiTheme="minorHAnsi" w:hAnsiTheme="minorHAnsi" w:cstheme="minorHAnsi"/>
          <w:sz w:val="16"/>
          <w:szCs w:val="16"/>
        </w:rPr>
      </w:pPr>
      <w:r w:rsidRPr="00C377C0">
        <w:rPr>
          <w:rStyle w:val="FootnoteReference"/>
          <w:rFonts w:asciiTheme="minorHAnsi" w:hAnsiTheme="minorHAnsi" w:cstheme="minorHAnsi"/>
          <w:sz w:val="16"/>
          <w:szCs w:val="16"/>
        </w:rPr>
        <w:footnoteRef/>
      </w:r>
      <w:r w:rsidRPr="00C377C0">
        <w:rPr>
          <w:rFonts w:asciiTheme="minorHAnsi" w:hAnsiTheme="minorHAnsi" w:cstheme="minorHAnsi"/>
          <w:sz w:val="16"/>
          <w:szCs w:val="16"/>
        </w:rPr>
        <w:t xml:space="preserve"> Rockloff, M et al. (2025). 2024 ACT Gambling Survey. Experimental Gambling Research Laboratory, </w:t>
      </w:r>
      <w:r w:rsidRPr="00C377C0">
        <w:rPr>
          <w:rFonts w:asciiTheme="minorHAnsi" w:hAnsiTheme="minorHAnsi" w:cstheme="minorHAnsi"/>
          <w:sz w:val="16"/>
          <w:szCs w:val="16"/>
        </w:rPr>
        <w:t>CQUniversity Australia.</w:t>
      </w:r>
    </w:p>
  </w:footnote>
  <w:footnote w:id="3">
    <w:p w14:paraId="54AEEF85" w14:textId="77777777" w:rsidR="008D11FB" w:rsidRPr="00EB1EDD" w:rsidRDefault="008D11FB" w:rsidP="008D11FB">
      <w:pPr>
        <w:pStyle w:val="FootnoteText"/>
        <w:rPr>
          <w:sz w:val="16"/>
          <w:szCs w:val="16"/>
        </w:rPr>
      </w:pPr>
      <w:r w:rsidRPr="00C377C0">
        <w:rPr>
          <w:rStyle w:val="FootnoteReference"/>
          <w:rFonts w:asciiTheme="minorHAnsi" w:hAnsiTheme="minorHAnsi" w:cstheme="minorHAnsi"/>
          <w:sz w:val="16"/>
          <w:szCs w:val="16"/>
        </w:rPr>
        <w:footnoteRef/>
      </w:r>
      <w:r w:rsidRPr="00C377C0">
        <w:rPr>
          <w:rFonts w:asciiTheme="minorHAnsi" w:hAnsiTheme="minorHAnsi" w:cstheme="minorHAnsi"/>
          <w:sz w:val="16"/>
          <w:szCs w:val="16"/>
        </w:rPr>
        <w:t xml:space="preserve"> Russell, A. M. T et al. ‘Electronic gaming machine accessibility and gambling problems: A natural policy experiment’ (2023), 12, 3, Journal of Behavioural Addictions.</w:t>
      </w:r>
    </w:p>
  </w:footnote>
  <w:footnote w:id="4">
    <w:p w14:paraId="7FE36AF2" w14:textId="64E574C1" w:rsidR="00546820" w:rsidRPr="00531776" w:rsidRDefault="00546820">
      <w:pPr>
        <w:pStyle w:val="FootnoteText"/>
        <w:rPr>
          <w:rFonts w:asciiTheme="minorHAnsi" w:hAnsiTheme="minorHAnsi" w:cstheme="minorHAnsi"/>
          <w:lang w:val="en-AU"/>
        </w:rPr>
      </w:pPr>
      <w:r w:rsidRPr="00531776">
        <w:rPr>
          <w:rStyle w:val="FootnoteReference"/>
          <w:rFonts w:asciiTheme="minorHAnsi" w:hAnsiTheme="minorHAnsi" w:cstheme="minorHAnsi"/>
          <w:sz w:val="16"/>
          <w:szCs w:val="16"/>
        </w:rPr>
        <w:footnoteRef/>
      </w:r>
      <w:r w:rsidRPr="00531776">
        <w:rPr>
          <w:rFonts w:asciiTheme="minorHAnsi" w:hAnsiTheme="minorHAnsi" w:cstheme="minorHAnsi"/>
          <w:sz w:val="16"/>
          <w:szCs w:val="16"/>
        </w:rPr>
        <w:t xml:space="preserve"> </w:t>
      </w:r>
      <w:r w:rsidRPr="00531776">
        <w:rPr>
          <w:rFonts w:asciiTheme="minorHAnsi" w:hAnsiTheme="minorHAnsi" w:cstheme="minorHAnsi"/>
          <w:sz w:val="16"/>
          <w:szCs w:val="16"/>
          <w:lang w:val="en-AU"/>
        </w:rPr>
        <w:t>Ó Ceallaigh, D., Timmons, S., Robertson, D. A., &amp; Lunn, P. D. (2026). Childhood gambling experiences and adult problem gambling. </w:t>
      </w:r>
      <w:r w:rsidRPr="00531776">
        <w:rPr>
          <w:rFonts w:asciiTheme="minorHAnsi" w:hAnsiTheme="minorHAnsi" w:cstheme="minorHAnsi"/>
          <w:i/>
          <w:iCs/>
          <w:sz w:val="16"/>
          <w:szCs w:val="16"/>
          <w:lang w:val="en-AU"/>
        </w:rPr>
        <w:t>International Gambling Studies</w:t>
      </w:r>
      <w:r w:rsidRPr="00531776">
        <w:rPr>
          <w:rFonts w:asciiTheme="minorHAnsi" w:hAnsiTheme="minorHAnsi" w:cstheme="minorHAnsi"/>
          <w:sz w:val="16"/>
          <w:szCs w:val="16"/>
          <w:lang w:val="en-AU"/>
        </w:rPr>
        <w:t>, </w:t>
      </w:r>
      <w:r w:rsidRPr="00531776">
        <w:rPr>
          <w:rFonts w:asciiTheme="minorHAnsi" w:hAnsiTheme="minorHAnsi" w:cstheme="minorHAnsi"/>
          <w:i/>
          <w:iCs/>
          <w:sz w:val="16"/>
          <w:szCs w:val="16"/>
          <w:lang w:val="en-AU"/>
        </w:rPr>
        <w:t>26</w:t>
      </w:r>
      <w:r w:rsidRPr="00531776">
        <w:rPr>
          <w:rFonts w:asciiTheme="minorHAnsi" w:hAnsiTheme="minorHAnsi" w:cstheme="minorHAnsi"/>
          <w:sz w:val="16"/>
          <w:szCs w:val="16"/>
          <w:lang w:val="en-AU"/>
        </w:rPr>
        <w:t>(1), 91–108. https://doi.org/10.1080/14459795.2025.2591411</w:t>
      </w:r>
    </w:p>
  </w:footnote>
  <w:footnote w:id="5">
    <w:p w14:paraId="5CDFB943" w14:textId="6F5D9A92" w:rsidR="00546820" w:rsidRPr="00531776" w:rsidRDefault="00546820">
      <w:pPr>
        <w:pStyle w:val="FootnoteText"/>
        <w:rPr>
          <w:rFonts w:asciiTheme="minorHAnsi" w:hAnsiTheme="minorHAnsi" w:cstheme="minorHAnsi"/>
          <w:lang w:val="en-AU"/>
        </w:rPr>
      </w:pPr>
      <w:r w:rsidRPr="00531776">
        <w:rPr>
          <w:rStyle w:val="FootnoteReference"/>
          <w:rFonts w:asciiTheme="minorHAnsi" w:hAnsiTheme="minorHAnsi" w:cstheme="minorHAnsi"/>
          <w:sz w:val="16"/>
          <w:szCs w:val="16"/>
        </w:rPr>
        <w:footnoteRef/>
      </w:r>
      <w:r w:rsidRPr="00531776">
        <w:rPr>
          <w:rFonts w:asciiTheme="minorHAnsi" w:hAnsiTheme="minorHAnsi" w:cstheme="minorHAnsi"/>
          <w:sz w:val="16"/>
          <w:szCs w:val="16"/>
        </w:rPr>
        <w:t xml:space="preserve"> </w:t>
      </w:r>
      <w:r w:rsidRPr="00531776">
        <w:rPr>
          <w:rFonts w:asciiTheme="minorHAnsi" w:hAnsiTheme="minorHAnsi" w:cstheme="minorHAnsi"/>
          <w:sz w:val="16"/>
          <w:szCs w:val="16"/>
          <w:lang w:val="en-AU"/>
        </w:rPr>
        <w:t>Pérez, L. Too Young to Gamble: Long-term Risks from Underage Gambling. </w:t>
      </w:r>
      <w:r w:rsidRPr="00531776">
        <w:rPr>
          <w:rFonts w:asciiTheme="minorHAnsi" w:hAnsiTheme="minorHAnsi" w:cstheme="minorHAnsi"/>
          <w:i/>
          <w:iCs/>
          <w:sz w:val="16"/>
          <w:szCs w:val="16"/>
          <w:lang w:val="en-AU"/>
        </w:rPr>
        <w:t xml:space="preserve">J </w:t>
      </w:r>
      <w:r w:rsidRPr="00531776">
        <w:rPr>
          <w:rFonts w:asciiTheme="minorHAnsi" w:hAnsiTheme="minorHAnsi" w:cstheme="minorHAnsi"/>
          <w:i/>
          <w:iCs/>
          <w:sz w:val="16"/>
          <w:szCs w:val="16"/>
          <w:lang w:val="en-AU"/>
        </w:rPr>
        <w:t>Gambl Stud</w:t>
      </w:r>
      <w:r w:rsidRPr="00531776">
        <w:rPr>
          <w:rFonts w:asciiTheme="minorHAnsi" w:hAnsiTheme="minorHAnsi" w:cstheme="minorHAnsi"/>
          <w:sz w:val="16"/>
          <w:szCs w:val="16"/>
          <w:lang w:val="en-AU"/>
        </w:rPr>
        <w:t> </w:t>
      </w:r>
      <w:r w:rsidRPr="00531776">
        <w:rPr>
          <w:rFonts w:asciiTheme="minorHAnsi" w:hAnsiTheme="minorHAnsi" w:cstheme="minorHAnsi"/>
          <w:b/>
          <w:bCs/>
          <w:sz w:val="16"/>
          <w:szCs w:val="16"/>
          <w:lang w:val="en-AU"/>
        </w:rPr>
        <w:t>40</w:t>
      </w:r>
      <w:r w:rsidRPr="00531776">
        <w:rPr>
          <w:rFonts w:asciiTheme="minorHAnsi" w:hAnsiTheme="minorHAnsi" w:cstheme="minorHAnsi"/>
          <w:sz w:val="16"/>
          <w:szCs w:val="16"/>
          <w:lang w:val="en-AU"/>
        </w:rPr>
        <w:t>, 1575–1584 (2024). https://doi.org/10.1007/s10899-024-10319-1</w:t>
      </w:r>
    </w:p>
  </w:footnote>
  <w:footnote w:id="6">
    <w:p w14:paraId="443EBAAB" w14:textId="6BAE0F4A" w:rsidR="00DC0D12" w:rsidRPr="00531776" w:rsidRDefault="00DC0D12">
      <w:pPr>
        <w:pStyle w:val="FootnoteText"/>
        <w:rPr>
          <w:rFonts w:ascii="Calibri" w:hAnsi="Calibri" w:cs="Calibri"/>
          <w:lang w:val="en-AU"/>
        </w:rPr>
      </w:pPr>
      <w:r w:rsidRPr="00531776">
        <w:rPr>
          <w:rStyle w:val="FootnoteReference"/>
          <w:rFonts w:ascii="Calibri" w:hAnsi="Calibri" w:cs="Calibri"/>
          <w:sz w:val="16"/>
          <w:szCs w:val="16"/>
        </w:rPr>
        <w:footnoteRef/>
      </w:r>
      <w:r w:rsidRPr="00531776">
        <w:rPr>
          <w:rFonts w:ascii="Calibri" w:hAnsi="Calibri" w:cs="Calibri"/>
          <w:sz w:val="16"/>
          <w:szCs w:val="16"/>
        </w:rPr>
        <w:t xml:space="preserve"> https://aifs.gov.au/media/gambling-activity-among-australian-teenagers</w:t>
      </w:r>
    </w:p>
  </w:footnote>
  <w:footnote w:id="7">
    <w:p w14:paraId="618AF649" w14:textId="474861A0" w:rsidR="00F1314E" w:rsidRPr="00A56623" w:rsidRDefault="00F1314E" w:rsidP="00F1314E">
      <w:pPr>
        <w:pStyle w:val="FootnoteText"/>
        <w:rPr>
          <w:rFonts w:asciiTheme="minorHAnsi" w:hAnsiTheme="minorHAnsi" w:cstheme="minorHAnsi"/>
          <w:sz w:val="16"/>
          <w:szCs w:val="16"/>
        </w:rPr>
      </w:pPr>
      <w:r w:rsidRPr="00A56623">
        <w:rPr>
          <w:rStyle w:val="FootnoteReference"/>
          <w:rFonts w:asciiTheme="minorHAnsi" w:hAnsiTheme="minorHAnsi" w:cstheme="minorHAnsi"/>
          <w:sz w:val="16"/>
          <w:szCs w:val="16"/>
        </w:rPr>
        <w:footnoteRef/>
      </w:r>
      <w:r w:rsidRPr="00A56623">
        <w:rPr>
          <w:rFonts w:asciiTheme="minorHAnsi" w:hAnsiTheme="minorHAnsi" w:cstheme="minorHAnsi"/>
          <w:sz w:val="16"/>
          <w:szCs w:val="16"/>
        </w:rPr>
        <w:t xml:space="preserve"> Thomas et al, ‘Review of electronic gaming machine pre-commitment features: Limit-setting’ (Research Report, Australian Gambling Research Centre, 2016). </w:t>
      </w:r>
    </w:p>
  </w:footnote>
  <w:footnote w:id="8">
    <w:p w14:paraId="03243CCC" w14:textId="77777777" w:rsidR="00427606" w:rsidRPr="00C76EF2" w:rsidRDefault="00427606" w:rsidP="00427606">
      <w:pPr>
        <w:pStyle w:val="FootnoteText"/>
        <w:rPr>
          <w:rFonts w:ascii="Calibri" w:hAnsi="Calibri" w:cs="Calibri"/>
          <w:lang w:val="en-AU"/>
        </w:rPr>
      </w:pPr>
      <w:r w:rsidRPr="00C76EF2">
        <w:rPr>
          <w:rStyle w:val="FootnoteReference"/>
          <w:rFonts w:ascii="Calibri" w:hAnsi="Calibri" w:cs="Calibri"/>
          <w:sz w:val="16"/>
          <w:szCs w:val="16"/>
        </w:rPr>
        <w:footnoteRef/>
      </w:r>
      <w:r w:rsidRPr="00C76EF2">
        <w:rPr>
          <w:rFonts w:ascii="Calibri" w:hAnsi="Calibri" w:cs="Calibri"/>
          <w:sz w:val="16"/>
          <w:szCs w:val="16"/>
        </w:rPr>
        <w:t xml:space="preserve"> </w:t>
      </w:r>
      <w:r w:rsidRPr="00C76EF2">
        <w:rPr>
          <w:rFonts w:ascii="Calibri" w:hAnsi="Calibri" w:cs="Calibri"/>
          <w:sz w:val="16"/>
          <w:szCs w:val="16"/>
          <w:lang w:val="en-AU"/>
        </w:rPr>
        <w:t xml:space="preserve">Braverman J, Tom MA, Shaffer HJ. Accuracy of self-reported versus actual online gambling wins and losses. Psychol Assess. 2014 Sep;26(3):865-77. </w:t>
      </w:r>
      <w:r w:rsidRPr="00C76EF2">
        <w:rPr>
          <w:rFonts w:ascii="Calibri" w:hAnsi="Calibri" w:cs="Calibri"/>
          <w:sz w:val="16"/>
          <w:szCs w:val="16"/>
          <w:lang w:val="en-AU"/>
        </w:rPr>
        <w:t>doi: 10.1037/a0036428. Epub 2014 Apr 7. PMID: 24708074.</w:t>
      </w:r>
    </w:p>
  </w:footnote>
  <w:footnote w:id="9">
    <w:p w14:paraId="2A0F2E9C" w14:textId="77777777" w:rsidR="004D53C4" w:rsidRPr="00A80D2A" w:rsidRDefault="004D53C4" w:rsidP="004D53C4">
      <w:pPr>
        <w:pStyle w:val="FootnoteText"/>
        <w:rPr>
          <w:rFonts w:asciiTheme="minorHAnsi" w:hAnsiTheme="minorHAnsi" w:cstheme="minorHAnsi"/>
          <w:sz w:val="16"/>
          <w:szCs w:val="16"/>
        </w:rPr>
      </w:pPr>
      <w:r w:rsidRPr="00A80D2A">
        <w:rPr>
          <w:rStyle w:val="FootnoteReference"/>
          <w:rFonts w:asciiTheme="minorHAnsi" w:hAnsiTheme="minorHAnsi" w:cstheme="minorHAnsi"/>
          <w:sz w:val="16"/>
          <w:szCs w:val="16"/>
        </w:rPr>
        <w:footnoteRef/>
      </w:r>
      <w:r w:rsidRPr="00A80D2A">
        <w:rPr>
          <w:rFonts w:asciiTheme="minorHAnsi" w:hAnsiTheme="minorHAnsi" w:cstheme="minorHAnsi"/>
          <w:sz w:val="16"/>
          <w:szCs w:val="16"/>
        </w:rPr>
        <w:t xml:space="preserve"> Sally M Gainsbury, </w:t>
      </w:r>
      <w:r w:rsidRPr="00A80D2A">
        <w:rPr>
          <w:rFonts w:asciiTheme="minorHAnsi" w:hAnsiTheme="minorHAnsi" w:cstheme="minorHAnsi"/>
          <w:sz w:val="16"/>
          <w:szCs w:val="16"/>
        </w:rPr>
        <w:t xml:space="preserve">Dilushi Chandrakumar and Robert M Heirene, ‘Use and impact of government-mandated activity statements for online gambling in Australia’, </w:t>
      </w:r>
      <w:r w:rsidRPr="00A80D2A">
        <w:rPr>
          <w:rFonts w:asciiTheme="minorHAnsi" w:hAnsiTheme="minorHAnsi" w:cstheme="minorHAnsi"/>
          <w:i/>
          <w:sz w:val="16"/>
          <w:szCs w:val="16"/>
        </w:rPr>
        <w:t xml:space="preserve">Harm Reduction Journal </w:t>
      </w:r>
      <w:r w:rsidRPr="00A80D2A">
        <w:rPr>
          <w:rFonts w:asciiTheme="minorHAnsi" w:hAnsiTheme="minorHAnsi" w:cstheme="minorHAnsi"/>
          <w:sz w:val="16"/>
          <w:szCs w:val="16"/>
        </w:rPr>
        <w:t xml:space="preserve">22, 44 (2025), 10. </w:t>
      </w:r>
    </w:p>
  </w:footnote>
  <w:footnote w:id="10">
    <w:p w14:paraId="237BE20D" w14:textId="77777777" w:rsidR="004D53C4" w:rsidRPr="00A80D2A" w:rsidRDefault="004D53C4" w:rsidP="004D53C4">
      <w:pPr>
        <w:pStyle w:val="FootnoteText"/>
        <w:rPr>
          <w:rFonts w:asciiTheme="minorHAnsi" w:hAnsiTheme="minorHAnsi" w:cstheme="minorHAnsi"/>
          <w:sz w:val="16"/>
          <w:szCs w:val="16"/>
        </w:rPr>
      </w:pPr>
      <w:r w:rsidRPr="00A80D2A">
        <w:rPr>
          <w:rStyle w:val="FootnoteReference"/>
          <w:rFonts w:asciiTheme="minorHAnsi" w:hAnsiTheme="minorHAnsi" w:cstheme="minorHAnsi"/>
          <w:sz w:val="16"/>
          <w:szCs w:val="16"/>
        </w:rPr>
        <w:footnoteRef/>
      </w:r>
      <w:r w:rsidRPr="00A80D2A">
        <w:rPr>
          <w:rFonts w:asciiTheme="minorHAnsi" w:hAnsiTheme="minorHAnsi" w:cstheme="minorHAnsi"/>
          <w:sz w:val="16"/>
          <w:szCs w:val="16"/>
        </w:rPr>
        <w:t xml:space="preserve"> Ibid.</w:t>
      </w:r>
    </w:p>
  </w:footnote>
  <w:footnote w:id="11">
    <w:p w14:paraId="629BDC38" w14:textId="77777777" w:rsidR="004D53C4" w:rsidRPr="00A80D2A" w:rsidRDefault="004D53C4" w:rsidP="004D53C4">
      <w:pPr>
        <w:pStyle w:val="FootnoteText"/>
        <w:rPr>
          <w:rFonts w:asciiTheme="minorHAnsi" w:hAnsiTheme="minorHAnsi" w:cstheme="minorHAnsi"/>
        </w:rPr>
      </w:pPr>
      <w:r w:rsidRPr="00A80D2A">
        <w:rPr>
          <w:rStyle w:val="FootnoteReference"/>
          <w:rFonts w:asciiTheme="minorHAnsi" w:hAnsiTheme="minorHAnsi" w:cstheme="minorHAnsi"/>
          <w:sz w:val="16"/>
          <w:szCs w:val="16"/>
        </w:rPr>
        <w:footnoteRef/>
      </w:r>
      <w:r w:rsidRPr="00A80D2A">
        <w:rPr>
          <w:rFonts w:asciiTheme="minorHAnsi" w:hAnsiTheme="minorHAnsi" w:cstheme="minorHAnsi"/>
          <w:sz w:val="16"/>
          <w:szCs w:val="16"/>
        </w:rPr>
        <w:t xml:space="preserve"> Ibid.</w:t>
      </w:r>
    </w:p>
  </w:footnote>
  <w:footnote w:id="12">
    <w:p w14:paraId="105C45D6" w14:textId="77777777" w:rsidR="004D53C4" w:rsidRPr="00A80D2A" w:rsidRDefault="004D53C4" w:rsidP="004D53C4">
      <w:pPr>
        <w:pStyle w:val="FootnoteText"/>
        <w:rPr>
          <w:rFonts w:asciiTheme="minorHAnsi" w:hAnsiTheme="minorHAnsi" w:cstheme="minorHAnsi"/>
          <w:sz w:val="16"/>
          <w:szCs w:val="16"/>
        </w:rPr>
      </w:pPr>
      <w:r w:rsidRPr="00A80D2A">
        <w:rPr>
          <w:rStyle w:val="FootnoteReference"/>
          <w:rFonts w:asciiTheme="minorHAnsi" w:hAnsiTheme="minorHAnsi" w:cstheme="minorHAnsi"/>
          <w:sz w:val="16"/>
          <w:szCs w:val="16"/>
        </w:rPr>
        <w:footnoteRef/>
      </w:r>
      <w:r w:rsidRPr="00A80D2A">
        <w:rPr>
          <w:rFonts w:asciiTheme="minorHAnsi" w:hAnsiTheme="minorHAnsi" w:cstheme="minorHAnsi"/>
          <w:sz w:val="16"/>
          <w:szCs w:val="16"/>
        </w:rPr>
        <w:t xml:space="preserve"> Ibid.</w:t>
      </w:r>
    </w:p>
  </w:footnote>
  <w:footnote w:id="13">
    <w:p w14:paraId="3EEFCF06" w14:textId="77777777" w:rsidR="004D53C4" w:rsidRPr="00A80D2A" w:rsidRDefault="004D53C4" w:rsidP="004D53C4">
      <w:pPr>
        <w:pStyle w:val="FootnoteText"/>
        <w:rPr>
          <w:rFonts w:asciiTheme="minorHAnsi" w:hAnsiTheme="minorHAnsi" w:cstheme="minorHAnsi"/>
        </w:rPr>
      </w:pPr>
      <w:r w:rsidRPr="00A80D2A">
        <w:rPr>
          <w:rStyle w:val="FootnoteReference"/>
          <w:rFonts w:asciiTheme="minorHAnsi" w:hAnsiTheme="minorHAnsi" w:cstheme="minorHAnsi"/>
          <w:sz w:val="16"/>
          <w:szCs w:val="16"/>
        </w:rPr>
        <w:footnoteRef/>
      </w:r>
      <w:r w:rsidRPr="00A80D2A">
        <w:rPr>
          <w:rFonts w:asciiTheme="minorHAnsi" w:hAnsiTheme="minorHAnsi" w:cstheme="minorHAnsi"/>
          <w:sz w:val="16"/>
          <w:szCs w:val="16"/>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65738" w14:textId="77777777" w:rsidR="000064C7" w:rsidRDefault="00006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48FC" w14:textId="33B48123" w:rsidR="004061DE" w:rsidRPr="00A1666F" w:rsidRDefault="004061DE" w:rsidP="00A1666F">
    <w:pPr>
      <w:pStyle w:val="Header"/>
      <w:jc w:val="center"/>
      <w:rPr>
        <w:b/>
        <w:bCs/>
        <w:color w:val="FF0000"/>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36EB" w14:textId="77777777" w:rsidR="004061DE" w:rsidRDefault="004061DE" w:rsidP="00A1666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9F0"/>
    <w:multiLevelType w:val="hybridMultilevel"/>
    <w:tmpl w:val="5DDC4DAC"/>
    <w:lvl w:ilvl="0" w:tplc="D6365236">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4D3CED"/>
    <w:multiLevelType w:val="multilevel"/>
    <w:tmpl w:val="ADFAD46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start w:val="1"/>
      <w:numFmt w:val="lowerLetter"/>
      <w:lvlText w:val="(%3)"/>
      <w:lvlJc w:val="left"/>
      <w:pPr>
        <w:ind w:left="1778"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834DBF"/>
    <w:multiLevelType w:val="hybridMultilevel"/>
    <w:tmpl w:val="ACCA6364"/>
    <w:lvl w:ilvl="0" w:tplc="D6365236">
      <w:start w:val="1"/>
      <w:numFmt w:val="lowerLetter"/>
      <w:lvlText w:val="(%1)"/>
      <w:lvlJc w:val="left"/>
      <w:pPr>
        <w:ind w:left="1777" w:hanging="36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3"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A242E25"/>
    <w:multiLevelType w:val="hybridMultilevel"/>
    <w:tmpl w:val="059A52DE"/>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0BDC2D24"/>
    <w:multiLevelType w:val="hybridMultilevel"/>
    <w:tmpl w:val="0240B884"/>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0D6C2C07"/>
    <w:multiLevelType w:val="hybridMultilevel"/>
    <w:tmpl w:val="80F6EE24"/>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 w15:restartNumberingAfterBreak="0">
    <w:nsid w:val="0D7E4CDF"/>
    <w:multiLevelType w:val="hybridMultilevel"/>
    <w:tmpl w:val="A2CACC7E"/>
    <w:lvl w:ilvl="0" w:tplc="9BEC3DCA">
      <w:start w:val="1"/>
      <w:numFmt w:val="decimal"/>
      <w:lvlText w:val="%1."/>
      <w:lvlJc w:val="left"/>
      <w:pPr>
        <w:ind w:left="360" w:hanging="360"/>
      </w:pPr>
      <w:rPr>
        <w:b/>
        <w:bCs/>
        <w:i/>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366716D"/>
    <w:multiLevelType w:val="hybridMultilevel"/>
    <w:tmpl w:val="64848A44"/>
    <w:lvl w:ilvl="0" w:tplc="5D62EAF6">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52B4ED3"/>
    <w:multiLevelType w:val="hybridMultilevel"/>
    <w:tmpl w:val="663EBE58"/>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10" w15:restartNumberingAfterBreak="0">
    <w:nsid w:val="18867CA9"/>
    <w:multiLevelType w:val="multilevel"/>
    <w:tmpl w:val="CB1C9784"/>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1BBA64A0"/>
    <w:multiLevelType w:val="hybridMultilevel"/>
    <w:tmpl w:val="18DAB3DC"/>
    <w:lvl w:ilvl="0" w:tplc="78CED95A">
      <w:start w:val="1"/>
      <w:numFmt w:val="bullet"/>
      <w:lvlText w:val=""/>
      <w:lvlJc w:val="left"/>
      <w:pPr>
        <w:ind w:left="1320" w:hanging="360"/>
      </w:pPr>
      <w:rPr>
        <w:rFonts w:ascii="Symbol" w:hAnsi="Symbol"/>
      </w:rPr>
    </w:lvl>
    <w:lvl w:ilvl="1" w:tplc="CB2CFB74">
      <w:start w:val="1"/>
      <w:numFmt w:val="bullet"/>
      <w:lvlText w:val=""/>
      <w:lvlJc w:val="left"/>
      <w:pPr>
        <w:ind w:left="1320" w:hanging="360"/>
      </w:pPr>
      <w:rPr>
        <w:rFonts w:ascii="Symbol" w:hAnsi="Symbol"/>
      </w:rPr>
    </w:lvl>
    <w:lvl w:ilvl="2" w:tplc="58C016A8">
      <w:start w:val="1"/>
      <w:numFmt w:val="bullet"/>
      <w:lvlText w:val=""/>
      <w:lvlJc w:val="left"/>
      <w:pPr>
        <w:ind w:left="1320" w:hanging="360"/>
      </w:pPr>
      <w:rPr>
        <w:rFonts w:ascii="Symbol" w:hAnsi="Symbol"/>
      </w:rPr>
    </w:lvl>
    <w:lvl w:ilvl="3" w:tplc="B112A920">
      <w:start w:val="1"/>
      <w:numFmt w:val="bullet"/>
      <w:lvlText w:val=""/>
      <w:lvlJc w:val="left"/>
      <w:pPr>
        <w:ind w:left="1320" w:hanging="360"/>
      </w:pPr>
      <w:rPr>
        <w:rFonts w:ascii="Symbol" w:hAnsi="Symbol"/>
      </w:rPr>
    </w:lvl>
    <w:lvl w:ilvl="4" w:tplc="C7105C82">
      <w:start w:val="1"/>
      <w:numFmt w:val="bullet"/>
      <w:lvlText w:val=""/>
      <w:lvlJc w:val="left"/>
      <w:pPr>
        <w:ind w:left="1320" w:hanging="360"/>
      </w:pPr>
      <w:rPr>
        <w:rFonts w:ascii="Symbol" w:hAnsi="Symbol"/>
      </w:rPr>
    </w:lvl>
    <w:lvl w:ilvl="5" w:tplc="7146EA2E">
      <w:start w:val="1"/>
      <w:numFmt w:val="bullet"/>
      <w:lvlText w:val=""/>
      <w:lvlJc w:val="left"/>
      <w:pPr>
        <w:ind w:left="1320" w:hanging="360"/>
      </w:pPr>
      <w:rPr>
        <w:rFonts w:ascii="Symbol" w:hAnsi="Symbol"/>
      </w:rPr>
    </w:lvl>
    <w:lvl w:ilvl="6" w:tplc="68168E40">
      <w:start w:val="1"/>
      <w:numFmt w:val="bullet"/>
      <w:lvlText w:val=""/>
      <w:lvlJc w:val="left"/>
      <w:pPr>
        <w:ind w:left="1320" w:hanging="360"/>
      </w:pPr>
      <w:rPr>
        <w:rFonts w:ascii="Symbol" w:hAnsi="Symbol"/>
      </w:rPr>
    </w:lvl>
    <w:lvl w:ilvl="7" w:tplc="AF46ABEE">
      <w:start w:val="1"/>
      <w:numFmt w:val="bullet"/>
      <w:lvlText w:val=""/>
      <w:lvlJc w:val="left"/>
      <w:pPr>
        <w:ind w:left="1320" w:hanging="360"/>
      </w:pPr>
      <w:rPr>
        <w:rFonts w:ascii="Symbol" w:hAnsi="Symbol"/>
      </w:rPr>
    </w:lvl>
    <w:lvl w:ilvl="8" w:tplc="37E6C784">
      <w:start w:val="1"/>
      <w:numFmt w:val="bullet"/>
      <w:lvlText w:val=""/>
      <w:lvlJc w:val="left"/>
      <w:pPr>
        <w:ind w:left="1320" w:hanging="360"/>
      </w:pPr>
      <w:rPr>
        <w:rFonts w:ascii="Symbol" w:hAnsi="Symbol"/>
      </w:rPr>
    </w:lvl>
  </w:abstractNum>
  <w:abstractNum w:abstractNumId="12" w15:restartNumberingAfterBreak="0">
    <w:nsid w:val="1C0517B6"/>
    <w:multiLevelType w:val="hybridMultilevel"/>
    <w:tmpl w:val="BE985CBC"/>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13" w15:restartNumberingAfterBreak="0">
    <w:nsid w:val="1DBC65D7"/>
    <w:multiLevelType w:val="hybridMultilevel"/>
    <w:tmpl w:val="470AC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073FF4"/>
    <w:multiLevelType w:val="hybridMultilevel"/>
    <w:tmpl w:val="843A0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21799A"/>
    <w:multiLevelType w:val="hybridMultilevel"/>
    <w:tmpl w:val="C6EE17A4"/>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16" w15:restartNumberingAfterBreak="0">
    <w:nsid w:val="24795C2E"/>
    <w:multiLevelType w:val="hybridMultilevel"/>
    <w:tmpl w:val="0F0CA6B8"/>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7" w15:restartNumberingAfterBreak="0">
    <w:nsid w:val="247F52E0"/>
    <w:multiLevelType w:val="hybridMultilevel"/>
    <w:tmpl w:val="2362B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C76BA4"/>
    <w:multiLevelType w:val="hybridMultilevel"/>
    <w:tmpl w:val="8A626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D4A3198"/>
    <w:multiLevelType w:val="hybridMultilevel"/>
    <w:tmpl w:val="BB702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60142B"/>
    <w:multiLevelType w:val="hybridMultilevel"/>
    <w:tmpl w:val="D4460BC4"/>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21" w15:restartNumberingAfterBreak="0">
    <w:nsid w:val="32A80A2F"/>
    <w:multiLevelType w:val="hybridMultilevel"/>
    <w:tmpl w:val="9E00CEEA"/>
    <w:lvl w:ilvl="0" w:tplc="70F4DE8C">
      <w:start w:val="1"/>
      <w:numFmt w:val="bullet"/>
      <w:lvlText w:val=""/>
      <w:lvlJc w:val="left"/>
      <w:pPr>
        <w:ind w:left="720" w:hanging="360"/>
      </w:pPr>
      <w:rPr>
        <w:rFonts w:ascii="Symbol" w:hAnsi="Symbol"/>
      </w:rPr>
    </w:lvl>
    <w:lvl w:ilvl="1" w:tplc="2548AEB8">
      <w:start w:val="1"/>
      <w:numFmt w:val="bullet"/>
      <w:lvlText w:val=""/>
      <w:lvlJc w:val="left"/>
      <w:pPr>
        <w:ind w:left="720" w:hanging="360"/>
      </w:pPr>
      <w:rPr>
        <w:rFonts w:ascii="Symbol" w:hAnsi="Symbol"/>
      </w:rPr>
    </w:lvl>
    <w:lvl w:ilvl="2" w:tplc="4BD45ECC">
      <w:start w:val="1"/>
      <w:numFmt w:val="bullet"/>
      <w:lvlText w:val=""/>
      <w:lvlJc w:val="left"/>
      <w:pPr>
        <w:ind w:left="720" w:hanging="360"/>
      </w:pPr>
      <w:rPr>
        <w:rFonts w:ascii="Symbol" w:hAnsi="Symbol"/>
      </w:rPr>
    </w:lvl>
    <w:lvl w:ilvl="3" w:tplc="32B46E84">
      <w:start w:val="1"/>
      <w:numFmt w:val="bullet"/>
      <w:lvlText w:val=""/>
      <w:lvlJc w:val="left"/>
      <w:pPr>
        <w:ind w:left="720" w:hanging="360"/>
      </w:pPr>
      <w:rPr>
        <w:rFonts w:ascii="Symbol" w:hAnsi="Symbol"/>
      </w:rPr>
    </w:lvl>
    <w:lvl w:ilvl="4" w:tplc="2AD44E8E">
      <w:start w:val="1"/>
      <w:numFmt w:val="bullet"/>
      <w:lvlText w:val=""/>
      <w:lvlJc w:val="left"/>
      <w:pPr>
        <w:ind w:left="720" w:hanging="360"/>
      </w:pPr>
      <w:rPr>
        <w:rFonts w:ascii="Symbol" w:hAnsi="Symbol"/>
      </w:rPr>
    </w:lvl>
    <w:lvl w:ilvl="5" w:tplc="F1C8431A">
      <w:start w:val="1"/>
      <w:numFmt w:val="bullet"/>
      <w:lvlText w:val=""/>
      <w:lvlJc w:val="left"/>
      <w:pPr>
        <w:ind w:left="720" w:hanging="360"/>
      </w:pPr>
      <w:rPr>
        <w:rFonts w:ascii="Symbol" w:hAnsi="Symbol"/>
      </w:rPr>
    </w:lvl>
    <w:lvl w:ilvl="6" w:tplc="B84CB6D8">
      <w:start w:val="1"/>
      <w:numFmt w:val="bullet"/>
      <w:lvlText w:val=""/>
      <w:lvlJc w:val="left"/>
      <w:pPr>
        <w:ind w:left="720" w:hanging="360"/>
      </w:pPr>
      <w:rPr>
        <w:rFonts w:ascii="Symbol" w:hAnsi="Symbol"/>
      </w:rPr>
    </w:lvl>
    <w:lvl w:ilvl="7" w:tplc="F56AAB7C">
      <w:start w:val="1"/>
      <w:numFmt w:val="bullet"/>
      <w:lvlText w:val=""/>
      <w:lvlJc w:val="left"/>
      <w:pPr>
        <w:ind w:left="720" w:hanging="360"/>
      </w:pPr>
      <w:rPr>
        <w:rFonts w:ascii="Symbol" w:hAnsi="Symbol"/>
      </w:rPr>
    </w:lvl>
    <w:lvl w:ilvl="8" w:tplc="34343492">
      <w:start w:val="1"/>
      <w:numFmt w:val="bullet"/>
      <w:lvlText w:val=""/>
      <w:lvlJc w:val="left"/>
      <w:pPr>
        <w:ind w:left="720" w:hanging="360"/>
      </w:pPr>
      <w:rPr>
        <w:rFonts w:ascii="Symbol" w:hAnsi="Symbol"/>
      </w:rPr>
    </w:lvl>
  </w:abstractNum>
  <w:abstractNum w:abstractNumId="22" w15:restartNumberingAfterBreak="0">
    <w:nsid w:val="335872B8"/>
    <w:multiLevelType w:val="hybridMultilevel"/>
    <w:tmpl w:val="5BDEC836"/>
    <w:lvl w:ilvl="0" w:tplc="6DBAF65E">
      <w:start w:val="1"/>
      <w:numFmt w:val="decimal"/>
      <w:pStyle w:val="CS-Paragraphnumbering"/>
      <w:lvlText w:val="%1."/>
      <w:lvlJc w:val="left"/>
      <w:pPr>
        <w:ind w:left="360" w:hanging="360"/>
      </w:pPr>
      <w:rPr>
        <w:sz w:val="24"/>
        <w:szCs w:val="24"/>
      </w:rPr>
    </w:lvl>
    <w:lvl w:ilvl="1" w:tplc="0C090019">
      <w:start w:val="1"/>
      <w:numFmt w:val="lowerLetter"/>
      <w:lvlText w:val="%2."/>
      <w:lvlJc w:val="left"/>
      <w:pPr>
        <w:ind w:left="708"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4987108"/>
    <w:multiLevelType w:val="hybridMultilevel"/>
    <w:tmpl w:val="30B87022"/>
    <w:lvl w:ilvl="0" w:tplc="D63652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8901A6C"/>
    <w:multiLevelType w:val="hybridMultilevel"/>
    <w:tmpl w:val="AF642534"/>
    <w:lvl w:ilvl="0" w:tplc="D6365236">
      <w:start w:val="1"/>
      <w:numFmt w:val="lowerLetter"/>
      <w:lvlText w:val="(%1)"/>
      <w:lvlJc w:val="left"/>
      <w:pPr>
        <w:ind w:left="1777" w:hanging="36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25" w15:restartNumberingAfterBreak="0">
    <w:nsid w:val="413C5259"/>
    <w:multiLevelType w:val="hybridMultilevel"/>
    <w:tmpl w:val="D68C4CA8"/>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26" w15:restartNumberingAfterBreak="0">
    <w:nsid w:val="428C3E49"/>
    <w:multiLevelType w:val="hybridMultilevel"/>
    <w:tmpl w:val="7D0A4AC6"/>
    <w:lvl w:ilvl="0" w:tplc="0C09001B">
      <w:start w:val="1"/>
      <w:numFmt w:val="lowerRoman"/>
      <w:lvlText w:val="%1."/>
      <w:lvlJc w:val="right"/>
      <w:pPr>
        <w:ind w:left="1485" w:hanging="360"/>
      </w:pPr>
    </w:lvl>
    <w:lvl w:ilvl="1" w:tplc="0C090019" w:tentative="1">
      <w:start w:val="1"/>
      <w:numFmt w:val="lowerLetter"/>
      <w:lvlText w:val="%2."/>
      <w:lvlJc w:val="left"/>
      <w:pPr>
        <w:ind w:left="2205" w:hanging="360"/>
      </w:pPr>
    </w:lvl>
    <w:lvl w:ilvl="2" w:tplc="0C09001B" w:tentative="1">
      <w:start w:val="1"/>
      <w:numFmt w:val="lowerRoman"/>
      <w:lvlText w:val="%3."/>
      <w:lvlJc w:val="right"/>
      <w:pPr>
        <w:ind w:left="2925" w:hanging="180"/>
      </w:pPr>
    </w:lvl>
    <w:lvl w:ilvl="3" w:tplc="0C09000F" w:tentative="1">
      <w:start w:val="1"/>
      <w:numFmt w:val="decimal"/>
      <w:lvlText w:val="%4."/>
      <w:lvlJc w:val="left"/>
      <w:pPr>
        <w:ind w:left="3645" w:hanging="360"/>
      </w:pPr>
    </w:lvl>
    <w:lvl w:ilvl="4" w:tplc="0C090019" w:tentative="1">
      <w:start w:val="1"/>
      <w:numFmt w:val="lowerLetter"/>
      <w:lvlText w:val="%5."/>
      <w:lvlJc w:val="left"/>
      <w:pPr>
        <w:ind w:left="4365" w:hanging="360"/>
      </w:pPr>
    </w:lvl>
    <w:lvl w:ilvl="5" w:tplc="0C09001B" w:tentative="1">
      <w:start w:val="1"/>
      <w:numFmt w:val="lowerRoman"/>
      <w:lvlText w:val="%6."/>
      <w:lvlJc w:val="right"/>
      <w:pPr>
        <w:ind w:left="5085" w:hanging="180"/>
      </w:pPr>
    </w:lvl>
    <w:lvl w:ilvl="6" w:tplc="0C09000F" w:tentative="1">
      <w:start w:val="1"/>
      <w:numFmt w:val="decimal"/>
      <w:lvlText w:val="%7."/>
      <w:lvlJc w:val="left"/>
      <w:pPr>
        <w:ind w:left="5805" w:hanging="360"/>
      </w:pPr>
    </w:lvl>
    <w:lvl w:ilvl="7" w:tplc="0C090019" w:tentative="1">
      <w:start w:val="1"/>
      <w:numFmt w:val="lowerLetter"/>
      <w:lvlText w:val="%8."/>
      <w:lvlJc w:val="left"/>
      <w:pPr>
        <w:ind w:left="6525" w:hanging="360"/>
      </w:pPr>
    </w:lvl>
    <w:lvl w:ilvl="8" w:tplc="0C09001B" w:tentative="1">
      <w:start w:val="1"/>
      <w:numFmt w:val="lowerRoman"/>
      <w:lvlText w:val="%9."/>
      <w:lvlJc w:val="right"/>
      <w:pPr>
        <w:ind w:left="7245" w:hanging="180"/>
      </w:pPr>
    </w:lvl>
  </w:abstractNum>
  <w:abstractNum w:abstractNumId="27" w15:restartNumberingAfterBreak="0">
    <w:nsid w:val="43B120AC"/>
    <w:multiLevelType w:val="hybridMultilevel"/>
    <w:tmpl w:val="3CF4E622"/>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8" w15:restartNumberingAfterBreak="0">
    <w:nsid w:val="43DA5568"/>
    <w:multiLevelType w:val="hybridMultilevel"/>
    <w:tmpl w:val="62585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4D973B4"/>
    <w:multiLevelType w:val="hybridMultilevel"/>
    <w:tmpl w:val="3C5E4A48"/>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0" w15:restartNumberingAfterBreak="0">
    <w:nsid w:val="4B9142C7"/>
    <w:multiLevelType w:val="hybridMultilevel"/>
    <w:tmpl w:val="FDC051D0"/>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31" w15:restartNumberingAfterBreak="0">
    <w:nsid w:val="53B63337"/>
    <w:multiLevelType w:val="hybridMultilevel"/>
    <w:tmpl w:val="2288FF42"/>
    <w:lvl w:ilvl="0" w:tplc="4210D89C">
      <w:start w:val="1"/>
      <w:numFmt w:val="bullet"/>
      <w:lvlText w:val=""/>
      <w:lvlJc w:val="left"/>
      <w:pPr>
        <w:ind w:left="1320" w:hanging="360"/>
      </w:pPr>
      <w:rPr>
        <w:rFonts w:ascii="Symbol" w:hAnsi="Symbol"/>
      </w:rPr>
    </w:lvl>
    <w:lvl w:ilvl="1" w:tplc="9C5E4D10">
      <w:start w:val="1"/>
      <w:numFmt w:val="bullet"/>
      <w:lvlText w:val=""/>
      <w:lvlJc w:val="left"/>
      <w:pPr>
        <w:ind w:left="1320" w:hanging="360"/>
      </w:pPr>
      <w:rPr>
        <w:rFonts w:ascii="Symbol" w:hAnsi="Symbol"/>
      </w:rPr>
    </w:lvl>
    <w:lvl w:ilvl="2" w:tplc="D94AA20E">
      <w:start w:val="1"/>
      <w:numFmt w:val="bullet"/>
      <w:lvlText w:val=""/>
      <w:lvlJc w:val="left"/>
      <w:pPr>
        <w:ind w:left="1320" w:hanging="360"/>
      </w:pPr>
      <w:rPr>
        <w:rFonts w:ascii="Symbol" w:hAnsi="Symbol"/>
      </w:rPr>
    </w:lvl>
    <w:lvl w:ilvl="3" w:tplc="981A83A2">
      <w:start w:val="1"/>
      <w:numFmt w:val="bullet"/>
      <w:lvlText w:val=""/>
      <w:lvlJc w:val="left"/>
      <w:pPr>
        <w:ind w:left="1320" w:hanging="360"/>
      </w:pPr>
      <w:rPr>
        <w:rFonts w:ascii="Symbol" w:hAnsi="Symbol"/>
      </w:rPr>
    </w:lvl>
    <w:lvl w:ilvl="4" w:tplc="534A9F16">
      <w:start w:val="1"/>
      <w:numFmt w:val="bullet"/>
      <w:lvlText w:val=""/>
      <w:lvlJc w:val="left"/>
      <w:pPr>
        <w:ind w:left="1320" w:hanging="360"/>
      </w:pPr>
      <w:rPr>
        <w:rFonts w:ascii="Symbol" w:hAnsi="Symbol"/>
      </w:rPr>
    </w:lvl>
    <w:lvl w:ilvl="5" w:tplc="91BEB7FA">
      <w:start w:val="1"/>
      <w:numFmt w:val="bullet"/>
      <w:lvlText w:val=""/>
      <w:lvlJc w:val="left"/>
      <w:pPr>
        <w:ind w:left="1320" w:hanging="360"/>
      </w:pPr>
      <w:rPr>
        <w:rFonts w:ascii="Symbol" w:hAnsi="Symbol"/>
      </w:rPr>
    </w:lvl>
    <w:lvl w:ilvl="6" w:tplc="9F54CB0C">
      <w:start w:val="1"/>
      <w:numFmt w:val="bullet"/>
      <w:lvlText w:val=""/>
      <w:lvlJc w:val="left"/>
      <w:pPr>
        <w:ind w:left="1320" w:hanging="360"/>
      </w:pPr>
      <w:rPr>
        <w:rFonts w:ascii="Symbol" w:hAnsi="Symbol"/>
      </w:rPr>
    </w:lvl>
    <w:lvl w:ilvl="7" w:tplc="4112E34A">
      <w:start w:val="1"/>
      <w:numFmt w:val="bullet"/>
      <w:lvlText w:val=""/>
      <w:lvlJc w:val="left"/>
      <w:pPr>
        <w:ind w:left="1320" w:hanging="360"/>
      </w:pPr>
      <w:rPr>
        <w:rFonts w:ascii="Symbol" w:hAnsi="Symbol"/>
      </w:rPr>
    </w:lvl>
    <w:lvl w:ilvl="8" w:tplc="2B721CBC">
      <w:start w:val="1"/>
      <w:numFmt w:val="bullet"/>
      <w:lvlText w:val=""/>
      <w:lvlJc w:val="left"/>
      <w:pPr>
        <w:ind w:left="1320" w:hanging="360"/>
      </w:pPr>
      <w:rPr>
        <w:rFonts w:ascii="Symbol" w:hAnsi="Symbol"/>
      </w:rPr>
    </w:lvl>
  </w:abstractNum>
  <w:abstractNum w:abstractNumId="32" w15:restartNumberingAfterBreak="0">
    <w:nsid w:val="54CE2BC8"/>
    <w:multiLevelType w:val="hybridMultilevel"/>
    <w:tmpl w:val="AF467EB6"/>
    <w:lvl w:ilvl="0" w:tplc="0C090001">
      <w:start w:val="1"/>
      <w:numFmt w:val="bullet"/>
      <w:lvlText w:val=""/>
      <w:lvlJc w:val="left"/>
      <w:pPr>
        <w:ind w:left="1170" w:hanging="360"/>
      </w:pPr>
      <w:rPr>
        <w:rFonts w:ascii="Symbol" w:hAnsi="Symbol" w:hint="default"/>
      </w:rPr>
    </w:lvl>
    <w:lvl w:ilvl="1" w:tplc="0C090003" w:tentative="1">
      <w:start w:val="1"/>
      <w:numFmt w:val="bullet"/>
      <w:lvlText w:val="o"/>
      <w:lvlJc w:val="left"/>
      <w:pPr>
        <w:ind w:left="1890" w:hanging="360"/>
      </w:pPr>
      <w:rPr>
        <w:rFonts w:ascii="Courier New" w:hAnsi="Courier New" w:cs="Courier New" w:hint="default"/>
      </w:rPr>
    </w:lvl>
    <w:lvl w:ilvl="2" w:tplc="0C090005" w:tentative="1">
      <w:start w:val="1"/>
      <w:numFmt w:val="bullet"/>
      <w:lvlText w:val=""/>
      <w:lvlJc w:val="left"/>
      <w:pPr>
        <w:ind w:left="2610" w:hanging="360"/>
      </w:pPr>
      <w:rPr>
        <w:rFonts w:ascii="Wingdings" w:hAnsi="Wingdings" w:hint="default"/>
      </w:rPr>
    </w:lvl>
    <w:lvl w:ilvl="3" w:tplc="0C090001" w:tentative="1">
      <w:start w:val="1"/>
      <w:numFmt w:val="bullet"/>
      <w:lvlText w:val=""/>
      <w:lvlJc w:val="left"/>
      <w:pPr>
        <w:ind w:left="3330" w:hanging="360"/>
      </w:pPr>
      <w:rPr>
        <w:rFonts w:ascii="Symbol" w:hAnsi="Symbol" w:hint="default"/>
      </w:rPr>
    </w:lvl>
    <w:lvl w:ilvl="4" w:tplc="0C090003" w:tentative="1">
      <w:start w:val="1"/>
      <w:numFmt w:val="bullet"/>
      <w:lvlText w:val="o"/>
      <w:lvlJc w:val="left"/>
      <w:pPr>
        <w:ind w:left="4050" w:hanging="360"/>
      </w:pPr>
      <w:rPr>
        <w:rFonts w:ascii="Courier New" w:hAnsi="Courier New" w:cs="Courier New" w:hint="default"/>
      </w:rPr>
    </w:lvl>
    <w:lvl w:ilvl="5" w:tplc="0C090005" w:tentative="1">
      <w:start w:val="1"/>
      <w:numFmt w:val="bullet"/>
      <w:lvlText w:val=""/>
      <w:lvlJc w:val="left"/>
      <w:pPr>
        <w:ind w:left="4770" w:hanging="360"/>
      </w:pPr>
      <w:rPr>
        <w:rFonts w:ascii="Wingdings" w:hAnsi="Wingdings" w:hint="default"/>
      </w:rPr>
    </w:lvl>
    <w:lvl w:ilvl="6" w:tplc="0C090001" w:tentative="1">
      <w:start w:val="1"/>
      <w:numFmt w:val="bullet"/>
      <w:lvlText w:val=""/>
      <w:lvlJc w:val="left"/>
      <w:pPr>
        <w:ind w:left="5490" w:hanging="360"/>
      </w:pPr>
      <w:rPr>
        <w:rFonts w:ascii="Symbol" w:hAnsi="Symbol" w:hint="default"/>
      </w:rPr>
    </w:lvl>
    <w:lvl w:ilvl="7" w:tplc="0C090003" w:tentative="1">
      <w:start w:val="1"/>
      <w:numFmt w:val="bullet"/>
      <w:lvlText w:val="o"/>
      <w:lvlJc w:val="left"/>
      <w:pPr>
        <w:ind w:left="6210" w:hanging="360"/>
      </w:pPr>
      <w:rPr>
        <w:rFonts w:ascii="Courier New" w:hAnsi="Courier New" w:cs="Courier New" w:hint="default"/>
      </w:rPr>
    </w:lvl>
    <w:lvl w:ilvl="8" w:tplc="0C090005" w:tentative="1">
      <w:start w:val="1"/>
      <w:numFmt w:val="bullet"/>
      <w:lvlText w:val=""/>
      <w:lvlJc w:val="left"/>
      <w:pPr>
        <w:ind w:left="6930" w:hanging="360"/>
      </w:pPr>
      <w:rPr>
        <w:rFonts w:ascii="Wingdings" w:hAnsi="Wingdings" w:hint="default"/>
      </w:rPr>
    </w:lvl>
  </w:abstractNum>
  <w:abstractNum w:abstractNumId="33" w15:restartNumberingAfterBreak="0">
    <w:nsid w:val="5C9C0E3B"/>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D457731"/>
    <w:multiLevelType w:val="hybridMultilevel"/>
    <w:tmpl w:val="DFC2CCDA"/>
    <w:lvl w:ilvl="0" w:tplc="D6365236">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5" w15:restartNumberingAfterBreak="0">
    <w:nsid w:val="669B23E0"/>
    <w:multiLevelType w:val="hybridMultilevel"/>
    <w:tmpl w:val="2048AEA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6" w15:restartNumberingAfterBreak="0">
    <w:nsid w:val="68166824"/>
    <w:multiLevelType w:val="hybridMultilevel"/>
    <w:tmpl w:val="16E49572"/>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37" w15:restartNumberingAfterBreak="0">
    <w:nsid w:val="69786D9F"/>
    <w:multiLevelType w:val="hybridMultilevel"/>
    <w:tmpl w:val="84368364"/>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38" w15:restartNumberingAfterBreak="0">
    <w:nsid w:val="6C065E94"/>
    <w:multiLevelType w:val="hybridMultilevel"/>
    <w:tmpl w:val="78E08FE2"/>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39" w15:restartNumberingAfterBreak="0">
    <w:nsid w:val="6D9B339F"/>
    <w:multiLevelType w:val="hybridMultilevel"/>
    <w:tmpl w:val="25104278"/>
    <w:lvl w:ilvl="0" w:tplc="0C090001">
      <w:start w:val="1"/>
      <w:numFmt w:val="bullet"/>
      <w:lvlText w:val=""/>
      <w:lvlJc w:val="left"/>
      <w:pPr>
        <w:ind w:left="1170" w:hanging="360"/>
      </w:pPr>
      <w:rPr>
        <w:rFonts w:ascii="Symbol" w:hAnsi="Symbol" w:hint="default"/>
      </w:rPr>
    </w:lvl>
    <w:lvl w:ilvl="1" w:tplc="0C090003" w:tentative="1">
      <w:start w:val="1"/>
      <w:numFmt w:val="bullet"/>
      <w:lvlText w:val="o"/>
      <w:lvlJc w:val="left"/>
      <w:pPr>
        <w:ind w:left="1890" w:hanging="360"/>
      </w:pPr>
      <w:rPr>
        <w:rFonts w:ascii="Courier New" w:hAnsi="Courier New" w:cs="Courier New" w:hint="default"/>
      </w:rPr>
    </w:lvl>
    <w:lvl w:ilvl="2" w:tplc="0C090005" w:tentative="1">
      <w:start w:val="1"/>
      <w:numFmt w:val="bullet"/>
      <w:lvlText w:val=""/>
      <w:lvlJc w:val="left"/>
      <w:pPr>
        <w:ind w:left="2610" w:hanging="360"/>
      </w:pPr>
      <w:rPr>
        <w:rFonts w:ascii="Wingdings" w:hAnsi="Wingdings" w:hint="default"/>
      </w:rPr>
    </w:lvl>
    <w:lvl w:ilvl="3" w:tplc="0C090001" w:tentative="1">
      <w:start w:val="1"/>
      <w:numFmt w:val="bullet"/>
      <w:lvlText w:val=""/>
      <w:lvlJc w:val="left"/>
      <w:pPr>
        <w:ind w:left="3330" w:hanging="360"/>
      </w:pPr>
      <w:rPr>
        <w:rFonts w:ascii="Symbol" w:hAnsi="Symbol" w:hint="default"/>
      </w:rPr>
    </w:lvl>
    <w:lvl w:ilvl="4" w:tplc="0C090003" w:tentative="1">
      <w:start w:val="1"/>
      <w:numFmt w:val="bullet"/>
      <w:lvlText w:val="o"/>
      <w:lvlJc w:val="left"/>
      <w:pPr>
        <w:ind w:left="4050" w:hanging="360"/>
      </w:pPr>
      <w:rPr>
        <w:rFonts w:ascii="Courier New" w:hAnsi="Courier New" w:cs="Courier New" w:hint="default"/>
      </w:rPr>
    </w:lvl>
    <w:lvl w:ilvl="5" w:tplc="0C090005" w:tentative="1">
      <w:start w:val="1"/>
      <w:numFmt w:val="bullet"/>
      <w:lvlText w:val=""/>
      <w:lvlJc w:val="left"/>
      <w:pPr>
        <w:ind w:left="4770" w:hanging="360"/>
      </w:pPr>
      <w:rPr>
        <w:rFonts w:ascii="Wingdings" w:hAnsi="Wingdings" w:hint="default"/>
      </w:rPr>
    </w:lvl>
    <w:lvl w:ilvl="6" w:tplc="0C090001" w:tentative="1">
      <w:start w:val="1"/>
      <w:numFmt w:val="bullet"/>
      <w:lvlText w:val=""/>
      <w:lvlJc w:val="left"/>
      <w:pPr>
        <w:ind w:left="5490" w:hanging="360"/>
      </w:pPr>
      <w:rPr>
        <w:rFonts w:ascii="Symbol" w:hAnsi="Symbol" w:hint="default"/>
      </w:rPr>
    </w:lvl>
    <w:lvl w:ilvl="7" w:tplc="0C090003" w:tentative="1">
      <w:start w:val="1"/>
      <w:numFmt w:val="bullet"/>
      <w:lvlText w:val="o"/>
      <w:lvlJc w:val="left"/>
      <w:pPr>
        <w:ind w:left="6210" w:hanging="360"/>
      </w:pPr>
      <w:rPr>
        <w:rFonts w:ascii="Courier New" w:hAnsi="Courier New" w:cs="Courier New" w:hint="default"/>
      </w:rPr>
    </w:lvl>
    <w:lvl w:ilvl="8" w:tplc="0C090005" w:tentative="1">
      <w:start w:val="1"/>
      <w:numFmt w:val="bullet"/>
      <w:lvlText w:val=""/>
      <w:lvlJc w:val="left"/>
      <w:pPr>
        <w:ind w:left="6930" w:hanging="360"/>
      </w:pPr>
      <w:rPr>
        <w:rFonts w:ascii="Wingdings" w:hAnsi="Wingdings" w:hint="default"/>
      </w:rPr>
    </w:lvl>
  </w:abstractNum>
  <w:abstractNum w:abstractNumId="40" w15:restartNumberingAfterBreak="0">
    <w:nsid w:val="73C50F48"/>
    <w:multiLevelType w:val="hybridMultilevel"/>
    <w:tmpl w:val="04081E3E"/>
    <w:lvl w:ilvl="0" w:tplc="0C09001B">
      <w:start w:val="1"/>
      <w:numFmt w:val="lowerRoman"/>
      <w:lvlText w:val="%1."/>
      <w:lvlJc w:val="right"/>
      <w:pPr>
        <w:ind w:left="2487" w:hanging="360"/>
      </w:pPr>
    </w:lvl>
    <w:lvl w:ilvl="1" w:tplc="0C090019" w:tentative="1">
      <w:start w:val="1"/>
      <w:numFmt w:val="lowerLetter"/>
      <w:lvlText w:val="%2."/>
      <w:lvlJc w:val="left"/>
      <w:pPr>
        <w:ind w:left="3207" w:hanging="360"/>
      </w:pPr>
    </w:lvl>
    <w:lvl w:ilvl="2" w:tplc="0C09001B" w:tentative="1">
      <w:start w:val="1"/>
      <w:numFmt w:val="lowerRoman"/>
      <w:lvlText w:val="%3."/>
      <w:lvlJc w:val="right"/>
      <w:pPr>
        <w:ind w:left="3927" w:hanging="180"/>
      </w:pPr>
    </w:lvl>
    <w:lvl w:ilvl="3" w:tplc="0C09000F" w:tentative="1">
      <w:start w:val="1"/>
      <w:numFmt w:val="decimal"/>
      <w:lvlText w:val="%4."/>
      <w:lvlJc w:val="left"/>
      <w:pPr>
        <w:ind w:left="4647" w:hanging="360"/>
      </w:pPr>
    </w:lvl>
    <w:lvl w:ilvl="4" w:tplc="0C090019" w:tentative="1">
      <w:start w:val="1"/>
      <w:numFmt w:val="lowerLetter"/>
      <w:lvlText w:val="%5."/>
      <w:lvlJc w:val="left"/>
      <w:pPr>
        <w:ind w:left="5367" w:hanging="360"/>
      </w:pPr>
    </w:lvl>
    <w:lvl w:ilvl="5" w:tplc="0C09001B" w:tentative="1">
      <w:start w:val="1"/>
      <w:numFmt w:val="lowerRoman"/>
      <w:lvlText w:val="%6."/>
      <w:lvlJc w:val="right"/>
      <w:pPr>
        <w:ind w:left="6087" w:hanging="180"/>
      </w:pPr>
    </w:lvl>
    <w:lvl w:ilvl="6" w:tplc="0C09000F" w:tentative="1">
      <w:start w:val="1"/>
      <w:numFmt w:val="decimal"/>
      <w:lvlText w:val="%7."/>
      <w:lvlJc w:val="left"/>
      <w:pPr>
        <w:ind w:left="6807" w:hanging="360"/>
      </w:pPr>
    </w:lvl>
    <w:lvl w:ilvl="7" w:tplc="0C090019" w:tentative="1">
      <w:start w:val="1"/>
      <w:numFmt w:val="lowerLetter"/>
      <w:lvlText w:val="%8."/>
      <w:lvlJc w:val="left"/>
      <w:pPr>
        <w:ind w:left="7527" w:hanging="360"/>
      </w:pPr>
    </w:lvl>
    <w:lvl w:ilvl="8" w:tplc="0C09001B" w:tentative="1">
      <w:start w:val="1"/>
      <w:numFmt w:val="lowerRoman"/>
      <w:lvlText w:val="%9."/>
      <w:lvlJc w:val="right"/>
      <w:pPr>
        <w:ind w:left="8247" w:hanging="180"/>
      </w:pPr>
    </w:lvl>
  </w:abstractNum>
  <w:abstractNum w:abstractNumId="41" w15:restartNumberingAfterBreak="0">
    <w:nsid w:val="782739D4"/>
    <w:multiLevelType w:val="hybridMultilevel"/>
    <w:tmpl w:val="58C016F4"/>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42" w15:restartNumberingAfterBreak="0">
    <w:nsid w:val="791D216B"/>
    <w:multiLevelType w:val="hybridMultilevel"/>
    <w:tmpl w:val="94061CEE"/>
    <w:lvl w:ilvl="0" w:tplc="0C090019">
      <w:start w:val="1"/>
      <w:numFmt w:val="lowerLetter"/>
      <w:lvlText w:val="%1."/>
      <w:lvlJc w:val="left"/>
      <w:pPr>
        <w:ind w:left="720" w:hanging="360"/>
      </w:pPr>
      <w:rPr>
        <w:rFont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B2A5047"/>
    <w:multiLevelType w:val="hybridMultilevel"/>
    <w:tmpl w:val="08E46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B47239"/>
    <w:multiLevelType w:val="hybridMultilevel"/>
    <w:tmpl w:val="7A9882B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5" w15:restartNumberingAfterBreak="0">
    <w:nsid w:val="7D7E0CC7"/>
    <w:multiLevelType w:val="multilevel"/>
    <w:tmpl w:val="ABEC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EA558A"/>
    <w:multiLevelType w:val="hybridMultilevel"/>
    <w:tmpl w:val="BF00F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5321631">
    <w:abstractNumId w:val="3"/>
  </w:num>
  <w:num w:numId="2" w16cid:durableId="1162351317">
    <w:abstractNumId w:val="10"/>
    <w:lvlOverride w:ilvl="0">
      <w:lvl w:ilvl="0">
        <w:start w:val="1"/>
        <w:numFmt w:val="decimal"/>
        <w:lvlText w:val="%1)"/>
        <w:lvlJc w:val="left"/>
        <w:pPr>
          <w:ind w:left="340" w:hanging="340"/>
        </w:pPr>
        <w:rPr>
          <w:rFonts w:hint="default"/>
          <w:color w:val="000000" w:themeColor="text1"/>
          <w:sz w:val="24"/>
        </w:rPr>
      </w:lvl>
    </w:lvlOverride>
    <w:lvlOverride w:ilvl="1">
      <w:lvl w:ilvl="1">
        <w:start w:val="1"/>
        <w:numFmt w:val="lowerLetter"/>
        <w:lvlText w:val="%2."/>
        <w:lvlJc w:val="left"/>
        <w:pPr>
          <w:ind w:left="680" w:hanging="340"/>
        </w:pPr>
        <w:rPr>
          <w:rFonts w:hint="default"/>
          <w:sz w:val="24"/>
        </w:rPr>
      </w:lvl>
    </w:lvlOverride>
    <w:lvlOverride w:ilvl="2">
      <w:lvl w:ilvl="2">
        <w:start w:val="1"/>
        <w:numFmt w:val="lowerRoman"/>
        <w:lvlText w:val="%3."/>
        <w:lvlJc w:val="left"/>
        <w:pPr>
          <w:ind w:left="1021" w:hanging="341"/>
        </w:pPr>
        <w:rPr>
          <w:rFonts w:hint="default"/>
          <w:sz w:val="24"/>
        </w:rPr>
      </w:lvl>
    </w:lvlOverride>
    <w:lvlOverride w:ilvl="3">
      <w:lvl w:ilvl="3">
        <w:start w:val="1"/>
        <w:numFmt w:val="upperLetter"/>
        <w:lvlText w:val="(%4)"/>
        <w:lvlJc w:val="left"/>
        <w:pPr>
          <w:ind w:left="1474" w:hanging="454"/>
        </w:pPr>
        <w:rPr>
          <w:rFonts w:hint="default"/>
          <w:sz w:val="24"/>
        </w:rPr>
      </w:lvl>
    </w:lvlOverride>
    <w:lvlOverride w:ilvl="4">
      <w:lvl w:ilvl="4">
        <w:start w:val="1"/>
        <w:numFmt w:val="decimal"/>
        <w:lvlText w:val="%5."/>
        <w:lvlJc w:val="left"/>
        <w:pPr>
          <w:ind w:left="1700" w:hanging="340"/>
        </w:pPr>
        <w:rPr>
          <w:rFonts w:hint="default"/>
          <w:sz w:val="24"/>
        </w:rPr>
      </w:lvl>
    </w:lvlOverride>
    <w:lvlOverride w:ilvl="5">
      <w:lvl w:ilvl="5">
        <w:start w:val="1"/>
        <w:numFmt w:val="none"/>
        <w:lvlText w:val=""/>
        <w:lvlJc w:val="left"/>
        <w:pPr>
          <w:ind w:left="2040" w:hanging="340"/>
        </w:pPr>
        <w:rPr>
          <w:rFonts w:hint="default"/>
        </w:rPr>
      </w:lvl>
    </w:lvlOverride>
    <w:lvlOverride w:ilvl="6">
      <w:lvl w:ilvl="6">
        <w:start w:val="1"/>
        <w:numFmt w:val="none"/>
        <w:lvlText w:val=""/>
        <w:lvlJc w:val="left"/>
        <w:pPr>
          <w:ind w:left="2380" w:hanging="340"/>
        </w:pPr>
        <w:rPr>
          <w:rFonts w:hint="default"/>
        </w:rPr>
      </w:lvl>
    </w:lvlOverride>
    <w:lvlOverride w:ilvl="7">
      <w:lvl w:ilvl="7">
        <w:start w:val="1"/>
        <w:numFmt w:val="none"/>
        <w:lvlText w:val=""/>
        <w:lvlJc w:val="left"/>
        <w:pPr>
          <w:ind w:left="2720" w:hanging="340"/>
        </w:pPr>
        <w:rPr>
          <w:rFonts w:hint="default"/>
        </w:rPr>
      </w:lvl>
    </w:lvlOverride>
    <w:lvlOverride w:ilvl="8">
      <w:lvl w:ilvl="8">
        <w:start w:val="1"/>
        <w:numFmt w:val="none"/>
        <w:lvlText w:val=""/>
        <w:lvlJc w:val="left"/>
        <w:pPr>
          <w:ind w:left="3060" w:hanging="340"/>
        </w:pPr>
        <w:rPr>
          <w:rFonts w:hint="default"/>
        </w:rPr>
      </w:lvl>
    </w:lvlOverride>
  </w:num>
  <w:num w:numId="3" w16cid:durableId="1698770340">
    <w:abstractNumId w:val="18"/>
  </w:num>
  <w:num w:numId="4" w16cid:durableId="1212766802">
    <w:abstractNumId w:val="28"/>
  </w:num>
  <w:num w:numId="5" w16cid:durableId="519662128">
    <w:abstractNumId w:val="42"/>
  </w:num>
  <w:num w:numId="6" w16cid:durableId="1525169482">
    <w:abstractNumId w:val="43"/>
  </w:num>
  <w:num w:numId="7" w16cid:durableId="680201534">
    <w:abstractNumId w:val="22"/>
  </w:num>
  <w:num w:numId="8" w16cid:durableId="1447696101">
    <w:abstractNumId w:val="7"/>
  </w:num>
  <w:num w:numId="9" w16cid:durableId="282032613">
    <w:abstractNumId w:val="33"/>
  </w:num>
  <w:num w:numId="10" w16cid:durableId="35811881">
    <w:abstractNumId w:val="0"/>
  </w:num>
  <w:num w:numId="11" w16cid:durableId="213124231">
    <w:abstractNumId w:val="8"/>
  </w:num>
  <w:num w:numId="12" w16cid:durableId="301886380">
    <w:abstractNumId w:val="1"/>
  </w:num>
  <w:num w:numId="13" w16cid:durableId="366225661">
    <w:abstractNumId w:val="45"/>
  </w:num>
  <w:num w:numId="14" w16cid:durableId="1276522722">
    <w:abstractNumId w:val="31"/>
  </w:num>
  <w:num w:numId="15" w16cid:durableId="1347294068">
    <w:abstractNumId w:val="11"/>
  </w:num>
  <w:num w:numId="16" w16cid:durableId="675569755">
    <w:abstractNumId w:val="21"/>
  </w:num>
  <w:num w:numId="17" w16cid:durableId="1547570687">
    <w:abstractNumId w:val="13"/>
  </w:num>
  <w:num w:numId="18" w16cid:durableId="227228438">
    <w:abstractNumId w:val="44"/>
  </w:num>
  <w:num w:numId="19" w16cid:durableId="1466199506">
    <w:abstractNumId w:val="32"/>
  </w:num>
  <w:num w:numId="20" w16cid:durableId="264462534">
    <w:abstractNumId w:val="36"/>
  </w:num>
  <w:num w:numId="21" w16cid:durableId="846335499">
    <w:abstractNumId w:val="39"/>
  </w:num>
  <w:num w:numId="22" w16cid:durableId="1968123310">
    <w:abstractNumId w:val="12"/>
  </w:num>
  <w:num w:numId="23" w16cid:durableId="1258638003">
    <w:abstractNumId w:val="37"/>
  </w:num>
  <w:num w:numId="24" w16cid:durableId="2032762667">
    <w:abstractNumId w:val="41"/>
  </w:num>
  <w:num w:numId="25" w16cid:durableId="1139611300">
    <w:abstractNumId w:val="24"/>
  </w:num>
  <w:num w:numId="26" w16cid:durableId="805969934">
    <w:abstractNumId w:val="2"/>
  </w:num>
  <w:num w:numId="27" w16cid:durableId="563106573">
    <w:abstractNumId w:val="38"/>
  </w:num>
  <w:num w:numId="28" w16cid:durableId="1767068594">
    <w:abstractNumId w:val="9"/>
  </w:num>
  <w:num w:numId="29" w16cid:durableId="1793402907">
    <w:abstractNumId w:val="25"/>
  </w:num>
  <w:num w:numId="30" w16cid:durableId="1483085866">
    <w:abstractNumId w:val="20"/>
  </w:num>
  <w:num w:numId="31" w16cid:durableId="1427075813">
    <w:abstractNumId w:val="4"/>
  </w:num>
  <w:num w:numId="32" w16cid:durableId="2051955320">
    <w:abstractNumId w:val="40"/>
  </w:num>
  <w:num w:numId="33" w16cid:durableId="169297387">
    <w:abstractNumId w:val="6"/>
  </w:num>
  <w:num w:numId="34" w16cid:durableId="1001740564">
    <w:abstractNumId w:val="5"/>
  </w:num>
  <w:num w:numId="35" w16cid:durableId="289631110">
    <w:abstractNumId w:val="27"/>
  </w:num>
  <w:num w:numId="36" w16cid:durableId="209346406">
    <w:abstractNumId w:val="16"/>
  </w:num>
  <w:num w:numId="37" w16cid:durableId="1298299179">
    <w:abstractNumId w:val="29"/>
  </w:num>
  <w:num w:numId="38" w16cid:durableId="148135400">
    <w:abstractNumId w:val="34"/>
  </w:num>
  <w:num w:numId="39" w16cid:durableId="1994018354">
    <w:abstractNumId w:val="15"/>
  </w:num>
  <w:num w:numId="40" w16cid:durableId="126627884">
    <w:abstractNumId w:val="30"/>
  </w:num>
  <w:num w:numId="41" w16cid:durableId="604385720">
    <w:abstractNumId w:val="14"/>
  </w:num>
  <w:num w:numId="42" w16cid:durableId="233439859">
    <w:abstractNumId w:val="23"/>
  </w:num>
  <w:num w:numId="43" w16cid:durableId="1919710457">
    <w:abstractNumId w:val="26"/>
  </w:num>
  <w:num w:numId="44" w16cid:durableId="1040477332">
    <w:abstractNumId w:val="19"/>
  </w:num>
  <w:num w:numId="45" w16cid:durableId="2106345250">
    <w:abstractNumId w:val="17"/>
  </w:num>
  <w:num w:numId="46" w16cid:durableId="1371111065">
    <w:abstractNumId w:val="46"/>
  </w:num>
  <w:num w:numId="47" w16cid:durableId="501166212">
    <w:abstractNumId w:val="35"/>
  </w:num>
  <w:num w:numId="48" w16cid:durableId="2082171718">
    <w:abstractNumId w:val="10"/>
    <w:lvlOverride w:ilvl="0">
      <w:lvl w:ilvl="0">
        <w:start w:val="1"/>
        <w:numFmt w:val="decimal"/>
        <w:lvlText w:val="%1)"/>
        <w:lvlJc w:val="left"/>
        <w:pPr>
          <w:ind w:left="340" w:hanging="340"/>
        </w:pPr>
        <w:rPr>
          <w:b w:val="0"/>
          <w:bCs w:val="0"/>
          <w:sz w:val="24"/>
        </w:rPr>
      </w:lvl>
    </w:lvlOverride>
    <w:lvlOverride w:ilvl="1">
      <w:lvl w:ilvl="1">
        <w:start w:val="1"/>
        <w:numFmt w:val="decimal"/>
        <w:lvlText w:val="%2."/>
        <w:lvlJc w:val="left"/>
        <w:pPr>
          <w:ind w:left="680" w:hanging="340"/>
        </w:pPr>
        <w:rPr>
          <w:sz w:val="24"/>
        </w:rPr>
      </w:lvl>
    </w:lvlOverride>
    <w:lvlOverride w:ilvl="2">
      <w:lvl w:ilvl="2">
        <w:start w:val="1"/>
        <w:numFmt w:val="decimal"/>
        <w:lvlText w:val="%3."/>
        <w:lvlJc w:val="left"/>
        <w:pPr>
          <w:ind w:left="1021" w:hanging="341"/>
        </w:pPr>
        <w:rPr>
          <w:sz w:val="24"/>
        </w:rPr>
      </w:lvl>
    </w:lvlOverride>
    <w:lvlOverride w:ilvl="3">
      <w:lvl w:ilvl="3">
        <w:start w:val="1"/>
        <w:numFmt w:val="decimal"/>
        <w:lvlText w:val="(%4)"/>
        <w:lvlJc w:val="left"/>
        <w:pPr>
          <w:ind w:left="1474" w:hanging="454"/>
        </w:pPr>
        <w:rPr>
          <w:sz w:val="24"/>
        </w:rPr>
      </w:lvl>
    </w:lvlOverride>
    <w:lvlOverride w:ilvl="4">
      <w:lvl w:ilvl="4">
        <w:start w:val="1"/>
        <w:numFmt w:val="decimal"/>
        <w:lvlText w:val="%5."/>
        <w:lvlJc w:val="left"/>
        <w:pPr>
          <w:ind w:left="1700" w:hanging="340"/>
        </w:pPr>
        <w:rPr>
          <w:sz w:val="24"/>
        </w:rPr>
      </w:lvl>
    </w:lvlOverride>
    <w:lvlOverride w:ilvl="5">
      <w:lvl w:ilvl="5">
        <w:start w:val="1"/>
        <w:numFmt w:val="decimal"/>
        <w:lvlText w:val=""/>
        <w:lvlJc w:val="left"/>
        <w:pPr>
          <w:ind w:left="2040" w:hanging="340"/>
        </w:pPr>
      </w:lvl>
    </w:lvlOverride>
    <w:lvlOverride w:ilvl="6">
      <w:lvl w:ilvl="6">
        <w:start w:val="1"/>
        <w:numFmt w:val="decimal"/>
        <w:lvlText w:val=""/>
        <w:lvlJc w:val="left"/>
        <w:pPr>
          <w:ind w:left="2380" w:hanging="340"/>
        </w:pPr>
      </w:lvl>
    </w:lvlOverride>
    <w:lvlOverride w:ilvl="7">
      <w:lvl w:ilvl="7">
        <w:start w:val="1"/>
        <w:numFmt w:val="decimal"/>
        <w:lvlText w:val=""/>
        <w:lvlJc w:val="left"/>
        <w:pPr>
          <w:ind w:left="2720" w:hanging="340"/>
        </w:pPr>
      </w:lvl>
    </w:lvlOverride>
    <w:lvlOverride w:ilvl="8">
      <w:lvl w:ilvl="8">
        <w:start w:val="1"/>
        <w:numFmt w:val="decimal"/>
        <w:lvlText w:val=""/>
        <w:lvlJc w:val="left"/>
        <w:pPr>
          <w:ind w:left="3060" w:hanging="3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0143D"/>
    <w:rsid w:val="000045DE"/>
    <w:rsid w:val="00004A04"/>
    <w:rsid w:val="00006127"/>
    <w:rsid w:val="000064C7"/>
    <w:rsid w:val="000068E2"/>
    <w:rsid w:val="00007204"/>
    <w:rsid w:val="00007393"/>
    <w:rsid w:val="0001282D"/>
    <w:rsid w:val="00013024"/>
    <w:rsid w:val="00015E21"/>
    <w:rsid w:val="0002113B"/>
    <w:rsid w:val="00022387"/>
    <w:rsid w:val="0002253C"/>
    <w:rsid w:val="00024619"/>
    <w:rsid w:val="00027F47"/>
    <w:rsid w:val="0003095A"/>
    <w:rsid w:val="0003453B"/>
    <w:rsid w:val="00035024"/>
    <w:rsid w:val="00041D88"/>
    <w:rsid w:val="000438E4"/>
    <w:rsid w:val="0004522F"/>
    <w:rsid w:val="00045DCC"/>
    <w:rsid w:val="00045E8B"/>
    <w:rsid w:val="00050A3C"/>
    <w:rsid w:val="00050AA0"/>
    <w:rsid w:val="0005331B"/>
    <w:rsid w:val="000564AD"/>
    <w:rsid w:val="0005690A"/>
    <w:rsid w:val="00060C76"/>
    <w:rsid w:val="00060E45"/>
    <w:rsid w:val="0006194D"/>
    <w:rsid w:val="00063273"/>
    <w:rsid w:val="000653BF"/>
    <w:rsid w:val="00070896"/>
    <w:rsid w:val="00070A79"/>
    <w:rsid w:val="00071D0D"/>
    <w:rsid w:val="00071D7B"/>
    <w:rsid w:val="00071DB9"/>
    <w:rsid w:val="00072087"/>
    <w:rsid w:val="00074230"/>
    <w:rsid w:val="00075255"/>
    <w:rsid w:val="00075E4E"/>
    <w:rsid w:val="00076555"/>
    <w:rsid w:val="00081DB8"/>
    <w:rsid w:val="000826D9"/>
    <w:rsid w:val="00082A1A"/>
    <w:rsid w:val="00084C72"/>
    <w:rsid w:val="00085AB1"/>
    <w:rsid w:val="000928B0"/>
    <w:rsid w:val="0009304C"/>
    <w:rsid w:val="00094C23"/>
    <w:rsid w:val="000973F1"/>
    <w:rsid w:val="000974CC"/>
    <w:rsid w:val="000974F2"/>
    <w:rsid w:val="000A08DD"/>
    <w:rsid w:val="000A279F"/>
    <w:rsid w:val="000A3B30"/>
    <w:rsid w:val="000A6CB4"/>
    <w:rsid w:val="000A70D9"/>
    <w:rsid w:val="000A76D8"/>
    <w:rsid w:val="000B0E58"/>
    <w:rsid w:val="000B3686"/>
    <w:rsid w:val="000B4DF4"/>
    <w:rsid w:val="000B65EF"/>
    <w:rsid w:val="000C240B"/>
    <w:rsid w:val="000C3BBC"/>
    <w:rsid w:val="000C41DA"/>
    <w:rsid w:val="000C6DDA"/>
    <w:rsid w:val="000D0F7C"/>
    <w:rsid w:val="000D105F"/>
    <w:rsid w:val="000D2DB9"/>
    <w:rsid w:val="000D2E96"/>
    <w:rsid w:val="000D53EF"/>
    <w:rsid w:val="000D543C"/>
    <w:rsid w:val="000D6F2C"/>
    <w:rsid w:val="000D7197"/>
    <w:rsid w:val="000E0842"/>
    <w:rsid w:val="000E14D7"/>
    <w:rsid w:val="000E227D"/>
    <w:rsid w:val="000E60F5"/>
    <w:rsid w:val="000E736C"/>
    <w:rsid w:val="000F227C"/>
    <w:rsid w:val="000F2E68"/>
    <w:rsid w:val="000F4477"/>
    <w:rsid w:val="000F77EA"/>
    <w:rsid w:val="00101A37"/>
    <w:rsid w:val="00102103"/>
    <w:rsid w:val="00103BFD"/>
    <w:rsid w:val="0010465F"/>
    <w:rsid w:val="00105129"/>
    <w:rsid w:val="0010557B"/>
    <w:rsid w:val="001100B7"/>
    <w:rsid w:val="00114B46"/>
    <w:rsid w:val="00114C8E"/>
    <w:rsid w:val="0011557A"/>
    <w:rsid w:val="00116801"/>
    <w:rsid w:val="00117ADC"/>
    <w:rsid w:val="0012305F"/>
    <w:rsid w:val="00124649"/>
    <w:rsid w:val="0012506C"/>
    <w:rsid w:val="00125215"/>
    <w:rsid w:val="00125659"/>
    <w:rsid w:val="0012673B"/>
    <w:rsid w:val="001274B8"/>
    <w:rsid w:val="001278B3"/>
    <w:rsid w:val="0013111C"/>
    <w:rsid w:val="00131DD0"/>
    <w:rsid w:val="00131DF9"/>
    <w:rsid w:val="00133184"/>
    <w:rsid w:val="00133961"/>
    <w:rsid w:val="00133CBD"/>
    <w:rsid w:val="00134ABE"/>
    <w:rsid w:val="00135B8B"/>
    <w:rsid w:val="001373B0"/>
    <w:rsid w:val="001378BA"/>
    <w:rsid w:val="00140807"/>
    <w:rsid w:val="001421F3"/>
    <w:rsid w:val="0014236E"/>
    <w:rsid w:val="0014258C"/>
    <w:rsid w:val="00142B87"/>
    <w:rsid w:val="00150910"/>
    <w:rsid w:val="001525E0"/>
    <w:rsid w:val="00154941"/>
    <w:rsid w:val="00161872"/>
    <w:rsid w:val="0016215F"/>
    <w:rsid w:val="0016233A"/>
    <w:rsid w:val="00163803"/>
    <w:rsid w:val="00164F0D"/>
    <w:rsid w:val="00171613"/>
    <w:rsid w:val="00171E1B"/>
    <w:rsid w:val="00172AD2"/>
    <w:rsid w:val="001748B3"/>
    <w:rsid w:val="00175223"/>
    <w:rsid w:val="0017724C"/>
    <w:rsid w:val="0018145C"/>
    <w:rsid w:val="0018305F"/>
    <w:rsid w:val="0018351F"/>
    <w:rsid w:val="00183FB1"/>
    <w:rsid w:val="00185C69"/>
    <w:rsid w:val="00187332"/>
    <w:rsid w:val="00191718"/>
    <w:rsid w:val="00192D8D"/>
    <w:rsid w:val="0019346C"/>
    <w:rsid w:val="0019697E"/>
    <w:rsid w:val="00196FF1"/>
    <w:rsid w:val="001A250A"/>
    <w:rsid w:val="001A4329"/>
    <w:rsid w:val="001A578F"/>
    <w:rsid w:val="001A63D1"/>
    <w:rsid w:val="001B1BB8"/>
    <w:rsid w:val="001B3DA0"/>
    <w:rsid w:val="001B5530"/>
    <w:rsid w:val="001B5586"/>
    <w:rsid w:val="001B68F9"/>
    <w:rsid w:val="001B7FCF"/>
    <w:rsid w:val="001C1396"/>
    <w:rsid w:val="001C5D68"/>
    <w:rsid w:val="001C6A05"/>
    <w:rsid w:val="001C6DC7"/>
    <w:rsid w:val="001C7190"/>
    <w:rsid w:val="001D1650"/>
    <w:rsid w:val="001D3A31"/>
    <w:rsid w:val="001D439E"/>
    <w:rsid w:val="001D475B"/>
    <w:rsid w:val="001D50C2"/>
    <w:rsid w:val="001D5D81"/>
    <w:rsid w:val="001D78D0"/>
    <w:rsid w:val="001D7F2A"/>
    <w:rsid w:val="001E3863"/>
    <w:rsid w:val="001F03E2"/>
    <w:rsid w:val="001F0F41"/>
    <w:rsid w:val="001F25C8"/>
    <w:rsid w:val="001F2BAB"/>
    <w:rsid w:val="001F5320"/>
    <w:rsid w:val="001F654C"/>
    <w:rsid w:val="002012DE"/>
    <w:rsid w:val="002017F4"/>
    <w:rsid w:val="0020200F"/>
    <w:rsid w:val="0020227A"/>
    <w:rsid w:val="00202720"/>
    <w:rsid w:val="00202DD4"/>
    <w:rsid w:val="002043F6"/>
    <w:rsid w:val="002064C8"/>
    <w:rsid w:val="0020779A"/>
    <w:rsid w:val="00207D4C"/>
    <w:rsid w:val="0021002B"/>
    <w:rsid w:val="00210458"/>
    <w:rsid w:val="00210EEA"/>
    <w:rsid w:val="002126A7"/>
    <w:rsid w:val="00212E4D"/>
    <w:rsid w:val="00213C92"/>
    <w:rsid w:val="00215CB3"/>
    <w:rsid w:val="00216186"/>
    <w:rsid w:val="002162F4"/>
    <w:rsid w:val="00220D6C"/>
    <w:rsid w:val="0022164F"/>
    <w:rsid w:val="00224857"/>
    <w:rsid w:val="00224AF0"/>
    <w:rsid w:val="00224FAA"/>
    <w:rsid w:val="0022604C"/>
    <w:rsid w:val="002262A2"/>
    <w:rsid w:val="0022761A"/>
    <w:rsid w:val="00227915"/>
    <w:rsid w:val="00235EA5"/>
    <w:rsid w:val="0023668C"/>
    <w:rsid w:val="00236834"/>
    <w:rsid w:val="00240BDB"/>
    <w:rsid w:val="00243094"/>
    <w:rsid w:val="0024676E"/>
    <w:rsid w:val="00247DC4"/>
    <w:rsid w:val="0025170A"/>
    <w:rsid w:val="002517FA"/>
    <w:rsid w:val="00251872"/>
    <w:rsid w:val="00252A71"/>
    <w:rsid w:val="002539D8"/>
    <w:rsid w:val="00254EC1"/>
    <w:rsid w:val="00256139"/>
    <w:rsid w:val="00256820"/>
    <w:rsid w:val="00256D13"/>
    <w:rsid w:val="00257917"/>
    <w:rsid w:val="00260A1B"/>
    <w:rsid w:val="00260A4F"/>
    <w:rsid w:val="00262C0F"/>
    <w:rsid w:val="00263371"/>
    <w:rsid w:val="002636F1"/>
    <w:rsid w:val="002647C7"/>
    <w:rsid w:val="00267C7C"/>
    <w:rsid w:val="0027098C"/>
    <w:rsid w:val="00273830"/>
    <w:rsid w:val="00275967"/>
    <w:rsid w:val="00275F7E"/>
    <w:rsid w:val="002774AD"/>
    <w:rsid w:val="002778ED"/>
    <w:rsid w:val="00281321"/>
    <w:rsid w:val="0028237D"/>
    <w:rsid w:val="00282FE5"/>
    <w:rsid w:val="00286733"/>
    <w:rsid w:val="00286EB7"/>
    <w:rsid w:val="00287A9B"/>
    <w:rsid w:val="00290CCF"/>
    <w:rsid w:val="00293947"/>
    <w:rsid w:val="00294668"/>
    <w:rsid w:val="00294B17"/>
    <w:rsid w:val="002961FA"/>
    <w:rsid w:val="002A0F6C"/>
    <w:rsid w:val="002A18E9"/>
    <w:rsid w:val="002A1AB6"/>
    <w:rsid w:val="002A1E15"/>
    <w:rsid w:val="002A2B58"/>
    <w:rsid w:val="002A3F59"/>
    <w:rsid w:val="002A4604"/>
    <w:rsid w:val="002A5AEE"/>
    <w:rsid w:val="002A7137"/>
    <w:rsid w:val="002A7C1B"/>
    <w:rsid w:val="002B0F7C"/>
    <w:rsid w:val="002B52C9"/>
    <w:rsid w:val="002B58DE"/>
    <w:rsid w:val="002C09B3"/>
    <w:rsid w:val="002C0A60"/>
    <w:rsid w:val="002C1CB9"/>
    <w:rsid w:val="002C2479"/>
    <w:rsid w:val="002C266A"/>
    <w:rsid w:val="002C2AA5"/>
    <w:rsid w:val="002C5C96"/>
    <w:rsid w:val="002C6812"/>
    <w:rsid w:val="002C70FE"/>
    <w:rsid w:val="002C7A27"/>
    <w:rsid w:val="002C7EF1"/>
    <w:rsid w:val="002D0034"/>
    <w:rsid w:val="002D09EB"/>
    <w:rsid w:val="002D0B7C"/>
    <w:rsid w:val="002D2DB4"/>
    <w:rsid w:val="002D60AC"/>
    <w:rsid w:val="002D7B7A"/>
    <w:rsid w:val="002E13E4"/>
    <w:rsid w:val="002E2D31"/>
    <w:rsid w:val="002E54CF"/>
    <w:rsid w:val="002E7580"/>
    <w:rsid w:val="002E786F"/>
    <w:rsid w:val="002E7F90"/>
    <w:rsid w:val="002F0249"/>
    <w:rsid w:val="002F254C"/>
    <w:rsid w:val="002F2A5F"/>
    <w:rsid w:val="002F3B21"/>
    <w:rsid w:val="002F5AF0"/>
    <w:rsid w:val="002F6E03"/>
    <w:rsid w:val="002F7ACF"/>
    <w:rsid w:val="002F7FA5"/>
    <w:rsid w:val="0030183B"/>
    <w:rsid w:val="00304215"/>
    <w:rsid w:val="003049C3"/>
    <w:rsid w:val="00311759"/>
    <w:rsid w:val="00314499"/>
    <w:rsid w:val="00317245"/>
    <w:rsid w:val="0032394B"/>
    <w:rsid w:val="00324E2D"/>
    <w:rsid w:val="00325AB8"/>
    <w:rsid w:val="00326F03"/>
    <w:rsid w:val="003273C3"/>
    <w:rsid w:val="00331CDB"/>
    <w:rsid w:val="00332F13"/>
    <w:rsid w:val="00336F6B"/>
    <w:rsid w:val="003370F7"/>
    <w:rsid w:val="00337E97"/>
    <w:rsid w:val="00340304"/>
    <w:rsid w:val="0034134F"/>
    <w:rsid w:val="003417EF"/>
    <w:rsid w:val="003449EC"/>
    <w:rsid w:val="00350076"/>
    <w:rsid w:val="00355BE8"/>
    <w:rsid w:val="00356ACE"/>
    <w:rsid w:val="00357767"/>
    <w:rsid w:val="00361C10"/>
    <w:rsid w:val="003639CD"/>
    <w:rsid w:val="00364010"/>
    <w:rsid w:val="003649DC"/>
    <w:rsid w:val="0037000D"/>
    <w:rsid w:val="00370326"/>
    <w:rsid w:val="00370488"/>
    <w:rsid w:val="0037252A"/>
    <w:rsid w:val="003744C8"/>
    <w:rsid w:val="00375013"/>
    <w:rsid w:val="00375935"/>
    <w:rsid w:val="0037637E"/>
    <w:rsid w:val="00376695"/>
    <w:rsid w:val="00380F21"/>
    <w:rsid w:val="003812E1"/>
    <w:rsid w:val="0038215F"/>
    <w:rsid w:val="00382C1A"/>
    <w:rsid w:val="00383860"/>
    <w:rsid w:val="00385895"/>
    <w:rsid w:val="003872E3"/>
    <w:rsid w:val="003912D7"/>
    <w:rsid w:val="00392D52"/>
    <w:rsid w:val="0039325E"/>
    <w:rsid w:val="00393CFC"/>
    <w:rsid w:val="003A0013"/>
    <w:rsid w:val="003A2CFB"/>
    <w:rsid w:val="003A4D20"/>
    <w:rsid w:val="003B0EA4"/>
    <w:rsid w:val="003B1115"/>
    <w:rsid w:val="003B38F2"/>
    <w:rsid w:val="003B5112"/>
    <w:rsid w:val="003B6819"/>
    <w:rsid w:val="003C0C21"/>
    <w:rsid w:val="003C1412"/>
    <w:rsid w:val="003C37BB"/>
    <w:rsid w:val="003C4762"/>
    <w:rsid w:val="003D0215"/>
    <w:rsid w:val="003D22FA"/>
    <w:rsid w:val="003D2924"/>
    <w:rsid w:val="003D3072"/>
    <w:rsid w:val="003D3909"/>
    <w:rsid w:val="003D55A1"/>
    <w:rsid w:val="003D636E"/>
    <w:rsid w:val="003D7D7A"/>
    <w:rsid w:val="003E1660"/>
    <w:rsid w:val="003E2672"/>
    <w:rsid w:val="003E4EB4"/>
    <w:rsid w:val="003E58AE"/>
    <w:rsid w:val="003F0BF5"/>
    <w:rsid w:val="003F33A3"/>
    <w:rsid w:val="003F348D"/>
    <w:rsid w:val="003F70E8"/>
    <w:rsid w:val="00402F8A"/>
    <w:rsid w:val="004035ED"/>
    <w:rsid w:val="00404811"/>
    <w:rsid w:val="004061DE"/>
    <w:rsid w:val="00406B87"/>
    <w:rsid w:val="00406C40"/>
    <w:rsid w:val="0040772C"/>
    <w:rsid w:val="00407CA4"/>
    <w:rsid w:val="00410216"/>
    <w:rsid w:val="0041130E"/>
    <w:rsid w:val="00412152"/>
    <w:rsid w:val="00414A84"/>
    <w:rsid w:val="00415AEB"/>
    <w:rsid w:val="00417ED2"/>
    <w:rsid w:val="004229AB"/>
    <w:rsid w:val="0042366A"/>
    <w:rsid w:val="00426B35"/>
    <w:rsid w:val="00426BDC"/>
    <w:rsid w:val="00427606"/>
    <w:rsid w:val="00430501"/>
    <w:rsid w:val="00430564"/>
    <w:rsid w:val="004309FC"/>
    <w:rsid w:val="00430F2B"/>
    <w:rsid w:val="00432FEF"/>
    <w:rsid w:val="0043595F"/>
    <w:rsid w:val="00436EF7"/>
    <w:rsid w:val="00437645"/>
    <w:rsid w:val="00437FA8"/>
    <w:rsid w:val="0044151C"/>
    <w:rsid w:val="00442B4A"/>
    <w:rsid w:val="00442B90"/>
    <w:rsid w:val="00443A9C"/>
    <w:rsid w:val="00443DCD"/>
    <w:rsid w:val="0044543C"/>
    <w:rsid w:val="00445ACE"/>
    <w:rsid w:val="00445BC6"/>
    <w:rsid w:val="004470CE"/>
    <w:rsid w:val="00450C36"/>
    <w:rsid w:val="00451DA6"/>
    <w:rsid w:val="00456514"/>
    <w:rsid w:val="004577FC"/>
    <w:rsid w:val="00457B2D"/>
    <w:rsid w:val="004609E3"/>
    <w:rsid w:val="00463554"/>
    <w:rsid w:val="004637F1"/>
    <w:rsid w:val="004651FC"/>
    <w:rsid w:val="0046576D"/>
    <w:rsid w:val="00465AA1"/>
    <w:rsid w:val="00466376"/>
    <w:rsid w:val="00467312"/>
    <w:rsid w:val="004675D3"/>
    <w:rsid w:val="00471169"/>
    <w:rsid w:val="00473E62"/>
    <w:rsid w:val="004778A4"/>
    <w:rsid w:val="00477C5F"/>
    <w:rsid w:val="00481537"/>
    <w:rsid w:val="00482334"/>
    <w:rsid w:val="0048293E"/>
    <w:rsid w:val="00484E48"/>
    <w:rsid w:val="00484E7F"/>
    <w:rsid w:val="004860BF"/>
    <w:rsid w:val="00486230"/>
    <w:rsid w:val="00491205"/>
    <w:rsid w:val="0049147B"/>
    <w:rsid w:val="004916BE"/>
    <w:rsid w:val="00493A78"/>
    <w:rsid w:val="00493C43"/>
    <w:rsid w:val="0049567E"/>
    <w:rsid w:val="0049690D"/>
    <w:rsid w:val="004972AD"/>
    <w:rsid w:val="00497CA7"/>
    <w:rsid w:val="00497D03"/>
    <w:rsid w:val="004A3F4D"/>
    <w:rsid w:val="004A4AE0"/>
    <w:rsid w:val="004A6169"/>
    <w:rsid w:val="004A71CF"/>
    <w:rsid w:val="004B0D4E"/>
    <w:rsid w:val="004B3C4D"/>
    <w:rsid w:val="004B4430"/>
    <w:rsid w:val="004B66BB"/>
    <w:rsid w:val="004B7F72"/>
    <w:rsid w:val="004C1574"/>
    <w:rsid w:val="004C15A9"/>
    <w:rsid w:val="004C2930"/>
    <w:rsid w:val="004C3660"/>
    <w:rsid w:val="004C3D14"/>
    <w:rsid w:val="004C5CC5"/>
    <w:rsid w:val="004C6ADC"/>
    <w:rsid w:val="004C7BA9"/>
    <w:rsid w:val="004D16F9"/>
    <w:rsid w:val="004D3961"/>
    <w:rsid w:val="004D3A1A"/>
    <w:rsid w:val="004D53C4"/>
    <w:rsid w:val="004D548B"/>
    <w:rsid w:val="004D6B7B"/>
    <w:rsid w:val="004E42C2"/>
    <w:rsid w:val="004E4D58"/>
    <w:rsid w:val="004E52ED"/>
    <w:rsid w:val="004F16D5"/>
    <w:rsid w:val="004F22EF"/>
    <w:rsid w:val="004F2C83"/>
    <w:rsid w:val="004F2D6C"/>
    <w:rsid w:val="004F2E12"/>
    <w:rsid w:val="004F461F"/>
    <w:rsid w:val="004F79D3"/>
    <w:rsid w:val="004F7BE9"/>
    <w:rsid w:val="00500DDE"/>
    <w:rsid w:val="00503313"/>
    <w:rsid w:val="0050412E"/>
    <w:rsid w:val="005079AD"/>
    <w:rsid w:val="00511187"/>
    <w:rsid w:val="00516E59"/>
    <w:rsid w:val="00521DD5"/>
    <w:rsid w:val="0052492F"/>
    <w:rsid w:val="005264A5"/>
    <w:rsid w:val="00527B8A"/>
    <w:rsid w:val="00531776"/>
    <w:rsid w:val="00532852"/>
    <w:rsid w:val="005358B2"/>
    <w:rsid w:val="005363AA"/>
    <w:rsid w:val="00537669"/>
    <w:rsid w:val="00537BCA"/>
    <w:rsid w:val="005401F2"/>
    <w:rsid w:val="005411F1"/>
    <w:rsid w:val="00543F37"/>
    <w:rsid w:val="00544891"/>
    <w:rsid w:val="005462D7"/>
    <w:rsid w:val="00546820"/>
    <w:rsid w:val="00547039"/>
    <w:rsid w:val="0054762A"/>
    <w:rsid w:val="0054763D"/>
    <w:rsid w:val="0055003B"/>
    <w:rsid w:val="0055041A"/>
    <w:rsid w:val="00552764"/>
    <w:rsid w:val="00552A77"/>
    <w:rsid w:val="00552B63"/>
    <w:rsid w:val="0055440E"/>
    <w:rsid w:val="00554FA7"/>
    <w:rsid w:val="00555522"/>
    <w:rsid w:val="00555EED"/>
    <w:rsid w:val="00556010"/>
    <w:rsid w:val="00556A0F"/>
    <w:rsid w:val="00556F27"/>
    <w:rsid w:val="00557C1F"/>
    <w:rsid w:val="00562EA4"/>
    <w:rsid w:val="005631BE"/>
    <w:rsid w:val="005639B2"/>
    <w:rsid w:val="00564D93"/>
    <w:rsid w:val="00565023"/>
    <w:rsid w:val="005658F3"/>
    <w:rsid w:val="005665E7"/>
    <w:rsid w:val="00570BEE"/>
    <w:rsid w:val="00571F60"/>
    <w:rsid w:val="00572314"/>
    <w:rsid w:val="00572433"/>
    <w:rsid w:val="00572808"/>
    <w:rsid w:val="00573340"/>
    <w:rsid w:val="005744CE"/>
    <w:rsid w:val="00580D1D"/>
    <w:rsid w:val="005812D5"/>
    <w:rsid w:val="005812EF"/>
    <w:rsid w:val="0058189E"/>
    <w:rsid w:val="00582943"/>
    <w:rsid w:val="005841A3"/>
    <w:rsid w:val="00584D96"/>
    <w:rsid w:val="00585784"/>
    <w:rsid w:val="00585CE6"/>
    <w:rsid w:val="00585DE9"/>
    <w:rsid w:val="00591694"/>
    <w:rsid w:val="0059290E"/>
    <w:rsid w:val="00592F50"/>
    <w:rsid w:val="00594563"/>
    <w:rsid w:val="005971C3"/>
    <w:rsid w:val="00597442"/>
    <w:rsid w:val="005A0B93"/>
    <w:rsid w:val="005A12C6"/>
    <w:rsid w:val="005A15A2"/>
    <w:rsid w:val="005A1983"/>
    <w:rsid w:val="005A3BDC"/>
    <w:rsid w:val="005A502C"/>
    <w:rsid w:val="005A53C1"/>
    <w:rsid w:val="005A6736"/>
    <w:rsid w:val="005B0639"/>
    <w:rsid w:val="005B0897"/>
    <w:rsid w:val="005B09A1"/>
    <w:rsid w:val="005B1142"/>
    <w:rsid w:val="005B21B5"/>
    <w:rsid w:val="005B6D6B"/>
    <w:rsid w:val="005B767A"/>
    <w:rsid w:val="005C0269"/>
    <w:rsid w:val="005C2CED"/>
    <w:rsid w:val="005C56CF"/>
    <w:rsid w:val="005D0833"/>
    <w:rsid w:val="005D54C9"/>
    <w:rsid w:val="005D5ECE"/>
    <w:rsid w:val="005E0291"/>
    <w:rsid w:val="005E30AC"/>
    <w:rsid w:val="005E3BAB"/>
    <w:rsid w:val="005E49F1"/>
    <w:rsid w:val="005E5B8B"/>
    <w:rsid w:val="005E74AF"/>
    <w:rsid w:val="005E7516"/>
    <w:rsid w:val="005F24B8"/>
    <w:rsid w:val="005F4284"/>
    <w:rsid w:val="005F43D5"/>
    <w:rsid w:val="005F44BA"/>
    <w:rsid w:val="005F4906"/>
    <w:rsid w:val="005F7348"/>
    <w:rsid w:val="00601345"/>
    <w:rsid w:val="00602AC9"/>
    <w:rsid w:val="0060384D"/>
    <w:rsid w:val="00605071"/>
    <w:rsid w:val="0060543A"/>
    <w:rsid w:val="00605DE8"/>
    <w:rsid w:val="0060790C"/>
    <w:rsid w:val="006122DE"/>
    <w:rsid w:val="00612C49"/>
    <w:rsid w:val="00615883"/>
    <w:rsid w:val="00615B80"/>
    <w:rsid w:val="00617CCA"/>
    <w:rsid w:val="0062095B"/>
    <w:rsid w:val="00620AE9"/>
    <w:rsid w:val="00621277"/>
    <w:rsid w:val="00621924"/>
    <w:rsid w:val="00622455"/>
    <w:rsid w:val="006245B9"/>
    <w:rsid w:val="00626048"/>
    <w:rsid w:val="00626A1A"/>
    <w:rsid w:val="00626DF1"/>
    <w:rsid w:val="00627074"/>
    <w:rsid w:val="0062723A"/>
    <w:rsid w:val="0063221C"/>
    <w:rsid w:val="0063286B"/>
    <w:rsid w:val="00632FAF"/>
    <w:rsid w:val="006349AC"/>
    <w:rsid w:val="006350D7"/>
    <w:rsid w:val="00635931"/>
    <w:rsid w:val="006400A2"/>
    <w:rsid w:val="006409C2"/>
    <w:rsid w:val="00640A3C"/>
    <w:rsid w:val="00641705"/>
    <w:rsid w:val="00642D01"/>
    <w:rsid w:val="006437DD"/>
    <w:rsid w:val="006445CF"/>
    <w:rsid w:val="00644C71"/>
    <w:rsid w:val="00645A87"/>
    <w:rsid w:val="006461C9"/>
    <w:rsid w:val="0065060B"/>
    <w:rsid w:val="0065265A"/>
    <w:rsid w:val="00653057"/>
    <w:rsid w:val="006536A7"/>
    <w:rsid w:val="006545D9"/>
    <w:rsid w:val="006566CE"/>
    <w:rsid w:val="00657A70"/>
    <w:rsid w:val="00657D8F"/>
    <w:rsid w:val="00661D8E"/>
    <w:rsid w:val="00661E1E"/>
    <w:rsid w:val="006636F3"/>
    <w:rsid w:val="00665573"/>
    <w:rsid w:val="00676FAF"/>
    <w:rsid w:val="00677D89"/>
    <w:rsid w:val="00682714"/>
    <w:rsid w:val="0068411D"/>
    <w:rsid w:val="006852EB"/>
    <w:rsid w:val="00685868"/>
    <w:rsid w:val="006878F5"/>
    <w:rsid w:val="0069056C"/>
    <w:rsid w:val="00690EE1"/>
    <w:rsid w:val="00693112"/>
    <w:rsid w:val="00693DE2"/>
    <w:rsid w:val="0069423A"/>
    <w:rsid w:val="0069687F"/>
    <w:rsid w:val="006A3CF3"/>
    <w:rsid w:val="006A454F"/>
    <w:rsid w:val="006A45F3"/>
    <w:rsid w:val="006A49F9"/>
    <w:rsid w:val="006A6F18"/>
    <w:rsid w:val="006A78C1"/>
    <w:rsid w:val="006B0918"/>
    <w:rsid w:val="006B207C"/>
    <w:rsid w:val="006B437F"/>
    <w:rsid w:val="006B556F"/>
    <w:rsid w:val="006B6DAB"/>
    <w:rsid w:val="006B76A9"/>
    <w:rsid w:val="006C4A22"/>
    <w:rsid w:val="006C6C47"/>
    <w:rsid w:val="006D1CD7"/>
    <w:rsid w:val="006D1E26"/>
    <w:rsid w:val="006D25B9"/>
    <w:rsid w:val="006D2667"/>
    <w:rsid w:val="006D32DA"/>
    <w:rsid w:val="006D4EDB"/>
    <w:rsid w:val="006D6821"/>
    <w:rsid w:val="006D6C20"/>
    <w:rsid w:val="006E0A11"/>
    <w:rsid w:val="006E29D7"/>
    <w:rsid w:val="006E4CF0"/>
    <w:rsid w:val="006E679D"/>
    <w:rsid w:val="006E7CE4"/>
    <w:rsid w:val="006F12F3"/>
    <w:rsid w:val="006F2754"/>
    <w:rsid w:val="006F5DC8"/>
    <w:rsid w:val="006F64D8"/>
    <w:rsid w:val="006F7774"/>
    <w:rsid w:val="006FCE10"/>
    <w:rsid w:val="007006BC"/>
    <w:rsid w:val="007007CE"/>
    <w:rsid w:val="0070151C"/>
    <w:rsid w:val="007015F2"/>
    <w:rsid w:val="00702B00"/>
    <w:rsid w:val="00703341"/>
    <w:rsid w:val="00704312"/>
    <w:rsid w:val="0070615F"/>
    <w:rsid w:val="00710866"/>
    <w:rsid w:val="00710F2C"/>
    <w:rsid w:val="007114D1"/>
    <w:rsid w:val="00712AD4"/>
    <w:rsid w:val="007136EF"/>
    <w:rsid w:val="00713947"/>
    <w:rsid w:val="00715142"/>
    <w:rsid w:val="00715153"/>
    <w:rsid w:val="00720ABC"/>
    <w:rsid w:val="007232DB"/>
    <w:rsid w:val="00723EAC"/>
    <w:rsid w:val="00724EF8"/>
    <w:rsid w:val="0072667C"/>
    <w:rsid w:val="00726F2D"/>
    <w:rsid w:val="00727C06"/>
    <w:rsid w:val="00733250"/>
    <w:rsid w:val="007345A0"/>
    <w:rsid w:val="007356D1"/>
    <w:rsid w:val="00736CC6"/>
    <w:rsid w:val="00740C8E"/>
    <w:rsid w:val="007414B5"/>
    <w:rsid w:val="00741A90"/>
    <w:rsid w:val="007424D1"/>
    <w:rsid w:val="007449CD"/>
    <w:rsid w:val="007451D3"/>
    <w:rsid w:val="00745A21"/>
    <w:rsid w:val="00746A0F"/>
    <w:rsid w:val="00746D21"/>
    <w:rsid w:val="007508BE"/>
    <w:rsid w:val="00751E79"/>
    <w:rsid w:val="007525A3"/>
    <w:rsid w:val="00753939"/>
    <w:rsid w:val="007547B9"/>
    <w:rsid w:val="00757833"/>
    <w:rsid w:val="00760EA1"/>
    <w:rsid w:val="00761AFE"/>
    <w:rsid w:val="00762A1B"/>
    <w:rsid w:val="0076335E"/>
    <w:rsid w:val="00763634"/>
    <w:rsid w:val="00763C3D"/>
    <w:rsid w:val="00764F65"/>
    <w:rsid w:val="00767060"/>
    <w:rsid w:val="007711BD"/>
    <w:rsid w:val="007714B8"/>
    <w:rsid w:val="007745EF"/>
    <w:rsid w:val="00774F95"/>
    <w:rsid w:val="0077635B"/>
    <w:rsid w:val="007773D1"/>
    <w:rsid w:val="0077754E"/>
    <w:rsid w:val="00777A91"/>
    <w:rsid w:val="00780540"/>
    <w:rsid w:val="00780977"/>
    <w:rsid w:val="007810CF"/>
    <w:rsid w:val="00781312"/>
    <w:rsid w:val="007842F0"/>
    <w:rsid w:val="00784EA5"/>
    <w:rsid w:val="007866AD"/>
    <w:rsid w:val="007902B7"/>
    <w:rsid w:val="00790689"/>
    <w:rsid w:val="007933AD"/>
    <w:rsid w:val="00794455"/>
    <w:rsid w:val="00795FBD"/>
    <w:rsid w:val="00796160"/>
    <w:rsid w:val="00797229"/>
    <w:rsid w:val="007A0A40"/>
    <w:rsid w:val="007A158E"/>
    <w:rsid w:val="007A2FBE"/>
    <w:rsid w:val="007A43D9"/>
    <w:rsid w:val="007A6056"/>
    <w:rsid w:val="007A71EE"/>
    <w:rsid w:val="007A7AFE"/>
    <w:rsid w:val="007A7F5E"/>
    <w:rsid w:val="007B05A5"/>
    <w:rsid w:val="007B19E1"/>
    <w:rsid w:val="007B1B68"/>
    <w:rsid w:val="007B452B"/>
    <w:rsid w:val="007B538F"/>
    <w:rsid w:val="007B57A7"/>
    <w:rsid w:val="007B63FA"/>
    <w:rsid w:val="007B64B7"/>
    <w:rsid w:val="007C1996"/>
    <w:rsid w:val="007C4232"/>
    <w:rsid w:val="007C4A27"/>
    <w:rsid w:val="007C569C"/>
    <w:rsid w:val="007C5DE3"/>
    <w:rsid w:val="007D05DD"/>
    <w:rsid w:val="007D1303"/>
    <w:rsid w:val="007D28DB"/>
    <w:rsid w:val="007D6D3F"/>
    <w:rsid w:val="007E0A0E"/>
    <w:rsid w:val="007E105F"/>
    <w:rsid w:val="007E2A60"/>
    <w:rsid w:val="007E39F0"/>
    <w:rsid w:val="007E3AE6"/>
    <w:rsid w:val="007F22C8"/>
    <w:rsid w:val="007F55EA"/>
    <w:rsid w:val="007F564D"/>
    <w:rsid w:val="007F6232"/>
    <w:rsid w:val="007F7D34"/>
    <w:rsid w:val="008004CB"/>
    <w:rsid w:val="0080261C"/>
    <w:rsid w:val="00806047"/>
    <w:rsid w:val="0080701B"/>
    <w:rsid w:val="00810063"/>
    <w:rsid w:val="00810494"/>
    <w:rsid w:val="00810688"/>
    <w:rsid w:val="0081088B"/>
    <w:rsid w:val="00810C38"/>
    <w:rsid w:val="008110A5"/>
    <w:rsid w:val="008116F3"/>
    <w:rsid w:val="0081186C"/>
    <w:rsid w:val="00812B1E"/>
    <w:rsid w:val="00813399"/>
    <w:rsid w:val="0081561D"/>
    <w:rsid w:val="00817335"/>
    <w:rsid w:val="00817FFB"/>
    <w:rsid w:val="00822DAF"/>
    <w:rsid w:val="0082587E"/>
    <w:rsid w:val="00825AD9"/>
    <w:rsid w:val="008269FD"/>
    <w:rsid w:val="00826D6F"/>
    <w:rsid w:val="00830FC7"/>
    <w:rsid w:val="00831056"/>
    <w:rsid w:val="00832C6E"/>
    <w:rsid w:val="00834ACB"/>
    <w:rsid w:val="008355D5"/>
    <w:rsid w:val="008420DF"/>
    <w:rsid w:val="00843C09"/>
    <w:rsid w:val="00844CAF"/>
    <w:rsid w:val="00845A1C"/>
    <w:rsid w:val="00845DAD"/>
    <w:rsid w:val="00847F6B"/>
    <w:rsid w:val="00852566"/>
    <w:rsid w:val="00854013"/>
    <w:rsid w:val="008540C9"/>
    <w:rsid w:val="008552E8"/>
    <w:rsid w:val="00857550"/>
    <w:rsid w:val="00857BBC"/>
    <w:rsid w:val="00857CB0"/>
    <w:rsid w:val="00864AB9"/>
    <w:rsid w:val="00866173"/>
    <w:rsid w:val="0086675D"/>
    <w:rsid w:val="008712B1"/>
    <w:rsid w:val="0087296B"/>
    <w:rsid w:val="00875DA1"/>
    <w:rsid w:val="00875F2C"/>
    <w:rsid w:val="00876D48"/>
    <w:rsid w:val="00877864"/>
    <w:rsid w:val="00880BA4"/>
    <w:rsid w:val="00882761"/>
    <w:rsid w:val="0088293D"/>
    <w:rsid w:val="0088329F"/>
    <w:rsid w:val="008839CE"/>
    <w:rsid w:val="0088458B"/>
    <w:rsid w:val="008850AE"/>
    <w:rsid w:val="00885479"/>
    <w:rsid w:val="008877EC"/>
    <w:rsid w:val="008906E3"/>
    <w:rsid w:val="00890A1C"/>
    <w:rsid w:val="00891257"/>
    <w:rsid w:val="008938EA"/>
    <w:rsid w:val="008938EF"/>
    <w:rsid w:val="00895523"/>
    <w:rsid w:val="008957A3"/>
    <w:rsid w:val="0089614F"/>
    <w:rsid w:val="008A0BD0"/>
    <w:rsid w:val="008A11A6"/>
    <w:rsid w:val="008A2A0C"/>
    <w:rsid w:val="008A38C2"/>
    <w:rsid w:val="008A4DE9"/>
    <w:rsid w:val="008A663F"/>
    <w:rsid w:val="008B2A0A"/>
    <w:rsid w:val="008B33D0"/>
    <w:rsid w:val="008B3707"/>
    <w:rsid w:val="008B6591"/>
    <w:rsid w:val="008B6A9E"/>
    <w:rsid w:val="008B715B"/>
    <w:rsid w:val="008B7BEB"/>
    <w:rsid w:val="008C07D6"/>
    <w:rsid w:val="008C23EA"/>
    <w:rsid w:val="008C24B8"/>
    <w:rsid w:val="008C33A0"/>
    <w:rsid w:val="008C4E49"/>
    <w:rsid w:val="008C501A"/>
    <w:rsid w:val="008C5CA3"/>
    <w:rsid w:val="008C648A"/>
    <w:rsid w:val="008C6EA3"/>
    <w:rsid w:val="008C76E8"/>
    <w:rsid w:val="008D00AB"/>
    <w:rsid w:val="008D11FB"/>
    <w:rsid w:val="008D2EEE"/>
    <w:rsid w:val="008D3383"/>
    <w:rsid w:val="008D33F0"/>
    <w:rsid w:val="008E0B15"/>
    <w:rsid w:val="008E15B2"/>
    <w:rsid w:val="008E2875"/>
    <w:rsid w:val="008E38DF"/>
    <w:rsid w:val="008E3995"/>
    <w:rsid w:val="008E6C76"/>
    <w:rsid w:val="008F0059"/>
    <w:rsid w:val="008F0BFD"/>
    <w:rsid w:val="008F1B57"/>
    <w:rsid w:val="008F2776"/>
    <w:rsid w:val="008F2B15"/>
    <w:rsid w:val="008F388B"/>
    <w:rsid w:val="008F38D2"/>
    <w:rsid w:val="008F449C"/>
    <w:rsid w:val="008F5CF0"/>
    <w:rsid w:val="008F6C0A"/>
    <w:rsid w:val="008F6FE0"/>
    <w:rsid w:val="00903E08"/>
    <w:rsid w:val="0090403D"/>
    <w:rsid w:val="009059C6"/>
    <w:rsid w:val="00907303"/>
    <w:rsid w:val="009124E6"/>
    <w:rsid w:val="00912670"/>
    <w:rsid w:val="00912A7A"/>
    <w:rsid w:val="00914DD3"/>
    <w:rsid w:val="00915140"/>
    <w:rsid w:val="00920CAA"/>
    <w:rsid w:val="0092343E"/>
    <w:rsid w:val="00927771"/>
    <w:rsid w:val="00927C27"/>
    <w:rsid w:val="00927F25"/>
    <w:rsid w:val="0093251B"/>
    <w:rsid w:val="0093292F"/>
    <w:rsid w:val="0093385F"/>
    <w:rsid w:val="009343AF"/>
    <w:rsid w:val="00934BE7"/>
    <w:rsid w:val="00936253"/>
    <w:rsid w:val="00941955"/>
    <w:rsid w:val="00941E2F"/>
    <w:rsid w:val="00941F92"/>
    <w:rsid w:val="00944781"/>
    <w:rsid w:val="00944834"/>
    <w:rsid w:val="009456FD"/>
    <w:rsid w:val="00946AD8"/>
    <w:rsid w:val="009506B1"/>
    <w:rsid w:val="009510AB"/>
    <w:rsid w:val="0095428B"/>
    <w:rsid w:val="009547F0"/>
    <w:rsid w:val="00955A72"/>
    <w:rsid w:val="00961F41"/>
    <w:rsid w:val="00964898"/>
    <w:rsid w:val="009649E0"/>
    <w:rsid w:val="00967785"/>
    <w:rsid w:val="00971265"/>
    <w:rsid w:val="00972EE8"/>
    <w:rsid w:val="00973795"/>
    <w:rsid w:val="00974250"/>
    <w:rsid w:val="009766D1"/>
    <w:rsid w:val="00976D5A"/>
    <w:rsid w:val="0097701D"/>
    <w:rsid w:val="0097784B"/>
    <w:rsid w:val="00977F07"/>
    <w:rsid w:val="0098008C"/>
    <w:rsid w:val="0098399A"/>
    <w:rsid w:val="00985CDF"/>
    <w:rsid w:val="00986EE1"/>
    <w:rsid w:val="00987FFB"/>
    <w:rsid w:val="00990088"/>
    <w:rsid w:val="00990485"/>
    <w:rsid w:val="00992626"/>
    <w:rsid w:val="00993790"/>
    <w:rsid w:val="00995552"/>
    <w:rsid w:val="00996419"/>
    <w:rsid w:val="00997B26"/>
    <w:rsid w:val="00997CC1"/>
    <w:rsid w:val="00997F55"/>
    <w:rsid w:val="009A69D1"/>
    <w:rsid w:val="009A7244"/>
    <w:rsid w:val="009B0A26"/>
    <w:rsid w:val="009B1BE2"/>
    <w:rsid w:val="009B5A00"/>
    <w:rsid w:val="009B5B4B"/>
    <w:rsid w:val="009B62A8"/>
    <w:rsid w:val="009B6A18"/>
    <w:rsid w:val="009B6C42"/>
    <w:rsid w:val="009B75BD"/>
    <w:rsid w:val="009B785B"/>
    <w:rsid w:val="009B7D7B"/>
    <w:rsid w:val="009C188E"/>
    <w:rsid w:val="009C26AB"/>
    <w:rsid w:val="009C655C"/>
    <w:rsid w:val="009C6B14"/>
    <w:rsid w:val="009C7138"/>
    <w:rsid w:val="009D1742"/>
    <w:rsid w:val="009D1D77"/>
    <w:rsid w:val="009D1D82"/>
    <w:rsid w:val="009D1DBA"/>
    <w:rsid w:val="009D247C"/>
    <w:rsid w:val="009D2784"/>
    <w:rsid w:val="009D28C2"/>
    <w:rsid w:val="009D4A05"/>
    <w:rsid w:val="009D70DA"/>
    <w:rsid w:val="009E0822"/>
    <w:rsid w:val="009E0B5A"/>
    <w:rsid w:val="009E3DC0"/>
    <w:rsid w:val="009E4ACA"/>
    <w:rsid w:val="009E5706"/>
    <w:rsid w:val="009E72B4"/>
    <w:rsid w:val="009F006E"/>
    <w:rsid w:val="009F1245"/>
    <w:rsid w:val="009F15A4"/>
    <w:rsid w:val="009F43A4"/>
    <w:rsid w:val="00A00028"/>
    <w:rsid w:val="00A00158"/>
    <w:rsid w:val="00A012FA"/>
    <w:rsid w:val="00A01B62"/>
    <w:rsid w:val="00A026A9"/>
    <w:rsid w:val="00A03BBB"/>
    <w:rsid w:val="00A0496B"/>
    <w:rsid w:val="00A04E51"/>
    <w:rsid w:val="00A0501C"/>
    <w:rsid w:val="00A052AB"/>
    <w:rsid w:val="00A07436"/>
    <w:rsid w:val="00A07FC7"/>
    <w:rsid w:val="00A122DA"/>
    <w:rsid w:val="00A154C9"/>
    <w:rsid w:val="00A1666F"/>
    <w:rsid w:val="00A17D4C"/>
    <w:rsid w:val="00A17E58"/>
    <w:rsid w:val="00A20603"/>
    <w:rsid w:val="00A207AC"/>
    <w:rsid w:val="00A27AE0"/>
    <w:rsid w:val="00A300EE"/>
    <w:rsid w:val="00A3046A"/>
    <w:rsid w:val="00A32DF0"/>
    <w:rsid w:val="00A33066"/>
    <w:rsid w:val="00A3351A"/>
    <w:rsid w:val="00A33913"/>
    <w:rsid w:val="00A34F09"/>
    <w:rsid w:val="00A36296"/>
    <w:rsid w:val="00A40F1C"/>
    <w:rsid w:val="00A413A8"/>
    <w:rsid w:val="00A4213C"/>
    <w:rsid w:val="00A43682"/>
    <w:rsid w:val="00A4383E"/>
    <w:rsid w:val="00A43FA2"/>
    <w:rsid w:val="00A53E70"/>
    <w:rsid w:val="00A568A2"/>
    <w:rsid w:val="00A56E8F"/>
    <w:rsid w:val="00A5756A"/>
    <w:rsid w:val="00A61ED0"/>
    <w:rsid w:val="00A6211D"/>
    <w:rsid w:val="00A64207"/>
    <w:rsid w:val="00A64717"/>
    <w:rsid w:val="00A66CA3"/>
    <w:rsid w:val="00A71A42"/>
    <w:rsid w:val="00A7236B"/>
    <w:rsid w:val="00A72518"/>
    <w:rsid w:val="00A72CBD"/>
    <w:rsid w:val="00A74077"/>
    <w:rsid w:val="00A745B0"/>
    <w:rsid w:val="00A75F54"/>
    <w:rsid w:val="00A76B1E"/>
    <w:rsid w:val="00A803EC"/>
    <w:rsid w:val="00A80E14"/>
    <w:rsid w:val="00A86157"/>
    <w:rsid w:val="00A86EF6"/>
    <w:rsid w:val="00A90341"/>
    <w:rsid w:val="00A90520"/>
    <w:rsid w:val="00A90551"/>
    <w:rsid w:val="00A90D2F"/>
    <w:rsid w:val="00A910D7"/>
    <w:rsid w:val="00A912C1"/>
    <w:rsid w:val="00A935AA"/>
    <w:rsid w:val="00A94C04"/>
    <w:rsid w:val="00A96161"/>
    <w:rsid w:val="00A97D98"/>
    <w:rsid w:val="00A97E44"/>
    <w:rsid w:val="00AA08FB"/>
    <w:rsid w:val="00AA1827"/>
    <w:rsid w:val="00AA257E"/>
    <w:rsid w:val="00AA282C"/>
    <w:rsid w:val="00AA5C0F"/>
    <w:rsid w:val="00AA6540"/>
    <w:rsid w:val="00AA7006"/>
    <w:rsid w:val="00AA7125"/>
    <w:rsid w:val="00AA7275"/>
    <w:rsid w:val="00AA7ECD"/>
    <w:rsid w:val="00AA7F15"/>
    <w:rsid w:val="00AB081B"/>
    <w:rsid w:val="00AB4219"/>
    <w:rsid w:val="00AB5624"/>
    <w:rsid w:val="00AB569E"/>
    <w:rsid w:val="00AB5C09"/>
    <w:rsid w:val="00AB69D4"/>
    <w:rsid w:val="00AB7858"/>
    <w:rsid w:val="00AC33D7"/>
    <w:rsid w:val="00AC367D"/>
    <w:rsid w:val="00AC3B70"/>
    <w:rsid w:val="00AC4196"/>
    <w:rsid w:val="00AC4ED7"/>
    <w:rsid w:val="00AD11BD"/>
    <w:rsid w:val="00AD2A3A"/>
    <w:rsid w:val="00AD7F40"/>
    <w:rsid w:val="00AE1E14"/>
    <w:rsid w:val="00AE21C3"/>
    <w:rsid w:val="00AE41A7"/>
    <w:rsid w:val="00AE5598"/>
    <w:rsid w:val="00AE693D"/>
    <w:rsid w:val="00AE6FE1"/>
    <w:rsid w:val="00AF0DC5"/>
    <w:rsid w:val="00AF1252"/>
    <w:rsid w:val="00AF14A9"/>
    <w:rsid w:val="00AF19DA"/>
    <w:rsid w:val="00AF2704"/>
    <w:rsid w:val="00AF279A"/>
    <w:rsid w:val="00AF3CA3"/>
    <w:rsid w:val="00AF515D"/>
    <w:rsid w:val="00AF518B"/>
    <w:rsid w:val="00AF521A"/>
    <w:rsid w:val="00AF7D2C"/>
    <w:rsid w:val="00B00254"/>
    <w:rsid w:val="00B05414"/>
    <w:rsid w:val="00B06026"/>
    <w:rsid w:val="00B10812"/>
    <w:rsid w:val="00B111A2"/>
    <w:rsid w:val="00B12416"/>
    <w:rsid w:val="00B13040"/>
    <w:rsid w:val="00B13CDC"/>
    <w:rsid w:val="00B14112"/>
    <w:rsid w:val="00B14E21"/>
    <w:rsid w:val="00B1576A"/>
    <w:rsid w:val="00B2105A"/>
    <w:rsid w:val="00B223D5"/>
    <w:rsid w:val="00B22B69"/>
    <w:rsid w:val="00B234CD"/>
    <w:rsid w:val="00B23855"/>
    <w:rsid w:val="00B2439C"/>
    <w:rsid w:val="00B2656B"/>
    <w:rsid w:val="00B26F4D"/>
    <w:rsid w:val="00B3213F"/>
    <w:rsid w:val="00B3238E"/>
    <w:rsid w:val="00B33BCE"/>
    <w:rsid w:val="00B34C7F"/>
    <w:rsid w:val="00B35D16"/>
    <w:rsid w:val="00B40ACA"/>
    <w:rsid w:val="00B41335"/>
    <w:rsid w:val="00B4224F"/>
    <w:rsid w:val="00B43BFC"/>
    <w:rsid w:val="00B44916"/>
    <w:rsid w:val="00B456B9"/>
    <w:rsid w:val="00B45BB6"/>
    <w:rsid w:val="00B46BE8"/>
    <w:rsid w:val="00B47DC0"/>
    <w:rsid w:val="00B52A91"/>
    <w:rsid w:val="00B53996"/>
    <w:rsid w:val="00B55750"/>
    <w:rsid w:val="00B62A7A"/>
    <w:rsid w:val="00B6401A"/>
    <w:rsid w:val="00B6536B"/>
    <w:rsid w:val="00B6672F"/>
    <w:rsid w:val="00B7193E"/>
    <w:rsid w:val="00B720F3"/>
    <w:rsid w:val="00B722BF"/>
    <w:rsid w:val="00B734C0"/>
    <w:rsid w:val="00B740AF"/>
    <w:rsid w:val="00B75CC6"/>
    <w:rsid w:val="00B75DA6"/>
    <w:rsid w:val="00B77C3E"/>
    <w:rsid w:val="00B8016D"/>
    <w:rsid w:val="00B8257B"/>
    <w:rsid w:val="00B8269C"/>
    <w:rsid w:val="00B82BEB"/>
    <w:rsid w:val="00B84663"/>
    <w:rsid w:val="00B8547B"/>
    <w:rsid w:val="00B85BA9"/>
    <w:rsid w:val="00B911DD"/>
    <w:rsid w:val="00B92182"/>
    <w:rsid w:val="00B9325F"/>
    <w:rsid w:val="00B9364D"/>
    <w:rsid w:val="00B9385E"/>
    <w:rsid w:val="00B938B3"/>
    <w:rsid w:val="00B93DA4"/>
    <w:rsid w:val="00B9446C"/>
    <w:rsid w:val="00B9536C"/>
    <w:rsid w:val="00B960DF"/>
    <w:rsid w:val="00B9633E"/>
    <w:rsid w:val="00B96445"/>
    <w:rsid w:val="00BA0A16"/>
    <w:rsid w:val="00BA36A3"/>
    <w:rsid w:val="00BA4619"/>
    <w:rsid w:val="00BA4A24"/>
    <w:rsid w:val="00BA7908"/>
    <w:rsid w:val="00BA7C02"/>
    <w:rsid w:val="00BB1019"/>
    <w:rsid w:val="00BB22DE"/>
    <w:rsid w:val="00BB3661"/>
    <w:rsid w:val="00BB3A40"/>
    <w:rsid w:val="00BB40D5"/>
    <w:rsid w:val="00BC44A7"/>
    <w:rsid w:val="00BC5739"/>
    <w:rsid w:val="00BC5EA3"/>
    <w:rsid w:val="00BD1307"/>
    <w:rsid w:val="00BD13C4"/>
    <w:rsid w:val="00BD14F8"/>
    <w:rsid w:val="00BD1694"/>
    <w:rsid w:val="00BD28E7"/>
    <w:rsid w:val="00BD4E73"/>
    <w:rsid w:val="00BD5ABD"/>
    <w:rsid w:val="00BD63E7"/>
    <w:rsid w:val="00BE1040"/>
    <w:rsid w:val="00BE31B0"/>
    <w:rsid w:val="00BE3437"/>
    <w:rsid w:val="00BE36CE"/>
    <w:rsid w:val="00BE4B28"/>
    <w:rsid w:val="00BE4E4C"/>
    <w:rsid w:val="00BE5833"/>
    <w:rsid w:val="00BE5A63"/>
    <w:rsid w:val="00BE6D04"/>
    <w:rsid w:val="00BE728B"/>
    <w:rsid w:val="00BF0BDD"/>
    <w:rsid w:val="00BF1A3E"/>
    <w:rsid w:val="00BF1CD7"/>
    <w:rsid w:val="00BF21F9"/>
    <w:rsid w:val="00BF26A1"/>
    <w:rsid w:val="00BF31D5"/>
    <w:rsid w:val="00BF4DF3"/>
    <w:rsid w:val="00BF6013"/>
    <w:rsid w:val="00BF6212"/>
    <w:rsid w:val="00BF76A3"/>
    <w:rsid w:val="00C00703"/>
    <w:rsid w:val="00C01A38"/>
    <w:rsid w:val="00C038DD"/>
    <w:rsid w:val="00C03E83"/>
    <w:rsid w:val="00C041D1"/>
    <w:rsid w:val="00C053A8"/>
    <w:rsid w:val="00C05B63"/>
    <w:rsid w:val="00C14B6F"/>
    <w:rsid w:val="00C155B5"/>
    <w:rsid w:val="00C20561"/>
    <w:rsid w:val="00C209EF"/>
    <w:rsid w:val="00C20DB3"/>
    <w:rsid w:val="00C218D8"/>
    <w:rsid w:val="00C244A0"/>
    <w:rsid w:val="00C253F5"/>
    <w:rsid w:val="00C254AB"/>
    <w:rsid w:val="00C2746C"/>
    <w:rsid w:val="00C3053C"/>
    <w:rsid w:val="00C43983"/>
    <w:rsid w:val="00C469E1"/>
    <w:rsid w:val="00C46DBA"/>
    <w:rsid w:val="00C5273C"/>
    <w:rsid w:val="00C5357F"/>
    <w:rsid w:val="00C55470"/>
    <w:rsid w:val="00C56C55"/>
    <w:rsid w:val="00C57161"/>
    <w:rsid w:val="00C578B8"/>
    <w:rsid w:val="00C60619"/>
    <w:rsid w:val="00C611C2"/>
    <w:rsid w:val="00C647A6"/>
    <w:rsid w:val="00C651CB"/>
    <w:rsid w:val="00C66426"/>
    <w:rsid w:val="00C7082B"/>
    <w:rsid w:val="00C71251"/>
    <w:rsid w:val="00C727B6"/>
    <w:rsid w:val="00C7344F"/>
    <w:rsid w:val="00C75F00"/>
    <w:rsid w:val="00C76874"/>
    <w:rsid w:val="00C81FCD"/>
    <w:rsid w:val="00C82A37"/>
    <w:rsid w:val="00C85522"/>
    <w:rsid w:val="00C85669"/>
    <w:rsid w:val="00C876DE"/>
    <w:rsid w:val="00C87823"/>
    <w:rsid w:val="00C87A41"/>
    <w:rsid w:val="00C87ACC"/>
    <w:rsid w:val="00C87C8F"/>
    <w:rsid w:val="00C90846"/>
    <w:rsid w:val="00C916B2"/>
    <w:rsid w:val="00C92C79"/>
    <w:rsid w:val="00C92EC3"/>
    <w:rsid w:val="00C92F12"/>
    <w:rsid w:val="00C93D6A"/>
    <w:rsid w:val="00C94D89"/>
    <w:rsid w:val="00C94F74"/>
    <w:rsid w:val="00CA0581"/>
    <w:rsid w:val="00CA2985"/>
    <w:rsid w:val="00CA2B66"/>
    <w:rsid w:val="00CA43EF"/>
    <w:rsid w:val="00CA6ACB"/>
    <w:rsid w:val="00CA7B47"/>
    <w:rsid w:val="00CB00FE"/>
    <w:rsid w:val="00CB3540"/>
    <w:rsid w:val="00CB4DB2"/>
    <w:rsid w:val="00CB4E30"/>
    <w:rsid w:val="00CB4E67"/>
    <w:rsid w:val="00CB66AA"/>
    <w:rsid w:val="00CB773C"/>
    <w:rsid w:val="00CB78BC"/>
    <w:rsid w:val="00CC12E7"/>
    <w:rsid w:val="00CC2466"/>
    <w:rsid w:val="00CC3AC0"/>
    <w:rsid w:val="00CC6E7C"/>
    <w:rsid w:val="00CC7CC7"/>
    <w:rsid w:val="00CD09E9"/>
    <w:rsid w:val="00CD0AB5"/>
    <w:rsid w:val="00CD11D0"/>
    <w:rsid w:val="00CD1D89"/>
    <w:rsid w:val="00CD270A"/>
    <w:rsid w:val="00CE072A"/>
    <w:rsid w:val="00CE2203"/>
    <w:rsid w:val="00CE35B2"/>
    <w:rsid w:val="00CE3B47"/>
    <w:rsid w:val="00CE59F2"/>
    <w:rsid w:val="00CF6123"/>
    <w:rsid w:val="00CF76B1"/>
    <w:rsid w:val="00CF7ECB"/>
    <w:rsid w:val="00D007BD"/>
    <w:rsid w:val="00D033AF"/>
    <w:rsid w:val="00D05524"/>
    <w:rsid w:val="00D06D01"/>
    <w:rsid w:val="00D07AE7"/>
    <w:rsid w:val="00D10EB6"/>
    <w:rsid w:val="00D153FF"/>
    <w:rsid w:val="00D15B1C"/>
    <w:rsid w:val="00D173F3"/>
    <w:rsid w:val="00D17597"/>
    <w:rsid w:val="00D20095"/>
    <w:rsid w:val="00D21420"/>
    <w:rsid w:val="00D249FA"/>
    <w:rsid w:val="00D30A75"/>
    <w:rsid w:val="00D31D7C"/>
    <w:rsid w:val="00D34063"/>
    <w:rsid w:val="00D341FB"/>
    <w:rsid w:val="00D3489E"/>
    <w:rsid w:val="00D41531"/>
    <w:rsid w:val="00D41876"/>
    <w:rsid w:val="00D43D1B"/>
    <w:rsid w:val="00D4641D"/>
    <w:rsid w:val="00D47A23"/>
    <w:rsid w:val="00D524B7"/>
    <w:rsid w:val="00D52E40"/>
    <w:rsid w:val="00D535FC"/>
    <w:rsid w:val="00D552E2"/>
    <w:rsid w:val="00D554FE"/>
    <w:rsid w:val="00D55722"/>
    <w:rsid w:val="00D55FF2"/>
    <w:rsid w:val="00D5606D"/>
    <w:rsid w:val="00D60978"/>
    <w:rsid w:val="00D60AFB"/>
    <w:rsid w:val="00D62F03"/>
    <w:rsid w:val="00D64A8B"/>
    <w:rsid w:val="00D65C08"/>
    <w:rsid w:val="00D66685"/>
    <w:rsid w:val="00D66DE3"/>
    <w:rsid w:val="00D704C3"/>
    <w:rsid w:val="00D71F8C"/>
    <w:rsid w:val="00D723CA"/>
    <w:rsid w:val="00D73023"/>
    <w:rsid w:val="00D7366D"/>
    <w:rsid w:val="00D73D3C"/>
    <w:rsid w:val="00D74E9B"/>
    <w:rsid w:val="00D751C7"/>
    <w:rsid w:val="00D76BDF"/>
    <w:rsid w:val="00D7728D"/>
    <w:rsid w:val="00D806E8"/>
    <w:rsid w:val="00D81616"/>
    <w:rsid w:val="00D8297C"/>
    <w:rsid w:val="00D85B01"/>
    <w:rsid w:val="00D8627B"/>
    <w:rsid w:val="00D87649"/>
    <w:rsid w:val="00D90F7C"/>
    <w:rsid w:val="00D90FA1"/>
    <w:rsid w:val="00D92D43"/>
    <w:rsid w:val="00D9312C"/>
    <w:rsid w:val="00D956A4"/>
    <w:rsid w:val="00D96D91"/>
    <w:rsid w:val="00D975C9"/>
    <w:rsid w:val="00DA02E4"/>
    <w:rsid w:val="00DA3351"/>
    <w:rsid w:val="00DA5199"/>
    <w:rsid w:val="00DA572E"/>
    <w:rsid w:val="00DA57DF"/>
    <w:rsid w:val="00DA6541"/>
    <w:rsid w:val="00DA67C7"/>
    <w:rsid w:val="00DB0F60"/>
    <w:rsid w:val="00DB1B2B"/>
    <w:rsid w:val="00DB2113"/>
    <w:rsid w:val="00DB50B4"/>
    <w:rsid w:val="00DB5FD0"/>
    <w:rsid w:val="00DB6481"/>
    <w:rsid w:val="00DC02F3"/>
    <w:rsid w:val="00DC0D12"/>
    <w:rsid w:val="00DC1502"/>
    <w:rsid w:val="00DC2D5E"/>
    <w:rsid w:val="00DC6BE8"/>
    <w:rsid w:val="00DD037B"/>
    <w:rsid w:val="00DD0C59"/>
    <w:rsid w:val="00DD24D7"/>
    <w:rsid w:val="00DD3469"/>
    <w:rsid w:val="00DD365D"/>
    <w:rsid w:val="00DD45E1"/>
    <w:rsid w:val="00DD627E"/>
    <w:rsid w:val="00DD6C19"/>
    <w:rsid w:val="00DD7ABB"/>
    <w:rsid w:val="00DE1026"/>
    <w:rsid w:val="00DE2636"/>
    <w:rsid w:val="00DE2A2C"/>
    <w:rsid w:val="00DE3267"/>
    <w:rsid w:val="00DE4772"/>
    <w:rsid w:val="00DE512C"/>
    <w:rsid w:val="00DE575D"/>
    <w:rsid w:val="00DE78F6"/>
    <w:rsid w:val="00DF08E7"/>
    <w:rsid w:val="00DF1A13"/>
    <w:rsid w:val="00DF1AF3"/>
    <w:rsid w:val="00DF1B01"/>
    <w:rsid w:val="00DF42BE"/>
    <w:rsid w:val="00DF4654"/>
    <w:rsid w:val="00DF4AC4"/>
    <w:rsid w:val="00DF4CEA"/>
    <w:rsid w:val="00DF5FE5"/>
    <w:rsid w:val="00E01B08"/>
    <w:rsid w:val="00E01BBF"/>
    <w:rsid w:val="00E06CE0"/>
    <w:rsid w:val="00E074F5"/>
    <w:rsid w:val="00E07B57"/>
    <w:rsid w:val="00E100F5"/>
    <w:rsid w:val="00E10431"/>
    <w:rsid w:val="00E124B3"/>
    <w:rsid w:val="00E137BF"/>
    <w:rsid w:val="00E169A2"/>
    <w:rsid w:val="00E17B10"/>
    <w:rsid w:val="00E17C98"/>
    <w:rsid w:val="00E235AC"/>
    <w:rsid w:val="00E26541"/>
    <w:rsid w:val="00E27E76"/>
    <w:rsid w:val="00E32534"/>
    <w:rsid w:val="00E3380A"/>
    <w:rsid w:val="00E346D8"/>
    <w:rsid w:val="00E34D28"/>
    <w:rsid w:val="00E35424"/>
    <w:rsid w:val="00E36E38"/>
    <w:rsid w:val="00E37B94"/>
    <w:rsid w:val="00E40848"/>
    <w:rsid w:val="00E42C17"/>
    <w:rsid w:val="00E42CD3"/>
    <w:rsid w:val="00E435F3"/>
    <w:rsid w:val="00E44A4F"/>
    <w:rsid w:val="00E4666B"/>
    <w:rsid w:val="00E46C54"/>
    <w:rsid w:val="00E525EF"/>
    <w:rsid w:val="00E54001"/>
    <w:rsid w:val="00E560A9"/>
    <w:rsid w:val="00E610ED"/>
    <w:rsid w:val="00E61DB2"/>
    <w:rsid w:val="00E64142"/>
    <w:rsid w:val="00E645C4"/>
    <w:rsid w:val="00E648D1"/>
    <w:rsid w:val="00E67515"/>
    <w:rsid w:val="00E67B9D"/>
    <w:rsid w:val="00E71166"/>
    <w:rsid w:val="00E72928"/>
    <w:rsid w:val="00E75A3C"/>
    <w:rsid w:val="00E77AD8"/>
    <w:rsid w:val="00E81873"/>
    <w:rsid w:val="00E81E74"/>
    <w:rsid w:val="00E81E9D"/>
    <w:rsid w:val="00E8299A"/>
    <w:rsid w:val="00E82EAA"/>
    <w:rsid w:val="00E8416C"/>
    <w:rsid w:val="00E84BB2"/>
    <w:rsid w:val="00E84F95"/>
    <w:rsid w:val="00E86596"/>
    <w:rsid w:val="00E86E36"/>
    <w:rsid w:val="00E901BB"/>
    <w:rsid w:val="00E90DF9"/>
    <w:rsid w:val="00E914B3"/>
    <w:rsid w:val="00E92336"/>
    <w:rsid w:val="00E92A33"/>
    <w:rsid w:val="00E93526"/>
    <w:rsid w:val="00E940F9"/>
    <w:rsid w:val="00E95B8C"/>
    <w:rsid w:val="00E971C9"/>
    <w:rsid w:val="00EA0AF2"/>
    <w:rsid w:val="00EA1753"/>
    <w:rsid w:val="00EA3126"/>
    <w:rsid w:val="00EA7568"/>
    <w:rsid w:val="00EA7977"/>
    <w:rsid w:val="00EB00B5"/>
    <w:rsid w:val="00EB04BB"/>
    <w:rsid w:val="00EB3B3E"/>
    <w:rsid w:val="00EB45CA"/>
    <w:rsid w:val="00EB46D7"/>
    <w:rsid w:val="00EB5B5D"/>
    <w:rsid w:val="00EB63E9"/>
    <w:rsid w:val="00EB6463"/>
    <w:rsid w:val="00EB7EE8"/>
    <w:rsid w:val="00EC03D0"/>
    <w:rsid w:val="00EC13C8"/>
    <w:rsid w:val="00EC2849"/>
    <w:rsid w:val="00EC3D49"/>
    <w:rsid w:val="00EC5D64"/>
    <w:rsid w:val="00EC77B2"/>
    <w:rsid w:val="00ED0F2F"/>
    <w:rsid w:val="00ED27F3"/>
    <w:rsid w:val="00ED3911"/>
    <w:rsid w:val="00ED65C8"/>
    <w:rsid w:val="00ED6C46"/>
    <w:rsid w:val="00EE1277"/>
    <w:rsid w:val="00EE14C6"/>
    <w:rsid w:val="00EE36CE"/>
    <w:rsid w:val="00EE3C95"/>
    <w:rsid w:val="00EE61CD"/>
    <w:rsid w:val="00EE71C2"/>
    <w:rsid w:val="00EF0059"/>
    <w:rsid w:val="00EF2195"/>
    <w:rsid w:val="00EF31DF"/>
    <w:rsid w:val="00EF4760"/>
    <w:rsid w:val="00EF4814"/>
    <w:rsid w:val="00EF4972"/>
    <w:rsid w:val="00EF6648"/>
    <w:rsid w:val="00EF757B"/>
    <w:rsid w:val="00EF7801"/>
    <w:rsid w:val="00F006B5"/>
    <w:rsid w:val="00F00C18"/>
    <w:rsid w:val="00F04996"/>
    <w:rsid w:val="00F0648D"/>
    <w:rsid w:val="00F11E19"/>
    <w:rsid w:val="00F1314E"/>
    <w:rsid w:val="00F13F29"/>
    <w:rsid w:val="00F1423F"/>
    <w:rsid w:val="00F200F1"/>
    <w:rsid w:val="00F2100A"/>
    <w:rsid w:val="00F22891"/>
    <w:rsid w:val="00F27045"/>
    <w:rsid w:val="00F30D57"/>
    <w:rsid w:val="00F31744"/>
    <w:rsid w:val="00F3253F"/>
    <w:rsid w:val="00F35A67"/>
    <w:rsid w:val="00F36A83"/>
    <w:rsid w:val="00F41DF0"/>
    <w:rsid w:val="00F45556"/>
    <w:rsid w:val="00F466F8"/>
    <w:rsid w:val="00F5081E"/>
    <w:rsid w:val="00F5695C"/>
    <w:rsid w:val="00F57C36"/>
    <w:rsid w:val="00F63A61"/>
    <w:rsid w:val="00F6488B"/>
    <w:rsid w:val="00F65BE1"/>
    <w:rsid w:val="00F66250"/>
    <w:rsid w:val="00F662D7"/>
    <w:rsid w:val="00F700E0"/>
    <w:rsid w:val="00F70F1F"/>
    <w:rsid w:val="00F71B6B"/>
    <w:rsid w:val="00F7396F"/>
    <w:rsid w:val="00F73B9F"/>
    <w:rsid w:val="00F76ED3"/>
    <w:rsid w:val="00F7704E"/>
    <w:rsid w:val="00F802A7"/>
    <w:rsid w:val="00F80443"/>
    <w:rsid w:val="00F82AB0"/>
    <w:rsid w:val="00F83D18"/>
    <w:rsid w:val="00F937BF"/>
    <w:rsid w:val="00F9475A"/>
    <w:rsid w:val="00F9520F"/>
    <w:rsid w:val="00FA0A5F"/>
    <w:rsid w:val="00FA15E8"/>
    <w:rsid w:val="00FA3512"/>
    <w:rsid w:val="00FA4EDC"/>
    <w:rsid w:val="00FA6FD5"/>
    <w:rsid w:val="00FA7369"/>
    <w:rsid w:val="00FA77E2"/>
    <w:rsid w:val="00FA7ACA"/>
    <w:rsid w:val="00FB032C"/>
    <w:rsid w:val="00FB0686"/>
    <w:rsid w:val="00FB0D1D"/>
    <w:rsid w:val="00FB41EF"/>
    <w:rsid w:val="00FC0253"/>
    <w:rsid w:val="00FC07CB"/>
    <w:rsid w:val="00FC1C43"/>
    <w:rsid w:val="00FC4051"/>
    <w:rsid w:val="00FC4388"/>
    <w:rsid w:val="00FC4958"/>
    <w:rsid w:val="00FC5AE4"/>
    <w:rsid w:val="00FC5BD2"/>
    <w:rsid w:val="00FC65E5"/>
    <w:rsid w:val="00FD00DE"/>
    <w:rsid w:val="00FD09DD"/>
    <w:rsid w:val="00FD1CE7"/>
    <w:rsid w:val="00FD33CB"/>
    <w:rsid w:val="00FD3E4C"/>
    <w:rsid w:val="00FD4917"/>
    <w:rsid w:val="00FD6957"/>
    <w:rsid w:val="00FD6AD2"/>
    <w:rsid w:val="00FD73CB"/>
    <w:rsid w:val="00FD77D7"/>
    <w:rsid w:val="00FE07B2"/>
    <w:rsid w:val="00FE220F"/>
    <w:rsid w:val="00FE329F"/>
    <w:rsid w:val="00FE6C83"/>
    <w:rsid w:val="00FE6FD1"/>
    <w:rsid w:val="00FF0DE5"/>
    <w:rsid w:val="00FF39DD"/>
    <w:rsid w:val="00FF61F0"/>
    <w:rsid w:val="00FF648B"/>
    <w:rsid w:val="00FF6829"/>
    <w:rsid w:val="0118DB04"/>
    <w:rsid w:val="012A36BC"/>
    <w:rsid w:val="0157875D"/>
    <w:rsid w:val="02B608B1"/>
    <w:rsid w:val="02CA51CF"/>
    <w:rsid w:val="03C3C519"/>
    <w:rsid w:val="04E44DCB"/>
    <w:rsid w:val="0862C641"/>
    <w:rsid w:val="0BB8EE20"/>
    <w:rsid w:val="0D316272"/>
    <w:rsid w:val="0DD8CEFF"/>
    <w:rsid w:val="0E9B889F"/>
    <w:rsid w:val="0EDD014F"/>
    <w:rsid w:val="0F308877"/>
    <w:rsid w:val="106E77F2"/>
    <w:rsid w:val="117F4AFF"/>
    <w:rsid w:val="1181BAB8"/>
    <w:rsid w:val="12BC5AED"/>
    <w:rsid w:val="132CE7D5"/>
    <w:rsid w:val="1334ADEF"/>
    <w:rsid w:val="13BC35A1"/>
    <w:rsid w:val="14D3675E"/>
    <w:rsid w:val="15281258"/>
    <w:rsid w:val="153D6F6E"/>
    <w:rsid w:val="155D428E"/>
    <w:rsid w:val="1A2E1AC9"/>
    <w:rsid w:val="1B415F69"/>
    <w:rsid w:val="1D20D0BC"/>
    <w:rsid w:val="1D720FB2"/>
    <w:rsid w:val="1E58B541"/>
    <w:rsid w:val="1EFFEACA"/>
    <w:rsid w:val="1FCE2983"/>
    <w:rsid w:val="20727A54"/>
    <w:rsid w:val="211B5BB7"/>
    <w:rsid w:val="21385CB5"/>
    <w:rsid w:val="2149AEDA"/>
    <w:rsid w:val="22B62819"/>
    <w:rsid w:val="253A40C3"/>
    <w:rsid w:val="254ADA7C"/>
    <w:rsid w:val="29596927"/>
    <w:rsid w:val="29837AE4"/>
    <w:rsid w:val="29A7573C"/>
    <w:rsid w:val="29F1C08F"/>
    <w:rsid w:val="2B16EF5A"/>
    <w:rsid w:val="2D7EC7E2"/>
    <w:rsid w:val="2DB9934F"/>
    <w:rsid w:val="2E48C515"/>
    <w:rsid w:val="324D4BDC"/>
    <w:rsid w:val="332D0272"/>
    <w:rsid w:val="3354A376"/>
    <w:rsid w:val="3511A106"/>
    <w:rsid w:val="35947122"/>
    <w:rsid w:val="35F427C2"/>
    <w:rsid w:val="361E50B7"/>
    <w:rsid w:val="36F8DF39"/>
    <w:rsid w:val="37287EBE"/>
    <w:rsid w:val="38D943D8"/>
    <w:rsid w:val="3A0C0FBE"/>
    <w:rsid w:val="3AFD88BA"/>
    <w:rsid w:val="3BEE54CF"/>
    <w:rsid w:val="3C207A1A"/>
    <w:rsid w:val="3DC8AD9D"/>
    <w:rsid w:val="3DD1AA7A"/>
    <w:rsid w:val="3E3538BA"/>
    <w:rsid w:val="3EDFA969"/>
    <w:rsid w:val="3F24D662"/>
    <w:rsid w:val="3FF54E91"/>
    <w:rsid w:val="414774D2"/>
    <w:rsid w:val="44B88412"/>
    <w:rsid w:val="4529480E"/>
    <w:rsid w:val="456E8246"/>
    <w:rsid w:val="47698381"/>
    <w:rsid w:val="4A6D0EA6"/>
    <w:rsid w:val="4AE8A9C9"/>
    <w:rsid w:val="4C051F7E"/>
    <w:rsid w:val="4CB41BB4"/>
    <w:rsid w:val="4E107A0B"/>
    <w:rsid w:val="4E9EBB54"/>
    <w:rsid w:val="4ED741AB"/>
    <w:rsid w:val="5299B169"/>
    <w:rsid w:val="52BAA225"/>
    <w:rsid w:val="5371BD99"/>
    <w:rsid w:val="53E29F82"/>
    <w:rsid w:val="54CA2AAF"/>
    <w:rsid w:val="54EA0255"/>
    <w:rsid w:val="5528F6A3"/>
    <w:rsid w:val="555C2EDB"/>
    <w:rsid w:val="55D88A3B"/>
    <w:rsid w:val="58B1EAD4"/>
    <w:rsid w:val="59B2AE54"/>
    <w:rsid w:val="59DF5656"/>
    <w:rsid w:val="5A54FE4B"/>
    <w:rsid w:val="5B3863B5"/>
    <w:rsid w:val="5BC35FEB"/>
    <w:rsid w:val="5C5377D0"/>
    <w:rsid w:val="5D2C67D0"/>
    <w:rsid w:val="605DC0D0"/>
    <w:rsid w:val="635EDC5F"/>
    <w:rsid w:val="63C5ADB1"/>
    <w:rsid w:val="643000B0"/>
    <w:rsid w:val="674D6CAD"/>
    <w:rsid w:val="67B14299"/>
    <w:rsid w:val="6A19629D"/>
    <w:rsid w:val="6BD6D15C"/>
    <w:rsid w:val="6D8F5DFF"/>
    <w:rsid w:val="6D99DFF5"/>
    <w:rsid w:val="6DD9C492"/>
    <w:rsid w:val="6DE7208E"/>
    <w:rsid w:val="6E0BC695"/>
    <w:rsid w:val="6E0E2977"/>
    <w:rsid w:val="6F467AA3"/>
    <w:rsid w:val="70946CBA"/>
    <w:rsid w:val="7196881B"/>
    <w:rsid w:val="71ECF84F"/>
    <w:rsid w:val="729027E8"/>
    <w:rsid w:val="74A8DB00"/>
    <w:rsid w:val="7715CD7D"/>
    <w:rsid w:val="7768A37D"/>
    <w:rsid w:val="781253B1"/>
    <w:rsid w:val="783737FC"/>
    <w:rsid w:val="78F52F3C"/>
    <w:rsid w:val="7AE65251"/>
    <w:rsid w:val="7D65D29E"/>
    <w:rsid w:val="7E2E1824"/>
    <w:rsid w:val="7F592DBA"/>
    <w:rsid w:val="7FCB022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4B64BDEE-A9BB-46A2-BCE1-F90F280E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F9"/>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lp"/>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1"/>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table" w:styleId="TableGrid">
    <w:name w:val="Table Grid"/>
    <w:basedOn w:val="TableNormal"/>
    <w:uiPriority w:val="39"/>
    <w:rsid w:val="0084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Paragraphnumbering">
    <w:name w:val="CS - Paragraph numbering"/>
    <w:basedOn w:val="Normal"/>
    <w:rsid w:val="00E17C98"/>
    <w:pPr>
      <w:numPr>
        <w:numId w:val="7"/>
      </w:numPr>
      <w:spacing w:after="120"/>
      <w:ind w:right="-45"/>
    </w:pPr>
    <w:rPr>
      <w:rFonts w:asciiTheme="minorHAnsi" w:eastAsiaTheme="minorHAnsi" w:hAnsiTheme="minorHAnsi" w:cstheme="minorBidi"/>
      <w:sz w:val="24"/>
      <w:szCs w:val="24"/>
    </w:rPr>
  </w:style>
  <w:style w:type="character" w:styleId="CommentReference">
    <w:name w:val="annotation reference"/>
    <w:basedOn w:val="DefaultParagraphFont"/>
    <w:uiPriority w:val="99"/>
    <w:semiHidden/>
    <w:unhideWhenUsed/>
    <w:rsid w:val="007773D1"/>
    <w:rPr>
      <w:sz w:val="16"/>
      <w:szCs w:val="16"/>
    </w:rPr>
  </w:style>
  <w:style w:type="paragraph" w:styleId="CommentText">
    <w:name w:val="annotation text"/>
    <w:basedOn w:val="Normal"/>
    <w:link w:val="CommentTextChar"/>
    <w:uiPriority w:val="99"/>
    <w:unhideWhenUsed/>
    <w:rsid w:val="007773D1"/>
    <w:pPr>
      <w:spacing w:line="240" w:lineRule="auto"/>
    </w:pPr>
    <w:rPr>
      <w:sz w:val="20"/>
      <w:szCs w:val="20"/>
    </w:rPr>
  </w:style>
  <w:style w:type="character" w:customStyle="1" w:styleId="CommentTextChar">
    <w:name w:val="Comment Text Char"/>
    <w:basedOn w:val="DefaultParagraphFont"/>
    <w:link w:val="CommentText"/>
    <w:uiPriority w:val="99"/>
    <w:rsid w:val="007773D1"/>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773D1"/>
    <w:rPr>
      <w:b/>
      <w:bCs/>
    </w:rPr>
  </w:style>
  <w:style w:type="character" w:customStyle="1" w:styleId="CommentSubjectChar">
    <w:name w:val="Comment Subject Char"/>
    <w:basedOn w:val="CommentTextChar"/>
    <w:link w:val="CommentSubject"/>
    <w:uiPriority w:val="99"/>
    <w:semiHidden/>
    <w:rsid w:val="007773D1"/>
    <w:rPr>
      <w:rFonts w:ascii="Calibri" w:eastAsia="Times New Roman" w:hAnsi="Calibri" w:cs="Times New Roman"/>
      <w:b/>
      <w:bCs/>
      <w:kern w:val="0"/>
      <w:sz w:val="20"/>
      <w:szCs w:val="20"/>
      <w14:ligatures w14:val="none"/>
    </w:rPr>
  </w:style>
  <w:style w:type="paragraph" w:styleId="Revision">
    <w:name w:val="Revision"/>
    <w:hidden/>
    <w:uiPriority w:val="99"/>
    <w:semiHidden/>
    <w:rsid w:val="007773D1"/>
    <w:pPr>
      <w:spacing w:after="0" w:line="240" w:lineRule="auto"/>
    </w:pPr>
    <w:rPr>
      <w:rFonts w:ascii="Calibri" w:eastAsia="Times New Roman" w:hAnsi="Calibri" w:cs="Times New Roman"/>
      <w:kern w:val="0"/>
      <w14:ligatures w14:val="none"/>
    </w:rPr>
  </w:style>
  <w:style w:type="paragraph" w:styleId="NoSpacing">
    <w:name w:val="No Spacing"/>
    <w:uiPriority w:val="1"/>
    <w:qFormat/>
    <w:rsid w:val="00A04E51"/>
    <w:pPr>
      <w:spacing w:after="0" w:line="240" w:lineRule="auto"/>
    </w:pPr>
    <w:rPr>
      <w:rFonts w:ascii="Calibri" w:eastAsia="Times New Roman" w:hAnsi="Calibri" w:cs="Times New Roman"/>
      <w:kern w:val="0"/>
      <w14:ligatures w14:val="none"/>
    </w:rPr>
  </w:style>
  <w:style w:type="character" w:styleId="Hyperlink">
    <w:name w:val="Hyperlink"/>
    <w:basedOn w:val="DefaultParagraphFont"/>
    <w:uiPriority w:val="99"/>
    <w:unhideWhenUsed/>
    <w:rsid w:val="008E3995"/>
    <w:rPr>
      <w:color w:val="0563C1" w:themeColor="hyperlink"/>
      <w:u w:val="single"/>
    </w:rPr>
  </w:style>
  <w:style w:type="character" w:styleId="UnresolvedMention">
    <w:name w:val="Unresolved Mention"/>
    <w:basedOn w:val="DefaultParagraphFont"/>
    <w:uiPriority w:val="99"/>
    <w:semiHidden/>
    <w:unhideWhenUsed/>
    <w:rsid w:val="008E3995"/>
    <w:rPr>
      <w:color w:val="605E5C"/>
      <w:shd w:val="clear" w:color="auto" w:fill="E1DFDD"/>
    </w:rPr>
  </w:style>
  <w:style w:type="paragraph" w:customStyle="1" w:styleId="Paragraphtext">
    <w:name w:val="Paragraph text"/>
    <w:basedOn w:val="Normal"/>
    <w:link w:val="ParagraphtextChar"/>
    <w:qFormat/>
    <w:rsid w:val="00426B35"/>
    <w:pPr>
      <w:spacing w:before="120" w:after="120" w:line="240" w:lineRule="auto"/>
    </w:pPr>
    <w:rPr>
      <w:rFonts w:eastAsia="Calibri"/>
      <w:color w:val="000000" w:themeColor="text1"/>
      <w:sz w:val="24"/>
    </w:rPr>
  </w:style>
  <w:style w:type="character" w:customStyle="1" w:styleId="ParagraphtextChar">
    <w:name w:val="Paragraph text Char"/>
    <w:basedOn w:val="DefaultParagraphFont"/>
    <w:link w:val="Paragraphtext"/>
    <w:rsid w:val="00426B35"/>
    <w:rPr>
      <w:rFonts w:ascii="Calibri" w:eastAsia="Calibri" w:hAnsi="Calibri" w:cs="Times New Roman"/>
      <w:color w:val="000000" w:themeColor="text1"/>
      <w:kern w:val="0"/>
      <w:sz w:val="24"/>
      <w14:ligatures w14:val="none"/>
    </w:rPr>
  </w:style>
  <w:style w:type="character" w:styleId="PlaceholderText">
    <w:name w:val="Placeholder Text"/>
    <w:basedOn w:val="DefaultParagraphFont"/>
    <w:uiPriority w:val="99"/>
    <w:semiHidden/>
    <w:rsid w:val="00426B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5F2CB891063FC4D841EC494C09F7CC4" ma:contentTypeVersion="11" ma:contentTypeDescription="Create a new document." ma:contentTypeScope="" ma:versionID="d1a30bd53f17e641ee3c2edb9b2a53f4">
  <xsd:schema xmlns:xsd="http://www.w3.org/2001/XMLSchema" xmlns:xs="http://www.w3.org/2001/XMLSchema" xmlns:p="http://schemas.microsoft.com/office/2006/metadata/properties" xmlns:ns2="d6093ac8-e621-419c-a875-7b99f89649ee" xmlns:ns3="f4dc4797-208e-4497-9d01-bc7ab8b1e86a" targetNamespace="http://schemas.microsoft.com/office/2006/metadata/properties" ma:root="true" ma:fieldsID="e33172a79ad66aab2d5f04a51223c2a7" ns2:_="" ns3:_="">
    <xsd:import namespace="d6093ac8-e621-419c-a875-7b99f89649ee"/>
    <xsd:import namespace="f4dc4797-208e-4497-9d01-bc7ab8b1e8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93ac8-e621-419c-a875-7b99f8964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dc4797-208e-4497-9d01-bc7ab8b1e86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3673f9-e8bd-447b-80b6-bd2254a7f5c8}" ma:internalName="TaxCatchAll" ma:showField="CatchAllData" ma:web="f4dc4797-208e-4497-9d01-bc7ab8b1e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4dc4797-208e-4497-9d01-bc7ab8b1e86a" xsi:nil="true"/>
    <lcf76f155ced4ddcb4097134ff3c332f xmlns="d6093ac8-e621-419c-a875-7b99f89649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2.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3.xml><?xml version="1.0" encoding="utf-8"?>
<ds:datastoreItem xmlns:ds="http://schemas.openxmlformats.org/officeDocument/2006/customXml" ds:itemID="{88FE18B0-4298-4E3F-9964-4D02053B8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93ac8-e621-419c-a875-7b99f89649ee"/>
    <ds:schemaRef ds:uri="f4dc4797-208e-4497-9d01-bc7ab8b1e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 ds:uri="f4dc4797-208e-4497-9d01-bc7ab8b1e86a"/>
    <ds:schemaRef ds:uri="d6093ac8-e621-419c-a875-7b99f89649e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17325</Words>
  <Characters>90961</Characters>
  <Application>Microsoft Office Word</Application>
  <DocSecurity>0</DocSecurity>
  <Lines>2393</Lines>
  <Paragraphs>925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2026-09-30T06:52:00Z</cp:lastPrinted>
  <dcterms:created xsi:type="dcterms:W3CDTF">2026-10-20T00:58:00Z</dcterms:created>
  <dcterms:modified xsi:type="dcterms:W3CDTF">2026-10-20T00:58:00Z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0x010100D5F2CB891063FC4D841EC494C09F7CC4</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y fmtid="{D5CDD505-2E9C-101B-9397-08002B2CF9AE}" pid="10" name="MediaServiceImageTags">
    <vt:lpwstr/>
  </property>
</Properties>
</file>