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2CEB3" w14:textId="77777777" w:rsidR="00F10CB2" w:rsidRDefault="00F10CB2">
      <w:pPr>
        <w:spacing w:before="120"/>
        <w:rPr>
          <w:rFonts w:ascii="Arial" w:hAnsi="Arial" w:cs="Arial"/>
        </w:rPr>
      </w:pPr>
      <w:bookmarkStart w:id="0" w:name="_Toc44738651"/>
      <w:r>
        <w:rPr>
          <w:rFonts w:ascii="Arial" w:hAnsi="Arial" w:cs="Arial"/>
        </w:rPr>
        <w:t>Australian Capital Territory</w:t>
      </w:r>
    </w:p>
    <w:p w14:paraId="5C009226" w14:textId="6EF72107" w:rsidR="00F10CB2" w:rsidRPr="0031337E" w:rsidRDefault="0031337E">
      <w:pPr>
        <w:pStyle w:val="Billname"/>
        <w:spacing w:before="700"/>
        <w:rPr>
          <w:iCs/>
        </w:rPr>
      </w:pPr>
      <w:bookmarkStart w:id="1" w:name="_Hlk218782081"/>
      <w:r w:rsidRPr="0031337E">
        <w:rPr>
          <w:iCs/>
        </w:rPr>
        <w:t xml:space="preserve">Gaming </w:t>
      </w:r>
      <w:r w:rsidR="00AA1E54">
        <w:rPr>
          <w:iCs/>
        </w:rPr>
        <w:t>Machine</w:t>
      </w:r>
      <w:r w:rsidR="00B91FE9">
        <w:rPr>
          <w:iCs/>
        </w:rPr>
        <w:t xml:space="preserve"> </w:t>
      </w:r>
      <w:r w:rsidRPr="0031337E">
        <w:rPr>
          <w:iCs/>
        </w:rPr>
        <w:t>Amendment Regulation 202</w:t>
      </w:r>
      <w:r w:rsidR="00B91FE9">
        <w:rPr>
          <w:iCs/>
        </w:rPr>
        <w:t>6</w:t>
      </w:r>
      <w:r w:rsidR="00DC253F">
        <w:rPr>
          <w:iCs/>
        </w:rPr>
        <w:t xml:space="preserve"> (No</w:t>
      </w:r>
      <w:r w:rsidR="00437570">
        <w:rPr>
          <w:iCs/>
        </w:rPr>
        <w:t xml:space="preserve"> 1</w:t>
      </w:r>
      <w:r w:rsidR="00DC253F">
        <w:rPr>
          <w:iCs/>
        </w:rPr>
        <w:t>)</w:t>
      </w:r>
    </w:p>
    <w:bookmarkEnd w:id="1"/>
    <w:p w14:paraId="1CF3B5F1" w14:textId="34A265A3" w:rsidR="00F10CB2" w:rsidRDefault="0031337E" w:rsidP="00D47F13">
      <w:pPr>
        <w:spacing w:before="340"/>
        <w:rPr>
          <w:rFonts w:ascii="Arial" w:hAnsi="Arial" w:cs="Arial"/>
          <w:b/>
          <w:bCs/>
        </w:rPr>
      </w:pPr>
      <w:r>
        <w:rPr>
          <w:rFonts w:ascii="Arial" w:hAnsi="Arial" w:cs="Arial"/>
          <w:b/>
          <w:bCs/>
        </w:rPr>
        <w:t xml:space="preserve">Subordinate </w:t>
      </w:r>
      <w:r w:rsidR="002747A4">
        <w:rPr>
          <w:rFonts w:ascii="Arial" w:hAnsi="Arial" w:cs="Arial"/>
          <w:b/>
          <w:bCs/>
        </w:rPr>
        <w:t>l</w:t>
      </w:r>
      <w:r>
        <w:rPr>
          <w:rFonts w:ascii="Arial" w:hAnsi="Arial" w:cs="Arial"/>
          <w:b/>
          <w:bCs/>
        </w:rPr>
        <w:t>aw SL202</w:t>
      </w:r>
      <w:r w:rsidR="00B91FE9">
        <w:rPr>
          <w:rFonts w:ascii="Arial" w:hAnsi="Arial" w:cs="Arial"/>
          <w:b/>
          <w:bCs/>
        </w:rPr>
        <w:t>6</w:t>
      </w:r>
      <w:r w:rsidR="00F10CB2">
        <w:rPr>
          <w:rFonts w:ascii="Arial" w:hAnsi="Arial" w:cs="Arial"/>
          <w:b/>
          <w:bCs/>
        </w:rPr>
        <w:t>–</w:t>
      </w:r>
      <w:r w:rsidR="00B80BEE">
        <w:rPr>
          <w:rFonts w:ascii="Arial" w:hAnsi="Arial" w:cs="Arial"/>
          <w:b/>
          <w:bCs/>
        </w:rPr>
        <w:t>17</w:t>
      </w:r>
    </w:p>
    <w:p w14:paraId="4C9794E0" w14:textId="77777777" w:rsidR="00F10CB2" w:rsidRDefault="00F10CB2" w:rsidP="00CD4E55">
      <w:pPr>
        <w:pStyle w:val="madeunder"/>
        <w:spacing w:before="300" w:after="0"/>
      </w:pPr>
      <w:r>
        <w:t xml:space="preserve">made under the  </w:t>
      </w:r>
    </w:p>
    <w:p w14:paraId="6E37234C" w14:textId="2ACAC510" w:rsidR="00F10CB2" w:rsidRDefault="00B91FE9" w:rsidP="00CD4E55">
      <w:pPr>
        <w:pStyle w:val="CoverActName"/>
        <w:spacing w:before="320" w:after="0"/>
        <w:rPr>
          <w:rFonts w:cs="Arial"/>
          <w:sz w:val="20"/>
        </w:rPr>
      </w:pPr>
      <w:r w:rsidRPr="00B91FE9">
        <w:rPr>
          <w:rFonts w:cs="Arial"/>
          <w:sz w:val="20"/>
        </w:rPr>
        <w:t>Gam</w:t>
      </w:r>
      <w:r w:rsidR="00AA1E54">
        <w:rPr>
          <w:rFonts w:cs="Arial"/>
          <w:sz w:val="20"/>
        </w:rPr>
        <w:t xml:space="preserve">ing Machine Act </w:t>
      </w:r>
      <w:r w:rsidR="00AA1E54" w:rsidRPr="00AA1E54">
        <w:rPr>
          <w:rFonts w:cs="Arial"/>
          <w:sz w:val="20"/>
        </w:rPr>
        <w:t>2004</w:t>
      </w:r>
      <w:r w:rsidR="00F10CB2" w:rsidRPr="00AA1E54">
        <w:rPr>
          <w:rFonts w:cs="Arial"/>
          <w:sz w:val="20"/>
        </w:rPr>
        <w:t xml:space="preserve">, </w:t>
      </w:r>
      <w:r w:rsidR="0031337E" w:rsidRPr="00AA1E54">
        <w:rPr>
          <w:rFonts w:cs="Arial"/>
          <w:sz w:val="20"/>
        </w:rPr>
        <w:t xml:space="preserve">s </w:t>
      </w:r>
      <w:r w:rsidR="00AA1E54" w:rsidRPr="00AA1E54">
        <w:rPr>
          <w:rFonts w:cs="Arial"/>
          <w:sz w:val="20"/>
        </w:rPr>
        <w:t>178</w:t>
      </w:r>
      <w:r w:rsidR="0031337E" w:rsidRPr="00AA1E54">
        <w:rPr>
          <w:rFonts w:cs="Arial"/>
          <w:sz w:val="20"/>
        </w:rPr>
        <w:t xml:space="preserve"> </w:t>
      </w:r>
      <w:r w:rsidR="00F10CB2" w:rsidRPr="00AA1E54">
        <w:rPr>
          <w:rFonts w:cs="Arial"/>
          <w:sz w:val="20"/>
        </w:rPr>
        <w:t>(</w:t>
      </w:r>
      <w:r w:rsidR="0031337E" w:rsidRPr="00AA1E54">
        <w:rPr>
          <w:rFonts w:cs="Arial"/>
          <w:sz w:val="20"/>
        </w:rPr>
        <w:t>Regulation-making power</w:t>
      </w:r>
      <w:r w:rsidR="00F10CB2" w:rsidRPr="00AA1E54">
        <w:rPr>
          <w:rFonts w:cs="Arial"/>
          <w:sz w:val="20"/>
        </w:rPr>
        <w:t>)</w:t>
      </w:r>
    </w:p>
    <w:p w14:paraId="54521737" w14:textId="77777777" w:rsidR="00F10CB2" w:rsidRDefault="00F10CB2" w:rsidP="00CD4E55">
      <w:pPr>
        <w:pStyle w:val="N-line3"/>
        <w:pBdr>
          <w:bottom w:val="none" w:sz="0" w:space="0" w:color="auto"/>
        </w:pBdr>
        <w:spacing w:before="60"/>
      </w:pPr>
    </w:p>
    <w:p w14:paraId="205EBB38" w14:textId="1AAABF42" w:rsidR="0031337E" w:rsidRPr="0031337E" w:rsidRDefault="0031337E" w:rsidP="0031337E">
      <w:pPr>
        <w:rPr>
          <w:rFonts w:ascii="Arial" w:hAnsi="Arial" w:cs="Arial"/>
          <w:b/>
          <w:bCs/>
          <w:sz w:val="28"/>
          <w:szCs w:val="22"/>
        </w:rPr>
      </w:pPr>
      <w:r w:rsidRPr="0031337E">
        <w:rPr>
          <w:rFonts w:ascii="Arial" w:hAnsi="Arial" w:cs="Arial"/>
          <w:b/>
          <w:bCs/>
          <w:sz w:val="28"/>
          <w:szCs w:val="22"/>
        </w:rPr>
        <w:t>EXPLANATORY STATEMENT</w:t>
      </w:r>
    </w:p>
    <w:p w14:paraId="4CE9E4A6" w14:textId="77777777" w:rsidR="0031337E" w:rsidRPr="0031337E" w:rsidRDefault="0031337E" w:rsidP="0031337E"/>
    <w:p w14:paraId="6C517584" w14:textId="77777777" w:rsidR="00F10CB2" w:rsidRDefault="00F10CB2">
      <w:pPr>
        <w:pStyle w:val="N-line3"/>
        <w:pBdr>
          <w:top w:val="single" w:sz="12" w:space="1" w:color="auto"/>
          <w:bottom w:val="none" w:sz="0" w:space="0" w:color="auto"/>
        </w:pBdr>
      </w:pPr>
    </w:p>
    <w:p w14:paraId="18AB08CB" w14:textId="19BB08B3" w:rsidR="00F10CB2" w:rsidRDefault="0031337E" w:rsidP="0031337E">
      <w:pPr>
        <w:spacing w:before="140"/>
      </w:pPr>
      <w:r w:rsidRPr="0031337E">
        <w:t>This</w:t>
      </w:r>
      <w:r>
        <w:t xml:space="preserve"> explanatory statement relates to</w:t>
      </w:r>
      <w:r w:rsidRPr="00437570">
        <w:t xml:space="preserve"> the</w:t>
      </w:r>
      <w:r w:rsidRPr="006F7705">
        <w:rPr>
          <w:i/>
          <w:iCs/>
        </w:rPr>
        <w:t xml:space="preserve"> </w:t>
      </w:r>
      <w:bookmarkStart w:id="2" w:name="_Hlk218782593"/>
      <w:r w:rsidR="00B91FE9" w:rsidRPr="006F7705">
        <w:rPr>
          <w:i/>
          <w:iCs/>
        </w:rPr>
        <w:t xml:space="preserve">Gaming </w:t>
      </w:r>
      <w:r w:rsidR="00AA1E54" w:rsidRPr="006F7705">
        <w:rPr>
          <w:i/>
          <w:iCs/>
        </w:rPr>
        <w:t xml:space="preserve">Machine </w:t>
      </w:r>
      <w:r w:rsidR="00B91FE9" w:rsidRPr="006F7705">
        <w:rPr>
          <w:i/>
          <w:iCs/>
        </w:rPr>
        <w:t>Amendment Regulation 2026 (</w:t>
      </w:r>
      <w:r w:rsidR="00B91FE9" w:rsidRPr="000568C5">
        <w:rPr>
          <w:i/>
          <w:iCs/>
        </w:rPr>
        <w:t xml:space="preserve">No </w:t>
      </w:r>
      <w:r w:rsidR="00437570">
        <w:rPr>
          <w:i/>
          <w:iCs/>
        </w:rPr>
        <w:t>1</w:t>
      </w:r>
      <w:r w:rsidR="00B91FE9" w:rsidRPr="000568C5">
        <w:rPr>
          <w:i/>
          <w:iCs/>
        </w:rPr>
        <w:t>)</w:t>
      </w:r>
      <w:r w:rsidRPr="000568C5">
        <w:t>(</w:t>
      </w:r>
      <w:bookmarkEnd w:id="2"/>
      <w:r w:rsidRPr="000568C5">
        <w:t xml:space="preserve">the </w:t>
      </w:r>
      <w:r w:rsidR="00E80313" w:rsidRPr="000568C5">
        <w:t>Regulation</w:t>
      </w:r>
      <w:r w:rsidRPr="000568C5">
        <w:t xml:space="preserve">) </w:t>
      </w:r>
      <w:r>
        <w:t xml:space="preserve">as made by the Executive. It has been prepared to assist the reader of the </w:t>
      </w:r>
      <w:r w:rsidR="00E80313">
        <w:t>Regulation</w:t>
      </w:r>
      <w:r>
        <w:t xml:space="preserve">. It does not form part of the </w:t>
      </w:r>
      <w:r w:rsidR="00E80313">
        <w:t xml:space="preserve">Regulation </w:t>
      </w:r>
      <w:r>
        <w:t xml:space="preserve">and has not been endorsed by the Legislative Assembly. </w:t>
      </w:r>
    </w:p>
    <w:p w14:paraId="326B0AAF" w14:textId="49421B0D" w:rsidR="0031337E" w:rsidRDefault="0031337E" w:rsidP="0031337E">
      <w:pPr>
        <w:spacing w:before="140"/>
      </w:pPr>
      <w:r>
        <w:t xml:space="preserve">This statement must be read in conjunction with the </w:t>
      </w:r>
      <w:r w:rsidR="00E80313">
        <w:t>Regulation</w:t>
      </w:r>
      <w:r>
        <w:t xml:space="preserve">. It is not, and is not meant to be, a comprehensive description of the </w:t>
      </w:r>
      <w:r w:rsidR="00E80313">
        <w:t>Regulation</w:t>
      </w:r>
      <w:r>
        <w:t>. What is said about a provision is not taken as an authoritative guide to the meaning of a provision, this being a task for the courts.</w:t>
      </w:r>
    </w:p>
    <w:p w14:paraId="2161D127" w14:textId="5BF24DC9" w:rsidR="0031337E" w:rsidRPr="00823C44" w:rsidRDefault="0031337E" w:rsidP="003F3D15">
      <w:pPr>
        <w:keepNext/>
        <w:spacing w:before="240" w:after="240"/>
        <w:rPr>
          <w:rFonts w:ascii="Arial" w:hAnsi="Arial" w:cs="Arial"/>
          <w:b/>
          <w:bCs/>
        </w:rPr>
      </w:pPr>
      <w:r w:rsidRPr="00823C44">
        <w:rPr>
          <w:rFonts w:ascii="Arial" w:hAnsi="Arial" w:cs="Arial"/>
          <w:b/>
          <w:bCs/>
        </w:rPr>
        <w:t>BACKGROUND</w:t>
      </w:r>
    </w:p>
    <w:p w14:paraId="11A59D19" w14:textId="41329A16" w:rsidR="005216A4" w:rsidRDefault="00AD28A7" w:rsidP="00B91FE9">
      <w:pPr>
        <w:keepNext/>
        <w:spacing w:before="240" w:after="240"/>
      </w:pPr>
      <w:r>
        <w:t>This</w:t>
      </w:r>
      <w:r w:rsidR="00B91FE9" w:rsidRPr="00AD28A7">
        <w:t xml:space="preserve"> Regulation amend</w:t>
      </w:r>
      <w:r w:rsidR="006374CB">
        <w:t>s</w:t>
      </w:r>
      <w:r w:rsidR="00B91FE9" w:rsidRPr="00AD28A7">
        <w:t xml:space="preserve"> the </w:t>
      </w:r>
      <w:r w:rsidR="005216A4" w:rsidRPr="006F7705">
        <w:rPr>
          <w:i/>
          <w:iCs/>
        </w:rPr>
        <w:t>Gaming Machine Regulation 2004</w:t>
      </w:r>
      <w:r w:rsidRPr="00AD28A7">
        <w:rPr>
          <w:i/>
          <w:iCs/>
        </w:rPr>
        <w:t xml:space="preserve"> </w:t>
      </w:r>
      <w:r w:rsidRPr="00AD28A7">
        <w:t xml:space="preserve">to ban EFTPOS machines </w:t>
      </w:r>
      <w:r>
        <w:t>at</w:t>
      </w:r>
      <w:r w:rsidRPr="00AD28A7">
        <w:t xml:space="preserve"> licensed venues </w:t>
      </w:r>
      <w:r w:rsidR="00E45861">
        <w:t>where such machines allow for</w:t>
      </w:r>
      <w:r w:rsidRPr="00AD28A7">
        <w:t xml:space="preserve"> cash withdrawals.</w:t>
      </w:r>
    </w:p>
    <w:p w14:paraId="4FF42111" w14:textId="2BD1E8BD" w:rsidR="00AD28A7" w:rsidRPr="00AD28A7" w:rsidRDefault="00AD28A7" w:rsidP="00AD28A7">
      <w:pPr>
        <w:keepNext/>
        <w:spacing w:before="240" w:after="240"/>
      </w:pPr>
      <w:r w:rsidRPr="00AD28A7">
        <w:t>Banning</w:t>
      </w:r>
      <w:r w:rsidR="003155A9">
        <w:t xml:space="preserve"> </w:t>
      </w:r>
      <w:r w:rsidRPr="00AD28A7">
        <w:t>EFTPOS</w:t>
      </w:r>
      <w:r w:rsidR="003155A9">
        <w:t xml:space="preserve"> machines that allow for</w:t>
      </w:r>
      <w:r w:rsidRPr="00AD28A7">
        <w:t xml:space="preserve"> withdrawals within gaming venues will reduce immediate access to cash</w:t>
      </w:r>
      <w:r>
        <w:t xml:space="preserve"> </w:t>
      </w:r>
      <w:r w:rsidRPr="00AD28A7">
        <w:t>during gambling sessions, supporting harm minimisation by making it more difficult for players to access</w:t>
      </w:r>
      <w:r>
        <w:t xml:space="preserve"> </w:t>
      </w:r>
      <w:r w:rsidRPr="00AD28A7">
        <w:t>additional funds while gambling.</w:t>
      </w:r>
    </w:p>
    <w:p w14:paraId="5591C554" w14:textId="03056413" w:rsidR="00AD28A7" w:rsidRPr="00AD28A7" w:rsidRDefault="00AD28A7" w:rsidP="00B91FE9">
      <w:pPr>
        <w:keepNext/>
        <w:spacing w:before="240" w:after="240"/>
      </w:pPr>
      <w:r>
        <w:t xml:space="preserve">While the Regulation does not affect the use of </w:t>
      </w:r>
      <w:r w:rsidR="00BB696E">
        <w:t>automatic teller machines (</w:t>
      </w:r>
      <w:r>
        <w:t>ATMs</w:t>
      </w:r>
      <w:r w:rsidR="00BB696E">
        <w:t>)</w:t>
      </w:r>
      <w:r>
        <w:t xml:space="preserve"> in gaming venues, EFTPOS machines can currently be used</w:t>
      </w:r>
      <w:r w:rsidR="00BB696E">
        <w:t xml:space="preserve"> </w:t>
      </w:r>
      <w:r w:rsidR="006374CB">
        <w:t xml:space="preserve">at </w:t>
      </w:r>
      <w:r w:rsidR="00BB696E">
        <w:t>gaming venues</w:t>
      </w:r>
      <w:r>
        <w:t xml:space="preserve"> in the same way as ATMs (to withdraw cash). As such, the following evidence supports the ban on cash withdrawal via EFTPOS machines in gaming venues.</w:t>
      </w:r>
    </w:p>
    <w:p w14:paraId="03B46809" w14:textId="5ADCA137" w:rsidR="00AD28A7" w:rsidRDefault="00AD28A7" w:rsidP="00AD28A7">
      <w:pPr>
        <w:keepNext/>
        <w:spacing w:before="240" w:after="240"/>
      </w:pPr>
      <w:r w:rsidRPr="00AD28A7">
        <w:t xml:space="preserve">In 2004, the ACT Gambling and Racing Commission commissioned a study on the use of ATMs in ACT gaming venues. The study found compelling support from people experiencing gambling ham and their families and gambling and financial counsellors for the removal of ATMs in venues. It was reported that a significant </w:t>
      </w:r>
      <w:r w:rsidRPr="00AD28A7">
        <w:lastRenderedPageBreak/>
        <w:t>factor in the development and persistence of gambling harm was the convenient access to ATMs in venues.</w:t>
      </w:r>
      <w:r w:rsidRPr="00AD28A7">
        <w:rPr>
          <w:rStyle w:val="FootnoteReference"/>
        </w:rPr>
        <w:footnoteReference w:id="1"/>
      </w:r>
    </w:p>
    <w:p w14:paraId="76A76C3C" w14:textId="1F33868D" w:rsidR="00AD28A7" w:rsidRDefault="00AD28A7" w:rsidP="00AD28A7">
      <w:pPr>
        <w:keepNext/>
        <w:spacing w:before="240" w:after="240"/>
      </w:pPr>
      <w:r w:rsidRPr="00AD28A7">
        <w:t>Following the removal of ATMs from Victorian venues in 2012, an evaluation report reported that</w:t>
      </w:r>
      <w:r>
        <w:t xml:space="preserve"> </w:t>
      </w:r>
      <w:r w:rsidRPr="00AD28A7">
        <w:t>problem gamblers typically spent significantly less money on</w:t>
      </w:r>
      <w:r w:rsidR="003155A9">
        <w:t xml:space="preserve"> </w:t>
      </w:r>
      <w:r w:rsidR="006374CB">
        <w:t>e</w:t>
      </w:r>
      <w:r w:rsidR="003155A9">
        <w:t xml:space="preserve">lectronic </w:t>
      </w:r>
      <w:r w:rsidR="006374CB">
        <w:t>g</w:t>
      </w:r>
      <w:r w:rsidR="003155A9">
        <w:t xml:space="preserve">aming </w:t>
      </w:r>
      <w:r w:rsidR="006374CB">
        <w:t>m</w:t>
      </w:r>
      <w:r w:rsidR="003155A9">
        <w:t>achines</w:t>
      </w:r>
      <w:r w:rsidRPr="00AD28A7">
        <w:t xml:space="preserve"> after the removal of ATMs.</w:t>
      </w:r>
      <w:r>
        <w:t xml:space="preserve"> </w:t>
      </w:r>
      <w:r w:rsidRPr="00AD28A7">
        <w:t>Additionally, many gamblers found the removal of ATMs had increased their feelings of control over</w:t>
      </w:r>
      <w:r>
        <w:t xml:space="preserve"> </w:t>
      </w:r>
      <w:r w:rsidRPr="00AD28A7">
        <w:t>gambling spending, encouraging pre‐planning and cutting down on impulsive over‐spending.</w:t>
      </w:r>
      <w:r>
        <w:rPr>
          <w:rStyle w:val="FootnoteReference"/>
        </w:rPr>
        <w:footnoteReference w:id="2"/>
      </w:r>
    </w:p>
    <w:p w14:paraId="417C2BF7" w14:textId="3FC74F51" w:rsidR="001D481D" w:rsidRPr="00823C44" w:rsidRDefault="001D481D" w:rsidP="00B91FE9">
      <w:pPr>
        <w:keepNext/>
        <w:spacing w:before="240" w:after="240"/>
        <w:rPr>
          <w:rFonts w:ascii="Arial" w:hAnsi="Arial" w:cs="Arial"/>
          <w:b/>
          <w:bCs/>
        </w:rPr>
      </w:pPr>
      <w:r w:rsidRPr="00823C44">
        <w:rPr>
          <w:rFonts w:ascii="Arial" w:hAnsi="Arial" w:cs="Arial"/>
          <w:b/>
          <w:bCs/>
        </w:rPr>
        <w:t>OVERVIEW OF THE REGULATION</w:t>
      </w:r>
    </w:p>
    <w:p w14:paraId="20939AC0" w14:textId="33BF6CB4" w:rsidR="00E45861" w:rsidRDefault="00E45861" w:rsidP="00E45861">
      <w:pPr>
        <w:keepNext/>
        <w:spacing w:before="240" w:after="240"/>
      </w:pPr>
      <w:r>
        <w:t>This</w:t>
      </w:r>
      <w:r w:rsidRPr="00AD28A7">
        <w:t xml:space="preserve"> Regulation </w:t>
      </w:r>
      <w:r>
        <w:t>will</w:t>
      </w:r>
      <w:r w:rsidRPr="00AD28A7">
        <w:t xml:space="preserve"> amend the </w:t>
      </w:r>
      <w:r w:rsidRPr="006F7705">
        <w:rPr>
          <w:i/>
          <w:iCs/>
        </w:rPr>
        <w:t>Gaming Machine Regulation 2004</w:t>
      </w:r>
      <w:r w:rsidRPr="00AD28A7">
        <w:rPr>
          <w:i/>
          <w:iCs/>
        </w:rPr>
        <w:t xml:space="preserve"> </w:t>
      </w:r>
      <w:r w:rsidRPr="00AD28A7">
        <w:t xml:space="preserve">to ban EFTPOS machines </w:t>
      </w:r>
      <w:r>
        <w:t>at</w:t>
      </w:r>
      <w:r w:rsidRPr="00AD28A7">
        <w:t xml:space="preserve"> licensed venues </w:t>
      </w:r>
      <w:r>
        <w:t>where such machines allow for</w:t>
      </w:r>
      <w:r w:rsidRPr="00AD28A7">
        <w:t xml:space="preserve"> cash withdrawals.</w:t>
      </w:r>
    </w:p>
    <w:p w14:paraId="4904D114" w14:textId="508F3848" w:rsidR="00775B47" w:rsidRDefault="00213DE5" w:rsidP="00213DE5">
      <w:pPr>
        <w:keepNext/>
        <w:spacing w:before="240" w:after="240"/>
      </w:pPr>
      <w:r>
        <w:t>The amendments provide that a licensee commits an offence where an EFTPOS facility located at the licensee’s venue allows for cash to be obtained by a person.  The offence is a strict liability offence with a maximum penalty of 10 penalty units.</w:t>
      </w:r>
    </w:p>
    <w:p w14:paraId="4D4855EC" w14:textId="60F56C33" w:rsidR="00213DE5" w:rsidRPr="0046621C" w:rsidRDefault="00213DE5" w:rsidP="00213DE5">
      <w:pPr>
        <w:keepNext/>
        <w:spacing w:before="240" w:after="240"/>
      </w:pPr>
      <w:r>
        <w:t xml:space="preserve">A strict liability offence is appropriate in this context as the offence will only apply </w:t>
      </w:r>
      <w:r w:rsidR="00A43165">
        <w:t xml:space="preserve">to a </w:t>
      </w:r>
      <w:r>
        <w:t>licensee</w:t>
      </w:r>
      <w:r w:rsidR="00A43165">
        <w:t xml:space="preserve"> as defined under the </w:t>
      </w:r>
      <w:r w:rsidR="00A43165">
        <w:rPr>
          <w:i/>
          <w:iCs/>
        </w:rPr>
        <w:t>Gaming Machine Act 2004</w:t>
      </w:r>
      <w:r w:rsidR="00A43165">
        <w:t xml:space="preserve">. As a license holder under </w:t>
      </w:r>
      <w:r w:rsidR="0046621C">
        <w:t>a regulatory framework a licensee is expected to know of their legal obligations in operating a licensed venue. As such,</w:t>
      </w:r>
      <w:r w:rsidR="00A43165">
        <w:t xml:space="preserve"> the licensee is someone</w:t>
      </w:r>
      <w:r>
        <w:t xml:space="preserve"> who know</w:t>
      </w:r>
      <w:r w:rsidR="00A43165">
        <w:t>s</w:t>
      </w:r>
      <w:r>
        <w:t xml:space="preserve">, or ought to know, their legal obligations under the </w:t>
      </w:r>
      <w:r w:rsidRPr="006F7705">
        <w:rPr>
          <w:i/>
          <w:iCs/>
        </w:rPr>
        <w:t>Gaming Machine Regulation 2004</w:t>
      </w:r>
      <w:r>
        <w:rPr>
          <w:i/>
          <w:iCs/>
        </w:rPr>
        <w:t xml:space="preserve"> </w:t>
      </w:r>
      <w:r>
        <w:t xml:space="preserve">and </w:t>
      </w:r>
      <w:r>
        <w:rPr>
          <w:i/>
          <w:iCs/>
        </w:rPr>
        <w:t>Gaming Machine Act</w:t>
      </w:r>
      <w:r w:rsidR="00A43165">
        <w:rPr>
          <w:i/>
          <w:iCs/>
        </w:rPr>
        <w:t xml:space="preserve"> 2004.</w:t>
      </w:r>
      <w:r w:rsidR="0046621C">
        <w:rPr>
          <w:i/>
          <w:iCs/>
        </w:rPr>
        <w:t xml:space="preserve"> </w:t>
      </w:r>
      <w:r w:rsidR="00D3750D">
        <w:t>The creation of a strict liability offence will support the regulation of licensee behaviour in order to reduce the risk of gambling harm to consumers</w:t>
      </w:r>
      <w:r w:rsidR="001E352F">
        <w:t xml:space="preserve"> and other affected people</w:t>
      </w:r>
      <w:r w:rsidR="00D3750D">
        <w:t>.</w:t>
      </w:r>
    </w:p>
    <w:p w14:paraId="0CC0C09B" w14:textId="792AAC93" w:rsidR="001D481D" w:rsidRPr="00823C44" w:rsidRDefault="001D481D" w:rsidP="003F3D15">
      <w:pPr>
        <w:keepNext/>
        <w:spacing w:before="240" w:after="240"/>
        <w:rPr>
          <w:rFonts w:ascii="Arial" w:hAnsi="Arial" w:cs="Arial"/>
          <w:b/>
          <w:bCs/>
        </w:rPr>
      </w:pPr>
      <w:r w:rsidRPr="00823C44">
        <w:rPr>
          <w:rFonts w:ascii="Arial" w:hAnsi="Arial" w:cs="Arial"/>
          <w:b/>
          <w:bCs/>
        </w:rPr>
        <w:t>REGULATORY IMPACT STATEMENT</w:t>
      </w:r>
    </w:p>
    <w:p w14:paraId="594ED3B6" w14:textId="3F271963" w:rsidR="00E542F2" w:rsidRDefault="00E542F2" w:rsidP="00E542F2">
      <w:pPr>
        <w:spacing w:before="140"/>
      </w:pPr>
      <w:r w:rsidRPr="00BA7277">
        <w:t>Section 34 of the </w:t>
      </w:r>
      <w:r w:rsidRPr="00BA7277">
        <w:rPr>
          <w:i/>
          <w:iCs/>
        </w:rPr>
        <w:t>Legislation Act 2001</w:t>
      </w:r>
      <w:r w:rsidRPr="00BA7277">
        <w:t> requires the preparation of a regulatory impact statement where a subordinate law is likely to impose appreciable costs on the community, or a part of the community.</w:t>
      </w:r>
    </w:p>
    <w:p w14:paraId="794BCEF9" w14:textId="70AE8744" w:rsidR="00AA1E54" w:rsidRPr="00BA7277" w:rsidRDefault="00AA1E54" w:rsidP="00E542F2">
      <w:pPr>
        <w:spacing w:before="140"/>
      </w:pPr>
      <w:r>
        <w:t xml:space="preserve">The Regulation will prevent licensees from </w:t>
      </w:r>
      <w:r w:rsidR="00E45861">
        <w:t>having</w:t>
      </w:r>
      <w:r>
        <w:t xml:space="preserve"> EFTPOS machines that are located at the licensee’s authorised premises</w:t>
      </w:r>
      <w:r w:rsidR="00E45861">
        <w:t xml:space="preserve"> where such machines allow for cash withdrawals</w:t>
      </w:r>
      <w:r>
        <w:t xml:space="preserve">. The Regulation is not likely to impose appreciable costs on licensees as EFPTOS machines will still be </w:t>
      </w:r>
      <w:r w:rsidR="00E45861">
        <w:t xml:space="preserve">allowed and </w:t>
      </w:r>
      <w:r>
        <w:t>available for</w:t>
      </w:r>
      <w:r w:rsidR="009F5FC7">
        <w:t xml:space="preserve"> all</w:t>
      </w:r>
      <w:r w:rsidR="00E734D0">
        <w:t xml:space="preserve"> electronic transactions that do not involve </w:t>
      </w:r>
      <w:r>
        <w:t>cash withdrawal</w:t>
      </w:r>
      <w:r w:rsidR="00E734D0">
        <w:t>.</w:t>
      </w:r>
    </w:p>
    <w:p w14:paraId="687726C6" w14:textId="77777777" w:rsidR="00823C44" w:rsidRDefault="00823C44" w:rsidP="00823C44">
      <w:pPr>
        <w:keepNext/>
        <w:spacing w:before="240" w:after="240"/>
        <w:rPr>
          <w:rFonts w:ascii="Arial" w:hAnsi="Arial" w:cs="Arial"/>
          <w:b/>
          <w:bCs/>
        </w:rPr>
      </w:pPr>
      <w:r w:rsidRPr="00823C44">
        <w:rPr>
          <w:rFonts w:ascii="Arial" w:hAnsi="Arial" w:cs="Arial"/>
          <w:b/>
          <w:bCs/>
        </w:rPr>
        <w:lastRenderedPageBreak/>
        <w:t>CLIMATE IMPACT</w:t>
      </w:r>
    </w:p>
    <w:p w14:paraId="64CE4BCE" w14:textId="15906C7C" w:rsidR="00823C44" w:rsidRPr="00823C44" w:rsidRDefault="00DC253F" w:rsidP="00823C44">
      <w:pPr>
        <w:keepNext/>
        <w:spacing w:before="240" w:after="240"/>
        <w:rPr>
          <w:rFonts w:ascii="Arial" w:hAnsi="Arial" w:cs="Arial"/>
          <w:b/>
          <w:bCs/>
        </w:rPr>
      </w:pPr>
      <w:r>
        <w:t>The</w:t>
      </w:r>
      <w:r w:rsidR="00823C44">
        <w:t xml:space="preserve"> </w:t>
      </w:r>
      <w:r w:rsidR="00E80313">
        <w:t xml:space="preserve">Regulation </w:t>
      </w:r>
      <w:r w:rsidR="00823C44">
        <w:t xml:space="preserve">will </w:t>
      </w:r>
      <w:r w:rsidR="00CE0D4B">
        <w:t>not have an impact</w:t>
      </w:r>
      <w:r w:rsidR="00823C44">
        <w:t xml:space="preserve"> on emissions production or abatement. </w:t>
      </w:r>
    </w:p>
    <w:p w14:paraId="2E85AB86" w14:textId="0B4A26F0" w:rsidR="001D481D" w:rsidRPr="00E530F1" w:rsidRDefault="001D481D" w:rsidP="003F3D15">
      <w:pPr>
        <w:keepNext/>
        <w:spacing w:before="240" w:after="240"/>
        <w:rPr>
          <w:rFonts w:ascii="Arial" w:hAnsi="Arial" w:cs="Arial"/>
          <w:b/>
          <w:bCs/>
        </w:rPr>
      </w:pPr>
      <w:r w:rsidRPr="00E530F1">
        <w:rPr>
          <w:rFonts w:ascii="Arial" w:hAnsi="Arial" w:cs="Arial"/>
          <w:b/>
          <w:bCs/>
        </w:rPr>
        <w:t>CONSISTENCY WITH HUMAN RIGHTS</w:t>
      </w:r>
    </w:p>
    <w:p w14:paraId="1BCEBF80" w14:textId="7BD7D02A" w:rsidR="00EC10B6" w:rsidRDefault="00BA27AF" w:rsidP="001D481D">
      <w:pPr>
        <w:spacing w:before="240" w:after="240"/>
      </w:pPr>
      <w:r w:rsidRPr="004A3EAF">
        <w:t>The </w:t>
      </w:r>
      <w:r w:rsidR="00E80313" w:rsidRPr="004A3EAF">
        <w:t xml:space="preserve">Regulation </w:t>
      </w:r>
      <w:r w:rsidRPr="004A3EAF">
        <w:t>engage</w:t>
      </w:r>
      <w:r w:rsidR="0046621C">
        <w:t>s</w:t>
      </w:r>
      <w:r w:rsidR="00BA7277" w:rsidRPr="004A3EAF">
        <w:t xml:space="preserve"> and limit</w:t>
      </w:r>
      <w:r w:rsidR="0046621C">
        <w:t>s</w:t>
      </w:r>
      <w:r w:rsidRPr="004A3EAF">
        <w:t xml:space="preserve"> </w:t>
      </w:r>
      <w:r w:rsidR="0046621C">
        <w:t xml:space="preserve">the </w:t>
      </w:r>
      <w:r w:rsidRPr="004A3EAF">
        <w:t>right</w:t>
      </w:r>
      <w:r w:rsidR="0046621C">
        <w:t xml:space="preserve"> to the presumption of innocence at section 22(1) of the </w:t>
      </w:r>
      <w:r w:rsidRPr="004A3EAF">
        <w:rPr>
          <w:i/>
          <w:iCs/>
        </w:rPr>
        <w:t>Human Rights Act</w:t>
      </w:r>
      <w:r w:rsidR="00BE4909" w:rsidRPr="004A3EAF">
        <w:rPr>
          <w:i/>
          <w:iCs/>
        </w:rPr>
        <w:t> </w:t>
      </w:r>
      <w:r w:rsidRPr="004A3EAF">
        <w:rPr>
          <w:i/>
          <w:iCs/>
        </w:rPr>
        <w:t>200</w:t>
      </w:r>
      <w:r w:rsidR="00EC10B6">
        <w:rPr>
          <w:i/>
          <w:iCs/>
        </w:rPr>
        <w:t xml:space="preserve">4 </w:t>
      </w:r>
      <w:r w:rsidR="00EC10B6">
        <w:t>(the HRA)</w:t>
      </w:r>
      <w:r w:rsidR="00EC10B6">
        <w:rPr>
          <w:i/>
          <w:iCs/>
        </w:rPr>
        <w:t>.</w:t>
      </w:r>
    </w:p>
    <w:p w14:paraId="01E540DE" w14:textId="77777777" w:rsidR="00EC10B6" w:rsidRPr="00EC10B6" w:rsidRDefault="00EC10B6" w:rsidP="00EC10B6">
      <w:pPr>
        <w:spacing w:before="240" w:after="240"/>
      </w:pPr>
      <w:r w:rsidRPr="00EC10B6">
        <w:rPr>
          <w:u w:val="single"/>
        </w:rPr>
        <w:t>Section 22 – rights in criminal proceedings </w:t>
      </w:r>
      <w:r w:rsidRPr="00EC10B6">
        <w:t> </w:t>
      </w:r>
    </w:p>
    <w:p w14:paraId="52F64310" w14:textId="77777777" w:rsidR="00EC10B6" w:rsidRPr="00EC10B6" w:rsidRDefault="00EC10B6" w:rsidP="00EC10B6">
      <w:pPr>
        <w:numPr>
          <w:ilvl w:val="0"/>
          <w:numId w:val="12"/>
        </w:numPr>
        <w:spacing w:before="240" w:after="240"/>
      </w:pPr>
      <w:r w:rsidRPr="00EC10B6">
        <w:rPr>
          <w:b/>
          <w:bCs/>
          <w:i/>
          <w:iCs/>
        </w:rPr>
        <w:t>Nature of the right and the limitation (s28(2)(a) and (c))</w:t>
      </w:r>
      <w:r w:rsidRPr="00EC10B6">
        <w:t> </w:t>
      </w:r>
    </w:p>
    <w:p w14:paraId="4C77A26B" w14:textId="77777777" w:rsidR="00EC10B6" w:rsidRPr="00EC10B6" w:rsidRDefault="00EC10B6" w:rsidP="00EC10B6">
      <w:pPr>
        <w:spacing w:before="240" w:after="240"/>
      </w:pPr>
      <w:r w:rsidRPr="00EC10B6">
        <w:t>Under section 22(1) of the HRA, everyone charged with a criminal offence has the right to be presumed innocent until proved guilty according to law.  </w:t>
      </w:r>
    </w:p>
    <w:p w14:paraId="716114B6" w14:textId="480B9549" w:rsidR="00EC10B6" w:rsidRDefault="00EC10B6" w:rsidP="00EC10B6">
      <w:pPr>
        <w:spacing w:before="240" w:after="240"/>
      </w:pPr>
      <w:r w:rsidRPr="00EC10B6">
        <w:t xml:space="preserve">The </w:t>
      </w:r>
      <w:r>
        <w:t>Regulation creates an offence which applies strict liability. A strict liability offence engages the right because there are no fault elements to such an offence. The absence of a fault element generally places a burden upon the defendant to challenge the prosecution case.</w:t>
      </w:r>
    </w:p>
    <w:p w14:paraId="34DD4C13" w14:textId="38B98186" w:rsidR="00EC10B6" w:rsidRPr="00EC10B6" w:rsidRDefault="00EC10B6" w:rsidP="00EC10B6">
      <w:pPr>
        <w:spacing w:before="240" w:after="240"/>
      </w:pPr>
      <w:r>
        <w:t xml:space="preserve">While the offence applies to licensees only and would not, in most cases, engage the HRA, </w:t>
      </w:r>
      <w:r w:rsidRPr="00EC10B6">
        <w:t>this assessment considers the potential limitation of rights in criminal proceedings where a licensee operates as a sole trader. In those circumstances, the HRA is engaged and the rights analysis is therefore required.</w:t>
      </w:r>
    </w:p>
    <w:p w14:paraId="58B5DCC2" w14:textId="4C176956" w:rsidR="00EC10B6" w:rsidRPr="00EC10B6" w:rsidRDefault="00EC10B6" w:rsidP="00EC10B6">
      <w:pPr>
        <w:numPr>
          <w:ilvl w:val="0"/>
          <w:numId w:val="13"/>
        </w:numPr>
        <w:spacing w:before="240" w:after="240"/>
      </w:pPr>
      <w:r w:rsidRPr="00EC10B6">
        <w:rPr>
          <w:b/>
          <w:bCs/>
          <w:i/>
          <w:iCs/>
        </w:rPr>
        <w:t>Legitimate purpose (s28(b))</w:t>
      </w:r>
      <w:r w:rsidRPr="00EC10B6">
        <w:t> </w:t>
      </w:r>
    </w:p>
    <w:p w14:paraId="53E2E3C7" w14:textId="02B667DA" w:rsidR="00EC10B6" w:rsidRDefault="00EC10B6" w:rsidP="00EC10B6">
      <w:pPr>
        <w:spacing w:before="240" w:after="240"/>
      </w:pPr>
      <w:r>
        <w:t xml:space="preserve">The </w:t>
      </w:r>
      <w:r w:rsidR="001E352F">
        <w:t xml:space="preserve">strict liability </w:t>
      </w:r>
      <w:r>
        <w:t>offence</w:t>
      </w:r>
      <w:r w:rsidR="001E352F">
        <w:t xml:space="preserve"> will ensure licensees’ compliance with the obligation to not allow for cash withdrawals via EFTPOS at licensed venues. This will</w:t>
      </w:r>
      <w:r w:rsidR="001E352F" w:rsidRPr="001E352F">
        <w:t xml:space="preserve"> support the gaming machine regulatory scheme’s </w:t>
      </w:r>
      <w:r w:rsidR="001E352F">
        <w:t>purpose</w:t>
      </w:r>
      <w:r w:rsidR="001E352F" w:rsidRPr="001E352F">
        <w:t xml:space="preserve"> to </w:t>
      </w:r>
      <w:r w:rsidRPr="001E352F">
        <w:t>prevent and reduce gambling harm and the risk of this harm</w:t>
      </w:r>
      <w:r w:rsidR="001E352F">
        <w:t xml:space="preserve"> to consumers and other affected people</w:t>
      </w:r>
      <w:r w:rsidRPr="001E352F">
        <w:t>.</w:t>
      </w:r>
      <w:r w:rsidRPr="00EC10B6">
        <w:t> </w:t>
      </w:r>
    </w:p>
    <w:p w14:paraId="42DBDD57" w14:textId="11B2F07D" w:rsidR="001E352F" w:rsidRPr="001E352F" w:rsidRDefault="001E352F" w:rsidP="001E352F">
      <w:pPr>
        <w:numPr>
          <w:ilvl w:val="0"/>
          <w:numId w:val="14"/>
        </w:numPr>
        <w:spacing w:before="240" w:after="240"/>
      </w:pPr>
      <w:r w:rsidRPr="001E352F">
        <w:rPr>
          <w:b/>
          <w:bCs/>
          <w:i/>
          <w:iCs/>
        </w:rPr>
        <w:t>Rational connection between the limitation and the purpose (s28(d))</w:t>
      </w:r>
      <w:r w:rsidRPr="001E352F">
        <w:t> </w:t>
      </w:r>
    </w:p>
    <w:p w14:paraId="07C72734" w14:textId="28B32AD7" w:rsidR="001E352F" w:rsidRPr="001E352F" w:rsidRDefault="001E352F" w:rsidP="001E352F">
      <w:pPr>
        <w:spacing w:before="240" w:after="240"/>
      </w:pPr>
      <w:r w:rsidRPr="001E352F">
        <w:t xml:space="preserve">Effective administration of the </w:t>
      </w:r>
      <w:r>
        <w:t xml:space="preserve">gaming machine regulatory scheme </w:t>
      </w:r>
      <w:r w:rsidRPr="001E352F">
        <w:t xml:space="preserve">– and realisation of its harm minimisation intent – requires that suitable sanctions exist to encourage compliance by gambling licensees. </w:t>
      </w:r>
    </w:p>
    <w:p w14:paraId="7E37AC23" w14:textId="77777777" w:rsidR="001E352F" w:rsidRPr="001E352F" w:rsidRDefault="001E352F" w:rsidP="001E352F">
      <w:pPr>
        <w:spacing w:before="240" w:after="240"/>
      </w:pPr>
      <w:r w:rsidRPr="001E352F">
        <w:t>Strict liability offences typically arise in a regulatory context where, for reasons such as public safety and ensuring that regulatory schemes are complied with, strict compliance must be demanded. It also typically arises in cases where a defendant can reasonably be expected, because of their involvement with the regulated activity, to know what the requirements of the law are, and as such the mental, or fault, element can justifiably be excluded.  </w:t>
      </w:r>
    </w:p>
    <w:p w14:paraId="38D3A809" w14:textId="568EE11E" w:rsidR="001E352F" w:rsidRPr="001E352F" w:rsidRDefault="00A71CF5" w:rsidP="001E352F">
      <w:pPr>
        <w:spacing w:before="240" w:after="240"/>
      </w:pPr>
      <w:r>
        <w:t>The offence only applies</w:t>
      </w:r>
      <w:r w:rsidR="001E352F" w:rsidRPr="001E352F">
        <w:t xml:space="preserve"> to licen</w:t>
      </w:r>
      <w:r w:rsidR="00C13ADE">
        <w:t>s</w:t>
      </w:r>
      <w:r w:rsidR="001E352F" w:rsidRPr="001E352F">
        <w:t xml:space="preserve">ees who should have a high degree of understanding of the regulatory framework. </w:t>
      </w:r>
      <w:r>
        <w:t>Strict liability applies to</w:t>
      </w:r>
      <w:r w:rsidR="001E352F" w:rsidRPr="001E352F">
        <w:t xml:space="preserve"> action or inaction which is administrative or procedural in nature, regarding which strict compliance must be demanded to ensure the </w:t>
      </w:r>
      <w:r>
        <w:t xml:space="preserve">gaming machine regulatory </w:t>
      </w:r>
      <w:r w:rsidR="001E352F" w:rsidRPr="001E352F">
        <w:t>scheme fulfills its purpose.</w:t>
      </w:r>
      <w:r w:rsidR="00614D2F">
        <w:t xml:space="preserve"> </w:t>
      </w:r>
      <w:r w:rsidR="001E352F" w:rsidRPr="001E352F">
        <w:t>Strict liability ensures that</w:t>
      </w:r>
      <w:r w:rsidR="00436646">
        <w:t xml:space="preserve"> any prosecution process is streamlined and will allow for immediate and appropriate action to be taken against licensees.</w:t>
      </w:r>
      <w:r w:rsidR="001E352F" w:rsidRPr="001E352F">
        <w:t xml:space="preserve"> </w:t>
      </w:r>
    </w:p>
    <w:p w14:paraId="318B89CF" w14:textId="640D8516" w:rsidR="00C13ADE" w:rsidRPr="00C13ADE" w:rsidRDefault="00C13ADE" w:rsidP="00C13ADE">
      <w:pPr>
        <w:numPr>
          <w:ilvl w:val="0"/>
          <w:numId w:val="15"/>
        </w:numPr>
        <w:spacing w:before="240" w:after="240"/>
      </w:pPr>
      <w:r w:rsidRPr="00C13ADE">
        <w:rPr>
          <w:b/>
          <w:bCs/>
          <w:i/>
          <w:iCs/>
        </w:rPr>
        <w:lastRenderedPageBreak/>
        <w:t>Proportionality (s28 (e))</w:t>
      </w:r>
      <w:r w:rsidRPr="00C13ADE">
        <w:t> </w:t>
      </w:r>
    </w:p>
    <w:p w14:paraId="5132A636" w14:textId="77777777" w:rsidR="00C13ADE" w:rsidRPr="00C13ADE" w:rsidRDefault="00C13ADE" w:rsidP="00C13ADE">
      <w:pPr>
        <w:spacing w:before="240" w:after="240"/>
      </w:pPr>
      <w:r w:rsidRPr="00C13ADE">
        <w:t>The limitation on rights in criminal proceedings is considered proportionate to the legitimate purpose, given the need to regulate and prevent gambling-related harm.</w:t>
      </w:r>
    </w:p>
    <w:p w14:paraId="79F6710D" w14:textId="113EA044" w:rsidR="00EC10B6" w:rsidRDefault="00C13ADE" w:rsidP="00EC10B6">
      <w:pPr>
        <w:spacing w:before="240" w:after="240"/>
      </w:pPr>
      <w:r w:rsidRPr="007B3DE0">
        <w:t>The licensee can be expected to have a high degree of awareness and understanding of the </w:t>
      </w:r>
      <w:r w:rsidR="007B3DE0" w:rsidRPr="007B3DE0">
        <w:t>gaming machine regulation scheme</w:t>
      </w:r>
      <w:r w:rsidRPr="007B3DE0">
        <w:t xml:space="preserve"> and the purpose of </w:t>
      </w:r>
      <w:r w:rsidR="007B3DE0" w:rsidRPr="007B3DE0">
        <w:t xml:space="preserve">regulating EFTPOS machine use at licensed venues </w:t>
      </w:r>
      <w:r w:rsidRPr="007B3DE0">
        <w:t>because of their involvement with the regulated activity. Therefore, the licensee can be reasonably expected to</w:t>
      </w:r>
      <w:r w:rsidR="007B3DE0">
        <w:t xml:space="preserve"> </w:t>
      </w:r>
      <w:r w:rsidRPr="007B3DE0">
        <w:t>know</w:t>
      </w:r>
      <w:r w:rsidR="00BB696E">
        <w:t xml:space="preserve"> </w:t>
      </w:r>
      <w:r w:rsidRPr="007B3DE0">
        <w:t>what</w:t>
      </w:r>
      <w:r w:rsidR="00BB696E">
        <w:t xml:space="preserve"> </w:t>
      </w:r>
      <w:r w:rsidRPr="007B3DE0">
        <w:t>the requirements are for</w:t>
      </w:r>
      <w:r w:rsidR="007B3DE0" w:rsidRPr="007B3DE0">
        <w:t xml:space="preserve"> EFTPOS machine use at licensed venues</w:t>
      </w:r>
      <w:r w:rsidR="00BB696E">
        <w:t xml:space="preserve"> </w:t>
      </w:r>
      <w:r w:rsidRPr="007B3DE0">
        <w:t>and therefore the</w:t>
      </w:r>
      <w:r w:rsidR="00BB696E">
        <w:t xml:space="preserve"> </w:t>
      </w:r>
      <w:r w:rsidRPr="007B3DE0">
        <w:t>fault element can justifiably be excluded. Strict compliance with the obligation to </w:t>
      </w:r>
      <w:r w:rsidR="007B3DE0" w:rsidRPr="007B3DE0">
        <w:t>not allow for cash withdrawals from EFTPOS machines at licensed venues</w:t>
      </w:r>
      <w:r w:rsidRPr="007B3DE0">
        <w:t xml:space="preserve"> is central to the </w:t>
      </w:r>
      <w:r w:rsidR="007B3DE0" w:rsidRPr="007B3DE0">
        <w:t xml:space="preserve">regulatory </w:t>
      </w:r>
      <w:r w:rsidRPr="007B3DE0">
        <w:t>scheme’s capacity to realise its harm minimisation intent.</w:t>
      </w:r>
      <w:r w:rsidRPr="00C13ADE">
        <w:t> </w:t>
      </w:r>
    </w:p>
    <w:p w14:paraId="36C48D92" w14:textId="534B9BCE" w:rsidR="001D481D" w:rsidRPr="00823C44" w:rsidRDefault="001D481D" w:rsidP="003F3D15">
      <w:pPr>
        <w:keepNext/>
        <w:spacing w:before="240" w:after="240"/>
        <w:rPr>
          <w:rFonts w:ascii="Arial" w:hAnsi="Arial" w:cs="Arial"/>
          <w:b/>
          <w:bCs/>
        </w:rPr>
      </w:pPr>
      <w:r w:rsidRPr="006F7705">
        <w:rPr>
          <w:rFonts w:ascii="Arial" w:hAnsi="Arial" w:cs="Arial"/>
          <w:b/>
          <w:bCs/>
        </w:rPr>
        <w:t>CLAUSE NOTES</w:t>
      </w:r>
    </w:p>
    <w:p w14:paraId="15A8FF3F" w14:textId="040E7A6F" w:rsidR="001D481D" w:rsidRPr="001D481D" w:rsidRDefault="001D481D" w:rsidP="003F3D15">
      <w:pPr>
        <w:keepNext/>
        <w:spacing w:before="240" w:after="240"/>
        <w:rPr>
          <w:rFonts w:ascii="Arial" w:hAnsi="Arial" w:cs="Arial"/>
          <w:b/>
          <w:bCs/>
        </w:rPr>
      </w:pPr>
      <w:r w:rsidRPr="001D481D">
        <w:rPr>
          <w:rFonts w:ascii="Arial" w:hAnsi="Arial" w:cs="Arial"/>
          <w:b/>
          <w:bCs/>
        </w:rPr>
        <w:t>Clause 1</w:t>
      </w:r>
      <w:r w:rsidRPr="001D481D">
        <w:rPr>
          <w:rFonts w:ascii="Arial" w:hAnsi="Arial" w:cs="Arial"/>
          <w:b/>
          <w:bCs/>
        </w:rPr>
        <w:tab/>
        <w:t>Name of regulation</w:t>
      </w:r>
    </w:p>
    <w:p w14:paraId="484D6298" w14:textId="48DED344" w:rsidR="00F10CB2" w:rsidRDefault="001D481D" w:rsidP="001D481D">
      <w:pPr>
        <w:spacing w:before="140"/>
      </w:pPr>
      <w:r>
        <w:t xml:space="preserve">Clause 1 names the </w:t>
      </w:r>
      <w:bookmarkEnd w:id="0"/>
      <w:r w:rsidR="00E80313">
        <w:t xml:space="preserve">Regulation </w:t>
      </w:r>
      <w:r w:rsidR="002747A4">
        <w:t>as the</w:t>
      </w:r>
      <w:r w:rsidR="002747A4" w:rsidRPr="002747A4">
        <w:rPr>
          <w:i/>
          <w:iCs/>
        </w:rPr>
        <w:t xml:space="preserve"> </w:t>
      </w:r>
      <w:r w:rsidR="006F7705" w:rsidRPr="006F7705">
        <w:rPr>
          <w:i/>
          <w:iCs/>
        </w:rPr>
        <w:t>Gaming Machine Amendment Regulation 2026</w:t>
      </w:r>
      <w:r w:rsidR="006F7705">
        <w:t xml:space="preserve"> </w:t>
      </w:r>
      <w:r w:rsidR="006F7705" w:rsidRPr="006F7705">
        <w:rPr>
          <w:i/>
          <w:iCs/>
        </w:rPr>
        <w:t xml:space="preserve">(No </w:t>
      </w:r>
      <w:r w:rsidR="00437570">
        <w:rPr>
          <w:i/>
          <w:iCs/>
        </w:rPr>
        <w:t>1</w:t>
      </w:r>
      <w:r w:rsidR="006F7705" w:rsidRPr="006F7705">
        <w:rPr>
          <w:i/>
          <w:iCs/>
        </w:rPr>
        <w:t>).</w:t>
      </w:r>
    </w:p>
    <w:p w14:paraId="72AF5B5F" w14:textId="077D8743" w:rsidR="002747A4" w:rsidRPr="001D481D" w:rsidRDefault="002747A4"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2</w:t>
      </w:r>
      <w:r w:rsidRPr="001D481D">
        <w:rPr>
          <w:rFonts w:ascii="Arial" w:hAnsi="Arial" w:cs="Arial"/>
          <w:b/>
          <w:bCs/>
        </w:rPr>
        <w:tab/>
      </w:r>
      <w:r w:rsidR="001750D5">
        <w:rPr>
          <w:rFonts w:ascii="Arial" w:hAnsi="Arial" w:cs="Arial"/>
          <w:b/>
          <w:bCs/>
        </w:rPr>
        <w:t>Commencement</w:t>
      </w:r>
    </w:p>
    <w:p w14:paraId="6BB6E54F" w14:textId="794C3866" w:rsidR="002747A4" w:rsidRDefault="001750D5" w:rsidP="001D481D">
      <w:pPr>
        <w:spacing w:before="140"/>
        <w:rPr>
          <w:color w:val="000000"/>
          <w:shd w:val="clear" w:color="auto" w:fill="FFFFFF"/>
        </w:rPr>
      </w:pPr>
      <w:r>
        <w:rPr>
          <w:color w:val="000000"/>
          <w:shd w:val="clear" w:color="auto" w:fill="FFFFFF"/>
        </w:rPr>
        <w:t xml:space="preserve">Clause 2 provides for the commencement of the </w:t>
      </w:r>
      <w:r w:rsidR="00046AD3">
        <w:rPr>
          <w:color w:val="000000"/>
          <w:shd w:val="clear" w:color="auto" w:fill="FFFFFF"/>
        </w:rPr>
        <w:t>Regulation </w:t>
      </w:r>
      <w:r w:rsidR="006F7705">
        <w:rPr>
          <w:color w:val="000000"/>
          <w:shd w:val="clear" w:color="auto" w:fill="FFFFFF"/>
        </w:rPr>
        <w:t>6 weeks</w:t>
      </w:r>
      <w:r w:rsidR="00671ABA" w:rsidRPr="00671ABA">
        <w:rPr>
          <w:color w:val="000000"/>
          <w:shd w:val="clear" w:color="auto" w:fill="FFFFFF"/>
        </w:rPr>
        <w:t xml:space="preserve"> after its notification day.</w:t>
      </w:r>
    </w:p>
    <w:p w14:paraId="687D06AE" w14:textId="6E697F00" w:rsidR="001750D5" w:rsidRPr="001D481D" w:rsidRDefault="001750D5"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3</w:t>
      </w:r>
      <w:r w:rsidRPr="001D481D">
        <w:rPr>
          <w:rFonts w:ascii="Arial" w:hAnsi="Arial" w:cs="Arial"/>
          <w:b/>
          <w:bCs/>
        </w:rPr>
        <w:tab/>
      </w:r>
      <w:r>
        <w:rPr>
          <w:rFonts w:ascii="Arial" w:hAnsi="Arial" w:cs="Arial"/>
          <w:b/>
          <w:bCs/>
        </w:rPr>
        <w:t xml:space="preserve">Legislation amended </w:t>
      </w:r>
    </w:p>
    <w:p w14:paraId="1F762B50" w14:textId="01A626C1" w:rsidR="001750D5" w:rsidRDefault="001750D5" w:rsidP="001750D5">
      <w:pPr>
        <w:spacing w:before="140"/>
      </w:pPr>
      <w:r>
        <w:rPr>
          <w:color w:val="000000"/>
          <w:shd w:val="clear" w:color="auto" w:fill="FFFFFF"/>
        </w:rPr>
        <w:t>Clause 3</w:t>
      </w:r>
      <w:r w:rsidRPr="001750D5">
        <w:rPr>
          <w:color w:val="000000"/>
          <w:shd w:val="clear" w:color="auto" w:fill="FFFFFF"/>
        </w:rPr>
        <w:t xml:space="preserve"> </w:t>
      </w:r>
      <w:r>
        <w:rPr>
          <w:color w:val="000000"/>
          <w:shd w:val="clear" w:color="auto" w:fill="FFFFFF"/>
        </w:rPr>
        <w:t xml:space="preserve">provides that the </w:t>
      </w:r>
      <w:r w:rsidR="00046AD3">
        <w:rPr>
          <w:color w:val="000000"/>
          <w:shd w:val="clear" w:color="auto" w:fill="FFFFFF"/>
        </w:rPr>
        <w:t xml:space="preserve">Regulation </w:t>
      </w:r>
      <w:r>
        <w:rPr>
          <w:color w:val="000000"/>
          <w:shd w:val="clear" w:color="auto" w:fill="FFFFFF"/>
        </w:rPr>
        <w:t>amends the</w:t>
      </w:r>
      <w:r w:rsidRPr="001750D5">
        <w:rPr>
          <w:i/>
          <w:iCs/>
        </w:rPr>
        <w:t xml:space="preserve"> </w:t>
      </w:r>
      <w:r w:rsidR="006F7705" w:rsidRPr="006F7705">
        <w:rPr>
          <w:i/>
          <w:iCs/>
        </w:rPr>
        <w:t>Gaming Machine Regulation 2004</w:t>
      </w:r>
      <w:r w:rsidR="006F7705">
        <w:t>.</w:t>
      </w:r>
    </w:p>
    <w:p w14:paraId="42784714" w14:textId="6B040595" w:rsidR="001750D5" w:rsidRPr="001D481D" w:rsidRDefault="001750D5" w:rsidP="003F3D15">
      <w:pPr>
        <w:keepNext/>
        <w:spacing w:before="240" w:after="240"/>
        <w:rPr>
          <w:rFonts w:ascii="Arial" w:hAnsi="Arial" w:cs="Arial"/>
          <w:b/>
          <w:bCs/>
        </w:rPr>
      </w:pPr>
      <w:r w:rsidRPr="001D481D">
        <w:rPr>
          <w:rFonts w:ascii="Arial" w:hAnsi="Arial" w:cs="Arial"/>
          <w:b/>
          <w:bCs/>
        </w:rPr>
        <w:t xml:space="preserve">Clause </w:t>
      </w:r>
      <w:r>
        <w:rPr>
          <w:rFonts w:ascii="Arial" w:hAnsi="Arial" w:cs="Arial"/>
          <w:b/>
          <w:bCs/>
        </w:rPr>
        <w:t>4</w:t>
      </w:r>
      <w:r w:rsidRPr="001D481D">
        <w:rPr>
          <w:rFonts w:ascii="Arial" w:hAnsi="Arial" w:cs="Arial"/>
          <w:b/>
          <w:bCs/>
        </w:rPr>
        <w:tab/>
      </w:r>
      <w:r w:rsidR="006F7705">
        <w:rPr>
          <w:rFonts w:ascii="Arial" w:hAnsi="Arial" w:cs="Arial"/>
          <w:b/>
          <w:bCs/>
        </w:rPr>
        <w:t>Section 62A</w:t>
      </w:r>
      <w:r>
        <w:rPr>
          <w:rFonts w:ascii="Arial" w:hAnsi="Arial" w:cs="Arial"/>
          <w:b/>
          <w:bCs/>
        </w:rPr>
        <w:t xml:space="preserve"> </w:t>
      </w:r>
    </w:p>
    <w:p w14:paraId="3EFD53D9" w14:textId="31D3592D" w:rsidR="001750D5" w:rsidRPr="004A6B56" w:rsidRDefault="006F7705" w:rsidP="00671ABA">
      <w:pPr>
        <w:spacing w:before="140"/>
      </w:pPr>
      <w:r>
        <w:rPr>
          <w:color w:val="000000"/>
          <w:shd w:val="clear" w:color="auto" w:fill="FFFFFF"/>
        </w:rPr>
        <w:t xml:space="preserve">Clause 4 substitutes a new section 62A which provides that it is an offence for a licensee to have an EFTPOS facility located at the licensee’s authorised premises where that EFTPOS facility allows for cash to be obtained by a person.  </w:t>
      </w:r>
    </w:p>
    <w:sectPr w:rsidR="001750D5" w:rsidRPr="004A6B56" w:rsidSect="00C615CB">
      <w:headerReference w:type="even" r:id="rId8"/>
      <w:headerReference w:type="default" r:id="rId9"/>
      <w:footerReference w:type="even" r:id="rId10"/>
      <w:footerReference w:type="default" r:id="rId11"/>
      <w:headerReference w:type="first" r:id="rId12"/>
      <w:footerReference w:type="first" r:id="rId13"/>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66C6" w14:textId="77777777" w:rsidR="00BC3EBB" w:rsidRDefault="00BC3EBB" w:rsidP="00F10CB2">
      <w:r>
        <w:separator/>
      </w:r>
    </w:p>
  </w:endnote>
  <w:endnote w:type="continuationSeparator" w:id="0">
    <w:p w14:paraId="5481894E" w14:textId="77777777" w:rsidR="00BC3EBB" w:rsidRDefault="00BC3EBB" w:rsidP="00F1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1E5A" w14:textId="77777777" w:rsidR="00560432" w:rsidRDefault="00560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3228" w14:textId="18DE810C" w:rsidR="00704DC3" w:rsidRPr="00560432" w:rsidRDefault="00560432" w:rsidP="00560432">
    <w:pPr>
      <w:pStyle w:val="Footer"/>
      <w:jc w:val="center"/>
      <w:rPr>
        <w:rFonts w:cs="Arial"/>
        <w:sz w:val="14"/>
      </w:rPr>
    </w:pPr>
    <w:r w:rsidRPr="00560432">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30B6" w14:textId="77777777" w:rsidR="00560432" w:rsidRDefault="00560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2A92B" w14:textId="77777777" w:rsidR="00BC3EBB" w:rsidRDefault="00BC3EBB" w:rsidP="00F10CB2">
      <w:r>
        <w:separator/>
      </w:r>
    </w:p>
  </w:footnote>
  <w:footnote w:type="continuationSeparator" w:id="0">
    <w:p w14:paraId="5E23A97F" w14:textId="77777777" w:rsidR="00BC3EBB" w:rsidRDefault="00BC3EBB" w:rsidP="00F10CB2">
      <w:r>
        <w:continuationSeparator/>
      </w:r>
    </w:p>
  </w:footnote>
  <w:footnote w:id="1">
    <w:p w14:paraId="5D2190C6" w14:textId="4C00A693" w:rsidR="00AD28A7" w:rsidRPr="00AD28A7" w:rsidRDefault="00AD28A7" w:rsidP="00AD28A7">
      <w:pPr>
        <w:pStyle w:val="FootnoteText"/>
        <w:rPr>
          <w:sz w:val="20"/>
          <w:szCs w:val="20"/>
        </w:rPr>
      </w:pPr>
      <w:r>
        <w:rPr>
          <w:rStyle w:val="FootnoteReference"/>
        </w:rPr>
        <w:footnoteRef/>
      </w:r>
      <w:r>
        <w:t xml:space="preserve"> </w:t>
      </w:r>
      <w:r w:rsidRPr="00AD28A7">
        <w:rPr>
          <w:sz w:val="20"/>
          <w:szCs w:val="20"/>
        </w:rPr>
        <w:t>J MicMillen, D Marshall and L Murphy, ‘The use of ATMs in ACT Gaming Venues: An Empirical Study’, ANU Centre for Gambling Research</w:t>
      </w:r>
      <w:r>
        <w:rPr>
          <w:sz w:val="20"/>
          <w:szCs w:val="20"/>
        </w:rPr>
        <w:t xml:space="preserve"> </w:t>
      </w:r>
      <w:r w:rsidRPr="00AD28A7">
        <w:rPr>
          <w:sz w:val="20"/>
          <w:szCs w:val="20"/>
        </w:rPr>
        <w:t>(2004), 14.</w:t>
      </w:r>
    </w:p>
  </w:footnote>
  <w:footnote w:id="2">
    <w:p w14:paraId="5CBF45E9" w14:textId="4B44D696" w:rsidR="00AD28A7" w:rsidRPr="00AD28A7" w:rsidRDefault="00AD28A7" w:rsidP="00AD28A7">
      <w:pPr>
        <w:pStyle w:val="FootnoteText"/>
        <w:rPr>
          <w:sz w:val="20"/>
          <w:szCs w:val="20"/>
        </w:rPr>
      </w:pPr>
      <w:r>
        <w:rPr>
          <w:rStyle w:val="FootnoteReference"/>
        </w:rPr>
        <w:footnoteRef/>
      </w:r>
      <w:r>
        <w:t xml:space="preserve"> </w:t>
      </w:r>
      <w:r w:rsidRPr="00AD28A7">
        <w:rPr>
          <w:sz w:val="20"/>
          <w:szCs w:val="20"/>
        </w:rPr>
        <w:t>Anna Thomas et al, ‘Evaluation of the removal of ATMs from gaming venues in Victoria, Australia’, Department of Justice,</w:t>
      </w:r>
      <w:r>
        <w:rPr>
          <w:sz w:val="20"/>
          <w:szCs w:val="20"/>
        </w:rPr>
        <w:t xml:space="preserve"> </w:t>
      </w:r>
      <w:r w:rsidRPr="00AD28A7">
        <w:rPr>
          <w:sz w:val="20"/>
          <w:szCs w:val="20"/>
        </w:rPr>
        <w:t>Victoria (2013), 14-15.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06C05" w14:textId="77777777" w:rsidR="00560432" w:rsidRDefault="00560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ACAC" w14:textId="0421DE07" w:rsidR="00704DC3" w:rsidRPr="00437570" w:rsidRDefault="00704DC3" w:rsidP="009F561C">
    <w:pPr>
      <w:pStyle w:val="Header"/>
      <w:jc w:val="center"/>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7D4" w14:textId="77777777" w:rsidR="00560432" w:rsidRDefault="00560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67B7228"/>
    <w:multiLevelType w:val="hybridMultilevel"/>
    <w:tmpl w:val="6750033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2385057"/>
    <w:multiLevelType w:val="multilevel"/>
    <w:tmpl w:val="D4009D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6"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7" w15:restartNumberingAfterBreak="0">
    <w:nsid w:val="35E60670"/>
    <w:multiLevelType w:val="multilevel"/>
    <w:tmpl w:val="2758AF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9"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0" w15:restartNumberingAfterBreak="0">
    <w:nsid w:val="44313D0A"/>
    <w:multiLevelType w:val="multilevel"/>
    <w:tmpl w:val="E33E6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496A5A"/>
    <w:multiLevelType w:val="multilevel"/>
    <w:tmpl w:val="8616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762D5F01"/>
    <w:multiLevelType w:val="multilevel"/>
    <w:tmpl w:val="D6C282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242A89"/>
    <w:multiLevelType w:val="multilevel"/>
    <w:tmpl w:val="FE48D3A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360" w:hanging="340"/>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num w:numId="1" w16cid:durableId="1571766070">
    <w:abstractNumId w:val="2"/>
  </w:num>
  <w:num w:numId="2" w16cid:durableId="1123185387">
    <w:abstractNumId w:val="0"/>
  </w:num>
  <w:num w:numId="3" w16cid:durableId="1556695274">
    <w:abstractNumId w:val="3"/>
  </w:num>
  <w:num w:numId="4" w16cid:durableId="1312171949">
    <w:abstractNumId w:val="9"/>
  </w:num>
  <w:num w:numId="5" w16cid:durableId="83844083">
    <w:abstractNumId w:val="12"/>
  </w:num>
  <w:num w:numId="6" w16cid:durableId="1141654512">
    <w:abstractNumId w:val="1"/>
  </w:num>
  <w:num w:numId="7" w16cid:durableId="1093627604">
    <w:abstractNumId w:val="6"/>
  </w:num>
  <w:num w:numId="8" w16cid:durableId="1024790815">
    <w:abstractNumId w:val="8"/>
  </w:num>
  <w:num w:numId="9" w16cid:durableId="1339504889">
    <w:abstractNumId w:val="5"/>
  </w:num>
  <w:num w:numId="10" w16cid:durableId="1753313540">
    <w:abstractNumId w:val="14"/>
  </w:num>
  <w:num w:numId="11" w16cid:durableId="718285517">
    <w:abstractNumId w:val="4"/>
  </w:num>
  <w:num w:numId="12" w16cid:durableId="1841970267">
    <w:abstractNumId w:val="11"/>
  </w:num>
  <w:num w:numId="13" w16cid:durableId="1192500098">
    <w:abstractNumId w:val="10"/>
  </w:num>
  <w:num w:numId="14" w16cid:durableId="838811661">
    <w:abstractNumId w:val="7"/>
  </w:num>
  <w:num w:numId="15" w16cid:durableId="2070956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C"/>
    <w:rsid w:val="00022B16"/>
    <w:rsid w:val="00046AD3"/>
    <w:rsid w:val="000554C7"/>
    <w:rsid w:val="000555E8"/>
    <w:rsid w:val="000568C5"/>
    <w:rsid w:val="00060D9B"/>
    <w:rsid w:val="00064C55"/>
    <w:rsid w:val="000A1A69"/>
    <w:rsid w:val="000D73B8"/>
    <w:rsid w:val="000E0780"/>
    <w:rsid w:val="001750D5"/>
    <w:rsid w:val="00194AC7"/>
    <w:rsid w:val="001C4D81"/>
    <w:rsid w:val="001D481D"/>
    <w:rsid w:val="001E352F"/>
    <w:rsid w:val="001E536E"/>
    <w:rsid w:val="00213DE5"/>
    <w:rsid w:val="00216B3D"/>
    <w:rsid w:val="00226D9C"/>
    <w:rsid w:val="00232478"/>
    <w:rsid w:val="002443B1"/>
    <w:rsid w:val="002561A5"/>
    <w:rsid w:val="002747A4"/>
    <w:rsid w:val="002B2950"/>
    <w:rsid w:val="002B302B"/>
    <w:rsid w:val="002B7403"/>
    <w:rsid w:val="002E7EAB"/>
    <w:rsid w:val="0030233C"/>
    <w:rsid w:val="0031337E"/>
    <w:rsid w:val="003155A9"/>
    <w:rsid w:val="00391779"/>
    <w:rsid w:val="0039261A"/>
    <w:rsid w:val="00394BC0"/>
    <w:rsid w:val="003B4E2F"/>
    <w:rsid w:val="003C173E"/>
    <w:rsid w:val="003E423C"/>
    <w:rsid w:val="003F206B"/>
    <w:rsid w:val="003F3D15"/>
    <w:rsid w:val="00411009"/>
    <w:rsid w:val="00436646"/>
    <w:rsid w:val="00437570"/>
    <w:rsid w:val="00445EB0"/>
    <w:rsid w:val="0046621C"/>
    <w:rsid w:val="0046796E"/>
    <w:rsid w:val="00470548"/>
    <w:rsid w:val="004736F2"/>
    <w:rsid w:val="00475F52"/>
    <w:rsid w:val="00494E2F"/>
    <w:rsid w:val="004A3EAF"/>
    <w:rsid w:val="004A6B56"/>
    <w:rsid w:val="004F4E8E"/>
    <w:rsid w:val="005216A4"/>
    <w:rsid w:val="00560432"/>
    <w:rsid w:val="00575BD4"/>
    <w:rsid w:val="00596737"/>
    <w:rsid w:val="005D78C1"/>
    <w:rsid w:val="005F15E2"/>
    <w:rsid w:val="00612E7C"/>
    <w:rsid w:val="00614D2F"/>
    <w:rsid w:val="00616AD2"/>
    <w:rsid w:val="00627F0C"/>
    <w:rsid w:val="006374CB"/>
    <w:rsid w:val="00667281"/>
    <w:rsid w:val="00671ABA"/>
    <w:rsid w:val="00671F7D"/>
    <w:rsid w:val="00676F0B"/>
    <w:rsid w:val="00681ED6"/>
    <w:rsid w:val="00684745"/>
    <w:rsid w:val="006A026A"/>
    <w:rsid w:val="006A0343"/>
    <w:rsid w:val="006C11E0"/>
    <w:rsid w:val="006F09D5"/>
    <w:rsid w:val="006F1102"/>
    <w:rsid w:val="006F5DD4"/>
    <w:rsid w:val="006F7705"/>
    <w:rsid w:val="00704DC3"/>
    <w:rsid w:val="0072003E"/>
    <w:rsid w:val="00731036"/>
    <w:rsid w:val="0074031B"/>
    <w:rsid w:val="00775B47"/>
    <w:rsid w:val="0078062D"/>
    <w:rsid w:val="007B3DE0"/>
    <w:rsid w:val="007D1D7F"/>
    <w:rsid w:val="00812D54"/>
    <w:rsid w:val="00822E4F"/>
    <w:rsid w:val="00823C44"/>
    <w:rsid w:val="008574CE"/>
    <w:rsid w:val="008B37E5"/>
    <w:rsid w:val="008B6C76"/>
    <w:rsid w:val="008C225C"/>
    <w:rsid w:val="00901924"/>
    <w:rsid w:val="009223CF"/>
    <w:rsid w:val="0093115C"/>
    <w:rsid w:val="009355F3"/>
    <w:rsid w:val="009B7BA8"/>
    <w:rsid w:val="009D39C7"/>
    <w:rsid w:val="009E2E69"/>
    <w:rsid w:val="009F561C"/>
    <w:rsid w:val="009F5FC7"/>
    <w:rsid w:val="00A0585C"/>
    <w:rsid w:val="00A21767"/>
    <w:rsid w:val="00A262AF"/>
    <w:rsid w:val="00A43165"/>
    <w:rsid w:val="00A62ECE"/>
    <w:rsid w:val="00A71CF5"/>
    <w:rsid w:val="00A729FE"/>
    <w:rsid w:val="00AA1E54"/>
    <w:rsid w:val="00AD146A"/>
    <w:rsid w:val="00AD28A7"/>
    <w:rsid w:val="00B1736F"/>
    <w:rsid w:val="00B30B9A"/>
    <w:rsid w:val="00B35FC3"/>
    <w:rsid w:val="00B80BEE"/>
    <w:rsid w:val="00B91FE9"/>
    <w:rsid w:val="00BA27AF"/>
    <w:rsid w:val="00BA52F5"/>
    <w:rsid w:val="00BA5BEF"/>
    <w:rsid w:val="00BA70AA"/>
    <w:rsid w:val="00BA7277"/>
    <w:rsid w:val="00BB241F"/>
    <w:rsid w:val="00BB696E"/>
    <w:rsid w:val="00BB6FF1"/>
    <w:rsid w:val="00BC3EBB"/>
    <w:rsid w:val="00BD44B8"/>
    <w:rsid w:val="00BE4909"/>
    <w:rsid w:val="00C13ADE"/>
    <w:rsid w:val="00C41B1B"/>
    <w:rsid w:val="00C615CB"/>
    <w:rsid w:val="00C67F84"/>
    <w:rsid w:val="00C716F6"/>
    <w:rsid w:val="00C81201"/>
    <w:rsid w:val="00C94D89"/>
    <w:rsid w:val="00CD4E55"/>
    <w:rsid w:val="00CD7F17"/>
    <w:rsid w:val="00CE0D4B"/>
    <w:rsid w:val="00D17B01"/>
    <w:rsid w:val="00D3750D"/>
    <w:rsid w:val="00D466AF"/>
    <w:rsid w:val="00D47F13"/>
    <w:rsid w:val="00D7215B"/>
    <w:rsid w:val="00DA1589"/>
    <w:rsid w:val="00DC253F"/>
    <w:rsid w:val="00E00401"/>
    <w:rsid w:val="00E134B7"/>
    <w:rsid w:val="00E1707D"/>
    <w:rsid w:val="00E45861"/>
    <w:rsid w:val="00E530F1"/>
    <w:rsid w:val="00E542F2"/>
    <w:rsid w:val="00E556F2"/>
    <w:rsid w:val="00E734D0"/>
    <w:rsid w:val="00E80313"/>
    <w:rsid w:val="00E85B58"/>
    <w:rsid w:val="00EA1BAF"/>
    <w:rsid w:val="00EC10B6"/>
    <w:rsid w:val="00EF6FD7"/>
    <w:rsid w:val="00F10CB2"/>
    <w:rsid w:val="00F15AC3"/>
    <w:rsid w:val="00F46B9C"/>
    <w:rsid w:val="00F65B42"/>
    <w:rsid w:val="00FD0278"/>
    <w:rsid w:val="00FD62E2"/>
    <w:rsid w:val="00FE6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23A8C"/>
  <w15:docId w15:val="{BA255ED2-B3BD-414B-928B-FE12BCEAE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AC3"/>
    <w:rPr>
      <w:sz w:val="24"/>
      <w:lang w:eastAsia="en-US"/>
    </w:rPr>
  </w:style>
  <w:style w:type="paragraph" w:styleId="Heading1">
    <w:name w:val="heading 1"/>
    <w:basedOn w:val="Normal"/>
    <w:next w:val="Normal"/>
    <w:qFormat/>
    <w:rsid w:val="00F15AC3"/>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F15AC3"/>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F15AC3"/>
    <w:pPr>
      <w:keepNext/>
      <w:pBdr>
        <w:right w:val="single" w:sz="4" w:space="4" w:color="auto"/>
      </w:pBdr>
      <w:outlineLvl w:val="2"/>
    </w:pPr>
    <w:rPr>
      <w:i/>
      <w:iCs/>
      <w:sz w:val="22"/>
      <w:szCs w:val="22"/>
    </w:rPr>
  </w:style>
  <w:style w:type="paragraph" w:styleId="Heading4">
    <w:name w:val="heading 4"/>
    <w:basedOn w:val="Normal"/>
    <w:next w:val="Normal"/>
    <w:qFormat/>
    <w:rsid w:val="00F15AC3"/>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15AC3"/>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F15AC3"/>
    <w:pPr>
      <w:tabs>
        <w:tab w:val="left" w:pos="2880"/>
      </w:tabs>
      <w:spacing w:before="120" w:after="60" w:line="240" w:lineRule="exact"/>
    </w:pPr>
    <w:rPr>
      <w:rFonts w:ascii="Arial" w:hAnsi="Arial"/>
      <w:sz w:val="18"/>
    </w:rPr>
  </w:style>
  <w:style w:type="paragraph" w:customStyle="1" w:styleId="Billname">
    <w:name w:val="Billname"/>
    <w:basedOn w:val="Normal"/>
    <w:rsid w:val="00F15AC3"/>
    <w:pPr>
      <w:tabs>
        <w:tab w:val="left" w:pos="2400"/>
        <w:tab w:val="left" w:pos="2880"/>
      </w:tabs>
      <w:spacing w:before="1220" w:after="100"/>
    </w:pPr>
    <w:rPr>
      <w:rFonts w:ascii="Arial" w:hAnsi="Arial"/>
      <w:b/>
      <w:sz w:val="40"/>
    </w:rPr>
  </w:style>
  <w:style w:type="paragraph" w:customStyle="1" w:styleId="Amain">
    <w:name w:val="A main"/>
    <w:basedOn w:val="Normal"/>
    <w:rsid w:val="00F15AC3"/>
    <w:pPr>
      <w:tabs>
        <w:tab w:val="right" w:pos="500"/>
        <w:tab w:val="left" w:pos="700"/>
      </w:tabs>
      <w:spacing w:before="80" w:after="60"/>
      <w:ind w:left="700" w:hanging="700"/>
      <w:jc w:val="both"/>
      <w:outlineLvl w:val="5"/>
    </w:pPr>
  </w:style>
  <w:style w:type="paragraph" w:customStyle="1" w:styleId="N-line3">
    <w:name w:val="N-line3"/>
    <w:basedOn w:val="Normal"/>
    <w:next w:val="Normal"/>
    <w:rsid w:val="00F15AC3"/>
    <w:pPr>
      <w:pBdr>
        <w:bottom w:val="single" w:sz="12" w:space="1" w:color="auto"/>
      </w:pBdr>
      <w:jc w:val="both"/>
    </w:pPr>
  </w:style>
  <w:style w:type="paragraph" w:customStyle="1" w:styleId="madeunder">
    <w:name w:val="made under"/>
    <w:basedOn w:val="Normal"/>
    <w:rsid w:val="00F15AC3"/>
    <w:pPr>
      <w:spacing w:before="180" w:after="60"/>
      <w:jc w:val="both"/>
    </w:pPr>
  </w:style>
  <w:style w:type="paragraph" w:customStyle="1" w:styleId="CoverActName">
    <w:name w:val="CoverActName"/>
    <w:basedOn w:val="Normal"/>
    <w:rsid w:val="00F15AC3"/>
    <w:pPr>
      <w:tabs>
        <w:tab w:val="left" w:pos="2600"/>
      </w:tabs>
      <w:spacing w:before="200" w:after="60"/>
      <w:jc w:val="both"/>
    </w:pPr>
    <w:rPr>
      <w:rFonts w:ascii="Arial" w:hAnsi="Arial"/>
      <w:b/>
    </w:rPr>
  </w:style>
  <w:style w:type="paragraph" w:customStyle="1" w:styleId="06Copyright">
    <w:name w:val="06Copyright"/>
    <w:basedOn w:val="Normal"/>
    <w:rsid w:val="00F15AC3"/>
    <w:pPr>
      <w:tabs>
        <w:tab w:val="left" w:pos="2880"/>
      </w:tabs>
    </w:pPr>
  </w:style>
  <w:style w:type="paragraph" w:customStyle="1" w:styleId="Apara">
    <w:name w:val="A para"/>
    <w:basedOn w:val="Normal"/>
    <w:rsid w:val="00F15AC3"/>
    <w:pPr>
      <w:numPr>
        <w:ilvl w:val="6"/>
        <w:numId w:val="9"/>
      </w:numPr>
      <w:spacing w:before="80" w:after="60"/>
      <w:jc w:val="both"/>
      <w:outlineLvl w:val="6"/>
    </w:pPr>
  </w:style>
  <w:style w:type="paragraph" w:customStyle="1" w:styleId="Asubpara">
    <w:name w:val="A subpara"/>
    <w:basedOn w:val="Normal"/>
    <w:rsid w:val="00F15AC3"/>
    <w:pPr>
      <w:numPr>
        <w:ilvl w:val="7"/>
        <w:numId w:val="9"/>
      </w:numPr>
      <w:spacing w:before="80" w:after="60"/>
      <w:jc w:val="both"/>
      <w:outlineLvl w:val="7"/>
    </w:pPr>
  </w:style>
  <w:style w:type="paragraph" w:customStyle="1" w:styleId="Asubsubpara">
    <w:name w:val="A subsubpara"/>
    <w:basedOn w:val="Normal"/>
    <w:rsid w:val="00F15AC3"/>
    <w:pPr>
      <w:numPr>
        <w:ilvl w:val="8"/>
        <w:numId w:val="9"/>
      </w:numPr>
      <w:spacing w:before="80" w:after="60"/>
      <w:jc w:val="both"/>
      <w:outlineLvl w:val="8"/>
    </w:pPr>
  </w:style>
  <w:style w:type="paragraph" w:customStyle="1" w:styleId="AH5Sec">
    <w:name w:val="A H5 Sec"/>
    <w:basedOn w:val="Normal"/>
    <w:next w:val="Amain"/>
    <w:rsid w:val="00F15AC3"/>
    <w:pPr>
      <w:keepNext/>
      <w:numPr>
        <w:ilvl w:val="4"/>
        <w:numId w:val="1"/>
      </w:numPr>
      <w:spacing w:before="180" w:after="60"/>
      <w:outlineLvl w:val="4"/>
    </w:pPr>
    <w:rPr>
      <w:rFonts w:ascii="Arial" w:hAnsi="Arial"/>
      <w:b/>
    </w:rPr>
  </w:style>
  <w:style w:type="paragraph" w:styleId="Header">
    <w:name w:val="header"/>
    <w:basedOn w:val="Normal"/>
    <w:semiHidden/>
    <w:rsid w:val="00F15AC3"/>
    <w:pPr>
      <w:tabs>
        <w:tab w:val="left" w:pos="2880"/>
        <w:tab w:val="center" w:pos="4153"/>
        <w:tab w:val="right" w:pos="8306"/>
      </w:tabs>
    </w:pPr>
  </w:style>
  <w:style w:type="paragraph" w:customStyle="1" w:styleId="ref">
    <w:name w:val="ref"/>
    <w:basedOn w:val="Normal"/>
    <w:next w:val="Normal"/>
    <w:rsid w:val="00F15AC3"/>
    <w:pPr>
      <w:spacing w:after="60"/>
      <w:jc w:val="both"/>
    </w:pPr>
    <w:rPr>
      <w:sz w:val="18"/>
    </w:rPr>
  </w:style>
  <w:style w:type="character" w:customStyle="1" w:styleId="CharDivText">
    <w:name w:val="CharDivText"/>
    <w:basedOn w:val="DefaultParagraphFont"/>
    <w:rsid w:val="00F15AC3"/>
  </w:style>
  <w:style w:type="paragraph" w:customStyle="1" w:styleId="CoverInForce">
    <w:name w:val="CoverInForce"/>
    <w:basedOn w:val="Normal"/>
    <w:rsid w:val="00F15AC3"/>
    <w:pPr>
      <w:tabs>
        <w:tab w:val="left" w:pos="2600"/>
      </w:tabs>
      <w:spacing w:before="200" w:after="60"/>
      <w:jc w:val="both"/>
    </w:pPr>
    <w:rPr>
      <w:rFonts w:ascii="Arial" w:hAnsi="Arial"/>
    </w:rPr>
  </w:style>
  <w:style w:type="paragraph" w:customStyle="1" w:styleId="AFHdg">
    <w:name w:val="AFHdg"/>
    <w:basedOn w:val="Normal"/>
    <w:rsid w:val="00F15AC3"/>
    <w:pPr>
      <w:tabs>
        <w:tab w:val="left" w:pos="2600"/>
      </w:tabs>
      <w:spacing w:before="80" w:after="60"/>
      <w:jc w:val="both"/>
    </w:pPr>
    <w:rPr>
      <w:rFonts w:ascii="Arial" w:hAnsi="Arial"/>
      <w:b/>
      <w:sz w:val="32"/>
    </w:rPr>
  </w:style>
  <w:style w:type="paragraph" w:customStyle="1" w:styleId="ApprFormHd">
    <w:name w:val="ApprFormHd"/>
    <w:basedOn w:val="Normal"/>
    <w:rsid w:val="00F15AC3"/>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F15AC3"/>
  </w:style>
  <w:style w:type="paragraph" w:customStyle="1" w:styleId="Aparabullet">
    <w:name w:val="A para bullet"/>
    <w:basedOn w:val="Normal"/>
    <w:rsid w:val="00F15AC3"/>
    <w:pPr>
      <w:numPr>
        <w:numId w:val="4"/>
      </w:numPr>
    </w:pPr>
  </w:style>
  <w:style w:type="paragraph" w:styleId="TOC1">
    <w:name w:val="toc 1"/>
    <w:basedOn w:val="Normal"/>
    <w:next w:val="Normal"/>
    <w:autoRedefine/>
    <w:semiHidden/>
    <w:rsid w:val="00F15AC3"/>
  </w:style>
  <w:style w:type="paragraph" w:styleId="TOC2">
    <w:name w:val="toc 2"/>
    <w:basedOn w:val="Normal"/>
    <w:next w:val="Normal"/>
    <w:autoRedefine/>
    <w:semiHidden/>
    <w:rsid w:val="00F15AC3"/>
    <w:pPr>
      <w:ind w:left="240"/>
    </w:pPr>
  </w:style>
  <w:style w:type="paragraph" w:styleId="TOC3">
    <w:name w:val="toc 3"/>
    <w:basedOn w:val="Normal"/>
    <w:next w:val="Normal"/>
    <w:autoRedefine/>
    <w:semiHidden/>
    <w:rsid w:val="00F15AC3"/>
    <w:pPr>
      <w:ind w:left="480"/>
    </w:pPr>
  </w:style>
  <w:style w:type="paragraph" w:styleId="TOC4">
    <w:name w:val="toc 4"/>
    <w:basedOn w:val="Normal"/>
    <w:next w:val="Normal"/>
    <w:autoRedefine/>
    <w:semiHidden/>
    <w:rsid w:val="00F15AC3"/>
    <w:pPr>
      <w:ind w:left="720"/>
    </w:pPr>
  </w:style>
  <w:style w:type="paragraph" w:styleId="TOC5">
    <w:name w:val="toc 5"/>
    <w:basedOn w:val="Normal"/>
    <w:next w:val="Normal"/>
    <w:autoRedefine/>
    <w:semiHidden/>
    <w:rsid w:val="00F15AC3"/>
    <w:pPr>
      <w:ind w:left="960"/>
    </w:pPr>
  </w:style>
  <w:style w:type="paragraph" w:styleId="TOC6">
    <w:name w:val="toc 6"/>
    <w:basedOn w:val="Normal"/>
    <w:next w:val="Normal"/>
    <w:autoRedefine/>
    <w:semiHidden/>
    <w:rsid w:val="00F15AC3"/>
    <w:pPr>
      <w:ind w:left="1200"/>
    </w:pPr>
  </w:style>
  <w:style w:type="paragraph" w:styleId="TOC7">
    <w:name w:val="toc 7"/>
    <w:basedOn w:val="Normal"/>
    <w:next w:val="Normal"/>
    <w:autoRedefine/>
    <w:semiHidden/>
    <w:rsid w:val="00F15AC3"/>
    <w:pPr>
      <w:ind w:left="1440"/>
    </w:pPr>
  </w:style>
  <w:style w:type="paragraph" w:styleId="TOC8">
    <w:name w:val="toc 8"/>
    <w:basedOn w:val="Normal"/>
    <w:next w:val="Normal"/>
    <w:autoRedefine/>
    <w:semiHidden/>
    <w:rsid w:val="00F15AC3"/>
    <w:pPr>
      <w:ind w:left="1680"/>
    </w:pPr>
  </w:style>
  <w:style w:type="paragraph" w:styleId="TOC9">
    <w:name w:val="toc 9"/>
    <w:basedOn w:val="Normal"/>
    <w:next w:val="Normal"/>
    <w:autoRedefine/>
    <w:semiHidden/>
    <w:rsid w:val="00F15AC3"/>
    <w:pPr>
      <w:ind w:left="1920"/>
    </w:pPr>
  </w:style>
  <w:style w:type="character" w:styleId="Hyperlink">
    <w:name w:val="Hyperlink"/>
    <w:basedOn w:val="DefaultParagraphFont"/>
    <w:semiHidden/>
    <w:rsid w:val="00F15AC3"/>
    <w:rPr>
      <w:color w:val="0000FF"/>
      <w:u w:val="single"/>
    </w:rPr>
  </w:style>
  <w:style w:type="paragraph" w:styleId="BodyTextIndent">
    <w:name w:val="Body Text Indent"/>
    <w:basedOn w:val="Normal"/>
    <w:semiHidden/>
    <w:rsid w:val="00F15AC3"/>
    <w:pPr>
      <w:spacing w:before="120" w:after="60"/>
      <w:ind w:left="709"/>
    </w:pPr>
  </w:style>
  <w:style w:type="paragraph" w:customStyle="1" w:styleId="Minister">
    <w:name w:val="Minister"/>
    <w:basedOn w:val="Normal"/>
    <w:rsid w:val="00F15AC3"/>
    <w:pPr>
      <w:spacing w:before="880" w:after="60"/>
      <w:jc w:val="right"/>
    </w:pPr>
    <w:rPr>
      <w:caps/>
      <w:szCs w:val="24"/>
    </w:rPr>
  </w:style>
  <w:style w:type="paragraph" w:customStyle="1" w:styleId="DateLine">
    <w:name w:val="DateLine"/>
    <w:basedOn w:val="Normal"/>
    <w:rsid w:val="00F15AC3"/>
    <w:pPr>
      <w:tabs>
        <w:tab w:val="left" w:pos="4320"/>
      </w:tabs>
      <w:spacing w:before="80" w:after="60"/>
      <w:jc w:val="both"/>
    </w:pPr>
    <w:rPr>
      <w:szCs w:val="24"/>
    </w:rPr>
  </w:style>
  <w:style w:type="paragraph" w:customStyle="1" w:styleId="MinisterWord">
    <w:name w:val="MinisterWord"/>
    <w:basedOn w:val="Normal"/>
    <w:rsid w:val="00F15AC3"/>
    <w:pPr>
      <w:tabs>
        <w:tab w:val="left" w:pos="2880"/>
      </w:tabs>
      <w:jc w:val="right"/>
    </w:pPr>
    <w:rPr>
      <w:szCs w:val="24"/>
    </w:rPr>
  </w:style>
  <w:style w:type="character" w:styleId="FollowedHyperlink">
    <w:name w:val="FollowedHyperlink"/>
    <w:basedOn w:val="DefaultParagraphFont"/>
    <w:semiHidden/>
    <w:rsid w:val="00F15AC3"/>
    <w:rPr>
      <w:color w:val="800080"/>
      <w:u w:val="single"/>
    </w:rPr>
  </w:style>
  <w:style w:type="character" w:styleId="FootnoteReference">
    <w:name w:val="footnote reference"/>
    <w:basedOn w:val="DefaultParagraphFont"/>
    <w:semiHidden/>
    <w:rsid w:val="00F15AC3"/>
    <w:rPr>
      <w:rFonts w:ascii="Times New Roman" w:hAnsi="Times New Roman" w:cs="Times New Roman"/>
      <w:sz w:val="24"/>
      <w:szCs w:val="24"/>
      <w:vertAlign w:val="superscript"/>
    </w:rPr>
  </w:style>
  <w:style w:type="paragraph" w:styleId="FootnoteText">
    <w:name w:val="footnote text"/>
    <w:basedOn w:val="Normal"/>
    <w:semiHidden/>
    <w:rsid w:val="00F15AC3"/>
    <w:pPr>
      <w:spacing w:before="80" w:after="60"/>
      <w:jc w:val="both"/>
    </w:pPr>
    <w:rPr>
      <w:szCs w:val="24"/>
    </w:rPr>
  </w:style>
  <w:style w:type="paragraph" w:customStyle="1" w:styleId="ShadedSchClause">
    <w:name w:val="Shaded Sch Clause"/>
    <w:basedOn w:val="Normal"/>
    <w:next w:val="Normal"/>
    <w:rsid w:val="00F15AC3"/>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F15AC3"/>
  </w:style>
  <w:style w:type="character" w:styleId="CommentReference">
    <w:name w:val="annotation reference"/>
    <w:basedOn w:val="DefaultParagraphFont"/>
    <w:uiPriority w:val="99"/>
    <w:semiHidden/>
    <w:unhideWhenUsed/>
    <w:rsid w:val="00EF6FD7"/>
    <w:rPr>
      <w:sz w:val="16"/>
      <w:szCs w:val="16"/>
    </w:rPr>
  </w:style>
  <w:style w:type="paragraph" w:styleId="CommentText">
    <w:name w:val="annotation text"/>
    <w:basedOn w:val="Normal"/>
    <w:link w:val="CommentTextChar"/>
    <w:uiPriority w:val="99"/>
    <w:unhideWhenUsed/>
    <w:rsid w:val="00EF6FD7"/>
    <w:rPr>
      <w:sz w:val="20"/>
    </w:rPr>
  </w:style>
  <w:style w:type="character" w:customStyle="1" w:styleId="CommentTextChar">
    <w:name w:val="Comment Text Char"/>
    <w:basedOn w:val="DefaultParagraphFont"/>
    <w:link w:val="CommentText"/>
    <w:uiPriority w:val="99"/>
    <w:rsid w:val="00EF6FD7"/>
    <w:rPr>
      <w:lang w:eastAsia="en-US"/>
    </w:rPr>
  </w:style>
  <w:style w:type="paragraph" w:styleId="CommentSubject">
    <w:name w:val="annotation subject"/>
    <w:basedOn w:val="CommentText"/>
    <w:next w:val="CommentText"/>
    <w:link w:val="CommentSubjectChar"/>
    <w:uiPriority w:val="99"/>
    <w:semiHidden/>
    <w:unhideWhenUsed/>
    <w:rsid w:val="00EF6FD7"/>
    <w:rPr>
      <w:b/>
      <w:bCs/>
    </w:rPr>
  </w:style>
  <w:style w:type="character" w:customStyle="1" w:styleId="CommentSubjectChar">
    <w:name w:val="Comment Subject Char"/>
    <w:basedOn w:val="CommentTextChar"/>
    <w:link w:val="CommentSubject"/>
    <w:uiPriority w:val="99"/>
    <w:semiHidden/>
    <w:rsid w:val="00EF6FD7"/>
    <w:rPr>
      <w:b/>
      <w:bCs/>
      <w:lang w:eastAsia="en-US"/>
    </w:rPr>
  </w:style>
  <w:style w:type="paragraph" w:styleId="Revision">
    <w:name w:val="Revision"/>
    <w:hidden/>
    <w:uiPriority w:val="99"/>
    <w:semiHidden/>
    <w:rsid w:val="00B35FC3"/>
    <w:rPr>
      <w:sz w:val="24"/>
      <w:lang w:eastAsia="en-US"/>
    </w:rPr>
  </w:style>
  <w:style w:type="paragraph" w:customStyle="1" w:styleId="Paragraphtext">
    <w:name w:val="Paragraph text"/>
    <w:basedOn w:val="Normal"/>
    <w:link w:val="ParagraphtextChar"/>
    <w:qFormat/>
    <w:rsid w:val="00775B47"/>
    <w:pPr>
      <w:spacing w:before="120" w:after="120"/>
    </w:pPr>
    <w:rPr>
      <w:rFonts w:ascii="Calibri" w:eastAsia="Calibri" w:hAnsi="Calibri"/>
      <w:color w:val="000000" w:themeColor="text1"/>
      <w:szCs w:val="22"/>
    </w:rPr>
  </w:style>
  <w:style w:type="character" w:customStyle="1" w:styleId="ParagraphtextChar">
    <w:name w:val="Paragraph text Char"/>
    <w:basedOn w:val="DefaultParagraphFont"/>
    <w:link w:val="Paragraphtext"/>
    <w:rsid w:val="00775B47"/>
    <w:rPr>
      <w:rFonts w:ascii="Calibri" w:eastAsia="Calibri" w:hAnsi="Calibri"/>
      <w:color w:val="000000" w:themeColor="text1"/>
      <w:sz w:val="24"/>
      <w:szCs w:val="22"/>
      <w:lang w:eastAsia="en-US"/>
    </w:rPr>
  </w:style>
  <w:style w:type="paragraph" w:styleId="ListParagraph">
    <w:name w:val="List Paragraph"/>
    <w:basedOn w:val="Normal"/>
    <w:uiPriority w:val="34"/>
    <w:qFormat/>
    <w:rsid w:val="00775B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00614">
      <w:bodyDiv w:val="1"/>
      <w:marLeft w:val="0"/>
      <w:marRight w:val="0"/>
      <w:marTop w:val="0"/>
      <w:marBottom w:val="0"/>
      <w:divBdr>
        <w:top w:val="none" w:sz="0" w:space="0" w:color="auto"/>
        <w:left w:val="none" w:sz="0" w:space="0" w:color="auto"/>
        <w:bottom w:val="none" w:sz="0" w:space="0" w:color="auto"/>
        <w:right w:val="none" w:sz="0" w:space="0" w:color="auto"/>
      </w:divBdr>
    </w:div>
    <w:div w:id="43818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05220-E065-4ED7-A24E-31CEF75A9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6791</Characters>
  <Application>Microsoft Office Word</Application>
  <DocSecurity>0</DocSecurity>
  <Lines>125</Lines>
  <Paragraphs>56</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2004-04-05T00:37:00Z</cp:lastPrinted>
  <dcterms:created xsi:type="dcterms:W3CDTF">2026-10-20T23:44:00Z</dcterms:created>
  <dcterms:modified xsi:type="dcterms:W3CDTF">2026-10-20T23:44:00Z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2024-05-06T05:27:51Z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739a4039-2192-4cb2-bab2-1cf11428cfc4</vt:lpwstr>
  </property>
  <property fmtid="{D5CDD505-2E9C-101B-9397-08002B2CF9AE}" pid="8" name="MSIP_Label_69af8531-eb46-4968-8cb3-105d2f5ea87e_ContentBits">
    <vt:lpwstr>0</vt:lpwstr>
  </property>
  <property fmtid="{D5CDD505-2E9C-101B-9397-08002B2CF9AE}" pid="9" name="CHECKEDOUTFROMJMS">
    <vt:lpwstr/>
  </property>
  <property fmtid="{D5CDD505-2E9C-101B-9397-08002B2CF9AE}" pid="10" name="DMSID">
    <vt:lpwstr>16071557</vt:lpwstr>
  </property>
  <property fmtid="{D5CDD505-2E9C-101B-9397-08002B2CF9AE}" pid="11" name="JMSREQUIREDCHECKIN">
    <vt:lpwstr/>
  </property>
</Properties>
</file>