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C5F9B" w14:textId="77777777" w:rsidR="00E90DF9" w:rsidRPr="001270DB" w:rsidRDefault="00E90DF9" w:rsidP="00E90DF9">
      <w:pPr>
        <w:spacing w:after="0"/>
        <w:rPr>
          <w:rFonts w:ascii="Arial" w:hAnsi="Arial" w:cs="Arial"/>
          <w:b/>
          <w:bCs/>
          <w:i/>
          <w:iCs/>
          <w:sz w:val="24"/>
          <w:szCs w:val="24"/>
        </w:rPr>
      </w:pPr>
    </w:p>
    <w:p w14:paraId="5C6C9ECA" w14:textId="1B04C238" w:rsidR="00E90DF9" w:rsidRPr="00BB387E" w:rsidRDefault="00E90DF9" w:rsidP="00E90DF9">
      <w:pPr>
        <w:spacing w:after="0"/>
        <w:jc w:val="center"/>
        <w:rPr>
          <w:rFonts w:ascii="Arial" w:hAnsi="Arial" w:cs="Arial"/>
          <w:b/>
          <w:bCs/>
          <w:sz w:val="24"/>
          <w:szCs w:val="24"/>
        </w:rPr>
      </w:pPr>
      <w:r w:rsidRPr="00BB387E">
        <w:rPr>
          <w:rFonts w:ascii="Arial" w:hAnsi="Arial" w:cs="Arial"/>
          <w:b/>
          <w:bCs/>
          <w:sz w:val="24"/>
          <w:szCs w:val="24"/>
        </w:rPr>
        <w:t>20</w:t>
      </w:r>
      <w:r>
        <w:rPr>
          <w:rFonts w:ascii="Arial" w:hAnsi="Arial" w:cs="Arial"/>
          <w:b/>
          <w:bCs/>
          <w:sz w:val="24"/>
          <w:szCs w:val="24"/>
        </w:rPr>
        <w:t>2</w:t>
      </w:r>
      <w:r w:rsidR="00582943">
        <w:rPr>
          <w:rFonts w:ascii="Arial" w:hAnsi="Arial" w:cs="Arial"/>
          <w:b/>
          <w:bCs/>
          <w:sz w:val="24"/>
          <w:szCs w:val="24"/>
        </w:rPr>
        <w:t>6</w:t>
      </w:r>
    </w:p>
    <w:p w14:paraId="4E149149" w14:textId="77777777" w:rsidR="00E90DF9" w:rsidRPr="00BB387E" w:rsidRDefault="00E90DF9" w:rsidP="00E90DF9">
      <w:pPr>
        <w:spacing w:after="0"/>
        <w:jc w:val="center"/>
        <w:rPr>
          <w:rFonts w:ascii="Arial" w:hAnsi="Arial" w:cs="Arial"/>
          <w:b/>
          <w:sz w:val="24"/>
          <w:szCs w:val="24"/>
        </w:rPr>
      </w:pPr>
    </w:p>
    <w:p w14:paraId="06167890" w14:textId="77777777" w:rsidR="00E90DF9" w:rsidRPr="00BB387E" w:rsidRDefault="00E90DF9" w:rsidP="00E90DF9">
      <w:pPr>
        <w:spacing w:after="0"/>
        <w:jc w:val="center"/>
        <w:rPr>
          <w:rFonts w:ascii="Arial" w:hAnsi="Arial" w:cs="Arial"/>
          <w:b/>
          <w:sz w:val="24"/>
          <w:szCs w:val="24"/>
        </w:rPr>
      </w:pPr>
    </w:p>
    <w:p w14:paraId="271BD407" w14:textId="77777777" w:rsidR="00E90DF9" w:rsidRPr="00BB387E" w:rsidRDefault="00E90DF9" w:rsidP="00E90DF9">
      <w:pPr>
        <w:spacing w:after="0"/>
        <w:jc w:val="center"/>
        <w:rPr>
          <w:rFonts w:ascii="Arial" w:hAnsi="Arial" w:cs="Arial"/>
          <w:b/>
          <w:sz w:val="24"/>
          <w:szCs w:val="24"/>
        </w:rPr>
      </w:pPr>
    </w:p>
    <w:p w14:paraId="71A1CE5B" w14:textId="77777777" w:rsidR="00E90DF9" w:rsidRPr="00BB387E" w:rsidRDefault="00E90DF9" w:rsidP="00E90DF9">
      <w:pPr>
        <w:spacing w:after="0"/>
        <w:jc w:val="center"/>
        <w:rPr>
          <w:rFonts w:ascii="Arial" w:hAnsi="Arial" w:cs="Arial"/>
          <w:b/>
          <w:sz w:val="24"/>
          <w:szCs w:val="24"/>
        </w:rPr>
      </w:pPr>
    </w:p>
    <w:p w14:paraId="677673A4" w14:textId="77777777" w:rsidR="00E90DF9" w:rsidRPr="00BB387E" w:rsidRDefault="00E90DF9" w:rsidP="00E90DF9">
      <w:pPr>
        <w:spacing w:after="0"/>
        <w:jc w:val="center"/>
        <w:rPr>
          <w:rFonts w:ascii="Arial" w:hAnsi="Arial" w:cs="Arial"/>
          <w:b/>
          <w:bCs/>
          <w:sz w:val="24"/>
          <w:szCs w:val="24"/>
        </w:rPr>
      </w:pPr>
    </w:p>
    <w:p w14:paraId="463F3AB6" w14:textId="77777777" w:rsidR="00E90DF9" w:rsidRPr="00BB387E" w:rsidRDefault="00E90DF9" w:rsidP="00E90DF9">
      <w:pPr>
        <w:spacing w:after="0"/>
        <w:jc w:val="center"/>
        <w:rPr>
          <w:rFonts w:ascii="Arial" w:hAnsi="Arial" w:cs="Arial"/>
          <w:b/>
          <w:bCs/>
          <w:sz w:val="24"/>
          <w:szCs w:val="24"/>
        </w:rPr>
      </w:pPr>
    </w:p>
    <w:p w14:paraId="02BC33AF" w14:textId="77777777" w:rsidR="00E90DF9" w:rsidRPr="00BB387E" w:rsidRDefault="00E90DF9" w:rsidP="00E90DF9">
      <w:pPr>
        <w:spacing w:after="0"/>
        <w:jc w:val="center"/>
        <w:rPr>
          <w:rFonts w:ascii="Arial" w:hAnsi="Arial" w:cs="Arial"/>
          <w:b/>
          <w:bCs/>
          <w:sz w:val="24"/>
          <w:szCs w:val="24"/>
        </w:rPr>
      </w:pPr>
      <w:r w:rsidRPr="00BB387E">
        <w:rPr>
          <w:rFonts w:ascii="Arial" w:hAnsi="Arial" w:cs="Arial"/>
          <w:b/>
          <w:bCs/>
          <w:sz w:val="24"/>
          <w:szCs w:val="24"/>
        </w:rPr>
        <w:t>THE LEGISLATIVE ASSEMBLY FOR THE</w:t>
      </w:r>
    </w:p>
    <w:p w14:paraId="091772B4" w14:textId="77777777" w:rsidR="00E90DF9" w:rsidRPr="00BB387E" w:rsidRDefault="00E90DF9" w:rsidP="00E90DF9">
      <w:pPr>
        <w:spacing w:after="0"/>
        <w:jc w:val="center"/>
        <w:rPr>
          <w:rFonts w:ascii="Arial" w:hAnsi="Arial" w:cs="Arial"/>
          <w:b/>
          <w:sz w:val="24"/>
          <w:szCs w:val="24"/>
        </w:rPr>
      </w:pPr>
      <w:r w:rsidRPr="00BB387E">
        <w:rPr>
          <w:rFonts w:ascii="Arial" w:hAnsi="Arial" w:cs="Arial"/>
          <w:b/>
          <w:bCs/>
          <w:sz w:val="24"/>
          <w:szCs w:val="24"/>
        </w:rPr>
        <w:t>AUSTRALIAN CAPITAL TERRITORY</w:t>
      </w:r>
    </w:p>
    <w:p w14:paraId="63982AB9" w14:textId="77777777" w:rsidR="00E90DF9" w:rsidRPr="00BB387E" w:rsidRDefault="00E90DF9" w:rsidP="00E90DF9">
      <w:pPr>
        <w:spacing w:after="0"/>
        <w:jc w:val="center"/>
        <w:rPr>
          <w:rFonts w:ascii="Arial" w:hAnsi="Arial" w:cs="Arial"/>
          <w:b/>
          <w:sz w:val="24"/>
          <w:szCs w:val="24"/>
        </w:rPr>
      </w:pPr>
    </w:p>
    <w:p w14:paraId="5FABE90A" w14:textId="77777777" w:rsidR="00E90DF9" w:rsidRPr="00BB387E" w:rsidRDefault="00E90DF9" w:rsidP="00E90DF9">
      <w:pPr>
        <w:spacing w:after="0"/>
        <w:jc w:val="center"/>
        <w:rPr>
          <w:rFonts w:ascii="Arial" w:hAnsi="Arial" w:cs="Arial"/>
          <w:b/>
          <w:sz w:val="24"/>
          <w:szCs w:val="24"/>
        </w:rPr>
      </w:pPr>
    </w:p>
    <w:p w14:paraId="6118207D" w14:textId="77777777" w:rsidR="00E90DF9" w:rsidRPr="00BB387E" w:rsidRDefault="00E90DF9" w:rsidP="00E90DF9">
      <w:pPr>
        <w:spacing w:after="0"/>
        <w:jc w:val="center"/>
        <w:rPr>
          <w:rFonts w:ascii="Arial" w:hAnsi="Arial" w:cs="Arial"/>
          <w:b/>
          <w:sz w:val="24"/>
          <w:szCs w:val="24"/>
        </w:rPr>
      </w:pPr>
    </w:p>
    <w:p w14:paraId="75A33EE9" w14:textId="4095B364" w:rsidR="00E90DF9" w:rsidRPr="00BB387E" w:rsidRDefault="009E0822" w:rsidP="00E90DF9">
      <w:pPr>
        <w:spacing w:after="0"/>
        <w:jc w:val="center"/>
        <w:rPr>
          <w:rFonts w:ascii="Arial" w:hAnsi="Arial" w:cs="Arial"/>
          <w:b/>
          <w:sz w:val="24"/>
          <w:szCs w:val="24"/>
        </w:rPr>
      </w:pPr>
      <w:r>
        <w:rPr>
          <w:rFonts w:ascii="Arial" w:hAnsi="Arial" w:cs="Arial"/>
          <w:b/>
          <w:sz w:val="24"/>
          <w:szCs w:val="24"/>
        </w:rPr>
        <w:t>ELEV</w:t>
      </w:r>
      <w:r w:rsidR="00E90DF9">
        <w:rPr>
          <w:rFonts w:ascii="Arial" w:hAnsi="Arial" w:cs="Arial"/>
          <w:b/>
          <w:sz w:val="24"/>
          <w:szCs w:val="24"/>
        </w:rPr>
        <w:t>ENTH ASSEMBLY</w:t>
      </w:r>
    </w:p>
    <w:p w14:paraId="12B1793E" w14:textId="77777777" w:rsidR="00E90DF9" w:rsidRPr="00BB387E" w:rsidRDefault="00E90DF9" w:rsidP="00E90DF9">
      <w:pPr>
        <w:spacing w:after="0"/>
        <w:jc w:val="center"/>
        <w:rPr>
          <w:rFonts w:ascii="Arial" w:hAnsi="Arial" w:cs="Arial"/>
          <w:b/>
          <w:sz w:val="24"/>
          <w:szCs w:val="24"/>
        </w:rPr>
      </w:pPr>
    </w:p>
    <w:p w14:paraId="3D84F818" w14:textId="77777777" w:rsidR="00E90DF9" w:rsidRPr="00BB387E" w:rsidRDefault="00E90DF9" w:rsidP="00E90DF9">
      <w:pPr>
        <w:spacing w:after="0"/>
        <w:jc w:val="center"/>
        <w:rPr>
          <w:rFonts w:ascii="Arial" w:hAnsi="Arial" w:cs="Arial"/>
          <w:b/>
          <w:sz w:val="24"/>
          <w:szCs w:val="24"/>
        </w:rPr>
      </w:pPr>
    </w:p>
    <w:p w14:paraId="312E8FE1" w14:textId="77777777" w:rsidR="00E90DF9" w:rsidRPr="00BB387E" w:rsidRDefault="00E90DF9" w:rsidP="00E90DF9">
      <w:pPr>
        <w:spacing w:after="0"/>
        <w:jc w:val="center"/>
        <w:rPr>
          <w:rFonts w:ascii="Arial" w:hAnsi="Arial" w:cs="Arial"/>
          <w:b/>
          <w:sz w:val="24"/>
          <w:szCs w:val="24"/>
        </w:rPr>
      </w:pPr>
    </w:p>
    <w:p w14:paraId="62527870" w14:textId="77777777" w:rsidR="00E90DF9" w:rsidRPr="00BB387E" w:rsidRDefault="00E90DF9" w:rsidP="00E90DF9">
      <w:pPr>
        <w:spacing w:after="0"/>
        <w:jc w:val="center"/>
        <w:rPr>
          <w:rFonts w:ascii="Arial" w:hAnsi="Arial" w:cs="Arial"/>
          <w:b/>
          <w:sz w:val="24"/>
          <w:szCs w:val="24"/>
        </w:rPr>
      </w:pPr>
    </w:p>
    <w:p w14:paraId="10E34864" w14:textId="77777777" w:rsidR="00E90DF9" w:rsidRPr="00BB387E" w:rsidRDefault="00E90DF9" w:rsidP="00E90DF9">
      <w:pPr>
        <w:spacing w:after="0"/>
        <w:jc w:val="center"/>
        <w:rPr>
          <w:rFonts w:ascii="Arial" w:hAnsi="Arial" w:cs="Arial"/>
          <w:b/>
          <w:sz w:val="24"/>
          <w:szCs w:val="24"/>
        </w:rPr>
      </w:pPr>
    </w:p>
    <w:p w14:paraId="7A5CE6C9" w14:textId="77777777" w:rsidR="00E90DF9" w:rsidRPr="00ED4B84" w:rsidRDefault="00E90DF9" w:rsidP="00E90DF9">
      <w:pPr>
        <w:spacing w:after="0"/>
        <w:jc w:val="center"/>
        <w:rPr>
          <w:rFonts w:ascii="Arial" w:hAnsi="Arial" w:cs="Arial"/>
          <w:b/>
          <w:sz w:val="24"/>
          <w:szCs w:val="24"/>
        </w:rPr>
      </w:pPr>
    </w:p>
    <w:p w14:paraId="590EB1A4" w14:textId="09075D76" w:rsidR="00E90DF9" w:rsidRPr="00ED4B84" w:rsidRDefault="00D82EAE" w:rsidP="00E90DF9">
      <w:pPr>
        <w:spacing w:after="0"/>
        <w:jc w:val="center"/>
        <w:rPr>
          <w:rFonts w:ascii="Arial" w:hAnsi="Arial" w:cs="Arial"/>
          <w:b/>
          <w:bCs/>
          <w:sz w:val="24"/>
          <w:szCs w:val="24"/>
        </w:rPr>
      </w:pPr>
      <w:r w:rsidRPr="00ED4B84">
        <w:rPr>
          <w:rFonts w:ascii="Arial" w:hAnsi="Arial" w:cs="Arial"/>
          <w:b/>
          <w:bCs/>
          <w:sz w:val="24"/>
          <w:szCs w:val="24"/>
        </w:rPr>
        <w:t>JUSTICE AND COMMUNITY SAFETY LEGISLATION AMENDMENT BILL 2026 (N</w:t>
      </w:r>
      <w:r w:rsidR="00373270" w:rsidRPr="00ED4B84">
        <w:rPr>
          <w:rFonts w:ascii="Arial" w:hAnsi="Arial" w:cs="Arial"/>
          <w:b/>
          <w:bCs/>
          <w:sz w:val="24"/>
          <w:szCs w:val="24"/>
        </w:rPr>
        <w:t>O</w:t>
      </w:r>
      <w:r w:rsidRPr="00ED4B84">
        <w:rPr>
          <w:rFonts w:ascii="Arial" w:hAnsi="Arial" w:cs="Arial"/>
          <w:b/>
          <w:bCs/>
          <w:sz w:val="24"/>
          <w:szCs w:val="24"/>
        </w:rPr>
        <w:t xml:space="preserve"> 2)</w:t>
      </w:r>
    </w:p>
    <w:p w14:paraId="23C1CDE7" w14:textId="77777777" w:rsidR="00E90DF9" w:rsidRPr="00ED4B84" w:rsidRDefault="00E90DF9" w:rsidP="00E90DF9">
      <w:pPr>
        <w:spacing w:after="0"/>
        <w:jc w:val="center"/>
        <w:rPr>
          <w:rFonts w:ascii="Arial" w:hAnsi="Arial" w:cs="Arial"/>
          <w:b/>
          <w:bCs/>
          <w:sz w:val="24"/>
          <w:szCs w:val="24"/>
        </w:rPr>
      </w:pPr>
    </w:p>
    <w:p w14:paraId="5D04CAEB" w14:textId="77777777" w:rsidR="00E90DF9" w:rsidRPr="00ED4B84" w:rsidRDefault="00E90DF9" w:rsidP="00E90DF9">
      <w:pPr>
        <w:spacing w:after="0"/>
        <w:jc w:val="center"/>
        <w:rPr>
          <w:rFonts w:ascii="Arial" w:hAnsi="Arial" w:cs="Arial"/>
          <w:b/>
          <w:sz w:val="24"/>
          <w:szCs w:val="24"/>
        </w:rPr>
      </w:pPr>
    </w:p>
    <w:p w14:paraId="1BE97576" w14:textId="41645BE7" w:rsidR="00E90DF9" w:rsidRPr="00ED4B84" w:rsidRDefault="00E90DF9" w:rsidP="00E90DF9">
      <w:pPr>
        <w:spacing w:after="0"/>
        <w:jc w:val="center"/>
        <w:rPr>
          <w:rFonts w:ascii="Arial" w:hAnsi="Arial" w:cs="Arial"/>
          <w:i/>
          <w:iCs/>
          <w:sz w:val="24"/>
          <w:szCs w:val="24"/>
        </w:rPr>
      </w:pPr>
    </w:p>
    <w:p w14:paraId="664BEC68" w14:textId="77777777" w:rsidR="00E90DF9" w:rsidRPr="00ED4B84" w:rsidRDefault="00E90DF9" w:rsidP="00E90DF9">
      <w:pPr>
        <w:spacing w:after="0"/>
        <w:jc w:val="center"/>
        <w:rPr>
          <w:rFonts w:ascii="Arial" w:hAnsi="Arial" w:cs="Arial"/>
          <w:b/>
          <w:bCs/>
          <w:sz w:val="24"/>
          <w:szCs w:val="24"/>
        </w:rPr>
      </w:pPr>
      <w:r w:rsidRPr="00ED4B84">
        <w:rPr>
          <w:rFonts w:ascii="Arial" w:hAnsi="Arial" w:cs="Arial"/>
          <w:b/>
          <w:bCs/>
          <w:sz w:val="24"/>
          <w:szCs w:val="24"/>
        </w:rPr>
        <w:t xml:space="preserve">EXPLANATORY STATEMENT </w:t>
      </w:r>
    </w:p>
    <w:p w14:paraId="09B948FF" w14:textId="77777777" w:rsidR="00E90DF9" w:rsidRPr="00ED4B84" w:rsidRDefault="00E90DF9" w:rsidP="00E90DF9">
      <w:pPr>
        <w:spacing w:after="0"/>
        <w:jc w:val="center"/>
        <w:rPr>
          <w:rFonts w:ascii="Arial" w:hAnsi="Arial" w:cs="Arial"/>
          <w:b/>
          <w:bCs/>
          <w:sz w:val="24"/>
          <w:szCs w:val="24"/>
        </w:rPr>
      </w:pPr>
      <w:r w:rsidRPr="00ED4B84">
        <w:rPr>
          <w:rFonts w:ascii="Arial" w:hAnsi="Arial" w:cs="Arial"/>
          <w:b/>
          <w:bCs/>
          <w:sz w:val="24"/>
          <w:szCs w:val="24"/>
        </w:rPr>
        <w:t>and</w:t>
      </w:r>
    </w:p>
    <w:p w14:paraId="243211BD" w14:textId="77777777" w:rsidR="00E90DF9" w:rsidRPr="00ED4B84" w:rsidRDefault="00E90DF9" w:rsidP="00E90DF9">
      <w:pPr>
        <w:spacing w:after="0"/>
        <w:jc w:val="center"/>
        <w:rPr>
          <w:rFonts w:ascii="Arial" w:hAnsi="Arial" w:cs="Arial"/>
          <w:b/>
          <w:bCs/>
          <w:sz w:val="24"/>
          <w:szCs w:val="24"/>
        </w:rPr>
      </w:pPr>
      <w:r w:rsidRPr="00ED4B84">
        <w:rPr>
          <w:rFonts w:ascii="Arial" w:hAnsi="Arial" w:cs="Arial"/>
          <w:b/>
          <w:bCs/>
          <w:sz w:val="24"/>
          <w:szCs w:val="24"/>
        </w:rPr>
        <w:t xml:space="preserve"> HUMAN RIGHTS COMPATIBILITY STATEMENT</w:t>
      </w:r>
    </w:p>
    <w:p w14:paraId="2FDF54DB" w14:textId="77777777" w:rsidR="00E90DF9" w:rsidRPr="00ED4B84" w:rsidRDefault="00E90DF9" w:rsidP="00E90DF9">
      <w:pPr>
        <w:spacing w:after="0"/>
        <w:jc w:val="center"/>
        <w:rPr>
          <w:rFonts w:ascii="Arial" w:hAnsi="Arial" w:cs="Arial"/>
          <w:b/>
          <w:sz w:val="24"/>
          <w:szCs w:val="24"/>
        </w:rPr>
      </w:pPr>
      <w:r w:rsidRPr="00ED4B84">
        <w:rPr>
          <w:rFonts w:ascii="Arial" w:hAnsi="Arial" w:cs="Arial"/>
          <w:b/>
          <w:bCs/>
          <w:sz w:val="24"/>
          <w:szCs w:val="24"/>
        </w:rPr>
        <w:t>(</w:t>
      </w:r>
      <w:r w:rsidRPr="00ED4B84">
        <w:rPr>
          <w:rFonts w:ascii="Arial" w:hAnsi="Arial" w:cs="Arial"/>
          <w:b/>
          <w:bCs/>
          <w:i/>
          <w:iCs/>
          <w:sz w:val="24"/>
          <w:szCs w:val="24"/>
        </w:rPr>
        <w:t>Human Rights Act 2004</w:t>
      </w:r>
      <w:r w:rsidRPr="00ED4B84">
        <w:rPr>
          <w:rFonts w:ascii="Arial" w:hAnsi="Arial" w:cs="Arial"/>
          <w:b/>
          <w:bCs/>
          <w:sz w:val="24"/>
          <w:szCs w:val="24"/>
        </w:rPr>
        <w:t>, s 37)</w:t>
      </w:r>
    </w:p>
    <w:p w14:paraId="25C71D31" w14:textId="77777777" w:rsidR="00E90DF9" w:rsidRPr="00ED4B84" w:rsidRDefault="00E90DF9" w:rsidP="00E90DF9">
      <w:pPr>
        <w:spacing w:after="0"/>
        <w:jc w:val="center"/>
        <w:rPr>
          <w:rFonts w:ascii="Arial" w:hAnsi="Arial" w:cs="Arial"/>
          <w:b/>
          <w:sz w:val="24"/>
          <w:szCs w:val="24"/>
        </w:rPr>
      </w:pPr>
    </w:p>
    <w:p w14:paraId="62B7AD27" w14:textId="77777777" w:rsidR="00E90DF9" w:rsidRPr="00ED4B84" w:rsidRDefault="00E90DF9" w:rsidP="00E90DF9">
      <w:pPr>
        <w:spacing w:after="0"/>
        <w:jc w:val="center"/>
        <w:rPr>
          <w:rFonts w:ascii="Arial" w:hAnsi="Arial" w:cs="Arial"/>
          <w:b/>
          <w:sz w:val="24"/>
          <w:szCs w:val="24"/>
        </w:rPr>
      </w:pPr>
    </w:p>
    <w:p w14:paraId="3B7A8E87" w14:textId="77777777" w:rsidR="00E90DF9" w:rsidRPr="00ED4B84" w:rsidRDefault="00E90DF9" w:rsidP="00E90DF9">
      <w:pPr>
        <w:spacing w:after="0"/>
        <w:jc w:val="center"/>
        <w:rPr>
          <w:rFonts w:ascii="Arial" w:hAnsi="Arial" w:cs="Arial"/>
          <w:b/>
          <w:sz w:val="24"/>
          <w:szCs w:val="24"/>
        </w:rPr>
      </w:pPr>
    </w:p>
    <w:p w14:paraId="67BAB751" w14:textId="77777777" w:rsidR="00E90DF9" w:rsidRPr="00ED4B84" w:rsidRDefault="00E90DF9" w:rsidP="00E90DF9">
      <w:pPr>
        <w:spacing w:after="0"/>
        <w:jc w:val="center"/>
        <w:rPr>
          <w:rFonts w:ascii="Arial" w:hAnsi="Arial" w:cs="Arial"/>
          <w:b/>
          <w:sz w:val="24"/>
          <w:szCs w:val="24"/>
        </w:rPr>
      </w:pPr>
    </w:p>
    <w:p w14:paraId="5A9A0527" w14:textId="77777777" w:rsidR="00E90DF9" w:rsidRPr="00ED4B84" w:rsidRDefault="00E90DF9" w:rsidP="00E90DF9">
      <w:pPr>
        <w:spacing w:after="0"/>
        <w:jc w:val="center"/>
        <w:rPr>
          <w:rFonts w:ascii="Arial" w:hAnsi="Arial" w:cs="Arial"/>
          <w:b/>
          <w:sz w:val="24"/>
          <w:szCs w:val="24"/>
        </w:rPr>
      </w:pPr>
    </w:p>
    <w:p w14:paraId="4CDC9EA3" w14:textId="77777777" w:rsidR="00E90DF9" w:rsidRPr="00ED4B84" w:rsidRDefault="00E90DF9" w:rsidP="00E90DF9">
      <w:pPr>
        <w:spacing w:after="0"/>
        <w:jc w:val="center"/>
        <w:rPr>
          <w:rFonts w:ascii="Arial" w:hAnsi="Arial" w:cs="Arial"/>
          <w:b/>
          <w:sz w:val="24"/>
          <w:szCs w:val="24"/>
        </w:rPr>
      </w:pPr>
    </w:p>
    <w:p w14:paraId="01179C4F" w14:textId="77777777" w:rsidR="00E90DF9" w:rsidRPr="00ED4B84" w:rsidRDefault="00E90DF9" w:rsidP="00E90DF9">
      <w:pPr>
        <w:keepNext/>
        <w:widowControl w:val="0"/>
        <w:spacing w:after="0"/>
        <w:jc w:val="center"/>
        <w:outlineLvl w:val="7"/>
        <w:rPr>
          <w:rFonts w:ascii="Arial" w:hAnsi="Arial" w:cs="Arial"/>
          <w:b/>
          <w:bCs/>
          <w:sz w:val="24"/>
          <w:szCs w:val="24"/>
        </w:rPr>
      </w:pPr>
    </w:p>
    <w:p w14:paraId="63FA2BF3" w14:textId="77777777" w:rsidR="00B9385E" w:rsidRPr="00ED4B84" w:rsidRDefault="00B9385E" w:rsidP="00E90DF9">
      <w:pPr>
        <w:keepNext/>
        <w:widowControl w:val="0"/>
        <w:spacing w:after="0"/>
        <w:jc w:val="center"/>
        <w:outlineLvl w:val="7"/>
        <w:rPr>
          <w:rFonts w:ascii="Arial" w:hAnsi="Arial" w:cs="Arial"/>
          <w:b/>
          <w:bCs/>
          <w:sz w:val="24"/>
          <w:szCs w:val="24"/>
        </w:rPr>
      </w:pPr>
    </w:p>
    <w:p w14:paraId="158291B5" w14:textId="77777777" w:rsidR="00B9385E" w:rsidRPr="00ED4B84" w:rsidRDefault="00B9385E" w:rsidP="00E90DF9">
      <w:pPr>
        <w:keepNext/>
        <w:widowControl w:val="0"/>
        <w:spacing w:after="0"/>
        <w:jc w:val="center"/>
        <w:outlineLvl w:val="7"/>
        <w:rPr>
          <w:rFonts w:ascii="Arial" w:hAnsi="Arial" w:cs="Arial"/>
          <w:b/>
          <w:bCs/>
          <w:sz w:val="24"/>
          <w:szCs w:val="24"/>
        </w:rPr>
      </w:pPr>
    </w:p>
    <w:p w14:paraId="5C2D898C" w14:textId="77777777" w:rsidR="00B9385E" w:rsidRPr="00ED4B84" w:rsidRDefault="00B9385E" w:rsidP="00E90DF9">
      <w:pPr>
        <w:keepNext/>
        <w:widowControl w:val="0"/>
        <w:spacing w:after="0"/>
        <w:jc w:val="center"/>
        <w:outlineLvl w:val="7"/>
        <w:rPr>
          <w:rFonts w:ascii="Arial" w:hAnsi="Arial" w:cs="Arial"/>
          <w:b/>
          <w:bCs/>
          <w:sz w:val="24"/>
          <w:szCs w:val="24"/>
        </w:rPr>
      </w:pPr>
    </w:p>
    <w:p w14:paraId="3547463A" w14:textId="77777777" w:rsidR="00B9385E" w:rsidRPr="00ED4B84" w:rsidRDefault="00B9385E" w:rsidP="00E90DF9">
      <w:pPr>
        <w:keepNext/>
        <w:widowControl w:val="0"/>
        <w:spacing w:after="0"/>
        <w:jc w:val="center"/>
        <w:outlineLvl w:val="7"/>
        <w:rPr>
          <w:rFonts w:ascii="Arial" w:hAnsi="Arial" w:cs="Arial"/>
          <w:b/>
          <w:bCs/>
          <w:sz w:val="24"/>
          <w:szCs w:val="24"/>
        </w:rPr>
      </w:pPr>
    </w:p>
    <w:p w14:paraId="461523AD" w14:textId="77777777" w:rsidR="00E90DF9" w:rsidRPr="00ED4B84" w:rsidRDefault="00E90DF9" w:rsidP="00D10EB6">
      <w:pPr>
        <w:keepNext/>
        <w:widowControl w:val="0"/>
        <w:spacing w:after="0"/>
        <w:ind w:right="-613"/>
        <w:jc w:val="right"/>
        <w:outlineLvl w:val="7"/>
        <w:rPr>
          <w:rFonts w:ascii="Arial" w:hAnsi="Arial" w:cs="Arial"/>
          <w:b/>
          <w:bCs/>
          <w:sz w:val="24"/>
          <w:szCs w:val="24"/>
        </w:rPr>
      </w:pPr>
      <w:r w:rsidRPr="00ED4B84">
        <w:rPr>
          <w:rFonts w:ascii="Arial" w:hAnsi="Arial" w:cs="Arial"/>
          <w:b/>
          <w:bCs/>
          <w:sz w:val="24"/>
          <w:szCs w:val="24"/>
        </w:rPr>
        <w:t>Presented by</w:t>
      </w:r>
    </w:p>
    <w:p w14:paraId="340671F6" w14:textId="3D342FC2" w:rsidR="00E90DF9" w:rsidRPr="00ED4B84" w:rsidRDefault="00373270" w:rsidP="00D10EB6">
      <w:pPr>
        <w:spacing w:after="0"/>
        <w:ind w:right="-613"/>
        <w:jc w:val="right"/>
        <w:rPr>
          <w:rFonts w:ascii="Arial" w:hAnsi="Arial" w:cs="Arial"/>
          <w:b/>
          <w:bCs/>
          <w:sz w:val="24"/>
          <w:szCs w:val="24"/>
        </w:rPr>
      </w:pPr>
      <w:r w:rsidRPr="00ED4B84">
        <w:rPr>
          <w:rFonts w:ascii="Arial" w:hAnsi="Arial" w:cs="Arial"/>
          <w:b/>
          <w:bCs/>
          <w:sz w:val="24"/>
          <w:szCs w:val="24"/>
        </w:rPr>
        <w:t xml:space="preserve">Tara Cheyne </w:t>
      </w:r>
      <w:r w:rsidR="00E90DF9" w:rsidRPr="00ED4B84">
        <w:rPr>
          <w:rFonts w:ascii="Arial" w:hAnsi="Arial" w:cs="Arial"/>
          <w:b/>
          <w:bCs/>
          <w:sz w:val="24"/>
          <w:szCs w:val="24"/>
        </w:rPr>
        <w:t>MLA</w:t>
      </w:r>
    </w:p>
    <w:p w14:paraId="59B14771" w14:textId="77777777" w:rsidR="00373270" w:rsidRPr="00ED4B84" w:rsidRDefault="00373270" w:rsidP="00D10EB6">
      <w:pPr>
        <w:spacing w:after="0"/>
        <w:ind w:right="-613"/>
        <w:jc w:val="right"/>
        <w:rPr>
          <w:rFonts w:ascii="Arial" w:hAnsi="Arial" w:cs="Arial"/>
          <w:b/>
          <w:bCs/>
          <w:sz w:val="24"/>
          <w:szCs w:val="24"/>
        </w:rPr>
      </w:pPr>
      <w:r w:rsidRPr="00ED4B84">
        <w:rPr>
          <w:rFonts w:ascii="Arial" w:hAnsi="Arial" w:cs="Arial"/>
          <w:b/>
          <w:bCs/>
          <w:sz w:val="24"/>
          <w:szCs w:val="24"/>
        </w:rPr>
        <w:t>Attorney-General</w:t>
      </w:r>
    </w:p>
    <w:p w14:paraId="722CCE31" w14:textId="2D3B2D18" w:rsidR="00E90DF9" w:rsidRPr="00ED4B84" w:rsidRDefault="00163C42" w:rsidP="00D10EB6">
      <w:pPr>
        <w:spacing w:after="0"/>
        <w:ind w:right="-613"/>
        <w:jc w:val="right"/>
        <w:rPr>
          <w:rFonts w:ascii="Arial" w:hAnsi="Arial" w:cs="Arial"/>
          <w:b/>
          <w:bCs/>
          <w:sz w:val="24"/>
          <w:szCs w:val="24"/>
        </w:rPr>
      </w:pPr>
      <w:r>
        <w:rPr>
          <w:rFonts w:ascii="Arial" w:hAnsi="Arial" w:cs="Arial"/>
          <w:b/>
          <w:bCs/>
          <w:sz w:val="24"/>
          <w:szCs w:val="24"/>
        </w:rPr>
        <w:t>October</w:t>
      </w:r>
      <w:r w:rsidRPr="00ED4B84">
        <w:rPr>
          <w:rFonts w:ascii="Arial" w:hAnsi="Arial" w:cs="Arial"/>
          <w:b/>
          <w:bCs/>
          <w:sz w:val="24"/>
          <w:szCs w:val="24"/>
        </w:rPr>
        <w:t xml:space="preserve"> </w:t>
      </w:r>
      <w:r w:rsidR="00E90DF9" w:rsidRPr="00ED4B84">
        <w:rPr>
          <w:rFonts w:ascii="Arial" w:hAnsi="Arial" w:cs="Arial"/>
          <w:b/>
          <w:bCs/>
          <w:sz w:val="24"/>
          <w:szCs w:val="24"/>
        </w:rPr>
        <w:t>202</w:t>
      </w:r>
      <w:r w:rsidR="0012506C" w:rsidRPr="00ED4B84">
        <w:rPr>
          <w:rFonts w:ascii="Arial" w:hAnsi="Arial" w:cs="Arial"/>
          <w:b/>
          <w:bCs/>
          <w:sz w:val="24"/>
          <w:szCs w:val="24"/>
        </w:rPr>
        <w:t>6</w:t>
      </w:r>
    </w:p>
    <w:p w14:paraId="764EA7E1" w14:textId="3F41ACE8" w:rsidR="00E90DF9" w:rsidRPr="008C3B92" w:rsidRDefault="00161EC7" w:rsidP="00E90DF9">
      <w:pPr>
        <w:spacing w:after="0" w:line="240" w:lineRule="auto"/>
        <w:rPr>
          <w:rFonts w:ascii="Arial" w:hAnsi="Arial" w:cs="Arial"/>
          <w:b/>
          <w:bCs/>
          <w:sz w:val="24"/>
          <w:szCs w:val="24"/>
          <w:u w:val="single"/>
        </w:rPr>
        <w:sectPr w:rsidR="00E90DF9" w:rsidRPr="008C3B92" w:rsidSect="00DC5912">
          <w:headerReference w:type="even" r:id="rId11"/>
          <w:headerReference w:type="default" r:id="rId12"/>
          <w:footerReference w:type="even" r:id="rId13"/>
          <w:footerReference w:type="default" r:id="rId14"/>
          <w:headerReference w:type="first" r:id="rId15"/>
          <w:footerReference w:type="first" r:id="rId16"/>
          <w:pgSz w:w="11906" w:h="16838"/>
          <w:pgMar w:top="1276" w:right="1440" w:bottom="1440" w:left="1440" w:header="709" w:footer="675" w:gutter="0"/>
          <w:pgNumType w:start="1"/>
          <w:cols w:space="708"/>
          <w:docGrid w:linePitch="360"/>
        </w:sectPr>
      </w:pPr>
      <w:sdt>
        <w:sdtPr>
          <w:rPr>
            <w:rFonts w:ascii="Arial" w:hAnsi="Arial" w:cs="Arial"/>
            <w:b/>
            <w:bCs/>
            <w:sz w:val="24"/>
            <w:szCs w:val="24"/>
            <w:u w:val="single"/>
          </w:rPr>
          <w:id w:val="-1423633877"/>
          <w:docPartObj>
            <w:docPartGallery w:val="Watermarks"/>
          </w:docPartObj>
        </w:sdtPr>
        <w:sdtEndPr/>
        <w:sdtContent>
          <w:r w:rsidR="00A07436" w:rsidRPr="00A07436">
            <w:rPr>
              <w:rFonts w:ascii="Arial" w:hAnsi="Arial" w:cs="Arial"/>
              <w:b/>
              <w:bCs/>
              <w:noProof/>
              <w:sz w:val="24"/>
              <w:szCs w:val="24"/>
              <w:u w:val="single"/>
            </w:rPr>
            <mc:AlternateContent>
              <mc:Choice Requires="wps">
                <w:drawing>
                  <wp:anchor distT="0" distB="0" distL="114300" distR="114300" simplePos="0" relativeHeight="251658240" behindDoc="1" locked="0" layoutInCell="0" allowOverlap="1" wp14:anchorId="0FD6D2E6" wp14:editId="571E4108">
                    <wp:simplePos x="0" y="0"/>
                    <wp:positionH relativeFrom="margin">
                      <wp:align>center</wp:align>
                    </wp:positionH>
                    <wp:positionV relativeFrom="margin">
                      <wp:align>center</wp:align>
                    </wp:positionV>
                    <wp:extent cx="5943600" cy="2971800"/>
                    <wp:effectExtent l="0" t="0" r="0" b="0"/>
                    <wp:wrapNone/>
                    <wp:docPr id="93854665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3600" cy="29718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DFD55C0" w14:textId="4D5FFA9A" w:rsidR="00A07436" w:rsidRPr="00A07436" w:rsidRDefault="00A07436" w:rsidP="00A07436">
                                <w:pPr>
                                  <w:jc w:val="center"/>
                                  <w:rPr>
                                    <w:rFonts w:eastAsia="Calibri" w:cs="Calibri"/>
                                    <w:color w:val="C0C0C0"/>
                                    <w:sz w:val="36"/>
                                    <w:szCs w:val="36"/>
                                    <w14:textFill>
                                      <w14:solidFill>
                                        <w14:srgbClr w14:val="C0C0C0">
                                          <w14:alpha w14:val="50000"/>
                                        </w14:srgbClr>
                                      </w14:solidFill>
                                    </w14:textFill>
                                  </w:rPr>
                                </w:pPr>
                                <w:r w:rsidRPr="00A07436">
                                  <w:rPr>
                                    <w:rFonts w:eastAsia="Calibri" w:cs="Calibri"/>
                                    <w:color w:val="C0C0C0"/>
                                    <w:sz w:val="36"/>
                                    <w:szCs w:val="36"/>
                                    <w14:textFill>
                                      <w14:solidFill>
                                        <w14:srgbClr w14:val="C0C0C0">
                                          <w14:alpha w14:val="50000"/>
                                        </w14:srgbClr>
                                      </w14:solidFill>
                                    </w14:textFill>
                                  </w:rPr>
                                  <w:t>THIS PAGE IS INTENTIONALLY LEFT BLANK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FD6D2E6" id="_x0000_t202" coordsize="21600,21600" o:spt="202" path="m,l,21600r21600,l21600,xe">
                    <v:stroke joinstyle="miter"/>
                    <v:path gradientshapeok="t" o:connecttype="rect"/>
                  </v:shapetype>
                  <v:shape id="Text Box 1" o:spid="_x0000_s1026" type="#_x0000_t202" style="position:absolute;margin-left:0;margin-top:0;width:468pt;height:234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" o:allowincell="f" filled="f" stroked="f">
                    <v:stroke joinstyle="round"/>
                    <o:lock v:ext="edit" shapetype="t"/>
                    <v:textbox style="mso-fit-shape-to-text:t">
                      <w:txbxContent>
                        <w:p w14:paraId="6DFD55C0" w14:textId="4D5FFA9A" w:rsidR="00A07436" w:rsidRPr="00A07436" w:rsidRDefault="00A07436" w:rsidP="00A07436">
                          <w:pPr>
                            <w:jc w:val="center"/>
                            <w:rPr>
                              <w:rFonts w:eastAsia="Calibri" w:cs="Calibri"/>
                              <w:color w:val="C0C0C0"/>
                              <w:sz w:val="36"/>
                              <w:szCs w:val="36"/>
                              <w14:textFill>
                                <w14:solidFill>
                                  <w14:srgbClr w14:val="C0C0C0">
                                    <w14:alpha w14:val="50000"/>
                                  </w14:srgbClr>
                                </w14:solidFill>
                              </w14:textFill>
                            </w:rPr>
                          </w:pPr>
                          <w:r w:rsidRPr="00A07436">
                            <w:rPr>
                              <w:rFonts w:eastAsia="Calibri" w:cs="Calibri"/>
                              <w:color w:val="C0C0C0"/>
                              <w:sz w:val="36"/>
                              <w:szCs w:val="36"/>
                              <w14:textFill>
                                <w14:solidFill>
                                  <w14:srgbClr w14:val="C0C0C0">
                                    <w14:alpha w14:val="50000"/>
                                  </w14:srgbClr>
                                </w14:solidFill>
                              </w14:textFill>
                            </w:rPr>
                            <w:t>THIS PAGE IS INTENTIONALLY LEFT BLANK</w:t>
                          </w:r>
                        </w:p>
                      </w:txbxContent>
                    </v:textbox>
                    <w10:wrap anchorx="margin" anchory="margin"/>
                  </v:shape>
                </w:pict>
              </mc:Fallback>
            </mc:AlternateContent>
          </w:r>
        </w:sdtContent>
      </w:sdt>
      <w:r w:rsidR="00E90DF9" w:rsidRPr="008C3B92">
        <w:rPr>
          <w:rFonts w:ascii="Arial" w:hAnsi="Arial" w:cs="Arial"/>
          <w:b/>
          <w:bCs/>
          <w:sz w:val="24"/>
          <w:szCs w:val="24"/>
          <w:u w:val="single"/>
        </w:rPr>
        <w:br w:type="page"/>
      </w:r>
    </w:p>
    <w:p w14:paraId="428B67D0" w14:textId="23E0CA84" w:rsidR="00E90DF9" w:rsidRPr="00BB387E" w:rsidRDefault="00373270" w:rsidP="00E90DF9">
      <w:pPr>
        <w:pStyle w:val="Heading1"/>
        <w:jc w:val="center"/>
      </w:pPr>
      <w:r w:rsidRPr="00373270">
        <w:lastRenderedPageBreak/>
        <w:t>JUSTICE AND COMMUNITY SAFETY LEGISLATION AMENDMENT BILL 2026 (N</w:t>
      </w:r>
      <w:r>
        <w:t>O</w:t>
      </w:r>
      <w:r w:rsidRPr="00373270">
        <w:t xml:space="preserve"> 2</w:t>
      </w:r>
      <w:r>
        <w:t>)</w:t>
      </w:r>
    </w:p>
    <w:p w14:paraId="791A60D0" w14:textId="77777777" w:rsidR="00E90DF9" w:rsidRDefault="00E90DF9" w:rsidP="00E90DF9">
      <w:pPr>
        <w:spacing w:after="0"/>
        <w:contextualSpacing/>
        <w:rPr>
          <w:rFonts w:ascii="Arial" w:hAnsi="Arial" w:cs="Arial"/>
          <w:bCs/>
          <w:sz w:val="24"/>
          <w:szCs w:val="24"/>
        </w:rPr>
      </w:pPr>
    </w:p>
    <w:p w14:paraId="04010BFE" w14:textId="1FA1DA69" w:rsidR="00E90DF9" w:rsidRPr="00834FC9" w:rsidRDefault="00E90DF9" w:rsidP="00D82EAE">
      <w:pPr>
        <w:spacing w:after="120"/>
        <w:rPr>
          <w:rFonts w:ascii="Arial" w:hAnsi="Arial" w:cs="Arial"/>
          <w:bCs/>
          <w:sz w:val="24"/>
          <w:szCs w:val="24"/>
        </w:rPr>
      </w:pPr>
      <w:r w:rsidRPr="00834FC9">
        <w:rPr>
          <w:rFonts w:ascii="Arial" w:hAnsi="Arial" w:cs="Arial"/>
          <w:bCs/>
          <w:sz w:val="24"/>
          <w:szCs w:val="24"/>
        </w:rPr>
        <w:t xml:space="preserve">The </w:t>
      </w:r>
      <w:r w:rsidRPr="00ED4B84">
        <w:rPr>
          <w:rFonts w:ascii="Arial" w:hAnsi="Arial" w:cs="Arial"/>
          <w:bCs/>
          <w:sz w:val="24"/>
          <w:szCs w:val="24"/>
        </w:rPr>
        <w:t xml:space="preserve">Bill </w:t>
      </w:r>
      <w:r w:rsidRPr="00ED4B84">
        <w:rPr>
          <w:rFonts w:ascii="Arial" w:hAnsi="Arial" w:cs="Arial"/>
          <w:b/>
          <w:sz w:val="24"/>
          <w:szCs w:val="24"/>
        </w:rPr>
        <w:t>is</w:t>
      </w:r>
      <w:r w:rsidRPr="00ED4B84">
        <w:rPr>
          <w:rFonts w:ascii="Arial" w:hAnsi="Arial" w:cs="Arial"/>
          <w:bCs/>
          <w:sz w:val="24"/>
          <w:szCs w:val="24"/>
        </w:rPr>
        <w:t xml:space="preserve"> </w:t>
      </w:r>
      <w:r w:rsidRPr="0047571D">
        <w:rPr>
          <w:rFonts w:ascii="Arial" w:hAnsi="Arial" w:cs="Arial"/>
          <w:b/>
          <w:sz w:val="24"/>
          <w:szCs w:val="24"/>
        </w:rPr>
        <w:t>not</w:t>
      </w:r>
      <w:r w:rsidRPr="0047571D">
        <w:rPr>
          <w:rFonts w:ascii="Arial" w:hAnsi="Arial" w:cs="Arial"/>
          <w:bCs/>
          <w:sz w:val="24"/>
          <w:szCs w:val="24"/>
        </w:rPr>
        <w:t xml:space="preserve"> a</w:t>
      </w:r>
      <w:r w:rsidRPr="00834FC9">
        <w:rPr>
          <w:rFonts w:ascii="Arial" w:hAnsi="Arial" w:cs="Arial"/>
          <w:bCs/>
          <w:sz w:val="24"/>
          <w:szCs w:val="24"/>
        </w:rPr>
        <w:t xml:space="preserve"> Significant Bill. Significant Bills are bills that </w:t>
      </w:r>
      <w:r>
        <w:rPr>
          <w:rFonts w:ascii="Arial" w:hAnsi="Arial" w:cs="Arial"/>
          <w:bCs/>
          <w:sz w:val="24"/>
          <w:szCs w:val="24"/>
        </w:rPr>
        <w:t>have been assessed</w:t>
      </w:r>
      <w:r w:rsidRPr="00834FC9">
        <w:rPr>
          <w:rFonts w:ascii="Arial" w:hAnsi="Arial" w:cs="Arial"/>
          <w:bCs/>
          <w:sz w:val="24"/>
          <w:szCs w:val="24"/>
        </w:rPr>
        <w:t xml:space="preserve"> as </w:t>
      </w:r>
      <w:r>
        <w:rPr>
          <w:rFonts w:ascii="Arial" w:hAnsi="Arial" w:cs="Arial"/>
          <w:bCs/>
          <w:sz w:val="24"/>
          <w:szCs w:val="24"/>
        </w:rPr>
        <w:t>likely to have</w:t>
      </w:r>
      <w:r w:rsidRPr="00834FC9">
        <w:rPr>
          <w:rFonts w:ascii="Arial" w:hAnsi="Arial" w:cs="Arial"/>
          <w:bCs/>
          <w:sz w:val="24"/>
          <w:szCs w:val="24"/>
        </w:rPr>
        <w:t xml:space="preserve"> significant </w:t>
      </w:r>
      <w:r>
        <w:rPr>
          <w:rFonts w:ascii="Arial" w:hAnsi="Arial" w:cs="Arial"/>
          <w:bCs/>
          <w:sz w:val="24"/>
          <w:szCs w:val="24"/>
        </w:rPr>
        <w:t>engagement of human rights</w:t>
      </w:r>
      <w:r w:rsidRPr="00834FC9">
        <w:rPr>
          <w:rFonts w:ascii="Arial" w:hAnsi="Arial" w:cs="Arial"/>
          <w:bCs/>
          <w:sz w:val="24"/>
          <w:szCs w:val="24"/>
        </w:rPr>
        <w:t xml:space="preserve"> and require more detailed reasoning in relation to </w:t>
      </w:r>
      <w:r>
        <w:rPr>
          <w:rFonts w:ascii="Arial" w:hAnsi="Arial" w:cs="Arial"/>
          <w:bCs/>
          <w:sz w:val="24"/>
          <w:szCs w:val="24"/>
        </w:rPr>
        <w:t xml:space="preserve">compatibility with the </w:t>
      </w:r>
      <w:r w:rsidRPr="00834FC9">
        <w:rPr>
          <w:rFonts w:ascii="Arial" w:hAnsi="Arial" w:cs="Arial"/>
          <w:bCs/>
          <w:i/>
          <w:iCs/>
          <w:sz w:val="24"/>
          <w:szCs w:val="24"/>
        </w:rPr>
        <w:t>Human Rights Act 2004</w:t>
      </w:r>
      <w:r w:rsidRPr="00834FC9">
        <w:rPr>
          <w:rFonts w:ascii="Arial" w:hAnsi="Arial" w:cs="Arial"/>
          <w:bCs/>
          <w:sz w:val="24"/>
          <w:szCs w:val="24"/>
        </w:rPr>
        <w:t>.</w:t>
      </w:r>
    </w:p>
    <w:p w14:paraId="3735CFA3" w14:textId="73E2A7D5" w:rsidR="00E90DF9" w:rsidRPr="00834FC9" w:rsidRDefault="00D82EAE" w:rsidP="00D82EAE">
      <w:pPr>
        <w:spacing w:after="120"/>
        <w:rPr>
          <w:rFonts w:ascii="Arial" w:hAnsi="Arial" w:cs="Arial"/>
          <w:bCs/>
          <w:sz w:val="24"/>
          <w:szCs w:val="24"/>
          <w:highlight w:val="yellow"/>
        </w:rPr>
      </w:pPr>
      <w:r w:rsidRPr="00D82EAE">
        <w:rPr>
          <w:rFonts w:ascii="Arial" w:hAnsi="Arial" w:cs="Arial"/>
          <w:bCs/>
          <w:sz w:val="24"/>
          <w:szCs w:val="24"/>
        </w:rPr>
        <w:t>This explanatory statement relates to the Justice and Community Safety Legislation Amendment Bill 2026 (No 2) as presented to the Legislative Assembly. It has been prepared to assist the reader of the Bill and to help inform debate on it. It does not form part of the Bill and has not been endorsed by the Assembly. The statement is to be read in conjunction with the Bill. It is not, and is not meant to be, a comprehensive description of the Bill</w:t>
      </w:r>
    </w:p>
    <w:p w14:paraId="266B7B2E" w14:textId="77777777" w:rsidR="00E90DF9" w:rsidRDefault="00E90DF9" w:rsidP="00E90DF9">
      <w:pPr>
        <w:pStyle w:val="Heading2"/>
      </w:pPr>
      <w:r>
        <w:t>OVERVIEW OF THE BILL</w:t>
      </w:r>
    </w:p>
    <w:p w14:paraId="64572301" w14:textId="77777777" w:rsidR="00D82EAE" w:rsidRPr="009056A7" w:rsidRDefault="00D82EAE" w:rsidP="00D82EAE">
      <w:pPr>
        <w:spacing w:after="120"/>
        <w:ind w:right="-45"/>
        <w:rPr>
          <w:rFonts w:ascii="Arial" w:hAnsi="Arial" w:cs="Arial"/>
          <w:iCs/>
          <w:sz w:val="24"/>
          <w:szCs w:val="24"/>
        </w:rPr>
      </w:pPr>
      <w:r w:rsidRPr="009056A7">
        <w:rPr>
          <w:rFonts w:ascii="Arial" w:hAnsi="Arial" w:cs="Arial"/>
          <w:iCs/>
          <w:sz w:val="24"/>
          <w:szCs w:val="24"/>
        </w:rPr>
        <w:t>The Bill is an omnibus bill which amends of the following legislation:</w:t>
      </w:r>
    </w:p>
    <w:p w14:paraId="7DE6C0CA" w14:textId="77777777" w:rsidR="00D82EAE" w:rsidRPr="00883764" w:rsidRDefault="00D82EAE" w:rsidP="00D82EAE">
      <w:pPr>
        <w:pStyle w:val="ListParagraph"/>
        <w:numPr>
          <w:ilvl w:val="0"/>
          <w:numId w:val="2"/>
        </w:numPr>
        <w:spacing w:after="120"/>
        <w:ind w:right="-45"/>
        <w:rPr>
          <w:rFonts w:ascii="Arial" w:hAnsi="Arial" w:cs="Arial"/>
          <w:i/>
          <w:sz w:val="24"/>
          <w:szCs w:val="24"/>
          <w:lang w:eastAsia="en-US"/>
        </w:rPr>
      </w:pPr>
      <w:r w:rsidRPr="00883764">
        <w:rPr>
          <w:rFonts w:ascii="Arial" w:hAnsi="Arial" w:cs="Arial"/>
          <w:i/>
          <w:sz w:val="24"/>
          <w:szCs w:val="24"/>
          <w:lang w:eastAsia="en-US"/>
        </w:rPr>
        <w:t>Crimes (Restorative Justice) Act 2004</w:t>
      </w:r>
    </w:p>
    <w:p w14:paraId="20D94950" w14:textId="77777777" w:rsidR="00D82EAE" w:rsidRPr="00883764" w:rsidRDefault="00D82EAE" w:rsidP="00D82EAE">
      <w:pPr>
        <w:pStyle w:val="ListParagraph"/>
        <w:numPr>
          <w:ilvl w:val="0"/>
          <w:numId w:val="2"/>
        </w:numPr>
        <w:spacing w:after="120"/>
        <w:ind w:right="-45"/>
        <w:rPr>
          <w:rFonts w:ascii="Arial" w:hAnsi="Arial" w:cs="Arial"/>
          <w:i/>
          <w:sz w:val="24"/>
          <w:szCs w:val="24"/>
          <w:lang w:eastAsia="en-US"/>
        </w:rPr>
      </w:pPr>
      <w:r w:rsidRPr="00883764">
        <w:rPr>
          <w:rFonts w:ascii="Arial" w:hAnsi="Arial" w:cs="Arial"/>
          <w:i/>
          <w:sz w:val="24"/>
          <w:szCs w:val="24"/>
          <w:lang w:eastAsia="en-US"/>
        </w:rPr>
        <w:t>Liquor Act 2010</w:t>
      </w:r>
    </w:p>
    <w:p w14:paraId="4ADE4F2A" w14:textId="77777777" w:rsidR="00D82EAE" w:rsidRPr="00883764" w:rsidRDefault="00D82EAE" w:rsidP="00D82EAE">
      <w:pPr>
        <w:pStyle w:val="ListParagraph"/>
        <w:numPr>
          <w:ilvl w:val="0"/>
          <w:numId w:val="2"/>
        </w:numPr>
        <w:spacing w:after="120"/>
        <w:ind w:right="-45"/>
        <w:rPr>
          <w:rFonts w:ascii="Arial" w:hAnsi="Arial" w:cs="Arial"/>
          <w:i/>
          <w:sz w:val="24"/>
          <w:szCs w:val="24"/>
          <w:lang w:eastAsia="en-US"/>
        </w:rPr>
      </w:pPr>
      <w:r w:rsidRPr="00883764">
        <w:rPr>
          <w:rFonts w:ascii="Arial" w:hAnsi="Arial" w:cs="Arial"/>
          <w:i/>
          <w:sz w:val="24"/>
          <w:szCs w:val="24"/>
          <w:lang w:eastAsia="en-US"/>
        </w:rPr>
        <w:t>Magistrates Court Act 1930</w:t>
      </w:r>
    </w:p>
    <w:p w14:paraId="21DAEED6" w14:textId="77777777" w:rsidR="00D82EAE" w:rsidRDefault="00D82EAE" w:rsidP="00D82EAE">
      <w:pPr>
        <w:rPr>
          <w:rFonts w:ascii="Arial" w:hAnsi="Arial" w:cs="Arial"/>
          <w:sz w:val="24"/>
          <w:szCs w:val="24"/>
        </w:rPr>
      </w:pPr>
      <w:r>
        <w:rPr>
          <w:rFonts w:ascii="Arial" w:hAnsi="Arial" w:cs="Arial"/>
          <w:sz w:val="24"/>
          <w:szCs w:val="24"/>
        </w:rPr>
        <w:t>The Bill will improve the ACT’s justice and community safety legislation, to ensure that it is of the highest standards, facilitates the practical operations of justice sector agencies and best supports and protects the ACT community</w:t>
      </w:r>
    </w:p>
    <w:p w14:paraId="67093CA4" w14:textId="77777777" w:rsidR="00D82EAE" w:rsidRPr="00883764" w:rsidRDefault="00D82EAE" w:rsidP="00D82EAE">
      <w:pPr>
        <w:pStyle w:val="Numberedlist"/>
        <w:numPr>
          <w:ilvl w:val="0"/>
          <w:numId w:val="0"/>
        </w:numPr>
        <w:rPr>
          <w:rFonts w:ascii="Arial" w:eastAsia="Times New Roman" w:hAnsi="Arial" w:cs="Arial"/>
          <w:bCs/>
          <w:i/>
          <w:iCs/>
          <w:u w:val="single"/>
        </w:rPr>
      </w:pPr>
      <w:r w:rsidRPr="00883764">
        <w:rPr>
          <w:rFonts w:ascii="Arial" w:eastAsia="Times New Roman" w:hAnsi="Arial" w:cs="Arial"/>
          <w:bCs/>
          <w:i/>
          <w:iCs/>
          <w:u w:val="single"/>
        </w:rPr>
        <w:t xml:space="preserve">Crimes (Restorative Justice) Act 2004 </w:t>
      </w:r>
    </w:p>
    <w:p w14:paraId="4AA1D318" w14:textId="176B1EC2" w:rsidR="00747CD0" w:rsidRDefault="00DE0F98" w:rsidP="00D82EAE">
      <w:pPr>
        <w:pStyle w:val="Numberedlist"/>
        <w:numPr>
          <w:ilvl w:val="0"/>
          <w:numId w:val="0"/>
        </w:numPr>
        <w:rPr>
          <w:rFonts w:ascii="Arial" w:eastAsia="Times New Roman" w:hAnsi="Arial" w:cs="Arial"/>
          <w:bCs/>
        </w:rPr>
      </w:pPr>
      <w:r w:rsidRPr="00DE0F98">
        <w:rPr>
          <w:rFonts w:ascii="Arial" w:eastAsia="Times New Roman" w:hAnsi="Arial" w:cs="Arial"/>
          <w:bCs/>
        </w:rPr>
        <w:t>Restorative justice is a process that gives people who have caused harm and those who have been harmed an opportunity to come together in conversation</w:t>
      </w:r>
      <w:r w:rsidR="00747CD0">
        <w:rPr>
          <w:rFonts w:ascii="Arial" w:eastAsia="Times New Roman" w:hAnsi="Arial" w:cs="Arial"/>
          <w:bCs/>
        </w:rPr>
        <w:t>.</w:t>
      </w:r>
    </w:p>
    <w:p w14:paraId="190BB409" w14:textId="291DFF0E" w:rsidR="006B4DFB" w:rsidRPr="006B4DFB" w:rsidRDefault="006B4DFB" w:rsidP="006B4DFB">
      <w:pPr>
        <w:rPr>
          <w:rFonts w:ascii="Arial" w:hAnsi="Arial" w:cs="Arial"/>
          <w:sz w:val="24"/>
          <w:szCs w:val="24"/>
        </w:rPr>
      </w:pPr>
      <w:r w:rsidRPr="006B4DFB">
        <w:rPr>
          <w:rFonts w:ascii="Arial" w:hAnsi="Arial" w:cs="Arial"/>
          <w:sz w:val="24"/>
          <w:szCs w:val="24"/>
        </w:rPr>
        <w:t xml:space="preserve">The Bill proposes amendments to the </w:t>
      </w:r>
      <w:r w:rsidRPr="006B4DFB">
        <w:rPr>
          <w:rFonts w:ascii="Arial" w:hAnsi="Arial" w:cs="Arial"/>
          <w:i/>
          <w:iCs/>
          <w:sz w:val="24"/>
          <w:szCs w:val="24"/>
        </w:rPr>
        <w:t>Crimes (Restorative Justice) Act 2004</w:t>
      </w:r>
      <w:r w:rsidRPr="006B4DFB">
        <w:rPr>
          <w:rFonts w:ascii="Arial" w:hAnsi="Arial" w:cs="Arial"/>
          <w:sz w:val="24"/>
          <w:szCs w:val="24"/>
        </w:rPr>
        <w:t xml:space="preserve"> (Restorative Justice Act) to </w:t>
      </w:r>
      <w:r w:rsidR="006B3294">
        <w:rPr>
          <w:rFonts w:ascii="Arial" w:hAnsi="Arial" w:cs="Arial"/>
          <w:sz w:val="24"/>
          <w:szCs w:val="24"/>
        </w:rPr>
        <w:t>clarify</w:t>
      </w:r>
      <w:r w:rsidR="006B3294" w:rsidRPr="006B4DFB">
        <w:rPr>
          <w:rFonts w:ascii="Arial" w:hAnsi="Arial" w:cs="Arial"/>
          <w:sz w:val="24"/>
          <w:szCs w:val="24"/>
        </w:rPr>
        <w:t xml:space="preserve"> </w:t>
      </w:r>
      <w:r w:rsidRPr="006B4DFB">
        <w:rPr>
          <w:rFonts w:ascii="Arial" w:hAnsi="Arial" w:cs="Arial"/>
          <w:sz w:val="24"/>
          <w:szCs w:val="24"/>
        </w:rPr>
        <w:t xml:space="preserve">deidentified case studies </w:t>
      </w:r>
      <w:r w:rsidR="006B3294">
        <w:rPr>
          <w:rFonts w:ascii="Arial" w:hAnsi="Arial" w:cs="Arial"/>
          <w:sz w:val="24"/>
          <w:szCs w:val="24"/>
        </w:rPr>
        <w:t>may</w:t>
      </w:r>
      <w:r w:rsidRPr="006B4DFB">
        <w:rPr>
          <w:rFonts w:ascii="Arial" w:hAnsi="Arial" w:cs="Arial"/>
          <w:sz w:val="24"/>
          <w:szCs w:val="24"/>
        </w:rPr>
        <w:t xml:space="preserve"> be used for the following purposes:</w:t>
      </w:r>
    </w:p>
    <w:p w14:paraId="7106862C" w14:textId="77777777" w:rsidR="006B4DFB" w:rsidRPr="006B4DFB" w:rsidRDefault="006B4DFB" w:rsidP="006B4DFB">
      <w:pPr>
        <w:pStyle w:val="ListParagraph"/>
        <w:numPr>
          <w:ilvl w:val="0"/>
          <w:numId w:val="7"/>
        </w:numPr>
        <w:spacing w:after="160" w:line="259" w:lineRule="auto"/>
        <w:contextualSpacing/>
        <w:rPr>
          <w:rFonts w:ascii="Arial" w:hAnsi="Arial" w:cs="Arial"/>
          <w:sz w:val="24"/>
          <w:szCs w:val="24"/>
        </w:rPr>
      </w:pPr>
      <w:r w:rsidRPr="006B4DFB">
        <w:rPr>
          <w:rFonts w:ascii="Arial" w:hAnsi="Arial" w:cs="Arial"/>
          <w:sz w:val="24"/>
          <w:szCs w:val="24"/>
        </w:rPr>
        <w:t xml:space="preserve">a convenor gaining or maintaining accreditation in relation to restorative practices with a professional body </w:t>
      </w:r>
    </w:p>
    <w:p w14:paraId="22564793" w14:textId="77777777" w:rsidR="006B4DFB" w:rsidRPr="006B4DFB" w:rsidRDefault="006B4DFB" w:rsidP="006B4DFB">
      <w:pPr>
        <w:pStyle w:val="ListParagraph"/>
        <w:numPr>
          <w:ilvl w:val="0"/>
          <w:numId w:val="7"/>
        </w:numPr>
        <w:spacing w:after="160" w:line="259" w:lineRule="auto"/>
        <w:contextualSpacing/>
        <w:rPr>
          <w:rFonts w:ascii="Arial" w:hAnsi="Arial" w:cs="Arial"/>
          <w:sz w:val="24"/>
          <w:szCs w:val="24"/>
        </w:rPr>
      </w:pPr>
      <w:r w:rsidRPr="006B4DFB">
        <w:rPr>
          <w:rFonts w:ascii="Arial" w:hAnsi="Arial" w:cs="Arial"/>
          <w:sz w:val="24"/>
          <w:szCs w:val="24"/>
        </w:rPr>
        <w:t xml:space="preserve">educating or training people about the Restorative Justice Act or restorative practices  </w:t>
      </w:r>
    </w:p>
    <w:p w14:paraId="7E4A24CB" w14:textId="7DF0D8EE" w:rsidR="008D5875" w:rsidRPr="00635D49" w:rsidRDefault="006B4DFB" w:rsidP="008D5875">
      <w:pPr>
        <w:pStyle w:val="ListParagraph"/>
        <w:numPr>
          <w:ilvl w:val="0"/>
          <w:numId w:val="7"/>
        </w:numPr>
        <w:spacing w:after="160" w:line="259" w:lineRule="auto"/>
        <w:contextualSpacing/>
      </w:pPr>
      <w:r w:rsidRPr="006B4DFB">
        <w:rPr>
          <w:rFonts w:ascii="Arial" w:hAnsi="Arial" w:cs="Arial"/>
          <w:sz w:val="24"/>
          <w:szCs w:val="24"/>
        </w:rPr>
        <w:t>preparing, presenting to the Legislative Assembly and publishing the Director-</w:t>
      </w:r>
      <w:r w:rsidRPr="00635D49">
        <w:rPr>
          <w:rFonts w:ascii="Arial" w:hAnsi="Arial" w:cs="Arial"/>
          <w:sz w:val="24"/>
          <w:szCs w:val="24"/>
        </w:rPr>
        <w:t xml:space="preserve">General’s annual report under the </w:t>
      </w:r>
      <w:r w:rsidRPr="00635D49">
        <w:rPr>
          <w:rFonts w:ascii="Arial" w:hAnsi="Arial" w:cs="Arial"/>
          <w:i/>
          <w:iCs/>
          <w:sz w:val="24"/>
          <w:szCs w:val="24"/>
        </w:rPr>
        <w:t>Annual Reports (Government Agencies) Act 2004</w:t>
      </w:r>
      <w:r w:rsidRPr="00635D49">
        <w:rPr>
          <w:rFonts w:ascii="Arial" w:hAnsi="Arial" w:cs="Arial"/>
          <w:sz w:val="24"/>
          <w:szCs w:val="24"/>
        </w:rPr>
        <w:t xml:space="preserve"> so far as the report relates to the administration of the Restorative Justice Act</w:t>
      </w:r>
      <w:r w:rsidRPr="00635D49">
        <w:t xml:space="preserve">. </w:t>
      </w:r>
    </w:p>
    <w:p w14:paraId="02CE3FC5" w14:textId="77777777" w:rsidR="00D82EAE" w:rsidRPr="00635D49" w:rsidRDefault="00D82EAE" w:rsidP="00D82EAE">
      <w:pPr>
        <w:pStyle w:val="Numberedlist"/>
        <w:numPr>
          <w:ilvl w:val="0"/>
          <w:numId w:val="0"/>
        </w:numPr>
        <w:rPr>
          <w:rFonts w:ascii="Arial" w:eastAsia="Times New Roman" w:hAnsi="Arial" w:cs="Arial"/>
          <w:bCs/>
          <w:i/>
          <w:iCs/>
          <w:u w:val="single"/>
        </w:rPr>
      </w:pPr>
      <w:r w:rsidRPr="00635D49">
        <w:rPr>
          <w:rFonts w:ascii="Arial" w:eastAsia="Times New Roman" w:hAnsi="Arial" w:cs="Arial"/>
          <w:bCs/>
          <w:i/>
          <w:iCs/>
          <w:u w:val="single"/>
        </w:rPr>
        <w:t xml:space="preserve">Liquor Act 2010 </w:t>
      </w:r>
    </w:p>
    <w:p w14:paraId="0DAC829E" w14:textId="72A68433" w:rsidR="009C294F" w:rsidRPr="00635D49" w:rsidRDefault="00D17A83" w:rsidP="00D82EAE">
      <w:pPr>
        <w:pStyle w:val="Numberedlist"/>
        <w:numPr>
          <w:ilvl w:val="0"/>
          <w:numId w:val="0"/>
        </w:numPr>
        <w:rPr>
          <w:rFonts w:ascii="Arial" w:eastAsia="Times New Roman" w:hAnsi="Arial" w:cs="Arial"/>
          <w:bCs/>
        </w:rPr>
      </w:pPr>
      <w:r w:rsidRPr="00635D49">
        <w:rPr>
          <w:rFonts w:ascii="Arial" w:eastAsia="Times New Roman" w:hAnsi="Arial" w:cs="Arial"/>
          <w:bCs/>
        </w:rPr>
        <w:t>The amendment will discontinue the Liquor Advisory Board</w:t>
      </w:r>
      <w:r w:rsidR="009C294F" w:rsidRPr="00635D49">
        <w:rPr>
          <w:rFonts w:ascii="Arial" w:eastAsia="Times New Roman" w:hAnsi="Arial" w:cs="Arial"/>
          <w:bCs/>
        </w:rPr>
        <w:t>.</w:t>
      </w:r>
      <w:r w:rsidR="00793886" w:rsidRPr="00635D49">
        <w:rPr>
          <w:rFonts w:ascii="Arial" w:eastAsia="Times New Roman" w:hAnsi="Arial" w:cs="Arial"/>
          <w:bCs/>
        </w:rPr>
        <w:t xml:space="preserve"> Government has reviewed the arrangements, which have been in place since 2010, and determined that they are no longer fit for purpose.</w:t>
      </w:r>
    </w:p>
    <w:p w14:paraId="3D71178C" w14:textId="51046436" w:rsidR="00D82EAE" w:rsidRPr="00462CD3" w:rsidRDefault="007013DA" w:rsidP="00D82EAE">
      <w:pPr>
        <w:pStyle w:val="Numberedlist"/>
        <w:numPr>
          <w:ilvl w:val="0"/>
          <w:numId w:val="0"/>
        </w:numPr>
        <w:rPr>
          <w:rFonts w:ascii="Arial" w:eastAsia="Times New Roman" w:hAnsi="Arial" w:cs="Arial"/>
          <w:bCs/>
        </w:rPr>
      </w:pPr>
      <w:r w:rsidRPr="00635D49">
        <w:rPr>
          <w:rFonts w:ascii="Arial" w:eastAsia="Times New Roman" w:hAnsi="Arial" w:cs="Arial"/>
          <w:bCs/>
        </w:rPr>
        <w:lastRenderedPageBreak/>
        <w:t>The Government remains committed to engaging with the community</w:t>
      </w:r>
      <w:r w:rsidR="00793886" w:rsidRPr="00635D49">
        <w:rPr>
          <w:rFonts w:ascii="Arial" w:eastAsia="Times New Roman" w:hAnsi="Arial" w:cs="Arial"/>
          <w:bCs/>
        </w:rPr>
        <w:t>,</w:t>
      </w:r>
      <w:r w:rsidR="004F070D">
        <w:rPr>
          <w:rFonts w:ascii="Arial" w:eastAsia="Times New Roman" w:hAnsi="Arial" w:cs="Arial"/>
          <w:bCs/>
        </w:rPr>
        <w:t xml:space="preserve"> </w:t>
      </w:r>
      <w:r w:rsidRPr="00635D49">
        <w:rPr>
          <w:rFonts w:ascii="Arial" w:eastAsia="Times New Roman" w:hAnsi="Arial" w:cs="Arial"/>
          <w:bCs/>
        </w:rPr>
        <w:t>stakeholders</w:t>
      </w:r>
      <w:r w:rsidR="00793886" w:rsidRPr="00635D49">
        <w:rPr>
          <w:rFonts w:ascii="Arial" w:eastAsia="Times New Roman" w:hAnsi="Arial" w:cs="Arial"/>
          <w:bCs/>
        </w:rPr>
        <w:t xml:space="preserve"> and experts</w:t>
      </w:r>
      <w:r w:rsidRPr="00635D49">
        <w:rPr>
          <w:rFonts w:ascii="Arial" w:eastAsia="Times New Roman" w:hAnsi="Arial" w:cs="Arial"/>
          <w:bCs/>
        </w:rPr>
        <w:t xml:space="preserve"> on liquor policy and reform. </w:t>
      </w:r>
      <w:r w:rsidR="00D17A83" w:rsidRPr="00635D49">
        <w:rPr>
          <w:rFonts w:ascii="Arial" w:eastAsia="Times New Roman" w:hAnsi="Arial" w:cs="Arial"/>
          <w:bCs/>
        </w:rPr>
        <w:t>Future stakeholder engagement will continue through project-specific consultation mechanisms similar to those used in other jurisdictions</w:t>
      </w:r>
      <w:r w:rsidR="00D82EAE" w:rsidRPr="00635D49">
        <w:rPr>
          <w:rFonts w:ascii="Arial" w:eastAsia="Times New Roman" w:hAnsi="Arial" w:cs="Arial"/>
          <w:bCs/>
        </w:rPr>
        <w:t>.</w:t>
      </w:r>
      <w:r w:rsidR="00D82EAE" w:rsidRPr="00462CD3">
        <w:rPr>
          <w:rFonts w:ascii="Arial" w:eastAsia="Times New Roman" w:hAnsi="Arial" w:cs="Arial"/>
          <w:bCs/>
        </w:rPr>
        <w:t xml:space="preserve"> </w:t>
      </w:r>
    </w:p>
    <w:p w14:paraId="45EC0BF2" w14:textId="77777777" w:rsidR="00D82EAE" w:rsidRPr="00883764" w:rsidRDefault="00D82EAE" w:rsidP="00B002A5">
      <w:pPr>
        <w:pStyle w:val="Numberedlist"/>
        <w:keepNext/>
        <w:numPr>
          <w:ilvl w:val="0"/>
          <w:numId w:val="0"/>
        </w:numPr>
        <w:rPr>
          <w:rFonts w:ascii="Arial" w:eastAsia="Times New Roman" w:hAnsi="Arial" w:cs="Arial"/>
          <w:bCs/>
          <w:i/>
          <w:iCs/>
          <w:u w:val="single"/>
        </w:rPr>
      </w:pPr>
      <w:r w:rsidRPr="00883764">
        <w:rPr>
          <w:rFonts w:ascii="Arial" w:eastAsia="Times New Roman" w:hAnsi="Arial" w:cs="Arial"/>
          <w:bCs/>
          <w:i/>
          <w:iCs/>
          <w:u w:val="single"/>
        </w:rPr>
        <w:t>Magistrates Court Act 1930</w:t>
      </w:r>
    </w:p>
    <w:p w14:paraId="0B9322FA" w14:textId="71325600" w:rsidR="00D82EAE" w:rsidRPr="00462CD3" w:rsidRDefault="00950FD3" w:rsidP="00B002A5">
      <w:pPr>
        <w:pStyle w:val="Numberedlist"/>
        <w:keepNext/>
        <w:numPr>
          <w:ilvl w:val="0"/>
          <w:numId w:val="0"/>
        </w:numPr>
        <w:rPr>
          <w:rFonts w:ascii="Arial" w:eastAsia="Times New Roman" w:hAnsi="Arial" w:cs="Arial"/>
          <w:bCs/>
        </w:rPr>
      </w:pPr>
      <w:r>
        <w:rPr>
          <w:rFonts w:ascii="Arial" w:eastAsia="Times New Roman" w:hAnsi="Arial" w:cs="Arial"/>
          <w:bCs/>
        </w:rPr>
        <w:t xml:space="preserve">The Industrial Court has the jurisdiction to hear and decide certain industrial or work safety matters under s 291Q, </w:t>
      </w:r>
      <w:r>
        <w:rPr>
          <w:rFonts w:ascii="Arial" w:eastAsia="Times New Roman" w:hAnsi="Arial" w:cs="Arial"/>
          <w:bCs/>
          <w:i/>
          <w:iCs/>
        </w:rPr>
        <w:t xml:space="preserve">Magistrates Court Act </w:t>
      </w:r>
      <w:r w:rsidRPr="00950FD3">
        <w:rPr>
          <w:rFonts w:ascii="Arial" w:eastAsia="Times New Roman" w:hAnsi="Arial" w:cs="Arial"/>
          <w:bCs/>
          <w:i/>
          <w:iCs/>
        </w:rPr>
        <w:t>1930</w:t>
      </w:r>
      <w:r>
        <w:rPr>
          <w:rFonts w:ascii="Arial" w:eastAsia="Times New Roman" w:hAnsi="Arial" w:cs="Arial"/>
          <w:bCs/>
        </w:rPr>
        <w:t xml:space="preserve">. Under s 291U of the Act, only one magistrate may be declared to be an Industrial Court magistrate. </w:t>
      </w:r>
      <w:r w:rsidR="00D17A83" w:rsidRPr="00950FD3">
        <w:rPr>
          <w:rFonts w:ascii="Arial" w:eastAsia="Times New Roman" w:hAnsi="Arial" w:cs="Arial"/>
          <w:bCs/>
        </w:rPr>
        <w:t>The</w:t>
      </w:r>
      <w:r w:rsidR="00D17A83" w:rsidRPr="00D17A83">
        <w:rPr>
          <w:rFonts w:ascii="Arial" w:eastAsia="Times New Roman" w:hAnsi="Arial" w:cs="Arial"/>
          <w:bCs/>
        </w:rPr>
        <w:t xml:space="preserve"> amendment will allow the Chief Magistrate to declare more than one magistrate as an Industrial Court Magistrate. </w:t>
      </w:r>
      <w:r>
        <w:rPr>
          <w:rFonts w:ascii="Arial" w:eastAsia="Times New Roman" w:hAnsi="Arial" w:cs="Arial"/>
          <w:bCs/>
        </w:rPr>
        <w:t>This reform</w:t>
      </w:r>
      <w:r w:rsidR="00D17A83" w:rsidRPr="00D17A83">
        <w:rPr>
          <w:rFonts w:ascii="Arial" w:eastAsia="Times New Roman" w:hAnsi="Arial" w:cs="Arial"/>
          <w:bCs/>
        </w:rPr>
        <w:t xml:space="preserve"> will support the Court in managing </w:t>
      </w:r>
      <w:r>
        <w:rPr>
          <w:rFonts w:ascii="Arial" w:eastAsia="Times New Roman" w:hAnsi="Arial" w:cs="Arial"/>
          <w:bCs/>
        </w:rPr>
        <w:t>its industrial and work safety matter</w:t>
      </w:r>
      <w:r w:rsidR="00D17A83" w:rsidRPr="00D17A83">
        <w:rPr>
          <w:rFonts w:ascii="Arial" w:eastAsia="Times New Roman" w:hAnsi="Arial" w:cs="Arial"/>
          <w:bCs/>
        </w:rPr>
        <w:t xml:space="preserve"> workload</w:t>
      </w:r>
      <w:r>
        <w:rPr>
          <w:rFonts w:ascii="Arial" w:eastAsia="Times New Roman" w:hAnsi="Arial" w:cs="Arial"/>
          <w:bCs/>
        </w:rPr>
        <w:t xml:space="preserve">, which is currently </w:t>
      </w:r>
      <w:r w:rsidR="00D17A83" w:rsidRPr="00D17A83">
        <w:rPr>
          <w:rFonts w:ascii="Arial" w:eastAsia="Times New Roman" w:hAnsi="Arial" w:cs="Arial"/>
          <w:bCs/>
        </w:rPr>
        <w:t>too high for a single magistrate to oversee. Allowing the declaration of additional Industrial Court Magistrates will align with the Childrens Court Magistrate appointment provisions</w:t>
      </w:r>
      <w:r w:rsidR="00163C42">
        <w:rPr>
          <w:rFonts w:ascii="Arial" w:eastAsia="Times New Roman" w:hAnsi="Arial" w:cs="Arial"/>
          <w:bCs/>
        </w:rPr>
        <w:t xml:space="preserve"> in the Act</w:t>
      </w:r>
      <w:r w:rsidR="00D17A83" w:rsidRPr="00D17A83">
        <w:rPr>
          <w:rFonts w:ascii="Arial" w:eastAsia="Times New Roman" w:hAnsi="Arial" w:cs="Arial"/>
          <w:bCs/>
        </w:rPr>
        <w:t>, which were amended in 2018 to allow more than one magistrate to be declared a Childrens Court Magistrate in response to increased workload</w:t>
      </w:r>
      <w:r w:rsidR="00D17A83">
        <w:rPr>
          <w:rFonts w:ascii="Arial" w:eastAsia="Times New Roman" w:hAnsi="Arial" w:cs="Arial"/>
          <w:bCs/>
        </w:rPr>
        <w:t>.</w:t>
      </w:r>
    </w:p>
    <w:p w14:paraId="25E5EC3A" w14:textId="77777777" w:rsidR="00E90DF9" w:rsidRDefault="00E90DF9" w:rsidP="00E90DF9">
      <w:pPr>
        <w:rPr>
          <w:rFonts w:ascii="Arial" w:hAnsi="Arial" w:cs="Arial"/>
          <w:b/>
          <w:sz w:val="24"/>
          <w:szCs w:val="24"/>
        </w:rPr>
      </w:pPr>
      <w:r w:rsidRPr="00AC59DF">
        <w:rPr>
          <w:rFonts w:ascii="Arial" w:hAnsi="Arial" w:cs="Arial"/>
          <w:b/>
          <w:sz w:val="24"/>
          <w:szCs w:val="24"/>
        </w:rPr>
        <w:t>CONSULTATION ON THE PROPOSED APPROACH</w:t>
      </w:r>
    </w:p>
    <w:p w14:paraId="385B34AA" w14:textId="0F952A8A" w:rsidR="00E90DF9" w:rsidRDefault="00D17A83" w:rsidP="00E90DF9">
      <w:pPr>
        <w:rPr>
          <w:rFonts w:ascii="Arial" w:hAnsi="Arial" w:cs="Arial"/>
          <w:i/>
          <w:color w:val="FF0000"/>
          <w:sz w:val="24"/>
          <w:szCs w:val="24"/>
        </w:rPr>
      </w:pPr>
      <w:r w:rsidRPr="00D17A83">
        <w:rPr>
          <w:rFonts w:ascii="Arial" w:hAnsi="Arial" w:cs="Arial"/>
          <w:sz w:val="24"/>
          <w:szCs w:val="24"/>
        </w:rPr>
        <w:t xml:space="preserve">The Government has consulted with ACT Corrective Services, ACT Courts and Tribunal, ACT Policing, the ACT Office of the Director of Public Prosecutions, the Sentence Administration Board, the Therapeutic Support Panel, Victim Support ACT </w:t>
      </w:r>
      <w:r w:rsidR="0092031A">
        <w:rPr>
          <w:rFonts w:ascii="Arial" w:hAnsi="Arial" w:cs="Arial"/>
          <w:sz w:val="24"/>
          <w:szCs w:val="24"/>
        </w:rPr>
        <w:t>on developments of amendments in the Bill</w:t>
      </w:r>
      <w:r w:rsidR="00D82EAE">
        <w:rPr>
          <w:rFonts w:ascii="Arial" w:hAnsi="Arial" w:cs="Arial"/>
          <w:sz w:val="24"/>
          <w:szCs w:val="24"/>
        </w:rPr>
        <w:t>.</w:t>
      </w:r>
    </w:p>
    <w:p w14:paraId="23CB6687" w14:textId="0B517A49" w:rsidR="00CF76B1" w:rsidRPr="005B0897" w:rsidRDefault="00CF76B1" w:rsidP="005B0897">
      <w:pPr>
        <w:rPr>
          <w:rFonts w:ascii="Arial" w:hAnsi="Arial" w:cs="Arial"/>
          <w:b/>
          <w:sz w:val="24"/>
          <w:szCs w:val="24"/>
        </w:rPr>
      </w:pPr>
      <w:r w:rsidRPr="005B0897">
        <w:rPr>
          <w:rFonts w:ascii="Arial" w:hAnsi="Arial" w:cs="Arial"/>
          <w:b/>
          <w:sz w:val="24"/>
          <w:szCs w:val="24"/>
        </w:rPr>
        <w:t>CLIMATE IMPACT</w:t>
      </w:r>
    </w:p>
    <w:p w14:paraId="265A2B2A" w14:textId="7FEAE80B" w:rsidR="00A53E70" w:rsidRPr="005B0897" w:rsidRDefault="00D82EAE" w:rsidP="005B0897">
      <w:pPr>
        <w:rPr>
          <w:rFonts w:ascii="Arial" w:hAnsi="Arial" w:cs="Arial"/>
          <w:i/>
          <w:color w:val="FF0000"/>
          <w:sz w:val="24"/>
          <w:szCs w:val="24"/>
        </w:rPr>
      </w:pPr>
      <w:r>
        <w:rPr>
          <w:rFonts w:ascii="Arial" w:hAnsi="Arial" w:cs="Arial"/>
          <w:bCs/>
          <w:sz w:val="24"/>
          <w:szCs w:val="24"/>
        </w:rPr>
        <w:t>This Bill does not have a climate impact.</w:t>
      </w:r>
    </w:p>
    <w:p w14:paraId="1E002791" w14:textId="13B1C834" w:rsidR="00E90DF9" w:rsidRDefault="00E90DF9" w:rsidP="00E90DF9">
      <w:pPr>
        <w:pStyle w:val="Heading2"/>
      </w:pPr>
      <w:r>
        <w:t xml:space="preserve">CONSISTENCY WITH </w:t>
      </w:r>
      <w:r w:rsidRPr="008C225D">
        <w:t>HUMAN RIGHTS</w:t>
      </w:r>
    </w:p>
    <w:p w14:paraId="3AA827AB" w14:textId="77777777" w:rsidR="00E90DF9" w:rsidRPr="00414921" w:rsidRDefault="00E90DF9" w:rsidP="00E90DF9">
      <w:pPr>
        <w:rPr>
          <w:rFonts w:ascii="Arial" w:hAnsi="Arial" w:cs="Arial"/>
          <w:b/>
          <w:bCs/>
          <w:iCs/>
          <w:sz w:val="24"/>
          <w:szCs w:val="24"/>
        </w:rPr>
      </w:pPr>
      <w:r w:rsidRPr="00414921">
        <w:rPr>
          <w:rFonts w:ascii="Arial" w:hAnsi="Arial" w:cs="Arial"/>
          <w:b/>
          <w:bCs/>
          <w:iCs/>
          <w:sz w:val="24"/>
          <w:szCs w:val="24"/>
        </w:rPr>
        <w:t>Rights engaged</w:t>
      </w:r>
    </w:p>
    <w:p w14:paraId="478B851C" w14:textId="77777777" w:rsidR="00D82EAE" w:rsidRDefault="00D82EAE" w:rsidP="00D82EAE">
      <w:pPr>
        <w:keepNext/>
        <w:rPr>
          <w:rFonts w:ascii="Arial" w:hAnsi="Arial" w:cs="Arial"/>
          <w:sz w:val="24"/>
          <w:szCs w:val="24"/>
        </w:rPr>
      </w:pPr>
      <w:r w:rsidRPr="000D192F">
        <w:rPr>
          <w:rFonts w:ascii="Arial" w:hAnsi="Arial" w:cs="Arial"/>
          <w:sz w:val="24"/>
          <w:szCs w:val="24"/>
        </w:rPr>
        <w:t xml:space="preserve">The Bill engages the following sections of the </w:t>
      </w:r>
      <w:r w:rsidRPr="0047571D">
        <w:rPr>
          <w:rFonts w:ascii="Arial" w:hAnsi="Arial" w:cs="Arial"/>
          <w:i/>
          <w:iCs/>
          <w:sz w:val="24"/>
          <w:szCs w:val="24"/>
        </w:rPr>
        <w:t>Human Rights Act 2004</w:t>
      </w:r>
      <w:r w:rsidRPr="000D192F">
        <w:rPr>
          <w:rFonts w:ascii="Arial" w:hAnsi="Arial" w:cs="Arial"/>
          <w:sz w:val="24"/>
          <w:szCs w:val="24"/>
        </w:rPr>
        <w:t xml:space="preserve"> (</w:t>
      </w:r>
      <w:r w:rsidRPr="000D192F">
        <w:rPr>
          <w:rFonts w:ascii="Arial" w:hAnsi="Arial" w:cs="Arial"/>
          <w:b/>
          <w:bCs/>
          <w:sz w:val="24"/>
          <w:szCs w:val="24"/>
        </w:rPr>
        <w:t>HRA</w:t>
      </w:r>
      <w:r w:rsidRPr="000D192F">
        <w:rPr>
          <w:rFonts w:ascii="Arial" w:hAnsi="Arial" w:cs="Arial"/>
          <w:sz w:val="24"/>
          <w:szCs w:val="24"/>
        </w:rPr>
        <w:t>)</w:t>
      </w:r>
      <w:r>
        <w:rPr>
          <w:rFonts w:ascii="Arial" w:hAnsi="Arial" w:cs="Arial"/>
          <w:sz w:val="24"/>
          <w:szCs w:val="24"/>
        </w:rPr>
        <w:t>:</w:t>
      </w:r>
    </w:p>
    <w:p w14:paraId="4E7E6421" w14:textId="77777777" w:rsidR="00D82EAE" w:rsidRPr="00B67DB7" w:rsidRDefault="00D82EAE" w:rsidP="00D82EAE">
      <w:pPr>
        <w:pStyle w:val="ListParagraph"/>
        <w:keepNext/>
        <w:numPr>
          <w:ilvl w:val="0"/>
          <w:numId w:val="4"/>
        </w:numPr>
        <w:rPr>
          <w:rFonts w:ascii="Arial" w:hAnsi="Arial" w:cs="Arial"/>
          <w:sz w:val="24"/>
          <w:szCs w:val="24"/>
        </w:rPr>
      </w:pPr>
      <w:r w:rsidRPr="007514D4">
        <w:rPr>
          <w:rFonts w:ascii="Arial" w:hAnsi="Arial" w:cs="Arial"/>
          <w:b/>
          <w:bCs/>
          <w:sz w:val="24"/>
          <w:szCs w:val="24"/>
        </w:rPr>
        <w:t>Section 12</w:t>
      </w:r>
      <w:r w:rsidRPr="00DD553B">
        <w:rPr>
          <w:rFonts w:ascii="Arial" w:hAnsi="Arial" w:cs="Arial"/>
          <w:sz w:val="24"/>
          <w:szCs w:val="24"/>
        </w:rPr>
        <w:t xml:space="preserve"> – Right to </w:t>
      </w:r>
      <w:r>
        <w:rPr>
          <w:rFonts w:ascii="Arial" w:hAnsi="Arial" w:cs="Arial"/>
          <w:sz w:val="24"/>
          <w:szCs w:val="24"/>
        </w:rPr>
        <w:t>privacy an</w:t>
      </w:r>
      <w:r w:rsidRPr="00B67DB7">
        <w:rPr>
          <w:rFonts w:ascii="Arial" w:hAnsi="Arial" w:cs="Arial"/>
          <w:sz w:val="24"/>
          <w:szCs w:val="24"/>
        </w:rPr>
        <w:t>d reputation (limited)</w:t>
      </w:r>
    </w:p>
    <w:p w14:paraId="60069320" w14:textId="08A3B0D3" w:rsidR="00E90DF9" w:rsidRPr="00D82EAE" w:rsidRDefault="00D82EAE" w:rsidP="00D82EAE">
      <w:pPr>
        <w:pStyle w:val="ListParagraph"/>
        <w:keepNext/>
        <w:numPr>
          <w:ilvl w:val="0"/>
          <w:numId w:val="4"/>
        </w:numPr>
        <w:rPr>
          <w:rFonts w:ascii="Arial" w:hAnsi="Arial" w:cs="Arial"/>
          <w:sz w:val="24"/>
          <w:szCs w:val="24"/>
        </w:rPr>
      </w:pPr>
      <w:r w:rsidRPr="00D82EAE">
        <w:rPr>
          <w:rFonts w:ascii="Arial" w:hAnsi="Arial" w:cs="Arial"/>
          <w:b/>
          <w:bCs/>
          <w:sz w:val="24"/>
          <w:szCs w:val="24"/>
        </w:rPr>
        <w:t xml:space="preserve">Section 22 </w:t>
      </w:r>
      <w:r w:rsidRPr="00D82EAE">
        <w:rPr>
          <w:rFonts w:ascii="Arial" w:hAnsi="Arial" w:cs="Arial"/>
          <w:sz w:val="24"/>
          <w:szCs w:val="24"/>
        </w:rPr>
        <w:t xml:space="preserve">– Rights in Criminal </w:t>
      </w:r>
      <w:r w:rsidRPr="00B67DB7">
        <w:rPr>
          <w:rFonts w:ascii="Arial" w:hAnsi="Arial" w:cs="Arial"/>
          <w:sz w:val="24"/>
          <w:szCs w:val="24"/>
        </w:rPr>
        <w:t>Proceedings (limited)</w:t>
      </w:r>
    </w:p>
    <w:p w14:paraId="7EC4498E" w14:textId="77777777" w:rsidR="00D82EAE" w:rsidRPr="00D82EAE" w:rsidRDefault="00D82EAE" w:rsidP="00D82EAE">
      <w:pPr>
        <w:pStyle w:val="ListParagraph"/>
        <w:keepNext/>
        <w:rPr>
          <w:rFonts w:ascii="Arial" w:hAnsi="Arial" w:cs="Arial"/>
          <w:sz w:val="24"/>
          <w:szCs w:val="24"/>
        </w:rPr>
      </w:pPr>
    </w:p>
    <w:p w14:paraId="54FE1438" w14:textId="29391C0A" w:rsidR="00E90DF9" w:rsidRPr="00BC3EF0" w:rsidRDefault="00E90DF9" w:rsidP="00E90DF9">
      <w:pPr>
        <w:rPr>
          <w:rFonts w:ascii="Arial" w:hAnsi="Arial" w:cs="Arial"/>
          <w:b/>
          <w:bCs/>
          <w:i/>
          <w:sz w:val="24"/>
          <w:szCs w:val="24"/>
        </w:rPr>
      </w:pPr>
      <w:r w:rsidRPr="00BC3EF0">
        <w:rPr>
          <w:rFonts w:ascii="Arial" w:hAnsi="Arial" w:cs="Arial"/>
          <w:b/>
          <w:bCs/>
          <w:i/>
          <w:sz w:val="24"/>
          <w:szCs w:val="24"/>
        </w:rPr>
        <w:t>Rights Limited</w:t>
      </w:r>
    </w:p>
    <w:p w14:paraId="1423AB17" w14:textId="77777777" w:rsidR="00D82EAE" w:rsidRPr="00B2095F" w:rsidRDefault="00D82EAE" w:rsidP="00D82EAE">
      <w:pPr>
        <w:pStyle w:val="Paragraphtext"/>
        <w:rPr>
          <w:rFonts w:ascii="Arial" w:hAnsi="Arial" w:cs="Arial"/>
          <w:iCs/>
          <w:szCs w:val="24"/>
          <w:u w:val="single"/>
        </w:rPr>
      </w:pPr>
      <w:r w:rsidRPr="00B2095F">
        <w:rPr>
          <w:rFonts w:ascii="Arial" w:hAnsi="Arial" w:cs="Arial"/>
          <w:iCs/>
          <w:szCs w:val="24"/>
          <w:u w:val="single"/>
        </w:rPr>
        <w:t xml:space="preserve">Section 12 HRA – Right to Privacy – </w:t>
      </w:r>
      <w:r w:rsidRPr="00B2095F">
        <w:rPr>
          <w:rFonts w:ascii="Arial" w:hAnsi="Arial" w:cs="Arial"/>
          <w:i/>
          <w:iCs/>
          <w:szCs w:val="24"/>
          <w:u w:val="single"/>
        </w:rPr>
        <w:t>Crimes (Restorative Justice) Act 2004</w:t>
      </w:r>
    </w:p>
    <w:p w14:paraId="37675B03" w14:textId="77777777" w:rsidR="00D82EAE" w:rsidRPr="00B2095F" w:rsidRDefault="00D82EAE" w:rsidP="00D82EAE">
      <w:pPr>
        <w:pStyle w:val="ListParagraph"/>
        <w:numPr>
          <w:ilvl w:val="0"/>
          <w:numId w:val="1"/>
        </w:numPr>
        <w:spacing w:after="120"/>
        <w:rPr>
          <w:rFonts w:ascii="Arial" w:hAnsi="Arial" w:cs="Arial"/>
          <w:b/>
          <w:bCs/>
          <w:i/>
          <w:sz w:val="24"/>
          <w:szCs w:val="24"/>
        </w:rPr>
      </w:pPr>
      <w:r w:rsidRPr="00B2095F">
        <w:rPr>
          <w:rFonts w:ascii="Arial" w:hAnsi="Arial" w:cs="Arial"/>
          <w:b/>
          <w:bCs/>
          <w:i/>
          <w:sz w:val="24"/>
          <w:szCs w:val="24"/>
        </w:rPr>
        <w:t>Nature of the right and the limitation (s28(2)(a) and (c))</w:t>
      </w:r>
    </w:p>
    <w:p w14:paraId="5DFC521E" w14:textId="77777777" w:rsidR="00B2095F" w:rsidRPr="00B2095F" w:rsidRDefault="00B2095F" w:rsidP="00B2095F">
      <w:pPr>
        <w:rPr>
          <w:rFonts w:ascii="Arial" w:hAnsi="Arial" w:cs="Arial"/>
          <w:sz w:val="24"/>
          <w:szCs w:val="24"/>
        </w:rPr>
      </w:pPr>
      <w:r w:rsidRPr="00B2095F">
        <w:rPr>
          <w:rFonts w:ascii="Arial" w:hAnsi="Arial" w:cs="Arial"/>
          <w:sz w:val="24"/>
          <w:szCs w:val="24"/>
        </w:rPr>
        <w:t xml:space="preserve">Section 12 of the Human Rights Act provides that individuals have the right to not have their privacy interfered with unlawfully or arbitrarily. The Bill proposes amendments to the </w:t>
      </w:r>
      <w:r w:rsidRPr="00B2095F">
        <w:rPr>
          <w:rFonts w:ascii="Arial" w:hAnsi="Arial" w:cs="Arial"/>
          <w:i/>
          <w:iCs/>
          <w:sz w:val="24"/>
          <w:szCs w:val="24"/>
        </w:rPr>
        <w:t>Crimes (Restorative Justice) Act 2004</w:t>
      </w:r>
      <w:r w:rsidRPr="00B2095F">
        <w:rPr>
          <w:rFonts w:ascii="Arial" w:hAnsi="Arial" w:cs="Arial"/>
          <w:sz w:val="24"/>
          <w:szCs w:val="24"/>
        </w:rPr>
        <w:t xml:space="preserve"> (Restorative Justice Act). The Restorative Justice Unit (RJU) in the Justice and Community Safety Directorate provides a restorative justice service for people who have been harmed by offences in the ACT. These amendments will allow the RJU to use deidentified case studies for the purposes of annual reporting, educating or training people and accreditation of restorative justice convenors</w:t>
      </w:r>
    </w:p>
    <w:p w14:paraId="33E729B5" w14:textId="77777777" w:rsidR="00B2095F" w:rsidRPr="00B2095F" w:rsidRDefault="00B2095F" w:rsidP="00B2095F">
      <w:pPr>
        <w:rPr>
          <w:rFonts w:ascii="Arial" w:hAnsi="Arial" w:cs="Arial"/>
          <w:sz w:val="24"/>
          <w:szCs w:val="24"/>
        </w:rPr>
      </w:pPr>
      <w:r w:rsidRPr="00B2095F">
        <w:rPr>
          <w:rFonts w:ascii="Arial" w:hAnsi="Arial" w:cs="Arial"/>
          <w:sz w:val="24"/>
          <w:szCs w:val="24"/>
        </w:rPr>
        <w:lastRenderedPageBreak/>
        <w:t xml:space="preserve">The proposed amendments engage with the right to privacy because the information in the case studies is information about a person, despite being deidentified. The amendments relate to communication and informational privacy. </w:t>
      </w:r>
    </w:p>
    <w:p w14:paraId="191048C0" w14:textId="77777777" w:rsidR="00D82EAE" w:rsidRPr="00B2095F" w:rsidRDefault="00D82EAE" w:rsidP="007013DA">
      <w:pPr>
        <w:pStyle w:val="ListParagraph"/>
        <w:keepNext/>
        <w:numPr>
          <w:ilvl w:val="0"/>
          <w:numId w:val="1"/>
        </w:numPr>
        <w:spacing w:after="120"/>
        <w:rPr>
          <w:rFonts w:ascii="Arial" w:hAnsi="Arial" w:cs="Arial"/>
          <w:b/>
          <w:bCs/>
          <w:i/>
          <w:sz w:val="24"/>
          <w:szCs w:val="24"/>
        </w:rPr>
      </w:pPr>
      <w:r w:rsidRPr="00B2095F">
        <w:rPr>
          <w:rFonts w:ascii="Arial" w:hAnsi="Arial" w:cs="Arial"/>
          <w:b/>
          <w:bCs/>
          <w:i/>
          <w:sz w:val="24"/>
          <w:szCs w:val="24"/>
        </w:rPr>
        <w:t>Legitimate purpose (s28(2)(b))</w:t>
      </w:r>
    </w:p>
    <w:p w14:paraId="076F5054" w14:textId="7B16C587" w:rsidR="00B2095F" w:rsidRPr="00B2095F" w:rsidRDefault="00B2095F" w:rsidP="007013DA">
      <w:pPr>
        <w:keepNext/>
        <w:rPr>
          <w:rFonts w:ascii="Arial" w:hAnsi="Arial" w:cs="Arial"/>
          <w:sz w:val="24"/>
          <w:szCs w:val="24"/>
        </w:rPr>
      </w:pPr>
      <w:r w:rsidRPr="00B2095F">
        <w:rPr>
          <w:rFonts w:ascii="Arial" w:hAnsi="Arial" w:cs="Arial"/>
          <w:sz w:val="24"/>
          <w:szCs w:val="24"/>
        </w:rPr>
        <w:t>The amendment will clarify that the disclosure of protected information under the Act is permissible where the information has been deidentified, for the purposes of presenting case studies, educating or training people, gaining or maintaining accreditation as a restorative justice practitioner and for the purpose of the Justice and Community Safety Director-General’s report. It will also have the effect of clarifying that de-identified case studies can be shared with referring justice entities, which builds trust and confidence in restorative justice processes and benefits. This will promote restorative justice practices in the ACT, support the professional development of the restorative justice program, and provide key stakeholders with information about the restorative justice process.</w:t>
      </w:r>
    </w:p>
    <w:p w14:paraId="0F6E38D1" w14:textId="77777777" w:rsidR="00D82EAE" w:rsidRPr="00B2095F" w:rsidRDefault="00D82EAE" w:rsidP="00D82EAE">
      <w:pPr>
        <w:pStyle w:val="ListParagraph"/>
        <w:keepNext/>
        <w:numPr>
          <w:ilvl w:val="0"/>
          <w:numId w:val="1"/>
        </w:numPr>
        <w:spacing w:after="120"/>
        <w:ind w:left="357"/>
        <w:rPr>
          <w:rFonts w:ascii="Arial" w:hAnsi="Arial" w:cs="Arial"/>
          <w:b/>
          <w:bCs/>
          <w:i/>
          <w:sz w:val="24"/>
          <w:szCs w:val="24"/>
        </w:rPr>
      </w:pPr>
      <w:r w:rsidRPr="00B2095F">
        <w:rPr>
          <w:rFonts w:ascii="Arial" w:hAnsi="Arial" w:cs="Arial"/>
          <w:b/>
          <w:bCs/>
          <w:i/>
          <w:sz w:val="24"/>
          <w:szCs w:val="24"/>
        </w:rPr>
        <w:t>Rational connection between the limitation and the purpose (s28(2)(d))</w:t>
      </w:r>
    </w:p>
    <w:p w14:paraId="172D5F6A" w14:textId="7256E3DE" w:rsidR="00017DFE" w:rsidRPr="00B2095F" w:rsidDel="00017DFE" w:rsidRDefault="00B2095F" w:rsidP="00AA28E1">
      <w:pPr>
        <w:rPr>
          <w:rFonts w:ascii="Arial" w:hAnsi="Arial" w:cs="Arial"/>
          <w:sz w:val="24"/>
          <w:szCs w:val="24"/>
        </w:rPr>
      </w:pPr>
      <w:r w:rsidRPr="00B2095F">
        <w:rPr>
          <w:rFonts w:ascii="Arial" w:hAnsi="Arial" w:cs="Arial"/>
          <w:sz w:val="24"/>
          <w:szCs w:val="24"/>
        </w:rPr>
        <w:t xml:space="preserve">The limitation is required to </w:t>
      </w:r>
      <w:r w:rsidR="00AA28E1">
        <w:rPr>
          <w:rFonts w:ascii="Arial" w:hAnsi="Arial" w:cs="Arial"/>
          <w:sz w:val="24"/>
          <w:szCs w:val="24"/>
        </w:rPr>
        <w:t xml:space="preserve">clarify that </w:t>
      </w:r>
      <w:r w:rsidRPr="00B2095F">
        <w:rPr>
          <w:rFonts w:ascii="Arial" w:hAnsi="Arial" w:cs="Arial"/>
          <w:sz w:val="24"/>
          <w:szCs w:val="24"/>
        </w:rPr>
        <w:t>educat</w:t>
      </w:r>
      <w:r w:rsidR="00AA28E1">
        <w:rPr>
          <w:rFonts w:ascii="Arial" w:hAnsi="Arial" w:cs="Arial"/>
          <w:sz w:val="24"/>
          <w:szCs w:val="24"/>
        </w:rPr>
        <w:t>ion,</w:t>
      </w:r>
      <w:r w:rsidRPr="00B2095F">
        <w:rPr>
          <w:rFonts w:ascii="Arial" w:hAnsi="Arial" w:cs="Arial"/>
          <w:sz w:val="24"/>
          <w:szCs w:val="24"/>
        </w:rPr>
        <w:t xml:space="preserve"> training, accreditation and annual reporting on deidentified case studies </w:t>
      </w:r>
      <w:r w:rsidR="00AA28E1">
        <w:rPr>
          <w:rFonts w:ascii="Arial" w:hAnsi="Arial" w:cs="Arial"/>
          <w:sz w:val="24"/>
          <w:szCs w:val="24"/>
        </w:rPr>
        <w:t>can</w:t>
      </w:r>
      <w:r w:rsidRPr="00B2095F">
        <w:rPr>
          <w:rFonts w:ascii="Arial" w:hAnsi="Arial" w:cs="Arial"/>
          <w:sz w:val="24"/>
          <w:szCs w:val="24"/>
        </w:rPr>
        <w:t xml:space="preserve"> occur without a ‘secret keeper’ committing an offence</w:t>
      </w:r>
      <w:r w:rsidR="00AA28E1">
        <w:rPr>
          <w:rFonts w:ascii="Arial" w:hAnsi="Arial" w:cs="Arial"/>
          <w:sz w:val="24"/>
          <w:szCs w:val="24"/>
        </w:rPr>
        <w:t xml:space="preserve"> under the Restorative Justice Act</w:t>
      </w:r>
      <w:r w:rsidRPr="00B2095F">
        <w:rPr>
          <w:rFonts w:ascii="Arial" w:hAnsi="Arial" w:cs="Arial"/>
          <w:sz w:val="24"/>
          <w:szCs w:val="24"/>
        </w:rPr>
        <w:t xml:space="preserve">. </w:t>
      </w:r>
      <w:r w:rsidR="00AA28E1" w:rsidRPr="00B2095F">
        <w:rPr>
          <w:rFonts w:ascii="Arial" w:hAnsi="Arial" w:cs="Arial"/>
          <w:sz w:val="24"/>
          <w:szCs w:val="24"/>
        </w:rPr>
        <w:t xml:space="preserve">The limitation </w:t>
      </w:r>
      <w:r w:rsidR="00AA28E1">
        <w:rPr>
          <w:rFonts w:ascii="Arial" w:hAnsi="Arial" w:cs="Arial"/>
          <w:sz w:val="24"/>
          <w:szCs w:val="24"/>
        </w:rPr>
        <w:t>is rationally connected, that is, will be likely to achieve, the purpose of increasing knowledge, understanding</w:t>
      </w:r>
      <w:r w:rsidR="00F46C1E">
        <w:rPr>
          <w:rFonts w:ascii="Arial" w:hAnsi="Arial" w:cs="Arial"/>
          <w:sz w:val="24"/>
          <w:szCs w:val="24"/>
        </w:rPr>
        <w:t>, trust</w:t>
      </w:r>
      <w:r w:rsidR="00AA28E1">
        <w:rPr>
          <w:rFonts w:ascii="Arial" w:hAnsi="Arial" w:cs="Arial"/>
          <w:sz w:val="24"/>
          <w:szCs w:val="24"/>
        </w:rPr>
        <w:t xml:space="preserve"> and confidence in the Restorative Justice Scheme as de</w:t>
      </w:r>
      <w:r w:rsidR="00F46C1E">
        <w:rPr>
          <w:rFonts w:ascii="Arial" w:hAnsi="Arial" w:cs="Arial"/>
          <w:sz w:val="24"/>
          <w:szCs w:val="24"/>
        </w:rPr>
        <w:t>-</w:t>
      </w:r>
      <w:r w:rsidR="00AA28E1">
        <w:rPr>
          <w:rFonts w:ascii="Arial" w:hAnsi="Arial" w:cs="Arial"/>
          <w:sz w:val="24"/>
          <w:szCs w:val="24"/>
        </w:rPr>
        <w:t>identified case studies can be an important mechanism for explaining the restorative justice process</w:t>
      </w:r>
      <w:r w:rsidR="006B3137">
        <w:rPr>
          <w:rFonts w:ascii="Arial" w:hAnsi="Arial" w:cs="Arial"/>
          <w:sz w:val="24"/>
          <w:szCs w:val="24"/>
        </w:rPr>
        <w:t>es</w:t>
      </w:r>
      <w:r w:rsidR="00AA28E1">
        <w:rPr>
          <w:rFonts w:ascii="Arial" w:hAnsi="Arial" w:cs="Arial"/>
          <w:sz w:val="24"/>
          <w:szCs w:val="24"/>
        </w:rPr>
        <w:t xml:space="preserve">. </w:t>
      </w:r>
    </w:p>
    <w:p w14:paraId="4B7CFEC4" w14:textId="77777777" w:rsidR="00D82EAE" w:rsidRPr="00B2095F" w:rsidRDefault="00D82EAE" w:rsidP="00BD7406">
      <w:pPr>
        <w:rPr>
          <w:rFonts w:ascii="Arial" w:hAnsi="Arial" w:cs="Arial"/>
          <w:b/>
          <w:bCs/>
          <w:i/>
          <w:sz w:val="24"/>
          <w:szCs w:val="24"/>
        </w:rPr>
      </w:pPr>
      <w:r w:rsidRPr="00B2095F">
        <w:rPr>
          <w:rFonts w:ascii="Arial" w:hAnsi="Arial" w:cs="Arial"/>
          <w:b/>
          <w:bCs/>
          <w:i/>
          <w:sz w:val="24"/>
          <w:szCs w:val="24"/>
        </w:rPr>
        <w:t>Proportionality (s28(2)(e))</w:t>
      </w:r>
    </w:p>
    <w:p w14:paraId="1DE698C3" w14:textId="77777777" w:rsidR="00B2095F" w:rsidRPr="00B2095F" w:rsidRDefault="00B2095F" w:rsidP="00B2095F">
      <w:pPr>
        <w:rPr>
          <w:rFonts w:ascii="Arial" w:hAnsi="Arial" w:cs="Arial"/>
          <w:sz w:val="24"/>
          <w:szCs w:val="24"/>
        </w:rPr>
      </w:pPr>
      <w:r w:rsidRPr="00B2095F">
        <w:rPr>
          <w:rFonts w:ascii="Arial" w:hAnsi="Arial" w:cs="Arial"/>
          <w:sz w:val="24"/>
          <w:szCs w:val="24"/>
        </w:rPr>
        <w:t xml:space="preserve">The amendments use the least restrictive means reasonably available to achieve the purpose discussed above. The amendments retain the secrecy offence provision at section 64 of the Restorative Justice Act and simply create an additional exception. The amendments require the information for case studies to be de-identified, and only used for specific purposes: accreditation, annual reporting and educating or training people. </w:t>
      </w:r>
    </w:p>
    <w:p w14:paraId="327F2C09" w14:textId="77777777" w:rsidR="00B2095F" w:rsidRPr="00B2095F" w:rsidRDefault="00B2095F" w:rsidP="00B2095F">
      <w:pPr>
        <w:rPr>
          <w:rFonts w:ascii="Arial" w:hAnsi="Arial" w:cs="Arial"/>
          <w:sz w:val="24"/>
          <w:szCs w:val="24"/>
        </w:rPr>
      </w:pPr>
      <w:r w:rsidRPr="00B2095F">
        <w:rPr>
          <w:rFonts w:ascii="Arial" w:hAnsi="Arial" w:cs="Arial"/>
          <w:sz w:val="24"/>
          <w:szCs w:val="24"/>
        </w:rPr>
        <w:t xml:space="preserve">The amendments include important safeguards on the use of the de-identified information in case studies. The information must be no longer about an identifiable individual or an individual who is reasonably identifiable. For a disclosure of information other than in writing, the secret-keeper must use their best endeavours to de-identify the information. If the information is in writing, all reasonable steps must be taken to de-identify the information. The disclosure of the deidentified information only occurs in very limited circumstances. </w:t>
      </w:r>
    </w:p>
    <w:p w14:paraId="53C91BC7" w14:textId="0A70B051" w:rsidR="00B2095F" w:rsidRPr="00B2095F" w:rsidRDefault="00B2095F" w:rsidP="00B2095F">
      <w:pPr>
        <w:rPr>
          <w:rFonts w:ascii="Arial" w:hAnsi="Arial" w:cs="Arial"/>
          <w:sz w:val="24"/>
          <w:szCs w:val="24"/>
        </w:rPr>
      </w:pPr>
      <w:r w:rsidRPr="00B2095F">
        <w:rPr>
          <w:rFonts w:ascii="Arial" w:hAnsi="Arial" w:cs="Arial"/>
          <w:sz w:val="24"/>
          <w:szCs w:val="24"/>
        </w:rPr>
        <w:t xml:space="preserve">By including important safeguards, confining the disclosure to specified circumstances, and retaining the existing offence provision, the proposed amendments are the least restrictive means reasonably available to achieve the policy intention. </w:t>
      </w:r>
    </w:p>
    <w:p w14:paraId="4C877A8A" w14:textId="77777777" w:rsidR="00D82EAE" w:rsidRPr="00B2095F" w:rsidRDefault="00D82EAE" w:rsidP="00D82EAE">
      <w:pPr>
        <w:pStyle w:val="Paragraphtext"/>
        <w:rPr>
          <w:rFonts w:ascii="Arial" w:hAnsi="Arial" w:cs="Arial"/>
          <w:iCs/>
          <w:szCs w:val="24"/>
          <w:u w:val="single"/>
        </w:rPr>
      </w:pPr>
    </w:p>
    <w:p w14:paraId="0474D568" w14:textId="77777777" w:rsidR="00D82EAE" w:rsidRPr="00B2095F" w:rsidRDefault="00D82EAE" w:rsidP="00D82EAE">
      <w:pPr>
        <w:pStyle w:val="Paragraphtext"/>
        <w:rPr>
          <w:rFonts w:ascii="Arial" w:hAnsi="Arial" w:cs="Arial"/>
          <w:iCs/>
          <w:szCs w:val="24"/>
          <w:u w:val="single"/>
        </w:rPr>
      </w:pPr>
      <w:r w:rsidRPr="00B2095F">
        <w:rPr>
          <w:rFonts w:ascii="Arial" w:hAnsi="Arial" w:cs="Arial"/>
          <w:iCs/>
          <w:szCs w:val="24"/>
          <w:u w:val="single"/>
        </w:rPr>
        <w:t xml:space="preserve">Section 22 HRA – Rights in Criminal Proceedings – </w:t>
      </w:r>
      <w:r w:rsidRPr="00B2095F">
        <w:rPr>
          <w:rFonts w:ascii="Arial" w:hAnsi="Arial" w:cs="Arial"/>
          <w:i/>
          <w:iCs/>
          <w:szCs w:val="24"/>
          <w:u w:val="single"/>
        </w:rPr>
        <w:t>Crimes (Restorative Justice) Act 2004</w:t>
      </w:r>
    </w:p>
    <w:p w14:paraId="112B9F05" w14:textId="77777777" w:rsidR="00D82EAE" w:rsidRPr="00B2095F" w:rsidRDefault="00D82EAE" w:rsidP="00D82EAE">
      <w:pPr>
        <w:pStyle w:val="ListParagraph"/>
        <w:numPr>
          <w:ilvl w:val="0"/>
          <w:numId w:val="5"/>
        </w:numPr>
        <w:spacing w:after="120"/>
        <w:rPr>
          <w:rFonts w:ascii="Arial" w:hAnsi="Arial" w:cs="Arial"/>
          <w:b/>
          <w:bCs/>
          <w:i/>
          <w:sz w:val="24"/>
          <w:szCs w:val="24"/>
        </w:rPr>
      </w:pPr>
      <w:r w:rsidRPr="00B2095F">
        <w:rPr>
          <w:rFonts w:ascii="Arial" w:hAnsi="Arial" w:cs="Arial"/>
          <w:b/>
          <w:bCs/>
          <w:i/>
          <w:sz w:val="24"/>
          <w:szCs w:val="24"/>
        </w:rPr>
        <w:t>Nature of the right and the limitation (s28(2)(a) and (c))</w:t>
      </w:r>
    </w:p>
    <w:p w14:paraId="7E740F98" w14:textId="77777777" w:rsidR="00B2095F" w:rsidRPr="00B2095F" w:rsidRDefault="00B2095F" w:rsidP="00B2095F">
      <w:pPr>
        <w:rPr>
          <w:rFonts w:ascii="Arial" w:hAnsi="Arial" w:cs="Arial"/>
          <w:sz w:val="24"/>
          <w:szCs w:val="24"/>
        </w:rPr>
      </w:pPr>
      <w:r w:rsidRPr="00B2095F">
        <w:rPr>
          <w:rFonts w:ascii="Arial" w:hAnsi="Arial" w:cs="Arial"/>
          <w:sz w:val="24"/>
          <w:szCs w:val="24"/>
        </w:rPr>
        <w:t xml:space="preserve">Section 22 of the Human Rights Act provides that individuals have rights in criminal proceedings, including the right to be presumed innocent until proven guilty according to law. The proposed amendments create exceptions to the offence in section 64 of the Restorative Justice Act. </w:t>
      </w:r>
    </w:p>
    <w:p w14:paraId="45873D6B" w14:textId="565529BF" w:rsidR="00B2095F" w:rsidRPr="00B2095F" w:rsidRDefault="00B2095F" w:rsidP="00B2095F">
      <w:pPr>
        <w:rPr>
          <w:rFonts w:ascii="Arial" w:hAnsi="Arial" w:cs="Arial"/>
          <w:sz w:val="24"/>
          <w:szCs w:val="24"/>
        </w:rPr>
      </w:pPr>
      <w:r w:rsidRPr="00B2095F">
        <w:rPr>
          <w:rFonts w:ascii="Arial" w:hAnsi="Arial" w:cs="Arial"/>
          <w:sz w:val="24"/>
          <w:szCs w:val="24"/>
        </w:rPr>
        <w:t xml:space="preserve">Section 58(3) of the </w:t>
      </w:r>
      <w:r w:rsidRPr="00B2095F">
        <w:rPr>
          <w:rFonts w:ascii="Arial" w:hAnsi="Arial" w:cs="Arial"/>
          <w:i/>
          <w:iCs/>
          <w:sz w:val="24"/>
          <w:szCs w:val="24"/>
        </w:rPr>
        <w:t>Criminal Code 2002</w:t>
      </w:r>
      <w:r w:rsidRPr="00B2095F">
        <w:rPr>
          <w:rFonts w:ascii="Arial" w:hAnsi="Arial" w:cs="Arial"/>
          <w:sz w:val="24"/>
          <w:szCs w:val="24"/>
        </w:rPr>
        <w:t xml:space="preserve"> provides that a defendant who wishes to rely on any exception provided by the law creating an offence has an evidential burden in relation to the matter</w:t>
      </w:r>
      <w:r w:rsidR="00D74F87">
        <w:rPr>
          <w:rFonts w:ascii="Arial" w:hAnsi="Arial" w:cs="Arial"/>
          <w:sz w:val="24"/>
          <w:szCs w:val="24"/>
        </w:rPr>
        <w:t>.</w:t>
      </w:r>
      <w:r w:rsidRPr="00B2095F">
        <w:rPr>
          <w:rFonts w:ascii="Arial" w:hAnsi="Arial" w:cs="Arial"/>
          <w:sz w:val="24"/>
          <w:szCs w:val="24"/>
        </w:rPr>
        <w:t xml:space="preserve"> This places the onus on the defendant to </w:t>
      </w:r>
      <w:r w:rsidR="00D74F87">
        <w:rPr>
          <w:rFonts w:ascii="Arial" w:hAnsi="Arial" w:cs="Arial"/>
          <w:sz w:val="24"/>
          <w:szCs w:val="24"/>
        </w:rPr>
        <w:t xml:space="preserve">adduce evidence </w:t>
      </w:r>
      <w:r w:rsidRPr="00B2095F">
        <w:rPr>
          <w:rFonts w:ascii="Arial" w:hAnsi="Arial" w:cs="Arial"/>
          <w:sz w:val="24"/>
          <w:szCs w:val="24"/>
        </w:rPr>
        <w:t xml:space="preserve">that the de-identified case studies were made, disclosed or communicated for the purposes of educating or training people, accreditation and annual reporting. </w:t>
      </w:r>
      <w:r w:rsidR="00D74F87">
        <w:rPr>
          <w:rFonts w:ascii="Arial" w:hAnsi="Arial" w:cs="Arial"/>
          <w:sz w:val="24"/>
          <w:szCs w:val="24"/>
        </w:rPr>
        <w:t xml:space="preserve">Once the defendant has provided sufficient evidence to raise the issue the burden shifts back to the prosecution to prove that the exception does not apply. </w:t>
      </w:r>
    </w:p>
    <w:p w14:paraId="298A34B7" w14:textId="1E582E49" w:rsidR="00B2095F" w:rsidRPr="0095541E" w:rsidRDefault="00B2095F" w:rsidP="0095541E">
      <w:pPr>
        <w:rPr>
          <w:rFonts w:ascii="Arial" w:hAnsi="Arial" w:cs="Arial"/>
          <w:sz w:val="24"/>
          <w:szCs w:val="24"/>
        </w:rPr>
      </w:pPr>
      <w:r w:rsidRPr="00B2095F">
        <w:rPr>
          <w:rFonts w:ascii="Arial" w:hAnsi="Arial" w:cs="Arial"/>
          <w:sz w:val="24"/>
          <w:szCs w:val="24"/>
        </w:rPr>
        <w:t xml:space="preserve">The draft Bill clearly identifies where there is a reverse onus of proof for the new exception in new section 64(3A). The Bill also inserts a note referring to the reverse onus of proof for the exception in existing section 64(3). The exceptions align with the framing of the existing exception in the Act. </w:t>
      </w:r>
    </w:p>
    <w:p w14:paraId="0F0C64BF" w14:textId="05E28BF1" w:rsidR="00B2095F" w:rsidRPr="00B2095F" w:rsidRDefault="00D82EAE" w:rsidP="00B2095F">
      <w:pPr>
        <w:pStyle w:val="ListParagraph"/>
        <w:numPr>
          <w:ilvl w:val="0"/>
          <w:numId w:val="5"/>
        </w:numPr>
        <w:spacing w:after="120"/>
        <w:rPr>
          <w:rFonts w:ascii="Arial" w:hAnsi="Arial" w:cs="Arial"/>
          <w:b/>
          <w:bCs/>
          <w:i/>
          <w:sz w:val="24"/>
          <w:szCs w:val="24"/>
        </w:rPr>
      </w:pPr>
      <w:r w:rsidRPr="00B2095F">
        <w:rPr>
          <w:rFonts w:ascii="Arial" w:hAnsi="Arial" w:cs="Arial"/>
          <w:b/>
          <w:bCs/>
          <w:i/>
          <w:sz w:val="24"/>
          <w:szCs w:val="24"/>
        </w:rPr>
        <w:t>Legitimate purpose (s28(2)(b))</w:t>
      </w:r>
    </w:p>
    <w:p w14:paraId="2E2B2945" w14:textId="52F68D9A" w:rsidR="00B2095F" w:rsidRPr="00B2095F" w:rsidRDefault="00B2095F" w:rsidP="00B2095F">
      <w:pPr>
        <w:rPr>
          <w:rFonts w:ascii="Arial" w:hAnsi="Arial" w:cs="Arial"/>
          <w:sz w:val="24"/>
          <w:szCs w:val="24"/>
        </w:rPr>
      </w:pPr>
      <w:r w:rsidRPr="00B2095F">
        <w:rPr>
          <w:rFonts w:ascii="Arial" w:hAnsi="Arial" w:cs="Arial"/>
          <w:sz w:val="24"/>
          <w:szCs w:val="24"/>
        </w:rPr>
        <w:t xml:space="preserve">The purpose of the limitation </w:t>
      </w:r>
      <w:r w:rsidR="00666B86">
        <w:rPr>
          <w:rFonts w:ascii="Arial" w:hAnsi="Arial" w:cs="Arial"/>
          <w:sz w:val="24"/>
          <w:szCs w:val="24"/>
        </w:rPr>
        <w:t>is to ensure that the offence operates as intended (that is, protects privacy) while providing a workable exception in respect of de</w:t>
      </w:r>
      <w:r w:rsidR="00F46C1E">
        <w:rPr>
          <w:rFonts w:ascii="Arial" w:hAnsi="Arial" w:cs="Arial"/>
          <w:sz w:val="24"/>
          <w:szCs w:val="24"/>
        </w:rPr>
        <w:t>-</w:t>
      </w:r>
      <w:r w:rsidR="00666B86">
        <w:rPr>
          <w:rFonts w:ascii="Arial" w:hAnsi="Arial" w:cs="Arial"/>
          <w:sz w:val="24"/>
          <w:szCs w:val="24"/>
        </w:rPr>
        <w:t xml:space="preserve">identified case studies. </w:t>
      </w:r>
      <w:r w:rsidR="00D74F87">
        <w:rPr>
          <w:rFonts w:ascii="Arial" w:hAnsi="Arial" w:cs="Arial"/>
          <w:sz w:val="24"/>
          <w:szCs w:val="24"/>
        </w:rPr>
        <w:t xml:space="preserve">Placing an evidentiary burden on the defendant to raise this exception avoids </w:t>
      </w:r>
      <w:r w:rsidR="00F714D5">
        <w:rPr>
          <w:rFonts w:ascii="Arial" w:hAnsi="Arial" w:cs="Arial"/>
          <w:sz w:val="24"/>
          <w:szCs w:val="24"/>
        </w:rPr>
        <w:t>the prosecution having to establish in each case that the exception does not apply.</w:t>
      </w:r>
      <w:r w:rsidR="00D74F87">
        <w:rPr>
          <w:rFonts w:ascii="Arial" w:hAnsi="Arial" w:cs="Arial"/>
          <w:sz w:val="24"/>
          <w:szCs w:val="24"/>
        </w:rPr>
        <w:t xml:space="preserve"> </w:t>
      </w:r>
      <w:r w:rsidRPr="00B2095F">
        <w:rPr>
          <w:rFonts w:ascii="Arial" w:hAnsi="Arial" w:cs="Arial"/>
          <w:sz w:val="24"/>
          <w:szCs w:val="24"/>
        </w:rPr>
        <w:t xml:space="preserve">As discussed above, the </w:t>
      </w:r>
      <w:r w:rsidR="00666B86">
        <w:rPr>
          <w:rFonts w:ascii="Arial" w:hAnsi="Arial" w:cs="Arial"/>
          <w:sz w:val="24"/>
          <w:szCs w:val="24"/>
        </w:rPr>
        <w:t xml:space="preserve">overall </w:t>
      </w:r>
      <w:r w:rsidRPr="00B2095F">
        <w:rPr>
          <w:rFonts w:ascii="Arial" w:hAnsi="Arial" w:cs="Arial"/>
          <w:sz w:val="24"/>
          <w:szCs w:val="24"/>
        </w:rPr>
        <w:t xml:space="preserve">amendment will help build trust and confidence in restorative practices and help promote restorative justice in the Territory. </w:t>
      </w:r>
    </w:p>
    <w:p w14:paraId="46BA2079" w14:textId="77777777" w:rsidR="00D82EAE" w:rsidRPr="00B2095F" w:rsidRDefault="00D82EAE" w:rsidP="00D82EAE">
      <w:pPr>
        <w:pStyle w:val="ListParagraph"/>
        <w:keepNext/>
        <w:numPr>
          <w:ilvl w:val="0"/>
          <w:numId w:val="5"/>
        </w:numPr>
        <w:spacing w:after="120"/>
        <w:ind w:left="357"/>
        <w:rPr>
          <w:rFonts w:ascii="Arial" w:hAnsi="Arial" w:cs="Arial"/>
          <w:b/>
          <w:bCs/>
          <w:i/>
          <w:sz w:val="24"/>
          <w:szCs w:val="24"/>
        </w:rPr>
      </w:pPr>
      <w:r w:rsidRPr="00B2095F">
        <w:rPr>
          <w:rFonts w:ascii="Arial" w:hAnsi="Arial" w:cs="Arial"/>
          <w:b/>
          <w:bCs/>
          <w:i/>
          <w:sz w:val="24"/>
          <w:szCs w:val="24"/>
        </w:rPr>
        <w:t>Rational connection between the limitation and the purpose (s28(2)(d))</w:t>
      </w:r>
    </w:p>
    <w:p w14:paraId="7472132B" w14:textId="77777777" w:rsidR="00B2095F" w:rsidRPr="00B2095F" w:rsidRDefault="00B2095F" w:rsidP="00B2095F">
      <w:pPr>
        <w:rPr>
          <w:rFonts w:ascii="Arial" w:hAnsi="Arial" w:cs="Arial"/>
          <w:sz w:val="24"/>
          <w:szCs w:val="24"/>
        </w:rPr>
      </w:pPr>
      <w:r w:rsidRPr="00B2095F">
        <w:rPr>
          <w:rFonts w:ascii="Arial" w:hAnsi="Arial" w:cs="Arial"/>
          <w:sz w:val="24"/>
          <w:szCs w:val="24"/>
        </w:rPr>
        <w:t>Casting the provision as an exception retains the secrecy offence in section 64 and aligns with other existing provisions of the Restorative Justice Act. The Bill also clarifies the operation of the existing exception at section 64(3), by inserting a note referring to the reverse onus of proof.</w:t>
      </w:r>
    </w:p>
    <w:p w14:paraId="27A5A87C" w14:textId="239B7805" w:rsidR="0047571D" w:rsidRPr="0095541E" w:rsidRDefault="00B2095F" w:rsidP="0095541E">
      <w:pPr>
        <w:rPr>
          <w:rFonts w:ascii="Arial" w:hAnsi="Arial" w:cs="Arial"/>
          <w:sz w:val="24"/>
          <w:szCs w:val="24"/>
        </w:rPr>
      </w:pPr>
      <w:r w:rsidRPr="00B2095F">
        <w:rPr>
          <w:rFonts w:ascii="Arial" w:hAnsi="Arial" w:cs="Arial"/>
          <w:sz w:val="24"/>
          <w:szCs w:val="24"/>
        </w:rPr>
        <w:t xml:space="preserve">Having express exceptions in section 64 make it clear that there are lawful ways that deidentified case studies may be used, while aligning with the existing structure of the Act. </w:t>
      </w:r>
    </w:p>
    <w:p w14:paraId="2C8A2A2D" w14:textId="77777777" w:rsidR="00D17A83" w:rsidRPr="00B2095F" w:rsidRDefault="00D82EAE" w:rsidP="00D17A83">
      <w:pPr>
        <w:pStyle w:val="ListParagraph"/>
        <w:keepNext/>
        <w:numPr>
          <w:ilvl w:val="0"/>
          <w:numId w:val="5"/>
        </w:numPr>
        <w:spacing w:after="120"/>
        <w:ind w:left="357"/>
        <w:rPr>
          <w:rFonts w:ascii="Arial" w:hAnsi="Arial" w:cs="Arial"/>
          <w:b/>
          <w:bCs/>
          <w:i/>
          <w:sz w:val="24"/>
          <w:szCs w:val="24"/>
        </w:rPr>
      </w:pPr>
      <w:r w:rsidRPr="00B2095F">
        <w:rPr>
          <w:rFonts w:ascii="Arial" w:hAnsi="Arial" w:cs="Arial"/>
          <w:b/>
          <w:bCs/>
          <w:i/>
          <w:sz w:val="24"/>
          <w:szCs w:val="24"/>
        </w:rPr>
        <w:t>Proportionality (s28(2)(e))</w:t>
      </w:r>
      <w:bookmarkStart w:id="0" w:name="OLE_LINK1"/>
    </w:p>
    <w:p w14:paraId="44BFF006" w14:textId="2C729641" w:rsidR="00B2095F" w:rsidRPr="00B2095F" w:rsidRDefault="00B2095F" w:rsidP="00B2095F">
      <w:pPr>
        <w:rPr>
          <w:rFonts w:ascii="Arial" w:hAnsi="Arial" w:cs="Arial"/>
          <w:sz w:val="24"/>
          <w:szCs w:val="24"/>
        </w:rPr>
      </w:pPr>
      <w:r w:rsidRPr="00B2095F">
        <w:rPr>
          <w:rFonts w:ascii="Arial" w:hAnsi="Arial" w:cs="Arial"/>
          <w:sz w:val="24"/>
          <w:szCs w:val="24"/>
        </w:rPr>
        <w:t xml:space="preserve">The proposed amendments are a reasonable, necessary and proportionate way to achieve the policy objective. As noted above, using an exception aligns with the </w:t>
      </w:r>
      <w:r w:rsidRPr="00B2095F">
        <w:rPr>
          <w:rFonts w:ascii="Arial" w:hAnsi="Arial" w:cs="Arial"/>
          <w:sz w:val="24"/>
          <w:szCs w:val="24"/>
        </w:rPr>
        <w:lastRenderedPageBreak/>
        <w:t>existing structure of the offence provision at section 64 of the Restorative Justice Act. The exception imposes an evidentiary burden on the defendant</w:t>
      </w:r>
      <w:r w:rsidR="00F714D5">
        <w:rPr>
          <w:rFonts w:ascii="Arial" w:hAnsi="Arial" w:cs="Arial"/>
          <w:sz w:val="24"/>
          <w:szCs w:val="24"/>
        </w:rPr>
        <w:t xml:space="preserve"> to adduce evidence to raise the issue rather than a legal burden to prove that the exception applies</w:t>
      </w:r>
      <w:r w:rsidRPr="00B2095F">
        <w:rPr>
          <w:rFonts w:ascii="Arial" w:hAnsi="Arial" w:cs="Arial"/>
          <w:sz w:val="24"/>
          <w:szCs w:val="24"/>
        </w:rPr>
        <w:t xml:space="preserve">. The elements of the exception are matters that are uniquely within the knowledge, and capable of being satisfied by, the defendant and it would not be reasonable for the prosecution to establish these elements. </w:t>
      </w:r>
    </w:p>
    <w:p w14:paraId="3D4CDD6D" w14:textId="74A85FF5" w:rsidR="0047571D" w:rsidRPr="00B2095F" w:rsidRDefault="0047571D" w:rsidP="00B2095F">
      <w:pPr>
        <w:keepNext/>
        <w:spacing w:after="120"/>
        <w:rPr>
          <w:rFonts w:ascii="Arial" w:hAnsi="Arial" w:cs="Arial"/>
          <w:b/>
          <w:bCs/>
          <w:i/>
          <w:sz w:val="24"/>
          <w:szCs w:val="24"/>
        </w:rPr>
      </w:pPr>
    </w:p>
    <w:p w14:paraId="58F3155D" w14:textId="5B0A1310" w:rsidR="00E90DF9" w:rsidRPr="00D17A83" w:rsidRDefault="00E90DF9" w:rsidP="00D17A83">
      <w:pPr>
        <w:pStyle w:val="ListParagraph"/>
        <w:keepNext/>
        <w:numPr>
          <w:ilvl w:val="0"/>
          <w:numId w:val="5"/>
        </w:numPr>
        <w:spacing w:after="120"/>
        <w:ind w:left="357"/>
        <w:rPr>
          <w:rFonts w:ascii="Arial" w:hAnsi="Arial" w:cs="Arial"/>
          <w:b/>
          <w:bCs/>
          <w:i/>
          <w:sz w:val="24"/>
          <w:szCs w:val="24"/>
        </w:rPr>
      </w:pPr>
      <w:r w:rsidRPr="00D17A83">
        <w:rPr>
          <w:rFonts w:asciiTheme="minorHAnsi" w:hAnsiTheme="minorHAnsi" w:cs="Arial"/>
          <w:b/>
          <w:sz w:val="28"/>
          <w:szCs w:val="28"/>
        </w:rPr>
        <w:br w:type="page"/>
      </w:r>
    </w:p>
    <w:p w14:paraId="66BEC609" w14:textId="5B6E0CC1" w:rsidR="00E90DF9" w:rsidRPr="00943C7F" w:rsidRDefault="00373270" w:rsidP="00E90DF9">
      <w:pPr>
        <w:pStyle w:val="Heading2"/>
        <w:ind w:left="-108"/>
        <w:jc w:val="center"/>
        <w:rPr>
          <w:rFonts w:asciiTheme="minorHAnsi" w:hAnsiTheme="minorHAnsi" w:cs="Arial"/>
          <w:b w:val="0"/>
          <w:bCs/>
          <w:i/>
          <w:iCs/>
          <w:sz w:val="28"/>
          <w:szCs w:val="28"/>
        </w:rPr>
      </w:pPr>
      <w:r w:rsidRPr="00373270">
        <w:rPr>
          <w:rFonts w:asciiTheme="minorHAnsi" w:hAnsiTheme="minorHAnsi" w:cs="Arial"/>
          <w:b w:val="0"/>
          <w:sz w:val="28"/>
          <w:szCs w:val="28"/>
          <w:lang w:eastAsia="en-AU"/>
        </w:rPr>
        <w:lastRenderedPageBreak/>
        <w:t>JUSTICE AND COMMUNITY SAFETY LEGISLATION AMENDMENT BILL 2026 (NO 2</w:t>
      </w:r>
      <w:r>
        <w:rPr>
          <w:rFonts w:asciiTheme="minorHAnsi" w:hAnsiTheme="minorHAnsi" w:cs="Arial"/>
          <w:b w:val="0"/>
          <w:sz w:val="28"/>
          <w:szCs w:val="28"/>
          <w:lang w:eastAsia="en-AU"/>
        </w:rPr>
        <w:t>)</w:t>
      </w:r>
    </w:p>
    <w:bookmarkEnd w:id="0"/>
    <w:p w14:paraId="3FC035F1" w14:textId="77777777" w:rsidR="00E90DF9" w:rsidRPr="003E5EE6" w:rsidRDefault="00E90DF9" w:rsidP="00E90DF9">
      <w:pPr>
        <w:pStyle w:val="Heading4"/>
        <w:ind w:left="-108"/>
        <w:jc w:val="center"/>
        <w:rPr>
          <w:rFonts w:asciiTheme="minorHAnsi" w:hAnsiTheme="minorHAnsi"/>
          <w:sz w:val="24"/>
          <w:szCs w:val="24"/>
        </w:rPr>
      </w:pPr>
      <w:r w:rsidRPr="003E5EE6">
        <w:rPr>
          <w:rFonts w:asciiTheme="minorHAnsi" w:hAnsiTheme="minorHAnsi"/>
          <w:sz w:val="24"/>
          <w:szCs w:val="24"/>
        </w:rPr>
        <w:t>Human Rights Act 2004 - Compatibility Statement</w:t>
      </w:r>
    </w:p>
    <w:p w14:paraId="4BE2285B" w14:textId="77777777" w:rsidR="00E90DF9" w:rsidRDefault="00E90DF9" w:rsidP="00E90DF9"/>
    <w:p w14:paraId="3E3301AD" w14:textId="77777777" w:rsidR="00E90DF9" w:rsidRPr="00D77995" w:rsidRDefault="00E90DF9" w:rsidP="00E90DF9"/>
    <w:p w14:paraId="45D422CA" w14:textId="0B434055" w:rsidR="00E90DF9" w:rsidRDefault="00E90DF9" w:rsidP="00E90DF9">
      <w:r w:rsidRPr="00521950">
        <w:rPr>
          <w:rFonts w:asciiTheme="minorHAnsi" w:hAnsiTheme="minorHAnsi"/>
        </w:rPr>
        <w:t xml:space="preserve">In accordance with section 37 of the </w:t>
      </w:r>
      <w:r w:rsidRPr="00521950">
        <w:rPr>
          <w:rFonts w:asciiTheme="minorHAnsi" w:hAnsiTheme="minorHAnsi"/>
          <w:i/>
          <w:iCs/>
        </w:rPr>
        <w:t>Human Rights Act 2004</w:t>
      </w:r>
      <w:r w:rsidRPr="00521950">
        <w:rPr>
          <w:rFonts w:asciiTheme="minorHAnsi" w:hAnsiTheme="minorHAnsi"/>
        </w:rPr>
        <w:t xml:space="preserve"> I have examined the</w:t>
      </w:r>
      <w:r>
        <w:rPr>
          <w:rFonts w:asciiTheme="minorHAnsi" w:hAnsiTheme="minorHAnsi"/>
          <w:b/>
        </w:rPr>
        <w:t xml:space="preserve"> </w:t>
      </w:r>
      <w:r w:rsidR="00373270" w:rsidRPr="00373270">
        <w:rPr>
          <w:rFonts w:asciiTheme="minorHAnsi" w:hAnsiTheme="minorHAnsi"/>
          <w:b/>
        </w:rPr>
        <w:t>JUSTICE AND COMMUNITY SAFETY LEGISLATION AMENDMENT BILL 2026 (NO 2</w:t>
      </w:r>
      <w:r w:rsidR="00373270">
        <w:rPr>
          <w:rFonts w:asciiTheme="minorHAnsi" w:hAnsiTheme="minorHAnsi"/>
          <w:b/>
        </w:rPr>
        <w:t>)</w:t>
      </w:r>
      <w:r w:rsidRPr="00521950">
        <w:rPr>
          <w:rFonts w:asciiTheme="minorHAnsi" w:hAnsiTheme="minorHAnsi"/>
        </w:rPr>
        <w:t>.  In my opinion,</w:t>
      </w:r>
      <w:r>
        <w:rPr>
          <w:rFonts w:asciiTheme="minorHAnsi" w:hAnsiTheme="minorHAnsi"/>
        </w:rPr>
        <w:t xml:space="preserve"> having regard to the Bill and the outline of the policy considerations and justification of any limitations on rights outlined in this explanatory statement, </w:t>
      </w:r>
      <w:r w:rsidRPr="00521950">
        <w:rPr>
          <w:rFonts w:asciiTheme="minorHAnsi" w:hAnsiTheme="minorHAnsi"/>
        </w:rPr>
        <w:t>the Bill</w:t>
      </w:r>
      <w:r w:rsidRPr="005162FA">
        <w:rPr>
          <w:rFonts w:asciiTheme="minorHAnsi" w:hAnsiTheme="minorHAnsi"/>
        </w:rPr>
        <w:t xml:space="preserve"> </w:t>
      </w:r>
      <w:r w:rsidRPr="00521950">
        <w:rPr>
          <w:rFonts w:asciiTheme="minorHAnsi" w:hAnsiTheme="minorHAnsi"/>
        </w:rPr>
        <w:t xml:space="preserve">as presented </w:t>
      </w:r>
      <w:r>
        <w:rPr>
          <w:rFonts w:asciiTheme="minorHAnsi" w:hAnsiTheme="minorHAnsi"/>
        </w:rPr>
        <w:t xml:space="preserve">to the Legislative </w:t>
      </w:r>
      <w:r w:rsidRPr="00ED4B84">
        <w:rPr>
          <w:rFonts w:asciiTheme="minorHAnsi" w:hAnsiTheme="minorHAnsi"/>
        </w:rPr>
        <w:t>Assembly</w:t>
      </w:r>
      <w:r w:rsidRPr="00ED4B84">
        <w:rPr>
          <w:rFonts w:asciiTheme="minorHAnsi" w:hAnsiTheme="minorHAnsi"/>
          <w:b/>
        </w:rPr>
        <w:t xml:space="preserve"> is</w:t>
      </w:r>
      <w:r>
        <w:rPr>
          <w:rFonts w:asciiTheme="minorHAnsi" w:hAnsiTheme="minorHAnsi"/>
        </w:rPr>
        <w:t xml:space="preserve"> </w:t>
      </w:r>
      <w:r w:rsidRPr="00521950">
        <w:rPr>
          <w:rFonts w:asciiTheme="minorHAnsi" w:hAnsiTheme="minorHAnsi"/>
        </w:rPr>
        <w:t xml:space="preserve">consistent with the </w:t>
      </w:r>
      <w:r w:rsidRPr="00521950">
        <w:rPr>
          <w:rFonts w:asciiTheme="minorHAnsi" w:hAnsiTheme="minorHAnsi"/>
          <w:i/>
          <w:iCs/>
        </w:rPr>
        <w:t>Human Rights Act 2004</w:t>
      </w:r>
      <w:r>
        <w:rPr>
          <w:rFonts w:asciiTheme="minorHAnsi" w:hAnsiTheme="minorHAnsi"/>
          <w:i/>
          <w:iCs/>
        </w:rPr>
        <w:t>.</w:t>
      </w:r>
    </w:p>
    <w:p w14:paraId="76476A29" w14:textId="77777777" w:rsidR="00E90DF9" w:rsidRDefault="00E90DF9" w:rsidP="00E90DF9">
      <w:pPr>
        <w:rPr>
          <w:rFonts w:asciiTheme="minorHAnsi" w:hAnsiTheme="minorHAnsi" w:cstheme="minorHAnsi"/>
        </w:rPr>
      </w:pPr>
    </w:p>
    <w:p w14:paraId="2CC08B60" w14:textId="77777777" w:rsidR="00E90DF9" w:rsidRDefault="00E90DF9" w:rsidP="00E90DF9">
      <w:pPr>
        <w:rPr>
          <w:rFonts w:asciiTheme="minorHAnsi" w:hAnsiTheme="minorHAnsi" w:cstheme="minorHAnsi"/>
        </w:rPr>
      </w:pPr>
    </w:p>
    <w:p w14:paraId="71AFABAD" w14:textId="77777777" w:rsidR="00E90DF9" w:rsidRDefault="00E90DF9" w:rsidP="00E90DF9">
      <w:pPr>
        <w:rPr>
          <w:rFonts w:asciiTheme="minorHAnsi" w:hAnsiTheme="minorHAnsi" w:cstheme="minorHAnsi"/>
        </w:rPr>
      </w:pPr>
      <w:r>
        <w:rPr>
          <w:rFonts w:asciiTheme="minorHAnsi" w:hAnsiTheme="minorHAnsi" w:cstheme="minorHAnsi"/>
        </w:rPr>
        <w:t>………………………………………………….</w:t>
      </w:r>
    </w:p>
    <w:p w14:paraId="7B5A08D3" w14:textId="3B96021E" w:rsidR="00E90DF9" w:rsidRDefault="00376695" w:rsidP="00E90DF9">
      <w:pPr>
        <w:rPr>
          <w:rFonts w:asciiTheme="minorHAnsi" w:hAnsiTheme="minorHAnsi" w:cstheme="minorHAnsi"/>
        </w:rPr>
      </w:pPr>
      <w:r>
        <w:rPr>
          <w:rFonts w:asciiTheme="minorHAnsi" w:hAnsiTheme="minorHAnsi" w:cstheme="minorHAnsi"/>
        </w:rPr>
        <w:t>Tara Cheyne</w:t>
      </w:r>
      <w:r w:rsidR="00E90DF9">
        <w:rPr>
          <w:rFonts w:asciiTheme="minorHAnsi" w:hAnsiTheme="minorHAnsi" w:cstheme="minorHAnsi"/>
        </w:rPr>
        <w:t xml:space="preserve"> MLA</w:t>
      </w:r>
      <w:r w:rsidR="00E90DF9">
        <w:rPr>
          <w:rFonts w:asciiTheme="minorHAnsi" w:hAnsiTheme="minorHAnsi" w:cstheme="minorHAnsi"/>
        </w:rPr>
        <w:br/>
        <w:t>Attorney-General</w:t>
      </w:r>
    </w:p>
    <w:p w14:paraId="481185F5" w14:textId="77777777" w:rsidR="00E90DF9" w:rsidRPr="006D52AC" w:rsidRDefault="00E90DF9" w:rsidP="00E90DF9">
      <w:pPr>
        <w:spacing w:before="200"/>
        <w:rPr>
          <w:rFonts w:ascii="Arial" w:hAnsi="Arial" w:cs="Arial"/>
          <w:sz w:val="24"/>
          <w:szCs w:val="24"/>
        </w:rPr>
      </w:pPr>
    </w:p>
    <w:p w14:paraId="634CD2DB" w14:textId="77777777" w:rsidR="00E90DF9" w:rsidRDefault="00E90DF9" w:rsidP="00E90DF9">
      <w:pPr>
        <w:pStyle w:val="Heading2"/>
        <w:pageBreakBefore/>
        <w:spacing w:before="240" w:after="240"/>
      </w:pPr>
      <w:r w:rsidRPr="008C225D">
        <w:lastRenderedPageBreak/>
        <w:t>CLAUSE NOTES</w:t>
      </w:r>
    </w:p>
    <w:p w14:paraId="15420702" w14:textId="06A56D6A" w:rsidR="00E90DF9" w:rsidRPr="00E76504" w:rsidRDefault="00E90DF9" w:rsidP="00E90DF9"/>
    <w:p w14:paraId="61CE8B88" w14:textId="70F766CB" w:rsidR="00373270" w:rsidRDefault="00373270" w:rsidP="00E90DF9">
      <w:pPr>
        <w:pStyle w:val="Heading3"/>
      </w:pPr>
      <w:r>
        <w:t xml:space="preserve">Part 1 </w:t>
      </w:r>
      <w:r>
        <w:tab/>
        <w:t>Preliminary</w:t>
      </w:r>
    </w:p>
    <w:p w14:paraId="21139D56" w14:textId="13634158" w:rsidR="00E90DF9" w:rsidRDefault="00E90DF9" w:rsidP="00E90DF9">
      <w:pPr>
        <w:pStyle w:val="Heading3"/>
      </w:pPr>
      <w:r w:rsidRPr="00ED3B77">
        <w:t>Clause 1</w:t>
      </w:r>
      <w:r w:rsidRPr="00ED3B77">
        <w:tab/>
        <w:t>Name of Act</w:t>
      </w:r>
    </w:p>
    <w:p w14:paraId="276314DB" w14:textId="56045001" w:rsidR="00373270" w:rsidRPr="00373270" w:rsidRDefault="00373270" w:rsidP="00373270">
      <w:r w:rsidRPr="00A53BB6">
        <w:rPr>
          <w:rFonts w:ascii="Arial" w:hAnsi="Arial" w:cs="Arial"/>
          <w:sz w:val="24"/>
          <w:szCs w:val="24"/>
        </w:rPr>
        <w:t xml:space="preserve">This clause provides that the name of the Act is the </w:t>
      </w:r>
      <w:r w:rsidRPr="00A53BB6">
        <w:rPr>
          <w:rFonts w:ascii="Arial" w:hAnsi="Arial" w:cs="Arial"/>
          <w:i/>
          <w:iCs/>
          <w:sz w:val="24"/>
          <w:szCs w:val="24"/>
        </w:rPr>
        <w:t>Justice and Community Safety Legislation Amendment Act 2026</w:t>
      </w:r>
      <w:r>
        <w:rPr>
          <w:rFonts w:ascii="Arial" w:hAnsi="Arial" w:cs="Arial"/>
          <w:i/>
          <w:iCs/>
          <w:sz w:val="24"/>
          <w:szCs w:val="24"/>
        </w:rPr>
        <w:t xml:space="preserve"> (No 2).</w:t>
      </w:r>
    </w:p>
    <w:p w14:paraId="0887BC45" w14:textId="77777777" w:rsidR="00E90DF9" w:rsidRDefault="00E90DF9" w:rsidP="00E90DF9">
      <w:pPr>
        <w:pStyle w:val="Heading3"/>
      </w:pPr>
      <w:r w:rsidRPr="00ED3B77">
        <w:t>Clause 2</w:t>
      </w:r>
      <w:r w:rsidRPr="00ED3B77">
        <w:tab/>
        <w:t>Commencement</w:t>
      </w:r>
    </w:p>
    <w:p w14:paraId="1BB4B99A" w14:textId="7E8B62FE" w:rsidR="00373270" w:rsidRPr="00373270" w:rsidRDefault="00373270" w:rsidP="00373270">
      <w:r w:rsidRPr="00A53BB6">
        <w:rPr>
          <w:rFonts w:ascii="Arial" w:hAnsi="Arial" w:cs="Arial"/>
          <w:sz w:val="24"/>
          <w:szCs w:val="24"/>
        </w:rPr>
        <w:t>This clause provides for the commencement of the Act. The Act commenc</w:t>
      </w:r>
      <w:r>
        <w:rPr>
          <w:rFonts w:ascii="Arial" w:hAnsi="Arial" w:cs="Arial"/>
          <w:sz w:val="24"/>
          <w:szCs w:val="24"/>
        </w:rPr>
        <w:t xml:space="preserve">es on the </w:t>
      </w:r>
      <w:r w:rsidRPr="00373270">
        <w:rPr>
          <w:rFonts w:ascii="Arial" w:hAnsi="Arial" w:cs="Arial"/>
          <w:sz w:val="24"/>
          <w:szCs w:val="24"/>
        </w:rPr>
        <w:t>on the day after its notification da</w:t>
      </w:r>
      <w:r>
        <w:rPr>
          <w:rFonts w:ascii="Arial" w:hAnsi="Arial" w:cs="Arial"/>
          <w:sz w:val="24"/>
          <w:szCs w:val="24"/>
        </w:rPr>
        <w:t>y.</w:t>
      </w:r>
    </w:p>
    <w:p w14:paraId="5A4E563E" w14:textId="77777777" w:rsidR="00E90DF9" w:rsidRPr="00ED3B77" w:rsidRDefault="00E90DF9" w:rsidP="00E90DF9">
      <w:pPr>
        <w:pStyle w:val="Heading3"/>
        <w:rPr>
          <w:b w:val="0"/>
        </w:rPr>
      </w:pPr>
      <w:r w:rsidRPr="00ED3B77">
        <w:t>Clause 3</w:t>
      </w:r>
      <w:r w:rsidRPr="00ED3B77">
        <w:tab/>
        <w:t>Legislation amended</w:t>
      </w:r>
    </w:p>
    <w:p w14:paraId="22D67773" w14:textId="14DED24A" w:rsidR="00E90DF9" w:rsidRDefault="00373270" w:rsidP="00E90DF9">
      <w:pPr>
        <w:rPr>
          <w:rFonts w:ascii="Arial" w:hAnsi="Arial" w:cs="Arial"/>
          <w:sz w:val="24"/>
          <w:szCs w:val="24"/>
        </w:rPr>
      </w:pPr>
      <w:r w:rsidRPr="00373270">
        <w:rPr>
          <w:rFonts w:ascii="Arial" w:hAnsi="Arial" w:cs="Arial"/>
          <w:sz w:val="24"/>
          <w:szCs w:val="24"/>
        </w:rPr>
        <w:t>This clause identifies the legislation that will be amended in the Bill</w:t>
      </w:r>
      <w:r w:rsidR="00FA15FA">
        <w:rPr>
          <w:rFonts w:ascii="Arial" w:hAnsi="Arial" w:cs="Arial"/>
          <w:sz w:val="24"/>
          <w:szCs w:val="24"/>
        </w:rPr>
        <w:t>, mentioned in parts 2 to 4:</w:t>
      </w:r>
    </w:p>
    <w:p w14:paraId="692CA4D3" w14:textId="77777777" w:rsidR="00373270" w:rsidRPr="00883764" w:rsidRDefault="00373270" w:rsidP="00373270">
      <w:pPr>
        <w:pStyle w:val="ListParagraph"/>
        <w:numPr>
          <w:ilvl w:val="0"/>
          <w:numId w:val="2"/>
        </w:numPr>
        <w:spacing w:after="120"/>
        <w:ind w:right="-45"/>
        <w:rPr>
          <w:rFonts w:ascii="Arial" w:hAnsi="Arial" w:cs="Arial"/>
          <w:i/>
          <w:sz w:val="24"/>
          <w:szCs w:val="24"/>
          <w:lang w:eastAsia="en-US"/>
        </w:rPr>
      </w:pPr>
      <w:r w:rsidRPr="00883764">
        <w:rPr>
          <w:rFonts w:ascii="Arial" w:hAnsi="Arial" w:cs="Arial"/>
          <w:i/>
          <w:sz w:val="24"/>
          <w:szCs w:val="24"/>
          <w:lang w:eastAsia="en-US"/>
        </w:rPr>
        <w:t>Crimes (Restorative Justice) Act 2004</w:t>
      </w:r>
    </w:p>
    <w:p w14:paraId="7C098EFB" w14:textId="77777777" w:rsidR="00373270" w:rsidRPr="00883764" w:rsidRDefault="00373270" w:rsidP="00373270">
      <w:pPr>
        <w:pStyle w:val="ListParagraph"/>
        <w:numPr>
          <w:ilvl w:val="0"/>
          <w:numId w:val="2"/>
        </w:numPr>
        <w:spacing w:after="120"/>
        <w:ind w:right="-45"/>
        <w:rPr>
          <w:rFonts w:ascii="Arial" w:hAnsi="Arial" w:cs="Arial"/>
          <w:i/>
          <w:sz w:val="24"/>
          <w:szCs w:val="24"/>
          <w:lang w:eastAsia="en-US"/>
        </w:rPr>
      </w:pPr>
      <w:r w:rsidRPr="00883764">
        <w:rPr>
          <w:rFonts w:ascii="Arial" w:hAnsi="Arial" w:cs="Arial"/>
          <w:i/>
          <w:sz w:val="24"/>
          <w:szCs w:val="24"/>
          <w:lang w:eastAsia="en-US"/>
        </w:rPr>
        <w:t>Liquor Act 2010</w:t>
      </w:r>
    </w:p>
    <w:p w14:paraId="15BF3470" w14:textId="77777777" w:rsidR="00373270" w:rsidRPr="00883764" w:rsidRDefault="00373270" w:rsidP="00373270">
      <w:pPr>
        <w:pStyle w:val="ListParagraph"/>
        <w:numPr>
          <w:ilvl w:val="0"/>
          <w:numId w:val="2"/>
        </w:numPr>
        <w:spacing w:after="120"/>
        <w:ind w:right="-45"/>
        <w:rPr>
          <w:rFonts w:ascii="Arial" w:hAnsi="Arial" w:cs="Arial"/>
          <w:i/>
          <w:sz w:val="24"/>
          <w:szCs w:val="24"/>
          <w:lang w:eastAsia="en-US"/>
        </w:rPr>
      </w:pPr>
      <w:r w:rsidRPr="00883764">
        <w:rPr>
          <w:rFonts w:ascii="Arial" w:hAnsi="Arial" w:cs="Arial"/>
          <w:i/>
          <w:sz w:val="24"/>
          <w:szCs w:val="24"/>
          <w:lang w:eastAsia="en-US"/>
        </w:rPr>
        <w:t>Magistrates Court Act 1930</w:t>
      </w:r>
    </w:p>
    <w:p w14:paraId="2816524C" w14:textId="2DEAA75C" w:rsidR="00373270" w:rsidRDefault="00373270" w:rsidP="00373270">
      <w:pPr>
        <w:pStyle w:val="Heading3"/>
      </w:pPr>
      <w:r w:rsidRPr="00ED3B77">
        <w:t xml:space="preserve">Clause </w:t>
      </w:r>
      <w:r>
        <w:t>4</w:t>
      </w:r>
      <w:r w:rsidRPr="00ED3B77">
        <w:tab/>
      </w:r>
      <w:r w:rsidR="00FA15FA">
        <w:t>Legislation repealed</w:t>
      </w:r>
    </w:p>
    <w:p w14:paraId="7B5FE5F4" w14:textId="12313A99" w:rsidR="00373270" w:rsidRDefault="00373270" w:rsidP="00373270">
      <w:pPr>
        <w:rPr>
          <w:rFonts w:ascii="Arial" w:hAnsi="Arial" w:cs="Arial"/>
          <w:sz w:val="24"/>
          <w:szCs w:val="24"/>
        </w:rPr>
      </w:pPr>
      <w:r w:rsidRPr="00373270">
        <w:rPr>
          <w:rFonts w:ascii="Arial" w:hAnsi="Arial" w:cs="Arial"/>
          <w:sz w:val="24"/>
          <w:szCs w:val="24"/>
        </w:rPr>
        <w:t xml:space="preserve">This clause provides for the repeal of the </w:t>
      </w:r>
      <w:r w:rsidR="00074F6C" w:rsidRPr="00074F6C">
        <w:rPr>
          <w:rFonts w:ascii="Arial" w:hAnsi="Arial" w:cs="Arial"/>
          <w:i/>
          <w:iCs/>
          <w:sz w:val="24"/>
          <w:szCs w:val="24"/>
        </w:rPr>
        <w:t>Liquor Advisory Board Appointment 20</w:t>
      </w:r>
      <w:r w:rsidR="00074F6C" w:rsidRPr="00074F6C">
        <w:rPr>
          <w:rFonts w:ascii="Arial" w:hAnsi="Arial" w:cs="Arial"/>
          <w:sz w:val="24"/>
          <w:szCs w:val="24"/>
        </w:rPr>
        <w:t>25 (NI2025-132</w:t>
      </w:r>
      <w:r w:rsidR="00074F6C">
        <w:rPr>
          <w:rFonts w:ascii="Arial" w:hAnsi="Arial" w:cs="Arial"/>
          <w:sz w:val="24"/>
          <w:szCs w:val="24"/>
        </w:rPr>
        <w:t xml:space="preserve">) and </w:t>
      </w:r>
      <w:r w:rsidR="00074F6C" w:rsidRPr="00074F6C">
        <w:rPr>
          <w:rFonts w:ascii="Arial" w:hAnsi="Arial" w:cs="Arial"/>
          <w:i/>
          <w:iCs/>
          <w:sz w:val="24"/>
          <w:szCs w:val="24"/>
        </w:rPr>
        <w:t>Liquor Advisory Board Appointment 2025 (No 2)</w:t>
      </w:r>
      <w:r w:rsidR="00074F6C" w:rsidRPr="00074F6C">
        <w:rPr>
          <w:rFonts w:ascii="Arial" w:hAnsi="Arial" w:cs="Arial"/>
          <w:sz w:val="24"/>
          <w:szCs w:val="24"/>
        </w:rPr>
        <w:t xml:space="preserve"> (NI2025-502</w:t>
      </w:r>
      <w:r w:rsidR="00074F6C">
        <w:rPr>
          <w:rFonts w:ascii="Arial" w:hAnsi="Arial" w:cs="Arial"/>
          <w:sz w:val="24"/>
          <w:szCs w:val="24"/>
        </w:rPr>
        <w:t>)</w:t>
      </w:r>
      <w:r>
        <w:rPr>
          <w:rFonts w:ascii="Arial" w:hAnsi="Arial" w:cs="Arial"/>
          <w:sz w:val="24"/>
          <w:szCs w:val="24"/>
        </w:rPr>
        <w:t>.</w:t>
      </w:r>
    </w:p>
    <w:p w14:paraId="3E2404E4" w14:textId="77777777" w:rsidR="00FA15FA" w:rsidRPr="00373270" w:rsidRDefault="00FA15FA" w:rsidP="00373270"/>
    <w:p w14:paraId="2AB1F1D8" w14:textId="2EE6557E" w:rsidR="00074F6C" w:rsidRDefault="00074F6C" w:rsidP="00373270">
      <w:pPr>
        <w:pStyle w:val="Heading3"/>
      </w:pPr>
      <w:r>
        <w:t>Part 2</w:t>
      </w:r>
      <w:r>
        <w:tab/>
      </w:r>
      <w:r>
        <w:tab/>
      </w:r>
      <w:r w:rsidRPr="00074F6C">
        <w:t>Crimes (Restorative Justice) Act 2004</w:t>
      </w:r>
    </w:p>
    <w:p w14:paraId="54B7BDAA" w14:textId="2B4C0002" w:rsidR="00074F6C" w:rsidRPr="00E97C79" w:rsidRDefault="00074F6C" w:rsidP="00074F6C">
      <w:pPr>
        <w:pStyle w:val="Heading3"/>
        <w:ind w:left="1440" w:hanging="1440"/>
      </w:pPr>
      <w:r w:rsidRPr="00ED3B77">
        <w:t xml:space="preserve">Clause </w:t>
      </w:r>
      <w:r>
        <w:t>5</w:t>
      </w:r>
      <w:r w:rsidRPr="00ED3B77">
        <w:tab/>
      </w:r>
      <w:r w:rsidRPr="00074F6C">
        <w:t>Secrecy</w:t>
      </w:r>
      <w:r>
        <w:br/>
      </w:r>
      <w:r w:rsidRPr="00074F6C">
        <w:rPr>
          <w:rFonts w:cs="Arial"/>
          <w:bCs/>
        </w:rPr>
        <w:t>Section 64 (1), new definition of de-identified</w:t>
      </w:r>
    </w:p>
    <w:p w14:paraId="06509F3E" w14:textId="400329C9" w:rsidR="00373270" w:rsidRPr="00373270" w:rsidRDefault="00074F6C" w:rsidP="00373270">
      <w:r>
        <w:rPr>
          <w:rFonts w:ascii="Arial" w:hAnsi="Arial" w:cs="Arial"/>
          <w:sz w:val="24"/>
          <w:szCs w:val="24"/>
        </w:rPr>
        <w:t xml:space="preserve">This clause inserts the definition of </w:t>
      </w:r>
      <w:r w:rsidRPr="00074F6C">
        <w:rPr>
          <w:rFonts w:ascii="Arial" w:hAnsi="Arial" w:cs="Arial"/>
          <w:sz w:val="24"/>
          <w:szCs w:val="24"/>
        </w:rPr>
        <w:t>de-identified</w:t>
      </w:r>
      <w:r>
        <w:rPr>
          <w:rFonts w:ascii="Arial" w:hAnsi="Arial" w:cs="Arial"/>
          <w:sz w:val="24"/>
          <w:szCs w:val="24"/>
        </w:rPr>
        <w:t xml:space="preserve"> information</w:t>
      </w:r>
      <w:r w:rsidR="00373270">
        <w:rPr>
          <w:rFonts w:ascii="Arial" w:hAnsi="Arial" w:cs="Arial"/>
          <w:sz w:val="24"/>
          <w:szCs w:val="24"/>
        </w:rPr>
        <w:t>.</w:t>
      </w:r>
      <w:r w:rsidRPr="00074F6C">
        <w:t xml:space="preserve"> </w:t>
      </w:r>
      <w:r>
        <w:rPr>
          <w:rFonts w:ascii="Arial" w:hAnsi="Arial" w:cs="Arial"/>
          <w:sz w:val="24"/>
          <w:szCs w:val="24"/>
        </w:rPr>
        <w:t>I</w:t>
      </w:r>
      <w:r w:rsidRPr="00074F6C">
        <w:rPr>
          <w:rFonts w:ascii="Arial" w:hAnsi="Arial" w:cs="Arial"/>
          <w:sz w:val="24"/>
          <w:szCs w:val="24"/>
        </w:rPr>
        <w:t>nformation is de-identified if the information is no longer about an identifiable individual or an individual who is reasonably identifiable</w:t>
      </w:r>
      <w:r>
        <w:rPr>
          <w:rFonts w:ascii="Arial" w:hAnsi="Arial" w:cs="Arial"/>
          <w:sz w:val="24"/>
          <w:szCs w:val="24"/>
        </w:rPr>
        <w:t>.</w:t>
      </w:r>
    </w:p>
    <w:p w14:paraId="38824608" w14:textId="39C42012" w:rsidR="00373270" w:rsidRDefault="00373270" w:rsidP="00373270">
      <w:pPr>
        <w:pStyle w:val="Heading3"/>
      </w:pPr>
      <w:r w:rsidRPr="00ED3B77">
        <w:t xml:space="preserve">Clause </w:t>
      </w:r>
      <w:r w:rsidR="00074F6C">
        <w:t>6</w:t>
      </w:r>
      <w:r w:rsidRPr="00ED3B77">
        <w:tab/>
      </w:r>
      <w:r w:rsidR="00074F6C" w:rsidRPr="00074F6C">
        <w:t>Section 64 (3), new note</w:t>
      </w:r>
    </w:p>
    <w:p w14:paraId="78C56A68" w14:textId="2D525531" w:rsidR="00373270" w:rsidRDefault="00074F6C" w:rsidP="00373270">
      <w:pPr>
        <w:rPr>
          <w:rFonts w:ascii="Arial" w:hAnsi="Arial" w:cs="Arial"/>
          <w:sz w:val="24"/>
          <w:szCs w:val="24"/>
        </w:rPr>
      </w:pPr>
      <w:r w:rsidRPr="00074F6C">
        <w:rPr>
          <w:rFonts w:ascii="Arial" w:hAnsi="Arial" w:cs="Arial"/>
          <w:sz w:val="24"/>
          <w:szCs w:val="24"/>
        </w:rPr>
        <w:t xml:space="preserve">This clause inserts a note in section </w:t>
      </w:r>
      <w:r>
        <w:rPr>
          <w:rFonts w:ascii="Arial" w:hAnsi="Arial" w:cs="Arial"/>
          <w:sz w:val="24"/>
          <w:szCs w:val="24"/>
        </w:rPr>
        <w:t>64 (3)</w:t>
      </w:r>
      <w:r w:rsidR="00FA15FA">
        <w:rPr>
          <w:rFonts w:ascii="Arial" w:hAnsi="Arial" w:cs="Arial"/>
          <w:sz w:val="24"/>
          <w:szCs w:val="24"/>
        </w:rPr>
        <w:t>, which says</w:t>
      </w:r>
      <w:r w:rsidRPr="00074F6C">
        <w:rPr>
          <w:rFonts w:ascii="Arial" w:hAnsi="Arial" w:cs="Arial"/>
          <w:sz w:val="24"/>
          <w:szCs w:val="24"/>
        </w:rPr>
        <w:t xml:space="preserve"> that </w:t>
      </w:r>
      <w:r>
        <w:rPr>
          <w:rFonts w:ascii="Arial" w:hAnsi="Arial" w:cs="Arial"/>
          <w:sz w:val="24"/>
          <w:szCs w:val="24"/>
        </w:rPr>
        <w:t>t</w:t>
      </w:r>
      <w:r w:rsidRPr="00074F6C">
        <w:rPr>
          <w:rFonts w:ascii="Arial" w:hAnsi="Arial" w:cs="Arial"/>
          <w:sz w:val="24"/>
          <w:szCs w:val="24"/>
        </w:rPr>
        <w:t>he defendant has an evidential burden in relation to the matters mentioned in s (3)</w:t>
      </w:r>
      <w:r w:rsidR="00373270">
        <w:rPr>
          <w:rFonts w:ascii="Arial" w:hAnsi="Arial" w:cs="Arial"/>
          <w:sz w:val="24"/>
          <w:szCs w:val="24"/>
        </w:rPr>
        <w:t>.</w:t>
      </w:r>
    </w:p>
    <w:p w14:paraId="18158447" w14:textId="37D10A27" w:rsidR="00373270" w:rsidRDefault="00373270" w:rsidP="00373270">
      <w:pPr>
        <w:pStyle w:val="Heading3"/>
      </w:pPr>
      <w:r w:rsidRPr="00ED3B77">
        <w:lastRenderedPageBreak/>
        <w:t xml:space="preserve">Clause </w:t>
      </w:r>
      <w:r w:rsidR="00074F6C">
        <w:t>7</w:t>
      </w:r>
      <w:r w:rsidRPr="00ED3B77">
        <w:tab/>
      </w:r>
      <w:r w:rsidR="00074F6C" w:rsidRPr="00074F6C">
        <w:t>New section 64 (3A)</w:t>
      </w:r>
    </w:p>
    <w:p w14:paraId="0C8048BA" w14:textId="2ABE3232" w:rsidR="00373270" w:rsidRDefault="00074F6C" w:rsidP="00373270">
      <w:pPr>
        <w:rPr>
          <w:rFonts w:ascii="Arial" w:hAnsi="Arial" w:cs="Arial"/>
          <w:sz w:val="24"/>
          <w:szCs w:val="24"/>
        </w:rPr>
      </w:pPr>
      <w:r w:rsidRPr="00074F6C">
        <w:rPr>
          <w:rFonts w:ascii="Arial" w:hAnsi="Arial" w:cs="Arial"/>
          <w:sz w:val="24"/>
          <w:szCs w:val="24"/>
        </w:rPr>
        <w:t xml:space="preserve">This clause inserts a section before section </w:t>
      </w:r>
      <w:r>
        <w:rPr>
          <w:rFonts w:ascii="Arial" w:hAnsi="Arial" w:cs="Arial"/>
          <w:sz w:val="24"/>
          <w:szCs w:val="24"/>
        </w:rPr>
        <w:t>64 (4)</w:t>
      </w:r>
      <w:r w:rsidRPr="00074F6C">
        <w:rPr>
          <w:rFonts w:ascii="Arial" w:hAnsi="Arial" w:cs="Arial"/>
          <w:sz w:val="24"/>
          <w:szCs w:val="24"/>
        </w:rPr>
        <w:t xml:space="preserve">, providing </w:t>
      </w:r>
      <w:r w:rsidR="00214F9E">
        <w:rPr>
          <w:rFonts w:ascii="Arial" w:hAnsi="Arial" w:cs="Arial"/>
          <w:sz w:val="24"/>
          <w:szCs w:val="24"/>
        </w:rPr>
        <w:t xml:space="preserve">that subsection (2) </w:t>
      </w:r>
      <w:r w:rsidR="009F7F06" w:rsidRPr="009F7F06">
        <w:rPr>
          <w:rFonts w:ascii="Arial" w:hAnsi="Arial" w:cs="Arial"/>
          <w:sz w:val="24"/>
          <w:szCs w:val="24"/>
        </w:rPr>
        <w:t xml:space="preserve">does not apply </w:t>
      </w:r>
      <w:r w:rsidR="00FA15FA">
        <w:rPr>
          <w:rFonts w:ascii="Arial" w:hAnsi="Arial" w:cs="Arial"/>
          <w:sz w:val="24"/>
          <w:szCs w:val="24"/>
        </w:rPr>
        <w:t xml:space="preserve">if the information consists of or relates to a case study concerning the exercise of a function of this Act; and the record is made, or the information is disclosed or communicated in connected with a convenor </w:t>
      </w:r>
      <w:r w:rsidR="009F7F06" w:rsidRPr="009F7F06">
        <w:rPr>
          <w:rFonts w:ascii="Arial" w:hAnsi="Arial" w:cs="Arial"/>
          <w:sz w:val="24"/>
          <w:szCs w:val="24"/>
        </w:rPr>
        <w:t xml:space="preserve">gaining or maintaining accreditation in relation to restorative practices with a professional body, </w:t>
      </w:r>
      <w:r w:rsidR="00FA15FA">
        <w:rPr>
          <w:rFonts w:ascii="Arial" w:hAnsi="Arial" w:cs="Arial"/>
          <w:sz w:val="24"/>
          <w:szCs w:val="24"/>
        </w:rPr>
        <w:t>educating or training people about the Act or restorative practices</w:t>
      </w:r>
      <w:r w:rsidR="009F7F06" w:rsidRPr="009F7F06">
        <w:rPr>
          <w:rFonts w:ascii="Arial" w:hAnsi="Arial" w:cs="Arial"/>
          <w:sz w:val="24"/>
          <w:szCs w:val="24"/>
        </w:rPr>
        <w:t>, or for preparing, presenting to the Legislative Assembly, or publishing the Director-General's annual report</w:t>
      </w:r>
      <w:r w:rsidR="00FA15FA">
        <w:rPr>
          <w:rFonts w:ascii="Arial" w:hAnsi="Arial" w:cs="Arial"/>
          <w:sz w:val="24"/>
          <w:szCs w:val="24"/>
        </w:rPr>
        <w:t>; and for a disclosure or communication of information other than in writing – the secret keeper users their best endeavours to de-identify the information; and otherwise – all reasonable steps have been taken to de-identify the information.</w:t>
      </w:r>
    </w:p>
    <w:p w14:paraId="3B7E978A" w14:textId="3E31D821" w:rsidR="00FA15FA" w:rsidRPr="009F7F06" w:rsidRDefault="00FA15FA" w:rsidP="00373270">
      <w:pPr>
        <w:rPr>
          <w:rFonts w:ascii="Arial" w:hAnsi="Arial" w:cs="Arial"/>
          <w:sz w:val="24"/>
          <w:szCs w:val="24"/>
        </w:rPr>
      </w:pPr>
      <w:r>
        <w:rPr>
          <w:rFonts w:ascii="Arial" w:hAnsi="Arial" w:cs="Arial"/>
          <w:sz w:val="24"/>
          <w:szCs w:val="24"/>
        </w:rPr>
        <w:t>A note says that the defendant has an evidential burden in relation to the matters mentioned in s 64 (3A).</w:t>
      </w:r>
    </w:p>
    <w:p w14:paraId="2504E455" w14:textId="3C32BBA5" w:rsidR="00373270" w:rsidRDefault="00373270" w:rsidP="00373270">
      <w:pPr>
        <w:pStyle w:val="Heading3"/>
      </w:pPr>
      <w:r w:rsidRPr="00ED3B77">
        <w:t xml:space="preserve">Clause </w:t>
      </w:r>
      <w:r w:rsidR="00214F9E">
        <w:t>8</w:t>
      </w:r>
      <w:r w:rsidRPr="00ED3B77">
        <w:tab/>
      </w:r>
      <w:r w:rsidR="00214F9E" w:rsidRPr="00214F9E">
        <w:t>Section 64 (4), new note</w:t>
      </w:r>
    </w:p>
    <w:p w14:paraId="47B84AA6" w14:textId="0222907D" w:rsidR="00373270" w:rsidRDefault="00214F9E" w:rsidP="00373270">
      <w:pPr>
        <w:rPr>
          <w:rFonts w:ascii="Arial" w:hAnsi="Arial" w:cs="Arial"/>
          <w:sz w:val="24"/>
          <w:szCs w:val="24"/>
        </w:rPr>
      </w:pPr>
      <w:r w:rsidRPr="00214F9E">
        <w:rPr>
          <w:rFonts w:ascii="Arial" w:hAnsi="Arial" w:cs="Arial"/>
          <w:sz w:val="24"/>
          <w:szCs w:val="24"/>
        </w:rPr>
        <w:t>This clause inserts a note in section 64 (</w:t>
      </w:r>
      <w:r>
        <w:rPr>
          <w:rFonts w:ascii="Arial" w:hAnsi="Arial" w:cs="Arial"/>
          <w:sz w:val="24"/>
          <w:szCs w:val="24"/>
        </w:rPr>
        <w:t>4</w:t>
      </w:r>
      <w:r w:rsidRPr="00214F9E">
        <w:rPr>
          <w:rFonts w:ascii="Arial" w:hAnsi="Arial" w:cs="Arial"/>
          <w:sz w:val="24"/>
          <w:szCs w:val="24"/>
        </w:rPr>
        <w:t>)</w:t>
      </w:r>
      <w:r>
        <w:rPr>
          <w:rFonts w:ascii="Arial" w:hAnsi="Arial" w:cs="Arial"/>
          <w:sz w:val="24"/>
          <w:szCs w:val="24"/>
        </w:rPr>
        <w:t xml:space="preserve"> </w:t>
      </w:r>
      <w:r w:rsidR="00FA15FA">
        <w:rPr>
          <w:rFonts w:ascii="Arial" w:hAnsi="Arial" w:cs="Arial"/>
          <w:sz w:val="24"/>
          <w:szCs w:val="24"/>
        </w:rPr>
        <w:t xml:space="preserve">which says </w:t>
      </w:r>
      <w:r>
        <w:rPr>
          <w:rFonts w:ascii="Arial" w:hAnsi="Arial" w:cs="Arial"/>
          <w:sz w:val="24"/>
          <w:szCs w:val="24"/>
        </w:rPr>
        <w:t>that t</w:t>
      </w:r>
      <w:r w:rsidRPr="00214F9E">
        <w:rPr>
          <w:rFonts w:ascii="Arial" w:hAnsi="Arial" w:cs="Arial"/>
          <w:sz w:val="24"/>
          <w:szCs w:val="24"/>
        </w:rPr>
        <w:t>he defendant has an evidential burden in relation to the matters mentioned in s</w:t>
      </w:r>
      <w:r w:rsidR="00FA15FA">
        <w:rPr>
          <w:rFonts w:ascii="Arial" w:hAnsi="Arial" w:cs="Arial"/>
          <w:sz w:val="24"/>
          <w:szCs w:val="24"/>
        </w:rPr>
        <w:t xml:space="preserve"> 64</w:t>
      </w:r>
      <w:r w:rsidRPr="00214F9E">
        <w:rPr>
          <w:rFonts w:ascii="Arial" w:hAnsi="Arial" w:cs="Arial"/>
          <w:sz w:val="24"/>
          <w:szCs w:val="24"/>
        </w:rPr>
        <w:t xml:space="preserve"> (4)</w:t>
      </w:r>
      <w:r w:rsidR="00373270">
        <w:rPr>
          <w:rFonts w:ascii="Arial" w:hAnsi="Arial" w:cs="Arial"/>
          <w:sz w:val="24"/>
          <w:szCs w:val="24"/>
        </w:rPr>
        <w:t>.</w:t>
      </w:r>
    </w:p>
    <w:p w14:paraId="540DDE48" w14:textId="77777777" w:rsidR="00FA15FA" w:rsidRDefault="00FA15FA" w:rsidP="0013394A">
      <w:pPr>
        <w:pStyle w:val="Heading3"/>
      </w:pPr>
    </w:p>
    <w:p w14:paraId="34DD93DF" w14:textId="06DC7F57" w:rsidR="0013394A" w:rsidRDefault="0013394A" w:rsidP="0013394A">
      <w:pPr>
        <w:pStyle w:val="Heading3"/>
      </w:pPr>
      <w:r>
        <w:t xml:space="preserve">Part </w:t>
      </w:r>
      <w:r w:rsidR="00FA15FA">
        <w:t>3</w:t>
      </w:r>
      <w:r>
        <w:tab/>
      </w:r>
      <w:r>
        <w:tab/>
      </w:r>
      <w:r w:rsidRPr="0013394A">
        <w:t>Liquor Act 2010</w:t>
      </w:r>
    </w:p>
    <w:p w14:paraId="75F3F0BA" w14:textId="2405B6E8" w:rsidR="0013394A" w:rsidRPr="00E97C79" w:rsidRDefault="0013394A" w:rsidP="0013394A">
      <w:pPr>
        <w:pStyle w:val="Heading3"/>
        <w:ind w:left="1440" w:hanging="1440"/>
      </w:pPr>
      <w:r w:rsidRPr="00ED3B77">
        <w:t xml:space="preserve">Clause </w:t>
      </w:r>
      <w:r w:rsidR="00FA15FA">
        <w:t>9</w:t>
      </w:r>
      <w:r w:rsidRPr="00ED3B77">
        <w:tab/>
      </w:r>
      <w:r w:rsidRPr="0013394A">
        <w:t>Liquor advisory board</w:t>
      </w:r>
      <w:r>
        <w:br/>
      </w:r>
      <w:r w:rsidRPr="0013394A">
        <w:rPr>
          <w:rFonts w:cs="Arial"/>
          <w:bCs/>
        </w:rPr>
        <w:t>Part 15</w:t>
      </w:r>
    </w:p>
    <w:p w14:paraId="1D76DD2A" w14:textId="47613467" w:rsidR="0013394A" w:rsidRDefault="0013394A" w:rsidP="0013394A">
      <w:pPr>
        <w:rPr>
          <w:rFonts w:ascii="Arial" w:hAnsi="Arial" w:cs="Arial"/>
          <w:sz w:val="24"/>
          <w:szCs w:val="24"/>
        </w:rPr>
      </w:pPr>
      <w:r w:rsidRPr="0013394A">
        <w:rPr>
          <w:rFonts w:ascii="Arial" w:hAnsi="Arial" w:cs="Arial"/>
          <w:sz w:val="24"/>
          <w:szCs w:val="24"/>
        </w:rPr>
        <w:t xml:space="preserve">This clause omits </w:t>
      </w:r>
      <w:r>
        <w:rPr>
          <w:rFonts w:ascii="Arial" w:hAnsi="Arial" w:cs="Arial"/>
          <w:sz w:val="24"/>
          <w:szCs w:val="24"/>
        </w:rPr>
        <w:t>Part 15.</w:t>
      </w:r>
    </w:p>
    <w:p w14:paraId="73880AF6" w14:textId="555B7210" w:rsidR="0013394A" w:rsidRDefault="0013394A" w:rsidP="0013394A">
      <w:pPr>
        <w:pStyle w:val="Heading3"/>
      </w:pPr>
      <w:r w:rsidRPr="00ED3B77">
        <w:t xml:space="preserve">Clause </w:t>
      </w:r>
      <w:r>
        <w:t>1</w:t>
      </w:r>
      <w:r w:rsidR="00FA15FA">
        <w:t>0</w:t>
      </w:r>
      <w:r w:rsidRPr="00ED3B77">
        <w:tab/>
      </w:r>
      <w:r w:rsidRPr="0013394A">
        <w:t xml:space="preserve">Dictionary, definition of </w:t>
      </w:r>
      <w:r w:rsidRPr="0013394A">
        <w:rPr>
          <w:i/>
          <w:iCs/>
        </w:rPr>
        <w:t>liquor advisory board</w:t>
      </w:r>
    </w:p>
    <w:p w14:paraId="451962A6" w14:textId="1F773D5C" w:rsidR="0013394A" w:rsidRPr="00373270" w:rsidRDefault="0013394A" w:rsidP="0013394A">
      <w:r w:rsidRPr="00E84E0D">
        <w:rPr>
          <w:rFonts w:ascii="Arial" w:hAnsi="Arial" w:cs="Arial"/>
          <w:sz w:val="24"/>
          <w:szCs w:val="24"/>
        </w:rPr>
        <w:t>This clause omits</w:t>
      </w:r>
      <w:r>
        <w:rPr>
          <w:rFonts w:ascii="Arial" w:hAnsi="Arial" w:cs="Arial"/>
          <w:sz w:val="24"/>
          <w:szCs w:val="24"/>
        </w:rPr>
        <w:t xml:space="preserve"> </w:t>
      </w:r>
      <w:r w:rsidR="009F7F06" w:rsidRPr="009F7F06">
        <w:rPr>
          <w:rFonts w:ascii="Arial" w:hAnsi="Arial" w:cs="Arial"/>
          <w:sz w:val="24"/>
          <w:szCs w:val="24"/>
        </w:rPr>
        <w:t>the definition of “liquor advisory board” from the Dictionary</w:t>
      </w:r>
      <w:r>
        <w:rPr>
          <w:rFonts w:ascii="Arial" w:hAnsi="Arial" w:cs="Arial"/>
          <w:sz w:val="24"/>
          <w:szCs w:val="24"/>
        </w:rPr>
        <w:t>.</w:t>
      </w:r>
    </w:p>
    <w:p w14:paraId="78544DA6" w14:textId="77777777" w:rsidR="00FA15FA" w:rsidRDefault="00FA15FA" w:rsidP="00540492">
      <w:pPr>
        <w:pStyle w:val="Heading3"/>
      </w:pPr>
    </w:p>
    <w:p w14:paraId="797D64BF" w14:textId="553A10FC" w:rsidR="00540492" w:rsidRDefault="00540492" w:rsidP="00540492">
      <w:pPr>
        <w:pStyle w:val="Heading3"/>
      </w:pPr>
      <w:r>
        <w:t xml:space="preserve">Part </w:t>
      </w:r>
      <w:r w:rsidR="00FA15FA">
        <w:t>4</w:t>
      </w:r>
      <w:r>
        <w:tab/>
      </w:r>
      <w:r>
        <w:tab/>
      </w:r>
      <w:r w:rsidRPr="00540492">
        <w:t>Magistrates Court Act 1930</w:t>
      </w:r>
    </w:p>
    <w:p w14:paraId="5A8EF802" w14:textId="3ADC81FD" w:rsidR="00540492" w:rsidRPr="00E97C79" w:rsidRDefault="00540492" w:rsidP="00540492">
      <w:pPr>
        <w:pStyle w:val="Heading3"/>
        <w:ind w:left="1440" w:hanging="1440"/>
      </w:pPr>
      <w:r w:rsidRPr="00ED3B77">
        <w:t xml:space="preserve">Clause </w:t>
      </w:r>
      <w:r>
        <w:t>1</w:t>
      </w:r>
      <w:r w:rsidR="00FA15FA">
        <w:t>1</w:t>
      </w:r>
      <w:r w:rsidRPr="00ED3B77">
        <w:tab/>
      </w:r>
      <w:r w:rsidRPr="00540492">
        <w:t>Industrial Court</w:t>
      </w:r>
      <w:r>
        <w:br/>
      </w:r>
      <w:r w:rsidRPr="00540492">
        <w:rPr>
          <w:rFonts w:cs="Arial"/>
          <w:bCs/>
        </w:rPr>
        <w:t>Section 291P (1)</w:t>
      </w:r>
    </w:p>
    <w:p w14:paraId="39CD520C" w14:textId="7EB23EDA" w:rsidR="00540492" w:rsidRDefault="00540492" w:rsidP="00540492">
      <w:pPr>
        <w:rPr>
          <w:rFonts w:ascii="Arial" w:hAnsi="Arial" w:cs="Arial"/>
          <w:sz w:val="24"/>
          <w:szCs w:val="24"/>
        </w:rPr>
      </w:pPr>
      <w:r w:rsidRPr="00540492">
        <w:rPr>
          <w:rFonts w:ascii="Arial" w:hAnsi="Arial" w:cs="Arial"/>
          <w:sz w:val="24"/>
          <w:szCs w:val="24"/>
        </w:rPr>
        <w:t xml:space="preserve">This clause omits </w:t>
      </w:r>
      <w:r w:rsidR="00FA15FA">
        <w:rPr>
          <w:rFonts w:ascii="Arial" w:hAnsi="Arial" w:cs="Arial"/>
          <w:sz w:val="24"/>
          <w:szCs w:val="24"/>
        </w:rPr>
        <w:t xml:space="preserve">‘the Industrial Court Magistrate’ from </w:t>
      </w:r>
      <w:r w:rsidRPr="00540492">
        <w:rPr>
          <w:rFonts w:ascii="Arial" w:hAnsi="Arial" w:cs="Arial"/>
          <w:sz w:val="24"/>
          <w:szCs w:val="24"/>
        </w:rPr>
        <w:t xml:space="preserve">subsection 291P (1) and substitutes </w:t>
      </w:r>
      <w:r w:rsidR="00FA15FA">
        <w:rPr>
          <w:rFonts w:ascii="Arial" w:hAnsi="Arial" w:cs="Arial"/>
          <w:sz w:val="24"/>
          <w:szCs w:val="24"/>
        </w:rPr>
        <w:t>‘</w:t>
      </w:r>
      <w:r w:rsidR="009F7F06" w:rsidRPr="009F7F06">
        <w:rPr>
          <w:rFonts w:ascii="Arial" w:hAnsi="Arial" w:cs="Arial"/>
          <w:sz w:val="24"/>
          <w:szCs w:val="24"/>
        </w:rPr>
        <w:t>an Industrial Court Magistrate</w:t>
      </w:r>
      <w:r w:rsidR="00FA15FA">
        <w:rPr>
          <w:rFonts w:ascii="Arial" w:hAnsi="Arial" w:cs="Arial"/>
          <w:sz w:val="24"/>
          <w:szCs w:val="24"/>
        </w:rPr>
        <w:t>’.</w:t>
      </w:r>
    </w:p>
    <w:p w14:paraId="0292F960" w14:textId="1809EE25" w:rsidR="00540492" w:rsidRPr="00E97C79" w:rsidRDefault="00540492" w:rsidP="00540492">
      <w:pPr>
        <w:pStyle w:val="Heading3"/>
        <w:ind w:left="1440" w:hanging="1440"/>
      </w:pPr>
      <w:r w:rsidRPr="00ED3B77">
        <w:t xml:space="preserve">Clause </w:t>
      </w:r>
      <w:r>
        <w:t>1</w:t>
      </w:r>
      <w:r w:rsidR="00FA15FA">
        <w:t>2</w:t>
      </w:r>
      <w:r w:rsidRPr="00ED3B77">
        <w:tab/>
      </w:r>
      <w:r w:rsidRPr="00540492">
        <w:t>Chief Magistrate to arrange business of Industrial Court</w:t>
      </w:r>
      <w:r>
        <w:br/>
      </w:r>
      <w:r w:rsidRPr="00540492">
        <w:rPr>
          <w:rFonts w:cs="Arial"/>
          <w:bCs/>
        </w:rPr>
        <w:t>Section 291R (2) (a)</w:t>
      </w:r>
    </w:p>
    <w:p w14:paraId="5B759205" w14:textId="4AFE5931" w:rsidR="00540492" w:rsidRDefault="00540492" w:rsidP="00540492">
      <w:pPr>
        <w:rPr>
          <w:rFonts w:ascii="Arial" w:hAnsi="Arial" w:cs="Arial"/>
          <w:sz w:val="24"/>
          <w:szCs w:val="24"/>
        </w:rPr>
      </w:pPr>
      <w:r w:rsidRPr="00540492">
        <w:rPr>
          <w:rFonts w:ascii="Arial" w:hAnsi="Arial" w:cs="Arial"/>
          <w:sz w:val="24"/>
          <w:szCs w:val="24"/>
        </w:rPr>
        <w:t xml:space="preserve">This clause substitutes </w:t>
      </w:r>
      <w:r>
        <w:rPr>
          <w:rFonts w:ascii="Arial" w:hAnsi="Arial" w:cs="Arial"/>
          <w:sz w:val="24"/>
          <w:szCs w:val="24"/>
        </w:rPr>
        <w:t>subs</w:t>
      </w:r>
      <w:r w:rsidRPr="00540492">
        <w:rPr>
          <w:rFonts w:ascii="Arial" w:hAnsi="Arial" w:cs="Arial"/>
          <w:sz w:val="24"/>
          <w:szCs w:val="24"/>
        </w:rPr>
        <w:t>ection 291R (2) (a</w:t>
      </w:r>
      <w:r>
        <w:rPr>
          <w:rFonts w:ascii="Arial" w:hAnsi="Arial" w:cs="Arial"/>
          <w:sz w:val="24"/>
          <w:szCs w:val="24"/>
        </w:rPr>
        <w:t>)</w:t>
      </w:r>
      <w:r w:rsidRPr="00540492">
        <w:rPr>
          <w:rFonts w:ascii="Arial" w:hAnsi="Arial" w:cs="Arial"/>
          <w:sz w:val="24"/>
          <w:szCs w:val="24"/>
        </w:rPr>
        <w:t xml:space="preserve"> to </w:t>
      </w:r>
      <w:r w:rsidR="00FA15FA">
        <w:rPr>
          <w:rFonts w:ascii="Arial" w:hAnsi="Arial" w:cs="Arial"/>
          <w:sz w:val="24"/>
          <w:szCs w:val="24"/>
        </w:rPr>
        <w:t>‘</w:t>
      </w:r>
      <w:r w:rsidRPr="00540492">
        <w:rPr>
          <w:rFonts w:ascii="Arial" w:hAnsi="Arial" w:cs="Arial"/>
          <w:sz w:val="24"/>
          <w:szCs w:val="24"/>
        </w:rPr>
        <w:t>a magistrate who is to be an Industrial Court Magistrate</w:t>
      </w:r>
      <w:r w:rsidR="00FA15FA">
        <w:rPr>
          <w:rFonts w:ascii="Arial" w:hAnsi="Arial" w:cs="Arial"/>
          <w:sz w:val="24"/>
          <w:szCs w:val="24"/>
        </w:rPr>
        <w:t>’.</w:t>
      </w:r>
    </w:p>
    <w:p w14:paraId="6BCDBB62" w14:textId="009D3997" w:rsidR="00540492" w:rsidRPr="00E97C79" w:rsidRDefault="00540492" w:rsidP="00540492">
      <w:pPr>
        <w:pStyle w:val="Heading3"/>
        <w:ind w:left="1440" w:hanging="1440"/>
      </w:pPr>
      <w:r w:rsidRPr="00ED3B77">
        <w:lastRenderedPageBreak/>
        <w:t xml:space="preserve">Clause </w:t>
      </w:r>
      <w:r>
        <w:t>1</w:t>
      </w:r>
      <w:r w:rsidR="00FA15FA">
        <w:t>3</w:t>
      </w:r>
      <w:r w:rsidRPr="00ED3B77">
        <w:tab/>
      </w:r>
      <w:r w:rsidR="00C639E8" w:rsidRPr="00C639E8">
        <w:t>Industrial Court Magistrate to hear all matters</w:t>
      </w:r>
      <w:r>
        <w:br/>
      </w:r>
      <w:r w:rsidR="00C639E8" w:rsidRPr="00C639E8">
        <w:rPr>
          <w:rFonts w:cs="Arial"/>
          <w:bCs/>
        </w:rPr>
        <w:t>Section 291S (1)</w:t>
      </w:r>
    </w:p>
    <w:p w14:paraId="4E9A9EBA" w14:textId="0CEFE19B" w:rsidR="00540492" w:rsidRDefault="00C639E8" w:rsidP="00540492">
      <w:pPr>
        <w:rPr>
          <w:rFonts w:ascii="Arial" w:hAnsi="Arial" w:cs="Arial"/>
          <w:sz w:val="24"/>
          <w:szCs w:val="24"/>
        </w:rPr>
      </w:pPr>
      <w:r w:rsidRPr="00C639E8">
        <w:rPr>
          <w:rFonts w:ascii="Arial" w:hAnsi="Arial" w:cs="Arial"/>
          <w:sz w:val="24"/>
          <w:szCs w:val="24"/>
        </w:rPr>
        <w:t xml:space="preserve">This clause omits </w:t>
      </w:r>
      <w:r w:rsidR="00FA15FA">
        <w:rPr>
          <w:rFonts w:ascii="Arial" w:hAnsi="Arial" w:cs="Arial"/>
          <w:sz w:val="24"/>
          <w:szCs w:val="24"/>
        </w:rPr>
        <w:t xml:space="preserve">‘the Industrial Court Magistrate’ in </w:t>
      </w:r>
      <w:r w:rsidRPr="00C639E8">
        <w:rPr>
          <w:rFonts w:ascii="Arial" w:hAnsi="Arial" w:cs="Arial"/>
          <w:sz w:val="24"/>
          <w:szCs w:val="24"/>
        </w:rPr>
        <w:t>subsection 291</w:t>
      </w:r>
      <w:r>
        <w:rPr>
          <w:rFonts w:ascii="Arial" w:hAnsi="Arial" w:cs="Arial"/>
          <w:sz w:val="24"/>
          <w:szCs w:val="24"/>
        </w:rPr>
        <w:t>S</w:t>
      </w:r>
      <w:r w:rsidRPr="00C639E8">
        <w:rPr>
          <w:rFonts w:ascii="Arial" w:hAnsi="Arial" w:cs="Arial"/>
          <w:sz w:val="24"/>
          <w:szCs w:val="24"/>
        </w:rPr>
        <w:t xml:space="preserve"> (1) and substitutes </w:t>
      </w:r>
      <w:r w:rsidR="00FA15FA">
        <w:rPr>
          <w:rFonts w:ascii="Arial" w:hAnsi="Arial" w:cs="Arial"/>
          <w:sz w:val="24"/>
          <w:szCs w:val="24"/>
        </w:rPr>
        <w:t>‘</w:t>
      </w:r>
      <w:r>
        <w:rPr>
          <w:rFonts w:ascii="Arial" w:hAnsi="Arial" w:cs="Arial"/>
          <w:sz w:val="24"/>
          <w:szCs w:val="24"/>
        </w:rPr>
        <w:t>a</w:t>
      </w:r>
      <w:r w:rsidRPr="00C639E8">
        <w:rPr>
          <w:rFonts w:ascii="Arial" w:hAnsi="Arial" w:cs="Arial"/>
          <w:sz w:val="24"/>
          <w:szCs w:val="24"/>
        </w:rPr>
        <w:t>n Industrial Court Magistrate</w:t>
      </w:r>
      <w:r w:rsidR="00FA15FA">
        <w:rPr>
          <w:rFonts w:ascii="Arial" w:hAnsi="Arial" w:cs="Arial"/>
          <w:sz w:val="24"/>
          <w:szCs w:val="24"/>
        </w:rPr>
        <w:t>’.</w:t>
      </w:r>
    </w:p>
    <w:p w14:paraId="7DF57DA4" w14:textId="6B67E35F" w:rsidR="00540492" w:rsidRPr="00E97C79" w:rsidRDefault="00540492" w:rsidP="00540492">
      <w:pPr>
        <w:pStyle w:val="Heading3"/>
        <w:ind w:left="1440" w:hanging="1440"/>
      </w:pPr>
      <w:r w:rsidRPr="00ED3B77">
        <w:t xml:space="preserve">Clause </w:t>
      </w:r>
      <w:r>
        <w:t>1</w:t>
      </w:r>
      <w:r w:rsidR="00FA15FA">
        <w:t>4</w:t>
      </w:r>
      <w:r w:rsidRPr="00ED3B77">
        <w:tab/>
      </w:r>
      <w:r w:rsidR="00C639E8" w:rsidRPr="00C639E8">
        <w:t>Industrial Court Magistrate</w:t>
      </w:r>
      <w:r>
        <w:br/>
      </w:r>
      <w:r w:rsidR="00C639E8" w:rsidRPr="00C639E8">
        <w:rPr>
          <w:rFonts w:cs="Arial"/>
          <w:bCs/>
        </w:rPr>
        <w:t>Section 291U (1) to (4</w:t>
      </w:r>
      <w:r w:rsidRPr="00540492">
        <w:rPr>
          <w:rFonts w:cs="Arial"/>
          <w:bCs/>
        </w:rPr>
        <w:t>)</w:t>
      </w:r>
    </w:p>
    <w:p w14:paraId="4DE1FB82" w14:textId="2534A80B" w:rsidR="00540492" w:rsidRDefault="00C639E8" w:rsidP="00540492">
      <w:pPr>
        <w:rPr>
          <w:rFonts w:ascii="Arial" w:hAnsi="Arial" w:cs="Arial"/>
          <w:sz w:val="24"/>
          <w:szCs w:val="24"/>
        </w:rPr>
      </w:pPr>
      <w:r w:rsidRPr="00C639E8">
        <w:rPr>
          <w:rFonts w:ascii="Arial" w:hAnsi="Arial" w:cs="Arial"/>
          <w:sz w:val="24"/>
          <w:szCs w:val="24"/>
        </w:rPr>
        <w:t>This clause substitutes subsection 291</w:t>
      </w:r>
      <w:r>
        <w:rPr>
          <w:rFonts w:ascii="Arial" w:hAnsi="Arial" w:cs="Arial"/>
          <w:sz w:val="24"/>
          <w:szCs w:val="24"/>
        </w:rPr>
        <w:t>U</w:t>
      </w:r>
      <w:r w:rsidRPr="00C639E8">
        <w:rPr>
          <w:rFonts w:ascii="Arial" w:hAnsi="Arial" w:cs="Arial"/>
          <w:sz w:val="24"/>
          <w:szCs w:val="24"/>
        </w:rPr>
        <w:t xml:space="preserve"> (</w:t>
      </w:r>
      <w:r>
        <w:rPr>
          <w:rFonts w:ascii="Arial" w:hAnsi="Arial" w:cs="Arial"/>
          <w:sz w:val="24"/>
          <w:szCs w:val="24"/>
        </w:rPr>
        <w:t>1</w:t>
      </w:r>
      <w:r w:rsidRPr="00C639E8">
        <w:rPr>
          <w:rFonts w:ascii="Arial" w:hAnsi="Arial" w:cs="Arial"/>
          <w:sz w:val="24"/>
          <w:szCs w:val="24"/>
        </w:rPr>
        <w:t xml:space="preserve">) </w:t>
      </w:r>
      <w:r>
        <w:rPr>
          <w:rFonts w:ascii="Arial" w:hAnsi="Arial" w:cs="Arial"/>
          <w:sz w:val="24"/>
          <w:szCs w:val="24"/>
        </w:rPr>
        <w:t>to (4</w:t>
      </w:r>
      <w:r w:rsidR="00540492" w:rsidRPr="00540492">
        <w:rPr>
          <w:rFonts w:ascii="Arial" w:hAnsi="Arial" w:cs="Arial"/>
          <w:sz w:val="24"/>
          <w:szCs w:val="24"/>
        </w:rPr>
        <w:t xml:space="preserve">) </w:t>
      </w:r>
      <w:r w:rsidR="009F7F06" w:rsidRPr="009F7F06">
        <w:rPr>
          <w:rFonts w:ascii="Arial" w:hAnsi="Arial" w:cs="Arial"/>
          <w:sz w:val="24"/>
          <w:szCs w:val="24"/>
        </w:rPr>
        <w:t>to enable the Chief Magistrate to declare more than one Magistrate, including the Chief Magistrate, as an Industrial Court Magistrate. A declaration cannot be made for a period exceeding four years. The clause also sets out the circumstances in which a declaration must be revoked</w:t>
      </w:r>
      <w:r>
        <w:rPr>
          <w:rFonts w:ascii="Arial" w:hAnsi="Arial" w:cs="Arial"/>
          <w:sz w:val="24"/>
          <w:szCs w:val="24"/>
        </w:rPr>
        <w:t>.</w:t>
      </w:r>
    </w:p>
    <w:p w14:paraId="57199B56" w14:textId="158A7B01" w:rsidR="008114F4" w:rsidRPr="00E97C79" w:rsidRDefault="008114F4" w:rsidP="008114F4">
      <w:pPr>
        <w:pStyle w:val="Heading3"/>
        <w:ind w:left="1440" w:hanging="1440"/>
      </w:pPr>
      <w:r w:rsidRPr="00ED3B77">
        <w:t xml:space="preserve">Clause </w:t>
      </w:r>
      <w:r>
        <w:t>1</w:t>
      </w:r>
      <w:r w:rsidR="00DD7287">
        <w:t>5</w:t>
      </w:r>
      <w:r w:rsidRPr="00ED3B77">
        <w:tab/>
      </w:r>
      <w:r w:rsidRPr="008114F4">
        <w:t>Acting Industrial Court Magistrate</w:t>
      </w:r>
      <w:r>
        <w:br/>
      </w:r>
      <w:r w:rsidRPr="008114F4">
        <w:rPr>
          <w:rFonts w:cs="Arial"/>
          <w:bCs/>
        </w:rPr>
        <w:t>Section 291V (1</w:t>
      </w:r>
      <w:r w:rsidRPr="00540492">
        <w:rPr>
          <w:rFonts w:cs="Arial"/>
          <w:bCs/>
        </w:rPr>
        <w:t>)</w:t>
      </w:r>
    </w:p>
    <w:p w14:paraId="0C6908DD" w14:textId="7BFFA79A" w:rsidR="008114F4" w:rsidRDefault="008114F4" w:rsidP="008114F4">
      <w:pPr>
        <w:rPr>
          <w:rFonts w:ascii="Arial" w:hAnsi="Arial" w:cs="Arial"/>
          <w:sz w:val="24"/>
          <w:szCs w:val="24"/>
        </w:rPr>
      </w:pPr>
      <w:r w:rsidRPr="008114F4">
        <w:rPr>
          <w:rFonts w:ascii="Arial" w:hAnsi="Arial" w:cs="Arial"/>
          <w:sz w:val="24"/>
          <w:szCs w:val="24"/>
        </w:rPr>
        <w:t xml:space="preserve">This clause omits </w:t>
      </w:r>
      <w:r w:rsidR="00F85A19">
        <w:rPr>
          <w:rFonts w:ascii="Arial" w:hAnsi="Arial" w:cs="Arial"/>
          <w:sz w:val="24"/>
          <w:szCs w:val="24"/>
        </w:rPr>
        <w:t xml:space="preserve">‘an Industrial Court Magistrate’ in </w:t>
      </w:r>
      <w:r w:rsidRPr="008114F4">
        <w:rPr>
          <w:rFonts w:ascii="Arial" w:hAnsi="Arial" w:cs="Arial"/>
          <w:sz w:val="24"/>
          <w:szCs w:val="24"/>
        </w:rPr>
        <w:t xml:space="preserve">subsection 291V (1) and substitutes </w:t>
      </w:r>
      <w:r w:rsidR="00F85A19">
        <w:rPr>
          <w:rFonts w:ascii="Arial" w:hAnsi="Arial" w:cs="Arial"/>
          <w:sz w:val="24"/>
          <w:szCs w:val="24"/>
        </w:rPr>
        <w:t>‘</w:t>
      </w:r>
      <w:r w:rsidRPr="008114F4">
        <w:rPr>
          <w:rFonts w:ascii="Arial" w:hAnsi="Arial" w:cs="Arial"/>
          <w:sz w:val="24"/>
          <w:szCs w:val="24"/>
        </w:rPr>
        <w:t>an Industrial Court Magistrate</w:t>
      </w:r>
      <w:r w:rsidR="00F85A19">
        <w:rPr>
          <w:rFonts w:ascii="Arial" w:hAnsi="Arial" w:cs="Arial"/>
          <w:sz w:val="24"/>
          <w:szCs w:val="24"/>
        </w:rPr>
        <w:t>’.</w:t>
      </w:r>
    </w:p>
    <w:p w14:paraId="06AB6969" w14:textId="06DA1328" w:rsidR="008114F4" w:rsidRDefault="008114F4" w:rsidP="008114F4">
      <w:pPr>
        <w:pStyle w:val="Heading3"/>
      </w:pPr>
      <w:r w:rsidRPr="00ED3B77">
        <w:t xml:space="preserve">Clause </w:t>
      </w:r>
      <w:r>
        <w:t>1</w:t>
      </w:r>
      <w:r w:rsidR="00F85A19">
        <w:t>6</w:t>
      </w:r>
      <w:r w:rsidRPr="00ED3B77">
        <w:tab/>
      </w:r>
      <w:r w:rsidRPr="008114F4">
        <w:t>Section 291V (1) (b)</w:t>
      </w:r>
    </w:p>
    <w:p w14:paraId="1286F142" w14:textId="77777777" w:rsidR="00995DA2" w:rsidRDefault="008114F4" w:rsidP="008114F4">
      <w:pPr>
        <w:rPr>
          <w:rFonts w:ascii="Arial" w:hAnsi="Arial" w:cs="Arial"/>
          <w:sz w:val="24"/>
          <w:szCs w:val="24"/>
        </w:rPr>
      </w:pPr>
      <w:r w:rsidRPr="008114F4">
        <w:rPr>
          <w:rFonts w:ascii="Arial" w:hAnsi="Arial" w:cs="Arial"/>
          <w:sz w:val="24"/>
          <w:szCs w:val="24"/>
        </w:rPr>
        <w:t>This clause substitutes subsection 291V (1) (b</w:t>
      </w:r>
      <w:r>
        <w:rPr>
          <w:rFonts w:ascii="Arial" w:hAnsi="Arial" w:cs="Arial"/>
          <w:sz w:val="24"/>
          <w:szCs w:val="24"/>
        </w:rPr>
        <w:t>)</w:t>
      </w:r>
      <w:r w:rsidR="00113CA6">
        <w:rPr>
          <w:rFonts w:ascii="Arial" w:hAnsi="Arial" w:cs="Arial"/>
          <w:sz w:val="24"/>
          <w:szCs w:val="24"/>
        </w:rPr>
        <w:t xml:space="preserve"> </w:t>
      </w:r>
      <w:r w:rsidR="00995DA2" w:rsidRPr="00995DA2">
        <w:rPr>
          <w:rFonts w:ascii="Arial" w:hAnsi="Arial" w:cs="Arial"/>
          <w:sz w:val="24"/>
          <w:szCs w:val="24"/>
        </w:rPr>
        <w:t xml:space="preserve">to provide a circumstance in which the Chief Magistrate may assign a Magistrate to act as an Industrial Court Magistrate. </w:t>
      </w:r>
    </w:p>
    <w:p w14:paraId="78F791EB" w14:textId="45D70FA6" w:rsidR="008114F4" w:rsidRPr="009F7F06" w:rsidRDefault="00995DA2" w:rsidP="008114F4">
      <w:pPr>
        <w:rPr>
          <w:rFonts w:ascii="Arial" w:hAnsi="Arial" w:cs="Arial"/>
          <w:sz w:val="24"/>
          <w:szCs w:val="24"/>
        </w:rPr>
      </w:pPr>
      <w:r w:rsidRPr="00995DA2">
        <w:rPr>
          <w:rFonts w:ascii="Arial" w:hAnsi="Arial" w:cs="Arial"/>
          <w:sz w:val="24"/>
          <w:szCs w:val="24"/>
        </w:rPr>
        <w:t>The provision limits the assignment of an acting Industrial Court Magistrate to circumstances where no Industrial Court Magistrate is available to exercise the functions.</w:t>
      </w:r>
    </w:p>
    <w:p w14:paraId="2F11FCA2" w14:textId="185DF859" w:rsidR="00113CA6" w:rsidRDefault="00113CA6" w:rsidP="00113CA6">
      <w:pPr>
        <w:pStyle w:val="Heading3"/>
      </w:pPr>
      <w:r w:rsidRPr="00ED3B77">
        <w:t xml:space="preserve">Clause </w:t>
      </w:r>
      <w:r w:rsidR="00F85A19">
        <w:t>17</w:t>
      </w:r>
      <w:r w:rsidRPr="00ED3B77">
        <w:tab/>
      </w:r>
      <w:r w:rsidRPr="00113CA6">
        <w:t>Section 291V (2</w:t>
      </w:r>
      <w:r w:rsidRPr="008114F4">
        <w:t>)</w:t>
      </w:r>
    </w:p>
    <w:p w14:paraId="601594B7" w14:textId="3D0A50F4" w:rsidR="00113CA6" w:rsidRPr="00373270" w:rsidRDefault="00113CA6" w:rsidP="00113CA6">
      <w:r w:rsidRPr="00113CA6">
        <w:rPr>
          <w:rFonts w:ascii="Arial" w:hAnsi="Arial" w:cs="Arial"/>
          <w:sz w:val="24"/>
          <w:szCs w:val="24"/>
        </w:rPr>
        <w:t xml:space="preserve">This clause omits </w:t>
      </w:r>
      <w:r w:rsidR="00F85A19">
        <w:rPr>
          <w:rFonts w:ascii="Arial" w:hAnsi="Arial" w:cs="Arial"/>
          <w:sz w:val="24"/>
          <w:szCs w:val="24"/>
        </w:rPr>
        <w:t xml:space="preserve">‘as Industrial Court Magistrate is the Industrial Court Magistrate’ in </w:t>
      </w:r>
      <w:r w:rsidRPr="00113CA6">
        <w:rPr>
          <w:rFonts w:ascii="Arial" w:hAnsi="Arial" w:cs="Arial"/>
          <w:sz w:val="24"/>
          <w:szCs w:val="24"/>
        </w:rPr>
        <w:t>subsection 291V (</w:t>
      </w:r>
      <w:r>
        <w:rPr>
          <w:rFonts w:ascii="Arial" w:hAnsi="Arial" w:cs="Arial"/>
          <w:sz w:val="24"/>
          <w:szCs w:val="24"/>
        </w:rPr>
        <w:t>2</w:t>
      </w:r>
      <w:r w:rsidRPr="00113CA6">
        <w:rPr>
          <w:rFonts w:ascii="Arial" w:hAnsi="Arial" w:cs="Arial"/>
          <w:sz w:val="24"/>
          <w:szCs w:val="24"/>
        </w:rPr>
        <w:t xml:space="preserve">) and substitutes </w:t>
      </w:r>
      <w:r w:rsidR="00F85A19">
        <w:rPr>
          <w:rFonts w:ascii="Arial" w:hAnsi="Arial" w:cs="Arial"/>
          <w:sz w:val="24"/>
          <w:szCs w:val="24"/>
        </w:rPr>
        <w:t xml:space="preserve">‘as </w:t>
      </w:r>
      <w:r w:rsidRPr="00113CA6">
        <w:rPr>
          <w:rFonts w:ascii="Arial" w:hAnsi="Arial" w:cs="Arial"/>
          <w:sz w:val="24"/>
          <w:szCs w:val="24"/>
        </w:rPr>
        <w:t>an Industrial Court Magistrate</w:t>
      </w:r>
      <w:r w:rsidR="00F85A19">
        <w:rPr>
          <w:rFonts w:ascii="Arial" w:hAnsi="Arial" w:cs="Arial"/>
          <w:sz w:val="24"/>
          <w:szCs w:val="24"/>
        </w:rPr>
        <w:t xml:space="preserve"> is an Industrial Court Magistrate’.</w:t>
      </w:r>
    </w:p>
    <w:p w14:paraId="65B4D301" w14:textId="3A3E05DB" w:rsidR="00113CA6" w:rsidRPr="00E97C79" w:rsidRDefault="00113CA6" w:rsidP="00113CA6">
      <w:pPr>
        <w:pStyle w:val="Heading3"/>
        <w:ind w:left="1440" w:hanging="1440"/>
      </w:pPr>
      <w:r w:rsidRPr="00ED3B77">
        <w:t xml:space="preserve">Clause </w:t>
      </w:r>
      <w:r w:rsidR="00652ED6">
        <w:t>18</w:t>
      </w:r>
      <w:r w:rsidRPr="00ED3B77">
        <w:tab/>
      </w:r>
      <w:r w:rsidRPr="00113CA6">
        <w:t>Assignment of other magistrates for Industrial Court matters</w:t>
      </w:r>
      <w:r>
        <w:br/>
      </w:r>
      <w:r w:rsidRPr="00113CA6">
        <w:rPr>
          <w:rFonts w:cs="Arial"/>
          <w:bCs/>
        </w:rPr>
        <w:t>Section 291W (1) (a) (i</w:t>
      </w:r>
      <w:r w:rsidRPr="00540492">
        <w:rPr>
          <w:rFonts w:cs="Arial"/>
          <w:bCs/>
        </w:rPr>
        <w:t>)</w:t>
      </w:r>
    </w:p>
    <w:p w14:paraId="650FC133" w14:textId="044BC8BF" w:rsidR="00113CA6" w:rsidRDefault="00113CA6" w:rsidP="00113CA6">
      <w:pPr>
        <w:rPr>
          <w:rFonts w:ascii="Arial" w:hAnsi="Arial" w:cs="Arial"/>
          <w:sz w:val="24"/>
          <w:szCs w:val="24"/>
        </w:rPr>
      </w:pPr>
      <w:r w:rsidRPr="008114F4">
        <w:rPr>
          <w:rFonts w:ascii="Arial" w:hAnsi="Arial" w:cs="Arial"/>
          <w:sz w:val="24"/>
          <w:szCs w:val="24"/>
        </w:rPr>
        <w:t xml:space="preserve">This clause omits </w:t>
      </w:r>
      <w:r w:rsidR="00652ED6">
        <w:rPr>
          <w:rFonts w:ascii="Arial" w:hAnsi="Arial" w:cs="Arial"/>
          <w:sz w:val="24"/>
          <w:szCs w:val="24"/>
        </w:rPr>
        <w:t xml:space="preserve">‘the Industrial Court Magistrate’ in </w:t>
      </w:r>
      <w:r w:rsidRPr="008114F4">
        <w:rPr>
          <w:rFonts w:ascii="Arial" w:hAnsi="Arial" w:cs="Arial"/>
          <w:sz w:val="24"/>
          <w:szCs w:val="24"/>
        </w:rPr>
        <w:t xml:space="preserve">subsection 291V (1) and substitutes </w:t>
      </w:r>
      <w:r w:rsidR="00652ED6">
        <w:rPr>
          <w:rFonts w:ascii="Arial" w:hAnsi="Arial" w:cs="Arial"/>
          <w:sz w:val="24"/>
          <w:szCs w:val="24"/>
        </w:rPr>
        <w:t>‘</w:t>
      </w:r>
      <w:r w:rsidR="00995DA2">
        <w:rPr>
          <w:rFonts w:ascii="Arial" w:hAnsi="Arial" w:cs="Arial"/>
          <w:sz w:val="24"/>
          <w:szCs w:val="24"/>
        </w:rPr>
        <w:t>an</w:t>
      </w:r>
      <w:r>
        <w:rPr>
          <w:rFonts w:ascii="Arial" w:hAnsi="Arial" w:cs="Arial"/>
          <w:sz w:val="24"/>
          <w:szCs w:val="24"/>
        </w:rPr>
        <w:t xml:space="preserve"> Industrial Court Magistrate</w:t>
      </w:r>
      <w:r w:rsidR="00652ED6">
        <w:rPr>
          <w:rFonts w:ascii="Arial" w:hAnsi="Arial" w:cs="Arial"/>
          <w:sz w:val="24"/>
          <w:szCs w:val="24"/>
        </w:rPr>
        <w:t>’.</w:t>
      </w:r>
    </w:p>
    <w:p w14:paraId="17002DD2" w14:textId="6DB50048" w:rsidR="00113CA6" w:rsidRPr="00E97C79" w:rsidRDefault="00113CA6" w:rsidP="00113CA6">
      <w:pPr>
        <w:pStyle w:val="Heading3"/>
        <w:ind w:left="1440" w:hanging="1440"/>
      </w:pPr>
      <w:r w:rsidRPr="00ED3B77">
        <w:t xml:space="preserve">Clause </w:t>
      </w:r>
      <w:r w:rsidR="00791240">
        <w:t>19</w:t>
      </w:r>
      <w:r w:rsidRPr="00ED3B77">
        <w:tab/>
      </w:r>
      <w:r w:rsidRPr="00113CA6">
        <w:t>Industrial Court—completion of part-heard matters</w:t>
      </w:r>
      <w:r>
        <w:br/>
      </w:r>
      <w:r w:rsidRPr="00113CA6">
        <w:rPr>
          <w:rFonts w:cs="Arial"/>
          <w:bCs/>
        </w:rPr>
        <w:t>Section 291X (1) (b) (i)</w:t>
      </w:r>
    </w:p>
    <w:p w14:paraId="7CEA9C84" w14:textId="05A8199C" w:rsidR="00113CA6" w:rsidRDefault="00113CA6" w:rsidP="00113CA6">
      <w:pPr>
        <w:rPr>
          <w:rFonts w:ascii="Arial" w:hAnsi="Arial" w:cs="Arial"/>
          <w:sz w:val="24"/>
          <w:szCs w:val="24"/>
        </w:rPr>
      </w:pPr>
      <w:r w:rsidRPr="00113CA6">
        <w:rPr>
          <w:rFonts w:ascii="Arial" w:hAnsi="Arial" w:cs="Arial"/>
          <w:sz w:val="24"/>
          <w:szCs w:val="24"/>
        </w:rPr>
        <w:t>This clause omits</w:t>
      </w:r>
      <w:r w:rsidR="00791240">
        <w:rPr>
          <w:rFonts w:ascii="Arial" w:hAnsi="Arial" w:cs="Arial"/>
          <w:sz w:val="24"/>
          <w:szCs w:val="24"/>
        </w:rPr>
        <w:t xml:space="preserve"> ‘the Industrial Court Magistrate’ in</w:t>
      </w:r>
      <w:r w:rsidRPr="00113CA6">
        <w:rPr>
          <w:rFonts w:ascii="Arial" w:hAnsi="Arial" w:cs="Arial"/>
          <w:sz w:val="24"/>
          <w:szCs w:val="24"/>
        </w:rPr>
        <w:t xml:space="preserve"> subsection 291X (1) (b) (i) and </w:t>
      </w:r>
      <w:r w:rsidR="00995DA2" w:rsidRPr="008114F4">
        <w:rPr>
          <w:rFonts w:ascii="Arial" w:hAnsi="Arial" w:cs="Arial"/>
          <w:sz w:val="24"/>
          <w:szCs w:val="24"/>
        </w:rPr>
        <w:t>substitutes</w:t>
      </w:r>
      <w:r w:rsidR="00995DA2">
        <w:rPr>
          <w:rFonts w:ascii="Arial" w:hAnsi="Arial" w:cs="Arial"/>
          <w:sz w:val="24"/>
          <w:szCs w:val="24"/>
        </w:rPr>
        <w:t xml:space="preserve"> </w:t>
      </w:r>
      <w:r w:rsidR="00791240">
        <w:rPr>
          <w:rFonts w:ascii="Arial" w:hAnsi="Arial" w:cs="Arial"/>
          <w:sz w:val="24"/>
          <w:szCs w:val="24"/>
        </w:rPr>
        <w:t>‘</w:t>
      </w:r>
      <w:r w:rsidR="00995DA2">
        <w:rPr>
          <w:rFonts w:ascii="Arial" w:hAnsi="Arial" w:cs="Arial"/>
          <w:sz w:val="24"/>
          <w:szCs w:val="24"/>
        </w:rPr>
        <w:t>an Industrial Court Magistrate</w:t>
      </w:r>
      <w:r w:rsidR="00791240">
        <w:rPr>
          <w:rFonts w:ascii="Arial" w:hAnsi="Arial" w:cs="Arial"/>
          <w:sz w:val="24"/>
          <w:szCs w:val="24"/>
        </w:rPr>
        <w:t>’.</w:t>
      </w:r>
    </w:p>
    <w:p w14:paraId="35174E41" w14:textId="77777777" w:rsidR="00B10812" w:rsidRDefault="00B10812"/>
    <w:sectPr w:rsidR="00B10812" w:rsidSect="00F41A2F">
      <w:footerReference w:type="default" r:id="rId17"/>
      <w:footerReference w:type="first" r:id="rId18"/>
      <w:pgSz w:w="11906" w:h="16838"/>
      <w:pgMar w:top="1276" w:right="1440" w:bottom="1440" w:left="1440" w:header="709" w:footer="67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64327" w14:textId="77777777" w:rsidR="00161EC7" w:rsidRDefault="00161EC7" w:rsidP="00E90DF9">
      <w:pPr>
        <w:spacing w:after="0" w:line="240" w:lineRule="auto"/>
      </w:pPr>
      <w:r>
        <w:separator/>
      </w:r>
    </w:p>
  </w:endnote>
  <w:endnote w:type="continuationSeparator" w:id="0">
    <w:p w14:paraId="78D7040B" w14:textId="77777777" w:rsidR="00161EC7" w:rsidRDefault="00161EC7" w:rsidP="00E90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AFED7" w14:textId="77777777" w:rsidR="00B63DD0" w:rsidRDefault="00B63D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FD22" w14:textId="693B2DE8" w:rsidR="004061DE" w:rsidRPr="00B63DD0" w:rsidRDefault="00B63DD0" w:rsidP="00B63DD0">
    <w:pPr>
      <w:pStyle w:val="Footer"/>
      <w:jc w:val="center"/>
      <w:rPr>
        <w:rFonts w:cs="Arial"/>
        <w:sz w:val="14"/>
      </w:rPr>
    </w:pPr>
    <w:r w:rsidRPr="00B63DD0">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785B3" w14:textId="77777777" w:rsidR="00E90DF9" w:rsidRDefault="00E90DF9">
    <w:pPr>
      <w:pStyle w:val="Footer"/>
      <w:jc w:val="right"/>
    </w:pPr>
  </w:p>
  <w:p w14:paraId="7B511C0F" w14:textId="77777777" w:rsidR="00E90DF9" w:rsidRPr="00DC5912" w:rsidRDefault="00E90DF9" w:rsidP="00DC59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7831" w14:textId="77777777" w:rsidR="00E90DF9" w:rsidRDefault="00E90DF9" w:rsidP="00937954">
    <w:pPr>
      <w:pStyle w:val="Footer"/>
      <w:spacing w:before="60" w:line="240" w:lineRule="auto"/>
      <w:jc w:val="right"/>
    </w:pPr>
    <w:r>
      <w:fldChar w:fldCharType="begin"/>
    </w:r>
    <w:r>
      <w:instrText xml:space="preserve"> PAGE   \* MERGEFORMAT </w:instrText>
    </w:r>
    <w:r>
      <w:fldChar w:fldCharType="separate"/>
    </w:r>
    <w:r>
      <w:rPr>
        <w:noProof/>
      </w:rPr>
      <w:t>4</w:t>
    </w:r>
    <w:r>
      <w:fldChar w:fldCharType="end"/>
    </w:r>
  </w:p>
  <w:p w14:paraId="61E548E4" w14:textId="67F627CE" w:rsidR="008D5875" w:rsidRPr="008D5875" w:rsidRDefault="008D5875" w:rsidP="008D5875">
    <w:pPr>
      <w:pStyle w:val="Header"/>
      <w:jc w:val="center"/>
      <w:rPr>
        <w:b/>
        <w:bCs/>
        <w:color w:val="FF0000"/>
        <w:sz w:val="32"/>
        <w:szCs w:val="32"/>
      </w:rPr>
    </w:pPr>
  </w:p>
  <w:p w14:paraId="78C61374" w14:textId="74E213FC" w:rsidR="008D5875" w:rsidRPr="00B63DD0" w:rsidRDefault="00B63DD0" w:rsidP="00B63DD0">
    <w:pPr>
      <w:pStyle w:val="Footer"/>
      <w:spacing w:before="60" w:line="240" w:lineRule="auto"/>
      <w:jc w:val="center"/>
      <w:rPr>
        <w:rFonts w:cs="Arial"/>
        <w:sz w:val="14"/>
      </w:rPr>
    </w:pPr>
    <w:r w:rsidRPr="00B63DD0">
      <w:rPr>
        <w:rFonts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43668" w14:textId="77777777" w:rsidR="00E90DF9" w:rsidRDefault="00E90DF9">
    <w:pPr>
      <w:pStyle w:val="Footer"/>
      <w:jc w:val="right"/>
    </w:pPr>
    <w:r>
      <w:fldChar w:fldCharType="begin"/>
    </w:r>
    <w:r>
      <w:instrText xml:space="preserve"> PAGE   \* MERGEFORMAT </w:instrText>
    </w:r>
    <w:r>
      <w:fldChar w:fldCharType="separate"/>
    </w:r>
    <w:r>
      <w:rPr>
        <w:noProof/>
      </w:rPr>
      <w:t>1</w:t>
    </w:r>
    <w:r>
      <w:fldChar w:fldCharType="end"/>
    </w:r>
  </w:p>
  <w:p w14:paraId="1A5F1E77" w14:textId="1E5D1B03" w:rsidR="008D5875" w:rsidRPr="00B63DD0" w:rsidRDefault="00B63DD0" w:rsidP="00B63DD0">
    <w:pPr>
      <w:pStyle w:val="Footer"/>
      <w:jc w:val="center"/>
      <w:rPr>
        <w:rFonts w:cs="Arial"/>
        <w:sz w:val="14"/>
      </w:rPr>
    </w:pPr>
    <w:r w:rsidRPr="00B63DD0">
      <w:rPr>
        <w:rFonts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FA8BF" w14:textId="77777777" w:rsidR="00161EC7" w:rsidRDefault="00161EC7" w:rsidP="00E90DF9">
      <w:pPr>
        <w:spacing w:after="0" w:line="240" w:lineRule="auto"/>
      </w:pPr>
      <w:r>
        <w:separator/>
      </w:r>
    </w:p>
  </w:footnote>
  <w:footnote w:type="continuationSeparator" w:id="0">
    <w:p w14:paraId="30537ED7" w14:textId="77777777" w:rsidR="00161EC7" w:rsidRDefault="00161EC7" w:rsidP="00E90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9D9C7" w14:textId="77777777" w:rsidR="00B63DD0" w:rsidRDefault="00B63D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248FC" w14:textId="3F0CBB28" w:rsidR="004061DE" w:rsidRPr="008D5875" w:rsidRDefault="004061DE" w:rsidP="008D5875">
    <w:pPr>
      <w:pStyle w:val="Header"/>
      <w:jc w:val="center"/>
      <w:rPr>
        <w:b/>
        <w:bCs/>
        <w:color w:val="FF0000"/>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9796" w14:textId="77777777" w:rsidR="00B63DD0" w:rsidRDefault="00B63D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4AAB"/>
    <w:multiLevelType w:val="hybridMultilevel"/>
    <w:tmpl w:val="A4B2B34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24ED62F1"/>
    <w:multiLevelType w:val="hybridMultilevel"/>
    <w:tmpl w:val="2BC48D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35872B8"/>
    <w:multiLevelType w:val="hybridMultilevel"/>
    <w:tmpl w:val="A3C40A16"/>
    <w:lvl w:ilvl="0" w:tplc="6DBAF65E">
      <w:start w:val="1"/>
      <w:numFmt w:val="decimal"/>
      <w:pStyle w:val="Numberedlist"/>
      <w:lvlText w:val="%1."/>
      <w:lvlJc w:val="left"/>
      <w:pPr>
        <w:ind w:left="644" w:hanging="360"/>
      </w:pPr>
      <w:rPr>
        <w:sz w:val="24"/>
        <w:szCs w:val="24"/>
      </w:rPr>
    </w:lvl>
    <w:lvl w:ilvl="1" w:tplc="39000F48">
      <w:start w:val="1"/>
      <w:numFmt w:val="lowerLetter"/>
      <w:lvlText w:val="%2."/>
      <w:lvlJc w:val="left"/>
      <w:pPr>
        <w:ind w:left="1440" w:hanging="360"/>
      </w:pPr>
      <w:rPr>
        <w:i w:val="0"/>
        <w:iCs w:val="0"/>
        <w:color w:val="auto"/>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41F4A80"/>
    <w:multiLevelType w:val="hybridMultilevel"/>
    <w:tmpl w:val="6204C25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49E76A11"/>
    <w:multiLevelType w:val="hybridMultilevel"/>
    <w:tmpl w:val="D2FCC29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4BF946F1"/>
    <w:multiLevelType w:val="hybridMultilevel"/>
    <w:tmpl w:val="BCBCEE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D4B05B8"/>
    <w:multiLevelType w:val="hybridMultilevel"/>
    <w:tmpl w:val="30664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85321631">
    <w:abstractNumId w:val="0"/>
  </w:num>
  <w:num w:numId="2" w16cid:durableId="467405898">
    <w:abstractNumId w:val="1"/>
  </w:num>
  <w:num w:numId="3" w16cid:durableId="680201534">
    <w:abstractNumId w:val="2"/>
  </w:num>
  <w:num w:numId="4" w16cid:durableId="1583566874">
    <w:abstractNumId w:val="5"/>
  </w:num>
  <w:num w:numId="5" w16cid:durableId="507839937">
    <w:abstractNumId w:val="4"/>
  </w:num>
  <w:num w:numId="6" w16cid:durableId="20401521">
    <w:abstractNumId w:val="3"/>
  </w:num>
  <w:num w:numId="7" w16cid:durableId="8928159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2F4"/>
    <w:rsid w:val="00017DFE"/>
    <w:rsid w:val="00021EF0"/>
    <w:rsid w:val="00074F6C"/>
    <w:rsid w:val="000C4083"/>
    <w:rsid w:val="00105215"/>
    <w:rsid w:val="00113CA6"/>
    <w:rsid w:val="0012506C"/>
    <w:rsid w:val="001270DB"/>
    <w:rsid w:val="0013394A"/>
    <w:rsid w:val="00161EC7"/>
    <w:rsid w:val="00163C42"/>
    <w:rsid w:val="001C4A4E"/>
    <w:rsid w:val="001D669A"/>
    <w:rsid w:val="00206111"/>
    <w:rsid w:val="00214F9E"/>
    <w:rsid w:val="002162F4"/>
    <w:rsid w:val="002324F4"/>
    <w:rsid w:val="00256D13"/>
    <w:rsid w:val="002A742E"/>
    <w:rsid w:val="002D3EB1"/>
    <w:rsid w:val="002D4418"/>
    <w:rsid w:val="0033449A"/>
    <w:rsid w:val="003520D7"/>
    <w:rsid w:val="00364010"/>
    <w:rsid w:val="00373270"/>
    <w:rsid w:val="00376695"/>
    <w:rsid w:val="003812E1"/>
    <w:rsid w:val="00386282"/>
    <w:rsid w:val="003B1115"/>
    <w:rsid w:val="00404811"/>
    <w:rsid w:val="004061DE"/>
    <w:rsid w:val="004203E2"/>
    <w:rsid w:val="004224ED"/>
    <w:rsid w:val="00474936"/>
    <w:rsid w:val="0047571D"/>
    <w:rsid w:val="004B3324"/>
    <w:rsid w:val="004C73AE"/>
    <w:rsid w:val="004F070D"/>
    <w:rsid w:val="0052126F"/>
    <w:rsid w:val="00540492"/>
    <w:rsid w:val="00560D0D"/>
    <w:rsid w:val="00565651"/>
    <w:rsid w:val="00582943"/>
    <w:rsid w:val="00584D96"/>
    <w:rsid w:val="00587EAD"/>
    <w:rsid w:val="005B0897"/>
    <w:rsid w:val="005E74AF"/>
    <w:rsid w:val="005F2465"/>
    <w:rsid w:val="00635D49"/>
    <w:rsid w:val="00652ED6"/>
    <w:rsid w:val="006574FA"/>
    <w:rsid w:val="00666B86"/>
    <w:rsid w:val="00694A97"/>
    <w:rsid w:val="006B0918"/>
    <w:rsid w:val="006B3137"/>
    <w:rsid w:val="006B3294"/>
    <w:rsid w:val="006B4DFB"/>
    <w:rsid w:val="006B61F6"/>
    <w:rsid w:val="006F53EE"/>
    <w:rsid w:val="007013DA"/>
    <w:rsid w:val="00747CD0"/>
    <w:rsid w:val="00765514"/>
    <w:rsid w:val="00786118"/>
    <w:rsid w:val="00791240"/>
    <w:rsid w:val="00793886"/>
    <w:rsid w:val="007A6056"/>
    <w:rsid w:val="007D4B9D"/>
    <w:rsid w:val="007F1BF8"/>
    <w:rsid w:val="007F55EA"/>
    <w:rsid w:val="00803854"/>
    <w:rsid w:val="00810494"/>
    <w:rsid w:val="008114F4"/>
    <w:rsid w:val="00871E12"/>
    <w:rsid w:val="0087780E"/>
    <w:rsid w:val="008A3D9C"/>
    <w:rsid w:val="008C648A"/>
    <w:rsid w:val="008D5875"/>
    <w:rsid w:val="008F2B15"/>
    <w:rsid w:val="0092031A"/>
    <w:rsid w:val="00950FD3"/>
    <w:rsid w:val="0095541E"/>
    <w:rsid w:val="00962154"/>
    <w:rsid w:val="00986173"/>
    <w:rsid w:val="00994283"/>
    <w:rsid w:val="00995DA2"/>
    <w:rsid w:val="009C294F"/>
    <w:rsid w:val="009D3E47"/>
    <w:rsid w:val="009E0822"/>
    <w:rsid w:val="009F00E3"/>
    <w:rsid w:val="009F7F06"/>
    <w:rsid w:val="00A07436"/>
    <w:rsid w:val="00A176A2"/>
    <w:rsid w:val="00A53E70"/>
    <w:rsid w:val="00A568A2"/>
    <w:rsid w:val="00A7236B"/>
    <w:rsid w:val="00A94F9E"/>
    <w:rsid w:val="00AA28E1"/>
    <w:rsid w:val="00AA5D7B"/>
    <w:rsid w:val="00B002A5"/>
    <w:rsid w:val="00B10812"/>
    <w:rsid w:val="00B2095F"/>
    <w:rsid w:val="00B63DD0"/>
    <w:rsid w:val="00B67DB7"/>
    <w:rsid w:val="00B90324"/>
    <w:rsid w:val="00B9054C"/>
    <w:rsid w:val="00B9385E"/>
    <w:rsid w:val="00B93DA4"/>
    <w:rsid w:val="00BA0A16"/>
    <w:rsid w:val="00BC1583"/>
    <w:rsid w:val="00BD7406"/>
    <w:rsid w:val="00C11176"/>
    <w:rsid w:val="00C356C5"/>
    <w:rsid w:val="00C5357F"/>
    <w:rsid w:val="00C639E8"/>
    <w:rsid w:val="00C647A6"/>
    <w:rsid w:val="00CC0FA9"/>
    <w:rsid w:val="00CF76B1"/>
    <w:rsid w:val="00D10EB6"/>
    <w:rsid w:val="00D17A83"/>
    <w:rsid w:val="00D66685"/>
    <w:rsid w:val="00D74F87"/>
    <w:rsid w:val="00D82EAE"/>
    <w:rsid w:val="00D85913"/>
    <w:rsid w:val="00DB2847"/>
    <w:rsid w:val="00DB2B11"/>
    <w:rsid w:val="00DD7287"/>
    <w:rsid w:val="00DE0F98"/>
    <w:rsid w:val="00DF34B4"/>
    <w:rsid w:val="00DF4B5F"/>
    <w:rsid w:val="00E01BBF"/>
    <w:rsid w:val="00E03C3A"/>
    <w:rsid w:val="00E07B57"/>
    <w:rsid w:val="00E235DF"/>
    <w:rsid w:val="00E32534"/>
    <w:rsid w:val="00E536A3"/>
    <w:rsid w:val="00E63222"/>
    <w:rsid w:val="00E63859"/>
    <w:rsid w:val="00E90DF9"/>
    <w:rsid w:val="00E92B0E"/>
    <w:rsid w:val="00ED4B84"/>
    <w:rsid w:val="00EE36CE"/>
    <w:rsid w:val="00F466F8"/>
    <w:rsid w:val="00F46C1E"/>
    <w:rsid w:val="00F714D5"/>
    <w:rsid w:val="00F852D0"/>
    <w:rsid w:val="00F85A19"/>
    <w:rsid w:val="00FA15FA"/>
    <w:rsid w:val="00FC1D9B"/>
    <w:rsid w:val="00FE6C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7D3965"/>
  <w15:chartTrackingRefBased/>
  <w15:docId w15:val="{D61E32E4-F51F-4A39-984F-BFA829E5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CA6"/>
    <w:pPr>
      <w:spacing w:after="200" w:line="276"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E90DF9"/>
    <w:pPr>
      <w:keepNext/>
      <w:keepLines/>
      <w:spacing w:before="120" w:after="120" w:line="240" w:lineRule="auto"/>
      <w:outlineLvl w:val="0"/>
    </w:pPr>
    <w:rPr>
      <w:rFonts w:ascii="Arial" w:eastAsiaTheme="majorEastAsia" w:hAnsi="Arial"/>
      <w:b/>
      <w:bCs/>
      <w:sz w:val="28"/>
      <w:szCs w:val="28"/>
    </w:rPr>
  </w:style>
  <w:style w:type="paragraph" w:styleId="Heading2">
    <w:name w:val="heading 2"/>
    <w:basedOn w:val="Normal"/>
    <w:next w:val="Normal"/>
    <w:link w:val="Heading2Char"/>
    <w:unhideWhenUsed/>
    <w:qFormat/>
    <w:rsid w:val="00E90DF9"/>
    <w:pPr>
      <w:keepNext/>
      <w:keepLines/>
      <w:spacing w:before="120" w:after="120" w:line="240" w:lineRule="auto"/>
      <w:outlineLvl w:val="1"/>
    </w:pPr>
    <w:rPr>
      <w:rFonts w:ascii="Arial" w:eastAsiaTheme="majorEastAsia" w:hAnsi="Arial" w:cstheme="majorBidi"/>
      <w:b/>
      <w:sz w:val="24"/>
      <w:szCs w:val="26"/>
    </w:rPr>
  </w:style>
  <w:style w:type="paragraph" w:styleId="Heading3">
    <w:name w:val="heading 3"/>
    <w:basedOn w:val="Normal"/>
    <w:next w:val="Normal"/>
    <w:link w:val="Heading3Char"/>
    <w:unhideWhenUsed/>
    <w:qFormat/>
    <w:rsid w:val="00E90DF9"/>
    <w:pPr>
      <w:keepNext/>
      <w:keepLines/>
      <w:spacing w:before="240" w:after="240" w:line="240" w:lineRule="auto"/>
      <w:outlineLvl w:val="2"/>
    </w:pPr>
    <w:rPr>
      <w:rFonts w:ascii="Arial" w:eastAsiaTheme="majorEastAsia" w:hAnsi="Arial" w:cstheme="majorBidi"/>
      <w:b/>
      <w:sz w:val="24"/>
      <w:szCs w:val="24"/>
    </w:rPr>
  </w:style>
  <w:style w:type="paragraph" w:styleId="Heading4">
    <w:name w:val="heading 4"/>
    <w:basedOn w:val="Normal"/>
    <w:next w:val="Normal"/>
    <w:link w:val="Heading4Char"/>
    <w:semiHidden/>
    <w:unhideWhenUsed/>
    <w:qFormat/>
    <w:rsid w:val="00E90DF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DF9"/>
    <w:rPr>
      <w:rFonts w:ascii="Arial" w:eastAsiaTheme="majorEastAsia" w:hAnsi="Arial" w:cs="Times New Roman"/>
      <w:b/>
      <w:bCs/>
      <w:kern w:val="0"/>
      <w:sz w:val="28"/>
      <w:szCs w:val="28"/>
      <w14:ligatures w14:val="none"/>
    </w:rPr>
  </w:style>
  <w:style w:type="character" w:customStyle="1" w:styleId="Heading2Char">
    <w:name w:val="Heading 2 Char"/>
    <w:basedOn w:val="DefaultParagraphFont"/>
    <w:link w:val="Heading2"/>
    <w:rsid w:val="00E90DF9"/>
    <w:rPr>
      <w:rFonts w:ascii="Arial" w:eastAsiaTheme="majorEastAsia" w:hAnsi="Arial" w:cstheme="majorBidi"/>
      <w:b/>
      <w:kern w:val="0"/>
      <w:sz w:val="24"/>
      <w:szCs w:val="26"/>
      <w14:ligatures w14:val="none"/>
    </w:rPr>
  </w:style>
  <w:style w:type="character" w:customStyle="1" w:styleId="Heading3Char">
    <w:name w:val="Heading 3 Char"/>
    <w:basedOn w:val="DefaultParagraphFont"/>
    <w:link w:val="Heading3"/>
    <w:rsid w:val="00E90DF9"/>
    <w:rPr>
      <w:rFonts w:ascii="Arial" w:eastAsiaTheme="majorEastAsia" w:hAnsi="Arial" w:cstheme="majorBidi"/>
      <w:b/>
      <w:kern w:val="0"/>
      <w:sz w:val="24"/>
      <w:szCs w:val="24"/>
      <w14:ligatures w14:val="none"/>
    </w:rPr>
  </w:style>
  <w:style w:type="character" w:customStyle="1" w:styleId="Heading4Char">
    <w:name w:val="Heading 4 Char"/>
    <w:basedOn w:val="DefaultParagraphFont"/>
    <w:link w:val="Heading4"/>
    <w:semiHidden/>
    <w:rsid w:val="00E90DF9"/>
    <w:rPr>
      <w:rFonts w:asciiTheme="majorHAnsi" w:eastAsiaTheme="majorEastAsia" w:hAnsiTheme="majorHAnsi" w:cstheme="majorBidi"/>
      <w:i/>
      <w:iCs/>
      <w:color w:val="2F5496" w:themeColor="accent1" w:themeShade="BF"/>
      <w:kern w:val="0"/>
      <w14:ligatures w14:val="none"/>
    </w:rPr>
  </w:style>
  <w:style w:type="paragraph" w:styleId="Footer">
    <w:name w:val="footer"/>
    <w:basedOn w:val="Normal"/>
    <w:link w:val="FooterChar"/>
    <w:uiPriority w:val="99"/>
    <w:rsid w:val="00E90DF9"/>
    <w:pPr>
      <w:spacing w:before="120" w:after="60" w:line="240" w:lineRule="exact"/>
    </w:pPr>
    <w:rPr>
      <w:rFonts w:ascii="Arial" w:hAnsi="Arial"/>
      <w:sz w:val="18"/>
      <w:szCs w:val="20"/>
    </w:rPr>
  </w:style>
  <w:style w:type="character" w:customStyle="1" w:styleId="FooterChar">
    <w:name w:val="Footer Char"/>
    <w:basedOn w:val="DefaultParagraphFont"/>
    <w:link w:val="Footer"/>
    <w:uiPriority w:val="99"/>
    <w:rsid w:val="00E90DF9"/>
    <w:rPr>
      <w:rFonts w:ascii="Arial" w:eastAsia="Times New Roman" w:hAnsi="Arial" w:cs="Times New Roman"/>
      <w:kern w:val="0"/>
      <w:sz w:val="18"/>
      <w:szCs w:val="20"/>
      <w14:ligatures w14:val="none"/>
    </w:rPr>
  </w:style>
  <w:style w:type="paragraph" w:styleId="ListParagraph">
    <w:name w:val="List Paragraph"/>
    <w:aliases w:val="List Paragraph1,List Paragraph11,Recommendation,Bullet point,L,List Paragraph111,F5 List Paragraph,Dot pt,CV text,Table text,Medium Grid 1 - Accent 21,Numbered Paragraph,List Paragraph2,NFP GP Bulleted List,FooterText,numbered,列出段,列出,列"/>
    <w:basedOn w:val="Normal"/>
    <w:link w:val="ListParagraphChar"/>
    <w:uiPriority w:val="34"/>
    <w:qFormat/>
    <w:rsid w:val="00E90DF9"/>
    <w:pPr>
      <w:spacing w:after="0" w:line="240" w:lineRule="auto"/>
      <w:ind w:left="720"/>
    </w:pPr>
    <w:rPr>
      <w:rFonts w:cs="Calibri"/>
      <w:lang w:eastAsia="en-AU"/>
    </w:rPr>
  </w:style>
  <w:style w:type="paragraph" w:styleId="FootnoteText">
    <w:name w:val="footnote text"/>
    <w:basedOn w:val="Normal"/>
    <w:link w:val="FootnoteTextChar"/>
    <w:uiPriority w:val="99"/>
    <w:rsid w:val="00E90DF9"/>
    <w:pPr>
      <w:widowControl w:val="0"/>
      <w:spacing w:after="60" w:line="240" w:lineRule="auto"/>
    </w:pPr>
    <w:rPr>
      <w:rFonts w:ascii="Times New Roman" w:hAnsi="Times New Roman"/>
      <w:sz w:val="20"/>
      <w:szCs w:val="20"/>
      <w:lang w:val="en-GB"/>
    </w:rPr>
  </w:style>
  <w:style w:type="character" w:customStyle="1" w:styleId="FootnoteTextChar">
    <w:name w:val="Footnote Text Char"/>
    <w:basedOn w:val="DefaultParagraphFont"/>
    <w:link w:val="FootnoteText"/>
    <w:uiPriority w:val="99"/>
    <w:rsid w:val="00E90DF9"/>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rsid w:val="00E90DF9"/>
    <w:rPr>
      <w:rFonts w:cs="Times New Roman"/>
      <w:vertAlign w:val="superscript"/>
    </w:rPr>
  </w:style>
  <w:style w:type="character" w:customStyle="1" w:styleId="ListParagraphChar">
    <w:name w:val="List Paragraph Char"/>
    <w:aliases w:val="List Paragraph1 Char,List Paragraph11 Char,Recommendation Char,Bullet point Char,L Char,List Paragraph111 Char,F5 List Paragraph Char,Dot pt Char,CV text Char,Table text Char,Medium Grid 1 - Accent 21 Char,Numbered Paragraph Char"/>
    <w:basedOn w:val="DefaultParagraphFont"/>
    <w:link w:val="ListParagraph"/>
    <w:uiPriority w:val="34"/>
    <w:qFormat/>
    <w:locked/>
    <w:rsid w:val="00E90DF9"/>
    <w:rPr>
      <w:rFonts w:ascii="Calibri" w:eastAsia="Times New Roman" w:hAnsi="Calibri" w:cs="Calibri"/>
      <w:kern w:val="0"/>
      <w:lang w:eastAsia="en-AU"/>
      <w14:ligatures w14:val="none"/>
    </w:rPr>
  </w:style>
  <w:style w:type="paragraph" w:styleId="Header">
    <w:name w:val="header"/>
    <w:basedOn w:val="Normal"/>
    <w:link w:val="HeaderChar"/>
    <w:uiPriority w:val="99"/>
    <w:unhideWhenUsed/>
    <w:rsid w:val="004061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1DE"/>
    <w:rPr>
      <w:rFonts w:ascii="Calibri" w:eastAsia="Times New Roman" w:hAnsi="Calibri" w:cs="Times New Roman"/>
      <w:kern w:val="0"/>
      <w14:ligatures w14:val="none"/>
    </w:rPr>
  </w:style>
  <w:style w:type="paragraph" w:customStyle="1" w:styleId="Numberedlist">
    <w:name w:val="Numbered list"/>
    <w:basedOn w:val="Normal"/>
    <w:rsid w:val="00D82EAE"/>
    <w:pPr>
      <w:numPr>
        <w:numId w:val="3"/>
      </w:numPr>
      <w:spacing w:before="100" w:after="120" w:line="280" w:lineRule="atLeast"/>
      <w:ind w:left="720" w:right="-45"/>
    </w:pPr>
    <w:rPr>
      <w:rFonts w:asciiTheme="minorHAnsi" w:eastAsiaTheme="minorHAnsi" w:hAnsiTheme="minorHAnsi" w:cstheme="minorBidi"/>
      <w:sz w:val="24"/>
      <w:szCs w:val="24"/>
    </w:rPr>
  </w:style>
  <w:style w:type="paragraph" w:customStyle="1" w:styleId="Paragraphtext">
    <w:name w:val="Paragraph text"/>
    <w:basedOn w:val="Normal"/>
    <w:link w:val="ParagraphtextChar"/>
    <w:qFormat/>
    <w:rsid w:val="00D82EAE"/>
    <w:pPr>
      <w:spacing w:before="120" w:after="120" w:line="240" w:lineRule="auto"/>
    </w:pPr>
    <w:rPr>
      <w:rFonts w:eastAsia="Calibri"/>
      <w:color w:val="000000" w:themeColor="text1"/>
      <w:sz w:val="24"/>
    </w:rPr>
  </w:style>
  <w:style w:type="character" w:customStyle="1" w:styleId="ParagraphtextChar">
    <w:name w:val="Paragraph text Char"/>
    <w:basedOn w:val="DefaultParagraphFont"/>
    <w:link w:val="Paragraphtext"/>
    <w:rsid w:val="00D82EAE"/>
    <w:rPr>
      <w:rFonts w:ascii="Calibri" w:eastAsia="Calibri" w:hAnsi="Calibri" w:cs="Times New Roman"/>
      <w:color w:val="000000" w:themeColor="text1"/>
      <w:kern w:val="0"/>
      <w:sz w:val="24"/>
      <w14:ligatures w14:val="none"/>
    </w:rPr>
  </w:style>
  <w:style w:type="character" w:styleId="CommentReference">
    <w:name w:val="annotation reference"/>
    <w:basedOn w:val="DefaultParagraphFont"/>
    <w:uiPriority w:val="99"/>
    <w:semiHidden/>
    <w:unhideWhenUsed/>
    <w:rsid w:val="00D82EAE"/>
    <w:rPr>
      <w:sz w:val="16"/>
      <w:szCs w:val="16"/>
    </w:rPr>
  </w:style>
  <w:style w:type="paragraph" w:styleId="CommentText">
    <w:name w:val="annotation text"/>
    <w:basedOn w:val="Normal"/>
    <w:link w:val="CommentTextChar"/>
    <w:uiPriority w:val="99"/>
    <w:unhideWhenUsed/>
    <w:rsid w:val="00D82EAE"/>
    <w:pPr>
      <w:spacing w:line="240" w:lineRule="auto"/>
    </w:pPr>
    <w:rPr>
      <w:sz w:val="20"/>
      <w:szCs w:val="20"/>
    </w:rPr>
  </w:style>
  <w:style w:type="character" w:customStyle="1" w:styleId="CommentTextChar">
    <w:name w:val="Comment Text Char"/>
    <w:basedOn w:val="DefaultParagraphFont"/>
    <w:link w:val="CommentText"/>
    <w:uiPriority w:val="99"/>
    <w:rsid w:val="00D82EAE"/>
    <w:rPr>
      <w:rFonts w:ascii="Calibri" w:eastAsia="Times New Roman" w:hAnsi="Calibri" w:cs="Times New Roman"/>
      <w:kern w:val="0"/>
      <w:sz w:val="20"/>
      <w:szCs w:val="20"/>
      <w14:ligatures w14:val="none"/>
    </w:rPr>
  </w:style>
  <w:style w:type="paragraph" w:styleId="Revision">
    <w:name w:val="Revision"/>
    <w:hidden/>
    <w:uiPriority w:val="99"/>
    <w:semiHidden/>
    <w:rsid w:val="00163C42"/>
    <w:pPr>
      <w:spacing w:after="0" w:line="240" w:lineRule="auto"/>
    </w:pPr>
    <w:rPr>
      <w:rFonts w:ascii="Calibri" w:eastAsia="Times New Roman" w:hAnsi="Calibri" w:cs="Times New Roman"/>
      <w:kern w:val="0"/>
      <w14:ligatures w14:val="none"/>
    </w:rPr>
  </w:style>
  <w:style w:type="paragraph" w:styleId="CommentSubject">
    <w:name w:val="annotation subject"/>
    <w:basedOn w:val="CommentText"/>
    <w:next w:val="CommentText"/>
    <w:link w:val="CommentSubjectChar"/>
    <w:uiPriority w:val="99"/>
    <w:semiHidden/>
    <w:unhideWhenUsed/>
    <w:rsid w:val="00163C42"/>
    <w:rPr>
      <w:b/>
      <w:bCs/>
    </w:rPr>
  </w:style>
  <w:style w:type="character" w:customStyle="1" w:styleId="CommentSubjectChar">
    <w:name w:val="Comment Subject Char"/>
    <w:basedOn w:val="CommentTextChar"/>
    <w:link w:val="CommentSubject"/>
    <w:uiPriority w:val="99"/>
    <w:semiHidden/>
    <w:rsid w:val="00163C42"/>
    <w:rPr>
      <w:rFonts w:ascii="Calibri" w:eastAsia="Times New Roman" w:hAnsi="Calibri"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47EC42DBF99942B081B07FEDFBB7D7" ma:contentTypeVersion="4" ma:contentTypeDescription="Create a new document." ma:contentTypeScope="" ma:versionID="9c07e4642ccf7fd678b52887c5c4c2fe">
  <xsd:schema xmlns:xsd="http://www.w3.org/2001/XMLSchema" xmlns:xs="http://www.w3.org/2001/XMLSchema" xmlns:p="http://schemas.microsoft.com/office/2006/metadata/properties" xmlns:ns2="fcb0175e-1ff8-4098-9e77-63d02dd12665" targetNamespace="http://schemas.microsoft.com/office/2006/metadata/properties" ma:root="true" ma:fieldsID="b8e09c2b8fa6166bc80a0610e6af54bd" ns2:_="">
    <xsd:import namespace="fcb0175e-1ff8-4098-9e77-63d02dd1266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0175e-1ff8-4098-9e77-63d02dd12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F5564D-BD2C-4078-8726-27837FF63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b0175e-1ff8-4098-9e77-63d02dd12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354351-64C3-4C26-B6E8-83F76921D397}">
  <ds:schemaRefs>
    <ds:schemaRef ds:uri="http://schemas.openxmlformats.org/officeDocument/2006/bibliography"/>
  </ds:schemaRefs>
</ds:datastoreItem>
</file>

<file path=customXml/itemProps3.xml><?xml version="1.0" encoding="utf-8"?>
<ds:datastoreItem xmlns:ds="http://schemas.openxmlformats.org/officeDocument/2006/customXml" ds:itemID="{FD51A34D-4AD1-4ABF-91F6-290896CDED7C}">
  <ds:schemaRefs>
    <ds:schemaRef ds:uri="http://schemas.microsoft.com/sharepoint/v3/contenttype/forms"/>
  </ds:schemaRefs>
</ds:datastoreItem>
</file>

<file path=customXml/itemProps4.xml><?xml version="1.0" encoding="utf-8"?>
<ds:datastoreItem xmlns:ds="http://schemas.openxmlformats.org/officeDocument/2006/customXml" ds:itemID="{8E1B7879-FF2C-4778-9E42-586F52E0DC5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2489</Words>
  <Characters>13807</Characters>
  <Application>Microsoft Office Word</Application>
  <DocSecurity>0</DocSecurity>
  <Lines>317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5</cp:revision>
  <dcterms:created xsi:type="dcterms:W3CDTF">2026-10-26T23:28:00Z</dcterms:created>
  <dcterms:modified xsi:type="dcterms:W3CDTF">2026-10-26T23:28:00Z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0x0101006647EC42DBF99942B081B07FEDFBB7D7</vt:lpwstr>
  </property>
  <property fmtid="{D5CDD505-2E9C-101B-9397-08002B2CF9AE}" pid="3" name="MSIP_Label_69af8531-eb46-4968-8cb3-105d2f5ea87e_Enabled">
    <vt:lpwstr>true</vt:lpwstr>
  </property>
  <property fmtid="{D5CDD505-2E9C-101B-9397-08002B2CF9AE}" pid="4" name="MSIP_Label_69af8531-eb46-4968-8cb3-105d2f5ea87e_SetDate">
    <vt:lpwstr>2024-11-14T22:43:05Z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afbfd6bc-6100-4152-8de1-284222bffaef</vt:lpwstr>
  </property>
  <property fmtid="{D5CDD505-2E9C-101B-9397-08002B2CF9AE}" pid="9" name="MSIP_Label_69af8531-eb46-4968-8cb3-105d2f5ea87e_ContentBits">
    <vt:lpwstr>0</vt:lpwstr>
  </property>
</Properties>
</file>