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9A" w:rsidRDefault="00DC20F4">
      <w:pPr>
        <w:spacing w:after="60"/>
        <w:ind w:left="-284" w:right="-312"/>
        <w:jc w:val="center"/>
        <w:rPr>
          <w:rFonts w:ascii="Palatino" w:hAnsi="Palatino" w:cs="Palatino"/>
          <w:b/>
          <w:bCs/>
          <w:sz w:val="28"/>
          <w:szCs w:val="28"/>
        </w:rPr>
      </w:pPr>
      <w:bookmarkStart w:id="0" w:name="_GoBack"/>
      <w:bookmarkEnd w:id="0"/>
      <w:r>
        <w:rPr>
          <w:rFonts w:ascii="Palatino" w:hAnsi="Palatino" w:cs="Palatino"/>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2.25pt" fillcolor="window">
            <v:imagedata r:id="rId7" o:title="crest-letter"/>
          </v:shape>
        </w:pict>
      </w:r>
    </w:p>
    <w:p w:rsidR="00F41A9A" w:rsidRDefault="00311540">
      <w:pPr>
        <w:spacing w:after="120"/>
        <w:jc w:val="center"/>
        <w:rPr>
          <w:rFonts w:ascii="Arial" w:hAnsi="Arial" w:cs="Arial"/>
        </w:rPr>
      </w:pPr>
      <w:r>
        <w:rPr>
          <w:rFonts w:ascii="Arial" w:hAnsi="Arial" w:cs="Arial"/>
        </w:rPr>
        <w:t>Australian Capital Territory</w:t>
      </w:r>
    </w:p>
    <w:p w:rsidR="00F41A9A" w:rsidRDefault="00F41A9A">
      <w:pPr>
        <w:pStyle w:val="Billname"/>
        <w:spacing w:before="120" w:after="120"/>
        <w:rPr>
          <w:sz w:val="32"/>
          <w:szCs w:val="32"/>
        </w:rPr>
      </w:pPr>
    </w:p>
    <w:p w:rsidR="00F41A9A" w:rsidRDefault="00311540">
      <w:pPr>
        <w:pStyle w:val="Billname"/>
        <w:spacing w:before="120" w:after="120"/>
        <w:rPr>
          <w:sz w:val="32"/>
          <w:szCs w:val="32"/>
        </w:rPr>
      </w:pPr>
      <w:r>
        <w:rPr>
          <w:sz w:val="32"/>
          <w:szCs w:val="32"/>
        </w:rPr>
        <w:t>Electoral (Redistribution of Electorates for the ACT Legislative Assembly) Determination 2003*</w:t>
      </w:r>
    </w:p>
    <w:p w:rsidR="00F41A9A" w:rsidRDefault="00311540">
      <w:pPr>
        <w:spacing w:before="240" w:after="60"/>
        <w:rPr>
          <w:rFonts w:ascii="Arial" w:hAnsi="Arial" w:cs="Arial"/>
          <w:b/>
          <w:bCs/>
          <w:vertAlign w:val="superscript"/>
        </w:rPr>
      </w:pPr>
      <w:r>
        <w:rPr>
          <w:rFonts w:ascii="Arial" w:hAnsi="Arial" w:cs="Arial"/>
          <w:b/>
          <w:bCs/>
        </w:rPr>
        <w:t>Notifiable instrument NI2003—380</w:t>
      </w:r>
    </w:p>
    <w:p w:rsidR="00F41A9A" w:rsidRDefault="00311540">
      <w:pPr>
        <w:pStyle w:val="madeunder"/>
      </w:pPr>
      <w:r>
        <w:t>made under the</w:t>
      </w:r>
    </w:p>
    <w:p w:rsidR="00F41A9A" w:rsidRDefault="00311540">
      <w:pPr>
        <w:pStyle w:val="CoverActName"/>
        <w:rPr>
          <w:rFonts w:ascii="Times New Roman" w:hAnsi="Times New Roman" w:cs="Times New Roman"/>
          <w:vertAlign w:val="superscript"/>
        </w:rPr>
      </w:pPr>
      <w:r>
        <w:rPr>
          <w:rFonts w:ascii="Times New Roman" w:hAnsi="Times New Roman" w:cs="Times New Roman"/>
          <w:i/>
          <w:iCs/>
        </w:rPr>
        <w:t>Electoral Act 1992</w:t>
      </w:r>
      <w:r>
        <w:rPr>
          <w:rFonts w:ascii="Times New Roman" w:hAnsi="Times New Roman" w:cs="Times New Roman"/>
        </w:rPr>
        <w:t>, s 35 (Redistribution of electorates)</w:t>
      </w:r>
    </w:p>
    <w:p w:rsidR="00F41A9A" w:rsidRDefault="00F41A9A">
      <w:pPr>
        <w:pStyle w:val="N-line3"/>
        <w:pBdr>
          <w:bottom w:val="none" w:sz="0" w:space="0" w:color="auto"/>
        </w:pBdr>
      </w:pPr>
    </w:p>
    <w:p w:rsidR="00F41A9A" w:rsidRDefault="00F41A9A">
      <w:pPr>
        <w:pStyle w:val="N-line3"/>
        <w:pBdr>
          <w:top w:val="single" w:sz="12" w:space="1" w:color="auto"/>
          <w:bottom w:val="none" w:sz="0" w:space="0" w:color="auto"/>
        </w:pBdr>
        <w:spacing w:after="240"/>
      </w:pPr>
    </w:p>
    <w:p w:rsidR="00F41A9A" w:rsidRDefault="00311540">
      <w:pPr>
        <w:pStyle w:val="BodyText0"/>
      </w:pPr>
      <w:r>
        <w:t>The Augmented Electoral Commission for the Australian Capital Territory determines that:</w:t>
      </w:r>
    </w:p>
    <w:p w:rsidR="00F41A9A" w:rsidRDefault="00311540">
      <w:pPr>
        <w:pStyle w:val="Bullet1"/>
      </w:pPr>
      <w:r>
        <w:t xml:space="preserve">The boundaries of the Legislative Assembly electorates into which the Australian Capital Territory is to be redistributed are as shown on the map certified by the members of the Augmented Commission and lodged in file number 03/5133 at the office of the Australian Capital Territory Electoral Commission; and </w:t>
      </w:r>
    </w:p>
    <w:p w:rsidR="00F41A9A" w:rsidRDefault="00311540">
      <w:pPr>
        <w:pStyle w:val="Bullet1"/>
      </w:pPr>
      <w:r>
        <w:t>The names of the electorates and the number of members of the Legislative Assembly to be elected from each electorate, are:</w:t>
      </w:r>
    </w:p>
    <w:p w:rsidR="00F41A9A" w:rsidRDefault="00311540">
      <w:pPr>
        <w:pStyle w:val="bullet2"/>
        <w:numPr>
          <w:ilvl w:val="0"/>
          <w:numId w:val="6"/>
        </w:numPr>
        <w:spacing w:after="240"/>
      </w:pPr>
      <w:r>
        <w:t>Brindabella (5 members);</w:t>
      </w:r>
    </w:p>
    <w:p w:rsidR="00F41A9A" w:rsidRDefault="00311540">
      <w:pPr>
        <w:pStyle w:val="bullet2"/>
        <w:numPr>
          <w:ilvl w:val="0"/>
          <w:numId w:val="6"/>
        </w:numPr>
        <w:spacing w:after="240"/>
      </w:pPr>
      <w:r>
        <w:t>Ginninderra (5 members); and</w:t>
      </w:r>
    </w:p>
    <w:p w:rsidR="00F41A9A" w:rsidRDefault="00311540">
      <w:pPr>
        <w:pStyle w:val="bullet2"/>
        <w:numPr>
          <w:ilvl w:val="0"/>
          <w:numId w:val="6"/>
        </w:numPr>
        <w:spacing w:after="240"/>
      </w:pPr>
      <w:r>
        <w:t>Molonglo (7 members).</w:t>
      </w:r>
    </w:p>
    <w:p w:rsidR="00F41A9A" w:rsidRDefault="00311540">
      <w:pPr>
        <w:pStyle w:val="BodyText0"/>
        <w:rPr>
          <w:i/>
          <w:iCs/>
        </w:rPr>
      </w:pPr>
      <w:r>
        <w:rPr>
          <w:i/>
          <w:iCs/>
        </w:rPr>
        <w:t>A simplified map of the electoral boundaries is attached to this notice for information purposes.</w:t>
      </w:r>
    </w:p>
    <w:p w:rsidR="00F41A9A" w:rsidRDefault="00F41A9A">
      <w:pPr>
        <w:pStyle w:val="BodyText0"/>
        <w:rPr>
          <w:i/>
          <w:iCs/>
        </w:rPr>
      </w:pPr>
    </w:p>
    <w:tbl>
      <w:tblPr>
        <w:tblW w:w="0" w:type="auto"/>
        <w:tblLayout w:type="fixed"/>
        <w:tblLook w:val="0000" w:firstRow="0" w:lastRow="0" w:firstColumn="0" w:lastColumn="0" w:noHBand="0" w:noVBand="0"/>
      </w:tblPr>
      <w:tblGrid>
        <w:gridCol w:w="2907"/>
        <w:gridCol w:w="2907"/>
        <w:gridCol w:w="2907"/>
      </w:tblGrid>
      <w:tr w:rsidR="00F41A9A">
        <w:trPr>
          <w:trHeight w:hRule="exact" w:val="855"/>
        </w:trPr>
        <w:tc>
          <w:tcPr>
            <w:tcW w:w="2907" w:type="dxa"/>
            <w:tcBorders>
              <w:top w:val="nil"/>
              <w:left w:val="nil"/>
              <w:bottom w:val="nil"/>
              <w:right w:val="nil"/>
            </w:tcBorders>
            <w:vAlign w:val="bottom"/>
          </w:tcPr>
          <w:p w:rsidR="00F41A9A" w:rsidRDefault="00F41A9A">
            <w:pPr>
              <w:pStyle w:val="BodyText0"/>
              <w:spacing w:after="120"/>
            </w:pPr>
          </w:p>
          <w:p w:rsidR="00F41A9A" w:rsidRDefault="00311540">
            <w:pPr>
              <w:pStyle w:val="BodyText0"/>
              <w:spacing w:after="120"/>
            </w:pPr>
            <w:r>
              <w:t>Graham Glenn</w:t>
            </w:r>
          </w:p>
        </w:tc>
        <w:tc>
          <w:tcPr>
            <w:tcW w:w="2907" w:type="dxa"/>
            <w:tcBorders>
              <w:top w:val="nil"/>
              <w:left w:val="nil"/>
              <w:bottom w:val="nil"/>
              <w:right w:val="nil"/>
            </w:tcBorders>
            <w:vAlign w:val="bottom"/>
          </w:tcPr>
          <w:p w:rsidR="00F41A9A" w:rsidRDefault="00F41A9A">
            <w:pPr>
              <w:pStyle w:val="BodyText0"/>
              <w:spacing w:after="120"/>
            </w:pPr>
          </w:p>
          <w:p w:rsidR="00F41A9A" w:rsidRDefault="00311540">
            <w:pPr>
              <w:pStyle w:val="BodyText0"/>
              <w:spacing w:after="120"/>
            </w:pPr>
            <w:r>
              <w:t>Phillip Green</w:t>
            </w:r>
          </w:p>
        </w:tc>
        <w:tc>
          <w:tcPr>
            <w:tcW w:w="2907" w:type="dxa"/>
            <w:tcBorders>
              <w:top w:val="nil"/>
              <w:left w:val="nil"/>
              <w:bottom w:val="nil"/>
              <w:right w:val="nil"/>
            </w:tcBorders>
            <w:vAlign w:val="bottom"/>
          </w:tcPr>
          <w:p w:rsidR="00F41A9A" w:rsidRDefault="00F41A9A">
            <w:pPr>
              <w:pStyle w:val="BodyText0"/>
              <w:spacing w:after="120"/>
            </w:pPr>
          </w:p>
          <w:p w:rsidR="00F41A9A" w:rsidRDefault="00311540">
            <w:pPr>
              <w:pStyle w:val="BodyText0"/>
              <w:spacing w:after="120"/>
            </w:pPr>
            <w:r>
              <w:t>Christabel Young</w:t>
            </w:r>
          </w:p>
        </w:tc>
      </w:tr>
      <w:tr w:rsidR="00F41A9A">
        <w:trPr>
          <w:trHeight w:hRule="exact" w:val="843"/>
        </w:trPr>
        <w:tc>
          <w:tcPr>
            <w:tcW w:w="2907" w:type="dxa"/>
            <w:tcBorders>
              <w:top w:val="nil"/>
              <w:left w:val="nil"/>
              <w:bottom w:val="nil"/>
              <w:right w:val="nil"/>
            </w:tcBorders>
            <w:vAlign w:val="bottom"/>
          </w:tcPr>
          <w:p w:rsidR="00F41A9A" w:rsidRDefault="00F41A9A">
            <w:pPr>
              <w:pStyle w:val="BodyText0"/>
              <w:spacing w:after="120"/>
            </w:pPr>
          </w:p>
          <w:p w:rsidR="00F41A9A" w:rsidRDefault="00311540">
            <w:pPr>
              <w:pStyle w:val="BodyText0"/>
              <w:spacing w:after="120"/>
            </w:pPr>
            <w:r>
              <w:t>Colin Adrian</w:t>
            </w:r>
          </w:p>
        </w:tc>
        <w:tc>
          <w:tcPr>
            <w:tcW w:w="2907" w:type="dxa"/>
            <w:tcBorders>
              <w:top w:val="nil"/>
              <w:left w:val="nil"/>
              <w:bottom w:val="nil"/>
              <w:right w:val="nil"/>
            </w:tcBorders>
            <w:vAlign w:val="bottom"/>
          </w:tcPr>
          <w:p w:rsidR="00F41A9A" w:rsidRDefault="00F41A9A">
            <w:pPr>
              <w:pStyle w:val="BodyText0"/>
              <w:spacing w:after="120"/>
            </w:pPr>
          </w:p>
          <w:p w:rsidR="00F41A9A" w:rsidRDefault="00311540">
            <w:pPr>
              <w:pStyle w:val="BodyText0"/>
              <w:spacing w:after="120"/>
            </w:pPr>
            <w:r>
              <w:t>David Dobson</w:t>
            </w:r>
          </w:p>
        </w:tc>
        <w:tc>
          <w:tcPr>
            <w:tcW w:w="2907" w:type="dxa"/>
            <w:tcBorders>
              <w:top w:val="nil"/>
              <w:left w:val="nil"/>
              <w:bottom w:val="nil"/>
              <w:right w:val="nil"/>
            </w:tcBorders>
            <w:vAlign w:val="bottom"/>
          </w:tcPr>
          <w:p w:rsidR="00F41A9A" w:rsidRDefault="00F41A9A">
            <w:pPr>
              <w:pStyle w:val="BodyText0"/>
              <w:spacing w:after="120"/>
            </w:pPr>
          </w:p>
          <w:p w:rsidR="00F41A9A" w:rsidRDefault="00311540">
            <w:pPr>
              <w:pStyle w:val="BodyText0"/>
              <w:spacing w:after="120"/>
            </w:pPr>
            <w:r>
              <w:t>Tracy Stewart</w:t>
            </w:r>
          </w:p>
        </w:tc>
      </w:tr>
    </w:tbl>
    <w:p w:rsidR="00F41A9A" w:rsidRDefault="00311540">
      <w:pPr>
        <w:pStyle w:val="Heading3"/>
        <w:rPr>
          <w:b w:val="0"/>
          <w:bCs w:val="0"/>
          <w:sz w:val="24"/>
          <w:szCs w:val="24"/>
        </w:rPr>
      </w:pPr>
      <w:r>
        <w:rPr>
          <w:b w:val="0"/>
          <w:bCs w:val="0"/>
          <w:sz w:val="24"/>
          <w:szCs w:val="24"/>
        </w:rPr>
        <w:t>Augmented Electoral Commission for the Australian Capital Territory</w:t>
      </w:r>
    </w:p>
    <w:p w:rsidR="00F41A9A" w:rsidRDefault="00F41A9A">
      <w:pPr>
        <w:rPr>
          <w:sz w:val="24"/>
          <w:szCs w:val="24"/>
        </w:rPr>
      </w:pPr>
    </w:p>
    <w:p w:rsidR="00F41A9A" w:rsidRDefault="00311540">
      <w:pPr>
        <w:pStyle w:val="Heading3"/>
        <w:rPr>
          <w:b w:val="0"/>
          <w:bCs w:val="0"/>
          <w:sz w:val="24"/>
          <w:szCs w:val="24"/>
        </w:rPr>
      </w:pPr>
      <w:r>
        <w:rPr>
          <w:b w:val="0"/>
          <w:bCs w:val="0"/>
          <w:sz w:val="24"/>
          <w:szCs w:val="24"/>
        </w:rPr>
        <w:t>12 September 2003</w:t>
      </w:r>
    </w:p>
    <w:p w:rsidR="00F41A9A" w:rsidRDefault="00311540">
      <w:r>
        <w:rPr>
          <w:sz w:val="24"/>
          <w:szCs w:val="24"/>
        </w:rPr>
        <w:br w:type="page"/>
      </w:r>
      <w:r w:rsidR="00DC20F4">
        <w:lastRenderedPageBreak/>
        <w:pict>
          <v:shape id="_x0000_i1026" type="#_x0000_t75" style="width:477pt;height:693.75pt">
            <v:imagedata r:id="rId8" o:title="MapElectoral_boundaries A4 Final"/>
          </v:shape>
        </w:pict>
      </w:r>
    </w:p>
    <w:sectPr w:rsidR="00F41A9A">
      <w:headerReference w:type="even" r:id="rId9"/>
      <w:headerReference w:type="default" r:id="rId10"/>
      <w:footerReference w:type="even" r:id="rId11"/>
      <w:footerReference w:type="default" r:id="rId12"/>
      <w:headerReference w:type="first" r:id="rId13"/>
      <w:footerReference w:type="first" r:id="rId14"/>
      <w:pgSz w:w="11904" w:h="16834" w:code="9"/>
      <w:pgMar w:top="1701"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A9A" w:rsidRDefault="00311540">
      <w:r>
        <w:separator/>
      </w:r>
    </w:p>
  </w:endnote>
  <w:endnote w:type="continuationSeparator" w:id="0">
    <w:p w:rsidR="00F41A9A" w:rsidRDefault="0031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anst5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0" w:rsidRDefault="00311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9A" w:rsidRPr="00AD6E27" w:rsidRDefault="00AD6E27" w:rsidP="00AD6E27">
    <w:pPr>
      <w:pStyle w:val="Status"/>
      <w:rPr>
        <w:szCs w:val="16"/>
      </w:rPr>
    </w:pPr>
    <w:r w:rsidRPr="00AD6E27">
      <w:rPr>
        <w:szCs w:val="16"/>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A9A" w:rsidRDefault="00311540">
    <w:pPr>
      <w:pStyle w:val="Footer"/>
      <w:rPr>
        <w:rFonts w:ascii="Arial" w:hAnsi="Arial" w:cs="Arial"/>
      </w:rPr>
    </w:pPr>
    <w:r>
      <w:rPr>
        <w:rFonts w:ascii="Arial" w:hAnsi="Arial" w:cs="Arial"/>
      </w:rPr>
      <w:t>*Name amended under Legislation Act 2001 s 60</w:t>
    </w:r>
  </w:p>
  <w:p w:rsidR="00F41A9A" w:rsidRPr="00AD6E27" w:rsidRDefault="00AD6E27" w:rsidP="00AD6E27">
    <w:pPr>
      <w:pStyle w:val="Status"/>
      <w:rPr>
        <w:szCs w:val="16"/>
      </w:rPr>
    </w:pPr>
    <w:r w:rsidRPr="00AD6E27">
      <w:rPr>
        <w:szCs w:val="16"/>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A9A" w:rsidRDefault="00311540">
      <w:r>
        <w:separator/>
      </w:r>
    </w:p>
  </w:footnote>
  <w:footnote w:type="continuationSeparator" w:id="0">
    <w:p w:rsidR="00F41A9A" w:rsidRDefault="0031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0" w:rsidRDefault="00311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0" w:rsidRDefault="00311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0" w:rsidRDefault="00311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658"/>
    <w:multiLevelType w:val="multilevel"/>
    <w:tmpl w:val="6B9801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bCs/>
        <w:i w:val="0"/>
        <w:iCs w:val="0"/>
      </w:rPr>
    </w:lvl>
    <w:lvl w:ilvl="5">
      <w:start w:val="1"/>
      <w:numFmt w:val="decimal"/>
      <w:pStyle w:val="Amain"/>
      <w:lvlText w:val="(%6)"/>
      <w:lvlJc w:val="right"/>
      <w:pPr>
        <w:tabs>
          <w:tab w:val="num" w:pos="700"/>
        </w:tabs>
        <w:ind w:left="700" w:hanging="200"/>
      </w:pPr>
      <w:rPr>
        <w:b w:val="0"/>
        <w:bCs w:val="0"/>
      </w:rPr>
    </w:lvl>
    <w:lvl w:ilvl="6">
      <w:start w:val="1"/>
      <w:numFmt w:val="lowerLetter"/>
      <w:pStyle w:val="Apara"/>
      <w:lvlText w:val="(%7)"/>
      <w:lvlJc w:val="right"/>
      <w:pPr>
        <w:tabs>
          <w:tab w:val="num" w:pos="1200"/>
        </w:tabs>
        <w:ind w:left="1200" w:hanging="200"/>
      </w:pPr>
      <w:rPr>
        <w:b w:val="0"/>
        <w:bCs w:val="0"/>
        <w:i w:val="0"/>
        <w:iCs w:val="0"/>
      </w:rPr>
    </w:lvl>
    <w:lvl w:ilvl="7">
      <w:start w:val="1"/>
      <w:numFmt w:val="lowerRoman"/>
      <w:pStyle w:val="Asubpara"/>
      <w:lvlText w:val="(%8)"/>
      <w:lvlJc w:val="right"/>
      <w:pPr>
        <w:tabs>
          <w:tab w:val="num" w:pos="1740"/>
        </w:tabs>
        <w:ind w:left="1740" w:hanging="200"/>
      </w:pPr>
      <w:rPr>
        <w:b w:val="0"/>
        <w:bCs w:val="0"/>
        <w:i w:val="0"/>
        <w:iCs w:val="0"/>
      </w:rPr>
    </w:lvl>
    <w:lvl w:ilvl="8">
      <w:start w:val="1"/>
      <w:numFmt w:val="upperLetter"/>
      <w:pStyle w:val="Asubsubpara"/>
      <w:lvlText w:val="(%9)"/>
      <w:lvlJc w:val="right"/>
      <w:pPr>
        <w:tabs>
          <w:tab w:val="num" w:pos="2260"/>
        </w:tabs>
        <w:ind w:left="2260" w:hanging="200"/>
      </w:pPr>
      <w:rPr>
        <w:b w:val="0"/>
        <w:bCs w:val="0"/>
        <w:i w:val="0"/>
        <w:iCs w:val="0"/>
      </w:rPr>
    </w:lvl>
  </w:abstractNum>
  <w:abstractNum w:abstractNumId="1" w15:restartNumberingAfterBreak="0">
    <w:nsid w:val="2DC40028"/>
    <w:multiLevelType w:val="hybridMultilevel"/>
    <w:tmpl w:val="6C6AA1FE"/>
    <w:lvl w:ilvl="0" w:tplc="C3345538">
      <w:start w:val="1"/>
      <w:numFmt w:val="lowerRoman"/>
      <w:lvlText w:val="(%1)"/>
      <w:lvlJc w:val="right"/>
      <w:pPr>
        <w:tabs>
          <w:tab w:val="num" w:pos="785"/>
        </w:tabs>
        <w:ind w:left="785" w:hanging="180"/>
      </w:pPr>
      <w:rPr>
        <w:rFonts w:hint="default"/>
      </w:rPr>
    </w:lvl>
    <w:lvl w:ilvl="1" w:tplc="04090019">
      <w:start w:val="1"/>
      <w:numFmt w:val="lowerLetter"/>
      <w:lvlText w:val="%2."/>
      <w:lvlJc w:val="left"/>
      <w:pPr>
        <w:tabs>
          <w:tab w:val="num" w:pos="2045"/>
        </w:tabs>
        <w:ind w:left="2045" w:hanging="360"/>
      </w:pPr>
    </w:lvl>
    <w:lvl w:ilvl="2" w:tplc="0409001B">
      <w:start w:val="1"/>
      <w:numFmt w:val="lowerRoman"/>
      <w:lvlText w:val="%3."/>
      <w:lvlJc w:val="right"/>
      <w:pPr>
        <w:tabs>
          <w:tab w:val="num" w:pos="2765"/>
        </w:tabs>
        <w:ind w:left="2765" w:hanging="180"/>
      </w:pPr>
    </w:lvl>
    <w:lvl w:ilvl="3" w:tplc="0409000F">
      <w:start w:val="1"/>
      <w:numFmt w:val="decimal"/>
      <w:lvlText w:val="%4."/>
      <w:lvlJc w:val="left"/>
      <w:pPr>
        <w:tabs>
          <w:tab w:val="num" w:pos="3485"/>
        </w:tabs>
        <w:ind w:left="3485" w:hanging="360"/>
      </w:pPr>
    </w:lvl>
    <w:lvl w:ilvl="4" w:tplc="04090019">
      <w:start w:val="1"/>
      <w:numFmt w:val="lowerLetter"/>
      <w:lvlText w:val="%5."/>
      <w:lvlJc w:val="left"/>
      <w:pPr>
        <w:tabs>
          <w:tab w:val="num" w:pos="4205"/>
        </w:tabs>
        <w:ind w:left="4205" w:hanging="360"/>
      </w:pPr>
    </w:lvl>
    <w:lvl w:ilvl="5" w:tplc="0409001B">
      <w:start w:val="1"/>
      <w:numFmt w:val="lowerRoman"/>
      <w:lvlText w:val="%6."/>
      <w:lvlJc w:val="right"/>
      <w:pPr>
        <w:tabs>
          <w:tab w:val="num" w:pos="4925"/>
        </w:tabs>
        <w:ind w:left="4925" w:hanging="180"/>
      </w:pPr>
    </w:lvl>
    <w:lvl w:ilvl="6" w:tplc="0409000F">
      <w:start w:val="1"/>
      <w:numFmt w:val="decimal"/>
      <w:lvlText w:val="%7."/>
      <w:lvlJc w:val="left"/>
      <w:pPr>
        <w:tabs>
          <w:tab w:val="num" w:pos="5645"/>
        </w:tabs>
        <w:ind w:left="5645" w:hanging="360"/>
      </w:pPr>
    </w:lvl>
    <w:lvl w:ilvl="7" w:tplc="04090019">
      <w:start w:val="1"/>
      <w:numFmt w:val="lowerLetter"/>
      <w:lvlText w:val="%8."/>
      <w:lvlJc w:val="left"/>
      <w:pPr>
        <w:tabs>
          <w:tab w:val="num" w:pos="6365"/>
        </w:tabs>
        <w:ind w:left="6365" w:hanging="360"/>
      </w:pPr>
    </w:lvl>
    <w:lvl w:ilvl="8" w:tplc="0409001B">
      <w:start w:val="1"/>
      <w:numFmt w:val="lowerRoman"/>
      <w:lvlText w:val="%9."/>
      <w:lvlJc w:val="right"/>
      <w:pPr>
        <w:tabs>
          <w:tab w:val="num" w:pos="7085"/>
        </w:tabs>
        <w:ind w:left="7085" w:hanging="180"/>
      </w:pPr>
    </w:lvl>
  </w:abstractNum>
  <w:abstractNum w:abstractNumId="2" w15:restartNumberingAfterBreak="0">
    <w:nsid w:val="3C764731"/>
    <w:multiLevelType w:val="singleLevel"/>
    <w:tmpl w:val="8AC2BF54"/>
    <w:lvl w:ilvl="0">
      <w:start w:val="1"/>
      <w:numFmt w:val="bullet"/>
      <w:pStyle w:val="bullet2"/>
      <w:lvlText w:val=""/>
      <w:lvlJc w:val="left"/>
      <w:pPr>
        <w:tabs>
          <w:tab w:val="num" w:pos="360"/>
        </w:tabs>
        <w:ind w:left="360" w:hanging="360"/>
      </w:pPr>
      <w:rPr>
        <w:rFonts w:ascii="Symbol" w:hAnsi="Symbol" w:cs="Symbol" w:hint="default"/>
      </w:rPr>
    </w:lvl>
  </w:abstractNum>
  <w:abstractNum w:abstractNumId="3" w15:restartNumberingAfterBreak="0">
    <w:nsid w:val="570E7858"/>
    <w:multiLevelType w:val="singleLevel"/>
    <w:tmpl w:val="6B6C9EA6"/>
    <w:lvl w:ilvl="0">
      <w:start w:val="1"/>
      <w:numFmt w:val="lowerLetter"/>
      <w:pStyle w:val="Bullet1"/>
      <w:lvlText w:val="(%1)"/>
      <w:lvlJc w:val="left"/>
      <w:pPr>
        <w:tabs>
          <w:tab w:val="num" w:pos="680"/>
        </w:tabs>
        <w:ind w:left="680" w:hanging="680"/>
      </w:pPr>
      <w:rPr>
        <w:rFonts w:hint="default"/>
      </w:rPr>
    </w:lvl>
  </w:abstractNum>
  <w:abstractNum w:abstractNumId="4" w15:restartNumberingAfterBreak="0">
    <w:nsid w:val="5FBC783B"/>
    <w:multiLevelType w:val="singleLevel"/>
    <w:tmpl w:val="6B204AE0"/>
    <w:lvl w:ilvl="0">
      <w:start w:val="1"/>
      <w:numFmt w:val="decimal"/>
      <w:lvlText w:val="%1."/>
      <w:legacy w:legacy="1" w:legacySpace="0" w:legacyIndent="283"/>
      <w:lvlJc w:val="left"/>
      <w:pPr>
        <w:ind w:left="283" w:hanging="283"/>
      </w:pPr>
    </w:lvl>
  </w:abstractNum>
  <w:abstractNum w:abstractNumId="5" w15:restartNumberingAfterBreak="0">
    <w:nsid w:val="74547F7F"/>
    <w:multiLevelType w:val="singleLevel"/>
    <w:tmpl w:val="0C090019"/>
    <w:lvl w:ilvl="0">
      <w:start w:val="1"/>
      <w:numFmt w:val="lowerLetter"/>
      <w:lvlText w:val="(%1)"/>
      <w:lvlJc w:val="left"/>
      <w:pPr>
        <w:tabs>
          <w:tab w:val="num" w:pos="360"/>
        </w:tabs>
        <w:ind w:left="360" w:hanging="36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589D"/>
    <w:rsid w:val="0008025B"/>
    <w:rsid w:val="00311540"/>
    <w:rsid w:val="0075589D"/>
    <w:rsid w:val="00AD6E27"/>
    <w:rsid w:val="00DC20F4"/>
    <w:rsid w:val="00F4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DB2758E5-0EEE-47E6-AD02-4D82B76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9"/>
    <w:qFormat/>
    <w:pPr>
      <w:keepNext/>
      <w:tabs>
        <w:tab w:val="left" w:pos="2835"/>
        <w:tab w:val="left" w:pos="6237"/>
        <w:tab w:val="left" w:pos="10206"/>
      </w:tabs>
      <w:outlineLvl w:val="0"/>
    </w:pPr>
    <w:rPr>
      <w:sz w:val="24"/>
      <w:szCs w:val="24"/>
    </w:rPr>
  </w:style>
  <w:style w:type="paragraph" w:styleId="Heading2">
    <w:name w:val="heading 2"/>
    <w:basedOn w:val="Normal"/>
    <w:next w:val="Normal"/>
    <w:link w:val="Heading2Char"/>
    <w:uiPriority w:val="99"/>
    <w:qFormat/>
    <w:pPr>
      <w:keepNext/>
      <w:tabs>
        <w:tab w:val="left" w:pos="2835"/>
        <w:tab w:val="left" w:pos="6237"/>
        <w:tab w:val="left" w:pos="10206"/>
      </w:tabs>
      <w:spacing w:after="240"/>
      <w:ind w:left="709"/>
      <w:outlineLvl w:val="1"/>
    </w:pPr>
    <w:rPr>
      <w:sz w:val="24"/>
      <w:szCs w:val="24"/>
    </w:r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spacing w:before="240" w:after="60"/>
      <w:outlineLvl w:val="3"/>
    </w:pPr>
    <w:rPr>
      <w:rFonts w:ascii="Humanst521 BT" w:hAnsi="Humanst521 BT" w:cs="Humanst521 B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uiPriority w:val="99"/>
    <w:pPr>
      <w:spacing w:before="180" w:after="60"/>
      <w:jc w:val="both"/>
    </w:pPr>
    <w:rPr>
      <w:sz w:val="24"/>
      <w:szCs w:val="24"/>
    </w:rPr>
  </w:style>
  <w:style w:type="paragraph" w:customStyle="1" w:styleId="CoverActName">
    <w:name w:val="CoverActName"/>
    <w:basedOn w:val="Normal"/>
    <w:uiPriority w:val="99"/>
    <w:pPr>
      <w:tabs>
        <w:tab w:val="left" w:pos="2600"/>
      </w:tabs>
      <w:spacing w:before="200" w:after="60"/>
      <w:jc w:val="both"/>
    </w:pPr>
    <w:rPr>
      <w:rFonts w:ascii="Arial" w:hAnsi="Arial" w:cs="Arial"/>
      <w:b/>
      <w:bCs/>
      <w:sz w:val="24"/>
      <w:szCs w:val="24"/>
    </w:rPr>
  </w:style>
  <w:style w:type="paragraph" w:customStyle="1" w:styleId="N-line3">
    <w:name w:val="N-line3"/>
    <w:basedOn w:val="Normal"/>
    <w:next w:val="Normal"/>
    <w:uiPriority w:val="99"/>
    <w:pPr>
      <w:pBdr>
        <w:bottom w:val="single" w:sz="12" w:space="1" w:color="auto"/>
      </w:pBdr>
      <w:jc w:val="both"/>
    </w:pPr>
    <w:rPr>
      <w:sz w:val="24"/>
      <w:szCs w:val="24"/>
    </w:rPr>
  </w:style>
  <w:style w:type="paragraph" w:customStyle="1" w:styleId="Amain">
    <w:name w:val="A main"/>
    <w:basedOn w:val="Normal"/>
    <w:uiPriority w:val="99"/>
    <w:pPr>
      <w:numPr>
        <w:ilvl w:val="5"/>
        <w:numId w:val="2"/>
      </w:numPr>
      <w:spacing w:before="80" w:after="60"/>
      <w:jc w:val="both"/>
      <w:outlineLvl w:val="5"/>
    </w:pPr>
    <w:rPr>
      <w:sz w:val="24"/>
      <w:szCs w:val="24"/>
    </w:rPr>
  </w:style>
  <w:style w:type="paragraph" w:customStyle="1" w:styleId="Apara">
    <w:name w:val="A para"/>
    <w:basedOn w:val="Normal"/>
    <w:uiPriority w:val="99"/>
    <w:pPr>
      <w:numPr>
        <w:ilvl w:val="6"/>
        <w:numId w:val="2"/>
      </w:numPr>
      <w:spacing w:before="80" w:after="60"/>
      <w:jc w:val="both"/>
      <w:outlineLvl w:val="6"/>
    </w:pPr>
    <w:rPr>
      <w:sz w:val="24"/>
      <w:szCs w:val="24"/>
    </w:rPr>
  </w:style>
  <w:style w:type="paragraph" w:customStyle="1" w:styleId="Asubpara">
    <w:name w:val="A subpara"/>
    <w:basedOn w:val="Normal"/>
    <w:uiPriority w:val="99"/>
    <w:pPr>
      <w:numPr>
        <w:ilvl w:val="7"/>
        <w:numId w:val="2"/>
      </w:numPr>
      <w:spacing w:before="80" w:after="60"/>
      <w:jc w:val="both"/>
      <w:outlineLvl w:val="7"/>
    </w:pPr>
    <w:rPr>
      <w:sz w:val="24"/>
      <w:szCs w:val="24"/>
    </w:rPr>
  </w:style>
  <w:style w:type="paragraph" w:customStyle="1" w:styleId="Asubsubpara">
    <w:name w:val="A subsubpara"/>
    <w:basedOn w:val="Normal"/>
    <w:uiPriority w:val="99"/>
    <w:pPr>
      <w:numPr>
        <w:ilvl w:val="8"/>
        <w:numId w:val="2"/>
      </w:numPr>
      <w:spacing w:before="80" w:after="60"/>
      <w:jc w:val="both"/>
      <w:outlineLvl w:val="8"/>
    </w:pPr>
    <w:rPr>
      <w:sz w:val="24"/>
      <w:szCs w:val="24"/>
    </w:rPr>
  </w:style>
  <w:style w:type="paragraph" w:customStyle="1" w:styleId="AH5Sec">
    <w:name w:val="A H5 Sec"/>
    <w:basedOn w:val="Normal"/>
    <w:next w:val="Amain"/>
    <w:uiPriority w:val="99"/>
    <w:pPr>
      <w:keepNext/>
      <w:numPr>
        <w:ilvl w:val="4"/>
        <w:numId w:val="2"/>
      </w:numPr>
      <w:spacing w:before="180" w:after="60"/>
      <w:outlineLvl w:val="4"/>
    </w:pPr>
    <w:rPr>
      <w:rFonts w:ascii="Arial" w:hAnsi="Arial" w:cs="Arial"/>
      <w:b/>
      <w:bCs/>
      <w:sz w:val="24"/>
      <w:szCs w:val="24"/>
    </w:rPr>
  </w:style>
  <w:style w:type="paragraph" w:customStyle="1" w:styleId="Amainreturn">
    <w:name w:val="A main return"/>
    <w:basedOn w:val="Normal"/>
    <w:uiPriority w:val="99"/>
    <w:pPr>
      <w:spacing w:before="80" w:after="60"/>
      <w:ind w:left="700"/>
      <w:jc w:val="both"/>
    </w:pPr>
    <w:rPr>
      <w:sz w:val="24"/>
      <w:szCs w:val="24"/>
    </w:rPr>
  </w:style>
  <w:style w:type="paragraph" w:styleId="BodyText">
    <w:name w:val="Body Text"/>
    <w:basedOn w:val="Normal"/>
    <w:link w:val="BodyTextChar"/>
    <w:autoRedefine/>
    <w:uiPriority w:val="99"/>
    <w:pPr>
      <w:spacing w:before="120" w:after="120"/>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eastAsia="en-US"/>
    </w:rPr>
  </w:style>
  <w:style w:type="paragraph" w:customStyle="1" w:styleId="Bullet1">
    <w:name w:val="Bullet1"/>
    <w:basedOn w:val="Normal"/>
    <w:autoRedefine/>
    <w:uiPriority w:val="99"/>
    <w:pPr>
      <w:keepLines/>
      <w:numPr>
        <w:numId w:val="4"/>
      </w:numPr>
      <w:tabs>
        <w:tab w:val="left" w:pos="426"/>
      </w:tabs>
      <w:spacing w:after="240"/>
      <w:ind w:left="426" w:hanging="426"/>
    </w:pPr>
    <w:rPr>
      <w:sz w:val="24"/>
      <w:szCs w:val="24"/>
    </w:rPr>
  </w:style>
  <w:style w:type="paragraph" w:customStyle="1" w:styleId="bullet2">
    <w:name w:val="bullet2"/>
    <w:basedOn w:val="Normal"/>
    <w:uiPriority w:val="99"/>
    <w:pPr>
      <w:numPr>
        <w:numId w:val="5"/>
      </w:numPr>
      <w:tabs>
        <w:tab w:val="clear" w:pos="360"/>
      </w:tabs>
      <w:spacing w:after="120"/>
      <w:ind w:left="357" w:hanging="357"/>
    </w:pPr>
    <w:rPr>
      <w:sz w:val="24"/>
      <w:szCs w:val="24"/>
    </w:rPr>
  </w:style>
  <w:style w:type="paragraph" w:customStyle="1" w:styleId="BodyText0">
    <w:name w:val="BodyText"/>
    <w:basedOn w:val="Normal"/>
    <w:autoRedefine/>
    <w:uiPriority w:val="99"/>
    <w:pPr>
      <w:keepLines/>
      <w:spacing w:after="240"/>
    </w:pPr>
    <w:rPr>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eastAsia="en-US"/>
    </w:rPr>
  </w:style>
  <w:style w:type="paragraph" w:customStyle="1" w:styleId="Status">
    <w:name w:val="Status"/>
    <w:basedOn w:val="Normal"/>
    <w:uiPriority w:val="99"/>
    <w:pPr>
      <w:spacing w:before="280"/>
      <w:jc w:val="center"/>
    </w:pPr>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957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Final determination of electoral boundaries</vt:lpstr>
    </vt:vector>
  </TitlesOfParts>
  <Company>Elections ACT</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determination of electoral boundaries</dc:title>
  <dc:subject/>
  <dc:creator>ACT Government</dc:creator>
  <cp:keywords/>
  <dc:description/>
  <cp:lastModifiedBy>Moxon, Ann</cp:lastModifiedBy>
  <cp:revision>5</cp:revision>
  <cp:lastPrinted>2003-09-05T04:45:00Z</cp:lastPrinted>
  <dcterms:created xsi:type="dcterms:W3CDTF">2018-08-20T05:42:00Z</dcterms:created>
  <dcterms:modified xsi:type="dcterms:W3CDTF">2018-08-20T05:42:00Z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ies>
</file>