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4947" w:rsidRDefault="00564947">
      <w:pPr>
        <w:pStyle w:val="Header"/>
        <w:spacing w:before="120"/>
        <w:rPr>
          <w:rFonts w:ascii="Arial" w:hAnsi="Arial" w:cs="Arial"/>
        </w:rPr>
      </w:pPr>
      <w:bookmarkStart w:id="0" w:name="_GoBack"/>
      <w:bookmarkEnd w:id="0"/>
      <w:smartTag w:uri="urn:schemas-microsoft-com:office:smarttags" w:element="place">
        <w:smartTag w:uri="urn:schemas-microsoft-com:office:smarttags" w:element="State">
          <w:r>
            <w:rPr>
              <w:rFonts w:ascii="Arial" w:hAnsi="Arial" w:cs="Arial"/>
            </w:rPr>
            <w:t>Australian Capital Territory</w:t>
          </w:r>
        </w:smartTag>
      </w:smartTag>
    </w:p>
    <w:p w:rsidR="00564947" w:rsidRDefault="00564947">
      <w:pPr>
        <w:pStyle w:val="Header"/>
        <w:spacing w:before="120"/>
        <w:rPr>
          <w:rFonts w:ascii="Arial" w:hAnsi="Arial" w:cs="Arial"/>
        </w:rPr>
      </w:pPr>
    </w:p>
    <w:p w:rsidR="00564947" w:rsidRDefault="00564947">
      <w:pPr>
        <w:pStyle w:val="TAheading"/>
        <w:rPr>
          <w:rFonts w:cs="Arial"/>
        </w:rPr>
      </w:pPr>
      <w:r>
        <w:rPr>
          <w:rFonts w:cs="Arial"/>
        </w:rPr>
        <w:t>Planning and Development (Technical Amendment—Miscellaneous Amendments and Corrections) Plan Variation 2010 (No 1)</w:t>
      </w:r>
    </w:p>
    <w:p w:rsidR="00564947" w:rsidRDefault="00564947">
      <w:pPr>
        <w:rPr>
          <w:rStyle w:val="TAannexureAtext"/>
          <w:rFonts w:ascii="Arial" w:hAnsi="Arial" w:cs="Arial"/>
        </w:rPr>
      </w:pPr>
      <w:r>
        <w:rPr>
          <w:rStyle w:val="TAannexureAtext"/>
          <w:rFonts w:ascii="Arial" w:hAnsi="Arial" w:cs="Arial"/>
        </w:rPr>
        <w:t xml:space="preserve">Notifiable instrument </w:t>
      </w:r>
      <w:bookmarkStart w:id="1" w:name="Notifiable_instrument"/>
      <w:r>
        <w:rPr>
          <w:rStyle w:val="TAannexureAtext"/>
          <w:rFonts w:ascii="Arial" w:hAnsi="Arial" w:cs="Arial"/>
        </w:rPr>
        <w:t>NI</w:t>
      </w:r>
      <w:bookmarkEnd w:id="1"/>
      <w:r>
        <w:rPr>
          <w:rStyle w:val="TAannexureAtext"/>
          <w:rFonts w:ascii="Arial" w:hAnsi="Arial" w:cs="Arial"/>
        </w:rPr>
        <w:t>2010 — 217</w:t>
      </w:r>
    </w:p>
    <w:p w:rsidR="00564947" w:rsidRDefault="00564947">
      <w:pPr>
        <w:rPr>
          <w:rStyle w:val="TAannexureAtext"/>
          <w:rFonts w:ascii="Arial" w:hAnsi="Arial" w:cs="Arial"/>
        </w:rPr>
      </w:pPr>
      <w:r>
        <w:rPr>
          <w:rStyle w:val="TAannexureAtext"/>
          <w:rFonts w:ascii="Arial" w:hAnsi="Arial" w:cs="Arial"/>
        </w:rPr>
        <w:t>Technical Amendment No 2010-06</w:t>
      </w:r>
    </w:p>
    <w:p w:rsidR="00564947" w:rsidRDefault="00564947">
      <w:pPr>
        <w:pStyle w:val="TALAtext"/>
        <w:rPr>
          <w:rFonts w:cs="Arial"/>
        </w:rPr>
      </w:pPr>
      <w:r>
        <w:rPr>
          <w:rFonts w:cs="Arial"/>
        </w:rPr>
        <w:t>made under the</w:t>
      </w:r>
    </w:p>
    <w:p w:rsidR="00564947" w:rsidRDefault="00564947">
      <w:pPr>
        <w:pStyle w:val="TA-LAitalicstext"/>
        <w:rPr>
          <w:rFonts w:cs="Arial"/>
        </w:rPr>
      </w:pPr>
      <w:r>
        <w:rPr>
          <w:rFonts w:cs="Arial"/>
        </w:rPr>
        <w:t xml:space="preserve">Planning and Development Act 2007, </w:t>
      </w:r>
      <w:bookmarkStart w:id="2" w:name="S89"/>
      <w:r>
        <w:rPr>
          <w:rFonts w:cs="Arial"/>
        </w:rPr>
        <w:t xml:space="preserve">section 89 (Making technical amendments) </w:t>
      </w:r>
      <w:bookmarkEnd w:id="2"/>
      <w:r>
        <w:rPr>
          <w:rFonts w:cs="Arial"/>
        </w:rPr>
        <w:t xml:space="preserve">  </w:t>
      </w:r>
    </w:p>
    <w:p w:rsidR="00564947" w:rsidRDefault="00564947">
      <w:pPr>
        <w:pStyle w:val="TAline"/>
        <w:rPr>
          <w:rFonts w:cs="Arial"/>
        </w:rPr>
      </w:pPr>
    </w:p>
    <w:p w:rsidR="00564947" w:rsidRDefault="00564947">
      <w:pPr>
        <w:pStyle w:val="TAbody"/>
        <w:rPr>
          <w:rFonts w:cs="Arial"/>
          <w:color w:val="000000"/>
        </w:rPr>
      </w:pPr>
      <w:r>
        <w:rPr>
          <w:rFonts w:cs="Arial"/>
          <w:color w:val="000000"/>
        </w:rPr>
        <w:t>This technical amendment commences on 7 May 2010.</w:t>
      </w:r>
    </w:p>
    <w:p w:rsidR="00564947" w:rsidRDefault="00564947">
      <w:pPr>
        <w:pStyle w:val="TAbody"/>
        <w:rPr>
          <w:rFonts w:cs="Arial"/>
          <w:color w:val="000000"/>
        </w:rPr>
      </w:pPr>
    </w:p>
    <w:p w:rsidR="00564947" w:rsidRDefault="00564947">
      <w:pPr>
        <w:pStyle w:val="TAbody"/>
        <w:rPr>
          <w:rFonts w:cs="Arial"/>
          <w:color w:val="000000"/>
        </w:rPr>
      </w:pPr>
      <w:bookmarkStart w:id="3" w:name="S89_1"/>
      <w:r>
        <w:rPr>
          <w:rFonts w:cs="Arial"/>
          <w:color w:val="000000"/>
        </w:rPr>
        <w:t xml:space="preserve">Technical amendment </w:t>
      </w:r>
      <w:bookmarkStart w:id="4" w:name="Techincal_amendment2"/>
      <w:r>
        <w:rPr>
          <w:rFonts w:cs="Arial"/>
          <w:color w:val="000000"/>
        </w:rPr>
        <w:t>number</w:t>
      </w:r>
      <w:bookmarkEnd w:id="4"/>
      <w:r>
        <w:rPr>
          <w:rFonts w:cs="Arial"/>
          <w:color w:val="000000"/>
        </w:rPr>
        <w:t xml:space="preserve"> 2010-06 to the Territory Plan has been approved by the Planning and Land Authority</w:t>
      </w:r>
    </w:p>
    <w:bookmarkEnd w:id="3"/>
    <w:p w:rsidR="00564947" w:rsidRDefault="00564947">
      <w:pPr>
        <w:pStyle w:val="TAbody"/>
        <w:rPr>
          <w:rFonts w:cs="Arial"/>
          <w:color w:val="000000"/>
        </w:rPr>
      </w:pPr>
    </w:p>
    <w:p w:rsidR="00564947" w:rsidRDefault="00564947">
      <w:pPr>
        <w:pStyle w:val="TAbody"/>
        <w:rPr>
          <w:rFonts w:cs="Arial"/>
          <w:color w:val="000000"/>
          <w:szCs w:val="24"/>
        </w:rPr>
      </w:pPr>
    </w:p>
    <w:p w:rsidR="00564947" w:rsidRDefault="00564947">
      <w:pPr>
        <w:pStyle w:val="TAbody"/>
        <w:rPr>
          <w:rFonts w:cs="Arial"/>
          <w:color w:val="000000"/>
        </w:rPr>
      </w:pPr>
    </w:p>
    <w:p w:rsidR="00564947" w:rsidRDefault="00564947">
      <w:pPr>
        <w:pStyle w:val="TAbody"/>
        <w:rPr>
          <w:rFonts w:cs="Arial"/>
          <w:color w:val="000000"/>
        </w:rPr>
      </w:pPr>
    </w:p>
    <w:p w:rsidR="00564947" w:rsidRDefault="00564947">
      <w:pPr>
        <w:pStyle w:val="TAbody"/>
        <w:rPr>
          <w:rFonts w:cs="Arial"/>
          <w:color w:val="000000"/>
        </w:rPr>
      </w:pPr>
    </w:p>
    <w:p w:rsidR="00564947" w:rsidRDefault="00564947">
      <w:pPr>
        <w:pStyle w:val="TAbody"/>
        <w:rPr>
          <w:rFonts w:cs="Arial"/>
          <w:color w:val="000000"/>
        </w:rPr>
      </w:pPr>
      <w:r>
        <w:rPr>
          <w:rFonts w:cs="Arial"/>
          <w:color w:val="000000"/>
        </w:rPr>
        <w:t>Kelvin Walsh</w:t>
      </w:r>
    </w:p>
    <w:p w:rsidR="00564947" w:rsidRDefault="00564947">
      <w:pPr>
        <w:pStyle w:val="TAbody"/>
        <w:rPr>
          <w:rFonts w:cs="Arial"/>
          <w:color w:val="000000"/>
        </w:rPr>
      </w:pPr>
      <w:r>
        <w:rPr>
          <w:rFonts w:cs="Arial"/>
          <w:color w:val="000000"/>
        </w:rPr>
        <w:t>Delegate of Planning and Land Authority</w:t>
      </w:r>
    </w:p>
    <w:p w:rsidR="00564947" w:rsidRDefault="00564947">
      <w:pPr>
        <w:pStyle w:val="TAbody"/>
        <w:rPr>
          <w:rFonts w:cs="Arial"/>
          <w:color w:val="000000"/>
        </w:rPr>
      </w:pPr>
    </w:p>
    <w:p w:rsidR="00564947" w:rsidRDefault="00564947">
      <w:pPr>
        <w:pStyle w:val="TAbody"/>
        <w:rPr>
          <w:rFonts w:cs="Arial"/>
          <w:color w:val="000000"/>
        </w:rPr>
      </w:pPr>
      <w:r>
        <w:rPr>
          <w:rFonts w:cs="Arial"/>
          <w:color w:val="000000"/>
        </w:rPr>
        <w:t>3 May 2010</w:t>
      </w:r>
    </w:p>
    <w:p w:rsidR="00564947" w:rsidRDefault="00564947">
      <w:pPr>
        <w:pStyle w:val="Titlepage4"/>
        <w:spacing w:after="240"/>
        <w:sectPr w:rsidR="00564947">
          <w:headerReference w:type="even" r:id="rId7"/>
          <w:headerReference w:type="default" r:id="rId8"/>
          <w:footerReference w:type="even" r:id="rId9"/>
          <w:footerReference w:type="default" r:id="rId10"/>
          <w:headerReference w:type="first" r:id="rId11"/>
          <w:footerReference w:type="first" r:id="rId12"/>
          <w:pgSz w:w="11907" w:h="16840"/>
          <w:pgMar w:top="1361" w:right="1531" w:bottom="1559" w:left="1531" w:header="720" w:footer="1009" w:gutter="0"/>
          <w:pgNumType w:start="1"/>
          <w:cols w:space="720"/>
          <w:rtlGutter/>
        </w:sectPr>
      </w:pPr>
    </w:p>
    <w:p w:rsidR="00564947" w:rsidRDefault="00362A8B">
      <w:pPr>
        <w:pStyle w:val="Titlepage4"/>
        <w:spacing w:after="240"/>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0.75pt;height:90.75pt" o:bordertopcolor="this" o:borderleftcolor="this" o:borderbottomcolor="this" o:borderrightcolor="this">
            <v:imagedata r:id="rId13" o:title=""/>
          </v:shape>
        </w:pict>
      </w:r>
    </w:p>
    <w:p w:rsidR="00564947" w:rsidRDefault="00564947">
      <w:pPr>
        <w:pStyle w:val="Titlepage4"/>
      </w:pPr>
      <w:r>
        <w:t>Planning &amp; Development Act 2007</w:t>
      </w:r>
    </w:p>
    <w:p w:rsidR="00564947" w:rsidRDefault="00564947">
      <w:pPr>
        <w:pStyle w:val="Titlepage4"/>
      </w:pPr>
    </w:p>
    <w:p w:rsidR="00564947" w:rsidRDefault="00564947">
      <w:pPr>
        <w:pStyle w:val="Titlepage1"/>
      </w:pPr>
      <w:r>
        <w:t xml:space="preserve">Proposed </w:t>
      </w:r>
    </w:p>
    <w:p w:rsidR="00564947" w:rsidRDefault="00564947">
      <w:pPr>
        <w:pStyle w:val="Titlepage1"/>
      </w:pPr>
      <w:r>
        <w:t>Technical Amendment</w:t>
      </w:r>
    </w:p>
    <w:p w:rsidR="00564947" w:rsidRDefault="00564947">
      <w:pPr>
        <w:pStyle w:val="Titlepage1"/>
      </w:pPr>
      <w:r>
        <w:t>to the Territory Plan</w:t>
      </w:r>
    </w:p>
    <w:p w:rsidR="00564947" w:rsidRDefault="00564947">
      <w:pPr>
        <w:pStyle w:val="BodyText"/>
        <w:pBdr>
          <w:top w:val="single" w:sz="4" w:space="1" w:color="auto"/>
          <w:left w:val="single" w:sz="4" w:space="4" w:color="auto"/>
          <w:bottom w:val="single" w:sz="4" w:space="1" w:color="auto"/>
          <w:right w:val="single" w:sz="4" w:space="4" w:color="auto"/>
        </w:pBdr>
        <w:shd w:val="clear" w:color="auto" w:fill="F3F3F3"/>
        <w:jc w:val="center"/>
        <w:rPr>
          <w:rFonts w:cs="Arial"/>
          <w:b/>
          <w:bCs/>
          <w:sz w:val="20"/>
          <w:szCs w:val="20"/>
        </w:rPr>
      </w:pPr>
    </w:p>
    <w:p w:rsidR="00564947" w:rsidRDefault="00564947">
      <w:pPr>
        <w:pStyle w:val="Titlepage1"/>
      </w:pPr>
      <w:r>
        <w:t>2010-06</w:t>
      </w:r>
    </w:p>
    <w:p w:rsidR="00564947" w:rsidRDefault="00564947">
      <w:pPr>
        <w:pStyle w:val="Titlepage4"/>
      </w:pPr>
    </w:p>
    <w:p w:rsidR="00564947" w:rsidRDefault="00564947">
      <w:pPr>
        <w:pStyle w:val="Titlepage4"/>
      </w:pPr>
    </w:p>
    <w:p w:rsidR="00564947" w:rsidRDefault="00564947">
      <w:pPr>
        <w:pStyle w:val="Titlepage3"/>
      </w:pPr>
      <w:r>
        <w:t xml:space="preserve">Miscellaneous Amendments </w:t>
      </w:r>
    </w:p>
    <w:p w:rsidR="00564947" w:rsidRDefault="00564947">
      <w:pPr>
        <w:pStyle w:val="Titlepage3"/>
      </w:pPr>
      <w:r>
        <w:t>and Corrections</w:t>
      </w:r>
    </w:p>
    <w:p w:rsidR="00564947" w:rsidRDefault="00564947">
      <w:pPr>
        <w:pStyle w:val="Titlepage4"/>
      </w:pPr>
    </w:p>
    <w:p w:rsidR="00564947" w:rsidRDefault="00564947">
      <w:pPr>
        <w:pStyle w:val="Titlepage2"/>
      </w:pPr>
      <w:bookmarkStart w:id="5" w:name="Month_year"/>
    </w:p>
    <w:p w:rsidR="00564947" w:rsidRDefault="00564947">
      <w:pPr>
        <w:pStyle w:val="Titlepage2"/>
      </w:pPr>
    </w:p>
    <w:p w:rsidR="00564947" w:rsidRDefault="00564947">
      <w:pPr>
        <w:pStyle w:val="Titlepage2"/>
      </w:pPr>
    </w:p>
    <w:p w:rsidR="00564947" w:rsidRDefault="00564947">
      <w:pPr>
        <w:pStyle w:val="Titlepage2"/>
        <w:rPr>
          <w:color w:val="FF0000"/>
        </w:rPr>
        <w:sectPr w:rsidR="00564947">
          <w:pgSz w:w="11907" w:h="16840"/>
          <w:pgMar w:top="1361" w:right="1531" w:bottom="1559" w:left="1531" w:header="720" w:footer="1009" w:gutter="0"/>
          <w:pgNumType w:start="1"/>
          <w:cols w:space="720"/>
          <w:rtlGutter/>
        </w:sectPr>
      </w:pPr>
      <w:r>
        <w:t>May 20</w:t>
      </w:r>
      <w:bookmarkEnd w:id="5"/>
      <w:r>
        <w:t>10</w:t>
      </w:r>
    </w:p>
    <w:p w:rsidR="00564947" w:rsidRDefault="00564947">
      <w:pPr>
        <w:pStyle w:val="BodyText"/>
      </w:pPr>
    </w:p>
    <w:p w:rsidR="00564947" w:rsidRDefault="00564947">
      <w:pPr>
        <w:pStyle w:val="BodyText"/>
      </w:pPr>
    </w:p>
    <w:p w:rsidR="00564947" w:rsidRDefault="00564947">
      <w:pPr>
        <w:pStyle w:val="Titlepage3"/>
      </w:pPr>
      <w:r>
        <w:t>Table of Contents</w:t>
      </w:r>
    </w:p>
    <w:p w:rsidR="00564947" w:rsidRDefault="00564947">
      <w:pPr>
        <w:pStyle w:val="TOC1"/>
        <w:tabs>
          <w:tab w:val="right" w:leader="dot" w:pos="8835"/>
        </w:tabs>
        <w:rPr>
          <w:rFonts w:ascii="Times New Roman" w:hAnsi="Times New Roman"/>
          <w:caps w:val="0"/>
        </w:rPr>
      </w:pPr>
      <w:r>
        <w:rPr>
          <w:rFonts w:cs="Arial"/>
          <w:caps w:val="0"/>
        </w:rPr>
        <w:fldChar w:fldCharType="begin"/>
      </w:r>
      <w:r>
        <w:rPr>
          <w:rFonts w:cs="Arial"/>
          <w:caps w:val="0"/>
        </w:rPr>
        <w:instrText xml:space="preserve"> TOC \o "2-3" \h \z \t "Heading 1,1,TA Appendix heading,2" </w:instrText>
      </w:r>
      <w:r>
        <w:rPr>
          <w:rFonts w:cs="Arial"/>
          <w:caps w:val="0"/>
        </w:rPr>
        <w:fldChar w:fldCharType="separate"/>
      </w:r>
      <w:hyperlink w:anchor="_Toc254014005" w:history="1">
        <w:r>
          <w:rPr>
            <w:rStyle w:val="Hyperlink"/>
          </w:rPr>
          <w:t>1. INTRODUCTION</w:t>
        </w:r>
        <w:r>
          <w:rPr>
            <w:webHidden/>
          </w:rPr>
          <w:tab/>
        </w:r>
        <w:r>
          <w:rPr>
            <w:webHidden/>
          </w:rPr>
          <w:fldChar w:fldCharType="begin"/>
        </w:r>
        <w:r>
          <w:rPr>
            <w:webHidden/>
          </w:rPr>
          <w:instrText xml:space="preserve"> PAGEREF _Toc254014005 \h </w:instrText>
        </w:r>
        <w:r>
          <w:rPr>
            <w:webHidden/>
          </w:rPr>
        </w:r>
        <w:r>
          <w:rPr>
            <w:webHidden/>
          </w:rPr>
          <w:fldChar w:fldCharType="separate"/>
        </w:r>
        <w:r>
          <w:rPr>
            <w:webHidden/>
          </w:rPr>
          <w:t>1</w:t>
        </w:r>
        <w:r>
          <w:rPr>
            <w:webHidden/>
          </w:rPr>
          <w:fldChar w:fldCharType="end"/>
        </w:r>
      </w:hyperlink>
    </w:p>
    <w:p w:rsidR="00564947" w:rsidRDefault="00362A8B">
      <w:pPr>
        <w:pStyle w:val="TOC2"/>
        <w:tabs>
          <w:tab w:val="right" w:leader="dot" w:pos="8835"/>
        </w:tabs>
        <w:rPr>
          <w:rFonts w:ascii="Times New Roman" w:hAnsi="Times New Roman"/>
          <w:noProof/>
        </w:rPr>
      </w:pPr>
      <w:hyperlink w:anchor="_Toc254014006" w:history="1">
        <w:r w:rsidR="00564947">
          <w:rPr>
            <w:rStyle w:val="Hyperlink"/>
            <w:noProof/>
          </w:rPr>
          <w:t>Outline of the process</w:t>
        </w:r>
        <w:r w:rsidR="00564947">
          <w:rPr>
            <w:noProof/>
            <w:webHidden/>
          </w:rPr>
          <w:tab/>
        </w:r>
        <w:r w:rsidR="00564947">
          <w:rPr>
            <w:noProof/>
            <w:webHidden/>
          </w:rPr>
          <w:fldChar w:fldCharType="begin"/>
        </w:r>
        <w:r w:rsidR="00564947">
          <w:rPr>
            <w:noProof/>
            <w:webHidden/>
          </w:rPr>
          <w:instrText xml:space="preserve"> PAGEREF _Toc254014006 \h </w:instrText>
        </w:r>
        <w:r w:rsidR="00564947">
          <w:rPr>
            <w:noProof/>
            <w:webHidden/>
          </w:rPr>
        </w:r>
        <w:r w:rsidR="00564947">
          <w:rPr>
            <w:noProof/>
            <w:webHidden/>
          </w:rPr>
          <w:fldChar w:fldCharType="separate"/>
        </w:r>
        <w:r w:rsidR="00564947">
          <w:rPr>
            <w:noProof/>
            <w:webHidden/>
          </w:rPr>
          <w:t>1</w:t>
        </w:r>
        <w:r w:rsidR="00564947">
          <w:rPr>
            <w:noProof/>
            <w:webHidden/>
          </w:rPr>
          <w:fldChar w:fldCharType="end"/>
        </w:r>
      </w:hyperlink>
    </w:p>
    <w:p w:rsidR="00564947" w:rsidRDefault="00362A8B">
      <w:pPr>
        <w:pStyle w:val="TOC1"/>
        <w:tabs>
          <w:tab w:val="right" w:leader="dot" w:pos="8835"/>
        </w:tabs>
        <w:rPr>
          <w:rFonts w:ascii="Times New Roman" w:hAnsi="Times New Roman"/>
          <w:caps w:val="0"/>
        </w:rPr>
      </w:pPr>
      <w:hyperlink w:anchor="_Toc254014007" w:history="1">
        <w:r w:rsidR="00564947">
          <w:rPr>
            <w:rStyle w:val="Hyperlink"/>
          </w:rPr>
          <w:t>2. EXPLANATORY STATEMENT</w:t>
        </w:r>
        <w:r w:rsidR="00564947">
          <w:rPr>
            <w:webHidden/>
          </w:rPr>
          <w:tab/>
        </w:r>
        <w:r w:rsidR="00564947">
          <w:rPr>
            <w:webHidden/>
          </w:rPr>
          <w:fldChar w:fldCharType="begin"/>
        </w:r>
        <w:r w:rsidR="00564947">
          <w:rPr>
            <w:webHidden/>
          </w:rPr>
          <w:instrText xml:space="preserve"> PAGEREF _Toc254014007 \h </w:instrText>
        </w:r>
        <w:r w:rsidR="00564947">
          <w:rPr>
            <w:webHidden/>
          </w:rPr>
        </w:r>
        <w:r w:rsidR="00564947">
          <w:rPr>
            <w:webHidden/>
          </w:rPr>
          <w:fldChar w:fldCharType="separate"/>
        </w:r>
        <w:r w:rsidR="00564947">
          <w:rPr>
            <w:webHidden/>
          </w:rPr>
          <w:t>1</w:t>
        </w:r>
        <w:r w:rsidR="00564947">
          <w:rPr>
            <w:webHidden/>
          </w:rPr>
          <w:fldChar w:fldCharType="end"/>
        </w:r>
      </w:hyperlink>
    </w:p>
    <w:p w:rsidR="00564947" w:rsidRDefault="00362A8B">
      <w:pPr>
        <w:pStyle w:val="TOC2"/>
        <w:tabs>
          <w:tab w:val="right" w:leader="dot" w:pos="8835"/>
        </w:tabs>
        <w:rPr>
          <w:rFonts w:ascii="Times New Roman" w:hAnsi="Times New Roman"/>
          <w:noProof/>
        </w:rPr>
      </w:pPr>
      <w:hyperlink w:anchor="_Toc254014008" w:history="1">
        <w:r w:rsidR="00564947">
          <w:rPr>
            <w:rStyle w:val="Hyperlink"/>
            <w:noProof/>
          </w:rPr>
          <w:t>Proposed Changes and Reasons</w:t>
        </w:r>
        <w:r w:rsidR="00564947">
          <w:rPr>
            <w:noProof/>
            <w:webHidden/>
          </w:rPr>
          <w:tab/>
        </w:r>
        <w:r w:rsidR="00564947">
          <w:rPr>
            <w:noProof/>
            <w:webHidden/>
          </w:rPr>
          <w:fldChar w:fldCharType="begin"/>
        </w:r>
        <w:r w:rsidR="00564947">
          <w:rPr>
            <w:noProof/>
            <w:webHidden/>
          </w:rPr>
          <w:instrText xml:space="preserve"> PAGEREF _Toc254014008 \h </w:instrText>
        </w:r>
        <w:r w:rsidR="00564947">
          <w:rPr>
            <w:noProof/>
            <w:webHidden/>
          </w:rPr>
        </w:r>
        <w:r w:rsidR="00564947">
          <w:rPr>
            <w:noProof/>
            <w:webHidden/>
          </w:rPr>
          <w:fldChar w:fldCharType="separate"/>
        </w:r>
        <w:r w:rsidR="00564947">
          <w:rPr>
            <w:noProof/>
            <w:webHidden/>
          </w:rPr>
          <w:t>1</w:t>
        </w:r>
        <w:r w:rsidR="00564947">
          <w:rPr>
            <w:noProof/>
            <w:webHidden/>
          </w:rPr>
          <w:fldChar w:fldCharType="end"/>
        </w:r>
      </w:hyperlink>
    </w:p>
    <w:p w:rsidR="00564947" w:rsidRDefault="00362A8B">
      <w:pPr>
        <w:pStyle w:val="TOC1"/>
        <w:tabs>
          <w:tab w:val="right" w:leader="dot" w:pos="8835"/>
        </w:tabs>
        <w:rPr>
          <w:rFonts w:ascii="Times New Roman" w:hAnsi="Times New Roman"/>
          <w:caps w:val="0"/>
        </w:rPr>
      </w:pPr>
      <w:hyperlink w:anchor="_Toc254014009" w:history="1">
        <w:r w:rsidR="00564947">
          <w:rPr>
            <w:rStyle w:val="Hyperlink"/>
          </w:rPr>
          <w:t>3. TECHNICAL AMENDMENT</w:t>
        </w:r>
        <w:r w:rsidR="00564947">
          <w:rPr>
            <w:webHidden/>
          </w:rPr>
          <w:tab/>
        </w:r>
        <w:r w:rsidR="00564947">
          <w:rPr>
            <w:webHidden/>
          </w:rPr>
          <w:fldChar w:fldCharType="begin"/>
        </w:r>
        <w:r w:rsidR="00564947">
          <w:rPr>
            <w:webHidden/>
          </w:rPr>
          <w:instrText xml:space="preserve"> PAGEREF _Toc254014009 \h </w:instrText>
        </w:r>
        <w:r w:rsidR="00564947">
          <w:rPr>
            <w:webHidden/>
          </w:rPr>
        </w:r>
        <w:r w:rsidR="00564947">
          <w:rPr>
            <w:webHidden/>
          </w:rPr>
          <w:fldChar w:fldCharType="separate"/>
        </w:r>
        <w:r w:rsidR="00564947">
          <w:rPr>
            <w:webHidden/>
          </w:rPr>
          <w:t>4</w:t>
        </w:r>
        <w:r w:rsidR="00564947">
          <w:rPr>
            <w:webHidden/>
          </w:rPr>
          <w:fldChar w:fldCharType="end"/>
        </w:r>
      </w:hyperlink>
    </w:p>
    <w:p w:rsidR="00564947" w:rsidRDefault="00564947">
      <w:pPr>
        <w:pStyle w:val="StyleTOC1ArialNotAllcaps"/>
      </w:pPr>
      <w:r>
        <w:rPr>
          <w:rFonts w:cs="Arial"/>
          <w:caps/>
        </w:rPr>
        <w:fldChar w:fldCharType="end"/>
      </w:r>
    </w:p>
    <w:p w:rsidR="00564947" w:rsidRDefault="00564947">
      <w:pPr>
        <w:pStyle w:val="BodyText"/>
      </w:pPr>
    </w:p>
    <w:p w:rsidR="00564947" w:rsidRDefault="00564947">
      <w:pPr>
        <w:rPr>
          <w:rFonts w:ascii="Arial" w:hAnsi="Arial" w:cs="Arial"/>
          <w:b/>
          <w:sz w:val="36"/>
        </w:rPr>
        <w:sectPr w:rsidR="00564947">
          <w:footerReference w:type="default" r:id="rId14"/>
          <w:pgSz w:w="11907" w:h="16840"/>
          <w:pgMar w:top="1361" w:right="1531" w:bottom="1559" w:left="1531" w:header="720" w:footer="1009" w:gutter="0"/>
          <w:pgNumType w:fmt="lowerRoman" w:start="1"/>
          <w:cols w:space="720"/>
        </w:sectPr>
      </w:pPr>
    </w:p>
    <w:p w:rsidR="00564947" w:rsidRDefault="00564947">
      <w:pPr>
        <w:pStyle w:val="Heading1"/>
      </w:pPr>
      <w:bookmarkStart w:id="6" w:name="_Toc254014005"/>
      <w:r>
        <w:lastRenderedPageBreak/>
        <w:t>INTRODUCTION</w:t>
      </w:r>
      <w:bookmarkEnd w:id="6"/>
    </w:p>
    <w:p w:rsidR="00564947" w:rsidRDefault="00564947">
      <w:pPr>
        <w:pStyle w:val="Heading2"/>
      </w:pPr>
      <w:bookmarkStart w:id="7" w:name="_Toc254014006"/>
      <w:r>
        <w:t>Outline of the process</w:t>
      </w:r>
      <w:bookmarkEnd w:id="7"/>
    </w:p>
    <w:p w:rsidR="00564947" w:rsidRDefault="00564947">
      <w:pPr>
        <w:autoSpaceDE w:val="0"/>
        <w:autoSpaceDN w:val="0"/>
        <w:adjustRightInd w:val="0"/>
        <w:rPr>
          <w:rFonts w:ascii="Arial" w:hAnsi="Arial" w:cs="Arial"/>
        </w:rPr>
      </w:pPr>
      <w:bookmarkStart w:id="8" w:name="_Toc214687943"/>
      <w:r>
        <w:rPr>
          <w:rFonts w:ascii="Arial" w:hAnsi="Arial" w:cs="Arial"/>
        </w:rPr>
        <w:t xml:space="preserve">The Commonwealth’s </w:t>
      </w:r>
      <w:smartTag w:uri="urn:schemas-microsoft-com:office:smarttags" w:element="State">
        <w:smartTag w:uri="urn:schemas-microsoft-com:office:smarttags" w:element="place">
          <w:r>
            <w:rPr>
              <w:rFonts w:ascii="Arial" w:hAnsi="Arial" w:cs="Arial"/>
              <w:i/>
              <w:iCs/>
            </w:rPr>
            <w:t>Australian Capital Territory</w:t>
          </w:r>
        </w:smartTag>
      </w:smartTag>
      <w:r>
        <w:rPr>
          <w:rFonts w:ascii="Arial" w:hAnsi="Arial" w:cs="Arial"/>
          <w:i/>
          <w:iCs/>
        </w:rPr>
        <w:t xml:space="preserve"> (Planning and Land Management) Act 1988 </w:t>
      </w:r>
      <w:r>
        <w:rPr>
          <w:rFonts w:ascii="Arial" w:hAnsi="Arial" w:cs="Arial"/>
        </w:rPr>
        <w:t xml:space="preserve">allows for the Legislative Assembly to make laws to establish a Territory Planning Authority and for that Authority to prepare and administer a Territory Plan. </w:t>
      </w:r>
    </w:p>
    <w:p w:rsidR="00564947" w:rsidRDefault="00564947">
      <w:pPr>
        <w:autoSpaceDE w:val="0"/>
        <w:autoSpaceDN w:val="0"/>
        <w:adjustRightInd w:val="0"/>
        <w:spacing w:before="120"/>
        <w:rPr>
          <w:rFonts w:ascii="Arial" w:hAnsi="Arial" w:cs="Arial"/>
        </w:rPr>
      </w:pPr>
      <w:r>
        <w:rPr>
          <w:rFonts w:ascii="Arial" w:hAnsi="Arial" w:cs="Arial"/>
        </w:rPr>
        <w:t xml:space="preserve">The </w:t>
      </w:r>
      <w:r>
        <w:rPr>
          <w:rFonts w:ascii="Arial" w:hAnsi="Arial" w:cs="Arial"/>
          <w:i/>
          <w:iCs/>
        </w:rPr>
        <w:t>Planning and Development Act 2007</w:t>
      </w:r>
      <w:r>
        <w:rPr>
          <w:rFonts w:ascii="Arial" w:hAnsi="Arial" w:cs="Arial"/>
          <w:iCs/>
        </w:rPr>
        <w:t xml:space="preserve"> (the Act)</w:t>
      </w:r>
      <w:r>
        <w:rPr>
          <w:rFonts w:ascii="Arial" w:hAnsi="Arial" w:cs="Arial"/>
          <w:i/>
          <w:iCs/>
        </w:rPr>
        <w:t xml:space="preserve"> </w:t>
      </w:r>
      <w:r>
        <w:rPr>
          <w:rFonts w:ascii="Arial" w:hAnsi="Arial" w:cs="Arial"/>
        </w:rPr>
        <w:t>establishes the ACT Planning and Land Authority as the Authority which prepares and administers the Territory Plan, including continually reviewing and proposing amendments as necessary.</w:t>
      </w:r>
    </w:p>
    <w:p w:rsidR="00564947" w:rsidRDefault="00564947">
      <w:pPr>
        <w:pStyle w:val="BodyText"/>
        <w:autoSpaceDE w:val="0"/>
        <w:autoSpaceDN w:val="0"/>
        <w:adjustRightInd w:val="0"/>
        <w:spacing w:before="120" w:after="0"/>
        <w:ind w:left="0"/>
        <w:rPr>
          <w:rFonts w:cs="Arial"/>
        </w:rPr>
      </w:pPr>
      <w:r>
        <w:rPr>
          <w:rFonts w:cs="Arial"/>
        </w:rPr>
        <w:t xml:space="preserve">Technical amendments to the Territory Plan are prepared in accordance with the </w:t>
      </w:r>
      <w:r>
        <w:rPr>
          <w:rFonts w:cs="Arial"/>
          <w:iCs/>
        </w:rPr>
        <w:t>Act</w:t>
      </w:r>
      <w:r>
        <w:rPr>
          <w:rFonts w:cs="Arial"/>
        </w:rPr>
        <w:t xml:space="preserve">.  </w:t>
      </w:r>
    </w:p>
    <w:p w:rsidR="00564947" w:rsidRDefault="00564947">
      <w:pPr>
        <w:pStyle w:val="TAIntroductiontext"/>
        <w:spacing w:before="120"/>
      </w:pPr>
      <w:r>
        <w:t>A variation under section 87(a) is a technical amendment that</w:t>
      </w:r>
    </w:p>
    <w:p w:rsidR="00564947" w:rsidRDefault="00564947">
      <w:pPr>
        <w:pStyle w:val="BodyText"/>
        <w:tabs>
          <w:tab w:val="left" w:pos="540"/>
          <w:tab w:val="left" w:pos="1080"/>
        </w:tabs>
      </w:pPr>
      <w:r>
        <w:tab/>
        <w:t>(i)</w:t>
      </w:r>
      <w:r>
        <w:tab/>
        <w:t>would not adversely affect anyone’s rights if approved; and</w:t>
      </w:r>
    </w:p>
    <w:p w:rsidR="00564947" w:rsidRDefault="00564947">
      <w:pPr>
        <w:pStyle w:val="BodyText"/>
        <w:tabs>
          <w:tab w:val="left" w:pos="540"/>
          <w:tab w:val="left" w:pos="1080"/>
        </w:tabs>
      </w:pPr>
      <w:r>
        <w:tab/>
        <w:t>(ii)</w:t>
      </w:r>
      <w:r>
        <w:tab/>
        <w:t xml:space="preserve">has as its only object the correction of a formal error in the plan. </w:t>
      </w:r>
    </w:p>
    <w:p w:rsidR="00564947" w:rsidRDefault="00564947">
      <w:pPr>
        <w:pStyle w:val="BodyText"/>
        <w:autoSpaceDE w:val="0"/>
        <w:autoSpaceDN w:val="0"/>
        <w:adjustRightInd w:val="0"/>
        <w:spacing w:after="0"/>
        <w:ind w:left="0"/>
        <w:rPr>
          <w:rFonts w:cs="Arial"/>
        </w:rPr>
      </w:pPr>
    </w:p>
    <w:bookmarkEnd w:id="8"/>
    <w:p w:rsidR="00564947" w:rsidRDefault="00564947">
      <w:pPr>
        <w:pStyle w:val="Heading1"/>
        <w:sectPr w:rsidR="00564947">
          <w:headerReference w:type="default" r:id="rId15"/>
          <w:footerReference w:type="default" r:id="rId16"/>
          <w:pgSz w:w="11906" w:h="16838"/>
          <w:pgMar w:top="1134" w:right="1418" w:bottom="1134" w:left="1418" w:header="709" w:footer="709" w:gutter="0"/>
          <w:pgNumType w:start="1"/>
          <w:cols w:space="708"/>
          <w:docGrid w:linePitch="360"/>
        </w:sectPr>
      </w:pPr>
    </w:p>
    <w:p w:rsidR="00564947" w:rsidRDefault="00564947">
      <w:pPr>
        <w:pStyle w:val="Heading1"/>
        <w:spacing w:before="120"/>
      </w:pPr>
      <w:bookmarkStart w:id="9" w:name="_Toc254014007"/>
      <w:r>
        <w:t>EXPLANATORY STATEMENT</w:t>
      </w:r>
      <w:bookmarkEnd w:id="9"/>
    </w:p>
    <w:p w:rsidR="00564947" w:rsidRDefault="00564947">
      <w:pPr>
        <w:pStyle w:val="Heading2"/>
      </w:pPr>
      <w:bookmarkStart w:id="10" w:name="_Toc254014008"/>
      <w:r>
        <w:t>Proposed Changes and Reasons</w:t>
      </w:r>
      <w:bookmarkEnd w:id="10"/>
    </w:p>
    <w:p w:rsidR="00564947" w:rsidRDefault="00564947">
      <w:pPr>
        <w:numPr>
          <w:ilvl w:val="0"/>
          <w:numId w:val="11"/>
        </w:numPr>
        <w:rPr>
          <w:rFonts w:ascii="Arial" w:hAnsi="Arial" w:cs="Arial"/>
          <w:b/>
        </w:rPr>
      </w:pPr>
      <w:r>
        <w:rPr>
          <w:rFonts w:ascii="Arial" w:hAnsi="Arial" w:cs="Arial"/>
          <w:b/>
        </w:rPr>
        <w:t>Wells Station references in Territory Plan – items 30-35</w:t>
      </w:r>
    </w:p>
    <w:p w:rsidR="00564947" w:rsidRDefault="00564947">
      <w:pPr>
        <w:pStyle w:val="BodyText"/>
        <w:spacing w:after="0"/>
        <w:ind w:left="0" w:firstLine="720"/>
        <w:rPr>
          <w:rFonts w:cs="Arial"/>
          <w:b/>
        </w:rPr>
      </w:pPr>
    </w:p>
    <w:p w:rsidR="00564947" w:rsidRDefault="00564947">
      <w:pPr>
        <w:pStyle w:val="BodyText"/>
        <w:spacing w:after="0"/>
        <w:ind w:left="0"/>
        <w:rPr>
          <w:rFonts w:cs="Arial"/>
        </w:rPr>
      </w:pPr>
      <w:r>
        <w:rPr>
          <w:rFonts w:cs="Arial"/>
        </w:rPr>
        <w:t xml:space="preserve">The ACT place names register was amended by notification in the ACT Legislation Register in DI2006-242 on 9 November 2006 and the ‘s’ was removed from places named Well Station.  This was done in recognition of the original spelling of the property name.  However, there are some instances where the incorrect spelling still occurs in the Territory Plan, namely in the </w:t>
      </w:r>
      <w:smartTag w:uri="urn:schemas-microsoft-com:office:smarttags" w:element="address">
        <w:smartTag w:uri="urn:schemas-microsoft-com:office:smarttags" w:element="Street">
          <w:r>
            <w:rPr>
              <w:rFonts w:cs="Arial"/>
            </w:rPr>
            <w:t>Flemington Road</w:t>
          </w:r>
        </w:smartTag>
      </w:smartTag>
      <w:r>
        <w:rPr>
          <w:rFonts w:cs="Arial"/>
        </w:rPr>
        <w:t xml:space="preserve"> corridor concept plan, the Gungahlin town centre and central area structure plan and the east Gungahlin structure plan.  This technical amendment corrects those instances.</w:t>
      </w:r>
    </w:p>
    <w:p w:rsidR="00564947" w:rsidRDefault="00564947">
      <w:pPr>
        <w:pStyle w:val="BodyText"/>
        <w:spacing w:after="0"/>
        <w:ind w:left="0"/>
        <w:rPr>
          <w:rFonts w:cs="Arial"/>
        </w:rPr>
      </w:pPr>
    </w:p>
    <w:p w:rsidR="00564947" w:rsidRDefault="00564947">
      <w:pPr>
        <w:numPr>
          <w:ilvl w:val="0"/>
          <w:numId w:val="11"/>
        </w:numPr>
        <w:rPr>
          <w:rFonts w:cs="Arial"/>
          <w:b/>
        </w:rPr>
      </w:pPr>
      <w:r>
        <w:rPr>
          <w:rFonts w:ascii="Arial" w:hAnsi="Arial" w:cs="Arial"/>
          <w:b/>
        </w:rPr>
        <w:t xml:space="preserve">Changes to provisions relating to Lyneham Section 55 </w:t>
      </w:r>
    </w:p>
    <w:p w:rsidR="00564947" w:rsidRDefault="00564947">
      <w:pPr>
        <w:rPr>
          <w:rFonts w:ascii="Arial" w:hAnsi="Arial" w:cs="Arial"/>
          <w:b/>
        </w:rPr>
      </w:pPr>
    </w:p>
    <w:p w:rsidR="00564947" w:rsidRDefault="00564947">
      <w:pPr>
        <w:rPr>
          <w:rFonts w:ascii="Arial" w:hAnsi="Arial" w:cs="Arial"/>
        </w:rPr>
      </w:pPr>
      <w:r>
        <w:rPr>
          <w:rFonts w:ascii="Arial" w:hAnsi="Arial" w:cs="Arial"/>
        </w:rPr>
        <w:t xml:space="preserve">A number of issues have arisen from the introduction of the restructured Territory Plan which came into effect on 31 March 2010, relating to Lyneham section 55.  The necessary changes, to ensure the original policy intent is applied are described individually below: </w:t>
      </w:r>
    </w:p>
    <w:p w:rsidR="00564947" w:rsidRDefault="00564947">
      <w:pPr>
        <w:rPr>
          <w:rFonts w:cs="Arial"/>
          <w:b/>
        </w:rPr>
      </w:pPr>
    </w:p>
    <w:p w:rsidR="00564947" w:rsidRDefault="00564947">
      <w:pPr>
        <w:ind w:left="1080" w:hanging="540"/>
        <w:rPr>
          <w:rFonts w:cs="Arial"/>
          <w:b/>
        </w:rPr>
      </w:pPr>
      <w:r>
        <w:rPr>
          <w:rFonts w:ascii="Arial" w:hAnsi="Arial" w:cs="Arial"/>
          <w:b/>
        </w:rPr>
        <w:t>a)</w:t>
      </w:r>
      <w:r>
        <w:rPr>
          <w:rFonts w:ascii="Arial" w:hAnsi="Arial" w:cs="Arial"/>
          <w:b/>
        </w:rPr>
        <w:tab/>
        <w:t xml:space="preserve">inclusion of reference to Part C(3) of multi unit housing development code into the </w:t>
      </w:r>
      <w:smartTag w:uri="urn:schemas-microsoft-com:office:smarttags" w:element="address">
        <w:smartTag w:uri="urn:schemas-microsoft-com:office:smarttags" w:element="Street">
          <w:r>
            <w:rPr>
              <w:rFonts w:ascii="Arial" w:hAnsi="Arial" w:cs="Arial"/>
              <w:b/>
            </w:rPr>
            <w:t>Northbourne Avenue</w:t>
          </w:r>
        </w:smartTag>
      </w:smartTag>
      <w:r>
        <w:rPr>
          <w:rFonts w:ascii="Arial" w:hAnsi="Arial" w:cs="Arial"/>
          <w:b/>
        </w:rPr>
        <w:t xml:space="preserve"> precinct code – items 20-21</w:t>
      </w:r>
    </w:p>
    <w:p w:rsidR="00564947" w:rsidRDefault="00564947">
      <w:pPr>
        <w:rPr>
          <w:rFonts w:ascii="Arial" w:hAnsi="Arial" w:cs="Arial"/>
          <w:b/>
        </w:rPr>
      </w:pPr>
    </w:p>
    <w:p w:rsidR="00564947" w:rsidRDefault="00564947">
      <w:pPr>
        <w:ind w:left="1080"/>
        <w:rPr>
          <w:rFonts w:ascii="Arial" w:hAnsi="Arial" w:cs="Arial"/>
          <w:color w:val="000000"/>
        </w:rPr>
      </w:pPr>
      <w:r>
        <w:rPr>
          <w:rFonts w:ascii="Arial" w:hAnsi="Arial" w:cs="Arial"/>
          <w:color w:val="000000"/>
        </w:rPr>
        <w:t xml:space="preserve">The subject section is included in both the commercial CZ5 mixed use zone and in the </w:t>
      </w:r>
      <w:smartTag w:uri="urn:schemas-microsoft-com:office:smarttags" w:element="address">
        <w:smartTag w:uri="urn:schemas-microsoft-com:office:smarttags" w:element="Street">
          <w:r>
            <w:rPr>
              <w:rFonts w:ascii="Arial" w:hAnsi="Arial" w:cs="Arial"/>
              <w:color w:val="000000"/>
            </w:rPr>
            <w:t>Northbourne Avenue</w:t>
          </w:r>
        </w:smartTag>
      </w:smartTag>
      <w:r>
        <w:rPr>
          <w:rFonts w:ascii="Arial" w:hAnsi="Arial" w:cs="Arial"/>
          <w:color w:val="000000"/>
        </w:rPr>
        <w:t xml:space="preserve"> precinct code.  However, the redevelopment potential is primarily medium density residential in nature reflecting the original intent of the former section master plan for the area and which was not conveyed in the restructured Territory Plan.  Part C(3) of the multi unit housing development code is relevant to such development.  On this basis a reference to Part C(3) for Lyneham Section 55 is to be included in the </w:t>
      </w:r>
      <w:smartTag w:uri="urn:schemas-microsoft-com:office:smarttags" w:element="address">
        <w:smartTag w:uri="urn:schemas-microsoft-com:office:smarttags" w:element="Street">
          <w:r>
            <w:rPr>
              <w:rFonts w:ascii="Arial" w:hAnsi="Arial" w:cs="Arial"/>
              <w:color w:val="000000"/>
            </w:rPr>
            <w:t>Northbourne Avenue</w:t>
          </w:r>
        </w:smartTag>
      </w:smartTag>
      <w:r>
        <w:rPr>
          <w:rFonts w:ascii="Arial" w:hAnsi="Arial" w:cs="Arial"/>
          <w:color w:val="000000"/>
        </w:rPr>
        <w:t xml:space="preserve"> precinct code to ensure </w:t>
      </w:r>
      <w:r>
        <w:rPr>
          <w:rFonts w:ascii="Arial" w:hAnsi="Arial" w:cs="Arial"/>
          <w:color w:val="000000"/>
        </w:rPr>
        <w:lastRenderedPageBreak/>
        <w:t xml:space="preserve">that residential amenity outcomes are addressed which are appropriate for the intended scale and type of development. </w:t>
      </w:r>
    </w:p>
    <w:p w:rsidR="00564947" w:rsidRDefault="00564947">
      <w:pPr>
        <w:rPr>
          <w:rFonts w:ascii="Arial" w:hAnsi="Arial" w:cs="Arial"/>
          <w:color w:val="000000"/>
        </w:rPr>
      </w:pPr>
    </w:p>
    <w:p w:rsidR="00564947" w:rsidRDefault="00564947">
      <w:pPr>
        <w:ind w:left="1080" w:hanging="540"/>
        <w:rPr>
          <w:rFonts w:ascii="Arial" w:hAnsi="Arial" w:cs="Arial"/>
          <w:b/>
        </w:rPr>
      </w:pPr>
      <w:r>
        <w:rPr>
          <w:rFonts w:ascii="Arial" w:hAnsi="Arial" w:cs="Arial"/>
          <w:b/>
          <w:color w:val="000000"/>
        </w:rPr>
        <w:t>b)</w:t>
      </w:r>
      <w:r>
        <w:rPr>
          <w:rFonts w:ascii="Arial" w:hAnsi="Arial" w:cs="Arial"/>
          <w:b/>
          <w:color w:val="000000"/>
        </w:rPr>
        <w:tab/>
      </w:r>
      <w:r>
        <w:rPr>
          <w:rFonts w:ascii="Arial" w:hAnsi="Arial" w:cs="Arial"/>
          <w:b/>
        </w:rPr>
        <w:t xml:space="preserve">change to criteria C30 and C31 of </w:t>
      </w:r>
      <w:smartTag w:uri="urn:schemas-microsoft-com:office:smarttags" w:element="address">
        <w:smartTag w:uri="urn:schemas-microsoft-com:office:smarttags" w:element="Street">
          <w:r>
            <w:rPr>
              <w:rFonts w:ascii="Arial" w:hAnsi="Arial" w:cs="Arial"/>
              <w:b/>
            </w:rPr>
            <w:t>Northbourne Avenue</w:t>
          </w:r>
        </w:smartTag>
      </w:smartTag>
      <w:r>
        <w:rPr>
          <w:rFonts w:ascii="Arial" w:hAnsi="Arial" w:cs="Arial"/>
          <w:b/>
        </w:rPr>
        <w:t xml:space="preserve"> precinct code to indicate that these criteria do not apply to Lyneham Section 55 – items 22-23</w:t>
      </w:r>
    </w:p>
    <w:p w:rsidR="00564947" w:rsidRDefault="00564947">
      <w:pPr>
        <w:ind w:left="1080" w:hanging="540"/>
        <w:rPr>
          <w:rFonts w:cs="Arial"/>
          <w:b/>
        </w:rPr>
      </w:pPr>
    </w:p>
    <w:p w:rsidR="00564947" w:rsidRDefault="00564947">
      <w:pPr>
        <w:ind w:left="1080"/>
        <w:rPr>
          <w:rFonts w:ascii="Arial" w:hAnsi="Arial" w:cs="Arial"/>
          <w:color w:val="000000"/>
        </w:rPr>
      </w:pPr>
      <w:r>
        <w:rPr>
          <w:rFonts w:ascii="Arial" w:hAnsi="Arial" w:cs="Arial"/>
          <w:color w:val="000000"/>
        </w:rPr>
        <w:t xml:space="preserve">Criteria C30 and C31 in the </w:t>
      </w:r>
      <w:smartTag w:uri="urn:schemas-microsoft-com:office:smarttags" w:element="address">
        <w:smartTag w:uri="urn:schemas-microsoft-com:office:smarttags" w:element="Street">
          <w:r>
            <w:rPr>
              <w:rFonts w:ascii="Arial" w:hAnsi="Arial" w:cs="Arial"/>
              <w:color w:val="000000"/>
            </w:rPr>
            <w:t>Northbourne Avenue</w:t>
          </w:r>
        </w:smartTag>
      </w:smartTag>
      <w:r>
        <w:rPr>
          <w:rFonts w:ascii="Arial" w:hAnsi="Arial" w:cs="Arial"/>
          <w:color w:val="000000"/>
        </w:rPr>
        <w:t xml:space="preserve"> precinct code are not considered to be appropriate or desirable for the type of residential development envisaged for Lyneham Section 55 as they relate to more to commercial development.  For this reason the criteria have been revised to include a note to advise the applicant/assessor that these criteria do not apply to the subject section. </w:t>
      </w:r>
    </w:p>
    <w:p w:rsidR="00564947" w:rsidRDefault="00564947">
      <w:pPr>
        <w:ind w:left="540"/>
        <w:rPr>
          <w:rFonts w:ascii="Arial" w:hAnsi="Arial" w:cs="Arial"/>
          <w:b/>
        </w:rPr>
      </w:pPr>
    </w:p>
    <w:p w:rsidR="00564947" w:rsidRDefault="00564947">
      <w:pPr>
        <w:tabs>
          <w:tab w:val="left" w:pos="1080"/>
        </w:tabs>
        <w:ind w:left="1080" w:hanging="540"/>
        <w:rPr>
          <w:rFonts w:ascii="Arial" w:hAnsi="Arial" w:cs="Arial"/>
          <w:b/>
        </w:rPr>
      </w:pPr>
      <w:r>
        <w:rPr>
          <w:rFonts w:ascii="Arial" w:hAnsi="Arial" w:cs="Arial"/>
          <w:b/>
        </w:rPr>
        <w:t>c)</w:t>
      </w:r>
      <w:r>
        <w:rPr>
          <w:rFonts w:ascii="Arial" w:hAnsi="Arial" w:cs="Arial"/>
          <w:b/>
        </w:rPr>
        <w:tab/>
        <w:t>removal of Section 55 from the inner north precinct code Control Plan for Lyneham – item 27</w:t>
      </w:r>
    </w:p>
    <w:p w:rsidR="00564947" w:rsidRDefault="00564947">
      <w:pPr>
        <w:ind w:left="360"/>
        <w:rPr>
          <w:rFonts w:ascii="Arial" w:hAnsi="Arial" w:cs="Arial"/>
          <w:color w:val="000000"/>
        </w:rPr>
      </w:pPr>
    </w:p>
    <w:p w:rsidR="00564947" w:rsidRDefault="00564947">
      <w:pPr>
        <w:ind w:left="1080"/>
        <w:rPr>
          <w:rFonts w:ascii="Arial" w:hAnsi="Arial" w:cs="Arial"/>
        </w:rPr>
      </w:pPr>
      <w:r>
        <w:rPr>
          <w:rFonts w:ascii="Arial" w:hAnsi="Arial" w:cs="Arial"/>
          <w:color w:val="000000"/>
        </w:rPr>
        <w:t>Section</w:t>
      </w:r>
      <w:r>
        <w:rPr>
          <w:rFonts w:ascii="Arial" w:hAnsi="Arial" w:cs="Arial"/>
        </w:rPr>
        <w:t xml:space="preserve"> 55 is to be removed from the inner north precinct code control plan for Lyneham as it has no effect and was inadvertently included in the restructured Territory Plan 2008.  </w:t>
      </w:r>
    </w:p>
    <w:p w:rsidR="00564947" w:rsidRDefault="00564947">
      <w:pPr>
        <w:rPr>
          <w:rFonts w:ascii="Arial" w:hAnsi="Arial" w:cs="Arial"/>
        </w:rPr>
      </w:pPr>
    </w:p>
    <w:p w:rsidR="00564947" w:rsidRDefault="00564947">
      <w:pPr>
        <w:numPr>
          <w:ilvl w:val="0"/>
          <w:numId w:val="11"/>
        </w:numPr>
        <w:rPr>
          <w:rFonts w:ascii="Arial" w:hAnsi="Arial" w:cs="Arial"/>
          <w:b/>
        </w:rPr>
      </w:pPr>
      <w:r>
        <w:rPr>
          <w:rFonts w:ascii="Arial" w:hAnsi="Arial" w:cs="Arial"/>
          <w:b/>
        </w:rPr>
        <w:t>Inclusion of reference to other zones in Part C(3) of multi unit housing development code – item 1</w:t>
      </w:r>
    </w:p>
    <w:p w:rsidR="00564947" w:rsidRDefault="00564947">
      <w:pPr>
        <w:ind w:left="360"/>
        <w:rPr>
          <w:rFonts w:ascii="Arial" w:hAnsi="Arial" w:cs="Arial"/>
          <w:color w:val="000000"/>
        </w:rPr>
      </w:pPr>
    </w:p>
    <w:p w:rsidR="00564947" w:rsidRDefault="00564947">
      <w:pPr>
        <w:rPr>
          <w:rFonts w:ascii="Arial" w:hAnsi="Arial" w:cs="Arial"/>
          <w:color w:val="000000"/>
        </w:rPr>
      </w:pPr>
      <w:r>
        <w:rPr>
          <w:rFonts w:ascii="Arial" w:hAnsi="Arial" w:cs="Arial"/>
          <w:color w:val="000000"/>
        </w:rPr>
        <w:t>To ensure adequate cross-referencing to the appropriate part of the multi unit housing development code, reference to other zones where Part C(3) is applicable for assessment purposes is to be included in Part C(3) of the multi unit housing development code.  This will ensure that the relevant code applies to guide residential development in areas such as Lyneham Section 55 and other non-residentially zoned land.</w:t>
      </w:r>
    </w:p>
    <w:p w:rsidR="00564947" w:rsidRDefault="00564947">
      <w:pPr>
        <w:rPr>
          <w:rFonts w:ascii="Tahoma" w:hAnsi="Tahoma" w:cs="Tahoma"/>
          <w:color w:val="000000"/>
        </w:rPr>
      </w:pPr>
    </w:p>
    <w:p w:rsidR="00564947" w:rsidRDefault="00564947">
      <w:pPr>
        <w:numPr>
          <w:ilvl w:val="0"/>
          <w:numId w:val="11"/>
        </w:numPr>
        <w:rPr>
          <w:rFonts w:ascii="Arial" w:hAnsi="Arial" w:cs="Arial"/>
          <w:b/>
        </w:rPr>
      </w:pPr>
      <w:r>
        <w:rPr>
          <w:rFonts w:ascii="Arial" w:hAnsi="Arial" w:cs="Arial"/>
          <w:b/>
        </w:rPr>
        <w:t xml:space="preserve">Inclusion of water sensitive urban design provisions in the </w:t>
      </w:r>
      <w:smartTag w:uri="urn:schemas-microsoft-com:office:smarttags" w:element="address">
        <w:smartTag w:uri="urn:schemas-microsoft-com:office:smarttags" w:element="Street">
          <w:r>
            <w:rPr>
              <w:rFonts w:ascii="Arial" w:hAnsi="Arial" w:cs="Arial"/>
              <w:b/>
            </w:rPr>
            <w:t>Northbourne Avenue</w:t>
          </w:r>
        </w:smartTag>
      </w:smartTag>
      <w:r>
        <w:rPr>
          <w:rFonts w:ascii="Arial" w:hAnsi="Arial" w:cs="Arial"/>
          <w:b/>
        </w:rPr>
        <w:t xml:space="preserve"> precinct code– item 25</w:t>
      </w:r>
    </w:p>
    <w:p w:rsidR="00564947" w:rsidRDefault="00564947">
      <w:pPr>
        <w:pStyle w:val="BodyText"/>
        <w:tabs>
          <w:tab w:val="clear" w:pos="720"/>
        </w:tabs>
        <w:spacing w:after="0"/>
        <w:ind w:left="0"/>
        <w:rPr>
          <w:rFonts w:cs="Arial"/>
          <w:b/>
        </w:rPr>
      </w:pPr>
    </w:p>
    <w:p w:rsidR="00564947" w:rsidRDefault="00564947">
      <w:pPr>
        <w:pStyle w:val="BodyText"/>
        <w:tabs>
          <w:tab w:val="clear" w:pos="720"/>
        </w:tabs>
        <w:spacing w:after="0"/>
        <w:ind w:left="0"/>
        <w:rPr>
          <w:rFonts w:cs="Arial"/>
        </w:rPr>
      </w:pPr>
      <w:r>
        <w:rPr>
          <w:rFonts w:cs="Arial"/>
        </w:rPr>
        <w:t xml:space="preserve">Revised water sensitive urban design provisions were incorporated into the codes via technical amendment 2009-25 (commenced 2 October 2009). However the revised provisions were not substituted into the </w:t>
      </w:r>
      <w:smartTag w:uri="urn:schemas-microsoft-com:office:smarttags" w:element="address">
        <w:smartTag w:uri="urn:schemas-microsoft-com:office:smarttags" w:element="Street">
          <w:r>
            <w:rPr>
              <w:rFonts w:cs="Arial"/>
            </w:rPr>
            <w:t>Northbourne Avenue</w:t>
          </w:r>
        </w:smartTag>
      </w:smartTag>
      <w:r>
        <w:rPr>
          <w:rFonts w:cs="Arial"/>
        </w:rPr>
        <w:t xml:space="preserve"> precinct code.  The revised provisions are incorporated into the precinct code via this amendment. </w:t>
      </w:r>
    </w:p>
    <w:p w:rsidR="00564947" w:rsidRDefault="00564947">
      <w:pPr>
        <w:pStyle w:val="BodyText"/>
        <w:spacing w:after="0"/>
        <w:ind w:left="0"/>
        <w:rPr>
          <w:rFonts w:cs="Arial"/>
          <w:b/>
        </w:rPr>
      </w:pPr>
    </w:p>
    <w:p w:rsidR="00564947" w:rsidRDefault="00564947">
      <w:pPr>
        <w:numPr>
          <w:ilvl w:val="0"/>
          <w:numId w:val="11"/>
        </w:numPr>
        <w:rPr>
          <w:rFonts w:cs="Arial"/>
          <w:b/>
        </w:rPr>
      </w:pPr>
      <w:r>
        <w:rPr>
          <w:rFonts w:ascii="Arial" w:hAnsi="Arial" w:cs="Arial"/>
          <w:b/>
        </w:rPr>
        <w:t>Change to a rule to clarify the intent of the term ‘redevelopment’ in the inner north precinct code – item 26</w:t>
      </w:r>
    </w:p>
    <w:p w:rsidR="00564947" w:rsidRDefault="00564947">
      <w:pPr>
        <w:pStyle w:val="BodyText"/>
        <w:spacing w:after="0"/>
        <w:ind w:left="0"/>
        <w:rPr>
          <w:rFonts w:cs="Arial"/>
        </w:rPr>
      </w:pPr>
    </w:p>
    <w:p w:rsidR="00564947" w:rsidRDefault="00564947">
      <w:pPr>
        <w:pStyle w:val="BodyText"/>
        <w:spacing w:after="0"/>
        <w:ind w:left="0"/>
        <w:rPr>
          <w:rFonts w:cs="Arial"/>
        </w:rPr>
      </w:pPr>
      <w:r>
        <w:rPr>
          <w:rFonts w:cs="Arial"/>
        </w:rPr>
        <w:t xml:space="preserve">Rule R18 in the inner north precinct code provides controls for block redevelopment in the RZ4 medium density residential zone and is intended to avoid isolation of single dwellings being surrounded by developments of more than two dwellings on both side boundaries.   The provisions have been transcribed from the requirements contained in section master plans under the previous Territory Plan and were intended to apply to redevelopment of more than two dwellings. </w:t>
      </w:r>
    </w:p>
    <w:p w:rsidR="00564947" w:rsidRDefault="00564947">
      <w:pPr>
        <w:pStyle w:val="BodyText"/>
        <w:spacing w:after="0"/>
        <w:ind w:left="0"/>
        <w:rPr>
          <w:rFonts w:cs="Arial"/>
        </w:rPr>
      </w:pPr>
    </w:p>
    <w:p w:rsidR="00564947" w:rsidRDefault="00564947">
      <w:pPr>
        <w:pStyle w:val="BodyText"/>
        <w:spacing w:after="0"/>
        <w:ind w:left="0"/>
        <w:rPr>
          <w:rFonts w:cs="Arial"/>
        </w:rPr>
      </w:pPr>
      <w:r>
        <w:rPr>
          <w:rFonts w:cs="Arial"/>
        </w:rPr>
        <w:t xml:space="preserve">R18 will be corrected to refer to redevelopment of more than two dwellings.  </w:t>
      </w:r>
    </w:p>
    <w:p w:rsidR="00564947" w:rsidRDefault="00564947">
      <w:pPr>
        <w:pStyle w:val="BodyText"/>
        <w:spacing w:after="0"/>
        <w:ind w:left="0"/>
        <w:rPr>
          <w:rFonts w:cs="Arial"/>
          <w:b/>
        </w:rPr>
      </w:pPr>
    </w:p>
    <w:p w:rsidR="00564947" w:rsidRDefault="00564947">
      <w:pPr>
        <w:numPr>
          <w:ilvl w:val="0"/>
          <w:numId w:val="11"/>
        </w:numPr>
        <w:rPr>
          <w:rFonts w:ascii="Arial" w:hAnsi="Arial" w:cs="Arial"/>
          <w:b/>
        </w:rPr>
      </w:pPr>
      <w:r>
        <w:rPr>
          <w:rFonts w:ascii="Arial" w:hAnsi="Arial" w:cs="Arial"/>
          <w:b/>
        </w:rPr>
        <w:t xml:space="preserve">Correction of Australian Standard – AS1158.3.1 numbering  </w:t>
      </w:r>
    </w:p>
    <w:p w:rsidR="00564947" w:rsidRDefault="00564947">
      <w:pPr>
        <w:ind w:left="720" w:hanging="180"/>
        <w:rPr>
          <w:rFonts w:ascii="Arial" w:hAnsi="Arial" w:cs="Arial"/>
          <w:b/>
        </w:rPr>
      </w:pPr>
      <w:r>
        <w:rPr>
          <w:rFonts w:ascii="Arial" w:hAnsi="Arial" w:cs="Arial"/>
          <w:b/>
        </w:rPr>
        <w:t>– items 5-11,13-15,19, 24,28</w:t>
      </w:r>
    </w:p>
    <w:p w:rsidR="00564947" w:rsidRDefault="00564947">
      <w:pPr>
        <w:rPr>
          <w:rFonts w:cs="Arial"/>
          <w:b/>
        </w:rPr>
      </w:pPr>
    </w:p>
    <w:p w:rsidR="00564947" w:rsidRDefault="00564947">
      <w:pPr>
        <w:pStyle w:val="BodyText"/>
        <w:spacing w:after="0"/>
        <w:ind w:left="0"/>
        <w:rPr>
          <w:rFonts w:cs="Arial"/>
        </w:rPr>
      </w:pPr>
      <w:r>
        <w:rPr>
          <w:rFonts w:cs="Arial"/>
        </w:rPr>
        <w:t>In technical amendment 2009-23 (commenced 10 July 2009) the numbering of ‘Australian Standard AS1158.1.3’ within the multi unit housing development code Part C(3) Element 3.5 – Crime Prevention Rule 132 was identified as numerically incorrect.  ‘AS1158.1.3’ was changed to ‘AS1158.3.1’ as a result of the technical amendment.</w:t>
      </w:r>
    </w:p>
    <w:p w:rsidR="00564947" w:rsidRDefault="00564947">
      <w:pPr>
        <w:pStyle w:val="BodyText"/>
        <w:spacing w:after="0"/>
        <w:ind w:left="0"/>
        <w:rPr>
          <w:rFonts w:cs="Arial"/>
        </w:rPr>
      </w:pPr>
    </w:p>
    <w:p w:rsidR="00564947" w:rsidRDefault="00564947">
      <w:pPr>
        <w:pStyle w:val="BodyText"/>
        <w:spacing w:after="0"/>
        <w:ind w:left="0"/>
        <w:rPr>
          <w:rFonts w:cs="Arial"/>
        </w:rPr>
      </w:pPr>
      <w:r>
        <w:rPr>
          <w:rFonts w:cs="Arial"/>
        </w:rPr>
        <w:t xml:space="preserve">The incorrect Australian Standard number has been further identified in various codes throughout the Territory Plan.  This technical amendment corrects the numbering. </w:t>
      </w:r>
    </w:p>
    <w:p w:rsidR="00564947" w:rsidRDefault="00564947">
      <w:pPr>
        <w:pStyle w:val="BodyText"/>
        <w:spacing w:after="0"/>
        <w:ind w:left="0"/>
        <w:rPr>
          <w:rFonts w:cs="Arial"/>
        </w:rPr>
      </w:pPr>
    </w:p>
    <w:p w:rsidR="00564947" w:rsidRDefault="00564947">
      <w:pPr>
        <w:numPr>
          <w:ilvl w:val="0"/>
          <w:numId w:val="11"/>
        </w:numPr>
        <w:rPr>
          <w:rFonts w:ascii="Arial" w:hAnsi="Arial" w:cs="Arial"/>
          <w:b/>
        </w:rPr>
      </w:pPr>
      <w:r>
        <w:rPr>
          <w:rFonts w:ascii="Arial" w:hAnsi="Arial" w:cs="Arial"/>
          <w:b/>
        </w:rPr>
        <w:t>Removal of the term playing field from prohibited tables in various zones and revision of the definition – items 2,3,12,16-18,29</w:t>
      </w:r>
    </w:p>
    <w:p w:rsidR="00564947" w:rsidRDefault="00564947"/>
    <w:p w:rsidR="00564947" w:rsidRDefault="00564947">
      <w:pPr>
        <w:rPr>
          <w:rFonts w:ascii="Arial" w:hAnsi="Arial" w:cs="Arial"/>
        </w:rPr>
      </w:pPr>
      <w:r>
        <w:rPr>
          <w:rFonts w:ascii="Arial" w:hAnsi="Arial" w:cs="Arial"/>
        </w:rPr>
        <w:t>An outdoor recreation facility is an assessable use in the commercial CZ5 mixed use and CZ6 leisure and accommodation zones, the community facility zone CFZ, the NUZ1 broadacre zone, NUZ2 rural zone and NUZ3 hills ridges and buffer zone.  A playing field is deemed to fall under the broad description of an outdoor recreation facility.  However ‘playing field’ is listed as prohibited in the development tables.  This is a contradiction to an outdoor recreation facility being an assessable use.  This amendment removes ‘playing field’ from the prohibited table in the CZ5, CZ6, CFZ, NUZ1, NUZ2 and NUZ3 zones.  The ‘playing field’ definition will also be revised to incorporate reference to this use being included in the broader description of an outdoor recreation facility.</w:t>
      </w:r>
    </w:p>
    <w:p w:rsidR="00564947" w:rsidRDefault="00564947">
      <w:pPr>
        <w:rPr>
          <w:rFonts w:ascii="Arial" w:hAnsi="Arial" w:cs="Arial"/>
        </w:rPr>
      </w:pPr>
    </w:p>
    <w:p w:rsidR="00564947" w:rsidRDefault="00564947">
      <w:pPr>
        <w:numPr>
          <w:ilvl w:val="0"/>
          <w:numId w:val="11"/>
        </w:numPr>
        <w:rPr>
          <w:rFonts w:ascii="Arial" w:hAnsi="Arial" w:cs="Arial"/>
          <w:b/>
        </w:rPr>
      </w:pPr>
      <w:r>
        <w:rPr>
          <w:rFonts w:ascii="Arial" w:hAnsi="Arial" w:cs="Arial"/>
          <w:b/>
        </w:rPr>
        <w:t>Correction of surge protection line and pink tailed worm lizard habitat map in the Coombs and Wright concept plan – items 36-37</w:t>
      </w:r>
    </w:p>
    <w:p w:rsidR="00564947" w:rsidRDefault="00564947">
      <w:pPr>
        <w:rPr>
          <w:rFonts w:ascii="Arial" w:hAnsi="Arial" w:cs="Arial"/>
        </w:rPr>
      </w:pPr>
    </w:p>
    <w:p w:rsidR="00564947" w:rsidRDefault="00564947">
      <w:pPr>
        <w:rPr>
          <w:rFonts w:ascii="Arial" w:hAnsi="Arial" w:cs="Arial"/>
        </w:rPr>
      </w:pPr>
      <w:r>
        <w:rPr>
          <w:rFonts w:ascii="Arial" w:hAnsi="Arial" w:cs="Arial"/>
        </w:rPr>
        <w:t>The surge protection line as shown in Figure 4 Concept plan of the Coombs and Wright precinct code has been found to be incorrect.  A revised diagram has been prepared rectifying this situation and delineating the correct alignment.</w:t>
      </w:r>
    </w:p>
    <w:p w:rsidR="00564947" w:rsidRDefault="00564947">
      <w:pPr>
        <w:rPr>
          <w:rFonts w:ascii="Arial" w:hAnsi="Arial" w:cs="Arial"/>
        </w:rPr>
      </w:pPr>
    </w:p>
    <w:p w:rsidR="00564947" w:rsidRDefault="00564947">
      <w:pPr>
        <w:rPr>
          <w:rFonts w:ascii="Arial" w:hAnsi="Arial" w:cs="Arial"/>
        </w:rPr>
      </w:pPr>
      <w:r>
        <w:rPr>
          <w:rFonts w:ascii="Arial" w:hAnsi="Arial" w:cs="Arial"/>
        </w:rPr>
        <w:t>The wording of rule R48 in the concept plan has also been revised in relation to the amended diagram to ensure that no leases are issued down-slope of the surge protection line until it is demonstrated that Scrivener Dam meets flood safety and operational requirements, based on the applicable Australian National Committee on Large Dams (ANCOLD) guidelines.</w:t>
      </w:r>
    </w:p>
    <w:p w:rsidR="00564947" w:rsidRDefault="00564947">
      <w:pPr>
        <w:rPr>
          <w:rFonts w:ascii="Arial" w:hAnsi="Arial" w:cs="Arial"/>
        </w:rPr>
      </w:pPr>
    </w:p>
    <w:p w:rsidR="00564947" w:rsidRDefault="00564947">
      <w:pPr>
        <w:rPr>
          <w:rFonts w:ascii="Arial" w:hAnsi="Arial" w:cs="Arial"/>
        </w:rPr>
      </w:pPr>
      <w:r>
        <w:rPr>
          <w:rFonts w:ascii="Arial" w:hAnsi="Arial" w:cs="Arial"/>
        </w:rPr>
        <w:t xml:space="preserve">The information relating to pink tailed worm lizard habitat has been updated following recent surveys.  A revised map has been prepared showing the updated information. </w:t>
      </w:r>
    </w:p>
    <w:p w:rsidR="00564947" w:rsidRDefault="00564947">
      <w:pPr>
        <w:pStyle w:val="BodyText"/>
        <w:spacing w:after="0"/>
        <w:ind w:left="0"/>
        <w:rPr>
          <w:rFonts w:cs="Arial"/>
          <w:b/>
        </w:rPr>
      </w:pPr>
    </w:p>
    <w:p w:rsidR="00564947" w:rsidRDefault="00564947">
      <w:pPr>
        <w:numPr>
          <w:ilvl w:val="0"/>
          <w:numId w:val="11"/>
        </w:numPr>
        <w:rPr>
          <w:rFonts w:ascii="Arial" w:hAnsi="Arial" w:cs="Arial"/>
          <w:b/>
        </w:rPr>
      </w:pPr>
      <w:r>
        <w:rPr>
          <w:rFonts w:ascii="Arial" w:hAnsi="Arial" w:cs="Arial"/>
          <w:b/>
        </w:rPr>
        <w:t>City centre development code typographical correction R20 a) – item 4</w:t>
      </w:r>
    </w:p>
    <w:p w:rsidR="00564947" w:rsidRDefault="00564947">
      <w:pPr>
        <w:rPr>
          <w:rFonts w:ascii="Arial" w:hAnsi="Arial" w:cs="Arial"/>
        </w:rPr>
      </w:pPr>
    </w:p>
    <w:p w:rsidR="00564947" w:rsidRDefault="00564947">
      <w:pPr>
        <w:rPr>
          <w:rFonts w:ascii="Arial" w:hAnsi="Arial" w:cs="Arial"/>
        </w:rPr>
      </w:pPr>
      <w:r>
        <w:rPr>
          <w:rFonts w:ascii="Arial" w:hAnsi="Arial" w:cs="Arial"/>
        </w:rPr>
        <w:t>A closed bracket has been left out after ‘</w:t>
      </w:r>
      <w:smartTag w:uri="urn:schemas-microsoft-com:office:smarttags" w:element="address">
        <w:smartTag w:uri="urn:schemas-microsoft-com:office:smarttags" w:element="Street">
          <w:r>
            <w:rPr>
              <w:rFonts w:ascii="Arial" w:hAnsi="Arial" w:cs="Arial"/>
            </w:rPr>
            <w:t>Garema Place</w:t>
          </w:r>
        </w:smartTag>
      </w:smartTag>
      <w:r>
        <w:rPr>
          <w:rFonts w:ascii="Arial" w:hAnsi="Arial" w:cs="Arial"/>
        </w:rPr>
        <w:t>’.  This is corrected in this technical amendment.</w:t>
      </w:r>
    </w:p>
    <w:p w:rsidR="00564947" w:rsidRDefault="00564947">
      <w:pPr>
        <w:pStyle w:val="Heading1"/>
        <w:spacing w:after="120"/>
      </w:pPr>
      <w:bookmarkStart w:id="11" w:name="_Toc254014009"/>
      <w:r>
        <w:br w:type="page"/>
        <w:t>TECHNICAL AMENDMENT</w:t>
      </w:r>
      <w:bookmarkEnd w:id="11"/>
    </w:p>
    <w:p w:rsidR="00564947" w:rsidRDefault="00564947">
      <w:pPr>
        <w:pStyle w:val="Heading4"/>
        <w:spacing w:before="120"/>
        <w:rPr>
          <w:rFonts w:cs="Arial"/>
        </w:rPr>
      </w:pPr>
      <w:r>
        <w:rPr>
          <w:rFonts w:cs="Arial"/>
        </w:rPr>
        <w:t>Variation to multi unit housing development code</w:t>
      </w: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 xml:space="preserve">Part C(3) – Multi Unit Housing – Inner North </w:t>
      </w:r>
      <w:smartTag w:uri="urn:schemas-microsoft-com:office:smarttags" w:element="place">
        <w:smartTag w:uri="urn:schemas-microsoft-com:office:smarttags" w:element="City">
          <w:r>
            <w:rPr>
              <w:rFonts w:ascii="Arial" w:hAnsi="Arial" w:cs="Arial"/>
              <w:b/>
            </w:rPr>
            <w:t>Canberra</w:t>
          </w:r>
        </w:smartTag>
      </w:smartTag>
      <w:r>
        <w:rPr>
          <w:rFonts w:ascii="Arial" w:hAnsi="Arial" w:cs="Arial"/>
          <w:b/>
        </w:rPr>
        <w:t xml:space="preserve"> and Gungahlin District – RZ3 and RZ4 Zones</w:t>
      </w:r>
    </w:p>
    <w:p w:rsidR="00564947" w:rsidRPr="00564947" w:rsidRDefault="00564947">
      <w:pPr>
        <w:rPr>
          <w:rFonts w:ascii="Arial" w:hAnsi="Arial" w:cs="Arial"/>
          <w:sz w:val="20"/>
          <w:szCs w:val="20"/>
        </w:rPr>
      </w:pPr>
    </w:p>
    <w:p w:rsidR="00564947" w:rsidRDefault="00564947">
      <w:pPr>
        <w:ind w:firstLine="360"/>
        <w:rPr>
          <w:rFonts w:ascii="Arial" w:hAnsi="Arial" w:cs="Arial"/>
          <w:i/>
        </w:rPr>
      </w:pPr>
      <w:r>
        <w:rPr>
          <w:rFonts w:ascii="Arial" w:hAnsi="Arial" w:cs="Arial"/>
          <w:i/>
        </w:rPr>
        <w:t>Substitute wording as underlined below:</w:t>
      </w:r>
    </w:p>
    <w:p w:rsidR="00564947" w:rsidRPr="00564947" w:rsidRDefault="00564947">
      <w:pPr>
        <w:rPr>
          <w:rFonts w:ascii="Arial" w:hAnsi="Arial" w:cs="Arial"/>
          <w:sz w:val="20"/>
          <w:szCs w:val="20"/>
        </w:rPr>
      </w:pPr>
    </w:p>
    <w:p w:rsidR="00564947" w:rsidRDefault="00564947">
      <w:pPr>
        <w:spacing w:after="120"/>
        <w:ind w:left="357"/>
        <w:rPr>
          <w:rFonts w:ascii="Arial" w:hAnsi="Arial" w:cs="Arial"/>
          <w:sz w:val="20"/>
          <w:szCs w:val="20"/>
        </w:rPr>
      </w:pPr>
      <w:r>
        <w:rPr>
          <w:rFonts w:ascii="Arial" w:hAnsi="Arial" w:cs="Arial"/>
          <w:sz w:val="20"/>
          <w:szCs w:val="20"/>
        </w:rPr>
        <w:t xml:space="preserve">This Part of the Code applies to development applications for multi unit housing in the RZ3 – Urban and RZ4 – Medium Density Zones in Inner North Canberra and the Gungahlin District </w:t>
      </w:r>
      <w:r>
        <w:rPr>
          <w:rFonts w:ascii="Arial" w:hAnsi="Arial" w:cs="Arial"/>
          <w:sz w:val="20"/>
          <w:szCs w:val="20"/>
          <w:u w:val="single"/>
        </w:rPr>
        <w:t>and other zones where referred to elsewhere in the Territory Plan</w:t>
      </w:r>
      <w:r>
        <w:rPr>
          <w:rFonts w:ascii="Arial" w:hAnsi="Arial" w:cs="Arial"/>
          <w:sz w:val="20"/>
          <w:szCs w:val="20"/>
        </w:rPr>
        <w:t>.  These controls apply instead of those contained in Part C(1) of the Code.  Parts A and B of the Code also apply.</w:t>
      </w:r>
    </w:p>
    <w:p w:rsidR="00564947" w:rsidRDefault="00564947">
      <w:pPr>
        <w:pStyle w:val="Heading4"/>
        <w:rPr>
          <w:rFonts w:cs="Arial"/>
        </w:rPr>
      </w:pPr>
      <w:r>
        <w:rPr>
          <w:rFonts w:cs="Arial"/>
        </w:rPr>
        <w:t>Variation to the commercial CZ5 mixed use zone development table</w:t>
      </w: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Prohibited Development</w:t>
      </w:r>
    </w:p>
    <w:p w:rsidR="00564947" w:rsidRPr="00564947" w:rsidRDefault="00564947">
      <w:pPr>
        <w:rPr>
          <w:rFonts w:ascii="Arial" w:hAnsi="Arial" w:cs="Arial"/>
          <w:sz w:val="20"/>
          <w:szCs w:val="20"/>
        </w:rPr>
      </w:pPr>
    </w:p>
    <w:p w:rsidR="00564947" w:rsidRDefault="00564947">
      <w:pPr>
        <w:ind w:firstLine="360"/>
        <w:rPr>
          <w:rFonts w:ascii="Arial" w:hAnsi="Arial" w:cs="Arial"/>
        </w:rPr>
      </w:pPr>
      <w:r>
        <w:rPr>
          <w:rFonts w:ascii="Arial" w:hAnsi="Arial" w:cs="Arial"/>
          <w:i/>
        </w:rPr>
        <w:t>Remove ‘playing field’</w:t>
      </w:r>
    </w:p>
    <w:p w:rsidR="00564947" w:rsidRDefault="00564947" w:rsidP="00564947">
      <w:pPr>
        <w:pStyle w:val="Heading4"/>
        <w:spacing w:after="200"/>
        <w:rPr>
          <w:rFonts w:cs="Arial"/>
        </w:rPr>
      </w:pPr>
      <w:r>
        <w:rPr>
          <w:rFonts w:cs="Arial"/>
        </w:rPr>
        <w:t>Variation to the commercial CZ6 leisure and accommodation zone development table</w:t>
      </w: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Prohibited Development</w:t>
      </w:r>
    </w:p>
    <w:p w:rsidR="00564947" w:rsidRPr="00564947" w:rsidRDefault="00564947">
      <w:pPr>
        <w:rPr>
          <w:rFonts w:ascii="Arial" w:hAnsi="Arial" w:cs="Arial"/>
          <w:sz w:val="20"/>
          <w:szCs w:val="20"/>
        </w:rPr>
      </w:pPr>
    </w:p>
    <w:p w:rsidR="00564947" w:rsidRDefault="00564947">
      <w:pPr>
        <w:ind w:firstLine="360"/>
        <w:rPr>
          <w:rFonts w:ascii="Arial" w:hAnsi="Arial" w:cs="Arial"/>
        </w:rPr>
      </w:pPr>
      <w:r>
        <w:rPr>
          <w:rFonts w:ascii="Arial" w:hAnsi="Arial" w:cs="Arial"/>
          <w:i/>
        </w:rPr>
        <w:t xml:space="preserve">Remove ‘playing field’ </w:t>
      </w:r>
    </w:p>
    <w:p w:rsidR="00564947" w:rsidRDefault="00564947">
      <w:pPr>
        <w:pStyle w:val="Heading4"/>
      </w:pPr>
      <w:r>
        <w:t>Variation to the city centre development code</w:t>
      </w: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Part A(1) City Centre – CZ1 Core Zone, Element 2 Building and Site Controls, Item 2.7 East of Northbourne Avenue and London Circuit, R20 a)</w:t>
      </w:r>
    </w:p>
    <w:p w:rsidR="00564947" w:rsidRPr="00564947" w:rsidRDefault="00564947">
      <w:pPr>
        <w:rPr>
          <w:rFonts w:ascii="Arial" w:hAnsi="Arial" w:cs="Arial"/>
          <w:sz w:val="20"/>
          <w:szCs w:val="20"/>
        </w:rPr>
      </w:pPr>
    </w:p>
    <w:p w:rsidR="00564947" w:rsidRDefault="00564947">
      <w:pPr>
        <w:ind w:firstLine="360"/>
        <w:rPr>
          <w:rFonts w:ascii="Arial" w:hAnsi="Arial" w:cs="Arial"/>
          <w:i/>
        </w:rPr>
      </w:pPr>
      <w:r>
        <w:rPr>
          <w:rFonts w:ascii="Arial" w:hAnsi="Arial" w:cs="Arial"/>
          <w:i/>
        </w:rPr>
        <w:t>After ‘</w:t>
      </w:r>
      <w:smartTag w:uri="urn:schemas-microsoft-com:office:smarttags" w:element="address">
        <w:smartTag w:uri="urn:schemas-microsoft-com:office:smarttags" w:element="Street">
          <w:r>
            <w:rPr>
              <w:rFonts w:ascii="Arial" w:hAnsi="Arial" w:cs="Arial"/>
              <w:i/>
            </w:rPr>
            <w:t>Garema Place</w:t>
          </w:r>
        </w:smartTag>
      </w:smartTag>
      <w:r>
        <w:rPr>
          <w:rFonts w:ascii="Arial" w:hAnsi="Arial" w:cs="Arial"/>
          <w:i/>
        </w:rPr>
        <w:t>’ close brackets.</w:t>
      </w:r>
    </w:p>
    <w:p w:rsidR="00564947" w:rsidRPr="00564947" w:rsidRDefault="00564947">
      <w:pPr>
        <w:rPr>
          <w:rFonts w:ascii="Arial" w:hAnsi="Arial" w:cs="Arial"/>
          <w:sz w:val="20"/>
          <w:szCs w:val="20"/>
        </w:rPr>
      </w:pP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Part B General Development Controls, Element 5 Amenity, Item 5.2 Lighting R79</w:t>
      </w:r>
    </w:p>
    <w:p w:rsidR="00564947" w:rsidRPr="00564947" w:rsidRDefault="00564947">
      <w:pPr>
        <w:rPr>
          <w:rFonts w:ascii="Arial" w:hAnsi="Arial" w:cs="Arial"/>
          <w:sz w:val="20"/>
          <w:szCs w:val="20"/>
        </w:rPr>
      </w:pPr>
    </w:p>
    <w:p w:rsidR="00564947" w:rsidRDefault="00564947">
      <w:pPr>
        <w:ind w:firstLine="360"/>
        <w:rPr>
          <w:rFonts w:ascii="Arial" w:hAnsi="Arial" w:cs="Arial"/>
          <w:i/>
        </w:rPr>
      </w:pPr>
      <w:r>
        <w:rPr>
          <w:rFonts w:ascii="Arial" w:hAnsi="Arial" w:cs="Arial"/>
          <w:i/>
        </w:rPr>
        <w:t>Substitute AS1158.1.3 with:</w:t>
      </w:r>
    </w:p>
    <w:p w:rsidR="00564947" w:rsidRPr="00564947" w:rsidRDefault="00564947">
      <w:pPr>
        <w:rPr>
          <w:rFonts w:ascii="Arial" w:hAnsi="Arial" w:cs="Arial"/>
          <w:sz w:val="20"/>
          <w:szCs w:val="20"/>
        </w:rPr>
      </w:pPr>
    </w:p>
    <w:p w:rsidR="00564947" w:rsidRDefault="00564947">
      <w:pPr>
        <w:spacing w:after="120"/>
        <w:ind w:firstLine="357"/>
        <w:rPr>
          <w:rFonts w:ascii="Arial" w:hAnsi="Arial" w:cs="Arial"/>
          <w:sz w:val="20"/>
          <w:szCs w:val="20"/>
        </w:rPr>
      </w:pPr>
      <w:r>
        <w:rPr>
          <w:rFonts w:ascii="Arial" w:hAnsi="Arial" w:cs="Arial"/>
          <w:sz w:val="20"/>
          <w:szCs w:val="20"/>
        </w:rPr>
        <w:t>AS1158.3.1</w:t>
      </w:r>
    </w:p>
    <w:p w:rsidR="00564947" w:rsidRDefault="00564947" w:rsidP="00564947">
      <w:pPr>
        <w:pStyle w:val="Heading4"/>
        <w:spacing w:before="200" w:after="200"/>
      </w:pPr>
      <w:r>
        <w:t>Variation to town centres development code</w:t>
      </w: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Part B General Development Controls, Element 5 Amenity, Item 5.2 Lighting R79</w:t>
      </w:r>
    </w:p>
    <w:p w:rsidR="00564947" w:rsidRPr="00564947" w:rsidRDefault="00564947">
      <w:pPr>
        <w:rPr>
          <w:rFonts w:ascii="Arial" w:hAnsi="Arial" w:cs="Arial"/>
          <w:sz w:val="20"/>
          <w:szCs w:val="20"/>
        </w:rPr>
      </w:pPr>
    </w:p>
    <w:p w:rsidR="00564947" w:rsidRDefault="00564947">
      <w:pPr>
        <w:ind w:firstLine="360"/>
        <w:rPr>
          <w:rFonts w:ascii="Arial" w:hAnsi="Arial" w:cs="Arial"/>
          <w:i/>
        </w:rPr>
      </w:pPr>
      <w:r>
        <w:rPr>
          <w:rFonts w:ascii="Arial" w:hAnsi="Arial" w:cs="Arial"/>
          <w:i/>
        </w:rPr>
        <w:t>Substitute AS1158.1.3 with:</w:t>
      </w:r>
    </w:p>
    <w:p w:rsidR="00564947" w:rsidRPr="00564947" w:rsidRDefault="00564947">
      <w:pPr>
        <w:rPr>
          <w:rFonts w:ascii="Arial" w:hAnsi="Arial" w:cs="Arial"/>
          <w:sz w:val="20"/>
          <w:szCs w:val="20"/>
        </w:rPr>
      </w:pPr>
    </w:p>
    <w:p w:rsidR="00564947" w:rsidRDefault="00564947">
      <w:pPr>
        <w:spacing w:after="120"/>
        <w:ind w:firstLine="357"/>
        <w:rPr>
          <w:rFonts w:ascii="Arial" w:hAnsi="Arial" w:cs="Arial"/>
          <w:sz w:val="20"/>
          <w:szCs w:val="20"/>
        </w:rPr>
      </w:pPr>
      <w:r>
        <w:rPr>
          <w:rFonts w:ascii="Arial" w:hAnsi="Arial" w:cs="Arial"/>
          <w:sz w:val="20"/>
          <w:szCs w:val="20"/>
        </w:rPr>
        <w:t>AS1158.3.1</w:t>
      </w:r>
    </w:p>
    <w:p w:rsidR="00564947" w:rsidRDefault="00564947">
      <w:pPr>
        <w:pStyle w:val="Heading4"/>
      </w:pPr>
      <w:r>
        <w:t>Variation to group centres development code</w:t>
      </w: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Part B General Development Controls, Element 5 Amenity, Item 5.2 Lighting R53</w:t>
      </w:r>
    </w:p>
    <w:p w:rsidR="00564947" w:rsidRDefault="00564947">
      <w:pPr>
        <w:rPr>
          <w:rFonts w:ascii="Arial" w:hAnsi="Arial" w:cs="Arial"/>
        </w:rPr>
      </w:pPr>
    </w:p>
    <w:p w:rsidR="00564947" w:rsidRDefault="00564947">
      <w:pPr>
        <w:ind w:firstLine="360"/>
        <w:rPr>
          <w:rFonts w:ascii="Arial" w:hAnsi="Arial" w:cs="Arial"/>
          <w:i/>
        </w:rPr>
      </w:pPr>
      <w:r>
        <w:rPr>
          <w:rFonts w:ascii="Arial" w:hAnsi="Arial" w:cs="Arial"/>
          <w:i/>
        </w:rPr>
        <w:t>Substitute AS1158.1.3 with:</w:t>
      </w:r>
    </w:p>
    <w:p w:rsidR="00564947" w:rsidRDefault="00564947">
      <w:pPr>
        <w:rPr>
          <w:rFonts w:ascii="Arial" w:hAnsi="Arial" w:cs="Arial"/>
        </w:rPr>
      </w:pPr>
    </w:p>
    <w:p w:rsidR="00564947" w:rsidRDefault="00564947">
      <w:pPr>
        <w:ind w:firstLine="360"/>
        <w:rPr>
          <w:rFonts w:ascii="Arial" w:hAnsi="Arial" w:cs="Arial"/>
          <w:sz w:val="20"/>
          <w:szCs w:val="20"/>
        </w:rPr>
      </w:pPr>
      <w:r>
        <w:rPr>
          <w:rFonts w:ascii="Arial" w:hAnsi="Arial" w:cs="Arial"/>
          <w:sz w:val="20"/>
          <w:szCs w:val="20"/>
        </w:rPr>
        <w:t>AS1158.3.1</w:t>
      </w:r>
    </w:p>
    <w:p w:rsidR="00564947" w:rsidRDefault="00564947">
      <w:pPr>
        <w:pStyle w:val="Heading4"/>
        <w:rPr>
          <w:rFonts w:cs="Arial"/>
        </w:rPr>
      </w:pPr>
      <w:r>
        <w:rPr>
          <w:rFonts w:cs="Arial"/>
        </w:rPr>
        <w:t>Variation to local centres development code</w:t>
      </w: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Part A General Development Controls, Element 5 Amenity, Item 5.2 Lighting R29</w:t>
      </w:r>
    </w:p>
    <w:p w:rsidR="00564947" w:rsidRDefault="00564947">
      <w:pPr>
        <w:rPr>
          <w:rFonts w:ascii="Arial" w:hAnsi="Arial" w:cs="Arial"/>
        </w:rPr>
      </w:pPr>
    </w:p>
    <w:p w:rsidR="00564947" w:rsidRDefault="00564947">
      <w:pPr>
        <w:ind w:firstLine="360"/>
        <w:rPr>
          <w:rFonts w:ascii="Arial" w:hAnsi="Arial" w:cs="Arial"/>
          <w:i/>
        </w:rPr>
      </w:pPr>
      <w:r>
        <w:rPr>
          <w:rFonts w:ascii="Arial" w:hAnsi="Arial" w:cs="Arial"/>
          <w:i/>
        </w:rPr>
        <w:t>Substitute AS1158.1.3 with:</w:t>
      </w:r>
    </w:p>
    <w:p w:rsidR="00564947" w:rsidRDefault="00564947">
      <w:pPr>
        <w:rPr>
          <w:rFonts w:ascii="Arial" w:hAnsi="Arial" w:cs="Arial"/>
        </w:rPr>
      </w:pPr>
    </w:p>
    <w:p w:rsidR="00564947" w:rsidRDefault="00564947">
      <w:pPr>
        <w:ind w:firstLine="360"/>
        <w:rPr>
          <w:rFonts w:ascii="Arial" w:hAnsi="Arial" w:cs="Arial"/>
          <w:sz w:val="20"/>
          <w:szCs w:val="20"/>
        </w:rPr>
      </w:pPr>
      <w:r>
        <w:rPr>
          <w:rFonts w:ascii="Arial" w:hAnsi="Arial" w:cs="Arial"/>
          <w:sz w:val="20"/>
          <w:szCs w:val="20"/>
        </w:rPr>
        <w:t>AS1158.3.1</w:t>
      </w:r>
    </w:p>
    <w:p w:rsidR="00564947" w:rsidRDefault="00564947">
      <w:pPr>
        <w:rPr>
          <w:rFonts w:ascii="Arial" w:hAnsi="Arial" w:cs="Arial"/>
        </w:rPr>
      </w:pPr>
    </w:p>
    <w:p w:rsidR="00564947" w:rsidRDefault="00564947">
      <w:pPr>
        <w:pStyle w:val="Heading4"/>
        <w:rPr>
          <w:rFonts w:cs="Arial"/>
        </w:rPr>
      </w:pPr>
      <w:r>
        <w:rPr>
          <w:rFonts w:cs="Arial"/>
        </w:rPr>
        <w:t>Variation to CZ2 office areas outside centres development code</w:t>
      </w: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Part A General Development Controls, Element 5 Amenity, Item 5.2 Lighting Rule 23</w:t>
      </w:r>
    </w:p>
    <w:p w:rsidR="00564947" w:rsidRDefault="00564947">
      <w:pPr>
        <w:rPr>
          <w:rFonts w:ascii="Arial" w:hAnsi="Arial" w:cs="Arial"/>
        </w:rPr>
      </w:pPr>
    </w:p>
    <w:p w:rsidR="00564947" w:rsidRDefault="00564947">
      <w:pPr>
        <w:ind w:firstLine="360"/>
        <w:rPr>
          <w:rFonts w:ascii="Arial" w:hAnsi="Arial" w:cs="Arial"/>
          <w:i/>
        </w:rPr>
      </w:pPr>
      <w:r>
        <w:rPr>
          <w:rFonts w:ascii="Arial" w:hAnsi="Arial" w:cs="Arial"/>
          <w:i/>
        </w:rPr>
        <w:t>Substitute AS1158.1.3 with:</w:t>
      </w:r>
    </w:p>
    <w:p w:rsidR="00564947" w:rsidRDefault="00564947">
      <w:pPr>
        <w:rPr>
          <w:rFonts w:ascii="Arial" w:hAnsi="Arial" w:cs="Arial"/>
        </w:rPr>
      </w:pPr>
    </w:p>
    <w:p w:rsidR="00564947" w:rsidRDefault="00564947">
      <w:pPr>
        <w:ind w:firstLine="360"/>
        <w:rPr>
          <w:rFonts w:ascii="Arial" w:hAnsi="Arial" w:cs="Arial"/>
          <w:sz w:val="20"/>
          <w:szCs w:val="20"/>
        </w:rPr>
      </w:pPr>
      <w:r>
        <w:rPr>
          <w:rFonts w:ascii="Arial" w:hAnsi="Arial" w:cs="Arial"/>
          <w:sz w:val="20"/>
          <w:szCs w:val="20"/>
        </w:rPr>
        <w:t>AS1158.3.1</w:t>
      </w:r>
    </w:p>
    <w:p w:rsidR="00564947" w:rsidRDefault="00564947">
      <w:pPr>
        <w:rPr>
          <w:rFonts w:ascii="Arial" w:hAnsi="Arial" w:cs="Arial"/>
        </w:rPr>
      </w:pPr>
    </w:p>
    <w:p w:rsidR="00564947" w:rsidRDefault="00564947">
      <w:pPr>
        <w:pStyle w:val="Heading4"/>
        <w:rPr>
          <w:rFonts w:cs="Arial"/>
        </w:rPr>
      </w:pPr>
      <w:r>
        <w:rPr>
          <w:rFonts w:cs="Arial"/>
        </w:rPr>
        <w:t>Variation to CZ5 mixed use zone development code</w:t>
      </w: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Part A General Development Controls, Element 5 Amenity, Item 5.2 Lighting R23</w:t>
      </w:r>
    </w:p>
    <w:p w:rsidR="00564947" w:rsidRDefault="00564947">
      <w:pPr>
        <w:rPr>
          <w:rFonts w:ascii="Arial" w:hAnsi="Arial" w:cs="Arial"/>
        </w:rPr>
      </w:pPr>
    </w:p>
    <w:p w:rsidR="00564947" w:rsidRDefault="00564947">
      <w:pPr>
        <w:ind w:firstLine="360"/>
        <w:rPr>
          <w:rFonts w:ascii="Arial" w:hAnsi="Arial" w:cs="Arial"/>
          <w:i/>
        </w:rPr>
      </w:pPr>
      <w:r>
        <w:rPr>
          <w:rFonts w:ascii="Arial" w:hAnsi="Arial" w:cs="Arial"/>
          <w:i/>
        </w:rPr>
        <w:t>Substitute AS1158.1.3 with:</w:t>
      </w:r>
    </w:p>
    <w:p w:rsidR="00564947" w:rsidRDefault="00564947">
      <w:pPr>
        <w:rPr>
          <w:rFonts w:ascii="Arial" w:hAnsi="Arial" w:cs="Arial"/>
        </w:rPr>
      </w:pPr>
    </w:p>
    <w:p w:rsidR="00564947" w:rsidRDefault="00564947">
      <w:pPr>
        <w:ind w:firstLine="360"/>
        <w:rPr>
          <w:rFonts w:ascii="Arial" w:hAnsi="Arial" w:cs="Arial"/>
          <w:sz w:val="20"/>
          <w:szCs w:val="20"/>
        </w:rPr>
      </w:pPr>
      <w:r>
        <w:rPr>
          <w:rFonts w:ascii="Arial" w:hAnsi="Arial" w:cs="Arial"/>
          <w:sz w:val="20"/>
          <w:szCs w:val="20"/>
        </w:rPr>
        <w:t>AS1158.3.1</w:t>
      </w:r>
    </w:p>
    <w:p w:rsidR="00564947" w:rsidRDefault="00564947">
      <w:pPr>
        <w:rPr>
          <w:rFonts w:ascii="Arial" w:hAnsi="Arial" w:cs="Arial"/>
        </w:rPr>
      </w:pPr>
    </w:p>
    <w:p w:rsidR="00564947" w:rsidRDefault="00564947">
      <w:pPr>
        <w:rPr>
          <w:rFonts w:ascii="Arial" w:hAnsi="Arial" w:cs="Arial"/>
        </w:rPr>
      </w:pPr>
    </w:p>
    <w:p w:rsidR="00564947" w:rsidRDefault="00564947">
      <w:pPr>
        <w:pStyle w:val="Heading4"/>
        <w:rPr>
          <w:rFonts w:cs="Arial"/>
        </w:rPr>
      </w:pPr>
      <w:r>
        <w:rPr>
          <w:rFonts w:cs="Arial"/>
        </w:rPr>
        <w:t>Variation to CZ6 leisure and accommodation zone development code</w:t>
      </w: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Part A General Development Controls, Element 5 Amenity, Item 5.2 Lighting R25</w:t>
      </w:r>
    </w:p>
    <w:p w:rsidR="00564947" w:rsidRDefault="00564947">
      <w:pPr>
        <w:rPr>
          <w:rFonts w:ascii="Arial" w:hAnsi="Arial" w:cs="Arial"/>
        </w:rPr>
      </w:pPr>
    </w:p>
    <w:p w:rsidR="00564947" w:rsidRDefault="00564947">
      <w:pPr>
        <w:ind w:firstLine="360"/>
        <w:rPr>
          <w:rFonts w:ascii="Arial" w:hAnsi="Arial" w:cs="Arial"/>
          <w:i/>
        </w:rPr>
      </w:pPr>
      <w:r>
        <w:rPr>
          <w:rFonts w:ascii="Arial" w:hAnsi="Arial" w:cs="Arial"/>
          <w:i/>
        </w:rPr>
        <w:t>Substitute AS1158.1.3 with:</w:t>
      </w:r>
    </w:p>
    <w:p w:rsidR="00564947" w:rsidRDefault="00564947">
      <w:pPr>
        <w:rPr>
          <w:rFonts w:ascii="Arial" w:hAnsi="Arial" w:cs="Arial"/>
        </w:rPr>
      </w:pPr>
    </w:p>
    <w:p w:rsidR="00564947" w:rsidRDefault="00564947">
      <w:pPr>
        <w:ind w:firstLine="360"/>
        <w:rPr>
          <w:rFonts w:ascii="Arial" w:hAnsi="Arial" w:cs="Arial"/>
          <w:sz w:val="20"/>
          <w:szCs w:val="20"/>
        </w:rPr>
      </w:pPr>
      <w:r>
        <w:rPr>
          <w:rFonts w:ascii="Arial" w:hAnsi="Arial" w:cs="Arial"/>
          <w:sz w:val="20"/>
          <w:szCs w:val="20"/>
        </w:rPr>
        <w:t>AS1158.3.1</w:t>
      </w:r>
    </w:p>
    <w:p w:rsidR="00564947" w:rsidRDefault="00564947">
      <w:pPr>
        <w:rPr>
          <w:rFonts w:ascii="Arial" w:hAnsi="Arial" w:cs="Arial"/>
        </w:rPr>
      </w:pPr>
    </w:p>
    <w:p w:rsidR="00564947" w:rsidRDefault="00564947">
      <w:pPr>
        <w:pStyle w:val="Heading4"/>
        <w:rPr>
          <w:rFonts w:cs="Arial"/>
        </w:rPr>
      </w:pPr>
      <w:r>
        <w:rPr>
          <w:rFonts w:cs="Arial"/>
        </w:rPr>
        <w:t>Variation to the CFZ community facility zone development table</w:t>
      </w: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 xml:space="preserve">Prohibited </w:t>
      </w:r>
    </w:p>
    <w:p w:rsidR="00564947" w:rsidRDefault="00564947">
      <w:pPr>
        <w:rPr>
          <w:rFonts w:ascii="Arial" w:hAnsi="Arial" w:cs="Arial"/>
        </w:rPr>
      </w:pPr>
    </w:p>
    <w:p w:rsidR="00564947" w:rsidRDefault="00564947">
      <w:pPr>
        <w:ind w:firstLine="360"/>
        <w:rPr>
          <w:rFonts w:ascii="Arial" w:hAnsi="Arial" w:cs="Arial"/>
        </w:rPr>
      </w:pPr>
      <w:r>
        <w:rPr>
          <w:rFonts w:ascii="Arial" w:hAnsi="Arial" w:cs="Arial"/>
          <w:i/>
        </w:rPr>
        <w:t xml:space="preserve">Remove ‘playing field’ </w:t>
      </w:r>
    </w:p>
    <w:p w:rsidR="00564947" w:rsidRDefault="00564947">
      <w:pPr>
        <w:rPr>
          <w:rFonts w:ascii="Arial" w:hAnsi="Arial" w:cs="Arial"/>
        </w:rPr>
      </w:pPr>
    </w:p>
    <w:p w:rsidR="00564947" w:rsidRDefault="00564947">
      <w:pPr>
        <w:pStyle w:val="Heading4"/>
      </w:pPr>
      <w:r>
        <w:t>Variation to community facility zone development code</w:t>
      </w: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Part A General Development Controls, Element 5 Amenity Item 5.2 Lighting R24</w:t>
      </w:r>
    </w:p>
    <w:p w:rsidR="00564947" w:rsidRDefault="00564947">
      <w:pPr>
        <w:pStyle w:val="BodyText"/>
        <w:ind w:left="0"/>
        <w:rPr>
          <w:rFonts w:cs="Arial"/>
        </w:rPr>
      </w:pPr>
    </w:p>
    <w:p w:rsidR="00564947" w:rsidRDefault="00564947">
      <w:pPr>
        <w:ind w:firstLine="360"/>
        <w:rPr>
          <w:rFonts w:ascii="Arial" w:hAnsi="Arial" w:cs="Arial"/>
          <w:i/>
        </w:rPr>
      </w:pPr>
      <w:r>
        <w:rPr>
          <w:rFonts w:ascii="Arial" w:hAnsi="Arial" w:cs="Arial"/>
          <w:i/>
        </w:rPr>
        <w:t>Substitute AS1158.1.3 with:</w:t>
      </w:r>
    </w:p>
    <w:p w:rsidR="00564947" w:rsidRDefault="00564947">
      <w:pPr>
        <w:rPr>
          <w:rFonts w:ascii="Arial" w:hAnsi="Arial" w:cs="Arial"/>
        </w:rPr>
      </w:pPr>
    </w:p>
    <w:p w:rsidR="00564947" w:rsidRDefault="00564947">
      <w:pPr>
        <w:ind w:firstLine="360"/>
        <w:rPr>
          <w:rFonts w:ascii="Arial" w:hAnsi="Arial" w:cs="Arial"/>
          <w:sz w:val="20"/>
          <w:szCs w:val="20"/>
        </w:rPr>
      </w:pPr>
      <w:r>
        <w:rPr>
          <w:rFonts w:ascii="Arial" w:hAnsi="Arial" w:cs="Arial"/>
          <w:sz w:val="20"/>
          <w:szCs w:val="20"/>
        </w:rPr>
        <w:t>AS1158.3.1</w:t>
      </w:r>
    </w:p>
    <w:p w:rsidR="00564947" w:rsidRDefault="00564947">
      <w:pPr>
        <w:pStyle w:val="Heading4"/>
      </w:pPr>
      <w:r>
        <w:t>Variation to parks and recreation zone development code</w:t>
      </w: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Part B</w:t>
      </w:r>
      <w:r>
        <w:rPr>
          <w:rFonts w:ascii="Arial" w:hAnsi="Arial" w:cs="Arial"/>
          <w:b/>
          <w:color w:val="FF0000"/>
        </w:rPr>
        <w:t xml:space="preserve"> </w:t>
      </w:r>
      <w:r>
        <w:rPr>
          <w:rFonts w:ascii="Arial" w:hAnsi="Arial" w:cs="Arial"/>
          <w:b/>
        </w:rPr>
        <w:t>General Development Controls Element 5 Amenity Item 5.2 Lighting R27</w:t>
      </w:r>
    </w:p>
    <w:p w:rsidR="00564947" w:rsidRDefault="00564947">
      <w:pPr>
        <w:pStyle w:val="BodyText"/>
        <w:ind w:left="0"/>
        <w:rPr>
          <w:rFonts w:cs="Arial"/>
        </w:rPr>
      </w:pPr>
    </w:p>
    <w:p w:rsidR="00564947" w:rsidRDefault="00564947">
      <w:pPr>
        <w:ind w:firstLine="360"/>
        <w:rPr>
          <w:rFonts w:ascii="Arial" w:hAnsi="Arial" w:cs="Arial"/>
          <w:i/>
        </w:rPr>
      </w:pPr>
      <w:r>
        <w:rPr>
          <w:rFonts w:ascii="Arial" w:hAnsi="Arial" w:cs="Arial"/>
          <w:i/>
        </w:rPr>
        <w:t>Substitute AS1158.1.3 with:</w:t>
      </w:r>
    </w:p>
    <w:p w:rsidR="00564947" w:rsidRDefault="00564947">
      <w:pPr>
        <w:rPr>
          <w:rFonts w:ascii="Arial" w:hAnsi="Arial" w:cs="Arial"/>
        </w:rPr>
      </w:pPr>
    </w:p>
    <w:p w:rsidR="00564947" w:rsidRDefault="00564947">
      <w:pPr>
        <w:ind w:firstLine="360"/>
        <w:rPr>
          <w:rFonts w:ascii="Arial" w:hAnsi="Arial" w:cs="Arial"/>
          <w:sz w:val="20"/>
          <w:szCs w:val="20"/>
        </w:rPr>
      </w:pPr>
      <w:r>
        <w:rPr>
          <w:rFonts w:ascii="Arial" w:hAnsi="Arial" w:cs="Arial"/>
          <w:sz w:val="20"/>
          <w:szCs w:val="20"/>
        </w:rPr>
        <w:t>AS1158.3.1</w:t>
      </w:r>
    </w:p>
    <w:p w:rsidR="00564947" w:rsidRDefault="00564947">
      <w:pPr>
        <w:rPr>
          <w:rFonts w:ascii="Arial" w:hAnsi="Arial" w:cs="Arial"/>
          <w:sz w:val="22"/>
          <w:szCs w:val="22"/>
        </w:rPr>
      </w:pPr>
    </w:p>
    <w:p w:rsidR="00564947" w:rsidRDefault="00564947">
      <w:pPr>
        <w:pStyle w:val="Heading4"/>
      </w:pPr>
      <w:r>
        <w:t xml:space="preserve">Variation to transport and services zone development code </w:t>
      </w: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Part B</w:t>
      </w:r>
      <w:r>
        <w:rPr>
          <w:rFonts w:ascii="Arial" w:hAnsi="Arial" w:cs="Arial"/>
          <w:b/>
          <w:color w:val="FF0000"/>
        </w:rPr>
        <w:t xml:space="preserve"> </w:t>
      </w:r>
      <w:r>
        <w:rPr>
          <w:rFonts w:ascii="Arial" w:hAnsi="Arial" w:cs="Arial"/>
          <w:b/>
        </w:rPr>
        <w:t>General Development Controls Element 5 Amenity Item 5.1 Lighting R19</w:t>
      </w:r>
    </w:p>
    <w:p w:rsidR="00564947" w:rsidRDefault="00564947">
      <w:pPr>
        <w:pStyle w:val="BodyText"/>
        <w:ind w:left="0"/>
        <w:rPr>
          <w:rFonts w:cs="Arial"/>
        </w:rPr>
      </w:pPr>
    </w:p>
    <w:p w:rsidR="00564947" w:rsidRDefault="00564947">
      <w:pPr>
        <w:ind w:firstLine="360"/>
        <w:rPr>
          <w:rFonts w:ascii="Arial" w:hAnsi="Arial" w:cs="Arial"/>
          <w:i/>
        </w:rPr>
      </w:pPr>
      <w:r>
        <w:rPr>
          <w:rFonts w:ascii="Arial" w:hAnsi="Arial" w:cs="Arial"/>
          <w:i/>
        </w:rPr>
        <w:t>In R19 substitute AS1158.1.3 with:</w:t>
      </w:r>
    </w:p>
    <w:p w:rsidR="00564947" w:rsidRDefault="00564947">
      <w:pPr>
        <w:rPr>
          <w:rFonts w:ascii="Arial" w:hAnsi="Arial" w:cs="Arial"/>
        </w:rPr>
      </w:pPr>
    </w:p>
    <w:p w:rsidR="00564947" w:rsidRDefault="00564947">
      <w:pPr>
        <w:ind w:firstLine="360"/>
        <w:rPr>
          <w:rFonts w:ascii="Arial" w:hAnsi="Arial" w:cs="Arial"/>
          <w:sz w:val="20"/>
          <w:szCs w:val="20"/>
        </w:rPr>
      </w:pPr>
      <w:r>
        <w:rPr>
          <w:rFonts w:ascii="Arial" w:hAnsi="Arial" w:cs="Arial"/>
          <w:sz w:val="20"/>
          <w:szCs w:val="20"/>
        </w:rPr>
        <w:t>AS1158.3.1</w:t>
      </w:r>
    </w:p>
    <w:p w:rsidR="00564947" w:rsidRDefault="00564947">
      <w:pPr>
        <w:pStyle w:val="BodyText"/>
        <w:ind w:left="0"/>
        <w:rPr>
          <w:rFonts w:cs="Arial"/>
        </w:rPr>
      </w:pPr>
    </w:p>
    <w:p w:rsidR="00564947" w:rsidRDefault="00564947">
      <w:pPr>
        <w:pStyle w:val="Heading4"/>
        <w:rPr>
          <w:rFonts w:cs="Arial"/>
        </w:rPr>
      </w:pPr>
      <w:r>
        <w:rPr>
          <w:rFonts w:cs="Arial"/>
        </w:rPr>
        <w:t>Variation to the NUZ1 broadacre zone development table</w:t>
      </w: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Prohibited</w:t>
      </w:r>
    </w:p>
    <w:p w:rsidR="00564947" w:rsidRDefault="00564947">
      <w:pPr>
        <w:rPr>
          <w:rFonts w:ascii="Arial" w:hAnsi="Arial" w:cs="Arial"/>
        </w:rPr>
      </w:pPr>
    </w:p>
    <w:p w:rsidR="00564947" w:rsidRDefault="00564947">
      <w:pPr>
        <w:ind w:firstLine="360"/>
        <w:rPr>
          <w:rFonts w:ascii="Arial" w:hAnsi="Arial" w:cs="Arial"/>
        </w:rPr>
      </w:pPr>
      <w:r>
        <w:rPr>
          <w:rFonts w:ascii="Arial" w:hAnsi="Arial" w:cs="Arial"/>
          <w:i/>
        </w:rPr>
        <w:t xml:space="preserve">Remove ‘playing field’ </w:t>
      </w:r>
    </w:p>
    <w:p w:rsidR="00564947" w:rsidRDefault="00564947">
      <w:pPr>
        <w:pStyle w:val="Heading4"/>
        <w:rPr>
          <w:rFonts w:cs="Arial"/>
        </w:rPr>
      </w:pPr>
      <w:r>
        <w:rPr>
          <w:rFonts w:cs="Arial"/>
        </w:rPr>
        <w:t>Variation to the NUZ2 rural zone development table</w:t>
      </w:r>
    </w:p>
    <w:p w:rsidR="00564947" w:rsidRDefault="00564947" w:rsidP="00564947">
      <w:pPr>
        <w:keepNext/>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Prohibited</w:t>
      </w:r>
    </w:p>
    <w:p w:rsidR="00564947" w:rsidRDefault="00564947">
      <w:pPr>
        <w:rPr>
          <w:rFonts w:ascii="Arial" w:hAnsi="Arial" w:cs="Arial"/>
        </w:rPr>
      </w:pPr>
    </w:p>
    <w:p w:rsidR="00564947" w:rsidRDefault="00564947">
      <w:pPr>
        <w:ind w:firstLine="360"/>
        <w:rPr>
          <w:rFonts w:ascii="Arial" w:hAnsi="Arial" w:cs="Arial"/>
        </w:rPr>
      </w:pPr>
      <w:r>
        <w:rPr>
          <w:rFonts w:ascii="Arial" w:hAnsi="Arial" w:cs="Arial"/>
          <w:i/>
        </w:rPr>
        <w:t xml:space="preserve">Remove ‘playing field’ </w:t>
      </w:r>
    </w:p>
    <w:p w:rsidR="00564947" w:rsidRDefault="00564947">
      <w:pPr>
        <w:rPr>
          <w:rFonts w:ascii="Arial" w:hAnsi="Arial" w:cs="Arial"/>
        </w:rPr>
      </w:pPr>
    </w:p>
    <w:p w:rsidR="00564947" w:rsidRDefault="00564947">
      <w:pPr>
        <w:pStyle w:val="Heading4"/>
        <w:rPr>
          <w:rFonts w:cs="Arial"/>
        </w:rPr>
      </w:pPr>
      <w:r>
        <w:rPr>
          <w:rFonts w:cs="Arial"/>
        </w:rPr>
        <w:t>Variation to the NUZ3 hills ridges and buffer zone development table</w:t>
      </w: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Prohibited</w:t>
      </w:r>
    </w:p>
    <w:p w:rsidR="00564947" w:rsidRDefault="00564947">
      <w:pPr>
        <w:rPr>
          <w:rFonts w:ascii="Arial" w:hAnsi="Arial" w:cs="Arial"/>
        </w:rPr>
      </w:pPr>
    </w:p>
    <w:p w:rsidR="00564947" w:rsidRDefault="00564947">
      <w:pPr>
        <w:ind w:firstLine="360"/>
        <w:rPr>
          <w:rFonts w:ascii="Arial" w:hAnsi="Arial" w:cs="Arial"/>
        </w:rPr>
      </w:pPr>
      <w:r>
        <w:rPr>
          <w:rFonts w:ascii="Arial" w:hAnsi="Arial" w:cs="Arial"/>
          <w:i/>
        </w:rPr>
        <w:t xml:space="preserve">Remove ‘playing field’ </w:t>
      </w:r>
    </w:p>
    <w:p w:rsidR="00564947" w:rsidRDefault="00564947">
      <w:pPr>
        <w:rPr>
          <w:rFonts w:ascii="Arial" w:hAnsi="Arial" w:cs="Arial"/>
        </w:rPr>
      </w:pPr>
    </w:p>
    <w:p w:rsidR="00564947" w:rsidRDefault="00564947">
      <w:pPr>
        <w:pStyle w:val="Heading4"/>
      </w:pPr>
      <w:r>
        <w:t>Variation to non urban zones development code</w:t>
      </w: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Part B General Development Controls Element 5 Amenity Item 5.1 Lighting R30</w:t>
      </w:r>
    </w:p>
    <w:p w:rsidR="00564947" w:rsidRDefault="00564947">
      <w:pPr>
        <w:pStyle w:val="BodyText"/>
        <w:ind w:left="0"/>
        <w:rPr>
          <w:rFonts w:cs="Arial"/>
        </w:rPr>
      </w:pPr>
    </w:p>
    <w:p w:rsidR="00564947" w:rsidRDefault="00564947">
      <w:pPr>
        <w:ind w:firstLine="360"/>
        <w:rPr>
          <w:rFonts w:ascii="Arial" w:hAnsi="Arial" w:cs="Arial"/>
          <w:i/>
        </w:rPr>
      </w:pPr>
      <w:r>
        <w:rPr>
          <w:rFonts w:ascii="Arial" w:hAnsi="Arial" w:cs="Arial"/>
          <w:i/>
        </w:rPr>
        <w:t>Substitute AS1158.1.3 with</w:t>
      </w:r>
    </w:p>
    <w:p w:rsidR="00564947" w:rsidRDefault="00564947">
      <w:pPr>
        <w:rPr>
          <w:rFonts w:ascii="Arial" w:hAnsi="Arial" w:cs="Arial"/>
        </w:rPr>
      </w:pPr>
    </w:p>
    <w:p w:rsidR="00564947" w:rsidRDefault="00564947">
      <w:pPr>
        <w:ind w:firstLine="360"/>
        <w:rPr>
          <w:rFonts w:ascii="Arial" w:hAnsi="Arial" w:cs="Arial"/>
          <w:sz w:val="20"/>
          <w:szCs w:val="20"/>
        </w:rPr>
      </w:pPr>
      <w:r>
        <w:rPr>
          <w:rFonts w:ascii="Arial" w:hAnsi="Arial" w:cs="Arial"/>
          <w:sz w:val="20"/>
          <w:szCs w:val="20"/>
        </w:rPr>
        <w:t>AS1158.3.1</w:t>
      </w:r>
    </w:p>
    <w:p w:rsidR="00564947" w:rsidRDefault="00564947">
      <w:pPr>
        <w:pStyle w:val="Heading4"/>
      </w:pPr>
      <w:r>
        <w:t xml:space="preserve">Variation to </w:t>
      </w:r>
      <w:smartTag w:uri="urn:schemas-microsoft-com:office:smarttags" w:element="address">
        <w:smartTag w:uri="urn:schemas-microsoft-com:office:smarttags" w:element="Street">
          <w:r>
            <w:t>Northbourne Avenue</w:t>
          </w:r>
        </w:smartTag>
      </w:smartTag>
      <w:r>
        <w:t xml:space="preserve"> precinct code</w:t>
      </w: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Introduction – Application of this code, second paragraph, second sentence</w:t>
      </w:r>
    </w:p>
    <w:p w:rsidR="00564947" w:rsidRDefault="00564947">
      <w:pPr>
        <w:rPr>
          <w:rFonts w:ascii="Arial" w:hAnsi="Arial" w:cs="Arial"/>
        </w:rPr>
      </w:pPr>
    </w:p>
    <w:p w:rsidR="00564947" w:rsidRDefault="00564947">
      <w:pPr>
        <w:ind w:firstLine="360"/>
        <w:rPr>
          <w:rFonts w:ascii="Arial" w:hAnsi="Arial" w:cs="Arial"/>
          <w:i/>
        </w:rPr>
      </w:pPr>
      <w:r>
        <w:rPr>
          <w:rFonts w:ascii="Arial" w:hAnsi="Arial" w:cs="Arial"/>
          <w:i/>
        </w:rPr>
        <w:t>Substitute wording as underlined below:</w:t>
      </w:r>
    </w:p>
    <w:p w:rsidR="00564947" w:rsidRDefault="00564947">
      <w:pPr>
        <w:rPr>
          <w:rFonts w:ascii="Arial" w:hAnsi="Arial" w:cs="Arial"/>
        </w:rPr>
      </w:pPr>
    </w:p>
    <w:p w:rsidR="00564947" w:rsidRDefault="00564947">
      <w:pPr>
        <w:ind w:left="360"/>
        <w:rPr>
          <w:rFonts w:ascii="Arial" w:hAnsi="Arial" w:cs="Arial"/>
          <w:sz w:val="20"/>
          <w:szCs w:val="20"/>
        </w:rPr>
      </w:pPr>
      <w:r>
        <w:rPr>
          <w:rFonts w:ascii="Arial" w:hAnsi="Arial" w:cs="Arial"/>
          <w:sz w:val="20"/>
          <w:szCs w:val="20"/>
        </w:rPr>
        <w:t xml:space="preserve">For multi unit housing refer to part C(5) of the Multi Unit Housing Development Code </w:t>
      </w:r>
      <w:r>
        <w:rPr>
          <w:rFonts w:ascii="Arial" w:hAnsi="Arial" w:cs="Arial"/>
          <w:sz w:val="20"/>
          <w:szCs w:val="20"/>
          <w:u w:val="single"/>
        </w:rPr>
        <w:t>except for Lyneham Section 55 where part C(3) of the Multi Unit Housing Development Code applies</w:t>
      </w:r>
      <w:r>
        <w:rPr>
          <w:rFonts w:ascii="Arial" w:hAnsi="Arial" w:cs="Arial"/>
          <w:sz w:val="20"/>
          <w:szCs w:val="20"/>
        </w:rPr>
        <w:t>.</w:t>
      </w:r>
    </w:p>
    <w:p w:rsidR="00564947" w:rsidRDefault="00564947">
      <w:pPr>
        <w:rPr>
          <w:rFonts w:ascii="Arial" w:hAnsi="Arial" w:cs="Arial"/>
        </w:rPr>
      </w:pPr>
    </w:p>
    <w:p w:rsidR="00564947" w:rsidRDefault="00564947">
      <w:pPr>
        <w:rPr>
          <w:rFonts w:ascii="Arial" w:hAnsi="Arial" w:cs="Arial"/>
        </w:rPr>
      </w:pP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Part B General Development Controls Element 1 Restrictions on Use, 1.1 Residential Use R18</w:t>
      </w:r>
    </w:p>
    <w:p w:rsidR="00564947" w:rsidRDefault="00564947">
      <w:pPr>
        <w:rPr>
          <w:rFonts w:ascii="Arial" w:hAnsi="Arial" w:cs="Arial"/>
        </w:rPr>
      </w:pPr>
    </w:p>
    <w:p w:rsidR="00564947" w:rsidRDefault="00564947">
      <w:pPr>
        <w:ind w:firstLine="360"/>
        <w:rPr>
          <w:rFonts w:ascii="Arial" w:hAnsi="Arial" w:cs="Arial"/>
          <w:i/>
        </w:rPr>
      </w:pPr>
      <w:r>
        <w:rPr>
          <w:rFonts w:ascii="Arial" w:hAnsi="Arial" w:cs="Arial"/>
          <w:i/>
        </w:rPr>
        <w:t>Substitute with:</w:t>
      </w:r>
    </w:p>
    <w:p w:rsidR="00564947" w:rsidRDefault="00564947">
      <w:pPr>
        <w:rPr>
          <w:rFonts w:ascii="Arial" w:hAnsi="Arial" w:cs="Arial"/>
        </w:rPr>
      </w:pPr>
    </w:p>
    <w:p w:rsidR="00564947" w:rsidRDefault="00564947">
      <w:pPr>
        <w:ind w:left="360"/>
        <w:rPr>
          <w:rFonts w:ascii="Arial" w:hAnsi="Arial" w:cs="Arial"/>
          <w:sz w:val="20"/>
          <w:szCs w:val="20"/>
        </w:rPr>
      </w:pPr>
      <w:r>
        <w:rPr>
          <w:rFonts w:ascii="Arial" w:hAnsi="Arial" w:cs="Arial"/>
          <w:sz w:val="20"/>
          <w:szCs w:val="20"/>
        </w:rPr>
        <w:t>All multi unit housing is designed to comply with Part C(5) of the Residential Zones Multi Unit Housing Development Code except for Lyneham Section 55 where Part C(3) applies.</w:t>
      </w:r>
    </w:p>
    <w:p w:rsidR="00564947" w:rsidRDefault="00564947">
      <w:pPr>
        <w:rPr>
          <w:rFonts w:ascii="Arial" w:hAnsi="Arial" w:cs="Arial"/>
        </w:rPr>
      </w:pP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Part B General Development Controls Element 3 Built Form, 3.1 Building Design C30</w:t>
      </w:r>
    </w:p>
    <w:p w:rsidR="00564947" w:rsidRDefault="00564947">
      <w:pPr>
        <w:rPr>
          <w:rFonts w:ascii="Arial" w:hAnsi="Arial" w:cs="Arial"/>
        </w:rPr>
      </w:pPr>
    </w:p>
    <w:p w:rsidR="00564947" w:rsidRDefault="00564947">
      <w:pPr>
        <w:ind w:firstLine="360"/>
        <w:rPr>
          <w:rFonts w:ascii="Arial" w:hAnsi="Arial" w:cs="Arial"/>
          <w:i/>
        </w:rPr>
      </w:pPr>
      <w:r>
        <w:rPr>
          <w:rFonts w:ascii="Arial" w:hAnsi="Arial" w:cs="Arial"/>
          <w:i/>
        </w:rPr>
        <w:t>Insert the following:</w:t>
      </w:r>
    </w:p>
    <w:p w:rsidR="00564947" w:rsidRDefault="00564947">
      <w:pPr>
        <w:rPr>
          <w:rFonts w:ascii="Arial" w:hAnsi="Arial" w:cs="Arial"/>
        </w:rPr>
      </w:pPr>
    </w:p>
    <w:p w:rsidR="00564947" w:rsidRDefault="00564947">
      <w:pPr>
        <w:spacing w:after="120"/>
        <w:ind w:firstLine="357"/>
        <w:rPr>
          <w:rFonts w:ascii="Arial" w:hAnsi="Arial" w:cs="Arial"/>
          <w:i/>
          <w:sz w:val="20"/>
          <w:szCs w:val="20"/>
        </w:rPr>
      </w:pPr>
      <w:r>
        <w:rPr>
          <w:rFonts w:ascii="Arial" w:hAnsi="Arial" w:cs="Arial"/>
          <w:i/>
          <w:sz w:val="20"/>
          <w:szCs w:val="20"/>
        </w:rPr>
        <w:t>Note: this criterion does not apply to Lyneham Section 55</w:t>
      </w:r>
    </w:p>
    <w:p w:rsidR="00564947" w:rsidRDefault="00564947">
      <w:pPr>
        <w:rPr>
          <w:rFonts w:ascii="Arial" w:hAnsi="Arial" w:cs="Arial"/>
        </w:rPr>
      </w:pP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Part B General Development Controls Element 3 Built Form, 3.1 Building Design C31</w:t>
      </w:r>
    </w:p>
    <w:p w:rsidR="00564947" w:rsidRDefault="00564947">
      <w:pPr>
        <w:rPr>
          <w:rFonts w:ascii="Arial" w:hAnsi="Arial" w:cs="Arial"/>
        </w:rPr>
      </w:pPr>
    </w:p>
    <w:p w:rsidR="00564947" w:rsidRDefault="00564947">
      <w:pPr>
        <w:ind w:firstLine="360"/>
        <w:rPr>
          <w:rFonts w:ascii="Arial" w:hAnsi="Arial" w:cs="Arial"/>
          <w:i/>
        </w:rPr>
      </w:pPr>
      <w:r>
        <w:rPr>
          <w:rFonts w:ascii="Arial" w:hAnsi="Arial" w:cs="Arial"/>
          <w:i/>
        </w:rPr>
        <w:t>Insert the following:</w:t>
      </w:r>
    </w:p>
    <w:p w:rsidR="00564947" w:rsidRDefault="00564947">
      <w:pPr>
        <w:rPr>
          <w:rFonts w:ascii="Arial" w:hAnsi="Arial" w:cs="Arial"/>
        </w:rPr>
      </w:pPr>
    </w:p>
    <w:p w:rsidR="00564947" w:rsidRDefault="00564947">
      <w:pPr>
        <w:spacing w:after="120"/>
        <w:ind w:firstLine="357"/>
        <w:rPr>
          <w:rFonts w:ascii="Arial" w:hAnsi="Arial" w:cs="Arial"/>
          <w:i/>
          <w:sz w:val="20"/>
          <w:szCs w:val="20"/>
        </w:rPr>
      </w:pPr>
      <w:r>
        <w:rPr>
          <w:rFonts w:ascii="Arial" w:hAnsi="Arial" w:cs="Arial"/>
          <w:i/>
          <w:sz w:val="20"/>
          <w:szCs w:val="20"/>
        </w:rPr>
        <w:t>Note: this criterion does not apply to Lyneham Section 55</w:t>
      </w:r>
    </w:p>
    <w:p w:rsidR="00564947" w:rsidRDefault="00564947">
      <w:pPr>
        <w:rPr>
          <w:rFonts w:ascii="Arial" w:hAnsi="Arial" w:cs="Arial"/>
        </w:rPr>
      </w:pP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Part B General Development Controls Element 5 Amenity Item 5.2 Lighting R53</w:t>
      </w:r>
    </w:p>
    <w:p w:rsidR="00564947" w:rsidRDefault="00564947">
      <w:pPr>
        <w:pStyle w:val="BodyText"/>
        <w:ind w:left="0"/>
        <w:rPr>
          <w:rFonts w:cs="Arial"/>
        </w:rPr>
      </w:pPr>
    </w:p>
    <w:p w:rsidR="00564947" w:rsidRDefault="00564947">
      <w:pPr>
        <w:ind w:firstLine="360"/>
        <w:rPr>
          <w:rFonts w:ascii="Arial" w:hAnsi="Arial" w:cs="Arial"/>
          <w:i/>
        </w:rPr>
      </w:pPr>
      <w:r>
        <w:rPr>
          <w:rFonts w:ascii="Arial" w:hAnsi="Arial" w:cs="Arial"/>
          <w:i/>
        </w:rPr>
        <w:t>Substitute AS1158.1.3 with:</w:t>
      </w:r>
    </w:p>
    <w:p w:rsidR="00564947" w:rsidRDefault="00564947">
      <w:pPr>
        <w:rPr>
          <w:rFonts w:ascii="Arial" w:hAnsi="Arial" w:cs="Arial"/>
        </w:rPr>
      </w:pPr>
    </w:p>
    <w:p w:rsidR="00564947" w:rsidRDefault="00564947">
      <w:pPr>
        <w:ind w:firstLine="360"/>
        <w:rPr>
          <w:rFonts w:ascii="Arial" w:hAnsi="Arial" w:cs="Arial"/>
          <w:sz w:val="20"/>
          <w:szCs w:val="20"/>
        </w:rPr>
      </w:pPr>
      <w:r>
        <w:rPr>
          <w:rFonts w:ascii="Arial" w:hAnsi="Arial" w:cs="Arial"/>
          <w:sz w:val="20"/>
          <w:szCs w:val="20"/>
        </w:rPr>
        <w:t>AS1158.3.1</w:t>
      </w:r>
    </w:p>
    <w:p w:rsidR="00564947" w:rsidRDefault="00564947">
      <w:pPr>
        <w:pStyle w:val="BodyText"/>
        <w:ind w:left="0"/>
        <w:rPr>
          <w:rFonts w:cs="Arial"/>
        </w:rPr>
      </w:pP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Part B General Development Controls Element 6 Environment, Intent a)</w:t>
      </w:r>
    </w:p>
    <w:p w:rsidR="00564947" w:rsidRDefault="00564947">
      <w:pPr>
        <w:pStyle w:val="BodyText"/>
        <w:ind w:left="0"/>
        <w:rPr>
          <w:rFonts w:cs="Arial"/>
        </w:rPr>
      </w:pPr>
    </w:p>
    <w:p w:rsidR="00564947" w:rsidRDefault="00564947">
      <w:pPr>
        <w:pStyle w:val="BodyText"/>
        <w:tabs>
          <w:tab w:val="clear" w:pos="720"/>
          <w:tab w:val="clear" w:pos="1440"/>
        </w:tabs>
        <w:spacing w:after="0"/>
        <w:ind w:left="357" w:hanging="357"/>
        <w:rPr>
          <w:rFonts w:cs="Arial"/>
          <w:i/>
        </w:rPr>
      </w:pPr>
      <w:r>
        <w:rPr>
          <w:rFonts w:cs="Arial"/>
          <w:i/>
        </w:rPr>
        <w:tab/>
        <w:t>Insert the following:</w:t>
      </w:r>
    </w:p>
    <w:p w:rsidR="00564947" w:rsidRDefault="00564947">
      <w:pPr>
        <w:pStyle w:val="BodyText"/>
        <w:tabs>
          <w:tab w:val="clear" w:pos="720"/>
          <w:tab w:val="clear" w:pos="1440"/>
        </w:tabs>
        <w:ind w:left="360" w:hanging="360"/>
        <w:rPr>
          <w:rFonts w:cs="Arial"/>
          <w:i/>
        </w:rPr>
      </w:pPr>
    </w:p>
    <w:tbl>
      <w:tblPr>
        <w:tblW w:w="88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60"/>
        <w:gridCol w:w="4360"/>
      </w:tblGrid>
      <w:tr w:rsidR="00564947">
        <w:trPr>
          <w:trHeight w:val="268"/>
        </w:trPr>
        <w:tc>
          <w:tcPr>
            <w:tcW w:w="8820" w:type="dxa"/>
            <w:gridSpan w:val="2"/>
            <w:tcBorders>
              <w:bottom w:val="nil"/>
            </w:tcBorders>
            <w:shd w:val="clear" w:color="auto" w:fill="E6E6E6"/>
          </w:tcPr>
          <w:p w:rsidR="00564947" w:rsidRDefault="00564947">
            <w:pPr>
              <w:pStyle w:val="CodeItem"/>
              <w:numPr>
                <w:ilvl w:val="0"/>
                <w:numId w:val="0"/>
              </w:numPr>
              <w:ind w:left="448" w:hanging="448"/>
            </w:pPr>
            <w:r>
              <w:t>6.1</w:t>
            </w:r>
            <w:r>
              <w:tab/>
              <w:t>Water Sensitive Urban Design</w:t>
            </w:r>
          </w:p>
          <w:p w:rsidR="00564947" w:rsidRDefault="00564947">
            <w:pPr>
              <w:rPr>
                <w:rFonts w:ascii="Arial" w:hAnsi="Arial" w:cs="Arial"/>
                <w:sz w:val="16"/>
              </w:rPr>
            </w:pPr>
            <w:r>
              <w:rPr>
                <w:rFonts w:ascii="Arial" w:hAnsi="Arial" w:cs="Arial"/>
                <w:sz w:val="16"/>
              </w:rPr>
              <w:t xml:space="preserve">Note: Refer to the </w:t>
            </w:r>
            <w:smartTag w:uri="urn:schemas-microsoft-com:office:smarttags" w:element="address">
              <w:smartTag w:uri="urn:schemas-microsoft-com:office:smarttags" w:element="Street">
                <w:r>
                  <w:rPr>
                    <w:rFonts w:ascii="Arial" w:hAnsi="Arial" w:cs="Arial"/>
                    <w:sz w:val="16"/>
                  </w:rPr>
                  <w:t>Water Ways</w:t>
                </w:r>
              </w:smartTag>
            </w:smartTag>
            <w:r>
              <w:rPr>
                <w:rFonts w:ascii="Arial" w:hAnsi="Arial" w:cs="Arial"/>
                <w:sz w:val="16"/>
              </w:rPr>
              <w:t xml:space="preserve">: Water Sensitive Urban Design General Code for more information on Water Sensitive Urban Design </w:t>
            </w:r>
          </w:p>
        </w:tc>
      </w:tr>
      <w:tr w:rsidR="00564947">
        <w:trPr>
          <w:trHeight w:val="2768"/>
        </w:trPr>
        <w:tc>
          <w:tcPr>
            <w:tcW w:w="4460" w:type="dxa"/>
            <w:shd w:val="clear" w:color="auto" w:fill="FFFFFF"/>
          </w:tcPr>
          <w:p w:rsidR="00564947" w:rsidRDefault="00564947">
            <w:pPr>
              <w:pStyle w:val="codeRuleList"/>
              <w:numPr>
                <w:ilvl w:val="0"/>
                <w:numId w:val="0"/>
              </w:numPr>
              <w:tabs>
                <w:tab w:val="left" w:pos="360"/>
              </w:tabs>
            </w:pPr>
            <w:r>
              <w:t>R57</w:t>
            </w:r>
          </w:p>
          <w:p w:rsidR="00564947" w:rsidRDefault="00564947">
            <w:pPr>
              <w:pStyle w:val="codeRuleCriteria"/>
            </w:pPr>
            <w:r>
              <w:t xml:space="preserve">Evidence is provided that shows the development achieves a minimum 40% reduction in mains water consumption compared to an equivalent development constructed in 2003 using the ACTPLA on-line assessment tool or another tool as included in the </w:t>
            </w:r>
            <w:smartTag w:uri="urn:schemas-microsoft-com:office:smarttags" w:element="address">
              <w:smartTag w:uri="urn:schemas-microsoft-com:office:smarttags" w:element="Street">
                <w:r>
                  <w:t>Water Ways</w:t>
                </w:r>
              </w:smartTag>
            </w:smartTag>
            <w:r>
              <w:t xml:space="preserve">: Water Sensitive Urban Design General Code.  The 40% target is met without any reliance on landscaping measures to reduce consumption. </w:t>
            </w:r>
          </w:p>
          <w:p w:rsidR="00564947" w:rsidRDefault="00564947">
            <w:pPr>
              <w:pStyle w:val="codeRuleCriteria"/>
              <w:keepNext/>
            </w:pPr>
            <w:r>
              <w:t>This requirement does not apply for extensions with an increase in the combined roof plan area, driveway, car manoeuvring areas and car parking areas of less than 25% of the original area.</w:t>
            </w:r>
          </w:p>
        </w:tc>
        <w:tc>
          <w:tcPr>
            <w:tcW w:w="4360" w:type="dxa"/>
            <w:shd w:val="clear" w:color="auto" w:fill="FFFFFF"/>
          </w:tcPr>
          <w:p w:rsidR="00564947" w:rsidRDefault="00564947">
            <w:pPr>
              <w:pStyle w:val="codeRuleCriteria"/>
              <w:spacing w:after="0"/>
            </w:pPr>
          </w:p>
          <w:p w:rsidR="00564947" w:rsidRDefault="00564947">
            <w:pPr>
              <w:pStyle w:val="codeRuleCriteria"/>
              <w:spacing w:before="0" w:after="0"/>
            </w:pPr>
            <w:r>
              <w:t>This is a mandatory requirement. There is no applicable criterion.</w:t>
            </w:r>
          </w:p>
        </w:tc>
      </w:tr>
      <w:tr w:rsidR="00564947">
        <w:trPr>
          <w:trHeight w:val="1635"/>
        </w:trPr>
        <w:tc>
          <w:tcPr>
            <w:tcW w:w="4460" w:type="dxa"/>
            <w:shd w:val="clear" w:color="auto" w:fill="FFFFFF"/>
          </w:tcPr>
          <w:p w:rsidR="00564947" w:rsidRDefault="00564947">
            <w:pPr>
              <w:pStyle w:val="codeRuleList"/>
              <w:numPr>
                <w:ilvl w:val="0"/>
                <w:numId w:val="0"/>
              </w:numPr>
              <w:tabs>
                <w:tab w:val="left" w:pos="360"/>
              </w:tabs>
            </w:pPr>
            <w:r>
              <w:t>R58</w:t>
            </w:r>
          </w:p>
          <w:p w:rsidR="00564947" w:rsidRDefault="00564947">
            <w:pPr>
              <w:pStyle w:val="codeRuleCriteria"/>
            </w:pPr>
            <w:r>
              <w:t>All sites of size greater than 2,000m</w:t>
            </w:r>
            <w:r>
              <w:rPr>
                <w:vertAlign w:val="superscript"/>
              </w:rPr>
              <w:t>2</w:t>
            </w:r>
            <w:r>
              <w:t xml:space="preserve"> need to provide evidence of stormwater storage greater than or equal to the volume of 1.4kL per 100m</w:t>
            </w:r>
            <w:r>
              <w:rPr>
                <w:vertAlign w:val="superscript"/>
              </w:rPr>
              <w:t>2</w:t>
            </w:r>
            <w:r>
              <w:t xml:space="preserve"> of impervious area and release over a period of 1 to 3 days. 50% of the volume of rainwater tanks with a toilet connection may be regarded as contributing towards this requirement.</w:t>
            </w:r>
          </w:p>
          <w:p w:rsidR="00564947" w:rsidRDefault="00564947">
            <w:pPr>
              <w:pStyle w:val="codeRuleCriteria"/>
            </w:pPr>
            <w:r>
              <w:t>This requirement does not apply for extensions with an increase in the combined roof plan area, driveway, car manoeuvring areas and car parking areas of less than 25% of the original area.</w:t>
            </w:r>
          </w:p>
        </w:tc>
        <w:tc>
          <w:tcPr>
            <w:tcW w:w="4360" w:type="dxa"/>
            <w:shd w:val="clear" w:color="auto" w:fill="FFFFFF"/>
          </w:tcPr>
          <w:p w:rsidR="00564947" w:rsidRDefault="00564947">
            <w:pPr>
              <w:pStyle w:val="codeCriteriaList"/>
              <w:numPr>
                <w:ilvl w:val="0"/>
                <w:numId w:val="0"/>
              </w:numPr>
            </w:pPr>
            <w:r>
              <w:t>C58</w:t>
            </w:r>
          </w:p>
          <w:p w:rsidR="00564947" w:rsidRDefault="00564947">
            <w:pPr>
              <w:pStyle w:val="codeCriteriaList"/>
              <w:numPr>
                <w:ilvl w:val="0"/>
                <w:numId w:val="0"/>
              </w:numPr>
            </w:pPr>
            <w:r>
              <w:t>Evidence is provided that demonstrates that for all sites of size greater than 2,000m</w:t>
            </w:r>
            <w:r>
              <w:rPr>
                <w:vertAlign w:val="superscript"/>
              </w:rPr>
              <w:t>2</w:t>
            </w:r>
            <w:r>
              <w:t>, a reduction of 1-in-3 month stormwater peak run off flow to pre-development levels with release of captured flow over a period of 1 to 3 days can be achieved.</w:t>
            </w:r>
          </w:p>
          <w:p w:rsidR="00564947" w:rsidRDefault="00564947">
            <w:pPr>
              <w:pStyle w:val="codeRuleCriteria"/>
            </w:pPr>
            <w:r>
              <w:br/>
            </w:r>
            <w:r>
              <w:br/>
              <w:t>This requirement does not apply for extensions with an increase in the combined roof plan area, driveway, car manoeuvring areas and car parking areas of less than 25% of the original area.</w:t>
            </w:r>
          </w:p>
        </w:tc>
      </w:tr>
      <w:tr w:rsidR="00564947">
        <w:trPr>
          <w:trHeight w:val="875"/>
        </w:trPr>
        <w:tc>
          <w:tcPr>
            <w:tcW w:w="4460" w:type="dxa"/>
            <w:shd w:val="clear" w:color="auto" w:fill="FFFFFF"/>
          </w:tcPr>
          <w:p w:rsidR="00564947" w:rsidRDefault="00564947">
            <w:pPr>
              <w:pStyle w:val="codeRuleList"/>
              <w:numPr>
                <w:ilvl w:val="0"/>
                <w:numId w:val="0"/>
              </w:numPr>
              <w:tabs>
                <w:tab w:val="left" w:pos="360"/>
              </w:tabs>
            </w:pPr>
            <w:r>
              <w:t>R59</w:t>
            </w:r>
          </w:p>
          <w:p w:rsidR="00564947" w:rsidRDefault="00564947">
            <w:pPr>
              <w:pStyle w:val="codeList"/>
              <w:numPr>
                <w:ilvl w:val="0"/>
                <w:numId w:val="0"/>
              </w:numPr>
            </w:pPr>
            <w:r>
              <w:t>Sites of size greater than 5,000m</w:t>
            </w:r>
            <w:r>
              <w:rPr>
                <w:vertAlign w:val="superscript"/>
              </w:rPr>
              <w:t>2</w:t>
            </w:r>
            <w:r>
              <w:t xml:space="preserve"> need to provide evidence showing a reduction in average annual stormwater pollutant export load of:</w:t>
            </w:r>
          </w:p>
          <w:p w:rsidR="00564947" w:rsidRDefault="00564947">
            <w:pPr>
              <w:pStyle w:val="codeList"/>
              <w:numPr>
                <w:ilvl w:val="0"/>
                <w:numId w:val="0"/>
              </w:numPr>
              <w:ind w:left="448" w:hanging="448"/>
            </w:pPr>
            <w:r>
              <w:t>a)</w:t>
            </w:r>
            <w:r>
              <w:tab/>
              <w:t>suspended solids by 60%</w:t>
            </w:r>
          </w:p>
          <w:p w:rsidR="00564947" w:rsidRDefault="00564947">
            <w:pPr>
              <w:pStyle w:val="codeList"/>
              <w:numPr>
                <w:ilvl w:val="0"/>
                <w:numId w:val="0"/>
              </w:numPr>
              <w:ind w:left="448" w:hanging="448"/>
            </w:pPr>
            <w:r>
              <w:t>b)</w:t>
            </w:r>
            <w:r>
              <w:tab/>
              <w:t>total phosphorous by 45%</w:t>
            </w:r>
          </w:p>
          <w:p w:rsidR="00564947" w:rsidRDefault="00564947">
            <w:pPr>
              <w:pStyle w:val="codeList"/>
              <w:numPr>
                <w:ilvl w:val="0"/>
                <w:numId w:val="0"/>
              </w:numPr>
              <w:ind w:left="448" w:hanging="448"/>
            </w:pPr>
            <w:r>
              <w:t>c)</w:t>
            </w:r>
            <w:r>
              <w:tab/>
              <w:t>total nitrogen by 40%</w:t>
            </w:r>
          </w:p>
          <w:p w:rsidR="00564947" w:rsidRDefault="00564947">
            <w:pPr>
              <w:pStyle w:val="codeList"/>
              <w:numPr>
                <w:ilvl w:val="0"/>
                <w:numId w:val="0"/>
              </w:numPr>
            </w:pPr>
            <w:r>
              <w:rPr>
                <w:rStyle w:val="codeRuleCriteriaChar"/>
              </w:rPr>
              <w:t>compared to an urban catchment with no water quality management controls, using the MUSIC model to demonstrate</w:t>
            </w:r>
            <w:r>
              <w:t xml:space="preserve"> compliance.</w:t>
            </w:r>
          </w:p>
          <w:p w:rsidR="00564947" w:rsidRDefault="00564947">
            <w:pPr>
              <w:pStyle w:val="codeList"/>
              <w:numPr>
                <w:ilvl w:val="0"/>
                <w:numId w:val="0"/>
              </w:numPr>
            </w:pPr>
            <w:r>
              <w:t>This requirement does not apply for extensions with an increase in the combined roof plan area, driveway, car manoeuvring areas and car parking areas of less than 25% of the original area.</w:t>
            </w:r>
          </w:p>
        </w:tc>
        <w:tc>
          <w:tcPr>
            <w:tcW w:w="4360" w:type="dxa"/>
            <w:shd w:val="clear" w:color="auto" w:fill="FFFFFF"/>
          </w:tcPr>
          <w:p w:rsidR="00564947" w:rsidRDefault="00564947">
            <w:pPr>
              <w:pStyle w:val="codeList"/>
              <w:numPr>
                <w:ilvl w:val="0"/>
                <w:numId w:val="0"/>
              </w:numPr>
            </w:pPr>
            <w:r>
              <w:t>C59</w:t>
            </w:r>
          </w:p>
          <w:p w:rsidR="00564947" w:rsidRDefault="00564947">
            <w:pPr>
              <w:pStyle w:val="codeList"/>
              <w:numPr>
                <w:ilvl w:val="0"/>
                <w:numId w:val="0"/>
              </w:numPr>
            </w:pPr>
            <w:r>
              <w:t>Sites of size greater than 5,000m</w:t>
            </w:r>
            <w:r>
              <w:rPr>
                <w:vertAlign w:val="superscript"/>
              </w:rPr>
              <w:t>2</w:t>
            </w:r>
            <w:r>
              <w:t xml:space="preserve"> need to provide evidence showing a reduction in average annual stormwater pollutant export load of:</w:t>
            </w:r>
          </w:p>
          <w:p w:rsidR="00564947" w:rsidRDefault="00564947">
            <w:pPr>
              <w:pStyle w:val="codeList"/>
              <w:numPr>
                <w:ilvl w:val="0"/>
                <w:numId w:val="0"/>
              </w:numPr>
              <w:tabs>
                <w:tab w:val="left" w:pos="516"/>
              </w:tabs>
              <w:ind w:left="-426" w:firstLine="426"/>
            </w:pPr>
            <w:r>
              <w:t>a)</w:t>
            </w:r>
            <w:r>
              <w:tab/>
              <w:t>suspended solids by 60%</w:t>
            </w:r>
          </w:p>
          <w:p w:rsidR="00564947" w:rsidRDefault="00564947">
            <w:pPr>
              <w:pStyle w:val="codeList"/>
              <w:numPr>
                <w:ilvl w:val="0"/>
                <w:numId w:val="0"/>
              </w:numPr>
              <w:ind w:left="448" w:hanging="448"/>
            </w:pPr>
            <w:r>
              <w:t>b)</w:t>
            </w:r>
            <w:r>
              <w:tab/>
              <w:t xml:space="preserve"> total phosphorous by 45%</w:t>
            </w:r>
          </w:p>
          <w:p w:rsidR="00564947" w:rsidRDefault="00564947">
            <w:pPr>
              <w:pStyle w:val="codeList"/>
              <w:numPr>
                <w:ilvl w:val="0"/>
                <w:numId w:val="0"/>
              </w:numPr>
              <w:ind w:left="448" w:hanging="448"/>
            </w:pPr>
            <w:r>
              <w:t>c)</w:t>
            </w:r>
            <w:r>
              <w:tab/>
              <w:t xml:space="preserve"> total nitrogen by 40%</w:t>
            </w:r>
          </w:p>
          <w:p w:rsidR="00564947" w:rsidRDefault="00564947">
            <w:pPr>
              <w:pStyle w:val="codeRuleCriteria"/>
            </w:pPr>
            <w:r>
              <w:t>compared to an urban catchment with no water quality management controls, using any other method.</w:t>
            </w:r>
          </w:p>
          <w:p w:rsidR="00564947" w:rsidRDefault="00564947">
            <w:pPr>
              <w:pStyle w:val="codeRuleCriteria"/>
            </w:pPr>
            <w:r>
              <w:t>This requirement does not apply for extensions with an increase in the combined roof plan area, driveway, car manoeuvring areas and car parking areas of less than 25% of the original area.</w:t>
            </w:r>
          </w:p>
        </w:tc>
      </w:tr>
      <w:tr w:rsidR="00564947">
        <w:trPr>
          <w:trHeight w:val="836"/>
        </w:trPr>
        <w:tc>
          <w:tcPr>
            <w:tcW w:w="4460" w:type="dxa"/>
            <w:shd w:val="clear" w:color="auto" w:fill="FFFFFF"/>
          </w:tcPr>
          <w:p w:rsidR="00564947" w:rsidRDefault="00564947">
            <w:pPr>
              <w:pStyle w:val="codeRuleList"/>
              <w:numPr>
                <w:ilvl w:val="0"/>
                <w:numId w:val="0"/>
              </w:numPr>
              <w:tabs>
                <w:tab w:val="left" w:pos="360"/>
              </w:tabs>
            </w:pPr>
            <w:r>
              <w:t>R60</w:t>
            </w:r>
          </w:p>
          <w:p w:rsidR="00564947" w:rsidRDefault="00564947">
            <w:pPr>
              <w:pStyle w:val="bodyText0"/>
            </w:pPr>
            <w:r>
              <w:t>All sites of size greater than 2,000m</w:t>
            </w:r>
            <w:r>
              <w:rPr>
                <w:vertAlign w:val="superscript"/>
              </w:rPr>
              <w:t>2</w:t>
            </w:r>
            <w:r>
              <w:t xml:space="preserve"> and subject to redevelopment need to ensure that the capacity of the existing pipe (minor) stormwater connection to the site is not exceeded in the 1-in-20 year storm event. </w:t>
            </w:r>
          </w:p>
          <w:p w:rsidR="00564947" w:rsidRDefault="00564947">
            <w:pPr>
              <w:pStyle w:val="bodyText0"/>
              <w:spacing w:before="0"/>
            </w:pPr>
            <w:r>
              <w:t>All sites of size greater than 2,000m</w:t>
            </w:r>
            <w:r>
              <w:rPr>
                <w:vertAlign w:val="superscript"/>
              </w:rPr>
              <w:t>2</w:t>
            </w:r>
            <w:r>
              <w:t xml:space="preserve"> and subject to redevelopment need to ensure that the capacity of the existing overland (major) stormwater system to the site is not exceeded in the 1-in-100 year storm event. </w:t>
            </w:r>
          </w:p>
          <w:p w:rsidR="00564947" w:rsidRDefault="00564947">
            <w:pPr>
              <w:pStyle w:val="bodyText0"/>
              <w:spacing w:before="0"/>
            </w:pPr>
          </w:p>
          <w:p w:rsidR="00564947" w:rsidRDefault="00564947">
            <w:pPr>
              <w:pStyle w:val="bodyText0"/>
              <w:spacing w:before="0"/>
            </w:pPr>
            <w:r>
              <w:t>For estate and multiple block developments larger than 5,000m</w:t>
            </w:r>
            <w:r>
              <w:rPr>
                <w:vertAlign w:val="superscript"/>
              </w:rPr>
              <w:t>2</w:t>
            </w:r>
            <w:r>
              <w:t>, retardation of stormwater to meet the above requirements are to be met at the estate scale rather than by measures on individual blocks.</w:t>
            </w:r>
          </w:p>
        </w:tc>
        <w:tc>
          <w:tcPr>
            <w:tcW w:w="4360" w:type="dxa"/>
            <w:shd w:val="clear" w:color="auto" w:fill="FFFFFF"/>
          </w:tcPr>
          <w:p w:rsidR="00564947" w:rsidRDefault="00564947">
            <w:pPr>
              <w:pStyle w:val="codeCriteriaList"/>
              <w:numPr>
                <w:ilvl w:val="0"/>
                <w:numId w:val="0"/>
              </w:numPr>
            </w:pPr>
            <w:r>
              <w:t>C60</w:t>
            </w:r>
          </w:p>
          <w:p w:rsidR="00564947" w:rsidRDefault="00564947">
            <w:pPr>
              <w:pStyle w:val="codeRuleCriteria"/>
            </w:pPr>
            <w:r>
              <w:t>Evidence is provided by a suitably qualified person that shows that for all sites of size greater than 2,000m</w:t>
            </w:r>
            <w:r>
              <w:rPr>
                <w:vertAlign w:val="superscript"/>
              </w:rPr>
              <w:t>2</w:t>
            </w:r>
            <w:r>
              <w:t xml:space="preserve"> and subject to redevelopment</w:t>
            </w:r>
          </w:p>
          <w:p w:rsidR="00564947" w:rsidRDefault="00564947">
            <w:pPr>
              <w:pStyle w:val="codeRuleCriteria"/>
            </w:pPr>
            <w:r>
              <w:t>EITHER</w:t>
            </w:r>
          </w:p>
          <w:p w:rsidR="00564947" w:rsidRDefault="00564947">
            <w:pPr>
              <w:pStyle w:val="codeRuleCriteria"/>
              <w:spacing w:before="0" w:after="0"/>
            </w:pPr>
            <w:r>
              <w:t>a reduction of 1-in-5 year and 1-in-100 year stormwater peak run off flow to pre-development levels. See WaterWays General Code for more detail.</w:t>
            </w:r>
          </w:p>
          <w:p w:rsidR="00564947" w:rsidRDefault="00564947">
            <w:pPr>
              <w:pStyle w:val="codeRuleCriteria"/>
              <w:spacing w:before="0" w:after="0"/>
            </w:pPr>
            <w:r>
              <w:t>OR</w:t>
            </w:r>
          </w:p>
          <w:p w:rsidR="00564947" w:rsidRDefault="00564947">
            <w:pPr>
              <w:pStyle w:val="codeRuleCriteria"/>
              <w:spacing w:before="0" w:after="0"/>
            </w:pPr>
            <w:r>
              <w:t>That the capacity of the downstream piped stormwater system to its outlet with an open channel is not exceeded in the 1-in-20 year storm event.</w:t>
            </w:r>
          </w:p>
          <w:p w:rsidR="00564947" w:rsidRDefault="00564947">
            <w:pPr>
              <w:pStyle w:val="codeRuleCriteria"/>
              <w:spacing w:before="0" w:after="0" w:line="240" w:lineRule="auto"/>
            </w:pPr>
          </w:p>
          <w:p w:rsidR="00564947" w:rsidRDefault="00564947">
            <w:pPr>
              <w:pStyle w:val="codeCriteriaList"/>
              <w:numPr>
                <w:ilvl w:val="0"/>
                <w:numId w:val="0"/>
              </w:numPr>
              <w:spacing w:line="240" w:lineRule="auto"/>
            </w:pPr>
            <w:r>
              <w:t>For estate and multiple block developments larger than 5,000m</w:t>
            </w:r>
            <w:r>
              <w:rPr>
                <w:vertAlign w:val="superscript"/>
              </w:rPr>
              <w:t>2</w:t>
            </w:r>
            <w:r>
              <w:t>, retardation of stormwater to meet the above requirements are to be met at the estate scale unless it can be demonstrated that this is less feasible than measures on individual blocks.</w:t>
            </w:r>
          </w:p>
        </w:tc>
      </w:tr>
    </w:tbl>
    <w:p w:rsidR="00564947" w:rsidRDefault="00564947" w:rsidP="00564947">
      <w:pPr>
        <w:pStyle w:val="Heading4"/>
        <w:keepNext/>
        <w:spacing w:before="360"/>
      </w:pPr>
      <w:r>
        <w:t>Variation to inner north precinct code</w:t>
      </w:r>
    </w:p>
    <w:p w:rsidR="00564947" w:rsidRDefault="00564947" w:rsidP="00564947">
      <w:pPr>
        <w:keepNext/>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Part A General Development Controls, Element 3 Built Form, Item 3.2 Interface R18</w:t>
      </w:r>
    </w:p>
    <w:p w:rsidR="00564947" w:rsidRDefault="00564947" w:rsidP="00564947">
      <w:pPr>
        <w:pStyle w:val="BodyText"/>
        <w:keepNext/>
        <w:ind w:left="0"/>
        <w:rPr>
          <w:rFonts w:cs="Arial"/>
        </w:rPr>
      </w:pPr>
    </w:p>
    <w:p w:rsidR="00564947" w:rsidRDefault="00564947">
      <w:pPr>
        <w:pStyle w:val="BodyText"/>
        <w:tabs>
          <w:tab w:val="clear" w:pos="720"/>
          <w:tab w:val="clear" w:pos="1440"/>
        </w:tabs>
        <w:ind w:left="0" w:firstLine="360"/>
        <w:rPr>
          <w:rFonts w:cs="Arial"/>
        </w:rPr>
      </w:pPr>
      <w:r>
        <w:rPr>
          <w:rFonts w:cs="Arial"/>
          <w:i/>
        </w:rPr>
        <w:t>Substitute wording as underlined below:</w:t>
      </w:r>
    </w:p>
    <w:p w:rsidR="00564947" w:rsidRDefault="00564947">
      <w:pPr>
        <w:pStyle w:val="BodyText"/>
        <w:spacing w:before="120"/>
        <w:ind w:left="357"/>
        <w:rPr>
          <w:rFonts w:cs="Arial"/>
          <w:sz w:val="20"/>
          <w:szCs w:val="20"/>
        </w:rPr>
      </w:pPr>
      <w:r>
        <w:rPr>
          <w:rFonts w:cs="Arial"/>
          <w:sz w:val="20"/>
          <w:szCs w:val="20"/>
        </w:rPr>
        <w:t xml:space="preserve">Redevelopment of </w:t>
      </w:r>
      <w:r>
        <w:rPr>
          <w:rFonts w:cs="Arial"/>
          <w:sz w:val="20"/>
          <w:szCs w:val="20"/>
          <w:u w:val="single"/>
        </w:rPr>
        <w:t>more than two dwellings on</w:t>
      </w:r>
      <w:r>
        <w:rPr>
          <w:rFonts w:cs="Arial"/>
          <w:sz w:val="20"/>
          <w:szCs w:val="20"/>
        </w:rPr>
        <w:t xml:space="preserve"> a block in RZ4 is not permitted where it adjoins an existing single dwelling that has an existing or approved redevelopment of more than two dwellings on the other side boundary, unless the single dwelling site is one or more of the following:</w:t>
      </w:r>
    </w:p>
    <w:p w:rsidR="00564947" w:rsidRDefault="00564947">
      <w:pPr>
        <w:pStyle w:val="BodyText"/>
        <w:ind w:left="0"/>
        <w:rPr>
          <w:rFonts w:cs="Arial"/>
        </w:rPr>
      </w:pPr>
      <w:bookmarkStart w:id="12" w:name="OLE_LINK3"/>
      <w:bookmarkStart w:id="13" w:name="OLE_LINK4"/>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Part B Control Plans, Control Plan - Lyneham (page 14)</w:t>
      </w:r>
    </w:p>
    <w:p w:rsidR="00564947" w:rsidRDefault="00564947">
      <w:pPr>
        <w:pStyle w:val="BodyText"/>
        <w:ind w:left="0"/>
        <w:rPr>
          <w:rFonts w:cs="Arial"/>
          <w:b/>
        </w:rPr>
      </w:pPr>
    </w:p>
    <w:bookmarkEnd w:id="12"/>
    <w:bookmarkEnd w:id="13"/>
    <w:p w:rsidR="00564947" w:rsidRDefault="00564947">
      <w:pPr>
        <w:pStyle w:val="BodyText"/>
        <w:tabs>
          <w:tab w:val="clear" w:pos="720"/>
          <w:tab w:val="clear" w:pos="1440"/>
        </w:tabs>
        <w:ind w:left="0" w:firstLine="360"/>
        <w:rPr>
          <w:rFonts w:cs="Arial"/>
          <w:i/>
        </w:rPr>
      </w:pPr>
      <w:r>
        <w:rPr>
          <w:rFonts w:cs="Arial"/>
          <w:i/>
        </w:rPr>
        <w:t>Substitute ‘Control Plan – Lyneham’ with the amended control plan at Appendix A</w:t>
      </w:r>
    </w:p>
    <w:p w:rsidR="00564947" w:rsidRDefault="00564947">
      <w:pPr>
        <w:pStyle w:val="Heading4"/>
      </w:pPr>
      <w:r>
        <w:t>Variation to access and mobility general code</w:t>
      </w: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Part A General Development Controls Element 2 External Access to Entrances Item 2.2 Lighting R5</w:t>
      </w:r>
    </w:p>
    <w:p w:rsidR="00564947" w:rsidRDefault="00564947">
      <w:pPr>
        <w:pStyle w:val="BodyText"/>
        <w:ind w:left="0"/>
        <w:rPr>
          <w:rFonts w:cs="Arial"/>
        </w:rPr>
      </w:pPr>
    </w:p>
    <w:p w:rsidR="00564947" w:rsidRDefault="00564947">
      <w:pPr>
        <w:ind w:firstLine="357"/>
        <w:rPr>
          <w:rFonts w:ascii="Arial" w:hAnsi="Arial" w:cs="Arial"/>
          <w:i/>
        </w:rPr>
      </w:pPr>
      <w:r>
        <w:rPr>
          <w:rFonts w:ascii="Arial" w:hAnsi="Arial" w:cs="Arial"/>
          <w:i/>
        </w:rPr>
        <w:t>Substitute AS1158.3 with</w:t>
      </w:r>
    </w:p>
    <w:p w:rsidR="00564947" w:rsidRDefault="00564947">
      <w:pPr>
        <w:rPr>
          <w:rFonts w:ascii="Arial" w:hAnsi="Arial" w:cs="Arial"/>
        </w:rPr>
      </w:pPr>
    </w:p>
    <w:p w:rsidR="00564947" w:rsidRDefault="00564947">
      <w:pPr>
        <w:spacing w:after="120"/>
        <w:ind w:firstLine="357"/>
        <w:rPr>
          <w:rFonts w:ascii="Arial" w:hAnsi="Arial" w:cs="Arial"/>
          <w:sz w:val="20"/>
          <w:szCs w:val="20"/>
        </w:rPr>
      </w:pPr>
      <w:r>
        <w:rPr>
          <w:rFonts w:ascii="Arial" w:hAnsi="Arial" w:cs="Arial"/>
          <w:sz w:val="20"/>
          <w:szCs w:val="20"/>
        </w:rPr>
        <w:t>AS1158.3.1</w:t>
      </w:r>
    </w:p>
    <w:p w:rsidR="00564947" w:rsidRDefault="00564947">
      <w:pPr>
        <w:pStyle w:val="Heading4"/>
        <w:rPr>
          <w:rFonts w:cs="Arial"/>
        </w:rPr>
      </w:pPr>
      <w:r>
        <w:rPr>
          <w:rFonts w:cs="Arial"/>
        </w:rPr>
        <w:t>Variation to Definitions</w:t>
      </w: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Part A Definitions of Development – Playing field</w:t>
      </w:r>
    </w:p>
    <w:p w:rsidR="00564947" w:rsidRDefault="00564947">
      <w:pPr>
        <w:pStyle w:val="BodyText"/>
        <w:ind w:left="0"/>
        <w:rPr>
          <w:rFonts w:cs="Arial"/>
        </w:rPr>
      </w:pPr>
    </w:p>
    <w:p w:rsidR="00564947" w:rsidRDefault="00564947">
      <w:pPr>
        <w:ind w:firstLine="360"/>
        <w:rPr>
          <w:rFonts w:ascii="Arial" w:hAnsi="Arial" w:cs="Arial"/>
          <w:i/>
        </w:rPr>
      </w:pPr>
      <w:r>
        <w:rPr>
          <w:rFonts w:ascii="Arial" w:hAnsi="Arial" w:cs="Arial"/>
          <w:i/>
        </w:rPr>
        <w:t>Substitute wording as underlined below:</w:t>
      </w:r>
    </w:p>
    <w:p w:rsidR="00564947" w:rsidRDefault="00564947">
      <w:pPr>
        <w:pStyle w:val="BodyText"/>
        <w:tabs>
          <w:tab w:val="clear" w:pos="1440"/>
        </w:tabs>
        <w:ind w:left="720"/>
        <w:rPr>
          <w:rFonts w:cs="Arial"/>
          <w:i/>
        </w:rPr>
      </w:pPr>
    </w:p>
    <w:p w:rsidR="00564947" w:rsidRDefault="00564947">
      <w:pPr>
        <w:pStyle w:val="BodyText"/>
        <w:tabs>
          <w:tab w:val="clear" w:pos="720"/>
          <w:tab w:val="clear" w:pos="1440"/>
        </w:tabs>
        <w:ind w:left="360"/>
        <w:rPr>
          <w:rFonts w:cs="Arial"/>
          <w:sz w:val="20"/>
          <w:szCs w:val="20"/>
        </w:rPr>
      </w:pPr>
      <w:r>
        <w:rPr>
          <w:rFonts w:cs="Arial"/>
          <w:b/>
          <w:sz w:val="20"/>
          <w:szCs w:val="20"/>
        </w:rPr>
        <w:t xml:space="preserve">Playing field </w:t>
      </w:r>
      <w:r>
        <w:rPr>
          <w:rFonts w:cs="Arial"/>
          <w:sz w:val="20"/>
          <w:szCs w:val="20"/>
        </w:rPr>
        <w:t xml:space="preserve">means the use of land which is unrestricted to public access and which is used </w:t>
      </w:r>
      <w:r>
        <w:rPr>
          <w:rFonts w:cs="Arial"/>
          <w:color w:val="000000"/>
          <w:sz w:val="20"/>
          <w:szCs w:val="20"/>
          <w:u w:val="single"/>
        </w:rPr>
        <w:t>as an outdoor recreation facility for activities such as</w:t>
      </w:r>
      <w:r>
        <w:rPr>
          <w:rFonts w:cs="Arial"/>
          <w:sz w:val="20"/>
          <w:szCs w:val="20"/>
        </w:rPr>
        <w:t xml:space="preserve"> the conduct of sports, athletics and games and includes facilities with such land for the enjoyment or convenience of the public such as kiosks, </w:t>
      </w:r>
      <w:r>
        <w:rPr>
          <w:rFonts w:cs="Arial"/>
          <w:i/>
          <w:sz w:val="20"/>
          <w:szCs w:val="20"/>
        </w:rPr>
        <w:t>car parks</w:t>
      </w:r>
      <w:r>
        <w:rPr>
          <w:rFonts w:cs="Arial"/>
          <w:sz w:val="20"/>
          <w:szCs w:val="20"/>
        </w:rPr>
        <w:t xml:space="preserve">, changing facilities, pavilions and the like. </w:t>
      </w:r>
    </w:p>
    <w:p w:rsidR="00564947" w:rsidRDefault="00564947">
      <w:pPr>
        <w:pStyle w:val="BodyText"/>
        <w:tabs>
          <w:tab w:val="clear" w:pos="720"/>
          <w:tab w:val="clear" w:pos="1440"/>
        </w:tabs>
        <w:ind w:left="360"/>
        <w:rPr>
          <w:rFonts w:cs="Arial"/>
          <w:sz w:val="20"/>
          <w:szCs w:val="20"/>
        </w:rPr>
      </w:pPr>
    </w:p>
    <w:p w:rsidR="00564947" w:rsidRDefault="00564947">
      <w:pPr>
        <w:pStyle w:val="Heading4"/>
      </w:pPr>
      <w:r>
        <w:br w:type="page"/>
        <w:t xml:space="preserve">Variation to structure plans Gungahlin town centre and central area </w:t>
      </w: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 xml:space="preserve">Urban Structure Principles Central Area, </w:t>
      </w:r>
      <w:smartTag w:uri="urn:schemas-microsoft-com:office:smarttags" w:element="PlaceName">
        <w:smartTag w:uri="urn:schemas-microsoft-com:office:smarttags" w:element="place">
          <w:r>
            <w:rPr>
              <w:rFonts w:ascii="Arial" w:hAnsi="Arial" w:cs="Arial"/>
              <w:b/>
            </w:rPr>
            <w:t>Central</w:t>
          </w:r>
        </w:smartTag>
        <w:r>
          <w:rPr>
            <w:rFonts w:ascii="Arial" w:hAnsi="Arial" w:cs="Arial"/>
            <w:b/>
          </w:rPr>
          <w:t xml:space="preserve"> </w:t>
        </w:r>
        <w:smartTag w:uri="urn:schemas-microsoft-com:office:smarttags" w:element="PlaceName">
          <w:r>
            <w:rPr>
              <w:rFonts w:ascii="Arial" w:hAnsi="Arial" w:cs="Arial"/>
              <w:b/>
            </w:rPr>
            <w:t>Area</w:t>
          </w:r>
        </w:smartTag>
        <w:r>
          <w:rPr>
            <w:rFonts w:ascii="Arial" w:hAnsi="Arial" w:cs="Arial"/>
            <w:b/>
          </w:rPr>
          <w:t xml:space="preserve"> </w:t>
        </w:r>
        <w:smartTag w:uri="urn:schemas-microsoft-com:office:smarttags" w:element="PlaceType">
          <w:r>
            <w:rPr>
              <w:rFonts w:ascii="Arial" w:hAnsi="Arial" w:cs="Arial"/>
              <w:b/>
            </w:rPr>
            <w:t>Land</w:t>
          </w:r>
        </w:smartTag>
      </w:smartTag>
      <w:r>
        <w:rPr>
          <w:rFonts w:ascii="Arial" w:hAnsi="Arial" w:cs="Arial"/>
          <w:b/>
        </w:rPr>
        <w:t xml:space="preserve"> Use 7 </w:t>
      </w:r>
    </w:p>
    <w:p w:rsidR="00564947" w:rsidRDefault="00564947">
      <w:pPr>
        <w:pStyle w:val="BodyText"/>
        <w:spacing w:after="0"/>
        <w:ind w:left="0"/>
        <w:rPr>
          <w:rFonts w:cs="Arial"/>
          <w:i/>
        </w:rPr>
      </w:pPr>
    </w:p>
    <w:p w:rsidR="00564947" w:rsidRDefault="00564947">
      <w:pPr>
        <w:pStyle w:val="BodyText"/>
        <w:tabs>
          <w:tab w:val="clear" w:pos="720"/>
          <w:tab w:val="clear" w:pos="1440"/>
        </w:tabs>
        <w:spacing w:after="0"/>
        <w:ind w:left="0" w:firstLine="360"/>
        <w:rPr>
          <w:rFonts w:cs="Arial"/>
          <w:i/>
        </w:rPr>
      </w:pPr>
      <w:r>
        <w:rPr>
          <w:rFonts w:cs="Arial"/>
          <w:i/>
        </w:rPr>
        <w:t>In the second line substitute ‘Wells’ with:</w:t>
      </w:r>
    </w:p>
    <w:p w:rsidR="00564947" w:rsidRDefault="00564947">
      <w:pPr>
        <w:pStyle w:val="BodyText"/>
        <w:tabs>
          <w:tab w:val="clear" w:pos="720"/>
          <w:tab w:val="clear" w:pos="1440"/>
        </w:tabs>
        <w:spacing w:before="240"/>
        <w:ind w:left="357"/>
        <w:rPr>
          <w:rFonts w:cs="Arial"/>
          <w:sz w:val="22"/>
          <w:szCs w:val="22"/>
        </w:rPr>
      </w:pPr>
      <w:r>
        <w:rPr>
          <w:rFonts w:cs="Arial"/>
          <w:sz w:val="22"/>
          <w:szCs w:val="22"/>
        </w:rPr>
        <w:t>Well</w:t>
      </w:r>
    </w:p>
    <w:p w:rsidR="00564947" w:rsidRDefault="00564947">
      <w:pPr>
        <w:pStyle w:val="BodyText"/>
        <w:spacing w:after="0"/>
        <w:ind w:left="0"/>
        <w:rPr>
          <w:rFonts w:cs="Arial"/>
          <w:b/>
        </w:rPr>
      </w:pP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Urban Structure Principles Central Area, Central Area Heritage 4</w:t>
      </w:r>
    </w:p>
    <w:p w:rsidR="00564947" w:rsidRDefault="00564947">
      <w:pPr>
        <w:pStyle w:val="BodyText"/>
        <w:spacing w:after="0"/>
        <w:ind w:left="0"/>
        <w:rPr>
          <w:rFonts w:cs="Arial"/>
          <w:i/>
        </w:rPr>
      </w:pPr>
    </w:p>
    <w:p w:rsidR="00564947" w:rsidRDefault="00564947">
      <w:pPr>
        <w:pStyle w:val="BodyText"/>
        <w:tabs>
          <w:tab w:val="clear" w:pos="720"/>
          <w:tab w:val="clear" w:pos="1440"/>
        </w:tabs>
        <w:spacing w:after="0"/>
        <w:ind w:left="0" w:firstLine="360"/>
        <w:rPr>
          <w:rFonts w:cs="Arial"/>
          <w:i/>
        </w:rPr>
      </w:pPr>
      <w:r>
        <w:rPr>
          <w:rFonts w:cs="Arial"/>
          <w:i/>
        </w:rPr>
        <w:t>In the first line substitute ‘Wells’ with:</w:t>
      </w:r>
    </w:p>
    <w:p w:rsidR="00564947" w:rsidRDefault="00564947">
      <w:pPr>
        <w:pStyle w:val="BodyText"/>
        <w:spacing w:after="0"/>
        <w:ind w:left="0"/>
        <w:rPr>
          <w:rFonts w:cs="Arial"/>
        </w:rPr>
      </w:pPr>
      <w:r>
        <w:rPr>
          <w:rFonts w:cs="Arial"/>
        </w:rPr>
        <w:tab/>
      </w:r>
    </w:p>
    <w:p w:rsidR="00564947" w:rsidRDefault="00564947">
      <w:pPr>
        <w:pStyle w:val="BodyText"/>
        <w:tabs>
          <w:tab w:val="clear" w:pos="720"/>
          <w:tab w:val="clear" w:pos="1440"/>
        </w:tabs>
        <w:ind w:left="0" w:firstLine="357"/>
        <w:rPr>
          <w:rFonts w:cs="Arial"/>
          <w:sz w:val="22"/>
          <w:szCs w:val="22"/>
        </w:rPr>
      </w:pPr>
      <w:r>
        <w:rPr>
          <w:rFonts w:cs="Arial"/>
          <w:sz w:val="22"/>
          <w:szCs w:val="22"/>
        </w:rPr>
        <w:t>Well</w:t>
      </w:r>
    </w:p>
    <w:p w:rsidR="00564947" w:rsidRDefault="00564947">
      <w:pPr>
        <w:pStyle w:val="BodyText"/>
        <w:spacing w:after="0"/>
        <w:ind w:left="0"/>
        <w:rPr>
          <w:rFonts w:cs="Arial"/>
          <w:sz w:val="22"/>
          <w:szCs w:val="22"/>
        </w:rPr>
      </w:pP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Urban Structure Principles Central Area, Central Area Heritage 5</w:t>
      </w:r>
    </w:p>
    <w:p w:rsidR="00564947" w:rsidRDefault="00564947">
      <w:pPr>
        <w:pStyle w:val="BodyText"/>
        <w:tabs>
          <w:tab w:val="clear" w:pos="720"/>
          <w:tab w:val="clear" w:pos="1440"/>
        </w:tabs>
        <w:spacing w:after="0"/>
        <w:ind w:left="0" w:firstLine="357"/>
        <w:rPr>
          <w:rFonts w:cs="Arial"/>
          <w:i/>
        </w:rPr>
      </w:pPr>
    </w:p>
    <w:p w:rsidR="00564947" w:rsidRDefault="00564947">
      <w:pPr>
        <w:pStyle w:val="BodyText"/>
        <w:tabs>
          <w:tab w:val="clear" w:pos="720"/>
          <w:tab w:val="clear" w:pos="1440"/>
        </w:tabs>
        <w:spacing w:after="0"/>
        <w:ind w:left="0" w:firstLine="357"/>
        <w:rPr>
          <w:rFonts w:cs="Arial"/>
          <w:i/>
        </w:rPr>
      </w:pPr>
      <w:r>
        <w:rPr>
          <w:rFonts w:cs="Arial"/>
          <w:i/>
        </w:rPr>
        <w:t>In the first line substitute ‘Wells’ with:</w:t>
      </w:r>
    </w:p>
    <w:p w:rsidR="00564947" w:rsidRDefault="00564947">
      <w:pPr>
        <w:pStyle w:val="BodyText"/>
        <w:tabs>
          <w:tab w:val="clear" w:pos="720"/>
          <w:tab w:val="clear" w:pos="1440"/>
        </w:tabs>
        <w:spacing w:after="0"/>
        <w:ind w:left="0" w:firstLine="357"/>
        <w:rPr>
          <w:rFonts w:cs="Arial"/>
          <w:sz w:val="22"/>
          <w:szCs w:val="22"/>
        </w:rPr>
      </w:pPr>
    </w:p>
    <w:p w:rsidR="00564947" w:rsidRDefault="00564947">
      <w:pPr>
        <w:pStyle w:val="BodyText"/>
        <w:tabs>
          <w:tab w:val="clear" w:pos="720"/>
          <w:tab w:val="clear" w:pos="1440"/>
        </w:tabs>
        <w:spacing w:after="0"/>
        <w:ind w:left="0" w:firstLine="357"/>
        <w:rPr>
          <w:rFonts w:cs="Arial"/>
          <w:sz w:val="22"/>
          <w:szCs w:val="22"/>
        </w:rPr>
      </w:pPr>
      <w:r>
        <w:rPr>
          <w:rFonts w:cs="Arial"/>
          <w:sz w:val="22"/>
          <w:szCs w:val="22"/>
        </w:rPr>
        <w:t>Well</w:t>
      </w:r>
    </w:p>
    <w:p w:rsidR="00564947" w:rsidRDefault="00564947">
      <w:pPr>
        <w:pStyle w:val="Heading4"/>
      </w:pPr>
      <w:r>
        <w:t>Variation to structure plans east Gungahlin</w:t>
      </w: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 xml:space="preserve">Part 1.2 Principles and Policies for East Gungahlin, 1.2.2 Kenny and part </w:t>
      </w:r>
      <w:smartTag w:uri="urn:schemas-microsoft-com:office:smarttags" w:element="place">
        <w:r>
          <w:rPr>
            <w:rFonts w:ascii="Arial" w:hAnsi="Arial" w:cs="Arial"/>
            <w:b/>
          </w:rPr>
          <w:t>Harrison</w:t>
        </w:r>
      </w:smartTag>
      <w:r>
        <w:rPr>
          <w:rFonts w:ascii="Arial" w:hAnsi="Arial" w:cs="Arial"/>
          <w:b/>
        </w:rPr>
        <w:t>, Specific Policies 4</w:t>
      </w:r>
    </w:p>
    <w:p w:rsidR="00564947" w:rsidRDefault="00564947">
      <w:pPr>
        <w:pStyle w:val="BodyText"/>
        <w:tabs>
          <w:tab w:val="clear" w:pos="720"/>
          <w:tab w:val="clear" w:pos="1440"/>
        </w:tabs>
        <w:spacing w:before="240"/>
        <w:ind w:left="0" w:firstLine="360"/>
        <w:rPr>
          <w:rFonts w:cs="Arial"/>
          <w:i/>
        </w:rPr>
      </w:pPr>
      <w:r>
        <w:rPr>
          <w:rFonts w:cs="Arial"/>
          <w:i/>
        </w:rPr>
        <w:t>Substitute ‘Wells’ with:</w:t>
      </w:r>
    </w:p>
    <w:p w:rsidR="00564947" w:rsidRDefault="00564947">
      <w:pPr>
        <w:pStyle w:val="BodyText"/>
        <w:tabs>
          <w:tab w:val="clear" w:pos="720"/>
          <w:tab w:val="clear" w:pos="1440"/>
        </w:tabs>
        <w:spacing w:before="120" w:after="0"/>
        <w:ind w:left="0" w:firstLine="357"/>
        <w:rPr>
          <w:rFonts w:cs="Arial"/>
          <w:sz w:val="22"/>
          <w:szCs w:val="22"/>
        </w:rPr>
      </w:pPr>
      <w:r>
        <w:rPr>
          <w:rFonts w:cs="Arial"/>
          <w:sz w:val="22"/>
          <w:szCs w:val="22"/>
        </w:rPr>
        <w:t>Well</w:t>
      </w:r>
    </w:p>
    <w:p w:rsidR="00564947" w:rsidRDefault="00564947">
      <w:pPr>
        <w:pStyle w:val="BodyText"/>
        <w:tabs>
          <w:tab w:val="clear" w:pos="720"/>
          <w:tab w:val="clear" w:pos="1440"/>
        </w:tabs>
        <w:spacing w:after="0"/>
        <w:ind w:left="0" w:firstLine="357"/>
        <w:rPr>
          <w:rFonts w:cs="Arial"/>
          <w:sz w:val="22"/>
          <w:szCs w:val="22"/>
        </w:rPr>
      </w:pP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 xml:space="preserve">Part 1.2 Principles and Policies for </w:t>
      </w:r>
      <w:smartTag w:uri="urn:schemas-microsoft-com:office:smarttags" w:element="place">
        <w:r>
          <w:rPr>
            <w:rFonts w:ascii="Arial" w:hAnsi="Arial" w:cs="Arial"/>
            <w:b/>
          </w:rPr>
          <w:t>East Gungahlin</w:t>
        </w:r>
      </w:smartTag>
      <w:r>
        <w:rPr>
          <w:rFonts w:ascii="Arial" w:hAnsi="Arial" w:cs="Arial"/>
          <w:b/>
        </w:rPr>
        <w:t xml:space="preserve">, 1.2.3 Throsby, Specific Policies 1 </w:t>
      </w:r>
    </w:p>
    <w:p w:rsidR="00564947" w:rsidRDefault="00564947">
      <w:pPr>
        <w:pStyle w:val="BodyText"/>
        <w:tabs>
          <w:tab w:val="clear" w:pos="720"/>
          <w:tab w:val="clear" w:pos="1440"/>
        </w:tabs>
        <w:spacing w:before="240" w:after="0"/>
        <w:ind w:left="0" w:firstLine="357"/>
        <w:rPr>
          <w:rFonts w:cs="Arial"/>
          <w:i/>
        </w:rPr>
      </w:pPr>
      <w:r>
        <w:rPr>
          <w:rFonts w:cs="Arial"/>
          <w:i/>
        </w:rPr>
        <w:t>Substitute ‘Wells’ with:</w:t>
      </w:r>
    </w:p>
    <w:p w:rsidR="00564947" w:rsidRDefault="00564947">
      <w:pPr>
        <w:pStyle w:val="BodyText"/>
        <w:tabs>
          <w:tab w:val="clear" w:pos="720"/>
          <w:tab w:val="clear" w:pos="1440"/>
        </w:tabs>
        <w:spacing w:after="0"/>
        <w:ind w:left="0" w:firstLine="357"/>
        <w:rPr>
          <w:rFonts w:cs="Arial"/>
          <w:sz w:val="22"/>
          <w:szCs w:val="22"/>
        </w:rPr>
      </w:pPr>
    </w:p>
    <w:p w:rsidR="00564947" w:rsidRDefault="00564947">
      <w:pPr>
        <w:pStyle w:val="BodyText"/>
        <w:tabs>
          <w:tab w:val="clear" w:pos="720"/>
          <w:tab w:val="clear" w:pos="1440"/>
        </w:tabs>
        <w:spacing w:after="0"/>
        <w:ind w:left="0" w:firstLine="357"/>
        <w:rPr>
          <w:rFonts w:cs="Arial"/>
          <w:sz w:val="22"/>
          <w:szCs w:val="22"/>
        </w:rPr>
      </w:pPr>
      <w:r>
        <w:rPr>
          <w:rFonts w:cs="Arial"/>
          <w:sz w:val="22"/>
          <w:szCs w:val="22"/>
        </w:rPr>
        <w:t>Well</w:t>
      </w:r>
    </w:p>
    <w:p w:rsidR="00564947" w:rsidRDefault="00564947">
      <w:pPr>
        <w:pStyle w:val="Heading4"/>
      </w:pPr>
      <w:r>
        <w:rPr>
          <w:rFonts w:cs="Arial"/>
        </w:rPr>
        <w:t xml:space="preserve">Variation to concept plans – Precinct codes for section 93 of the Planning and Development Act 2007 </w:t>
      </w:r>
      <w:r>
        <w:t xml:space="preserve">Flemington Road corridor </w:t>
      </w: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Part 2.0 FLEMINGTON ROAD CONCEPT PLAN, 2.4 Indicative Development Plan – Primary Elements, Item 2.4.12 Natural and Cultural Heritage Features</w:t>
      </w:r>
    </w:p>
    <w:p w:rsidR="00564947" w:rsidRDefault="00564947">
      <w:pPr>
        <w:pStyle w:val="BodyText"/>
        <w:tabs>
          <w:tab w:val="clear" w:pos="720"/>
          <w:tab w:val="clear" w:pos="1440"/>
        </w:tabs>
        <w:spacing w:before="240"/>
        <w:ind w:left="360" w:hanging="360"/>
        <w:rPr>
          <w:rFonts w:cs="Arial"/>
          <w:i/>
        </w:rPr>
      </w:pPr>
      <w:r>
        <w:rPr>
          <w:rFonts w:cs="Arial"/>
          <w:i/>
        </w:rPr>
        <w:tab/>
        <w:t>At the fourth dot point under the paragraph that ends with the sentence ‘Details of these measures are as follows’ substitute ‘Wells’ with:</w:t>
      </w:r>
    </w:p>
    <w:p w:rsidR="00564947" w:rsidRDefault="00564947">
      <w:pPr>
        <w:pStyle w:val="BodyText"/>
        <w:tabs>
          <w:tab w:val="clear" w:pos="720"/>
          <w:tab w:val="clear" w:pos="1440"/>
          <w:tab w:val="left" w:pos="360"/>
        </w:tabs>
        <w:spacing w:before="120"/>
        <w:ind w:left="0"/>
        <w:rPr>
          <w:rFonts w:cs="Arial"/>
          <w:sz w:val="22"/>
          <w:szCs w:val="22"/>
        </w:rPr>
      </w:pPr>
      <w:r>
        <w:rPr>
          <w:rFonts w:cs="Arial"/>
        </w:rPr>
        <w:tab/>
      </w:r>
      <w:r>
        <w:rPr>
          <w:rFonts w:cs="Arial"/>
          <w:sz w:val="22"/>
          <w:szCs w:val="22"/>
        </w:rPr>
        <w:t>Well</w:t>
      </w:r>
    </w:p>
    <w:p w:rsidR="00564947" w:rsidRDefault="00564947">
      <w:pPr>
        <w:pStyle w:val="Heading4"/>
        <w:rPr>
          <w:rFonts w:cs="Arial"/>
        </w:rPr>
      </w:pPr>
      <w:r>
        <w:rPr>
          <w:rFonts w:cs="Arial"/>
        </w:rPr>
        <w:t xml:space="preserve">Variation to concept plans – Precinct codes for section 93 of the Planning and Development Act 2007 Coombs and Wright </w:t>
      </w: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Part B – Subdivision Element 9 Stormwater R48</w:t>
      </w:r>
    </w:p>
    <w:p w:rsidR="00564947" w:rsidRDefault="00564947">
      <w:pPr>
        <w:rPr>
          <w:rFonts w:ascii="Arial" w:hAnsi="Arial" w:cs="Arial"/>
          <w:i/>
        </w:rPr>
      </w:pPr>
    </w:p>
    <w:p w:rsidR="00564947" w:rsidRDefault="00564947">
      <w:pPr>
        <w:ind w:firstLine="360"/>
        <w:rPr>
          <w:rFonts w:ascii="Arial" w:hAnsi="Arial" w:cs="Arial"/>
          <w:i/>
        </w:rPr>
      </w:pPr>
      <w:r>
        <w:rPr>
          <w:rFonts w:ascii="Arial" w:hAnsi="Arial" w:cs="Arial"/>
          <w:i/>
        </w:rPr>
        <w:t>Insert wording as underlined below:</w:t>
      </w:r>
    </w:p>
    <w:p w:rsidR="00564947" w:rsidRDefault="00564947">
      <w:pPr>
        <w:rPr>
          <w:rFonts w:ascii="Arial" w:hAnsi="Arial" w:cs="Arial"/>
          <w:i/>
        </w:rPr>
      </w:pPr>
    </w:p>
    <w:p w:rsidR="00564947" w:rsidRDefault="00564947">
      <w:pPr>
        <w:ind w:left="360"/>
        <w:rPr>
          <w:rFonts w:ascii="Arial" w:hAnsi="Arial" w:cs="Arial"/>
          <w:sz w:val="20"/>
          <w:szCs w:val="20"/>
        </w:rPr>
      </w:pPr>
      <w:r>
        <w:rPr>
          <w:rFonts w:ascii="Arial" w:hAnsi="Arial" w:cs="Arial"/>
          <w:sz w:val="20"/>
          <w:szCs w:val="20"/>
        </w:rPr>
        <w:t>Molonglo surge protection line is provided in Coombs as indicated on figure 4.  No leases (other than holding leases) are to be issued down-slope of this line</w:t>
      </w:r>
      <w:r>
        <w:rPr>
          <w:rFonts w:ascii="Arial" w:hAnsi="Arial" w:cs="Arial"/>
          <w:sz w:val="20"/>
          <w:szCs w:val="20"/>
          <w:u w:val="single"/>
        </w:rPr>
        <w:t xml:space="preserve"> until it is demonstrated that Scrivener Dam meets flood safety and operational requirements, based on the applicable Australian National Committee on Large Dams (ANCOLD) guidelines</w:t>
      </w:r>
      <w:r>
        <w:rPr>
          <w:rFonts w:ascii="Arial" w:hAnsi="Arial" w:cs="Arial"/>
          <w:sz w:val="20"/>
          <w:szCs w:val="20"/>
        </w:rPr>
        <w:t xml:space="preserve">. </w:t>
      </w:r>
    </w:p>
    <w:p w:rsidR="00564947" w:rsidRDefault="00564947">
      <w:pPr>
        <w:rPr>
          <w:rFonts w:ascii="Arial" w:hAnsi="Arial" w:cs="Arial"/>
          <w:i/>
        </w:rPr>
      </w:pPr>
    </w:p>
    <w:p w:rsidR="00564947" w:rsidRDefault="00564947">
      <w:pPr>
        <w:rPr>
          <w:rFonts w:ascii="Arial" w:hAnsi="Arial" w:cs="Arial"/>
          <w:i/>
        </w:rPr>
      </w:pPr>
    </w:p>
    <w:p w:rsidR="00564947" w:rsidRDefault="00564947">
      <w:pPr>
        <w:numPr>
          <w:ilvl w:val="0"/>
          <w:numId w:val="12"/>
        </w:num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Pr>
          <w:rFonts w:ascii="Arial" w:hAnsi="Arial" w:cs="Arial"/>
          <w:b/>
        </w:rPr>
        <w:t>Part C – Buildings and structures Figure 4 and Figure 5</w:t>
      </w:r>
    </w:p>
    <w:p w:rsidR="00564947" w:rsidRDefault="00564947">
      <w:pPr>
        <w:rPr>
          <w:rFonts w:ascii="Arial" w:hAnsi="Arial" w:cs="Arial"/>
          <w:i/>
        </w:rPr>
      </w:pPr>
    </w:p>
    <w:p w:rsidR="00564947" w:rsidRDefault="00564947">
      <w:pPr>
        <w:ind w:left="360"/>
        <w:rPr>
          <w:rFonts w:ascii="Arial" w:hAnsi="Arial" w:cs="Arial"/>
          <w:i/>
        </w:rPr>
      </w:pPr>
      <w:r>
        <w:rPr>
          <w:rFonts w:ascii="Arial" w:hAnsi="Arial" w:cs="Arial"/>
          <w:i/>
        </w:rPr>
        <w:t xml:space="preserve">Substitute with Figure 4 Concept Plan and Figure 5 Areas of pink-tailed worm lizard (Aprasia parapulchella) habitat at </w:t>
      </w:r>
      <w:r>
        <w:rPr>
          <w:rFonts w:ascii="Arial" w:hAnsi="Arial" w:cs="Arial"/>
          <w:b/>
          <w:i/>
        </w:rPr>
        <w:t>Appendix B</w:t>
      </w:r>
      <w:r>
        <w:rPr>
          <w:rFonts w:ascii="Arial" w:hAnsi="Arial" w:cs="Arial"/>
          <w:i/>
        </w:rPr>
        <w:t>.</w:t>
      </w:r>
    </w:p>
    <w:p w:rsidR="00564947" w:rsidRDefault="00564947">
      <w:pPr>
        <w:rPr>
          <w:rFonts w:ascii="Arial" w:hAnsi="Arial" w:cs="Arial"/>
          <w:color w:val="FF0000"/>
        </w:rPr>
      </w:pPr>
    </w:p>
    <w:p w:rsidR="00564947" w:rsidRDefault="00564947">
      <w:pPr>
        <w:rPr>
          <w:rFonts w:ascii="Arial" w:hAnsi="Arial" w:cs="Arial"/>
          <w:color w:val="FF0000"/>
        </w:rPr>
      </w:pPr>
    </w:p>
    <w:p w:rsidR="00564947" w:rsidRDefault="00564947">
      <w:pPr>
        <w:pStyle w:val="BodyText"/>
        <w:ind w:left="720" w:hanging="153"/>
        <w:rPr>
          <w:b/>
        </w:rPr>
      </w:pPr>
      <w:r>
        <w:rPr>
          <w:rFonts w:cs="Arial"/>
          <w:b/>
        </w:rPr>
        <w:br w:type="page"/>
      </w:r>
      <w:r>
        <w:rPr>
          <w:b/>
        </w:rPr>
        <w:t>Interpretation service</w:t>
      </w:r>
    </w:p>
    <w:p w:rsidR="00564947" w:rsidRDefault="003B669B">
      <w:pPr>
        <w:pStyle w:val="BodyText"/>
      </w:pPr>
      <w:r>
        <w:pict>
          <v:shape id="_x0000_i1027" type="#_x0000_t75" style="width:423pt;height:279pt" o:bordertopcolor="this" o:borderleftcolor="this" o:borderbottomcolor="this" o:borderrightcolor="this" fillcolor="window">
            <v:imagedata r:id="rId17" o:title=""/>
          </v:shape>
        </w:pict>
      </w:r>
    </w:p>
    <w:p w:rsidR="00564947" w:rsidRDefault="00564947">
      <w:pPr>
        <w:pStyle w:val="BodyText"/>
        <w:spacing w:after="0"/>
        <w:jc w:val="right"/>
        <w:rPr>
          <w:b/>
          <w:sz w:val="28"/>
          <w:szCs w:val="28"/>
        </w:rPr>
      </w:pPr>
      <w:r>
        <w:br w:type="page"/>
      </w:r>
      <w:r>
        <w:rPr>
          <w:b/>
          <w:sz w:val="28"/>
          <w:szCs w:val="28"/>
        </w:rPr>
        <w:t>Appendix A</w:t>
      </w:r>
    </w:p>
    <w:p w:rsidR="00564947" w:rsidRDefault="00564947">
      <w:pPr>
        <w:pStyle w:val="BodyText"/>
        <w:spacing w:after="0"/>
        <w:jc w:val="right"/>
        <w:rPr>
          <w:b/>
        </w:rPr>
      </w:pPr>
      <w:r>
        <w:rPr>
          <w:b/>
        </w:rPr>
        <w:t>Lyneham Control Plan</w:t>
      </w:r>
    </w:p>
    <w:p w:rsidR="00564947" w:rsidRDefault="003B669B">
      <w:pPr>
        <w:pStyle w:val="BodyText"/>
        <w:spacing w:after="0"/>
      </w:pPr>
      <w:r>
        <w:pict>
          <v:shape id="_x0000_i1028" type="#_x0000_t75" style="width:453pt;height:639.75pt">
            <v:imagedata r:id="rId18" o:title=""/>
          </v:shape>
        </w:pict>
      </w:r>
    </w:p>
    <w:p w:rsidR="00564947" w:rsidRDefault="00564947">
      <w:pPr>
        <w:pStyle w:val="BodyText"/>
        <w:spacing w:after="0"/>
      </w:pPr>
    </w:p>
    <w:p w:rsidR="00564947" w:rsidRDefault="00564947">
      <w:pPr>
        <w:pStyle w:val="BodyText"/>
        <w:spacing w:after="0"/>
        <w:jc w:val="right"/>
        <w:rPr>
          <w:b/>
          <w:sz w:val="28"/>
          <w:szCs w:val="28"/>
        </w:rPr>
      </w:pPr>
      <w:r>
        <w:rPr>
          <w:b/>
          <w:sz w:val="28"/>
          <w:szCs w:val="28"/>
        </w:rPr>
        <w:t>Appendix B</w:t>
      </w:r>
    </w:p>
    <w:p w:rsidR="00564947" w:rsidRDefault="00564947">
      <w:pPr>
        <w:pStyle w:val="BodyText"/>
        <w:spacing w:after="0"/>
      </w:pPr>
    </w:p>
    <w:p w:rsidR="00564947" w:rsidRDefault="00564947">
      <w:pPr>
        <w:pStyle w:val="BodyText"/>
        <w:spacing w:after="0"/>
      </w:pPr>
    </w:p>
    <w:p w:rsidR="00564947" w:rsidRDefault="00564947">
      <w:pPr>
        <w:pStyle w:val="BodyText"/>
        <w:spacing w:after="0"/>
        <w:sectPr w:rsidR="00564947" w:rsidSect="00564947">
          <w:type w:val="continuous"/>
          <w:pgSz w:w="11906" w:h="16838"/>
          <w:pgMar w:top="1440" w:right="1418" w:bottom="1440" w:left="1418" w:header="709" w:footer="495" w:gutter="0"/>
          <w:cols w:space="708"/>
          <w:rtlGutter/>
          <w:docGrid w:linePitch="360"/>
        </w:sectPr>
      </w:pPr>
    </w:p>
    <w:p w:rsidR="00564947" w:rsidRDefault="003B669B">
      <w:pPr>
        <w:pStyle w:val="BodyText"/>
        <w:spacing w:after="0"/>
      </w:pPr>
      <w:r>
        <w:pict>
          <v:shape id="_x0000_i1029" type="#_x0000_t75" style="width:590.25pt;height:425.25pt">
            <v:imagedata r:id="rId19" o:title=""/>
          </v:shape>
        </w:pict>
      </w:r>
    </w:p>
    <w:p w:rsidR="00564947" w:rsidRDefault="00564947">
      <w:pPr>
        <w:pStyle w:val="BodyText"/>
        <w:spacing w:after="0"/>
        <w:jc w:val="center"/>
        <w:rPr>
          <w:sz w:val="20"/>
          <w:szCs w:val="20"/>
        </w:rPr>
      </w:pPr>
      <w:r>
        <w:rPr>
          <w:b/>
          <w:sz w:val="20"/>
          <w:szCs w:val="20"/>
        </w:rPr>
        <w:t>Figure 4 Concept Plan</w:t>
      </w:r>
    </w:p>
    <w:p w:rsidR="00564947" w:rsidRDefault="00564947">
      <w:pPr>
        <w:pStyle w:val="BodyText"/>
        <w:spacing w:after="0"/>
        <w:jc w:val="center"/>
        <w:rPr>
          <w:b/>
        </w:rPr>
      </w:pPr>
      <w:r>
        <w:br w:type="page"/>
      </w:r>
      <w:r w:rsidR="003B669B">
        <w:pict>
          <v:shape id="_x0000_i1030" type="#_x0000_t75" style="width:595.5pt;height:420.75pt">
            <v:imagedata r:id="rId20" o:title=""/>
          </v:shape>
        </w:pict>
      </w:r>
    </w:p>
    <w:p w:rsidR="00564947" w:rsidRDefault="00564947">
      <w:pPr>
        <w:pStyle w:val="BodyText"/>
        <w:spacing w:after="0"/>
        <w:jc w:val="center"/>
        <w:rPr>
          <w:rFonts w:cs="Arial"/>
          <w:b/>
          <w:sz w:val="20"/>
          <w:szCs w:val="20"/>
        </w:rPr>
      </w:pPr>
      <w:r>
        <w:rPr>
          <w:b/>
          <w:sz w:val="20"/>
          <w:szCs w:val="20"/>
        </w:rPr>
        <w:t xml:space="preserve">Figure 5: </w:t>
      </w:r>
      <w:r>
        <w:rPr>
          <w:rFonts w:cs="Arial"/>
          <w:b/>
          <w:sz w:val="20"/>
          <w:szCs w:val="20"/>
        </w:rPr>
        <w:t>Areas of pink-tailed worm lizard (</w:t>
      </w:r>
      <w:r>
        <w:rPr>
          <w:rFonts w:cs="Arial"/>
          <w:b/>
          <w:i/>
          <w:sz w:val="20"/>
          <w:szCs w:val="20"/>
        </w:rPr>
        <w:t>Aprasia parapulchella</w:t>
      </w:r>
      <w:r>
        <w:rPr>
          <w:rFonts w:cs="Arial"/>
          <w:b/>
          <w:sz w:val="20"/>
          <w:szCs w:val="20"/>
        </w:rPr>
        <w:t>) habitat</w:t>
      </w:r>
    </w:p>
    <w:p w:rsidR="00564947" w:rsidRDefault="00564947">
      <w:pPr>
        <w:pStyle w:val="BodyText"/>
        <w:spacing w:after="0"/>
        <w:jc w:val="right"/>
        <w:rPr>
          <w:b/>
        </w:rPr>
      </w:pPr>
    </w:p>
    <w:sectPr w:rsidR="00564947">
      <w:footerReference w:type="default" r:id="rId21"/>
      <w:pgSz w:w="16838" w:h="11906" w:orient="landscape"/>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947" w:rsidRDefault="00564947">
      <w:r>
        <w:separator/>
      </w:r>
    </w:p>
  </w:endnote>
  <w:endnote w:type="continuationSeparator" w:id="0">
    <w:p w:rsidR="00564947" w:rsidRDefault="00564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A6B" w:rsidRDefault="003A5A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947" w:rsidRDefault="00564947">
    <w:pPr>
      <w:pStyle w:val="Footer"/>
      <w:jc w:val="center"/>
    </w:pPr>
    <w:r>
      <w:object w:dxaOrig="6690" w:dyaOrig="3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70.5pt" o:ole="">
          <v:imagedata r:id="rId1" o:title="" croptop="5109f" cropleft="5554f"/>
        </v:shape>
        <o:OLEObject Type="Embed" ProgID="Imaging.Document" ShapeID="_x0000_i1025" DrawAspect="Content" ObjectID="_1596967252" r:id="rId2"/>
      </w:object>
    </w:r>
  </w:p>
  <w:p w:rsidR="00564947" w:rsidRPr="003A5A6B" w:rsidRDefault="003A5A6B" w:rsidP="003A5A6B">
    <w:pPr>
      <w:pStyle w:val="Footer"/>
      <w:jc w:val="center"/>
      <w:rPr>
        <w:rFonts w:ascii="Arial" w:hAnsi="Arial" w:cs="Arial"/>
        <w:sz w:val="14"/>
        <w:szCs w:val="14"/>
      </w:rPr>
    </w:pPr>
    <w:r w:rsidRPr="003A5A6B">
      <w:rPr>
        <w:rFonts w:ascii="Arial" w:hAnsi="Arial"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A6B" w:rsidRDefault="003A5A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947" w:rsidRPr="003A5A6B" w:rsidRDefault="003A5A6B" w:rsidP="003A5A6B">
    <w:pPr>
      <w:pStyle w:val="Footer"/>
      <w:jc w:val="center"/>
      <w:rPr>
        <w:rFonts w:ascii="Arial" w:hAnsi="Arial" w:cs="Arial"/>
        <w:sz w:val="14"/>
        <w:szCs w:val="14"/>
      </w:rPr>
    </w:pPr>
    <w:r w:rsidRPr="003A5A6B">
      <w:rPr>
        <w:rFonts w:ascii="Arial" w:hAnsi="Arial"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947" w:rsidRDefault="00564947">
    <w:pPr>
      <w:pStyle w:val="Footer"/>
      <w:spacing w:after="60"/>
      <w:jc w:val="center"/>
      <w:rPr>
        <w:rFonts w:ascii="Arial" w:hAnsi="Arial" w:cs="Arial"/>
        <w:sz w:val="20"/>
        <w:szCs w:val="20"/>
      </w:rPr>
    </w:pPr>
    <w:r>
      <w:rPr>
        <w:rFonts w:ascii="Arial" w:hAnsi="Arial" w:cs="Arial"/>
        <w:sz w:val="20"/>
        <w:szCs w:val="20"/>
      </w:rPr>
      <w:t xml:space="preserve">TA2010-06 Lyneham Section 55 and miscellaneous amendments  </w:t>
    </w:r>
  </w:p>
  <w:p w:rsidR="00564947" w:rsidRDefault="00564947">
    <w:pPr>
      <w:pStyle w:val="Footer"/>
      <w:jc w:val="center"/>
      <w:rPr>
        <w:rStyle w:val="PageNumber"/>
        <w:rFonts w:ascii="Arial" w:hAnsi="Arial" w:cs="Arial"/>
        <w:sz w:val="20"/>
        <w:szCs w:val="20"/>
      </w:rPr>
    </w:pPr>
    <w:r>
      <w:rPr>
        <w:rFonts w:ascii="Arial" w:hAnsi="Arial" w:cs="Arial"/>
        <w:sz w:val="20"/>
        <w:szCs w:val="20"/>
      </w:rPr>
      <w:t xml:space="preserve">Page </w:t>
    </w:r>
    <w:r>
      <w:rPr>
        <w:rStyle w:val="PageNumber"/>
        <w:rFonts w:ascii="Arial" w:hAnsi="Arial" w:cs="Arial"/>
        <w:sz w:val="20"/>
        <w:szCs w:val="20"/>
      </w:rPr>
      <w:fldChar w:fldCharType="begin"/>
    </w:r>
    <w:r>
      <w:rPr>
        <w:rStyle w:val="PageNumber"/>
        <w:rFonts w:ascii="Arial" w:hAnsi="Arial" w:cs="Arial"/>
        <w:sz w:val="20"/>
        <w:szCs w:val="20"/>
      </w:rPr>
      <w:instrText xml:space="preserve"> PAGE </w:instrText>
    </w:r>
    <w:r>
      <w:rPr>
        <w:rStyle w:val="PageNumber"/>
        <w:rFonts w:ascii="Arial" w:hAnsi="Arial" w:cs="Arial"/>
        <w:sz w:val="20"/>
        <w:szCs w:val="20"/>
      </w:rPr>
      <w:fldChar w:fldCharType="separate"/>
    </w:r>
    <w:r w:rsidR="003A5A6B">
      <w:rPr>
        <w:rStyle w:val="PageNumber"/>
        <w:rFonts w:ascii="Arial" w:hAnsi="Arial" w:cs="Arial"/>
        <w:noProof/>
        <w:sz w:val="20"/>
        <w:szCs w:val="20"/>
      </w:rPr>
      <w:t>1</w:t>
    </w:r>
    <w:r>
      <w:rPr>
        <w:rStyle w:val="PageNumber"/>
        <w:rFonts w:ascii="Arial" w:hAnsi="Arial" w:cs="Arial"/>
        <w:sz w:val="20"/>
        <w:szCs w:val="20"/>
      </w:rPr>
      <w:fldChar w:fldCharType="end"/>
    </w:r>
  </w:p>
  <w:p w:rsidR="00564947" w:rsidRPr="003A5A6B" w:rsidRDefault="003A5A6B" w:rsidP="003A5A6B">
    <w:pPr>
      <w:pStyle w:val="Footer"/>
      <w:jc w:val="center"/>
      <w:rPr>
        <w:rFonts w:ascii="Arial" w:hAnsi="Arial" w:cs="Arial"/>
        <w:sz w:val="14"/>
        <w:szCs w:val="14"/>
      </w:rPr>
    </w:pPr>
    <w:r w:rsidRPr="003A5A6B">
      <w:rPr>
        <w:rFonts w:ascii="Arial" w:hAnsi="Arial" w:cs="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947" w:rsidRDefault="00564947">
    <w:pPr>
      <w:pStyle w:val="Footer"/>
      <w:spacing w:after="60"/>
      <w:jc w:val="center"/>
      <w:rPr>
        <w:rFonts w:ascii="Arial" w:hAnsi="Arial" w:cs="Arial"/>
        <w:sz w:val="20"/>
        <w:szCs w:val="20"/>
      </w:rPr>
    </w:pPr>
    <w:r>
      <w:rPr>
        <w:rFonts w:ascii="Arial" w:hAnsi="Arial" w:cs="Arial"/>
        <w:sz w:val="20"/>
        <w:szCs w:val="20"/>
      </w:rPr>
      <w:t>TA2010-06 Lyneham Section 55 and miscellaneous amendments</w:t>
    </w:r>
  </w:p>
  <w:p w:rsidR="0047722A" w:rsidRDefault="00564947">
    <w:pPr>
      <w:pStyle w:val="Footer"/>
      <w:jc w:val="center"/>
      <w:rPr>
        <w:rStyle w:val="PageNumber"/>
        <w:rFonts w:ascii="Arial" w:hAnsi="Arial" w:cs="Arial"/>
        <w:sz w:val="20"/>
        <w:szCs w:val="20"/>
      </w:rPr>
    </w:pPr>
    <w:r>
      <w:rPr>
        <w:rFonts w:ascii="Arial" w:hAnsi="Arial" w:cs="Arial"/>
        <w:sz w:val="20"/>
        <w:szCs w:val="20"/>
      </w:rPr>
      <w:t xml:space="preserve">Page </w:t>
    </w:r>
    <w:r>
      <w:rPr>
        <w:rStyle w:val="PageNumber"/>
        <w:rFonts w:ascii="Arial" w:hAnsi="Arial" w:cs="Arial"/>
        <w:sz w:val="20"/>
        <w:szCs w:val="20"/>
      </w:rPr>
      <w:fldChar w:fldCharType="begin"/>
    </w:r>
    <w:r>
      <w:rPr>
        <w:rStyle w:val="PageNumber"/>
        <w:rFonts w:ascii="Arial" w:hAnsi="Arial" w:cs="Arial"/>
        <w:sz w:val="20"/>
        <w:szCs w:val="20"/>
      </w:rPr>
      <w:instrText xml:space="preserve"> PAGE </w:instrText>
    </w:r>
    <w:r>
      <w:rPr>
        <w:rStyle w:val="PageNumber"/>
        <w:rFonts w:ascii="Arial" w:hAnsi="Arial" w:cs="Arial"/>
        <w:sz w:val="20"/>
        <w:szCs w:val="20"/>
      </w:rPr>
      <w:fldChar w:fldCharType="separate"/>
    </w:r>
    <w:r w:rsidR="008466D0">
      <w:rPr>
        <w:rStyle w:val="PageNumber"/>
        <w:rFonts w:ascii="Arial" w:hAnsi="Arial" w:cs="Arial"/>
        <w:noProof/>
        <w:sz w:val="20"/>
        <w:szCs w:val="20"/>
      </w:rPr>
      <w:t>17</w:t>
    </w:r>
    <w:r>
      <w:rPr>
        <w:rStyle w:val="PageNumber"/>
        <w:rFonts w:ascii="Arial" w:hAnsi="Arial" w:cs="Arial"/>
        <w:sz w:val="20"/>
        <w:szCs w:val="20"/>
      </w:rPr>
      <w:fldChar w:fldCharType="end"/>
    </w:r>
  </w:p>
  <w:p w:rsidR="00564947" w:rsidRPr="003A5A6B" w:rsidRDefault="003A5A6B" w:rsidP="003A5A6B">
    <w:pPr>
      <w:pStyle w:val="Footer"/>
      <w:jc w:val="center"/>
      <w:rPr>
        <w:rFonts w:ascii="Arial" w:hAnsi="Arial" w:cs="Arial"/>
        <w:sz w:val="14"/>
        <w:szCs w:val="20"/>
      </w:rPr>
    </w:pPr>
    <w:r w:rsidRPr="003A5A6B">
      <w:rPr>
        <w:rFonts w:ascii="Arial" w:hAnsi="Arial" w:cs="Arial"/>
        <w:sz w:val="14"/>
        <w:szCs w:val="20"/>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947" w:rsidRDefault="00564947">
      <w:r>
        <w:separator/>
      </w:r>
    </w:p>
  </w:footnote>
  <w:footnote w:type="continuationSeparator" w:id="0">
    <w:p w:rsidR="00564947" w:rsidRDefault="005649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A6B" w:rsidRDefault="003A5A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A6B" w:rsidRDefault="003A5A6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A6B" w:rsidRDefault="003A5A6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947" w:rsidRDefault="005649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22AC8"/>
    <w:multiLevelType w:val="hybridMultilevel"/>
    <w:tmpl w:val="7C401730"/>
    <w:lvl w:ilvl="0" w:tplc="56881DAA">
      <w:start w:val="1"/>
      <w:numFmt w:val="upperLetter"/>
      <w:lvlText w:val="%1."/>
      <w:lvlJc w:val="left"/>
      <w:pPr>
        <w:tabs>
          <w:tab w:val="num" w:pos="540"/>
        </w:tabs>
        <w:ind w:left="540" w:hanging="540"/>
      </w:pPr>
      <w:rPr>
        <w:rFonts w:ascii="Arial" w:hAnsi="Arial" w:cs="Arial" w:hint="default"/>
      </w:rPr>
    </w:lvl>
    <w:lvl w:ilvl="1" w:tplc="6B889D2E">
      <w:start w:val="1"/>
      <w:numFmt w:val="lowerLetter"/>
      <w:lvlText w:val="%2)"/>
      <w:lvlJc w:val="left"/>
      <w:pPr>
        <w:tabs>
          <w:tab w:val="num" w:pos="1440"/>
        </w:tabs>
        <w:ind w:left="1440" w:hanging="360"/>
      </w:pPr>
      <w:rPr>
        <w:rFonts w:ascii="Arial" w:hAnsi="Arial" w:cs="Times New Roman" w:hint="default"/>
      </w:rPr>
    </w:lvl>
    <w:lvl w:ilvl="2" w:tplc="93966CE2">
      <w:start w:val="1"/>
      <w:numFmt w:val="lowerLetter"/>
      <w:lvlText w:val="%3)"/>
      <w:lvlJc w:val="left"/>
      <w:pPr>
        <w:tabs>
          <w:tab w:val="num" w:pos="2340"/>
        </w:tabs>
        <w:ind w:left="2340" w:hanging="360"/>
      </w:pPr>
      <w:rPr>
        <w:rFonts w:cs="Times New Roman" w:hint="default"/>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F3055C1"/>
    <w:multiLevelType w:val="hybridMultilevel"/>
    <w:tmpl w:val="2814EAAA"/>
    <w:lvl w:ilvl="0" w:tplc="93966CE2">
      <w:start w:val="1"/>
      <w:numFmt w:val="lowerLetter"/>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80"/>
        </w:tabs>
        <w:ind w:left="-180" w:hanging="360"/>
      </w:pPr>
      <w:rPr>
        <w:rFonts w:cs="Times New Roman"/>
      </w:rPr>
    </w:lvl>
    <w:lvl w:ilvl="2" w:tplc="0C09001B" w:tentative="1">
      <w:start w:val="1"/>
      <w:numFmt w:val="lowerRoman"/>
      <w:lvlText w:val="%3."/>
      <w:lvlJc w:val="right"/>
      <w:pPr>
        <w:tabs>
          <w:tab w:val="num" w:pos="540"/>
        </w:tabs>
        <w:ind w:left="540" w:hanging="180"/>
      </w:pPr>
      <w:rPr>
        <w:rFonts w:cs="Times New Roman"/>
      </w:rPr>
    </w:lvl>
    <w:lvl w:ilvl="3" w:tplc="0C09000F" w:tentative="1">
      <w:start w:val="1"/>
      <w:numFmt w:val="decimal"/>
      <w:lvlText w:val="%4."/>
      <w:lvlJc w:val="left"/>
      <w:pPr>
        <w:tabs>
          <w:tab w:val="num" w:pos="1260"/>
        </w:tabs>
        <w:ind w:left="1260" w:hanging="360"/>
      </w:pPr>
      <w:rPr>
        <w:rFonts w:cs="Times New Roman"/>
      </w:rPr>
    </w:lvl>
    <w:lvl w:ilvl="4" w:tplc="0C090019" w:tentative="1">
      <w:start w:val="1"/>
      <w:numFmt w:val="lowerLetter"/>
      <w:lvlText w:val="%5."/>
      <w:lvlJc w:val="left"/>
      <w:pPr>
        <w:tabs>
          <w:tab w:val="num" w:pos="1980"/>
        </w:tabs>
        <w:ind w:left="1980" w:hanging="360"/>
      </w:pPr>
      <w:rPr>
        <w:rFonts w:cs="Times New Roman"/>
      </w:rPr>
    </w:lvl>
    <w:lvl w:ilvl="5" w:tplc="0C09001B" w:tentative="1">
      <w:start w:val="1"/>
      <w:numFmt w:val="lowerRoman"/>
      <w:lvlText w:val="%6."/>
      <w:lvlJc w:val="right"/>
      <w:pPr>
        <w:tabs>
          <w:tab w:val="num" w:pos="2700"/>
        </w:tabs>
        <w:ind w:left="2700" w:hanging="180"/>
      </w:pPr>
      <w:rPr>
        <w:rFonts w:cs="Times New Roman"/>
      </w:rPr>
    </w:lvl>
    <w:lvl w:ilvl="6" w:tplc="0C09000F" w:tentative="1">
      <w:start w:val="1"/>
      <w:numFmt w:val="decimal"/>
      <w:lvlText w:val="%7."/>
      <w:lvlJc w:val="left"/>
      <w:pPr>
        <w:tabs>
          <w:tab w:val="num" w:pos="3420"/>
        </w:tabs>
        <w:ind w:left="3420" w:hanging="360"/>
      </w:pPr>
      <w:rPr>
        <w:rFonts w:cs="Times New Roman"/>
      </w:rPr>
    </w:lvl>
    <w:lvl w:ilvl="7" w:tplc="0C090019" w:tentative="1">
      <w:start w:val="1"/>
      <w:numFmt w:val="lowerLetter"/>
      <w:lvlText w:val="%8."/>
      <w:lvlJc w:val="left"/>
      <w:pPr>
        <w:tabs>
          <w:tab w:val="num" w:pos="4140"/>
        </w:tabs>
        <w:ind w:left="4140" w:hanging="360"/>
      </w:pPr>
      <w:rPr>
        <w:rFonts w:cs="Times New Roman"/>
      </w:rPr>
    </w:lvl>
    <w:lvl w:ilvl="8" w:tplc="0C09001B" w:tentative="1">
      <w:start w:val="1"/>
      <w:numFmt w:val="lowerRoman"/>
      <w:lvlText w:val="%9."/>
      <w:lvlJc w:val="right"/>
      <w:pPr>
        <w:tabs>
          <w:tab w:val="num" w:pos="4860"/>
        </w:tabs>
        <w:ind w:left="4860" w:hanging="180"/>
      </w:pPr>
      <w:rPr>
        <w:rFonts w:cs="Times New Roman"/>
      </w:rPr>
    </w:lvl>
  </w:abstractNum>
  <w:abstractNum w:abstractNumId="2" w15:restartNumberingAfterBreak="0">
    <w:nsid w:val="10A37BF2"/>
    <w:multiLevelType w:val="hybridMultilevel"/>
    <w:tmpl w:val="68D67A98"/>
    <w:lvl w:ilvl="0" w:tplc="04090017">
      <w:start w:val="1"/>
      <w:numFmt w:val="lowerLetter"/>
      <w:lvlText w:val="%1)"/>
      <w:lvlJc w:val="left"/>
      <w:pPr>
        <w:tabs>
          <w:tab w:val="num" w:pos="360"/>
        </w:tabs>
        <w:ind w:left="360" w:hanging="360"/>
      </w:pPr>
      <w:rPr>
        <w:rFonts w:cs="Times New Roman"/>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12562EB9"/>
    <w:multiLevelType w:val="multilevel"/>
    <w:tmpl w:val="00ECC834"/>
    <w:lvl w:ilvl="0">
      <w:start w:val="1"/>
      <w:numFmt w:val="decimal"/>
      <w:pStyle w:val="elementHeading"/>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 w15:restartNumberingAfterBreak="0">
    <w:nsid w:val="21980A9C"/>
    <w:multiLevelType w:val="hybridMultilevel"/>
    <w:tmpl w:val="71D808D6"/>
    <w:lvl w:ilvl="0" w:tplc="93966CE2">
      <w:start w:val="1"/>
      <w:numFmt w:val="lowerLetter"/>
      <w:lvlText w:val="%1)"/>
      <w:lvlJc w:val="left"/>
      <w:pPr>
        <w:tabs>
          <w:tab w:val="num" w:pos="360"/>
        </w:tabs>
        <w:ind w:left="360" w:hanging="360"/>
      </w:pPr>
      <w:rPr>
        <w:rFonts w:cs="Times New Roman" w:hint="default"/>
      </w:rPr>
    </w:lvl>
    <w:lvl w:ilvl="1" w:tplc="0C090019">
      <w:start w:val="1"/>
      <w:numFmt w:val="lowerLetter"/>
      <w:lvlText w:val="%2."/>
      <w:lvlJc w:val="left"/>
      <w:pPr>
        <w:tabs>
          <w:tab w:val="num" w:pos="-540"/>
        </w:tabs>
        <w:ind w:left="-540" w:hanging="360"/>
      </w:pPr>
      <w:rPr>
        <w:rFonts w:cs="Times New Roman"/>
      </w:rPr>
    </w:lvl>
    <w:lvl w:ilvl="2" w:tplc="0C09001B" w:tentative="1">
      <w:start w:val="1"/>
      <w:numFmt w:val="lowerRoman"/>
      <w:lvlText w:val="%3."/>
      <w:lvlJc w:val="right"/>
      <w:pPr>
        <w:tabs>
          <w:tab w:val="num" w:pos="180"/>
        </w:tabs>
        <w:ind w:left="180" w:hanging="180"/>
      </w:pPr>
      <w:rPr>
        <w:rFonts w:cs="Times New Roman"/>
      </w:rPr>
    </w:lvl>
    <w:lvl w:ilvl="3" w:tplc="0C09000F" w:tentative="1">
      <w:start w:val="1"/>
      <w:numFmt w:val="decimal"/>
      <w:lvlText w:val="%4."/>
      <w:lvlJc w:val="left"/>
      <w:pPr>
        <w:tabs>
          <w:tab w:val="num" w:pos="900"/>
        </w:tabs>
        <w:ind w:left="900" w:hanging="360"/>
      </w:pPr>
      <w:rPr>
        <w:rFonts w:cs="Times New Roman"/>
      </w:rPr>
    </w:lvl>
    <w:lvl w:ilvl="4" w:tplc="0C090019" w:tentative="1">
      <w:start w:val="1"/>
      <w:numFmt w:val="lowerLetter"/>
      <w:lvlText w:val="%5."/>
      <w:lvlJc w:val="left"/>
      <w:pPr>
        <w:tabs>
          <w:tab w:val="num" w:pos="1620"/>
        </w:tabs>
        <w:ind w:left="1620" w:hanging="360"/>
      </w:pPr>
      <w:rPr>
        <w:rFonts w:cs="Times New Roman"/>
      </w:rPr>
    </w:lvl>
    <w:lvl w:ilvl="5" w:tplc="0C09001B" w:tentative="1">
      <w:start w:val="1"/>
      <w:numFmt w:val="lowerRoman"/>
      <w:lvlText w:val="%6."/>
      <w:lvlJc w:val="right"/>
      <w:pPr>
        <w:tabs>
          <w:tab w:val="num" w:pos="2340"/>
        </w:tabs>
        <w:ind w:left="2340" w:hanging="180"/>
      </w:pPr>
      <w:rPr>
        <w:rFonts w:cs="Times New Roman"/>
      </w:rPr>
    </w:lvl>
    <w:lvl w:ilvl="6" w:tplc="0C09000F" w:tentative="1">
      <w:start w:val="1"/>
      <w:numFmt w:val="decimal"/>
      <w:lvlText w:val="%7."/>
      <w:lvlJc w:val="left"/>
      <w:pPr>
        <w:tabs>
          <w:tab w:val="num" w:pos="3060"/>
        </w:tabs>
        <w:ind w:left="3060" w:hanging="360"/>
      </w:pPr>
      <w:rPr>
        <w:rFonts w:cs="Times New Roman"/>
      </w:rPr>
    </w:lvl>
    <w:lvl w:ilvl="7" w:tplc="0C090019" w:tentative="1">
      <w:start w:val="1"/>
      <w:numFmt w:val="lowerLetter"/>
      <w:lvlText w:val="%8."/>
      <w:lvlJc w:val="left"/>
      <w:pPr>
        <w:tabs>
          <w:tab w:val="num" w:pos="3780"/>
        </w:tabs>
        <w:ind w:left="3780" w:hanging="360"/>
      </w:pPr>
      <w:rPr>
        <w:rFonts w:cs="Times New Roman"/>
      </w:rPr>
    </w:lvl>
    <w:lvl w:ilvl="8" w:tplc="0C09001B" w:tentative="1">
      <w:start w:val="1"/>
      <w:numFmt w:val="lowerRoman"/>
      <w:lvlText w:val="%9."/>
      <w:lvlJc w:val="right"/>
      <w:pPr>
        <w:tabs>
          <w:tab w:val="num" w:pos="4500"/>
        </w:tabs>
        <w:ind w:left="4500" w:hanging="180"/>
      </w:pPr>
      <w:rPr>
        <w:rFonts w:cs="Times New Roman"/>
      </w:rPr>
    </w:lvl>
  </w:abstractNum>
  <w:abstractNum w:abstractNumId="5" w15:restartNumberingAfterBreak="0">
    <w:nsid w:val="22C7746A"/>
    <w:multiLevelType w:val="multilevel"/>
    <w:tmpl w:val="FFD085F0"/>
    <w:name w:val="SubElement"/>
    <w:lvl w:ilvl="0">
      <w:start w:val="1"/>
      <w:numFmt w:val="lowerLetter"/>
      <w:pStyle w:val="codeReqA"/>
      <w:lvlText w:val="%1)"/>
      <w:lvlJc w:val="left"/>
      <w:pPr>
        <w:tabs>
          <w:tab w:val="num" w:pos="1211"/>
        </w:tabs>
        <w:ind w:left="425" w:firstLine="426"/>
      </w:pPr>
      <w:rPr>
        <w:rFonts w:cs="Times New Roman" w:hint="default"/>
        <w:color w:val="666699"/>
      </w:rPr>
    </w:lvl>
    <w:lvl w:ilvl="1">
      <w:start w:val="1"/>
      <w:numFmt w:val="lowerRoman"/>
      <w:pStyle w:val="codeReqI"/>
      <w:lvlText w:val="%2)"/>
      <w:lvlJc w:val="left"/>
      <w:pPr>
        <w:tabs>
          <w:tab w:val="num" w:pos="1996"/>
        </w:tabs>
        <w:ind w:left="425" w:firstLine="851"/>
      </w:pPr>
      <w:rPr>
        <w:rFonts w:cs="Times New Roman" w:hint="default"/>
        <w:color w:val="666699"/>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 w15:restartNumberingAfterBreak="0">
    <w:nsid w:val="291E0D9F"/>
    <w:multiLevelType w:val="hybridMultilevel"/>
    <w:tmpl w:val="867482EC"/>
    <w:lvl w:ilvl="0" w:tplc="04090017">
      <w:start w:val="1"/>
      <w:numFmt w:val="lowerLetter"/>
      <w:lvlText w:val="%1)"/>
      <w:lvlJc w:val="left"/>
      <w:pPr>
        <w:tabs>
          <w:tab w:val="num" w:pos="360"/>
        </w:tabs>
        <w:ind w:left="360" w:hanging="360"/>
      </w:pPr>
      <w:rPr>
        <w:rFonts w:cs="Times New Roman"/>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hint="default"/>
        <w:color w:val="auto"/>
      </w:rPr>
    </w:lvl>
    <w:lvl w:ilvl="1">
      <w:start w:val="1"/>
      <w:numFmt w:val="lowerRoman"/>
      <w:pStyle w:val="codeList2"/>
      <w:lvlText w:val="%2)"/>
      <w:lvlJc w:val="left"/>
      <w:pPr>
        <w:tabs>
          <w:tab w:val="num" w:pos="907"/>
        </w:tabs>
        <w:ind w:left="454"/>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9" w15:restartNumberingAfterBreak="0">
    <w:nsid w:val="34CB05F3"/>
    <w:multiLevelType w:val="hybridMultilevel"/>
    <w:tmpl w:val="D68A076E"/>
    <w:lvl w:ilvl="0" w:tplc="BAACDE82">
      <w:start w:val="1"/>
      <w:numFmt w:val="decimal"/>
      <w:pStyle w:val="TAeditorialitemerrorheading"/>
      <w:lvlText w:val="M%1."/>
      <w:lvlJc w:val="left"/>
      <w:pPr>
        <w:tabs>
          <w:tab w:val="num" w:pos="720"/>
        </w:tabs>
        <w:ind w:left="720" w:hanging="720"/>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4"/>
        <w:szCs w:val="24"/>
        <w:u w:val="none" w:color="000000"/>
        <w:vertAlign w:val="baseline"/>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62A324A"/>
    <w:multiLevelType w:val="multilevel"/>
    <w:tmpl w:val="7E74C1D0"/>
    <w:lvl w:ilvl="0">
      <w:start w:val="1"/>
      <w:numFmt w:val="decimal"/>
      <w:pStyle w:val="codeCriteriaList"/>
      <w:suff w:val="nothing"/>
      <w:lvlText w:val="C%1"/>
      <w:lvlJc w:val="left"/>
      <w:pPr>
        <w:ind w:left="283"/>
      </w:pPr>
      <w:rPr>
        <w:rFonts w:ascii="Times New Roman" w:hAnsi="Times New Roman" w:cs="Times New Roman"/>
        <w:b w:val="0"/>
        <w:bCs w:val="0"/>
        <w:i w:val="0"/>
        <w:iCs w:val="0"/>
        <w:caps w:val="0"/>
        <w:smallCaps w:val="0"/>
        <w:strike w:val="0"/>
        <w:dstrike w:val="0"/>
        <w:outline w:val="0"/>
        <w:shadow w:val="0"/>
        <w:emboss w:val="0"/>
        <w:imprint w:val="0"/>
        <w:vanish w:val="0"/>
        <w:color w:val="auto"/>
        <w:spacing w:val="0"/>
        <w:w w:val="100"/>
        <w:kern w:val="0"/>
        <w:position w:val="0"/>
        <w:sz w:val="24"/>
        <w:szCs w:val="24"/>
        <w:u w:val="none" w:color="000000"/>
        <w:vertAlign w:val="baseline"/>
      </w:rPr>
    </w:lvl>
    <w:lvl w:ilvl="1">
      <w:start w:val="1"/>
      <w:numFmt w:val="upperLetter"/>
      <w:pStyle w:val="codeCriteriaListA"/>
      <w:suff w:val="nothing"/>
      <w:lvlText w:val="C%1%2"/>
      <w:lvlJc w:val="left"/>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 w15:restartNumberingAfterBreak="0">
    <w:nsid w:val="3F9E4630"/>
    <w:multiLevelType w:val="multilevel"/>
    <w:tmpl w:val="B1302FBE"/>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2" w15:restartNumberingAfterBreak="0">
    <w:nsid w:val="492A06AD"/>
    <w:multiLevelType w:val="hybridMultilevel"/>
    <w:tmpl w:val="7EEA58A4"/>
    <w:lvl w:ilvl="0" w:tplc="56881DAA">
      <w:start w:val="1"/>
      <w:numFmt w:val="upperLetter"/>
      <w:lvlText w:val="%1."/>
      <w:lvlJc w:val="left"/>
      <w:pPr>
        <w:tabs>
          <w:tab w:val="num" w:pos="540"/>
        </w:tabs>
        <w:ind w:left="540" w:hanging="540"/>
      </w:pPr>
      <w:rPr>
        <w:rFonts w:ascii="Arial" w:hAnsi="Arial" w:cs="Arial"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4CB86ED4"/>
    <w:multiLevelType w:val="multilevel"/>
    <w:tmpl w:val="0E1477F6"/>
    <w:lvl w:ilvl="0">
      <w:start w:val="1"/>
      <w:numFmt w:val="decimal"/>
      <w:pStyle w:val="codeRuleList"/>
      <w:suff w:val="nothing"/>
      <w:lvlText w:val="R%1"/>
      <w:lvlJc w:val="left"/>
      <w:pPr>
        <w:ind w:left="426"/>
      </w:pPr>
      <w:rPr>
        <w:rFonts w:cs="Times New Roman" w:hint="default"/>
      </w:rPr>
    </w:lvl>
    <w:lvl w:ilvl="1">
      <w:start w:val="1"/>
      <w:numFmt w:val="upperLetter"/>
      <w:pStyle w:val="codeRuleListA"/>
      <w:suff w:val="nothing"/>
      <w:lvlText w:val="R%1%2"/>
      <w:lvlJc w:val="left"/>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15:restartNumberingAfterBreak="0">
    <w:nsid w:val="4E3E71F1"/>
    <w:multiLevelType w:val="multilevel"/>
    <w:tmpl w:val="530694B6"/>
    <w:lvl w:ilvl="0">
      <w:start w:val="1"/>
      <w:numFmt w:val="decimal"/>
      <w:pStyle w:val="Head1"/>
      <w:lvlText w:val="%1."/>
      <w:lvlJc w:val="left"/>
      <w:pPr>
        <w:tabs>
          <w:tab w:val="num" w:pos="709"/>
        </w:tabs>
        <w:ind w:left="709"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5" w15:restartNumberingAfterBreak="0">
    <w:nsid w:val="518B782E"/>
    <w:multiLevelType w:val="hybridMultilevel"/>
    <w:tmpl w:val="C3541EAA"/>
    <w:lvl w:ilvl="0" w:tplc="FFFFFFFF">
      <w:start w:val="2"/>
      <w:numFmt w:val="upperLetter"/>
      <w:lvlText w:val="%1."/>
      <w:lvlJc w:val="left"/>
      <w:pPr>
        <w:tabs>
          <w:tab w:val="num" w:pos="540"/>
        </w:tabs>
        <w:ind w:left="540" w:hanging="540"/>
      </w:pPr>
      <w:rPr>
        <w:rFonts w:cs="Times New Roman"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6" w15:restartNumberingAfterBreak="0">
    <w:nsid w:val="58EA5484"/>
    <w:multiLevelType w:val="multilevel"/>
    <w:tmpl w:val="7C401730"/>
    <w:lvl w:ilvl="0">
      <w:start w:val="1"/>
      <w:numFmt w:val="upperLetter"/>
      <w:lvlText w:val="%1."/>
      <w:lvlJc w:val="left"/>
      <w:pPr>
        <w:tabs>
          <w:tab w:val="num" w:pos="540"/>
        </w:tabs>
        <w:ind w:left="540" w:hanging="540"/>
      </w:pPr>
      <w:rPr>
        <w:rFonts w:ascii="Arial" w:hAnsi="Arial" w:cs="Arial" w:hint="default"/>
      </w:rPr>
    </w:lvl>
    <w:lvl w:ilvl="1">
      <w:start w:val="1"/>
      <w:numFmt w:val="lowerLetter"/>
      <w:lvlText w:val="%2)"/>
      <w:lvlJc w:val="left"/>
      <w:pPr>
        <w:tabs>
          <w:tab w:val="num" w:pos="1440"/>
        </w:tabs>
        <w:ind w:left="1440" w:hanging="360"/>
      </w:pPr>
      <w:rPr>
        <w:rFonts w:ascii="Arial" w:hAnsi="Arial" w:cs="Times New Roman" w:hint="default"/>
      </w:rPr>
    </w:lvl>
    <w:lvl w:ilvl="2">
      <w:start w:val="1"/>
      <w:numFmt w:val="lowerLetter"/>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5EBA5526"/>
    <w:multiLevelType w:val="hybridMultilevel"/>
    <w:tmpl w:val="00ECC834"/>
    <w:lvl w:ilvl="0" w:tplc="C400F0F6">
      <w:start w:val="1"/>
      <w:numFmt w:val="decimal"/>
      <w:lvlText w:val="%1."/>
      <w:lvlJc w:val="left"/>
      <w:pPr>
        <w:tabs>
          <w:tab w:val="num" w:pos="360"/>
        </w:tabs>
        <w:ind w:left="360" w:hanging="360"/>
      </w:pPr>
      <w:rPr>
        <w:rFonts w:cs="Times New Roman"/>
      </w:rPr>
    </w:lvl>
    <w:lvl w:ilvl="1" w:tplc="C994EE0E">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61636954"/>
    <w:multiLevelType w:val="hybridMultilevel"/>
    <w:tmpl w:val="12F24BB6"/>
    <w:lvl w:ilvl="0" w:tplc="0409000F">
      <w:start w:val="1"/>
      <w:numFmt w:val="bullet"/>
      <w:lvlText w:val=""/>
      <w:lvlJc w:val="left"/>
      <w:pPr>
        <w:tabs>
          <w:tab w:val="num" w:pos="1260"/>
        </w:tabs>
        <w:ind w:left="1260" w:hanging="360"/>
      </w:pPr>
      <w:rPr>
        <w:rFonts w:ascii="Symbol" w:hAnsi="Symbol" w:hint="default"/>
      </w:rPr>
    </w:lvl>
    <w:lvl w:ilvl="1" w:tplc="0C090019" w:tentative="1">
      <w:start w:val="1"/>
      <w:numFmt w:val="bullet"/>
      <w:lvlText w:val="o"/>
      <w:lvlJc w:val="left"/>
      <w:pPr>
        <w:tabs>
          <w:tab w:val="num" w:pos="1980"/>
        </w:tabs>
        <w:ind w:left="1980" w:hanging="360"/>
      </w:pPr>
      <w:rPr>
        <w:rFonts w:ascii="Courier New" w:hAnsi="Courier New" w:hint="default"/>
      </w:rPr>
    </w:lvl>
    <w:lvl w:ilvl="2" w:tplc="0C09001B" w:tentative="1">
      <w:start w:val="1"/>
      <w:numFmt w:val="bullet"/>
      <w:lvlText w:val=""/>
      <w:lvlJc w:val="left"/>
      <w:pPr>
        <w:tabs>
          <w:tab w:val="num" w:pos="2700"/>
        </w:tabs>
        <w:ind w:left="2700" w:hanging="360"/>
      </w:pPr>
      <w:rPr>
        <w:rFonts w:ascii="Wingdings" w:hAnsi="Wingdings" w:hint="default"/>
      </w:rPr>
    </w:lvl>
    <w:lvl w:ilvl="3" w:tplc="0C09000F" w:tentative="1">
      <w:start w:val="1"/>
      <w:numFmt w:val="bullet"/>
      <w:lvlText w:val=""/>
      <w:lvlJc w:val="left"/>
      <w:pPr>
        <w:tabs>
          <w:tab w:val="num" w:pos="3420"/>
        </w:tabs>
        <w:ind w:left="3420" w:hanging="360"/>
      </w:pPr>
      <w:rPr>
        <w:rFonts w:ascii="Symbol" w:hAnsi="Symbol" w:hint="default"/>
      </w:rPr>
    </w:lvl>
    <w:lvl w:ilvl="4" w:tplc="0C090019" w:tentative="1">
      <w:start w:val="1"/>
      <w:numFmt w:val="bullet"/>
      <w:lvlText w:val="o"/>
      <w:lvlJc w:val="left"/>
      <w:pPr>
        <w:tabs>
          <w:tab w:val="num" w:pos="4140"/>
        </w:tabs>
        <w:ind w:left="4140" w:hanging="360"/>
      </w:pPr>
      <w:rPr>
        <w:rFonts w:ascii="Courier New" w:hAnsi="Courier New" w:hint="default"/>
      </w:rPr>
    </w:lvl>
    <w:lvl w:ilvl="5" w:tplc="0C09001B" w:tentative="1">
      <w:start w:val="1"/>
      <w:numFmt w:val="bullet"/>
      <w:lvlText w:val=""/>
      <w:lvlJc w:val="left"/>
      <w:pPr>
        <w:tabs>
          <w:tab w:val="num" w:pos="4860"/>
        </w:tabs>
        <w:ind w:left="4860" w:hanging="360"/>
      </w:pPr>
      <w:rPr>
        <w:rFonts w:ascii="Wingdings" w:hAnsi="Wingdings" w:hint="default"/>
      </w:rPr>
    </w:lvl>
    <w:lvl w:ilvl="6" w:tplc="0C09000F" w:tentative="1">
      <w:start w:val="1"/>
      <w:numFmt w:val="bullet"/>
      <w:lvlText w:val=""/>
      <w:lvlJc w:val="left"/>
      <w:pPr>
        <w:tabs>
          <w:tab w:val="num" w:pos="5580"/>
        </w:tabs>
        <w:ind w:left="5580" w:hanging="360"/>
      </w:pPr>
      <w:rPr>
        <w:rFonts w:ascii="Symbol" w:hAnsi="Symbol" w:hint="default"/>
      </w:rPr>
    </w:lvl>
    <w:lvl w:ilvl="7" w:tplc="0C090019" w:tentative="1">
      <w:start w:val="1"/>
      <w:numFmt w:val="bullet"/>
      <w:lvlText w:val="o"/>
      <w:lvlJc w:val="left"/>
      <w:pPr>
        <w:tabs>
          <w:tab w:val="num" w:pos="6300"/>
        </w:tabs>
        <w:ind w:left="6300" w:hanging="360"/>
      </w:pPr>
      <w:rPr>
        <w:rFonts w:ascii="Courier New" w:hAnsi="Courier New" w:hint="default"/>
      </w:rPr>
    </w:lvl>
    <w:lvl w:ilvl="8" w:tplc="0C09001B" w:tentative="1">
      <w:start w:val="1"/>
      <w:numFmt w:val="bullet"/>
      <w:lvlText w:val=""/>
      <w:lvlJc w:val="left"/>
      <w:pPr>
        <w:tabs>
          <w:tab w:val="num" w:pos="7020"/>
        </w:tabs>
        <w:ind w:left="7020" w:hanging="360"/>
      </w:pPr>
      <w:rPr>
        <w:rFonts w:ascii="Wingdings" w:hAnsi="Wingdings" w:hint="default"/>
      </w:rPr>
    </w:lvl>
  </w:abstractNum>
  <w:abstractNum w:abstractNumId="19" w15:restartNumberingAfterBreak="0">
    <w:nsid w:val="6D081A9B"/>
    <w:multiLevelType w:val="hybridMultilevel"/>
    <w:tmpl w:val="D9A42A1E"/>
    <w:name w:val="elementList2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766F06"/>
    <w:multiLevelType w:val="hybridMultilevel"/>
    <w:tmpl w:val="3A262522"/>
    <w:lvl w:ilvl="0" w:tplc="0C090001">
      <w:start w:val="1"/>
      <w:numFmt w:val="decimal"/>
      <w:pStyle w:val="TAeditorialitemcodeheading"/>
      <w:lvlText w:val="C%1."/>
      <w:lvlJc w:val="left"/>
      <w:pPr>
        <w:tabs>
          <w:tab w:val="num" w:pos="720"/>
        </w:tabs>
        <w:ind w:left="720" w:hanging="720"/>
      </w:pPr>
      <w:rPr>
        <w:rFonts w:cs="Times New Roman" w:hint="default"/>
      </w:rPr>
    </w:lvl>
    <w:lvl w:ilvl="1" w:tplc="0C090003" w:tentative="1">
      <w:start w:val="1"/>
      <w:numFmt w:val="lowerLetter"/>
      <w:lvlText w:val="%2."/>
      <w:lvlJc w:val="left"/>
      <w:pPr>
        <w:tabs>
          <w:tab w:val="num" w:pos="1440"/>
        </w:tabs>
        <w:ind w:left="1440" w:hanging="360"/>
      </w:pPr>
      <w:rPr>
        <w:rFonts w:cs="Times New Roman"/>
      </w:rPr>
    </w:lvl>
    <w:lvl w:ilvl="2" w:tplc="0C090005" w:tentative="1">
      <w:start w:val="1"/>
      <w:numFmt w:val="lowerRoman"/>
      <w:lvlText w:val="%3."/>
      <w:lvlJc w:val="right"/>
      <w:pPr>
        <w:tabs>
          <w:tab w:val="num" w:pos="2160"/>
        </w:tabs>
        <w:ind w:left="2160" w:hanging="180"/>
      </w:pPr>
      <w:rPr>
        <w:rFonts w:cs="Times New Roman"/>
      </w:rPr>
    </w:lvl>
    <w:lvl w:ilvl="3" w:tplc="0C090001" w:tentative="1">
      <w:start w:val="1"/>
      <w:numFmt w:val="decimal"/>
      <w:lvlText w:val="%4."/>
      <w:lvlJc w:val="left"/>
      <w:pPr>
        <w:tabs>
          <w:tab w:val="num" w:pos="2880"/>
        </w:tabs>
        <w:ind w:left="2880" w:hanging="360"/>
      </w:pPr>
      <w:rPr>
        <w:rFonts w:cs="Times New Roman"/>
      </w:rPr>
    </w:lvl>
    <w:lvl w:ilvl="4" w:tplc="0C090003" w:tentative="1">
      <w:start w:val="1"/>
      <w:numFmt w:val="lowerLetter"/>
      <w:lvlText w:val="%5."/>
      <w:lvlJc w:val="left"/>
      <w:pPr>
        <w:tabs>
          <w:tab w:val="num" w:pos="3600"/>
        </w:tabs>
        <w:ind w:left="3600" w:hanging="360"/>
      </w:pPr>
      <w:rPr>
        <w:rFonts w:cs="Times New Roman"/>
      </w:rPr>
    </w:lvl>
    <w:lvl w:ilvl="5" w:tplc="0C090005" w:tentative="1">
      <w:start w:val="1"/>
      <w:numFmt w:val="lowerRoman"/>
      <w:lvlText w:val="%6."/>
      <w:lvlJc w:val="right"/>
      <w:pPr>
        <w:tabs>
          <w:tab w:val="num" w:pos="4320"/>
        </w:tabs>
        <w:ind w:left="4320" w:hanging="180"/>
      </w:pPr>
      <w:rPr>
        <w:rFonts w:cs="Times New Roman"/>
      </w:rPr>
    </w:lvl>
    <w:lvl w:ilvl="6" w:tplc="0C090001" w:tentative="1">
      <w:start w:val="1"/>
      <w:numFmt w:val="decimal"/>
      <w:lvlText w:val="%7."/>
      <w:lvlJc w:val="left"/>
      <w:pPr>
        <w:tabs>
          <w:tab w:val="num" w:pos="5040"/>
        </w:tabs>
        <w:ind w:left="5040" w:hanging="360"/>
      </w:pPr>
      <w:rPr>
        <w:rFonts w:cs="Times New Roman"/>
      </w:rPr>
    </w:lvl>
    <w:lvl w:ilvl="7" w:tplc="0C090003" w:tentative="1">
      <w:start w:val="1"/>
      <w:numFmt w:val="lowerLetter"/>
      <w:lvlText w:val="%8."/>
      <w:lvlJc w:val="left"/>
      <w:pPr>
        <w:tabs>
          <w:tab w:val="num" w:pos="5760"/>
        </w:tabs>
        <w:ind w:left="5760" w:hanging="360"/>
      </w:pPr>
      <w:rPr>
        <w:rFonts w:cs="Times New Roman"/>
      </w:rPr>
    </w:lvl>
    <w:lvl w:ilvl="8" w:tplc="0C090005" w:tentative="1">
      <w:start w:val="1"/>
      <w:numFmt w:val="lowerRoman"/>
      <w:lvlText w:val="%9."/>
      <w:lvlJc w:val="right"/>
      <w:pPr>
        <w:tabs>
          <w:tab w:val="num" w:pos="6480"/>
        </w:tabs>
        <w:ind w:left="6480" w:hanging="180"/>
      </w:pPr>
      <w:rPr>
        <w:rFonts w:cs="Times New Roman"/>
      </w:rPr>
    </w:lvl>
  </w:abstractNum>
  <w:abstractNum w:abstractNumId="21" w15:restartNumberingAfterBreak="0">
    <w:nsid w:val="77A36D01"/>
    <w:multiLevelType w:val="multilevel"/>
    <w:tmpl w:val="1CBA6BC8"/>
    <w:lvl w:ilvl="0">
      <w:start w:val="1"/>
      <w:numFmt w:val="decimal"/>
      <w:pStyle w:val="Heading1"/>
      <w:suff w:val="space"/>
      <w:lvlText w:val="%1."/>
      <w:lvlJc w:val="left"/>
      <w:pPr>
        <w:ind w:left="720" w:hanging="720"/>
      </w:pPr>
      <w:rPr>
        <w:rFonts w:cs="Times New Roman" w:hint="default"/>
      </w:rPr>
    </w:lvl>
    <w:lvl w:ilvl="1">
      <w:start w:val="1"/>
      <w:numFmt w:val="decimal"/>
      <w:lvlRestart w:val="0"/>
      <w:suff w:val="space"/>
      <w:lvlText w:val="%1.%2"/>
      <w:lvlJc w:val="left"/>
      <w:pPr>
        <w:ind w:left="720" w:hanging="720"/>
      </w:pPr>
      <w:rPr>
        <w:rFonts w:cs="Times New Roman" w:hint="default"/>
      </w:rPr>
    </w:lvl>
    <w:lvl w:ilvl="2">
      <w:start w:val="1"/>
      <w:numFmt w:val="decimal"/>
      <w:lvlRestart w:val="0"/>
      <w:pStyle w:val="Heading3"/>
      <w:suff w:val="nothing"/>
      <w:lvlText w:val="%1.%3"/>
      <w:lvlJc w:val="left"/>
      <w:pPr>
        <w:ind w:left="720" w:hanging="720"/>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2" w15:restartNumberingAfterBreak="0">
    <w:nsid w:val="7C1B6693"/>
    <w:multiLevelType w:val="hybridMultilevel"/>
    <w:tmpl w:val="DDCC8B90"/>
    <w:lvl w:ilvl="0" w:tplc="C08A03D0">
      <w:start w:val="1"/>
      <w:numFmt w:val="bullet"/>
      <w:lvlText w:val=""/>
      <w:lvlJc w:val="left"/>
      <w:pPr>
        <w:tabs>
          <w:tab w:val="num" w:pos="567"/>
        </w:tabs>
        <w:ind w:left="567" w:hanging="567"/>
      </w:pPr>
      <w:rPr>
        <w:rFonts w:ascii="Symbol" w:hAnsi="Symbol" w:hint="default"/>
      </w:rPr>
    </w:lvl>
    <w:lvl w:ilvl="1" w:tplc="0C090019" w:tentative="1">
      <w:start w:val="1"/>
      <w:numFmt w:val="bullet"/>
      <w:lvlText w:val="o"/>
      <w:lvlJc w:val="left"/>
      <w:pPr>
        <w:tabs>
          <w:tab w:val="num" w:pos="1440"/>
        </w:tabs>
        <w:ind w:left="1440" w:hanging="360"/>
      </w:pPr>
      <w:rPr>
        <w:rFonts w:ascii="Courier New" w:hAnsi="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20"/>
  </w:num>
  <w:num w:numId="4">
    <w:abstractNumId w:val="9"/>
  </w:num>
  <w:num w:numId="5">
    <w:abstractNumId w:val="22"/>
  </w:num>
  <w:num w:numId="6">
    <w:abstractNumId w:val="10"/>
  </w:num>
  <w:num w:numId="7">
    <w:abstractNumId w:val="7"/>
  </w:num>
  <w:num w:numId="8">
    <w:abstractNumId w:val="8"/>
  </w:num>
  <w:num w:numId="9">
    <w:abstractNumId w:val="5"/>
  </w:num>
  <w:num w:numId="10">
    <w:abstractNumId w:val="13"/>
  </w:num>
  <w:num w:numId="11">
    <w:abstractNumId w:val="0"/>
  </w:num>
  <w:num w:numId="12">
    <w:abstractNumId w:val="17"/>
  </w:num>
  <w:num w:numId="13">
    <w:abstractNumId w:val="11"/>
  </w:num>
  <w:num w:numId="14">
    <w:abstractNumId w:val="15"/>
  </w:num>
  <w:num w:numId="15">
    <w:abstractNumId w:val="19"/>
  </w:num>
  <w:num w:numId="16">
    <w:abstractNumId w:val="18"/>
  </w:num>
  <w:num w:numId="17">
    <w:abstractNumId w:val="3"/>
  </w:num>
  <w:num w:numId="18">
    <w:abstractNumId w:val="6"/>
  </w:num>
  <w:num w:numId="19">
    <w:abstractNumId w:val="2"/>
  </w:num>
  <w:num w:numId="20">
    <w:abstractNumId w:val="12"/>
  </w:num>
  <w:num w:numId="21">
    <w:abstractNumId w:val="16"/>
  </w:num>
  <w:num w:numId="22">
    <w:abstractNumId w:val="4"/>
  </w:num>
  <w:num w:numId="2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64947"/>
    <w:rsid w:val="00362A8B"/>
    <w:rsid w:val="003A5A6B"/>
    <w:rsid w:val="003B669B"/>
    <w:rsid w:val="0047722A"/>
    <w:rsid w:val="00564947"/>
    <w:rsid w:val="008466D0"/>
    <w:rsid w:val="00F868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14:defaultImageDpi w14:val="0"/>
  <w15:docId w15:val="{D3943B9B-5DED-4E2E-A167-E52B5D33B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sz w:val="24"/>
      <w:szCs w:val="24"/>
    </w:rPr>
  </w:style>
  <w:style w:type="paragraph" w:styleId="Heading1">
    <w:name w:val="heading 1"/>
    <w:basedOn w:val="Normal"/>
    <w:next w:val="Normal"/>
    <w:link w:val="Heading1Char"/>
    <w:uiPriority w:val="99"/>
    <w:qFormat/>
    <w:pPr>
      <w:keepNext/>
      <w:numPr>
        <w:numId w:val="2"/>
      </w:numPr>
      <w:tabs>
        <w:tab w:val="left" w:pos="720"/>
      </w:tabs>
      <w:spacing w:after="240"/>
      <w:outlineLvl w:val="0"/>
    </w:pPr>
    <w:rPr>
      <w:rFonts w:ascii="Arial" w:hAnsi="Arial" w:cs="Arial"/>
      <w:b/>
      <w:bCs/>
      <w:kern w:val="32"/>
      <w:sz w:val="32"/>
      <w:szCs w:val="32"/>
    </w:rPr>
  </w:style>
  <w:style w:type="paragraph" w:styleId="Heading2">
    <w:name w:val="heading 2"/>
    <w:basedOn w:val="Heading3"/>
    <w:next w:val="Normal"/>
    <w:link w:val="Heading2Char"/>
    <w:uiPriority w:val="99"/>
    <w:qFormat/>
    <w:pPr>
      <w:numPr>
        <w:ilvl w:val="0"/>
        <w:numId w:val="0"/>
      </w:numPr>
      <w:spacing w:after="240" w:line="240" w:lineRule="auto"/>
      <w:outlineLvl w:val="1"/>
    </w:pPr>
  </w:style>
  <w:style w:type="paragraph" w:styleId="Heading3">
    <w:name w:val="heading 3"/>
    <w:basedOn w:val="Head2"/>
    <w:next w:val="Normal"/>
    <w:link w:val="Heading3Char"/>
    <w:uiPriority w:val="99"/>
    <w:qFormat/>
    <w:pPr>
      <w:numPr>
        <w:ilvl w:val="2"/>
        <w:numId w:val="2"/>
      </w:numPr>
      <w:tabs>
        <w:tab w:val="left" w:pos="1440"/>
      </w:tabs>
      <w:spacing w:after="120" w:line="360" w:lineRule="auto"/>
      <w:ind w:left="1440" w:hanging="1440"/>
      <w:outlineLvl w:val="2"/>
    </w:pPr>
    <w:rPr>
      <w:rFonts w:ascii="Arial" w:hAnsi="Arial" w:cs="Arial"/>
      <w:sz w:val="28"/>
      <w:szCs w:val="28"/>
    </w:rPr>
  </w:style>
  <w:style w:type="paragraph" w:styleId="Heading4">
    <w:name w:val="heading 4"/>
    <w:basedOn w:val="StyleHead2ArialNotBoldLeft0cmFirstline0cm"/>
    <w:next w:val="Normal"/>
    <w:link w:val="Heading4Char"/>
    <w:uiPriority w:val="99"/>
    <w:qFormat/>
    <w:pPr>
      <w:spacing w:before="24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rPr>
  </w:style>
  <w:style w:type="paragraph" w:customStyle="1" w:styleId="Head2">
    <w:name w:val="Head 2"/>
    <w:basedOn w:val="Normal"/>
    <w:next w:val="BodyText"/>
    <w:uiPriority w:val="99"/>
    <w:pPr>
      <w:numPr>
        <w:ilvl w:val="1"/>
        <w:numId w:val="1"/>
      </w:numPr>
      <w:spacing w:after="240"/>
    </w:pPr>
    <w:rPr>
      <w:b/>
      <w:sz w:val="32"/>
    </w:rPr>
  </w:style>
  <w:style w:type="paragraph" w:styleId="BodyText">
    <w:name w:val="Body Text"/>
    <w:basedOn w:val="Normal"/>
    <w:link w:val="BodyTextChar"/>
    <w:uiPriority w:val="99"/>
    <w:pPr>
      <w:tabs>
        <w:tab w:val="left" w:pos="720"/>
        <w:tab w:val="left" w:pos="1440"/>
      </w:tabs>
      <w:spacing w:after="120"/>
      <w:ind w:left="567"/>
    </w:pPr>
    <w:rPr>
      <w:rFonts w:ascii="Arial" w:hAnsi="Arial"/>
    </w:rPr>
  </w:style>
  <w:style w:type="paragraph" w:customStyle="1" w:styleId="StyleHead2ArialNotBoldLeft0cmFirstline0cm">
    <w:name w:val="Style Head 2 + Arial Not Bold Left:  0 cm First line:  0 cm"/>
    <w:basedOn w:val="Head2"/>
    <w:uiPriority w:val="99"/>
    <w:pPr>
      <w:numPr>
        <w:ilvl w:val="0"/>
        <w:numId w:val="0"/>
      </w:numPr>
    </w:pPr>
    <w:rPr>
      <w:rFonts w:ascii="Arial" w:hAnsi="Arial"/>
      <w:b w:val="0"/>
      <w:szCs w:val="20"/>
    </w:rPr>
  </w:style>
  <w:style w:type="character" w:customStyle="1" w:styleId="BodyTextChar">
    <w:name w:val="Body Text Char"/>
    <w:basedOn w:val="DefaultParagraphFont"/>
    <w:link w:val="BodyText"/>
    <w:uiPriority w:val="99"/>
    <w:semiHidden/>
    <w:locked/>
    <w:rPr>
      <w:rFonts w:ascii="Arial" w:hAnsi="Arial" w:cs="Times New Roman"/>
      <w:sz w:val="24"/>
      <w:szCs w:val="24"/>
      <w:lang w:val="en-AU" w:eastAsia="en-AU" w:bidi="ar-SA"/>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Normal"/>
    <w:uiPriority w:val="99"/>
    <w:semiHidden/>
    <w:pPr>
      <w:spacing w:before="360"/>
    </w:pPr>
    <w:rPr>
      <w:rFonts w:ascii="Arial" w:hAnsi="Arial"/>
      <w:caps/>
      <w:noProof/>
    </w:rPr>
  </w:style>
  <w:style w:type="paragraph" w:styleId="TOC2">
    <w:name w:val="toc 2"/>
    <w:basedOn w:val="Normal"/>
    <w:next w:val="Normal"/>
    <w:uiPriority w:val="99"/>
    <w:semiHidden/>
    <w:pPr>
      <w:spacing w:before="240"/>
    </w:pPr>
    <w:rPr>
      <w:rFonts w:ascii="Arial" w:hAnsi="Arial"/>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Pr>
      <w:sz w:val="24"/>
      <w:szCs w:val="24"/>
    </w:rPr>
  </w:style>
  <w:style w:type="paragraph" w:customStyle="1" w:styleId="Head1">
    <w:name w:val="Head 1"/>
    <w:basedOn w:val="Normal"/>
    <w:next w:val="BodyText"/>
    <w:uiPriority w:val="99"/>
    <w:pPr>
      <w:numPr>
        <w:numId w:val="1"/>
      </w:numPr>
      <w:spacing w:after="240"/>
    </w:pPr>
    <w:rPr>
      <w:b/>
      <w:sz w:val="36"/>
    </w:rPr>
  </w:style>
  <w:style w:type="paragraph" w:customStyle="1" w:styleId="Head3">
    <w:name w:val="Head 3"/>
    <w:basedOn w:val="Normal"/>
    <w:next w:val="BodyText"/>
    <w:uiPriority w:val="99"/>
    <w:pPr>
      <w:numPr>
        <w:ilvl w:val="2"/>
        <w:numId w:val="1"/>
      </w:numPr>
      <w:spacing w:after="240"/>
    </w:pPr>
    <w:rPr>
      <w:b/>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rPr>
      <w:sz w:val="24"/>
      <w:szCs w:val="24"/>
    </w:rPr>
  </w:style>
  <w:style w:type="character" w:styleId="PageNumber">
    <w:name w:val="page number"/>
    <w:basedOn w:val="DefaultParagraphFont"/>
    <w:uiPriority w:val="99"/>
    <w:rPr>
      <w:rFonts w:cs="Times New Roman"/>
    </w:rPr>
  </w:style>
  <w:style w:type="table" w:styleId="TableGrid">
    <w:name w:val="Table Grid"/>
    <w:basedOn w:val="TableNormal"/>
    <w:uiPriority w:val="9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rPr>
      <w:sz w:val="20"/>
      <w:szCs w:val="20"/>
      <w:lang w:eastAsia="en-US"/>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rPr>
      <w:rFonts w:cs="Times New Roman"/>
      <w:sz w:val="16"/>
      <w:szCs w:val="16"/>
    </w:rPr>
  </w:style>
  <w:style w:type="paragraph" w:styleId="CommentSubject">
    <w:name w:val="annotation subject"/>
    <w:basedOn w:val="CommentText"/>
    <w:next w:val="CommentText"/>
    <w:link w:val="CommentSubjectChar"/>
    <w:uiPriority w:val="99"/>
    <w:semiHidden/>
    <w:rPr>
      <w:b/>
      <w:bCs/>
      <w:lang w:eastAsia="en-AU"/>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FootnoteText">
    <w:name w:val="footnote text"/>
    <w:basedOn w:val="Normal"/>
    <w:link w:val="FootnoteTextChar"/>
    <w:uiPriority w:val="99"/>
    <w:semiHidden/>
    <w:rPr>
      <w:sz w:val="20"/>
      <w:szCs w:val="20"/>
      <w:lang w:eastAsia="en-US"/>
    </w:rPr>
  </w:style>
  <w:style w:type="character" w:customStyle="1" w:styleId="FootnoteTextChar">
    <w:name w:val="Footnote Text Char"/>
    <w:basedOn w:val="DefaultParagraphFont"/>
    <w:link w:val="FootnoteText"/>
    <w:uiPriority w:val="99"/>
    <w:semiHidden/>
    <w:rPr>
      <w:sz w:val="20"/>
      <w:szCs w:val="20"/>
    </w:rPr>
  </w:style>
  <w:style w:type="paragraph" w:customStyle="1" w:styleId="Titlepage4">
    <w:name w:val="Title page 4"/>
    <w:basedOn w:val="BodyText"/>
    <w:link w:val="Titlepage4Char"/>
    <w:uiPriority w:val="99"/>
    <w:pPr>
      <w:jc w:val="center"/>
    </w:pPr>
    <w:rPr>
      <w:rFonts w:cs="Arial"/>
      <w:sz w:val="32"/>
    </w:rPr>
  </w:style>
  <w:style w:type="character" w:customStyle="1" w:styleId="Titlepage4Char">
    <w:name w:val="Title page 4 Char"/>
    <w:basedOn w:val="BodyTextChar"/>
    <w:link w:val="Titlepage4"/>
    <w:uiPriority w:val="99"/>
    <w:locked/>
    <w:rPr>
      <w:rFonts w:ascii="Arial" w:hAnsi="Arial" w:cs="Arial"/>
      <w:sz w:val="24"/>
      <w:szCs w:val="24"/>
      <w:lang w:val="en-AU" w:eastAsia="en-AU" w:bidi="ar-SA"/>
    </w:rPr>
  </w:style>
  <w:style w:type="paragraph" w:customStyle="1" w:styleId="Titlepage1">
    <w:name w:val="Title page 1"/>
    <w:basedOn w:val="BodyText"/>
    <w:uiPriority w:val="99"/>
    <w:pPr>
      <w:pBdr>
        <w:top w:val="single" w:sz="4" w:space="1" w:color="auto"/>
        <w:left w:val="single" w:sz="4" w:space="4" w:color="auto"/>
        <w:bottom w:val="single" w:sz="4" w:space="1" w:color="auto"/>
        <w:right w:val="single" w:sz="4" w:space="4" w:color="auto"/>
      </w:pBdr>
      <w:shd w:val="clear" w:color="auto" w:fill="F3F3F3"/>
      <w:jc w:val="center"/>
    </w:pPr>
    <w:rPr>
      <w:rFonts w:cs="Arial"/>
      <w:b/>
      <w:bCs/>
      <w:sz w:val="74"/>
    </w:rPr>
  </w:style>
  <w:style w:type="paragraph" w:customStyle="1" w:styleId="Titlepage3">
    <w:name w:val="Title page 3"/>
    <w:basedOn w:val="Normal"/>
    <w:uiPriority w:val="99"/>
    <w:pPr>
      <w:jc w:val="center"/>
    </w:pPr>
    <w:rPr>
      <w:rFonts w:ascii="Arial" w:hAnsi="Arial" w:cs="Arial"/>
      <w:sz w:val="40"/>
      <w:szCs w:val="40"/>
    </w:rPr>
  </w:style>
  <w:style w:type="paragraph" w:customStyle="1" w:styleId="Titlepage2">
    <w:name w:val="Title page 2"/>
    <w:basedOn w:val="Normal"/>
    <w:uiPriority w:val="99"/>
    <w:pPr>
      <w:jc w:val="center"/>
    </w:pPr>
    <w:rPr>
      <w:rFonts w:ascii="Arial" w:hAnsi="Arial" w:cs="Arial"/>
      <w:sz w:val="40"/>
      <w:szCs w:val="40"/>
    </w:rPr>
  </w:style>
  <w:style w:type="paragraph" w:customStyle="1" w:styleId="Tableheadercentered">
    <w:name w:val="Table header centered"/>
    <w:basedOn w:val="Normal"/>
    <w:uiPriority w:val="99"/>
    <w:pPr>
      <w:jc w:val="center"/>
    </w:pPr>
    <w:rPr>
      <w:rFonts w:ascii="Arial" w:hAnsi="Arial" w:cs="Arial"/>
      <w:b/>
      <w:bCs/>
      <w:sz w:val="20"/>
      <w:szCs w:val="20"/>
    </w:rPr>
  </w:style>
  <w:style w:type="paragraph" w:styleId="TOC3">
    <w:name w:val="toc 3"/>
    <w:basedOn w:val="Normal"/>
    <w:next w:val="Normal"/>
    <w:autoRedefine/>
    <w:uiPriority w:val="99"/>
    <w:semiHidden/>
    <w:pPr>
      <w:tabs>
        <w:tab w:val="left" w:pos="1200"/>
        <w:tab w:val="right" w:leader="dot" w:pos="8835"/>
      </w:tabs>
      <w:spacing w:before="240"/>
    </w:pPr>
    <w:rPr>
      <w:rFonts w:ascii="Arial" w:hAnsi="Arial"/>
    </w:rPr>
  </w:style>
  <w:style w:type="paragraph" w:customStyle="1" w:styleId="StyleTOC1ArialNotAllcaps">
    <w:name w:val="Style TOC 1 + Arial Not All caps"/>
    <w:basedOn w:val="TOC1"/>
    <w:uiPriority w:val="99"/>
    <w:rPr>
      <w:caps w:val="0"/>
    </w:rPr>
  </w:style>
  <w:style w:type="paragraph" w:customStyle="1" w:styleId="TAeditorialitemcodeheading">
    <w:name w:val="TA editorial item code heading"/>
    <w:basedOn w:val="Normal"/>
    <w:uiPriority w:val="99"/>
    <w:pPr>
      <w:numPr>
        <w:numId w:val="3"/>
      </w:numPr>
      <w:pBdr>
        <w:top w:val="single" w:sz="4" w:space="1" w:color="auto"/>
        <w:left w:val="single" w:sz="4" w:space="4" w:color="auto"/>
        <w:bottom w:val="single" w:sz="4" w:space="1" w:color="auto"/>
        <w:right w:val="single" w:sz="4" w:space="4" w:color="auto"/>
      </w:pBdr>
      <w:shd w:val="clear" w:color="auto" w:fill="D9D9D9"/>
    </w:pPr>
    <w:rPr>
      <w:rFonts w:ascii="Arial" w:hAnsi="Arial"/>
      <w:b/>
    </w:rPr>
  </w:style>
  <w:style w:type="paragraph" w:customStyle="1" w:styleId="TAeditorialinstructions">
    <w:name w:val="TA editorial instructions"/>
    <w:basedOn w:val="Normal"/>
    <w:uiPriority w:val="99"/>
    <w:pPr>
      <w:ind w:left="720"/>
    </w:pPr>
    <w:rPr>
      <w:rFonts w:ascii="Arial" w:hAnsi="Arial"/>
      <w:i/>
      <w:iCs/>
    </w:rPr>
  </w:style>
  <w:style w:type="paragraph" w:customStyle="1" w:styleId="StyleArial10ptAfter6pt">
    <w:name w:val="Style Arial 10 pt After:  6 pt"/>
    <w:basedOn w:val="Normal"/>
    <w:uiPriority w:val="99"/>
    <w:rPr>
      <w:rFonts w:ascii="Arial" w:hAnsi="Arial"/>
      <w:sz w:val="20"/>
      <w:szCs w:val="20"/>
    </w:rPr>
  </w:style>
  <w:style w:type="paragraph" w:customStyle="1" w:styleId="TAeditorialinsertedtext">
    <w:name w:val="TA editorial inserted text"/>
    <w:basedOn w:val="Normal"/>
    <w:uiPriority w:val="99"/>
    <w:pPr>
      <w:ind w:left="720"/>
    </w:pPr>
    <w:rPr>
      <w:rFonts w:ascii="Arial" w:hAnsi="Arial"/>
      <w:sz w:val="20"/>
      <w:szCs w:val="20"/>
    </w:rPr>
  </w:style>
  <w:style w:type="paragraph" w:customStyle="1" w:styleId="TAeditorialitemerrorheading">
    <w:name w:val="TA editorial item error heading"/>
    <w:basedOn w:val="TAeditorialitemcodeheading"/>
    <w:uiPriority w:val="99"/>
    <w:pPr>
      <w:numPr>
        <w:numId w:val="4"/>
      </w:numPr>
    </w:pPr>
  </w:style>
  <w:style w:type="paragraph" w:customStyle="1" w:styleId="TAdotpointintroduction">
    <w:name w:val="TA dot point introduction"/>
    <w:basedOn w:val="BodyText"/>
    <w:uiPriority w:val="99"/>
    <w:pPr>
      <w:tabs>
        <w:tab w:val="clear" w:pos="720"/>
        <w:tab w:val="clear" w:pos="1440"/>
        <w:tab w:val="left" w:pos="567"/>
        <w:tab w:val="left" w:pos="1134"/>
      </w:tabs>
      <w:ind w:hanging="567"/>
    </w:pPr>
  </w:style>
  <w:style w:type="paragraph" w:customStyle="1" w:styleId="TAExplanationheading">
    <w:name w:val="TA Explanation heading"/>
    <w:basedOn w:val="Normal"/>
    <w:uiPriority w:val="99"/>
    <w:pPr>
      <w:spacing w:before="240" w:after="120"/>
      <w:ind w:left="539" w:hanging="539"/>
    </w:pPr>
    <w:rPr>
      <w:rFonts w:ascii="Arial" w:hAnsi="Arial" w:cs="Arial"/>
      <w:b/>
      <w:szCs w:val="22"/>
      <w:lang w:val="en-US"/>
    </w:rPr>
  </w:style>
  <w:style w:type="paragraph" w:customStyle="1" w:styleId="TAIntroductiontext">
    <w:name w:val="TA Introduction text"/>
    <w:basedOn w:val="BodyText"/>
    <w:uiPriority w:val="99"/>
    <w:pPr>
      <w:ind w:left="0"/>
    </w:pPr>
  </w:style>
  <w:style w:type="paragraph" w:styleId="TOC4">
    <w:name w:val="toc 4"/>
    <w:basedOn w:val="Normal"/>
    <w:next w:val="Normal"/>
    <w:autoRedefine/>
    <w:uiPriority w:val="99"/>
    <w:semiHidden/>
    <w:pPr>
      <w:ind w:left="720"/>
    </w:pPr>
  </w:style>
  <w:style w:type="paragraph" w:customStyle="1" w:styleId="CodeItem">
    <w:name w:val="CodeItem"/>
    <w:basedOn w:val="Normal"/>
    <w:uiPriority w:val="99"/>
    <w:pPr>
      <w:numPr>
        <w:ilvl w:val="1"/>
        <w:numId w:val="7"/>
      </w:numPr>
      <w:spacing w:before="60" w:after="60"/>
    </w:pPr>
    <w:rPr>
      <w:rFonts w:ascii="Arial" w:hAnsi="Arial" w:cs="Arial"/>
      <w:b/>
      <w:bCs/>
      <w:sz w:val="20"/>
      <w:szCs w:val="20"/>
      <w:lang w:eastAsia="en-US"/>
    </w:rPr>
  </w:style>
  <w:style w:type="paragraph" w:customStyle="1" w:styleId="codeHeading">
    <w:name w:val="codeHeading"/>
    <w:basedOn w:val="Normal"/>
    <w:uiPriority w:val="99"/>
    <w:pPr>
      <w:spacing w:before="60" w:after="60"/>
    </w:pPr>
    <w:rPr>
      <w:rFonts w:ascii="Arial" w:hAnsi="Arial" w:cs="Arial"/>
      <w:b/>
      <w:bCs/>
      <w:sz w:val="22"/>
      <w:szCs w:val="20"/>
      <w:lang w:eastAsia="en-US"/>
    </w:rPr>
  </w:style>
  <w:style w:type="paragraph" w:customStyle="1" w:styleId="codeReqA">
    <w:name w:val="codeReqA"/>
    <w:basedOn w:val="Normal"/>
    <w:uiPriority w:val="99"/>
    <w:pPr>
      <w:numPr>
        <w:numId w:val="9"/>
      </w:numPr>
      <w:tabs>
        <w:tab w:val="num" w:pos="1276"/>
      </w:tabs>
      <w:spacing w:before="60" w:after="60"/>
      <w:ind w:left="1276" w:hanging="425"/>
    </w:pPr>
    <w:rPr>
      <w:rFonts w:ascii="Arial" w:hAnsi="Arial" w:cs="Arial"/>
      <w:sz w:val="20"/>
      <w:szCs w:val="20"/>
      <w:lang w:eastAsia="en-US"/>
    </w:rPr>
  </w:style>
  <w:style w:type="paragraph" w:customStyle="1" w:styleId="codeTitle">
    <w:name w:val="codeTitle"/>
    <w:basedOn w:val="Heading1"/>
    <w:uiPriority w:val="99"/>
    <w:pPr>
      <w:numPr>
        <w:numId w:val="0"/>
      </w:numPr>
      <w:tabs>
        <w:tab w:val="clear" w:pos="720"/>
      </w:tabs>
      <w:spacing w:before="1440" w:after="0"/>
      <w:jc w:val="center"/>
    </w:pPr>
    <w:rPr>
      <w:kern w:val="0"/>
      <w:sz w:val="52"/>
      <w:szCs w:val="20"/>
      <w:lang w:eastAsia="en-US"/>
    </w:rPr>
  </w:style>
  <w:style w:type="paragraph" w:customStyle="1" w:styleId="codeReqI">
    <w:name w:val="codeReqI"/>
    <w:basedOn w:val="codeReqA"/>
    <w:uiPriority w:val="99"/>
    <w:pPr>
      <w:numPr>
        <w:ilvl w:val="1"/>
      </w:numPr>
      <w:tabs>
        <w:tab w:val="num" w:pos="1276"/>
        <w:tab w:val="num" w:pos="1701"/>
      </w:tabs>
      <w:ind w:left="1701"/>
    </w:pPr>
  </w:style>
  <w:style w:type="paragraph" w:customStyle="1" w:styleId="bodyText0">
    <w:name w:val="bodyText"/>
    <w:basedOn w:val="Normal"/>
    <w:link w:val="bodyTextChar0"/>
    <w:uiPriority w:val="99"/>
    <w:pPr>
      <w:spacing w:before="120" w:line="288" w:lineRule="auto"/>
    </w:pPr>
    <w:rPr>
      <w:rFonts w:ascii="Arial" w:hAnsi="Arial" w:cs="Arial"/>
      <w:sz w:val="20"/>
      <w:szCs w:val="20"/>
      <w:lang w:eastAsia="en-US"/>
    </w:rPr>
  </w:style>
  <w:style w:type="paragraph" w:customStyle="1" w:styleId="codeRuleCriteria">
    <w:name w:val="codeRuleCriteria"/>
    <w:basedOn w:val="bodyText0"/>
    <w:link w:val="codeRuleCriteriaChar"/>
    <w:uiPriority w:val="99"/>
    <w:pPr>
      <w:spacing w:before="60" w:after="60"/>
    </w:pPr>
  </w:style>
  <w:style w:type="paragraph" w:customStyle="1" w:styleId="codeList">
    <w:name w:val="codeList"/>
    <w:basedOn w:val="codeRuleCriteria"/>
    <w:uiPriority w:val="99"/>
    <w:pPr>
      <w:numPr>
        <w:numId w:val="8"/>
      </w:numPr>
      <w:spacing w:before="0" w:after="0" w:line="240" w:lineRule="auto"/>
    </w:pPr>
  </w:style>
  <w:style w:type="paragraph" w:customStyle="1" w:styleId="codeList2">
    <w:name w:val="codeList2"/>
    <w:basedOn w:val="codeList"/>
    <w:uiPriority w:val="99"/>
    <w:pPr>
      <w:numPr>
        <w:ilvl w:val="1"/>
      </w:numPr>
      <w:ind w:firstLine="0"/>
    </w:pPr>
  </w:style>
  <w:style w:type="paragraph" w:customStyle="1" w:styleId="partHeading">
    <w:name w:val="partHeading"/>
    <w:basedOn w:val="Normal"/>
    <w:uiPriority w:val="99"/>
    <w:pPr>
      <w:spacing w:before="60" w:after="60"/>
    </w:pPr>
    <w:rPr>
      <w:rFonts w:ascii="Arial" w:hAnsi="Arial" w:cs="Arial"/>
      <w:b/>
      <w:bCs/>
      <w:color w:val="FFFFFF"/>
      <w:sz w:val="32"/>
      <w:szCs w:val="20"/>
      <w:lang w:eastAsia="en-US"/>
    </w:rPr>
  </w:style>
  <w:style w:type="paragraph" w:customStyle="1" w:styleId="codeCriteriaList">
    <w:name w:val="codeCriteriaList"/>
    <w:basedOn w:val="codeRuleCriteria"/>
    <w:uiPriority w:val="99"/>
    <w:pPr>
      <w:numPr>
        <w:numId w:val="6"/>
      </w:numPr>
      <w:spacing w:before="0" w:after="0"/>
    </w:pPr>
  </w:style>
  <w:style w:type="paragraph" w:customStyle="1" w:styleId="codeCriteriaListA">
    <w:name w:val="codeCriteriaListA"/>
    <w:basedOn w:val="codeCriteriaList"/>
    <w:uiPriority w:val="99"/>
    <w:pPr>
      <w:numPr>
        <w:ilvl w:val="1"/>
      </w:numPr>
      <w:ind w:left="0"/>
    </w:pPr>
  </w:style>
  <w:style w:type="paragraph" w:customStyle="1" w:styleId="codeRuleList">
    <w:name w:val="codeRuleList"/>
    <w:basedOn w:val="codeRuleCriteria"/>
    <w:uiPriority w:val="99"/>
    <w:pPr>
      <w:numPr>
        <w:numId w:val="10"/>
      </w:numPr>
      <w:spacing w:before="0" w:after="0"/>
    </w:pPr>
  </w:style>
  <w:style w:type="paragraph" w:customStyle="1" w:styleId="codeRuleListA">
    <w:name w:val="codeRuleListA"/>
    <w:basedOn w:val="codeRuleList"/>
    <w:uiPriority w:val="99"/>
    <w:pPr>
      <w:numPr>
        <w:ilvl w:val="1"/>
      </w:numPr>
      <w:ind w:left="0"/>
    </w:pPr>
  </w:style>
  <w:style w:type="paragraph" w:customStyle="1" w:styleId="StylebodyText14ptBold">
    <w:name w:val="Style bodyText + 14 pt Bold"/>
    <w:basedOn w:val="bodyText0"/>
    <w:autoRedefine/>
    <w:uiPriority w:val="99"/>
    <w:pPr>
      <w:spacing w:before="0"/>
    </w:pPr>
    <w:rPr>
      <w:rFonts w:ascii="Arial Bold" w:hAnsi="Arial Bold"/>
      <w:b/>
      <w:bCs/>
      <w:sz w:val="28"/>
    </w:rPr>
  </w:style>
  <w:style w:type="paragraph" w:customStyle="1" w:styleId="TAAppendixheading">
    <w:name w:val="TA Appendix heading"/>
    <w:basedOn w:val="BodyText"/>
    <w:uiPriority w:val="99"/>
    <w:pPr>
      <w:jc w:val="right"/>
    </w:pPr>
    <w:rPr>
      <w:i/>
    </w:rPr>
  </w:style>
  <w:style w:type="paragraph" w:customStyle="1" w:styleId="StylecodeTitleBefore6pt">
    <w:name w:val="Style codeTitle + Before:  6 pt"/>
    <w:basedOn w:val="codeTitle"/>
    <w:uiPriority w:val="99"/>
    <w:pPr>
      <w:spacing w:before="120"/>
    </w:pPr>
    <w:rPr>
      <w:rFonts w:cs="Times New Roman"/>
    </w:rPr>
  </w:style>
  <w:style w:type="paragraph" w:customStyle="1" w:styleId="elementHeading">
    <w:name w:val="elementHeading"/>
    <w:basedOn w:val="Normal"/>
    <w:uiPriority w:val="99"/>
    <w:pPr>
      <w:numPr>
        <w:numId w:val="17"/>
      </w:numPr>
      <w:tabs>
        <w:tab w:val="left" w:pos="1418"/>
      </w:tabs>
      <w:spacing w:before="120" w:line="288" w:lineRule="auto"/>
    </w:pPr>
    <w:rPr>
      <w:rFonts w:ascii="Arial" w:hAnsi="Arial" w:cs="Arial"/>
      <w:b/>
      <w:bCs/>
      <w:szCs w:val="20"/>
      <w:lang w:eastAsia="en-US"/>
    </w:rPr>
  </w:style>
  <w:style w:type="character" w:customStyle="1" w:styleId="codeRuleCriteriaChar">
    <w:name w:val="codeRuleCriteria Char"/>
    <w:basedOn w:val="DefaultParagraphFont"/>
    <w:link w:val="codeRuleCriteria"/>
    <w:uiPriority w:val="99"/>
    <w:locked/>
    <w:rPr>
      <w:rFonts w:ascii="Arial" w:hAnsi="Arial" w:cs="Arial"/>
      <w:lang w:val="en-AU" w:eastAsia="en-US" w:bidi="ar-SA"/>
    </w:rPr>
  </w:style>
  <w:style w:type="character" w:customStyle="1" w:styleId="bodyTextChar0">
    <w:name w:val="bodyText Char"/>
    <w:basedOn w:val="DefaultParagraphFont"/>
    <w:link w:val="bodyText0"/>
    <w:uiPriority w:val="99"/>
    <w:locked/>
    <w:rPr>
      <w:rFonts w:ascii="Arial" w:hAnsi="Arial" w:cs="Arial"/>
      <w:lang w:val="en-AU" w:eastAsia="en-US" w:bidi="ar-SA"/>
    </w:rPr>
  </w:style>
  <w:style w:type="paragraph" w:customStyle="1" w:styleId="TAheading">
    <w:name w:val="TA heading"/>
    <w:basedOn w:val="Normal"/>
    <w:uiPriority w:val="99"/>
    <w:pPr>
      <w:tabs>
        <w:tab w:val="left" w:pos="2400"/>
        <w:tab w:val="left" w:pos="2880"/>
      </w:tabs>
      <w:spacing w:before="120" w:after="240"/>
    </w:pPr>
    <w:rPr>
      <w:rFonts w:ascii="Arial" w:hAnsi="Arial"/>
      <w:b/>
      <w:bCs/>
      <w:sz w:val="40"/>
      <w:szCs w:val="20"/>
      <w:lang w:eastAsia="en-US"/>
    </w:rPr>
  </w:style>
  <w:style w:type="paragraph" w:customStyle="1" w:styleId="TAbody">
    <w:name w:val="TA body"/>
    <w:basedOn w:val="Normal"/>
    <w:link w:val="TAbodyChar"/>
    <w:uiPriority w:val="99"/>
    <w:rPr>
      <w:rFonts w:ascii="Arial" w:hAnsi="Arial"/>
      <w:szCs w:val="20"/>
      <w:lang w:val="en-GB" w:eastAsia="en-US"/>
    </w:rPr>
  </w:style>
  <w:style w:type="character" w:customStyle="1" w:styleId="TAbodyChar">
    <w:name w:val="TA body Char"/>
    <w:basedOn w:val="DefaultParagraphFont"/>
    <w:link w:val="TAbody"/>
    <w:uiPriority w:val="99"/>
    <w:locked/>
    <w:rPr>
      <w:rFonts w:ascii="Arial" w:hAnsi="Arial" w:cs="Times New Roman"/>
      <w:sz w:val="24"/>
      <w:lang w:val="en-GB" w:eastAsia="en-US" w:bidi="ar-SA"/>
    </w:rPr>
  </w:style>
  <w:style w:type="character" w:customStyle="1" w:styleId="TAannexureAtext">
    <w:name w:val="TA annexure A text"/>
    <w:basedOn w:val="DefaultParagraphFont"/>
    <w:uiPriority w:val="99"/>
    <w:rPr>
      <w:rFonts w:cs="Times New Roman"/>
      <w:b/>
      <w:bCs/>
    </w:rPr>
  </w:style>
  <w:style w:type="paragraph" w:customStyle="1" w:styleId="TAline">
    <w:name w:val="TA line"/>
    <w:basedOn w:val="Normal"/>
    <w:uiPriority w:val="99"/>
    <w:pPr>
      <w:pBdr>
        <w:top w:val="single" w:sz="12" w:space="1" w:color="auto"/>
      </w:pBdr>
    </w:pPr>
    <w:rPr>
      <w:rFonts w:ascii="Arial" w:hAnsi="Arial"/>
      <w:szCs w:val="20"/>
      <w:lang w:eastAsia="en-US"/>
    </w:rPr>
  </w:style>
  <w:style w:type="paragraph" w:customStyle="1" w:styleId="TALAtext">
    <w:name w:val="TA (LA) text"/>
    <w:basedOn w:val="Normal"/>
    <w:uiPriority w:val="99"/>
    <w:pPr>
      <w:spacing w:before="180" w:after="60"/>
      <w:jc w:val="both"/>
    </w:pPr>
    <w:rPr>
      <w:rFonts w:ascii="Arial" w:hAnsi="Arial"/>
      <w:sz w:val="20"/>
      <w:szCs w:val="20"/>
      <w:lang w:eastAsia="en-US"/>
    </w:rPr>
  </w:style>
  <w:style w:type="paragraph" w:customStyle="1" w:styleId="TA-LAitalicstext">
    <w:name w:val="TA - LA italics text"/>
    <w:basedOn w:val="Normal"/>
    <w:next w:val="Normal"/>
    <w:link w:val="TA-LAitalicstextChar"/>
    <w:uiPriority w:val="99"/>
    <w:pPr>
      <w:tabs>
        <w:tab w:val="left" w:pos="2600"/>
      </w:tabs>
      <w:spacing w:after="240"/>
      <w:jc w:val="both"/>
    </w:pPr>
    <w:rPr>
      <w:rFonts w:ascii="Arial" w:hAnsi="Arial"/>
      <w:b/>
      <w:i/>
      <w:sz w:val="18"/>
      <w:szCs w:val="20"/>
      <w:lang w:eastAsia="en-US"/>
    </w:rPr>
  </w:style>
  <w:style w:type="character" w:customStyle="1" w:styleId="TA-LAitalicstextChar">
    <w:name w:val="TA - LA italics text Char"/>
    <w:basedOn w:val="DefaultParagraphFont"/>
    <w:link w:val="TA-LAitalicstext"/>
    <w:uiPriority w:val="99"/>
    <w:locked/>
    <w:rPr>
      <w:rFonts w:ascii="Arial" w:hAnsi="Arial" w:cs="Times New Roman"/>
      <w:b/>
      <w:i/>
      <w:sz w:val="18"/>
      <w:lang w:val="en-A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3161</Words>
  <Characters>17067</Characters>
  <Application>Microsoft Office Word</Application>
  <DocSecurity>0</DocSecurity>
  <Lines>591</Lines>
  <Paragraphs>235</Paragraphs>
  <ScaleCrop>false</ScaleCrop>
  <HeadingPairs>
    <vt:vector size="2" baseType="variant">
      <vt:variant>
        <vt:lpstr>Title</vt:lpstr>
      </vt:variant>
      <vt:variant>
        <vt:i4>1</vt:i4>
      </vt:variant>
    </vt:vector>
  </HeadingPairs>
  <TitlesOfParts>
    <vt:vector size="1" baseType="lpstr">
      <vt:lpstr>Code Technical Amendment s87(b) (limited consultation)</vt:lpstr>
    </vt:vector>
  </TitlesOfParts>
  <Company/>
  <LinksUpToDate>false</LinksUpToDate>
  <CharactersWithSpaces>20091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 Technical Amendment s87(b) (limited consultation)</dc:title>
  <dc:subject/>
  <dc:creator>ACT Government</dc:creator>
  <cp:keywords/>
  <dc:description/>
  <cp:lastModifiedBy>PCODCS</cp:lastModifiedBy>
  <cp:revision>5</cp:revision>
  <cp:lastPrinted>2010-04-30T01:37:00Z</cp:lastPrinted>
  <dcterms:created xsi:type="dcterms:W3CDTF">2018-08-28T03:08:00Z</dcterms:created>
  <dcterms:modified xsi:type="dcterms:W3CDTF">2018-08-28T03:08:00Z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A5529782</vt:lpwstr>
  </property>
  <property fmtid="{D5CDD505-2E9C-101B-9397-08002B2CF9AE}" pid="4" name="Objective-Comment">
    <vt:lpwstr/>
  </property>
  <property fmtid="{D5CDD505-2E9C-101B-9397-08002B2CF9AE}" pid="5" name="Objective-CreationStamp">
    <vt:filetime>2010-04-28T14:00:00Z</vt:filetime>
  </property>
  <property fmtid="{D5CDD505-2E9C-101B-9397-08002B2CF9AE}" pid="6" name="Objective-IsApproved">
    <vt:lpwstr>No</vt:lpwstr>
  </property>
  <property fmtid="{D5CDD505-2E9C-101B-9397-08002B2CF9AE}" pid="7" name="Objective-IsPublished">
    <vt:lpwstr>No</vt:lpwstr>
  </property>
  <property fmtid="{D5CDD505-2E9C-101B-9397-08002B2CF9AE}" pid="8" name="Objective-DatePublished">
    <vt:lpwstr/>
  </property>
  <property fmtid="{D5CDD505-2E9C-101B-9397-08002B2CF9AE}" pid="9" name="Objective-ModificationStamp">
    <vt:filetime>2010-04-29T14:00:00Z</vt:filetime>
  </property>
  <property fmtid="{D5CDD505-2E9C-101B-9397-08002B2CF9AE}" pid="10" name="Objective-Owner">
    <vt:lpwstr>Janine Ridsdale</vt:lpwstr>
  </property>
  <property fmtid="{D5CDD505-2E9C-101B-9397-08002B2CF9AE}" pid="11" name="Objective-Path">
    <vt:lpwstr>Whole of ACT Government:ACTPLA:BRANCH - Planning Services:Development Policy:04 - Territory Plan Variation Unit - New ((Active 20091126):01 Territory Plan Management (Variations, Technical Amendments, Planning Reports and Proposals):2 Technical Amendments</vt:lpwstr>
  </property>
  <property fmtid="{D5CDD505-2E9C-101B-9397-08002B2CF9AE}" pid="12" name="Objective-Parent">
    <vt:lpwstr>Approval documents including NI and minutes</vt:lpwstr>
  </property>
  <property fmtid="{D5CDD505-2E9C-101B-9397-08002B2CF9AE}" pid="13" name="Objective-State">
    <vt:lpwstr>Being Edited</vt:lpwstr>
  </property>
  <property fmtid="{D5CDD505-2E9C-101B-9397-08002B2CF9AE}" pid="14" name="Objective-Title">
    <vt:lpwstr>Attachment A to Minute to Director - TA2010-06 Commencement Notice plus Final Draft attached - TA2010-06 Lyneham Section 55 and miscellaneous amendments for commencement May 2010</vt:lpwstr>
  </property>
  <property fmtid="{D5CDD505-2E9C-101B-9397-08002B2CF9AE}" pid="15" name="Objective-Version">
    <vt:lpwstr>3.1</vt:lpwstr>
  </property>
  <property fmtid="{D5CDD505-2E9C-101B-9397-08002B2CF9AE}" pid="16" name="Objective-VersionComment">
    <vt:lpwstr/>
  </property>
  <property fmtid="{D5CDD505-2E9C-101B-9397-08002B2CF9AE}" pid="17" name="Objective-VersionNumber">
    <vt:i4>4</vt:i4>
  </property>
  <property fmtid="{D5CDD505-2E9C-101B-9397-08002B2CF9AE}" pid="18" name="Objective-FileNumber">
    <vt:lpwstr>1-2009/17669</vt:lpwstr>
  </property>
  <property fmtid="{D5CDD505-2E9C-101B-9397-08002B2CF9AE}" pid="19" name="Objective-Classification">
    <vt:lpwstr>Not classified</vt:lpwstr>
  </property>
  <property fmtid="{D5CDD505-2E9C-101B-9397-08002B2CF9AE}" pid="20" name="Objective-Caveats">
    <vt:lpwstr/>
  </property>
  <property fmtid="{D5CDD505-2E9C-101B-9397-08002B2CF9AE}" pid="21" name="Objective-Owner Agency [system]">
    <vt:lpwstr>ACTPLA</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