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59" w:rsidRDefault="00665E59">
      <w:pPr>
        <w:pStyle w:val="Header"/>
        <w:tabs>
          <w:tab w:val="left" w:pos="720"/>
        </w:tabs>
        <w:spacing w:before="120"/>
        <w:rPr>
          <w:rFonts w:cs="Arial"/>
          <w:lang w:val="en-AU"/>
        </w:rPr>
      </w:pPr>
      <w:bookmarkStart w:id="0" w:name="_GoBack"/>
      <w:bookmarkEnd w:id="0"/>
      <w:smartTag w:uri="urn:schemas-microsoft-com:office:smarttags" w:element="PersonName">
        <w:smartTag w:uri="urn:schemas-microsoft-com:office:smarttags" w:element="State">
          <w:smartTag w:uri="urn:schemas-microsoft-com:office:smarttags" w:element="place">
            <w:r>
              <w:rPr>
                <w:rFonts w:cs="Arial"/>
                <w:lang w:val="en-AU"/>
              </w:rPr>
              <w:t>Australian Capital Territory</w:t>
            </w:r>
          </w:smartTag>
        </w:smartTag>
      </w:smartTag>
    </w:p>
    <w:p w:rsidR="00665E59" w:rsidRDefault="00665E59">
      <w:pPr>
        <w:pStyle w:val="Billname"/>
        <w:spacing w:before="120" w:after="120"/>
        <w:rPr>
          <w:rFonts w:cs="Arial"/>
          <w:b w:val="0"/>
          <w:bCs/>
          <w:sz w:val="24"/>
        </w:rPr>
      </w:pPr>
    </w:p>
    <w:p w:rsidR="00665E59" w:rsidRDefault="00665E59">
      <w:pPr>
        <w:pStyle w:val="Billname"/>
        <w:spacing w:before="120" w:after="0"/>
        <w:rPr>
          <w:rFonts w:cs="Arial"/>
        </w:rPr>
      </w:pPr>
      <w:r>
        <w:t xml:space="preserve">Planning and Development (Technical Amendment - Miscellaneous Amendments) Plan Variation 2010 </w:t>
      </w:r>
      <w:bookmarkStart w:id="1" w:name="Citation"/>
      <w:r>
        <w:t>(No</w:t>
      </w:r>
      <w:r w:rsidR="009C3557">
        <w:t xml:space="preserve"> </w:t>
      </w:r>
      <w:r>
        <w:t>2)*</w:t>
      </w:r>
    </w:p>
    <w:p w:rsidR="00665E59" w:rsidRDefault="00665E59">
      <w:pPr>
        <w:pStyle w:val="Heading5"/>
        <w:rPr>
          <w:rFonts w:cs="Arial"/>
          <w:i w:val="0"/>
          <w:caps/>
          <w:lang w:val="fr-FR"/>
        </w:rPr>
      </w:pPr>
      <w:r>
        <w:rPr>
          <w:rFonts w:cs="Arial"/>
          <w:i w:val="0"/>
          <w:caps/>
          <w:lang w:val="fr-FR"/>
        </w:rPr>
        <w:t>Notifiable instrument NI2010 - 409</w:t>
      </w:r>
    </w:p>
    <w:p w:rsidR="00665E59" w:rsidRDefault="00665E59">
      <w:pPr>
        <w:rPr>
          <w:b/>
          <w:bCs/>
        </w:rPr>
      </w:pPr>
    </w:p>
    <w:p w:rsidR="00665E59" w:rsidRDefault="00665E59">
      <w:pPr>
        <w:rPr>
          <w:b/>
          <w:bCs/>
          <w:lang w:val="fr-FR"/>
        </w:rPr>
      </w:pPr>
      <w:r>
        <w:rPr>
          <w:b/>
          <w:bCs/>
        </w:rPr>
        <w:t>Technical Amendment</w:t>
      </w:r>
      <w:r>
        <w:rPr>
          <w:b/>
          <w:bCs/>
          <w:lang w:val="fr-FR"/>
        </w:rPr>
        <w:t xml:space="preserve"> No 2010–24</w:t>
      </w:r>
    </w:p>
    <w:p w:rsidR="00665E59" w:rsidRDefault="00665E59">
      <w:pPr>
        <w:pStyle w:val="madeunder"/>
        <w:rPr>
          <w:rFonts w:cs="Arial"/>
          <w:sz w:val="20"/>
        </w:rPr>
      </w:pPr>
      <w:r>
        <w:rPr>
          <w:rFonts w:cs="Arial"/>
          <w:sz w:val="20"/>
        </w:rPr>
        <w:t>made under the</w:t>
      </w:r>
    </w:p>
    <w:p w:rsidR="00665E59" w:rsidRDefault="00665E59">
      <w:pPr>
        <w:pStyle w:val="CoverActName"/>
        <w:spacing w:before="0"/>
      </w:pPr>
    </w:p>
    <w:p w:rsidR="00665E59" w:rsidRDefault="00665E59">
      <w:pPr>
        <w:pStyle w:val="CoverActName"/>
        <w:spacing w:before="0"/>
        <w:jc w:val="left"/>
      </w:pPr>
      <w:r>
        <w:t xml:space="preserve">Planning and Development Act 2007, section 89 (Making technical amendments) </w:t>
      </w:r>
      <w:bookmarkEnd w:id="1"/>
    </w:p>
    <w:p w:rsidR="00665E59" w:rsidRDefault="00665E59">
      <w:pPr>
        <w:pStyle w:val="CoverActName"/>
        <w:spacing w:before="0"/>
      </w:pPr>
    </w:p>
    <w:p w:rsidR="00665E59" w:rsidRDefault="00665E59">
      <w:pPr>
        <w:pStyle w:val="N-line3"/>
        <w:pBdr>
          <w:top w:val="single" w:sz="12" w:space="1" w:color="auto"/>
          <w:bottom w:val="none" w:sz="0" w:space="0" w:color="auto"/>
        </w:pBdr>
        <w:jc w:val="left"/>
        <w:rPr>
          <w:rFonts w:cs="Arial"/>
        </w:rPr>
      </w:pPr>
    </w:p>
    <w:p w:rsidR="00665E59" w:rsidRDefault="00665E59">
      <w:pPr>
        <w:pStyle w:val="BodyText"/>
        <w:rPr>
          <w:b w:val="0"/>
          <w:bCs/>
          <w:sz w:val="24"/>
          <w:szCs w:val="24"/>
        </w:rPr>
      </w:pPr>
      <w:r>
        <w:rPr>
          <w:b w:val="0"/>
          <w:bCs/>
          <w:sz w:val="24"/>
          <w:szCs w:val="24"/>
        </w:rPr>
        <w:t>This plan variation commences on the day after it is notified.</w:t>
      </w:r>
    </w:p>
    <w:p w:rsidR="00665E59" w:rsidRDefault="00665E59">
      <w:pPr>
        <w:pStyle w:val="BodyText"/>
        <w:rPr>
          <w:b w:val="0"/>
          <w:bCs/>
          <w:sz w:val="24"/>
          <w:szCs w:val="24"/>
        </w:rPr>
      </w:pPr>
    </w:p>
    <w:p w:rsidR="00665E59" w:rsidRDefault="00665E59">
      <w:pPr>
        <w:pStyle w:val="BodyText"/>
        <w:rPr>
          <w:b w:val="0"/>
          <w:bCs/>
          <w:sz w:val="24"/>
          <w:szCs w:val="24"/>
        </w:rPr>
      </w:pPr>
      <w:r>
        <w:rPr>
          <w:b w:val="0"/>
          <w:bCs/>
          <w:sz w:val="24"/>
          <w:szCs w:val="24"/>
        </w:rPr>
        <w:t xml:space="preserve">Variation No. 2010–24 to the </w:t>
      </w:r>
      <w:r>
        <w:rPr>
          <w:b w:val="0"/>
          <w:sz w:val="24"/>
          <w:szCs w:val="24"/>
        </w:rPr>
        <w:t xml:space="preserve">Territory Plan </w:t>
      </w:r>
      <w:r>
        <w:rPr>
          <w:b w:val="0"/>
          <w:bCs/>
          <w:sz w:val="24"/>
          <w:szCs w:val="24"/>
        </w:rPr>
        <w:t>has been approved by the Planning and Land Authority.</w:t>
      </w:r>
    </w:p>
    <w:p w:rsidR="00665E59" w:rsidRDefault="00665E59">
      <w:pPr>
        <w:pStyle w:val="BodyText"/>
        <w:rPr>
          <w:b w:val="0"/>
          <w:bCs/>
          <w:sz w:val="24"/>
          <w:szCs w:val="24"/>
        </w:rPr>
      </w:pPr>
    </w:p>
    <w:p w:rsidR="00665E59" w:rsidRDefault="00665E59">
      <w:pPr>
        <w:pStyle w:val="BodyText"/>
        <w:rPr>
          <w:b w:val="0"/>
          <w:sz w:val="24"/>
          <w:szCs w:val="24"/>
        </w:rPr>
      </w:pPr>
      <w:r>
        <w:rPr>
          <w:b w:val="0"/>
          <w:bCs/>
          <w:sz w:val="24"/>
          <w:szCs w:val="24"/>
        </w:rPr>
        <w:t>The variation specifies miscellaneous corrections to the Territory Plan as detailed in Annexe A.</w:t>
      </w:r>
    </w:p>
    <w:p w:rsidR="00665E59" w:rsidRDefault="00665E59">
      <w:pPr>
        <w:pStyle w:val="Header"/>
        <w:tabs>
          <w:tab w:val="left" w:pos="-720"/>
        </w:tabs>
        <w:rPr>
          <w:rFonts w:cs="Arial"/>
          <w:lang w:val="en-AU"/>
        </w:rPr>
      </w:pPr>
    </w:p>
    <w:p w:rsidR="00665E59" w:rsidRDefault="00665E59">
      <w:pPr>
        <w:pStyle w:val="BodyText"/>
        <w:rPr>
          <w:rFonts w:cs="Arial"/>
          <w:szCs w:val="24"/>
        </w:rPr>
      </w:pPr>
    </w:p>
    <w:p w:rsidR="00665E59" w:rsidRDefault="00665E59"/>
    <w:p w:rsidR="00665E59" w:rsidRDefault="00665E59"/>
    <w:p w:rsidR="00665E59" w:rsidRDefault="00665E59"/>
    <w:p w:rsidR="00665E59" w:rsidRDefault="00665E59"/>
    <w:p w:rsidR="00665E59" w:rsidRDefault="00665E59">
      <w:r>
        <w:t>Kelvin Walsh</w:t>
      </w:r>
    </w:p>
    <w:p w:rsidR="00665E59" w:rsidRDefault="00665E59">
      <w:r>
        <w:t xml:space="preserve">Delegate of the Planning and Land Authority </w:t>
      </w:r>
    </w:p>
    <w:p w:rsidR="00665E59" w:rsidRDefault="00665E59"/>
    <w:p w:rsidR="00665E59" w:rsidRDefault="00665E59">
      <w:r>
        <w:t>21 July 2010</w:t>
      </w: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665E59">
      <w:pPr>
        <w:pStyle w:val="BodyText"/>
        <w:jc w:val="center"/>
        <w:rPr>
          <w:rFonts w:cs="Arial"/>
          <w:sz w:val="32"/>
        </w:rPr>
        <w:sectPr w:rsidR="00665E59" w:rsidSect="00B512F1">
          <w:headerReference w:type="even" r:id="rId6"/>
          <w:headerReference w:type="default" r:id="rId7"/>
          <w:footerReference w:type="even" r:id="rId8"/>
          <w:footerReference w:type="default" r:id="rId9"/>
          <w:headerReference w:type="first" r:id="rId10"/>
          <w:footerReference w:type="first" r:id="rId11"/>
          <w:pgSz w:w="11907" w:h="16840" w:code="9"/>
          <w:pgMar w:top="1440" w:right="1559" w:bottom="1440" w:left="1797" w:header="720" w:footer="862" w:gutter="0"/>
          <w:pgNumType w:start="0"/>
          <w:cols w:space="720"/>
          <w:rtlGutter/>
        </w:sectPr>
      </w:pPr>
    </w:p>
    <w:p w:rsidR="00665E59" w:rsidRDefault="00665E59">
      <w:pPr>
        <w:pStyle w:val="BodyText"/>
        <w:jc w:val="right"/>
        <w:rPr>
          <w:rFonts w:cs="Arial"/>
          <w:b w:val="0"/>
          <w:sz w:val="24"/>
        </w:rPr>
      </w:pPr>
      <w:r>
        <w:rPr>
          <w:rFonts w:cs="Arial"/>
          <w:b w:val="0"/>
          <w:sz w:val="24"/>
        </w:rPr>
        <w:lastRenderedPageBreak/>
        <w:t>ANNEXE A</w:t>
      </w:r>
    </w:p>
    <w:p w:rsidR="00665E59" w:rsidRDefault="00665E59">
      <w:pPr>
        <w:pStyle w:val="BodyText"/>
        <w:jc w:val="right"/>
        <w:rPr>
          <w:rFonts w:cs="Arial"/>
          <w:b w:val="0"/>
          <w:sz w:val="24"/>
        </w:rPr>
      </w:pPr>
      <w:r>
        <w:rPr>
          <w:rFonts w:cs="Arial"/>
          <w:b w:val="0"/>
          <w:sz w:val="24"/>
        </w:rPr>
        <w:t>PLAN VARIATION 2010–24</w:t>
      </w:r>
    </w:p>
    <w:p w:rsidR="00665E59" w:rsidRDefault="00665E59">
      <w:pPr>
        <w:pStyle w:val="BodyText"/>
        <w:jc w:val="center"/>
        <w:rPr>
          <w:rFonts w:cs="Arial"/>
          <w:sz w:val="32"/>
        </w:rPr>
      </w:pPr>
    </w:p>
    <w:p w:rsidR="00665E59" w:rsidRDefault="00665E59">
      <w:pPr>
        <w:pStyle w:val="BodyText"/>
        <w:jc w:val="center"/>
        <w:rPr>
          <w:rFonts w:cs="Arial"/>
          <w:sz w:val="32"/>
        </w:rPr>
      </w:pPr>
    </w:p>
    <w:p w:rsidR="00665E59" w:rsidRDefault="00D161C4">
      <w:pPr>
        <w:pStyle w:val="BodyText"/>
        <w:jc w:val="center"/>
        <w:rPr>
          <w:rFonts w:cs="Arial"/>
          <w:sz w:val="32"/>
        </w:rPr>
      </w:pPr>
      <w:r>
        <w:rPr>
          <w:rFonts w:cs="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v:imagedata r:id="rId12" o:title=""/>
          </v:shape>
        </w:pict>
      </w:r>
    </w:p>
    <w:p w:rsidR="00665E59" w:rsidRDefault="00665E59">
      <w:pPr>
        <w:pStyle w:val="BodyText"/>
        <w:jc w:val="center"/>
        <w:rPr>
          <w:rFonts w:cs="Arial"/>
          <w:sz w:val="32"/>
        </w:rPr>
      </w:pPr>
    </w:p>
    <w:p w:rsidR="00665E59" w:rsidRDefault="00665E59">
      <w:pPr>
        <w:pStyle w:val="BodyText"/>
        <w:jc w:val="center"/>
        <w:rPr>
          <w:rFonts w:ascii="Times New Roman" w:hAnsi="Times New Roman" w:cs="Arial"/>
          <w:b w:val="0"/>
          <w:sz w:val="36"/>
          <w:szCs w:val="36"/>
        </w:rPr>
      </w:pPr>
      <w:r>
        <w:rPr>
          <w:rFonts w:ascii="Times New Roman" w:hAnsi="Times New Roman" w:cs="Arial"/>
          <w:b w:val="0"/>
          <w:sz w:val="36"/>
          <w:szCs w:val="36"/>
        </w:rPr>
        <w:t>Planning &amp; Development Act 2007</w:t>
      </w:r>
    </w:p>
    <w:p w:rsidR="00665E59" w:rsidRDefault="00665E59">
      <w:pPr>
        <w:jc w:val="center"/>
        <w:rPr>
          <w:rFonts w:cs="Arial"/>
          <w:sz w:val="36"/>
        </w:rPr>
      </w:pPr>
    </w:p>
    <w:p w:rsidR="00665E59" w:rsidRDefault="00665E59">
      <w:pPr>
        <w:jc w:val="center"/>
        <w:rPr>
          <w:rFonts w:cs="Arial"/>
          <w:sz w:val="36"/>
        </w:rPr>
      </w:pPr>
    </w:p>
    <w:p w:rsidR="00665E59" w:rsidRDefault="00665E59">
      <w:pPr>
        <w:jc w:val="center"/>
        <w:rPr>
          <w:rFonts w:cs="Arial"/>
          <w:sz w:val="36"/>
        </w:rPr>
      </w:pPr>
    </w:p>
    <w:p w:rsidR="00665E59" w:rsidRDefault="00665E59">
      <w:pPr>
        <w:pStyle w:val="Header"/>
        <w:tabs>
          <w:tab w:val="left" w:pos="-720"/>
        </w:tabs>
        <w:rPr>
          <w:rFonts w:cs="Arial"/>
        </w:rPr>
      </w:pPr>
    </w:p>
    <w:p w:rsidR="00665E59" w:rsidRDefault="00665E59">
      <w:pPr>
        <w:pStyle w:val="BodyText"/>
        <w:pBdr>
          <w:top w:val="single" w:sz="4" w:space="1" w:color="auto"/>
          <w:left w:val="single" w:sz="4" w:space="4" w:color="auto"/>
          <w:bottom w:val="single" w:sz="4" w:space="1" w:color="auto"/>
          <w:right w:val="single" w:sz="4" w:space="4" w:color="auto"/>
        </w:pBdr>
        <w:shd w:val="clear" w:color="auto" w:fill="F3F3F3"/>
        <w:jc w:val="center"/>
        <w:rPr>
          <w:rFonts w:ascii="Times New Roman" w:hAnsi="Times New Roman" w:cs="Arial"/>
          <w:bCs/>
          <w:sz w:val="72"/>
        </w:rPr>
      </w:pPr>
      <w:r>
        <w:rPr>
          <w:rFonts w:ascii="Times New Roman" w:hAnsi="Times New Roman" w:cs="Arial"/>
          <w:bCs/>
          <w:sz w:val="72"/>
        </w:rPr>
        <w:t xml:space="preserve">Technical Amendment </w:t>
      </w:r>
    </w:p>
    <w:p w:rsidR="00665E59" w:rsidRDefault="00665E59">
      <w:pPr>
        <w:pStyle w:val="BodyText"/>
        <w:pBdr>
          <w:top w:val="single" w:sz="4" w:space="1" w:color="auto"/>
          <w:left w:val="single" w:sz="4" w:space="4" w:color="auto"/>
          <w:bottom w:val="single" w:sz="4" w:space="1" w:color="auto"/>
          <w:right w:val="single" w:sz="4" w:space="4" w:color="auto"/>
        </w:pBdr>
        <w:shd w:val="clear" w:color="auto" w:fill="F3F3F3"/>
        <w:jc w:val="center"/>
        <w:rPr>
          <w:rFonts w:ascii="Times New Roman" w:hAnsi="Times New Roman" w:cs="Arial"/>
          <w:bCs/>
          <w:sz w:val="72"/>
        </w:rPr>
      </w:pPr>
      <w:r>
        <w:rPr>
          <w:rFonts w:ascii="Times New Roman" w:hAnsi="Times New Roman" w:cs="Arial"/>
          <w:bCs/>
          <w:sz w:val="72"/>
        </w:rPr>
        <w:t>to the Territory Plan</w:t>
      </w:r>
    </w:p>
    <w:p w:rsidR="00665E59" w:rsidRDefault="00665E59">
      <w:pPr>
        <w:pStyle w:val="BodyText"/>
        <w:pBdr>
          <w:top w:val="single" w:sz="4" w:space="1" w:color="auto"/>
          <w:left w:val="single" w:sz="4" w:space="4" w:color="auto"/>
          <w:bottom w:val="single" w:sz="4" w:space="1" w:color="auto"/>
          <w:right w:val="single" w:sz="4" w:space="4" w:color="auto"/>
        </w:pBdr>
        <w:shd w:val="clear" w:color="auto" w:fill="F3F3F3"/>
        <w:jc w:val="center"/>
        <w:rPr>
          <w:rFonts w:ascii="Times New Roman" w:hAnsi="Times New Roman" w:cs="Arial"/>
          <w:sz w:val="72"/>
        </w:rPr>
      </w:pPr>
      <w:r>
        <w:rPr>
          <w:rFonts w:ascii="Times New Roman" w:hAnsi="Times New Roman" w:cs="Arial"/>
          <w:bCs/>
          <w:sz w:val="72"/>
        </w:rPr>
        <w:t xml:space="preserve">Variation 2010–24 </w:t>
      </w:r>
    </w:p>
    <w:p w:rsidR="00665E59" w:rsidRDefault="00665E59">
      <w:pPr>
        <w:tabs>
          <w:tab w:val="left" w:pos="-720"/>
        </w:tabs>
        <w:rPr>
          <w:rFonts w:cs="Arial"/>
          <w:sz w:val="32"/>
          <w:szCs w:val="32"/>
        </w:rPr>
      </w:pPr>
    </w:p>
    <w:p w:rsidR="00665E59" w:rsidRDefault="00665E59">
      <w:pPr>
        <w:tabs>
          <w:tab w:val="left" w:pos="-720"/>
        </w:tabs>
        <w:rPr>
          <w:rFonts w:cs="Arial"/>
          <w:sz w:val="32"/>
          <w:szCs w:val="32"/>
        </w:rPr>
      </w:pPr>
    </w:p>
    <w:p w:rsidR="00665E59" w:rsidRDefault="00665E59">
      <w:pPr>
        <w:tabs>
          <w:tab w:val="left" w:pos="-720"/>
        </w:tabs>
        <w:rPr>
          <w:rFonts w:cs="Arial"/>
          <w:sz w:val="32"/>
          <w:szCs w:val="32"/>
        </w:rPr>
      </w:pPr>
    </w:p>
    <w:p w:rsidR="00665E59" w:rsidRDefault="00665E59">
      <w:pPr>
        <w:jc w:val="center"/>
        <w:rPr>
          <w:rFonts w:cs="Arial"/>
          <w:sz w:val="32"/>
          <w:szCs w:val="32"/>
        </w:rPr>
      </w:pPr>
    </w:p>
    <w:p w:rsidR="00665E59" w:rsidRDefault="00665E59">
      <w:pPr>
        <w:jc w:val="center"/>
        <w:rPr>
          <w:rFonts w:cs="Arial"/>
          <w:sz w:val="48"/>
        </w:rPr>
      </w:pPr>
      <w:r>
        <w:rPr>
          <w:rFonts w:cs="Arial"/>
          <w:sz w:val="48"/>
        </w:rPr>
        <w:t>Miscellaneous corrections –</w:t>
      </w:r>
    </w:p>
    <w:p w:rsidR="00665E59" w:rsidRDefault="00665E59">
      <w:pPr>
        <w:jc w:val="center"/>
        <w:rPr>
          <w:sz w:val="48"/>
        </w:rPr>
      </w:pPr>
      <w:r>
        <w:rPr>
          <w:rFonts w:cs="Arial"/>
          <w:sz w:val="48"/>
        </w:rPr>
        <w:t>Casey precinct code</w:t>
      </w:r>
    </w:p>
    <w:p w:rsidR="00665E59" w:rsidRDefault="00665E59">
      <w:pPr>
        <w:rPr>
          <w:sz w:val="48"/>
        </w:rPr>
      </w:pPr>
    </w:p>
    <w:p w:rsidR="00665E59" w:rsidRDefault="00665E59">
      <w:pPr>
        <w:rPr>
          <w:sz w:val="48"/>
        </w:rPr>
      </w:pPr>
    </w:p>
    <w:p w:rsidR="00665E59" w:rsidRDefault="00665E59">
      <w:pPr>
        <w:rPr>
          <w:sz w:val="48"/>
        </w:rPr>
      </w:pPr>
    </w:p>
    <w:p w:rsidR="00665E59" w:rsidRDefault="00665E59">
      <w:pPr>
        <w:jc w:val="center"/>
        <w:rPr>
          <w:rFonts w:cs="Arial"/>
          <w:sz w:val="48"/>
          <w:szCs w:val="40"/>
        </w:rPr>
      </w:pPr>
      <w:r>
        <w:rPr>
          <w:rFonts w:cs="Arial"/>
          <w:sz w:val="48"/>
          <w:szCs w:val="40"/>
        </w:rPr>
        <w:t>July 2010</w:t>
      </w:r>
    </w:p>
    <w:p w:rsidR="00665E59" w:rsidRDefault="00665E59">
      <w:pPr>
        <w:jc w:val="center"/>
        <w:rPr>
          <w:rFonts w:cs="Arial"/>
          <w:b/>
        </w:rPr>
      </w:pPr>
    </w:p>
    <w:p w:rsidR="00665E59" w:rsidRDefault="00665E59">
      <w:pPr>
        <w:jc w:val="center"/>
        <w:rPr>
          <w:rFonts w:cs="Arial"/>
          <w:b/>
        </w:rPr>
      </w:pPr>
    </w:p>
    <w:p w:rsidR="00665E59" w:rsidRDefault="00665E59">
      <w:pPr>
        <w:jc w:val="center"/>
        <w:rPr>
          <w:rFonts w:cs="Arial"/>
          <w:b/>
          <w:sz w:val="32"/>
          <w:szCs w:val="32"/>
        </w:rPr>
        <w:sectPr w:rsidR="00665E59">
          <w:footerReference w:type="default" r:id="rId13"/>
          <w:footerReference w:type="first" r:id="rId14"/>
          <w:pgSz w:w="11907" w:h="16840" w:code="9"/>
          <w:pgMar w:top="1247" w:right="1247" w:bottom="1247" w:left="1247" w:header="720" w:footer="720" w:gutter="0"/>
          <w:pgNumType w:fmt="lowerRoman" w:start="1"/>
          <w:cols w:space="720"/>
          <w:titlePg/>
          <w:rtlGutter/>
        </w:sectPr>
      </w:pPr>
    </w:p>
    <w:p w:rsidR="00665E59" w:rsidRDefault="00665E59">
      <w:pPr>
        <w:jc w:val="center"/>
        <w:rPr>
          <w:rFonts w:cs="Arial"/>
          <w:b/>
          <w:sz w:val="32"/>
          <w:szCs w:val="32"/>
        </w:rPr>
        <w:sectPr w:rsidR="00665E59">
          <w:footerReference w:type="first" r:id="rId15"/>
          <w:pgSz w:w="11907" w:h="16840" w:code="9"/>
          <w:pgMar w:top="1247" w:right="1247" w:bottom="1247" w:left="1247" w:header="720" w:footer="720" w:gutter="0"/>
          <w:pgNumType w:fmt="lowerRoman" w:start="1"/>
          <w:cols w:space="720"/>
          <w:titlePg/>
        </w:sectPr>
      </w:pPr>
    </w:p>
    <w:p w:rsidR="00665E59" w:rsidRDefault="00665E59">
      <w:pPr>
        <w:jc w:val="center"/>
        <w:rPr>
          <w:rFonts w:cs="Arial"/>
          <w:b/>
          <w:sz w:val="32"/>
          <w:szCs w:val="32"/>
        </w:rPr>
      </w:pPr>
      <w:r>
        <w:rPr>
          <w:rFonts w:cs="Arial"/>
          <w:b/>
          <w:sz w:val="32"/>
          <w:szCs w:val="32"/>
        </w:rPr>
        <w:t>Table of Contents</w:t>
      </w:r>
    </w:p>
    <w:p w:rsidR="00665E59" w:rsidRDefault="00665E59">
      <w:pPr>
        <w:rPr>
          <w:color w:val="0066CC"/>
        </w:rPr>
      </w:pPr>
    </w:p>
    <w:p w:rsidR="00665E59" w:rsidRDefault="00665E59">
      <w:pPr>
        <w:pStyle w:val="TOC1"/>
        <w:tabs>
          <w:tab w:val="left" w:pos="480"/>
          <w:tab w:val="right" w:leader="dot" w:pos="9061"/>
        </w:tabs>
        <w:rPr>
          <w:caps w:val="0"/>
          <w:szCs w:val="24"/>
          <w:lang w:eastAsia="en-AU"/>
        </w:rPr>
      </w:pPr>
      <w:r>
        <w:rPr>
          <w:rFonts w:ascii="Arial" w:hAnsi="Arial" w:cs="Arial"/>
          <w:color w:val="0066CC"/>
        </w:rPr>
        <w:fldChar w:fldCharType="begin"/>
      </w:r>
      <w:r>
        <w:rPr>
          <w:rFonts w:ascii="Arial" w:hAnsi="Arial" w:cs="Arial"/>
          <w:color w:val="0066CC"/>
        </w:rPr>
        <w:instrText xml:space="preserve"> TOC \o "1-3" \h \z \u </w:instrText>
      </w:r>
      <w:r>
        <w:rPr>
          <w:rFonts w:ascii="Arial" w:hAnsi="Arial" w:cs="Arial"/>
          <w:color w:val="0066CC"/>
        </w:rPr>
        <w:fldChar w:fldCharType="separate"/>
      </w:r>
      <w:hyperlink w:anchor="_Toc251576337" w:history="1">
        <w:r>
          <w:rPr>
            <w:rStyle w:val="Hyperlink"/>
            <w:rFonts w:cs="Arial"/>
          </w:rPr>
          <w:t>1</w:t>
        </w:r>
        <w:r>
          <w:rPr>
            <w:caps w:val="0"/>
            <w:szCs w:val="24"/>
            <w:lang w:eastAsia="en-AU"/>
          </w:rPr>
          <w:tab/>
        </w:r>
        <w:r>
          <w:rPr>
            <w:rStyle w:val="Hyperlink"/>
            <w:rFonts w:cs="Arial"/>
          </w:rPr>
          <w:t>INTRODUCTION</w:t>
        </w:r>
        <w:r>
          <w:rPr>
            <w:webHidden/>
          </w:rPr>
          <w:tab/>
        </w:r>
        <w:r>
          <w:rPr>
            <w:webHidden/>
          </w:rPr>
          <w:fldChar w:fldCharType="begin"/>
        </w:r>
        <w:r>
          <w:rPr>
            <w:webHidden/>
          </w:rPr>
          <w:instrText xml:space="preserve"> PAGEREF _Toc251576337 \h </w:instrText>
        </w:r>
        <w:r>
          <w:rPr>
            <w:webHidden/>
          </w:rPr>
        </w:r>
        <w:r>
          <w:rPr>
            <w:webHidden/>
          </w:rPr>
          <w:fldChar w:fldCharType="separate"/>
        </w:r>
        <w:r w:rsidR="00B512F1">
          <w:rPr>
            <w:webHidden/>
          </w:rPr>
          <w:t>1</w:t>
        </w:r>
        <w:r>
          <w:rPr>
            <w:webHidden/>
          </w:rPr>
          <w:fldChar w:fldCharType="end"/>
        </w:r>
      </w:hyperlink>
    </w:p>
    <w:p w:rsidR="00665E59" w:rsidRDefault="000E51DB">
      <w:pPr>
        <w:pStyle w:val="TOC2"/>
        <w:tabs>
          <w:tab w:val="right" w:leader="dot" w:pos="9061"/>
        </w:tabs>
        <w:rPr>
          <w:noProof/>
          <w:szCs w:val="24"/>
          <w:lang w:eastAsia="en-AU"/>
        </w:rPr>
      </w:pPr>
      <w:hyperlink w:anchor="_Toc251576338" w:history="1">
        <w:r w:rsidR="00665E59">
          <w:rPr>
            <w:rStyle w:val="Hyperlink"/>
            <w:noProof/>
          </w:rPr>
          <w:t>Outline of the process</w:t>
        </w:r>
        <w:r w:rsidR="00665E59">
          <w:rPr>
            <w:noProof/>
            <w:webHidden/>
          </w:rPr>
          <w:tab/>
        </w:r>
        <w:r w:rsidR="00665E59">
          <w:rPr>
            <w:noProof/>
            <w:webHidden/>
          </w:rPr>
          <w:fldChar w:fldCharType="begin"/>
        </w:r>
        <w:r w:rsidR="00665E59">
          <w:rPr>
            <w:noProof/>
            <w:webHidden/>
          </w:rPr>
          <w:instrText xml:space="preserve"> PAGEREF _Toc251576338 \h </w:instrText>
        </w:r>
        <w:r w:rsidR="00665E59">
          <w:rPr>
            <w:noProof/>
            <w:webHidden/>
          </w:rPr>
        </w:r>
        <w:r w:rsidR="00665E59">
          <w:rPr>
            <w:noProof/>
            <w:webHidden/>
          </w:rPr>
          <w:fldChar w:fldCharType="separate"/>
        </w:r>
        <w:r w:rsidR="00B512F1">
          <w:rPr>
            <w:noProof/>
            <w:webHidden/>
          </w:rPr>
          <w:t>1</w:t>
        </w:r>
        <w:r w:rsidR="00665E59">
          <w:rPr>
            <w:noProof/>
            <w:webHidden/>
          </w:rPr>
          <w:fldChar w:fldCharType="end"/>
        </w:r>
      </w:hyperlink>
    </w:p>
    <w:p w:rsidR="00665E59" w:rsidRDefault="000E51DB">
      <w:pPr>
        <w:pStyle w:val="TOC1"/>
        <w:tabs>
          <w:tab w:val="left" w:pos="480"/>
          <w:tab w:val="right" w:leader="dot" w:pos="9061"/>
        </w:tabs>
        <w:rPr>
          <w:caps w:val="0"/>
          <w:szCs w:val="24"/>
          <w:lang w:eastAsia="en-AU"/>
        </w:rPr>
      </w:pPr>
      <w:hyperlink w:anchor="_Toc251576339" w:history="1">
        <w:r w:rsidR="00665E59">
          <w:rPr>
            <w:rStyle w:val="Hyperlink"/>
            <w:rFonts w:cs="Arial"/>
          </w:rPr>
          <w:t>2.</w:t>
        </w:r>
        <w:r w:rsidR="00665E59">
          <w:rPr>
            <w:caps w:val="0"/>
            <w:szCs w:val="24"/>
            <w:lang w:eastAsia="en-AU"/>
          </w:rPr>
          <w:tab/>
        </w:r>
        <w:r w:rsidR="00665E59">
          <w:rPr>
            <w:rStyle w:val="Hyperlink"/>
            <w:rFonts w:cs="Arial"/>
          </w:rPr>
          <w:t>EXPLANATORY STATEMENT</w:t>
        </w:r>
        <w:r w:rsidR="00665E59">
          <w:rPr>
            <w:webHidden/>
          </w:rPr>
          <w:tab/>
        </w:r>
        <w:r w:rsidR="00665E59">
          <w:rPr>
            <w:webHidden/>
          </w:rPr>
          <w:fldChar w:fldCharType="begin"/>
        </w:r>
        <w:r w:rsidR="00665E59">
          <w:rPr>
            <w:webHidden/>
          </w:rPr>
          <w:instrText xml:space="preserve"> PAGEREF _Toc251576339 \h </w:instrText>
        </w:r>
        <w:r w:rsidR="00665E59">
          <w:rPr>
            <w:webHidden/>
          </w:rPr>
        </w:r>
        <w:r w:rsidR="00665E59">
          <w:rPr>
            <w:webHidden/>
          </w:rPr>
          <w:fldChar w:fldCharType="separate"/>
        </w:r>
        <w:r w:rsidR="00B512F1">
          <w:rPr>
            <w:webHidden/>
          </w:rPr>
          <w:t>1</w:t>
        </w:r>
        <w:r w:rsidR="00665E59">
          <w:rPr>
            <w:webHidden/>
          </w:rPr>
          <w:fldChar w:fldCharType="end"/>
        </w:r>
      </w:hyperlink>
    </w:p>
    <w:p w:rsidR="00665E59" w:rsidRDefault="000E51DB">
      <w:pPr>
        <w:pStyle w:val="TOC2"/>
        <w:tabs>
          <w:tab w:val="right" w:leader="dot" w:pos="9061"/>
        </w:tabs>
        <w:rPr>
          <w:noProof/>
          <w:szCs w:val="24"/>
          <w:lang w:eastAsia="en-AU"/>
        </w:rPr>
      </w:pPr>
      <w:hyperlink w:anchor="_Toc251576340" w:history="1">
        <w:r w:rsidR="00665E59">
          <w:rPr>
            <w:rStyle w:val="Hyperlink"/>
            <w:noProof/>
          </w:rPr>
          <w:t>Background</w:t>
        </w:r>
        <w:r w:rsidR="00665E59">
          <w:rPr>
            <w:noProof/>
            <w:webHidden/>
          </w:rPr>
          <w:tab/>
        </w:r>
        <w:r w:rsidR="00665E59">
          <w:rPr>
            <w:noProof/>
            <w:webHidden/>
          </w:rPr>
          <w:fldChar w:fldCharType="begin"/>
        </w:r>
        <w:r w:rsidR="00665E59">
          <w:rPr>
            <w:noProof/>
            <w:webHidden/>
          </w:rPr>
          <w:instrText xml:space="preserve"> PAGEREF _Toc251576340 \h </w:instrText>
        </w:r>
        <w:r w:rsidR="00665E59">
          <w:rPr>
            <w:noProof/>
            <w:webHidden/>
          </w:rPr>
        </w:r>
        <w:r w:rsidR="00665E59">
          <w:rPr>
            <w:noProof/>
            <w:webHidden/>
          </w:rPr>
          <w:fldChar w:fldCharType="separate"/>
        </w:r>
        <w:r w:rsidR="00B512F1">
          <w:rPr>
            <w:noProof/>
            <w:webHidden/>
          </w:rPr>
          <w:t>1</w:t>
        </w:r>
        <w:r w:rsidR="00665E59">
          <w:rPr>
            <w:noProof/>
            <w:webHidden/>
          </w:rPr>
          <w:fldChar w:fldCharType="end"/>
        </w:r>
      </w:hyperlink>
    </w:p>
    <w:p w:rsidR="00665E59" w:rsidRDefault="000E51DB">
      <w:pPr>
        <w:pStyle w:val="TOC2"/>
        <w:tabs>
          <w:tab w:val="right" w:leader="dot" w:pos="9061"/>
        </w:tabs>
        <w:rPr>
          <w:noProof/>
          <w:szCs w:val="24"/>
          <w:lang w:eastAsia="en-AU"/>
        </w:rPr>
      </w:pPr>
      <w:hyperlink w:anchor="_Toc251576341" w:history="1">
        <w:r w:rsidR="00665E59">
          <w:rPr>
            <w:rStyle w:val="Hyperlink"/>
            <w:noProof/>
          </w:rPr>
          <w:t>Proposed Changes and Reasons</w:t>
        </w:r>
        <w:r w:rsidR="00665E59">
          <w:rPr>
            <w:noProof/>
            <w:webHidden/>
          </w:rPr>
          <w:tab/>
        </w:r>
        <w:r w:rsidR="00665E59">
          <w:rPr>
            <w:noProof/>
            <w:webHidden/>
          </w:rPr>
          <w:fldChar w:fldCharType="begin"/>
        </w:r>
        <w:r w:rsidR="00665E59">
          <w:rPr>
            <w:noProof/>
            <w:webHidden/>
          </w:rPr>
          <w:instrText xml:space="preserve"> PAGEREF _Toc251576341 \h </w:instrText>
        </w:r>
        <w:r w:rsidR="00665E59">
          <w:rPr>
            <w:noProof/>
            <w:webHidden/>
          </w:rPr>
        </w:r>
        <w:r w:rsidR="00665E59">
          <w:rPr>
            <w:noProof/>
            <w:webHidden/>
          </w:rPr>
          <w:fldChar w:fldCharType="separate"/>
        </w:r>
        <w:r w:rsidR="00B512F1">
          <w:rPr>
            <w:noProof/>
            <w:webHidden/>
          </w:rPr>
          <w:t>1</w:t>
        </w:r>
        <w:r w:rsidR="00665E59">
          <w:rPr>
            <w:noProof/>
            <w:webHidden/>
          </w:rPr>
          <w:fldChar w:fldCharType="end"/>
        </w:r>
      </w:hyperlink>
    </w:p>
    <w:p w:rsidR="00665E59" w:rsidRDefault="000E51DB">
      <w:pPr>
        <w:pStyle w:val="TOC1"/>
        <w:tabs>
          <w:tab w:val="left" w:pos="480"/>
          <w:tab w:val="right" w:leader="dot" w:pos="9061"/>
        </w:tabs>
        <w:rPr>
          <w:caps w:val="0"/>
          <w:szCs w:val="24"/>
          <w:lang w:eastAsia="en-AU"/>
        </w:rPr>
      </w:pPr>
      <w:hyperlink w:anchor="_Toc251576342" w:history="1">
        <w:r w:rsidR="00665E59">
          <w:rPr>
            <w:rStyle w:val="Hyperlink"/>
            <w:rFonts w:cs="Arial"/>
          </w:rPr>
          <w:t>3.</w:t>
        </w:r>
        <w:r w:rsidR="00665E59">
          <w:rPr>
            <w:caps w:val="0"/>
            <w:szCs w:val="24"/>
            <w:lang w:eastAsia="en-AU"/>
          </w:rPr>
          <w:tab/>
        </w:r>
        <w:r w:rsidR="00665E59">
          <w:rPr>
            <w:rStyle w:val="Hyperlink"/>
            <w:rFonts w:cs="Arial"/>
          </w:rPr>
          <w:t>ERROR VARIATION</w:t>
        </w:r>
        <w:r w:rsidR="00665E59">
          <w:rPr>
            <w:webHidden/>
          </w:rPr>
          <w:tab/>
        </w:r>
        <w:r w:rsidR="00665E59">
          <w:rPr>
            <w:webHidden/>
          </w:rPr>
          <w:fldChar w:fldCharType="begin"/>
        </w:r>
        <w:r w:rsidR="00665E59">
          <w:rPr>
            <w:webHidden/>
          </w:rPr>
          <w:instrText xml:space="preserve"> PAGEREF _Toc251576342 \h </w:instrText>
        </w:r>
        <w:r w:rsidR="00665E59">
          <w:rPr>
            <w:webHidden/>
          </w:rPr>
        </w:r>
        <w:r w:rsidR="00665E59">
          <w:rPr>
            <w:webHidden/>
          </w:rPr>
          <w:fldChar w:fldCharType="separate"/>
        </w:r>
        <w:r w:rsidR="00B512F1">
          <w:rPr>
            <w:webHidden/>
          </w:rPr>
          <w:t>1</w:t>
        </w:r>
        <w:r w:rsidR="00665E59">
          <w:rPr>
            <w:webHidden/>
          </w:rPr>
          <w:fldChar w:fldCharType="end"/>
        </w:r>
      </w:hyperlink>
    </w:p>
    <w:p w:rsidR="00665E59" w:rsidRDefault="000E51DB">
      <w:pPr>
        <w:pStyle w:val="TOC2"/>
        <w:tabs>
          <w:tab w:val="right" w:leader="dot" w:pos="9061"/>
        </w:tabs>
        <w:rPr>
          <w:noProof/>
          <w:szCs w:val="24"/>
          <w:lang w:eastAsia="en-AU"/>
        </w:rPr>
      </w:pPr>
      <w:hyperlink w:anchor="_Toc251576343" w:history="1">
        <w:r w:rsidR="00665E59">
          <w:rPr>
            <w:rStyle w:val="Hyperlink"/>
            <w:noProof/>
          </w:rPr>
          <w:t>Variation to Territory Plan map</w:t>
        </w:r>
        <w:r w:rsidR="00665E59">
          <w:rPr>
            <w:noProof/>
            <w:webHidden/>
          </w:rPr>
          <w:tab/>
        </w:r>
        <w:r w:rsidR="00665E59">
          <w:rPr>
            <w:noProof/>
            <w:webHidden/>
          </w:rPr>
          <w:fldChar w:fldCharType="begin"/>
        </w:r>
        <w:r w:rsidR="00665E59">
          <w:rPr>
            <w:noProof/>
            <w:webHidden/>
          </w:rPr>
          <w:instrText xml:space="preserve"> PAGEREF _Toc251576343 \h </w:instrText>
        </w:r>
        <w:r w:rsidR="00665E59">
          <w:rPr>
            <w:noProof/>
            <w:webHidden/>
          </w:rPr>
        </w:r>
        <w:r w:rsidR="00665E59">
          <w:rPr>
            <w:noProof/>
            <w:webHidden/>
          </w:rPr>
          <w:fldChar w:fldCharType="separate"/>
        </w:r>
        <w:r w:rsidR="00B512F1">
          <w:rPr>
            <w:noProof/>
            <w:webHidden/>
          </w:rPr>
          <w:t>1</w:t>
        </w:r>
        <w:r w:rsidR="00665E59">
          <w:rPr>
            <w:noProof/>
            <w:webHidden/>
          </w:rPr>
          <w:fldChar w:fldCharType="end"/>
        </w:r>
      </w:hyperlink>
    </w:p>
    <w:p w:rsidR="00665E59" w:rsidRDefault="00665E59">
      <w:pPr>
        <w:tabs>
          <w:tab w:val="right" w:leader="dot" w:pos="8460"/>
        </w:tabs>
        <w:rPr>
          <w:rFonts w:cs="Arial"/>
          <w:color w:val="0066CC"/>
        </w:rPr>
      </w:pPr>
      <w:r>
        <w:rPr>
          <w:rFonts w:cs="Arial"/>
          <w:color w:val="0066CC"/>
        </w:rPr>
        <w:fldChar w:fldCharType="end"/>
      </w:r>
      <w:bookmarkStart w:id="2" w:name="_Toc199324057"/>
      <w:r>
        <w:rPr>
          <w:rFonts w:cs="Arial"/>
          <w:color w:val="0066CC"/>
        </w:rPr>
        <w:t xml:space="preserve"> </w:t>
      </w:r>
    </w:p>
    <w:p w:rsidR="00665E59" w:rsidRDefault="00665E59">
      <w:pPr>
        <w:jc w:val="center"/>
        <w:rPr>
          <w:rFonts w:cs="Arial"/>
          <w:color w:val="0066CC"/>
        </w:rPr>
        <w:sectPr w:rsidR="00665E59">
          <w:type w:val="continuous"/>
          <w:pgSz w:w="11907" w:h="16840" w:code="9"/>
          <w:pgMar w:top="1418" w:right="1418" w:bottom="1418" w:left="1418" w:header="720" w:footer="720" w:gutter="0"/>
          <w:pgNumType w:fmt="lowerRoman" w:start="1"/>
          <w:cols w:space="720"/>
          <w:titlePg/>
        </w:sectPr>
      </w:pPr>
    </w:p>
    <w:p w:rsidR="00665E59" w:rsidRDefault="00665E59">
      <w:pPr>
        <w:pStyle w:val="Heading1"/>
        <w:ind w:firstLine="0"/>
        <w:rPr>
          <w:rFonts w:cs="Arial"/>
          <w:sz w:val="36"/>
          <w:szCs w:val="36"/>
        </w:rPr>
        <w:sectPr w:rsidR="00665E59">
          <w:pgSz w:w="11906" w:h="16838"/>
          <w:pgMar w:top="1440" w:right="1800" w:bottom="1440" w:left="1800" w:header="708" w:footer="708" w:gutter="0"/>
          <w:pgNumType w:start="2"/>
          <w:cols w:space="708"/>
          <w:docGrid w:linePitch="360"/>
        </w:sectPr>
      </w:pPr>
    </w:p>
    <w:p w:rsidR="00665E59" w:rsidRDefault="00665E59">
      <w:pPr>
        <w:pStyle w:val="Heading1"/>
        <w:ind w:firstLine="0"/>
        <w:rPr>
          <w:rFonts w:cs="Arial"/>
          <w:sz w:val="36"/>
          <w:szCs w:val="36"/>
        </w:rPr>
      </w:pPr>
      <w:bookmarkStart w:id="3" w:name="_Toc251576337"/>
      <w:r>
        <w:rPr>
          <w:rFonts w:cs="Arial"/>
          <w:sz w:val="36"/>
          <w:szCs w:val="36"/>
        </w:rPr>
        <w:t>1</w:t>
      </w:r>
      <w:r>
        <w:rPr>
          <w:rFonts w:cs="Arial"/>
          <w:sz w:val="36"/>
          <w:szCs w:val="36"/>
        </w:rPr>
        <w:tab/>
        <w:t>INTRODUCTION</w:t>
      </w:r>
      <w:bookmarkEnd w:id="3"/>
    </w:p>
    <w:p w:rsidR="00665E59" w:rsidRDefault="00665E59">
      <w:pPr>
        <w:pStyle w:val="Heading2"/>
        <w:spacing w:after="120"/>
        <w:rPr>
          <w:i w:val="0"/>
          <w:sz w:val="32"/>
          <w:szCs w:val="32"/>
        </w:rPr>
      </w:pPr>
      <w:bookmarkStart w:id="4" w:name="_Toc251576338"/>
      <w:r>
        <w:rPr>
          <w:i w:val="0"/>
          <w:sz w:val="32"/>
          <w:szCs w:val="32"/>
        </w:rPr>
        <w:t>Outline of the process</w:t>
      </w:r>
      <w:bookmarkEnd w:id="2"/>
      <w:bookmarkEnd w:id="4"/>
    </w:p>
    <w:p w:rsidR="00665E59" w:rsidRDefault="00665E59">
      <w:pPr>
        <w:rPr>
          <w:rFonts w:cs="Arial"/>
        </w:rPr>
      </w:pPr>
      <w:r>
        <w:rPr>
          <w:rFonts w:cs="Arial"/>
          <w:szCs w:val="24"/>
          <w:lang w:eastAsia="en-AU"/>
        </w:rPr>
        <w:t xml:space="preserve">The Commonwealth’s </w:t>
      </w:r>
      <w:smartTag w:uri="urn:schemas-microsoft-com:office:smarttags" w:element="place">
        <w:smartTag w:uri="urn:schemas-microsoft-com:office:smarttags" w:element="State">
          <w:r>
            <w:rPr>
              <w:rFonts w:cs="Arial"/>
              <w:i/>
              <w:iCs/>
              <w:szCs w:val="24"/>
              <w:lang w:eastAsia="en-AU"/>
            </w:rPr>
            <w:t>Australian Capital Territory</w:t>
          </w:r>
        </w:smartTag>
      </w:smartTag>
      <w:r>
        <w:rPr>
          <w:rFonts w:cs="Arial"/>
          <w:i/>
          <w:iCs/>
          <w:szCs w:val="24"/>
          <w:lang w:eastAsia="en-AU"/>
        </w:rPr>
        <w:t xml:space="preserve"> (Planning and Land Management) Act 1988 </w:t>
      </w:r>
      <w:r>
        <w:rPr>
          <w:rFonts w:cs="Arial"/>
          <w:szCs w:val="24"/>
          <w:lang w:eastAsia="en-AU"/>
        </w:rPr>
        <w:t xml:space="preserve">allows for the Legislative Assembly to make laws to establish a Territory Planning Authority and for that Authority to prepare and administer a Territory Plan.  The </w:t>
      </w:r>
      <w:r>
        <w:rPr>
          <w:rFonts w:cs="Arial"/>
          <w:i/>
          <w:iCs/>
          <w:szCs w:val="24"/>
          <w:lang w:eastAsia="en-AU"/>
        </w:rPr>
        <w:t xml:space="preserve">Planning and Development Act 2007 </w:t>
      </w:r>
      <w:r>
        <w:rPr>
          <w:rFonts w:cs="Arial"/>
          <w:iCs/>
          <w:szCs w:val="24"/>
          <w:lang w:eastAsia="en-AU"/>
        </w:rPr>
        <w:t>(the Act)</w:t>
      </w:r>
      <w:r>
        <w:rPr>
          <w:rFonts w:cs="Arial"/>
          <w:i/>
          <w:iCs/>
          <w:szCs w:val="24"/>
          <w:lang w:eastAsia="en-AU"/>
        </w:rPr>
        <w:t xml:space="preserve"> </w:t>
      </w:r>
      <w:r>
        <w:rPr>
          <w:rFonts w:cs="Arial"/>
          <w:szCs w:val="24"/>
          <w:lang w:eastAsia="en-AU"/>
        </w:rPr>
        <w:t xml:space="preserve">establishes the ACT Planning and Land Authority as the Authority which prepares and administers the Territory Plan, including continually reviewing and proposing amendments as necessary.  Part 5.4 section 87 of the Act allows for technical amendments to be made to the Territory Plan in a number of circumstances.  </w:t>
      </w:r>
    </w:p>
    <w:p w:rsidR="00665E59" w:rsidRDefault="00665E59">
      <w:pPr>
        <w:autoSpaceDE w:val="0"/>
        <w:autoSpaceDN w:val="0"/>
        <w:adjustRightInd w:val="0"/>
        <w:rPr>
          <w:rFonts w:cs="Arial"/>
          <w:lang w:eastAsia="en-AU"/>
        </w:rPr>
      </w:pPr>
    </w:p>
    <w:p w:rsidR="00665E59" w:rsidRDefault="00665E59">
      <w:pPr>
        <w:autoSpaceDE w:val="0"/>
        <w:autoSpaceDN w:val="0"/>
        <w:adjustRightInd w:val="0"/>
        <w:rPr>
          <w:rFonts w:cs="Arial"/>
          <w:lang w:eastAsia="en-AU"/>
        </w:rPr>
      </w:pPr>
      <w:r>
        <w:rPr>
          <w:rFonts w:cs="Arial"/>
          <w:lang w:eastAsia="en-AU"/>
        </w:rPr>
        <w:t>This technical amendment is subject to approval of the ACT Planning and Land Authority (ACTPLA) under section 87(a) of the Act.  It is not subject to the limited consultation requirements under section 90 of the Act.  On approval, the variation will commence in accordance with the commencement notice in the Legislation Register and will be notified in a daily newspaper. The Territory Plan will be updated to reflect the changes that are approved in the technical amendment.</w:t>
      </w:r>
    </w:p>
    <w:p w:rsidR="00665E59" w:rsidRDefault="00665E59">
      <w:pPr>
        <w:rPr>
          <w:highlight w:val="yellow"/>
          <w:lang w:eastAsia="en-AU"/>
        </w:rPr>
      </w:pPr>
    </w:p>
    <w:p w:rsidR="00665E59" w:rsidRDefault="00665E59">
      <w:pPr>
        <w:pStyle w:val="Heading1"/>
        <w:ind w:firstLine="0"/>
        <w:rPr>
          <w:rFonts w:cs="Arial"/>
          <w:sz w:val="36"/>
          <w:szCs w:val="36"/>
        </w:rPr>
      </w:pPr>
      <w:bookmarkStart w:id="5" w:name="_Toc251576339"/>
      <w:r>
        <w:rPr>
          <w:rFonts w:cs="Arial"/>
          <w:sz w:val="36"/>
          <w:szCs w:val="36"/>
        </w:rPr>
        <w:t>2.</w:t>
      </w:r>
      <w:r>
        <w:rPr>
          <w:rFonts w:cs="Arial"/>
          <w:sz w:val="36"/>
          <w:szCs w:val="36"/>
        </w:rPr>
        <w:tab/>
        <w:t>EXPLANATORY STATEMENT</w:t>
      </w:r>
      <w:bookmarkEnd w:id="5"/>
    </w:p>
    <w:p w:rsidR="00665E59" w:rsidRDefault="00665E59">
      <w:pPr>
        <w:pStyle w:val="Heading2"/>
        <w:spacing w:after="120"/>
        <w:rPr>
          <w:i w:val="0"/>
          <w:sz w:val="32"/>
          <w:szCs w:val="32"/>
        </w:rPr>
      </w:pPr>
      <w:bookmarkStart w:id="6" w:name="_Toc224613482"/>
      <w:bookmarkStart w:id="7" w:name="_Toc251576340"/>
      <w:r>
        <w:rPr>
          <w:i w:val="0"/>
          <w:sz w:val="32"/>
          <w:szCs w:val="32"/>
        </w:rPr>
        <w:t>Background</w:t>
      </w:r>
      <w:bookmarkEnd w:id="6"/>
      <w:bookmarkEnd w:id="7"/>
    </w:p>
    <w:p w:rsidR="00665E59" w:rsidRDefault="00665E59">
      <w:pPr>
        <w:autoSpaceDE w:val="0"/>
        <w:autoSpaceDN w:val="0"/>
        <w:adjustRightInd w:val="0"/>
        <w:rPr>
          <w:rFonts w:cs="Arial"/>
          <w:lang w:eastAsia="en-AU"/>
        </w:rPr>
      </w:pPr>
      <w:r>
        <w:rPr>
          <w:rFonts w:cs="Arial"/>
          <w:lang w:eastAsia="en-AU"/>
        </w:rPr>
        <w:t>Under section 87(a) of the Act, an error variation is defined as a variation that:</w:t>
      </w:r>
    </w:p>
    <w:p w:rsidR="00665E59" w:rsidRDefault="00665E59">
      <w:pPr>
        <w:autoSpaceDE w:val="0"/>
        <w:autoSpaceDN w:val="0"/>
        <w:adjustRightInd w:val="0"/>
        <w:spacing w:before="60" w:after="60"/>
        <w:ind w:left="567"/>
        <w:rPr>
          <w:rFonts w:cs="Arial"/>
          <w:lang w:eastAsia="en-AU"/>
        </w:rPr>
      </w:pPr>
      <w:r>
        <w:rPr>
          <w:rFonts w:cs="Arial"/>
          <w:lang w:eastAsia="en-AU"/>
        </w:rPr>
        <w:t>(i)</w:t>
      </w:r>
      <w:r>
        <w:rPr>
          <w:rFonts w:cs="Arial"/>
          <w:lang w:eastAsia="en-AU"/>
        </w:rPr>
        <w:tab/>
        <w:t>would not adversely affect anyone’s rights if approved and</w:t>
      </w:r>
    </w:p>
    <w:p w:rsidR="00665E59" w:rsidRDefault="00665E59">
      <w:pPr>
        <w:autoSpaceDE w:val="0"/>
        <w:autoSpaceDN w:val="0"/>
        <w:adjustRightInd w:val="0"/>
        <w:spacing w:before="60" w:after="60"/>
        <w:ind w:left="567"/>
        <w:rPr>
          <w:rFonts w:cs="Arial"/>
          <w:lang w:eastAsia="en-AU"/>
        </w:rPr>
      </w:pPr>
      <w:r>
        <w:rPr>
          <w:rFonts w:cs="Arial"/>
          <w:lang w:eastAsia="en-AU"/>
        </w:rPr>
        <w:t>(ii)</w:t>
      </w:r>
      <w:r>
        <w:rPr>
          <w:rFonts w:cs="Arial"/>
          <w:lang w:eastAsia="en-AU"/>
        </w:rPr>
        <w:tab/>
        <w:t xml:space="preserve">has as its only object the correction of a formal error in the plan.  </w:t>
      </w:r>
    </w:p>
    <w:p w:rsidR="00665E59" w:rsidRDefault="00665E59">
      <w:pPr>
        <w:spacing w:before="240"/>
        <w:ind w:hanging="28"/>
        <w:rPr>
          <w:rFonts w:cs="Arial"/>
          <w:lang w:eastAsia="en-AU"/>
        </w:rPr>
      </w:pPr>
      <w:r>
        <w:rPr>
          <w:rFonts w:cs="Arial"/>
          <w:lang w:eastAsia="en-AU"/>
        </w:rPr>
        <w:t>A formal error is defined as:</w:t>
      </w:r>
    </w:p>
    <w:p w:rsidR="00665E59" w:rsidRDefault="00665E59">
      <w:pPr>
        <w:autoSpaceDE w:val="0"/>
        <w:autoSpaceDN w:val="0"/>
        <w:adjustRightInd w:val="0"/>
        <w:spacing w:before="60" w:after="60"/>
        <w:ind w:left="567"/>
        <w:rPr>
          <w:rFonts w:cs="Arial"/>
          <w:lang w:eastAsia="en-AU"/>
        </w:rPr>
      </w:pPr>
      <w:r>
        <w:rPr>
          <w:rFonts w:cs="Arial"/>
          <w:lang w:eastAsia="en-AU"/>
        </w:rPr>
        <w:t>a)</w:t>
      </w:r>
      <w:r>
        <w:rPr>
          <w:rFonts w:cs="Arial"/>
          <w:lang w:eastAsia="en-AU"/>
        </w:rPr>
        <w:tab/>
        <w:t>a clerical error or</w:t>
      </w:r>
      <w:r>
        <w:rPr>
          <w:rFonts w:cs="Arial"/>
          <w:lang w:eastAsia="en-AU"/>
        </w:rPr>
        <w:br/>
        <w:t>b)</w:t>
      </w:r>
      <w:r>
        <w:rPr>
          <w:rFonts w:cs="Arial"/>
          <w:lang w:eastAsia="en-AU"/>
        </w:rPr>
        <w:tab/>
        <w:t>an error arising from an accidental slip or omission or</w:t>
      </w:r>
      <w:r>
        <w:rPr>
          <w:rFonts w:cs="Arial"/>
          <w:lang w:eastAsia="en-AU"/>
        </w:rPr>
        <w:br/>
        <w:t>c)</w:t>
      </w:r>
      <w:r>
        <w:rPr>
          <w:rFonts w:cs="Arial"/>
          <w:lang w:eastAsia="en-AU"/>
        </w:rPr>
        <w:tab/>
        <w:t>a defect of form.</w:t>
      </w:r>
    </w:p>
    <w:p w:rsidR="00665E59" w:rsidRDefault="00665E59">
      <w:pPr>
        <w:pStyle w:val="Heading2"/>
        <w:spacing w:after="120"/>
        <w:rPr>
          <w:i w:val="0"/>
          <w:sz w:val="32"/>
          <w:szCs w:val="32"/>
        </w:rPr>
      </w:pPr>
      <w:bookmarkStart w:id="8" w:name="_Toc251576341"/>
      <w:r>
        <w:rPr>
          <w:i w:val="0"/>
          <w:sz w:val="32"/>
          <w:szCs w:val="32"/>
        </w:rPr>
        <w:t>Proposed Changes and Reasons</w:t>
      </w:r>
      <w:bookmarkEnd w:id="8"/>
    </w:p>
    <w:p w:rsidR="00665E59" w:rsidRDefault="00665E59">
      <w:pPr>
        <w:rPr>
          <w:rFonts w:cs="Arial"/>
          <w:b/>
        </w:rPr>
      </w:pPr>
      <w:r>
        <w:rPr>
          <w:rFonts w:cs="Arial"/>
          <w:b/>
        </w:rPr>
        <w:t xml:space="preserve">Casey precinct code map </w:t>
      </w:r>
    </w:p>
    <w:p w:rsidR="00665E59" w:rsidRDefault="00665E59">
      <w:pPr>
        <w:autoSpaceDE w:val="0"/>
        <w:autoSpaceDN w:val="0"/>
        <w:adjustRightInd w:val="0"/>
        <w:jc w:val="both"/>
        <w:rPr>
          <w:rFonts w:cs="Arial"/>
          <w:sz w:val="22"/>
          <w:szCs w:val="22"/>
        </w:rPr>
      </w:pPr>
      <w:r>
        <w:rPr>
          <w:rFonts w:cs="Arial"/>
          <w:sz w:val="22"/>
          <w:szCs w:val="22"/>
        </w:rPr>
        <w:t>The Casey TA2010-20 precinct code (which commenced on Friday 16 July 2010) contained a map that omitted to show three blocks of land where ‘Mid-Block - Option 2’ applies.</w:t>
      </w:r>
    </w:p>
    <w:p w:rsidR="00665E59" w:rsidRDefault="00665E59">
      <w:pPr>
        <w:autoSpaceDE w:val="0"/>
        <w:autoSpaceDN w:val="0"/>
        <w:adjustRightInd w:val="0"/>
        <w:jc w:val="both"/>
        <w:rPr>
          <w:rFonts w:cs="Arial"/>
          <w:sz w:val="22"/>
          <w:szCs w:val="22"/>
        </w:rPr>
      </w:pPr>
    </w:p>
    <w:p w:rsidR="00665E59" w:rsidRDefault="00665E59">
      <w:pPr>
        <w:autoSpaceDE w:val="0"/>
        <w:autoSpaceDN w:val="0"/>
        <w:adjustRightInd w:val="0"/>
        <w:jc w:val="both"/>
        <w:rPr>
          <w:rFonts w:cs="Arial"/>
          <w:sz w:val="22"/>
          <w:szCs w:val="22"/>
        </w:rPr>
      </w:pPr>
      <w:r>
        <w:rPr>
          <w:rFonts w:cs="Arial"/>
          <w:sz w:val="22"/>
          <w:szCs w:val="22"/>
        </w:rPr>
        <w:t xml:space="preserve">TA2010-20 introduced the first precinct code under section 96 of the </w:t>
      </w:r>
      <w:r>
        <w:rPr>
          <w:rFonts w:cs="Arial"/>
          <w:i/>
          <w:sz w:val="22"/>
          <w:szCs w:val="22"/>
        </w:rPr>
        <w:t>Planning and Development Act 2007</w:t>
      </w:r>
      <w:r>
        <w:rPr>
          <w:rFonts w:cs="Arial"/>
          <w:sz w:val="22"/>
          <w:szCs w:val="22"/>
        </w:rPr>
        <w:t xml:space="preserve">. Three blocks were not identified as being subject to </w:t>
      </w:r>
      <w:r>
        <w:rPr>
          <w:rFonts w:cs="Arial"/>
          <w:sz w:val="22"/>
          <w:szCs w:val="22"/>
        </w:rPr>
        <w:br/>
        <w:t xml:space="preserve">‘side setbacks – option 2’ under the single dwelling housing development code. For this reason the miscellaneous technical amendment TA2010-24, as defined under section 87(b) of the Act, has been prepared to correct the omission. </w:t>
      </w:r>
    </w:p>
    <w:p w:rsidR="00665E59" w:rsidRDefault="00665E59">
      <w:pPr>
        <w:rPr>
          <w:rFonts w:cs="Arial"/>
          <w:color w:val="0066CC"/>
        </w:rPr>
      </w:pPr>
      <w:r>
        <w:rPr>
          <w:rFonts w:cs="Arial"/>
          <w:color w:val="0066CC"/>
        </w:rPr>
        <w:br w:type="page"/>
      </w:r>
    </w:p>
    <w:p w:rsidR="00665E59" w:rsidRDefault="00665E59">
      <w:pPr>
        <w:pStyle w:val="Heading1"/>
        <w:ind w:firstLine="0"/>
        <w:rPr>
          <w:rFonts w:cs="Arial"/>
          <w:sz w:val="36"/>
          <w:szCs w:val="36"/>
        </w:rPr>
      </w:pPr>
      <w:bookmarkStart w:id="9" w:name="_Toc251576342"/>
      <w:r>
        <w:rPr>
          <w:rFonts w:cs="Arial"/>
          <w:sz w:val="36"/>
          <w:szCs w:val="36"/>
        </w:rPr>
        <w:t>3.</w:t>
      </w:r>
      <w:r>
        <w:rPr>
          <w:rFonts w:cs="Arial"/>
          <w:sz w:val="36"/>
          <w:szCs w:val="36"/>
        </w:rPr>
        <w:tab/>
        <w:t>ERROR VARIATION</w:t>
      </w:r>
      <w:bookmarkEnd w:id="9"/>
    </w:p>
    <w:p w:rsidR="00665E59" w:rsidRDefault="00665E59">
      <w:pPr>
        <w:pStyle w:val="Heading2"/>
        <w:rPr>
          <w:i w:val="0"/>
          <w:sz w:val="32"/>
          <w:szCs w:val="32"/>
        </w:rPr>
      </w:pPr>
      <w:bookmarkStart w:id="10" w:name="_Toc220902129"/>
      <w:bookmarkStart w:id="11" w:name="_Toc251576343"/>
      <w:r>
        <w:rPr>
          <w:i w:val="0"/>
          <w:sz w:val="32"/>
          <w:szCs w:val="32"/>
        </w:rPr>
        <w:t xml:space="preserve">Variation to </w:t>
      </w:r>
      <w:bookmarkEnd w:id="10"/>
      <w:bookmarkEnd w:id="11"/>
      <w:r>
        <w:rPr>
          <w:i w:val="0"/>
          <w:sz w:val="32"/>
          <w:szCs w:val="32"/>
        </w:rPr>
        <w:t>precinct codes</w:t>
      </w:r>
    </w:p>
    <w:p w:rsidR="00665E59" w:rsidRDefault="00665E59">
      <w:pPr>
        <w:ind w:left="720"/>
        <w:rPr>
          <w:rFonts w:cs="Arial"/>
          <w:szCs w:val="24"/>
        </w:rPr>
      </w:pPr>
    </w:p>
    <w:p w:rsidR="00665E59" w:rsidRDefault="00665E59">
      <w:pPr>
        <w:shd w:val="clear" w:color="auto" w:fill="C0C0C0"/>
        <w:ind w:left="720" w:hanging="720"/>
        <w:rPr>
          <w:rFonts w:cs="Arial"/>
        </w:rPr>
      </w:pPr>
      <w:r>
        <w:rPr>
          <w:rFonts w:cs="Arial"/>
          <w:b/>
          <w:shd w:val="clear" w:color="auto" w:fill="B3B3B3"/>
        </w:rPr>
        <w:t>1</w:t>
      </w:r>
      <w:r>
        <w:rPr>
          <w:rFonts w:cs="Arial"/>
          <w:b/>
          <w:shd w:val="clear" w:color="auto" w:fill="B3B3B3"/>
        </w:rPr>
        <w:tab/>
        <w:t>Casey Precinct Code, Part A Suburb of Casey – ongoing block specific provisions</w:t>
      </w:r>
    </w:p>
    <w:p w:rsidR="00665E59" w:rsidRDefault="00665E59">
      <w:pPr>
        <w:rPr>
          <w:rFonts w:cs="Arial"/>
        </w:rPr>
      </w:pPr>
    </w:p>
    <w:p w:rsidR="00665E59" w:rsidRDefault="00665E59">
      <w:pPr>
        <w:ind w:left="720"/>
        <w:rPr>
          <w:rFonts w:cs="Arial"/>
          <w:i/>
          <w:szCs w:val="24"/>
        </w:rPr>
      </w:pPr>
      <w:r>
        <w:rPr>
          <w:rFonts w:cs="Arial"/>
          <w:i/>
          <w:szCs w:val="24"/>
        </w:rPr>
        <w:t>Substitute the current map with the following map:</w:t>
      </w:r>
    </w:p>
    <w:p w:rsidR="00665E59" w:rsidRDefault="00665E59">
      <w:pPr>
        <w:rPr>
          <w:rFonts w:cs="Arial"/>
          <w:i/>
          <w:szCs w:val="24"/>
        </w:rPr>
      </w:pPr>
    </w:p>
    <w:p w:rsidR="00665E59" w:rsidRDefault="00665E59">
      <w:pPr>
        <w:jc w:val="center"/>
        <w:rPr>
          <w:rFonts w:cs="Arial"/>
          <w:szCs w:val="24"/>
        </w:rPr>
      </w:pPr>
    </w:p>
    <w:p w:rsidR="00665E59" w:rsidRDefault="000E51DB">
      <w:pPr>
        <w:rPr>
          <w:rFonts w:cs="Arial"/>
          <w:szCs w:val="24"/>
        </w:rPr>
      </w:pPr>
      <w:r>
        <w:rPr>
          <w:noProof/>
          <w:lang w:eastAsia="en-AU"/>
        </w:rPr>
        <w:pict>
          <v:shape id="_x0000_s1026" type="#_x0000_t75" style="position:absolute;margin-left:0;margin-top:11.3pt;width:381.5pt;height:495pt;z-index:-251658752;mso-position-horizontal:center">
            <v:imagedata r:id="rId16" o:title=""/>
            <w10:wrap type="square"/>
          </v:shape>
        </w:pict>
      </w: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szCs w:val="24"/>
        </w:rPr>
      </w:pPr>
    </w:p>
    <w:p w:rsidR="00665E59" w:rsidRDefault="00665E59">
      <w:pPr>
        <w:rPr>
          <w:rFonts w:cs="Arial"/>
          <w:b/>
        </w:rPr>
      </w:pPr>
      <w:r>
        <w:rPr>
          <w:rFonts w:cs="Arial"/>
          <w:b/>
          <w:color w:val="0066CC"/>
        </w:rPr>
        <w:br w:type="page"/>
      </w:r>
      <w:r>
        <w:rPr>
          <w:rFonts w:cs="Arial"/>
          <w:b/>
        </w:rPr>
        <w:t>Interpretation service</w:t>
      </w:r>
    </w:p>
    <w:p w:rsidR="00665E59" w:rsidRDefault="00D161C4">
      <w:pPr>
        <w:rPr>
          <w:rFonts w:cs="Arial"/>
          <w:color w:val="0066CC"/>
        </w:rPr>
      </w:pPr>
      <w:r>
        <w:rPr>
          <w:rFonts w:cs="Arial"/>
          <w:color w:val="0066CC"/>
        </w:rPr>
        <w:pict>
          <v:shape id="_x0000_i1026" type="#_x0000_t75" style="width:420.75pt;height:277.5pt" fillcolor="window">
            <v:imagedata r:id="rId17" o:title=""/>
          </v:shape>
        </w:pict>
      </w:r>
    </w:p>
    <w:p w:rsidR="00665E59" w:rsidRDefault="00665E59">
      <w:pPr>
        <w:rPr>
          <w:rFonts w:cs="Arial"/>
          <w:color w:val="0066CC"/>
        </w:rPr>
      </w:pPr>
    </w:p>
    <w:p w:rsidR="00665E59" w:rsidRDefault="00665E59">
      <w:pPr>
        <w:rPr>
          <w:rFonts w:cs="Arial"/>
          <w:color w:val="0066CC"/>
        </w:rPr>
      </w:pPr>
    </w:p>
    <w:p w:rsidR="00665E59" w:rsidRDefault="00665E59"/>
    <w:p w:rsidR="00665E59" w:rsidRDefault="00665E59"/>
    <w:sectPr w:rsidR="00665E59">
      <w:type w:val="continuous"/>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CD" w:rsidRDefault="00742FCD">
      <w:r>
        <w:separator/>
      </w:r>
    </w:p>
  </w:endnote>
  <w:endnote w:type="continuationSeparator" w:id="0">
    <w:p w:rsidR="00742FCD" w:rsidRDefault="0074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Default="00E7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2F1" w:rsidRDefault="00B512F1">
    <w:pPr>
      <w:pStyle w:val="Footer"/>
      <w:framePr w:wrap="around" w:vAnchor="text" w:hAnchor="margin" w:xAlign="right" w:y="1"/>
      <w:ind w:right="360"/>
      <w:rPr>
        <w:rStyle w:val="PageNumber"/>
      </w:rPr>
    </w:pPr>
  </w:p>
  <w:p w:rsidR="00B512F1" w:rsidRDefault="00B512F1" w:rsidP="00B512F1">
    <w:pPr>
      <w:pStyle w:val="Footer"/>
      <w:rPr>
        <w:rFonts w:cs="Arial"/>
        <w:sz w:val="18"/>
        <w:szCs w:val="18"/>
      </w:rPr>
    </w:pPr>
    <w:r>
      <w:rPr>
        <w:rFonts w:cs="Arial"/>
        <w:sz w:val="18"/>
        <w:szCs w:val="18"/>
      </w:rPr>
      <w:t>*Name amended under Legislation Act, s 60</w:t>
    </w:r>
  </w:p>
  <w:p w:rsidR="00B512F1" w:rsidRPr="00C360BF" w:rsidRDefault="00C360BF" w:rsidP="00C360BF">
    <w:pPr>
      <w:pStyle w:val="Footer"/>
      <w:ind w:right="360"/>
      <w:jc w:val="center"/>
      <w:rPr>
        <w:rFonts w:cs="Arial"/>
        <w:sz w:val="14"/>
      </w:rPr>
    </w:pPr>
    <w:r w:rsidRPr="00C360BF">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Default="00E716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2F1" w:rsidRDefault="00B512F1">
    <w:pPr>
      <w:pStyle w:val="Footer"/>
      <w:framePr w:wrap="around" w:vAnchor="text" w:hAnchor="margin" w:xAlign="right" w:y="1"/>
      <w:ind w:right="360"/>
      <w:rPr>
        <w:rStyle w:val="PageNumber"/>
      </w:rPr>
    </w:pPr>
  </w:p>
  <w:p w:rsidR="00BE3B64" w:rsidRDefault="00B512F1">
    <w:pPr>
      <w:pStyle w:val="Footer"/>
      <w:ind w:right="360"/>
      <w:jc w:val="cente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C360BF">
      <w:rPr>
        <w:rStyle w:val="PageNumber"/>
        <w:noProof/>
        <w:sz w:val="24"/>
      </w:rPr>
      <w:t>2</w:t>
    </w:r>
    <w:r>
      <w:rPr>
        <w:rStyle w:val="PageNumber"/>
        <w:sz w:val="24"/>
      </w:rPr>
      <w:fldChar w:fldCharType="end"/>
    </w:r>
  </w:p>
  <w:p w:rsidR="00B512F1" w:rsidRPr="00C360BF" w:rsidRDefault="00C360BF" w:rsidP="00C360BF">
    <w:pPr>
      <w:pStyle w:val="Footer"/>
      <w:ind w:right="360"/>
      <w:jc w:val="center"/>
      <w:rPr>
        <w:rFonts w:cs="Arial"/>
        <w:sz w:val="14"/>
      </w:rPr>
    </w:pPr>
    <w:r w:rsidRPr="00C360BF">
      <w:rPr>
        <w:rFonts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Pr="00C360BF" w:rsidRDefault="00C360BF" w:rsidP="00C360BF">
    <w:pPr>
      <w:pStyle w:val="Footer"/>
      <w:jc w:val="center"/>
      <w:rPr>
        <w:rFonts w:cs="Arial"/>
        <w:sz w:val="14"/>
      </w:rPr>
    </w:pPr>
    <w:r w:rsidRPr="00C360BF">
      <w:rPr>
        <w:rFonts w:cs="Arial"/>
        <w:sz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64" w:rsidRDefault="00B512F1">
    <w:pPr>
      <w:pStyle w:val="Footer"/>
      <w:jc w:val="center"/>
      <w:rPr>
        <w:rStyle w:val="PageNumbe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C360BF">
      <w:rPr>
        <w:rStyle w:val="PageNumber"/>
        <w:noProof/>
        <w:sz w:val="24"/>
        <w:szCs w:val="24"/>
      </w:rPr>
      <w:t>i</w:t>
    </w:r>
    <w:r>
      <w:rPr>
        <w:rStyle w:val="PageNumber"/>
        <w:sz w:val="24"/>
        <w:szCs w:val="24"/>
      </w:rPr>
      <w:fldChar w:fldCharType="end"/>
    </w:r>
  </w:p>
  <w:p w:rsidR="00B512F1" w:rsidRPr="00C360BF" w:rsidRDefault="00C360BF" w:rsidP="00C360BF">
    <w:pPr>
      <w:pStyle w:val="Footer"/>
      <w:jc w:val="center"/>
      <w:rPr>
        <w:rFonts w:cs="Arial"/>
        <w:sz w:val="14"/>
        <w:szCs w:val="24"/>
      </w:rPr>
    </w:pPr>
    <w:r w:rsidRPr="00C360BF">
      <w:rPr>
        <w:rFonts w:cs="Arial"/>
        <w:sz w:val="14"/>
        <w:szCs w:val="2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CD" w:rsidRDefault="00742FCD">
      <w:r>
        <w:separator/>
      </w:r>
    </w:p>
  </w:footnote>
  <w:footnote w:type="continuationSeparator" w:id="0">
    <w:p w:rsidR="00742FCD" w:rsidRDefault="0074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Default="00E71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Default="00E71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6B" w:rsidRDefault="00E71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selectFldWithFirstOrLastChar/>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03D"/>
    <w:rsid w:val="000E51DB"/>
    <w:rsid w:val="003E40C6"/>
    <w:rsid w:val="00665E59"/>
    <w:rsid w:val="00742FCD"/>
    <w:rsid w:val="009C3557"/>
    <w:rsid w:val="00B512F1"/>
    <w:rsid w:val="00BE3B64"/>
    <w:rsid w:val="00C360BF"/>
    <w:rsid w:val="00CA6C9A"/>
    <w:rsid w:val="00D161C4"/>
    <w:rsid w:val="00D2403D"/>
    <w:rsid w:val="00E7166B"/>
    <w:rsid w:val="00F214A8"/>
    <w:rsid w:val="00F90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14:defaultImageDpi w14:val="0"/>
  <w15:docId w15:val="{62664D20-008A-417D-9B2E-07419BA6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4"/>
      <w:szCs w:val="20"/>
      <w:lang w:eastAsia="en-US"/>
    </w:rPr>
  </w:style>
  <w:style w:type="paragraph" w:styleId="Heading1">
    <w:name w:val="heading 1"/>
    <w:basedOn w:val="Normal"/>
    <w:next w:val="Normal"/>
    <w:link w:val="Heading1Char"/>
    <w:uiPriority w:val="99"/>
    <w:qFormat/>
    <w:pPr>
      <w:keepNext/>
      <w:ind w:right="386" w:firstLine="720"/>
      <w:outlineLvl w:val="0"/>
    </w:pPr>
    <w:rPr>
      <w:b/>
    </w:rPr>
  </w:style>
  <w:style w:type="paragraph" w:styleId="Heading2">
    <w:name w:val="heading 2"/>
    <w:basedOn w:val="Normal"/>
    <w:next w:val="Normal"/>
    <w:link w:val="Heading2Char"/>
    <w:uiPriority w:val="99"/>
    <w:qFormat/>
    <w:pPr>
      <w:keepNext/>
      <w:spacing w:before="240" w:after="60"/>
      <w:outlineLvl w:val="1"/>
    </w:pPr>
    <w:rPr>
      <w:rFonts w:cs="Arial"/>
      <w:b/>
      <w:bCs/>
      <w:i/>
      <w:i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paragraph" w:styleId="Footer">
    <w:name w:val="footer"/>
    <w:basedOn w:val="Normal"/>
    <w:link w:val="FooterChar"/>
    <w:uiPriority w:val="99"/>
    <w:pPr>
      <w:tabs>
        <w:tab w:val="center" w:pos="4252"/>
        <w:tab w:val="right" w:pos="8504"/>
      </w:tabs>
    </w:pPr>
    <w:rPr>
      <w:sz w:val="16"/>
      <w:lang w:val="en-GB"/>
    </w:rPr>
  </w:style>
  <w:style w:type="paragraph" w:styleId="Header">
    <w:name w:val="header"/>
    <w:basedOn w:val="Normal"/>
    <w:link w:val="HeaderChar"/>
    <w:uiPriority w:val="99"/>
    <w:pPr>
      <w:tabs>
        <w:tab w:val="center" w:pos="4819"/>
        <w:tab w:val="right" w:pos="9071"/>
      </w:tabs>
    </w:pPr>
    <w:rPr>
      <w:lang w:val="en-GB"/>
    </w:rPr>
  </w:style>
  <w:style w:type="character" w:customStyle="1" w:styleId="HeaderChar">
    <w:name w:val="Header Char"/>
    <w:basedOn w:val="DefaultParagraphFont"/>
    <w:link w:val="Header"/>
    <w:uiPriority w:val="99"/>
    <w:semiHidden/>
    <w:rPr>
      <w:rFonts w:ascii="Arial" w:hAnsi="Arial"/>
      <w:sz w:val="24"/>
      <w:szCs w:val="20"/>
      <w:lang w:eastAsia="en-US"/>
    </w:rPr>
  </w:style>
  <w:style w:type="paragraph" w:styleId="BodyText">
    <w:name w:val="Body Text"/>
    <w:basedOn w:val="Normal"/>
    <w:link w:val="BodyTextChar"/>
    <w:uiPriority w:val="99"/>
    <w:rPr>
      <w:b/>
      <w:sz w:val="28"/>
      <w:lang w:val="en-GB"/>
    </w:rPr>
  </w:style>
  <w:style w:type="character" w:customStyle="1" w:styleId="BodyTextChar">
    <w:name w:val="Body Text Char"/>
    <w:basedOn w:val="DefaultParagraphFont"/>
    <w:link w:val="BodyText"/>
    <w:uiPriority w:val="99"/>
    <w:semiHidden/>
    <w:rPr>
      <w:rFonts w:ascii="Arial" w:hAnsi="Arial"/>
      <w:sz w:val="24"/>
      <w:szCs w:val="20"/>
      <w:lang w:eastAsia="en-US"/>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uiPriority w:val="99"/>
    <w:semiHidden/>
    <w:pPr>
      <w:spacing w:before="360"/>
    </w:pPr>
    <w:rPr>
      <w:rFonts w:ascii="Times New Roman" w:hAnsi="Times New Roman"/>
      <w:caps/>
      <w:noProof/>
    </w:rPr>
  </w:style>
  <w:style w:type="paragraph" w:styleId="TOC2">
    <w:name w:val="toc 2"/>
    <w:basedOn w:val="Normal"/>
    <w:next w:val="Normal"/>
    <w:uiPriority w:val="99"/>
    <w:semiHidden/>
    <w:pPr>
      <w:spacing w:before="240"/>
    </w:pPr>
    <w:rPr>
      <w:rFonts w:ascii="Times New Roman" w:hAnsi="Times New Roman"/>
    </w:rPr>
  </w:style>
  <w:style w:type="character" w:styleId="PageNumber">
    <w:name w:val="page number"/>
    <w:basedOn w:val="DefaultParagraphFont"/>
    <w:uiPriority w:val="99"/>
    <w:rPr>
      <w:rFonts w:cs="Times New Roman"/>
    </w:rPr>
  </w:style>
  <w:style w:type="paragraph" w:customStyle="1" w:styleId="Billname">
    <w:name w:val="Billname"/>
    <w:basedOn w:val="Normal"/>
    <w:uiPriority w:val="99"/>
    <w:pPr>
      <w:tabs>
        <w:tab w:val="left" w:pos="2400"/>
        <w:tab w:val="left" w:pos="2880"/>
      </w:tabs>
      <w:spacing w:before="1220" w:after="100"/>
    </w:pPr>
    <w:rPr>
      <w:b/>
      <w:sz w:val="40"/>
    </w:r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b/>
    </w:rPr>
  </w:style>
  <w:style w:type="character" w:customStyle="1" w:styleId="FooterChar">
    <w:name w:val="Footer Char"/>
    <w:basedOn w:val="DefaultParagraphFont"/>
    <w:link w:val="Footer"/>
    <w:uiPriority w:val="99"/>
    <w:locked/>
    <w:rsid w:val="00B512F1"/>
    <w:rPr>
      <w:rFonts w:ascii="Arial" w:hAnsi="Arial"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2786</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5</cp:revision>
  <cp:lastPrinted>2010-07-21T06:30:00Z</cp:lastPrinted>
  <dcterms:created xsi:type="dcterms:W3CDTF">2018-08-28T05:47:00Z</dcterms:created>
  <dcterms:modified xsi:type="dcterms:W3CDTF">2018-08-28T05:47:00Z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A5727115</vt:lpwstr>
  </property>
  <property fmtid="{D5CDD505-2E9C-101B-9397-08002B2CF9AE}" pid="3" name="Objective-Comment">
    <vt:lpwstr> </vt:lpwstr>
  </property>
  <property fmtid="{D5CDD505-2E9C-101B-9397-08002B2CF9AE}" pid="4" name="Objective-CreationStamp">
    <vt:filetime>2010-07-20T14:00:00Z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2010-07-20T14:00:00Z</vt:filetime>
  </property>
  <property fmtid="{D5CDD505-2E9C-101B-9397-08002B2CF9AE}" pid="8" name="Objective-ModificationStamp">
    <vt:filetime>2010-07-20T14:00:00Z</vt:filetime>
  </property>
  <property fmtid="{D5CDD505-2E9C-101B-9397-08002B2CF9AE}" pid="9" name="Objective-Owner">
    <vt:lpwstr>Chris Thompson</vt:lpwstr>
  </property>
  <property fmtid="{D5CDD505-2E9C-101B-9397-08002B2CF9AE}" pid="10" name="Objective-Path">
    <vt:lpwstr>Whole of ACT Government:ACTPLA:BRANCH - Planning Services:Development Policy:04 - Territory Plan Variation Unit - New ((Active 20091126):01 Territory Plan Management (Variations, Technical Amendments, Planning Reports and Proposals):2 Technical Amendments</vt:lpwstr>
  </property>
  <property fmtid="{D5CDD505-2E9C-101B-9397-08002B2CF9AE}" pid="11" name="Objective-Parent">
    <vt:lpwstr>02 Notifiable Instrument and new PC map</vt:lpwstr>
  </property>
  <property fmtid="{D5CDD505-2E9C-101B-9397-08002B2CF9AE}" pid="12" name="Objective-State">
    <vt:lpwstr>Published</vt:lpwstr>
  </property>
  <property fmtid="{D5CDD505-2E9C-101B-9397-08002B2CF9AE}" pid="13" name="Objective-Title">
    <vt:lpwstr>TA2010-24 - notifiable instrument and report</vt:lpwstr>
  </property>
  <property fmtid="{D5CDD505-2E9C-101B-9397-08002B2CF9AE}" pid="14" name="Objective-Version">
    <vt:lpwstr>1.0</vt:lpwstr>
  </property>
  <property fmtid="{D5CDD505-2E9C-101B-9397-08002B2CF9AE}" pid="15" name="Objective-VersionComment">
    <vt:lpwstr> </vt:lpwstr>
  </property>
  <property fmtid="{D5CDD505-2E9C-101B-9397-08002B2CF9AE}" pid="16" name="Objective-VersionNumber">
    <vt:i4>3</vt:i4>
  </property>
  <property fmtid="{D5CDD505-2E9C-101B-9397-08002B2CF9AE}" pid="17" name="Objective-FileNumber">
    <vt:lpwstr>1-2010/10960</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ACTPLA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