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F52" w:rsidRDefault="00CA0F52">
      <w:pPr>
        <w:pStyle w:val="Header"/>
        <w:spacing w:before="120"/>
        <w:rPr>
          <w:rFonts w:cs="Arial"/>
        </w:rPr>
      </w:pPr>
      <w:bookmarkStart w:id="0" w:name="_GoBack"/>
      <w:bookmarkEnd w:id="0"/>
      <w:smartTag w:uri="urn:schemas-microsoft-com:office:smarttags" w:element="State">
        <w:smartTag w:uri="urn:schemas-microsoft-com:office:smarttags" w:element="place">
          <w:r>
            <w:rPr>
              <w:rFonts w:cs="Arial"/>
            </w:rPr>
            <w:t>Australian Capital Territory</w:t>
          </w:r>
        </w:smartTag>
      </w:smartTag>
    </w:p>
    <w:p w:rsidR="00CA0F52" w:rsidRDefault="00CA0F52">
      <w:pPr>
        <w:pStyle w:val="Header"/>
        <w:spacing w:before="120"/>
        <w:rPr>
          <w:rFonts w:cs="Arial"/>
        </w:rPr>
      </w:pPr>
    </w:p>
    <w:p w:rsidR="00CA0F52" w:rsidRDefault="00CA0F52">
      <w:pPr>
        <w:pStyle w:val="TAheading"/>
        <w:rPr>
          <w:rFonts w:cs="Arial"/>
        </w:rPr>
      </w:pPr>
      <w:r>
        <w:rPr>
          <w:rFonts w:cs="Arial"/>
        </w:rPr>
        <w:t>Planning and Development (Technical Amendment</w:t>
      </w:r>
      <w:r>
        <w:rPr>
          <w:rFonts w:cs="Arial"/>
          <w:color w:val="000000"/>
        </w:rPr>
        <w:t>—</w:t>
      </w:r>
      <w:r>
        <w:rPr>
          <w:rFonts w:cs="Arial"/>
        </w:rPr>
        <w:t xml:space="preserve">Miscellaneous amendments and corrections, changes to bring the Territory Plan in line with the National Capital Plan, and removal of redundant provisions) Plan Variation 2011 </w:t>
      </w:r>
    </w:p>
    <w:p w:rsidR="00CA0F52" w:rsidRDefault="00CA0F52">
      <w:pPr>
        <w:rPr>
          <w:rStyle w:val="TAannexureAtext"/>
          <w:rFonts w:cs="Arial"/>
        </w:rPr>
      </w:pPr>
      <w:r>
        <w:rPr>
          <w:rStyle w:val="TAannexureAtext"/>
          <w:rFonts w:cs="Arial"/>
        </w:rPr>
        <w:t>No</w:t>
      </w:r>
      <w:r w:rsidR="00612CF2">
        <w:rPr>
          <w:rStyle w:val="TAannexureAtext"/>
          <w:rFonts w:cs="Arial"/>
        </w:rPr>
        <w:t>tifiable instrument NI</w:t>
      </w:r>
      <w:r w:rsidR="006A2C77">
        <w:rPr>
          <w:rStyle w:val="TAannexureAtext"/>
          <w:rFonts w:cs="Arial"/>
        </w:rPr>
        <w:t>2011</w:t>
      </w:r>
      <w:r w:rsidR="00515A97">
        <w:rPr>
          <w:rStyle w:val="TAannexureAtext"/>
          <w:rFonts w:cs="Arial"/>
        </w:rPr>
        <w:t>—</w:t>
      </w:r>
      <w:r>
        <w:rPr>
          <w:rStyle w:val="TAannexureAtext"/>
          <w:rFonts w:cs="Arial"/>
        </w:rPr>
        <w:t>206</w:t>
      </w:r>
    </w:p>
    <w:p w:rsidR="00CA0F52" w:rsidRDefault="00CA0F52">
      <w:pPr>
        <w:rPr>
          <w:rStyle w:val="TAannexureAtext"/>
          <w:rFonts w:cs="Arial"/>
        </w:rPr>
      </w:pPr>
      <w:r>
        <w:rPr>
          <w:rStyle w:val="TAannexureAtext"/>
          <w:rFonts w:cs="Arial"/>
        </w:rPr>
        <w:t>Technical Amendment No 2011-03</w:t>
      </w:r>
    </w:p>
    <w:p w:rsidR="00CA0F52" w:rsidRDefault="00CA0F52">
      <w:pPr>
        <w:pStyle w:val="TALAtext"/>
        <w:rPr>
          <w:rFonts w:cs="Arial"/>
        </w:rPr>
      </w:pPr>
      <w:r>
        <w:rPr>
          <w:rFonts w:cs="Arial"/>
        </w:rPr>
        <w:t>made under the</w:t>
      </w:r>
    </w:p>
    <w:p w:rsidR="00CA0F52" w:rsidRDefault="00CA0F52">
      <w:pPr>
        <w:pStyle w:val="TA-LAitalicstext"/>
        <w:rPr>
          <w:rFonts w:cs="Arial"/>
        </w:rPr>
      </w:pPr>
      <w:r>
        <w:rPr>
          <w:rFonts w:cs="Arial"/>
        </w:rPr>
        <w:t xml:space="preserve">Planning and Development Act 2007, </w:t>
      </w:r>
      <w:bookmarkStart w:id="1" w:name="S89"/>
      <w:r>
        <w:rPr>
          <w:rFonts w:cs="Arial"/>
        </w:rPr>
        <w:t xml:space="preserve">section 89 (Making technical amendments) </w:t>
      </w:r>
      <w:bookmarkEnd w:id="1"/>
      <w:r>
        <w:rPr>
          <w:rFonts w:cs="Arial"/>
        </w:rPr>
        <w:t xml:space="preserve">  </w:t>
      </w:r>
    </w:p>
    <w:p w:rsidR="00CA0F52" w:rsidRDefault="00CA0F52">
      <w:pPr>
        <w:pStyle w:val="TAline"/>
        <w:rPr>
          <w:rFonts w:cs="Arial"/>
        </w:rPr>
      </w:pPr>
    </w:p>
    <w:p w:rsidR="00CA0F52" w:rsidRDefault="00CA0F52">
      <w:pPr>
        <w:pStyle w:val="TAbody"/>
        <w:rPr>
          <w:rFonts w:cs="Arial"/>
          <w:color w:val="000000"/>
        </w:rPr>
      </w:pPr>
      <w:r>
        <w:rPr>
          <w:rFonts w:cs="Arial"/>
          <w:color w:val="000000"/>
        </w:rPr>
        <w:t>This technical amendment commences on 29 April 2011.</w:t>
      </w:r>
    </w:p>
    <w:p w:rsidR="00CA0F52" w:rsidRDefault="00CA0F52">
      <w:pPr>
        <w:pStyle w:val="TAbody"/>
        <w:rPr>
          <w:rFonts w:cs="Arial"/>
          <w:color w:val="000000"/>
        </w:rPr>
      </w:pPr>
    </w:p>
    <w:p w:rsidR="00CA0F52" w:rsidRDefault="00CA0F52">
      <w:pPr>
        <w:pStyle w:val="TAbody"/>
        <w:rPr>
          <w:rFonts w:cs="Arial"/>
          <w:color w:val="000000"/>
        </w:rPr>
      </w:pPr>
      <w:bookmarkStart w:id="2" w:name="S89_1"/>
      <w:r>
        <w:rPr>
          <w:rFonts w:cs="Arial"/>
          <w:color w:val="000000"/>
        </w:rPr>
        <w:t xml:space="preserve">Technical amendment </w:t>
      </w:r>
      <w:bookmarkStart w:id="3" w:name="Techincal_amendment2"/>
      <w:r>
        <w:rPr>
          <w:rFonts w:cs="Arial"/>
          <w:color w:val="000000"/>
        </w:rPr>
        <w:t>number</w:t>
      </w:r>
      <w:bookmarkEnd w:id="3"/>
      <w:r>
        <w:rPr>
          <w:rFonts w:cs="Arial"/>
          <w:color w:val="000000"/>
        </w:rPr>
        <w:t xml:space="preserve"> 2011-03 to the Territory Plan has been approved by the Planning and Land Authority.</w:t>
      </w:r>
    </w:p>
    <w:bookmarkEnd w:id="2"/>
    <w:p w:rsidR="00CA0F52" w:rsidRDefault="00CA0F52">
      <w:pPr>
        <w:pStyle w:val="TAbody"/>
        <w:rPr>
          <w:rFonts w:cs="Arial"/>
          <w:color w:val="000000"/>
        </w:rPr>
      </w:pPr>
    </w:p>
    <w:p w:rsidR="00CA0F52" w:rsidRDefault="00CA0F52">
      <w:pPr>
        <w:pStyle w:val="TAbody"/>
        <w:rPr>
          <w:rFonts w:cs="Arial"/>
          <w:color w:val="000000"/>
          <w:szCs w:val="24"/>
        </w:rPr>
      </w:pPr>
    </w:p>
    <w:p w:rsidR="00CA0F52" w:rsidRDefault="00CA0F52">
      <w:pPr>
        <w:pStyle w:val="TAbody"/>
        <w:rPr>
          <w:rFonts w:cs="Arial"/>
          <w:color w:val="000000"/>
        </w:rPr>
      </w:pPr>
    </w:p>
    <w:p w:rsidR="00CA0F52" w:rsidRDefault="00CA0F52">
      <w:pPr>
        <w:pStyle w:val="TAbody"/>
        <w:rPr>
          <w:rFonts w:cs="Arial"/>
          <w:color w:val="000000"/>
        </w:rPr>
      </w:pPr>
    </w:p>
    <w:p w:rsidR="00CA0F52" w:rsidRDefault="00CA0F52">
      <w:pPr>
        <w:pStyle w:val="TAbody"/>
        <w:rPr>
          <w:rFonts w:cs="Arial"/>
          <w:color w:val="000000"/>
        </w:rPr>
      </w:pPr>
    </w:p>
    <w:p w:rsidR="00CA0F52" w:rsidRDefault="00CA0F52">
      <w:pPr>
        <w:pStyle w:val="TAbody"/>
        <w:rPr>
          <w:rFonts w:cs="Arial"/>
          <w:color w:val="000000"/>
        </w:rPr>
      </w:pPr>
      <w:r>
        <w:rPr>
          <w:rFonts w:cs="Arial"/>
          <w:color w:val="000000"/>
        </w:rPr>
        <w:t>Neil Savery</w:t>
      </w:r>
    </w:p>
    <w:p w:rsidR="00CA0F52" w:rsidRDefault="00CA0F52">
      <w:pPr>
        <w:pStyle w:val="TAbody"/>
        <w:rPr>
          <w:rFonts w:cs="Arial"/>
          <w:color w:val="000000"/>
        </w:rPr>
      </w:pPr>
      <w:r>
        <w:rPr>
          <w:rFonts w:cs="Arial"/>
          <w:color w:val="000000"/>
        </w:rPr>
        <w:t>Planning and Land Authority</w:t>
      </w:r>
    </w:p>
    <w:p w:rsidR="00CA0F52" w:rsidRDefault="00CA0F52">
      <w:pPr>
        <w:pStyle w:val="TAbody"/>
        <w:rPr>
          <w:rFonts w:cs="Arial"/>
          <w:color w:val="000000"/>
        </w:rPr>
      </w:pPr>
    </w:p>
    <w:p w:rsidR="00CA0F52" w:rsidRDefault="00515A97">
      <w:pPr>
        <w:pStyle w:val="TAbody"/>
        <w:rPr>
          <w:rFonts w:cs="Arial"/>
          <w:color w:val="000000"/>
        </w:rPr>
      </w:pPr>
      <w:r>
        <w:rPr>
          <w:rFonts w:cs="Arial"/>
          <w:color w:val="000000"/>
        </w:rPr>
        <w:t xml:space="preserve">18 </w:t>
      </w:r>
      <w:r w:rsidR="00CA0F52">
        <w:rPr>
          <w:rFonts w:cs="Arial"/>
          <w:color w:val="000000"/>
        </w:rPr>
        <w:t>April 2011</w:t>
      </w:r>
    </w:p>
    <w:p w:rsidR="00CA0F52" w:rsidRDefault="00CA0F52">
      <w:pPr>
        <w:pStyle w:val="BodyText"/>
        <w:jc w:val="center"/>
        <w:rPr>
          <w:rFonts w:cs="Arial"/>
          <w:sz w:val="32"/>
        </w:rPr>
        <w:sectPr w:rsidR="00CA0F52" w:rsidSect="00515A97">
          <w:headerReference w:type="even" r:id="rId7"/>
          <w:headerReference w:type="default" r:id="rId8"/>
          <w:footerReference w:type="even" r:id="rId9"/>
          <w:footerReference w:type="default" r:id="rId10"/>
          <w:headerReference w:type="first" r:id="rId11"/>
          <w:footerReference w:type="first" r:id="rId12"/>
          <w:pgSz w:w="11907" w:h="16840" w:code="9"/>
          <w:pgMar w:top="1418" w:right="1418" w:bottom="1418" w:left="1418" w:header="720" w:footer="662" w:gutter="0"/>
          <w:pgNumType w:start="0"/>
          <w:cols w:space="720"/>
          <w:titlePg/>
          <w:rtlGutter/>
        </w:sectPr>
      </w:pPr>
    </w:p>
    <w:p w:rsidR="00CA0F52" w:rsidRDefault="00CA0F52">
      <w:pPr>
        <w:pStyle w:val="BodyText"/>
        <w:jc w:val="center"/>
        <w:rPr>
          <w:rFonts w:cs="Arial"/>
          <w:sz w:val="32"/>
        </w:rPr>
      </w:pPr>
    </w:p>
    <w:p w:rsidR="00CA0F52" w:rsidRDefault="00ED76EB">
      <w:pPr>
        <w:pStyle w:val="BodyText"/>
        <w:jc w:val="center"/>
        <w:rPr>
          <w:rFonts w:cs="Arial"/>
          <w:sz w:val="32"/>
        </w:rPr>
      </w:pPr>
      <w:r>
        <w:rPr>
          <w:rFonts w:cs="Arial"/>
          <w:sz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75pt;height:90.75pt" o:bordertopcolor="this" o:borderleftcolor="this" o:borderbottomcolor="this" o:borderrightcolor="this">
            <v:imagedata r:id="rId13" o:title=""/>
          </v:shape>
        </w:pict>
      </w:r>
      <w:r w:rsidR="00CA0F52">
        <w:rPr>
          <w:rFonts w:cs="Arial"/>
          <w:sz w:val="32"/>
        </w:rPr>
        <w:t xml:space="preserve"> </w:t>
      </w:r>
    </w:p>
    <w:p w:rsidR="00CA0F52" w:rsidRDefault="00CA0F52">
      <w:pPr>
        <w:pStyle w:val="BodyText"/>
        <w:jc w:val="center"/>
        <w:rPr>
          <w:rFonts w:cs="Arial"/>
          <w:sz w:val="32"/>
        </w:rPr>
      </w:pPr>
    </w:p>
    <w:p w:rsidR="00CA0F52" w:rsidRDefault="00CA0F52">
      <w:pPr>
        <w:pStyle w:val="BodyText"/>
        <w:jc w:val="center"/>
        <w:rPr>
          <w:rFonts w:cs="Arial"/>
          <w:b w:val="0"/>
          <w:sz w:val="32"/>
        </w:rPr>
      </w:pPr>
      <w:r>
        <w:rPr>
          <w:rFonts w:cs="Arial"/>
          <w:b w:val="0"/>
          <w:sz w:val="32"/>
        </w:rPr>
        <w:t>Planning &amp; Development Act 2007</w:t>
      </w:r>
    </w:p>
    <w:p w:rsidR="00CA0F52" w:rsidRDefault="00CA0F52">
      <w:pPr>
        <w:jc w:val="center"/>
        <w:rPr>
          <w:rFonts w:cs="Arial"/>
          <w:sz w:val="36"/>
        </w:rPr>
      </w:pPr>
    </w:p>
    <w:p w:rsidR="00CA0F52" w:rsidRDefault="00CA0F52">
      <w:pPr>
        <w:jc w:val="center"/>
        <w:rPr>
          <w:rFonts w:cs="Arial"/>
          <w:sz w:val="36"/>
        </w:rPr>
      </w:pPr>
    </w:p>
    <w:p w:rsidR="00CA0F52" w:rsidRDefault="00CA0F52">
      <w:pPr>
        <w:jc w:val="center"/>
        <w:rPr>
          <w:rFonts w:cs="Arial"/>
          <w:sz w:val="36"/>
        </w:rPr>
      </w:pPr>
    </w:p>
    <w:p w:rsidR="00CA0F52" w:rsidRDefault="00CA0F52">
      <w:pPr>
        <w:pStyle w:val="Header"/>
        <w:tabs>
          <w:tab w:val="left" w:pos="-720"/>
        </w:tabs>
        <w:rPr>
          <w:rFonts w:cs="Arial"/>
        </w:rPr>
      </w:pPr>
    </w:p>
    <w:p w:rsidR="00CA0F52" w:rsidRDefault="00CA0F52">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bCs/>
          <w:sz w:val="72"/>
        </w:rPr>
      </w:pPr>
      <w:r>
        <w:rPr>
          <w:rFonts w:cs="Arial"/>
          <w:bCs/>
          <w:sz w:val="72"/>
        </w:rPr>
        <w:t xml:space="preserve">Technical Amendment </w:t>
      </w:r>
    </w:p>
    <w:p w:rsidR="00CA0F52" w:rsidRDefault="00CA0F52">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bCs/>
          <w:sz w:val="72"/>
        </w:rPr>
      </w:pPr>
      <w:r>
        <w:rPr>
          <w:rFonts w:cs="Arial"/>
          <w:bCs/>
          <w:sz w:val="72"/>
        </w:rPr>
        <w:t>to the Territory Plan</w:t>
      </w:r>
    </w:p>
    <w:p w:rsidR="00CA0F52" w:rsidRDefault="00CA0F52">
      <w:pPr>
        <w:pStyle w:val="BodyText"/>
        <w:pBdr>
          <w:top w:val="single" w:sz="4" w:space="1" w:color="auto"/>
          <w:left w:val="single" w:sz="4" w:space="4" w:color="auto"/>
          <w:bottom w:val="single" w:sz="4" w:space="1" w:color="auto"/>
          <w:right w:val="single" w:sz="4" w:space="4" w:color="auto"/>
        </w:pBdr>
        <w:shd w:val="clear" w:color="auto" w:fill="F3F3F3"/>
        <w:jc w:val="center"/>
        <w:rPr>
          <w:rFonts w:cs="Arial"/>
          <w:sz w:val="72"/>
        </w:rPr>
      </w:pPr>
      <w:r>
        <w:rPr>
          <w:rFonts w:cs="Arial"/>
          <w:bCs/>
          <w:sz w:val="72"/>
        </w:rPr>
        <w:t>Variation 2011-03</w:t>
      </w:r>
    </w:p>
    <w:p w:rsidR="00CA0F52" w:rsidRDefault="00CA0F52">
      <w:pPr>
        <w:tabs>
          <w:tab w:val="left" w:pos="-720"/>
        </w:tabs>
        <w:rPr>
          <w:rFonts w:cs="Arial"/>
          <w:sz w:val="48"/>
        </w:rPr>
      </w:pPr>
    </w:p>
    <w:p w:rsidR="00CA0F52" w:rsidRDefault="00CA0F52">
      <w:pPr>
        <w:jc w:val="center"/>
        <w:rPr>
          <w:rFonts w:cs="Arial"/>
          <w:sz w:val="48"/>
        </w:rPr>
      </w:pPr>
    </w:p>
    <w:p w:rsidR="00CA0F52" w:rsidRDefault="00CA0F52">
      <w:pPr>
        <w:jc w:val="center"/>
        <w:rPr>
          <w:rFonts w:cs="Arial"/>
          <w:sz w:val="44"/>
          <w:szCs w:val="44"/>
        </w:rPr>
      </w:pPr>
      <w:r>
        <w:rPr>
          <w:rFonts w:cs="Arial"/>
          <w:sz w:val="44"/>
          <w:szCs w:val="44"/>
        </w:rPr>
        <w:t>Miscellaneous amendments and corrections, changes to bring the Territory Plan in line with the National Capital Plan, and removal of redundant provisions</w:t>
      </w:r>
    </w:p>
    <w:p w:rsidR="00CA0F52" w:rsidRDefault="00CA0F52">
      <w:pPr>
        <w:rPr>
          <w:rFonts w:cs="Arial"/>
          <w:sz w:val="44"/>
          <w:szCs w:val="44"/>
        </w:rPr>
      </w:pPr>
    </w:p>
    <w:p w:rsidR="00CA0F52" w:rsidRDefault="00CA0F52">
      <w:pPr>
        <w:rPr>
          <w:rFonts w:cs="Arial"/>
          <w:sz w:val="44"/>
          <w:szCs w:val="44"/>
        </w:rPr>
      </w:pPr>
    </w:p>
    <w:p w:rsidR="00CA0F52" w:rsidRDefault="00CA0F52">
      <w:pPr>
        <w:jc w:val="center"/>
        <w:rPr>
          <w:rFonts w:cs="Arial"/>
          <w:sz w:val="44"/>
          <w:szCs w:val="44"/>
        </w:rPr>
      </w:pPr>
      <w:bookmarkStart w:id="4" w:name="Month_Year"/>
      <w:r>
        <w:rPr>
          <w:rFonts w:cs="Arial"/>
          <w:sz w:val="44"/>
          <w:szCs w:val="44"/>
        </w:rPr>
        <w:t>April 2011</w:t>
      </w:r>
    </w:p>
    <w:bookmarkEnd w:id="4"/>
    <w:p w:rsidR="00CA0F52" w:rsidRDefault="00CA0F52">
      <w:pPr>
        <w:jc w:val="center"/>
        <w:rPr>
          <w:rFonts w:cs="Arial"/>
          <w:b/>
          <w:sz w:val="32"/>
          <w:szCs w:val="32"/>
        </w:rPr>
      </w:pPr>
      <w:r>
        <w:rPr>
          <w:rFonts w:cs="Arial"/>
          <w:b/>
          <w:sz w:val="32"/>
          <w:szCs w:val="32"/>
        </w:rPr>
        <w:br w:type="page"/>
      </w:r>
      <w:r>
        <w:rPr>
          <w:rFonts w:cs="Arial"/>
          <w:b/>
          <w:sz w:val="32"/>
          <w:szCs w:val="32"/>
        </w:rPr>
        <w:lastRenderedPageBreak/>
        <w:t>Table of Contents</w:t>
      </w:r>
    </w:p>
    <w:p w:rsidR="00CA0F52" w:rsidRDefault="00CA0F52">
      <w:pPr>
        <w:rPr>
          <w:rFonts w:cs="Arial"/>
          <w:color w:val="0066CC"/>
        </w:rPr>
      </w:pPr>
    </w:p>
    <w:p w:rsidR="00CA0F52" w:rsidRDefault="00CA0F52">
      <w:pPr>
        <w:pStyle w:val="TOC1"/>
        <w:tabs>
          <w:tab w:val="left" w:pos="480"/>
          <w:tab w:val="right" w:leader="dot" w:pos="9061"/>
        </w:tabs>
        <w:rPr>
          <w:rFonts w:ascii="Arial" w:hAnsi="Arial" w:cs="Arial"/>
          <w:caps w:val="0"/>
          <w:szCs w:val="24"/>
          <w:lang w:eastAsia="en-AU"/>
        </w:rPr>
      </w:pPr>
      <w:r>
        <w:rPr>
          <w:rFonts w:ascii="Arial" w:hAnsi="Arial" w:cs="Arial"/>
          <w:color w:val="0066CC"/>
        </w:rPr>
        <w:fldChar w:fldCharType="begin"/>
      </w:r>
      <w:r>
        <w:rPr>
          <w:rFonts w:ascii="Arial" w:hAnsi="Arial" w:cs="Arial"/>
          <w:color w:val="0066CC"/>
        </w:rPr>
        <w:instrText xml:space="preserve"> TOC \o "1-3" \h \z \u </w:instrText>
      </w:r>
      <w:r>
        <w:rPr>
          <w:rFonts w:ascii="Arial" w:hAnsi="Arial" w:cs="Arial"/>
          <w:color w:val="0066CC"/>
        </w:rPr>
        <w:fldChar w:fldCharType="separate"/>
      </w:r>
      <w:hyperlink w:anchor="_Toc266365532" w:history="1">
        <w:r>
          <w:rPr>
            <w:rStyle w:val="Hyperlink"/>
            <w:rFonts w:ascii="Arial" w:hAnsi="Arial" w:cs="Arial"/>
          </w:rPr>
          <w:t>1</w:t>
        </w:r>
        <w:r>
          <w:rPr>
            <w:rFonts w:ascii="Arial" w:hAnsi="Arial" w:cs="Arial"/>
            <w:caps w:val="0"/>
            <w:szCs w:val="24"/>
            <w:lang w:eastAsia="en-AU"/>
          </w:rPr>
          <w:tab/>
        </w:r>
        <w:r>
          <w:rPr>
            <w:rStyle w:val="Hyperlink"/>
            <w:rFonts w:ascii="Arial" w:hAnsi="Arial" w:cs="Arial"/>
          </w:rPr>
          <w:t>INTRODUCTION</w:t>
        </w:r>
        <w:r>
          <w:rPr>
            <w:rFonts w:ascii="Arial" w:hAnsi="Arial" w:cs="Arial"/>
            <w:webHidden/>
          </w:rPr>
          <w:tab/>
        </w:r>
        <w:r>
          <w:rPr>
            <w:rFonts w:ascii="Arial" w:hAnsi="Arial" w:cs="Arial"/>
            <w:webHidden/>
          </w:rPr>
          <w:fldChar w:fldCharType="begin"/>
        </w:r>
        <w:r>
          <w:rPr>
            <w:rFonts w:ascii="Arial" w:hAnsi="Arial" w:cs="Arial"/>
            <w:webHidden/>
          </w:rPr>
          <w:instrText xml:space="preserve"> PAGEREF _Toc266365532 \h </w:instrText>
        </w:r>
        <w:r>
          <w:rPr>
            <w:rFonts w:ascii="Arial" w:hAnsi="Arial" w:cs="Arial"/>
            <w:webHidden/>
          </w:rPr>
        </w:r>
        <w:r>
          <w:rPr>
            <w:rFonts w:ascii="Arial" w:hAnsi="Arial" w:cs="Arial"/>
            <w:webHidden/>
          </w:rPr>
          <w:fldChar w:fldCharType="separate"/>
        </w:r>
        <w:r>
          <w:rPr>
            <w:rFonts w:ascii="Arial" w:hAnsi="Arial" w:cs="Arial"/>
            <w:webHidden/>
          </w:rPr>
          <w:t>2</w:t>
        </w:r>
        <w:r>
          <w:rPr>
            <w:rFonts w:ascii="Arial" w:hAnsi="Arial" w:cs="Arial"/>
            <w:webHidden/>
          </w:rPr>
          <w:fldChar w:fldCharType="end"/>
        </w:r>
      </w:hyperlink>
    </w:p>
    <w:p w:rsidR="00CA0F52" w:rsidRDefault="00ED76EB">
      <w:pPr>
        <w:pStyle w:val="TOC2"/>
        <w:tabs>
          <w:tab w:val="right" w:leader="dot" w:pos="9061"/>
        </w:tabs>
        <w:rPr>
          <w:rFonts w:ascii="Arial" w:hAnsi="Arial" w:cs="Arial"/>
          <w:noProof/>
          <w:szCs w:val="24"/>
          <w:lang w:eastAsia="en-AU"/>
        </w:rPr>
      </w:pPr>
      <w:hyperlink w:anchor="_Toc266365533" w:history="1">
        <w:r w:rsidR="00CA0F52">
          <w:rPr>
            <w:rStyle w:val="Hyperlink"/>
            <w:rFonts w:ascii="Arial" w:hAnsi="Arial" w:cs="Arial"/>
            <w:noProof/>
          </w:rPr>
          <w:t>Outline of the process</w:t>
        </w:r>
        <w:r w:rsidR="00CA0F52">
          <w:rPr>
            <w:rFonts w:ascii="Arial" w:hAnsi="Arial" w:cs="Arial"/>
            <w:noProof/>
            <w:webHidden/>
          </w:rPr>
          <w:tab/>
        </w:r>
        <w:r w:rsidR="00CA0F52">
          <w:rPr>
            <w:rFonts w:ascii="Arial" w:hAnsi="Arial" w:cs="Arial"/>
            <w:noProof/>
            <w:webHidden/>
          </w:rPr>
          <w:fldChar w:fldCharType="begin"/>
        </w:r>
        <w:r w:rsidR="00CA0F52">
          <w:rPr>
            <w:rFonts w:ascii="Arial" w:hAnsi="Arial" w:cs="Arial"/>
            <w:noProof/>
            <w:webHidden/>
          </w:rPr>
          <w:instrText xml:space="preserve"> PAGEREF _Toc266365533 \h </w:instrText>
        </w:r>
        <w:r w:rsidR="00CA0F52">
          <w:rPr>
            <w:rFonts w:ascii="Arial" w:hAnsi="Arial" w:cs="Arial"/>
            <w:noProof/>
            <w:webHidden/>
          </w:rPr>
        </w:r>
        <w:r w:rsidR="00CA0F52">
          <w:rPr>
            <w:rFonts w:ascii="Arial" w:hAnsi="Arial" w:cs="Arial"/>
            <w:noProof/>
            <w:webHidden/>
          </w:rPr>
          <w:fldChar w:fldCharType="separate"/>
        </w:r>
        <w:r w:rsidR="00CA0F52">
          <w:rPr>
            <w:rFonts w:ascii="Arial" w:hAnsi="Arial" w:cs="Arial"/>
            <w:noProof/>
            <w:webHidden/>
          </w:rPr>
          <w:t>2</w:t>
        </w:r>
        <w:r w:rsidR="00CA0F52">
          <w:rPr>
            <w:rFonts w:ascii="Arial" w:hAnsi="Arial" w:cs="Arial"/>
            <w:noProof/>
            <w:webHidden/>
          </w:rPr>
          <w:fldChar w:fldCharType="end"/>
        </w:r>
      </w:hyperlink>
    </w:p>
    <w:p w:rsidR="00CA0F52" w:rsidRDefault="00ED76EB">
      <w:pPr>
        <w:pStyle w:val="TOC1"/>
        <w:tabs>
          <w:tab w:val="left" w:pos="480"/>
          <w:tab w:val="right" w:leader="dot" w:pos="9061"/>
        </w:tabs>
        <w:rPr>
          <w:rFonts w:ascii="Arial" w:hAnsi="Arial" w:cs="Arial"/>
          <w:caps w:val="0"/>
          <w:szCs w:val="24"/>
          <w:lang w:eastAsia="en-AU"/>
        </w:rPr>
      </w:pPr>
      <w:hyperlink w:anchor="_Toc266365534" w:history="1">
        <w:r w:rsidR="00CA0F52">
          <w:rPr>
            <w:rStyle w:val="Hyperlink"/>
            <w:rFonts w:ascii="Arial" w:hAnsi="Arial" w:cs="Arial"/>
          </w:rPr>
          <w:t>2</w:t>
        </w:r>
        <w:r w:rsidR="00CA0F52">
          <w:rPr>
            <w:rFonts w:ascii="Arial" w:hAnsi="Arial" w:cs="Arial"/>
            <w:caps w:val="0"/>
            <w:szCs w:val="24"/>
            <w:lang w:eastAsia="en-AU"/>
          </w:rPr>
          <w:tab/>
        </w:r>
        <w:r w:rsidR="00CA0F52">
          <w:rPr>
            <w:rStyle w:val="Hyperlink"/>
            <w:rFonts w:ascii="Arial" w:hAnsi="Arial" w:cs="Arial"/>
          </w:rPr>
          <w:t>EXPLANATORY STATEMENT</w:t>
        </w:r>
        <w:r w:rsidR="00CA0F52">
          <w:rPr>
            <w:rFonts w:ascii="Arial" w:hAnsi="Arial" w:cs="Arial"/>
            <w:webHidden/>
          </w:rPr>
          <w:tab/>
        </w:r>
        <w:r w:rsidR="00CA0F52">
          <w:rPr>
            <w:rFonts w:ascii="Arial" w:hAnsi="Arial" w:cs="Arial"/>
            <w:webHidden/>
          </w:rPr>
          <w:fldChar w:fldCharType="begin"/>
        </w:r>
        <w:r w:rsidR="00CA0F52">
          <w:rPr>
            <w:rFonts w:ascii="Arial" w:hAnsi="Arial" w:cs="Arial"/>
            <w:webHidden/>
          </w:rPr>
          <w:instrText xml:space="preserve"> PAGEREF _Toc266365534 \h </w:instrText>
        </w:r>
        <w:r w:rsidR="00CA0F52">
          <w:rPr>
            <w:rFonts w:ascii="Arial" w:hAnsi="Arial" w:cs="Arial"/>
            <w:webHidden/>
          </w:rPr>
        </w:r>
        <w:r w:rsidR="00CA0F52">
          <w:rPr>
            <w:rFonts w:ascii="Arial" w:hAnsi="Arial" w:cs="Arial"/>
            <w:webHidden/>
          </w:rPr>
          <w:fldChar w:fldCharType="separate"/>
        </w:r>
        <w:r w:rsidR="00CA0F52">
          <w:rPr>
            <w:rFonts w:ascii="Arial" w:hAnsi="Arial" w:cs="Arial"/>
            <w:webHidden/>
          </w:rPr>
          <w:t>2</w:t>
        </w:r>
        <w:r w:rsidR="00CA0F52">
          <w:rPr>
            <w:rFonts w:ascii="Arial" w:hAnsi="Arial" w:cs="Arial"/>
            <w:webHidden/>
          </w:rPr>
          <w:fldChar w:fldCharType="end"/>
        </w:r>
      </w:hyperlink>
    </w:p>
    <w:p w:rsidR="00CA0F52" w:rsidRDefault="00ED76EB">
      <w:pPr>
        <w:pStyle w:val="TOC2"/>
        <w:tabs>
          <w:tab w:val="right" w:leader="dot" w:pos="9061"/>
        </w:tabs>
        <w:rPr>
          <w:rStyle w:val="Hyperlink"/>
          <w:rFonts w:ascii="Arial" w:hAnsi="Arial" w:cs="Arial"/>
          <w:noProof/>
        </w:rPr>
      </w:pPr>
      <w:hyperlink w:anchor="_Toc266365535" w:history="1">
        <w:r w:rsidR="00CA0F52">
          <w:rPr>
            <w:rStyle w:val="Hyperlink"/>
            <w:rFonts w:ascii="Arial" w:hAnsi="Arial" w:cs="Arial"/>
            <w:noProof/>
          </w:rPr>
          <w:t>Proposed Changes and Reasons</w:t>
        </w:r>
        <w:r w:rsidR="00CA0F52">
          <w:rPr>
            <w:rFonts w:ascii="Arial" w:hAnsi="Arial" w:cs="Arial"/>
            <w:noProof/>
            <w:webHidden/>
          </w:rPr>
          <w:tab/>
        </w:r>
        <w:r w:rsidR="00CA0F52">
          <w:rPr>
            <w:rFonts w:ascii="Arial" w:hAnsi="Arial" w:cs="Arial"/>
            <w:noProof/>
            <w:webHidden/>
          </w:rPr>
          <w:fldChar w:fldCharType="begin"/>
        </w:r>
        <w:r w:rsidR="00CA0F52">
          <w:rPr>
            <w:rFonts w:ascii="Arial" w:hAnsi="Arial" w:cs="Arial"/>
            <w:noProof/>
            <w:webHidden/>
          </w:rPr>
          <w:instrText xml:space="preserve"> PAGEREF _Toc266365535 \h </w:instrText>
        </w:r>
        <w:r w:rsidR="00CA0F52">
          <w:rPr>
            <w:rFonts w:ascii="Arial" w:hAnsi="Arial" w:cs="Arial"/>
            <w:noProof/>
            <w:webHidden/>
          </w:rPr>
        </w:r>
        <w:r w:rsidR="00CA0F52">
          <w:rPr>
            <w:rFonts w:ascii="Arial" w:hAnsi="Arial" w:cs="Arial"/>
            <w:noProof/>
            <w:webHidden/>
          </w:rPr>
          <w:fldChar w:fldCharType="separate"/>
        </w:r>
        <w:r w:rsidR="00CA0F52">
          <w:rPr>
            <w:rFonts w:ascii="Arial" w:hAnsi="Arial" w:cs="Arial"/>
            <w:noProof/>
            <w:webHidden/>
          </w:rPr>
          <w:t>3</w:t>
        </w:r>
        <w:r w:rsidR="00CA0F52">
          <w:rPr>
            <w:rFonts w:ascii="Arial" w:hAnsi="Arial" w:cs="Arial"/>
            <w:noProof/>
            <w:webHidden/>
          </w:rPr>
          <w:fldChar w:fldCharType="end"/>
        </w:r>
      </w:hyperlink>
    </w:p>
    <w:p w:rsidR="00CA0F52" w:rsidRDefault="00ED76EB">
      <w:pPr>
        <w:pStyle w:val="TOC1"/>
        <w:tabs>
          <w:tab w:val="left" w:pos="480"/>
          <w:tab w:val="right" w:leader="dot" w:pos="9061"/>
        </w:tabs>
        <w:rPr>
          <w:rFonts w:ascii="Arial" w:hAnsi="Arial" w:cs="Arial"/>
          <w:caps w:val="0"/>
          <w:szCs w:val="24"/>
          <w:lang w:eastAsia="en-AU"/>
        </w:rPr>
      </w:pPr>
      <w:hyperlink w:anchor="_Toc266365536" w:history="1">
        <w:r w:rsidR="00CA0F52">
          <w:rPr>
            <w:rStyle w:val="Hyperlink"/>
            <w:rFonts w:ascii="Arial" w:hAnsi="Arial" w:cs="Arial"/>
          </w:rPr>
          <w:t>3.</w:t>
        </w:r>
        <w:r w:rsidR="00CA0F52">
          <w:rPr>
            <w:rFonts w:ascii="Arial" w:hAnsi="Arial" w:cs="Arial"/>
            <w:caps w:val="0"/>
            <w:szCs w:val="24"/>
            <w:lang w:eastAsia="en-AU"/>
          </w:rPr>
          <w:tab/>
        </w:r>
        <w:r w:rsidR="00CA0F52">
          <w:rPr>
            <w:rStyle w:val="Hyperlink"/>
            <w:rFonts w:ascii="Arial" w:hAnsi="Arial" w:cs="Arial"/>
          </w:rPr>
          <w:t>TECHNICAL AMENDMENT</w:t>
        </w:r>
        <w:r w:rsidR="00CA0F52">
          <w:rPr>
            <w:rFonts w:ascii="Arial" w:hAnsi="Arial" w:cs="Arial"/>
            <w:webHidden/>
          </w:rPr>
          <w:tab/>
        </w:r>
        <w:r w:rsidR="00CA0F52">
          <w:rPr>
            <w:rFonts w:ascii="Arial" w:hAnsi="Arial" w:cs="Arial"/>
            <w:webHidden/>
          </w:rPr>
          <w:fldChar w:fldCharType="begin"/>
        </w:r>
        <w:r w:rsidR="00CA0F52">
          <w:rPr>
            <w:rFonts w:ascii="Arial" w:hAnsi="Arial" w:cs="Arial"/>
            <w:webHidden/>
          </w:rPr>
          <w:instrText xml:space="preserve"> PAGEREF _Toc266365536 \h </w:instrText>
        </w:r>
        <w:r w:rsidR="00CA0F52">
          <w:rPr>
            <w:rFonts w:ascii="Arial" w:hAnsi="Arial" w:cs="Arial"/>
            <w:webHidden/>
          </w:rPr>
        </w:r>
        <w:r w:rsidR="00CA0F52">
          <w:rPr>
            <w:rFonts w:ascii="Arial" w:hAnsi="Arial" w:cs="Arial"/>
            <w:webHidden/>
          </w:rPr>
          <w:fldChar w:fldCharType="separate"/>
        </w:r>
        <w:r w:rsidR="00CA0F52">
          <w:rPr>
            <w:rFonts w:ascii="Arial" w:hAnsi="Arial" w:cs="Arial"/>
            <w:webHidden/>
          </w:rPr>
          <w:t>8</w:t>
        </w:r>
        <w:r w:rsidR="00CA0F52">
          <w:rPr>
            <w:rFonts w:ascii="Arial" w:hAnsi="Arial" w:cs="Arial"/>
            <w:webHidden/>
          </w:rPr>
          <w:fldChar w:fldCharType="end"/>
        </w:r>
      </w:hyperlink>
    </w:p>
    <w:p w:rsidR="00CA0F52" w:rsidRDefault="00CA0F52">
      <w:pPr>
        <w:rPr>
          <w:rFonts w:cs="Arial"/>
          <w:color w:val="0066CC"/>
        </w:rPr>
      </w:pPr>
      <w:r>
        <w:rPr>
          <w:rFonts w:cs="Arial"/>
          <w:color w:val="0066CC"/>
        </w:rPr>
        <w:fldChar w:fldCharType="end"/>
      </w:r>
      <w:bookmarkStart w:id="5" w:name="_Toc199324057"/>
      <w:r>
        <w:rPr>
          <w:rFonts w:cs="Arial"/>
          <w:color w:val="0066CC"/>
        </w:rPr>
        <w:t xml:space="preserve"> </w:t>
      </w:r>
    </w:p>
    <w:p w:rsidR="00CA0F52" w:rsidRDefault="00CA0F52">
      <w:pPr>
        <w:rPr>
          <w:rFonts w:cs="Arial"/>
          <w:color w:val="0066CC"/>
        </w:rPr>
        <w:sectPr w:rsidR="00CA0F52" w:rsidSect="00515A97">
          <w:footerReference w:type="first" r:id="rId14"/>
          <w:pgSz w:w="11907" w:h="16840" w:code="9"/>
          <w:pgMar w:top="1418" w:right="1418" w:bottom="1418" w:left="1418" w:header="720" w:footer="799" w:gutter="0"/>
          <w:pgNumType w:start="0"/>
          <w:cols w:space="720"/>
          <w:titlePg/>
        </w:sectPr>
      </w:pPr>
    </w:p>
    <w:p w:rsidR="00CA0F52" w:rsidRDefault="00CA0F52">
      <w:pPr>
        <w:pStyle w:val="Heading1"/>
        <w:ind w:firstLine="0"/>
        <w:rPr>
          <w:rFonts w:cs="Arial"/>
          <w:sz w:val="36"/>
          <w:szCs w:val="36"/>
        </w:rPr>
      </w:pPr>
      <w:bookmarkStart w:id="6" w:name="_Toc266365532"/>
      <w:r>
        <w:rPr>
          <w:rFonts w:cs="Arial"/>
          <w:sz w:val="36"/>
          <w:szCs w:val="36"/>
        </w:rPr>
        <w:lastRenderedPageBreak/>
        <w:t>1</w:t>
      </w:r>
      <w:r>
        <w:rPr>
          <w:rFonts w:cs="Arial"/>
          <w:sz w:val="36"/>
          <w:szCs w:val="36"/>
        </w:rPr>
        <w:tab/>
        <w:t>INTRODUCTION</w:t>
      </w:r>
      <w:bookmarkEnd w:id="6"/>
    </w:p>
    <w:p w:rsidR="00CA0F52" w:rsidRDefault="00CA0F52">
      <w:pPr>
        <w:pStyle w:val="Heading2"/>
        <w:rPr>
          <w:i w:val="0"/>
          <w:sz w:val="32"/>
          <w:szCs w:val="32"/>
        </w:rPr>
      </w:pPr>
      <w:bookmarkStart w:id="7" w:name="_Toc266365533"/>
      <w:r>
        <w:rPr>
          <w:i w:val="0"/>
          <w:sz w:val="32"/>
          <w:szCs w:val="32"/>
        </w:rPr>
        <w:t>Outline of the process</w:t>
      </w:r>
      <w:bookmarkEnd w:id="5"/>
      <w:bookmarkEnd w:id="7"/>
    </w:p>
    <w:p w:rsidR="00CA0F52" w:rsidRDefault="00CA0F52">
      <w:pPr>
        <w:rPr>
          <w:rFonts w:cs="Arial"/>
        </w:rPr>
      </w:pPr>
    </w:p>
    <w:p w:rsidR="00CA0F52" w:rsidRDefault="00CA0F52">
      <w:pPr>
        <w:rPr>
          <w:szCs w:val="24"/>
        </w:rPr>
      </w:pPr>
      <w:r>
        <w:rPr>
          <w:szCs w:val="24"/>
          <w:lang w:eastAsia="en-AU"/>
        </w:rPr>
        <w:t xml:space="preserve">The Commonwealth’s </w:t>
      </w:r>
      <w:smartTag w:uri="urn:schemas-microsoft-com:office:smarttags" w:element="State">
        <w:smartTag w:uri="urn:schemas-microsoft-com:office:smarttags" w:element="place">
          <w:smartTag w:uri="urn:schemas-microsoft-com:office:smarttags" w:element="PersonName">
            <w:r>
              <w:rPr>
                <w:i/>
                <w:iCs/>
                <w:szCs w:val="24"/>
                <w:lang w:eastAsia="en-AU"/>
              </w:rPr>
              <w:t>Australian Capital Territory</w:t>
            </w:r>
          </w:smartTag>
        </w:smartTag>
      </w:smartTag>
      <w:r>
        <w:rPr>
          <w:i/>
          <w:iCs/>
          <w:szCs w:val="24"/>
          <w:lang w:eastAsia="en-AU"/>
        </w:rPr>
        <w:t xml:space="preserve"> (Planning and Land Management) Act 1988 </w:t>
      </w:r>
      <w:r>
        <w:rPr>
          <w:szCs w:val="24"/>
          <w:lang w:eastAsia="en-AU"/>
        </w:rPr>
        <w:t xml:space="preserve">allows for the Legislative Assembly to make laws to establish a Territory Planning Authority and for that Authority to prepare and administer a Territory Plan.  The </w:t>
      </w:r>
      <w:r>
        <w:rPr>
          <w:i/>
          <w:iCs/>
          <w:szCs w:val="24"/>
          <w:lang w:eastAsia="en-AU"/>
        </w:rPr>
        <w:t xml:space="preserve">Planning and Development Act 2007 </w:t>
      </w:r>
      <w:r>
        <w:rPr>
          <w:iCs/>
          <w:szCs w:val="24"/>
          <w:lang w:eastAsia="en-AU"/>
        </w:rPr>
        <w:t>(the Act)</w:t>
      </w:r>
      <w:r>
        <w:rPr>
          <w:i/>
          <w:iCs/>
          <w:szCs w:val="24"/>
          <w:lang w:eastAsia="en-AU"/>
        </w:rPr>
        <w:t xml:space="preserve"> </w:t>
      </w:r>
      <w:r>
        <w:rPr>
          <w:szCs w:val="24"/>
          <w:lang w:eastAsia="en-AU"/>
        </w:rPr>
        <w:t xml:space="preserve">establishes the ACT Planning and Land Authority as the Authority which prepares and administers the Territory Plan, including continually reviewing and proposing amendments as necessary.  Part 5.4 section 87 of the Act allows for technical amendments to be made to the Territory Plan in a number of circumstances.  </w:t>
      </w:r>
    </w:p>
    <w:p w:rsidR="00CA0F52" w:rsidRDefault="00CA0F52">
      <w:pPr>
        <w:autoSpaceDE w:val="0"/>
        <w:autoSpaceDN w:val="0"/>
        <w:adjustRightInd w:val="0"/>
        <w:rPr>
          <w:szCs w:val="24"/>
          <w:lang w:eastAsia="en-AU"/>
        </w:rPr>
      </w:pPr>
    </w:p>
    <w:p w:rsidR="00CA0F52" w:rsidRDefault="00CA0F52">
      <w:pPr>
        <w:autoSpaceDE w:val="0"/>
        <w:autoSpaceDN w:val="0"/>
        <w:adjustRightInd w:val="0"/>
        <w:rPr>
          <w:szCs w:val="24"/>
          <w:lang w:eastAsia="en-AU"/>
        </w:rPr>
      </w:pPr>
      <w:r>
        <w:rPr>
          <w:szCs w:val="24"/>
          <w:lang w:eastAsia="en-AU"/>
        </w:rPr>
        <w:t>This technical amendment is subject to approval of the ACT Planning and Land Authority (the Authority) under sections 87(a), 87(e), and 87(f) of the Act.</w:t>
      </w:r>
    </w:p>
    <w:p w:rsidR="00CA0F52" w:rsidRDefault="00CA0F52">
      <w:pPr>
        <w:autoSpaceDE w:val="0"/>
        <w:autoSpaceDN w:val="0"/>
        <w:adjustRightInd w:val="0"/>
        <w:rPr>
          <w:szCs w:val="24"/>
          <w:lang w:eastAsia="en-AU"/>
        </w:rPr>
      </w:pPr>
    </w:p>
    <w:p w:rsidR="00CA0F52" w:rsidRDefault="00CA0F52">
      <w:pPr>
        <w:pStyle w:val="TAIntroductiontext"/>
      </w:pPr>
      <w:r>
        <w:t>A variation under section 87(a) is a technical amendment that:</w:t>
      </w:r>
    </w:p>
    <w:p w:rsidR="00CA0F52" w:rsidRDefault="00CA0F52">
      <w:pPr>
        <w:pStyle w:val="BodyText"/>
        <w:tabs>
          <w:tab w:val="left" w:pos="540"/>
          <w:tab w:val="left" w:pos="1080"/>
        </w:tabs>
        <w:rPr>
          <w:b w:val="0"/>
          <w:sz w:val="24"/>
          <w:szCs w:val="24"/>
        </w:rPr>
      </w:pPr>
      <w:r>
        <w:rPr>
          <w:b w:val="0"/>
          <w:sz w:val="24"/>
          <w:szCs w:val="24"/>
        </w:rPr>
        <w:tab/>
        <w:t>(i)</w:t>
      </w:r>
      <w:r>
        <w:rPr>
          <w:b w:val="0"/>
          <w:sz w:val="24"/>
          <w:szCs w:val="24"/>
        </w:rPr>
        <w:tab/>
        <w:t>would not adversely affect anyone’s rights if approved; and</w:t>
      </w:r>
    </w:p>
    <w:p w:rsidR="00CA0F52" w:rsidRDefault="00CA0F52">
      <w:pPr>
        <w:pStyle w:val="BodyText"/>
        <w:tabs>
          <w:tab w:val="left" w:pos="540"/>
          <w:tab w:val="left" w:pos="1080"/>
        </w:tabs>
        <w:rPr>
          <w:b w:val="0"/>
          <w:sz w:val="24"/>
          <w:szCs w:val="24"/>
        </w:rPr>
      </w:pPr>
      <w:r>
        <w:rPr>
          <w:b w:val="0"/>
          <w:sz w:val="24"/>
          <w:szCs w:val="24"/>
        </w:rPr>
        <w:tab/>
        <w:t>(ii)</w:t>
      </w:r>
      <w:r>
        <w:rPr>
          <w:b w:val="0"/>
          <w:sz w:val="24"/>
          <w:szCs w:val="24"/>
        </w:rPr>
        <w:tab/>
        <w:t xml:space="preserve">has as its only object the correction of a formal error in the plan. </w:t>
      </w:r>
    </w:p>
    <w:p w:rsidR="00CA0F52" w:rsidRDefault="00CA0F52">
      <w:pPr>
        <w:autoSpaceDE w:val="0"/>
        <w:autoSpaceDN w:val="0"/>
        <w:adjustRightInd w:val="0"/>
        <w:rPr>
          <w:szCs w:val="24"/>
          <w:lang w:eastAsia="en-AU"/>
        </w:rPr>
      </w:pPr>
    </w:p>
    <w:p w:rsidR="00CA0F52" w:rsidRDefault="00CA0F52">
      <w:pPr>
        <w:autoSpaceDE w:val="0"/>
        <w:autoSpaceDN w:val="0"/>
        <w:adjustRightInd w:val="0"/>
        <w:rPr>
          <w:szCs w:val="24"/>
          <w:lang w:eastAsia="en-AU"/>
        </w:rPr>
      </w:pPr>
      <w:r>
        <w:rPr>
          <w:szCs w:val="24"/>
          <w:lang w:eastAsia="en-AU"/>
        </w:rPr>
        <w:t>Section 87(e) of the Act provides for a variation required to bring the Territory Plan into line with the National Capital Plan. These changes are not subject to the limited consultation requirements under section 90 of the Act.</w:t>
      </w:r>
    </w:p>
    <w:p w:rsidR="00CA0F52" w:rsidRDefault="00CA0F52">
      <w:pPr>
        <w:autoSpaceDE w:val="0"/>
        <w:autoSpaceDN w:val="0"/>
        <w:adjustRightInd w:val="0"/>
        <w:rPr>
          <w:szCs w:val="24"/>
          <w:lang w:eastAsia="en-AU"/>
        </w:rPr>
      </w:pPr>
    </w:p>
    <w:p w:rsidR="00CA0F52" w:rsidRDefault="00CA0F52">
      <w:pPr>
        <w:autoSpaceDE w:val="0"/>
        <w:autoSpaceDN w:val="0"/>
        <w:adjustRightInd w:val="0"/>
        <w:rPr>
          <w:szCs w:val="24"/>
          <w:lang w:eastAsia="en-AU"/>
        </w:rPr>
      </w:pPr>
      <w:r>
        <w:rPr>
          <w:szCs w:val="24"/>
          <w:lang w:eastAsia="en-AU"/>
        </w:rPr>
        <w:t>A variation under section 87(f) is a technical amendment to omit something that is obsolete or redundant in the territory plan.</w:t>
      </w:r>
    </w:p>
    <w:p w:rsidR="00CA0F52" w:rsidRDefault="00CA0F52">
      <w:pPr>
        <w:pStyle w:val="BodyText"/>
        <w:tabs>
          <w:tab w:val="left" w:pos="1440"/>
        </w:tabs>
        <w:rPr>
          <w:rFonts w:cs="Arial"/>
          <w:b w:val="0"/>
          <w:sz w:val="24"/>
          <w:szCs w:val="24"/>
        </w:rPr>
      </w:pPr>
      <w:bookmarkStart w:id="8" w:name="_Toc266365534"/>
    </w:p>
    <w:p w:rsidR="00CA0F52" w:rsidRDefault="00CA0F52">
      <w:pPr>
        <w:pStyle w:val="BodyText"/>
        <w:tabs>
          <w:tab w:val="left" w:pos="1440"/>
        </w:tabs>
        <w:rPr>
          <w:rFonts w:cs="Arial"/>
          <w:b w:val="0"/>
          <w:sz w:val="24"/>
          <w:szCs w:val="24"/>
        </w:rPr>
      </w:pPr>
      <w:r>
        <w:rPr>
          <w:rFonts w:cs="Arial"/>
          <w:b w:val="0"/>
          <w:sz w:val="24"/>
          <w:szCs w:val="24"/>
        </w:rPr>
        <w:t>The date of commencement of this technical amendment is provided on the attached notifiable instrument (commencement notice).</w:t>
      </w: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BodyText"/>
        <w:tabs>
          <w:tab w:val="left" w:pos="1440"/>
        </w:tabs>
        <w:rPr>
          <w:rFonts w:cs="Arial"/>
          <w:b w:val="0"/>
          <w:sz w:val="24"/>
          <w:szCs w:val="24"/>
        </w:rPr>
      </w:pPr>
    </w:p>
    <w:p w:rsidR="00CA0F52" w:rsidRDefault="00CA0F52">
      <w:pPr>
        <w:pStyle w:val="Heading1"/>
        <w:ind w:firstLine="0"/>
        <w:rPr>
          <w:rFonts w:cs="Arial"/>
          <w:sz w:val="36"/>
          <w:szCs w:val="36"/>
        </w:rPr>
      </w:pPr>
      <w:r>
        <w:rPr>
          <w:rFonts w:cs="Arial"/>
          <w:sz w:val="36"/>
          <w:szCs w:val="36"/>
        </w:rPr>
        <w:lastRenderedPageBreak/>
        <w:t>2</w:t>
      </w:r>
      <w:r>
        <w:rPr>
          <w:rFonts w:cs="Arial"/>
          <w:sz w:val="36"/>
          <w:szCs w:val="36"/>
        </w:rPr>
        <w:tab/>
        <w:t>EXPLANATORY STATEMENT</w:t>
      </w:r>
      <w:bookmarkEnd w:id="8"/>
    </w:p>
    <w:p w:rsidR="00CA0F52" w:rsidRDefault="00CA0F52">
      <w:pPr>
        <w:pStyle w:val="Heading2"/>
        <w:rPr>
          <w:i w:val="0"/>
          <w:sz w:val="32"/>
          <w:szCs w:val="32"/>
        </w:rPr>
      </w:pPr>
      <w:bookmarkStart w:id="9" w:name="_Toc266365535"/>
      <w:r>
        <w:rPr>
          <w:i w:val="0"/>
          <w:sz w:val="32"/>
          <w:szCs w:val="32"/>
        </w:rPr>
        <w:t>2.1</w:t>
      </w:r>
      <w:r>
        <w:rPr>
          <w:i w:val="0"/>
          <w:sz w:val="32"/>
          <w:szCs w:val="32"/>
        </w:rPr>
        <w:tab/>
        <w:t>Proposed Changes and Reasons</w:t>
      </w:r>
      <w:bookmarkEnd w:id="9"/>
    </w:p>
    <w:p w:rsidR="00CA0F52" w:rsidRDefault="00CA0F52">
      <w:pPr>
        <w:rPr>
          <w:rFonts w:cs="Arial"/>
        </w:rPr>
      </w:pPr>
    </w:p>
    <w:p w:rsidR="00CA0F52" w:rsidRDefault="00CA0F52">
      <w:pPr>
        <w:numPr>
          <w:ilvl w:val="0"/>
          <w:numId w:val="17"/>
        </w:numPr>
        <w:rPr>
          <w:rFonts w:cs="Arial"/>
          <w:b/>
          <w:color w:val="000000"/>
        </w:rPr>
      </w:pPr>
      <w:r>
        <w:rPr>
          <w:rFonts w:cs="Arial"/>
          <w:b/>
          <w:color w:val="000000"/>
        </w:rPr>
        <w:t>Removal of urban open space (Pe) overlay from City section 19 block 21 and part blocks 11 and 20 to bring into line with the National Capital Plan (item 1)</w:t>
      </w:r>
    </w:p>
    <w:p w:rsidR="00CA0F52" w:rsidRDefault="00CA0F52">
      <w:pPr>
        <w:ind w:left="540" w:hanging="540"/>
        <w:rPr>
          <w:rFonts w:cs="Arial"/>
          <w:color w:val="000000"/>
        </w:rPr>
      </w:pPr>
    </w:p>
    <w:p w:rsidR="00CA0F52" w:rsidRDefault="00CA0F52">
      <w:pPr>
        <w:ind w:left="540"/>
        <w:rPr>
          <w:rFonts w:cs="Arial"/>
          <w:color w:val="000000"/>
        </w:rPr>
      </w:pPr>
      <w:r>
        <w:rPr>
          <w:rFonts w:cs="Arial"/>
          <w:color w:val="000000"/>
        </w:rPr>
        <w:t xml:space="preserve">The land identified as City section 19 block 21 and part blocks 11 and 20, is located at the western end of </w:t>
      </w:r>
      <w:smartTag w:uri="urn:schemas-microsoft-com:office:smarttags" w:element="Street">
        <w:smartTag w:uri="urn:schemas-microsoft-com:office:smarttags" w:element="address">
          <w:r>
            <w:rPr>
              <w:rFonts w:cs="Arial"/>
              <w:color w:val="000000"/>
            </w:rPr>
            <w:t>Constitution Avenue</w:t>
          </w:r>
        </w:smartTag>
      </w:smartTag>
      <w:r>
        <w:rPr>
          <w:rFonts w:cs="Arial"/>
          <w:color w:val="000000"/>
        </w:rPr>
        <w:t xml:space="preserve">, between </w:t>
      </w:r>
      <w:smartTag w:uri="urn:schemas-microsoft-com:office:smarttags" w:element="Street">
        <w:smartTag w:uri="urn:schemas-microsoft-com:office:smarttags" w:element="address">
          <w:r>
            <w:rPr>
              <w:rFonts w:cs="Arial"/>
              <w:color w:val="000000"/>
            </w:rPr>
            <w:t>Vernon Circle</w:t>
          </w:r>
        </w:smartTag>
      </w:smartTag>
      <w:r>
        <w:rPr>
          <w:rFonts w:cs="Arial"/>
          <w:color w:val="000000"/>
        </w:rPr>
        <w:t xml:space="preserve"> and London Circuit. The public land overlay Urban Open Space (Pe) applies to this land and the designation is inconsistent with the National Capital Plan, as changed by Amendment 59 – City Hill precinct. The change encourages urban development to occur on the subject land and the extension of </w:t>
      </w:r>
      <w:smartTag w:uri="urn:schemas-microsoft-com:office:smarttags" w:element="Street">
        <w:smartTag w:uri="urn:schemas-microsoft-com:office:smarttags" w:element="address">
          <w:r>
            <w:rPr>
              <w:rFonts w:cs="Arial"/>
              <w:color w:val="000000"/>
            </w:rPr>
            <w:t>Constitution Avenue</w:t>
          </w:r>
        </w:smartTag>
      </w:smartTag>
      <w:r>
        <w:rPr>
          <w:rFonts w:cs="Arial"/>
          <w:color w:val="000000"/>
        </w:rPr>
        <w:t xml:space="preserve"> across London Circuit to the intersection with </w:t>
      </w:r>
      <w:smartTag w:uri="urn:schemas-microsoft-com:office:smarttags" w:element="Street">
        <w:smartTag w:uri="urn:schemas-microsoft-com:office:smarttags" w:element="address">
          <w:r>
            <w:rPr>
              <w:rFonts w:cs="Arial"/>
              <w:color w:val="000000"/>
            </w:rPr>
            <w:t>Vernon Circle</w:t>
          </w:r>
        </w:smartTag>
      </w:smartTag>
      <w:r>
        <w:rPr>
          <w:rFonts w:cs="Arial"/>
          <w:color w:val="000000"/>
        </w:rPr>
        <w:t xml:space="preserve">. The public land overlay has been removed from this site to bring the Territory Plan in line with the National Capital Plan. </w:t>
      </w:r>
    </w:p>
    <w:p w:rsidR="00CA0F52" w:rsidRDefault="00CA0F52">
      <w:pPr>
        <w:ind w:left="540" w:hanging="540"/>
        <w:rPr>
          <w:rFonts w:cs="Arial"/>
          <w:color w:val="000000"/>
        </w:rPr>
      </w:pPr>
    </w:p>
    <w:p w:rsidR="00CA0F52" w:rsidRDefault="00CA0F52">
      <w:pPr>
        <w:numPr>
          <w:ilvl w:val="0"/>
          <w:numId w:val="17"/>
        </w:numPr>
        <w:rPr>
          <w:rFonts w:cs="Arial"/>
          <w:b/>
          <w:color w:val="000000"/>
        </w:rPr>
      </w:pPr>
      <w:r>
        <w:rPr>
          <w:rFonts w:cs="Arial"/>
          <w:b/>
          <w:color w:val="000000"/>
        </w:rPr>
        <w:t>Correction to Rule R55(b) in CZ5 mixed use zone development code (item 4)</w:t>
      </w:r>
    </w:p>
    <w:p w:rsidR="00CA0F52" w:rsidRDefault="00CA0F52">
      <w:pPr>
        <w:rPr>
          <w:rFonts w:cs="Arial"/>
          <w:color w:val="000000"/>
        </w:rPr>
      </w:pPr>
    </w:p>
    <w:p w:rsidR="00CA0F52" w:rsidRDefault="00CA0F52">
      <w:pPr>
        <w:ind w:left="540"/>
        <w:rPr>
          <w:rFonts w:cs="Arial"/>
          <w:color w:val="000000"/>
        </w:rPr>
      </w:pPr>
      <w:r>
        <w:rPr>
          <w:rFonts w:cs="Arial"/>
          <w:color w:val="000000"/>
        </w:rPr>
        <w:t>Rule R55(b) limits the gross floor area of NON RETAIL COMMERCIAL USE in the Bruce office precinct to 2,000m</w:t>
      </w:r>
      <w:r>
        <w:rPr>
          <w:rFonts w:cs="Arial"/>
          <w:color w:val="000000"/>
          <w:vertAlign w:val="superscript"/>
        </w:rPr>
        <w:t>2</w:t>
      </w:r>
      <w:r>
        <w:rPr>
          <w:rFonts w:cs="Arial"/>
          <w:color w:val="000000"/>
        </w:rPr>
        <w:t xml:space="preserve"> per lease. This limitation is inconsistent with the requirements of Part 3 of the National Capital Plan as the Bruce office precinct is classified as a ‘Defined Office Employment Centre’. This rule has been removed to ensure consistency with the National Capital Plan.  </w:t>
      </w:r>
    </w:p>
    <w:p w:rsidR="00CA0F52" w:rsidRDefault="00CA0F52">
      <w:pPr>
        <w:rPr>
          <w:rFonts w:cs="Arial"/>
        </w:rPr>
      </w:pPr>
    </w:p>
    <w:p w:rsidR="00CA0F52" w:rsidRDefault="00CA0F52">
      <w:pPr>
        <w:numPr>
          <w:ilvl w:val="0"/>
          <w:numId w:val="17"/>
        </w:numPr>
        <w:rPr>
          <w:rFonts w:cs="Arial"/>
          <w:b/>
        </w:rPr>
      </w:pPr>
      <w:r>
        <w:rPr>
          <w:rFonts w:cs="Arial"/>
          <w:b/>
          <w:color w:val="000000"/>
        </w:rPr>
        <w:t>Correction to wording of Part A of g</w:t>
      </w:r>
      <w:r>
        <w:rPr>
          <w:rFonts w:cs="Arial"/>
          <w:b/>
        </w:rPr>
        <w:t>roup centres development code (spelling mistake) (item 2)</w:t>
      </w:r>
    </w:p>
    <w:p w:rsidR="00CA0F52" w:rsidRDefault="00CA0F52">
      <w:pPr>
        <w:rPr>
          <w:rFonts w:cs="Arial"/>
        </w:rPr>
      </w:pPr>
    </w:p>
    <w:p w:rsidR="00CA0F52" w:rsidRDefault="00CA0F52">
      <w:pPr>
        <w:ind w:left="540"/>
        <w:rPr>
          <w:rFonts w:cs="Arial"/>
        </w:rPr>
      </w:pPr>
      <w:r>
        <w:rPr>
          <w:rFonts w:cs="Arial"/>
        </w:rPr>
        <w:t xml:space="preserve">Objective </w:t>
      </w:r>
      <w:r>
        <w:rPr>
          <w:rFonts w:cs="Arial"/>
          <w:i/>
        </w:rPr>
        <w:t>a</w:t>
      </w:r>
      <w:r>
        <w:rPr>
          <w:rFonts w:cs="Arial"/>
        </w:rPr>
        <w:t xml:space="preserve"> of the Group centres development code, Part A – Group centres – Overview, commences with the words ‘Provide or’. The correct wording is ‘Provide </w:t>
      </w:r>
      <w:r>
        <w:rPr>
          <w:rFonts w:cs="Arial"/>
          <w:u w:val="single"/>
        </w:rPr>
        <w:t>f</w:t>
      </w:r>
      <w:r>
        <w:rPr>
          <w:rFonts w:cs="Arial"/>
        </w:rPr>
        <w:t xml:space="preserve">or’. </w:t>
      </w:r>
    </w:p>
    <w:p w:rsidR="00CA0F52" w:rsidRDefault="00CA0F52">
      <w:pPr>
        <w:rPr>
          <w:rFonts w:cs="Arial"/>
        </w:rPr>
      </w:pPr>
    </w:p>
    <w:p w:rsidR="00CA0F52" w:rsidRDefault="00CA0F52">
      <w:pPr>
        <w:numPr>
          <w:ilvl w:val="0"/>
          <w:numId w:val="17"/>
        </w:numPr>
        <w:rPr>
          <w:rFonts w:cs="Arial"/>
          <w:b/>
        </w:rPr>
      </w:pPr>
      <w:r>
        <w:rPr>
          <w:rFonts w:cs="Arial"/>
          <w:b/>
          <w:color w:val="000000"/>
        </w:rPr>
        <w:t xml:space="preserve">Remove reference to ‘office’ as additional development in industrial mixed use zone development table </w:t>
      </w:r>
      <w:r>
        <w:rPr>
          <w:rFonts w:cs="Arial"/>
          <w:b/>
        </w:rPr>
        <w:t>(item 6)</w:t>
      </w:r>
    </w:p>
    <w:p w:rsidR="00CA0F52" w:rsidRDefault="00CA0F52">
      <w:pPr>
        <w:pStyle w:val="Heading1"/>
        <w:ind w:firstLine="0"/>
        <w:rPr>
          <w:color w:val="0066CC"/>
        </w:rPr>
      </w:pPr>
    </w:p>
    <w:p w:rsidR="00CA0F52" w:rsidRDefault="00CA0F52">
      <w:pPr>
        <w:ind w:left="540"/>
        <w:rPr>
          <w:rFonts w:cs="Arial"/>
        </w:rPr>
      </w:pPr>
      <w:r>
        <w:rPr>
          <w:rFonts w:cs="Arial"/>
        </w:rPr>
        <w:t xml:space="preserve">Under the merit assessment track, the following sites are identified as places where the additional use of ‘office’ may occur: Fyshwick section 6 blocks 6, 25, 27, section 7 blocks 6 and 7, and section 39 blocks 6 and 7.  </w:t>
      </w:r>
    </w:p>
    <w:p w:rsidR="00CA0F52" w:rsidRDefault="00CA0F52">
      <w:pPr>
        <w:ind w:left="540"/>
        <w:rPr>
          <w:rFonts w:cs="Arial"/>
        </w:rPr>
      </w:pPr>
    </w:p>
    <w:p w:rsidR="00CA0F52" w:rsidRDefault="00CA0F52">
      <w:pPr>
        <w:ind w:left="540"/>
        <w:rPr>
          <w:rFonts w:cs="Arial"/>
        </w:rPr>
      </w:pPr>
      <w:r>
        <w:rPr>
          <w:rFonts w:cs="Arial"/>
        </w:rPr>
        <w:t>The Territory Plan definitions include ‘office’ within the NON RETAIL COMMERCIAL USE umbrella term which is a merit assessable use within the IZ2 industrial mixed use zone. The reference to ‘office’ as a separate use for the subject blocks is therefore redundant and has been removed from the table.</w:t>
      </w: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numPr>
          <w:ilvl w:val="0"/>
          <w:numId w:val="17"/>
        </w:numPr>
        <w:rPr>
          <w:rFonts w:cs="Arial"/>
          <w:b/>
        </w:rPr>
      </w:pPr>
      <w:r>
        <w:rPr>
          <w:rFonts w:cs="Arial"/>
          <w:b/>
          <w:color w:val="000000"/>
        </w:rPr>
        <w:lastRenderedPageBreak/>
        <w:t xml:space="preserve">Remove reference to ‘road’ as prohibited development in the non urban zones NUZ1 - broadacre zone development table </w:t>
      </w:r>
      <w:r>
        <w:rPr>
          <w:rFonts w:cs="Arial"/>
          <w:b/>
        </w:rPr>
        <w:t>(item 7)</w:t>
      </w:r>
    </w:p>
    <w:p w:rsidR="00CA0F52" w:rsidRDefault="00CA0F52">
      <w:pPr>
        <w:rPr>
          <w:rFonts w:cs="Arial"/>
          <w:b/>
        </w:rPr>
      </w:pPr>
    </w:p>
    <w:p w:rsidR="00CA0F52" w:rsidRDefault="00CA0F52">
      <w:pPr>
        <w:ind w:left="540"/>
        <w:rPr>
          <w:rFonts w:cs="Arial"/>
        </w:rPr>
      </w:pPr>
      <w:r>
        <w:rPr>
          <w:rFonts w:cs="Arial"/>
        </w:rPr>
        <w:t>Under the merit assessment track, ‘road’ is listed as a merit assessable use, however it is listed as a prohibited use in several site specific locations. This was unintended and occurred when the provisions were transferred from the former Territory Plan into the restructured Plan which came into effect on 31 March 2008. ‘Road’ has been removed from the site identifier table for:</w:t>
      </w:r>
    </w:p>
    <w:p w:rsidR="00CA0F52" w:rsidRDefault="00CA0F52">
      <w:pPr>
        <w:numPr>
          <w:ilvl w:val="1"/>
          <w:numId w:val="30"/>
        </w:numPr>
        <w:rPr>
          <w:rFonts w:cs="Arial"/>
        </w:rPr>
      </w:pPr>
      <w:r>
        <w:rPr>
          <w:rFonts w:cs="Arial"/>
        </w:rPr>
        <w:t>Jerrabomberra Blocks 2223, 2100, 2099, 2000 and 2101 (Figure 2)</w:t>
      </w:r>
    </w:p>
    <w:p w:rsidR="00CA0F52" w:rsidRDefault="00CA0F52">
      <w:pPr>
        <w:numPr>
          <w:ilvl w:val="1"/>
          <w:numId w:val="30"/>
        </w:numPr>
        <w:rPr>
          <w:rFonts w:cs="Arial"/>
        </w:rPr>
      </w:pPr>
      <w:r>
        <w:rPr>
          <w:rFonts w:cs="Arial"/>
        </w:rPr>
        <w:t>Pialligo Areas ‘a’ and ‘b’ (Figure 6)</w:t>
      </w:r>
    </w:p>
    <w:p w:rsidR="00CA0F52" w:rsidRDefault="00CA0F52">
      <w:pPr>
        <w:numPr>
          <w:ilvl w:val="1"/>
          <w:numId w:val="30"/>
        </w:numPr>
        <w:rPr>
          <w:rFonts w:cs="Arial"/>
        </w:rPr>
      </w:pPr>
      <w:r>
        <w:rPr>
          <w:rFonts w:cs="Arial"/>
        </w:rPr>
        <w:t>Symonston Area ‘a’ (Figure 7).</w:t>
      </w:r>
    </w:p>
    <w:p w:rsidR="00CA0F52" w:rsidRDefault="00CA0F52">
      <w:pPr>
        <w:rPr>
          <w:rFonts w:cs="Arial"/>
          <w:b/>
        </w:rPr>
      </w:pPr>
    </w:p>
    <w:p w:rsidR="00CA0F52" w:rsidRDefault="00CA0F52">
      <w:pPr>
        <w:numPr>
          <w:ilvl w:val="0"/>
          <w:numId w:val="17"/>
        </w:numPr>
        <w:rPr>
          <w:rFonts w:cs="Arial"/>
          <w:b/>
        </w:rPr>
      </w:pPr>
      <w:r>
        <w:rPr>
          <w:rFonts w:cs="Arial"/>
          <w:b/>
          <w:color w:val="000000"/>
        </w:rPr>
        <w:t xml:space="preserve">Amend references to the </w:t>
      </w:r>
      <w:r>
        <w:rPr>
          <w:rFonts w:cs="Arial"/>
          <w:b/>
          <w:i/>
          <w:color w:val="000000"/>
        </w:rPr>
        <w:t>Liquor Act 2010</w:t>
      </w:r>
      <w:r>
        <w:rPr>
          <w:rFonts w:cs="Arial"/>
          <w:b/>
          <w:color w:val="000000"/>
        </w:rPr>
        <w:t xml:space="preserve"> and the </w:t>
      </w:r>
      <w:r>
        <w:rPr>
          <w:rFonts w:cs="Arial"/>
          <w:b/>
          <w:i/>
          <w:color w:val="000000"/>
        </w:rPr>
        <w:t xml:space="preserve">Children and Young People Act 2008 </w:t>
      </w:r>
      <w:r>
        <w:rPr>
          <w:rFonts w:cs="Arial"/>
          <w:b/>
          <w:color w:val="000000"/>
        </w:rPr>
        <w:t>(item 8)</w:t>
      </w:r>
    </w:p>
    <w:p w:rsidR="00CA0F52" w:rsidRDefault="00CA0F52">
      <w:pPr>
        <w:ind w:left="540"/>
        <w:rPr>
          <w:rFonts w:cs="Arial"/>
        </w:rPr>
      </w:pPr>
    </w:p>
    <w:p w:rsidR="00CA0F52" w:rsidRDefault="00CA0F52">
      <w:pPr>
        <w:ind w:left="540"/>
        <w:rPr>
          <w:rFonts w:cs="Arial"/>
        </w:rPr>
      </w:pPr>
      <w:r>
        <w:rPr>
          <w:rFonts w:cs="Arial"/>
        </w:rPr>
        <w:t xml:space="preserve">These legislative instruments are referred to in the Territory Plan definitions and are updated as follows: The </w:t>
      </w:r>
      <w:r>
        <w:rPr>
          <w:rFonts w:cs="Arial"/>
          <w:i/>
        </w:rPr>
        <w:t xml:space="preserve">Liquor Act 1975 </w:t>
      </w:r>
      <w:r>
        <w:rPr>
          <w:rFonts w:cs="Arial"/>
        </w:rPr>
        <w:t xml:space="preserve">has been replaced by the </w:t>
      </w:r>
      <w:r>
        <w:rPr>
          <w:rFonts w:cs="Arial"/>
          <w:i/>
        </w:rPr>
        <w:t>Liquor Act 2010 w</w:t>
      </w:r>
      <w:r>
        <w:rPr>
          <w:rFonts w:cs="Arial"/>
        </w:rPr>
        <w:t xml:space="preserve">hich came into effect on 1 December 2010, and the </w:t>
      </w:r>
      <w:r>
        <w:rPr>
          <w:rFonts w:cs="Arial"/>
          <w:i/>
        </w:rPr>
        <w:t>Children and Young People Act 2008</w:t>
      </w:r>
      <w:r>
        <w:rPr>
          <w:rFonts w:cs="Arial"/>
        </w:rPr>
        <w:t xml:space="preserve"> which is incorrectly dated 1999.</w:t>
      </w:r>
    </w:p>
    <w:p w:rsidR="00CA0F52" w:rsidRDefault="00CA0F52">
      <w:pPr>
        <w:rPr>
          <w:rFonts w:cs="Arial"/>
          <w:b/>
        </w:rPr>
      </w:pPr>
    </w:p>
    <w:p w:rsidR="00CA0F52" w:rsidRDefault="00CA0F52">
      <w:pPr>
        <w:numPr>
          <w:ilvl w:val="0"/>
          <w:numId w:val="17"/>
        </w:numPr>
        <w:rPr>
          <w:rFonts w:cs="Arial"/>
          <w:b/>
        </w:rPr>
      </w:pPr>
      <w:r>
        <w:rPr>
          <w:rFonts w:cs="Arial"/>
          <w:b/>
        </w:rPr>
        <w:t>Correction to wording in the IZ1 general industrial zone development table, under OTHER CODES, ‘GENERAL CODES’ section (item 5)</w:t>
      </w:r>
    </w:p>
    <w:p w:rsidR="00CA0F52" w:rsidRDefault="00CA0F52">
      <w:pPr>
        <w:rPr>
          <w:rFonts w:cs="Arial"/>
          <w:b/>
        </w:rPr>
      </w:pPr>
    </w:p>
    <w:p w:rsidR="00CA0F52" w:rsidRDefault="00CA0F52">
      <w:pPr>
        <w:ind w:left="540"/>
        <w:rPr>
          <w:rFonts w:cs="Arial"/>
        </w:rPr>
      </w:pPr>
      <w:r>
        <w:rPr>
          <w:rFonts w:cs="Arial"/>
        </w:rPr>
        <w:t>‘Community and Recreation Facilities Location Guidelines’ is incorrectly stated as ‘Location of Community and Recreation Facilities’. Water Ways: Water Sensitive Urban Design is incorrectly stated as ‘Water Sensitive Urban Design’. The titles have been amended accordingly.</w:t>
      </w:r>
    </w:p>
    <w:p w:rsidR="00CA0F52" w:rsidRDefault="00CA0F52">
      <w:pPr>
        <w:ind w:left="540"/>
        <w:rPr>
          <w:rFonts w:cs="Arial"/>
        </w:rPr>
      </w:pPr>
    </w:p>
    <w:p w:rsidR="00CA0F52" w:rsidRDefault="00CA0F52">
      <w:pPr>
        <w:numPr>
          <w:ilvl w:val="0"/>
          <w:numId w:val="17"/>
        </w:numPr>
        <w:rPr>
          <w:rFonts w:cs="Arial"/>
          <w:b/>
        </w:rPr>
      </w:pPr>
      <w:r>
        <w:rPr>
          <w:rFonts w:cs="Arial"/>
          <w:b/>
        </w:rPr>
        <w:t>Correction to rule R47 in town centres development code CZ3 mixed services zone regarding application of maximum building heights (item 3)</w:t>
      </w:r>
    </w:p>
    <w:p w:rsidR="00CA0F52" w:rsidRDefault="00CA0F52">
      <w:pPr>
        <w:rPr>
          <w:rFonts w:cs="Arial"/>
          <w:b/>
        </w:rPr>
      </w:pPr>
    </w:p>
    <w:p w:rsidR="00CA0F52" w:rsidRDefault="00CA0F52">
      <w:pPr>
        <w:ind w:left="540"/>
        <w:rPr>
          <w:rFonts w:cs="Arial"/>
        </w:rPr>
      </w:pPr>
      <w:r>
        <w:rPr>
          <w:rFonts w:cs="Arial"/>
        </w:rPr>
        <w:t>Rule R47 in the town centres development code states that the maximum building height in the CZ3 services zone for Woden is 3 storeys.  The corresponding criterion refers to the area as shown in Figure A10 in the code.  This depicts the areas within the Phillip residential and mixed service area where a greater building height, in accordance with criterion C47 of up to 4 storeys and a 5</w:t>
      </w:r>
      <w:r>
        <w:rPr>
          <w:rFonts w:cs="Arial"/>
          <w:vertAlign w:val="superscript"/>
        </w:rPr>
        <w:t>th</w:t>
      </w:r>
      <w:r>
        <w:rPr>
          <w:rFonts w:cs="Arial"/>
        </w:rPr>
        <w:t xml:space="preserve"> level as attic may be considered.  It is not clear from the rule that the 3 storey mandatory height limit is intended to refer only to those areas shown in Figure A10.  Rule R43 in the code for heights in general in the commercial CZ3 services zone stipulates a maximum building height of 2 storeys.  Under the previous Territory Plan it was evident that the 3 storey height limit only referred to the mixed services area (now called the Phillip residential and mixed service area).  The clear intention of this provision has not been adequately translated into the new Territory Plan and requires correction.  Rule R47 has therefore been revised to include reference to Figure A10 to avoid any confusion and misinterpretation and maintain the policy neutrality intended for the restructured Territory Plan which came into effect on 31 March 2008.  </w:t>
      </w: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hanging="540"/>
        <w:rPr>
          <w:rFonts w:cs="Arial"/>
          <w:b/>
          <w:i/>
          <w:sz w:val="28"/>
          <w:szCs w:val="28"/>
        </w:rPr>
      </w:pPr>
      <w:r>
        <w:rPr>
          <w:rFonts w:cs="Arial"/>
          <w:b/>
          <w:sz w:val="28"/>
          <w:szCs w:val="28"/>
        </w:rPr>
        <w:t>2.2</w:t>
      </w:r>
      <w:r>
        <w:rPr>
          <w:rFonts w:cs="Arial"/>
          <w:b/>
          <w:sz w:val="28"/>
          <w:szCs w:val="28"/>
        </w:rPr>
        <w:tab/>
        <w:t>Statement of compliance with the Planning and Development Act</w:t>
      </w:r>
      <w:r>
        <w:rPr>
          <w:rFonts w:cs="Arial"/>
          <w:b/>
          <w:i/>
          <w:sz w:val="28"/>
          <w:szCs w:val="28"/>
        </w:rPr>
        <w:t>*</w:t>
      </w:r>
    </w:p>
    <w:p w:rsidR="00CA0F52" w:rsidRDefault="00CA0F52">
      <w:pPr>
        <w:ind w:left="540" w:hanging="540"/>
        <w:rPr>
          <w:rFonts w:cs="Arial"/>
          <w:b/>
          <w:sz w:val="26"/>
          <w:szCs w:val="26"/>
        </w:rPr>
      </w:pPr>
    </w:p>
    <w:p w:rsidR="00CA0F52" w:rsidRDefault="00CA0F52">
      <w:pPr>
        <w:ind w:left="540" w:hanging="540"/>
        <w:rPr>
          <w:rFonts w:cs="Arial"/>
          <w:i/>
          <w:sz w:val="18"/>
          <w:szCs w:val="18"/>
        </w:rPr>
      </w:pPr>
      <w:r>
        <w:rPr>
          <w:rFonts w:cs="Arial"/>
          <w:sz w:val="18"/>
          <w:szCs w:val="18"/>
        </w:rPr>
        <w:t>*</w:t>
      </w:r>
      <w:r>
        <w:rPr>
          <w:rFonts w:cs="Arial"/>
          <w:i/>
          <w:sz w:val="18"/>
          <w:szCs w:val="18"/>
        </w:rPr>
        <w:t xml:space="preserve"> Planning and Development Act 2007</w:t>
      </w:r>
    </w:p>
    <w:p w:rsidR="00CA0F52" w:rsidRDefault="00CA0F52">
      <w:pPr>
        <w:rPr>
          <w:rFonts w:cs="Arial"/>
        </w:rPr>
      </w:pPr>
    </w:p>
    <w:p w:rsidR="00CA0F52" w:rsidRDefault="00CA0F52">
      <w:pPr>
        <w:rPr>
          <w:rFonts w:cs="Arial"/>
          <w:b/>
          <w:color w:val="000000"/>
        </w:rPr>
      </w:pPr>
      <w:r>
        <w:rPr>
          <w:rFonts w:cs="Arial"/>
          <w:b/>
          <w:color w:val="000000"/>
        </w:rPr>
        <w:t>A</w:t>
      </w:r>
      <w:r>
        <w:rPr>
          <w:rFonts w:cs="Arial"/>
          <w:b/>
          <w:color w:val="000000"/>
        </w:rPr>
        <w:tab/>
        <w:t xml:space="preserve">Removal of urban open space (Pe) overlay from City section 19 </w:t>
      </w:r>
    </w:p>
    <w:p w:rsidR="00CA0F52" w:rsidRDefault="00CA0F52">
      <w:pPr>
        <w:ind w:firstLine="720"/>
        <w:rPr>
          <w:rFonts w:cs="Arial"/>
          <w:b/>
          <w:color w:val="000000"/>
        </w:rPr>
      </w:pPr>
      <w:r>
        <w:rPr>
          <w:rFonts w:cs="Arial"/>
          <w:b/>
          <w:color w:val="000000"/>
        </w:rPr>
        <w:t xml:space="preserve">block 21 and part blocks 11 and 21 to bring into line with the </w:t>
      </w:r>
    </w:p>
    <w:p w:rsidR="00CA0F52" w:rsidRDefault="00CA0F52">
      <w:pPr>
        <w:ind w:left="720"/>
        <w:rPr>
          <w:rFonts w:cs="Arial"/>
          <w:b/>
          <w:color w:val="000000"/>
        </w:rPr>
      </w:pPr>
      <w:r>
        <w:rPr>
          <w:rFonts w:cs="Arial"/>
          <w:b/>
          <w:color w:val="000000"/>
        </w:rPr>
        <w:t>National Capital Plan</w:t>
      </w:r>
    </w:p>
    <w:p w:rsidR="00CA0F52" w:rsidRDefault="00CA0F52">
      <w:pPr>
        <w:ind w:left="720"/>
        <w:rPr>
          <w:rFonts w:cs="Arial"/>
          <w:b/>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40"/>
      </w:tblGrid>
      <w:tr w:rsidR="00CA0F52" w:rsidRPr="00CA0F52" w:rsidTr="00CA0F52">
        <w:tc>
          <w:tcPr>
            <w:tcW w:w="2088" w:type="dxa"/>
          </w:tcPr>
          <w:p w:rsidR="00CA0F52" w:rsidRPr="00CA0F52" w:rsidRDefault="00CA0F52">
            <w:pPr>
              <w:rPr>
                <w:rFonts w:cs="Arial"/>
                <w:b/>
              </w:rPr>
            </w:pPr>
            <w:r w:rsidRPr="00CA0F52">
              <w:rPr>
                <w:rFonts w:cs="Arial"/>
                <w:b/>
              </w:rPr>
              <w:t>Section of Act</w:t>
            </w:r>
          </w:p>
        </w:tc>
        <w:tc>
          <w:tcPr>
            <w:tcW w:w="6440" w:type="dxa"/>
          </w:tcPr>
          <w:p w:rsidR="00CA0F52" w:rsidRPr="00CA0F52" w:rsidRDefault="00CA0F52">
            <w:pPr>
              <w:rPr>
                <w:rFonts w:cs="Arial"/>
                <w:b/>
              </w:rPr>
            </w:pPr>
            <w:r w:rsidRPr="00CA0F52">
              <w:rPr>
                <w:rFonts w:cs="Arial"/>
                <w:b/>
              </w:rPr>
              <w:t>Statement of compliance with Act</w:t>
            </w:r>
          </w:p>
        </w:tc>
      </w:tr>
      <w:tr w:rsidR="00CA0F52" w:rsidRPr="00CA0F52" w:rsidTr="00CA0F52">
        <w:tc>
          <w:tcPr>
            <w:tcW w:w="2088" w:type="dxa"/>
          </w:tcPr>
          <w:p w:rsidR="00CA0F52" w:rsidRPr="00CA0F52" w:rsidRDefault="00CA0F52">
            <w:pPr>
              <w:rPr>
                <w:rFonts w:cs="Arial"/>
              </w:rPr>
            </w:pPr>
            <w:r w:rsidRPr="00CA0F52">
              <w:rPr>
                <w:rFonts w:cs="Arial"/>
              </w:rPr>
              <w:t>s87(e) a variation required to bring the Territory Plan into line with the National Capital Plan</w:t>
            </w:r>
          </w:p>
        </w:tc>
        <w:tc>
          <w:tcPr>
            <w:tcW w:w="6440" w:type="dxa"/>
          </w:tcPr>
          <w:p w:rsidR="00CA0F52" w:rsidRPr="00CA0F52" w:rsidRDefault="00CA0F52">
            <w:pPr>
              <w:rPr>
                <w:rFonts w:cs="Arial"/>
              </w:rPr>
            </w:pPr>
            <w:r w:rsidRPr="00CA0F52">
              <w:rPr>
                <w:rFonts w:cs="Arial"/>
              </w:rPr>
              <w:t>The proposed change is in accordance with the National Capital Plan.</w:t>
            </w:r>
          </w:p>
        </w:tc>
      </w:tr>
    </w:tbl>
    <w:p w:rsidR="00CA0F52" w:rsidRDefault="00CA0F52">
      <w:pPr>
        <w:rPr>
          <w:rFonts w:cs="Arial"/>
        </w:rPr>
      </w:pPr>
      <w:r>
        <w:rPr>
          <w:rFonts w:cs="Arial"/>
        </w:rPr>
        <w:tab/>
      </w:r>
    </w:p>
    <w:p w:rsidR="00CA0F52" w:rsidRDefault="00CA0F52">
      <w:pPr>
        <w:rPr>
          <w:rFonts w:cs="Arial"/>
          <w:b/>
          <w:color w:val="000000"/>
        </w:rPr>
      </w:pPr>
      <w:r>
        <w:rPr>
          <w:rFonts w:cs="Arial"/>
          <w:b/>
          <w:color w:val="000000"/>
        </w:rPr>
        <w:t>B</w:t>
      </w:r>
      <w:r>
        <w:rPr>
          <w:rFonts w:cs="Arial"/>
          <w:b/>
          <w:color w:val="000000"/>
        </w:rPr>
        <w:tab/>
        <w:t xml:space="preserve">Correction to Rule R55(b) in CZ5 mixed use zone development </w:t>
      </w:r>
    </w:p>
    <w:p w:rsidR="00CA0F52" w:rsidRDefault="00CA0F52">
      <w:pPr>
        <w:ind w:firstLine="720"/>
        <w:rPr>
          <w:rFonts w:cs="Arial"/>
        </w:rPr>
      </w:pPr>
      <w:r>
        <w:rPr>
          <w:rFonts w:cs="Arial"/>
          <w:b/>
          <w:color w:val="000000"/>
        </w:rPr>
        <w:t>code</w:t>
      </w:r>
    </w:p>
    <w:p w:rsidR="00CA0F52" w:rsidRDefault="00CA0F5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40"/>
      </w:tblGrid>
      <w:tr w:rsidR="00CA0F52" w:rsidRPr="00CA0F52" w:rsidTr="00CA0F52">
        <w:tc>
          <w:tcPr>
            <w:tcW w:w="2088" w:type="dxa"/>
          </w:tcPr>
          <w:p w:rsidR="00CA0F52" w:rsidRPr="00CA0F52" w:rsidRDefault="00CA0F52">
            <w:pPr>
              <w:rPr>
                <w:rFonts w:cs="Arial"/>
                <w:b/>
              </w:rPr>
            </w:pPr>
            <w:r w:rsidRPr="00CA0F52">
              <w:rPr>
                <w:rFonts w:cs="Arial"/>
                <w:b/>
              </w:rPr>
              <w:t>Section of Act</w:t>
            </w:r>
          </w:p>
        </w:tc>
        <w:tc>
          <w:tcPr>
            <w:tcW w:w="6440" w:type="dxa"/>
          </w:tcPr>
          <w:p w:rsidR="00CA0F52" w:rsidRPr="00CA0F52" w:rsidRDefault="00CA0F52">
            <w:pPr>
              <w:rPr>
                <w:rFonts w:cs="Arial"/>
                <w:b/>
              </w:rPr>
            </w:pPr>
            <w:r w:rsidRPr="00CA0F52">
              <w:rPr>
                <w:rFonts w:cs="Arial"/>
                <w:b/>
              </w:rPr>
              <w:t>Statement of compliance with Act</w:t>
            </w:r>
          </w:p>
        </w:tc>
      </w:tr>
      <w:tr w:rsidR="00CA0F52" w:rsidRPr="00CA0F52" w:rsidTr="00CA0F52">
        <w:tc>
          <w:tcPr>
            <w:tcW w:w="2088" w:type="dxa"/>
          </w:tcPr>
          <w:p w:rsidR="00CA0F52" w:rsidRPr="00CA0F52" w:rsidRDefault="00CA0F52">
            <w:pPr>
              <w:rPr>
                <w:rFonts w:cs="Arial"/>
              </w:rPr>
            </w:pPr>
            <w:r w:rsidRPr="00CA0F52">
              <w:rPr>
                <w:rFonts w:cs="Arial"/>
              </w:rPr>
              <w:t>s87(e) a variation required to bring the Territory Plan into line with the National Capital Plan</w:t>
            </w:r>
          </w:p>
        </w:tc>
        <w:tc>
          <w:tcPr>
            <w:tcW w:w="6440" w:type="dxa"/>
          </w:tcPr>
          <w:p w:rsidR="00CA0F52" w:rsidRPr="00CA0F52" w:rsidRDefault="00CA0F52">
            <w:pPr>
              <w:rPr>
                <w:rFonts w:cs="Arial"/>
              </w:rPr>
            </w:pPr>
            <w:r w:rsidRPr="00CA0F52">
              <w:rPr>
                <w:rFonts w:cs="Arial"/>
              </w:rPr>
              <w:t>The proposed amendment is in accordance with Part 3 of the National Capital Plan.</w:t>
            </w:r>
          </w:p>
        </w:tc>
      </w:tr>
    </w:tbl>
    <w:p w:rsidR="00CA0F52" w:rsidRDefault="00CA0F52">
      <w:pPr>
        <w:rPr>
          <w:rFonts w:cs="Arial"/>
        </w:rPr>
      </w:pPr>
    </w:p>
    <w:p w:rsidR="00CA0F52" w:rsidRDefault="00CA0F52">
      <w:pPr>
        <w:rPr>
          <w:rFonts w:cs="Arial"/>
          <w:b/>
        </w:rPr>
      </w:pPr>
      <w:r>
        <w:rPr>
          <w:rFonts w:cs="Arial"/>
          <w:b/>
        </w:rPr>
        <w:t>C</w:t>
      </w:r>
      <w:r>
        <w:rPr>
          <w:rFonts w:cs="Arial"/>
          <w:b/>
        </w:rPr>
        <w:tab/>
      </w:r>
      <w:r>
        <w:rPr>
          <w:rFonts w:cs="Arial"/>
          <w:b/>
          <w:color w:val="000000"/>
        </w:rPr>
        <w:t>Correction to wording of Part A of g</w:t>
      </w:r>
      <w:r>
        <w:rPr>
          <w:rFonts w:cs="Arial"/>
          <w:b/>
        </w:rPr>
        <w:t xml:space="preserve">roup centres development </w:t>
      </w:r>
    </w:p>
    <w:p w:rsidR="00CA0F52" w:rsidRDefault="00CA0F52">
      <w:pPr>
        <w:ind w:firstLine="720"/>
        <w:rPr>
          <w:rFonts w:cs="Arial"/>
          <w:b/>
        </w:rPr>
      </w:pPr>
      <w:r>
        <w:rPr>
          <w:rFonts w:cs="Arial"/>
          <w:b/>
        </w:rPr>
        <w:t>code (spelling mistake)</w:t>
      </w:r>
    </w:p>
    <w:p w:rsidR="00CA0F52" w:rsidRDefault="00CA0F52">
      <w:pPr>
        <w:ind w:firstLine="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40"/>
      </w:tblGrid>
      <w:tr w:rsidR="00CA0F52" w:rsidRPr="00CA0F52" w:rsidTr="00CA0F52">
        <w:tc>
          <w:tcPr>
            <w:tcW w:w="2088" w:type="dxa"/>
          </w:tcPr>
          <w:p w:rsidR="00CA0F52" w:rsidRPr="00CA0F52" w:rsidRDefault="00CA0F52">
            <w:pPr>
              <w:rPr>
                <w:rFonts w:cs="Arial"/>
                <w:b/>
              </w:rPr>
            </w:pPr>
            <w:r w:rsidRPr="00CA0F52">
              <w:rPr>
                <w:rFonts w:cs="Arial"/>
                <w:b/>
              </w:rPr>
              <w:t>Section of Act</w:t>
            </w:r>
          </w:p>
        </w:tc>
        <w:tc>
          <w:tcPr>
            <w:tcW w:w="6440" w:type="dxa"/>
          </w:tcPr>
          <w:p w:rsidR="00CA0F52" w:rsidRPr="00CA0F52" w:rsidRDefault="00CA0F52">
            <w:pPr>
              <w:rPr>
                <w:rFonts w:cs="Arial"/>
                <w:b/>
              </w:rPr>
            </w:pPr>
            <w:r w:rsidRPr="00CA0F52">
              <w:rPr>
                <w:rFonts w:cs="Arial"/>
                <w:b/>
              </w:rPr>
              <w:t>Statement of compliance with Act</w:t>
            </w:r>
          </w:p>
        </w:tc>
      </w:tr>
      <w:tr w:rsidR="00CA0F52" w:rsidRPr="00CA0F52" w:rsidTr="00CA0F52">
        <w:tc>
          <w:tcPr>
            <w:tcW w:w="2088" w:type="dxa"/>
          </w:tcPr>
          <w:p w:rsidR="00CA0F52" w:rsidRPr="00CA0F52" w:rsidRDefault="00CA0F52">
            <w:pPr>
              <w:rPr>
                <w:rFonts w:cs="Arial"/>
              </w:rPr>
            </w:pPr>
            <w:r w:rsidRPr="00CA0F52">
              <w:rPr>
                <w:rFonts w:cs="Arial"/>
              </w:rPr>
              <w:t>s87(a) a variation that -</w:t>
            </w:r>
          </w:p>
        </w:tc>
        <w:tc>
          <w:tcPr>
            <w:tcW w:w="6440" w:type="dxa"/>
          </w:tcPr>
          <w:p w:rsidR="00CA0F52" w:rsidRPr="00CA0F52" w:rsidRDefault="00CA0F52">
            <w:pPr>
              <w:rPr>
                <w:rFonts w:cs="Arial"/>
                <w:b/>
              </w:rPr>
            </w:pPr>
          </w:p>
        </w:tc>
      </w:tr>
      <w:tr w:rsidR="00CA0F52" w:rsidRPr="00CA0F52" w:rsidTr="00CA0F52">
        <w:tc>
          <w:tcPr>
            <w:tcW w:w="2088" w:type="dxa"/>
          </w:tcPr>
          <w:p w:rsidR="00CA0F52" w:rsidRPr="00CA0F52" w:rsidRDefault="00CA0F52">
            <w:pPr>
              <w:rPr>
                <w:rFonts w:cs="Arial"/>
              </w:rPr>
            </w:pPr>
            <w:r w:rsidRPr="00CA0F52">
              <w:rPr>
                <w:szCs w:val="24"/>
              </w:rPr>
              <w:t>(i) would not adversely affect anyone’s rights if approved; and</w:t>
            </w:r>
          </w:p>
        </w:tc>
        <w:tc>
          <w:tcPr>
            <w:tcW w:w="6440" w:type="dxa"/>
          </w:tcPr>
          <w:p w:rsidR="00CA0F52" w:rsidRPr="00CA0F52" w:rsidRDefault="00CA0F52">
            <w:pPr>
              <w:rPr>
                <w:rFonts w:cs="Arial"/>
              </w:rPr>
            </w:pPr>
            <w:r w:rsidRPr="00CA0F52">
              <w:rPr>
                <w:rFonts w:cs="Arial"/>
              </w:rPr>
              <w:t>The proposed amendment will not adversely affect anyone’s rights.</w:t>
            </w:r>
          </w:p>
        </w:tc>
      </w:tr>
      <w:tr w:rsidR="00CA0F52" w:rsidRPr="00CA0F52" w:rsidTr="00CA0F52">
        <w:tc>
          <w:tcPr>
            <w:tcW w:w="2088" w:type="dxa"/>
          </w:tcPr>
          <w:p w:rsidR="00CA0F52" w:rsidRPr="00CA0F52" w:rsidRDefault="00CA0F52">
            <w:pPr>
              <w:rPr>
                <w:rFonts w:cs="Arial"/>
              </w:rPr>
            </w:pPr>
            <w:r w:rsidRPr="00CA0F52">
              <w:rPr>
                <w:rFonts w:cs="Arial"/>
              </w:rPr>
              <w:t xml:space="preserve">(ii) </w:t>
            </w:r>
            <w:r w:rsidRPr="00CA0F52">
              <w:rPr>
                <w:szCs w:val="24"/>
              </w:rPr>
              <w:t>has as its only object the correction of a formal error in the plan</w:t>
            </w:r>
          </w:p>
        </w:tc>
        <w:tc>
          <w:tcPr>
            <w:tcW w:w="6440" w:type="dxa"/>
          </w:tcPr>
          <w:p w:rsidR="00CA0F52" w:rsidRPr="00CA0F52" w:rsidRDefault="00CA0F52">
            <w:pPr>
              <w:rPr>
                <w:rFonts w:cs="Arial"/>
              </w:rPr>
            </w:pPr>
            <w:r w:rsidRPr="00CA0F52">
              <w:rPr>
                <w:rFonts w:cs="Arial"/>
              </w:rPr>
              <w:t>The amendment corrects a spelling mistake.</w:t>
            </w:r>
          </w:p>
        </w:tc>
      </w:tr>
    </w:tbl>
    <w:p w:rsidR="00CA0F52" w:rsidRDefault="00CA0F52">
      <w:pPr>
        <w:rPr>
          <w:rFonts w:cs="Arial"/>
          <w:b/>
        </w:rPr>
      </w:pPr>
    </w:p>
    <w:p w:rsidR="00CA0F52" w:rsidRDefault="00CA0F52">
      <w:pPr>
        <w:rPr>
          <w:rFonts w:cs="Arial"/>
          <w:b/>
        </w:rPr>
      </w:pPr>
    </w:p>
    <w:p w:rsidR="00CA0F52" w:rsidRDefault="00CA0F52">
      <w:pPr>
        <w:rPr>
          <w:rFonts w:cs="Arial"/>
          <w:b/>
        </w:rPr>
      </w:pPr>
    </w:p>
    <w:p w:rsidR="00CA0F52" w:rsidRDefault="00CA0F52">
      <w:pPr>
        <w:rPr>
          <w:rFonts w:cs="Arial"/>
          <w:b/>
        </w:rPr>
      </w:pPr>
    </w:p>
    <w:p w:rsidR="00CA0F52" w:rsidRDefault="00CA0F52">
      <w:pPr>
        <w:rPr>
          <w:rFonts w:cs="Arial"/>
          <w:b/>
        </w:rPr>
      </w:pPr>
    </w:p>
    <w:p w:rsidR="00CA0F52" w:rsidRDefault="00CA0F52">
      <w:pPr>
        <w:rPr>
          <w:rFonts w:cs="Arial"/>
          <w:b/>
        </w:rPr>
      </w:pPr>
    </w:p>
    <w:p w:rsidR="00CA0F52" w:rsidRDefault="00CA0F52">
      <w:pPr>
        <w:rPr>
          <w:rFonts w:cs="Arial"/>
          <w:b/>
        </w:rPr>
      </w:pPr>
    </w:p>
    <w:p w:rsidR="00CA0F52" w:rsidRDefault="00CA0F52">
      <w:pPr>
        <w:rPr>
          <w:rFonts w:cs="Arial"/>
          <w:b/>
          <w:color w:val="000000"/>
        </w:rPr>
      </w:pPr>
      <w:r>
        <w:rPr>
          <w:rFonts w:cs="Arial"/>
          <w:b/>
        </w:rPr>
        <w:t>D</w:t>
      </w:r>
      <w:r>
        <w:rPr>
          <w:rFonts w:cs="Arial"/>
          <w:b/>
        </w:rPr>
        <w:tab/>
      </w:r>
      <w:r>
        <w:rPr>
          <w:rFonts w:cs="Arial"/>
          <w:b/>
          <w:color w:val="000000"/>
        </w:rPr>
        <w:t xml:space="preserve">Remove reference to ‘office’ as additional development in </w:t>
      </w:r>
    </w:p>
    <w:p w:rsidR="00CA0F52" w:rsidRDefault="00CA0F52">
      <w:pPr>
        <w:rPr>
          <w:rFonts w:cs="Arial"/>
          <w:b/>
          <w:color w:val="000000"/>
        </w:rPr>
      </w:pPr>
      <w:r>
        <w:rPr>
          <w:rFonts w:cs="Arial"/>
          <w:b/>
          <w:color w:val="000000"/>
        </w:rPr>
        <w:tab/>
        <w:t>industrial mixed use zone development table</w:t>
      </w:r>
    </w:p>
    <w:p w:rsidR="00CA0F52" w:rsidRDefault="00CA0F52">
      <w:pPr>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40"/>
      </w:tblGrid>
      <w:tr w:rsidR="00CA0F52" w:rsidRPr="00CA0F52" w:rsidTr="00CA0F52">
        <w:tc>
          <w:tcPr>
            <w:tcW w:w="2088" w:type="dxa"/>
          </w:tcPr>
          <w:p w:rsidR="00CA0F52" w:rsidRPr="00CA0F52" w:rsidRDefault="00CA0F52">
            <w:pPr>
              <w:rPr>
                <w:rFonts w:cs="Arial"/>
                <w:b/>
              </w:rPr>
            </w:pPr>
            <w:r w:rsidRPr="00CA0F52">
              <w:rPr>
                <w:rFonts w:cs="Arial"/>
                <w:b/>
              </w:rPr>
              <w:t>Section of Act</w:t>
            </w:r>
          </w:p>
        </w:tc>
        <w:tc>
          <w:tcPr>
            <w:tcW w:w="6440" w:type="dxa"/>
          </w:tcPr>
          <w:p w:rsidR="00CA0F52" w:rsidRPr="00CA0F52" w:rsidRDefault="00CA0F52">
            <w:pPr>
              <w:rPr>
                <w:rFonts w:cs="Arial"/>
                <w:b/>
              </w:rPr>
            </w:pPr>
            <w:r w:rsidRPr="00CA0F52">
              <w:rPr>
                <w:rFonts w:cs="Arial"/>
                <w:b/>
              </w:rPr>
              <w:t>Statement of compliance with Act</w:t>
            </w:r>
          </w:p>
        </w:tc>
      </w:tr>
      <w:tr w:rsidR="00CA0F52" w:rsidRPr="00CA0F52" w:rsidTr="00CA0F52">
        <w:tc>
          <w:tcPr>
            <w:tcW w:w="2088" w:type="dxa"/>
          </w:tcPr>
          <w:p w:rsidR="00CA0F52" w:rsidRPr="00CA0F52" w:rsidRDefault="00CA0F52">
            <w:pPr>
              <w:rPr>
                <w:rFonts w:cs="Arial"/>
              </w:rPr>
            </w:pPr>
            <w:r w:rsidRPr="00CA0F52">
              <w:rPr>
                <w:rFonts w:cs="Arial"/>
              </w:rPr>
              <w:t>s87(f) a variation to omit something that is obsolete or redundant in the Territory Plan</w:t>
            </w:r>
          </w:p>
        </w:tc>
        <w:tc>
          <w:tcPr>
            <w:tcW w:w="6440" w:type="dxa"/>
          </w:tcPr>
          <w:p w:rsidR="00CA0F52" w:rsidRPr="00CA0F52" w:rsidRDefault="00CA0F52">
            <w:pPr>
              <w:rPr>
                <w:rFonts w:cs="Arial"/>
                <w:b/>
              </w:rPr>
            </w:pPr>
            <w:r w:rsidRPr="00CA0F52">
              <w:rPr>
                <w:rFonts w:cs="Arial"/>
              </w:rPr>
              <w:t>The Territory Plan definitions include ‘office’ within the NON RETAIL COMMERCIAL USE umbrella term which is a permissible use within the IZ2 zones and therefore references to ‘office’ as a separate use is redundant.</w:t>
            </w:r>
          </w:p>
        </w:tc>
      </w:tr>
    </w:tbl>
    <w:p w:rsidR="00CA0F52" w:rsidRDefault="00CA0F52">
      <w:pPr>
        <w:rPr>
          <w:rFonts w:cs="Arial"/>
        </w:rPr>
      </w:pPr>
    </w:p>
    <w:p w:rsidR="00CA0F52" w:rsidRDefault="00CA0F52">
      <w:pPr>
        <w:rPr>
          <w:rFonts w:cs="Arial"/>
          <w:b/>
          <w:color w:val="000000"/>
        </w:rPr>
      </w:pPr>
      <w:r>
        <w:rPr>
          <w:rFonts w:cs="Arial"/>
          <w:b/>
        </w:rPr>
        <w:t>E</w:t>
      </w:r>
      <w:r>
        <w:rPr>
          <w:rFonts w:cs="Arial"/>
        </w:rPr>
        <w:tab/>
      </w:r>
      <w:r>
        <w:rPr>
          <w:rFonts w:cs="Arial"/>
          <w:b/>
          <w:color w:val="000000"/>
        </w:rPr>
        <w:t xml:space="preserve">Remove reference to ‘road’ as prohibited development in </w:t>
      </w:r>
    </w:p>
    <w:p w:rsidR="00CA0F52" w:rsidRDefault="00CA0F52">
      <w:pPr>
        <w:rPr>
          <w:rFonts w:cs="Arial"/>
        </w:rPr>
      </w:pPr>
      <w:r>
        <w:rPr>
          <w:rFonts w:cs="Arial"/>
          <w:b/>
          <w:color w:val="000000"/>
        </w:rPr>
        <w:tab/>
        <w:t>broadacre zone development table</w:t>
      </w:r>
    </w:p>
    <w:p w:rsidR="00CA0F52" w:rsidRDefault="00CA0F52">
      <w:pPr>
        <w:ind w:left="54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40"/>
      </w:tblGrid>
      <w:tr w:rsidR="00CA0F52" w:rsidRPr="00CA0F52" w:rsidTr="00CA0F52">
        <w:tc>
          <w:tcPr>
            <w:tcW w:w="2088" w:type="dxa"/>
          </w:tcPr>
          <w:p w:rsidR="00CA0F52" w:rsidRPr="00CA0F52" w:rsidRDefault="00CA0F52">
            <w:pPr>
              <w:rPr>
                <w:rFonts w:cs="Arial"/>
                <w:b/>
              </w:rPr>
            </w:pPr>
            <w:r w:rsidRPr="00CA0F52">
              <w:rPr>
                <w:rFonts w:cs="Arial"/>
                <w:b/>
              </w:rPr>
              <w:t>Section of Act</w:t>
            </w:r>
          </w:p>
        </w:tc>
        <w:tc>
          <w:tcPr>
            <w:tcW w:w="6440" w:type="dxa"/>
          </w:tcPr>
          <w:p w:rsidR="00CA0F52" w:rsidRPr="00CA0F52" w:rsidRDefault="00CA0F52">
            <w:pPr>
              <w:rPr>
                <w:rFonts w:cs="Arial"/>
                <w:b/>
              </w:rPr>
            </w:pPr>
            <w:r w:rsidRPr="00CA0F52">
              <w:rPr>
                <w:rFonts w:cs="Arial"/>
                <w:b/>
              </w:rPr>
              <w:t>Statement of compliance with Act</w:t>
            </w:r>
          </w:p>
        </w:tc>
      </w:tr>
      <w:tr w:rsidR="00CA0F52" w:rsidRPr="00CA0F52" w:rsidTr="00CA0F52">
        <w:tc>
          <w:tcPr>
            <w:tcW w:w="2088" w:type="dxa"/>
          </w:tcPr>
          <w:p w:rsidR="00CA0F52" w:rsidRPr="00CA0F52" w:rsidRDefault="00CA0F52">
            <w:pPr>
              <w:rPr>
                <w:rFonts w:cs="Arial"/>
              </w:rPr>
            </w:pPr>
            <w:r w:rsidRPr="00CA0F52">
              <w:rPr>
                <w:rFonts w:cs="Arial"/>
              </w:rPr>
              <w:t>s87(a) a variation that -</w:t>
            </w:r>
          </w:p>
        </w:tc>
        <w:tc>
          <w:tcPr>
            <w:tcW w:w="6440" w:type="dxa"/>
          </w:tcPr>
          <w:p w:rsidR="00CA0F52" w:rsidRPr="00CA0F52" w:rsidRDefault="00CA0F52">
            <w:pPr>
              <w:rPr>
                <w:rFonts w:cs="Arial"/>
                <w:b/>
              </w:rPr>
            </w:pPr>
          </w:p>
        </w:tc>
      </w:tr>
      <w:tr w:rsidR="00CA0F52" w:rsidRPr="00CA0F52" w:rsidTr="00CA0F52">
        <w:tc>
          <w:tcPr>
            <w:tcW w:w="2088" w:type="dxa"/>
          </w:tcPr>
          <w:p w:rsidR="00CA0F52" w:rsidRPr="00CA0F52" w:rsidRDefault="00CA0F52">
            <w:pPr>
              <w:rPr>
                <w:rFonts w:cs="Arial"/>
              </w:rPr>
            </w:pPr>
            <w:r w:rsidRPr="00CA0F52">
              <w:rPr>
                <w:szCs w:val="24"/>
              </w:rPr>
              <w:t>(i) would not adversely affect anyone’s rights if approved; and</w:t>
            </w:r>
          </w:p>
        </w:tc>
        <w:tc>
          <w:tcPr>
            <w:tcW w:w="6440" w:type="dxa"/>
          </w:tcPr>
          <w:p w:rsidR="00CA0F52" w:rsidRPr="00CA0F52" w:rsidRDefault="00CA0F52">
            <w:pPr>
              <w:rPr>
                <w:rFonts w:cs="Arial"/>
              </w:rPr>
            </w:pPr>
            <w:r w:rsidRPr="00CA0F52">
              <w:rPr>
                <w:rFonts w:cs="Arial"/>
              </w:rPr>
              <w:t>The proposed amendment will not adversely affect anyone’s rights.</w:t>
            </w:r>
          </w:p>
          <w:p w:rsidR="00CA0F52" w:rsidRPr="00CA0F52" w:rsidRDefault="00CA0F52">
            <w:pPr>
              <w:rPr>
                <w:rFonts w:cs="Arial"/>
              </w:rPr>
            </w:pPr>
          </w:p>
        </w:tc>
      </w:tr>
      <w:tr w:rsidR="00CA0F52" w:rsidRPr="00CA0F52" w:rsidTr="00CA0F52">
        <w:tc>
          <w:tcPr>
            <w:tcW w:w="2088" w:type="dxa"/>
          </w:tcPr>
          <w:p w:rsidR="00CA0F52" w:rsidRPr="00CA0F52" w:rsidRDefault="00CA0F52">
            <w:pPr>
              <w:rPr>
                <w:rFonts w:cs="Arial"/>
              </w:rPr>
            </w:pPr>
            <w:r w:rsidRPr="00CA0F52">
              <w:rPr>
                <w:rFonts w:cs="Arial"/>
              </w:rPr>
              <w:t xml:space="preserve">(ii) </w:t>
            </w:r>
            <w:r w:rsidRPr="00CA0F52">
              <w:rPr>
                <w:szCs w:val="24"/>
              </w:rPr>
              <w:t>has as its only object the correction of a formal error in the plan</w:t>
            </w:r>
          </w:p>
        </w:tc>
        <w:tc>
          <w:tcPr>
            <w:tcW w:w="6440" w:type="dxa"/>
          </w:tcPr>
          <w:p w:rsidR="00CA0F52" w:rsidRPr="00CA0F52" w:rsidRDefault="00CA0F52">
            <w:pPr>
              <w:rPr>
                <w:rFonts w:cs="Arial"/>
              </w:rPr>
            </w:pPr>
            <w:r w:rsidRPr="00CA0F52">
              <w:rPr>
                <w:rFonts w:cs="Arial"/>
              </w:rPr>
              <w:t>The amendment corrects a provision that was incorrectly carried over from the former Territory Plan (prior to 31 March 2008).</w:t>
            </w:r>
          </w:p>
        </w:tc>
      </w:tr>
    </w:tbl>
    <w:p w:rsidR="00CA0F52" w:rsidRDefault="00CA0F52">
      <w:pPr>
        <w:rPr>
          <w:rFonts w:cs="Arial"/>
        </w:rPr>
      </w:pPr>
    </w:p>
    <w:p w:rsidR="00CA0F52" w:rsidRDefault="00CA0F52">
      <w:pPr>
        <w:rPr>
          <w:rFonts w:cs="Arial"/>
          <w:b/>
          <w:i/>
          <w:color w:val="000000"/>
        </w:rPr>
      </w:pPr>
      <w:r>
        <w:rPr>
          <w:rFonts w:cs="Arial"/>
          <w:b/>
        </w:rPr>
        <w:t>F</w:t>
      </w:r>
      <w:r>
        <w:rPr>
          <w:rFonts w:cs="Arial"/>
          <w:b/>
        </w:rPr>
        <w:tab/>
      </w:r>
      <w:r>
        <w:rPr>
          <w:rFonts w:cs="Arial"/>
          <w:b/>
          <w:color w:val="000000"/>
        </w:rPr>
        <w:t xml:space="preserve">Amend references to the </w:t>
      </w:r>
      <w:r>
        <w:rPr>
          <w:rFonts w:cs="Arial"/>
          <w:b/>
          <w:i/>
          <w:color w:val="000000"/>
        </w:rPr>
        <w:t>Liquor Act 2010</w:t>
      </w:r>
      <w:r>
        <w:rPr>
          <w:rFonts w:cs="Arial"/>
          <w:b/>
          <w:color w:val="000000"/>
        </w:rPr>
        <w:t xml:space="preserve"> and the </w:t>
      </w:r>
      <w:r>
        <w:rPr>
          <w:rFonts w:cs="Arial"/>
          <w:b/>
          <w:i/>
          <w:color w:val="000000"/>
        </w:rPr>
        <w:t xml:space="preserve">Children and </w:t>
      </w:r>
    </w:p>
    <w:p w:rsidR="00CA0F52" w:rsidRDefault="00CA0F52">
      <w:pPr>
        <w:ind w:firstLine="720"/>
        <w:rPr>
          <w:rFonts w:cs="Arial"/>
          <w:b/>
        </w:rPr>
      </w:pPr>
      <w:r>
        <w:rPr>
          <w:rFonts w:cs="Arial"/>
          <w:b/>
          <w:i/>
          <w:color w:val="000000"/>
        </w:rPr>
        <w:t>Young People Act 2008</w:t>
      </w:r>
    </w:p>
    <w:p w:rsidR="00CA0F52" w:rsidRDefault="00CA0F52">
      <w:pPr>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40"/>
      </w:tblGrid>
      <w:tr w:rsidR="00CA0F52" w:rsidRPr="00CA0F52" w:rsidTr="00CA0F52">
        <w:tc>
          <w:tcPr>
            <w:tcW w:w="2088" w:type="dxa"/>
          </w:tcPr>
          <w:p w:rsidR="00CA0F52" w:rsidRPr="00CA0F52" w:rsidRDefault="00CA0F52">
            <w:pPr>
              <w:rPr>
                <w:rFonts w:cs="Arial"/>
                <w:b/>
              </w:rPr>
            </w:pPr>
            <w:r w:rsidRPr="00CA0F52">
              <w:rPr>
                <w:rFonts w:cs="Arial"/>
                <w:b/>
              </w:rPr>
              <w:t>Section of Act</w:t>
            </w:r>
          </w:p>
        </w:tc>
        <w:tc>
          <w:tcPr>
            <w:tcW w:w="6440" w:type="dxa"/>
          </w:tcPr>
          <w:p w:rsidR="00CA0F52" w:rsidRPr="00CA0F52" w:rsidRDefault="00CA0F52">
            <w:pPr>
              <w:rPr>
                <w:rFonts w:cs="Arial"/>
                <w:b/>
              </w:rPr>
            </w:pPr>
            <w:r w:rsidRPr="00CA0F52">
              <w:rPr>
                <w:rFonts w:cs="Arial"/>
                <w:b/>
              </w:rPr>
              <w:t>Statement of compliance with Act</w:t>
            </w:r>
          </w:p>
        </w:tc>
      </w:tr>
      <w:tr w:rsidR="00CA0F52" w:rsidRPr="00CA0F52" w:rsidTr="00CA0F52">
        <w:tc>
          <w:tcPr>
            <w:tcW w:w="2088" w:type="dxa"/>
          </w:tcPr>
          <w:p w:rsidR="00CA0F52" w:rsidRPr="00CA0F52" w:rsidRDefault="00CA0F52">
            <w:pPr>
              <w:rPr>
                <w:rFonts w:cs="Arial"/>
              </w:rPr>
            </w:pPr>
            <w:r w:rsidRPr="00CA0F52">
              <w:rPr>
                <w:rFonts w:cs="Arial"/>
              </w:rPr>
              <w:t>s87(a) a variation that -</w:t>
            </w:r>
          </w:p>
        </w:tc>
        <w:tc>
          <w:tcPr>
            <w:tcW w:w="6440" w:type="dxa"/>
          </w:tcPr>
          <w:p w:rsidR="00CA0F52" w:rsidRPr="00CA0F52" w:rsidRDefault="00CA0F52">
            <w:pPr>
              <w:rPr>
                <w:rFonts w:cs="Arial"/>
                <w:b/>
              </w:rPr>
            </w:pPr>
          </w:p>
        </w:tc>
      </w:tr>
      <w:tr w:rsidR="00CA0F52" w:rsidRPr="00CA0F52" w:rsidTr="00CA0F52">
        <w:tc>
          <w:tcPr>
            <w:tcW w:w="2088" w:type="dxa"/>
          </w:tcPr>
          <w:p w:rsidR="00CA0F52" w:rsidRPr="00CA0F52" w:rsidRDefault="00CA0F52">
            <w:pPr>
              <w:rPr>
                <w:rFonts w:cs="Arial"/>
              </w:rPr>
            </w:pPr>
            <w:r w:rsidRPr="00CA0F52">
              <w:rPr>
                <w:szCs w:val="24"/>
              </w:rPr>
              <w:t>(i) would not adversely affect anyone’s rights if approved; and</w:t>
            </w:r>
          </w:p>
        </w:tc>
        <w:tc>
          <w:tcPr>
            <w:tcW w:w="6440" w:type="dxa"/>
          </w:tcPr>
          <w:p w:rsidR="00CA0F52" w:rsidRPr="00CA0F52" w:rsidRDefault="00CA0F52">
            <w:pPr>
              <w:rPr>
                <w:rFonts w:cs="Arial"/>
              </w:rPr>
            </w:pPr>
            <w:r w:rsidRPr="00CA0F52">
              <w:rPr>
                <w:rFonts w:cs="Arial"/>
              </w:rPr>
              <w:t>The proposed amendment will not adversely affect anyone’s rights.</w:t>
            </w:r>
          </w:p>
        </w:tc>
      </w:tr>
      <w:tr w:rsidR="00CA0F52" w:rsidRPr="00CA0F52" w:rsidTr="00CA0F52">
        <w:tc>
          <w:tcPr>
            <w:tcW w:w="2088" w:type="dxa"/>
          </w:tcPr>
          <w:p w:rsidR="00CA0F52" w:rsidRPr="00CA0F52" w:rsidRDefault="00CA0F52">
            <w:pPr>
              <w:rPr>
                <w:rFonts w:cs="Arial"/>
              </w:rPr>
            </w:pPr>
            <w:r w:rsidRPr="00CA0F52">
              <w:rPr>
                <w:rFonts w:cs="Arial"/>
              </w:rPr>
              <w:t xml:space="preserve">(ii) </w:t>
            </w:r>
            <w:r w:rsidRPr="00CA0F52">
              <w:rPr>
                <w:szCs w:val="24"/>
              </w:rPr>
              <w:t>has as its only object the correction of a formal error in the plan</w:t>
            </w:r>
          </w:p>
        </w:tc>
        <w:tc>
          <w:tcPr>
            <w:tcW w:w="6440" w:type="dxa"/>
          </w:tcPr>
          <w:p w:rsidR="00CA0F52" w:rsidRPr="00CA0F52" w:rsidRDefault="00CA0F52">
            <w:pPr>
              <w:rPr>
                <w:rFonts w:cs="Arial"/>
              </w:rPr>
            </w:pPr>
            <w:r w:rsidRPr="00CA0F52">
              <w:rPr>
                <w:rFonts w:cs="Arial"/>
              </w:rPr>
              <w:t>The amendment corrects the dates of outdated and misquoted legislation.</w:t>
            </w:r>
          </w:p>
        </w:tc>
      </w:tr>
    </w:tbl>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720" w:hanging="720"/>
        <w:rPr>
          <w:rFonts w:cs="Arial"/>
        </w:rPr>
      </w:pPr>
      <w:r>
        <w:rPr>
          <w:rFonts w:cs="Arial"/>
          <w:b/>
        </w:rPr>
        <w:t>G</w:t>
      </w:r>
      <w:r>
        <w:rPr>
          <w:rFonts w:cs="Arial"/>
        </w:rPr>
        <w:tab/>
      </w:r>
      <w:r>
        <w:rPr>
          <w:rFonts w:cs="Arial"/>
          <w:b/>
        </w:rPr>
        <w:t>Correction to wording in the IZ1 general industrial zone development table, general codes section</w:t>
      </w:r>
    </w:p>
    <w:p w:rsidR="00CA0F52" w:rsidRDefault="00CA0F52">
      <w:pPr>
        <w:ind w:left="540"/>
        <w:rPr>
          <w:rFonts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40"/>
      </w:tblGrid>
      <w:tr w:rsidR="00CA0F52" w:rsidRPr="00CA0F52" w:rsidTr="00CA0F52">
        <w:tc>
          <w:tcPr>
            <w:tcW w:w="2088" w:type="dxa"/>
          </w:tcPr>
          <w:p w:rsidR="00CA0F52" w:rsidRPr="00CA0F52" w:rsidRDefault="00CA0F52">
            <w:pPr>
              <w:rPr>
                <w:rFonts w:cs="Arial"/>
                <w:b/>
              </w:rPr>
            </w:pPr>
            <w:r w:rsidRPr="00CA0F52">
              <w:rPr>
                <w:rFonts w:cs="Arial"/>
                <w:b/>
              </w:rPr>
              <w:t>Section of Act</w:t>
            </w:r>
          </w:p>
        </w:tc>
        <w:tc>
          <w:tcPr>
            <w:tcW w:w="6440" w:type="dxa"/>
          </w:tcPr>
          <w:p w:rsidR="00CA0F52" w:rsidRPr="00CA0F52" w:rsidRDefault="00CA0F52">
            <w:pPr>
              <w:rPr>
                <w:rFonts w:cs="Arial"/>
                <w:b/>
              </w:rPr>
            </w:pPr>
            <w:r w:rsidRPr="00CA0F52">
              <w:rPr>
                <w:rFonts w:cs="Arial"/>
                <w:b/>
              </w:rPr>
              <w:t>Statement of compliance with Act</w:t>
            </w:r>
          </w:p>
        </w:tc>
      </w:tr>
      <w:tr w:rsidR="00CA0F52" w:rsidRPr="00CA0F52" w:rsidTr="00CA0F52">
        <w:tc>
          <w:tcPr>
            <w:tcW w:w="2088" w:type="dxa"/>
          </w:tcPr>
          <w:p w:rsidR="00CA0F52" w:rsidRPr="00CA0F52" w:rsidRDefault="00CA0F52">
            <w:pPr>
              <w:rPr>
                <w:rFonts w:cs="Arial"/>
              </w:rPr>
            </w:pPr>
            <w:r w:rsidRPr="00CA0F52">
              <w:rPr>
                <w:rFonts w:cs="Arial"/>
              </w:rPr>
              <w:t>s87(a) a variation that -</w:t>
            </w:r>
          </w:p>
        </w:tc>
        <w:tc>
          <w:tcPr>
            <w:tcW w:w="6440" w:type="dxa"/>
          </w:tcPr>
          <w:p w:rsidR="00CA0F52" w:rsidRPr="00CA0F52" w:rsidRDefault="00CA0F52">
            <w:pPr>
              <w:rPr>
                <w:rFonts w:cs="Arial"/>
                <w:b/>
              </w:rPr>
            </w:pPr>
          </w:p>
        </w:tc>
      </w:tr>
      <w:tr w:rsidR="00CA0F52" w:rsidRPr="00CA0F52" w:rsidTr="00CA0F52">
        <w:tc>
          <w:tcPr>
            <w:tcW w:w="2088" w:type="dxa"/>
          </w:tcPr>
          <w:p w:rsidR="00CA0F52" w:rsidRPr="00CA0F52" w:rsidRDefault="00CA0F52">
            <w:pPr>
              <w:rPr>
                <w:rFonts w:cs="Arial"/>
              </w:rPr>
            </w:pPr>
            <w:r w:rsidRPr="00CA0F52">
              <w:rPr>
                <w:szCs w:val="24"/>
              </w:rPr>
              <w:t>(i) would not adversely affect anyone’s rights if approved; and</w:t>
            </w:r>
          </w:p>
        </w:tc>
        <w:tc>
          <w:tcPr>
            <w:tcW w:w="6440" w:type="dxa"/>
          </w:tcPr>
          <w:p w:rsidR="00CA0F52" w:rsidRPr="00CA0F52" w:rsidRDefault="00CA0F52">
            <w:pPr>
              <w:rPr>
                <w:rFonts w:cs="Arial"/>
              </w:rPr>
            </w:pPr>
            <w:r w:rsidRPr="00CA0F52">
              <w:rPr>
                <w:rFonts w:cs="Arial"/>
              </w:rPr>
              <w:t>The proposed amendment will not adversely affect anyone’s rights.</w:t>
            </w:r>
          </w:p>
        </w:tc>
      </w:tr>
      <w:tr w:rsidR="00CA0F52" w:rsidRPr="00CA0F52" w:rsidTr="00CA0F52">
        <w:tc>
          <w:tcPr>
            <w:tcW w:w="2088" w:type="dxa"/>
          </w:tcPr>
          <w:p w:rsidR="00CA0F52" w:rsidRPr="00CA0F52" w:rsidRDefault="00CA0F52">
            <w:pPr>
              <w:rPr>
                <w:rFonts w:cs="Arial"/>
              </w:rPr>
            </w:pPr>
            <w:r w:rsidRPr="00CA0F52">
              <w:rPr>
                <w:rFonts w:cs="Arial"/>
              </w:rPr>
              <w:t xml:space="preserve">(ii) </w:t>
            </w:r>
            <w:r w:rsidRPr="00CA0F52">
              <w:rPr>
                <w:szCs w:val="24"/>
              </w:rPr>
              <w:t>has as its only object the correction of a formal error in the plan</w:t>
            </w:r>
          </w:p>
        </w:tc>
        <w:tc>
          <w:tcPr>
            <w:tcW w:w="6440" w:type="dxa"/>
          </w:tcPr>
          <w:p w:rsidR="00CA0F52" w:rsidRPr="00CA0F52" w:rsidRDefault="00CA0F52">
            <w:pPr>
              <w:rPr>
                <w:rFonts w:cs="Arial"/>
              </w:rPr>
            </w:pPr>
            <w:r w:rsidRPr="00CA0F52">
              <w:rPr>
                <w:rFonts w:cs="Arial"/>
              </w:rPr>
              <w:t xml:space="preserve">The amendment corrects the names of general codes that have been incorrectly stated. </w:t>
            </w:r>
          </w:p>
        </w:tc>
      </w:tr>
    </w:tbl>
    <w:p w:rsidR="00CA0F52" w:rsidRDefault="00CA0F52">
      <w:pPr>
        <w:ind w:left="540"/>
        <w:rPr>
          <w:rFonts w:cs="Arial"/>
        </w:rPr>
      </w:pPr>
    </w:p>
    <w:p w:rsidR="00CA0F52" w:rsidRDefault="00CA0F52">
      <w:pPr>
        <w:ind w:left="720" w:hanging="720"/>
        <w:rPr>
          <w:rFonts w:cs="Arial"/>
          <w:b/>
        </w:rPr>
      </w:pPr>
      <w:r>
        <w:rPr>
          <w:rFonts w:cs="Arial"/>
          <w:b/>
        </w:rPr>
        <w:t>H</w:t>
      </w:r>
      <w:r>
        <w:rPr>
          <w:rFonts w:cs="Arial"/>
          <w:b/>
        </w:rPr>
        <w:tab/>
        <w:t>Correction to rule R47 in town centres development code CZ3 mixed services zone regarding application of maximum building heights</w:t>
      </w:r>
    </w:p>
    <w:p w:rsidR="00CA0F52" w:rsidRDefault="00CA0F52">
      <w:pPr>
        <w:ind w:left="720" w:hanging="720"/>
        <w:rPr>
          <w:rFonts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6440"/>
      </w:tblGrid>
      <w:tr w:rsidR="00CA0F52" w:rsidRPr="00CA0F52" w:rsidTr="00CA0F52">
        <w:tc>
          <w:tcPr>
            <w:tcW w:w="2088" w:type="dxa"/>
          </w:tcPr>
          <w:p w:rsidR="00CA0F52" w:rsidRPr="00CA0F52" w:rsidRDefault="00CA0F52">
            <w:pPr>
              <w:rPr>
                <w:rFonts w:cs="Arial"/>
                <w:b/>
              </w:rPr>
            </w:pPr>
            <w:r w:rsidRPr="00CA0F52">
              <w:rPr>
                <w:rFonts w:cs="Arial"/>
                <w:b/>
              </w:rPr>
              <w:t>Section of Act</w:t>
            </w:r>
          </w:p>
        </w:tc>
        <w:tc>
          <w:tcPr>
            <w:tcW w:w="6440" w:type="dxa"/>
          </w:tcPr>
          <w:p w:rsidR="00CA0F52" w:rsidRPr="00CA0F52" w:rsidRDefault="00CA0F52">
            <w:pPr>
              <w:rPr>
                <w:rFonts w:cs="Arial"/>
                <w:b/>
              </w:rPr>
            </w:pPr>
            <w:r w:rsidRPr="00CA0F52">
              <w:rPr>
                <w:rFonts w:cs="Arial"/>
                <w:b/>
              </w:rPr>
              <w:t>Statement of compliance with Act</w:t>
            </w:r>
          </w:p>
        </w:tc>
      </w:tr>
      <w:tr w:rsidR="00CA0F52" w:rsidRPr="00CA0F52" w:rsidTr="00CA0F52">
        <w:tc>
          <w:tcPr>
            <w:tcW w:w="2088" w:type="dxa"/>
          </w:tcPr>
          <w:p w:rsidR="00CA0F52" w:rsidRPr="00CA0F52" w:rsidRDefault="00CA0F52">
            <w:pPr>
              <w:rPr>
                <w:rFonts w:cs="Arial"/>
              </w:rPr>
            </w:pPr>
            <w:r w:rsidRPr="00CA0F52">
              <w:rPr>
                <w:rFonts w:cs="Arial"/>
              </w:rPr>
              <w:t>s87(a) a variation that -</w:t>
            </w:r>
          </w:p>
        </w:tc>
        <w:tc>
          <w:tcPr>
            <w:tcW w:w="6440" w:type="dxa"/>
          </w:tcPr>
          <w:p w:rsidR="00CA0F52" w:rsidRPr="00CA0F52" w:rsidRDefault="00CA0F52">
            <w:pPr>
              <w:rPr>
                <w:rFonts w:cs="Arial"/>
                <w:b/>
              </w:rPr>
            </w:pPr>
          </w:p>
        </w:tc>
      </w:tr>
      <w:tr w:rsidR="00CA0F52" w:rsidRPr="00CA0F52" w:rsidTr="00CA0F52">
        <w:tc>
          <w:tcPr>
            <w:tcW w:w="2088" w:type="dxa"/>
          </w:tcPr>
          <w:p w:rsidR="00CA0F52" w:rsidRPr="00CA0F52" w:rsidRDefault="00CA0F52">
            <w:pPr>
              <w:rPr>
                <w:rFonts w:cs="Arial"/>
              </w:rPr>
            </w:pPr>
            <w:r w:rsidRPr="00CA0F52">
              <w:rPr>
                <w:szCs w:val="24"/>
              </w:rPr>
              <w:t>(i) would not adversely affect anyone’s rights if approved; and</w:t>
            </w:r>
          </w:p>
        </w:tc>
        <w:tc>
          <w:tcPr>
            <w:tcW w:w="6440" w:type="dxa"/>
          </w:tcPr>
          <w:p w:rsidR="00CA0F52" w:rsidRPr="00CA0F52" w:rsidRDefault="00CA0F52">
            <w:pPr>
              <w:rPr>
                <w:rFonts w:cs="Arial"/>
              </w:rPr>
            </w:pPr>
            <w:r w:rsidRPr="00CA0F52">
              <w:rPr>
                <w:rFonts w:cs="Arial"/>
              </w:rPr>
              <w:t>The proposed amendment will not adversely affect anyone’s rights.</w:t>
            </w:r>
          </w:p>
        </w:tc>
      </w:tr>
      <w:tr w:rsidR="00CA0F52" w:rsidRPr="00CA0F52" w:rsidTr="00CA0F52">
        <w:tc>
          <w:tcPr>
            <w:tcW w:w="2088" w:type="dxa"/>
          </w:tcPr>
          <w:p w:rsidR="00CA0F52" w:rsidRPr="00CA0F52" w:rsidRDefault="00CA0F52">
            <w:pPr>
              <w:rPr>
                <w:rFonts w:cs="Arial"/>
              </w:rPr>
            </w:pPr>
            <w:r w:rsidRPr="00CA0F52">
              <w:rPr>
                <w:rFonts w:cs="Arial"/>
              </w:rPr>
              <w:t xml:space="preserve">(ii) </w:t>
            </w:r>
            <w:r w:rsidRPr="00CA0F52">
              <w:rPr>
                <w:szCs w:val="24"/>
              </w:rPr>
              <w:t>has as its only object the correction of a formal error in the plan</w:t>
            </w:r>
          </w:p>
        </w:tc>
        <w:tc>
          <w:tcPr>
            <w:tcW w:w="6440" w:type="dxa"/>
          </w:tcPr>
          <w:p w:rsidR="00CA0F52" w:rsidRPr="00CA0F52" w:rsidRDefault="00CA0F52">
            <w:pPr>
              <w:rPr>
                <w:rFonts w:cs="Arial"/>
              </w:rPr>
            </w:pPr>
            <w:r w:rsidRPr="00CA0F52">
              <w:rPr>
                <w:rFonts w:cs="Arial"/>
              </w:rPr>
              <w:t>The amendment corrects rule R47 to ensure policy neutrality is maintained in the translation of the provision from the former Territory Plan to the restructured Territory Plan (from 31 March 2008) and to avoid misinterpretation of the requirements of the rule.</w:t>
            </w:r>
          </w:p>
          <w:p w:rsidR="00CA0F52" w:rsidRPr="00CA0F52" w:rsidRDefault="00CA0F52">
            <w:pPr>
              <w:rPr>
                <w:rFonts w:cs="Arial"/>
              </w:rPr>
            </w:pPr>
          </w:p>
        </w:tc>
      </w:tr>
    </w:tbl>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ind w:left="540"/>
        <w:rPr>
          <w:rFonts w:cs="Arial"/>
        </w:rPr>
      </w:pPr>
    </w:p>
    <w:p w:rsidR="00CA0F52" w:rsidRDefault="00CA0F52">
      <w:pPr>
        <w:pStyle w:val="Heading1"/>
        <w:ind w:firstLine="0"/>
      </w:pPr>
      <w:bookmarkStart w:id="10" w:name="_Toc266365536"/>
      <w:r>
        <w:rPr>
          <w:rFonts w:cs="Arial"/>
          <w:sz w:val="36"/>
          <w:szCs w:val="36"/>
        </w:rPr>
        <w:t>3.</w:t>
      </w:r>
      <w:r>
        <w:rPr>
          <w:rFonts w:cs="Arial"/>
          <w:sz w:val="36"/>
          <w:szCs w:val="36"/>
        </w:rPr>
        <w:tab/>
        <w:t>TECHNICAL AMENDMENT</w:t>
      </w:r>
      <w:bookmarkEnd w:id="10"/>
    </w:p>
    <w:p w:rsidR="00CA0F52" w:rsidRDefault="00CA0F52">
      <w:bookmarkStart w:id="11" w:name="_Toc220902129"/>
    </w:p>
    <w:p w:rsidR="00CA0F52" w:rsidRDefault="00CA0F52">
      <w:pPr>
        <w:ind w:left="360"/>
        <w:rPr>
          <w:rFonts w:ascii="Times New Roman" w:hAnsi="Times New Roman"/>
          <w:sz w:val="32"/>
          <w:szCs w:val="32"/>
        </w:rPr>
      </w:pPr>
      <w:r>
        <w:rPr>
          <w:sz w:val="32"/>
          <w:szCs w:val="32"/>
        </w:rPr>
        <w:t xml:space="preserve">Variation to Territory Plan Map </w:t>
      </w:r>
    </w:p>
    <w:p w:rsidR="00CA0F52" w:rsidRDefault="00CA0F52">
      <w:pPr>
        <w:rPr>
          <w:rFonts w:ascii="Times New Roman" w:hAnsi="Times New Roman"/>
        </w:rPr>
      </w:pPr>
    </w:p>
    <w:p w:rsidR="00CA0F52" w:rsidRDefault="00CA0F52">
      <w:pPr>
        <w:rPr>
          <w:rFonts w:ascii="Times New Roman" w:hAnsi="Times New Roman"/>
        </w:rPr>
      </w:pPr>
    </w:p>
    <w:p w:rsidR="00CA0F52" w:rsidRDefault="00CA0F52">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 xml:space="preserve">City section 19 block 21 and part blocks 11 and 20 </w:t>
      </w:r>
    </w:p>
    <w:p w:rsidR="00CA0F52" w:rsidRDefault="00CA0F52"/>
    <w:p w:rsidR="00CA0F52" w:rsidRDefault="00CA0F52">
      <w:pPr>
        <w:ind w:firstLine="360"/>
        <w:rPr>
          <w:i/>
        </w:rPr>
      </w:pPr>
      <w:r>
        <w:rPr>
          <w:i/>
        </w:rPr>
        <w:t>Substitute with</w:t>
      </w:r>
    </w:p>
    <w:p w:rsidR="00CA0F52" w:rsidRDefault="00CA0F52">
      <w:pPr>
        <w:ind w:firstLine="360"/>
        <w:rPr>
          <w:i/>
        </w:rPr>
      </w:pPr>
    </w:p>
    <w:p w:rsidR="00CA0F52" w:rsidRDefault="00ED76EB">
      <w:pPr>
        <w:spacing w:after="120"/>
        <w:ind w:firstLine="357"/>
        <w:rPr>
          <w:i/>
        </w:rPr>
      </w:pPr>
      <w:r>
        <w:rPr>
          <w:noProof/>
          <w:lang w:eastAsia="en-AU"/>
        </w:rPr>
        <w:pict>
          <v:shape id="_x0000_s1026" type="#_x0000_t75" style="position:absolute;left:0;text-align:left;margin-left:0;margin-top:9.6pt;width:421.5pt;height:399pt;z-index:251658240;mso-position-horizontal:center">
            <v:imagedata r:id="rId15" o:title=""/>
            <w10:wrap type="square"/>
          </v:shape>
        </w:pict>
      </w:r>
    </w:p>
    <w:p w:rsidR="00CA0F52" w:rsidRDefault="00CA0F52">
      <w:pPr>
        <w:spacing w:after="120"/>
        <w:ind w:firstLine="357"/>
        <w:rPr>
          <w:i/>
        </w:rPr>
      </w:pPr>
    </w:p>
    <w:p w:rsidR="00CA0F52" w:rsidRDefault="00CA0F52">
      <w:pPr>
        <w:spacing w:after="120"/>
        <w:ind w:firstLine="357"/>
        <w:rPr>
          <w:i/>
        </w:rPr>
      </w:pPr>
    </w:p>
    <w:p w:rsidR="00CA0F52" w:rsidRDefault="00CA0F52">
      <w:pPr>
        <w:spacing w:after="120"/>
        <w:ind w:firstLine="357"/>
        <w:rPr>
          <w:i/>
        </w:rPr>
      </w:pPr>
    </w:p>
    <w:p w:rsidR="00CA0F52" w:rsidRDefault="00CA0F52">
      <w:pPr>
        <w:spacing w:after="120"/>
        <w:ind w:firstLine="357"/>
        <w:rPr>
          <w:i/>
        </w:rPr>
      </w:pPr>
    </w:p>
    <w:p w:rsidR="00CA0F52" w:rsidRDefault="00CA0F52">
      <w:pPr>
        <w:spacing w:after="120"/>
        <w:ind w:firstLine="357"/>
        <w:rPr>
          <w:i/>
        </w:rPr>
      </w:pPr>
    </w:p>
    <w:p w:rsidR="00CA0F52" w:rsidRDefault="00CA0F52">
      <w:pPr>
        <w:spacing w:after="120"/>
        <w:ind w:firstLine="357"/>
        <w:rPr>
          <w:rFonts w:cs="Arial"/>
          <w:b/>
          <w:sz w:val="32"/>
          <w:szCs w:val="32"/>
        </w:rPr>
      </w:pPr>
    </w:p>
    <w:p w:rsidR="00CA0F52" w:rsidRDefault="00CA0F52">
      <w:pPr>
        <w:spacing w:after="120"/>
        <w:rPr>
          <w:i/>
        </w:rPr>
      </w:pPr>
      <w:r>
        <w:rPr>
          <w:rFonts w:cs="Arial"/>
          <w:sz w:val="32"/>
          <w:szCs w:val="32"/>
        </w:rPr>
        <w:t>Variation to Group Centres Development Code</w:t>
      </w:r>
    </w:p>
    <w:p w:rsidR="00CA0F52" w:rsidRDefault="00CA0F52"/>
    <w:p w:rsidR="00CA0F52" w:rsidRDefault="00CA0F52">
      <w:pPr>
        <w:numPr>
          <w:ilvl w:val="0"/>
          <w:numId w:val="2"/>
        </w:numPr>
        <w:pBdr>
          <w:top w:val="single" w:sz="4" w:space="0" w:color="auto"/>
          <w:left w:val="single" w:sz="4" w:space="4" w:color="auto"/>
          <w:bottom w:val="single" w:sz="4" w:space="1" w:color="auto"/>
          <w:right w:val="single" w:sz="4" w:space="4" w:color="auto"/>
        </w:pBdr>
        <w:shd w:val="clear" w:color="auto" w:fill="D9D9D9"/>
        <w:rPr>
          <w:i/>
        </w:rPr>
      </w:pPr>
      <w:r>
        <w:rPr>
          <w:rFonts w:cs="Arial"/>
          <w:b/>
        </w:rPr>
        <w:t>Part A – Centre and Zone Specific Requirements, Part A – Group Centres – Overview, Objectives, a)</w:t>
      </w:r>
    </w:p>
    <w:p w:rsidR="00CA0F52" w:rsidRDefault="00CA0F52"/>
    <w:p w:rsidR="00CA0F52" w:rsidRDefault="00CA0F52">
      <w:pPr>
        <w:ind w:firstLine="360"/>
        <w:rPr>
          <w:i/>
        </w:rPr>
      </w:pPr>
      <w:r>
        <w:rPr>
          <w:i/>
        </w:rPr>
        <w:t>Substitute ‘Provide or’ with</w:t>
      </w:r>
    </w:p>
    <w:p w:rsidR="00CA0F52" w:rsidRDefault="00CA0F52"/>
    <w:p w:rsidR="00CA0F52" w:rsidRDefault="00CA0F52">
      <w:pPr>
        <w:ind w:firstLine="720"/>
      </w:pPr>
      <w:r>
        <w:t>Provide for</w:t>
      </w:r>
    </w:p>
    <w:p w:rsidR="00CA0F52" w:rsidRDefault="00CA0F52"/>
    <w:p w:rsidR="00CA0F52" w:rsidRDefault="00CA0F52">
      <w:pPr>
        <w:spacing w:after="120"/>
        <w:rPr>
          <w:i/>
        </w:rPr>
      </w:pPr>
      <w:r>
        <w:rPr>
          <w:rFonts w:cs="Arial"/>
          <w:sz w:val="32"/>
          <w:szCs w:val="32"/>
        </w:rPr>
        <w:t>Variation to Town Centres Development Code</w:t>
      </w:r>
    </w:p>
    <w:p w:rsidR="00CA0F52" w:rsidRDefault="00CA0F52"/>
    <w:p w:rsidR="00CA0F52" w:rsidRDefault="00CA0F52">
      <w:pPr>
        <w:numPr>
          <w:ilvl w:val="0"/>
          <w:numId w:val="2"/>
        </w:numPr>
        <w:pBdr>
          <w:top w:val="single" w:sz="4" w:space="0" w:color="auto"/>
          <w:left w:val="single" w:sz="4" w:space="4" w:color="auto"/>
          <w:bottom w:val="single" w:sz="4" w:space="1" w:color="auto"/>
          <w:right w:val="single" w:sz="4" w:space="4" w:color="auto"/>
        </w:pBdr>
        <w:shd w:val="clear" w:color="auto" w:fill="D9D9D9"/>
        <w:rPr>
          <w:i/>
        </w:rPr>
      </w:pPr>
      <w:r>
        <w:rPr>
          <w:rFonts w:cs="Arial"/>
          <w:b/>
        </w:rPr>
        <w:t>Part A(3) – CZ3 Services Zone, Element 2 Building and Site Controls, Item 2.4 Woden, R47</w:t>
      </w:r>
    </w:p>
    <w:p w:rsidR="00CA0F52" w:rsidRDefault="00CA0F52"/>
    <w:p w:rsidR="00CA0F52" w:rsidRDefault="00CA0F52">
      <w:pPr>
        <w:ind w:firstLine="360"/>
        <w:rPr>
          <w:i/>
        </w:rPr>
      </w:pPr>
      <w:r>
        <w:rPr>
          <w:i/>
        </w:rPr>
        <w:t>Substitute with</w:t>
      </w:r>
    </w:p>
    <w:p w:rsidR="00CA0F52" w:rsidRDefault="00CA0F52"/>
    <w:p w:rsidR="00CA0F52" w:rsidRDefault="00CA0F52">
      <w:r>
        <w:tab/>
        <w:t>Within the area shown in Figure A10, maximum building heights are 3 storeys.</w:t>
      </w:r>
    </w:p>
    <w:p w:rsidR="00CA0F52" w:rsidRDefault="00CA0F52"/>
    <w:p w:rsidR="00CA0F52" w:rsidRDefault="00CA0F52">
      <w:pPr>
        <w:pStyle w:val="Heading4"/>
        <w:rPr>
          <w:rFonts w:ascii="Arial" w:hAnsi="Arial" w:cs="Arial"/>
          <w:b w:val="0"/>
          <w:sz w:val="32"/>
          <w:szCs w:val="32"/>
        </w:rPr>
      </w:pPr>
      <w:r>
        <w:rPr>
          <w:rFonts w:ascii="Arial" w:hAnsi="Arial" w:cs="Arial"/>
          <w:b w:val="0"/>
          <w:sz w:val="32"/>
          <w:szCs w:val="32"/>
        </w:rPr>
        <w:t xml:space="preserve">Variation to CZ5 – Mixed Use Development Code </w:t>
      </w:r>
    </w:p>
    <w:p w:rsidR="00CA0F52" w:rsidRDefault="00CA0F52">
      <w:pPr>
        <w:rPr>
          <w:rFonts w:cs="Arial"/>
          <w:szCs w:val="24"/>
        </w:rPr>
      </w:pPr>
    </w:p>
    <w:p w:rsidR="00CA0F52" w:rsidRDefault="00CA0F52">
      <w:pPr>
        <w:numPr>
          <w:ilvl w:val="0"/>
          <w:numId w:val="2"/>
        </w:numPr>
        <w:pBdr>
          <w:top w:val="single" w:sz="4" w:space="0" w:color="auto"/>
          <w:left w:val="single" w:sz="4" w:space="4" w:color="auto"/>
          <w:bottom w:val="single" w:sz="4" w:space="3" w:color="auto"/>
          <w:right w:val="single" w:sz="4" w:space="4" w:color="auto"/>
        </w:pBdr>
        <w:shd w:val="clear" w:color="auto" w:fill="D9D9D9"/>
        <w:rPr>
          <w:rFonts w:cs="Arial"/>
          <w:b/>
        </w:rPr>
      </w:pPr>
      <w:r>
        <w:rPr>
          <w:rFonts w:cs="Arial"/>
          <w:b/>
        </w:rPr>
        <w:t xml:space="preserve">Part B – Site Specific Controls, Element 1: Restrictions on Use, Rule R55 </w:t>
      </w:r>
    </w:p>
    <w:p w:rsidR="00CA0F52" w:rsidRDefault="00CA0F52">
      <w:pPr>
        <w:tabs>
          <w:tab w:val="left" w:pos="360"/>
        </w:tabs>
      </w:pPr>
      <w:r>
        <w:tab/>
      </w:r>
    </w:p>
    <w:p w:rsidR="00CA0F52" w:rsidRDefault="00CA0F52">
      <w:pPr>
        <w:tabs>
          <w:tab w:val="left" w:pos="360"/>
        </w:tabs>
        <w:rPr>
          <w:i/>
        </w:rPr>
      </w:pPr>
      <w:r>
        <w:tab/>
      </w:r>
      <w:r>
        <w:rPr>
          <w:i/>
        </w:rPr>
        <w:t>Omit</w:t>
      </w:r>
    </w:p>
    <w:p w:rsidR="00CA0F52" w:rsidRDefault="00CA0F52">
      <w:pPr>
        <w:tabs>
          <w:tab w:val="left" w:pos="360"/>
        </w:tabs>
      </w:pPr>
    </w:p>
    <w:p w:rsidR="00CA0F52" w:rsidRDefault="00CA0F52">
      <w:pPr>
        <w:tabs>
          <w:tab w:val="left" w:pos="360"/>
        </w:tabs>
      </w:pPr>
      <w:r>
        <w:tab/>
      </w:r>
      <w:r>
        <w:tab/>
        <w:t>Rule R55(b)</w:t>
      </w:r>
    </w:p>
    <w:p w:rsidR="00CA0F52" w:rsidRDefault="00CA0F52">
      <w:pPr>
        <w:tabs>
          <w:tab w:val="left" w:pos="360"/>
        </w:tabs>
      </w:pPr>
    </w:p>
    <w:p w:rsidR="00CA0F52" w:rsidRDefault="00CA0F52">
      <w:pPr>
        <w:pStyle w:val="Heading4"/>
        <w:rPr>
          <w:rFonts w:ascii="Arial" w:hAnsi="Arial" w:cs="Arial"/>
          <w:b w:val="0"/>
          <w:sz w:val="32"/>
          <w:szCs w:val="32"/>
        </w:rPr>
      </w:pPr>
      <w:r>
        <w:rPr>
          <w:rFonts w:ascii="Arial" w:hAnsi="Arial" w:cs="Arial"/>
          <w:b w:val="0"/>
          <w:sz w:val="32"/>
          <w:szCs w:val="32"/>
        </w:rPr>
        <w:t xml:space="preserve">Variation to IZ1 General Industrial Zone Development Table </w:t>
      </w:r>
    </w:p>
    <w:p w:rsidR="00CA0F52" w:rsidRDefault="00CA0F52">
      <w:pPr>
        <w:tabs>
          <w:tab w:val="left" w:pos="360"/>
        </w:tabs>
        <w:rPr>
          <w:sz w:val="20"/>
        </w:rPr>
      </w:pPr>
    </w:p>
    <w:p w:rsidR="00CA0F52" w:rsidRDefault="00CA0F52">
      <w:pPr>
        <w:numPr>
          <w:ilvl w:val="0"/>
          <w:numId w:val="2"/>
        </w:numPr>
        <w:pBdr>
          <w:top w:val="single" w:sz="4" w:space="0" w:color="auto"/>
          <w:left w:val="single" w:sz="4" w:space="4" w:color="auto"/>
          <w:bottom w:val="single" w:sz="4" w:space="3" w:color="auto"/>
          <w:right w:val="single" w:sz="4" w:space="4" w:color="auto"/>
        </w:pBdr>
        <w:shd w:val="clear" w:color="auto" w:fill="D9D9D9"/>
        <w:rPr>
          <w:rFonts w:cs="Arial"/>
          <w:b/>
        </w:rPr>
      </w:pPr>
      <w:r>
        <w:rPr>
          <w:rFonts w:cs="Arial"/>
          <w:b/>
          <w:szCs w:val="24"/>
        </w:rPr>
        <w:t xml:space="preserve">OTHER CODES – GENERAL CODES </w:t>
      </w:r>
    </w:p>
    <w:p w:rsidR="00CA0F52" w:rsidRDefault="00CA0F52">
      <w:pPr>
        <w:pStyle w:val="Heading4"/>
        <w:spacing w:before="0" w:after="0"/>
        <w:ind w:left="360"/>
        <w:rPr>
          <w:rFonts w:ascii="Arial" w:hAnsi="Arial" w:cs="Arial"/>
          <w:b w:val="0"/>
          <w:sz w:val="24"/>
          <w:szCs w:val="24"/>
        </w:rPr>
      </w:pPr>
    </w:p>
    <w:p w:rsidR="00CA0F52" w:rsidRDefault="00CA0F52">
      <w:pPr>
        <w:ind w:left="360"/>
      </w:pPr>
      <w:r>
        <w:rPr>
          <w:i/>
        </w:rPr>
        <w:t>a)</w:t>
      </w:r>
      <w:r>
        <w:rPr>
          <w:i/>
        </w:rPr>
        <w:tab/>
        <w:t>Substitute ‘Location of Community and Recreation Facilities’ with</w:t>
      </w:r>
      <w:r>
        <w:t xml:space="preserve"> </w:t>
      </w:r>
    </w:p>
    <w:p w:rsidR="00CA0F52" w:rsidRDefault="00CA0F52">
      <w:pPr>
        <w:ind w:left="360" w:firstLine="360"/>
      </w:pPr>
    </w:p>
    <w:p w:rsidR="00CA0F52" w:rsidRDefault="00CA0F52">
      <w:pPr>
        <w:ind w:left="720"/>
      </w:pPr>
      <w:r>
        <w:t>Community and Recreation Facilities Location Guidelines</w:t>
      </w:r>
    </w:p>
    <w:p w:rsidR="00CA0F52" w:rsidRDefault="00CA0F52"/>
    <w:p w:rsidR="00CA0F52" w:rsidRDefault="00CA0F52">
      <w:pPr>
        <w:numPr>
          <w:ilvl w:val="0"/>
          <w:numId w:val="28"/>
        </w:numPr>
        <w:rPr>
          <w:i/>
        </w:rPr>
      </w:pPr>
      <w:r>
        <w:rPr>
          <w:i/>
        </w:rPr>
        <w:t>Substitute ‘Water Sensitive Urban Design’ with</w:t>
      </w:r>
    </w:p>
    <w:p w:rsidR="00CA0F52" w:rsidRDefault="00CA0F52">
      <w:pPr>
        <w:rPr>
          <w:i/>
        </w:rPr>
      </w:pPr>
    </w:p>
    <w:p w:rsidR="00CA0F52" w:rsidRDefault="00CA0F52">
      <w:pPr>
        <w:ind w:left="360" w:firstLine="360"/>
      </w:pPr>
      <w:r>
        <w:t>Water Ways: Water Sensitive Urban Design</w:t>
      </w:r>
    </w:p>
    <w:p w:rsidR="00CA0F52" w:rsidRDefault="00CA0F52">
      <w:pPr>
        <w:pStyle w:val="Heading4"/>
        <w:spacing w:before="0" w:after="0"/>
        <w:rPr>
          <w:rFonts w:ascii="Arial" w:hAnsi="Arial" w:cs="Arial"/>
          <w:b w:val="0"/>
          <w:sz w:val="24"/>
          <w:szCs w:val="24"/>
        </w:rPr>
      </w:pPr>
    </w:p>
    <w:p w:rsidR="00CA0F52" w:rsidRDefault="00CA0F52"/>
    <w:p w:rsidR="00CA0F52" w:rsidRDefault="00CA0F52"/>
    <w:p w:rsidR="00CA0F52" w:rsidRDefault="00CA0F52"/>
    <w:p w:rsidR="00CA0F52" w:rsidRDefault="00CA0F52"/>
    <w:p w:rsidR="00CA0F52" w:rsidRDefault="00CA0F52"/>
    <w:p w:rsidR="00CA0F52" w:rsidRDefault="00CA0F52"/>
    <w:p w:rsidR="00CA0F52" w:rsidRDefault="00CA0F52"/>
    <w:p w:rsidR="00CA0F52" w:rsidRDefault="00CA0F52">
      <w:pPr>
        <w:pStyle w:val="Heading4"/>
        <w:rPr>
          <w:rFonts w:ascii="Arial" w:hAnsi="Arial" w:cs="Arial"/>
          <w:b w:val="0"/>
          <w:sz w:val="32"/>
          <w:szCs w:val="32"/>
        </w:rPr>
      </w:pPr>
      <w:r>
        <w:rPr>
          <w:rFonts w:ascii="Arial" w:hAnsi="Arial" w:cs="Arial"/>
          <w:b w:val="0"/>
          <w:sz w:val="32"/>
          <w:szCs w:val="32"/>
        </w:rPr>
        <w:t>Variation to IZ2 Industrial Mixed Use Zone Development Table</w:t>
      </w:r>
    </w:p>
    <w:p w:rsidR="00CA0F52" w:rsidRDefault="00CA0F52">
      <w:pPr>
        <w:rPr>
          <w:rFonts w:cs="Arial"/>
          <w:szCs w:val="24"/>
        </w:rPr>
      </w:pPr>
    </w:p>
    <w:p w:rsidR="00CA0F52" w:rsidRDefault="00CA0F52">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Minimum assessment track merit, specific areas have additional developments that may be approved subject to assessment</w:t>
      </w:r>
    </w:p>
    <w:p w:rsidR="00CA0F52" w:rsidRDefault="00CA0F52">
      <w:pPr>
        <w:rPr>
          <w:rFonts w:cs="Arial"/>
          <w:szCs w:val="24"/>
        </w:rPr>
      </w:pPr>
    </w:p>
    <w:p w:rsidR="00CA0F52" w:rsidRDefault="00CA0F52">
      <w:pPr>
        <w:ind w:firstLine="360"/>
        <w:rPr>
          <w:i/>
        </w:rPr>
      </w:pPr>
      <w:r>
        <w:rPr>
          <w:i/>
        </w:rPr>
        <w:t>a)</w:t>
      </w:r>
      <w:r>
        <w:rPr>
          <w:i/>
        </w:rPr>
        <w:tab/>
        <w:t>Omit from Site Identifier column</w:t>
      </w:r>
    </w:p>
    <w:p w:rsidR="00CA0F52" w:rsidRDefault="00CA0F52"/>
    <w:p w:rsidR="00CA0F52" w:rsidRDefault="00CA0F52">
      <w:pPr>
        <w:tabs>
          <w:tab w:val="left" w:pos="360"/>
        </w:tabs>
      </w:pPr>
      <w:r>
        <w:tab/>
      </w:r>
      <w:r>
        <w:tab/>
      </w:r>
      <w:bookmarkEnd w:id="11"/>
      <w:r>
        <w:t>Fyshwick Section 6 Blocks 6, 25, and 26</w:t>
      </w:r>
    </w:p>
    <w:p w:rsidR="00CA0F52" w:rsidRDefault="00CA0F52">
      <w:pPr>
        <w:tabs>
          <w:tab w:val="left" w:pos="360"/>
        </w:tabs>
      </w:pPr>
      <w:r>
        <w:tab/>
      </w:r>
      <w:r>
        <w:tab/>
        <w:t>Fyshwick Section 7 Blocks 6 and 7</w:t>
      </w:r>
    </w:p>
    <w:p w:rsidR="00CA0F52" w:rsidRDefault="00CA0F52">
      <w:pPr>
        <w:tabs>
          <w:tab w:val="left" w:pos="360"/>
        </w:tabs>
      </w:pPr>
      <w:r>
        <w:tab/>
      </w:r>
      <w:r>
        <w:tab/>
        <w:t>Fyshwick Section 39 Blocks 6 and 7</w:t>
      </w:r>
    </w:p>
    <w:p w:rsidR="00CA0F52" w:rsidRDefault="00CA0F52">
      <w:pPr>
        <w:rPr>
          <w:rFonts w:cs="Arial"/>
          <w:b/>
        </w:rPr>
      </w:pPr>
    </w:p>
    <w:p w:rsidR="00CA0F52" w:rsidRDefault="00CA0F52">
      <w:pPr>
        <w:ind w:firstLine="360"/>
        <w:rPr>
          <w:rFonts w:cs="Arial"/>
          <w:i/>
        </w:rPr>
      </w:pPr>
      <w:r>
        <w:rPr>
          <w:rFonts w:cs="Arial"/>
          <w:i/>
        </w:rPr>
        <w:t>b)</w:t>
      </w:r>
      <w:r>
        <w:rPr>
          <w:rFonts w:cs="Arial"/>
          <w:i/>
        </w:rPr>
        <w:tab/>
        <w:t>Omit from Additional Development column</w:t>
      </w:r>
    </w:p>
    <w:p w:rsidR="00CA0F52" w:rsidRDefault="00CA0F52">
      <w:pPr>
        <w:rPr>
          <w:rFonts w:cs="Arial"/>
        </w:rPr>
      </w:pPr>
    </w:p>
    <w:p w:rsidR="00CA0F52" w:rsidRDefault="00CA0F52">
      <w:pPr>
        <w:rPr>
          <w:rFonts w:cs="Arial"/>
        </w:rPr>
      </w:pPr>
      <w:r>
        <w:rPr>
          <w:rFonts w:cs="Arial"/>
        </w:rPr>
        <w:tab/>
        <w:t>Office</w:t>
      </w:r>
    </w:p>
    <w:p w:rsidR="00CA0F52" w:rsidRDefault="00CA0F52">
      <w:pPr>
        <w:rPr>
          <w:rFonts w:cs="Arial"/>
        </w:rPr>
      </w:pPr>
    </w:p>
    <w:p w:rsidR="00CA0F52" w:rsidRDefault="00CA0F52">
      <w:pPr>
        <w:pStyle w:val="Heading4"/>
        <w:rPr>
          <w:rFonts w:ascii="Arial" w:hAnsi="Arial" w:cs="Arial"/>
          <w:b w:val="0"/>
          <w:sz w:val="32"/>
          <w:szCs w:val="32"/>
        </w:rPr>
      </w:pPr>
      <w:r>
        <w:rPr>
          <w:rFonts w:ascii="Arial" w:hAnsi="Arial" w:cs="Arial"/>
          <w:b w:val="0"/>
          <w:sz w:val="32"/>
          <w:szCs w:val="32"/>
        </w:rPr>
        <w:t>Variation to NUZ1 Broadacre Zone Development Table</w:t>
      </w:r>
    </w:p>
    <w:p w:rsidR="00CA0F52" w:rsidRDefault="00CA0F52">
      <w:pPr>
        <w:rPr>
          <w:rFonts w:cs="Arial"/>
          <w:szCs w:val="24"/>
        </w:rPr>
      </w:pPr>
    </w:p>
    <w:p w:rsidR="00CA0F52" w:rsidRDefault="00CA0F52">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Minimum assessment track merit, prohibited development</w:t>
      </w:r>
    </w:p>
    <w:p w:rsidR="00CA0F52" w:rsidRDefault="00CA0F52">
      <w:pPr>
        <w:rPr>
          <w:rFonts w:cs="Arial"/>
          <w:szCs w:val="24"/>
        </w:rPr>
      </w:pPr>
    </w:p>
    <w:p w:rsidR="00CA0F52" w:rsidRDefault="00CA0F52">
      <w:pPr>
        <w:ind w:firstLine="360"/>
        <w:rPr>
          <w:i/>
        </w:rPr>
      </w:pPr>
      <w:r>
        <w:rPr>
          <w:i/>
        </w:rPr>
        <w:t>For the following Site Identifiers, omit ‘road’ from the Development column:</w:t>
      </w:r>
    </w:p>
    <w:p w:rsidR="00CA0F52" w:rsidRDefault="00CA0F52">
      <w:pPr>
        <w:ind w:firstLine="360"/>
        <w:rPr>
          <w:i/>
        </w:rPr>
      </w:pPr>
    </w:p>
    <w:p w:rsidR="00CA0F52" w:rsidRDefault="00CA0F52">
      <w:pPr>
        <w:ind w:firstLine="360"/>
      </w:pPr>
      <w:r>
        <w:t>Jerrabomberra Blocks 2223, 2100, 2099, 2000 and 2101 (Figure 2)</w:t>
      </w:r>
    </w:p>
    <w:p w:rsidR="00CA0F52" w:rsidRDefault="00CA0F52">
      <w:pPr>
        <w:ind w:firstLine="360"/>
      </w:pPr>
      <w:r>
        <w:t>Pialligo Areas ‘a’ and ‘b’ (Figure 6)</w:t>
      </w:r>
    </w:p>
    <w:p w:rsidR="00CA0F52" w:rsidRDefault="00CA0F52">
      <w:pPr>
        <w:ind w:left="360"/>
      </w:pPr>
      <w:r>
        <w:t>Symonston Area ‘a’ (Figure 7)</w:t>
      </w:r>
    </w:p>
    <w:p w:rsidR="00CA0F52" w:rsidRDefault="00CA0F52">
      <w:pPr>
        <w:ind w:left="360"/>
        <w:rPr>
          <w:rFonts w:cs="Arial"/>
          <w:b/>
        </w:rPr>
      </w:pPr>
    </w:p>
    <w:p w:rsidR="00CA0F52" w:rsidRDefault="00CA0F52">
      <w:pPr>
        <w:rPr>
          <w:rFonts w:cs="Arial"/>
          <w:b/>
        </w:rPr>
      </w:pPr>
    </w:p>
    <w:p w:rsidR="00CA0F52" w:rsidRDefault="00CA0F52">
      <w:pPr>
        <w:numPr>
          <w:ilvl w:val="0"/>
          <w:numId w:val="2"/>
        </w:numPr>
        <w:pBdr>
          <w:top w:val="single" w:sz="4" w:space="0" w:color="auto"/>
          <w:left w:val="single" w:sz="4" w:space="4" w:color="auto"/>
          <w:bottom w:val="single" w:sz="4" w:space="1" w:color="auto"/>
          <w:right w:val="single" w:sz="4" w:space="4" w:color="auto"/>
        </w:pBdr>
        <w:shd w:val="clear" w:color="auto" w:fill="D9D9D9"/>
        <w:rPr>
          <w:rFonts w:cs="Arial"/>
          <w:b/>
        </w:rPr>
      </w:pPr>
      <w:r>
        <w:rPr>
          <w:rFonts w:cs="Arial"/>
          <w:b/>
        </w:rPr>
        <w:t>Definitions</w:t>
      </w:r>
    </w:p>
    <w:p w:rsidR="00CA0F52" w:rsidRDefault="00CA0F52">
      <w:pPr>
        <w:ind w:left="360"/>
        <w:rPr>
          <w:rFonts w:cs="Arial"/>
          <w:b/>
        </w:rPr>
      </w:pPr>
    </w:p>
    <w:p w:rsidR="00CA0F52" w:rsidRDefault="00CA0F52">
      <w:pPr>
        <w:ind w:left="720" w:hanging="360"/>
        <w:rPr>
          <w:rFonts w:cs="Arial"/>
          <w:i/>
        </w:rPr>
      </w:pPr>
      <w:r>
        <w:rPr>
          <w:rFonts w:cs="Arial"/>
        </w:rPr>
        <w:t>a)</w:t>
      </w:r>
      <w:r>
        <w:rPr>
          <w:rFonts w:cs="Arial"/>
        </w:rPr>
        <w:tab/>
      </w:r>
      <w:r>
        <w:rPr>
          <w:rFonts w:cs="Arial"/>
          <w:i/>
        </w:rPr>
        <w:t>Substitute ‘Liquor Act 1975’ in the development column of the following definitions:</w:t>
      </w:r>
    </w:p>
    <w:p w:rsidR="00CA0F52" w:rsidRDefault="00CA0F52">
      <w:pPr>
        <w:ind w:left="900"/>
        <w:rPr>
          <w:rFonts w:cs="Arial"/>
          <w:i/>
        </w:rPr>
      </w:pPr>
    </w:p>
    <w:p w:rsidR="00CA0F52" w:rsidRDefault="00CA0F52">
      <w:pPr>
        <w:ind w:left="900"/>
        <w:rPr>
          <w:rFonts w:cs="Arial"/>
          <w:i/>
        </w:rPr>
      </w:pPr>
      <w:r>
        <w:rPr>
          <w:rFonts w:cs="Arial"/>
          <w:i/>
        </w:rPr>
        <w:t>Club</w:t>
      </w:r>
    </w:p>
    <w:p w:rsidR="00CA0F52" w:rsidRDefault="00CA0F52">
      <w:pPr>
        <w:ind w:left="900"/>
        <w:rPr>
          <w:rFonts w:cs="Arial"/>
          <w:i/>
        </w:rPr>
      </w:pPr>
      <w:r>
        <w:rPr>
          <w:rFonts w:cs="Arial"/>
          <w:i/>
        </w:rPr>
        <w:t>Hotel</w:t>
      </w:r>
    </w:p>
    <w:p w:rsidR="00CA0F52" w:rsidRDefault="00CA0F52">
      <w:pPr>
        <w:ind w:left="900"/>
        <w:rPr>
          <w:rFonts w:cs="Arial"/>
          <w:i/>
        </w:rPr>
      </w:pPr>
      <w:r>
        <w:rPr>
          <w:rFonts w:cs="Arial"/>
          <w:i/>
        </w:rPr>
        <w:t>Motel</w:t>
      </w:r>
    </w:p>
    <w:p w:rsidR="00CA0F52" w:rsidRDefault="00CA0F52">
      <w:pPr>
        <w:ind w:left="900"/>
        <w:rPr>
          <w:rFonts w:cs="Arial"/>
          <w:i/>
        </w:rPr>
      </w:pPr>
      <w:r>
        <w:rPr>
          <w:rFonts w:cs="Arial"/>
          <w:i/>
        </w:rPr>
        <w:t>Tourist resort</w:t>
      </w:r>
    </w:p>
    <w:p w:rsidR="00CA0F52" w:rsidRDefault="00CA0F52">
      <w:pPr>
        <w:ind w:left="900"/>
        <w:rPr>
          <w:rFonts w:cs="Arial"/>
          <w:i/>
        </w:rPr>
      </w:pPr>
      <w:r>
        <w:rPr>
          <w:rFonts w:cs="Arial"/>
          <w:i/>
        </w:rPr>
        <w:t>Drink establishment</w:t>
      </w:r>
    </w:p>
    <w:p w:rsidR="00CA0F52" w:rsidRDefault="00CA0F52">
      <w:pPr>
        <w:ind w:left="900"/>
        <w:rPr>
          <w:rFonts w:cs="Arial"/>
          <w:i/>
        </w:rPr>
      </w:pPr>
      <w:r>
        <w:rPr>
          <w:rFonts w:cs="Arial"/>
          <w:i/>
        </w:rPr>
        <w:t>Restaurant</w:t>
      </w:r>
    </w:p>
    <w:p w:rsidR="00CA0F52" w:rsidRDefault="00CA0F52">
      <w:pPr>
        <w:ind w:left="720"/>
        <w:rPr>
          <w:rFonts w:cs="Arial"/>
          <w:i/>
        </w:rPr>
      </w:pPr>
    </w:p>
    <w:p w:rsidR="00CA0F52" w:rsidRDefault="00CA0F52">
      <w:pPr>
        <w:ind w:left="720"/>
        <w:rPr>
          <w:rFonts w:cs="Arial"/>
          <w:i/>
        </w:rPr>
      </w:pPr>
      <w:r>
        <w:rPr>
          <w:rFonts w:cs="Arial"/>
          <w:i/>
        </w:rPr>
        <w:t>with:</w:t>
      </w:r>
    </w:p>
    <w:p w:rsidR="00CA0F52" w:rsidRDefault="00CA0F52">
      <w:pPr>
        <w:ind w:left="720"/>
        <w:rPr>
          <w:rFonts w:cs="Arial"/>
          <w:i/>
        </w:rPr>
      </w:pPr>
    </w:p>
    <w:p w:rsidR="00CA0F52" w:rsidRDefault="00CA0F52">
      <w:pPr>
        <w:ind w:left="720"/>
        <w:rPr>
          <w:rFonts w:cs="Arial"/>
        </w:rPr>
      </w:pPr>
      <w:r>
        <w:rPr>
          <w:rFonts w:cs="Arial"/>
        </w:rPr>
        <w:t>Liquor Act 2010</w:t>
      </w:r>
    </w:p>
    <w:p w:rsidR="00CA0F52" w:rsidRDefault="00CA0F52">
      <w:pPr>
        <w:rPr>
          <w:rFonts w:cs="Arial"/>
        </w:rPr>
      </w:pPr>
    </w:p>
    <w:p w:rsidR="00CA0F52" w:rsidRDefault="00CA0F52">
      <w:pPr>
        <w:numPr>
          <w:ilvl w:val="0"/>
          <w:numId w:val="27"/>
        </w:numPr>
        <w:rPr>
          <w:rFonts w:cs="Arial"/>
          <w:i/>
        </w:rPr>
      </w:pPr>
      <w:r>
        <w:rPr>
          <w:rFonts w:cs="Arial"/>
          <w:i/>
        </w:rPr>
        <w:t>Substitute ‘Children and Young People Act 1999’ in the development column of the Child care centre definition with:</w:t>
      </w:r>
    </w:p>
    <w:p w:rsidR="00CA0F52" w:rsidRDefault="00CA0F52">
      <w:pPr>
        <w:ind w:left="360"/>
        <w:rPr>
          <w:rFonts w:cs="Arial"/>
          <w:i/>
        </w:rPr>
      </w:pPr>
    </w:p>
    <w:p w:rsidR="00CA0F52" w:rsidRDefault="00CA0F52">
      <w:pPr>
        <w:ind w:left="720"/>
        <w:rPr>
          <w:rFonts w:cs="Arial"/>
        </w:rPr>
      </w:pPr>
      <w:r>
        <w:rPr>
          <w:rFonts w:cs="Arial"/>
        </w:rPr>
        <w:t>Children and Young People Act 2008</w:t>
      </w:r>
    </w:p>
    <w:p w:rsidR="00CA0F52" w:rsidRDefault="00CA0F52">
      <w:pPr>
        <w:rPr>
          <w:rFonts w:cs="Arial"/>
          <w:b/>
        </w:rPr>
      </w:pPr>
    </w:p>
    <w:p w:rsidR="00CA0F52" w:rsidRDefault="00CA0F52">
      <w:pPr>
        <w:rPr>
          <w:rFonts w:cs="Arial"/>
          <w:b/>
        </w:rPr>
      </w:pPr>
    </w:p>
    <w:p w:rsidR="00CA0F52" w:rsidRDefault="00CA0F52">
      <w:pPr>
        <w:rPr>
          <w:rFonts w:cs="Arial"/>
          <w:b/>
        </w:rPr>
      </w:pPr>
    </w:p>
    <w:p w:rsidR="00CA0F52" w:rsidRDefault="00CA0F52">
      <w:pPr>
        <w:rPr>
          <w:rFonts w:cs="Arial"/>
          <w:b/>
        </w:rPr>
      </w:pPr>
      <w:r>
        <w:rPr>
          <w:rFonts w:cs="Arial"/>
          <w:b/>
        </w:rPr>
        <w:t>Interpretation service</w:t>
      </w:r>
    </w:p>
    <w:p w:rsidR="00CA0F52" w:rsidRDefault="00CA0F52">
      <w:pPr>
        <w:rPr>
          <w:rFonts w:cs="Arial"/>
          <w:b/>
        </w:rPr>
      </w:pPr>
    </w:p>
    <w:p w:rsidR="00CA0F52" w:rsidRDefault="002A54DF">
      <w:pPr>
        <w:rPr>
          <w:rFonts w:cs="Arial"/>
          <w:color w:val="0066CC"/>
        </w:rPr>
      </w:pPr>
      <w:r>
        <w:rPr>
          <w:rFonts w:cs="Arial"/>
          <w:color w:val="0066CC"/>
        </w:rPr>
        <w:pict>
          <v:shape id="_x0000_i1027" type="#_x0000_t75" style="width:423pt;height:279pt" o:bordertopcolor="this" o:borderleftcolor="this" o:borderbottomcolor="this" o:borderrightcolor="this" fillcolor="window">
            <v:imagedata r:id="rId16" o:title=""/>
          </v:shape>
        </w:pict>
      </w:r>
    </w:p>
    <w:sectPr w:rsidR="00CA0F52">
      <w:footerReference w:type="default" r:id="rId17"/>
      <w:pgSz w:w="11906" w:h="16838" w:code="9"/>
      <w:pgMar w:top="1440" w:right="1418" w:bottom="1440" w:left="1418" w:header="709" w:footer="4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5B12" w:rsidRDefault="001C5B12">
      <w:r>
        <w:separator/>
      </w:r>
    </w:p>
  </w:endnote>
  <w:endnote w:type="continuationSeparator" w:id="0">
    <w:p w:rsidR="001C5B12" w:rsidRDefault="001C5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547" w:rsidRDefault="00C6254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F52" w:rsidRPr="00C62547" w:rsidRDefault="00C62547" w:rsidP="00C62547">
    <w:pPr>
      <w:pStyle w:val="Footer"/>
      <w:tabs>
        <w:tab w:val="clear" w:pos="4153"/>
        <w:tab w:val="clear" w:pos="8306"/>
        <w:tab w:val="left" w:pos="3375"/>
      </w:tabs>
      <w:jc w:val="center"/>
      <w:rPr>
        <w:rFonts w:cs="Arial"/>
        <w:sz w:val="14"/>
      </w:rPr>
    </w:pPr>
    <w:r w:rsidRPr="00C62547">
      <w:rPr>
        <w:rFonts w:cs="Arial"/>
        <w:sz w:val="14"/>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F52" w:rsidRPr="00C62547" w:rsidRDefault="00C62547" w:rsidP="00C62547">
    <w:pPr>
      <w:pStyle w:val="Footer"/>
      <w:jc w:val="center"/>
      <w:rPr>
        <w:rFonts w:cs="Arial"/>
        <w:sz w:val="14"/>
      </w:rPr>
    </w:pPr>
    <w:r w:rsidRPr="00C62547">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2D0B" w:rsidRDefault="008E7207">
    <w:pPr>
      <w:pStyle w:val="Footer"/>
      <w:jc w:val="center"/>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9.75pt;height:72.75pt" o:ole="" o:bordertopcolor="this" o:borderleftcolor="this" o:borderbottomcolor="this" o:borderrightcolor="this">
          <v:imagedata r:id="rId1" o:title="" croptop="5139f" cropleft="5549f"/>
        </v:shape>
        <o:OLEObject Type="Embed" ProgID="Imaging.Document" ShapeID="_x0000_i1026" DrawAspect="Content" ObjectID="_1598249192" r:id="rId2"/>
      </w:object>
    </w:r>
  </w:p>
  <w:p w:rsidR="00CA0F52" w:rsidRPr="00C62547" w:rsidRDefault="00C62547" w:rsidP="00C62547">
    <w:pPr>
      <w:pStyle w:val="Footer"/>
      <w:jc w:val="center"/>
      <w:rPr>
        <w:rFonts w:cs="Arial"/>
        <w:sz w:val="14"/>
      </w:rPr>
    </w:pPr>
    <w:r w:rsidRPr="00C62547">
      <w:rPr>
        <w:rFonts w:cs="Arial"/>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F52" w:rsidRDefault="00CA0F52">
    <w:pPr>
      <w:pStyle w:val="TAACTPLAlogo"/>
      <w:rPr>
        <w:rFonts w:cs="Arial"/>
        <w:sz w:val="20"/>
        <w:szCs w:val="20"/>
      </w:rPr>
    </w:pPr>
    <w:r>
      <w:rPr>
        <w:rFonts w:cs="Arial"/>
        <w:sz w:val="20"/>
        <w:szCs w:val="20"/>
      </w:rPr>
      <w:t>TA2011-03 April 2011</w:t>
    </w:r>
  </w:p>
  <w:p w:rsidR="009D2D0B" w:rsidRDefault="00CA0F52">
    <w:pPr>
      <w:pStyle w:val="Footer"/>
      <w:tabs>
        <w:tab w:val="clear" w:pos="4153"/>
        <w:tab w:val="clear" w:pos="8306"/>
        <w:tab w:val="left" w:pos="3375"/>
      </w:tabs>
      <w:jc w:val="center"/>
      <w:rPr>
        <w:rFonts w:cs="Arial"/>
        <w:snapToGrid w:val="0"/>
        <w:sz w:val="20"/>
      </w:rPr>
    </w:pPr>
    <w:r>
      <w:rPr>
        <w:rFonts w:cs="Arial"/>
        <w:snapToGrid w:val="0"/>
        <w:sz w:val="20"/>
      </w:rPr>
      <w:t xml:space="preserve">Page </w:t>
    </w:r>
    <w:r>
      <w:rPr>
        <w:rFonts w:cs="Arial"/>
        <w:snapToGrid w:val="0"/>
        <w:sz w:val="20"/>
      </w:rPr>
      <w:fldChar w:fldCharType="begin"/>
    </w:r>
    <w:r>
      <w:rPr>
        <w:rFonts w:cs="Arial"/>
        <w:snapToGrid w:val="0"/>
        <w:sz w:val="20"/>
      </w:rPr>
      <w:instrText xml:space="preserve"> PAGE </w:instrText>
    </w:r>
    <w:r>
      <w:rPr>
        <w:rFonts w:cs="Arial"/>
        <w:snapToGrid w:val="0"/>
        <w:sz w:val="20"/>
      </w:rPr>
      <w:fldChar w:fldCharType="separate"/>
    </w:r>
    <w:r w:rsidR="00C62547">
      <w:rPr>
        <w:rFonts w:cs="Arial"/>
        <w:noProof/>
        <w:snapToGrid w:val="0"/>
        <w:sz w:val="20"/>
      </w:rPr>
      <w:t>2</w:t>
    </w:r>
    <w:r>
      <w:rPr>
        <w:rFonts w:cs="Arial"/>
        <w:snapToGrid w:val="0"/>
        <w:sz w:val="20"/>
      </w:rPr>
      <w:fldChar w:fldCharType="end"/>
    </w:r>
    <w:r>
      <w:rPr>
        <w:rFonts w:cs="Arial"/>
        <w:snapToGrid w:val="0"/>
        <w:sz w:val="20"/>
      </w:rPr>
      <w:t xml:space="preserve"> of 11</w:t>
    </w:r>
  </w:p>
  <w:p w:rsidR="00CA0F52" w:rsidRPr="00C62547" w:rsidRDefault="00C62547" w:rsidP="00C62547">
    <w:pPr>
      <w:pStyle w:val="Footer"/>
      <w:tabs>
        <w:tab w:val="clear" w:pos="4153"/>
        <w:tab w:val="clear" w:pos="8306"/>
        <w:tab w:val="left" w:pos="3375"/>
      </w:tabs>
      <w:jc w:val="center"/>
      <w:rPr>
        <w:rFonts w:cs="Arial"/>
        <w:sz w:val="14"/>
      </w:rPr>
    </w:pPr>
    <w:r w:rsidRPr="00C62547">
      <w:rPr>
        <w:rFonts w:cs="Arial"/>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5B12" w:rsidRDefault="001C5B12">
      <w:r>
        <w:separator/>
      </w:r>
    </w:p>
  </w:footnote>
  <w:footnote w:type="continuationSeparator" w:id="0">
    <w:p w:rsidR="001C5B12" w:rsidRDefault="001C5B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547" w:rsidRDefault="00C6254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547" w:rsidRDefault="00C625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2547" w:rsidRDefault="00C6254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1B1363"/>
    <w:multiLevelType w:val="hybridMultilevel"/>
    <w:tmpl w:val="E42295E0"/>
    <w:lvl w:ilvl="0" w:tplc="FFFFFFFF">
      <w:start w:val="1"/>
      <w:numFmt w:val="lowerRoman"/>
      <w:lvlText w:val="(%1)"/>
      <w:lvlJc w:val="left"/>
      <w:pPr>
        <w:tabs>
          <w:tab w:val="num" w:pos="2061"/>
        </w:tabs>
        <w:ind w:left="2061" w:hanging="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 w15:restartNumberingAfterBreak="0">
    <w:nsid w:val="0F2401E2"/>
    <w:multiLevelType w:val="multilevel"/>
    <w:tmpl w:val="BE08C3F2"/>
    <w:lvl w:ilvl="0">
      <w:start w:val="1"/>
      <w:numFmt w:val="upperLetter"/>
      <w:lvlText w:val="%1"/>
      <w:lvlJc w:val="left"/>
      <w:pPr>
        <w:tabs>
          <w:tab w:val="num" w:pos="540"/>
        </w:tabs>
        <w:ind w:left="540" w:hanging="540"/>
      </w:pPr>
      <w:rPr>
        <w:rFonts w:ascii="Arial" w:hAnsi="Arial" w:cs="Times New Roman" w:hint="default"/>
        <w:b/>
        <w:i w:val="0"/>
      </w:rPr>
    </w:lvl>
    <w:lvl w:ilvl="1">
      <w:start w:val="1"/>
      <w:numFmt w:val="bullet"/>
      <w:lvlText w:val=""/>
      <w:lvlJc w:val="left"/>
      <w:pPr>
        <w:tabs>
          <w:tab w:val="num" w:pos="851"/>
        </w:tabs>
        <w:ind w:left="851" w:hanging="851"/>
      </w:pPr>
      <w:rPr>
        <w:rFonts w:ascii="Symbol" w:hAnsi="Symbol" w:hint="default"/>
        <w:b/>
        <w:i w:val="0"/>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15:restartNumberingAfterBreak="0">
    <w:nsid w:val="11D729BC"/>
    <w:multiLevelType w:val="hybridMultilevel"/>
    <w:tmpl w:val="9AC4F158"/>
    <w:lvl w:ilvl="0" w:tplc="0409000F">
      <w:start w:val="1"/>
      <w:numFmt w:val="decimal"/>
      <w:lvlText w:val="%1."/>
      <w:lvlJc w:val="left"/>
      <w:pPr>
        <w:tabs>
          <w:tab w:val="num" w:pos="1080"/>
        </w:tabs>
        <w:ind w:left="1080" w:hanging="360"/>
      </w:pPr>
      <w:rPr>
        <w:rFonts w:cs="Times New Roman"/>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189A0036"/>
    <w:multiLevelType w:val="hybridMultilevel"/>
    <w:tmpl w:val="92961DF2"/>
    <w:lvl w:ilvl="0" w:tplc="BB5EBB90">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800"/>
        </w:tabs>
        <w:ind w:left="1800" w:hanging="360"/>
      </w:pPr>
      <w:rPr>
        <w:rFonts w:cs="Times New Roman"/>
      </w:rPr>
    </w:lvl>
    <w:lvl w:ilvl="2" w:tplc="0C09001B" w:tentative="1">
      <w:start w:val="1"/>
      <w:numFmt w:val="lowerRoman"/>
      <w:lvlText w:val="%3."/>
      <w:lvlJc w:val="right"/>
      <w:pPr>
        <w:tabs>
          <w:tab w:val="num" w:pos="2520"/>
        </w:tabs>
        <w:ind w:left="2520" w:hanging="180"/>
      </w:pPr>
      <w:rPr>
        <w:rFonts w:cs="Times New Roman"/>
      </w:rPr>
    </w:lvl>
    <w:lvl w:ilvl="3" w:tplc="0C09000F" w:tentative="1">
      <w:start w:val="1"/>
      <w:numFmt w:val="decimal"/>
      <w:lvlText w:val="%4."/>
      <w:lvlJc w:val="left"/>
      <w:pPr>
        <w:tabs>
          <w:tab w:val="num" w:pos="3240"/>
        </w:tabs>
        <w:ind w:left="3240" w:hanging="360"/>
      </w:pPr>
      <w:rPr>
        <w:rFonts w:cs="Times New Roman"/>
      </w:rPr>
    </w:lvl>
    <w:lvl w:ilvl="4" w:tplc="0C090019" w:tentative="1">
      <w:start w:val="1"/>
      <w:numFmt w:val="lowerLetter"/>
      <w:lvlText w:val="%5."/>
      <w:lvlJc w:val="left"/>
      <w:pPr>
        <w:tabs>
          <w:tab w:val="num" w:pos="3960"/>
        </w:tabs>
        <w:ind w:left="3960" w:hanging="360"/>
      </w:pPr>
      <w:rPr>
        <w:rFonts w:cs="Times New Roman"/>
      </w:rPr>
    </w:lvl>
    <w:lvl w:ilvl="5" w:tplc="0C09001B" w:tentative="1">
      <w:start w:val="1"/>
      <w:numFmt w:val="lowerRoman"/>
      <w:lvlText w:val="%6."/>
      <w:lvlJc w:val="right"/>
      <w:pPr>
        <w:tabs>
          <w:tab w:val="num" w:pos="4680"/>
        </w:tabs>
        <w:ind w:left="4680" w:hanging="180"/>
      </w:pPr>
      <w:rPr>
        <w:rFonts w:cs="Times New Roman"/>
      </w:rPr>
    </w:lvl>
    <w:lvl w:ilvl="6" w:tplc="0C09000F" w:tentative="1">
      <w:start w:val="1"/>
      <w:numFmt w:val="decimal"/>
      <w:lvlText w:val="%7."/>
      <w:lvlJc w:val="left"/>
      <w:pPr>
        <w:tabs>
          <w:tab w:val="num" w:pos="5400"/>
        </w:tabs>
        <w:ind w:left="5400" w:hanging="360"/>
      </w:pPr>
      <w:rPr>
        <w:rFonts w:cs="Times New Roman"/>
      </w:rPr>
    </w:lvl>
    <w:lvl w:ilvl="7" w:tplc="0C090019" w:tentative="1">
      <w:start w:val="1"/>
      <w:numFmt w:val="lowerLetter"/>
      <w:lvlText w:val="%8."/>
      <w:lvlJc w:val="left"/>
      <w:pPr>
        <w:tabs>
          <w:tab w:val="num" w:pos="6120"/>
        </w:tabs>
        <w:ind w:left="6120" w:hanging="360"/>
      </w:pPr>
      <w:rPr>
        <w:rFonts w:cs="Times New Roman"/>
      </w:rPr>
    </w:lvl>
    <w:lvl w:ilvl="8" w:tplc="0C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1B2B0A16"/>
    <w:multiLevelType w:val="hybridMultilevel"/>
    <w:tmpl w:val="1D7C9F7E"/>
    <w:lvl w:ilvl="0" w:tplc="0C090015">
      <w:start w:val="5"/>
      <w:numFmt w:val="upperLetter"/>
      <w:lvlText w:val="%1."/>
      <w:lvlJc w:val="left"/>
      <w:pPr>
        <w:tabs>
          <w:tab w:val="num" w:pos="360"/>
        </w:tabs>
        <w:ind w:left="360" w:hanging="360"/>
      </w:pPr>
      <w:rPr>
        <w:rFonts w:cs="Times New Roman" w:hint="default"/>
      </w:rPr>
    </w:lvl>
    <w:lvl w:ilvl="1" w:tplc="0C090019" w:tentative="1">
      <w:start w:val="1"/>
      <w:numFmt w:val="lowerLetter"/>
      <w:lvlText w:val="%2."/>
      <w:lvlJc w:val="left"/>
      <w:pPr>
        <w:tabs>
          <w:tab w:val="num" w:pos="1080"/>
        </w:tabs>
        <w:ind w:left="1080" w:hanging="360"/>
      </w:pPr>
      <w:rPr>
        <w:rFonts w:cs="Times New Roman"/>
      </w:rPr>
    </w:lvl>
    <w:lvl w:ilvl="2" w:tplc="0C09001B" w:tentative="1">
      <w:start w:val="1"/>
      <w:numFmt w:val="lowerRoman"/>
      <w:lvlText w:val="%3."/>
      <w:lvlJc w:val="right"/>
      <w:pPr>
        <w:tabs>
          <w:tab w:val="num" w:pos="1800"/>
        </w:tabs>
        <w:ind w:left="1800" w:hanging="180"/>
      </w:pPr>
      <w:rPr>
        <w:rFonts w:cs="Times New Roman"/>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213D68AC"/>
    <w:multiLevelType w:val="hybridMultilevel"/>
    <w:tmpl w:val="AFD29784"/>
    <w:lvl w:ilvl="0" w:tplc="93966CE2">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80"/>
        </w:tabs>
        <w:ind w:left="-180" w:hanging="360"/>
      </w:pPr>
      <w:rPr>
        <w:rFonts w:cs="Times New Roman"/>
      </w:rPr>
    </w:lvl>
    <w:lvl w:ilvl="2" w:tplc="0C09001B" w:tentative="1">
      <w:start w:val="1"/>
      <w:numFmt w:val="lowerRoman"/>
      <w:lvlText w:val="%3."/>
      <w:lvlJc w:val="right"/>
      <w:pPr>
        <w:tabs>
          <w:tab w:val="num" w:pos="540"/>
        </w:tabs>
        <w:ind w:left="540" w:hanging="180"/>
      </w:pPr>
      <w:rPr>
        <w:rFonts w:cs="Times New Roman"/>
      </w:rPr>
    </w:lvl>
    <w:lvl w:ilvl="3" w:tplc="0C09000F" w:tentative="1">
      <w:start w:val="1"/>
      <w:numFmt w:val="decimal"/>
      <w:lvlText w:val="%4."/>
      <w:lvlJc w:val="left"/>
      <w:pPr>
        <w:tabs>
          <w:tab w:val="num" w:pos="1260"/>
        </w:tabs>
        <w:ind w:left="1260" w:hanging="360"/>
      </w:pPr>
      <w:rPr>
        <w:rFonts w:cs="Times New Roman"/>
      </w:rPr>
    </w:lvl>
    <w:lvl w:ilvl="4" w:tplc="0C090019" w:tentative="1">
      <w:start w:val="1"/>
      <w:numFmt w:val="lowerLetter"/>
      <w:lvlText w:val="%5."/>
      <w:lvlJc w:val="left"/>
      <w:pPr>
        <w:tabs>
          <w:tab w:val="num" w:pos="1980"/>
        </w:tabs>
        <w:ind w:left="1980" w:hanging="360"/>
      </w:pPr>
      <w:rPr>
        <w:rFonts w:cs="Times New Roman"/>
      </w:rPr>
    </w:lvl>
    <w:lvl w:ilvl="5" w:tplc="0C09001B" w:tentative="1">
      <w:start w:val="1"/>
      <w:numFmt w:val="lowerRoman"/>
      <w:lvlText w:val="%6."/>
      <w:lvlJc w:val="right"/>
      <w:pPr>
        <w:tabs>
          <w:tab w:val="num" w:pos="2700"/>
        </w:tabs>
        <w:ind w:left="2700" w:hanging="180"/>
      </w:pPr>
      <w:rPr>
        <w:rFonts w:cs="Times New Roman"/>
      </w:rPr>
    </w:lvl>
    <w:lvl w:ilvl="6" w:tplc="0C09000F" w:tentative="1">
      <w:start w:val="1"/>
      <w:numFmt w:val="decimal"/>
      <w:lvlText w:val="%7."/>
      <w:lvlJc w:val="left"/>
      <w:pPr>
        <w:tabs>
          <w:tab w:val="num" w:pos="3420"/>
        </w:tabs>
        <w:ind w:left="3420" w:hanging="360"/>
      </w:pPr>
      <w:rPr>
        <w:rFonts w:cs="Times New Roman"/>
      </w:rPr>
    </w:lvl>
    <w:lvl w:ilvl="7" w:tplc="0C090019" w:tentative="1">
      <w:start w:val="1"/>
      <w:numFmt w:val="lowerLetter"/>
      <w:lvlText w:val="%8."/>
      <w:lvlJc w:val="left"/>
      <w:pPr>
        <w:tabs>
          <w:tab w:val="num" w:pos="4140"/>
        </w:tabs>
        <w:ind w:left="4140" w:hanging="360"/>
      </w:pPr>
      <w:rPr>
        <w:rFonts w:cs="Times New Roman"/>
      </w:rPr>
    </w:lvl>
    <w:lvl w:ilvl="8" w:tplc="0C09001B" w:tentative="1">
      <w:start w:val="1"/>
      <w:numFmt w:val="lowerRoman"/>
      <w:lvlText w:val="%9."/>
      <w:lvlJc w:val="right"/>
      <w:pPr>
        <w:tabs>
          <w:tab w:val="num" w:pos="4860"/>
        </w:tabs>
        <w:ind w:left="4860" w:hanging="180"/>
      </w:pPr>
      <w:rPr>
        <w:rFonts w:cs="Times New Roman"/>
      </w:rPr>
    </w:lvl>
  </w:abstractNum>
  <w:abstractNum w:abstractNumId="6" w15:restartNumberingAfterBreak="0">
    <w:nsid w:val="276D49B6"/>
    <w:multiLevelType w:val="hybridMultilevel"/>
    <w:tmpl w:val="BE08C3F2"/>
    <w:lvl w:ilvl="0" w:tplc="73BA0FB0">
      <w:start w:val="1"/>
      <w:numFmt w:val="upperLetter"/>
      <w:lvlText w:val="%1"/>
      <w:lvlJc w:val="left"/>
      <w:pPr>
        <w:tabs>
          <w:tab w:val="num" w:pos="540"/>
        </w:tabs>
        <w:ind w:left="540" w:hanging="540"/>
      </w:pPr>
      <w:rPr>
        <w:rFonts w:ascii="Arial" w:hAnsi="Arial" w:cs="Times New Roman" w:hint="default"/>
        <w:b/>
        <w:i w:val="0"/>
      </w:rPr>
    </w:lvl>
    <w:lvl w:ilvl="1" w:tplc="266C4E8C">
      <w:start w:val="1"/>
      <w:numFmt w:val="bullet"/>
      <w:lvlText w:val=""/>
      <w:lvlJc w:val="left"/>
      <w:pPr>
        <w:tabs>
          <w:tab w:val="num" w:pos="851"/>
        </w:tabs>
        <w:ind w:left="851" w:hanging="851"/>
      </w:pPr>
      <w:rPr>
        <w:rFonts w:ascii="Symbol" w:hAnsi="Symbol" w:hint="default"/>
        <w:b/>
        <w:i w:val="0"/>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85876A1"/>
    <w:multiLevelType w:val="multilevel"/>
    <w:tmpl w:val="9AE0F52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980"/>
        </w:tabs>
        <w:ind w:left="1980" w:hanging="360"/>
      </w:pPr>
      <w:rPr>
        <w:rFonts w:cs="Times New Roman" w:hint="default"/>
        <w:i/>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8" w15:restartNumberingAfterBreak="0">
    <w:nsid w:val="2CF15A8F"/>
    <w:multiLevelType w:val="hybridMultilevel"/>
    <w:tmpl w:val="3944506E"/>
    <w:lvl w:ilvl="0" w:tplc="0C090015">
      <w:start w:val="2"/>
      <w:numFmt w:val="upp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2EB461CC"/>
    <w:multiLevelType w:val="hybridMultilevel"/>
    <w:tmpl w:val="73B0B9CC"/>
    <w:lvl w:ilvl="0" w:tplc="0C090017">
      <w:start w:val="2"/>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0" w15:restartNumberingAfterBreak="0">
    <w:nsid w:val="33870005"/>
    <w:multiLevelType w:val="hybridMultilevel"/>
    <w:tmpl w:val="01DCA9CC"/>
    <w:lvl w:ilvl="0" w:tplc="2EC229BE">
      <w:start w:val="1"/>
      <w:numFmt w:val="bullet"/>
      <w:lvlText w:val=""/>
      <w:lvlJc w:val="left"/>
      <w:pPr>
        <w:tabs>
          <w:tab w:val="num" w:pos="1211"/>
        </w:tabs>
        <w:ind w:left="1211" w:hanging="284"/>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34CB05F3"/>
    <w:multiLevelType w:val="hybridMultilevel"/>
    <w:tmpl w:val="D68A076E"/>
    <w:lvl w:ilvl="0" w:tplc="BAACDE82">
      <w:start w:val="1"/>
      <w:numFmt w:val="decimal"/>
      <w:pStyle w:val="TAeditorialitemerrorheading"/>
      <w:lvlText w:val="M%1."/>
      <w:lvlJc w:val="left"/>
      <w:pPr>
        <w:tabs>
          <w:tab w:val="num" w:pos="720"/>
        </w:tabs>
        <w:ind w:left="720" w:hanging="720"/>
      </w:pPr>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6A639C7"/>
    <w:multiLevelType w:val="multilevel"/>
    <w:tmpl w:val="1952D3BC"/>
    <w:lvl w:ilvl="0">
      <w:start w:val="1"/>
      <w:numFmt w:val="upperLetter"/>
      <w:lvlText w:val="%1"/>
      <w:lvlJc w:val="left"/>
      <w:pPr>
        <w:tabs>
          <w:tab w:val="num" w:pos="540"/>
        </w:tabs>
        <w:ind w:left="540" w:hanging="540"/>
      </w:pPr>
      <w:rPr>
        <w:rFonts w:ascii="Arial" w:hAnsi="Arial" w:cs="Times New Roman" w:hint="default"/>
        <w:b/>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15:restartNumberingAfterBreak="0">
    <w:nsid w:val="3BBE1870"/>
    <w:multiLevelType w:val="multilevel"/>
    <w:tmpl w:val="AD9604A2"/>
    <w:lvl w:ilvl="0">
      <w:start w:val="1"/>
      <w:numFmt w:val="decimal"/>
      <w:pStyle w:val="condition"/>
      <w:lvlText w:val="%1."/>
      <w:lvlJc w:val="left"/>
      <w:pPr>
        <w:tabs>
          <w:tab w:val="num" w:pos="567"/>
        </w:tabs>
        <w:ind w:left="567" w:hanging="567"/>
      </w:pPr>
      <w:rPr>
        <w:rFonts w:cs="Times New Roman"/>
      </w:rPr>
    </w:lvl>
    <w:lvl w:ilvl="1">
      <w:start w:val="1"/>
      <w:numFmt w:val="lowerLetter"/>
      <w:lvlText w:val="(%2)"/>
      <w:lvlJc w:val="left"/>
      <w:pPr>
        <w:tabs>
          <w:tab w:val="num" w:pos="1134"/>
        </w:tabs>
        <w:ind w:left="1134" w:hanging="567"/>
      </w:pPr>
      <w:rPr>
        <w:rFonts w:cs="Times New Roman"/>
      </w:rPr>
    </w:lvl>
    <w:lvl w:ilvl="2">
      <w:start w:val="1"/>
      <w:numFmt w:val="lowerRoman"/>
      <w:lvlText w:val="(%3)"/>
      <w:lvlJc w:val="left"/>
      <w:pPr>
        <w:tabs>
          <w:tab w:val="num" w:pos="1854"/>
        </w:tabs>
        <w:ind w:left="1701" w:hanging="567"/>
      </w:pPr>
      <w:rPr>
        <w:rFonts w:cs="Times New Roman"/>
      </w:r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15:restartNumberingAfterBreak="0">
    <w:nsid w:val="42F60812"/>
    <w:multiLevelType w:val="hybridMultilevel"/>
    <w:tmpl w:val="0972A25A"/>
    <w:lvl w:ilvl="0" w:tplc="0C090017">
      <w:start w:val="2"/>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492A06AD"/>
    <w:multiLevelType w:val="hybridMultilevel"/>
    <w:tmpl w:val="E846823A"/>
    <w:lvl w:ilvl="0" w:tplc="56881DAA">
      <w:start w:val="1"/>
      <w:numFmt w:val="upperLetter"/>
      <w:lvlText w:val="%1."/>
      <w:lvlJc w:val="left"/>
      <w:pPr>
        <w:tabs>
          <w:tab w:val="num" w:pos="540"/>
        </w:tabs>
        <w:ind w:left="540" w:hanging="540"/>
      </w:pPr>
      <w:rPr>
        <w:rFonts w:ascii="Arial" w:hAnsi="Arial" w:cs="Arial" w:hint="default"/>
      </w:rPr>
    </w:lvl>
    <w:lvl w:ilvl="1" w:tplc="0409000F">
      <w:start w:val="1"/>
      <w:numFmt w:val="decimal"/>
      <w:lvlText w:val="%2."/>
      <w:lvlJc w:val="left"/>
      <w:pPr>
        <w:tabs>
          <w:tab w:val="num" w:pos="1440"/>
        </w:tabs>
        <w:ind w:left="1440" w:hanging="36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53093743"/>
    <w:multiLevelType w:val="hybridMultilevel"/>
    <w:tmpl w:val="7D5A485A"/>
    <w:lvl w:ilvl="0" w:tplc="93966CE2">
      <w:start w:val="1"/>
      <w:numFmt w:val="lowerLetter"/>
      <w:lvlText w:val="%1)"/>
      <w:lvlJc w:val="left"/>
      <w:pPr>
        <w:tabs>
          <w:tab w:val="num" w:pos="720"/>
        </w:tabs>
        <w:ind w:left="720" w:hanging="360"/>
      </w:pPr>
      <w:rPr>
        <w:rFonts w:cs="Times New Roman" w:hint="default"/>
      </w:rPr>
    </w:lvl>
    <w:lvl w:ilvl="1" w:tplc="0C090019" w:tentative="1">
      <w:start w:val="1"/>
      <w:numFmt w:val="lowerLetter"/>
      <w:lvlText w:val="%2."/>
      <w:lvlJc w:val="left"/>
      <w:pPr>
        <w:tabs>
          <w:tab w:val="num" w:pos="-180"/>
        </w:tabs>
        <w:ind w:left="-180" w:hanging="360"/>
      </w:pPr>
      <w:rPr>
        <w:rFonts w:cs="Times New Roman"/>
      </w:rPr>
    </w:lvl>
    <w:lvl w:ilvl="2" w:tplc="0C09001B" w:tentative="1">
      <w:start w:val="1"/>
      <w:numFmt w:val="lowerRoman"/>
      <w:lvlText w:val="%3."/>
      <w:lvlJc w:val="right"/>
      <w:pPr>
        <w:tabs>
          <w:tab w:val="num" w:pos="540"/>
        </w:tabs>
        <w:ind w:left="540" w:hanging="180"/>
      </w:pPr>
      <w:rPr>
        <w:rFonts w:cs="Times New Roman"/>
      </w:rPr>
    </w:lvl>
    <w:lvl w:ilvl="3" w:tplc="0C09000F" w:tentative="1">
      <w:start w:val="1"/>
      <w:numFmt w:val="decimal"/>
      <w:lvlText w:val="%4."/>
      <w:lvlJc w:val="left"/>
      <w:pPr>
        <w:tabs>
          <w:tab w:val="num" w:pos="1260"/>
        </w:tabs>
        <w:ind w:left="1260" w:hanging="360"/>
      </w:pPr>
      <w:rPr>
        <w:rFonts w:cs="Times New Roman"/>
      </w:rPr>
    </w:lvl>
    <w:lvl w:ilvl="4" w:tplc="0C090019" w:tentative="1">
      <w:start w:val="1"/>
      <w:numFmt w:val="lowerLetter"/>
      <w:lvlText w:val="%5."/>
      <w:lvlJc w:val="left"/>
      <w:pPr>
        <w:tabs>
          <w:tab w:val="num" w:pos="1980"/>
        </w:tabs>
        <w:ind w:left="1980" w:hanging="360"/>
      </w:pPr>
      <w:rPr>
        <w:rFonts w:cs="Times New Roman"/>
      </w:rPr>
    </w:lvl>
    <w:lvl w:ilvl="5" w:tplc="0C09001B" w:tentative="1">
      <w:start w:val="1"/>
      <w:numFmt w:val="lowerRoman"/>
      <w:lvlText w:val="%6."/>
      <w:lvlJc w:val="right"/>
      <w:pPr>
        <w:tabs>
          <w:tab w:val="num" w:pos="2700"/>
        </w:tabs>
        <w:ind w:left="2700" w:hanging="180"/>
      </w:pPr>
      <w:rPr>
        <w:rFonts w:cs="Times New Roman"/>
      </w:rPr>
    </w:lvl>
    <w:lvl w:ilvl="6" w:tplc="0C09000F" w:tentative="1">
      <w:start w:val="1"/>
      <w:numFmt w:val="decimal"/>
      <w:lvlText w:val="%7."/>
      <w:lvlJc w:val="left"/>
      <w:pPr>
        <w:tabs>
          <w:tab w:val="num" w:pos="3420"/>
        </w:tabs>
        <w:ind w:left="3420" w:hanging="360"/>
      </w:pPr>
      <w:rPr>
        <w:rFonts w:cs="Times New Roman"/>
      </w:rPr>
    </w:lvl>
    <w:lvl w:ilvl="7" w:tplc="0C090019" w:tentative="1">
      <w:start w:val="1"/>
      <w:numFmt w:val="lowerLetter"/>
      <w:lvlText w:val="%8."/>
      <w:lvlJc w:val="left"/>
      <w:pPr>
        <w:tabs>
          <w:tab w:val="num" w:pos="4140"/>
        </w:tabs>
        <w:ind w:left="4140" w:hanging="360"/>
      </w:pPr>
      <w:rPr>
        <w:rFonts w:cs="Times New Roman"/>
      </w:rPr>
    </w:lvl>
    <w:lvl w:ilvl="8" w:tplc="0C09001B" w:tentative="1">
      <w:start w:val="1"/>
      <w:numFmt w:val="lowerRoman"/>
      <w:lvlText w:val="%9."/>
      <w:lvlJc w:val="right"/>
      <w:pPr>
        <w:tabs>
          <w:tab w:val="num" w:pos="4860"/>
        </w:tabs>
        <w:ind w:left="4860" w:hanging="180"/>
      </w:pPr>
      <w:rPr>
        <w:rFonts w:cs="Times New Roman"/>
      </w:rPr>
    </w:lvl>
  </w:abstractNum>
  <w:abstractNum w:abstractNumId="17" w15:restartNumberingAfterBreak="0">
    <w:nsid w:val="56FE091E"/>
    <w:multiLevelType w:val="hybridMultilevel"/>
    <w:tmpl w:val="645CB1F8"/>
    <w:lvl w:ilvl="0" w:tplc="0C090017">
      <w:start w:val="2"/>
      <w:numFmt w:val="lowerLetter"/>
      <w:lvlText w:val="%1)"/>
      <w:lvlJc w:val="left"/>
      <w:pPr>
        <w:tabs>
          <w:tab w:val="num" w:pos="720"/>
        </w:tabs>
        <w:ind w:left="720" w:hanging="360"/>
      </w:pPr>
      <w:rPr>
        <w:rFonts w:cs="Times New Roman" w:hint="default"/>
        <w:i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8" w15:restartNumberingAfterBreak="0">
    <w:nsid w:val="5720313C"/>
    <w:multiLevelType w:val="hybridMultilevel"/>
    <w:tmpl w:val="1B24B380"/>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5D7D4242"/>
    <w:multiLevelType w:val="hybridMultilevel"/>
    <w:tmpl w:val="D5DE5AEA"/>
    <w:lvl w:ilvl="0" w:tplc="04090001">
      <w:start w:val="5"/>
      <w:numFmt w:val="upperLetter"/>
      <w:lvlText w:val="%1."/>
      <w:lvlJc w:val="left"/>
      <w:pPr>
        <w:tabs>
          <w:tab w:val="num" w:pos="720"/>
        </w:tabs>
        <w:ind w:left="720" w:hanging="360"/>
      </w:pPr>
      <w:rPr>
        <w:rFonts w:cs="Times New Roman" w:hint="default"/>
      </w:rPr>
    </w:lvl>
    <w:lvl w:ilvl="1" w:tplc="0C090003" w:tentative="1">
      <w:start w:val="1"/>
      <w:numFmt w:val="lowerLetter"/>
      <w:lvlText w:val="%2."/>
      <w:lvlJc w:val="left"/>
      <w:pPr>
        <w:tabs>
          <w:tab w:val="num" w:pos="1440"/>
        </w:tabs>
        <w:ind w:left="1440" w:hanging="360"/>
      </w:pPr>
      <w:rPr>
        <w:rFonts w:cs="Times New Roman"/>
      </w:rPr>
    </w:lvl>
    <w:lvl w:ilvl="2" w:tplc="0C090005" w:tentative="1">
      <w:start w:val="1"/>
      <w:numFmt w:val="lowerRoman"/>
      <w:lvlText w:val="%3."/>
      <w:lvlJc w:val="right"/>
      <w:pPr>
        <w:tabs>
          <w:tab w:val="num" w:pos="2160"/>
        </w:tabs>
        <w:ind w:left="2160" w:hanging="180"/>
      </w:pPr>
      <w:rPr>
        <w:rFonts w:cs="Times New Roman"/>
      </w:rPr>
    </w:lvl>
    <w:lvl w:ilvl="3" w:tplc="0C090001" w:tentative="1">
      <w:start w:val="1"/>
      <w:numFmt w:val="decimal"/>
      <w:lvlText w:val="%4."/>
      <w:lvlJc w:val="left"/>
      <w:pPr>
        <w:tabs>
          <w:tab w:val="num" w:pos="2880"/>
        </w:tabs>
        <w:ind w:left="2880" w:hanging="360"/>
      </w:pPr>
      <w:rPr>
        <w:rFonts w:cs="Times New Roman"/>
      </w:rPr>
    </w:lvl>
    <w:lvl w:ilvl="4" w:tplc="0C090003" w:tentative="1">
      <w:start w:val="1"/>
      <w:numFmt w:val="lowerLetter"/>
      <w:lvlText w:val="%5."/>
      <w:lvlJc w:val="left"/>
      <w:pPr>
        <w:tabs>
          <w:tab w:val="num" w:pos="3600"/>
        </w:tabs>
        <w:ind w:left="3600" w:hanging="360"/>
      </w:pPr>
      <w:rPr>
        <w:rFonts w:cs="Times New Roman"/>
      </w:rPr>
    </w:lvl>
    <w:lvl w:ilvl="5" w:tplc="0C090005" w:tentative="1">
      <w:start w:val="1"/>
      <w:numFmt w:val="lowerRoman"/>
      <w:lvlText w:val="%6."/>
      <w:lvlJc w:val="right"/>
      <w:pPr>
        <w:tabs>
          <w:tab w:val="num" w:pos="4320"/>
        </w:tabs>
        <w:ind w:left="4320" w:hanging="180"/>
      </w:pPr>
      <w:rPr>
        <w:rFonts w:cs="Times New Roman"/>
      </w:rPr>
    </w:lvl>
    <w:lvl w:ilvl="6" w:tplc="0C090001" w:tentative="1">
      <w:start w:val="1"/>
      <w:numFmt w:val="decimal"/>
      <w:lvlText w:val="%7."/>
      <w:lvlJc w:val="left"/>
      <w:pPr>
        <w:tabs>
          <w:tab w:val="num" w:pos="5040"/>
        </w:tabs>
        <w:ind w:left="5040" w:hanging="360"/>
      </w:pPr>
      <w:rPr>
        <w:rFonts w:cs="Times New Roman"/>
      </w:rPr>
    </w:lvl>
    <w:lvl w:ilvl="7" w:tplc="0C090003" w:tentative="1">
      <w:start w:val="1"/>
      <w:numFmt w:val="lowerLetter"/>
      <w:lvlText w:val="%8."/>
      <w:lvlJc w:val="left"/>
      <w:pPr>
        <w:tabs>
          <w:tab w:val="num" w:pos="5760"/>
        </w:tabs>
        <w:ind w:left="5760" w:hanging="360"/>
      </w:pPr>
      <w:rPr>
        <w:rFonts w:cs="Times New Roman"/>
      </w:rPr>
    </w:lvl>
    <w:lvl w:ilvl="8" w:tplc="0C090005" w:tentative="1">
      <w:start w:val="1"/>
      <w:numFmt w:val="lowerRoman"/>
      <w:lvlText w:val="%9."/>
      <w:lvlJc w:val="right"/>
      <w:pPr>
        <w:tabs>
          <w:tab w:val="num" w:pos="6480"/>
        </w:tabs>
        <w:ind w:left="6480" w:hanging="180"/>
      </w:pPr>
      <w:rPr>
        <w:rFonts w:cs="Times New Roman"/>
      </w:rPr>
    </w:lvl>
  </w:abstractNum>
  <w:abstractNum w:abstractNumId="20" w15:restartNumberingAfterBreak="0">
    <w:nsid w:val="5EBA5526"/>
    <w:multiLevelType w:val="hybridMultilevel"/>
    <w:tmpl w:val="791ED2D4"/>
    <w:lvl w:ilvl="0" w:tplc="92C0445E">
      <w:start w:val="1"/>
      <w:numFmt w:val="decimal"/>
      <w:lvlText w:val="%1."/>
      <w:lvlJc w:val="left"/>
      <w:pPr>
        <w:tabs>
          <w:tab w:val="num" w:pos="360"/>
        </w:tabs>
        <w:ind w:left="360" w:hanging="360"/>
      </w:pPr>
      <w:rPr>
        <w:rFonts w:cs="Times New Roman"/>
        <w:b/>
        <w:i w:val="0"/>
      </w:rPr>
    </w:lvl>
    <w:lvl w:ilvl="1" w:tplc="0C090019">
      <w:start w:val="1"/>
      <w:numFmt w:val="lowerLetter"/>
      <w:lvlText w:val="%2."/>
      <w:lvlJc w:val="left"/>
      <w:pPr>
        <w:tabs>
          <w:tab w:val="num" w:pos="1080"/>
        </w:tabs>
        <w:ind w:left="1080" w:hanging="360"/>
      </w:pPr>
      <w:rPr>
        <w:rFonts w:cs="Times New Roman"/>
      </w:rPr>
    </w:lvl>
    <w:lvl w:ilvl="2" w:tplc="0C09001B">
      <w:start w:val="1"/>
      <w:numFmt w:val="lowerLetter"/>
      <w:lvlText w:val="%3)"/>
      <w:lvlJc w:val="left"/>
      <w:pPr>
        <w:tabs>
          <w:tab w:val="num" w:pos="1980"/>
        </w:tabs>
        <w:ind w:left="1980" w:hanging="360"/>
      </w:pPr>
      <w:rPr>
        <w:rFonts w:cs="Times New Roman" w:hint="default"/>
        <w:i/>
      </w:rPr>
    </w:lvl>
    <w:lvl w:ilvl="3" w:tplc="0C09000F" w:tentative="1">
      <w:start w:val="1"/>
      <w:numFmt w:val="decimal"/>
      <w:lvlText w:val="%4."/>
      <w:lvlJc w:val="left"/>
      <w:pPr>
        <w:tabs>
          <w:tab w:val="num" w:pos="2520"/>
        </w:tabs>
        <w:ind w:left="2520" w:hanging="360"/>
      </w:pPr>
      <w:rPr>
        <w:rFonts w:cs="Times New Roman"/>
      </w:rPr>
    </w:lvl>
    <w:lvl w:ilvl="4" w:tplc="0C090019" w:tentative="1">
      <w:start w:val="1"/>
      <w:numFmt w:val="lowerLetter"/>
      <w:lvlText w:val="%5."/>
      <w:lvlJc w:val="left"/>
      <w:pPr>
        <w:tabs>
          <w:tab w:val="num" w:pos="3240"/>
        </w:tabs>
        <w:ind w:left="3240" w:hanging="360"/>
      </w:pPr>
      <w:rPr>
        <w:rFonts w:cs="Times New Roman"/>
      </w:rPr>
    </w:lvl>
    <w:lvl w:ilvl="5" w:tplc="0C09001B" w:tentative="1">
      <w:start w:val="1"/>
      <w:numFmt w:val="lowerRoman"/>
      <w:lvlText w:val="%6."/>
      <w:lvlJc w:val="right"/>
      <w:pPr>
        <w:tabs>
          <w:tab w:val="num" w:pos="3960"/>
        </w:tabs>
        <w:ind w:left="3960" w:hanging="180"/>
      </w:pPr>
      <w:rPr>
        <w:rFonts w:cs="Times New Roman"/>
      </w:rPr>
    </w:lvl>
    <w:lvl w:ilvl="6" w:tplc="0C09000F" w:tentative="1">
      <w:start w:val="1"/>
      <w:numFmt w:val="decimal"/>
      <w:lvlText w:val="%7."/>
      <w:lvlJc w:val="left"/>
      <w:pPr>
        <w:tabs>
          <w:tab w:val="num" w:pos="4680"/>
        </w:tabs>
        <w:ind w:left="4680" w:hanging="360"/>
      </w:pPr>
      <w:rPr>
        <w:rFonts w:cs="Times New Roman"/>
      </w:rPr>
    </w:lvl>
    <w:lvl w:ilvl="7" w:tplc="0C090019" w:tentative="1">
      <w:start w:val="1"/>
      <w:numFmt w:val="lowerLetter"/>
      <w:lvlText w:val="%8."/>
      <w:lvlJc w:val="left"/>
      <w:pPr>
        <w:tabs>
          <w:tab w:val="num" w:pos="5400"/>
        </w:tabs>
        <w:ind w:left="5400" w:hanging="360"/>
      </w:pPr>
      <w:rPr>
        <w:rFonts w:cs="Times New Roman"/>
      </w:rPr>
    </w:lvl>
    <w:lvl w:ilvl="8" w:tplc="0C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65E13AE1"/>
    <w:multiLevelType w:val="multilevel"/>
    <w:tmpl w:val="E81E8606"/>
    <w:lvl w:ilvl="0">
      <w:start w:val="1"/>
      <w:numFmt w:val="decimal"/>
      <w:pStyle w:val="CritList"/>
      <w:suff w:val="space"/>
      <w:lvlText w:val="C%1"/>
      <w:lvlJc w:val="left"/>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1">
      <w:start w:val="1"/>
      <w:numFmt w:val="none"/>
      <w:lvlText w:val="%2"/>
      <w:lvlJc w:val="left"/>
      <w:pPr>
        <w:tabs>
          <w:tab w:val="num" w:pos="0"/>
        </w:tabs>
      </w:pPr>
      <w:rPr>
        <w:rFonts w:cs="Times New Roman" w:hint="default"/>
        <w:color w:val="auto"/>
      </w:rPr>
    </w:lvl>
    <w:lvl w:ilvl="2">
      <w:start w:val="1"/>
      <w:numFmt w:val="lowerLetter"/>
      <w:lvlText w:val="%3)"/>
      <w:lvlJc w:val="left"/>
      <w:pPr>
        <w:tabs>
          <w:tab w:val="num" w:pos="360"/>
        </w:tabs>
        <w:ind w:left="360" w:hanging="360"/>
      </w:pPr>
      <w:rPr>
        <w:rFonts w:ascii="Arial" w:hAnsi="Arial"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0"/>
        <w:szCs w:val="20"/>
        <w:u w:val="none" w:color="000000"/>
        <w:vertAlign w:val="baseline"/>
      </w:rPr>
    </w:lvl>
    <w:lvl w:ilvl="3">
      <w:start w:val="1"/>
      <w:numFmt w:val="lowerLetter"/>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2" w15:restartNumberingAfterBreak="0">
    <w:nsid w:val="686A67B8"/>
    <w:multiLevelType w:val="hybridMultilevel"/>
    <w:tmpl w:val="853CDE78"/>
    <w:lvl w:ilvl="0" w:tplc="FFFFFFFF">
      <w:start w:val="2"/>
      <w:numFmt w:val="lowerLetter"/>
      <w:lvlText w:val="%1)"/>
      <w:lvlJc w:val="left"/>
      <w:pPr>
        <w:tabs>
          <w:tab w:val="num" w:pos="720"/>
        </w:tabs>
        <w:ind w:left="720" w:hanging="360"/>
      </w:pPr>
      <w:rPr>
        <w:rFonts w:cs="Times New Roman" w:hint="default"/>
        <w:sz w:val="24"/>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15:restartNumberingAfterBreak="0">
    <w:nsid w:val="68D92B3A"/>
    <w:multiLevelType w:val="multilevel"/>
    <w:tmpl w:val="AFD29784"/>
    <w:lvl w:ilvl="0">
      <w:start w:val="1"/>
      <w:numFmt w:val="lowerLetter"/>
      <w:lvlText w:val="%1)"/>
      <w:lvlJc w:val="left"/>
      <w:pPr>
        <w:tabs>
          <w:tab w:val="num" w:pos="720"/>
        </w:tabs>
        <w:ind w:left="720" w:hanging="360"/>
      </w:pPr>
      <w:rPr>
        <w:rFonts w:cs="Times New Roman" w:hint="default"/>
      </w:rPr>
    </w:lvl>
    <w:lvl w:ilvl="1">
      <w:start w:val="1"/>
      <w:numFmt w:val="lowerLetter"/>
      <w:lvlText w:val="%2."/>
      <w:lvlJc w:val="left"/>
      <w:pPr>
        <w:tabs>
          <w:tab w:val="num" w:pos="-180"/>
        </w:tabs>
        <w:ind w:left="-180" w:hanging="360"/>
      </w:pPr>
      <w:rPr>
        <w:rFonts w:cs="Times New Roman"/>
      </w:rPr>
    </w:lvl>
    <w:lvl w:ilvl="2">
      <w:start w:val="1"/>
      <w:numFmt w:val="lowerRoman"/>
      <w:lvlText w:val="%3."/>
      <w:lvlJc w:val="right"/>
      <w:pPr>
        <w:tabs>
          <w:tab w:val="num" w:pos="540"/>
        </w:tabs>
        <w:ind w:left="540" w:hanging="180"/>
      </w:pPr>
      <w:rPr>
        <w:rFonts w:cs="Times New Roman"/>
      </w:rPr>
    </w:lvl>
    <w:lvl w:ilvl="3">
      <w:start w:val="1"/>
      <w:numFmt w:val="decimal"/>
      <w:lvlText w:val="%4."/>
      <w:lvlJc w:val="left"/>
      <w:pPr>
        <w:tabs>
          <w:tab w:val="num" w:pos="1260"/>
        </w:tabs>
        <w:ind w:left="1260" w:hanging="360"/>
      </w:pPr>
      <w:rPr>
        <w:rFonts w:cs="Times New Roman"/>
      </w:rPr>
    </w:lvl>
    <w:lvl w:ilvl="4">
      <w:start w:val="1"/>
      <w:numFmt w:val="lowerLetter"/>
      <w:lvlText w:val="%5."/>
      <w:lvlJc w:val="left"/>
      <w:pPr>
        <w:tabs>
          <w:tab w:val="num" w:pos="1980"/>
        </w:tabs>
        <w:ind w:left="1980" w:hanging="360"/>
      </w:pPr>
      <w:rPr>
        <w:rFonts w:cs="Times New Roman"/>
      </w:rPr>
    </w:lvl>
    <w:lvl w:ilvl="5">
      <w:start w:val="1"/>
      <w:numFmt w:val="lowerRoman"/>
      <w:lvlText w:val="%6."/>
      <w:lvlJc w:val="right"/>
      <w:pPr>
        <w:tabs>
          <w:tab w:val="num" w:pos="2700"/>
        </w:tabs>
        <w:ind w:left="2700" w:hanging="180"/>
      </w:pPr>
      <w:rPr>
        <w:rFonts w:cs="Times New Roman"/>
      </w:rPr>
    </w:lvl>
    <w:lvl w:ilvl="6">
      <w:start w:val="1"/>
      <w:numFmt w:val="decimal"/>
      <w:lvlText w:val="%7."/>
      <w:lvlJc w:val="left"/>
      <w:pPr>
        <w:tabs>
          <w:tab w:val="num" w:pos="3420"/>
        </w:tabs>
        <w:ind w:left="3420" w:hanging="360"/>
      </w:pPr>
      <w:rPr>
        <w:rFonts w:cs="Times New Roman"/>
      </w:rPr>
    </w:lvl>
    <w:lvl w:ilvl="7">
      <w:start w:val="1"/>
      <w:numFmt w:val="lowerLetter"/>
      <w:lvlText w:val="%8."/>
      <w:lvlJc w:val="left"/>
      <w:pPr>
        <w:tabs>
          <w:tab w:val="num" w:pos="4140"/>
        </w:tabs>
        <w:ind w:left="4140" w:hanging="360"/>
      </w:pPr>
      <w:rPr>
        <w:rFonts w:cs="Times New Roman"/>
      </w:rPr>
    </w:lvl>
    <w:lvl w:ilvl="8">
      <w:start w:val="1"/>
      <w:numFmt w:val="lowerRoman"/>
      <w:lvlText w:val="%9."/>
      <w:lvlJc w:val="right"/>
      <w:pPr>
        <w:tabs>
          <w:tab w:val="num" w:pos="4860"/>
        </w:tabs>
        <w:ind w:left="4860" w:hanging="180"/>
      </w:pPr>
      <w:rPr>
        <w:rFonts w:cs="Times New Roman"/>
      </w:rPr>
    </w:lvl>
  </w:abstractNum>
  <w:abstractNum w:abstractNumId="24" w15:restartNumberingAfterBreak="0">
    <w:nsid w:val="696520DD"/>
    <w:multiLevelType w:val="multilevel"/>
    <w:tmpl w:val="3C5AC7A2"/>
    <w:lvl w:ilvl="0">
      <w:start w:val="1"/>
      <w:numFmt w:val="decimal"/>
      <w:pStyle w:val="RuleList"/>
      <w:suff w:val="space"/>
      <w:lvlText w:val="R%1"/>
      <w:lvlJc w:val="left"/>
      <w:rPr>
        <w:rFonts w:ascii="Arial" w:hAnsi="Arial" w:cs="Times New Roman" w:hint="default"/>
        <w:b w:val="0"/>
        <w:color w:val="auto"/>
      </w:rPr>
    </w:lvl>
    <w:lvl w:ilvl="1">
      <w:start w:val="1"/>
      <w:numFmt w:val="none"/>
      <w:lvlRestart w:val="0"/>
      <w:lvlText w:val="%2"/>
      <w:lvlJc w:val="left"/>
      <w:pPr>
        <w:tabs>
          <w:tab w:val="num" w:pos="0"/>
        </w:tabs>
      </w:pPr>
      <w:rPr>
        <w:rFonts w:cs="Times New Roman" w:hint="default"/>
        <w:color w:val="auto"/>
      </w:rPr>
    </w:lvl>
    <w:lvl w:ilvl="2">
      <w:start w:val="1"/>
      <w:numFmt w:val="lowerLetter"/>
      <w:lvlText w:val="%3)"/>
      <w:lvlJc w:val="left"/>
      <w:pPr>
        <w:tabs>
          <w:tab w:val="num" w:pos="454"/>
        </w:tabs>
        <w:ind w:left="454" w:hanging="454"/>
      </w:pPr>
      <w:rPr>
        <w:rFonts w:cs="Times New Roman" w:hint="default"/>
      </w:rPr>
    </w:lvl>
    <w:lvl w:ilvl="3">
      <w:start w:val="1"/>
      <w:numFmt w:val="lowerRoman"/>
      <w:lvlText w:val="%4)"/>
      <w:lvlJc w:val="left"/>
      <w:pPr>
        <w:tabs>
          <w:tab w:val="num" w:pos="907"/>
        </w:tabs>
        <w:ind w:left="907" w:hanging="453"/>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25" w15:restartNumberingAfterBreak="0">
    <w:nsid w:val="698262E3"/>
    <w:multiLevelType w:val="hybridMultilevel"/>
    <w:tmpl w:val="A1A22E7E"/>
    <w:lvl w:ilvl="0" w:tplc="73BA0FB0">
      <w:start w:val="1"/>
      <w:numFmt w:val="upperLetter"/>
      <w:lvlText w:val="%1"/>
      <w:lvlJc w:val="left"/>
      <w:pPr>
        <w:tabs>
          <w:tab w:val="num" w:pos="540"/>
        </w:tabs>
        <w:ind w:left="540" w:hanging="540"/>
      </w:pPr>
      <w:rPr>
        <w:rFonts w:ascii="Arial" w:hAnsi="Arial" w:cs="Times New Roman" w:hint="default"/>
        <w:b/>
        <w:i w:val="0"/>
      </w:rPr>
    </w:lvl>
    <w:lvl w:ilvl="1" w:tplc="2EC229BE">
      <w:start w:val="1"/>
      <w:numFmt w:val="bullet"/>
      <w:lvlText w:val=""/>
      <w:lvlJc w:val="left"/>
      <w:pPr>
        <w:tabs>
          <w:tab w:val="num" w:pos="851"/>
        </w:tabs>
        <w:ind w:left="851" w:hanging="284"/>
      </w:pPr>
      <w:rPr>
        <w:rFonts w:ascii="Symbol" w:hAnsi="Symbol" w:hint="default"/>
        <w:b/>
        <w:i w:val="0"/>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6" w15:restartNumberingAfterBreak="0">
    <w:nsid w:val="6CE321A1"/>
    <w:multiLevelType w:val="multilevel"/>
    <w:tmpl w:val="01DCA9CC"/>
    <w:lvl w:ilvl="0">
      <w:start w:val="1"/>
      <w:numFmt w:val="bullet"/>
      <w:lvlText w:val=""/>
      <w:lvlJc w:val="left"/>
      <w:pPr>
        <w:tabs>
          <w:tab w:val="num" w:pos="1211"/>
        </w:tabs>
        <w:ind w:left="1211" w:hanging="284"/>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6EDF2D68"/>
    <w:multiLevelType w:val="hybridMultilevel"/>
    <w:tmpl w:val="9412F51A"/>
    <w:lvl w:ilvl="0" w:tplc="0C090015">
      <w:start w:val="4"/>
      <w:numFmt w:val="upperLetter"/>
      <w:lvlText w:val="%1."/>
      <w:lvlJc w:val="left"/>
      <w:pPr>
        <w:tabs>
          <w:tab w:val="num" w:pos="720"/>
        </w:tabs>
        <w:ind w:left="720" w:hanging="360"/>
      </w:pPr>
      <w:rPr>
        <w:rFonts w:cs="Times New Roman" w:hint="default"/>
        <w:b w:val="0"/>
      </w:rPr>
    </w:lvl>
    <w:lvl w:ilvl="1" w:tplc="0C090019" w:tentative="1">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28" w15:restartNumberingAfterBreak="0">
    <w:nsid w:val="73E72C3E"/>
    <w:multiLevelType w:val="hybridMultilevel"/>
    <w:tmpl w:val="EF8A4200"/>
    <w:lvl w:ilvl="0" w:tplc="FFFFFFFF">
      <w:start w:val="1"/>
      <w:numFmt w:val="lowerLetter"/>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80"/>
        </w:tabs>
        <w:ind w:left="-180" w:hanging="360"/>
      </w:pPr>
      <w:rPr>
        <w:rFonts w:cs="Times New Roman"/>
      </w:rPr>
    </w:lvl>
    <w:lvl w:ilvl="2" w:tplc="FFFFFFFF" w:tentative="1">
      <w:start w:val="1"/>
      <w:numFmt w:val="lowerRoman"/>
      <w:lvlText w:val="%3."/>
      <w:lvlJc w:val="right"/>
      <w:pPr>
        <w:tabs>
          <w:tab w:val="num" w:pos="540"/>
        </w:tabs>
        <w:ind w:left="540" w:hanging="180"/>
      </w:pPr>
      <w:rPr>
        <w:rFonts w:cs="Times New Roman"/>
      </w:rPr>
    </w:lvl>
    <w:lvl w:ilvl="3" w:tplc="FFFFFFFF" w:tentative="1">
      <w:start w:val="1"/>
      <w:numFmt w:val="decimal"/>
      <w:lvlText w:val="%4."/>
      <w:lvlJc w:val="left"/>
      <w:pPr>
        <w:tabs>
          <w:tab w:val="num" w:pos="1260"/>
        </w:tabs>
        <w:ind w:left="1260" w:hanging="360"/>
      </w:pPr>
      <w:rPr>
        <w:rFonts w:cs="Times New Roman"/>
      </w:rPr>
    </w:lvl>
    <w:lvl w:ilvl="4" w:tplc="FFFFFFFF" w:tentative="1">
      <w:start w:val="1"/>
      <w:numFmt w:val="lowerLetter"/>
      <w:lvlText w:val="%5."/>
      <w:lvlJc w:val="left"/>
      <w:pPr>
        <w:tabs>
          <w:tab w:val="num" w:pos="1980"/>
        </w:tabs>
        <w:ind w:left="1980" w:hanging="360"/>
      </w:pPr>
      <w:rPr>
        <w:rFonts w:cs="Times New Roman"/>
      </w:rPr>
    </w:lvl>
    <w:lvl w:ilvl="5" w:tplc="FFFFFFFF" w:tentative="1">
      <w:start w:val="1"/>
      <w:numFmt w:val="lowerRoman"/>
      <w:lvlText w:val="%6."/>
      <w:lvlJc w:val="right"/>
      <w:pPr>
        <w:tabs>
          <w:tab w:val="num" w:pos="2700"/>
        </w:tabs>
        <w:ind w:left="2700" w:hanging="180"/>
      </w:pPr>
      <w:rPr>
        <w:rFonts w:cs="Times New Roman"/>
      </w:rPr>
    </w:lvl>
    <w:lvl w:ilvl="6" w:tplc="FFFFFFFF" w:tentative="1">
      <w:start w:val="1"/>
      <w:numFmt w:val="decimal"/>
      <w:lvlText w:val="%7."/>
      <w:lvlJc w:val="left"/>
      <w:pPr>
        <w:tabs>
          <w:tab w:val="num" w:pos="3420"/>
        </w:tabs>
        <w:ind w:left="3420" w:hanging="360"/>
      </w:pPr>
      <w:rPr>
        <w:rFonts w:cs="Times New Roman"/>
      </w:rPr>
    </w:lvl>
    <w:lvl w:ilvl="7" w:tplc="FFFFFFFF" w:tentative="1">
      <w:start w:val="1"/>
      <w:numFmt w:val="lowerLetter"/>
      <w:lvlText w:val="%8."/>
      <w:lvlJc w:val="left"/>
      <w:pPr>
        <w:tabs>
          <w:tab w:val="num" w:pos="4140"/>
        </w:tabs>
        <w:ind w:left="4140" w:hanging="360"/>
      </w:pPr>
      <w:rPr>
        <w:rFonts w:cs="Times New Roman"/>
      </w:rPr>
    </w:lvl>
    <w:lvl w:ilvl="8" w:tplc="FFFFFFFF" w:tentative="1">
      <w:start w:val="1"/>
      <w:numFmt w:val="lowerRoman"/>
      <w:lvlText w:val="%9."/>
      <w:lvlJc w:val="right"/>
      <w:pPr>
        <w:tabs>
          <w:tab w:val="num" w:pos="4860"/>
        </w:tabs>
        <w:ind w:left="4860" w:hanging="180"/>
      </w:pPr>
      <w:rPr>
        <w:rFonts w:cs="Times New Roman"/>
      </w:rPr>
    </w:lvl>
  </w:abstractNum>
  <w:abstractNum w:abstractNumId="29" w15:restartNumberingAfterBreak="0">
    <w:nsid w:val="75644D9E"/>
    <w:multiLevelType w:val="hybridMultilevel"/>
    <w:tmpl w:val="709A6298"/>
    <w:lvl w:ilvl="0" w:tplc="93966CE2">
      <w:start w:val="1"/>
      <w:numFmt w:val="decimal"/>
      <w:lvlText w:val="%1."/>
      <w:lvlJc w:val="left"/>
      <w:pPr>
        <w:tabs>
          <w:tab w:val="num" w:pos="900"/>
        </w:tabs>
        <w:ind w:left="900" w:hanging="360"/>
      </w:pPr>
      <w:rPr>
        <w:rFonts w:cs="Times New Roman" w:hint="default"/>
      </w:rPr>
    </w:lvl>
    <w:lvl w:ilvl="1" w:tplc="0C090019" w:tentative="1">
      <w:start w:val="1"/>
      <w:numFmt w:val="lowerLetter"/>
      <w:lvlText w:val="%2."/>
      <w:lvlJc w:val="left"/>
      <w:pPr>
        <w:tabs>
          <w:tab w:val="num" w:pos="1620"/>
        </w:tabs>
        <w:ind w:left="1620" w:hanging="360"/>
      </w:pPr>
      <w:rPr>
        <w:rFonts w:cs="Times New Roman"/>
      </w:rPr>
    </w:lvl>
    <w:lvl w:ilvl="2" w:tplc="0C09001B" w:tentative="1">
      <w:start w:val="1"/>
      <w:numFmt w:val="lowerRoman"/>
      <w:lvlText w:val="%3."/>
      <w:lvlJc w:val="right"/>
      <w:pPr>
        <w:tabs>
          <w:tab w:val="num" w:pos="2340"/>
        </w:tabs>
        <w:ind w:left="2340" w:hanging="180"/>
      </w:pPr>
      <w:rPr>
        <w:rFonts w:cs="Times New Roman"/>
      </w:rPr>
    </w:lvl>
    <w:lvl w:ilvl="3" w:tplc="0C09000F" w:tentative="1">
      <w:start w:val="1"/>
      <w:numFmt w:val="decimal"/>
      <w:lvlText w:val="%4."/>
      <w:lvlJc w:val="left"/>
      <w:pPr>
        <w:tabs>
          <w:tab w:val="num" w:pos="3060"/>
        </w:tabs>
        <w:ind w:left="3060" w:hanging="360"/>
      </w:pPr>
      <w:rPr>
        <w:rFonts w:cs="Times New Roman"/>
      </w:rPr>
    </w:lvl>
    <w:lvl w:ilvl="4" w:tplc="0C090019" w:tentative="1">
      <w:start w:val="1"/>
      <w:numFmt w:val="lowerLetter"/>
      <w:lvlText w:val="%5."/>
      <w:lvlJc w:val="left"/>
      <w:pPr>
        <w:tabs>
          <w:tab w:val="num" w:pos="3780"/>
        </w:tabs>
        <w:ind w:left="3780" w:hanging="360"/>
      </w:pPr>
      <w:rPr>
        <w:rFonts w:cs="Times New Roman"/>
      </w:rPr>
    </w:lvl>
    <w:lvl w:ilvl="5" w:tplc="0C09001B" w:tentative="1">
      <w:start w:val="1"/>
      <w:numFmt w:val="lowerRoman"/>
      <w:lvlText w:val="%6."/>
      <w:lvlJc w:val="right"/>
      <w:pPr>
        <w:tabs>
          <w:tab w:val="num" w:pos="4500"/>
        </w:tabs>
        <w:ind w:left="4500" w:hanging="180"/>
      </w:pPr>
      <w:rPr>
        <w:rFonts w:cs="Times New Roman"/>
      </w:rPr>
    </w:lvl>
    <w:lvl w:ilvl="6" w:tplc="0C09000F" w:tentative="1">
      <w:start w:val="1"/>
      <w:numFmt w:val="decimal"/>
      <w:lvlText w:val="%7."/>
      <w:lvlJc w:val="left"/>
      <w:pPr>
        <w:tabs>
          <w:tab w:val="num" w:pos="5220"/>
        </w:tabs>
        <w:ind w:left="5220" w:hanging="360"/>
      </w:pPr>
      <w:rPr>
        <w:rFonts w:cs="Times New Roman"/>
      </w:rPr>
    </w:lvl>
    <w:lvl w:ilvl="7" w:tplc="0C090019" w:tentative="1">
      <w:start w:val="1"/>
      <w:numFmt w:val="lowerLetter"/>
      <w:lvlText w:val="%8."/>
      <w:lvlJc w:val="left"/>
      <w:pPr>
        <w:tabs>
          <w:tab w:val="num" w:pos="5940"/>
        </w:tabs>
        <w:ind w:left="5940" w:hanging="360"/>
      </w:pPr>
      <w:rPr>
        <w:rFonts w:cs="Times New Roman"/>
      </w:rPr>
    </w:lvl>
    <w:lvl w:ilvl="8" w:tplc="0C09001B" w:tentative="1">
      <w:start w:val="1"/>
      <w:numFmt w:val="lowerRoman"/>
      <w:lvlText w:val="%9."/>
      <w:lvlJc w:val="right"/>
      <w:pPr>
        <w:tabs>
          <w:tab w:val="num" w:pos="6660"/>
        </w:tabs>
        <w:ind w:left="6660" w:hanging="180"/>
      </w:pPr>
      <w:rPr>
        <w:rFonts w:cs="Times New Roman"/>
      </w:rPr>
    </w:lvl>
  </w:abstractNum>
  <w:abstractNum w:abstractNumId="30" w15:restartNumberingAfterBreak="0">
    <w:nsid w:val="793C4684"/>
    <w:multiLevelType w:val="multilevel"/>
    <w:tmpl w:val="9AE0F52A"/>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1080"/>
        </w:tabs>
        <w:ind w:left="1080" w:hanging="360"/>
      </w:pPr>
      <w:rPr>
        <w:rFonts w:cs="Times New Roman"/>
      </w:rPr>
    </w:lvl>
    <w:lvl w:ilvl="2">
      <w:start w:val="1"/>
      <w:numFmt w:val="lowerLetter"/>
      <w:lvlText w:val="%3)"/>
      <w:lvlJc w:val="left"/>
      <w:pPr>
        <w:tabs>
          <w:tab w:val="num" w:pos="1980"/>
        </w:tabs>
        <w:ind w:left="1980" w:hanging="360"/>
      </w:pPr>
      <w:rPr>
        <w:rFonts w:cs="Times New Roman" w:hint="default"/>
        <w:i/>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31" w15:restartNumberingAfterBreak="0">
    <w:nsid w:val="7D0C1763"/>
    <w:multiLevelType w:val="multilevel"/>
    <w:tmpl w:val="D1B83122"/>
    <w:lvl w:ilvl="0">
      <w:start w:val="10"/>
      <w:numFmt w:val="decimal"/>
      <w:lvlText w:val="%1"/>
      <w:lvlJc w:val="left"/>
      <w:pPr>
        <w:tabs>
          <w:tab w:val="num" w:pos="1080"/>
        </w:tabs>
        <w:ind w:left="1080" w:hanging="1080"/>
      </w:pPr>
      <w:rPr>
        <w:rFonts w:cs="Times New Roman" w:hint="default"/>
      </w:rPr>
    </w:lvl>
    <w:lvl w:ilvl="1">
      <w:start w:val="2"/>
      <w:numFmt w:val="decimal"/>
      <w:lvlText w:val="%1.%2"/>
      <w:lvlJc w:val="left"/>
      <w:pPr>
        <w:tabs>
          <w:tab w:val="num" w:pos="1440"/>
        </w:tabs>
        <w:ind w:left="1440" w:hanging="1080"/>
      </w:pPr>
      <w:rPr>
        <w:rFonts w:cs="Times New Roman" w:hint="default"/>
      </w:rPr>
    </w:lvl>
    <w:lvl w:ilvl="2">
      <w:start w:val="1"/>
      <w:numFmt w:val="decimal"/>
      <w:lvlText w:val="%1.%2.%3"/>
      <w:lvlJc w:val="left"/>
      <w:pPr>
        <w:tabs>
          <w:tab w:val="num" w:pos="1800"/>
        </w:tabs>
        <w:ind w:left="1800" w:hanging="1080"/>
      </w:pPr>
      <w:rPr>
        <w:rFonts w:cs="Times New Roman" w:hint="default"/>
      </w:rPr>
    </w:lvl>
    <w:lvl w:ilvl="3">
      <w:start w:val="1"/>
      <w:numFmt w:val="decimal"/>
      <w:lvlText w:val="%1.%2.%3.%4"/>
      <w:lvlJc w:val="left"/>
      <w:pPr>
        <w:tabs>
          <w:tab w:val="num" w:pos="2160"/>
        </w:tabs>
        <w:ind w:left="2160" w:hanging="1080"/>
      </w:pPr>
      <w:rPr>
        <w:rFonts w:cs="Times New Roman" w:hint="default"/>
      </w:rPr>
    </w:lvl>
    <w:lvl w:ilvl="4">
      <w:start w:val="1"/>
      <w:numFmt w:val="decimal"/>
      <w:lvlText w:val="%1.%2.%3.%4.%5"/>
      <w:lvlJc w:val="left"/>
      <w:pPr>
        <w:tabs>
          <w:tab w:val="num" w:pos="2520"/>
        </w:tabs>
        <w:ind w:left="2520" w:hanging="1080"/>
      </w:pPr>
      <w:rPr>
        <w:rFonts w:cs="Times New Roman" w:hint="default"/>
      </w:rPr>
    </w:lvl>
    <w:lvl w:ilvl="5">
      <w:start w:val="1"/>
      <w:numFmt w:val="decimal"/>
      <w:lvlText w:val="%1.%2.%3.%4.%5.%6"/>
      <w:lvlJc w:val="left"/>
      <w:pPr>
        <w:tabs>
          <w:tab w:val="num" w:pos="2880"/>
        </w:tabs>
        <w:ind w:left="2880" w:hanging="1080"/>
      </w:pPr>
      <w:rPr>
        <w:rFonts w:cs="Times New Roman" w:hint="default"/>
      </w:rPr>
    </w:lvl>
    <w:lvl w:ilvl="6">
      <w:start w:val="1"/>
      <w:numFmt w:val="decimal"/>
      <w:lvlText w:val="%1.%2.%3.%4.%5.%6.%7"/>
      <w:lvlJc w:val="left"/>
      <w:pPr>
        <w:tabs>
          <w:tab w:val="num" w:pos="3600"/>
        </w:tabs>
        <w:ind w:left="3600" w:hanging="1440"/>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680"/>
        </w:tabs>
        <w:ind w:left="4680" w:hanging="1800"/>
      </w:pPr>
      <w:rPr>
        <w:rFonts w:cs="Times New Roman" w:hint="default"/>
      </w:rPr>
    </w:lvl>
  </w:abstractNum>
  <w:num w:numId="1">
    <w:abstractNumId w:val="15"/>
  </w:num>
  <w:num w:numId="2">
    <w:abstractNumId w:val="20"/>
  </w:num>
  <w:num w:numId="3">
    <w:abstractNumId w:val="29"/>
  </w:num>
  <w:num w:numId="4">
    <w:abstractNumId w:val="19"/>
  </w:num>
  <w:num w:numId="5">
    <w:abstractNumId w:val="4"/>
  </w:num>
  <w:num w:numId="6">
    <w:abstractNumId w:val="21"/>
  </w:num>
  <w:num w:numId="7">
    <w:abstractNumId w:val="24"/>
  </w:num>
  <w:num w:numId="8">
    <w:abstractNumId w:val="2"/>
  </w:num>
  <w:num w:numId="9">
    <w:abstractNumId w:val="30"/>
  </w:num>
  <w:num w:numId="10">
    <w:abstractNumId w:val="28"/>
  </w:num>
  <w:num w:numId="11">
    <w:abstractNumId w:val="16"/>
  </w:num>
  <w:num w:numId="12">
    <w:abstractNumId w:val="8"/>
  </w:num>
  <w:num w:numId="13">
    <w:abstractNumId w:val="22"/>
  </w:num>
  <w:num w:numId="14">
    <w:abstractNumId w:val="14"/>
  </w:num>
  <w:num w:numId="15">
    <w:abstractNumId w:val="7"/>
  </w:num>
  <w:num w:numId="16">
    <w:abstractNumId w:val="5"/>
  </w:num>
  <w:num w:numId="17">
    <w:abstractNumId w:val="6"/>
  </w:num>
  <w:num w:numId="18">
    <w:abstractNumId w:val="12"/>
  </w:num>
  <w:num w:numId="19">
    <w:abstractNumId w:val="23"/>
  </w:num>
  <w:num w:numId="20">
    <w:abstractNumId w:val="3"/>
  </w:num>
  <w:num w:numId="21">
    <w:abstractNumId w:val="11"/>
  </w:num>
  <w:num w:numId="22">
    <w:abstractNumId w:val="18"/>
  </w:num>
  <w:num w:numId="23">
    <w:abstractNumId w:val="31"/>
  </w:num>
  <w:num w:numId="24">
    <w:abstractNumId w:val="13"/>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num>
  <w:num w:numId="27">
    <w:abstractNumId w:val="17"/>
  </w:num>
  <w:num w:numId="28">
    <w:abstractNumId w:val="9"/>
  </w:num>
  <w:num w:numId="29">
    <w:abstractNumId w:val="1"/>
  </w:num>
  <w:num w:numId="30">
    <w:abstractNumId w:val="25"/>
  </w:num>
  <w:num w:numId="31">
    <w:abstractNumId w:val="10"/>
  </w:num>
  <w:num w:numId="32">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2C77"/>
    <w:rsid w:val="001C5B12"/>
    <w:rsid w:val="002A54DF"/>
    <w:rsid w:val="00515A97"/>
    <w:rsid w:val="00612CF2"/>
    <w:rsid w:val="006A2C77"/>
    <w:rsid w:val="007B6464"/>
    <w:rsid w:val="008E7207"/>
    <w:rsid w:val="009D2D0B"/>
    <w:rsid w:val="00BB6E08"/>
    <w:rsid w:val="00C62547"/>
    <w:rsid w:val="00CA0F52"/>
    <w:rsid w:val="00ED76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martTagType w:namespaceuri="urn:schemas-microsoft-com:office:smarttags" w:name="State"/>
  <w:smartTagType w:namespaceuri="urn:schemas-microsoft-com:office:smarttags" w:name="address"/>
  <w:smartTagType w:namespaceuri="urn:schemas-microsoft-com:office:smarttags" w:name="Street"/>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2020D093-FE66-4028-9D00-E06904D0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semiHidden="1" w:uiPriority="9" w:unhideWhenUsed="1"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ascii="Arial" w:hAnsi="Arial"/>
      <w:sz w:val="24"/>
      <w:szCs w:val="20"/>
      <w:lang w:eastAsia="en-US"/>
    </w:rPr>
  </w:style>
  <w:style w:type="paragraph" w:styleId="Heading1">
    <w:name w:val="heading 1"/>
    <w:basedOn w:val="Normal"/>
    <w:next w:val="Normal"/>
    <w:link w:val="Heading1Char"/>
    <w:uiPriority w:val="99"/>
    <w:qFormat/>
    <w:pPr>
      <w:keepNext/>
      <w:ind w:right="386" w:firstLine="720"/>
      <w:outlineLvl w:val="0"/>
    </w:pPr>
    <w:rPr>
      <w:b/>
    </w:rPr>
  </w:style>
  <w:style w:type="paragraph" w:styleId="Heading2">
    <w:name w:val="heading 2"/>
    <w:basedOn w:val="Normal"/>
    <w:next w:val="Normal"/>
    <w:link w:val="Heading2Char"/>
    <w:uiPriority w:val="99"/>
    <w:qFormat/>
    <w:pPr>
      <w:keepNext/>
      <w:spacing w:before="240" w:after="60"/>
      <w:outlineLvl w:val="1"/>
    </w:pPr>
    <w:rPr>
      <w:rFonts w:cs="Arial"/>
      <w:b/>
      <w:bCs/>
      <w:i/>
      <w:iCs/>
      <w:sz w:val="28"/>
      <w:szCs w:val="28"/>
    </w:rPr>
  </w:style>
  <w:style w:type="paragraph" w:styleId="Heading4">
    <w:name w:val="heading 4"/>
    <w:basedOn w:val="Normal"/>
    <w:next w:val="Normal"/>
    <w:link w:val="Heading4Char"/>
    <w:uiPriority w:val="99"/>
    <w:qFormat/>
    <w:pPr>
      <w:keepNext/>
      <w:spacing w:before="240" w:after="60"/>
      <w:outlineLvl w:val="3"/>
    </w:pPr>
    <w:rPr>
      <w:rFonts w:ascii="Times New Roman" w:hAnsi="Times New Roman"/>
      <w:b/>
      <w:bCs/>
      <w:sz w:val="28"/>
      <w:szCs w:val="28"/>
    </w:rPr>
  </w:style>
  <w:style w:type="paragraph" w:styleId="Heading5">
    <w:name w:val="heading 5"/>
    <w:basedOn w:val="Normal"/>
    <w:next w:val="Normal"/>
    <w:link w:val="Heading5Char"/>
    <w:uiPriority w:val="99"/>
    <w:qFormat/>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lang w:val="x-none" w:eastAsia="en-US"/>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semiHidden/>
    <w:locked/>
    <w:rPr>
      <w:rFonts w:asciiTheme="minorHAnsi" w:eastAsiaTheme="minorEastAsia" w:hAnsiTheme="minorHAnsi" w:cs="Times New Roman"/>
      <w:b/>
      <w:bCs/>
      <w:i/>
      <w:iCs/>
      <w:sz w:val="26"/>
      <w:szCs w:val="26"/>
      <w:lang w:val="x-none" w:eastAsia="en-US"/>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Normal"/>
    <w:uiPriority w:val="99"/>
    <w:semiHidden/>
    <w:pPr>
      <w:spacing w:before="360"/>
    </w:pPr>
    <w:rPr>
      <w:rFonts w:ascii="Times New Roman" w:hAnsi="Times New Roman"/>
      <w:caps/>
      <w:noProof/>
    </w:rPr>
  </w:style>
  <w:style w:type="paragraph" w:styleId="TOC2">
    <w:name w:val="toc 2"/>
    <w:basedOn w:val="Normal"/>
    <w:next w:val="Normal"/>
    <w:uiPriority w:val="99"/>
    <w:semiHidden/>
    <w:pPr>
      <w:spacing w:before="240"/>
    </w:pPr>
    <w:rPr>
      <w:rFonts w:ascii="Times New Roman" w:hAnsi="Times New Roman"/>
    </w:rPr>
  </w:style>
  <w:style w:type="paragraph" w:styleId="Header">
    <w:name w:val="header"/>
    <w:basedOn w:val="Normal"/>
    <w:link w:val="HeaderChar"/>
    <w:uiPriority w:val="99"/>
    <w:pPr>
      <w:tabs>
        <w:tab w:val="center" w:pos="4819"/>
        <w:tab w:val="right" w:pos="9071"/>
      </w:tabs>
    </w:pPr>
    <w:rPr>
      <w:lang w:val="en-GB"/>
    </w:rPr>
  </w:style>
  <w:style w:type="character" w:customStyle="1" w:styleId="HeaderChar">
    <w:name w:val="Header Char"/>
    <w:basedOn w:val="DefaultParagraphFont"/>
    <w:link w:val="Header"/>
    <w:uiPriority w:val="99"/>
    <w:semiHidden/>
    <w:locked/>
    <w:rPr>
      <w:rFonts w:ascii="Arial" w:hAnsi="Arial" w:cs="Times New Roman"/>
      <w:sz w:val="20"/>
      <w:szCs w:val="20"/>
      <w:lang w:val="x-none" w:eastAsia="en-US"/>
    </w:rPr>
  </w:style>
  <w:style w:type="paragraph" w:styleId="BodyText">
    <w:name w:val="Body Text"/>
    <w:basedOn w:val="Normal"/>
    <w:link w:val="BodyTextChar"/>
    <w:uiPriority w:val="99"/>
    <w:rPr>
      <w:b/>
      <w:sz w:val="28"/>
      <w:lang w:val="en-GB"/>
    </w:rPr>
  </w:style>
  <w:style w:type="character" w:customStyle="1" w:styleId="BodyTextChar">
    <w:name w:val="Body Text Char"/>
    <w:basedOn w:val="DefaultParagraphFont"/>
    <w:link w:val="BodyText"/>
    <w:uiPriority w:val="99"/>
    <w:semiHidden/>
    <w:locked/>
    <w:rPr>
      <w:rFonts w:ascii="Arial" w:hAnsi="Arial" w:cs="Times New Roman"/>
      <w:b/>
      <w:sz w:val="28"/>
      <w:lang w:val="en-GB" w:eastAsia="en-US" w:bidi="ar-SA"/>
    </w:rPr>
  </w:style>
  <w:style w:type="paragraph" w:customStyle="1" w:styleId="TAeditorialitemerrorheading">
    <w:name w:val="TA editorial item error heading"/>
    <w:basedOn w:val="Normal"/>
    <w:uiPriority w:val="99"/>
    <w:pPr>
      <w:numPr>
        <w:numId w:val="21"/>
      </w:numPr>
      <w:pBdr>
        <w:top w:val="single" w:sz="4" w:space="1" w:color="auto"/>
        <w:left w:val="single" w:sz="4" w:space="4" w:color="auto"/>
        <w:bottom w:val="single" w:sz="4" w:space="1" w:color="auto"/>
        <w:right w:val="single" w:sz="4" w:space="4" w:color="auto"/>
      </w:pBdr>
      <w:shd w:val="clear" w:color="auto" w:fill="D9D9D9"/>
    </w:pPr>
    <w:rPr>
      <w:b/>
      <w:szCs w:val="24"/>
      <w:lang w:eastAsia="en-AU"/>
    </w:rPr>
  </w:style>
  <w:style w:type="paragraph" w:customStyle="1" w:styleId="Billname">
    <w:name w:val="Billname"/>
    <w:basedOn w:val="Normal"/>
    <w:uiPriority w:val="99"/>
    <w:pPr>
      <w:tabs>
        <w:tab w:val="left" w:pos="2400"/>
        <w:tab w:val="left" w:pos="2880"/>
      </w:tabs>
      <w:spacing w:before="1220" w:after="100"/>
    </w:pPr>
    <w:rPr>
      <w:b/>
      <w:sz w:val="40"/>
    </w:rPr>
  </w:style>
  <w:style w:type="paragraph" w:customStyle="1" w:styleId="N-line3">
    <w:name w:val="N-line3"/>
    <w:basedOn w:val="Normal"/>
    <w:next w:val="Normal"/>
    <w:uiPriority w:val="99"/>
    <w:pPr>
      <w:pBdr>
        <w:bottom w:val="single" w:sz="12" w:space="1" w:color="auto"/>
      </w:pBdr>
      <w:jc w:val="both"/>
    </w:pPr>
  </w:style>
  <w:style w:type="paragraph" w:customStyle="1" w:styleId="madeunder">
    <w:name w:val="made under"/>
    <w:basedOn w:val="Normal"/>
    <w:uiPriority w:val="99"/>
    <w:pPr>
      <w:spacing w:before="180" w:after="60"/>
      <w:jc w:val="both"/>
    </w:pPr>
  </w:style>
  <w:style w:type="paragraph" w:customStyle="1" w:styleId="CoverActName">
    <w:name w:val="CoverActName"/>
    <w:basedOn w:val="Normal"/>
    <w:uiPriority w:val="99"/>
    <w:pPr>
      <w:tabs>
        <w:tab w:val="left" w:pos="2600"/>
      </w:tabs>
      <w:spacing w:before="200" w:after="60"/>
      <w:jc w:val="both"/>
    </w:pPr>
    <w:rPr>
      <w:b/>
    </w:rPr>
  </w:style>
  <w:style w:type="paragraph" w:customStyle="1" w:styleId="TAIntroductiontext">
    <w:name w:val="TA Introduction text"/>
    <w:basedOn w:val="BodyText"/>
    <w:uiPriority w:val="99"/>
    <w:pPr>
      <w:tabs>
        <w:tab w:val="left" w:pos="720"/>
        <w:tab w:val="left" w:pos="1440"/>
      </w:tabs>
      <w:spacing w:after="120"/>
    </w:pPr>
    <w:rPr>
      <w:b w:val="0"/>
      <w:sz w:val="24"/>
      <w:szCs w:val="24"/>
      <w:lang w:val="en-AU" w:eastAsia="en-AU"/>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lang w:val="x-none" w:eastAsia="en-US"/>
    </w:rPr>
  </w:style>
  <w:style w:type="table" w:styleId="TableGrid">
    <w:name w:val="Table Grid"/>
    <w:basedOn w:val="TableNormal"/>
    <w:uiPriority w:val="99"/>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itList">
    <w:name w:val="CritList"/>
    <w:basedOn w:val="Normal"/>
    <w:link w:val="CritListCharChar"/>
    <w:uiPriority w:val="99"/>
    <w:pPr>
      <w:numPr>
        <w:numId w:val="6"/>
      </w:numPr>
      <w:spacing w:before="60" w:after="60" w:line="288" w:lineRule="auto"/>
    </w:pPr>
    <w:rPr>
      <w:rFonts w:cs="Arial"/>
      <w:sz w:val="20"/>
    </w:rPr>
  </w:style>
  <w:style w:type="paragraph" w:customStyle="1" w:styleId="RuleList">
    <w:name w:val="RuleList"/>
    <w:basedOn w:val="Normal"/>
    <w:link w:val="RuleListChar"/>
    <w:uiPriority w:val="99"/>
    <w:pPr>
      <w:numPr>
        <w:numId w:val="7"/>
      </w:numPr>
      <w:spacing w:before="60" w:after="60" w:line="288" w:lineRule="auto"/>
    </w:pPr>
    <w:rPr>
      <w:rFonts w:cs="Arial"/>
      <w:sz w:val="20"/>
    </w:rPr>
  </w:style>
  <w:style w:type="character" w:customStyle="1" w:styleId="CritListCharChar">
    <w:name w:val="CritList Char Char"/>
    <w:basedOn w:val="DefaultParagraphFont"/>
    <w:link w:val="CritList"/>
    <w:uiPriority w:val="99"/>
    <w:locked/>
    <w:rPr>
      <w:rFonts w:ascii="Arial" w:hAnsi="Arial" w:cs="Arial"/>
      <w:lang w:val="en-AU" w:eastAsia="en-US" w:bidi="ar-SA"/>
    </w:rPr>
  </w:style>
  <w:style w:type="character" w:customStyle="1" w:styleId="RuleListChar">
    <w:name w:val="RuleList Char"/>
    <w:basedOn w:val="CritListCharChar"/>
    <w:link w:val="RuleList"/>
    <w:uiPriority w:val="99"/>
    <w:locked/>
    <w:rPr>
      <w:rFonts w:ascii="Arial" w:hAnsi="Arial" w:cs="Arial"/>
      <w:lang w:val="en-AU" w:eastAsia="en-US" w:bidi="ar-SA"/>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Times New Roman"/>
      <w:sz w:val="20"/>
      <w:szCs w:val="20"/>
      <w:lang w:val="x-none" w:eastAsia="en-US"/>
    </w:rPr>
  </w:style>
  <w:style w:type="paragraph" w:customStyle="1" w:styleId="TAACTPLAlogo">
    <w:name w:val="TA ACTPLA logo"/>
    <w:basedOn w:val="Footer"/>
    <w:uiPriority w:val="99"/>
    <w:pPr>
      <w:jc w:val="center"/>
    </w:pPr>
    <w:rPr>
      <w:szCs w:val="24"/>
      <w:lang w:eastAsia="en-AU"/>
    </w:rPr>
  </w:style>
  <w:style w:type="paragraph" w:customStyle="1" w:styleId="TAfooter">
    <w:name w:val="TA footer"/>
    <w:basedOn w:val="Footer"/>
    <w:link w:val="TAfooterChar"/>
    <w:uiPriority w:val="99"/>
    <w:pPr>
      <w:spacing w:after="60"/>
      <w:jc w:val="center"/>
    </w:pPr>
    <w:rPr>
      <w:rFonts w:cs="Arial"/>
      <w:sz w:val="20"/>
      <w:lang w:eastAsia="en-AU"/>
    </w:rPr>
  </w:style>
  <w:style w:type="paragraph" w:customStyle="1" w:styleId="TApagenumber">
    <w:name w:val="TA page number"/>
    <w:basedOn w:val="TAfooter"/>
    <w:link w:val="TApagenumberChar"/>
    <w:uiPriority w:val="99"/>
  </w:style>
  <w:style w:type="character" w:customStyle="1" w:styleId="TAfooterChar">
    <w:name w:val="TA footer Char"/>
    <w:basedOn w:val="DefaultParagraphFont"/>
    <w:link w:val="TAfooter"/>
    <w:uiPriority w:val="99"/>
    <w:locked/>
    <w:rPr>
      <w:rFonts w:ascii="Arial" w:hAnsi="Arial" w:cs="Arial"/>
      <w:lang w:val="en-AU" w:eastAsia="en-AU" w:bidi="ar-SA"/>
    </w:rPr>
  </w:style>
  <w:style w:type="character" w:customStyle="1" w:styleId="TApagenumberChar">
    <w:name w:val="TA page number Char"/>
    <w:basedOn w:val="TAfooterChar"/>
    <w:link w:val="TApagenumber"/>
    <w:uiPriority w:val="99"/>
    <w:locked/>
    <w:rPr>
      <w:rFonts w:ascii="Arial" w:hAnsi="Arial" w:cs="Arial"/>
      <w:lang w:val="en-AU" w:eastAsia="en-AU" w:bidi="ar-SA"/>
    </w:rPr>
  </w:style>
  <w:style w:type="character" w:styleId="PageNumber">
    <w:name w:val="page number"/>
    <w:basedOn w:val="DefaultParagraphFont"/>
    <w:uiPriority w:val="99"/>
    <w:rPr>
      <w:rFonts w:cs="Times New Roman"/>
    </w:rPr>
  </w:style>
  <w:style w:type="paragraph" w:customStyle="1" w:styleId="StyleHeading4Arial16ptNotBold">
    <w:name w:val="Style Heading 4 + Arial 16 pt Not Bold"/>
    <w:basedOn w:val="Heading4"/>
    <w:uiPriority w:val="99"/>
    <w:pPr>
      <w:spacing w:after="240"/>
    </w:pPr>
    <w:rPr>
      <w:rFonts w:ascii="Arial" w:hAnsi="Arial"/>
      <w:b w:val="0"/>
      <w:bCs w:val="0"/>
      <w:sz w:val="32"/>
      <w:lang w:eastAsia="en-AU"/>
    </w:rPr>
  </w:style>
  <w:style w:type="paragraph" w:customStyle="1" w:styleId="condition">
    <w:name w:val="condition"/>
    <w:basedOn w:val="Normal"/>
    <w:uiPriority w:val="99"/>
    <w:pPr>
      <w:numPr>
        <w:numId w:val="24"/>
      </w:numPr>
      <w:spacing w:after="240"/>
    </w:pPr>
    <w:rPr>
      <w:rFonts w:cs="Arial"/>
    </w:rPr>
  </w:style>
  <w:style w:type="paragraph" w:customStyle="1" w:styleId="subheading">
    <w:name w:val="subheading"/>
    <w:basedOn w:val="Normal"/>
    <w:uiPriority w:val="99"/>
    <w:pPr>
      <w:tabs>
        <w:tab w:val="left" w:pos="8315"/>
      </w:tabs>
      <w:spacing w:after="240"/>
      <w:ind w:right="91"/>
      <w:outlineLvl w:val="1"/>
    </w:pPr>
    <w:rPr>
      <w:rFonts w:cs="Arial"/>
      <w:b/>
      <w:i/>
      <w:color w:val="000000"/>
    </w:rPr>
  </w:style>
  <w:style w:type="character" w:customStyle="1" w:styleId="EmailStyle50">
    <w:name w:val="EmailStyle50"/>
    <w:basedOn w:val="DefaultParagraphFont"/>
    <w:uiPriority w:val="99"/>
    <w:rPr>
      <w:rFonts w:ascii="Arial" w:hAnsi="Arial" w:cs="Arial"/>
      <w:color w:val="auto"/>
      <w:sz w:val="20"/>
    </w:rPr>
  </w:style>
  <w:style w:type="character" w:customStyle="1" w:styleId="EmailStyle51">
    <w:name w:val="EmailStyle51"/>
    <w:basedOn w:val="DefaultParagraphFont"/>
    <w:uiPriority w:val="99"/>
    <w:rPr>
      <w:rFonts w:ascii="Arial" w:hAnsi="Arial" w:cs="Arial"/>
      <w:color w:val="auto"/>
      <w:sz w:val="20"/>
    </w:rPr>
  </w:style>
  <w:style w:type="paragraph" w:styleId="PlainText">
    <w:name w:val="Plain Text"/>
    <w:basedOn w:val="Normal"/>
    <w:link w:val="PlainTextChar"/>
    <w:uiPriority w:val="99"/>
    <w:rPr>
      <w:rFonts w:ascii="Courier New" w:hAnsi="Courier New" w:cs="Courier New"/>
      <w:sz w:val="20"/>
    </w:rPr>
  </w:style>
  <w:style w:type="character" w:customStyle="1" w:styleId="PlainTextChar">
    <w:name w:val="Plain Text Char"/>
    <w:basedOn w:val="DefaultParagraphFont"/>
    <w:link w:val="PlainText"/>
    <w:uiPriority w:val="99"/>
    <w:semiHidden/>
    <w:locked/>
    <w:rPr>
      <w:rFonts w:ascii="Courier New" w:hAnsi="Courier New" w:cs="Courier New"/>
      <w:sz w:val="20"/>
      <w:szCs w:val="20"/>
      <w:lang w:val="x-none" w:eastAsia="en-US"/>
    </w:rPr>
  </w:style>
  <w:style w:type="paragraph" w:customStyle="1" w:styleId="TAheading">
    <w:name w:val="TA heading"/>
    <w:basedOn w:val="Normal"/>
    <w:uiPriority w:val="99"/>
    <w:pPr>
      <w:tabs>
        <w:tab w:val="left" w:pos="2400"/>
        <w:tab w:val="left" w:pos="2880"/>
      </w:tabs>
      <w:spacing w:before="120" w:after="240"/>
    </w:pPr>
    <w:rPr>
      <w:b/>
      <w:bCs/>
      <w:sz w:val="40"/>
    </w:rPr>
  </w:style>
  <w:style w:type="paragraph" w:customStyle="1" w:styleId="TAbody">
    <w:name w:val="TA body"/>
    <w:basedOn w:val="Normal"/>
    <w:link w:val="TAbodyChar"/>
    <w:uiPriority w:val="99"/>
    <w:rPr>
      <w:lang w:val="en-GB"/>
    </w:rPr>
  </w:style>
  <w:style w:type="character" w:customStyle="1" w:styleId="TAbodyChar">
    <w:name w:val="TA body Char"/>
    <w:basedOn w:val="DefaultParagraphFont"/>
    <w:link w:val="TAbody"/>
    <w:uiPriority w:val="99"/>
    <w:locked/>
    <w:rPr>
      <w:rFonts w:ascii="Arial" w:hAnsi="Arial" w:cs="Times New Roman"/>
      <w:sz w:val="24"/>
      <w:lang w:val="en-GB" w:eastAsia="en-US" w:bidi="ar-SA"/>
    </w:rPr>
  </w:style>
  <w:style w:type="character" w:customStyle="1" w:styleId="TAannexureAtext">
    <w:name w:val="TA annexure A text"/>
    <w:basedOn w:val="DefaultParagraphFont"/>
    <w:uiPriority w:val="99"/>
    <w:rPr>
      <w:rFonts w:cs="Times New Roman"/>
      <w:b/>
      <w:bCs/>
    </w:rPr>
  </w:style>
  <w:style w:type="paragraph" w:customStyle="1" w:styleId="TAline">
    <w:name w:val="TA line"/>
    <w:basedOn w:val="Normal"/>
    <w:uiPriority w:val="99"/>
    <w:pPr>
      <w:pBdr>
        <w:top w:val="single" w:sz="12" w:space="1" w:color="auto"/>
      </w:pBdr>
    </w:pPr>
  </w:style>
  <w:style w:type="paragraph" w:customStyle="1" w:styleId="TALAtext">
    <w:name w:val="TA (LA) text"/>
    <w:basedOn w:val="Normal"/>
    <w:uiPriority w:val="99"/>
    <w:pPr>
      <w:spacing w:before="180" w:after="60"/>
      <w:jc w:val="both"/>
    </w:pPr>
    <w:rPr>
      <w:sz w:val="20"/>
    </w:rPr>
  </w:style>
  <w:style w:type="paragraph" w:customStyle="1" w:styleId="TA-LAitalicstext">
    <w:name w:val="TA - LA italics text"/>
    <w:basedOn w:val="Normal"/>
    <w:next w:val="Normal"/>
    <w:link w:val="TA-LAitalicstextChar"/>
    <w:uiPriority w:val="99"/>
    <w:pPr>
      <w:tabs>
        <w:tab w:val="left" w:pos="2600"/>
      </w:tabs>
      <w:spacing w:after="240"/>
      <w:jc w:val="both"/>
    </w:pPr>
    <w:rPr>
      <w:b/>
      <w:i/>
      <w:sz w:val="18"/>
    </w:rPr>
  </w:style>
  <w:style w:type="character" w:customStyle="1" w:styleId="TA-LAitalicstextChar">
    <w:name w:val="TA - LA italics text Char"/>
    <w:basedOn w:val="DefaultParagraphFont"/>
    <w:link w:val="TA-LAitalicstext"/>
    <w:uiPriority w:val="99"/>
    <w:locked/>
    <w:rPr>
      <w:rFonts w:ascii="Arial" w:hAnsi="Arial" w:cs="Times New Roman"/>
      <w:b/>
      <w:i/>
      <w:sz w:val="18"/>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8212959">
      <w:marLeft w:val="0"/>
      <w:marRight w:val="0"/>
      <w:marTop w:val="0"/>
      <w:marBottom w:val="0"/>
      <w:divBdr>
        <w:top w:val="none" w:sz="0" w:space="0" w:color="auto"/>
        <w:left w:val="none" w:sz="0" w:space="0" w:color="auto"/>
        <w:bottom w:val="none" w:sz="0" w:space="0" w:color="auto"/>
        <w:right w:val="none" w:sz="0" w:space="0" w:color="auto"/>
      </w:divBdr>
      <w:divsChild>
        <w:div w:id="4182129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oter4.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2131</Words>
  <Characters>11118</Characters>
  <Application>Microsoft Office Word</Application>
  <DocSecurity>0</DocSecurity>
  <Lines>508</Lines>
  <Paragraphs>168</Paragraphs>
  <ScaleCrop>false</ScaleCrop>
  <HeadingPairs>
    <vt:vector size="2" baseType="variant">
      <vt:variant>
        <vt:lpstr>Title</vt:lpstr>
      </vt:variant>
      <vt:variant>
        <vt:i4>1</vt:i4>
      </vt:variant>
    </vt:vector>
  </HeadingPairs>
  <TitlesOfParts>
    <vt:vector size="1" baseType="lpstr">
      <vt:lpstr>Technical Amendment Error s87(a)</vt:lpstr>
    </vt:vector>
  </TitlesOfParts>
  <Company>ACT Planning and Land Authority</Company>
  <LinksUpToDate>false</LinksUpToDate>
  <CharactersWithSpaces>13149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Error s87(a)</dc:title>
  <dc:subject/>
  <dc:creator>ACT Government</dc:creator>
  <cp:keywords/>
  <dc:description/>
  <cp:lastModifiedBy>PCODCS</cp:lastModifiedBy>
  <cp:revision>5</cp:revision>
  <cp:lastPrinted>2011-04-11T01:22:00Z</cp:lastPrinted>
  <dcterms:created xsi:type="dcterms:W3CDTF">2018-09-11T23:20:00Z</dcterms:created>
  <dcterms:modified xsi:type="dcterms:W3CDTF">2018-09-11T23:20:00Z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A6329580</vt:lpwstr>
  </property>
  <property fmtid="{D5CDD505-2E9C-101B-9397-08002B2CF9AE}" pid="4" name="Objective-Comment">
    <vt:lpwstr> </vt:lpwstr>
  </property>
  <property fmtid="{D5CDD505-2E9C-101B-9397-08002B2CF9AE}" pid="5" name="Objective-CreationStamp">
    <vt:filetime>2011-04-06T14:00:00Z</vt:filetime>
  </property>
  <property fmtid="{D5CDD505-2E9C-101B-9397-08002B2CF9AE}" pid="6" name="Objective-IsApproved">
    <vt:bool>false</vt:bool>
  </property>
  <property fmtid="{D5CDD505-2E9C-101B-9397-08002B2CF9AE}" pid="7" name="Objective-IsPublished">
    <vt:bool>true</vt:bool>
  </property>
  <property fmtid="{D5CDD505-2E9C-101B-9397-08002B2CF9AE}" pid="8" name="Objective-DatePublished">
    <vt:filetime>2011-04-15T14:00:00Z</vt:filetime>
  </property>
  <property fmtid="{D5CDD505-2E9C-101B-9397-08002B2CF9AE}" pid="9" name="Objective-ModificationStamp">
    <vt:filetime>2011-04-15T14:00:00Z</vt:filetime>
  </property>
  <property fmtid="{D5CDD505-2E9C-101B-9397-08002B2CF9AE}" pid="10" name="Objective-Owner">
    <vt:lpwstr>Janine Ridsdale</vt:lpwstr>
  </property>
  <property fmtid="{D5CDD505-2E9C-101B-9397-08002B2CF9AE}" pid="11" name="Objective-Path">
    <vt:lpwstr>Whole of ACT Government:ACTPLA:BRANCH - Planning Services:Development Policy:04 - TERRITORY PLAN VARIATION UNIT - New ((Active 20091126):01 Territory Plan Management (Variations, Technical Amendments, Planning Reports and Proposals):2 Technical Amendments</vt:lpwstr>
  </property>
  <property fmtid="{D5CDD505-2E9C-101B-9397-08002B2CF9AE}" pid="12" name="Objective-Parent">
    <vt:lpwstr>06 Commencement docs</vt:lpwstr>
  </property>
  <property fmtid="{D5CDD505-2E9C-101B-9397-08002B2CF9AE}" pid="13" name="Objective-State">
    <vt:lpwstr>Published</vt:lpwstr>
  </property>
  <property fmtid="{D5CDD505-2E9C-101B-9397-08002B2CF9AE}" pid="14" name="Objective-Title">
    <vt:lpwstr>Attachment A TA2011-03 commencement notice + TA document - April 2011</vt:lpwstr>
  </property>
  <property fmtid="{D5CDD505-2E9C-101B-9397-08002B2CF9AE}" pid="15" name="Objective-Version">
    <vt:lpwstr>10.0</vt:lpwstr>
  </property>
  <property fmtid="{D5CDD505-2E9C-101B-9397-08002B2CF9AE}" pid="16" name="Objective-VersionComment">
    <vt:lpwstr> </vt:lpwstr>
  </property>
  <property fmtid="{D5CDD505-2E9C-101B-9397-08002B2CF9AE}" pid="17" name="Objective-VersionNumber">
    <vt:i4>10</vt:i4>
  </property>
  <property fmtid="{D5CDD505-2E9C-101B-9397-08002B2CF9AE}" pid="18" name="Objective-FileNumber">
    <vt:lpwstr>1-2011/00363</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ACTPLA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