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308" w:rsidRDefault="009F4308" w:rsidP="009F4308">
      <w:pPr>
        <w:pStyle w:val="Header"/>
        <w:spacing w:before="120"/>
      </w:pPr>
      <w:bookmarkStart w:id="0" w:name="_GoBack"/>
      <w:bookmarkEnd w:id="0"/>
      <w:smartTag w:uri="urn:schemas-microsoft-com:office:smarttags" w:element="State">
        <w:smartTag w:uri="urn:schemas-microsoft-com:office:smarttags" w:element="place">
          <w:r>
            <w:t>Australian Capital Territory</w:t>
          </w:r>
        </w:smartTag>
      </w:smartTag>
    </w:p>
    <w:p w:rsidR="009F4308" w:rsidRPr="00CE0CEA" w:rsidRDefault="009F4308" w:rsidP="009F4308">
      <w:pPr>
        <w:pStyle w:val="Header"/>
        <w:spacing w:before="120"/>
        <w:rPr>
          <w:rFonts w:cs="Arial"/>
        </w:rPr>
      </w:pPr>
    </w:p>
    <w:p w:rsidR="009F4308" w:rsidRPr="009F4308" w:rsidRDefault="009F4308" w:rsidP="009F4308">
      <w:pPr>
        <w:pStyle w:val="TAheading"/>
        <w:rPr>
          <w:color w:val="000000"/>
        </w:rPr>
      </w:pPr>
      <w:r w:rsidRPr="009F4308">
        <w:rPr>
          <w:color w:val="000000"/>
        </w:rPr>
        <w:t xml:space="preserve">Planning and Development (Technical Amendment— </w:t>
      </w:r>
      <w:bookmarkStart w:id="1" w:name="Division"/>
      <w:r w:rsidRPr="009F4308">
        <w:rPr>
          <w:color w:val="000000"/>
        </w:rPr>
        <w:t>Code and clarification c</w:t>
      </w:r>
      <w:bookmarkEnd w:id="1"/>
      <w:r w:rsidRPr="009F4308">
        <w:rPr>
          <w:color w:val="000000"/>
        </w:rPr>
        <w:t xml:space="preserve">hanges to various development codes, general codes, definitions and concept plans) Plan Variation </w:t>
      </w:r>
      <w:bookmarkStart w:id="2" w:name="Year"/>
      <w:r w:rsidRPr="009F4308">
        <w:rPr>
          <w:color w:val="000000"/>
        </w:rPr>
        <w:t>2011</w:t>
      </w:r>
      <w:bookmarkEnd w:id="2"/>
      <w:r w:rsidRPr="009F4308">
        <w:rPr>
          <w:color w:val="000000"/>
        </w:rPr>
        <w:t xml:space="preserve"> </w:t>
      </w:r>
      <w:r w:rsidR="00A0128A">
        <w:rPr>
          <w:color w:val="000000"/>
        </w:rPr>
        <w:t>(No 2)*</w:t>
      </w:r>
    </w:p>
    <w:p w:rsidR="009F4308" w:rsidRPr="009F4308" w:rsidRDefault="009F4308" w:rsidP="009F4308">
      <w:pPr>
        <w:rPr>
          <w:rStyle w:val="TAannexureAtext"/>
        </w:rPr>
      </w:pPr>
      <w:r w:rsidRPr="009F4308">
        <w:rPr>
          <w:rStyle w:val="TAannexureAtext"/>
        </w:rPr>
        <w:t xml:space="preserve">Notifiable instrument </w:t>
      </w:r>
      <w:bookmarkStart w:id="3" w:name="Notifiable_instrument"/>
      <w:r w:rsidRPr="009F4308">
        <w:rPr>
          <w:rStyle w:val="TAannexureAtext"/>
        </w:rPr>
        <w:t>2011</w:t>
      </w:r>
      <w:bookmarkEnd w:id="3"/>
      <w:r w:rsidR="00942153">
        <w:rPr>
          <w:rStyle w:val="TAannexureAtext"/>
        </w:rPr>
        <w:t>—589</w:t>
      </w:r>
    </w:p>
    <w:p w:rsidR="009F4308" w:rsidRPr="009F4308" w:rsidRDefault="009F4308" w:rsidP="009F4308">
      <w:pPr>
        <w:rPr>
          <w:rStyle w:val="TAannexureAtext"/>
        </w:rPr>
      </w:pPr>
      <w:r w:rsidRPr="009F4308">
        <w:rPr>
          <w:rStyle w:val="TAannexureAtext"/>
        </w:rPr>
        <w:t xml:space="preserve">Technical Amendment No </w:t>
      </w:r>
      <w:bookmarkStart w:id="4" w:name="Technical_amendment"/>
      <w:r w:rsidRPr="009F4308">
        <w:rPr>
          <w:rStyle w:val="TAannexureAtext"/>
        </w:rPr>
        <w:t>2011-23</w:t>
      </w:r>
      <w:bookmarkEnd w:id="4"/>
    </w:p>
    <w:p w:rsidR="009F4308" w:rsidRDefault="009F4308" w:rsidP="009F4308">
      <w:pPr>
        <w:pStyle w:val="TALAtext"/>
      </w:pPr>
      <w:r>
        <w:t>made under the</w:t>
      </w:r>
    </w:p>
    <w:p w:rsidR="009F4308" w:rsidRDefault="009F4308" w:rsidP="009F4308">
      <w:pPr>
        <w:pStyle w:val="TA-LAitalicstext"/>
      </w:pPr>
      <w:r w:rsidRPr="00233737">
        <w:t xml:space="preserve">Planning and Development Act 2007, </w:t>
      </w:r>
      <w:bookmarkStart w:id="5" w:name="S89"/>
      <w:r w:rsidRPr="00233737">
        <w:t>section 89 (Making technical amendments</w:t>
      </w:r>
      <w:r>
        <w:t xml:space="preserve">) </w:t>
      </w:r>
      <w:bookmarkEnd w:id="5"/>
      <w:r w:rsidRPr="00233737">
        <w:t xml:space="preserve">  </w:t>
      </w:r>
    </w:p>
    <w:p w:rsidR="009F4308" w:rsidRPr="008C3F65" w:rsidRDefault="009F4308" w:rsidP="009F4308">
      <w:pPr>
        <w:pStyle w:val="TAline"/>
      </w:pPr>
    </w:p>
    <w:p w:rsidR="009F4308" w:rsidRPr="00D16112" w:rsidRDefault="009F4308" w:rsidP="009F4308">
      <w:pPr>
        <w:pStyle w:val="TAbody"/>
        <w:rPr>
          <w:color w:val="000000"/>
        </w:rPr>
      </w:pPr>
      <w:r w:rsidRPr="00D16112">
        <w:rPr>
          <w:color w:val="000000"/>
        </w:rPr>
        <w:t xml:space="preserve">This Technical Amendment commences on </w:t>
      </w:r>
      <w:bookmarkStart w:id="6" w:name="Commencement_date"/>
      <w:r w:rsidRPr="00D16112">
        <w:rPr>
          <w:color w:val="000000"/>
        </w:rPr>
        <w:t>Friday 07 October 2011</w:t>
      </w:r>
      <w:bookmarkEnd w:id="6"/>
      <w:r w:rsidRPr="00D16112">
        <w:rPr>
          <w:color w:val="000000"/>
        </w:rPr>
        <w:t>.</w:t>
      </w:r>
    </w:p>
    <w:p w:rsidR="009F4308" w:rsidRPr="00D16112" w:rsidRDefault="009F4308" w:rsidP="009F4308">
      <w:pPr>
        <w:pStyle w:val="TAbody"/>
        <w:rPr>
          <w:color w:val="000000"/>
        </w:rPr>
      </w:pPr>
    </w:p>
    <w:p w:rsidR="009F4308" w:rsidRPr="00D16112" w:rsidRDefault="009F4308" w:rsidP="009F4308">
      <w:pPr>
        <w:pStyle w:val="TAbody"/>
        <w:rPr>
          <w:color w:val="000000"/>
        </w:rPr>
      </w:pPr>
      <w:bookmarkStart w:id="7" w:name="S89_1"/>
      <w:r w:rsidRPr="00D16112">
        <w:rPr>
          <w:color w:val="000000"/>
        </w:rPr>
        <w:t xml:space="preserve">Technical Amendment Number </w:t>
      </w:r>
      <w:bookmarkStart w:id="8" w:name="Techincal_amendment2"/>
      <w:r w:rsidRPr="00D16112">
        <w:rPr>
          <w:color w:val="000000"/>
        </w:rPr>
        <w:t>2011-23</w:t>
      </w:r>
      <w:bookmarkEnd w:id="8"/>
      <w:r w:rsidRPr="00D16112">
        <w:rPr>
          <w:color w:val="000000"/>
        </w:rPr>
        <w:t xml:space="preserve"> to the Territory Plan has been approved by the Planning and Land Authority</w:t>
      </w:r>
    </w:p>
    <w:bookmarkEnd w:id="7"/>
    <w:p w:rsidR="009F4308" w:rsidRPr="00D16112" w:rsidRDefault="009F4308" w:rsidP="009F4308">
      <w:pPr>
        <w:pStyle w:val="TAbody"/>
        <w:rPr>
          <w:color w:val="000000"/>
        </w:rPr>
      </w:pPr>
    </w:p>
    <w:p w:rsidR="009F4308" w:rsidRPr="00D16112" w:rsidRDefault="009F4308" w:rsidP="009F4308">
      <w:pPr>
        <w:pStyle w:val="TAbody"/>
        <w:rPr>
          <w:color w:val="000000"/>
          <w:szCs w:val="24"/>
        </w:rPr>
      </w:pPr>
    </w:p>
    <w:p w:rsidR="009F4308" w:rsidRPr="00D16112" w:rsidRDefault="009F4308" w:rsidP="009F4308">
      <w:pPr>
        <w:pStyle w:val="TAbody"/>
        <w:rPr>
          <w:color w:val="000000"/>
        </w:rPr>
      </w:pPr>
    </w:p>
    <w:p w:rsidR="009F4308" w:rsidRPr="00D16112" w:rsidRDefault="009F4308" w:rsidP="009F4308">
      <w:pPr>
        <w:pStyle w:val="TAbody"/>
        <w:rPr>
          <w:color w:val="000000"/>
        </w:rPr>
      </w:pPr>
    </w:p>
    <w:p w:rsidR="009F4308" w:rsidRPr="00D16112" w:rsidRDefault="009F4308" w:rsidP="009F4308">
      <w:pPr>
        <w:pStyle w:val="TAbody"/>
        <w:rPr>
          <w:color w:val="000000"/>
        </w:rPr>
      </w:pPr>
    </w:p>
    <w:p w:rsidR="009F4308" w:rsidRPr="00D16112" w:rsidRDefault="009F4308" w:rsidP="009F4308">
      <w:pPr>
        <w:pStyle w:val="TAbody"/>
        <w:rPr>
          <w:color w:val="000000"/>
        </w:rPr>
      </w:pPr>
      <w:bookmarkStart w:id="9" w:name="Delegate"/>
      <w:r>
        <w:rPr>
          <w:color w:val="000000"/>
        </w:rPr>
        <w:t>Ben Ponton</w:t>
      </w:r>
      <w:bookmarkEnd w:id="9"/>
    </w:p>
    <w:p w:rsidR="009F4308" w:rsidRPr="00D16112" w:rsidRDefault="009F4308" w:rsidP="009F4308">
      <w:pPr>
        <w:pStyle w:val="TAbody"/>
        <w:rPr>
          <w:color w:val="000000"/>
        </w:rPr>
      </w:pPr>
      <w:r w:rsidRPr="00D16112">
        <w:rPr>
          <w:color w:val="000000"/>
        </w:rPr>
        <w:t>Delegate of Planning and Land Authority</w:t>
      </w:r>
    </w:p>
    <w:p w:rsidR="009F4308" w:rsidRPr="003778EC" w:rsidRDefault="009F4308" w:rsidP="009F4308">
      <w:pPr>
        <w:pStyle w:val="TAbody"/>
        <w:rPr>
          <w:color w:val="FF0000"/>
        </w:rPr>
      </w:pPr>
    </w:p>
    <w:p w:rsidR="009F4308" w:rsidRPr="002E3854" w:rsidRDefault="00942153" w:rsidP="009F4308">
      <w:pPr>
        <w:pStyle w:val="TAbody"/>
      </w:pPr>
      <w:r>
        <w:t>4</w:t>
      </w:r>
      <w:r w:rsidR="009F4308" w:rsidRPr="002E3854">
        <w:t xml:space="preserve"> </w:t>
      </w:r>
      <w:bookmarkStart w:id="10" w:name="Date1"/>
      <w:r w:rsidR="002E3854" w:rsidRPr="002E3854">
        <w:t xml:space="preserve">October </w:t>
      </w:r>
      <w:r w:rsidR="009F4308" w:rsidRPr="002E3854">
        <w:t>2011</w:t>
      </w:r>
      <w:bookmarkEnd w:id="10"/>
      <w:r w:rsidR="009F4308" w:rsidRPr="002E3854">
        <w:t xml:space="preserve"> </w:t>
      </w:r>
    </w:p>
    <w:p w:rsidR="009F4308" w:rsidRDefault="009F4308" w:rsidP="00364C08">
      <w:pPr>
        <w:pStyle w:val="TAbodytext"/>
        <w:sectPr w:rsidR="009F4308">
          <w:headerReference w:type="even" r:id="rId8"/>
          <w:headerReference w:type="default" r:id="rId9"/>
          <w:footerReference w:type="even" r:id="rId10"/>
          <w:footerReference w:type="default" r:id="rId11"/>
          <w:headerReference w:type="first" r:id="rId12"/>
          <w:footerReference w:type="first" r:id="rId13"/>
          <w:pgSz w:w="11907" w:h="16840"/>
          <w:pgMar w:top="1361" w:right="1531" w:bottom="1559" w:left="1531" w:header="720" w:footer="1009" w:gutter="0"/>
          <w:pgNumType w:fmt="lowerRoman" w:start="1"/>
          <w:cols w:space="720"/>
        </w:sectPr>
      </w:pPr>
    </w:p>
    <w:p w:rsidR="00446963" w:rsidRDefault="008D1CDD" w:rsidP="00364C08">
      <w:pPr>
        <w:pStyle w:val="TAbodytext"/>
      </w:pPr>
      <w:r>
        <w:rPr>
          <w:noProof/>
        </w:rPr>
        <w:lastRenderedPageBreak/>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2823210" cy="1051560"/>
            <wp:effectExtent l="0" t="0" r="0" b="0"/>
            <wp:wrapNone/>
            <wp:docPr id="3" name="Picture 2" descr="ESDDlogo_2cm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DDlogo_2cmhig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3210" cy="1051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6963" w:rsidRPr="006C6498" w:rsidRDefault="00446963" w:rsidP="00446963">
      <w:pPr>
        <w:pStyle w:val="Header"/>
        <w:spacing w:before="360"/>
        <w:jc w:val="right"/>
        <w:rPr>
          <w:b/>
          <w:sz w:val="32"/>
          <w:szCs w:val="32"/>
        </w:rPr>
      </w:pPr>
      <w:r w:rsidRPr="006C6498">
        <w:rPr>
          <w:b/>
          <w:sz w:val="32"/>
          <w:szCs w:val="32"/>
        </w:rPr>
        <w:t>Planning and</w:t>
      </w:r>
      <w:r w:rsidRPr="006C6498">
        <w:rPr>
          <w:b/>
          <w:sz w:val="32"/>
          <w:szCs w:val="32"/>
        </w:rPr>
        <w:br/>
        <w:t>Land Authority</w:t>
      </w:r>
    </w:p>
    <w:p w:rsidR="00446963" w:rsidRDefault="00446963" w:rsidP="00BC1FD6">
      <w:pPr>
        <w:pStyle w:val="DVBodytext"/>
        <w:rPr>
          <w:rFonts w:ascii="Calibri" w:hAnsi="Calibri" w:cs="Calibri"/>
        </w:rPr>
      </w:pPr>
    </w:p>
    <w:p w:rsidR="00446963" w:rsidRDefault="00446963" w:rsidP="009E3621">
      <w:pPr>
        <w:pStyle w:val="TAbodytext"/>
        <w:rPr>
          <w:rFonts w:ascii="Calibri" w:hAnsi="Calibri" w:cs="Calibri"/>
          <w:sz w:val="32"/>
          <w:szCs w:val="20"/>
          <w:lang w:eastAsia="en-US"/>
        </w:rPr>
      </w:pPr>
    </w:p>
    <w:p w:rsidR="00446963" w:rsidRDefault="00446963" w:rsidP="009E3621">
      <w:pPr>
        <w:pStyle w:val="TAbodytext"/>
        <w:rPr>
          <w:rFonts w:ascii="Calibri" w:hAnsi="Calibri" w:cs="Calibri"/>
          <w:sz w:val="32"/>
          <w:szCs w:val="20"/>
          <w:lang w:eastAsia="en-US"/>
        </w:rPr>
      </w:pPr>
    </w:p>
    <w:p w:rsidR="00446963" w:rsidRPr="00330ED2" w:rsidRDefault="00446963" w:rsidP="00446963">
      <w:pPr>
        <w:pStyle w:val="BodyText"/>
        <w:jc w:val="center"/>
        <w:rPr>
          <w:rFonts w:cs="Arial"/>
          <w:b/>
          <w:sz w:val="32"/>
        </w:rPr>
      </w:pPr>
      <w:r w:rsidRPr="00330ED2">
        <w:rPr>
          <w:rFonts w:cs="Arial"/>
          <w:sz w:val="32"/>
        </w:rPr>
        <w:t>Planning &amp; Development Act 2007</w:t>
      </w:r>
    </w:p>
    <w:p w:rsidR="00446963" w:rsidRDefault="00446963" w:rsidP="009E3621">
      <w:pPr>
        <w:pStyle w:val="TAbodytext"/>
      </w:pPr>
    </w:p>
    <w:p w:rsidR="00446963" w:rsidRPr="00EC4ACA" w:rsidRDefault="00446963" w:rsidP="009E3621">
      <w:pPr>
        <w:pStyle w:val="TAbodytext"/>
      </w:pPr>
    </w:p>
    <w:p w:rsidR="006C6498" w:rsidRDefault="00446963" w:rsidP="00446963">
      <w:pPr>
        <w:pStyle w:val="TATitlepagedocumenttitle"/>
        <w:pBdr>
          <w:left w:val="single" w:sz="4" w:space="0" w:color="auto"/>
        </w:pBdr>
        <w:tabs>
          <w:tab w:val="clear" w:pos="720"/>
          <w:tab w:val="clear" w:pos="1440"/>
        </w:tabs>
        <w:ind w:left="0"/>
      </w:pPr>
      <w:r w:rsidRPr="009E3621">
        <w:rPr>
          <w:sz w:val="32"/>
          <w:szCs w:val="32"/>
        </w:rPr>
        <w:br/>
      </w:r>
      <w:r w:rsidR="006C6498">
        <w:t xml:space="preserve">Technical Amendment </w:t>
      </w:r>
    </w:p>
    <w:p w:rsidR="00446963" w:rsidRPr="009E3621" w:rsidRDefault="006C6498" w:rsidP="00446963">
      <w:pPr>
        <w:pStyle w:val="TATitlepagedocumenttitle"/>
        <w:pBdr>
          <w:left w:val="single" w:sz="4" w:space="0" w:color="auto"/>
        </w:pBdr>
        <w:tabs>
          <w:tab w:val="clear" w:pos="720"/>
          <w:tab w:val="clear" w:pos="1440"/>
        </w:tabs>
        <w:ind w:left="0"/>
        <w:rPr>
          <w:sz w:val="32"/>
          <w:szCs w:val="32"/>
        </w:rPr>
      </w:pPr>
      <w:r>
        <w:t>t</w:t>
      </w:r>
      <w:r w:rsidR="00446963" w:rsidRPr="006D6E4E">
        <w:t>o the</w:t>
      </w:r>
      <w:r w:rsidR="00233134">
        <w:t xml:space="preserve"> </w:t>
      </w:r>
      <w:r w:rsidR="00446963" w:rsidRPr="006D6E4E">
        <w:t>Territory Plan</w:t>
      </w:r>
      <w:r w:rsidR="00446963">
        <w:t xml:space="preserve"> </w:t>
      </w:r>
      <w:r w:rsidR="00233134">
        <w:t xml:space="preserve">Variation </w:t>
      </w:r>
      <w:r w:rsidR="00446963">
        <w:t>2011-23</w:t>
      </w:r>
    </w:p>
    <w:p w:rsidR="00446963" w:rsidRDefault="00446963" w:rsidP="00DD7F14">
      <w:pPr>
        <w:jc w:val="center"/>
        <w:rPr>
          <w:sz w:val="32"/>
          <w:szCs w:val="32"/>
        </w:rPr>
      </w:pPr>
      <w:bookmarkStart w:id="11" w:name="Consultation"/>
    </w:p>
    <w:p w:rsidR="006C6498" w:rsidRDefault="006C6498" w:rsidP="00DD7F14">
      <w:pPr>
        <w:jc w:val="center"/>
        <w:rPr>
          <w:sz w:val="32"/>
          <w:szCs w:val="32"/>
        </w:rPr>
      </w:pPr>
    </w:p>
    <w:p w:rsidR="00446963" w:rsidRPr="00FA068F" w:rsidRDefault="00446963" w:rsidP="00DD7F14">
      <w:pPr>
        <w:jc w:val="center"/>
        <w:rPr>
          <w:sz w:val="32"/>
          <w:szCs w:val="32"/>
        </w:rPr>
      </w:pPr>
      <w:r>
        <w:rPr>
          <w:sz w:val="32"/>
          <w:szCs w:val="32"/>
        </w:rPr>
        <w:t>Code and clarification technical amendment, including changes to development codes, general codes, definitions and concept plans</w:t>
      </w:r>
    </w:p>
    <w:p w:rsidR="00446963" w:rsidRDefault="00446963" w:rsidP="00DD7F14">
      <w:pPr>
        <w:jc w:val="center"/>
        <w:rPr>
          <w:b/>
          <w:sz w:val="32"/>
          <w:szCs w:val="32"/>
        </w:rPr>
      </w:pPr>
    </w:p>
    <w:p w:rsidR="006C6498" w:rsidRDefault="006C6498" w:rsidP="00DD7F14">
      <w:pPr>
        <w:jc w:val="center"/>
        <w:rPr>
          <w:b/>
          <w:sz w:val="32"/>
          <w:szCs w:val="32"/>
        </w:rPr>
      </w:pPr>
    </w:p>
    <w:p w:rsidR="00446963" w:rsidRDefault="004B17D2" w:rsidP="00DD7F14">
      <w:pPr>
        <w:jc w:val="center"/>
        <w:rPr>
          <w:b/>
          <w:sz w:val="32"/>
          <w:szCs w:val="32"/>
        </w:rPr>
      </w:pPr>
      <w:r>
        <w:rPr>
          <w:b/>
          <w:sz w:val="32"/>
          <w:szCs w:val="32"/>
        </w:rPr>
        <w:t xml:space="preserve">October </w:t>
      </w:r>
      <w:r w:rsidR="00446963" w:rsidRPr="00FA068F">
        <w:rPr>
          <w:b/>
          <w:sz w:val="32"/>
          <w:szCs w:val="32"/>
        </w:rPr>
        <w:t>2011</w:t>
      </w:r>
    </w:p>
    <w:p w:rsidR="00741D38" w:rsidRDefault="00741D38" w:rsidP="00DD7F14">
      <w:pPr>
        <w:jc w:val="center"/>
        <w:rPr>
          <w:b/>
          <w:sz w:val="32"/>
          <w:szCs w:val="32"/>
        </w:rPr>
      </w:pPr>
    </w:p>
    <w:p w:rsidR="00741D38" w:rsidRDefault="00741D38" w:rsidP="00DD7F14">
      <w:pPr>
        <w:jc w:val="center"/>
        <w:rPr>
          <w:b/>
          <w:sz w:val="32"/>
          <w:szCs w:val="32"/>
        </w:rPr>
      </w:pPr>
    </w:p>
    <w:p w:rsidR="00741D38" w:rsidRDefault="00741D38" w:rsidP="00DD7F14">
      <w:pPr>
        <w:jc w:val="center"/>
        <w:rPr>
          <w:b/>
          <w:sz w:val="32"/>
          <w:szCs w:val="32"/>
        </w:rPr>
      </w:pPr>
    </w:p>
    <w:p w:rsidR="00EB5298" w:rsidRDefault="00EB5298" w:rsidP="00DD7F14">
      <w:pPr>
        <w:jc w:val="center"/>
        <w:rPr>
          <w:b/>
          <w:sz w:val="32"/>
          <w:szCs w:val="32"/>
        </w:rPr>
      </w:pPr>
    </w:p>
    <w:p w:rsidR="00741D38" w:rsidRPr="006C6531" w:rsidRDefault="00741D38" w:rsidP="00DD7F14">
      <w:pPr>
        <w:jc w:val="center"/>
        <w:rPr>
          <w:b/>
          <w:sz w:val="32"/>
          <w:szCs w:val="32"/>
        </w:rPr>
      </w:pPr>
    </w:p>
    <w:p w:rsidR="00446963" w:rsidRDefault="00446963" w:rsidP="009E3621">
      <w:pPr>
        <w:pStyle w:val="DVVersionheading"/>
        <w:jc w:val="left"/>
        <w:rPr>
          <w:rFonts w:ascii="Calibri" w:hAnsi="Calibri" w:cs="Calibri"/>
          <w:sz w:val="24"/>
          <w:szCs w:val="24"/>
        </w:rPr>
      </w:pPr>
    </w:p>
    <w:p w:rsidR="00446963" w:rsidRDefault="00446963" w:rsidP="009E3621">
      <w:pPr>
        <w:pStyle w:val="DVVersionheading"/>
        <w:jc w:val="left"/>
        <w:rPr>
          <w:rFonts w:ascii="Calibri" w:hAnsi="Calibri" w:cs="Calibri"/>
          <w:sz w:val="24"/>
          <w:szCs w:val="24"/>
        </w:rPr>
      </w:pPr>
    </w:p>
    <w:bookmarkEnd w:id="11"/>
    <w:p w:rsidR="00446963" w:rsidRDefault="00446963">
      <w:r>
        <w:br w:type="page"/>
      </w:r>
    </w:p>
    <w:p w:rsidR="00364C08" w:rsidRPr="00BE441E" w:rsidRDefault="00364C08" w:rsidP="00364C08">
      <w:pPr>
        <w:pStyle w:val="TAbodytext"/>
      </w:pPr>
    </w:p>
    <w:p w:rsidR="00364C08" w:rsidRPr="00BE441E" w:rsidRDefault="00364C08" w:rsidP="00364C08">
      <w:pPr>
        <w:pStyle w:val="TAbodytext"/>
      </w:pPr>
    </w:p>
    <w:p w:rsidR="00364C08" w:rsidRPr="00BE441E" w:rsidRDefault="00016D01" w:rsidP="00364C08">
      <w:pPr>
        <w:pStyle w:val="TATableofcontentsTitle"/>
      </w:pPr>
      <w:r w:rsidRPr="00BE441E">
        <w:t>Table of Contents</w:t>
      </w:r>
    </w:p>
    <w:p w:rsidR="00364C08" w:rsidRDefault="00364C08" w:rsidP="00364C08">
      <w:pPr>
        <w:pStyle w:val="TAbodytext"/>
      </w:pPr>
    </w:p>
    <w:p w:rsidR="009F4308" w:rsidRDefault="00016D01">
      <w:pPr>
        <w:pStyle w:val="TOC1"/>
        <w:tabs>
          <w:tab w:val="right" w:leader="dot" w:pos="8835"/>
        </w:tabs>
        <w:rPr>
          <w:rFonts w:asciiTheme="minorHAnsi" w:eastAsiaTheme="minorEastAsia" w:hAnsiTheme="minorHAnsi"/>
          <w:caps w:val="0"/>
          <w:sz w:val="22"/>
          <w:szCs w:val="22"/>
        </w:rPr>
      </w:pPr>
      <w:r>
        <w:fldChar w:fldCharType="begin"/>
      </w:r>
      <w:r>
        <w:instrText xml:space="preserve"> TOC \h \z \t "TA Appendix heading,3,TA section heading,1,TA section heading 2,2,TA section heading 3,3" </w:instrText>
      </w:r>
      <w:r>
        <w:fldChar w:fldCharType="separate"/>
      </w:r>
      <w:hyperlink w:anchor="_Toc305145240" w:history="1">
        <w:r w:rsidR="009F4308" w:rsidRPr="00EA6CB1">
          <w:rPr>
            <w:rStyle w:val="Hyperlink"/>
          </w:rPr>
          <w:t>1. INTRODUCTION</w:t>
        </w:r>
        <w:r w:rsidR="009F4308">
          <w:rPr>
            <w:webHidden/>
          </w:rPr>
          <w:tab/>
        </w:r>
        <w:r w:rsidR="009F4308">
          <w:rPr>
            <w:webHidden/>
          </w:rPr>
          <w:fldChar w:fldCharType="begin"/>
        </w:r>
        <w:r w:rsidR="009F4308">
          <w:rPr>
            <w:webHidden/>
          </w:rPr>
          <w:instrText xml:space="preserve"> PAGEREF _Toc305145240 \h </w:instrText>
        </w:r>
        <w:r w:rsidR="009F4308">
          <w:rPr>
            <w:webHidden/>
          </w:rPr>
        </w:r>
        <w:r w:rsidR="009F4308">
          <w:rPr>
            <w:webHidden/>
          </w:rPr>
          <w:fldChar w:fldCharType="separate"/>
        </w:r>
        <w:r w:rsidR="009F4308">
          <w:rPr>
            <w:webHidden/>
          </w:rPr>
          <w:t>2</w:t>
        </w:r>
        <w:r w:rsidR="009F4308">
          <w:rPr>
            <w:webHidden/>
          </w:rPr>
          <w:fldChar w:fldCharType="end"/>
        </w:r>
      </w:hyperlink>
    </w:p>
    <w:p w:rsidR="009F4308" w:rsidRDefault="00292496">
      <w:pPr>
        <w:pStyle w:val="TOC2"/>
        <w:tabs>
          <w:tab w:val="right" w:leader="dot" w:pos="8835"/>
        </w:tabs>
        <w:rPr>
          <w:rFonts w:asciiTheme="minorHAnsi" w:eastAsiaTheme="minorEastAsia" w:hAnsiTheme="minorHAnsi"/>
          <w:noProof/>
          <w:sz w:val="22"/>
          <w:szCs w:val="22"/>
        </w:rPr>
      </w:pPr>
      <w:hyperlink w:anchor="_Toc305145241" w:history="1">
        <w:r w:rsidR="009F4308" w:rsidRPr="00EA6CB1">
          <w:rPr>
            <w:rStyle w:val="Hyperlink"/>
            <w:noProof/>
          </w:rPr>
          <w:t>Outline of the process</w:t>
        </w:r>
        <w:r w:rsidR="009F4308">
          <w:rPr>
            <w:noProof/>
            <w:webHidden/>
          </w:rPr>
          <w:tab/>
        </w:r>
        <w:r w:rsidR="009F4308">
          <w:rPr>
            <w:noProof/>
            <w:webHidden/>
          </w:rPr>
          <w:fldChar w:fldCharType="begin"/>
        </w:r>
        <w:r w:rsidR="009F4308">
          <w:rPr>
            <w:noProof/>
            <w:webHidden/>
          </w:rPr>
          <w:instrText xml:space="preserve"> PAGEREF _Toc305145241 \h </w:instrText>
        </w:r>
        <w:r w:rsidR="009F4308">
          <w:rPr>
            <w:noProof/>
            <w:webHidden/>
          </w:rPr>
        </w:r>
        <w:r w:rsidR="009F4308">
          <w:rPr>
            <w:noProof/>
            <w:webHidden/>
          </w:rPr>
          <w:fldChar w:fldCharType="separate"/>
        </w:r>
        <w:r w:rsidR="009F4308">
          <w:rPr>
            <w:noProof/>
            <w:webHidden/>
          </w:rPr>
          <w:t>2</w:t>
        </w:r>
        <w:r w:rsidR="009F4308">
          <w:rPr>
            <w:noProof/>
            <w:webHidden/>
          </w:rPr>
          <w:fldChar w:fldCharType="end"/>
        </w:r>
      </w:hyperlink>
    </w:p>
    <w:p w:rsidR="009F4308" w:rsidRDefault="00292496">
      <w:pPr>
        <w:pStyle w:val="TOC1"/>
        <w:tabs>
          <w:tab w:val="right" w:leader="dot" w:pos="8835"/>
        </w:tabs>
        <w:rPr>
          <w:rFonts w:asciiTheme="minorHAnsi" w:eastAsiaTheme="minorEastAsia" w:hAnsiTheme="minorHAnsi"/>
          <w:caps w:val="0"/>
          <w:sz w:val="22"/>
          <w:szCs w:val="22"/>
        </w:rPr>
      </w:pPr>
      <w:hyperlink w:anchor="_Toc305145242" w:history="1">
        <w:r w:rsidR="009F4308" w:rsidRPr="00EA6CB1">
          <w:rPr>
            <w:rStyle w:val="Hyperlink"/>
          </w:rPr>
          <w:t>2. EXPLANATORY STATEMENT</w:t>
        </w:r>
        <w:r w:rsidR="009F4308">
          <w:rPr>
            <w:webHidden/>
          </w:rPr>
          <w:tab/>
        </w:r>
        <w:r w:rsidR="009F4308">
          <w:rPr>
            <w:webHidden/>
          </w:rPr>
          <w:fldChar w:fldCharType="begin"/>
        </w:r>
        <w:r w:rsidR="009F4308">
          <w:rPr>
            <w:webHidden/>
          </w:rPr>
          <w:instrText xml:space="preserve"> PAGEREF _Toc305145242 \h </w:instrText>
        </w:r>
        <w:r w:rsidR="009F4308">
          <w:rPr>
            <w:webHidden/>
          </w:rPr>
        </w:r>
        <w:r w:rsidR="009F4308">
          <w:rPr>
            <w:webHidden/>
          </w:rPr>
          <w:fldChar w:fldCharType="separate"/>
        </w:r>
        <w:r w:rsidR="009F4308">
          <w:rPr>
            <w:webHidden/>
          </w:rPr>
          <w:t>3</w:t>
        </w:r>
        <w:r w:rsidR="009F4308">
          <w:rPr>
            <w:webHidden/>
          </w:rPr>
          <w:fldChar w:fldCharType="end"/>
        </w:r>
      </w:hyperlink>
    </w:p>
    <w:p w:rsidR="009F4308" w:rsidRDefault="00292496">
      <w:pPr>
        <w:pStyle w:val="TOC2"/>
        <w:tabs>
          <w:tab w:val="right" w:leader="dot" w:pos="8835"/>
        </w:tabs>
        <w:rPr>
          <w:rFonts w:asciiTheme="minorHAnsi" w:eastAsiaTheme="minorEastAsia" w:hAnsiTheme="minorHAnsi"/>
          <w:noProof/>
          <w:sz w:val="22"/>
          <w:szCs w:val="22"/>
        </w:rPr>
      </w:pPr>
      <w:hyperlink w:anchor="_Toc305145243" w:history="1">
        <w:r w:rsidR="009F4308" w:rsidRPr="00EA6CB1">
          <w:rPr>
            <w:rStyle w:val="Hyperlink"/>
            <w:noProof/>
          </w:rPr>
          <w:t xml:space="preserve">Proposed changes, reasons, and compliance with the </w:t>
        </w:r>
        <w:r w:rsidR="009F4308" w:rsidRPr="00EA6CB1">
          <w:rPr>
            <w:rStyle w:val="Hyperlink"/>
            <w:i/>
            <w:noProof/>
          </w:rPr>
          <w:t>Planning and Development Act 2007</w:t>
        </w:r>
        <w:r w:rsidR="009F4308">
          <w:rPr>
            <w:noProof/>
            <w:webHidden/>
          </w:rPr>
          <w:tab/>
        </w:r>
        <w:r w:rsidR="009F4308">
          <w:rPr>
            <w:noProof/>
            <w:webHidden/>
          </w:rPr>
          <w:fldChar w:fldCharType="begin"/>
        </w:r>
        <w:r w:rsidR="009F4308">
          <w:rPr>
            <w:noProof/>
            <w:webHidden/>
          </w:rPr>
          <w:instrText xml:space="preserve"> PAGEREF _Toc305145243 \h </w:instrText>
        </w:r>
        <w:r w:rsidR="009F4308">
          <w:rPr>
            <w:noProof/>
            <w:webHidden/>
          </w:rPr>
        </w:r>
        <w:r w:rsidR="009F4308">
          <w:rPr>
            <w:noProof/>
            <w:webHidden/>
          </w:rPr>
          <w:fldChar w:fldCharType="separate"/>
        </w:r>
        <w:r w:rsidR="009F4308">
          <w:rPr>
            <w:noProof/>
            <w:webHidden/>
          </w:rPr>
          <w:t>3</w:t>
        </w:r>
        <w:r w:rsidR="009F4308">
          <w:rPr>
            <w:noProof/>
            <w:webHidden/>
          </w:rPr>
          <w:fldChar w:fldCharType="end"/>
        </w:r>
      </w:hyperlink>
    </w:p>
    <w:p w:rsidR="009F4308" w:rsidRDefault="00292496">
      <w:pPr>
        <w:pStyle w:val="TOC3"/>
        <w:rPr>
          <w:rFonts w:asciiTheme="minorHAnsi" w:eastAsiaTheme="minorEastAsia" w:hAnsiTheme="minorHAnsi"/>
          <w:noProof/>
          <w:sz w:val="22"/>
          <w:szCs w:val="22"/>
        </w:rPr>
      </w:pPr>
      <w:hyperlink w:anchor="_Toc305145244" w:history="1">
        <w:r w:rsidR="009F4308" w:rsidRPr="00EA6CB1">
          <w:rPr>
            <w:rStyle w:val="Hyperlink"/>
            <w:noProof/>
          </w:rPr>
          <w:t>2.1 Code variations</w:t>
        </w:r>
        <w:r w:rsidR="009F4308">
          <w:rPr>
            <w:noProof/>
            <w:webHidden/>
          </w:rPr>
          <w:tab/>
        </w:r>
        <w:r w:rsidR="009F4308">
          <w:rPr>
            <w:noProof/>
            <w:webHidden/>
          </w:rPr>
          <w:fldChar w:fldCharType="begin"/>
        </w:r>
        <w:r w:rsidR="009F4308">
          <w:rPr>
            <w:noProof/>
            <w:webHidden/>
          </w:rPr>
          <w:instrText xml:space="preserve"> PAGEREF _Toc305145244 \h </w:instrText>
        </w:r>
        <w:r w:rsidR="009F4308">
          <w:rPr>
            <w:noProof/>
            <w:webHidden/>
          </w:rPr>
        </w:r>
        <w:r w:rsidR="009F4308">
          <w:rPr>
            <w:noProof/>
            <w:webHidden/>
          </w:rPr>
          <w:fldChar w:fldCharType="separate"/>
        </w:r>
        <w:r w:rsidR="009F4308">
          <w:rPr>
            <w:noProof/>
            <w:webHidden/>
          </w:rPr>
          <w:t>3</w:t>
        </w:r>
        <w:r w:rsidR="009F4308">
          <w:rPr>
            <w:noProof/>
            <w:webHidden/>
          </w:rPr>
          <w:fldChar w:fldCharType="end"/>
        </w:r>
      </w:hyperlink>
    </w:p>
    <w:p w:rsidR="009F4308" w:rsidRDefault="00292496">
      <w:pPr>
        <w:pStyle w:val="TOC3"/>
        <w:rPr>
          <w:rFonts w:asciiTheme="minorHAnsi" w:eastAsiaTheme="minorEastAsia" w:hAnsiTheme="minorHAnsi"/>
          <w:noProof/>
          <w:sz w:val="22"/>
          <w:szCs w:val="22"/>
        </w:rPr>
      </w:pPr>
      <w:hyperlink w:anchor="_Toc305145245" w:history="1">
        <w:r w:rsidR="009F4308" w:rsidRPr="00EA6CB1">
          <w:rPr>
            <w:rStyle w:val="Hyperlink"/>
            <w:noProof/>
          </w:rPr>
          <w:t>2.2 Clarification variations</w:t>
        </w:r>
        <w:r w:rsidR="009F4308">
          <w:rPr>
            <w:noProof/>
            <w:webHidden/>
          </w:rPr>
          <w:tab/>
        </w:r>
        <w:r w:rsidR="009F4308">
          <w:rPr>
            <w:noProof/>
            <w:webHidden/>
          </w:rPr>
          <w:fldChar w:fldCharType="begin"/>
        </w:r>
        <w:r w:rsidR="009F4308">
          <w:rPr>
            <w:noProof/>
            <w:webHidden/>
          </w:rPr>
          <w:instrText xml:space="preserve"> PAGEREF _Toc305145245 \h </w:instrText>
        </w:r>
        <w:r w:rsidR="009F4308">
          <w:rPr>
            <w:noProof/>
            <w:webHidden/>
          </w:rPr>
        </w:r>
        <w:r w:rsidR="009F4308">
          <w:rPr>
            <w:noProof/>
            <w:webHidden/>
          </w:rPr>
          <w:fldChar w:fldCharType="separate"/>
        </w:r>
        <w:r w:rsidR="009F4308">
          <w:rPr>
            <w:noProof/>
            <w:webHidden/>
          </w:rPr>
          <w:t>9</w:t>
        </w:r>
        <w:r w:rsidR="009F4308">
          <w:rPr>
            <w:noProof/>
            <w:webHidden/>
          </w:rPr>
          <w:fldChar w:fldCharType="end"/>
        </w:r>
      </w:hyperlink>
    </w:p>
    <w:p w:rsidR="009F4308" w:rsidRDefault="00292496">
      <w:pPr>
        <w:pStyle w:val="TOC1"/>
        <w:tabs>
          <w:tab w:val="right" w:leader="dot" w:pos="8835"/>
        </w:tabs>
        <w:rPr>
          <w:rFonts w:asciiTheme="minorHAnsi" w:eastAsiaTheme="minorEastAsia" w:hAnsiTheme="minorHAnsi"/>
          <w:caps w:val="0"/>
          <w:sz w:val="22"/>
          <w:szCs w:val="22"/>
        </w:rPr>
      </w:pPr>
      <w:hyperlink w:anchor="_Toc305145246" w:history="1">
        <w:r w:rsidR="009F4308" w:rsidRPr="00EA6CB1">
          <w:rPr>
            <w:rStyle w:val="Hyperlink"/>
          </w:rPr>
          <w:t>3. TECHNICAL AMENDMENT</w:t>
        </w:r>
        <w:r w:rsidR="009F4308">
          <w:rPr>
            <w:webHidden/>
          </w:rPr>
          <w:tab/>
        </w:r>
        <w:r w:rsidR="009F4308">
          <w:rPr>
            <w:webHidden/>
          </w:rPr>
          <w:fldChar w:fldCharType="begin"/>
        </w:r>
        <w:r w:rsidR="009F4308">
          <w:rPr>
            <w:webHidden/>
          </w:rPr>
          <w:instrText xml:space="preserve"> PAGEREF _Toc305145246 \h </w:instrText>
        </w:r>
        <w:r w:rsidR="009F4308">
          <w:rPr>
            <w:webHidden/>
          </w:rPr>
        </w:r>
        <w:r w:rsidR="009F4308">
          <w:rPr>
            <w:webHidden/>
          </w:rPr>
          <w:fldChar w:fldCharType="separate"/>
        </w:r>
        <w:r w:rsidR="009F4308">
          <w:rPr>
            <w:webHidden/>
          </w:rPr>
          <w:t>11</w:t>
        </w:r>
        <w:r w:rsidR="009F4308">
          <w:rPr>
            <w:webHidden/>
          </w:rPr>
          <w:fldChar w:fldCharType="end"/>
        </w:r>
      </w:hyperlink>
    </w:p>
    <w:p w:rsidR="009F4308" w:rsidRDefault="00292496">
      <w:pPr>
        <w:pStyle w:val="TOC3"/>
        <w:rPr>
          <w:rFonts w:asciiTheme="minorHAnsi" w:eastAsiaTheme="minorEastAsia" w:hAnsiTheme="minorHAnsi"/>
          <w:noProof/>
          <w:sz w:val="22"/>
          <w:szCs w:val="22"/>
        </w:rPr>
      </w:pPr>
      <w:hyperlink w:anchor="_Toc305145247" w:history="1">
        <w:r w:rsidR="009F4308" w:rsidRPr="00EA6CB1">
          <w:rPr>
            <w:rStyle w:val="Hyperlink"/>
            <w:noProof/>
          </w:rPr>
          <w:t>3.1 Code Amendments</w:t>
        </w:r>
        <w:r w:rsidR="009F4308">
          <w:rPr>
            <w:noProof/>
            <w:webHidden/>
          </w:rPr>
          <w:tab/>
        </w:r>
        <w:r w:rsidR="009F4308">
          <w:rPr>
            <w:noProof/>
            <w:webHidden/>
          </w:rPr>
          <w:fldChar w:fldCharType="begin"/>
        </w:r>
        <w:r w:rsidR="009F4308">
          <w:rPr>
            <w:noProof/>
            <w:webHidden/>
          </w:rPr>
          <w:instrText xml:space="preserve"> PAGEREF _Toc305145247 \h </w:instrText>
        </w:r>
        <w:r w:rsidR="009F4308">
          <w:rPr>
            <w:noProof/>
            <w:webHidden/>
          </w:rPr>
        </w:r>
        <w:r w:rsidR="009F4308">
          <w:rPr>
            <w:noProof/>
            <w:webHidden/>
          </w:rPr>
          <w:fldChar w:fldCharType="separate"/>
        </w:r>
        <w:r w:rsidR="009F4308">
          <w:rPr>
            <w:noProof/>
            <w:webHidden/>
          </w:rPr>
          <w:t>11</w:t>
        </w:r>
        <w:r w:rsidR="009F4308">
          <w:rPr>
            <w:noProof/>
            <w:webHidden/>
          </w:rPr>
          <w:fldChar w:fldCharType="end"/>
        </w:r>
      </w:hyperlink>
    </w:p>
    <w:p w:rsidR="009F4308" w:rsidRDefault="00292496">
      <w:pPr>
        <w:pStyle w:val="TOC3"/>
        <w:rPr>
          <w:rFonts w:asciiTheme="minorHAnsi" w:eastAsiaTheme="minorEastAsia" w:hAnsiTheme="minorHAnsi"/>
          <w:noProof/>
          <w:sz w:val="22"/>
          <w:szCs w:val="22"/>
        </w:rPr>
      </w:pPr>
      <w:hyperlink w:anchor="_Toc305145248" w:history="1">
        <w:r w:rsidR="009F4308" w:rsidRPr="00EA6CB1">
          <w:rPr>
            <w:rStyle w:val="Hyperlink"/>
            <w:noProof/>
          </w:rPr>
          <w:t>3.2 Clarification Amendments</w:t>
        </w:r>
        <w:r w:rsidR="009F4308">
          <w:rPr>
            <w:noProof/>
            <w:webHidden/>
          </w:rPr>
          <w:tab/>
        </w:r>
        <w:r w:rsidR="009F4308">
          <w:rPr>
            <w:noProof/>
            <w:webHidden/>
          </w:rPr>
          <w:fldChar w:fldCharType="begin"/>
        </w:r>
        <w:r w:rsidR="009F4308">
          <w:rPr>
            <w:noProof/>
            <w:webHidden/>
          </w:rPr>
          <w:instrText xml:space="preserve"> PAGEREF _Toc305145248 \h </w:instrText>
        </w:r>
        <w:r w:rsidR="009F4308">
          <w:rPr>
            <w:noProof/>
            <w:webHidden/>
          </w:rPr>
        </w:r>
        <w:r w:rsidR="009F4308">
          <w:rPr>
            <w:noProof/>
            <w:webHidden/>
          </w:rPr>
          <w:fldChar w:fldCharType="separate"/>
        </w:r>
        <w:r w:rsidR="009F4308">
          <w:rPr>
            <w:noProof/>
            <w:webHidden/>
          </w:rPr>
          <w:t>16</w:t>
        </w:r>
        <w:r w:rsidR="009F4308">
          <w:rPr>
            <w:noProof/>
            <w:webHidden/>
          </w:rPr>
          <w:fldChar w:fldCharType="end"/>
        </w:r>
      </w:hyperlink>
    </w:p>
    <w:p w:rsidR="00364C08" w:rsidRPr="00BE441E" w:rsidRDefault="00016D01" w:rsidP="00364C08">
      <w:pPr>
        <w:pStyle w:val="TAbodytext"/>
      </w:pPr>
      <w:r>
        <w:fldChar w:fldCharType="end"/>
      </w:r>
    </w:p>
    <w:p w:rsidR="00364C08" w:rsidRPr="00BE441E" w:rsidRDefault="00364C08" w:rsidP="00364C08">
      <w:pPr>
        <w:pStyle w:val="TAbodytext"/>
      </w:pPr>
    </w:p>
    <w:p w:rsidR="00364C08" w:rsidRPr="00BE441E" w:rsidRDefault="00364C08" w:rsidP="00364C08">
      <w:pPr>
        <w:pStyle w:val="TAbodytext"/>
        <w:sectPr w:rsidR="00364C08" w:rsidRPr="00BE441E">
          <w:footerReference w:type="default" r:id="rId15"/>
          <w:pgSz w:w="11907" w:h="16840"/>
          <w:pgMar w:top="1361" w:right="1531" w:bottom="1559" w:left="1531" w:header="720" w:footer="1009" w:gutter="0"/>
          <w:pgNumType w:fmt="lowerRoman" w:start="1"/>
          <w:cols w:space="720"/>
        </w:sectPr>
      </w:pPr>
    </w:p>
    <w:p w:rsidR="00364C08" w:rsidRPr="00BE441E" w:rsidRDefault="00016D01" w:rsidP="00364C08">
      <w:pPr>
        <w:pStyle w:val="TAsectionheading"/>
      </w:pPr>
      <w:bookmarkStart w:id="12" w:name="_Toc254851535"/>
      <w:bookmarkStart w:id="13" w:name="_Toc305145240"/>
      <w:r w:rsidRPr="00BE441E">
        <w:t>INTRODUCTION</w:t>
      </w:r>
      <w:bookmarkEnd w:id="12"/>
      <w:bookmarkEnd w:id="13"/>
    </w:p>
    <w:p w:rsidR="00364C08" w:rsidRPr="00BE441E" w:rsidRDefault="00016D01" w:rsidP="00364C08">
      <w:pPr>
        <w:pStyle w:val="TAsectionheading2"/>
      </w:pPr>
      <w:bookmarkStart w:id="14" w:name="_Toc254851536"/>
      <w:bookmarkStart w:id="15" w:name="_Toc305145241"/>
      <w:r w:rsidRPr="00BE441E">
        <w:t>Outline of the process</w:t>
      </w:r>
      <w:bookmarkEnd w:id="14"/>
      <w:bookmarkEnd w:id="15"/>
    </w:p>
    <w:p w:rsidR="00FD344E" w:rsidRPr="00282147" w:rsidRDefault="00FD344E" w:rsidP="00FD344E">
      <w:pPr>
        <w:pStyle w:val="TAbodytext"/>
        <w:rPr>
          <w:rFonts w:cs="Arial"/>
        </w:rPr>
      </w:pPr>
      <w:bookmarkStart w:id="16" w:name="_Toc214687943"/>
      <w:r w:rsidRPr="00282147">
        <w:rPr>
          <w:rFonts w:cs="Arial"/>
        </w:rPr>
        <w:t xml:space="preserve">The Commonwealth’s </w:t>
      </w:r>
      <w:r w:rsidRPr="00282147">
        <w:rPr>
          <w:rFonts w:cs="Arial"/>
          <w:i/>
          <w:iCs/>
        </w:rPr>
        <w:t xml:space="preserve">Australian Capital Territory (Planning and Land Management) Act 1988 </w:t>
      </w:r>
      <w:r w:rsidRPr="00282147">
        <w:rPr>
          <w:rFonts w:cs="Arial"/>
        </w:rPr>
        <w:t xml:space="preserve">allows for the Legislative Assembly to make laws to establish a Territory Planning Authority and for that Authority to prepare and administer a territory plan. </w:t>
      </w:r>
    </w:p>
    <w:p w:rsidR="00FD344E" w:rsidRPr="00282147" w:rsidRDefault="00FD344E" w:rsidP="00FD344E">
      <w:pPr>
        <w:pStyle w:val="TAbodytext"/>
        <w:rPr>
          <w:rFonts w:cs="Arial"/>
        </w:rPr>
      </w:pPr>
      <w:r w:rsidRPr="00282147">
        <w:rPr>
          <w:rFonts w:cs="Arial"/>
        </w:rPr>
        <w:t xml:space="preserve">The </w:t>
      </w:r>
      <w:r w:rsidRPr="00282147">
        <w:rPr>
          <w:rFonts w:cs="Arial"/>
          <w:i/>
          <w:iCs/>
        </w:rPr>
        <w:t>Planning and Development Act 2007</w:t>
      </w:r>
      <w:r w:rsidRPr="00282147">
        <w:rPr>
          <w:rFonts w:cs="Arial"/>
          <w:iCs/>
        </w:rPr>
        <w:t xml:space="preserve"> (the Act)</w:t>
      </w:r>
      <w:r w:rsidRPr="00282147">
        <w:rPr>
          <w:rFonts w:cs="Arial"/>
          <w:i/>
          <w:iCs/>
        </w:rPr>
        <w:t xml:space="preserve"> </w:t>
      </w:r>
      <w:r w:rsidRPr="00282147">
        <w:rPr>
          <w:rFonts w:cs="Arial"/>
        </w:rPr>
        <w:t>establishes the ACT Planning and Land Authority as the Authority which prepares and administers the territory plan, including continually reviewing and proposing amendments as necessary.</w:t>
      </w:r>
    </w:p>
    <w:p w:rsidR="00FD344E" w:rsidRPr="00282147" w:rsidRDefault="00FD344E" w:rsidP="00FD344E">
      <w:pPr>
        <w:pStyle w:val="TAbodytext"/>
        <w:rPr>
          <w:rFonts w:cs="Arial"/>
        </w:rPr>
      </w:pPr>
      <w:r w:rsidRPr="00282147">
        <w:rPr>
          <w:rFonts w:cs="Arial"/>
        </w:rPr>
        <w:t xml:space="preserve">Technical amendments to the territory plan are prepared in accordance with the </w:t>
      </w:r>
      <w:r w:rsidRPr="00282147">
        <w:rPr>
          <w:rFonts w:cs="Arial"/>
          <w:iCs/>
        </w:rPr>
        <w:t>Act</w:t>
      </w:r>
      <w:r w:rsidRPr="00282147">
        <w:rPr>
          <w:rFonts w:cs="Arial"/>
        </w:rPr>
        <w:t xml:space="preserve">.  </w:t>
      </w:r>
      <w:r>
        <w:rPr>
          <w:rFonts w:cs="Arial"/>
        </w:rPr>
        <w:t>This technical amendment has been prepared in accordance with the following two sections of the Act:</w:t>
      </w:r>
    </w:p>
    <w:p w:rsidR="00FD344E" w:rsidRPr="00282147" w:rsidRDefault="00FD344E" w:rsidP="00FD344E">
      <w:pPr>
        <w:pStyle w:val="TAbodytext"/>
        <w:rPr>
          <w:rFonts w:cs="Arial"/>
        </w:rPr>
      </w:pPr>
      <w:r w:rsidRPr="00282147">
        <w:rPr>
          <w:rFonts w:cs="Arial"/>
        </w:rPr>
        <w:t>A code variation (section 87(b) of the Act) is a technical amendment that</w:t>
      </w:r>
    </w:p>
    <w:p w:rsidR="00FD344E" w:rsidRDefault="00FD344E" w:rsidP="00FD344E">
      <w:pPr>
        <w:pStyle w:val="TAbodytext"/>
        <w:numPr>
          <w:ilvl w:val="0"/>
          <w:numId w:val="15"/>
        </w:numPr>
        <w:rPr>
          <w:rFonts w:cs="Arial"/>
        </w:rPr>
      </w:pPr>
      <w:r w:rsidRPr="00FD344E">
        <w:rPr>
          <w:rFonts w:cs="Arial"/>
        </w:rPr>
        <w:t>would only change a code; and</w:t>
      </w:r>
    </w:p>
    <w:p w:rsidR="00FD344E" w:rsidRDefault="00FD344E" w:rsidP="00FD344E">
      <w:pPr>
        <w:pStyle w:val="TAbodytext"/>
        <w:numPr>
          <w:ilvl w:val="0"/>
          <w:numId w:val="15"/>
        </w:numPr>
        <w:rPr>
          <w:rFonts w:cs="Arial"/>
        </w:rPr>
      </w:pPr>
      <w:r w:rsidRPr="00FD344E">
        <w:rPr>
          <w:rFonts w:cs="Arial"/>
        </w:rPr>
        <w:t xml:space="preserve">is consistent with the policy purpose and policy framework of the code; and </w:t>
      </w:r>
    </w:p>
    <w:p w:rsidR="00FD344E" w:rsidRPr="00FD344E" w:rsidRDefault="00FD344E" w:rsidP="00FD344E">
      <w:pPr>
        <w:pStyle w:val="TAbodytext"/>
        <w:numPr>
          <w:ilvl w:val="0"/>
          <w:numId w:val="15"/>
        </w:numPr>
        <w:rPr>
          <w:rFonts w:cs="Arial"/>
        </w:rPr>
      </w:pPr>
      <w:r w:rsidRPr="00FD344E">
        <w:rPr>
          <w:rFonts w:cs="Arial"/>
        </w:rPr>
        <w:t>is not an error variation.</w:t>
      </w:r>
    </w:p>
    <w:p w:rsidR="00E825F2" w:rsidRDefault="00E825F2" w:rsidP="00FD344E">
      <w:pPr>
        <w:pStyle w:val="TAbodytext"/>
        <w:rPr>
          <w:rFonts w:cs="Arial"/>
        </w:rPr>
      </w:pPr>
    </w:p>
    <w:p w:rsidR="00FD344E" w:rsidRPr="00C64E2A" w:rsidRDefault="00FD344E" w:rsidP="00FD344E">
      <w:pPr>
        <w:pStyle w:val="TAbodytext"/>
        <w:rPr>
          <w:rFonts w:cs="Arial"/>
        </w:rPr>
      </w:pPr>
      <w:r w:rsidRPr="00C64E2A">
        <w:rPr>
          <w:rFonts w:cs="Arial"/>
        </w:rPr>
        <w:t>A variation under section 87(g) of the Act is a technical amendment that clarifies the language in the territory plan, provided it does not change the substance of the plan.</w:t>
      </w:r>
    </w:p>
    <w:p w:rsidR="00FD344E" w:rsidRPr="00C64E2A" w:rsidRDefault="00FD344E" w:rsidP="00FD344E">
      <w:pPr>
        <w:pStyle w:val="TAbodytext"/>
        <w:rPr>
          <w:rFonts w:cs="Arial"/>
        </w:rPr>
      </w:pPr>
    </w:p>
    <w:p w:rsidR="00542908" w:rsidRPr="00E918EF" w:rsidRDefault="00522A76" w:rsidP="00542908">
      <w:pPr>
        <w:pStyle w:val="TAbodytext"/>
      </w:pPr>
      <w:r>
        <w:rPr>
          <w:rFonts w:cs="Arial"/>
        </w:rPr>
        <w:t xml:space="preserve">Following the release of the variation under section 90 of the Act, submissions from the public were invited.  At the conclusion of the limited consultation period, </w:t>
      </w:r>
      <w:r w:rsidR="00542908">
        <w:rPr>
          <w:rFonts w:cs="Arial"/>
        </w:rPr>
        <w:t xml:space="preserve">any </w:t>
      </w:r>
      <w:r>
        <w:rPr>
          <w:rFonts w:cs="Arial"/>
        </w:rPr>
        <w:t xml:space="preserve">representations </w:t>
      </w:r>
      <w:r w:rsidR="00542908">
        <w:rPr>
          <w:rFonts w:cs="Arial"/>
        </w:rPr>
        <w:t>are</w:t>
      </w:r>
      <w:r>
        <w:rPr>
          <w:rFonts w:cs="Arial"/>
        </w:rPr>
        <w:t xml:space="preserve"> considered by the ACT Planning and Land Authority (the Authority).  The Authority then determines a day when the code variation commences by way of a commencement notice.  </w:t>
      </w:r>
    </w:p>
    <w:p w:rsidR="00364C08" w:rsidRPr="00B702C9" w:rsidRDefault="00364C08" w:rsidP="00364C08">
      <w:pPr>
        <w:pStyle w:val="TAbodytext"/>
      </w:pPr>
    </w:p>
    <w:bookmarkEnd w:id="16"/>
    <w:p w:rsidR="00364C08" w:rsidRPr="00BE441E" w:rsidRDefault="00016D01" w:rsidP="00364C08">
      <w:pPr>
        <w:pStyle w:val="TAsectionheading"/>
      </w:pPr>
      <w:r>
        <w:br w:type="page"/>
      </w:r>
      <w:bookmarkStart w:id="17" w:name="_Toc254851537"/>
      <w:bookmarkStart w:id="18" w:name="_Toc305145242"/>
      <w:r w:rsidRPr="00BE441E">
        <w:t>EXPLANATORY STATEMENT</w:t>
      </w:r>
      <w:bookmarkEnd w:id="17"/>
      <w:bookmarkEnd w:id="18"/>
    </w:p>
    <w:p w:rsidR="00364C08" w:rsidRDefault="00364C08" w:rsidP="00364C08">
      <w:pPr>
        <w:pStyle w:val="TAbodytext"/>
      </w:pPr>
      <w:bookmarkStart w:id="19" w:name="_Toc254851538"/>
    </w:p>
    <w:p w:rsidR="005A488A" w:rsidRPr="005A488A" w:rsidRDefault="004F5968" w:rsidP="005A488A">
      <w:pPr>
        <w:pStyle w:val="TAsectionheading2"/>
      </w:pPr>
      <w:bookmarkStart w:id="20" w:name="_Toc305145243"/>
      <w:r>
        <w:t>Proposed c</w:t>
      </w:r>
      <w:r w:rsidR="00016D01" w:rsidRPr="005A488A">
        <w:t>hanges</w:t>
      </w:r>
      <w:r w:rsidR="005A488A" w:rsidRPr="005A488A">
        <w:t>, r</w:t>
      </w:r>
      <w:r w:rsidR="00016D01" w:rsidRPr="005A488A">
        <w:t>easons</w:t>
      </w:r>
      <w:bookmarkEnd w:id="19"/>
      <w:r w:rsidR="005A488A" w:rsidRPr="005A488A">
        <w:t xml:space="preserve">, and compliance with the </w:t>
      </w:r>
      <w:r w:rsidR="005A488A" w:rsidRPr="000127F9">
        <w:rPr>
          <w:i/>
        </w:rPr>
        <w:t>Planning and Development Act 2007</w:t>
      </w:r>
      <w:bookmarkEnd w:id="20"/>
    </w:p>
    <w:p w:rsidR="00364C08" w:rsidRDefault="00992546" w:rsidP="00992546">
      <w:pPr>
        <w:pStyle w:val="TAsectionheading3"/>
      </w:pPr>
      <w:r>
        <w:t xml:space="preserve">  </w:t>
      </w:r>
      <w:bookmarkStart w:id="21" w:name="_Toc305145244"/>
      <w:r>
        <w:t>Code variations</w:t>
      </w:r>
      <w:bookmarkEnd w:id="21"/>
    </w:p>
    <w:p w:rsidR="00364C08" w:rsidRPr="007E4DC3" w:rsidRDefault="00626C09" w:rsidP="00364C08">
      <w:pPr>
        <w:pStyle w:val="TAexplanatorystatementsubheading"/>
      </w:pPr>
      <w:r>
        <w:t xml:space="preserve">Single dwelling housing development code –clarification of setbacks to chamfer </w:t>
      </w:r>
      <w:r w:rsidR="004F5968">
        <w:t>lines on corner blocks (i</w:t>
      </w:r>
      <w:r>
        <w:t>tem 1)</w:t>
      </w:r>
    </w:p>
    <w:p w:rsidR="00364C08" w:rsidRPr="00AD708A" w:rsidRDefault="00364C08" w:rsidP="00364C08">
      <w:pPr>
        <w:pStyle w:val="TAbodytext"/>
      </w:pPr>
    </w:p>
    <w:p w:rsidR="00626C09" w:rsidRDefault="00626C09" w:rsidP="00626C09">
      <w:pPr>
        <w:pStyle w:val="TAbodytext"/>
      </w:pPr>
      <w:r>
        <w:t>Part C(1) of the single dwelling housing development code applies to development applications for single dwelling housing in all residential zones,</w:t>
      </w:r>
      <w:r w:rsidRPr="007E3436">
        <w:t xml:space="preserve"> except where provided for by Parts C(2), C(3) or C(4).</w:t>
      </w:r>
    </w:p>
    <w:p w:rsidR="00626C09" w:rsidRDefault="00626C09" w:rsidP="00626C09">
      <w:pPr>
        <w:pStyle w:val="TAbodytext"/>
      </w:pPr>
    </w:p>
    <w:p w:rsidR="00626C09" w:rsidRDefault="00626C09" w:rsidP="00626C09">
      <w:pPr>
        <w:pStyle w:val="TAbodytext"/>
      </w:pPr>
      <w:r>
        <w:t>Table 1 explains front street setbacks and provides exceptions for corner blocks with an accompanying note for explanatory purposes.  However currently there are no specific setback provisions for situations where chamfers (or corner cut-offs) occur within residential corner blocks.  Chamfers are usually found at the corner of a block at the junction of streets.</w:t>
      </w:r>
    </w:p>
    <w:p w:rsidR="00626C09" w:rsidRDefault="00626C09" w:rsidP="00626C09">
      <w:pPr>
        <w:pStyle w:val="TAbodytext"/>
      </w:pPr>
    </w:p>
    <w:p w:rsidR="00626C09" w:rsidRPr="00B26856" w:rsidRDefault="00626C09" w:rsidP="00626C09">
      <w:pPr>
        <w:pStyle w:val="TAbodytext"/>
      </w:pPr>
      <w:r>
        <w:t xml:space="preserve">A note </w:t>
      </w:r>
      <w:r w:rsidR="004B17D2">
        <w:t xml:space="preserve">is </w:t>
      </w:r>
      <w:r>
        <w:t>added to the table to clarify that the setback to the chamfer line should be the lesser of the two front setbacks in the case of corner blocks where there is more than one setback requirement, unless the length of the chamfer is less than the length of the additional front boundary in which case the greater of the two setbacks will apply.</w:t>
      </w:r>
    </w:p>
    <w:p w:rsidR="00364C08" w:rsidRDefault="00364C08" w:rsidP="00364C08">
      <w:pPr>
        <w:pStyle w:val="TA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051"/>
      </w:tblGrid>
      <w:tr w:rsidR="00626C09" w:rsidRPr="00E57C2A" w:rsidTr="00626C09">
        <w:tc>
          <w:tcPr>
            <w:tcW w:w="2235" w:type="dxa"/>
          </w:tcPr>
          <w:p w:rsidR="00626C09" w:rsidRPr="00E57C2A" w:rsidRDefault="00626C09" w:rsidP="00626C09">
            <w:pPr>
              <w:jc w:val="both"/>
              <w:rPr>
                <w:rFonts w:cs="Arial"/>
                <w:b/>
              </w:rPr>
            </w:pPr>
            <w:r w:rsidRPr="00E57C2A">
              <w:rPr>
                <w:rFonts w:cs="Arial"/>
                <w:b/>
              </w:rPr>
              <w:t>Section of Act</w:t>
            </w:r>
          </w:p>
        </w:tc>
        <w:tc>
          <w:tcPr>
            <w:tcW w:w="7051" w:type="dxa"/>
          </w:tcPr>
          <w:p w:rsidR="00626C09" w:rsidRPr="00E57C2A" w:rsidRDefault="00626C09" w:rsidP="00626C09">
            <w:pPr>
              <w:jc w:val="both"/>
              <w:rPr>
                <w:rFonts w:cs="Arial"/>
                <w:b/>
              </w:rPr>
            </w:pPr>
            <w:r w:rsidRPr="00E57C2A">
              <w:rPr>
                <w:rFonts w:cs="Arial"/>
                <w:b/>
              </w:rPr>
              <w:t>Statement of compliance with Act</w:t>
            </w:r>
          </w:p>
        </w:tc>
      </w:tr>
      <w:tr w:rsidR="00626C09" w:rsidRPr="00E57C2A" w:rsidTr="00626C09">
        <w:tc>
          <w:tcPr>
            <w:tcW w:w="2235" w:type="dxa"/>
          </w:tcPr>
          <w:p w:rsidR="00626C09" w:rsidRPr="00E57C2A" w:rsidRDefault="00626C09" w:rsidP="00626C09">
            <w:pPr>
              <w:rPr>
                <w:rFonts w:cs="Arial"/>
              </w:rPr>
            </w:pPr>
            <w:r w:rsidRPr="00E57C2A">
              <w:rPr>
                <w:rFonts w:cs="Arial"/>
              </w:rPr>
              <w:t xml:space="preserve">s87(b) a variation (a code variation) that - </w:t>
            </w:r>
          </w:p>
        </w:tc>
        <w:tc>
          <w:tcPr>
            <w:tcW w:w="7051" w:type="dxa"/>
          </w:tcPr>
          <w:p w:rsidR="00626C09" w:rsidRPr="00E57C2A" w:rsidRDefault="00626C09" w:rsidP="00626C09">
            <w:pPr>
              <w:rPr>
                <w:rFonts w:cs="Arial"/>
              </w:rPr>
            </w:pPr>
          </w:p>
        </w:tc>
      </w:tr>
      <w:tr w:rsidR="00626C09" w:rsidRPr="00E57C2A" w:rsidTr="00626C09">
        <w:tc>
          <w:tcPr>
            <w:tcW w:w="2235" w:type="dxa"/>
          </w:tcPr>
          <w:p w:rsidR="00626C09" w:rsidRPr="00E57C2A" w:rsidRDefault="00626C09" w:rsidP="00626C09">
            <w:pPr>
              <w:rPr>
                <w:rFonts w:cs="Arial"/>
              </w:rPr>
            </w:pPr>
            <w:r w:rsidRPr="00E57C2A">
              <w:rPr>
                <w:rFonts w:cs="Arial"/>
              </w:rPr>
              <w:t>(i) would only change a code; and</w:t>
            </w:r>
          </w:p>
        </w:tc>
        <w:tc>
          <w:tcPr>
            <w:tcW w:w="7051" w:type="dxa"/>
          </w:tcPr>
          <w:p w:rsidR="00626C09" w:rsidRPr="00E57C2A" w:rsidRDefault="00900528" w:rsidP="00626C09">
            <w:pPr>
              <w:rPr>
                <w:rFonts w:cs="Arial"/>
              </w:rPr>
            </w:pPr>
            <w:r>
              <w:rPr>
                <w:rFonts w:cs="Arial"/>
              </w:rPr>
              <w:t>O</w:t>
            </w:r>
            <w:r w:rsidR="00626C09" w:rsidRPr="00E57C2A">
              <w:rPr>
                <w:rFonts w:cs="Arial"/>
              </w:rPr>
              <w:t>nly amend</w:t>
            </w:r>
            <w:r>
              <w:rPr>
                <w:rFonts w:cs="Arial"/>
              </w:rPr>
              <w:t>s</w:t>
            </w:r>
            <w:r w:rsidR="00626C09" w:rsidRPr="00E57C2A">
              <w:rPr>
                <w:rFonts w:cs="Arial"/>
              </w:rPr>
              <w:t xml:space="preserve"> a table in the single dwelling housing development code to include requirements for setbacks to chamfer lines on corner blocks</w:t>
            </w:r>
          </w:p>
          <w:p w:rsidR="00626C09" w:rsidRPr="00E57C2A" w:rsidRDefault="00626C09" w:rsidP="00626C09">
            <w:pPr>
              <w:rPr>
                <w:rFonts w:cs="Arial"/>
              </w:rPr>
            </w:pPr>
          </w:p>
        </w:tc>
      </w:tr>
      <w:tr w:rsidR="00626C09" w:rsidRPr="00E57C2A" w:rsidTr="00626C09">
        <w:tc>
          <w:tcPr>
            <w:tcW w:w="2235" w:type="dxa"/>
          </w:tcPr>
          <w:p w:rsidR="00626C09" w:rsidRPr="00E57C2A" w:rsidRDefault="00626C09" w:rsidP="00626C09">
            <w:pPr>
              <w:rPr>
                <w:rFonts w:cs="Arial"/>
              </w:rPr>
            </w:pPr>
            <w:r w:rsidRPr="00E57C2A">
              <w:rPr>
                <w:rFonts w:cs="Arial"/>
              </w:rPr>
              <w:t>(ii) is consistent with the policy purpose and policy framework of the code; and</w:t>
            </w:r>
          </w:p>
        </w:tc>
        <w:tc>
          <w:tcPr>
            <w:tcW w:w="7051" w:type="dxa"/>
          </w:tcPr>
          <w:p w:rsidR="00626C09" w:rsidRPr="00E57C2A" w:rsidRDefault="00626C09" w:rsidP="00626C09">
            <w:pPr>
              <w:rPr>
                <w:rFonts w:cs="Arial"/>
              </w:rPr>
            </w:pPr>
            <w:r w:rsidRPr="00E57C2A">
              <w:rPr>
                <w:rFonts w:cs="Arial"/>
              </w:rPr>
              <w:t>The purpose of the code is to provide additional planning, design and environmental controls to support the zone objectives and assessable uses in the Development Tables.  The amendment is considered to be consistent with the purpose of the residential single dwelling housing development code.</w:t>
            </w:r>
          </w:p>
          <w:p w:rsidR="00626C09" w:rsidRPr="00E57C2A" w:rsidRDefault="00626C09" w:rsidP="00626C09">
            <w:pPr>
              <w:rPr>
                <w:rFonts w:cs="Arial"/>
              </w:rPr>
            </w:pPr>
          </w:p>
          <w:p w:rsidR="00626C09" w:rsidRPr="00E57C2A" w:rsidRDefault="00626C09" w:rsidP="00626C09">
            <w:pPr>
              <w:rPr>
                <w:rFonts w:cs="Arial"/>
              </w:rPr>
            </w:pPr>
            <w:r w:rsidRPr="00E57C2A">
              <w:rPr>
                <w:rFonts w:cs="Arial"/>
              </w:rPr>
              <w:t>The amendment makes no changes and does not affect the application of the residential zone objectives that provide a framework for the particular provisions contained in the code.  The change is consistent with the objectives for the residential zones.</w:t>
            </w:r>
          </w:p>
          <w:p w:rsidR="00626C09" w:rsidRPr="00E57C2A" w:rsidRDefault="00626C09" w:rsidP="00626C09">
            <w:pPr>
              <w:rPr>
                <w:rFonts w:cs="Arial"/>
              </w:rPr>
            </w:pPr>
          </w:p>
        </w:tc>
      </w:tr>
      <w:tr w:rsidR="00626C09" w:rsidRPr="00E57C2A" w:rsidTr="00626C09">
        <w:tc>
          <w:tcPr>
            <w:tcW w:w="2235" w:type="dxa"/>
          </w:tcPr>
          <w:p w:rsidR="00626C09" w:rsidRPr="00E57C2A" w:rsidRDefault="00626C09" w:rsidP="00626C09">
            <w:pPr>
              <w:rPr>
                <w:rFonts w:cs="Arial"/>
              </w:rPr>
            </w:pPr>
            <w:r w:rsidRPr="00E57C2A">
              <w:rPr>
                <w:rFonts w:cs="Arial"/>
              </w:rPr>
              <w:t>(iii) is not an error variation</w:t>
            </w:r>
          </w:p>
        </w:tc>
        <w:tc>
          <w:tcPr>
            <w:tcW w:w="7051" w:type="dxa"/>
          </w:tcPr>
          <w:p w:rsidR="00626C09" w:rsidRPr="00E57C2A" w:rsidRDefault="00626C09" w:rsidP="00626C09">
            <w:pPr>
              <w:rPr>
                <w:rFonts w:cs="Arial"/>
              </w:rPr>
            </w:pPr>
            <w:r w:rsidRPr="00E57C2A">
              <w:rPr>
                <w:rFonts w:cs="Arial"/>
              </w:rPr>
              <w:t>Is not a formal error</w:t>
            </w:r>
          </w:p>
        </w:tc>
      </w:tr>
    </w:tbl>
    <w:p w:rsidR="00626C09" w:rsidRDefault="00626C09" w:rsidP="00364C08">
      <w:pPr>
        <w:pStyle w:val="TAbodytext"/>
      </w:pPr>
    </w:p>
    <w:p w:rsidR="00E55BEC" w:rsidRDefault="00E55BEC" w:rsidP="00364C08">
      <w:pPr>
        <w:pStyle w:val="TAbodytext"/>
      </w:pPr>
    </w:p>
    <w:p w:rsidR="00E55BEC" w:rsidRPr="00AD708A" w:rsidRDefault="00E55BEC" w:rsidP="00E55BEC">
      <w:pPr>
        <w:pStyle w:val="TAexplanatorystatementsubheading"/>
      </w:pPr>
      <w:r w:rsidRPr="008148E9">
        <w:t xml:space="preserve">Changes to requirements for consideration of neighbourhood plans in various codes </w:t>
      </w:r>
      <w:r>
        <w:t>(</w:t>
      </w:r>
      <w:r w:rsidRPr="008148E9">
        <w:t xml:space="preserve">items </w:t>
      </w:r>
      <w:r w:rsidR="001B4B23">
        <w:t>3</w:t>
      </w:r>
      <w:r>
        <w:t xml:space="preserve"> – </w:t>
      </w:r>
      <w:r w:rsidR="001B4B23">
        <w:t>5</w:t>
      </w:r>
      <w:r>
        <w:t>)</w:t>
      </w:r>
    </w:p>
    <w:p w:rsidR="00E55BEC" w:rsidRDefault="00E55BEC" w:rsidP="00E55BEC">
      <w:pPr>
        <w:pStyle w:val="TAbodytext"/>
      </w:pPr>
    </w:p>
    <w:p w:rsidR="00E55BEC" w:rsidRDefault="00E55BEC" w:rsidP="00E55BEC">
      <w:pPr>
        <w:pStyle w:val="TAbodytext"/>
      </w:pPr>
      <w:r>
        <w:t>These changes to requirements for consideration of neighbourhood plans were previously undertaken in TA2009-</w:t>
      </w:r>
      <w:r w:rsidR="00AD113C">
        <w:t>26</w:t>
      </w:r>
      <w:r w:rsidR="00DF309D">
        <w:t>,</w:t>
      </w:r>
      <w:r>
        <w:t xml:space="preserve"> however references to three relevant codes were omitted.  This amendment make</w:t>
      </w:r>
      <w:r w:rsidR="004B17D2">
        <w:t>s</w:t>
      </w:r>
      <w:r>
        <w:t xml:space="preserve"> changes to these requirements in the remaining codes.  </w:t>
      </w:r>
    </w:p>
    <w:p w:rsidR="00E55BEC" w:rsidRDefault="00E55BEC" w:rsidP="00E55BEC">
      <w:pPr>
        <w:pStyle w:val="TAbodytext"/>
      </w:pPr>
    </w:p>
    <w:p w:rsidR="00E55BEC" w:rsidRPr="00B26856" w:rsidRDefault="00E55BEC" w:rsidP="00E55BEC">
      <w:pPr>
        <w:pStyle w:val="TAbodytext"/>
      </w:pPr>
      <w:r w:rsidRPr="00503DE7">
        <w:t>Criteria contained in some of the residential and commercial codes require a proponent, when preparing a development application, to demonstrate responses to the key strategies and actions of any relevant neighbourhood plan, where one exists. In relation to the requirement to respond to ‘actions’, it is not considered relevant for proponents to address actions which are beyond their scope or control and require review or action by another entity or government organisation.  On this basis the words ‘and actions’ are removed from both of the aforementioned criteria as this requirement is not within the proponent’s control.</w:t>
      </w:r>
    </w:p>
    <w:p w:rsidR="00E55BEC" w:rsidRDefault="00E55BEC" w:rsidP="00E55BEC">
      <w:pPr>
        <w:pStyle w:val="TA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051"/>
      </w:tblGrid>
      <w:tr w:rsidR="00E55BEC" w:rsidRPr="00E57C2A" w:rsidTr="00E55BEC">
        <w:tc>
          <w:tcPr>
            <w:tcW w:w="2235" w:type="dxa"/>
          </w:tcPr>
          <w:p w:rsidR="00E55BEC" w:rsidRPr="00E57C2A" w:rsidRDefault="00E55BEC" w:rsidP="00E55BEC">
            <w:pPr>
              <w:jc w:val="both"/>
              <w:rPr>
                <w:rFonts w:cs="Arial"/>
                <w:b/>
              </w:rPr>
            </w:pPr>
            <w:r w:rsidRPr="00E57C2A">
              <w:rPr>
                <w:rFonts w:cs="Arial"/>
                <w:b/>
              </w:rPr>
              <w:t>Section of Act</w:t>
            </w:r>
          </w:p>
        </w:tc>
        <w:tc>
          <w:tcPr>
            <w:tcW w:w="7051" w:type="dxa"/>
          </w:tcPr>
          <w:p w:rsidR="00E55BEC" w:rsidRPr="00E57C2A" w:rsidRDefault="00E55BEC" w:rsidP="00E55BEC">
            <w:pPr>
              <w:jc w:val="both"/>
              <w:rPr>
                <w:rFonts w:cs="Arial"/>
                <w:b/>
              </w:rPr>
            </w:pPr>
            <w:r w:rsidRPr="00E57C2A">
              <w:rPr>
                <w:rFonts w:cs="Arial"/>
                <w:b/>
              </w:rPr>
              <w:t>Statement of compliance with Act</w:t>
            </w:r>
          </w:p>
        </w:tc>
      </w:tr>
      <w:tr w:rsidR="00E55BEC" w:rsidRPr="00E57C2A" w:rsidTr="00E55BEC">
        <w:tc>
          <w:tcPr>
            <w:tcW w:w="2235" w:type="dxa"/>
          </w:tcPr>
          <w:p w:rsidR="00E55BEC" w:rsidRPr="00E57C2A" w:rsidRDefault="00E55BEC" w:rsidP="00E55BEC">
            <w:pPr>
              <w:rPr>
                <w:rFonts w:cs="Arial"/>
              </w:rPr>
            </w:pPr>
            <w:r w:rsidRPr="00E57C2A">
              <w:rPr>
                <w:rFonts w:cs="Arial"/>
              </w:rPr>
              <w:t xml:space="preserve">s87(b) a variation (a code variation) that - </w:t>
            </w:r>
          </w:p>
        </w:tc>
        <w:tc>
          <w:tcPr>
            <w:tcW w:w="7051" w:type="dxa"/>
          </w:tcPr>
          <w:p w:rsidR="00E55BEC" w:rsidRPr="00E57C2A" w:rsidRDefault="00E55BEC" w:rsidP="00E55BEC">
            <w:pPr>
              <w:rPr>
                <w:rFonts w:cs="Arial"/>
              </w:rPr>
            </w:pPr>
          </w:p>
        </w:tc>
      </w:tr>
      <w:tr w:rsidR="00E55BEC" w:rsidRPr="00E57C2A" w:rsidTr="00E55BEC">
        <w:tc>
          <w:tcPr>
            <w:tcW w:w="2235" w:type="dxa"/>
          </w:tcPr>
          <w:p w:rsidR="00E55BEC" w:rsidRPr="00E57C2A" w:rsidRDefault="00E55BEC" w:rsidP="00E55BEC">
            <w:pPr>
              <w:rPr>
                <w:rFonts w:cs="Arial"/>
              </w:rPr>
            </w:pPr>
            <w:r w:rsidRPr="00E57C2A">
              <w:rPr>
                <w:rFonts w:cs="Arial"/>
              </w:rPr>
              <w:t>(i) would only change a code; and</w:t>
            </w:r>
          </w:p>
        </w:tc>
        <w:tc>
          <w:tcPr>
            <w:tcW w:w="7051" w:type="dxa"/>
          </w:tcPr>
          <w:p w:rsidR="00E55BEC" w:rsidRPr="00E57C2A" w:rsidRDefault="00900528" w:rsidP="00E55BEC">
            <w:pPr>
              <w:rPr>
                <w:rFonts w:cs="Arial"/>
              </w:rPr>
            </w:pPr>
            <w:r>
              <w:rPr>
                <w:rFonts w:cs="Arial"/>
              </w:rPr>
              <w:t>O</w:t>
            </w:r>
            <w:r w:rsidR="00E55BEC" w:rsidRPr="00E57C2A">
              <w:rPr>
                <w:rFonts w:cs="Arial"/>
              </w:rPr>
              <w:t>nly amend</w:t>
            </w:r>
            <w:r>
              <w:rPr>
                <w:rFonts w:cs="Arial"/>
              </w:rPr>
              <w:t>s</w:t>
            </w:r>
            <w:r w:rsidR="00E55BEC" w:rsidRPr="00E57C2A">
              <w:rPr>
                <w:rFonts w:cs="Arial"/>
              </w:rPr>
              <w:t xml:space="preserve"> a table in various codes to remove the words “and actions”.</w:t>
            </w:r>
          </w:p>
          <w:p w:rsidR="00E55BEC" w:rsidRPr="00E57C2A" w:rsidRDefault="00E55BEC" w:rsidP="00E55BEC">
            <w:pPr>
              <w:rPr>
                <w:rFonts w:cs="Arial"/>
              </w:rPr>
            </w:pPr>
          </w:p>
        </w:tc>
      </w:tr>
      <w:tr w:rsidR="00E55BEC" w:rsidRPr="00E57C2A" w:rsidTr="00E55BEC">
        <w:tc>
          <w:tcPr>
            <w:tcW w:w="2235" w:type="dxa"/>
          </w:tcPr>
          <w:p w:rsidR="00E55BEC" w:rsidRPr="00E57C2A" w:rsidRDefault="00E55BEC" w:rsidP="00E55BEC">
            <w:pPr>
              <w:rPr>
                <w:rFonts w:cs="Arial"/>
              </w:rPr>
            </w:pPr>
            <w:r w:rsidRPr="00E57C2A">
              <w:rPr>
                <w:rFonts w:cs="Arial"/>
              </w:rPr>
              <w:t>(ii) is consistent with the policy purpose and policy framework of the code; and</w:t>
            </w:r>
          </w:p>
        </w:tc>
        <w:tc>
          <w:tcPr>
            <w:tcW w:w="7051" w:type="dxa"/>
          </w:tcPr>
          <w:p w:rsidR="00E55BEC" w:rsidRPr="00E57C2A" w:rsidRDefault="00E55BEC" w:rsidP="00E55BEC">
            <w:r w:rsidRPr="00E57C2A">
              <w:rPr>
                <w:rFonts w:cs="Arial"/>
              </w:rPr>
              <w:t>The codes</w:t>
            </w:r>
            <w:r w:rsidRPr="00E57C2A">
              <w:t xml:space="preserve"> require a proponent, when preparing a development application, to demonstrate responses to the key strategies and actions of any relevant neighbourhood plan, where one exists. In relation to the requirement to respond to ‘actions’, it is not considered relevant for proponents to address actions which are beyond their scope or control and require review or action by another entity or government organisation.</w:t>
            </w:r>
          </w:p>
          <w:p w:rsidR="00E55BEC" w:rsidRPr="00E57C2A" w:rsidRDefault="00E55BEC" w:rsidP="00E55BEC">
            <w:pPr>
              <w:rPr>
                <w:rFonts w:cs="Arial"/>
              </w:rPr>
            </w:pPr>
          </w:p>
          <w:p w:rsidR="00E55BEC" w:rsidRPr="00E57C2A" w:rsidRDefault="00E55BEC" w:rsidP="00E55BEC">
            <w:pPr>
              <w:rPr>
                <w:rFonts w:cs="Arial"/>
              </w:rPr>
            </w:pPr>
            <w:r w:rsidRPr="00E57C2A">
              <w:rPr>
                <w:rFonts w:cs="Arial"/>
              </w:rPr>
              <w:t>The amendment makes no changes and does not affect the application of the objectives that provide a framework for the particular provisions contained in the code.  The change is consistent with the objectives for the zones.</w:t>
            </w:r>
          </w:p>
          <w:p w:rsidR="00E55BEC" w:rsidRPr="00E57C2A" w:rsidRDefault="00E55BEC" w:rsidP="00E55BEC">
            <w:pPr>
              <w:rPr>
                <w:rFonts w:cs="Arial"/>
              </w:rPr>
            </w:pPr>
          </w:p>
        </w:tc>
      </w:tr>
      <w:tr w:rsidR="00E55BEC" w:rsidRPr="00E57C2A" w:rsidTr="00E55BEC">
        <w:tc>
          <w:tcPr>
            <w:tcW w:w="2235" w:type="dxa"/>
          </w:tcPr>
          <w:p w:rsidR="00E55BEC" w:rsidRPr="00E57C2A" w:rsidRDefault="00E55BEC" w:rsidP="00E55BEC">
            <w:pPr>
              <w:rPr>
                <w:rFonts w:cs="Arial"/>
              </w:rPr>
            </w:pPr>
            <w:r w:rsidRPr="00E57C2A">
              <w:rPr>
                <w:rFonts w:cs="Arial"/>
              </w:rPr>
              <w:t>(iii) is not an error variation</w:t>
            </w:r>
          </w:p>
        </w:tc>
        <w:tc>
          <w:tcPr>
            <w:tcW w:w="7051" w:type="dxa"/>
          </w:tcPr>
          <w:p w:rsidR="00E55BEC" w:rsidRPr="00E57C2A" w:rsidRDefault="00E55BEC" w:rsidP="00E55BEC">
            <w:pPr>
              <w:rPr>
                <w:rFonts w:cs="Arial"/>
              </w:rPr>
            </w:pPr>
            <w:r w:rsidRPr="00E57C2A">
              <w:rPr>
                <w:rFonts w:cs="Arial"/>
              </w:rPr>
              <w:t>Is not a formal error</w:t>
            </w:r>
          </w:p>
        </w:tc>
      </w:tr>
    </w:tbl>
    <w:p w:rsidR="00E55BEC" w:rsidRDefault="00E55BEC" w:rsidP="00E55BEC">
      <w:pPr>
        <w:pStyle w:val="TAexplanatorystatementsubheading"/>
        <w:numPr>
          <w:ilvl w:val="0"/>
          <w:numId w:val="0"/>
        </w:numPr>
        <w:ind w:left="720"/>
      </w:pPr>
    </w:p>
    <w:p w:rsidR="00E55BEC" w:rsidRPr="007E4DC3" w:rsidRDefault="00E55BEC" w:rsidP="00E55BEC">
      <w:pPr>
        <w:pStyle w:val="TAexplanatorystatementsubheading"/>
      </w:pPr>
      <w:r>
        <w:t xml:space="preserve">Group centres development code – changing a figure to reflect previous rezoning (item </w:t>
      </w:r>
      <w:r w:rsidR="001B4B23">
        <w:t>2</w:t>
      </w:r>
      <w:r>
        <w:t>)</w:t>
      </w:r>
    </w:p>
    <w:p w:rsidR="00E55BEC" w:rsidRPr="00AD708A" w:rsidRDefault="00E55BEC" w:rsidP="007759BA">
      <w:pPr>
        <w:pStyle w:val="TAbodytext"/>
      </w:pPr>
    </w:p>
    <w:p w:rsidR="00E55BEC" w:rsidRDefault="00E55BEC" w:rsidP="007759BA">
      <w:pPr>
        <w:pStyle w:val="TAbodytext"/>
        <w:rPr>
          <w:rFonts w:cs="Arial"/>
        </w:rPr>
      </w:pPr>
      <w:r w:rsidRPr="00503DE7">
        <w:rPr>
          <w:rFonts w:cs="Arial"/>
        </w:rPr>
        <w:t>This technical amendment replaces</w:t>
      </w:r>
      <w:r>
        <w:rPr>
          <w:rFonts w:cs="Arial"/>
        </w:rPr>
        <w:t xml:space="preserve"> a figure (</w:t>
      </w:r>
      <w:r w:rsidRPr="00503DE7">
        <w:rPr>
          <w:rFonts w:cs="Arial"/>
        </w:rPr>
        <w:t>Figure A6 Dickson Group Centre Zones</w:t>
      </w:r>
      <w:r>
        <w:rPr>
          <w:rFonts w:cs="Arial"/>
        </w:rPr>
        <w:t>)</w:t>
      </w:r>
      <w:r w:rsidRPr="00503DE7">
        <w:rPr>
          <w:rFonts w:cs="Arial"/>
        </w:rPr>
        <w:t xml:space="preserve"> in the </w:t>
      </w:r>
      <w:r>
        <w:rPr>
          <w:rFonts w:cs="Arial"/>
        </w:rPr>
        <w:t>g</w:t>
      </w:r>
      <w:r w:rsidRPr="00503DE7">
        <w:rPr>
          <w:rFonts w:cs="Arial"/>
        </w:rPr>
        <w:t xml:space="preserve">roup centres development code to reflect </w:t>
      </w:r>
      <w:r>
        <w:rPr>
          <w:rFonts w:cs="Arial"/>
        </w:rPr>
        <w:t xml:space="preserve">a boundary </w:t>
      </w:r>
      <w:r w:rsidRPr="00503DE7">
        <w:rPr>
          <w:rFonts w:cs="Arial"/>
        </w:rPr>
        <w:t>rezoning change</w:t>
      </w:r>
      <w:r>
        <w:rPr>
          <w:rFonts w:cs="Arial"/>
        </w:rPr>
        <w:t xml:space="preserve"> undertaken in TA2011-10</w:t>
      </w:r>
      <w:r w:rsidRPr="00503DE7">
        <w:rPr>
          <w:rFonts w:cs="Arial"/>
        </w:rPr>
        <w:t xml:space="preserve">. </w:t>
      </w:r>
    </w:p>
    <w:p w:rsidR="00E55BEC" w:rsidRDefault="00E55BEC" w:rsidP="007759BA">
      <w:pPr>
        <w:pStyle w:val="TAbodytext"/>
        <w:rPr>
          <w:rFonts w:cs="Arial"/>
        </w:rPr>
      </w:pPr>
    </w:p>
    <w:p w:rsidR="00E55BEC" w:rsidRPr="00503DE7" w:rsidRDefault="00E55BEC" w:rsidP="007759BA">
      <w:pPr>
        <w:pStyle w:val="TAbodytext"/>
        <w:rPr>
          <w:rFonts w:cs="Arial"/>
        </w:rPr>
      </w:pPr>
      <w:r w:rsidRPr="00503DE7">
        <w:rPr>
          <w:rFonts w:cs="Arial"/>
        </w:rPr>
        <w:t xml:space="preserve">Part Block 19 Section 30 </w:t>
      </w:r>
      <w:r>
        <w:rPr>
          <w:rFonts w:cs="Arial"/>
        </w:rPr>
        <w:t>was</w:t>
      </w:r>
      <w:r w:rsidRPr="00503DE7">
        <w:rPr>
          <w:rFonts w:cs="Arial"/>
        </w:rPr>
        <w:t xml:space="preserve"> rezoned to CZ1 commercial.  The new figure includes the current zoning codes.</w:t>
      </w:r>
    </w:p>
    <w:p w:rsidR="00E55BEC" w:rsidRDefault="00E55BEC" w:rsidP="00E55BEC">
      <w:pPr>
        <w:pStyle w:val="TA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051"/>
      </w:tblGrid>
      <w:tr w:rsidR="00E55BEC" w:rsidRPr="00E57C2A" w:rsidTr="00E55BEC">
        <w:tc>
          <w:tcPr>
            <w:tcW w:w="2235" w:type="dxa"/>
          </w:tcPr>
          <w:p w:rsidR="00E55BEC" w:rsidRPr="00E57C2A" w:rsidRDefault="00E55BEC" w:rsidP="00E55BEC">
            <w:pPr>
              <w:jc w:val="both"/>
              <w:rPr>
                <w:rFonts w:cs="Arial"/>
                <w:b/>
              </w:rPr>
            </w:pPr>
            <w:r w:rsidRPr="00E57C2A">
              <w:rPr>
                <w:rFonts w:cs="Arial"/>
                <w:b/>
              </w:rPr>
              <w:t>Section of Act</w:t>
            </w:r>
          </w:p>
        </w:tc>
        <w:tc>
          <w:tcPr>
            <w:tcW w:w="7051" w:type="dxa"/>
          </w:tcPr>
          <w:p w:rsidR="00E55BEC" w:rsidRPr="00E57C2A" w:rsidRDefault="00E55BEC" w:rsidP="00E55BEC">
            <w:pPr>
              <w:jc w:val="both"/>
              <w:rPr>
                <w:rFonts w:cs="Arial"/>
                <w:b/>
              </w:rPr>
            </w:pPr>
            <w:r w:rsidRPr="00E57C2A">
              <w:rPr>
                <w:rFonts w:cs="Arial"/>
                <w:b/>
              </w:rPr>
              <w:t>Statement of compliance with Act</w:t>
            </w:r>
          </w:p>
        </w:tc>
      </w:tr>
      <w:tr w:rsidR="00E55BEC" w:rsidRPr="00E57C2A" w:rsidTr="00E55BEC">
        <w:tc>
          <w:tcPr>
            <w:tcW w:w="2235" w:type="dxa"/>
          </w:tcPr>
          <w:p w:rsidR="00E55BEC" w:rsidRPr="00E57C2A" w:rsidRDefault="00E55BEC" w:rsidP="00E55BEC">
            <w:pPr>
              <w:rPr>
                <w:rFonts w:cs="Arial"/>
              </w:rPr>
            </w:pPr>
            <w:r w:rsidRPr="00E57C2A">
              <w:rPr>
                <w:rFonts w:cs="Arial"/>
              </w:rPr>
              <w:t xml:space="preserve">s87(b) a variation (a code variation) that - </w:t>
            </w:r>
          </w:p>
        </w:tc>
        <w:tc>
          <w:tcPr>
            <w:tcW w:w="7051" w:type="dxa"/>
          </w:tcPr>
          <w:p w:rsidR="00E55BEC" w:rsidRPr="00E57C2A" w:rsidRDefault="00E55BEC" w:rsidP="00E55BEC">
            <w:pPr>
              <w:rPr>
                <w:rFonts w:cs="Arial"/>
              </w:rPr>
            </w:pPr>
          </w:p>
        </w:tc>
      </w:tr>
      <w:tr w:rsidR="00E55BEC" w:rsidRPr="00E57C2A" w:rsidTr="00E55BEC">
        <w:tc>
          <w:tcPr>
            <w:tcW w:w="2235" w:type="dxa"/>
          </w:tcPr>
          <w:p w:rsidR="00E55BEC" w:rsidRPr="00E57C2A" w:rsidRDefault="00E55BEC" w:rsidP="00E55BEC">
            <w:pPr>
              <w:rPr>
                <w:rFonts w:cs="Arial"/>
              </w:rPr>
            </w:pPr>
            <w:r w:rsidRPr="00E57C2A">
              <w:rPr>
                <w:rFonts w:cs="Arial"/>
              </w:rPr>
              <w:t>(i) would only change a code; and</w:t>
            </w:r>
          </w:p>
        </w:tc>
        <w:tc>
          <w:tcPr>
            <w:tcW w:w="7051" w:type="dxa"/>
          </w:tcPr>
          <w:p w:rsidR="00E55BEC" w:rsidRPr="00E57C2A" w:rsidRDefault="00E55BEC" w:rsidP="00E55BEC">
            <w:pPr>
              <w:rPr>
                <w:rFonts w:cs="Arial"/>
              </w:rPr>
            </w:pPr>
            <w:r w:rsidRPr="00E57C2A">
              <w:rPr>
                <w:rFonts w:cs="Arial"/>
              </w:rPr>
              <w:t>Only changes</w:t>
            </w:r>
            <w:r>
              <w:rPr>
                <w:rFonts w:cs="Arial"/>
              </w:rPr>
              <w:t xml:space="preserve"> a reference figure in</w:t>
            </w:r>
            <w:r w:rsidRPr="00E57C2A">
              <w:rPr>
                <w:rFonts w:cs="Arial"/>
              </w:rPr>
              <w:t xml:space="preserve"> the </w:t>
            </w:r>
            <w:r>
              <w:rPr>
                <w:rFonts w:cs="Arial"/>
              </w:rPr>
              <w:t>g</w:t>
            </w:r>
            <w:r w:rsidRPr="00E57C2A">
              <w:rPr>
                <w:rFonts w:cs="Arial"/>
              </w:rPr>
              <w:t>roup centres development code</w:t>
            </w:r>
            <w:r w:rsidRPr="00E57C2A">
              <w:rPr>
                <w:rFonts w:cs="Arial"/>
                <w:i/>
              </w:rPr>
              <w:t>.</w:t>
            </w:r>
          </w:p>
        </w:tc>
      </w:tr>
      <w:tr w:rsidR="00E55BEC" w:rsidRPr="00E57C2A" w:rsidTr="00E55BEC">
        <w:tc>
          <w:tcPr>
            <w:tcW w:w="2235" w:type="dxa"/>
          </w:tcPr>
          <w:p w:rsidR="00E55BEC" w:rsidRPr="00E57C2A" w:rsidRDefault="00E55BEC" w:rsidP="00E55BEC">
            <w:pPr>
              <w:rPr>
                <w:rFonts w:cs="Arial"/>
              </w:rPr>
            </w:pPr>
            <w:r w:rsidRPr="00E57C2A">
              <w:rPr>
                <w:rFonts w:cs="Arial"/>
              </w:rPr>
              <w:t>(ii) is consistent with the policy purpose and policy framework of the code; and</w:t>
            </w:r>
          </w:p>
        </w:tc>
        <w:tc>
          <w:tcPr>
            <w:tcW w:w="7051" w:type="dxa"/>
          </w:tcPr>
          <w:p w:rsidR="00E55BEC" w:rsidRPr="00E57C2A" w:rsidRDefault="00E55BEC" w:rsidP="00E55BEC">
            <w:pPr>
              <w:rPr>
                <w:rFonts w:cs="Arial"/>
              </w:rPr>
            </w:pPr>
            <w:r w:rsidRPr="00E57C2A">
              <w:rPr>
                <w:rFonts w:cs="Arial"/>
              </w:rPr>
              <w:t>The change replace</w:t>
            </w:r>
            <w:r w:rsidR="004F5968">
              <w:rPr>
                <w:rFonts w:cs="Arial"/>
              </w:rPr>
              <w:t>s</w:t>
            </w:r>
            <w:r w:rsidRPr="00E57C2A">
              <w:rPr>
                <w:rFonts w:cs="Arial"/>
              </w:rPr>
              <w:t xml:space="preserve"> a figure containing superseded zoning information. </w:t>
            </w:r>
          </w:p>
          <w:p w:rsidR="00E55BEC" w:rsidRPr="00E57C2A" w:rsidRDefault="00E55BEC" w:rsidP="00E55BEC">
            <w:pPr>
              <w:rPr>
                <w:rFonts w:cs="Arial"/>
              </w:rPr>
            </w:pPr>
          </w:p>
          <w:p w:rsidR="00E55BEC" w:rsidRPr="00E57C2A" w:rsidRDefault="00E55BEC" w:rsidP="00E55BEC">
            <w:pPr>
              <w:rPr>
                <w:rFonts w:cs="Arial"/>
              </w:rPr>
            </w:pPr>
            <w:r w:rsidRPr="00E57C2A">
              <w:rPr>
                <w:rFonts w:cs="Arial"/>
              </w:rPr>
              <w:t>The changes are consistent with the policy framework of the code.</w:t>
            </w:r>
          </w:p>
          <w:p w:rsidR="00E55BEC" w:rsidRPr="00E57C2A" w:rsidRDefault="00E55BEC" w:rsidP="00E55BEC">
            <w:pPr>
              <w:rPr>
                <w:rFonts w:cs="Arial"/>
              </w:rPr>
            </w:pPr>
          </w:p>
        </w:tc>
      </w:tr>
      <w:tr w:rsidR="00E55BEC" w:rsidRPr="00E57C2A" w:rsidTr="00E55BEC">
        <w:tc>
          <w:tcPr>
            <w:tcW w:w="2235" w:type="dxa"/>
          </w:tcPr>
          <w:p w:rsidR="00E55BEC" w:rsidRPr="00E57C2A" w:rsidRDefault="00E55BEC" w:rsidP="00E55BEC">
            <w:pPr>
              <w:rPr>
                <w:rFonts w:cs="Arial"/>
              </w:rPr>
            </w:pPr>
            <w:r w:rsidRPr="00E57C2A">
              <w:rPr>
                <w:rFonts w:cs="Arial"/>
              </w:rPr>
              <w:t>(iii) is not an error variation</w:t>
            </w:r>
          </w:p>
        </w:tc>
        <w:tc>
          <w:tcPr>
            <w:tcW w:w="7051" w:type="dxa"/>
          </w:tcPr>
          <w:p w:rsidR="00E55BEC" w:rsidRPr="00E57C2A" w:rsidRDefault="00E55BEC" w:rsidP="00E55BEC">
            <w:pPr>
              <w:rPr>
                <w:rFonts w:cs="Arial"/>
              </w:rPr>
            </w:pPr>
            <w:r w:rsidRPr="00E57C2A">
              <w:rPr>
                <w:rFonts w:cs="Arial"/>
              </w:rPr>
              <w:t>Is not a formal error</w:t>
            </w:r>
          </w:p>
        </w:tc>
      </w:tr>
    </w:tbl>
    <w:p w:rsidR="00E55BEC" w:rsidRDefault="00E55BEC" w:rsidP="00E55BEC">
      <w:pPr>
        <w:pStyle w:val="TAbodytext"/>
      </w:pPr>
    </w:p>
    <w:p w:rsidR="00E55BEC" w:rsidRDefault="00E55BEC" w:rsidP="00E55BEC">
      <w:pPr>
        <w:pStyle w:val="TAbodytext"/>
      </w:pPr>
    </w:p>
    <w:p w:rsidR="00364C08" w:rsidRDefault="00364C08" w:rsidP="00364C08">
      <w:pPr>
        <w:pStyle w:val="TAbodytext"/>
        <w:jc w:val="center"/>
      </w:pPr>
    </w:p>
    <w:p w:rsidR="00E55BEC" w:rsidRDefault="00016D01" w:rsidP="00E55BEC">
      <w:pPr>
        <w:pStyle w:val="TAsectionheading2"/>
      </w:pPr>
      <w:r>
        <w:br w:type="page"/>
      </w:r>
    </w:p>
    <w:p w:rsidR="00461BCC" w:rsidRPr="009A70DB" w:rsidRDefault="00992546" w:rsidP="00461BCC">
      <w:pPr>
        <w:pStyle w:val="TAexplanatorystatementsubheading"/>
      </w:pPr>
      <w:r>
        <w:t xml:space="preserve">Parking and vehicular access general code – </w:t>
      </w:r>
      <w:r w:rsidR="00461BCC" w:rsidRPr="009A70DB">
        <w:t xml:space="preserve">change to the requirements for tandem parking spaces in multi unit residential apartment developments (item </w:t>
      </w:r>
      <w:r w:rsidR="00830710">
        <w:t>6</w:t>
      </w:r>
      <w:r w:rsidR="00461BCC" w:rsidRPr="009A70DB">
        <w:t>)</w:t>
      </w:r>
    </w:p>
    <w:p w:rsidR="00461BCC" w:rsidRDefault="00461BCC" w:rsidP="00461BCC">
      <w:pPr>
        <w:pStyle w:val="TAbodytext"/>
      </w:pPr>
    </w:p>
    <w:p w:rsidR="00461BCC" w:rsidRPr="00461BCC" w:rsidRDefault="00461BCC" w:rsidP="00461BCC">
      <w:pPr>
        <w:pStyle w:val="TAbodytext"/>
      </w:pPr>
      <w:r w:rsidRPr="00461BCC">
        <w:t>This technical amendment change</w:t>
      </w:r>
      <w:r w:rsidR="004B17D2">
        <w:t>s</w:t>
      </w:r>
      <w:r w:rsidRPr="00461BCC">
        <w:t xml:space="preserve"> the tandem parking requirements under Section 2.8 of the parking and vehicular access general code.  The current requirements constrain the provision of tandem parking to 10% of the total residential parking for two or more bedroom units.  However, on constrained sites there are benefits to allowing more significant levels of tandem parking and it could reasonably be permitted on a larger scale than presently allowed under Section 2.8.  Section 2.8 </w:t>
      </w:r>
      <w:r w:rsidR="004B17D2">
        <w:t xml:space="preserve">is changed </w:t>
      </w:r>
      <w:r w:rsidRPr="00461BCC">
        <w:t xml:space="preserve">by increasing the percentage of tandem parking spaces which may be permitted without the separate agreement of ACT government authorities for individual development applications to 50% of </w:t>
      </w:r>
      <w:r w:rsidR="00D70183">
        <w:t xml:space="preserve">dwellings with two or more bedrooms </w:t>
      </w:r>
      <w:r w:rsidRPr="00461BCC">
        <w:t>in a development.</w:t>
      </w:r>
    </w:p>
    <w:p w:rsidR="00E55BEC" w:rsidRDefault="00E55BEC" w:rsidP="00E55BEC">
      <w:pPr>
        <w:pStyle w:val="TA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051"/>
      </w:tblGrid>
      <w:tr w:rsidR="00E55BEC" w:rsidRPr="00E57C2A" w:rsidTr="00E55BEC">
        <w:tc>
          <w:tcPr>
            <w:tcW w:w="2235" w:type="dxa"/>
          </w:tcPr>
          <w:p w:rsidR="00E55BEC" w:rsidRPr="00E57C2A" w:rsidRDefault="00E55BEC" w:rsidP="00E55BEC">
            <w:pPr>
              <w:jc w:val="both"/>
              <w:rPr>
                <w:rFonts w:cs="Arial"/>
                <w:b/>
              </w:rPr>
            </w:pPr>
            <w:r w:rsidRPr="00E57C2A">
              <w:rPr>
                <w:rFonts w:cs="Arial"/>
                <w:b/>
              </w:rPr>
              <w:t>Section of Act</w:t>
            </w:r>
          </w:p>
        </w:tc>
        <w:tc>
          <w:tcPr>
            <w:tcW w:w="7051" w:type="dxa"/>
          </w:tcPr>
          <w:p w:rsidR="00E55BEC" w:rsidRPr="00E57C2A" w:rsidRDefault="00E55BEC" w:rsidP="00E55BEC">
            <w:pPr>
              <w:jc w:val="both"/>
              <w:rPr>
                <w:rFonts w:cs="Arial"/>
                <w:b/>
              </w:rPr>
            </w:pPr>
            <w:r w:rsidRPr="00E57C2A">
              <w:rPr>
                <w:rFonts w:cs="Arial"/>
                <w:b/>
              </w:rPr>
              <w:t>Statement of compliance with Act</w:t>
            </w:r>
          </w:p>
        </w:tc>
      </w:tr>
      <w:tr w:rsidR="00E55BEC" w:rsidRPr="00E57C2A" w:rsidTr="00E55BEC">
        <w:tc>
          <w:tcPr>
            <w:tcW w:w="2235" w:type="dxa"/>
          </w:tcPr>
          <w:p w:rsidR="00E55BEC" w:rsidRPr="00E57C2A" w:rsidRDefault="00E55BEC" w:rsidP="00E55BEC">
            <w:pPr>
              <w:rPr>
                <w:rFonts w:cs="Arial"/>
              </w:rPr>
            </w:pPr>
            <w:r w:rsidRPr="00E57C2A">
              <w:rPr>
                <w:rFonts w:cs="Arial"/>
              </w:rPr>
              <w:t xml:space="preserve">s87(b) a variation (a code variation) that - </w:t>
            </w:r>
          </w:p>
        </w:tc>
        <w:tc>
          <w:tcPr>
            <w:tcW w:w="7051" w:type="dxa"/>
          </w:tcPr>
          <w:p w:rsidR="00E55BEC" w:rsidRPr="00E57C2A" w:rsidRDefault="00E55BEC" w:rsidP="00E55BEC">
            <w:pPr>
              <w:rPr>
                <w:rFonts w:cs="Arial"/>
              </w:rPr>
            </w:pPr>
          </w:p>
        </w:tc>
      </w:tr>
      <w:tr w:rsidR="00E55BEC" w:rsidRPr="00E57C2A" w:rsidTr="00E55BEC">
        <w:tc>
          <w:tcPr>
            <w:tcW w:w="2235" w:type="dxa"/>
          </w:tcPr>
          <w:p w:rsidR="00E55BEC" w:rsidRPr="00E57C2A" w:rsidRDefault="00E55BEC" w:rsidP="00E55BEC">
            <w:pPr>
              <w:rPr>
                <w:rFonts w:cs="Arial"/>
              </w:rPr>
            </w:pPr>
            <w:r w:rsidRPr="00E57C2A">
              <w:rPr>
                <w:rFonts w:cs="Arial"/>
              </w:rPr>
              <w:t>(i) would only change a code; and</w:t>
            </w:r>
          </w:p>
        </w:tc>
        <w:tc>
          <w:tcPr>
            <w:tcW w:w="7051" w:type="dxa"/>
          </w:tcPr>
          <w:p w:rsidR="00E55BEC" w:rsidRPr="00E57C2A" w:rsidRDefault="00461BCC" w:rsidP="00992546">
            <w:pPr>
              <w:rPr>
                <w:rFonts w:cs="Arial"/>
              </w:rPr>
            </w:pPr>
            <w:r w:rsidRPr="00E57C2A">
              <w:rPr>
                <w:rFonts w:cs="Arial"/>
              </w:rPr>
              <w:t xml:space="preserve">Only changes </w:t>
            </w:r>
            <w:r>
              <w:rPr>
                <w:rFonts w:cs="Arial"/>
              </w:rPr>
              <w:t xml:space="preserve">section 2.8 in </w:t>
            </w:r>
            <w:r w:rsidRPr="00E57C2A">
              <w:rPr>
                <w:rFonts w:cs="Arial"/>
              </w:rPr>
              <w:t xml:space="preserve">the parking and vehicular access general code relating to </w:t>
            </w:r>
            <w:r>
              <w:rPr>
                <w:rFonts w:cs="Arial"/>
              </w:rPr>
              <w:t xml:space="preserve">tandem </w:t>
            </w:r>
            <w:r w:rsidRPr="00E57C2A">
              <w:rPr>
                <w:rFonts w:cs="Arial"/>
              </w:rPr>
              <w:t xml:space="preserve">parking spaces </w:t>
            </w:r>
            <w:r>
              <w:rPr>
                <w:rFonts w:cs="Arial"/>
              </w:rPr>
              <w:t>in multi unit residential apartment developments</w:t>
            </w:r>
            <w:r w:rsidRPr="00E57C2A">
              <w:rPr>
                <w:rFonts w:cs="Arial"/>
              </w:rPr>
              <w:t>.</w:t>
            </w:r>
          </w:p>
        </w:tc>
      </w:tr>
      <w:tr w:rsidR="00E55BEC" w:rsidRPr="00E57C2A" w:rsidTr="00E55BEC">
        <w:tc>
          <w:tcPr>
            <w:tcW w:w="2235" w:type="dxa"/>
          </w:tcPr>
          <w:p w:rsidR="00E55BEC" w:rsidRPr="00E57C2A" w:rsidRDefault="00E55BEC" w:rsidP="00E55BEC">
            <w:pPr>
              <w:rPr>
                <w:rFonts w:cs="Arial"/>
              </w:rPr>
            </w:pPr>
            <w:r w:rsidRPr="00E57C2A">
              <w:rPr>
                <w:rFonts w:cs="Arial"/>
              </w:rPr>
              <w:t>(ii) is consistent with the policy purpose and policy framework of the code; and</w:t>
            </w:r>
          </w:p>
        </w:tc>
        <w:tc>
          <w:tcPr>
            <w:tcW w:w="7051" w:type="dxa"/>
          </w:tcPr>
          <w:p w:rsidR="00461BCC" w:rsidRPr="00E57C2A" w:rsidRDefault="00461BCC" w:rsidP="00461BCC">
            <w:pPr>
              <w:rPr>
                <w:rFonts w:cs="Arial"/>
              </w:rPr>
            </w:pPr>
            <w:r w:rsidRPr="00E57C2A">
              <w:rPr>
                <w:rFonts w:cs="Arial"/>
              </w:rPr>
              <w:t xml:space="preserve">The purpose of the code is to ensure that development achieves the relevant objectives of the Territory Plan and will be used by the Authority in the assessment of development applications involving development, redevelopment and lease variations. The code specifies vehicular access and parking requirements for development. </w:t>
            </w:r>
          </w:p>
          <w:p w:rsidR="00461BCC" w:rsidRPr="00E57C2A" w:rsidRDefault="00461BCC" w:rsidP="00461BCC">
            <w:pPr>
              <w:rPr>
                <w:rFonts w:cs="Arial"/>
              </w:rPr>
            </w:pPr>
          </w:p>
          <w:p w:rsidR="00E55BEC" w:rsidRPr="00E57C2A" w:rsidRDefault="00461BCC" w:rsidP="004F5968">
            <w:pPr>
              <w:rPr>
                <w:rFonts w:cs="Arial"/>
              </w:rPr>
            </w:pPr>
            <w:r w:rsidRPr="00E57C2A">
              <w:rPr>
                <w:rFonts w:cs="Arial"/>
              </w:rPr>
              <w:t>The</w:t>
            </w:r>
            <w:r>
              <w:rPr>
                <w:rFonts w:cs="Arial"/>
              </w:rPr>
              <w:t xml:space="preserve"> </w:t>
            </w:r>
            <w:r w:rsidRPr="00E57C2A">
              <w:rPr>
                <w:rFonts w:cs="Arial"/>
              </w:rPr>
              <w:t xml:space="preserve">change </w:t>
            </w:r>
            <w:r>
              <w:rPr>
                <w:rFonts w:cs="Arial"/>
              </w:rPr>
              <w:t>increase</w:t>
            </w:r>
            <w:r w:rsidR="004F5968">
              <w:rPr>
                <w:rFonts w:cs="Arial"/>
              </w:rPr>
              <w:t>s</w:t>
            </w:r>
            <w:r>
              <w:rPr>
                <w:rFonts w:cs="Arial"/>
              </w:rPr>
              <w:t xml:space="preserve"> the percentage of tandem parking spaces for multi unit residential apartment developments which may be permitted without agreement of ACT government authorities</w:t>
            </w:r>
            <w:r w:rsidRPr="00E57C2A">
              <w:rPr>
                <w:rFonts w:cs="Arial"/>
              </w:rPr>
              <w:t>.</w:t>
            </w:r>
          </w:p>
        </w:tc>
      </w:tr>
      <w:tr w:rsidR="00E55BEC" w:rsidRPr="00E57C2A" w:rsidTr="00E55BEC">
        <w:tc>
          <w:tcPr>
            <w:tcW w:w="2235" w:type="dxa"/>
          </w:tcPr>
          <w:p w:rsidR="00E55BEC" w:rsidRPr="00E57C2A" w:rsidRDefault="00E55BEC" w:rsidP="00E55BEC">
            <w:pPr>
              <w:rPr>
                <w:rFonts w:cs="Arial"/>
              </w:rPr>
            </w:pPr>
            <w:r w:rsidRPr="00E57C2A">
              <w:rPr>
                <w:rFonts w:cs="Arial"/>
              </w:rPr>
              <w:t>(iii) is not an error variation</w:t>
            </w:r>
          </w:p>
        </w:tc>
        <w:tc>
          <w:tcPr>
            <w:tcW w:w="7051" w:type="dxa"/>
          </w:tcPr>
          <w:p w:rsidR="00E55BEC" w:rsidRPr="00E57C2A" w:rsidRDefault="00E55BEC" w:rsidP="00E55BEC">
            <w:pPr>
              <w:rPr>
                <w:rFonts w:cs="Arial"/>
              </w:rPr>
            </w:pPr>
            <w:r w:rsidRPr="00E57C2A">
              <w:rPr>
                <w:rFonts w:cs="Arial"/>
              </w:rPr>
              <w:t>Is not a formal error</w:t>
            </w:r>
          </w:p>
        </w:tc>
      </w:tr>
    </w:tbl>
    <w:p w:rsidR="00E55BEC" w:rsidRDefault="00E55BEC" w:rsidP="00E55BEC">
      <w:pPr>
        <w:pStyle w:val="TAbodytext"/>
      </w:pPr>
    </w:p>
    <w:p w:rsidR="00E55BEC" w:rsidRDefault="00E55BEC" w:rsidP="00E55BEC">
      <w:pPr>
        <w:pStyle w:val="TAbodytext"/>
      </w:pPr>
    </w:p>
    <w:p w:rsidR="00E55BEC" w:rsidRPr="007E4DC3" w:rsidRDefault="00992546" w:rsidP="00E55BEC">
      <w:pPr>
        <w:pStyle w:val="TAexplanatorystatementsubheading"/>
      </w:pPr>
      <w:r>
        <w:t xml:space="preserve">Parking and vehicular access </w:t>
      </w:r>
      <w:r w:rsidR="000C2889">
        <w:t xml:space="preserve">general </w:t>
      </w:r>
      <w:r>
        <w:t xml:space="preserve">code – changes to </w:t>
      </w:r>
      <w:r w:rsidR="00185F4C">
        <w:t>parking</w:t>
      </w:r>
      <w:r w:rsidR="00F4654A">
        <w:t xml:space="preserve"> provision</w:t>
      </w:r>
      <w:r w:rsidR="00185F4C">
        <w:t xml:space="preserve"> </w:t>
      </w:r>
      <w:r w:rsidR="00605C75">
        <w:t xml:space="preserve">for multi-unit developments </w:t>
      </w:r>
      <w:r w:rsidR="00185F4C">
        <w:t>in residential zones</w:t>
      </w:r>
      <w:r w:rsidR="00E55BEC">
        <w:t xml:space="preserve"> (</w:t>
      </w:r>
      <w:r w:rsidR="004F5968">
        <w:t>i</w:t>
      </w:r>
      <w:r w:rsidR="00E55BEC">
        <w:t xml:space="preserve">tem </w:t>
      </w:r>
      <w:r w:rsidR="00830710">
        <w:t>7</w:t>
      </w:r>
      <w:r w:rsidR="00E55BEC">
        <w:t>)</w:t>
      </w:r>
    </w:p>
    <w:p w:rsidR="00E55BEC" w:rsidRPr="00AD708A" w:rsidRDefault="00E55BEC" w:rsidP="00E55BEC">
      <w:pPr>
        <w:pStyle w:val="TAbodytext"/>
      </w:pPr>
    </w:p>
    <w:p w:rsidR="00F4654A" w:rsidRPr="00F4654A" w:rsidRDefault="00F4654A" w:rsidP="00F4654A">
      <w:pPr>
        <w:pStyle w:val="TAbodytext"/>
      </w:pPr>
      <w:r w:rsidRPr="00F4654A">
        <w:t xml:space="preserve">This technical amendment changes the on-site parking provision rate in the parking and vehicular access general code, to differentiate between two-bedroom and three-bedroom residences in multi-unit </w:t>
      </w:r>
      <w:r w:rsidR="00605C75">
        <w:t>developments</w:t>
      </w:r>
      <w:r w:rsidR="005C7E19">
        <w:t>, including single or detached dwellings within an integrated multi-unit development</w:t>
      </w:r>
      <w:r w:rsidRPr="00F4654A">
        <w:t xml:space="preserve">. These changes are </w:t>
      </w:r>
      <w:r w:rsidR="004B17D2">
        <w:t xml:space="preserve">made </w:t>
      </w:r>
      <w:r w:rsidRPr="00F4654A">
        <w:t>because of problems with management of parking spaces in basements and on-site where there are multi-unit dwellings.  The concept of ‘shared’ spaces for two-bedroom units creates management problems for body corporates and for the allocation of spaces for residents.  It is not possible to allocate the ‘shared’ spaces under unit titling legislation and these become ‘free’ spaces for use by anyone who is aware of their availability.   Allocation of all parking spaces for use by residents is the most effective way of dealing with the issue.  Residential visitor spaces are not included in the changes and these will still remain the responsibility of body corporate in terms of management.</w:t>
      </w:r>
    </w:p>
    <w:p w:rsidR="00E55BEC" w:rsidRDefault="00E55BEC" w:rsidP="00E55BEC">
      <w:pPr>
        <w:pStyle w:val="TA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051"/>
      </w:tblGrid>
      <w:tr w:rsidR="00E55BEC" w:rsidRPr="00E57C2A" w:rsidTr="00E55BEC">
        <w:tc>
          <w:tcPr>
            <w:tcW w:w="2235" w:type="dxa"/>
          </w:tcPr>
          <w:p w:rsidR="00E55BEC" w:rsidRPr="00E57C2A" w:rsidRDefault="00E55BEC" w:rsidP="00E55BEC">
            <w:pPr>
              <w:jc w:val="both"/>
              <w:rPr>
                <w:rFonts w:cs="Arial"/>
                <w:b/>
              </w:rPr>
            </w:pPr>
            <w:r w:rsidRPr="00E57C2A">
              <w:rPr>
                <w:rFonts w:cs="Arial"/>
                <w:b/>
              </w:rPr>
              <w:t>Section of Act</w:t>
            </w:r>
          </w:p>
        </w:tc>
        <w:tc>
          <w:tcPr>
            <w:tcW w:w="7051" w:type="dxa"/>
          </w:tcPr>
          <w:p w:rsidR="00E55BEC" w:rsidRPr="00E57C2A" w:rsidRDefault="00E55BEC" w:rsidP="00E55BEC">
            <w:pPr>
              <w:jc w:val="both"/>
              <w:rPr>
                <w:rFonts w:cs="Arial"/>
                <w:b/>
              </w:rPr>
            </w:pPr>
            <w:r w:rsidRPr="00E57C2A">
              <w:rPr>
                <w:rFonts w:cs="Arial"/>
                <w:b/>
              </w:rPr>
              <w:t>Statement of compliance with Act</w:t>
            </w:r>
          </w:p>
        </w:tc>
      </w:tr>
      <w:tr w:rsidR="00E55BEC" w:rsidRPr="00E57C2A" w:rsidTr="00E55BEC">
        <w:tc>
          <w:tcPr>
            <w:tcW w:w="2235" w:type="dxa"/>
          </w:tcPr>
          <w:p w:rsidR="00E55BEC" w:rsidRPr="00E57C2A" w:rsidRDefault="00E55BEC" w:rsidP="00E55BEC">
            <w:pPr>
              <w:rPr>
                <w:rFonts w:cs="Arial"/>
              </w:rPr>
            </w:pPr>
            <w:r w:rsidRPr="00E57C2A">
              <w:rPr>
                <w:rFonts w:cs="Arial"/>
              </w:rPr>
              <w:t xml:space="preserve">s87(b) a variation (a code variation) that - </w:t>
            </w:r>
          </w:p>
        </w:tc>
        <w:tc>
          <w:tcPr>
            <w:tcW w:w="7051" w:type="dxa"/>
          </w:tcPr>
          <w:p w:rsidR="00E55BEC" w:rsidRPr="00E57C2A" w:rsidRDefault="00E55BEC" w:rsidP="00E55BEC">
            <w:pPr>
              <w:rPr>
                <w:rFonts w:cs="Arial"/>
              </w:rPr>
            </w:pPr>
          </w:p>
        </w:tc>
      </w:tr>
      <w:tr w:rsidR="00E55BEC" w:rsidRPr="00E57C2A" w:rsidTr="00E55BEC">
        <w:tc>
          <w:tcPr>
            <w:tcW w:w="2235" w:type="dxa"/>
          </w:tcPr>
          <w:p w:rsidR="00E55BEC" w:rsidRPr="00E57C2A" w:rsidRDefault="00E55BEC" w:rsidP="00E55BEC">
            <w:pPr>
              <w:rPr>
                <w:rFonts w:cs="Arial"/>
              </w:rPr>
            </w:pPr>
            <w:r w:rsidRPr="00E57C2A">
              <w:rPr>
                <w:rFonts w:cs="Arial"/>
              </w:rPr>
              <w:t>(i) would only change a code; and</w:t>
            </w:r>
          </w:p>
        </w:tc>
        <w:tc>
          <w:tcPr>
            <w:tcW w:w="7051" w:type="dxa"/>
          </w:tcPr>
          <w:p w:rsidR="00E55BEC" w:rsidRPr="00E57C2A" w:rsidRDefault="00F4654A" w:rsidP="00992546">
            <w:pPr>
              <w:rPr>
                <w:rFonts w:cs="Arial"/>
              </w:rPr>
            </w:pPr>
            <w:r w:rsidRPr="00E57C2A">
              <w:t xml:space="preserve">Only changes </w:t>
            </w:r>
            <w:r>
              <w:t xml:space="preserve">section 3.5 </w:t>
            </w:r>
            <w:r w:rsidRPr="00E57C2A">
              <w:t xml:space="preserve">in the parking and vehicular access general code relating to </w:t>
            </w:r>
            <w:r w:rsidRPr="00901AA0">
              <w:t xml:space="preserve">the on-site parking provision </w:t>
            </w:r>
            <w:r>
              <w:t>rate for two and three bedroom residences</w:t>
            </w:r>
            <w:r w:rsidR="005C7E19">
              <w:t>, including detached residences</w:t>
            </w:r>
            <w:r w:rsidR="00605C75">
              <w:t xml:space="preserve"> in multi-unit developments</w:t>
            </w:r>
            <w:r w:rsidRPr="00E57C2A">
              <w:t>.</w:t>
            </w:r>
          </w:p>
        </w:tc>
      </w:tr>
      <w:tr w:rsidR="00E55BEC" w:rsidRPr="00E57C2A" w:rsidTr="00E55BEC">
        <w:tc>
          <w:tcPr>
            <w:tcW w:w="2235" w:type="dxa"/>
          </w:tcPr>
          <w:p w:rsidR="00E55BEC" w:rsidRPr="00E57C2A" w:rsidRDefault="00E55BEC" w:rsidP="00E55BEC">
            <w:pPr>
              <w:rPr>
                <w:rFonts w:cs="Arial"/>
              </w:rPr>
            </w:pPr>
            <w:r w:rsidRPr="00E57C2A">
              <w:rPr>
                <w:rFonts w:cs="Arial"/>
              </w:rPr>
              <w:t>(ii) is consistent with the policy purpose and policy framework of the code; and</w:t>
            </w:r>
          </w:p>
        </w:tc>
        <w:tc>
          <w:tcPr>
            <w:tcW w:w="7051" w:type="dxa"/>
          </w:tcPr>
          <w:p w:rsidR="00F4654A" w:rsidRPr="00E57C2A" w:rsidRDefault="00E55BEC" w:rsidP="00F4654A">
            <w:pPr>
              <w:rPr>
                <w:rFonts w:cs="Arial"/>
              </w:rPr>
            </w:pPr>
            <w:r w:rsidRPr="00E57C2A">
              <w:rPr>
                <w:rFonts w:cs="Arial"/>
              </w:rPr>
              <w:t xml:space="preserve">The </w:t>
            </w:r>
            <w:r w:rsidR="00F4654A" w:rsidRPr="00E57C2A">
              <w:rPr>
                <w:rFonts w:cs="Arial"/>
              </w:rPr>
              <w:t xml:space="preserve">purpose of the code is to ensure that development achieves the relevant objectives of the Territory Plan and will be used by the Authority in the assessment of development applications involving development, redevelopment and lease variations. The code specifies vehicular access and parking requirements for development. </w:t>
            </w:r>
          </w:p>
          <w:p w:rsidR="00F4654A" w:rsidRPr="00E57C2A" w:rsidRDefault="00F4654A" w:rsidP="00F4654A">
            <w:pPr>
              <w:rPr>
                <w:rFonts w:cs="Arial"/>
              </w:rPr>
            </w:pPr>
          </w:p>
          <w:p w:rsidR="00E55BEC" w:rsidRPr="00E57C2A" w:rsidRDefault="00F4654A" w:rsidP="004F5968">
            <w:pPr>
              <w:rPr>
                <w:rFonts w:cs="Arial"/>
              </w:rPr>
            </w:pPr>
            <w:r w:rsidRPr="00E57C2A">
              <w:rPr>
                <w:rFonts w:cs="Arial"/>
              </w:rPr>
              <w:t>The change</w:t>
            </w:r>
            <w:r>
              <w:rPr>
                <w:rFonts w:cs="Arial"/>
              </w:rPr>
              <w:t>s</w:t>
            </w:r>
            <w:r w:rsidRPr="00E57C2A">
              <w:rPr>
                <w:rFonts w:cs="Arial"/>
              </w:rPr>
              <w:t xml:space="preserve"> </w:t>
            </w:r>
            <w:r>
              <w:rPr>
                <w:rFonts w:cs="Arial"/>
              </w:rPr>
              <w:t xml:space="preserve">allocate all parking spaces provided in two and three bedroom </w:t>
            </w:r>
            <w:r w:rsidR="00605C75">
              <w:rPr>
                <w:rFonts w:cs="Arial"/>
              </w:rPr>
              <w:t>residences</w:t>
            </w:r>
            <w:r w:rsidR="005C7E19">
              <w:rPr>
                <w:rFonts w:cs="Arial"/>
              </w:rPr>
              <w:t>, including apartments, attached houses and detached houses</w:t>
            </w:r>
            <w:r w:rsidR="00605C75">
              <w:rPr>
                <w:rFonts w:cs="Arial"/>
              </w:rPr>
              <w:t xml:space="preserve"> in multi-unit </w:t>
            </w:r>
            <w:r>
              <w:rPr>
                <w:rFonts w:cs="Arial"/>
              </w:rPr>
              <w:t>residential developments for use by residents</w:t>
            </w:r>
            <w:r w:rsidRPr="00E57C2A">
              <w:rPr>
                <w:rFonts w:cs="Arial"/>
              </w:rPr>
              <w:t>.</w:t>
            </w:r>
          </w:p>
        </w:tc>
      </w:tr>
      <w:tr w:rsidR="00E55BEC" w:rsidRPr="00E57C2A" w:rsidTr="00E55BEC">
        <w:tc>
          <w:tcPr>
            <w:tcW w:w="2235" w:type="dxa"/>
          </w:tcPr>
          <w:p w:rsidR="00E55BEC" w:rsidRPr="00E57C2A" w:rsidRDefault="00E55BEC" w:rsidP="00E55BEC">
            <w:pPr>
              <w:rPr>
                <w:rFonts w:cs="Arial"/>
              </w:rPr>
            </w:pPr>
            <w:r w:rsidRPr="00E57C2A">
              <w:rPr>
                <w:rFonts w:cs="Arial"/>
              </w:rPr>
              <w:t>(iii) is not an error variation</w:t>
            </w:r>
          </w:p>
        </w:tc>
        <w:tc>
          <w:tcPr>
            <w:tcW w:w="7051" w:type="dxa"/>
          </w:tcPr>
          <w:p w:rsidR="00E55BEC" w:rsidRPr="00E57C2A" w:rsidRDefault="00E55BEC" w:rsidP="00E55BEC">
            <w:pPr>
              <w:rPr>
                <w:rFonts w:cs="Arial"/>
              </w:rPr>
            </w:pPr>
            <w:r w:rsidRPr="00E57C2A">
              <w:rPr>
                <w:rFonts w:cs="Arial"/>
              </w:rPr>
              <w:t>Is not a formal error</w:t>
            </w:r>
          </w:p>
        </w:tc>
      </w:tr>
    </w:tbl>
    <w:p w:rsidR="00E55BEC" w:rsidRDefault="00E55BEC" w:rsidP="00E55BEC">
      <w:pPr>
        <w:pStyle w:val="TAbodytext"/>
      </w:pPr>
    </w:p>
    <w:p w:rsidR="00992546" w:rsidRDefault="00992546" w:rsidP="00992546">
      <w:pPr>
        <w:pStyle w:val="TAbodytext"/>
      </w:pPr>
    </w:p>
    <w:p w:rsidR="00992546" w:rsidRPr="007E4DC3" w:rsidRDefault="00992546" w:rsidP="00830710">
      <w:pPr>
        <w:pStyle w:val="TAexplanatorystatementsubheading"/>
      </w:pPr>
      <w:r>
        <w:t>Lawson South</w:t>
      </w:r>
      <w:r w:rsidR="00830710">
        <w:t xml:space="preserve"> concept plan</w:t>
      </w:r>
      <w:r>
        <w:t xml:space="preserve"> – changes to </w:t>
      </w:r>
      <w:r w:rsidR="00830710" w:rsidRPr="00374D51">
        <w:t xml:space="preserve">include a criterion to provide </w:t>
      </w:r>
      <w:r w:rsidR="00830710">
        <w:t xml:space="preserve">limited </w:t>
      </w:r>
      <w:r w:rsidR="00830710" w:rsidRPr="00374D51">
        <w:t xml:space="preserve">flexibility for </w:t>
      </w:r>
      <w:r w:rsidR="00830710">
        <w:t xml:space="preserve">assessing </w:t>
      </w:r>
      <w:r w:rsidR="00830710" w:rsidRPr="00374D51">
        <w:t xml:space="preserve">minimum </w:t>
      </w:r>
      <w:r w:rsidR="00830710">
        <w:t xml:space="preserve">dwelling </w:t>
      </w:r>
      <w:r w:rsidR="00830710" w:rsidRPr="00374D51">
        <w:t>number</w:t>
      </w:r>
      <w:r w:rsidR="00830710">
        <w:t>s</w:t>
      </w:r>
      <w:r w:rsidR="00830710" w:rsidRPr="00374D51">
        <w:t xml:space="preserve"> </w:t>
      </w:r>
      <w:r w:rsidR="00830710">
        <w:t>(</w:t>
      </w:r>
      <w:r w:rsidR="00830710" w:rsidRPr="00374D51">
        <w:t>item</w:t>
      </w:r>
      <w:r w:rsidR="00830710">
        <w:t xml:space="preserve"> 8)</w:t>
      </w:r>
      <w:r w:rsidR="00830710" w:rsidRPr="00374D51">
        <w:t xml:space="preserve">  </w:t>
      </w:r>
    </w:p>
    <w:p w:rsidR="00830710" w:rsidRDefault="00830710" w:rsidP="00830710">
      <w:pPr>
        <w:pStyle w:val="TAbodytext"/>
      </w:pPr>
    </w:p>
    <w:p w:rsidR="00830710" w:rsidRPr="00B60792" w:rsidRDefault="00830710" w:rsidP="00830710">
      <w:pPr>
        <w:pStyle w:val="TAbodytext"/>
      </w:pPr>
      <w:r w:rsidRPr="00B60792">
        <w:t xml:space="preserve">Part B 3 – Dwelling Yield of the Lawson South </w:t>
      </w:r>
      <w:r>
        <w:t>c</w:t>
      </w:r>
      <w:r w:rsidRPr="00B60792">
        <w:t xml:space="preserve">oncept </w:t>
      </w:r>
      <w:r>
        <w:t>p</w:t>
      </w:r>
      <w:r w:rsidR="004F5968">
        <w:t>lan is amended by introducing a</w:t>
      </w:r>
      <w:r w:rsidRPr="00B60792">
        <w:t xml:space="preserve"> criterion to provide </w:t>
      </w:r>
      <w:r>
        <w:t xml:space="preserve">for the consideration in certain circumstances, of a reduced dwelling </w:t>
      </w:r>
      <w:r w:rsidRPr="00B60792">
        <w:t>number</w:t>
      </w:r>
      <w:r>
        <w:t>.</w:t>
      </w:r>
      <w:r w:rsidRPr="00B60792">
        <w:t xml:space="preserve">  </w:t>
      </w:r>
      <w:r w:rsidRPr="00801287">
        <w:t>In this way</w:t>
      </w:r>
      <w:r w:rsidRPr="00B60792">
        <w:t xml:space="preserve">, </w:t>
      </w:r>
      <w:r>
        <w:t xml:space="preserve">dwelling numbers and </w:t>
      </w:r>
      <w:r w:rsidRPr="00B60792">
        <w:t xml:space="preserve">densities can be </w:t>
      </w:r>
      <w:r>
        <w:t xml:space="preserve">reviewed in response </w:t>
      </w:r>
      <w:r w:rsidRPr="00B60792">
        <w:t xml:space="preserve">to </w:t>
      </w:r>
      <w:r>
        <w:t xml:space="preserve">detailed investigations and subdivision design taking into account site specific factors </w:t>
      </w:r>
      <w:r w:rsidRPr="00B60792">
        <w:t>such as topography</w:t>
      </w:r>
      <w:r>
        <w:t xml:space="preserve"> and the electrical infrastructure including the </w:t>
      </w:r>
      <w:r w:rsidR="0000675D">
        <w:t xml:space="preserve">zone </w:t>
      </w:r>
      <w:r w:rsidRPr="00B60792">
        <w:t xml:space="preserve">substation and </w:t>
      </w:r>
      <w:r>
        <w:t xml:space="preserve">high voltage </w:t>
      </w:r>
      <w:r w:rsidRPr="00B60792">
        <w:t>electrical transmission line</w:t>
      </w:r>
      <w:r>
        <w:t>s</w:t>
      </w:r>
      <w:r w:rsidRPr="00B60792">
        <w:t xml:space="preserve">. </w:t>
      </w:r>
      <w:r>
        <w:t xml:space="preserve"> </w:t>
      </w:r>
      <w:r w:rsidRPr="00C45772">
        <w:t>This is consistent with the intent of the concept plan to guide the design of the estate development plan</w:t>
      </w:r>
      <w:r>
        <w:t xml:space="preserve">, which is used to </w:t>
      </w:r>
      <w:r w:rsidRPr="00C45772">
        <w:t>assess the estate development plan development application.</w:t>
      </w:r>
      <w:r>
        <w:t xml:space="preserve">  </w:t>
      </w:r>
      <w:r w:rsidRPr="00B60792">
        <w:t>Th</w:t>
      </w:r>
      <w:r>
        <w:t>e</w:t>
      </w:r>
      <w:r w:rsidRPr="00B60792">
        <w:t xml:space="preserve"> </w:t>
      </w:r>
      <w:r>
        <w:t xml:space="preserve">amended </w:t>
      </w:r>
      <w:r w:rsidRPr="00B60792">
        <w:t>criterion place</w:t>
      </w:r>
      <w:r w:rsidR="004B17D2">
        <w:t>s</w:t>
      </w:r>
      <w:r w:rsidRPr="00B60792">
        <w:t xml:space="preserve"> the onus on the propo</w:t>
      </w:r>
      <w:r>
        <w:t>nent to demonstrate that densities</w:t>
      </w:r>
      <w:r w:rsidRPr="00B60792">
        <w:t xml:space="preserve"> </w:t>
      </w:r>
      <w:r>
        <w:t>are</w:t>
      </w:r>
      <w:r w:rsidRPr="00B60792">
        <w:t xml:space="preserve"> maximised with an efficient </w:t>
      </w:r>
      <w:r>
        <w:t>subdivision layout</w:t>
      </w:r>
      <w:r w:rsidRPr="00B60792">
        <w:t xml:space="preserve"> in the event that a reduced dwelling number is proposed.</w:t>
      </w:r>
    </w:p>
    <w:p w:rsidR="00992546" w:rsidRDefault="00992546" w:rsidP="00992546">
      <w:pPr>
        <w:pStyle w:val="TA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051"/>
      </w:tblGrid>
      <w:tr w:rsidR="00992546" w:rsidRPr="00E57C2A" w:rsidTr="00992546">
        <w:tc>
          <w:tcPr>
            <w:tcW w:w="2235" w:type="dxa"/>
          </w:tcPr>
          <w:p w:rsidR="00992546" w:rsidRPr="00E57C2A" w:rsidRDefault="00992546" w:rsidP="00992546">
            <w:pPr>
              <w:jc w:val="both"/>
              <w:rPr>
                <w:rFonts w:cs="Arial"/>
                <w:b/>
              </w:rPr>
            </w:pPr>
            <w:r w:rsidRPr="00E57C2A">
              <w:rPr>
                <w:rFonts w:cs="Arial"/>
                <w:b/>
              </w:rPr>
              <w:t>Section of Act</w:t>
            </w:r>
          </w:p>
        </w:tc>
        <w:tc>
          <w:tcPr>
            <w:tcW w:w="7051" w:type="dxa"/>
          </w:tcPr>
          <w:p w:rsidR="00992546" w:rsidRPr="00E57C2A" w:rsidRDefault="00992546" w:rsidP="00992546">
            <w:pPr>
              <w:jc w:val="both"/>
              <w:rPr>
                <w:rFonts w:cs="Arial"/>
                <w:b/>
              </w:rPr>
            </w:pPr>
            <w:r w:rsidRPr="00E57C2A">
              <w:rPr>
                <w:rFonts w:cs="Arial"/>
                <w:b/>
              </w:rPr>
              <w:t>Statement of compliance with Act</w:t>
            </w:r>
          </w:p>
        </w:tc>
      </w:tr>
      <w:tr w:rsidR="00992546" w:rsidRPr="00E57C2A" w:rsidTr="00992546">
        <w:tc>
          <w:tcPr>
            <w:tcW w:w="2235" w:type="dxa"/>
          </w:tcPr>
          <w:p w:rsidR="00992546" w:rsidRPr="00E57C2A" w:rsidRDefault="00992546" w:rsidP="00992546">
            <w:pPr>
              <w:rPr>
                <w:rFonts w:cs="Arial"/>
              </w:rPr>
            </w:pPr>
            <w:r w:rsidRPr="00E57C2A">
              <w:rPr>
                <w:rFonts w:cs="Arial"/>
              </w:rPr>
              <w:t xml:space="preserve">s87(b) a variation (a code variation) that - </w:t>
            </w:r>
          </w:p>
        </w:tc>
        <w:tc>
          <w:tcPr>
            <w:tcW w:w="7051" w:type="dxa"/>
          </w:tcPr>
          <w:p w:rsidR="00992546" w:rsidRPr="00E57C2A" w:rsidRDefault="00992546" w:rsidP="00992546">
            <w:pPr>
              <w:rPr>
                <w:rFonts w:cs="Arial"/>
              </w:rPr>
            </w:pPr>
          </w:p>
        </w:tc>
      </w:tr>
      <w:tr w:rsidR="00992546" w:rsidRPr="00E57C2A" w:rsidTr="00992546">
        <w:tc>
          <w:tcPr>
            <w:tcW w:w="2235" w:type="dxa"/>
          </w:tcPr>
          <w:p w:rsidR="00992546" w:rsidRPr="00E57C2A" w:rsidRDefault="00992546" w:rsidP="00992546">
            <w:pPr>
              <w:rPr>
                <w:rFonts w:cs="Arial"/>
              </w:rPr>
            </w:pPr>
            <w:r w:rsidRPr="00E57C2A">
              <w:rPr>
                <w:rFonts w:cs="Arial"/>
              </w:rPr>
              <w:t>(i) would only change a code; and</w:t>
            </w:r>
          </w:p>
        </w:tc>
        <w:tc>
          <w:tcPr>
            <w:tcW w:w="7051" w:type="dxa"/>
          </w:tcPr>
          <w:p w:rsidR="00992546" w:rsidRPr="00E57C2A" w:rsidRDefault="00830710" w:rsidP="00992546">
            <w:pPr>
              <w:rPr>
                <w:rFonts w:cs="Arial"/>
              </w:rPr>
            </w:pPr>
            <w:r w:rsidRPr="00E57C2A">
              <w:rPr>
                <w:rFonts w:cs="Arial"/>
              </w:rPr>
              <w:t xml:space="preserve">Only changes the Lawson South concept plan, which is a precinct code for the purposes of Section 93 of the </w:t>
            </w:r>
            <w:r w:rsidRPr="00E57C2A">
              <w:rPr>
                <w:rFonts w:cs="Arial"/>
                <w:i/>
              </w:rPr>
              <w:t>Planning and Development Act 2007.</w:t>
            </w:r>
          </w:p>
        </w:tc>
      </w:tr>
      <w:tr w:rsidR="00992546" w:rsidRPr="00E57C2A" w:rsidTr="00992546">
        <w:tc>
          <w:tcPr>
            <w:tcW w:w="2235" w:type="dxa"/>
          </w:tcPr>
          <w:p w:rsidR="00992546" w:rsidRPr="00E57C2A" w:rsidRDefault="00992546" w:rsidP="00992546">
            <w:pPr>
              <w:rPr>
                <w:rFonts w:cs="Arial"/>
              </w:rPr>
            </w:pPr>
            <w:r w:rsidRPr="00E57C2A">
              <w:rPr>
                <w:rFonts w:cs="Arial"/>
              </w:rPr>
              <w:t>(ii) is consistent with the policy purpose and policy framework of the code; and</w:t>
            </w:r>
          </w:p>
        </w:tc>
        <w:tc>
          <w:tcPr>
            <w:tcW w:w="7051" w:type="dxa"/>
          </w:tcPr>
          <w:p w:rsidR="00830710" w:rsidRPr="00801287" w:rsidRDefault="00992546" w:rsidP="00830710">
            <w:pPr>
              <w:autoSpaceDE w:val="0"/>
              <w:autoSpaceDN w:val="0"/>
              <w:adjustRightInd w:val="0"/>
              <w:rPr>
                <w:rFonts w:cs="Arial"/>
              </w:rPr>
            </w:pPr>
            <w:r w:rsidRPr="00E57C2A">
              <w:rPr>
                <w:rFonts w:cs="Arial"/>
              </w:rPr>
              <w:t xml:space="preserve">The </w:t>
            </w:r>
            <w:r w:rsidR="00830710" w:rsidRPr="00801287">
              <w:rPr>
                <w:rFonts w:cs="Arial"/>
              </w:rPr>
              <w:t xml:space="preserve">Section 93 of the </w:t>
            </w:r>
            <w:r w:rsidR="00830710" w:rsidRPr="00801287">
              <w:rPr>
                <w:rFonts w:cs="Arial"/>
                <w:i/>
              </w:rPr>
              <w:t>Planning and Development Act 2007</w:t>
            </w:r>
            <w:r w:rsidR="00830710" w:rsidRPr="00801287">
              <w:rPr>
                <w:rFonts w:cs="Arial"/>
              </w:rPr>
              <w:t xml:space="preserve"> states that a concept plan guides:</w:t>
            </w:r>
          </w:p>
          <w:p w:rsidR="00830710" w:rsidRPr="00801287" w:rsidRDefault="00830710" w:rsidP="00830710">
            <w:pPr>
              <w:autoSpaceDE w:val="0"/>
              <w:autoSpaceDN w:val="0"/>
              <w:adjustRightInd w:val="0"/>
            </w:pPr>
          </w:p>
          <w:p w:rsidR="00830710" w:rsidRPr="00801287" w:rsidRDefault="00830710" w:rsidP="00830710">
            <w:pPr>
              <w:autoSpaceDE w:val="0"/>
              <w:autoSpaceDN w:val="0"/>
              <w:adjustRightInd w:val="0"/>
              <w:rPr>
                <w:rFonts w:cs="Arial"/>
                <w:i/>
              </w:rPr>
            </w:pPr>
            <w:r w:rsidRPr="00801287">
              <w:rPr>
                <w:rFonts w:cs="Arial"/>
                <w:i/>
              </w:rPr>
              <w:t>(i) preparation and assessment of development in future</w:t>
            </w:r>
          </w:p>
          <w:p w:rsidR="00830710" w:rsidRPr="00801287" w:rsidRDefault="00830710" w:rsidP="00830710">
            <w:pPr>
              <w:autoSpaceDE w:val="0"/>
              <w:autoSpaceDN w:val="0"/>
              <w:adjustRightInd w:val="0"/>
              <w:rPr>
                <w:rFonts w:cs="Arial"/>
                <w:i/>
              </w:rPr>
            </w:pPr>
            <w:r w:rsidRPr="00801287">
              <w:rPr>
                <w:rFonts w:cs="Arial"/>
                <w:i/>
              </w:rPr>
              <w:t>urban areas to which the concept plan relates; and</w:t>
            </w:r>
          </w:p>
          <w:p w:rsidR="00830710" w:rsidRPr="00801287" w:rsidRDefault="00830710" w:rsidP="00830710">
            <w:pPr>
              <w:autoSpaceDE w:val="0"/>
              <w:autoSpaceDN w:val="0"/>
              <w:adjustRightInd w:val="0"/>
              <w:rPr>
                <w:rFonts w:cs="Arial"/>
                <w:i/>
              </w:rPr>
            </w:pPr>
            <w:r w:rsidRPr="00801287">
              <w:rPr>
                <w:rFonts w:cs="Arial"/>
                <w:i/>
              </w:rPr>
              <w:t>(ii) assessment of development when the land ceases to be in a</w:t>
            </w:r>
          </w:p>
          <w:p w:rsidR="00830710" w:rsidRPr="00801287" w:rsidRDefault="00830710" w:rsidP="00830710">
            <w:pPr>
              <w:rPr>
                <w:rFonts w:cs="Arial"/>
                <w:i/>
              </w:rPr>
            </w:pPr>
            <w:r w:rsidRPr="00801287">
              <w:rPr>
                <w:rFonts w:cs="Arial"/>
                <w:i/>
              </w:rPr>
              <w:t>future urban area.</w:t>
            </w:r>
          </w:p>
          <w:p w:rsidR="00830710" w:rsidRPr="00801287" w:rsidRDefault="00830710" w:rsidP="00830710">
            <w:pPr>
              <w:rPr>
                <w:rFonts w:cs="Arial"/>
              </w:rPr>
            </w:pPr>
          </w:p>
          <w:p w:rsidR="00830710" w:rsidRPr="00801287" w:rsidRDefault="00830710" w:rsidP="00830710">
            <w:pPr>
              <w:rPr>
                <w:rFonts w:cs="Arial"/>
              </w:rPr>
            </w:pPr>
            <w:r w:rsidRPr="00801287">
              <w:rPr>
                <w:rFonts w:cs="Arial"/>
              </w:rPr>
              <w:t xml:space="preserve">The changes add provisions to the concept plan to provide for the consideration of a dwelling number below the current rule for a specified minimum number of units, where certain requirements can be demonstrated.   </w:t>
            </w:r>
          </w:p>
          <w:p w:rsidR="00830710" w:rsidRPr="00801287" w:rsidRDefault="00830710" w:rsidP="00830710">
            <w:pPr>
              <w:rPr>
                <w:rFonts w:cs="Arial"/>
              </w:rPr>
            </w:pPr>
          </w:p>
          <w:p w:rsidR="00830710" w:rsidRPr="00801287" w:rsidRDefault="00830710" w:rsidP="00830710">
            <w:pPr>
              <w:rPr>
                <w:rFonts w:cs="Arial"/>
              </w:rPr>
            </w:pPr>
            <w:r w:rsidRPr="00801287">
              <w:rPr>
                <w:rFonts w:cs="Arial"/>
              </w:rPr>
              <w:t>The changes are consistent with the policy framework of the code.</w:t>
            </w:r>
          </w:p>
          <w:p w:rsidR="00992546" w:rsidRPr="00E57C2A" w:rsidRDefault="00992546" w:rsidP="00992546">
            <w:pPr>
              <w:rPr>
                <w:rFonts w:cs="Arial"/>
              </w:rPr>
            </w:pPr>
          </w:p>
        </w:tc>
      </w:tr>
      <w:tr w:rsidR="00992546" w:rsidRPr="00E57C2A" w:rsidTr="00992546">
        <w:tc>
          <w:tcPr>
            <w:tcW w:w="2235" w:type="dxa"/>
          </w:tcPr>
          <w:p w:rsidR="00992546" w:rsidRPr="00E57C2A" w:rsidRDefault="00992546" w:rsidP="00992546">
            <w:pPr>
              <w:rPr>
                <w:rFonts w:cs="Arial"/>
              </w:rPr>
            </w:pPr>
            <w:r w:rsidRPr="00E57C2A">
              <w:rPr>
                <w:rFonts w:cs="Arial"/>
              </w:rPr>
              <w:t>(iii) is not an error variation</w:t>
            </w:r>
          </w:p>
        </w:tc>
        <w:tc>
          <w:tcPr>
            <w:tcW w:w="7051" w:type="dxa"/>
          </w:tcPr>
          <w:p w:rsidR="00992546" w:rsidRPr="00E57C2A" w:rsidRDefault="00992546" w:rsidP="00992546">
            <w:pPr>
              <w:rPr>
                <w:rFonts w:cs="Arial"/>
              </w:rPr>
            </w:pPr>
            <w:r w:rsidRPr="00E57C2A">
              <w:rPr>
                <w:rFonts w:cs="Arial"/>
              </w:rPr>
              <w:t>Is not a formal error</w:t>
            </w:r>
          </w:p>
        </w:tc>
      </w:tr>
    </w:tbl>
    <w:p w:rsidR="00992546" w:rsidRDefault="00992546" w:rsidP="00992546">
      <w:pPr>
        <w:pStyle w:val="TAbodytext"/>
      </w:pPr>
    </w:p>
    <w:p w:rsidR="001B4B23" w:rsidRDefault="001B4B23">
      <w:r>
        <w:br w:type="page"/>
      </w:r>
    </w:p>
    <w:p w:rsidR="00992546" w:rsidRDefault="00185F4C" w:rsidP="00992546">
      <w:pPr>
        <w:pStyle w:val="TAsectionheading3"/>
      </w:pPr>
      <w:r>
        <w:t xml:space="preserve">  </w:t>
      </w:r>
      <w:bookmarkStart w:id="22" w:name="_Toc305145245"/>
      <w:r w:rsidR="00992546">
        <w:t>Clarification variations</w:t>
      </w:r>
      <w:bookmarkEnd w:id="22"/>
    </w:p>
    <w:p w:rsidR="00992546" w:rsidRDefault="00992546" w:rsidP="00992546">
      <w:pPr>
        <w:pStyle w:val="TAbodytext"/>
      </w:pPr>
    </w:p>
    <w:p w:rsidR="00992546" w:rsidRPr="007E4DC3" w:rsidRDefault="00F51D72" w:rsidP="00992546">
      <w:pPr>
        <w:pStyle w:val="TAexplanatorystatementsubheading"/>
      </w:pPr>
      <w:r>
        <w:t>Definitions – clarification of the meaning of o</w:t>
      </w:r>
      <w:r w:rsidR="00992546">
        <w:t>utdoor recreation facility</w:t>
      </w:r>
      <w:r>
        <w:t xml:space="preserve"> (</w:t>
      </w:r>
      <w:r w:rsidR="004F5968">
        <w:t>i</w:t>
      </w:r>
      <w:r w:rsidR="00992546">
        <w:t xml:space="preserve">tem </w:t>
      </w:r>
      <w:r w:rsidR="00EC33ED">
        <w:t>9</w:t>
      </w:r>
      <w:r w:rsidR="001F16F4">
        <w:t>a</w:t>
      </w:r>
      <w:r w:rsidR="00992546">
        <w:t>)</w:t>
      </w:r>
    </w:p>
    <w:p w:rsidR="00992546" w:rsidRPr="00AD708A" w:rsidRDefault="00992546" w:rsidP="00992546">
      <w:pPr>
        <w:pStyle w:val="TAbodytext"/>
      </w:pPr>
    </w:p>
    <w:p w:rsidR="00342800" w:rsidRDefault="00342800" w:rsidP="00342800">
      <w:pPr>
        <w:pStyle w:val="TAbodytext"/>
      </w:pPr>
      <w:r>
        <w:t xml:space="preserve">This technical amendment </w:t>
      </w:r>
      <w:r w:rsidR="004B17D2">
        <w:t>clarifies</w:t>
      </w:r>
      <w:r>
        <w:t xml:space="preserve"> that a community garden fits within the definition of outdoor recreation facility by inserting the term into the common terminology column. Community gardens are a popular form of community based outdoor recreational activity in the ACT and are managed by a community group for the production of edible vegetables and fruit for personal use.  The term ‘community garden’ is not currently a defined term in the Territory Plan, but is considered to fit within the outdoor recreation facility definition.</w:t>
      </w:r>
    </w:p>
    <w:p w:rsidR="00992546" w:rsidRDefault="00992546" w:rsidP="00992546">
      <w:pPr>
        <w:pStyle w:val="TA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051"/>
      </w:tblGrid>
      <w:tr w:rsidR="00992546" w:rsidRPr="00E57C2A" w:rsidTr="00992546">
        <w:tc>
          <w:tcPr>
            <w:tcW w:w="2235" w:type="dxa"/>
          </w:tcPr>
          <w:p w:rsidR="00992546" w:rsidRPr="00E57C2A" w:rsidRDefault="00992546" w:rsidP="00992546">
            <w:pPr>
              <w:jc w:val="both"/>
              <w:rPr>
                <w:rFonts w:cs="Arial"/>
                <w:b/>
              </w:rPr>
            </w:pPr>
            <w:r w:rsidRPr="00E57C2A">
              <w:rPr>
                <w:rFonts w:cs="Arial"/>
                <w:b/>
              </w:rPr>
              <w:t>Section of Act</w:t>
            </w:r>
          </w:p>
        </w:tc>
        <w:tc>
          <w:tcPr>
            <w:tcW w:w="7051" w:type="dxa"/>
          </w:tcPr>
          <w:p w:rsidR="00992546" w:rsidRPr="00E57C2A" w:rsidRDefault="00992546" w:rsidP="00992546">
            <w:pPr>
              <w:jc w:val="both"/>
              <w:rPr>
                <w:rFonts w:cs="Arial"/>
                <w:b/>
              </w:rPr>
            </w:pPr>
            <w:r w:rsidRPr="00E57C2A">
              <w:rPr>
                <w:rFonts w:cs="Arial"/>
                <w:b/>
              </w:rPr>
              <w:t>Statement of compliance with Act</w:t>
            </w:r>
          </w:p>
        </w:tc>
      </w:tr>
      <w:tr w:rsidR="00992546" w:rsidRPr="00E57C2A" w:rsidTr="00992546">
        <w:tc>
          <w:tcPr>
            <w:tcW w:w="2235" w:type="dxa"/>
          </w:tcPr>
          <w:p w:rsidR="00992546" w:rsidRPr="00E57C2A" w:rsidRDefault="00342800" w:rsidP="00992546">
            <w:pPr>
              <w:rPr>
                <w:rFonts w:cs="Arial"/>
              </w:rPr>
            </w:pPr>
            <w:r w:rsidRPr="006A1BA1">
              <w:rPr>
                <w:rFonts w:cs="Arial"/>
              </w:rPr>
              <w:t>s87(g) a variation to clarify the language in the territory plan if it does not change the substance of the plan</w:t>
            </w:r>
          </w:p>
        </w:tc>
        <w:tc>
          <w:tcPr>
            <w:tcW w:w="7051" w:type="dxa"/>
          </w:tcPr>
          <w:p w:rsidR="00342800" w:rsidRPr="006A1BA1" w:rsidRDefault="00342800" w:rsidP="00342800">
            <w:pPr>
              <w:rPr>
                <w:rFonts w:cs="Arial"/>
              </w:rPr>
            </w:pPr>
            <w:r w:rsidRPr="006A1BA1">
              <w:rPr>
                <w:rFonts w:cs="Arial"/>
              </w:rPr>
              <w:t xml:space="preserve">The </w:t>
            </w:r>
            <w:r>
              <w:rPr>
                <w:rFonts w:cs="Arial"/>
              </w:rPr>
              <w:t xml:space="preserve">addition </w:t>
            </w:r>
            <w:r w:rsidRPr="006A1BA1">
              <w:rPr>
                <w:rFonts w:cs="Arial"/>
              </w:rPr>
              <w:t xml:space="preserve">to the list of common terminology under the outdoor recreation facility </w:t>
            </w:r>
            <w:r>
              <w:rPr>
                <w:rFonts w:cs="Arial"/>
              </w:rPr>
              <w:t>clarifies that a community garden is included in the definition</w:t>
            </w:r>
            <w:r w:rsidRPr="006A1BA1">
              <w:rPr>
                <w:rFonts w:cs="Arial"/>
              </w:rPr>
              <w:t>.</w:t>
            </w:r>
          </w:p>
          <w:p w:rsidR="00992546" w:rsidRPr="00E57C2A" w:rsidRDefault="00992546" w:rsidP="00992546">
            <w:pPr>
              <w:rPr>
                <w:rFonts w:cs="Arial"/>
              </w:rPr>
            </w:pPr>
          </w:p>
        </w:tc>
      </w:tr>
    </w:tbl>
    <w:p w:rsidR="00992546" w:rsidRDefault="00992546" w:rsidP="00992546">
      <w:pPr>
        <w:pStyle w:val="TAbodytext"/>
      </w:pPr>
    </w:p>
    <w:p w:rsidR="00331038" w:rsidRDefault="00331038" w:rsidP="00331038">
      <w:pPr>
        <w:pStyle w:val="TAbodytext"/>
      </w:pPr>
    </w:p>
    <w:p w:rsidR="00331038" w:rsidRPr="007E4DC3" w:rsidRDefault="00331038" w:rsidP="00331038">
      <w:pPr>
        <w:pStyle w:val="TAexplanatorystatementsubheading"/>
      </w:pPr>
      <w:r>
        <w:t>Definitions – clarification of the term community garden (</w:t>
      </w:r>
      <w:r w:rsidR="004F5968">
        <w:t>i</w:t>
      </w:r>
      <w:r>
        <w:t xml:space="preserve">tem </w:t>
      </w:r>
      <w:r w:rsidR="001F16F4">
        <w:t>9b</w:t>
      </w:r>
      <w:r>
        <w:t>)</w:t>
      </w:r>
    </w:p>
    <w:p w:rsidR="00331038" w:rsidRPr="00AD708A" w:rsidRDefault="00331038" w:rsidP="00331038">
      <w:pPr>
        <w:pStyle w:val="TAbodytext"/>
      </w:pPr>
    </w:p>
    <w:p w:rsidR="00331038" w:rsidRPr="000F5772" w:rsidRDefault="00331038" w:rsidP="00331038">
      <w:pPr>
        <w:pStyle w:val="TAbodytext"/>
      </w:pPr>
      <w:r w:rsidRPr="000F5772">
        <w:t xml:space="preserve">In association with item </w:t>
      </w:r>
      <w:r>
        <w:t>G</w:t>
      </w:r>
      <w:r w:rsidRPr="000F5772">
        <w:t xml:space="preserve"> above a definition for the term communit</w:t>
      </w:r>
      <w:r>
        <w:t>y</w:t>
      </w:r>
      <w:r w:rsidRPr="000F5772">
        <w:t xml:space="preserve"> garden </w:t>
      </w:r>
      <w:r w:rsidR="004B17D2">
        <w:t xml:space="preserve">is included </w:t>
      </w:r>
      <w:r w:rsidRPr="000F5772">
        <w:t xml:space="preserve">in the </w:t>
      </w:r>
      <w:r>
        <w:t xml:space="preserve">Territory Plan - </w:t>
      </w:r>
      <w:r w:rsidRPr="000F5772">
        <w:t>Defi</w:t>
      </w:r>
      <w:r>
        <w:t>ni</w:t>
      </w:r>
      <w:r w:rsidRPr="000F5772">
        <w:t>tions of Terms section.  The term ‘community garden’ is considered to fit within the outdoor recreation facility definition.  Inserting a definition in the Definitions of Terms section further clarif</w:t>
      </w:r>
      <w:r w:rsidR="004B17D2">
        <w:t>ies</w:t>
      </w:r>
      <w:r w:rsidRPr="000F5772">
        <w:t xml:space="preserve"> the term when assessing an application for development of community gardens.</w:t>
      </w:r>
    </w:p>
    <w:p w:rsidR="00331038" w:rsidRDefault="00331038" w:rsidP="00331038">
      <w:pPr>
        <w:pStyle w:val="TA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051"/>
      </w:tblGrid>
      <w:tr w:rsidR="00331038" w:rsidRPr="00E57C2A" w:rsidTr="007B50F1">
        <w:tc>
          <w:tcPr>
            <w:tcW w:w="2235" w:type="dxa"/>
          </w:tcPr>
          <w:p w:rsidR="00331038" w:rsidRPr="00E57C2A" w:rsidRDefault="00331038" w:rsidP="007B50F1">
            <w:pPr>
              <w:jc w:val="both"/>
              <w:rPr>
                <w:rFonts w:cs="Arial"/>
                <w:b/>
              </w:rPr>
            </w:pPr>
            <w:r w:rsidRPr="00E57C2A">
              <w:rPr>
                <w:rFonts w:cs="Arial"/>
                <w:b/>
              </w:rPr>
              <w:t>Section of Act</w:t>
            </w:r>
          </w:p>
        </w:tc>
        <w:tc>
          <w:tcPr>
            <w:tcW w:w="7051" w:type="dxa"/>
          </w:tcPr>
          <w:p w:rsidR="00331038" w:rsidRPr="00E57C2A" w:rsidRDefault="00331038" w:rsidP="007B50F1">
            <w:pPr>
              <w:jc w:val="both"/>
              <w:rPr>
                <w:rFonts w:cs="Arial"/>
                <w:b/>
              </w:rPr>
            </w:pPr>
            <w:r w:rsidRPr="00E57C2A">
              <w:rPr>
                <w:rFonts w:cs="Arial"/>
                <w:b/>
              </w:rPr>
              <w:t>Statement of compliance with Act</w:t>
            </w:r>
          </w:p>
        </w:tc>
      </w:tr>
      <w:tr w:rsidR="00331038" w:rsidRPr="00E57C2A" w:rsidTr="007B50F1">
        <w:tc>
          <w:tcPr>
            <w:tcW w:w="2235" w:type="dxa"/>
          </w:tcPr>
          <w:p w:rsidR="00331038" w:rsidRPr="00E57C2A" w:rsidRDefault="00331038" w:rsidP="007B50F1">
            <w:pPr>
              <w:rPr>
                <w:rFonts w:cs="Arial"/>
              </w:rPr>
            </w:pPr>
            <w:r w:rsidRPr="006A1BA1">
              <w:rPr>
                <w:rFonts w:cs="Arial"/>
              </w:rPr>
              <w:t>s87(g) a variation to clarify the language in the territory plan if it does not change the substance of the plan</w:t>
            </w:r>
          </w:p>
        </w:tc>
        <w:tc>
          <w:tcPr>
            <w:tcW w:w="7051" w:type="dxa"/>
          </w:tcPr>
          <w:p w:rsidR="00331038" w:rsidRPr="006A1BA1" w:rsidRDefault="00331038" w:rsidP="007B50F1">
            <w:pPr>
              <w:rPr>
                <w:rFonts w:cs="Arial"/>
              </w:rPr>
            </w:pPr>
            <w:r w:rsidRPr="006A1BA1">
              <w:rPr>
                <w:rFonts w:cs="Arial"/>
              </w:rPr>
              <w:t xml:space="preserve">The </w:t>
            </w:r>
            <w:r>
              <w:rPr>
                <w:rFonts w:cs="Arial"/>
              </w:rPr>
              <w:t>addition of a definition for</w:t>
            </w:r>
            <w:r w:rsidRPr="006A1BA1">
              <w:rPr>
                <w:rFonts w:cs="Arial"/>
              </w:rPr>
              <w:t xml:space="preserve"> </w:t>
            </w:r>
            <w:r>
              <w:rPr>
                <w:rFonts w:cs="Arial"/>
              </w:rPr>
              <w:t>the term “community garden” is intended to provide greater clarity as to what constitutes a community garden.</w:t>
            </w:r>
          </w:p>
          <w:p w:rsidR="00331038" w:rsidRPr="00E57C2A" w:rsidRDefault="00331038" w:rsidP="007B50F1">
            <w:pPr>
              <w:rPr>
                <w:rFonts w:cs="Arial"/>
              </w:rPr>
            </w:pPr>
          </w:p>
        </w:tc>
      </w:tr>
    </w:tbl>
    <w:p w:rsidR="00331038" w:rsidRDefault="00331038" w:rsidP="00331038">
      <w:pPr>
        <w:pStyle w:val="TAbodytext"/>
      </w:pPr>
    </w:p>
    <w:p w:rsidR="00992546" w:rsidRDefault="00992546" w:rsidP="00992546">
      <w:pPr>
        <w:pStyle w:val="TAbodytext"/>
      </w:pPr>
    </w:p>
    <w:p w:rsidR="00992546" w:rsidRDefault="00992546" w:rsidP="00992546">
      <w:pPr>
        <w:pStyle w:val="TAbodytext"/>
      </w:pPr>
    </w:p>
    <w:p w:rsidR="00992546" w:rsidRPr="007E4DC3" w:rsidRDefault="00F51D72" w:rsidP="00992546">
      <w:pPr>
        <w:pStyle w:val="TAexplanatorystatementsubheading"/>
      </w:pPr>
      <w:r>
        <w:t xml:space="preserve">Definitions – clarification of the meaning of power </w:t>
      </w:r>
      <w:r w:rsidR="00992546">
        <w:t>generati</w:t>
      </w:r>
      <w:r>
        <w:t>on</w:t>
      </w:r>
      <w:r w:rsidR="00992546">
        <w:t xml:space="preserve"> station</w:t>
      </w:r>
      <w:r w:rsidR="00185F4C">
        <w:t xml:space="preserve"> </w:t>
      </w:r>
      <w:r>
        <w:t>(</w:t>
      </w:r>
      <w:r w:rsidR="004F5968">
        <w:t>i</w:t>
      </w:r>
      <w:r w:rsidR="00992546">
        <w:t xml:space="preserve">tem </w:t>
      </w:r>
      <w:r w:rsidR="001F16F4">
        <w:t>10</w:t>
      </w:r>
      <w:r w:rsidR="00992546">
        <w:t>)</w:t>
      </w:r>
    </w:p>
    <w:p w:rsidR="00992546" w:rsidRPr="00AD708A" w:rsidRDefault="00992546" w:rsidP="00992546">
      <w:pPr>
        <w:pStyle w:val="TAbodytext"/>
      </w:pPr>
    </w:p>
    <w:p w:rsidR="00992546" w:rsidRPr="00964BB5" w:rsidRDefault="00F51D72" w:rsidP="00964BB5">
      <w:pPr>
        <w:pStyle w:val="TAbodytext"/>
      </w:pPr>
      <w:r w:rsidRPr="00964BB5">
        <w:t>This technical amendment clarif</w:t>
      </w:r>
      <w:r w:rsidR="004B17D2">
        <w:t>ies</w:t>
      </w:r>
      <w:r w:rsidRPr="00964BB5">
        <w:t xml:space="preserve"> the language within the definition of power generation station, improve</w:t>
      </w:r>
      <w:r w:rsidR="004B17D2">
        <w:t>s</w:t>
      </w:r>
      <w:r w:rsidRPr="00964BB5">
        <w:t xml:space="preserve"> its workability and confirm</w:t>
      </w:r>
      <w:r w:rsidR="004B17D2">
        <w:t>s</w:t>
      </w:r>
      <w:r w:rsidRPr="00964BB5">
        <w:t xml:space="preserve"> that it is intended to include electrical generation bas</w:t>
      </w:r>
      <w:r w:rsidR="00964BB5">
        <w:t xml:space="preserve">ed on renewable energy sources </w:t>
      </w:r>
      <w:r w:rsidR="00964BB5" w:rsidRPr="00964BB5">
        <w:rPr>
          <w:rFonts w:cs="Arial"/>
        </w:rPr>
        <w:t xml:space="preserve">on sites that would principally be assessed for a MAJOR UTILITY INSTALLATION.  </w:t>
      </w:r>
      <w:r w:rsidRPr="00964BB5">
        <w:t>The current definition of a power generation station in the Territory Plan is based on fuel sources (coal, gas, etc.) involving the delivery, processing and production of by-products; this would not be the case for stationary power generating process</w:t>
      </w:r>
      <w:r w:rsidR="00173212" w:rsidRPr="00964BB5">
        <w:t>es</w:t>
      </w:r>
      <w:r w:rsidRPr="00964BB5">
        <w:t xml:space="preserve"> (e.g. photovoltaic panels). T</w:t>
      </w:r>
      <w:r w:rsidR="00173212" w:rsidRPr="00964BB5">
        <w:t>h</w:t>
      </w:r>
      <w:r w:rsidR="004B17D2">
        <w:t xml:space="preserve">e definition is </w:t>
      </w:r>
      <w:r w:rsidRPr="00964BB5">
        <w:t>amended to include renewable energy technologies.</w:t>
      </w:r>
    </w:p>
    <w:p w:rsidR="00F51D72" w:rsidRDefault="00F51D72" w:rsidP="00992546">
      <w:pPr>
        <w:pStyle w:val="TA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051"/>
      </w:tblGrid>
      <w:tr w:rsidR="00992546" w:rsidRPr="00E57C2A" w:rsidTr="00992546">
        <w:tc>
          <w:tcPr>
            <w:tcW w:w="2235" w:type="dxa"/>
          </w:tcPr>
          <w:p w:rsidR="00992546" w:rsidRPr="00E57C2A" w:rsidRDefault="00992546" w:rsidP="00992546">
            <w:pPr>
              <w:jc w:val="both"/>
              <w:rPr>
                <w:rFonts w:cs="Arial"/>
                <w:b/>
              </w:rPr>
            </w:pPr>
            <w:r w:rsidRPr="00E57C2A">
              <w:rPr>
                <w:rFonts w:cs="Arial"/>
                <w:b/>
              </w:rPr>
              <w:t>Section of Act</w:t>
            </w:r>
          </w:p>
        </w:tc>
        <w:tc>
          <w:tcPr>
            <w:tcW w:w="7051" w:type="dxa"/>
          </w:tcPr>
          <w:p w:rsidR="00992546" w:rsidRPr="00E57C2A" w:rsidRDefault="00992546" w:rsidP="00992546">
            <w:pPr>
              <w:jc w:val="both"/>
              <w:rPr>
                <w:rFonts w:cs="Arial"/>
                <w:b/>
              </w:rPr>
            </w:pPr>
            <w:r w:rsidRPr="00E57C2A">
              <w:rPr>
                <w:rFonts w:cs="Arial"/>
                <w:b/>
              </w:rPr>
              <w:t>Statement of compliance with Act</w:t>
            </w:r>
          </w:p>
        </w:tc>
      </w:tr>
      <w:tr w:rsidR="00992546" w:rsidRPr="00E57C2A" w:rsidTr="00992546">
        <w:tc>
          <w:tcPr>
            <w:tcW w:w="2235" w:type="dxa"/>
          </w:tcPr>
          <w:p w:rsidR="00992546" w:rsidRPr="00E57C2A" w:rsidRDefault="00F51D72" w:rsidP="00992546">
            <w:pPr>
              <w:rPr>
                <w:rFonts w:cs="Arial"/>
              </w:rPr>
            </w:pPr>
            <w:r w:rsidRPr="006A1BA1">
              <w:rPr>
                <w:rFonts w:cs="Arial"/>
              </w:rPr>
              <w:t>s87(g) a variation to clarify the language in the territory plan if it does not change the substance of the plan</w:t>
            </w:r>
          </w:p>
        </w:tc>
        <w:tc>
          <w:tcPr>
            <w:tcW w:w="7051" w:type="dxa"/>
          </w:tcPr>
          <w:p w:rsidR="00992546" w:rsidRPr="00E57C2A" w:rsidRDefault="00173212" w:rsidP="00992546">
            <w:pPr>
              <w:rPr>
                <w:rFonts w:cs="Arial"/>
              </w:rPr>
            </w:pPr>
            <w:r>
              <w:rPr>
                <w:rFonts w:cs="Arial"/>
              </w:rPr>
              <w:t>The change to the definition of power generation station is intended to clarify the original intent of the provision through clearer wording of the definition and providing greater clarity as to what constitutes a power generation station.</w:t>
            </w:r>
          </w:p>
        </w:tc>
      </w:tr>
    </w:tbl>
    <w:p w:rsidR="00992546" w:rsidRDefault="00992546" w:rsidP="00992546">
      <w:pPr>
        <w:pStyle w:val="TAbodytext"/>
      </w:pPr>
    </w:p>
    <w:p w:rsidR="000F5B95" w:rsidRDefault="000F5B95" w:rsidP="00992546">
      <w:pPr>
        <w:pStyle w:val="TAbodytext"/>
      </w:pPr>
    </w:p>
    <w:p w:rsidR="000F5B95" w:rsidRDefault="000F5B95" w:rsidP="000F5B95">
      <w:pPr>
        <w:jc w:val="both"/>
        <w:rPr>
          <w:rFonts w:cs="Arial"/>
          <w:i/>
        </w:rPr>
      </w:pPr>
    </w:p>
    <w:p w:rsidR="000F5B95" w:rsidRDefault="000F5B95" w:rsidP="000F5B95">
      <w:pPr>
        <w:pStyle w:val="TAexplanatorystatementsubheading"/>
      </w:pPr>
      <w:r>
        <w:t>Lawson South Concept Plan – clarification of the location of precincts in the code (item 1</w:t>
      </w:r>
      <w:r w:rsidR="001F16F4">
        <w:t>1</w:t>
      </w:r>
      <w:r>
        <w:t>)</w:t>
      </w:r>
    </w:p>
    <w:p w:rsidR="000F5B95" w:rsidRDefault="000F5B95" w:rsidP="000F5B95">
      <w:pPr>
        <w:jc w:val="both"/>
        <w:rPr>
          <w:rFonts w:cs="Arial"/>
          <w:b/>
        </w:rPr>
      </w:pPr>
    </w:p>
    <w:p w:rsidR="000F5B95" w:rsidRPr="00374D51" w:rsidRDefault="004B17D2" w:rsidP="000F5B95">
      <w:pPr>
        <w:pStyle w:val="TAbodytext"/>
      </w:pPr>
      <w:r>
        <w:t xml:space="preserve">A </w:t>
      </w:r>
      <w:r w:rsidR="000F5B95">
        <w:t xml:space="preserve">note </w:t>
      </w:r>
      <w:r>
        <w:t xml:space="preserve">is included </w:t>
      </w:r>
      <w:r w:rsidR="000F5B95" w:rsidRPr="00374D51">
        <w:t xml:space="preserve">to clarify the location of the Lawson </w:t>
      </w:r>
      <w:r w:rsidR="000F5B95">
        <w:t xml:space="preserve">South </w:t>
      </w:r>
      <w:r w:rsidR="000F5B95" w:rsidRPr="00374D51">
        <w:t xml:space="preserve">Concept Plan </w:t>
      </w:r>
      <w:r w:rsidR="000F5B95">
        <w:t xml:space="preserve">development </w:t>
      </w:r>
      <w:r w:rsidR="000F5B95" w:rsidRPr="00374D51">
        <w:t>precincts</w:t>
      </w:r>
      <w:r w:rsidR="000F5B95">
        <w:t xml:space="preserve"> indicated in Figure 3 of the concept plan</w:t>
      </w:r>
      <w:r w:rsidR="000F5B95" w:rsidRPr="00374D51">
        <w:t xml:space="preserve">. </w:t>
      </w:r>
    </w:p>
    <w:p w:rsidR="000F5B95" w:rsidRDefault="000F5B95" w:rsidP="000F5B95">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051"/>
      </w:tblGrid>
      <w:tr w:rsidR="000F5B95" w:rsidRPr="00E57C2A" w:rsidTr="006B439D">
        <w:tc>
          <w:tcPr>
            <w:tcW w:w="2235" w:type="dxa"/>
          </w:tcPr>
          <w:p w:rsidR="000F5B95" w:rsidRPr="00E57C2A" w:rsidRDefault="000F5B95" w:rsidP="006B439D">
            <w:pPr>
              <w:jc w:val="both"/>
              <w:rPr>
                <w:rFonts w:cs="Arial"/>
                <w:b/>
              </w:rPr>
            </w:pPr>
            <w:r w:rsidRPr="00E57C2A">
              <w:rPr>
                <w:rFonts w:cs="Arial"/>
                <w:b/>
              </w:rPr>
              <w:t>Section of Act</w:t>
            </w:r>
          </w:p>
        </w:tc>
        <w:tc>
          <w:tcPr>
            <w:tcW w:w="7051" w:type="dxa"/>
          </w:tcPr>
          <w:p w:rsidR="000F5B95" w:rsidRPr="00E57C2A" w:rsidRDefault="000F5B95" w:rsidP="006B439D">
            <w:pPr>
              <w:jc w:val="both"/>
              <w:rPr>
                <w:rFonts w:cs="Arial"/>
                <w:b/>
              </w:rPr>
            </w:pPr>
            <w:r w:rsidRPr="00E57C2A">
              <w:rPr>
                <w:rFonts w:cs="Arial"/>
                <w:b/>
              </w:rPr>
              <w:t>Statement of compliance with Act</w:t>
            </w:r>
          </w:p>
        </w:tc>
      </w:tr>
      <w:tr w:rsidR="000F5B95" w:rsidRPr="00E57C2A" w:rsidTr="006B439D">
        <w:tc>
          <w:tcPr>
            <w:tcW w:w="2235" w:type="dxa"/>
          </w:tcPr>
          <w:p w:rsidR="000F5B95" w:rsidRPr="00E57C2A" w:rsidRDefault="000F5B95" w:rsidP="006B439D">
            <w:pPr>
              <w:rPr>
                <w:rFonts w:cs="Arial"/>
              </w:rPr>
            </w:pPr>
            <w:r w:rsidRPr="00E57C2A">
              <w:rPr>
                <w:rFonts w:cs="Arial"/>
              </w:rPr>
              <w:t xml:space="preserve">s87(g) a variation to clarify the language in the territory plan if it does not change the substance of the plan </w:t>
            </w:r>
          </w:p>
        </w:tc>
        <w:tc>
          <w:tcPr>
            <w:tcW w:w="7051" w:type="dxa"/>
          </w:tcPr>
          <w:p w:rsidR="000F5B95" w:rsidRPr="00E57C2A" w:rsidRDefault="000F5B95" w:rsidP="004F5968">
            <w:pPr>
              <w:rPr>
                <w:rFonts w:cs="Arial"/>
              </w:rPr>
            </w:pPr>
            <w:r w:rsidRPr="00E57C2A">
              <w:rPr>
                <w:rFonts w:cs="Arial"/>
              </w:rPr>
              <w:t>The changes only clarif</w:t>
            </w:r>
            <w:r w:rsidR="004F5968">
              <w:rPr>
                <w:rFonts w:cs="Arial"/>
              </w:rPr>
              <w:t>y</w:t>
            </w:r>
            <w:r w:rsidRPr="00E57C2A">
              <w:rPr>
                <w:rFonts w:cs="Arial"/>
              </w:rPr>
              <w:t xml:space="preserve"> the language used and do not change the substance of the plan. The addition of the table will assist in clarifying the development precincts indicated in Figure</w:t>
            </w:r>
            <w:r>
              <w:rPr>
                <w:rFonts w:cs="Arial"/>
              </w:rPr>
              <w:t> </w:t>
            </w:r>
            <w:r w:rsidRPr="00E57C2A">
              <w:rPr>
                <w:rFonts w:cs="Arial"/>
              </w:rPr>
              <w:t xml:space="preserve">3 of the </w:t>
            </w:r>
            <w:r>
              <w:rPr>
                <w:rFonts w:cs="Arial"/>
              </w:rPr>
              <w:t>c</w:t>
            </w:r>
            <w:r w:rsidRPr="00E57C2A">
              <w:rPr>
                <w:rFonts w:cs="Arial"/>
              </w:rPr>
              <w:t>oncept plan.</w:t>
            </w:r>
          </w:p>
        </w:tc>
      </w:tr>
    </w:tbl>
    <w:p w:rsidR="000F5B95" w:rsidRDefault="000F5B95" w:rsidP="000F5B95">
      <w:pPr>
        <w:jc w:val="both"/>
        <w:rPr>
          <w:rFonts w:cs="Arial"/>
        </w:rPr>
      </w:pPr>
    </w:p>
    <w:p w:rsidR="000F5B95" w:rsidRDefault="000F5B95" w:rsidP="000F5B95"/>
    <w:p w:rsidR="000F5B95" w:rsidRDefault="000F5B95" w:rsidP="000F5B95"/>
    <w:p w:rsidR="000F5B95" w:rsidRDefault="000F5B95" w:rsidP="00992546">
      <w:pPr>
        <w:pStyle w:val="TAbodytext"/>
      </w:pPr>
    </w:p>
    <w:p w:rsidR="005A488A" w:rsidRDefault="005A488A">
      <w:r>
        <w:br w:type="page"/>
      </w:r>
    </w:p>
    <w:p w:rsidR="00364C08" w:rsidRPr="00BE441E" w:rsidRDefault="00016D01" w:rsidP="00364C08">
      <w:pPr>
        <w:pStyle w:val="TAsectionheading"/>
      </w:pPr>
      <w:bookmarkStart w:id="23" w:name="_Toc254851539"/>
      <w:bookmarkStart w:id="24" w:name="_Toc305145246"/>
      <w:r w:rsidRPr="00BE441E">
        <w:t>TECHNICAL AMENDMENT</w:t>
      </w:r>
      <w:bookmarkEnd w:id="23"/>
      <w:bookmarkEnd w:id="24"/>
    </w:p>
    <w:p w:rsidR="00364C08" w:rsidRPr="00BE441E" w:rsidRDefault="00016D01" w:rsidP="00364C08">
      <w:pPr>
        <w:pStyle w:val="TAsectionheading3"/>
        <w:numPr>
          <w:ilvl w:val="2"/>
          <w:numId w:val="8"/>
        </w:numPr>
      </w:pPr>
      <w:r w:rsidRPr="00BE441E">
        <w:t xml:space="preserve">  </w:t>
      </w:r>
      <w:bookmarkStart w:id="25" w:name="_Toc305145247"/>
      <w:r w:rsidRPr="00BE441E">
        <w:t xml:space="preserve">Code </w:t>
      </w:r>
      <w:r>
        <w:t>Amendment</w:t>
      </w:r>
      <w:r w:rsidR="00185F4C">
        <w:t>s</w:t>
      </w:r>
      <w:bookmarkEnd w:id="25"/>
    </w:p>
    <w:p w:rsidR="001B4B23" w:rsidRDefault="001B4B23" w:rsidP="00364C08">
      <w:pPr>
        <w:pStyle w:val="TAsubheadinglocationinterritoryplan"/>
      </w:pPr>
    </w:p>
    <w:p w:rsidR="00364C08" w:rsidRPr="00D87324" w:rsidRDefault="00016D01" w:rsidP="00364C08">
      <w:pPr>
        <w:pStyle w:val="TAsubheadinglocationinterritoryplan"/>
      </w:pPr>
      <w:r w:rsidRPr="0056366D">
        <w:t xml:space="preserve">Variation to </w:t>
      </w:r>
      <w:r w:rsidR="00626C09">
        <w:t xml:space="preserve">Residential Zones – Single Dwelling Housing Development </w:t>
      </w:r>
      <w:r w:rsidRPr="0056366D">
        <w:t>Code</w:t>
      </w:r>
    </w:p>
    <w:p w:rsidR="00364C08" w:rsidRPr="0056366D" w:rsidRDefault="00626C09" w:rsidP="00626C09">
      <w:pPr>
        <w:pStyle w:val="TAeditorialitemgeneralheading"/>
      </w:pPr>
      <w:r>
        <w:t xml:space="preserve">Part C – Development Type Controls, Part C(1) – Single Dwelling Housing, Element 2: Building and Site Controls, Table 1: </w:t>
      </w:r>
      <w:r w:rsidRPr="00D31086">
        <w:rPr>
          <w:rFonts w:cs="Arial"/>
          <w:bCs/>
        </w:rPr>
        <w:t>Front Street Setback (Refer Figures C1-3)</w:t>
      </w:r>
    </w:p>
    <w:p w:rsidR="00364C08" w:rsidRPr="0056366D" w:rsidRDefault="00364C08" w:rsidP="00364C08">
      <w:pPr>
        <w:pStyle w:val="TAbodytext"/>
      </w:pPr>
    </w:p>
    <w:p w:rsidR="00364C08" w:rsidRDefault="008B63D6" w:rsidP="001C7DA6">
      <w:pPr>
        <w:pStyle w:val="TAeditorialinstructions"/>
      </w:pPr>
      <w:r>
        <w:t>Substitute</w:t>
      </w:r>
      <w:r w:rsidR="00626C09">
        <w:t xml:space="preserve"> ‘Notes</w:t>
      </w:r>
      <w:r>
        <w:t>’</w:t>
      </w:r>
      <w:r w:rsidR="00626C09">
        <w:t xml:space="preserve"> with the fol</w:t>
      </w:r>
      <w:r>
        <w:t>l</w:t>
      </w:r>
      <w:r w:rsidR="00626C09">
        <w:t>owing</w:t>
      </w:r>
      <w:r w:rsidR="00016D01">
        <w:t xml:space="preserve"> </w:t>
      </w:r>
    </w:p>
    <w:p w:rsidR="008B63D6" w:rsidRPr="0056366D" w:rsidRDefault="008B63D6" w:rsidP="001C7DA6">
      <w:pPr>
        <w:pStyle w:val="TAeditorialinstructions"/>
      </w:pPr>
    </w:p>
    <w:p w:rsidR="008B63D6" w:rsidRPr="000F0F43" w:rsidRDefault="008B63D6" w:rsidP="008B63D6">
      <w:pPr>
        <w:pStyle w:val="TAinstructioncontent"/>
      </w:pPr>
      <w:r w:rsidRPr="000F0F43">
        <w:t xml:space="preserve">Notes: </w:t>
      </w:r>
    </w:p>
    <w:p w:rsidR="008B63D6" w:rsidRDefault="008B63D6" w:rsidP="008B63D6">
      <w:pPr>
        <w:pStyle w:val="TAinstructioncontent"/>
        <w:numPr>
          <w:ilvl w:val="0"/>
          <w:numId w:val="19"/>
        </w:numPr>
      </w:pPr>
      <w:r w:rsidRPr="000F0F43">
        <w:t xml:space="preserve">The minimum setbacks for corner </w:t>
      </w:r>
      <w:r w:rsidRPr="008B63D6">
        <w:rPr>
          <w:i/>
        </w:rPr>
        <w:t>blocks</w:t>
      </w:r>
      <w:r w:rsidRPr="000F0F43">
        <w:t xml:space="preserve"> apply only to the street frontage nominated. Setbacks to any other street frontage are to comply with the minimum requirements stated in the respective columns for </w:t>
      </w:r>
      <w:r w:rsidRPr="008B63D6">
        <w:rPr>
          <w:i/>
        </w:rPr>
        <w:t>blocks</w:t>
      </w:r>
      <w:r w:rsidRPr="000F0F43">
        <w:t xml:space="preserve"> in subdivisions approved post or pre 18 October 1993. If street frontages on corner </w:t>
      </w:r>
      <w:r w:rsidRPr="008B63D6">
        <w:rPr>
          <w:i/>
        </w:rPr>
        <w:t>blocks</w:t>
      </w:r>
      <w:r w:rsidRPr="000F0F43">
        <w:t xml:space="preserve"> are of equal length, the minimum setbacks only apply to one street frontage.</w:t>
      </w:r>
    </w:p>
    <w:p w:rsidR="008B63D6" w:rsidRDefault="008B63D6" w:rsidP="008B63D6">
      <w:pPr>
        <w:pStyle w:val="TAinstructioncontent"/>
        <w:numPr>
          <w:ilvl w:val="0"/>
          <w:numId w:val="19"/>
        </w:numPr>
      </w:pPr>
      <w:r w:rsidRPr="000F0F43">
        <w:t xml:space="preserve">Chamfers are ordinarily found at the corner of a </w:t>
      </w:r>
      <w:r w:rsidRPr="008B63D6">
        <w:rPr>
          <w:i/>
        </w:rPr>
        <w:t>block</w:t>
      </w:r>
      <w:r w:rsidRPr="000F0F43">
        <w:t xml:space="preserve"> at the junction of streets.  Chamfers may be included in the </w:t>
      </w:r>
      <w:r w:rsidRPr="008B63D6">
        <w:rPr>
          <w:i/>
        </w:rPr>
        <w:t>secondary street frontage</w:t>
      </w:r>
      <w:r w:rsidRPr="000F0F43">
        <w:t xml:space="preserve">, but only if the length of the chamfer is less than the length of the front boundary.  </w:t>
      </w:r>
    </w:p>
    <w:p w:rsidR="001B4B23" w:rsidRPr="000F0F43" w:rsidRDefault="001B4B23" w:rsidP="001B4B23">
      <w:pPr>
        <w:pStyle w:val="TAinstructioncontent"/>
        <w:ind w:left="1800"/>
      </w:pPr>
    </w:p>
    <w:p w:rsidR="001B4B23" w:rsidRDefault="001B4B23">
      <w:pPr>
        <w:rPr>
          <w:sz w:val="32"/>
          <w:szCs w:val="20"/>
        </w:rPr>
      </w:pPr>
      <w:r>
        <w:br w:type="page"/>
      </w:r>
    </w:p>
    <w:p w:rsidR="001B4B23" w:rsidRPr="00D87324" w:rsidRDefault="001B4B23" w:rsidP="001B4B23">
      <w:pPr>
        <w:pStyle w:val="TAsubheadinglocationinterritoryplan"/>
      </w:pPr>
      <w:r w:rsidRPr="0056366D">
        <w:t xml:space="preserve">Variation to </w:t>
      </w:r>
      <w:r>
        <w:t xml:space="preserve">Group Centres Development </w:t>
      </w:r>
      <w:r w:rsidRPr="0056366D">
        <w:t>Code</w:t>
      </w:r>
    </w:p>
    <w:p w:rsidR="001B4B23" w:rsidRPr="00607B68" w:rsidRDefault="001B4B23" w:rsidP="001B4B23">
      <w:pPr>
        <w:pStyle w:val="TAeditorialitemgeneralheading"/>
      </w:pPr>
      <w:r w:rsidRPr="00607B68">
        <w:t>Part A – Group Centres – Overview, Group Centres – Canberra Central, Figure A6 Dickson Group Centre Zones</w:t>
      </w:r>
    </w:p>
    <w:p w:rsidR="001B4B23" w:rsidRPr="0056366D" w:rsidRDefault="001B4B23" w:rsidP="001B4B23">
      <w:pPr>
        <w:pStyle w:val="TAbodytext"/>
      </w:pPr>
    </w:p>
    <w:p w:rsidR="001B4B23" w:rsidRPr="0056366D" w:rsidRDefault="001B4B23" w:rsidP="001B4B23">
      <w:pPr>
        <w:pStyle w:val="TAeditorialinstructions"/>
      </w:pPr>
      <w:r>
        <w:t>Substitute with</w:t>
      </w:r>
    </w:p>
    <w:p w:rsidR="001B4B23" w:rsidRPr="0056366D" w:rsidRDefault="001B4B23" w:rsidP="001B4B23">
      <w:pPr>
        <w:pStyle w:val="TAbodytext"/>
      </w:pPr>
    </w:p>
    <w:p w:rsidR="001B4B23" w:rsidRDefault="00895328" w:rsidP="001B4B23">
      <w:pPr>
        <w:pStyle w:val="TABodytextinstructioncontentsubtitle"/>
      </w:pPr>
      <w:r w:rsidRPr="00BB0262">
        <w:rPr>
          <w:noProof/>
        </w:rPr>
        <w:drawing>
          <wp:inline distT="0" distB="0" distL="0" distR="0">
            <wp:extent cx="4495800" cy="4333875"/>
            <wp:effectExtent l="0" t="0" r="0" b="0"/>
            <wp:docPr id="1" name="Picture 4" descr="Dickson_Sh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ckson_Shop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95800" cy="4333875"/>
                    </a:xfrm>
                    <a:prstGeom prst="rect">
                      <a:avLst/>
                    </a:prstGeom>
                    <a:noFill/>
                    <a:ln>
                      <a:noFill/>
                    </a:ln>
                  </pic:spPr>
                </pic:pic>
              </a:graphicData>
            </a:graphic>
          </wp:inline>
        </w:drawing>
      </w:r>
      <w:r w:rsidR="001B4B23">
        <w:tab/>
      </w:r>
    </w:p>
    <w:p w:rsidR="001B4B23" w:rsidRDefault="001B4B23" w:rsidP="001B4B23">
      <w:pPr>
        <w:pStyle w:val="TABodytextinstructioncontentsubtitle"/>
      </w:pPr>
    </w:p>
    <w:p w:rsidR="001B4B23" w:rsidRPr="00BE441E" w:rsidRDefault="001B4B23" w:rsidP="001B4B23">
      <w:pPr>
        <w:pStyle w:val="TABodytextinstructioncontentsubtitle"/>
      </w:pPr>
    </w:p>
    <w:p w:rsidR="001B4B23" w:rsidRPr="004D6DC5" w:rsidRDefault="001B4B23" w:rsidP="001B4B23">
      <w:pPr>
        <w:pStyle w:val="TAsubheadinglocationinterritoryplan"/>
        <w:rPr>
          <w:b/>
        </w:rPr>
      </w:pPr>
      <w:r w:rsidRPr="004D6DC5">
        <w:t xml:space="preserve">Variation to </w:t>
      </w:r>
      <w:r>
        <w:t>CZ2 Office Areas Outside Centres Development Code</w:t>
      </w:r>
    </w:p>
    <w:p w:rsidR="001B4B23" w:rsidRPr="001F3D81" w:rsidRDefault="001B4B23" w:rsidP="001B4B23">
      <w:pPr>
        <w:pStyle w:val="TAeditorialitemgeneralheading"/>
      </w:pPr>
      <w:r>
        <w:t>At CZ2 office areas outside centres development code, part B</w:t>
      </w:r>
      <w:r w:rsidRPr="001F3D81">
        <w:t xml:space="preserve"> general development </w:t>
      </w:r>
      <w:r>
        <w:t>controls, element 5 amenity, 5.4</w:t>
      </w:r>
      <w:r w:rsidRPr="001F3D81">
        <w:t xml:space="preserve"> ne</w:t>
      </w:r>
      <w:r>
        <w:t>ighbourhood plans, criterion C26</w:t>
      </w:r>
    </w:p>
    <w:p w:rsidR="001B4B23" w:rsidRPr="001F3D81" w:rsidRDefault="001B4B23" w:rsidP="001B4B23">
      <w:pPr>
        <w:pStyle w:val="BodyText"/>
      </w:pPr>
    </w:p>
    <w:p w:rsidR="001B4B23" w:rsidRPr="001F3D81" w:rsidRDefault="001B4B23" w:rsidP="001B4B23">
      <w:pPr>
        <w:pStyle w:val="TAeditorialinstructions"/>
      </w:pPr>
      <w:r w:rsidRPr="001F3D81">
        <w:t xml:space="preserve">Substitute criterion </w:t>
      </w:r>
      <w:r>
        <w:t>C26</w:t>
      </w:r>
      <w:r w:rsidRPr="001F3D81">
        <w:t xml:space="preserve"> with</w:t>
      </w:r>
    </w:p>
    <w:p w:rsidR="001B4B23" w:rsidRPr="001F3D81" w:rsidRDefault="001B4B23" w:rsidP="001B4B23">
      <w:pPr>
        <w:pStyle w:val="BodyText"/>
      </w:pPr>
    </w:p>
    <w:p w:rsidR="001B4B23" w:rsidRPr="001F3D81" w:rsidRDefault="001B4B23" w:rsidP="001B4B23">
      <w:pPr>
        <w:pStyle w:val="TAinstructioncontent"/>
      </w:pPr>
      <w:r w:rsidRPr="001F3D81">
        <w:t>Where a Neighbourhood Plan exists, development demonstrates a response to the key strategies of the relevant Neighbourhood Plan.</w:t>
      </w:r>
    </w:p>
    <w:p w:rsidR="00607B68" w:rsidRPr="004D6DC5" w:rsidRDefault="00607B68" w:rsidP="00607B68">
      <w:pPr>
        <w:pStyle w:val="TAsubheadinglocationinterritoryplan"/>
        <w:rPr>
          <w:b/>
        </w:rPr>
      </w:pPr>
      <w:r w:rsidRPr="004D6DC5">
        <w:t xml:space="preserve">Variation to </w:t>
      </w:r>
      <w:r w:rsidR="00542908">
        <w:t xml:space="preserve">CZ6 </w:t>
      </w:r>
      <w:r>
        <w:t>Leisure and Accommodation Zone Development Code</w:t>
      </w:r>
    </w:p>
    <w:p w:rsidR="00607B68" w:rsidRPr="00185F4C" w:rsidRDefault="00607B68" w:rsidP="00185F4C">
      <w:pPr>
        <w:pStyle w:val="TAeditorialitemgeneralheading"/>
      </w:pPr>
      <w:r w:rsidRPr="00185F4C">
        <w:t>At leisure and accommodation zone development code, part B general development controls, element 5 amenity, 5.4 neighbourhood plans, criterion C28</w:t>
      </w:r>
    </w:p>
    <w:p w:rsidR="00607B68" w:rsidRPr="001F3D81" w:rsidRDefault="00607B68" w:rsidP="00607B68">
      <w:pPr>
        <w:pStyle w:val="BodyText"/>
      </w:pPr>
    </w:p>
    <w:p w:rsidR="00607B68" w:rsidRPr="001F3D81" w:rsidRDefault="00607B68" w:rsidP="001C7DA6">
      <w:pPr>
        <w:pStyle w:val="TAeditorialinstructions"/>
      </w:pPr>
      <w:r w:rsidRPr="001F3D81">
        <w:t xml:space="preserve">Substitute criterion </w:t>
      </w:r>
      <w:r>
        <w:t>C28</w:t>
      </w:r>
      <w:r w:rsidRPr="001F3D81">
        <w:t xml:space="preserve"> with</w:t>
      </w:r>
    </w:p>
    <w:p w:rsidR="00607B68" w:rsidRPr="001F3D81" w:rsidRDefault="00607B68" w:rsidP="00607B68">
      <w:pPr>
        <w:pStyle w:val="BodyText"/>
      </w:pPr>
    </w:p>
    <w:p w:rsidR="00607B68" w:rsidRPr="001F3D81" w:rsidRDefault="00607B68" w:rsidP="00607B68">
      <w:pPr>
        <w:pStyle w:val="TAinstructioncontent"/>
      </w:pPr>
      <w:r w:rsidRPr="001F3D81">
        <w:t>Where a Neighbourhood Plan exists, development demonstrates a response to the key strategies of the relevant Neighbourhood Plan.</w:t>
      </w:r>
    </w:p>
    <w:p w:rsidR="00607B68" w:rsidRDefault="00607B68" w:rsidP="00607B68">
      <w:pPr>
        <w:pStyle w:val="Heading4"/>
        <w:spacing w:before="360"/>
        <w:rPr>
          <w:rFonts w:cs="Arial"/>
          <w:b w:val="0"/>
          <w:sz w:val="32"/>
          <w:szCs w:val="32"/>
        </w:rPr>
      </w:pPr>
    </w:p>
    <w:p w:rsidR="00607B68" w:rsidRPr="004D6DC5" w:rsidRDefault="00607B68" w:rsidP="00607B68">
      <w:pPr>
        <w:pStyle w:val="TAsubheadinglocationinterritoryplan"/>
        <w:rPr>
          <w:b/>
        </w:rPr>
      </w:pPr>
      <w:r w:rsidRPr="004D6DC5">
        <w:t xml:space="preserve">Variation to </w:t>
      </w:r>
      <w:r>
        <w:t>Parks and Recreation Zone Development Code</w:t>
      </w:r>
    </w:p>
    <w:p w:rsidR="00607B68" w:rsidRPr="001F3D81" w:rsidRDefault="00607B68" w:rsidP="00185F4C">
      <w:pPr>
        <w:pStyle w:val="TAeditorialitemgeneralheading"/>
      </w:pPr>
      <w:r>
        <w:t>At parks and recreation zone development code, part B</w:t>
      </w:r>
      <w:r w:rsidRPr="001F3D81">
        <w:t xml:space="preserve"> general development </w:t>
      </w:r>
      <w:r>
        <w:t>controls, element 5 amenity, 5.4</w:t>
      </w:r>
      <w:r w:rsidRPr="001F3D81">
        <w:t xml:space="preserve"> ne</w:t>
      </w:r>
      <w:r>
        <w:t>ighbourhood plans, criterion C30</w:t>
      </w:r>
    </w:p>
    <w:p w:rsidR="00607B68" w:rsidRPr="001F3D81" w:rsidRDefault="00607B68" w:rsidP="00607B68">
      <w:pPr>
        <w:pStyle w:val="BodyText"/>
      </w:pPr>
    </w:p>
    <w:p w:rsidR="00607B68" w:rsidRPr="001F3D81" w:rsidRDefault="00607B68" w:rsidP="001C7DA6">
      <w:pPr>
        <w:pStyle w:val="TAeditorialinstructions"/>
      </w:pPr>
      <w:r w:rsidRPr="001F3D81">
        <w:t xml:space="preserve">Substitute criterion </w:t>
      </w:r>
      <w:r>
        <w:t>C30</w:t>
      </w:r>
      <w:r w:rsidRPr="001F3D81">
        <w:t xml:space="preserve"> with</w:t>
      </w:r>
    </w:p>
    <w:p w:rsidR="00607B68" w:rsidRPr="001F3D81" w:rsidRDefault="00607B68" w:rsidP="00607B68">
      <w:pPr>
        <w:pStyle w:val="BodyText"/>
      </w:pPr>
    </w:p>
    <w:p w:rsidR="00607B68" w:rsidRPr="001F3D81" w:rsidRDefault="00607B68" w:rsidP="00607B68">
      <w:pPr>
        <w:pStyle w:val="TAinstructioncontent"/>
      </w:pPr>
      <w:r w:rsidRPr="001F3D81">
        <w:t>Where a Neighbourhood Plan exists, development demonstrates a response to the key strategies of the relevant Neighbourhood Plan.</w:t>
      </w:r>
    </w:p>
    <w:p w:rsidR="000F5B95" w:rsidRDefault="000F5B95">
      <w:pPr>
        <w:rPr>
          <w:sz w:val="32"/>
          <w:szCs w:val="20"/>
        </w:rPr>
      </w:pPr>
    </w:p>
    <w:p w:rsidR="00FC3C46" w:rsidRDefault="00FC3C46" w:rsidP="001B4B23">
      <w:pPr>
        <w:pStyle w:val="TAsubheadinglocationinterritoryplan"/>
      </w:pPr>
      <w:r>
        <w:t xml:space="preserve">Variation to </w:t>
      </w:r>
      <w:r w:rsidR="00542908">
        <w:t>P</w:t>
      </w:r>
      <w:r w:rsidRPr="00F44802">
        <w:t xml:space="preserve">arking and </w:t>
      </w:r>
      <w:r w:rsidR="00542908">
        <w:t>V</w:t>
      </w:r>
      <w:r w:rsidRPr="00F44802">
        <w:t xml:space="preserve">ehicular </w:t>
      </w:r>
      <w:r w:rsidR="00542908">
        <w:t>A</w:t>
      </w:r>
      <w:r w:rsidRPr="00F44802">
        <w:t xml:space="preserve">ccess </w:t>
      </w:r>
      <w:r w:rsidR="00542908">
        <w:t>G</w:t>
      </w:r>
      <w:r w:rsidRPr="00F44802">
        <w:t xml:space="preserve">eneral </w:t>
      </w:r>
      <w:r w:rsidR="00542908">
        <w:t>C</w:t>
      </w:r>
      <w:r w:rsidRPr="00F44802">
        <w:t>ode</w:t>
      </w:r>
    </w:p>
    <w:p w:rsidR="00FC3C46" w:rsidRPr="009A70DB" w:rsidRDefault="00FC3C46" w:rsidP="00FC3C46">
      <w:pPr>
        <w:pStyle w:val="TAeditorialitemgeneralheading"/>
      </w:pPr>
      <w:r w:rsidRPr="009A70DB">
        <w:t>Section 2. General Design and Vehicular Access Requirements</w:t>
      </w:r>
      <w:r>
        <w:t xml:space="preserve">, </w:t>
      </w:r>
      <w:r w:rsidRPr="009A70DB">
        <w:t>2.8 Tandem parking in multi unit residential apartment developments</w:t>
      </w:r>
    </w:p>
    <w:p w:rsidR="00FC3C46" w:rsidRDefault="00FC3C46" w:rsidP="00FC3C46">
      <w:pPr>
        <w:rPr>
          <w:rFonts w:cs="Arial"/>
          <w:i/>
        </w:rPr>
      </w:pPr>
    </w:p>
    <w:p w:rsidR="00FC3C46" w:rsidRPr="00DF7B07" w:rsidRDefault="00FC3C46" w:rsidP="001C7DA6">
      <w:pPr>
        <w:pStyle w:val="TAeditorialinstructions"/>
      </w:pPr>
      <w:r>
        <w:t>Substitute wording in the first and second paragraph of section 2.8 as underlined below</w:t>
      </w:r>
    </w:p>
    <w:p w:rsidR="00FC3C46" w:rsidRPr="00505DCF" w:rsidRDefault="00FC3C46" w:rsidP="00FC3C46">
      <w:pPr>
        <w:autoSpaceDE w:val="0"/>
        <w:autoSpaceDN w:val="0"/>
        <w:adjustRightInd w:val="0"/>
        <w:jc w:val="both"/>
        <w:rPr>
          <w:rFonts w:cs="Arial"/>
          <w:sz w:val="20"/>
          <w:highlight w:val="yellow"/>
        </w:rPr>
      </w:pPr>
    </w:p>
    <w:p w:rsidR="00FC3C46" w:rsidRPr="00D70183" w:rsidRDefault="00FC3C46" w:rsidP="00FC3C46">
      <w:pPr>
        <w:pStyle w:val="TAbodytext"/>
        <w:rPr>
          <w:lang w:eastAsia="en-US"/>
        </w:rPr>
      </w:pPr>
      <w:r>
        <w:rPr>
          <w:lang w:eastAsia="en-US"/>
        </w:rPr>
        <w:t xml:space="preserve">b) the proportion of tandem parking spaces does not exceed </w:t>
      </w:r>
      <w:r w:rsidRPr="009A70DB">
        <w:rPr>
          <w:u w:val="single"/>
          <w:lang w:eastAsia="en-US"/>
        </w:rPr>
        <w:t>50%</w:t>
      </w:r>
      <w:r>
        <w:rPr>
          <w:lang w:eastAsia="en-US"/>
        </w:rPr>
        <w:t xml:space="preserve"> of </w:t>
      </w:r>
      <w:r w:rsidR="00D70183" w:rsidRPr="00D70183">
        <w:rPr>
          <w:lang w:eastAsia="en-US"/>
        </w:rPr>
        <w:t>the number of dwellings with two (2) or more bedrooms.</w:t>
      </w:r>
    </w:p>
    <w:p w:rsidR="00D70183" w:rsidRPr="00D70183" w:rsidRDefault="00D70183" w:rsidP="00D70183">
      <w:pPr>
        <w:pStyle w:val="TAbodytext"/>
        <w:rPr>
          <w:lang w:eastAsia="en-US"/>
        </w:rPr>
      </w:pPr>
      <w:r>
        <w:rPr>
          <w:lang w:eastAsia="en-US"/>
        </w:rPr>
        <w:t xml:space="preserve">If the proportion of tandem parking spaces exceeds </w:t>
      </w:r>
      <w:r w:rsidRPr="00A3342D">
        <w:rPr>
          <w:u w:val="single"/>
          <w:lang w:eastAsia="en-US"/>
        </w:rPr>
        <w:t>50%</w:t>
      </w:r>
      <w:r>
        <w:rPr>
          <w:lang w:eastAsia="en-US"/>
        </w:rPr>
        <w:t xml:space="preserve"> of </w:t>
      </w:r>
      <w:r w:rsidRPr="00D70183">
        <w:rPr>
          <w:lang w:eastAsia="en-US"/>
        </w:rPr>
        <w:t>the number of dwellings with two (2) or more bedrooms, it is subject to an individual assessment and is referred to the Transport Planning and Strategy Section in the Environment and Sustainable Development Directorate for advice.</w:t>
      </w:r>
    </w:p>
    <w:p w:rsidR="00D70183" w:rsidRDefault="00D70183" w:rsidP="00FC3C46">
      <w:pPr>
        <w:pStyle w:val="TAbodytext"/>
        <w:rPr>
          <w:lang w:eastAsia="en-US"/>
        </w:rPr>
      </w:pPr>
    </w:p>
    <w:p w:rsidR="00FC3C46" w:rsidRDefault="00FC3C46" w:rsidP="00FC3C46">
      <w:pPr>
        <w:pStyle w:val="TAbodytext"/>
      </w:pPr>
    </w:p>
    <w:p w:rsidR="00FC3C46" w:rsidRDefault="00FC3C46" w:rsidP="00FC3C46">
      <w:pPr>
        <w:ind w:left="426"/>
      </w:pPr>
    </w:p>
    <w:p w:rsidR="00FC3C46" w:rsidRPr="00EE09D0" w:rsidRDefault="00FC3C46" w:rsidP="00FC3C46">
      <w:pPr>
        <w:pStyle w:val="TAeditorialitemgeneralheading"/>
      </w:pPr>
      <w:r w:rsidRPr="00EE09D0">
        <w:t>Section 3</w:t>
      </w:r>
      <w:r>
        <w:t xml:space="preserve">.  </w:t>
      </w:r>
      <w:r w:rsidRPr="00EE09D0">
        <w:t xml:space="preserve">Parking and vehicular access, </w:t>
      </w:r>
      <w:r w:rsidRPr="009E554C">
        <w:t>3.1.5 Schedules of parking provision rates for residential zones</w:t>
      </w:r>
    </w:p>
    <w:p w:rsidR="00FC3C46" w:rsidRDefault="00FC3C46" w:rsidP="00FC3C46">
      <w:pPr>
        <w:ind w:left="720"/>
        <w:rPr>
          <w:rFonts w:cs="Arial"/>
          <w:i/>
        </w:rPr>
      </w:pPr>
    </w:p>
    <w:p w:rsidR="00FC3C46" w:rsidRPr="00DF7B07" w:rsidRDefault="00FC3C46" w:rsidP="001C7DA6">
      <w:pPr>
        <w:pStyle w:val="TAeditorialinstructions"/>
      </w:pPr>
      <w:r>
        <w:t>Substitute wording in section 3.1.5 Schedule 1 – Residential zones for Apartment, Attached house and Detached house as indicated below</w:t>
      </w:r>
    </w:p>
    <w:p w:rsidR="00FC3C46" w:rsidRDefault="00FC3C46" w:rsidP="00FC3C46">
      <w:pPr>
        <w:autoSpaceDE w:val="0"/>
        <w:autoSpaceDN w:val="0"/>
        <w:adjustRightInd w:val="0"/>
        <w:jc w:val="both"/>
        <w:rPr>
          <w:rFonts w:cs="Arial"/>
          <w:sz w:val="20"/>
          <w:highlight w:val="yellow"/>
        </w:rPr>
      </w:pPr>
    </w:p>
    <w:p w:rsidR="00FC3C46" w:rsidRPr="00C450E4" w:rsidRDefault="00FC3C46" w:rsidP="00FC3C46">
      <w:pPr>
        <w:autoSpaceDE w:val="0"/>
        <w:autoSpaceDN w:val="0"/>
        <w:adjustRightInd w:val="0"/>
        <w:jc w:val="both"/>
        <w:rPr>
          <w:rFonts w:cs="Arial"/>
          <w:b/>
          <w:sz w:val="20"/>
          <w:highlight w:val="yellow"/>
        </w:rPr>
      </w:pPr>
    </w:p>
    <w:p w:rsidR="00FC3C46" w:rsidRPr="00C450E4" w:rsidRDefault="00FC3C46" w:rsidP="00FC3C46">
      <w:pPr>
        <w:pStyle w:val="TAbodytext"/>
        <w:pBdr>
          <w:bottom w:val="single" w:sz="4" w:space="1" w:color="auto"/>
        </w:pBdr>
        <w:rPr>
          <w:b/>
          <w:sz w:val="20"/>
          <w:szCs w:val="20"/>
        </w:rPr>
      </w:pPr>
      <w:r w:rsidRPr="00C450E4">
        <w:rPr>
          <w:b/>
          <w:sz w:val="20"/>
          <w:szCs w:val="20"/>
        </w:rPr>
        <w:t xml:space="preserve">Development </w:t>
      </w:r>
      <w:r>
        <w:rPr>
          <w:b/>
          <w:sz w:val="20"/>
          <w:szCs w:val="20"/>
        </w:rPr>
        <w:tab/>
      </w:r>
      <w:r>
        <w:rPr>
          <w:b/>
          <w:sz w:val="20"/>
          <w:szCs w:val="20"/>
        </w:rPr>
        <w:tab/>
      </w:r>
      <w:r>
        <w:rPr>
          <w:b/>
          <w:sz w:val="20"/>
          <w:szCs w:val="20"/>
        </w:rPr>
        <w:tab/>
      </w:r>
      <w:r w:rsidRPr="00C450E4">
        <w:rPr>
          <w:b/>
          <w:sz w:val="20"/>
          <w:szCs w:val="20"/>
        </w:rPr>
        <w:t>Parking provision rates for residential zones</w:t>
      </w:r>
    </w:p>
    <w:p w:rsidR="00FC3C46" w:rsidRDefault="00FC3C46" w:rsidP="00FC3C46">
      <w:pPr>
        <w:pStyle w:val="TAbodytext"/>
        <w:rPr>
          <w:sz w:val="20"/>
          <w:szCs w:val="20"/>
        </w:rPr>
      </w:pPr>
      <w:r w:rsidRPr="00700547">
        <w:rPr>
          <w:sz w:val="20"/>
          <w:szCs w:val="20"/>
        </w:rPr>
        <w:t>Apartment</w:t>
      </w:r>
      <w:r w:rsidRPr="003E4E00">
        <w:rPr>
          <w:sz w:val="20"/>
          <w:szCs w:val="20"/>
        </w:rPr>
        <w:t xml:space="preserve"> </w:t>
      </w:r>
      <w:r>
        <w:rPr>
          <w:sz w:val="20"/>
          <w:szCs w:val="20"/>
        </w:rPr>
        <w:tab/>
      </w:r>
      <w:r>
        <w:rPr>
          <w:sz w:val="20"/>
          <w:szCs w:val="20"/>
        </w:rPr>
        <w:tab/>
      </w:r>
      <w:r>
        <w:rPr>
          <w:sz w:val="20"/>
          <w:szCs w:val="20"/>
        </w:rPr>
        <w:tab/>
      </w:r>
      <w:r w:rsidRPr="00700547">
        <w:rPr>
          <w:sz w:val="20"/>
          <w:szCs w:val="20"/>
        </w:rPr>
        <w:t xml:space="preserve">One (1) parking space per single bedroom dwelling; </w:t>
      </w:r>
    </w:p>
    <w:p w:rsidR="00FC3C46" w:rsidRDefault="00FC3C46" w:rsidP="00FC3C46">
      <w:pPr>
        <w:pStyle w:val="TAbodytext"/>
        <w:rPr>
          <w:sz w:val="20"/>
          <w:szCs w:val="20"/>
        </w:rPr>
      </w:pPr>
      <w:r>
        <w:rPr>
          <w:sz w:val="20"/>
          <w:szCs w:val="20"/>
        </w:rPr>
        <w:tab/>
      </w:r>
      <w:r>
        <w:rPr>
          <w:sz w:val="20"/>
          <w:szCs w:val="20"/>
        </w:rPr>
        <w:tab/>
      </w:r>
      <w:r>
        <w:rPr>
          <w:sz w:val="20"/>
          <w:szCs w:val="20"/>
        </w:rPr>
        <w:tab/>
      </w:r>
      <w:r>
        <w:rPr>
          <w:sz w:val="20"/>
          <w:szCs w:val="20"/>
        </w:rPr>
        <w:tab/>
      </w:r>
      <w:r w:rsidRPr="00700547">
        <w:rPr>
          <w:sz w:val="20"/>
          <w:szCs w:val="20"/>
        </w:rPr>
        <w:t>and</w:t>
      </w:r>
    </w:p>
    <w:p w:rsidR="00FC3C46" w:rsidRDefault="00FC3C46" w:rsidP="00FC3C46">
      <w:pPr>
        <w:pStyle w:val="TAbodytext"/>
        <w:rPr>
          <w:sz w:val="20"/>
          <w:szCs w:val="20"/>
        </w:rPr>
      </w:pPr>
      <w:r>
        <w:rPr>
          <w:sz w:val="20"/>
          <w:szCs w:val="20"/>
        </w:rPr>
        <w:tab/>
      </w:r>
      <w:r>
        <w:rPr>
          <w:sz w:val="20"/>
          <w:szCs w:val="20"/>
        </w:rPr>
        <w:tab/>
      </w:r>
      <w:r>
        <w:rPr>
          <w:sz w:val="20"/>
          <w:szCs w:val="20"/>
        </w:rPr>
        <w:tab/>
      </w:r>
      <w:r>
        <w:rPr>
          <w:sz w:val="20"/>
          <w:szCs w:val="20"/>
        </w:rPr>
        <w:tab/>
      </w:r>
      <w:r w:rsidRPr="00700547">
        <w:rPr>
          <w:sz w:val="20"/>
          <w:szCs w:val="20"/>
        </w:rPr>
        <w:t>A minimum average provision of 1.5 spaces per two</w:t>
      </w:r>
      <w:r>
        <w:rPr>
          <w:sz w:val="20"/>
          <w:szCs w:val="20"/>
        </w:rPr>
        <w:t xml:space="preserve"> </w:t>
      </w:r>
      <w:r w:rsidRPr="00700547">
        <w:rPr>
          <w:sz w:val="20"/>
          <w:szCs w:val="20"/>
        </w:rPr>
        <w:t>bedroom</w:t>
      </w:r>
      <w:r>
        <w:rPr>
          <w:sz w:val="20"/>
          <w:szCs w:val="20"/>
        </w:rPr>
        <w:t xml:space="preserve"> </w:t>
      </w:r>
    </w:p>
    <w:p w:rsidR="00FC3C46" w:rsidRDefault="00FC3C46" w:rsidP="00FC3C46">
      <w:pPr>
        <w:pStyle w:val="TAbodytext"/>
        <w:rPr>
          <w:sz w:val="20"/>
          <w:szCs w:val="20"/>
        </w:rPr>
      </w:pPr>
      <w:r>
        <w:rPr>
          <w:sz w:val="20"/>
          <w:szCs w:val="20"/>
        </w:rPr>
        <w:tab/>
      </w:r>
      <w:r>
        <w:rPr>
          <w:sz w:val="20"/>
          <w:szCs w:val="20"/>
        </w:rPr>
        <w:tab/>
      </w:r>
      <w:r>
        <w:rPr>
          <w:sz w:val="20"/>
          <w:szCs w:val="20"/>
        </w:rPr>
        <w:tab/>
      </w:r>
      <w:r>
        <w:rPr>
          <w:sz w:val="20"/>
          <w:szCs w:val="20"/>
        </w:rPr>
        <w:tab/>
      </w:r>
      <w:r w:rsidRPr="00700547">
        <w:rPr>
          <w:sz w:val="20"/>
          <w:szCs w:val="20"/>
        </w:rPr>
        <w:t>dwelling, provided that each two</w:t>
      </w:r>
      <w:r>
        <w:rPr>
          <w:sz w:val="20"/>
          <w:szCs w:val="20"/>
        </w:rPr>
        <w:t xml:space="preserve"> b</w:t>
      </w:r>
      <w:r w:rsidRPr="00700547">
        <w:rPr>
          <w:sz w:val="20"/>
          <w:szCs w:val="20"/>
        </w:rPr>
        <w:t>edroom</w:t>
      </w:r>
      <w:r>
        <w:rPr>
          <w:sz w:val="20"/>
          <w:szCs w:val="20"/>
        </w:rPr>
        <w:t xml:space="preserve"> </w:t>
      </w:r>
      <w:r w:rsidRPr="00700547">
        <w:rPr>
          <w:sz w:val="20"/>
          <w:szCs w:val="20"/>
        </w:rPr>
        <w:t>dwelling</w:t>
      </w:r>
      <w:r>
        <w:rPr>
          <w:sz w:val="20"/>
          <w:szCs w:val="20"/>
        </w:rPr>
        <w:t xml:space="preserve"> is</w:t>
      </w:r>
      <w:r w:rsidRPr="00700547">
        <w:rPr>
          <w:sz w:val="20"/>
          <w:szCs w:val="20"/>
        </w:rPr>
        <w:t xml:space="preserve"> allocated a</w:t>
      </w:r>
    </w:p>
    <w:p w:rsidR="00FC3C46" w:rsidRDefault="00FC3C46" w:rsidP="00FC3C46">
      <w:pPr>
        <w:pStyle w:val="TAbodytext"/>
        <w:rPr>
          <w:sz w:val="20"/>
          <w:szCs w:val="20"/>
        </w:rPr>
      </w:pPr>
      <w:r>
        <w:rPr>
          <w:sz w:val="20"/>
          <w:szCs w:val="20"/>
        </w:rPr>
        <w:tab/>
      </w:r>
      <w:r>
        <w:rPr>
          <w:sz w:val="20"/>
          <w:szCs w:val="20"/>
        </w:rPr>
        <w:tab/>
      </w:r>
      <w:r>
        <w:rPr>
          <w:sz w:val="20"/>
          <w:szCs w:val="20"/>
        </w:rPr>
        <w:tab/>
      </w:r>
      <w:r>
        <w:rPr>
          <w:sz w:val="20"/>
          <w:szCs w:val="20"/>
        </w:rPr>
        <w:tab/>
      </w:r>
      <w:r w:rsidRPr="00700547">
        <w:rPr>
          <w:sz w:val="20"/>
          <w:szCs w:val="20"/>
        </w:rPr>
        <w:t>minimum of one (1) parking space and</w:t>
      </w:r>
      <w:r>
        <w:rPr>
          <w:sz w:val="20"/>
          <w:szCs w:val="20"/>
        </w:rPr>
        <w:t xml:space="preserve"> each</w:t>
      </w:r>
      <w:r w:rsidRPr="00700547">
        <w:rPr>
          <w:sz w:val="20"/>
          <w:szCs w:val="20"/>
        </w:rPr>
        <w:t xml:space="preserve"> two</w:t>
      </w:r>
      <w:r>
        <w:rPr>
          <w:sz w:val="20"/>
          <w:szCs w:val="20"/>
        </w:rPr>
        <w:t xml:space="preserve"> (2) bedroom</w:t>
      </w:r>
    </w:p>
    <w:p w:rsidR="00FC3C46" w:rsidRPr="00700547" w:rsidRDefault="00FC3C46" w:rsidP="00FC3C46">
      <w:pPr>
        <w:pStyle w:val="TAbodytext"/>
        <w:rPr>
          <w:sz w:val="20"/>
          <w:szCs w:val="20"/>
        </w:rPr>
      </w:pPr>
      <w:r>
        <w:rPr>
          <w:sz w:val="20"/>
          <w:szCs w:val="20"/>
        </w:rPr>
        <w:tab/>
      </w:r>
      <w:r>
        <w:rPr>
          <w:sz w:val="20"/>
          <w:szCs w:val="20"/>
        </w:rPr>
        <w:tab/>
      </w:r>
      <w:r>
        <w:rPr>
          <w:sz w:val="20"/>
          <w:szCs w:val="20"/>
        </w:rPr>
        <w:tab/>
      </w:r>
      <w:r>
        <w:rPr>
          <w:sz w:val="20"/>
          <w:szCs w:val="20"/>
        </w:rPr>
        <w:tab/>
        <w:t xml:space="preserve">dwelling is </w:t>
      </w:r>
      <w:r w:rsidRPr="00700547">
        <w:rPr>
          <w:sz w:val="20"/>
          <w:szCs w:val="20"/>
        </w:rPr>
        <w:t xml:space="preserve">allocated </w:t>
      </w:r>
      <w:r>
        <w:rPr>
          <w:sz w:val="20"/>
          <w:szCs w:val="20"/>
        </w:rPr>
        <w:t xml:space="preserve">no </w:t>
      </w:r>
      <w:r w:rsidRPr="00700547">
        <w:rPr>
          <w:sz w:val="20"/>
          <w:szCs w:val="20"/>
        </w:rPr>
        <w:t>more than two (2)</w:t>
      </w:r>
      <w:r>
        <w:rPr>
          <w:sz w:val="20"/>
          <w:szCs w:val="20"/>
        </w:rPr>
        <w:t xml:space="preserve"> </w:t>
      </w:r>
      <w:r w:rsidRPr="00700547">
        <w:rPr>
          <w:sz w:val="20"/>
          <w:szCs w:val="20"/>
        </w:rPr>
        <w:t>parking spaces;</w:t>
      </w:r>
    </w:p>
    <w:p w:rsidR="00FC3C46" w:rsidRPr="00700547" w:rsidRDefault="00FC3C46" w:rsidP="00FC3C46">
      <w:pPr>
        <w:pStyle w:val="TAbodytext"/>
        <w:rPr>
          <w:sz w:val="20"/>
          <w:szCs w:val="20"/>
        </w:rPr>
      </w:pPr>
      <w:r>
        <w:rPr>
          <w:sz w:val="20"/>
          <w:szCs w:val="20"/>
        </w:rPr>
        <w:tab/>
      </w:r>
      <w:r>
        <w:rPr>
          <w:sz w:val="20"/>
          <w:szCs w:val="20"/>
        </w:rPr>
        <w:tab/>
      </w:r>
      <w:r>
        <w:rPr>
          <w:sz w:val="20"/>
          <w:szCs w:val="20"/>
        </w:rPr>
        <w:tab/>
      </w:r>
      <w:r>
        <w:rPr>
          <w:sz w:val="20"/>
          <w:szCs w:val="20"/>
        </w:rPr>
        <w:tab/>
      </w:r>
      <w:r w:rsidRPr="00700547">
        <w:rPr>
          <w:sz w:val="20"/>
          <w:szCs w:val="20"/>
        </w:rPr>
        <w:t>or</w:t>
      </w:r>
    </w:p>
    <w:p w:rsidR="00FC3C46" w:rsidRDefault="00FC3C46" w:rsidP="00FC3C46">
      <w:pPr>
        <w:pStyle w:val="TAbodytext"/>
        <w:rPr>
          <w:sz w:val="20"/>
          <w:szCs w:val="20"/>
        </w:rPr>
      </w:pPr>
      <w:r>
        <w:rPr>
          <w:sz w:val="20"/>
          <w:szCs w:val="20"/>
        </w:rPr>
        <w:tab/>
      </w:r>
      <w:r>
        <w:rPr>
          <w:sz w:val="20"/>
          <w:szCs w:val="20"/>
        </w:rPr>
        <w:tab/>
      </w:r>
      <w:r>
        <w:rPr>
          <w:sz w:val="20"/>
          <w:szCs w:val="20"/>
        </w:rPr>
        <w:tab/>
      </w:r>
      <w:r>
        <w:rPr>
          <w:sz w:val="20"/>
          <w:szCs w:val="20"/>
        </w:rPr>
        <w:tab/>
      </w:r>
      <w:r w:rsidRPr="00700547">
        <w:rPr>
          <w:sz w:val="20"/>
          <w:szCs w:val="20"/>
        </w:rPr>
        <w:t xml:space="preserve">Two </w:t>
      </w:r>
      <w:r>
        <w:rPr>
          <w:sz w:val="20"/>
          <w:szCs w:val="20"/>
        </w:rPr>
        <w:t xml:space="preserve">(2) </w:t>
      </w:r>
      <w:r w:rsidRPr="00700547">
        <w:rPr>
          <w:sz w:val="20"/>
          <w:szCs w:val="20"/>
        </w:rPr>
        <w:t xml:space="preserve">parking spaces per two bedroom dwelling; </w:t>
      </w:r>
    </w:p>
    <w:p w:rsidR="00FC3C46" w:rsidRDefault="00FC3C46" w:rsidP="00FC3C46">
      <w:pPr>
        <w:pStyle w:val="TAbodytext"/>
        <w:rPr>
          <w:sz w:val="20"/>
          <w:szCs w:val="20"/>
        </w:rPr>
      </w:pPr>
      <w:r>
        <w:rPr>
          <w:sz w:val="20"/>
          <w:szCs w:val="20"/>
        </w:rPr>
        <w:tab/>
      </w:r>
      <w:r>
        <w:rPr>
          <w:sz w:val="20"/>
          <w:szCs w:val="20"/>
        </w:rPr>
        <w:tab/>
      </w:r>
      <w:r>
        <w:rPr>
          <w:sz w:val="20"/>
          <w:szCs w:val="20"/>
        </w:rPr>
        <w:tab/>
      </w:r>
      <w:r>
        <w:rPr>
          <w:sz w:val="20"/>
          <w:szCs w:val="20"/>
        </w:rPr>
        <w:tab/>
      </w:r>
      <w:r w:rsidRPr="00700547">
        <w:rPr>
          <w:sz w:val="20"/>
          <w:szCs w:val="20"/>
        </w:rPr>
        <w:t>and</w:t>
      </w:r>
    </w:p>
    <w:p w:rsidR="00FC3C46" w:rsidRDefault="00FC3C46" w:rsidP="00FC3C46">
      <w:pPr>
        <w:pStyle w:val="TAbodytext"/>
        <w:rPr>
          <w:sz w:val="20"/>
          <w:szCs w:val="20"/>
        </w:rPr>
      </w:pPr>
      <w:r>
        <w:rPr>
          <w:sz w:val="20"/>
          <w:szCs w:val="20"/>
        </w:rPr>
        <w:tab/>
      </w:r>
      <w:r>
        <w:rPr>
          <w:sz w:val="20"/>
          <w:szCs w:val="20"/>
        </w:rPr>
        <w:tab/>
      </w:r>
      <w:r>
        <w:rPr>
          <w:sz w:val="20"/>
          <w:szCs w:val="20"/>
        </w:rPr>
        <w:tab/>
      </w:r>
      <w:r>
        <w:rPr>
          <w:sz w:val="20"/>
          <w:szCs w:val="20"/>
        </w:rPr>
        <w:tab/>
      </w:r>
      <w:r w:rsidRPr="00700547">
        <w:rPr>
          <w:sz w:val="20"/>
          <w:szCs w:val="20"/>
        </w:rPr>
        <w:t>Two (2) parking spaces for each dwelling with three or more</w:t>
      </w:r>
    </w:p>
    <w:p w:rsidR="00FC3C46" w:rsidRPr="00700547" w:rsidRDefault="00FC3C46" w:rsidP="00FC3C46">
      <w:pPr>
        <w:pStyle w:val="TAbodytext"/>
        <w:rPr>
          <w:sz w:val="20"/>
          <w:szCs w:val="20"/>
        </w:rPr>
      </w:pPr>
      <w:r>
        <w:rPr>
          <w:sz w:val="20"/>
          <w:szCs w:val="20"/>
        </w:rPr>
        <w:tab/>
      </w:r>
      <w:r>
        <w:rPr>
          <w:sz w:val="20"/>
          <w:szCs w:val="20"/>
        </w:rPr>
        <w:tab/>
      </w:r>
      <w:r>
        <w:rPr>
          <w:sz w:val="20"/>
          <w:szCs w:val="20"/>
        </w:rPr>
        <w:tab/>
      </w:r>
      <w:r>
        <w:rPr>
          <w:sz w:val="20"/>
          <w:szCs w:val="20"/>
        </w:rPr>
        <w:tab/>
      </w:r>
      <w:r w:rsidRPr="00700547">
        <w:rPr>
          <w:sz w:val="20"/>
          <w:szCs w:val="20"/>
        </w:rPr>
        <w:t>bedrooms;</w:t>
      </w:r>
    </w:p>
    <w:p w:rsidR="00FC3C46" w:rsidRDefault="00FC3C46" w:rsidP="00FC3C46">
      <w:pPr>
        <w:pStyle w:val="TAbodytext"/>
        <w:rPr>
          <w:sz w:val="20"/>
          <w:szCs w:val="20"/>
        </w:rPr>
      </w:pPr>
      <w:r>
        <w:rPr>
          <w:sz w:val="20"/>
          <w:szCs w:val="20"/>
        </w:rPr>
        <w:tab/>
      </w:r>
      <w:r>
        <w:rPr>
          <w:sz w:val="20"/>
          <w:szCs w:val="20"/>
        </w:rPr>
        <w:tab/>
      </w:r>
      <w:r>
        <w:rPr>
          <w:sz w:val="20"/>
          <w:szCs w:val="20"/>
        </w:rPr>
        <w:tab/>
      </w:r>
      <w:r>
        <w:rPr>
          <w:sz w:val="20"/>
          <w:szCs w:val="20"/>
        </w:rPr>
        <w:tab/>
      </w:r>
      <w:r w:rsidRPr="00700547">
        <w:rPr>
          <w:sz w:val="20"/>
          <w:szCs w:val="20"/>
        </w:rPr>
        <w:t>plus</w:t>
      </w:r>
    </w:p>
    <w:p w:rsidR="00FC3C46" w:rsidRDefault="00FC3C46" w:rsidP="00FC3C46">
      <w:pPr>
        <w:pStyle w:val="TAbodytext"/>
        <w:rPr>
          <w:sz w:val="20"/>
          <w:szCs w:val="20"/>
        </w:rPr>
      </w:pPr>
      <w:r>
        <w:rPr>
          <w:sz w:val="20"/>
          <w:szCs w:val="20"/>
        </w:rPr>
        <w:tab/>
      </w:r>
      <w:r>
        <w:rPr>
          <w:sz w:val="20"/>
          <w:szCs w:val="20"/>
        </w:rPr>
        <w:tab/>
      </w:r>
      <w:r>
        <w:rPr>
          <w:sz w:val="20"/>
          <w:szCs w:val="20"/>
        </w:rPr>
        <w:tab/>
      </w:r>
      <w:r>
        <w:rPr>
          <w:sz w:val="20"/>
          <w:szCs w:val="20"/>
        </w:rPr>
        <w:tab/>
      </w:r>
      <w:r w:rsidRPr="00700547">
        <w:rPr>
          <w:sz w:val="20"/>
          <w:szCs w:val="20"/>
        </w:rPr>
        <w:t>One</w:t>
      </w:r>
      <w:r>
        <w:rPr>
          <w:sz w:val="20"/>
          <w:szCs w:val="20"/>
        </w:rPr>
        <w:t xml:space="preserve"> </w:t>
      </w:r>
      <w:r w:rsidRPr="00700547">
        <w:rPr>
          <w:sz w:val="20"/>
          <w:szCs w:val="20"/>
        </w:rPr>
        <w:t xml:space="preserve">(1) visitor space per four (4) dwellings or part thereof </w:t>
      </w:r>
    </w:p>
    <w:p w:rsidR="00FC3C46" w:rsidRDefault="00FC3C46" w:rsidP="00FC3C46">
      <w:pPr>
        <w:pStyle w:val="TAbodytext"/>
        <w:rPr>
          <w:sz w:val="20"/>
          <w:szCs w:val="20"/>
        </w:rPr>
      </w:pPr>
      <w:r>
        <w:rPr>
          <w:sz w:val="20"/>
          <w:szCs w:val="20"/>
        </w:rPr>
        <w:tab/>
      </w:r>
      <w:r>
        <w:rPr>
          <w:sz w:val="20"/>
          <w:szCs w:val="20"/>
        </w:rPr>
        <w:tab/>
      </w:r>
      <w:r>
        <w:rPr>
          <w:sz w:val="20"/>
          <w:szCs w:val="20"/>
        </w:rPr>
        <w:tab/>
      </w:r>
      <w:r>
        <w:rPr>
          <w:sz w:val="20"/>
          <w:szCs w:val="20"/>
        </w:rPr>
        <w:tab/>
        <w:t>w</w:t>
      </w:r>
      <w:r w:rsidRPr="00700547">
        <w:rPr>
          <w:sz w:val="20"/>
          <w:szCs w:val="20"/>
        </w:rPr>
        <w:t>here a complex comprises four (4) or more dwellings</w:t>
      </w:r>
    </w:p>
    <w:p w:rsidR="00FC3C46" w:rsidRDefault="00FC3C46" w:rsidP="00FC3C46">
      <w:pPr>
        <w:pStyle w:val="TAbodytext"/>
        <w:rPr>
          <w:sz w:val="20"/>
          <w:szCs w:val="20"/>
        </w:rPr>
      </w:pPr>
      <w:r w:rsidRPr="00700547">
        <w:rPr>
          <w:sz w:val="20"/>
          <w:szCs w:val="20"/>
        </w:rPr>
        <w:t>Attached house</w:t>
      </w:r>
      <w:r>
        <w:rPr>
          <w:sz w:val="20"/>
          <w:szCs w:val="20"/>
        </w:rPr>
        <w:tab/>
      </w:r>
      <w:r>
        <w:rPr>
          <w:sz w:val="20"/>
          <w:szCs w:val="20"/>
        </w:rPr>
        <w:tab/>
      </w:r>
      <w:r>
        <w:rPr>
          <w:sz w:val="20"/>
          <w:szCs w:val="20"/>
        </w:rPr>
        <w:tab/>
      </w:r>
      <w:r w:rsidRPr="00700547">
        <w:rPr>
          <w:sz w:val="20"/>
          <w:szCs w:val="20"/>
        </w:rPr>
        <w:t xml:space="preserve">One (1) parking space per single bedroom dwelling; </w:t>
      </w:r>
    </w:p>
    <w:p w:rsidR="00FC3C46" w:rsidRDefault="00FC3C46" w:rsidP="00FC3C46">
      <w:pPr>
        <w:pStyle w:val="TAbodytext"/>
        <w:rPr>
          <w:sz w:val="20"/>
          <w:szCs w:val="20"/>
        </w:rPr>
      </w:pPr>
      <w:r>
        <w:rPr>
          <w:sz w:val="20"/>
          <w:szCs w:val="20"/>
        </w:rPr>
        <w:tab/>
      </w:r>
      <w:r>
        <w:rPr>
          <w:sz w:val="20"/>
          <w:szCs w:val="20"/>
        </w:rPr>
        <w:tab/>
      </w:r>
      <w:r>
        <w:rPr>
          <w:sz w:val="20"/>
          <w:szCs w:val="20"/>
        </w:rPr>
        <w:tab/>
      </w:r>
      <w:r>
        <w:rPr>
          <w:sz w:val="20"/>
          <w:szCs w:val="20"/>
        </w:rPr>
        <w:tab/>
      </w:r>
      <w:r w:rsidRPr="00700547">
        <w:rPr>
          <w:sz w:val="20"/>
          <w:szCs w:val="20"/>
        </w:rPr>
        <w:t>and</w:t>
      </w:r>
    </w:p>
    <w:p w:rsidR="00FC3C46" w:rsidRDefault="00FC3C46" w:rsidP="00FC3C46">
      <w:pPr>
        <w:pStyle w:val="TAbodytext"/>
        <w:rPr>
          <w:sz w:val="20"/>
          <w:szCs w:val="20"/>
        </w:rPr>
      </w:pPr>
      <w:r>
        <w:rPr>
          <w:sz w:val="20"/>
          <w:szCs w:val="20"/>
        </w:rPr>
        <w:tab/>
      </w:r>
      <w:r>
        <w:rPr>
          <w:sz w:val="20"/>
          <w:szCs w:val="20"/>
        </w:rPr>
        <w:tab/>
      </w:r>
      <w:r>
        <w:rPr>
          <w:sz w:val="20"/>
          <w:szCs w:val="20"/>
        </w:rPr>
        <w:tab/>
      </w:r>
      <w:r>
        <w:rPr>
          <w:sz w:val="20"/>
          <w:szCs w:val="20"/>
        </w:rPr>
        <w:tab/>
      </w:r>
      <w:r w:rsidRPr="00700547">
        <w:rPr>
          <w:sz w:val="20"/>
          <w:szCs w:val="20"/>
        </w:rPr>
        <w:t>A minimum average provision of 1.5 spaces per two</w:t>
      </w:r>
      <w:r>
        <w:rPr>
          <w:sz w:val="20"/>
          <w:szCs w:val="20"/>
        </w:rPr>
        <w:t xml:space="preserve"> </w:t>
      </w:r>
      <w:r w:rsidRPr="00700547">
        <w:rPr>
          <w:sz w:val="20"/>
          <w:szCs w:val="20"/>
        </w:rPr>
        <w:t>bedroom</w:t>
      </w:r>
      <w:r>
        <w:rPr>
          <w:sz w:val="20"/>
          <w:szCs w:val="20"/>
        </w:rPr>
        <w:t xml:space="preserve"> </w:t>
      </w:r>
    </w:p>
    <w:p w:rsidR="00FC3C46" w:rsidRDefault="00FC3C46" w:rsidP="00FC3C46">
      <w:pPr>
        <w:pStyle w:val="TAbodytext"/>
        <w:rPr>
          <w:sz w:val="20"/>
          <w:szCs w:val="20"/>
        </w:rPr>
      </w:pPr>
      <w:r>
        <w:rPr>
          <w:sz w:val="20"/>
          <w:szCs w:val="20"/>
        </w:rPr>
        <w:tab/>
      </w:r>
      <w:r>
        <w:rPr>
          <w:sz w:val="20"/>
          <w:szCs w:val="20"/>
        </w:rPr>
        <w:tab/>
      </w:r>
      <w:r>
        <w:rPr>
          <w:sz w:val="20"/>
          <w:szCs w:val="20"/>
        </w:rPr>
        <w:tab/>
      </w:r>
      <w:r>
        <w:rPr>
          <w:sz w:val="20"/>
          <w:szCs w:val="20"/>
        </w:rPr>
        <w:tab/>
      </w:r>
      <w:r w:rsidRPr="00700547">
        <w:rPr>
          <w:sz w:val="20"/>
          <w:szCs w:val="20"/>
        </w:rPr>
        <w:t>dwelling, provided that each two</w:t>
      </w:r>
      <w:r>
        <w:rPr>
          <w:sz w:val="20"/>
          <w:szCs w:val="20"/>
        </w:rPr>
        <w:t xml:space="preserve"> b</w:t>
      </w:r>
      <w:r w:rsidRPr="00700547">
        <w:rPr>
          <w:sz w:val="20"/>
          <w:szCs w:val="20"/>
        </w:rPr>
        <w:t>edroom</w:t>
      </w:r>
      <w:r>
        <w:rPr>
          <w:sz w:val="20"/>
          <w:szCs w:val="20"/>
        </w:rPr>
        <w:t xml:space="preserve"> </w:t>
      </w:r>
      <w:r w:rsidRPr="00700547">
        <w:rPr>
          <w:sz w:val="20"/>
          <w:szCs w:val="20"/>
        </w:rPr>
        <w:t>dwelling</w:t>
      </w:r>
      <w:r>
        <w:rPr>
          <w:sz w:val="20"/>
          <w:szCs w:val="20"/>
        </w:rPr>
        <w:t xml:space="preserve"> is</w:t>
      </w:r>
      <w:r w:rsidRPr="00700547">
        <w:rPr>
          <w:sz w:val="20"/>
          <w:szCs w:val="20"/>
        </w:rPr>
        <w:t xml:space="preserve"> allocated a</w:t>
      </w:r>
    </w:p>
    <w:p w:rsidR="00FC3C46" w:rsidRDefault="00FC3C46" w:rsidP="00FC3C46">
      <w:pPr>
        <w:pStyle w:val="TAbodytext"/>
        <w:rPr>
          <w:sz w:val="20"/>
          <w:szCs w:val="20"/>
        </w:rPr>
      </w:pPr>
      <w:r>
        <w:rPr>
          <w:sz w:val="20"/>
          <w:szCs w:val="20"/>
        </w:rPr>
        <w:tab/>
      </w:r>
      <w:r>
        <w:rPr>
          <w:sz w:val="20"/>
          <w:szCs w:val="20"/>
        </w:rPr>
        <w:tab/>
      </w:r>
      <w:r>
        <w:rPr>
          <w:sz w:val="20"/>
          <w:szCs w:val="20"/>
        </w:rPr>
        <w:tab/>
      </w:r>
      <w:r>
        <w:rPr>
          <w:sz w:val="20"/>
          <w:szCs w:val="20"/>
        </w:rPr>
        <w:tab/>
      </w:r>
      <w:r w:rsidRPr="00700547">
        <w:rPr>
          <w:sz w:val="20"/>
          <w:szCs w:val="20"/>
        </w:rPr>
        <w:t>minimum of one (1) parking space and</w:t>
      </w:r>
      <w:r>
        <w:rPr>
          <w:sz w:val="20"/>
          <w:szCs w:val="20"/>
        </w:rPr>
        <w:t xml:space="preserve"> each</w:t>
      </w:r>
      <w:r w:rsidRPr="00700547">
        <w:rPr>
          <w:sz w:val="20"/>
          <w:szCs w:val="20"/>
        </w:rPr>
        <w:t xml:space="preserve"> two</w:t>
      </w:r>
      <w:r>
        <w:rPr>
          <w:sz w:val="20"/>
          <w:szCs w:val="20"/>
        </w:rPr>
        <w:t xml:space="preserve"> (2) bedroom</w:t>
      </w:r>
    </w:p>
    <w:p w:rsidR="00FC3C46" w:rsidRPr="00700547" w:rsidRDefault="00FC3C46" w:rsidP="00FC3C46">
      <w:pPr>
        <w:pStyle w:val="TAbodytext"/>
        <w:rPr>
          <w:sz w:val="20"/>
          <w:szCs w:val="20"/>
        </w:rPr>
      </w:pPr>
      <w:r>
        <w:rPr>
          <w:sz w:val="20"/>
          <w:szCs w:val="20"/>
        </w:rPr>
        <w:tab/>
      </w:r>
      <w:r>
        <w:rPr>
          <w:sz w:val="20"/>
          <w:szCs w:val="20"/>
        </w:rPr>
        <w:tab/>
      </w:r>
      <w:r>
        <w:rPr>
          <w:sz w:val="20"/>
          <w:szCs w:val="20"/>
        </w:rPr>
        <w:tab/>
      </w:r>
      <w:r>
        <w:rPr>
          <w:sz w:val="20"/>
          <w:szCs w:val="20"/>
        </w:rPr>
        <w:tab/>
        <w:t xml:space="preserve">dwelling is </w:t>
      </w:r>
      <w:r w:rsidRPr="00700547">
        <w:rPr>
          <w:sz w:val="20"/>
          <w:szCs w:val="20"/>
        </w:rPr>
        <w:t xml:space="preserve">allocated </w:t>
      </w:r>
      <w:r>
        <w:rPr>
          <w:sz w:val="20"/>
          <w:szCs w:val="20"/>
        </w:rPr>
        <w:t xml:space="preserve">no </w:t>
      </w:r>
      <w:r w:rsidRPr="00700547">
        <w:rPr>
          <w:sz w:val="20"/>
          <w:szCs w:val="20"/>
        </w:rPr>
        <w:t>more than two (2)</w:t>
      </w:r>
      <w:r>
        <w:rPr>
          <w:sz w:val="20"/>
          <w:szCs w:val="20"/>
        </w:rPr>
        <w:t xml:space="preserve"> </w:t>
      </w:r>
      <w:r w:rsidRPr="00700547">
        <w:rPr>
          <w:sz w:val="20"/>
          <w:szCs w:val="20"/>
        </w:rPr>
        <w:t>parking spaces;</w:t>
      </w:r>
    </w:p>
    <w:p w:rsidR="00FC3C46" w:rsidRPr="00700547" w:rsidRDefault="00FC3C46" w:rsidP="00FC3C46">
      <w:pPr>
        <w:pStyle w:val="TAbodytext"/>
        <w:rPr>
          <w:sz w:val="20"/>
          <w:szCs w:val="20"/>
        </w:rPr>
      </w:pPr>
      <w:r>
        <w:rPr>
          <w:sz w:val="20"/>
          <w:szCs w:val="20"/>
        </w:rPr>
        <w:tab/>
      </w:r>
      <w:r>
        <w:rPr>
          <w:sz w:val="20"/>
          <w:szCs w:val="20"/>
        </w:rPr>
        <w:tab/>
      </w:r>
      <w:r>
        <w:rPr>
          <w:sz w:val="20"/>
          <w:szCs w:val="20"/>
        </w:rPr>
        <w:tab/>
      </w:r>
      <w:r>
        <w:rPr>
          <w:sz w:val="20"/>
          <w:szCs w:val="20"/>
        </w:rPr>
        <w:tab/>
      </w:r>
      <w:r w:rsidRPr="00700547">
        <w:rPr>
          <w:sz w:val="20"/>
          <w:szCs w:val="20"/>
        </w:rPr>
        <w:t>or</w:t>
      </w:r>
    </w:p>
    <w:p w:rsidR="00FC3C46" w:rsidRDefault="00FC3C46" w:rsidP="00FC3C46">
      <w:pPr>
        <w:pStyle w:val="TAbodytext"/>
        <w:rPr>
          <w:sz w:val="20"/>
          <w:szCs w:val="20"/>
        </w:rPr>
      </w:pPr>
      <w:r>
        <w:rPr>
          <w:sz w:val="20"/>
          <w:szCs w:val="20"/>
        </w:rPr>
        <w:tab/>
      </w:r>
      <w:r>
        <w:rPr>
          <w:sz w:val="20"/>
          <w:szCs w:val="20"/>
        </w:rPr>
        <w:tab/>
      </w:r>
      <w:r>
        <w:rPr>
          <w:sz w:val="20"/>
          <w:szCs w:val="20"/>
        </w:rPr>
        <w:tab/>
      </w:r>
      <w:r>
        <w:rPr>
          <w:sz w:val="20"/>
          <w:szCs w:val="20"/>
        </w:rPr>
        <w:tab/>
      </w:r>
      <w:r w:rsidRPr="00700547">
        <w:rPr>
          <w:sz w:val="20"/>
          <w:szCs w:val="20"/>
        </w:rPr>
        <w:t xml:space="preserve">Two </w:t>
      </w:r>
      <w:r>
        <w:rPr>
          <w:sz w:val="20"/>
          <w:szCs w:val="20"/>
        </w:rPr>
        <w:t xml:space="preserve">(2) </w:t>
      </w:r>
      <w:r w:rsidRPr="00700547">
        <w:rPr>
          <w:sz w:val="20"/>
          <w:szCs w:val="20"/>
        </w:rPr>
        <w:t xml:space="preserve">parking spaces per two bedroom dwelling; </w:t>
      </w:r>
    </w:p>
    <w:p w:rsidR="00FC3C46" w:rsidRDefault="00FC3C46" w:rsidP="00FC3C46">
      <w:pPr>
        <w:pStyle w:val="TAbodytext"/>
        <w:rPr>
          <w:sz w:val="20"/>
          <w:szCs w:val="20"/>
        </w:rPr>
      </w:pPr>
      <w:r>
        <w:rPr>
          <w:sz w:val="20"/>
          <w:szCs w:val="20"/>
        </w:rPr>
        <w:tab/>
      </w:r>
      <w:r>
        <w:rPr>
          <w:sz w:val="20"/>
          <w:szCs w:val="20"/>
        </w:rPr>
        <w:tab/>
      </w:r>
      <w:r>
        <w:rPr>
          <w:sz w:val="20"/>
          <w:szCs w:val="20"/>
        </w:rPr>
        <w:tab/>
      </w:r>
      <w:r>
        <w:rPr>
          <w:sz w:val="20"/>
          <w:szCs w:val="20"/>
        </w:rPr>
        <w:tab/>
      </w:r>
      <w:r w:rsidRPr="00700547">
        <w:rPr>
          <w:sz w:val="20"/>
          <w:szCs w:val="20"/>
        </w:rPr>
        <w:t>and</w:t>
      </w:r>
    </w:p>
    <w:p w:rsidR="00FC3C46" w:rsidRDefault="00FC3C46" w:rsidP="00FC3C46">
      <w:pPr>
        <w:pStyle w:val="TAbodytext"/>
        <w:rPr>
          <w:sz w:val="20"/>
          <w:szCs w:val="20"/>
        </w:rPr>
      </w:pPr>
      <w:r>
        <w:rPr>
          <w:sz w:val="20"/>
          <w:szCs w:val="20"/>
        </w:rPr>
        <w:tab/>
      </w:r>
      <w:r>
        <w:rPr>
          <w:sz w:val="20"/>
          <w:szCs w:val="20"/>
        </w:rPr>
        <w:tab/>
      </w:r>
      <w:r>
        <w:rPr>
          <w:sz w:val="20"/>
          <w:szCs w:val="20"/>
        </w:rPr>
        <w:tab/>
      </w:r>
      <w:r>
        <w:rPr>
          <w:sz w:val="20"/>
          <w:szCs w:val="20"/>
        </w:rPr>
        <w:tab/>
      </w:r>
      <w:r w:rsidRPr="00700547">
        <w:rPr>
          <w:sz w:val="20"/>
          <w:szCs w:val="20"/>
        </w:rPr>
        <w:t>Two (2) parking spaces for each dwelling with three or more</w:t>
      </w:r>
    </w:p>
    <w:p w:rsidR="00FC3C46" w:rsidRPr="00700547" w:rsidRDefault="00FC3C46" w:rsidP="00FC3C46">
      <w:pPr>
        <w:pStyle w:val="TAbodytext"/>
        <w:rPr>
          <w:sz w:val="20"/>
          <w:szCs w:val="20"/>
        </w:rPr>
      </w:pPr>
      <w:r>
        <w:rPr>
          <w:sz w:val="20"/>
          <w:szCs w:val="20"/>
        </w:rPr>
        <w:tab/>
      </w:r>
      <w:r>
        <w:rPr>
          <w:sz w:val="20"/>
          <w:szCs w:val="20"/>
        </w:rPr>
        <w:tab/>
      </w:r>
      <w:r>
        <w:rPr>
          <w:sz w:val="20"/>
          <w:szCs w:val="20"/>
        </w:rPr>
        <w:tab/>
      </w:r>
      <w:r>
        <w:rPr>
          <w:sz w:val="20"/>
          <w:szCs w:val="20"/>
        </w:rPr>
        <w:tab/>
      </w:r>
      <w:r w:rsidRPr="00700547">
        <w:rPr>
          <w:sz w:val="20"/>
          <w:szCs w:val="20"/>
        </w:rPr>
        <w:t>bedrooms;</w:t>
      </w:r>
    </w:p>
    <w:p w:rsidR="00FC3C46" w:rsidRDefault="00FC3C46" w:rsidP="00FC3C46">
      <w:pPr>
        <w:pStyle w:val="TAbodytext"/>
        <w:rPr>
          <w:sz w:val="20"/>
          <w:szCs w:val="20"/>
        </w:rPr>
      </w:pPr>
      <w:r>
        <w:rPr>
          <w:sz w:val="20"/>
          <w:szCs w:val="20"/>
        </w:rPr>
        <w:tab/>
      </w:r>
      <w:r>
        <w:rPr>
          <w:sz w:val="20"/>
          <w:szCs w:val="20"/>
        </w:rPr>
        <w:tab/>
      </w:r>
      <w:r>
        <w:rPr>
          <w:sz w:val="20"/>
          <w:szCs w:val="20"/>
        </w:rPr>
        <w:tab/>
      </w:r>
      <w:r>
        <w:rPr>
          <w:sz w:val="20"/>
          <w:szCs w:val="20"/>
        </w:rPr>
        <w:tab/>
      </w:r>
      <w:r w:rsidRPr="00700547">
        <w:rPr>
          <w:sz w:val="20"/>
          <w:szCs w:val="20"/>
        </w:rPr>
        <w:t>plus</w:t>
      </w:r>
    </w:p>
    <w:p w:rsidR="00FC3C46" w:rsidRDefault="00FC3C46" w:rsidP="00FC3C46">
      <w:pPr>
        <w:pStyle w:val="TAbodytext"/>
        <w:rPr>
          <w:sz w:val="20"/>
          <w:szCs w:val="20"/>
        </w:rPr>
      </w:pPr>
      <w:r>
        <w:rPr>
          <w:sz w:val="20"/>
          <w:szCs w:val="20"/>
        </w:rPr>
        <w:tab/>
      </w:r>
      <w:r>
        <w:rPr>
          <w:sz w:val="20"/>
          <w:szCs w:val="20"/>
        </w:rPr>
        <w:tab/>
      </w:r>
      <w:r>
        <w:rPr>
          <w:sz w:val="20"/>
          <w:szCs w:val="20"/>
        </w:rPr>
        <w:tab/>
      </w:r>
      <w:r>
        <w:rPr>
          <w:sz w:val="20"/>
          <w:szCs w:val="20"/>
        </w:rPr>
        <w:tab/>
      </w:r>
      <w:r w:rsidRPr="00700547">
        <w:rPr>
          <w:sz w:val="20"/>
          <w:szCs w:val="20"/>
        </w:rPr>
        <w:t>One</w:t>
      </w:r>
      <w:r>
        <w:rPr>
          <w:sz w:val="20"/>
          <w:szCs w:val="20"/>
        </w:rPr>
        <w:t xml:space="preserve"> </w:t>
      </w:r>
      <w:r w:rsidRPr="00700547">
        <w:rPr>
          <w:sz w:val="20"/>
          <w:szCs w:val="20"/>
        </w:rPr>
        <w:t xml:space="preserve">(1) visitor space per four (4) dwellings or part thereof </w:t>
      </w:r>
    </w:p>
    <w:p w:rsidR="00FC3C46" w:rsidRDefault="00FC3C46" w:rsidP="00FC3C46">
      <w:pPr>
        <w:pStyle w:val="TAbodytext"/>
        <w:rPr>
          <w:sz w:val="20"/>
          <w:szCs w:val="20"/>
        </w:rPr>
      </w:pPr>
      <w:r>
        <w:rPr>
          <w:sz w:val="20"/>
          <w:szCs w:val="20"/>
        </w:rPr>
        <w:tab/>
      </w:r>
      <w:r>
        <w:rPr>
          <w:sz w:val="20"/>
          <w:szCs w:val="20"/>
        </w:rPr>
        <w:tab/>
      </w:r>
      <w:r>
        <w:rPr>
          <w:sz w:val="20"/>
          <w:szCs w:val="20"/>
        </w:rPr>
        <w:tab/>
      </w:r>
      <w:r>
        <w:rPr>
          <w:sz w:val="20"/>
          <w:szCs w:val="20"/>
        </w:rPr>
        <w:tab/>
        <w:t>w</w:t>
      </w:r>
      <w:r w:rsidRPr="00700547">
        <w:rPr>
          <w:sz w:val="20"/>
          <w:szCs w:val="20"/>
        </w:rPr>
        <w:t>here a complex comprises four (4) or more dwellings</w:t>
      </w:r>
    </w:p>
    <w:p w:rsidR="00FC3C46" w:rsidRDefault="00FC3C46" w:rsidP="00FC3C46">
      <w:pPr>
        <w:pStyle w:val="TAbodytext"/>
        <w:rPr>
          <w:sz w:val="20"/>
          <w:szCs w:val="20"/>
        </w:rPr>
      </w:pPr>
      <w:r w:rsidRPr="00700547">
        <w:rPr>
          <w:sz w:val="20"/>
          <w:szCs w:val="20"/>
        </w:rPr>
        <w:t>Detached house</w:t>
      </w:r>
      <w:r>
        <w:rPr>
          <w:sz w:val="20"/>
          <w:szCs w:val="20"/>
        </w:rPr>
        <w:tab/>
      </w:r>
      <w:r>
        <w:rPr>
          <w:sz w:val="20"/>
          <w:szCs w:val="20"/>
        </w:rPr>
        <w:tab/>
      </w:r>
      <w:r w:rsidRPr="00700547">
        <w:rPr>
          <w:sz w:val="20"/>
          <w:szCs w:val="20"/>
        </w:rPr>
        <w:t xml:space="preserve">As per above, except that, for two </w:t>
      </w:r>
      <w:r>
        <w:rPr>
          <w:sz w:val="20"/>
          <w:szCs w:val="20"/>
        </w:rPr>
        <w:t xml:space="preserve">(2) </w:t>
      </w:r>
      <w:r w:rsidRPr="00700547">
        <w:rPr>
          <w:sz w:val="20"/>
          <w:szCs w:val="20"/>
        </w:rPr>
        <w:t>bedroom dwellings only, a</w:t>
      </w:r>
    </w:p>
    <w:p w:rsidR="00FC3C46" w:rsidRDefault="00FC3C46" w:rsidP="00FC3C46">
      <w:pPr>
        <w:pStyle w:val="TAbodytext"/>
        <w:rPr>
          <w:sz w:val="20"/>
          <w:szCs w:val="20"/>
        </w:rPr>
      </w:pPr>
      <w:r>
        <w:rPr>
          <w:sz w:val="20"/>
          <w:szCs w:val="20"/>
        </w:rPr>
        <w:tab/>
      </w:r>
      <w:r>
        <w:rPr>
          <w:sz w:val="20"/>
          <w:szCs w:val="20"/>
        </w:rPr>
        <w:tab/>
      </w:r>
      <w:r>
        <w:rPr>
          <w:sz w:val="20"/>
          <w:szCs w:val="20"/>
        </w:rPr>
        <w:tab/>
      </w:r>
      <w:r>
        <w:rPr>
          <w:sz w:val="20"/>
          <w:szCs w:val="20"/>
        </w:rPr>
        <w:tab/>
      </w:r>
      <w:r w:rsidRPr="00700547">
        <w:rPr>
          <w:sz w:val="20"/>
          <w:szCs w:val="20"/>
        </w:rPr>
        <w:t>minimum average provision of 1.5 spaces per dwelling, provided that</w:t>
      </w:r>
    </w:p>
    <w:p w:rsidR="00FC3C46" w:rsidRDefault="00FC3C46" w:rsidP="00FC3C46">
      <w:pPr>
        <w:pStyle w:val="TAbodytext"/>
        <w:rPr>
          <w:sz w:val="20"/>
          <w:szCs w:val="20"/>
        </w:rPr>
      </w:pPr>
      <w:r>
        <w:rPr>
          <w:sz w:val="20"/>
          <w:szCs w:val="20"/>
        </w:rPr>
        <w:tab/>
      </w:r>
      <w:r>
        <w:rPr>
          <w:sz w:val="20"/>
          <w:szCs w:val="20"/>
        </w:rPr>
        <w:tab/>
      </w:r>
      <w:r>
        <w:rPr>
          <w:sz w:val="20"/>
          <w:szCs w:val="20"/>
        </w:rPr>
        <w:tab/>
      </w:r>
      <w:r>
        <w:rPr>
          <w:sz w:val="20"/>
          <w:szCs w:val="20"/>
        </w:rPr>
        <w:tab/>
      </w:r>
      <w:r w:rsidRPr="00700547">
        <w:rPr>
          <w:sz w:val="20"/>
          <w:szCs w:val="20"/>
        </w:rPr>
        <w:t xml:space="preserve">each two </w:t>
      </w:r>
      <w:r>
        <w:rPr>
          <w:sz w:val="20"/>
          <w:szCs w:val="20"/>
        </w:rPr>
        <w:t xml:space="preserve">(2) </w:t>
      </w:r>
      <w:r w:rsidRPr="00700547">
        <w:rPr>
          <w:sz w:val="20"/>
          <w:szCs w:val="20"/>
        </w:rPr>
        <w:t>bedroom dwelling is to be allocated a minimum of one</w:t>
      </w:r>
    </w:p>
    <w:p w:rsidR="00FC3C46" w:rsidRDefault="00FC3C46" w:rsidP="00FC3C46">
      <w:pPr>
        <w:pStyle w:val="TAbodytext"/>
        <w:numPr>
          <w:ilvl w:val="0"/>
          <w:numId w:val="22"/>
        </w:numPr>
        <w:rPr>
          <w:sz w:val="20"/>
          <w:szCs w:val="20"/>
        </w:rPr>
      </w:pPr>
      <w:r w:rsidRPr="00700547">
        <w:rPr>
          <w:sz w:val="20"/>
          <w:szCs w:val="20"/>
        </w:rPr>
        <w:t xml:space="preserve">parking space and no two </w:t>
      </w:r>
      <w:r>
        <w:rPr>
          <w:sz w:val="20"/>
          <w:szCs w:val="20"/>
        </w:rPr>
        <w:t xml:space="preserve">(2) </w:t>
      </w:r>
      <w:r w:rsidRPr="00700547">
        <w:rPr>
          <w:sz w:val="20"/>
          <w:szCs w:val="20"/>
        </w:rPr>
        <w:t>bedroom dwelling is to be allocated</w:t>
      </w:r>
    </w:p>
    <w:p w:rsidR="00FC3C46" w:rsidRPr="00700547" w:rsidRDefault="00FC3C46" w:rsidP="00FC3C46">
      <w:pPr>
        <w:pStyle w:val="TAbodytext"/>
        <w:numPr>
          <w:ilvl w:val="0"/>
          <w:numId w:val="22"/>
        </w:numPr>
        <w:rPr>
          <w:sz w:val="20"/>
          <w:szCs w:val="20"/>
        </w:rPr>
      </w:pPr>
      <w:r w:rsidRPr="00700547">
        <w:rPr>
          <w:sz w:val="20"/>
          <w:szCs w:val="20"/>
        </w:rPr>
        <w:t>more than two (2) parking spaces;</w:t>
      </w:r>
    </w:p>
    <w:p w:rsidR="00FC3C46" w:rsidRPr="00700547" w:rsidRDefault="00FC3C46" w:rsidP="00FC3C46">
      <w:pPr>
        <w:pStyle w:val="TAbodytext"/>
        <w:rPr>
          <w:sz w:val="20"/>
          <w:szCs w:val="20"/>
        </w:rPr>
      </w:pPr>
      <w:r>
        <w:rPr>
          <w:sz w:val="20"/>
          <w:szCs w:val="20"/>
        </w:rPr>
        <w:tab/>
      </w:r>
      <w:r>
        <w:rPr>
          <w:sz w:val="20"/>
          <w:szCs w:val="20"/>
        </w:rPr>
        <w:tab/>
      </w:r>
      <w:r>
        <w:rPr>
          <w:sz w:val="20"/>
          <w:szCs w:val="20"/>
        </w:rPr>
        <w:tab/>
      </w:r>
      <w:r>
        <w:rPr>
          <w:sz w:val="20"/>
          <w:szCs w:val="20"/>
        </w:rPr>
        <w:tab/>
      </w:r>
      <w:r w:rsidRPr="00700547">
        <w:rPr>
          <w:sz w:val="20"/>
          <w:szCs w:val="20"/>
        </w:rPr>
        <w:t>plus</w:t>
      </w:r>
    </w:p>
    <w:p w:rsidR="00FC3C46" w:rsidRDefault="00FC3C46" w:rsidP="00FC3C46">
      <w:pPr>
        <w:pStyle w:val="TAbodytext"/>
        <w:rPr>
          <w:sz w:val="20"/>
          <w:szCs w:val="20"/>
        </w:rPr>
      </w:pPr>
      <w:r>
        <w:rPr>
          <w:sz w:val="20"/>
          <w:szCs w:val="20"/>
        </w:rPr>
        <w:tab/>
      </w:r>
      <w:r>
        <w:rPr>
          <w:sz w:val="20"/>
          <w:szCs w:val="20"/>
        </w:rPr>
        <w:tab/>
      </w:r>
      <w:r>
        <w:rPr>
          <w:sz w:val="20"/>
          <w:szCs w:val="20"/>
        </w:rPr>
        <w:tab/>
      </w:r>
      <w:r>
        <w:rPr>
          <w:sz w:val="20"/>
          <w:szCs w:val="20"/>
        </w:rPr>
        <w:tab/>
      </w:r>
      <w:r w:rsidRPr="00700547">
        <w:rPr>
          <w:sz w:val="20"/>
          <w:szCs w:val="20"/>
        </w:rPr>
        <w:t>One</w:t>
      </w:r>
      <w:r>
        <w:rPr>
          <w:sz w:val="20"/>
          <w:szCs w:val="20"/>
        </w:rPr>
        <w:t xml:space="preserve"> </w:t>
      </w:r>
      <w:r w:rsidRPr="00700547">
        <w:rPr>
          <w:sz w:val="20"/>
          <w:szCs w:val="20"/>
        </w:rPr>
        <w:t>(1) visitor space per four (4) dwellings or part thereof where a</w:t>
      </w:r>
    </w:p>
    <w:p w:rsidR="00FC3C46" w:rsidRDefault="00FC3C46" w:rsidP="00FC3C46">
      <w:pPr>
        <w:pStyle w:val="TAbodytext"/>
        <w:rPr>
          <w:sz w:val="20"/>
          <w:szCs w:val="20"/>
        </w:rPr>
      </w:pPr>
      <w:r>
        <w:rPr>
          <w:sz w:val="20"/>
          <w:szCs w:val="20"/>
        </w:rPr>
        <w:tab/>
      </w:r>
      <w:r>
        <w:rPr>
          <w:sz w:val="20"/>
          <w:szCs w:val="20"/>
        </w:rPr>
        <w:tab/>
      </w:r>
      <w:r>
        <w:rPr>
          <w:sz w:val="20"/>
          <w:szCs w:val="20"/>
        </w:rPr>
        <w:tab/>
      </w:r>
      <w:r>
        <w:rPr>
          <w:sz w:val="20"/>
          <w:szCs w:val="20"/>
        </w:rPr>
        <w:tab/>
      </w:r>
      <w:r w:rsidRPr="00700547">
        <w:rPr>
          <w:sz w:val="20"/>
          <w:szCs w:val="20"/>
        </w:rPr>
        <w:t>complex comprises four (4) or more dwellings</w:t>
      </w:r>
    </w:p>
    <w:p w:rsidR="00FC3C46" w:rsidRDefault="00FC3C46" w:rsidP="00FC3C46">
      <w:pPr>
        <w:pStyle w:val="TAbodytext"/>
        <w:rPr>
          <w:i/>
          <w:sz w:val="20"/>
          <w:szCs w:val="20"/>
        </w:rPr>
      </w:pPr>
      <w:r>
        <w:rPr>
          <w:sz w:val="20"/>
          <w:szCs w:val="20"/>
        </w:rPr>
        <w:tab/>
      </w:r>
      <w:r>
        <w:rPr>
          <w:sz w:val="20"/>
          <w:szCs w:val="20"/>
        </w:rPr>
        <w:tab/>
      </w:r>
      <w:r>
        <w:rPr>
          <w:sz w:val="20"/>
          <w:szCs w:val="20"/>
        </w:rPr>
        <w:tab/>
      </w:r>
      <w:r>
        <w:rPr>
          <w:sz w:val="20"/>
          <w:szCs w:val="20"/>
        </w:rPr>
        <w:tab/>
      </w:r>
      <w:r w:rsidRPr="0076090E">
        <w:rPr>
          <w:i/>
          <w:sz w:val="20"/>
          <w:szCs w:val="20"/>
        </w:rPr>
        <w:t xml:space="preserve">Note: if there is only one (1) detached </w:t>
      </w:r>
      <w:r>
        <w:rPr>
          <w:i/>
          <w:sz w:val="20"/>
          <w:szCs w:val="20"/>
        </w:rPr>
        <w:t xml:space="preserve">two (2) bedroomed dwelling </w:t>
      </w:r>
      <w:r w:rsidRPr="0076090E">
        <w:rPr>
          <w:i/>
          <w:sz w:val="20"/>
          <w:szCs w:val="20"/>
        </w:rPr>
        <w:t>in</w:t>
      </w:r>
      <w:r>
        <w:rPr>
          <w:i/>
          <w:sz w:val="20"/>
          <w:szCs w:val="20"/>
        </w:rPr>
        <w:t xml:space="preserve"> </w:t>
      </w:r>
    </w:p>
    <w:p w:rsidR="00FC3C46" w:rsidRPr="00700547" w:rsidRDefault="00FC3C46" w:rsidP="00FC3C46">
      <w:pPr>
        <w:pStyle w:val="TAbodytext"/>
        <w:rPr>
          <w:sz w:val="20"/>
          <w:szCs w:val="20"/>
        </w:rPr>
      </w:pPr>
      <w:r>
        <w:rPr>
          <w:i/>
          <w:sz w:val="20"/>
          <w:szCs w:val="20"/>
        </w:rPr>
        <w:tab/>
      </w:r>
      <w:r>
        <w:rPr>
          <w:i/>
          <w:sz w:val="20"/>
          <w:szCs w:val="20"/>
        </w:rPr>
        <w:tab/>
      </w:r>
      <w:r>
        <w:rPr>
          <w:i/>
          <w:sz w:val="20"/>
          <w:szCs w:val="20"/>
        </w:rPr>
        <w:tab/>
      </w:r>
      <w:r>
        <w:rPr>
          <w:i/>
          <w:sz w:val="20"/>
          <w:szCs w:val="20"/>
        </w:rPr>
        <w:tab/>
        <w:t xml:space="preserve">a </w:t>
      </w:r>
      <w:r w:rsidRPr="0076090E">
        <w:rPr>
          <w:i/>
          <w:sz w:val="20"/>
          <w:szCs w:val="20"/>
        </w:rPr>
        <w:t>development, then two (2) parking spaces are required</w:t>
      </w:r>
    </w:p>
    <w:p w:rsidR="00FC3C46" w:rsidRPr="00700547" w:rsidRDefault="00FC3C46" w:rsidP="00FC3C46">
      <w:pPr>
        <w:pStyle w:val="TAbodytext"/>
        <w:rPr>
          <w:sz w:val="20"/>
          <w:szCs w:val="20"/>
        </w:rPr>
      </w:pPr>
    </w:p>
    <w:p w:rsidR="008B63D6" w:rsidRDefault="000F5B95" w:rsidP="008B63D6">
      <w:pPr>
        <w:pStyle w:val="TAsubheadinglocationinterritoryplan"/>
      </w:pPr>
      <w:r>
        <w:t xml:space="preserve">Variation to </w:t>
      </w:r>
      <w:r w:rsidR="00776650">
        <w:t>Lawson South Precinct</w:t>
      </w:r>
      <w:r w:rsidR="008B63D6">
        <w:t xml:space="preserve"> </w:t>
      </w:r>
      <w:r w:rsidR="008B63D6" w:rsidRPr="0056366D">
        <w:t>Code</w:t>
      </w:r>
    </w:p>
    <w:p w:rsidR="00EC33ED" w:rsidRDefault="00EC33ED" w:rsidP="00EC33ED">
      <w:pPr>
        <w:pStyle w:val="TAeditorialitemgeneralheading"/>
      </w:pPr>
      <w:r>
        <w:t>Part B – Subdivision – 2. Dwelling Yield</w:t>
      </w:r>
    </w:p>
    <w:p w:rsidR="00EC33ED" w:rsidRDefault="00EC33ED" w:rsidP="00EC33ED">
      <w:pPr>
        <w:rPr>
          <w:rFonts w:cs="Arial"/>
          <w:i/>
        </w:rPr>
      </w:pPr>
    </w:p>
    <w:p w:rsidR="00EC33ED" w:rsidRPr="00EC33ED" w:rsidRDefault="00EC33ED" w:rsidP="00EC33ED">
      <w:pPr>
        <w:pStyle w:val="TAeditorialinstructions"/>
      </w:pPr>
      <w:r w:rsidRPr="00EC33ED">
        <w:t>Substitute with</w:t>
      </w:r>
    </w:p>
    <w:p w:rsidR="00EC33ED" w:rsidRDefault="00EC33ED" w:rsidP="00EC33ED">
      <w:pPr>
        <w:autoSpaceDE w:val="0"/>
        <w:autoSpaceDN w:val="0"/>
        <w:adjustRightInd w:val="0"/>
        <w:jc w:val="both"/>
        <w:rPr>
          <w:rFonts w:cs="Arial"/>
          <w:sz w:val="20"/>
          <w:highlight w:val="yellow"/>
        </w:rPr>
      </w:pPr>
    </w:p>
    <w:p w:rsidR="00EC33ED" w:rsidRPr="00505DCF" w:rsidRDefault="00EC33ED" w:rsidP="00EC33ED">
      <w:pPr>
        <w:autoSpaceDE w:val="0"/>
        <w:autoSpaceDN w:val="0"/>
        <w:adjustRightInd w:val="0"/>
        <w:jc w:val="both"/>
        <w:rPr>
          <w:rFonts w:cs="Arial"/>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3"/>
        <w:gridCol w:w="5059"/>
      </w:tblGrid>
      <w:tr w:rsidR="00EC33ED" w:rsidRPr="00EC33ED" w:rsidTr="006B439D">
        <w:trPr>
          <w:trHeight w:val="150"/>
        </w:trPr>
        <w:tc>
          <w:tcPr>
            <w:tcW w:w="4183" w:type="dxa"/>
            <w:shd w:val="clear" w:color="auto" w:fill="D9D9D9"/>
          </w:tcPr>
          <w:p w:rsidR="00EC33ED" w:rsidRPr="00EC33ED" w:rsidRDefault="00EC33ED" w:rsidP="00EC33ED">
            <w:pPr>
              <w:pStyle w:val="TAbodytext"/>
              <w:rPr>
                <w:b/>
                <w:sz w:val="20"/>
              </w:rPr>
            </w:pPr>
            <w:r w:rsidRPr="00EC33ED">
              <w:rPr>
                <w:b/>
                <w:sz w:val="20"/>
              </w:rPr>
              <w:t>Rules</w:t>
            </w:r>
          </w:p>
        </w:tc>
        <w:tc>
          <w:tcPr>
            <w:tcW w:w="5059" w:type="dxa"/>
            <w:shd w:val="clear" w:color="auto" w:fill="D9D9D9"/>
          </w:tcPr>
          <w:p w:rsidR="00EC33ED" w:rsidRPr="00EC33ED" w:rsidRDefault="00EC33ED" w:rsidP="00EC33ED">
            <w:pPr>
              <w:pStyle w:val="TAbodytext"/>
              <w:rPr>
                <w:b/>
                <w:sz w:val="20"/>
              </w:rPr>
            </w:pPr>
            <w:r w:rsidRPr="00EC33ED">
              <w:rPr>
                <w:b/>
                <w:sz w:val="20"/>
              </w:rPr>
              <w:t>Criteria</w:t>
            </w:r>
          </w:p>
        </w:tc>
      </w:tr>
      <w:tr w:rsidR="00EC33ED" w:rsidRPr="00EC33ED" w:rsidTr="006B439D">
        <w:trPr>
          <w:trHeight w:val="150"/>
        </w:trPr>
        <w:tc>
          <w:tcPr>
            <w:tcW w:w="9242" w:type="dxa"/>
            <w:gridSpan w:val="2"/>
            <w:shd w:val="clear" w:color="auto" w:fill="D9D9D9"/>
          </w:tcPr>
          <w:p w:rsidR="00EC33ED" w:rsidRPr="00EC33ED" w:rsidRDefault="00EC33ED" w:rsidP="00EC33ED">
            <w:pPr>
              <w:pStyle w:val="TAbodytext"/>
              <w:rPr>
                <w:b/>
                <w:sz w:val="20"/>
              </w:rPr>
            </w:pPr>
            <w:r w:rsidRPr="00EC33ED">
              <w:rPr>
                <w:b/>
                <w:sz w:val="20"/>
              </w:rPr>
              <w:t>2.  Dwelling Yield</w:t>
            </w:r>
          </w:p>
        </w:tc>
      </w:tr>
      <w:tr w:rsidR="00EC33ED" w:rsidRPr="00EC33ED" w:rsidTr="006B439D">
        <w:trPr>
          <w:trHeight w:val="150"/>
        </w:trPr>
        <w:tc>
          <w:tcPr>
            <w:tcW w:w="4183" w:type="dxa"/>
          </w:tcPr>
          <w:p w:rsidR="00EC33ED" w:rsidRPr="00EC33ED" w:rsidRDefault="00EC33ED" w:rsidP="00EC33ED">
            <w:pPr>
              <w:pStyle w:val="TAbodytext"/>
              <w:rPr>
                <w:sz w:val="20"/>
              </w:rPr>
            </w:pPr>
            <w:r w:rsidRPr="00EC33ED">
              <w:rPr>
                <w:sz w:val="20"/>
              </w:rPr>
              <w:t xml:space="preserve">R6 </w:t>
            </w:r>
          </w:p>
          <w:p w:rsidR="00EC33ED" w:rsidRPr="00EC33ED" w:rsidRDefault="00EC33ED" w:rsidP="00EC33ED">
            <w:pPr>
              <w:pStyle w:val="TAbodytext"/>
              <w:rPr>
                <w:sz w:val="20"/>
              </w:rPr>
            </w:pPr>
            <w:r w:rsidRPr="00EC33ED">
              <w:rPr>
                <w:sz w:val="20"/>
              </w:rPr>
              <w:t>The estate provides a range of housing types, densities and block sizes with a maximum total dwelling yield of 1850 in accordance with Figure 3, and all of the following:</w:t>
            </w:r>
          </w:p>
          <w:p w:rsidR="00EC33ED" w:rsidRPr="00EC33ED" w:rsidRDefault="00EC33ED" w:rsidP="00EC33ED">
            <w:pPr>
              <w:pStyle w:val="TAbodytext"/>
              <w:rPr>
                <w:sz w:val="20"/>
              </w:rPr>
            </w:pPr>
            <w:r w:rsidRPr="00EC33ED">
              <w:rPr>
                <w:sz w:val="20"/>
              </w:rPr>
              <w:t>a)  in Precinct A, dwelling yield is between 350 and 550</w:t>
            </w:r>
          </w:p>
          <w:p w:rsidR="00EC33ED" w:rsidRPr="00EC33ED" w:rsidRDefault="00EC33ED" w:rsidP="00EC33ED">
            <w:pPr>
              <w:pStyle w:val="TAbodytext"/>
              <w:rPr>
                <w:sz w:val="20"/>
              </w:rPr>
            </w:pPr>
            <w:r w:rsidRPr="00EC33ED">
              <w:rPr>
                <w:sz w:val="20"/>
              </w:rPr>
              <w:t>b)  in Precinct B, dwelling yield is between 400 and 600</w:t>
            </w:r>
          </w:p>
          <w:p w:rsidR="00EC33ED" w:rsidRPr="00EC33ED" w:rsidRDefault="00EC33ED" w:rsidP="00EC33ED">
            <w:pPr>
              <w:pStyle w:val="TAbodytext"/>
              <w:rPr>
                <w:sz w:val="20"/>
              </w:rPr>
            </w:pPr>
            <w:r w:rsidRPr="00EC33ED">
              <w:rPr>
                <w:sz w:val="20"/>
              </w:rPr>
              <w:t>c)  in precinct C, the maximum dwelling yield is the maximum total dwelling yield of the estate less the dwelling yield proposed in Precincts A and B.</w:t>
            </w:r>
          </w:p>
          <w:p w:rsidR="00EC33ED" w:rsidRPr="00EC33ED" w:rsidRDefault="00EC33ED" w:rsidP="00EC33ED">
            <w:pPr>
              <w:pStyle w:val="TAbodytext"/>
              <w:rPr>
                <w:sz w:val="20"/>
              </w:rPr>
            </w:pPr>
          </w:p>
          <w:p w:rsidR="00EC33ED" w:rsidRPr="00EC33ED" w:rsidRDefault="00EC33ED" w:rsidP="00EC33ED">
            <w:pPr>
              <w:pStyle w:val="TAbodytext"/>
              <w:rPr>
                <w:sz w:val="20"/>
              </w:rPr>
            </w:pPr>
          </w:p>
        </w:tc>
        <w:tc>
          <w:tcPr>
            <w:tcW w:w="5059" w:type="dxa"/>
          </w:tcPr>
          <w:p w:rsidR="00EC33ED" w:rsidRPr="00EC33ED" w:rsidRDefault="00EC33ED" w:rsidP="00EC33ED">
            <w:pPr>
              <w:pStyle w:val="TAbodytext"/>
              <w:rPr>
                <w:sz w:val="20"/>
              </w:rPr>
            </w:pPr>
            <w:r w:rsidRPr="00EC33ED">
              <w:rPr>
                <w:sz w:val="20"/>
              </w:rPr>
              <w:t xml:space="preserve">C6 </w:t>
            </w:r>
          </w:p>
          <w:p w:rsidR="00EC33ED" w:rsidRPr="00EC33ED" w:rsidRDefault="00EC33ED" w:rsidP="00EC33ED">
            <w:pPr>
              <w:pStyle w:val="TAbodytext"/>
              <w:rPr>
                <w:sz w:val="20"/>
              </w:rPr>
            </w:pPr>
            <w:r w:rsidRPr="00EC33ED">
              <w:rPr>
                <w:sz w:val="20"/>
              </w:rPr>
              <w:t>A greater dwelling yield than that specified may be considered where all of the following can be</w:t>
            </w:r>
          </w:p>
          <w:p w:rsidR="00EC33ED" w:rsidRPr="00EC33ED" w:rsidRDefault="00EC33ED" w:rsidP="00EC33ED">
            <w:pPr>
              <w:pStyle w:val="TAbodytext"/>
              <w:rPr>
                <w:sz w:val="20"/>
              </w:rPr>
            </w:pPr>
            <w:r w:rsidRPr="00EC33ED">
              <w:rPr>
                <w:sz w:val="20"/>
              </w:rPr>
              <w:t>demonstrated:</w:t>
            </w:r>
          </w:p>
          <w:p w:rsidR="00EC33ED" w:rsidRPr="00EC33ED" w:rsidRDefault="00EC33ED" w:rsidP="00EC33ED">
            <w:pPr>
              <w:pStyle w:val="TAbodytext"/>
              <w:rPr>
                <w:sz w:val="20"/>
              </w:rPr>
            </w:pPr>
            <w:r w:rsidRPr="00EC33ED">
              <w:rPr>
                <w:sz w:val="20"/>
              </w:rPr>
              <w:t>a) that there is sufficient capacity in the infrastructure, services and the local and arterial road networks</w:t>
            </w:r>
          </w:p>
          <w:p w:rsidR="00EC33ED" w:rsidRPr="00EC33ED" w:rsidRDefault="00EC33ED" w:rsidP="00EC33ED">
            <w:pPr>
              <w:pStyle w:val="TAbodytext"/>
              <w:rPr>
                <w:sz w:val="20"/>
              </w:rPr>
            </w:pPr>
            <w:r w:rsidRPr="00EC33ED">
              <w:rPr>
                <w:sz w:val="20"/>
              </w:rPr>
              <w:t>b) that a range of dwelling types and densities are provided to accommodate varying lifestyle, housing needs and choice to cater for changing demographics and improving housing affordability.</w:t>
            </w:r>
          </w:p>
          <w:p w:rsidR="00EC33ED" w:rsidRPr="00EC33ED" w:rsidRDefault="00EC33ED" w:rsidP="00EC33ED">
            <w:pPr>
              <w:pStyle w:val="TAbodytext"/>
              <w:rPr>
                <w:sz w:val="20"/>
              </w:rPr>
            </w:pPr>
            <w:r w:rsidRPr="00EC33ED">
              <w:rPr>
                <w:sz w:val="20"/>
              </w:rPr>
              <w:t>A reduced dwelling yield than that specified may be considered where all the following can be demonstrated:</w:t>
            </w:r>
          </w:p>
          <w:p w:rsidR="00EC33ED" w:rsidRPr="00EC33ED" w:rsidRDefault="00EC33ED" w:rsidP="00EC33ED">
            <w:pPr>
              <w:pStyle w:val="TAbodytext"/>
              <w:rPr>
                <w:sz w:val="20"/>
              </w:rPr>
            </w:pPr>
            <w:r w:rsidRPr="00EC33ED">
              <w:rPr>
                <w:sz w:val="20"/>
              </w:rPr>
              <w:t>a) that the resultant density for the estate is maximised to reflect its proximity to the Belconnen Town Centre, major employment, the University of Canberra, high public amenity areas, and public transport</w:t>
            </w:r>
          </w:p>
          <w:p w:rsidR="00EC33ED" w:rsidRPr="00EC33ED" w:rsidRDefault="00EC33ED" w:rsidP="00EC33ED">
            <w:pPr>
              <w:pStyle w:val="TAbodytext"/>
              <w:rPr>
                <w:sz w:val="20"/>
              </w:rPr>
            </w:pPr>
            <w:r w:rsidRPr="00EC33ED">
              <w:rPr>
                <w:sz w:val="20"/>
              </w:rPr>
              <w:t>b) that all available developable land within the estate has been efficiently utilised</w:t>
            </w:r>
          </w:p>
          <w:p w:rsidR="00EC33ED" w:rsidRDefault="00EC33ED" w:rsidP="00EC33ED">
            <w:pPr>
              <w:pStyle w:val="TAbodytext"/>
              <w:rPr>
                <w:sz w:val="20"/>
              </w:rPr>
            </w:pPr>
            <w:r w:rsidRPr="00EC33ED">
              <w:rPr>
                <w:sz w:val="20"/>
              </w:rPr>
              <w:t>c) that the impacts, including those on the amount of land</w:t>
            </w:r>
            <w:r w:rsidR="0000675D">
              <w:rPr>
                <w:sz w:val="20"/>
              </w:rPr>
              <w:t xml:space="preserve"> take</w:t>
            </w:r>
            <w:r w:rsidRPr="00EC33ED">
              <w:rPr>
                <w:sz w:val="20"/>
              </w:rPr>
              <w:t xml:space="preserve"> and dwelling yields, of the electrical infrastructure (zone substation and high voltage powerlines) on the subdivision have been minimised through detailed investigations.  </w:t>
            </w:r>
          </w:p>
          <w:p w:rsidR="00EC33ED" w:rsidRPr="00EC33ED" w:rsidRDefault="00EC33ED" w:rsidP="00EC33ED">
            <w:pPr>
              <w:pStyle w:val="TAbodytext"/>
              <w:rPr>
                <w:sz w:val="20"/>
              </w:rPr>
            </w:pPr>
          </w:p>
          <w:p w:rsidR="00EC33ED" w:rsidRPr="00EC33ED" w:rsidRDefault="00EC33ED" w:rsidP="00EC33ED">
            <w:pPr>
              <w:pStyle w:val="TAbodytext"/>
              <w:rPr>
                <w:sz w:val="20"/>
              </w:rPr>
            </w:pPr>
            <w:r w:rsidRPr="00EC33ED">
              <w:rPr>
                <w:b/>
                <w:sz w:val="20"/>
              </w:rPr>
              <w:t>Note:</w:t>
            </w:r>
            <w:r w:rsidRPr="00EC33ED">
              <w:rPr>
                <w:sz w:val="20"/>
              </w:rPr>
              <w:t xml:space="preserve">  Alternative design solutions to minimise and attenuate the impacts of the electrical infrastructure may be possible.  </w:t>
            </w:r>
          </w:p>
        </w:tc>
      </w:tr>
    </w:tbl>
    <w:p w:rsidR="00EC33ED" w:rsidRDefault="00EC33ED" w:rsidP="00EC33ED">
      <w:pPr>
        <w:ind w:left="720"/>
        <w:rPr>
          <w:rFonts w:cs="Arial"/>
          <w:i/>
        </w:rPr>
      </w:pPr>
    </w:p>
    <w:p w:rsidR="008B63D6" w:rsidRPr="00BE441E" w:rsidRDefault="008B63D6" w:rsidP="00326A2B">
      <w:pPr>
        <w:pStyle w:val="TAsectionheading3"/>
        <w:keepNext/>
        <w:numPr>
          <w:ilvl w:val="2"/>
          <w:numId w:val="8"/>
        </w:numPr>
      </w:pPr>
      <w:r w:rsidRPr="00BE441E">
        <w:t xml:space="preserve">  </w:t>
      </w:r>
      <w:bookmarkStart w:id="26" w:name="_Toc305145248"/>
      <w:r w:rsidRPr="00BE441E">
        <w:t>C</w:t>
      </w:r>
      <w:r w:rsidR="00607B68">
        <w:t xml:space="preserve">larification </w:t>
      </w:r>
      <w:r>
        <w:t>Amendment</w:t>
      </w:r>
      <w:r w:rsidR="00185F4C">
        <w:t>s</w:t>
      </w:r>
      <w:bookmarkEnd w:id="26"/>
    </w:p>
    <w:p w:rsidR="008B63D6" w:rsidRPr="00D87324" w:rsidRDefault="008B63D6" w:rsidP="008B63D6">
      <w:pPr>
        <w:pStyle w:val="TAsubheadinglocationinterritoryplan"/>
      </w:pPr>
      <w:r w:rsidRPr="0056366D">
        <w:t xml:space="preserve">Variation to </w:t>
      </w:r>
      <w:r w:rsidR="00185F4C">
        <w:t>Definitions</w:t>
      </w:r>
    </w:p>
    <w:p w:rsidR="008B63D6" w:rsidRPr="0056366D" w:rsidRDefault="00342800" w:rsidP="008B63D6">
      <w:pPr>
        <w:pStyle w:val="TAeditorialitemgeneralheading"/>
      </w:pPr>
      <w:r>
        <w:t xml:space="preserve">Part A – Definitions of </w:t>
      </w:r>
      <w:r w:rsidR="00173212">
        <w:t>D</w:t>
      </w:r>
      <w:r>
        <w:t>evelopment</w:t>
      </w:r>
    </w:p>
    <w:p w:rsidR="008B63D6" w:rsidRPr="0056366D" w:rsidRDefault="008B63D6" w:rsidP="008B63D6">
      <w:pPr>
        <w:pStyle w:val="TAbodytext"/>
      </w:pPr>
    </w:p>
    <w:p w:rsidR="00342800" w:rsidRPr="00A1606A" w:rsidRDefault="00342800" w:rsidP="001C7DA6">
      <w:pPr>
        <w:pStyle w:val="TAeditorialinstructions"/>
        <w:numPr>
          <w:ilvl w:val="0"/>
          <w:numId w:val="23"/>
        </w:numPr>
      </w:pPr>
      <w:r>
        <w:t xml:space="preserve">In the column labelled ‘Some Common Terminology’ associated with </w:t>
      </w:r>
      <w:r w:rsidRPr="00341693">
        <w:t xml:space="preserve">the </w:t>
      </w:r>
      <w:r>
        <w:t>development</w:t>
      </w:r>
      <w:r w:rsidRPr="00341693">
        <w:t xml:space="preserve"> definition for</w:t>
      </w:r>
      <w:r>
        <w:t xml:space="preserve"> ‘Outdoor recreation facility’, add ‘Community garden’ below ‘BMX track’.</w:t>
      </w:r>
    </w:p>
    <w:p w:rsidR="008B63D6" w:rsidRPr="001C7DA6" w:rsidRDefault="008B63D6" w:rsidP="001C7DA6">
      <w:pPr>
        <w:pStyle w:val="TAeditorialinstructions"/>
      </w:pPr>
    </w:p>
    <w:p w:rsidR="008B63D6" w:rsidRPr="001C7DA6" w:rsidRDefault="001C7DA6" w:rsidP="001C7DA6">
      <w:pPr>
        <w:pStyle w:val="TAeditorialinstructions"/>
        <w:numPr>
          <w:ilvl w:val="0"/>
          <w:numId w:val="23"/>
        </w:numPr>
      </w:pPr>
      <w:r w:rsidRPr="001C7DA6">
        <w:t>Insert wording underlined below into the definition of ‘power generation station’ in the development column</w:t>
      </w:r>
    </w:p>
    <w:p w:rsidR="001C7DA6" w:rsidRDefault="001C7DA6" w:rsidP="001C7DA6">
      <w:pPr>
        <w:pStyle w:val="TAinstructioncontent"/>
      </w:pPr>
    </w:p>
    <w:p w:rsidR="001C7DA6" w:rsidRDefault="001C7DA6" w:rsidP="001C7DA6">
      <w:pPr>
        <w:pStyle w:val="TAinstructioncontent"/>
      </w:pPr>
      <w:r w:rsidRPr="001C7DA6">
        <w:rPr>
          <w:b/>
        </w:rPr>
        <w:t>Power generation station</w:t>
      </w:r>
      <w:r>
        <w:t xml:space="preserve"> means equipment and associated buildings constructed for the generation of electricity utilising gas, coal, </w:t>
      </w:r>
      <w:r w:rsidRPr="00173212">
        <w:rPr>
          <w:u w:val="single"/>
        </w:rPr>
        <w:t>renewable energy technology</w:t>
      </w:r>
      <w:r>
        <w:t xml:space="preserve"> or other fuel sources.</w:t>
      </w:r>
    </w:p>
    <w:p w:rsidR="00331038" w:rsidRDefault="00331038" w:rsidP="001C7DA6">
      <w:pPr>
        <w:pStyle w:val="TAinstructioncontent"/>
      </w:pPr>
    </w:p>
    <w:p w:rsidR="00331038" w:rsidRPr="0056366D" w:rsidRDefault="00331038" w:rsidP="00331038">
      <w:pPr>
        <w:pStyle w:val="TAeditorialitemgeneralheading"/>
      </w:pPr>
      <w:r>
        <w:t>Part B – Definitions of Terms</w:t>
      </w:r>
    </w:p>
    <w:p w:rsidR="00331038" w:rsidRPr="0056366D" w:rsidRDefault="00331038" w:rsidP="00331038">
      <w:pPr>
        <w:pStyle w:val="TAbodytext"/>
      </w:pPr>
    </w:p>
    <w:p w:rsidR="00331038" w:rsidRPr="001C7DA6" w:rsidRDefault="00331038" w:rsidP="00331038">
      <w:pPr>
        <w:pStyle w:val="TAeditorialinstructions"/>
        <w:ind w:left="1080"/>
      </w:pPr>
      <w:r w:rsidRPr="001C7DA6">
        <w:t xml:space="preserve">Insert </w:t>
      </w:r>
      <w:r>
        <w:t>t</w:t>
      </w:r>
      <w:r w:rsidRPr="001C7DA6">
        <w:t xml:space="preserve">he </w:t>
      </w:r>
      <w:r>
        <w:t>following definition below the definition for “Communal open space”</w:t>
      </w:r>
    </w:p>
    <w:p w:rsidR="00331038" w:rsidRDefault="00331038" w:rsidP="00331038">
      <w:pPr>
        <w:pStyle w:val="TAinstructioncontent"/>
      </w:pPr>
    </w:p>
    <w:p w:rsidR="00331038" w:rsidRPr="0046507F" w:rsidRDefault="00331038" w:rsidP="00331038">
      <w:pPr>
        <w:pStyle w:val="TAinstructioncontent"/>
      </w:pPr>
      <w:r w:rsidRPr="0046507F">
        <w:rPr>
          <w:b/>
        </w:rPr>
        <w:t>Community garden</w:t>
      </w:r>
      <w:r w:rsidRPr="0046507F">
        <w:t xml:space="preserve"> means the use of land for the cultivation of produce primarily for personal use by those people undertaking the gardening, including demonstration gardening or other environmental activities which encourage the involvement of schools, youth groups and citizens in gardening activities.</w:t>
      </w:r>
    </w:p>
    <w:p w:rsidR="001C7DA6" w:rsidRDefault="001C7DA6" w:rsidP="008B63D6">
      <w:pPr>
        <w:pStyle w:val="TAsubheadinglocationinterritoryplan"/>
      </w:pPr>
    </w:p>
    <w:p w:rsidR="000B35F4" w:rsidRDefault="000B35F4">
      <w:pPr>
        <w:rPr>
          <w:sz w:val="32"/>
          <w:szCs w:val="20"/>
        </w:rPr>
      </w:pPr>
      <w:r>
        <w:br w:type="page"/>
      </w:r>
    </w:p>
    <w:p w:rsidR="008B63D6" w:rsidRDefault="008B63D6" w:rsidP="008B63D6">
      <w:pPr>
        <w:pStyle w:val="TAsubheadinglocationinterritoryplan"/>
      </w:pPr>
      <w:r w:rsidRPr="0056366D">
        <w:t xml:space="preserve">Variation </w:t>
      </w:r>
      <w:r w:rsidR="00342800">
        <w:t>to</w:t>
      </w:r>
      <w:r w:rsidR="00B07DA8">
        <w:t xml:space="preserve"> Lawson South Precinct Code</w:t>
      </w:r>
    </w:p>
    <w:p w:rsidR="000F5B95" w:rsidRDefault="000F5B95" w:rsidP="000F5B95">
      <w:pPr>
        <w:ind w:left="426"/>
      </w:pPr>
    </w:p>
    <w:p w:rsidR="000F5B95" w:rsidRDefault="000F5B95" w:rsidP="000F5B95">
      <w:pPr>
        <w:pStyle w:val="TAeditorialitemgeneralheading"/>
      </w:pPr>
      <w:r>
        <w:t>Part B – Subdivision, Heading</w:t>
      </w:r>
    </w:p>
    <w:p w:rsidR="000F5B95" w:rsidRDefault="000F5B95" w:rsidP="000F5B95">
      <w:pPr>
        <w:rPr>
          <w:rFonts w:cs="Arial"/>
          <w:i/>
        </w:rPr>
      </w:pPr>
    </w:p>
    <w:p w:rsidR="000F5B95" w:rsidRDefault="000F5B95" w:rsidP="000F5B95">
      <w:pPr>
        <w:ind w:left="720"/>
        <w:rPr>
          <w:rFonts w:cs="Arial"/>
          <w:i/>
        </w:rPr>
      </w:pPr>
      <w:r>
        <w:rPr>
          <w:rFonts w:cs="Arial"/>
          <w:i/>
        </w:rPr>
        <w:t>Substitute with</w:t>
      </w:r>
    </w:p>
    <w:p w:rsidR="000F5B95" w:rsidRDefault="000F5B95" w:rsidP="000F5B95">
      <w:pPr>
        <w:ind w:left="720"/>
        <w:rPr>
          <w:rFonts w:cs="Arial"/>
          <w:i/>
        </w:rPr>
      </w:pPr>
    </w:p>
    <w:tbl>
      <w:tblPr>
        <w:tblStyle w:val="TableGrid"/>
        <w:tblW w:w="5000" w:type="pct"/>
        <w:tblLook w:val="04A0" w:firstRow="1" w:lastRow="0" w:firstColumn="1" w:lastColumn="0" w:noHBand="0" w:noVBand="1"/>
      </w:tblPr>
      <w:tblGrid>
        <w:gridCol w:w="9286"/>
      </w:tblGrid>
      <w:tr w:rsidR="000F5B95" w:rsidTr="006B439D">
        <w:tc>
          <w:tcPr>
            <w:tcW w:w="5000" w:type="pct"/>
            <w:shd w:val="clear" w:color="auto" w:fill="000000" w:themeFill="text1"/>
          </w:tcPr>
          <w:p w:rsidR="000F5B95" w:rsidRPr="002D3C84" w:rsidRDefault="000F5B95" w:rsidP="006B439D">
            <w:pPr>
              <w:rPr>
                <w:rFonts w:cs="Arial"/>
                <w:i/>
                <w:color w:val="FFFFFF" w:themeColor="background1"/>
                <w:sz w:val="28"/>
                <w:szCs w:val="28"/>
              </w:rPr>
            </w:pPr>
            <w:r w:rsidRPr="002D3C84">
              <w:rPr>
                <w:rFonts w:cs="Arial"/>
                <w:color w:val="FFFFFF" w:themeColor="background1"/>
                <w:sz w:val="28"/>
                <w:szCs w:val="28"/>
                <w:highlight w:val="black"/>
              </w:rPr>
              <w:t>Part B - Subdivision</w:t>
            </w:r>
          </w:p>
        </w:tc>
      </w:tr>
      <w:tr w:rsidR="000F5B95" w:rsidTr="006B439D">
        <w:tc>
          <w:tcPr>
            <w:tcW w:w="5000" w:type="pct"/>
          </w:tcPr>
          <w:p w:rsidR="000F5B95" w:rsidRPr="002D3C84" w:rsidRDefault="000F5B95" w:rsidP="006B439D">
            <w:pPr>
              <w:pStyle w:val="BodyText"/>
              <w:ind w:left="1440" w:hanging="1440"/>
              <w:rPr>
                <w:rFonts w:cs="Arial"/>
                <w:b/>
                <w:sz w:val="20"/>
                <w:szCs w:val="20"/>
              </w:rPr>
            </w:pPr>
            <w:r w:rsidRPr="002D3C84">
              <w:rPr>
                <w:rFonts w:cs="Arial"/>
                <w:b/>
                <w:sz w:val="20"/>
                <w:szCs w:val="20"/>
              </w:rPr>
              <w:t xml:space="preserve">Note:  </w:t>
            </w:r>
          </w:p>
          <w:p w:rsidR="000F5B95" w:rsidRPr="002D3C84" w:rsidRDefault="000F5B95" w:rsidP="000F5B95">
            <w:pPr>
              <w:pStyle w:val="BodyText"/>
              <w:numPr>
                <w:ilvl w:val="0"/>
                <w:numId w:val="24"/>
              </w:numPr>
              <w:rPr>
                <w:rFonts w:cs="Arial"/>
                <w:sz w:val="20"/>
                <w:szCs w:val="20"/>
              </w:rPr>
            </w:pPr>
            <w:r w:rsidRPr="002D3C84">
              <w:rPr>
                <w:rFonts w:cs="Arial"/>
                <w:sz w:val="20"/>
                <w:szCs w:val="20"/>
              </w:rPr>
              <w:t>This part should be read in conjunction with other relevant codes</w:t>
            </w:r>
          </w:p>
          <w:p w:rsidR="000F5B95" w:rsidRPr="002D3C84" w:rsidRDefault="000F5B95" w:rsidP="000F5B95">
            <w:pPr>
              <w:pStyle w:val="BodyText"/>
              <w:numPr>
                <w:ilvl w:val="0"/>
                <w:numId w:val="24"/>
              </w:numPr>
              <w:rPr>
                <w:rFonts w:cs="Arial"/>
                <w:sz w:val="20"/>
                <w:szCs w:val="20"/>
              </w:rPr>
            </w:pPr>
            <w:r w:rsidRPr="002D3C84">
              <w:rPr>
                <w:rFonts w:cs="Arial"/>
                <w:sz w:val="20"/>
                <w:szCs w:val="20"/>
              </w:rPr>
              <w:t>Precincts referred to in this part are development precincts shown in Figure 3 and are subject to criteria</w:t>
            </w:r>
          </w:p>
          <w:p w:rsidR="000F5B95" w:rsidRPr="002D3C84" w:rsidRDefault="000F5B95" w:rsidP="006B439D">
            <w:pPr>
              <w:pStyle w:val="BodyText"/>
              <w:ind w:firstLine="360"/>
              <w:rPr>
                <w:rFonts w:cs="Arial"/>
                <w:sz w:val="20"/>
                <w:szCs w:val="20"/>
              </w:rPr>
            </w:pPr>
            <w:r w:rsidRPr="002D3C84">
              <w:rPr>
                <w:rFonts w:cs="Arial"/>
                <w:sz w:val="20"/>
                <w:szCs w:val="20"/>
              </w:rPr>
              <w:t>3)  The precincts shown in Figure 3 are indicative only and are defined as:</w:t>
            </w:r>
          </w:p>
          <w:p w:rsidR="000F5B95" w:rsidRPr="002D3C84" w:rsidRDefault="000F5B95" w:rsidP="006B439D">
            <w:pPr>
              <w:pStyle w:val="BodyText"/>
              <w:ind w:left="720"/>
              <w:rPr>
                <w:rFonts w:cs="Arial"/>
                <w:sz w:val="20"/>
                <w:szCs w:val="20"/>
              </w:rPr>
            </w:pPr>
            <w:r w:rsidRPr="002D3C84">
              <w:rPr>
                <w:rFonts w:cs="Arial"/>
                <w:sz w:val="20"/>
                <w:szCs w:val="20"/>
              </w:rPr>
              <w:t>a) Precinct A is located between Lake Ginninderra foreshore and west of the main collector road entering the estate from the intersection of Aikman Drive and Ginninderra Drive.  The precinct also include</w:t>
            </w:r>
            <w:r w:rsidR="0000675D">
              <w:rPr>
                <w:rFonts w:cs="Arial"/>
                <w:sz w:val="20"/>
                <w:szCs w:val="20"/>
              </w:rPr>
              <w:t>s</w:t>
            </w:r>
            <w:r w:rsidRPr="002D3C84">
              <w:rPr>
                <w:rFonts w:cs="Arial"/>
                <w:sz w:val="20"/>
                <w:szCs w:val="20"/>
              </w:rPr>
              <w:t xml:space="preserve"> a small portion of land located north east of College Creek</w:t>
            </w:r>
          </w:p>
          <w:p w:rsidR="000F5B95" w:rsidRPr="002D3C84" w:rsidRDefault="000F5B95" w:rsidP="006B439D">
            <w:pPr>
              <w:pStyle w:val="BodyText"/>
              <w:ind w:left="720"/>
              <w:rPr>
                <w:rFonts w:cs="Arial"/>
                <w:sz w:val="20"/>
                <w:szCs w:val="20"/>
              </w:rPr>
            </w:pPr>
            <w:r w:rsidRPr="002D3C84">
              <w:rPr>
                <w:rFonts w:cs="Arial"/>
                <w:sz w:val="20"/>
                <w:szCs w:val="20"/>
              </w:rPr>
              <w:t xml:space="preserve">b) Precinct B is located east of the main collector road entering the estate from the intersection of Aikman Drive and Ginninderra Drive, west of College Creek and north </w:t>
            </w:r>
            <w:r w:rsidR="0000675D">
              <w:rPr>
                <w:rFonts w:cs="Arial"/>
                <w:sz w:val="20"/>
                <w:szCs w:val="20"/>
              </w:rPr>
              <w:t xml:space="preserve">of </w:t>
            </w:r>
            <w:r w:rsidRPr="002D3C84">
              <w:rPr>
                <w:rFonts w:cs="Arial"/>
                <w:sz w:val="20"/>
                <w:szCs w:val="20"/>
              </w:rPr>
              <w:t>Ginninderra Drive</w:t>
            </w:r>
          </w:p>
          <w:p w:rsidR="000F5B95" w:rsidRPr="002D3C84" w:rsidRDefault="000F5B95" w:rsidP="006B439D">
            <w:pPr>
              <w:pStyle w:val="BodyText"/>
              <w:ind w:left="720"/>
              <w:rPr>
                <w:rFonts w:cs="Arial"/>
                <w:sz w:val="20"/>
                <w:szCs w:val="20"/>
              </w:rPr>
            </w:pPr>
            <w:r w:rsidRPr="002D3C84">
              <w:rPr>
                <w:rFonts w:cs="Arial"/>
                <w:sz w:val="20"/>
                <w:szCs w:val="20"/>
              </w:rPr>
              <w:t>c) Precinct C is all the remaining land located east of College Creek (with the exemption of the small parcel of land in the north western corner, which forms part of Precinct A) and west of Baldwin Drive.</w:t>
            </w:r>
          </w:p>
        </w:tc>
      </w:tr>
    </w:tbl>
    <w:p w:rsidR="000F5B95" w:rsidRPr="00DF7B07" w:rsidRDefault="000F5B95" w:rsidP="000F5B95">
      <w:pPr>
        <w:ind w:left="720"/>
        <w:rPr>
          <w:rFonts w:cs="Arial"/>
          <w:i/>
        </w:rPr>
      </w:pPr>
    </w:p>
    <w:p w:rsidR="00364C08" w:rsidRDefault="00364C08" w:rsidP="00364C08">
      <w:pPr>
        <w:pStyle w:val="TAbodytext"/>
        <w:sectPr w:rsidR="00364C08" w:rsidSect="00326A2B">
          <w:headerReference w:type="default" r:id="rId17"/>
          <w:footerReference w:type="default" r:id="rId18"/>
          <w:type w:val="continuous"/>
          <w:pgSz w:w="11906" w:h="16838"/>
          <w:pgMar w:top="1440" w:right="1418" w:bottom="1440" w:left="1418" w:header="709" w:footer="847" w:gutter="0"/>
          <w:pgNumType w:start="2"/>
          <w:cols w:space="708"/>
          <w:docGrid w:linePitch="360"/>
        </w:sectPr>
      </w:pPr>
    </w:p>
    <w:p w:rsidR="00364C08" w:rsidRDefault="00364C08" w:rsidP="00364C08">
      <w:pPr>
        <w:pStyle w:val="TAbodytext"/>
      </w:pPr>
    </w:p>
    <w:p w:rsidR="00364C08" w:rsidRPr="008A2AE9" w:rsidRDefault="00016D01" w:rsidP="00364C08">
      <w:pPr>
        <w:pStyle w:val="TAinterpretationservicetitle"/>
      </w:pPr>
      <w:r w:rsidRPr="00BE441E">
        <w:t>Interpretation service</w:t>
      </w:r>
    </w:p>
    <w:p w:rsidR="00364C08" w:rsidRPr="00BE441E" w:rsidRDefault="00895328" w:rsidP="00364C08">
      <w:pPr>
        <w:pStyle w:val="BodyText"/>
      </w:pPr>
      <w:r w:rsidRPr="00BB0262">
        <w:rPr>
          <w:noProof/>
        </w:rPr>
        <w:drawing>
          <wp:inline distT="0" distB="0" distL="0" distR="0">
            <wp:extent cx="5343525" cy="3524250"/>
            <wp:effectExtent l="0" t="0" r="0" b="0"/>
            <wp:docPr id="2" name="Picture 3"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43525" cy="3524250"/>
                    </a:xfrm>
                    <a:prstGeom prst="rect">
                      <a:avLst/>
                    </a:prstGeom>
                    <a:noFill/>
                    <a:ln>
                      <a:noFill/>
                    </a:ln>
                  </pic:spPr>
                </pic:pic>
              </a:graphicData>
            </a:graphic>
          </wp:inline>
        </w:drawing>
      </w:r>
    </w:p>
    <w:p w:rsidR="00364C08" w:rsidRDefault="00364C08" w:rsidP="00364C08">
      <w:pPr>
        <w:pStyle w:val="BodyText"/>
      </w:pPr>
    </w:p>
    <w:p w:rsidR="00364C08" w:rsidRDefault="00364C08" w:rsidP="00364C08">
      <w:pPr>
        <w:pStyle w:val="BodyText"/>
      </w:pPr>
    </w:p>
    <w:p w:rsidR="00364C08" w:rsidRPr="008A2AE9" w:rsidRDefault="00364C08" w:rsidP="00364C08">
      <w:pPr>
        <w:pStyle w:val="BodyText"/>
      </w:pPr>
    </w:p>
    <w:sectPr w:rsidR="00364C08" w:rsidRPr="008A2AE9" w:rsidSect="00364C08">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328" w:rsidRDefault="00895328">
      <w:r>
        <w:separator/>
      </w:r>
    </w:p>
  </w:endnote>
  <w:endnote w:type="continuationSeparator" w:id="0">
    <w:p w:rsidR="00895328" w:rsidRDefault="0089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640" w:rsidRDefault="004446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28A" w:rsidRDefault="00A0128A" w:rsidP="00A0128A">
    <w:pPr>
      <w:pStyle w:val="Footer"/>
      <w:rPr>
        <w:rFonts w:cs="Arial"/>
        <w:sz w:val="18"/>
        <w:szCs w:val="18"/>
      </w:rPr>
    </w:pPr>
    <w:r>
      <w:rPr>
        <w:rFonts w:cs="Arial"/>
        <w:sz w:val="18"/>
        <w:szCs w:val="18"/>
      </w:rPr>
      <w:t>*Name amended under Legislation Act, s 60</w:t>
    </w:r>
  </w:p>
  <w:p w:rsidR="00A0128A" w:rsidRPr="00444640" w:rsidRDefault="00444640" w:rsidP="00444640">
    <w:pPr>
      <w:pStyle w:val="Footer"/>
      <w:spacing w:line="240" w:lineRule="exact"/>
      <w:jc w:val="center"/>
      <w:rPr>
        <w:rFonts w:cs="Arial"/>
        <w:sz w:val="14"/>
        <w:szCs w:val="14"/>
      </w:rPr>
    </w:pPr>
    <w:r w:rsidRPr="00444640">
      <w:rPr>
        <w:rFonts w:cs="Arial"/>
        <w:sz w:val="14"/>
        <w:szCs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640" w:rsidRDefault="0044464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308" w:rsidRPr="00444640" w:rsidRDefault="00444640" w:rsidP="00444640">
    <w:pPr>
      <w:pStyle w:val="Footer"/>
      <w:jc w:val="center"/>
      <w:rPr>
        <w:rFonts w:cs="Arial"/>
        <w:sz w:val="14"/>
      </w:rPr>
    </w:pPr>
    <w:r w:rsidRPr="00444640">
      <w:rPr>
        <w:rFonts w:cs="Arial"/>
        <w:sz w:val="14"/>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E50" w:rsidRPr="00832E50" w:rsidRDefault="00832E50" w:rsidP="00832E50">
    <w:pPr>
      <w:pStyle w:val="Footer"/>
      <w:jc w:val="center"/>
      <w:rPr>
        <w:sz w:val="20"/>
        <w:szCs w:val="20"/>
      </w:rPr>
    </w:pPr>
  </w:p>
  <w:p w:rsidR="00832E50" w:rsidRDefault="00832E50" w:rsidP="00832E50">
    <w:pPr>
      <w:pStyle w:val="TAfooter"/>
    </w:pPr>
    <w:r>
      <w:t xml:space="preserve">TA2011-23 </w:t>
    </w:r>
    <w:r w:rsidR="004B17D2">
      <w:t xml:space="preserve">October </w:t>
    </w:r>
    <w:r w:rsidR="00EB5298">
      <w:t>2011</w:t>
    </w:r>
  </w:p>
  <w:p w:rsidR="00400F1A" w:rsidRDefault="00400F1A" w:rsidP="00400F1A">
    <w:pPr>
      <w:jc w:val="center"/>
    </w:pPr>
    <w:r w:rsidRPr="00400F1A">
      <w:rPr>
        <w:sz w:val="20"/>
        <w:szCs w:val="20"/>
      </w:rPr>
      <w:t xml:space="preserve">Page </w:t>
    </w:r>
    <w:r w:rsidRPr="00400F1A">
      <w:rPr>
        <w:sz w:val="20"/>
        <w:szCs w:val="20"/>
      </w:rPr>
      <w:fldChar w:fldCharType="begin"/>
    </w:r>
    <w:r w:rsidRPr="00400F1A">
      <w:rPr>
        <w:sz w:val="20"/>
        <w:szCs w:val="20"/>
      </w:rPr>
      <w:instrText xml:space="preserve"> PAGE </w:instrText>
    </w:r>
    <w:r w:rsidRPr="00400F1A">
      <w:rPr>
        <w:sz w:val="20"/>
        <w:szCs w:val="20"/>
      </w:rPr>
      <w:fldChar w:fldCharType="separate"/>
    </w:r>
    <w:r w:rsidR="00444640">
      <w:rPr>
        <w:noProof/>
        <w:sz w:val="20"/>
        <w:szCs w:val="20"/>
      </w:rPr>
      <w:t>2</w:t>
    </w:r>
    <w:r w:rsidRPr="00400F1A">
      <w:rPr>
        <w:sz w:val="20"/>
        <w:szCs w:val="20"/>
      </w:rPr>
      <w:fldChar w:fldCharType="end"/>
    </w:r>
    <w:r w:rsidRPr="00400F1A">
      <w:rPr>
        <w:sz w:val="20"/>
        <w:szCs w:val="20"/>
      </w:rPr>
      <w:t xml:space="preserve"> of </w:t>
    </w:r>
    <w:r w:rsidR="009F4308">
      <w:rPr>
        <w:sz w:val="20"/>
        <w:szCs w:val="20"/>
      </w:rPr>
      <w:t>18</w:t>
    </w:r>
  </w:p>
  <w:p w:rsidR="00832E50" w:rsidRPr="00444640" w:rsidRDefault="00444640" w:rsidP="00444640">
    <w:pPr>
      <w:pStyle w:val="TAfooter"/>
      <w:rPr>
        <w:sz w:val="14"/>
        <w:szCs w:val="14"/>
      </w:rPr>
    </w:pPr>
    <w:r w:rsidRPr="00444640">
      <w:rPr>
        <w:sz w:val="14"/>
        <w:szCs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328" w:rsidRDefault="00895328">
      <w:r>
        <w:separator/>
      </w:r>
    </w:p>
  </w:footnote>
  <w:footnote w:type="continuationSeparator" w:id="0">
    <w:p w:rsidR="00895328" w:rsidRDefault="00895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640" w:rsidRDefault="004446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640" w:rsidRDefault="004446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640" w:rsidRDefault="0044464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F96" w:rsidRDefault="00E37F96" w:rsidP="00364C08">
    <w:pPr>
      <w:pStyle w:val="TA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B7A52"/>
    <w:multiLevelType w:val="hybridMultilevel"/>
    <w:tmpl w:val="73B8DCE4"/>
    <w:lvl w:ilvl="0" w:tplc="599896C0">
      <w:start w:val="1"/>
      <w:numFmt w:val="decimal"/>
      <w:pStyle w:val="TAeditorialitemgeneralheading"/>
      <w:lvlText w:val="%1."/>
      <w:lvlJc w:val="left"/>
      <w:pPr>
        <w:tabs>
          <w:tab w:val="num" w:pos="720"/>
        </w:tabs>
        <w:ind w:left="720" w:hanging="360"/>
      </w:pPr>
      <w:rPr>
        <w:rFonts w:cs="Times New Roman"/>
      </w:rPr>
    </w:lvl>
    <w:lvl w:ilvl="1" w:tplc="C09CAF3A">
      <w:start w:val="1"/>
      <w:numFmt w:val="lowerLetter"/>
      <w:lvlText w:val="%2."/>
      <w:lvlJc w:val="left"/>
      <w:pPr>
        <w:tabs>
          <w:tab w:val="num" w:pos="1440"/>
        </w:tabs>
        <w:ind w:left="1440" w:hanging="360"/>
      </w:pPr>
      <w:rPr>
        <w:rFonts w:cs="Times New Roman"/>
      </w:rPr>
    </w:lvl>
    <w:lvl w:ilvl="2" w:tplc="EFCE3E10" w:tentative="1">
      <w:start w:val="1"/>
      <w:numFmt w:val="lowerRoman"/>
      <w:lvlText w:val="%3."/>
      <w:lvlJc w:val="right"/>
      <w:pPr>
        <w:tabs>
          <w:tab w:val="num" w:pos="2160"/>
        </w:tabs>
        <w:ind w:left="2160" w:hanging="180"/>
      </w:pPr>
      <w:rPr>
        <w:rFonts w:cs="Times New Roman"/>
      </w:rPr>
    </w:lvl>
    <w:lvl w:ilvl="3" w:tplc="3DD48318" w:tentative="1">
      <w:start w:val="1"/>
      <w:numFmt w:val="decimal"/>
      <w:lvlText w:val="%4."/>
      <w:lvlJc w:val="left"/>
      <w:pPr>
        <w:tabs>
          <w:tab w:val="num" w:pos="2880"/>
        </w:tabs>
        <w:ind w:left="2880" w:hanging="360"/>
      </w:pPr>
      <w:rPr>
        <w:rFonts w:cs="Times New Roman"/>
      </w:rPr>
    </w:lvl>
    <w:lvl w:ilvl="4" w:tplc="B226E5F6" w:tentative="1">
      <w:start w:val="1"/>
      <w:numFmt w:val="lowerLetter"/>
      <w:lvlText w:val="%5."/>
      <w:lvlJc w:val="left"/>
      <w:pPr>
        <w:tabs>
          <w:tab w:val="num" w:pos="3600"/>
        </w:tabs>
        <w:ind w:left="3600" w:hanging="360"/>
      </w:pPr>
      <w:rPr>
        <w:rFonts w:cs="Times New Roman"/>
      </w:rPr>
    </w:lvl>
    <w:lvl w:ilvl="5" w:tplc="91026BDA" w:tentative="1">
      <w:start w:val="1"/>
      <w:numFmt w:val="lowerRoman"/>
      <w:lvlText w:val="%6."/>
      <w:lvlJc w:val="right"/>
      <w:pPr>
        <w:tabs>
          <w:tab w:val="num" w:pos="4320"/>
        </w:tabs>
        <w:ind w:left="4320" w:hanging="180"/>
      </w:pPr>
      <w:rPr>
        <w:rFonts w:cs="Times New Roman"/>
      </w:rPr>
    </w:lvl>
    <w:lvl w:ilvl="6" w:tplc="F4FAA5BE" w:tentative="1">
      <w:start w:val="1"/>
      <w:numFmt w:val="decimal"/>
      <w:lvlText w:val="%7."/>
      <w:lvlJc w:val="left"/>
      <w:pPr>
        <w:tabs>
          <w:tab w:val="num" w:pos="5040"/>
        </w:tabs>
        <w:ind w:left="5040" w:hanging="360"/>
      </w:pPr>
      <w:rPr>
        <w:rFonts w:cs="Times New Roman"/>
      </w:rPr>
    </w:lvl>
    <w:lvl w:ilvl="7" w:tplc="0EDA09CC" w:tentative="1">
      <w:start w:val="1"/>
      <w:numFmt w:val="lowerLetter"/>
      <w:lvlText w:val="%8."/>
      <w:lvlJc w:val="left"/>
      <w:pPr>
        <w:tabs>
          <w:tab w:val="num" w:pos="5760"/>
        </w:tabs>
        <w:ind w:left="5760" w:hanging="360"/>
      </w:pPr>
      <w:rPr>
        <w:rFonts w:cs="Times New Roman"/>
      </w:rPr>
    </w:lvl>
    <w:lvl w:ilvl="8" w:tplc="2D0CB0FA" w:tentative="1">
      <w:start w:val="1"/>
      <w:numFmt w:val="lowerRoman"/>
      <w:lvlText w:val="%9."/>
      <w:lvlJc w:val="right"/>
      <w:pPr>
        <w:tabs>
          <w:tab w:val="num" w:pos="6480"/>
        </w:tabs>
        <w:ind w:left="6480" w:hanging="180"/>
      </w:pPr>
      <w:rPr>
        <w:rFonts w:cs="Times New Roman"/>
      </w:rPr>
    </w:lvl>
  </w:abstractNum>
  <w:abstractNum w:abstractNumId="1" w15:restartNumberingAfterBreak="0">
    <w:nsid w:val="0C1B1363"/>
    <w:multiLevelType w:val="hybridMultilevel"/>
    <w:tmpl w:val="E42295E0"/>
    <w:lvl w:ilvl="0" w:tplc="0212C978">
      <w:start w:val="1"/>
      <w:numFmt w:val="lowerRoman"/>
      <w:lvlText w:val="(%1)"/>
      <w:lvlJc w:val="left"/>
      <w:pPr>
        <w:tabs>
          <w:tab w:val="num" w:pos="2061"/>
        </w:tabs>
        <w:ind w:left="2061" w:hanging="720"/>
      </w:pPr>
      <w:rPr>
        <w:rFonts w:cs="Times New Roman"/>
      </w:rPr>
    </w:lvl>
    <w:lvl w:ilvl="1" w:tplc="9A5AE21C">
      <w:start w:val="1"/>
      <w:numFmt w:val="decimal"/>
      <w:lvlText w:val="%2."/>
      <w:lvlJc w:val="left"/>
      <w:pPr>
        <w:tabs>
          <w:tab w:val="num" w:pos="1440"/>
        </w:tabs>
        <w:ind w:left="1440" w:hanging="360"/>
      </w:pPr>
      <w:rPr>
        <w:rFonts w:cs="Times New Roman"/>
      </w:rPr>
    </w:lvl>
    <w:lvl w:ilvl="2" w:tplc="E0CA31D2">
      <w:start w:val="1"/>
      <w:numFmt w:val="decimal"/>
      <w:lvlText w:val="%3."/>
      <w:lvlJc w:val="left"/>
      <w:pPr>
        <w:tabs>
          <w:tab w:val="num" w:pos="2160"/>
        </w:tabs>
        <w:ind w:left="2160" w:hanging="360"/>
      </w:pPr>
      <w:rPr>
        <w:rFonts w:cs="Times New Roman"/>
      </w:rPr>
    </w:lvl>
    <w:lvl w:ilvl="3" w:tplc="9E3E2834">
      <w:start w:val="1"/>
      <w:numFmt w:val="decimal"/>
      <w:lvlText w:val="%4."/>
      <w:lvlJc w:val="left"/>
      <w:pPr>
        <w:tabs>
          <w:tab w:val="num" w:pos="2880"/>
        </w:tabs>
        <w:ind w:left="2880" w:hanging="360"/>
      </w:pPr>
      <w:rPr>
        <w:rFonts w:cs="Times New Roman"/>
      </w:rPr>
    </w:lvl>
    <w:lvl w:ilvl="4" w:tplc="D398F53E">
      <w:start w:val="1"/>
      <w:numFmt w:val="decimal"/>
      <w:lvlText w:val="%5."/>
      <w:lvlJc w:val="left"/>
      <w:pPr>
        <w:tabs>
          <w:tab w:val="num" w:pos="3600"/>
        </w:tabs>
        <w:ind w:left="3600" w:hanging="360"/>
      </w:pPr>
      <w:rPr>
        <w:rFonts w:cs="Times New Roman"/>
      </w:rPr>
    </w:lvl>
    <w:lvl w:ilvl="5" w:tplc="F5B47E84">
      <w:start w:val="1"/>
      <w:numFmt w:val="decimal"/>
      <w:lvlText w:val="%6."/>
      <w:lvlJc w:val="left"/>
      <w:pPr>
        <w:tabs>
          <w:tab w:val="num" w:pos="4320"/>
        </w:tabs>
        <w:ind w:left="4320" w:hanging="360"/>
      </w:pPr>
      <w:rPr>
        <w:rFonts w:cs="Times New Roman"/>
      </w:rPr>
    </w:lvl>
    <w:lvl w:ilvl="6" w:tplc="12443122">
      <w:start w:val="1"/>
      <w:numFmt w:val="decimal"/>
      <w:lvlText w:val="%7."/>
      <w:lvlJc w:val="left"/>
      <w:pPr>
        <w:tabs>
          <w:tab w:val="num" w:pos="5040"/>
        </w:tabs>
        <w:ind w:left="5040" w:hanging="360"/>
      </w:pPr>
      <w:rPr>
        <w:rFonts w:cs="Times New Roman"/>
      </w:rPr>
    </w:lvl>
    <w:lvl w:ilvl="7" w:tplc="2CD690A8">
      <w:start w:val="1"/>
      <w:numFmt w:val="decimal"/>
      <w:lvlText w:val="%8."/>
      <w:lvlJc w:val="left"/>
      <w:pPr>
        <w:tabs>
          <w:tab w:val="num" w:pos="5760"/>
        </w:tabs>
        <w:ind w:left="5760" w:hanging="360"/>
      </w:pPr>
      <w:rPr>
        <w:rFonts w:cs="Times New Roman"/>
      </w:rPr>
    </w:lvl>
    <w:lvl w:ilvl="8" w:tplc="16809D68">
      <w:start w:val="1"/>
      <w:numFmt w:val="decimal"/>
      <w:lvlText w:val="%9."/>
      <w:lvlJc w:val="left"/>
      <w:pPr>
        <w:tabs>
          <w:tab w:val="num" w:pos="6480"/>
        </w:tabs>
        <w:ind w:left="6480" w:hanging="360"/>
      </w:pPr>
      <w:rPr>
        <w:rFonts w:cs="Times New Roman"/>
      </w:rPr>
    </w:lvl>
  </w:abstractNum>
  <w:abstractNum w:abstractNumId="2" w15:restartNumberingAfterBreak="0">
    <w:nsid w:val="17054CAD"/>
    <w:multiLevelType w:val="hybridMultilevel"/>
    <w:tmpl w:val="1DC20656"/>
    <w:lvl w:ilvl="0" w:tplc="0FA23776">
      <w:start w:val="1"/>
      <w:numFmt w:val="decimal"/>
      <w:lvlText w:val="%1."/>
      <w:lvlJc w:val="left"/>
      <w:pPr>
        <w:ind w:left="1800" w:hanging="360"/>
      </w:pPr>
      <w:rPr>
        <w:rFonts w:cs="Times New Roman"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3" w15:restartNumberingAfterBreak="0">
    <w:nsid w:val="1C256098"/>
    <w:multiLevelType w:val="hybridMultilevel"/>
    <w:tmpl w:val="8F3EA506"/>
    <w:lvl w:ilvl="0" w:tplc="58124190">
      <w:start w:val="1"/>
      <w:numFmt w:val="decimal"/>
      <w:lvlText w:val="(%1)"/>
      <w:lvlJc w:val="left"/>
      <w:pPr>
        <w:ind w:left="3240" w:hanging="360"/>
      </w:pPr>
      <w:rPr>
        <w:rFonts w:cs="Times New Roman" w:hint="default"/>
      </w:rPr>
    </w:lvl>
    <w:lvl w:ilvl="1" w:tplc="0C090019" w:tentative="1">
      <w:start w:val="1"/>
      <w:numFmt w:val="lowerLetter"/>
      <w:lvlText w:val="%2."/>
      <w:lvlJc w:val="left"/>
      <w:pPr>
        <w:ind w:left="3960" w:hanging="360"/>
      </w:pPr>
      <w:rPr>
        <w:rFonts w:cs="Times New Roman"/>
      </w:rPr>
    </w:lvl>
    <w:lvl w:ilvl="2" w:tplc="0C09001B" w:tentative="1">
      <w:start w:val="1"/>
      <w:numFmt w:val="lowerRoman"/>
      <w:lvlText w:val="%3."/>
      <w:lvlJc w:val="right"/>
      <w:pPr>
        <w:ind w:left="4680" w:hanging="180"/>
      </w:pPr>
      <w:rPr>
        <w:rFonts w:cs="Times New Roman"/>
      </w:rPr>
    </w:lvl>
    <w:lvl w:ilvl="3" w:tplc="0C09000F" w:tentative="1">
      <w:start w:val="1"/>
      <w:numFmt w:val="decimal"/>
      <w:lvlText w:val="%4."/>
      <w:lvlJc w:val="left"/>
      <w:pPr>
        <w:ind w:left="5400" w:hanging="360"/>
      </w:pPr>
      <w:rPr>
        <w:rFonts w:cs="Times New Roman"/>
      </w:rPr>
    </w:lvl>
    <w:lvl w:ilvl="4" w:tplc="0C090019" w:tentative="1">
      <w:start w:val="1"/>
      <w:numFmt w:val="lowerLetter"/>
      <w:lvlText w:val="%5."/>
      <w:lvlJc w:val="left"/>
      <w:pPr>
        <w:ind w:left="6120" w:hanging="360"/>
      </w:pPr>
      <w:rPr>
        <w:rFonts w:cs="Times New Roman"/>
      </w:rPr>
    </w:lvl>
    <w:lvl w:ilvl="5" w:tplc="0C09001B" w:tentative="1">
      <w:start w:val="1"/>
      <w:numFmt w:val="lowerRoman"/>
      <w:lvlText w:val="%6."/>
      <w:lvlJc w:val="right"/>
      <w:pPr>
        <w:ind w:left="6840" w:hanging="180"/>
      </w:pPr>
      <w:rPr>
        <w:rFonts w:cs="Times New Roman"/>
      </w:rPr>
    </w:lvl>
    <w:lvl w:ilvl="6" w:tplc="0C09000F" w:tentative="1">
      <w:start w:val="1"/>
      <w:numFmt w:val="decimal"/>
      <w:lvlText w:val="%7."/>
      <w:lvlJc w:val="left"/>
      <w:pPr>
        <w:ind w:left="7560" w:hanging="360"/>
      </w:pPr>
      <w:rPr>
        <w:rFonts w:cs="Times New Roman"/>
      </w:rPr>
    </w:lvl>
    <w:lvl w:ilvl="7" w:tplc="0C090019" w:tentative="1">
      <w:start w:val="1"/>
      <w:numFmt w:val="lowerLetter"/>
      <w:lvlText w:val="%8."/>
      <w:lvlJc w:val="left"/>
      <w:pPr>
        <w:ind w:left="8280" w:hanging="360"/>
      </w:pPr>
      <w:rPr>
        <w:rFonts w:cs="Times New Roman"/>
      </w:rPr>
    </w:lvl>
    <w:lvl w:ilvl="8" w:tplc="0C09001B" w:tentative="1">
      <w:start w:val="1"/>
      <w:numFmt w:val="lowerRoman"/>
      <w:lvlText w:val="%9."/>
      <w:lvlJc w:val="right"/>
      <w:pPr>
        <w:ind w:left="9000" w:hanging="180"/>
      </w:pPr>
      <w:rPr>
        <w:rFonts w:cs="Times New Roman"/>
      </w:rPr>
    </w:lvl>
  </w:abstractNum>
  <w:abstractNum w:abstractNumId="4" w15:restartNumberingAfterBreak="0">
    <w:nsid w:val="23A81188"/>
    <w:multiLevelType w:val="hybridMultilevel"/>
    <w:tmpl w:val="E9AE39D2"/>
    <w:lvl w:ilvl="0" w:tplc="5F5EF3DC">
      <w:start w:val="1"/>
      <w:numFmt w:val="upperLetter"/>
      <w:pStyle w:val="TAexplanatorystatementsubheading"/>
      <w:lvlText w:val="%1."/>
      <w:lvlJc w:val="left"/>
      <w:pPr>
        <w:tabs>
          <w:tab w:val="num" w:pos="360"/>
        </w:tabs>
        <w:ind w:left="720" w:hanging="720"/>
      </w:pPr>
      <w:rPr>
        <w:rFonts w:cs="Times New Roman" w:hint="default"/>
      </w:rPr>
    </w:lvl>
    <w:lvl w:ilvl="1" w:tplc="E018BA10" w:tentative="1">
      <w:start w:val="1"/>
      <w:numFmt w:val="lowerLetter"/>
      <w:lvlText w:val="%2."/>
      <w:lvlJc w:val="left"/>
      <w:pPr>
        <w:tabs>
          <w:tab w:val="num" w:pos="1440"/>
        </w:tabs>
        <w:ind w:left="1440" w:hanging="360"/>
      </w:pPr>
      <w:rPr>
        <w:rFonts w:cs="Times New Roman"/>
      </w:rPr>
    </w:lvl>
    <w:lvl w:ilvl="2" w:tplc="9E4C4654" w:tentative="1">
      <w:start w:val="1"/>
      <w:numFmt w:val="lowerRoman"/>
      <w:lvlText w:val="%3."/>
      <w:lvlJc w:val="right"/>
      <w:pPr>
        <w:tabs>
          <w:tab w:val="num" w:pos="2160"/>
        </w:tabs>
        <w:ind w:left="2160" w:hanging="180"/>
      </w:pPr>
      <w:rPr>
        <w:rFonts w:cs="Times New Roman"/>
      </w:rPr>
    </w:lvl>
    <w:lvl w:ilvl="3" w:tplc="540E2AF2" w:tentative="1">
      <w:start w:val="1"/>
      <w:numFmt w:val="decimal"/>
      <w:lvlText w:val="%4."/>
      <w:lvlJc w:val="left"/>
      <w:pPr>
        <w:tabs>
          <w:tab w:val="num" w:pos="2880"/>
        </w:tabs>
        <w:ind w:left="2880" w:hanging="360"/>
      </w:pPr>
      <w:rPr>
        <w:rFonts w:cs="Times New Roman"/>
      </w:rPr>
    </w:lvl>
    <w:lvl w:ilvl="4" w:tplc="D2DE1A8C" w:tentative="1">
      <w:start w:val="1"/>
      <w:numFmt w:val="lowerLetter"/>
      <w:lvlText w:val="%5."/>
      <w:lvlJc w:val="left"/>
      <w:pPr>
        <w:tabs>
          <w:tab w:val="num" w:pos="3600"/>
        </w:tabs>
        <w:ind w:left="3600" w:hanging="360"/>
      </w:pPr>
      <w:rPr>
        <w:rFonts w:cs="Times New Roman"/>
      </w:rPr>
    </w:lvl>
    <w:lvl w:ilvl="5" w:tplc="C160FCC8" w:tentative="1">
      <w:start w:val="1"/>
      <w:numFmt w:val="lowerRoman"/>
      <w:lvlText w:val="%6."/>
      <w:lvlJc w:val="right"/>
      <w:pPr>
        <w:tabs>
          <w:tab w:val="num" w:pos="4320"/>
        </w:tabs>
        <w:ind w:left="4320" w:hanging="180"/>
      </w:pPr>
      <w:rPr>
        <w:rFonts w:cs="Times New Roman"/>
      </w:rPr>
    </w:lvl>
    <w:lvl w:ilvl="6" w:tplc="3EBAC7AC" w:tentative="1">
      <w:start w:val="1"/>
      <w:numFmt w:val="decimal"/>
      <w:lvlText w:val="%7."/>
      <w:lvlJc w:val="left"/>
      <w:pPr>
        <w:tabs>
          <w:tab w:val="num" w:pos="5040"/>
        </w:tabs>
        <w:ind w:left="5040" w:hanging="360"/>
      </w:pPr>
      <w:rPr>
        <w:rFonts w:cs="Times New Roman"/>
      </w:rPr>
    </w:lvl>
    <w:lvl w:ilvl="7" w:tplc="8998EE38" w:tentative="1">
      <w:start w:val="1"/>
      <w:numFmt w:val="lowerLetter"/>
      <w:lvlText w:val="%8."/>
      <w:lvlJc w:val="left"/>
      <w:pPr>
        <w:tabs>
          <w:tab w:val="num" w:pos="5760"/>
        </w:tabs>
        <w:ind w:left="5760" w:hanging="360"/>
      </w:pPr>
      <w:rPr>
        <w:rFonts w:cs="Times New Roman"/>
      </w:rPr>
    </w:lvl>
    <w:lvl w:ilvl="8" w:tplc="8892A8C8" w:tentative="1">
      <w:start w:val="1"/>
      <w:numFmt w:val="lowerRoman"/>
      <w:lvlText w:val="%9."/>
      <w:lvlJc w:val="right"/>
      <w:pPr>
        <w:tabs>
          <w:tab w:val="num" w:pos="6480"/>
        </w:tabs>
        <w:ind w:left="6480" w:hanging="180"/>
      </w:pPr>
      <w:rPr>
        <w:rFonts w:cs="Times New Roman"/>
      </w:rPr>
    </w:lvl>
  </w:abstractNum>
  <w:abstractNum w:abstractNumId="5" w15:restartNumberingAfterBreak="0">
    <w:nsid w:val="25526DC9"/>
    <w:multiLevelType w:val="hybridMultilevel"/>
    <w:tmpl w:val="6C00C9C2"/>
    <w:lvl w:ilvl="0" w:tplc="E780CBAE">
      <w:start w:val="1"/>
      <w:numFmt w:val="bullet"/>
      <w:lvlText w:val=""/>
      <w:lvlJc w:val="left"/>
      <w:pPr>
        <w:tabs>
          <w:tab w:val="num" w:pos="720"/>
        </w:tabs>
        <w:ind w:left="720" w:hanging="360"/>
      </w:pPr>
      <w:rPr>
        <w:rFonts w:ascii="Symbol" w:hAnsi="Symbol" w:hint="default"/>
      </w:rPr>
    </w:lvl>
    <w:lvl w:ilvl="1" w:tplc="6546C584" w:tentative="1">
      <w:start w:val="1"/>
      <w:numFmt w:val="bullet"/>
      <w:lvlText w:val="o"/>
      <w:lvlJc w:val="left"/>
      <w:pPr>
        <w:tabs>
          <w:tab w:val="num" w:pos="1440"/>
        </w:tabs>
        <w:ind w:left="1440" w:hanging="360"/>
      </w:pPr>
      <w:rPr>
        <w:rFonts w:ascii="Courier New" w:hAnsi="Courier New" w:hint="default"/>
      </w:rPr>
    </w:lvl>
    <w:lvl w:ilvl="2" w:tplc="F3C42672" w:tentative="1">
      <w:start w:val="1"/>
      <w:numFmt w:val="bullet"/>
      <w:lvlText w:val=""/>
      <w:lvlJc w:val="left"/>
      <w:pPr>
        <w:tabs>
          <w:tab w:val="num" w:pos="2160"/>
        </w:tabs>
        <w:ind w:left="2160" w:hanging="360"/>
      </w:pPr>
      <w:rPr>
        <w:rFonts w:ascii="Wingdings" w:hAnsi="Wingdings" w:hint="default"/>
      </w:rPr>
    </w:lvl>
    <w:lvl w:ilvl="3" w:tplc="376236A6" w:tentative="1">
      <w:start w:val="1"/>
      <w:numFmt w:val="bullet"/>
      <w:lvlText w:val=""/>
      <w:lvlJc w:val="left"/>
      <w:pPr>
        <w:tabs>
          <w:tab w:val="num" w:pos="2880"/>
        </w:tabs>
        <w:ind w:left="2880" w:hanging="360"/>
      </w:pPr>
      <w:rPr>
        <w:rFonts w:ascii="Symbol" w:hAnsi="Symbol" w:hint="default"/>
      </w:rPr>
    </w:lvl>
    <w:lvl w:ilvl="4" w:tplc="106A0E7A" w:tentative="1">
      <w:start w:val="1"/>
      <w:numFmt w:val="bullet"/>
      <w:lvlText w:val="o"/>
      <w:lvlJc w:val="left"/>
      <w:pPr>
        <w:tabs>
          <w:tab w:val="num" w:pos="3600"/>
        </w:tabs>
        <w:ind w:left="3600" w:hanging="360"/>
      </w:pPr>
      <w:rPr>
        <w:rFonts w:ascii="Courier New" w:hAnsi="Courier New" w:hint="default"/>
      </w:rPr>
    </w:lvl>
    <w:lvl w:ilvl="5" w:tplc="B8065710" w:tentative="1">
      <w:start w:val="1"/>
      <w:numFmt w:val="bullet"/>
      <w:lvlText w:val=""/>
      <w:lvlJc w:val="left"/>
      <w:pPr>
        <w:tabs>
          <w:tab w:val="num" w:pos="4320"/>
        </w:tabs>
        <w:ind w:left="4320" w:hanging="360"/>
      </w:pPr>
      <w:rPr>
        <w:rFonts w:ascii="Wingdings" w:hAnsi="Wingdings" w:hint="default"/>
      </w:rPr>
    </w:lvl>
    <w:lvl w:ilvl="6" w:tplc="5F9200D2" w:tentative="1">
      <w:start w:val="1"/>
      <w:numFmt w:val="bullet"/>
      <w:lvlText w:val=""/>
      <w:lvlJc w:val="left"/>
      <w:pPr>
        <w:tabs>
          <w:tab w:val="num" w:pos="5040"/>
        </w:tabs>
        <w:ind w:left="5040" w:hanging="360"/>
      </w:pPr>
      <w:rPr>
        <w:rFonts w:ascii="Symbol" w:hAnsi="Symbol" w:hint="default"/>
      </w:rPr>
    </w:lvl>
    <w:lvl w:ilvl="7" w:tplc="D2B4BFA4" w:tentative="1">
      <w:start w:val="1"/>
      <w:numFmt w:val="bullet"/>
      <w:lvlText w:val="o"/>
      <w:lvlJc w:val="left"/>
      <w:pPr>
        <w:tabs>
          <w:tab w:val="num" w:pos="5760"/>
        </w:tabs>
        <w:ind w:left="5760" w:hanging="360"/>
      </w:pPr>
      <w:rPr>
        <w:rFonts w:ascii="Courier New" w:hAnsi="Courier New" w:hint="default"/>
      </w:rPr>
    </w:lvl>
    <w:lvl w:ilvl="8" w:tplc="A8147B3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FA182E"/>
    <w:multiLevelType w:val="multilevel"/>
    <w:tmpl w:val="6930F656"/>
    <w:lvl w:ilvl="0">
      <w:start w:val="1"/>
      <w:numFmt w:val="decimal"/>
      <w:pStyle w:val="CodeItem"/>
      <w:lvlText w:val="Element %1:"/>
      <w:lvlJc w:val="left"/>
      <w:pPr>
        <w:tabs>
          <w:tab w:val="num" w:pos="2880"/>
        </w:tabs>
      </w:pPr>
      <w:rPr>
        <w:rFonts w:ascii="Arial Bold" w:hAnsi="Arial Bold" w:cs="Times New Roman" w:hint="default"/>
        <w:b/>
        <w:i w:val="0"/>
        <w:color w:val="auto"/>
      </w:rPr>
    </w:lvl>
    <w:lvl w:ilvl="1">
      <w:start w:val="1"/>
      <w:numFmt w:val="decimal"/>
      <w:pStyle w:val="CodeItem"/>
      <w:lvlText w:val="%2"/>
      <w:lvlJc w:val="left"/>
      <w:pPr>
        <w:tabs>
          <w:tab w:val="num" w:pos="1364"/>
        </w:tabs>
        <w:ind w:left="732" w:hanging="448"/>
      </w:pPr>
      <w:rPr>
        <w:rFonts w:cs="Times New Roman" w:hint="default"/>
        <w:color w:val="auto"/>
      </w:rPr>
    </w:lvl>
    <w:lvl w:ilvl="2">
      <w:start w:val="1"/>
      <w:numFmt w:val="decimal"/>
      <w:lvlText w:val="C%1.%2.%3."/>
      <w:lvlJc w:val="left"/>
      <w:pPr>
        <w:tabs>
          <w:tab w:val="num" w:pos="1224"/>
        </w:tabs>
        <w:ind w:left="1224" w:hanging="1224"/>
      </w:pPr>
      <w:rPr>
        <w:rFonts w:cs="Times New Roman" w:hint="default"/>
        <w:color w:val="666699"/>
      </w:rPr>
    </w:lvl>
    <w:lvl w:ilvl="3">
      <w:start w:val="1"/>
      <w:numFmt w:val="decimal"/>
      <w:lvlRestart w:val="0"/>
      <w:lvlText w:val="M%1.%2.%4."/>
      <w:lvlJc w:val="left"/>
      <w:pPr>
        <w:tabs>
          <w:tab w:val="num" w:pos="1225"/>
        </w:tabs>
        <w:ind w:left="1225" w:hanging="1225"/>
      </w:pPr>
      <w:rPr>
        <w:rFonts w:cs="Times New Roman" w:hint="default"/>
        <w:color w:val="666699"/>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15:restartNumberingAfterBreak="0">
    <w:nsid w:val="2F755832"/>
    <w:multiLevelType w:val="hybridMultilevel"/>
    <w:tmpl w:val="C23E6F62"/>
    <w:lvl w:ilvl="0" w:tplc="9CAC0942">
      <w:start w:val="1"/>
      <w:numFmt w:val="bullet"/>
      <w:lvlText w:val="·"/>
      <w:lvlJc w:val="left"/>
      <w:pPr>
        <w:tabs>
          <w:tab w:val="num" w:pos="360"/>
        </w:tabs>
        <w:ind w:left="360" w:hanging="360"/>
      </w:pPr>
      <w:rPr>
        <w:rFonts w:ascii="Symbol" w:hAnsi="Symbol" w:hint="default"/>
      </w:rPr>
    </w:lvl>
    <w:lvl w:ilvl="1" w:tplc="A35C9552">
      <w:start w:val="1"/>
      <w:numFmt w:val="bullet"/>
      <w:lvlText w:val="o"/>
      <w:lvlJc w:val="left"/>
      <w:pPr>
        <w:tabs>
          <w:tab w:val="num" w:pos="360"/>
        </w:tabs>
        <w:ind w:left="360" w:hanging="360"/>
      </w:pPr>
      <w:rPr>
        <w:rFonts w:ascii="Courier New" w:hAnsi="Courier New" w:hint="default"/>
      </w:rPr>
    </w:lvl>
    <w:lvl w:ilvl="2" w:tplc="F000B15C">
      <w:start w:val="1"/>
      <w:numFmt w:val="bullet"/>
      <w:lvlText w:val=""/>
      <w:lvlJc w:val="left"/>
      <w:pPr>
        <w:tabs>
          <w:tab w:val="num" w:pos="1080"/>
        </w:tabs>
        <w:ind w:left="1080" w:hanging="360"/>
      </w:pPr>
      <w:rPr>
        <w:rFonts w:ascii="Wingdings" w:hAnsi="Wingdings" w:hint="default"/>
      </w:rPr>
    </w:lvl>
    <w:lvl w:ilvl="3" w:tplc="989076A2">
      <w:start w:val="1"/>
      <w:numFmt w:val="bullet"/>
      <w:lvlText w:val=""/>
      <w:lvlJc w:val="left"/>
      <w:pPr>
        <w:tabs>
          <w:tab w:val="num" w:pos="1800"/>
        </w:tabs>
        <w:ind w:left="1800" w:hanging="360"/>
      </w:pPr>
      <w:rPr>
        <w:rFonts w:ascii="Symbol" w:hAnsi="Symbol" w:hint="default"/>
      </w:rPr>
    </w:lvl>
    <w:lvl w:ilvl="4" w:tplc="9EEC3766">
      <w:start w:val="1"/>
      <w:numFmt w:val="bullet"/>
      <w:lvlText w:val="o"/>
      <w:lvlJc w:val="left"/>
      <w:pPr>
        <w:tabs>
          <w:tab w:val="num" w:pos="2520"/>
        </w:tabs>
        <w:ind w:left="2520" w:hanging="360"/>
      </w:pPr>
      <w:rPr>
        <w:rFonts w:ascii="Courier New" w:hAnsi="Courier New" w:hint="default"/>
      </w:rPr>
    </w:lvl>
    <w:lvl w:ilvl="5" w:tplc="B8F6239E">
      <w:start w:val="1"/>
      <w:numFmt w:val="decimal"/>
      <w:lvlText w:val="%6."/>
      <w:lvlJc w:val="left"/>
      <w:pPr>
        <w:tabs>
          <w:tab w:val="num" w:pos="4320"/>
        </w:tabs>
        <w:ind w:left="4320" w:hanging="360"/>
      </w:pPr>
      <w:rPr>
        <w:rFonts w:cs="Times New Roman"/>
      </w:rPr>
    </w:lvl>
    <w:lvl w:ilvl="6" w:tplc="C67C0766">
      <w:start w:val="1"/>
      <w:numFmt w:val="decimal"/>
      <w:lvlText w:val="%7."/>
      <w:lvlJc w:val="left"/>
      <w:pPr>
        <w:tabs>
          <w:tab w:val="num" w:pos="5040"/>
        </w:tabs>
        <w:ind w:left="5040" w:hanging="360"/>
      </w:pPr>
      <w:rPr>
        <w:rFonts w:cs="Times New Roman"/>
      </w:rPr>
    </w:lvl>
    <w:lvl w:ilvl="7" w:tplc="439C1DD2">
      <w:start w:val="1"/>
      <w:numFmt w:val="decimal"/>
      <w:lvlText w:val="%8."/>
      <w:lvlJc w:val="left"/>
      <w:pPr>
        <w:tabs>
          <w:tab w:val="num" w:pos="5760"/>
        </w:tabs>
        <w:ind w:left="5760" w:hanging="360"/>
      </w:pPr>
      <w:rPr>
        <w:rFonts w:cs="Times New Roman"/>
      </w:rPr>
    </w:lvl>
    <w:lvl w:ilvl="8" w:tplc="628A9C9C">
      <w:start w:val="1"/>
      <w:numFmt w:val="decimal"/>
      <w:lvlText w:val="%9."/>
      <w:lvlJc w:val="left"/>
      <w:pPr>
        <w:tabs>
          <w:tab w:val="num" w:pos="6480"/>
        </w:tabs>
        <w:ind w:left="6480" w:hanging="360"/>
      </w:pPr>
      <w:rPr>
        <w:rFonts w:cs="Times New Roman"/>
      </w:rPr>
    </w:lvl>
  </w:abstractNum>
  <w:abstractNum w:abstractNumId="8" w15:restartNumberingAfterBreak="0">
    <w:nsid w:val="2FDA765D"/>
    <w:multiLevelType w:val="multilevel"/>
    <w:tmpl w:val="12BACE1A"/>
    <w:lvl w:ilvl="0">
      <w:start w:val="1"/>
      <w:numFmt w:val="lowerLetter"/>
      <w:pStyle w:val="codeList"/>
      <w:lvlText w:val="%1."/>
      <w:lvlJc w:val="left"/>
      <w:pPr>
        <w:tabs>
          <w:tab w:val="num" w:pos="454"/>
        </w:tabs>
        <w:ind w:left="454" w:hanging="454"/>
      </w:pPr>
      <w:rPr>
        <w:rFonts w:cs="Times New Roman" w:hint="default"/>
        <w:color w:val="auto"/>
      </w:rPr>
    </w:lvl>
    <w:lvl w:ilvl="1">
      <w:start w:val="1"/>
      <w:numFmt w:val="lowerRoman"/>
      <w:pStyle w:val="codeList2"/>
      <w:lvlText w:val="%2)"/>
      <w:lvlJc w:val="left"/>
      <w:pPr>
        <w:tabs>
          <w:tab w:val="num" w:pos="907"/>
        </w:tabs>
        <w:ind w:left="454"/>
      </w:pPr>
      <w:rPr>
        <w:rFonts w:cs="Times New Roman" w:hint="default"/>
        <w:color w:val="auto"/>
      </w:rPr>
    </w:lvl>
    <w:lvl w:ilvl="2">
      <w:start w:val="1"/>
      <w:numFmt w:val="decimal"/>
      <w:lvlText w:val="%1.%2.%3."/>
      <w:lvlJc w:val="left"/>
      <w:pPr>
        <w:tabs>
          <w:tab w:val="num" w:pos="373"/>
        </w:tabs>
        <w:ind w:left="373" w:hanging="504"/>
      </w:pPr>
      <w:rPr>
        <w:rFonts w:cs="Times New Roman" w:hint="default"/>
      </w:rPr>
    </w:lvl>
    <w:lvl w:ilvl="3">
      <w:start w:val="1"/>
      <w:numFmt w:val="decimal"/>
      <w:lvlText w:val="%1.%2.%3.%4."/>
      <w:lvlJc w:val="left"/>
      <w:pPr>
        <w:tabs>
          <w:tab w:val="num" w:pos="877"/>
        </w:tabs>
        <w:ind w:left="877" w:hanging="648"/>
      </w:pPr>
      <w:rPr>
        <w:rFonts w:cs="Times New Roman" w:hint="default"/>
      </w:rPr>
    </w:lvl>
    <w:lvl w:ilvl="4">
      <w:start w:val="1"/>
      <w:numFmt w:val="decimal"/>
      <w:lvlText w:val="%1.%2.%3.%4.%5."/>
      <w:lvlJc w:val="left"/>
      <w:pPr>
        <w:tabs>
          <w:tab w:val="num" w:pos="1381"/>
        </w:tabs>
        <w:ind w:left="1381" w:hanging="792"/>
      </w:pPr>
      <w:rPr>
        <w:rFonts w:cs="Times New Roman" w:hint="default"/>
      </w:rPr>
    </w:lvl>
    <w:lvl w:ilvl="5">
      <w:start w:val="1"/>
      <w:numFmt w:val="decimal"/>
      <w:lvlText w:val="%1.%2.%3.%4.%5.%6."/>
      <w:lvlJc w:val="left"/>
      <w:pPr>
        <w:tabs>
          <w:tab w:val="num" w:pos="1885"/>
        </w:tabs>
        <w:ind w:left="1885" w:hanging="936"/>
      </w:pPr>
      <w:rPr>
        <w:rFonts w:cs="Times New Roman" w:hint="default"/>
      </w:rPr>
    </w:lvl>
    <w:lvl w:ilvl="6">
      <w:start w:val="1"/>
      <w:numFmt w:val="decimal"/>
      <w:lvlText w:val="%1.%2.%3.%4.%5.%6.%7."/>
      <w:lvlJc w:val="left"/>
      <w:pPr>
        <w:tabs>
          <w:tab w:val="num" w:pos="2389"/>
        </w:tabs>
        <w:ind w:left="2389" w:hanging="1080"/>
      </w:pPr>
      <w:rPr>
        <w:rFonts w:cs="Times New Roman" w:hint="default"/>
      </w:rPr>
    </w:lvl>
    <w:lvl w:ilvl="7">
      <w:start w:val="1"/>
      <w:numFmt w:val="decimal"/>
      <w:lvlText w:val="%1.%2.%3.%4.%5.%6.%7.%8."/>
      <w:lvlJc w:val="left"/>
      <w:pPr>
        <w:tabs>
          <w:tab w:val="num" w:pos="2893"/>
        </w:tabs>
        <w:ind w:left="2893" w:hanging="1224"/>
      </w:pPr>
      <w:rPr>
        <w:rFonts w:cs="Times New Roman" w:hint="default"/>
      </w:rPr>
    </w:lvl>
    <w:lvl w:ilvl="8">
      <w:start w:val="1"/>
      <w:numFmt w:val="decimal"/>
      <w:lvlText w:val="%1.%2.%3.%4.%5.%6.%7.%8.%9."/>
      <w:lvlJc w:val="left"/>
      <w:pPr>
        <w:tabs>
          <w:tab w:val="num" w:pos="3469"/>
        </w:tabs>
        <w:ind w:left="3469" w:hanging="1440"/>
      </w:pPr>
      <w:rPr>
        <w:rFonts w:cs="Times New Roman" w:hint="default"/>
      </w:rPr>
    </w:lvl>
  </w:abstractNum>
  <w:abstractNum w:abstractNumId="9" w15:restartNumberingAfterBreak="0">
    <w:nsid w:val="327030A9"/>
    <w:multiLevelType w:val="hybridMultilevel"/>
    <w:tmpl w:val="E29C3266"/>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F14045"/>
    <w:multiLevelType w:val="hybridMultilevel"/>
    <w:tmpl w:val="2DF42E20"/>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7E38E4"/>
    <w:multiLevelType w:val="hybridMultilevel"/>
    <w:tmpl w:val="474A4444"/>
    <w:lvl w:ilvl="0" w:tplc="E20EB408">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2" w15:restartNumberingAfterBreak="0">
    <w:nsid w:val="489D7719"/>
    <w:multiLevelType w:val="hybridMultilevel"/>
    <w:tmpl w:val="A2A62AC4"/>
    <w:lvl w:ilvl="0" w:tplc="DFAA371A">
      <w:start w:val="1"/>
      <w:numFmt w:val="bullet"/>
      <w:lvlText w:val=""/>
      <w:lvlJc w:val="left"/>
      <w:pPr>
        <w:tabs>
          <w:tab w:val="num" w:pos="720"/>
        </w:tabs>
        <w:ind w:left="720" w:hanging="360"/>
      </w:pPr>
      <w:rPr>
        <w:rFonts w:ascii="Symbol" w:hAnsi="Symbol" w:hint="default"/>
      </w:rPr>
    </w:lvl>
    <w:lvl w:ilvl="1" w:tplc="5AEC928C" w:tentative="1">
      <w:start w:val="1"/>
      <w:numFmt w:val="bullet"/>
      <w:lvlText w:val="o"/>
      <w:lvlJc w:val="left"/>
      <w:pPr>
        <w:tabs>
          <w:tab w:val="num" w:pos="1440"/>
        </w:tabs>
        <w:ind w:left="1440" w:hanging="360"/>
      </w:pPr>
      <w:rPr>
        <w:rFonts w:ascii="Courier New" w:hAnsi="Courier New" w:hint="default"/>
      </w:rPr>
    </w:lvl>
    <w:lvl w:ilvl="2" w:tplc="AC32AE44" w:tentative="1">
      <w:start w:val="1"/>
      <w:numFmt w:val="bullet"/>
      <w:lvlText w:val=""/>
      <w:lvlJc w:val="left"/>
      <w:pPr>
        <w:tabs>
          <w:tab w:val="num" w:pos="2160"/>
        </w:tabs>
        <w:ind w:left="2160" w:hanging="360"/>
      </w:pPr>
      <w:rPr>
        <w:rFonts w:ascii="Wingdings" w:hAnsi="Wingdings" w:hint="default"/>
      </w:rPr>
    </w:lvl>
    <w:lvl w:ilvl="3" w:tplc="0C380058" w:tentative="1">
      <w:start w:val="1"/>
      <w:numFmt w:val="bullet"/>
      <w:lvlText w:val=""/>
      <w:lvlJc w:val="left"/>
      <w:pPr>
        <w:tabs>
          <w:tab w:val="num" w:pos="2880"/>
        </w:tabs>
        <w:ind w:left="2880" w:hanging="360"/>
      </w:pPr>
      <w:rPr>
        <w:rFonts w:ascii="Symbol" w:hAnsi="Symbol" w:hint="default"/>
      </w:rPr>
    </w:lvl>
    <w:lvl w:ilvl="4" w:tplc="B08EA564" w:tentative="1">
      <w:start w:val="1"/>
      <w:numFmt w:val="bullet"/>
      <w:lvlText w:val="o"/>
      <w:lvlJc w:val="left"/>
      <w:pPr>
        <w:tabs>
          <w:tab w:val="num" w:pos="3600"/>
        </w:tabs>
        <w:ind w:left="3600" w:hanging="360"/>
      </w:pPr>
      <w:rPr>
        <w:rFonts w:ascii="Courier New" w:hAnsi="Courier New" w:hint="default"/>
      </w:rPr>
    </w:lvl>
    <w:lvl w:ilvl="5" w:tplc="943A042A" w:tentative="1">
      <w:start w:val="1"/>
      <w:numFmt w:val="bullet"/>
      <w:lvlText w:val=""/>
      <w:lvlJc w:val="left"/>
      <w:pPr>
        <w:tabs>
          <w:tab w:val="num" w:pos="4320"/>
        </w:tabs>
        <w:ind w:left="4320" w:hanging="360"/>
      </w:pPr>
      <w:rPr>
        <w:rFonts w:ascii="Wingdings" w:hAnsi="Wingdings" w:hint="default"/>
      </w:rPr>
    </w:lvl>
    <w:lvl w:ilvl="6" w:tplc="03FAF1AA" w:tentative="1">
      <w:start w:val="1"/>
      <w:numFmt w:val="bullet"/>
      <w:lvlText w:val=""/>
      <w:lvlJc w:val="left"/>
      <w:pPr>
        <w:tabs>
          <w:tab w:val="num" w:pos="5040"/>
        </w:tabs>
        <w:ind w:left="5040" w:hanging="360"/>
      </w:pPr>
      <w:rPr>
        <w:rFonts w:ascii="Symbol" w:hAnsi="Symbol" w:hint="default"/>
      </w:rPr>
    </w:lvl>
    <w:lvl w:ilvl="7" w:tplc="AFAAA602" w:tentative="1">
      <w:start w:val="1"/>
      <w:numFmt w:val="bullet"/>
      <w:lvlText w:val="o"/>
      <w:lvlJc w:val="left"/>
      <w:pPr>
        <w:tabs>
          <w:tab w:val="num" w:pos="5760"/>
        </w:tabs>
        <w:ind w:left="5760" w:hanging="360"/>
      </w:pPr>
      <w:rPr>
        <w:rFonts w:ascii="Courier New" w:hAnsi="Courier New" w:hint="default"/>
      </w:rPr>
    </w:lvl>
    <w:lvl w:ilvl="8" w:tplc="36A2651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175E34"/>
    <w:multiLevelType w:val="hybridMultilevel"/>
    <w:tmpl w:val="664E1538"/>
    <w:lvl w:ilvl="0" w:tplc="0C090011">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4E3E71F1"/>
    <w:multiLevelType w:val="multilevel"/>
    <w:tmpl w:val="530694B6"/>
    <w:lvl w:ilvl="0">
      <w:start w:val="1"/>
      <w:numFmt w:val="decimal"/>
      <w:pStyle w:val="Head1"/>
      <w:lvlText w:val="%1."/>
      <w:lvlJc w:val="left"/>
      <w:pPr>
        <w:tabs>
          <w:tab w:val="num" w:pos="709"/>
        </w:tabs>
        <w:ind w:left="709" w:hanging="567"/>
      </w:pPr>
      <w:rPr>
        <w:rFonts w:cs="Times New Roman"/>
      </w:rPr>
    </w:lvl>
    <w:lvl w:ilvl="1">
      <w:start w:val="1"/>
      <w:numFmt w:val="decimal"/>
      <w:pStyle w:val="Head2"/>
      <w:lvlText w:val="%1.%2"/>
      <w:lvlJc w:val="left"/>
      <w:pPr>
        <w:tabs>
          <w:tab w:val="num" w:pos="567"/>
        </w:tabs>
        <w:ind w:left="567" w:hanging="567"/>
      </w:pPr>
      <w:rPr>
        <w:rFonts w:cs="Times New Roman"/>
      </w:rPr>
    </w:lvl>
    <w:lvl w:ilvl="2">
      <w:start w:val="1"/>
      <w:numFmt w:val="decimal"/>
      <w:pStyle w:val="Head3"/>
      <w:lvlText w:val="%1.%2.%3"/>
      <w:lvlJc w:val="left"/>
      <w:pPr>
        <w:tabs>
          <w:tab w:val="num" w:pos="567"/>
        </w:tabs>
        <w:ind w:left="567" w:hanging="567"/>
      </w:pPr>
      <w:rPr>
        <w:rFonts w:cs="Times New Roman"/>
      </w:rPr>
    </w:lvl>
    <w:lvl w:ilvl="3">
      <w:start w:val="1"/>
      <w:numFmt w:val="decimal"/>
      <w:lvlText w:val="%1.%2.%3.%4"/>
      <w:lvlJc w:val="left"/>
      <w:pPr>
        <w:tabs>
          <w:tab w:val="num" w:pos="1440"/>
        </w:tabs>
        <w:ind w:left="567" w:hanging="567"/>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15:restartNumberingAfterBreak="0">
    <w:nsid w:val="4FE95ECD"/>
    <w:multiLevelType w:val="hybridMultilevel"/>
    <w:tmpl w:val="4D58B528"/>
    <w:lvl w:ilvl="0" w:tplc="6D4209FC">
      <w:start w:val="1"/>
      <w:numFmt w:val="bullet"/>
      <w:lvlText w:val="·"/>
      <w:lvlJc w:val="left"/>
      <w:pPr>
        <w:tabs>
          <w:tab w:val="num" w:pos="360"/>
        </w:tabs>
        <w:ind w:left="360" w:hanging="360"/>
      </w:pPr>
      <w:rPr>
        <w:rFonts w:ascii="Symbol" w:hAnsi="Symbol" w:hint="default"/>
      </w:rPr>
    </w:lvl>
    <w:lvl w:ilvl="1" w:tplc="6A2C9608">
      <w:start w:val="1"/>
      <w:numFmt w:val="decimal"/>
      <w:lvlText w:val="%2."/>
      <w:lvlJc w:val="left"/>
      <w:pPr>
        <w:tabs>
          <w:tab w:val="num" w:pos="1440"/>
        </w:tabs>
        <w:ind w:left="1440" w:hanging="360"/>
      </w:pPr>
      <w:rPr>
        <w:rFonts w:cs="Times New Roman"/>
      </w:rPr>
    </w:lvl>
    <w:lvl w:ilvl="2" w:tplc="51FC830E">
      <w:start w:val="1"/>
      <w:numFmt w:val="decimal"/>
      <w:lvlText w:val="%3."/>
      <w:lvlJc w:val="left"/>
      <w:pPr>
        <w:tabs>
          <w:tab w:val="num" w:pos="2160"/>
        </w:tabs>
        <w:ind w:left="2160" w:hanging="360"/>
      </w:pPr>
      <w:rPr>
        <w:rFonts w:cs="Times New Roman"/>
      </w:rPr>
    </w:lvl>
    <w:lvl w:ilvl="3" w:tplc="0FFEEF56">
      <w:start w:val="1"/>
      <w:numFmt w:val="decimal"/>
      <w:lvlText w:val="%4."/>
      <w:lvlJc w:val="left"/>
      <w:pPr>
        <w:tabs>
          <w:tab w:val="num" w:pos="2880"/>
        </w:tabs>
        <w:ind w:left="2880" w:hanging="360"/>
      </w:pPr>
      <w:rPr>
        <w:rFonts w:cs="Times New Roman"/>
      </w:rPr>
    </w:lvl>
    <w:lvl w:ilvl="4" w:tplc="36FCE322">
      <w:start w:val="1"/>
      <w:numFmt w:val="decimal"/>
      <w:lvlText w:val="%5."/>
      <w:lvlJc w:val="left"/>
      <w:pPr>
        <w:tabs>
          <w:tab w:val="num" w:pos="3600"/>
        </w:tabs>
        <w:ind w:left="3600" w:hanging="360"/>
      </w:pPr>
      <w:rPr>
        <w:rFonts w:cs="Times New Roman"/>
      </w:rPr>
    </w:lvl>
    <w:lvl w:ilvl="5" w:tplc="55C266F0">
      <w:start w:val="1"/>
      <w:numFmt w:val="decimal"/>
      <w:lvlText w:val="%6."/>
      <w:lvlJc w:val="left"/>
      <w:pPr>
        <w:tabs>
          <w:tab w:val="num" w:pos="4320"/>
        </w:tabs>
        <w:ind w:left="4320" w:hanging="360"/>
      </w:pPr>
      <w:rPr>
        <w:rFonts w:cs="Times New Roman"/>
      </w:rPr>
    </w:lvl>
    <w:lvl w:ilvl="6" w:tplc="87E4D90C">
      <w:start w:val="1"/>
      <w:numFmt w:val="decimal"/>
      <w:lvlText w:val="%7."/>
      <w:lvlJc w:val="left"/>
      <w:pPr>
        <w:tabs>
          <w:tab w:val="num" w:pos="5040"/>
        </w:tabs>
        <w:ind w:left="5040" w:hanging="360"/>
      </w:pPr>
      <w:rPr>
        <w:rFonts w:cs="Times New Roman"/>
      </w:rPr>
    </w:lvl>
    <w:lvl w:ilvl="7" w:tplc="1C704474">
      <w:start w:val="1"/>
      <w:numFmt w:val="decimal"/>
      <w:lvlText w:val="%8."/>
      <w:lvlJc w:val="left"/>
      <w:pPr>
        <w:tabs>
          <w:tab w:val="num" w:pos="5760"/>
        </w:tabs>
        <w:ind w:left="5760" w:hanging="360"/>
      </w:pPr>
      <w:rPr>
        <w:rFonts w:cs="Times New Roman"/>
      </w:rPr>
    </w:lvl>
    <w:lvl w:ilvl="8" w:tplc="A0764428">
      <w:start w:val="1"/>
      <w:numFmt w:val="decimal"/>
      <w:lvlText w:val="%9."/>
      <w:lvlJc w:val="left"/>
      <w:pPr>
        <w:tabs>
          <w:tab w:val="num" w:pos="6480"/>
        </w:tabs>
        <w:ind w:left="6480" w:hanging="360"/>
      </w:pPr>
      <w:rPr>
        <w:rFonts w:cs="Times New Roman"/>
      </w:rPr>
    </w:lvl>
  </w:abstractNum>
  <w:abstractNum w:abstractNumId="16" w15:restartNumberingAfterBreak="0">
    <w:nsid w:val="518B782E"/>
    <w:multiLevelType w:val="hybridMultilevel"/>
    <w:tmpl w:val="C3541EAA"/>
    <w:lvl w:ilvl="0" w:tplc="C400F0F6">
      <w:start w:val="2"/>
      <w:numFmt w:val="upperLetter"/>
      <w:lvlText w:val="%1."/>
      <w:lvlJc w:val="left"/>
      <w:pPr>
        <w:tabs>
          <w:tab w:val="num" w:pos="540"/>
        </w:tabs>
        <w:ind w:left="540" w:hanging="540"/>
      </w:pPr>
      <w:rPr>
        <w:rFonts w:cs="Times New Roman" w:hint="default"/>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5C0E6170"/>
    <w:multiLevelType w:val="hybridMultilevel"/>
    <w:tmpl w:val="536E0E5E"/>
    <w:lvl w:ilvl="0" w:tplc="E6669B54">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8" w15:restartNumberingAfterBreak="0">
    <w:nsid w:val="635922D3"/>
    <w:multiLevelType w:val="hybridMultilevel"/>
    <w:tmpl w:val="4AAE4E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6D687DEE"/>
    <w:multiLevelType w:val="hybridMultilevel"/>
    <w:tmpl w:val="C138F1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76766F06"/>
    <w:multiLevelType w:val="hybridMultilevel"/>
    <w:tmpl w:val="3A262522"/>
    <w:lvl w:ilvl="0" w:tplc="C08A03D0">
      <w:start w:val="1"/>
      <w:numFmt w:val="decimal"/>
      <w:pStyle w:val="TAeditorialitemcodeheading"/>
      <w:lvlText w:val="C%1."/>
      <w:lvlJc w:val="left"/>
      <w:pPr>
        <w:tabs>
          <w:tab w:val="num" w:pos="720"/>
        </w:tabs>
        <w:ind w:left="72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7A36D01"/>
    <w:multiLevelType w:val="multilevel"/>
    <w:tmpl w:val="8D22DC4C"/>
    <w:lvl w:ilvl="0">
      <w:start w:val="1"/>
      <w:numFmt w:val="decimal"/>
      <w:pStyle w:val="Heading1"/>
      <w:suff w:val="space"/>
      <w:lvlText w:val="%1."/>
      <w:lvlJc w:val="left"/>
      <w:pPr>
        <w:ind w:left="720" w:hanging="720"/>
      </w:pPr>
      <w:rPr>
        <w:rFonts w:cs="Times New Roman" w:hint="default"/>
      </w:rPr>
    </w:lvl>
    <w:lvl w:ilvl="1">
      <w:start w:val="1"/>
      <w:numFmt w:val="decimal"/>
      <w:lvlRestart w:val="0"/>
      <w:suff w:val="space"/>
      <w:lvlText w:val="%1.%2"/>
      <w:lvlJc w:val="left"/>
      <w:pPr>
        <w:ind w:left="720" w:hanging="720"/>
      </w:pPr>
      <w:rPr>
        <w:rFonts w:cs="Times New Roman" w:hint="default"/>
      </w:rPr>
    </w:lvl>
    <w:lvl w:ilvl="2">
      <w:start w:val="1"/>
      <w:numFmt w:val="decimal"/>
      <w:lvlRestart w:val="0"/>
      <w:pStyle w:val="TAsectionheading3"/>
      <w:suff w:val="nothing"/>
      <w:lvlText w:val="%1.%3"/>
      <w:lvlJc w:val="left"/>
      <w:pPr>
        <w:ind w:left="720" w:hanging="720"/>
      </w:pPr>
      <w:rPr>
        <w:rFonts w:cs="Times New Roman" w:hint="default"/>
      </w:rPr>
    </w:lvl>
    <w:lvl w:ilvl="3">
      <w:start w:val="1"/>
      <w:numFmt w:val="decimal"/>
      <w:lvlText w:val="%1.%2.%3.%4"/>
      <w:lvlJc w:val="left"/>
      <w:pPr>
        <w:tabs>
          <w:tab w:val="num" w:pos="1440"/>
        </w:tabs>
        <w:ind w:left="567" w:hanging="56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2" w15:restartNumberingAfterBreak="0">
    <w:nsid w:val="7F9428FA"/>
    <w:multiLevelType w:val="hybridMultilevel"/>
    <w:tmpl w:val="3514C706"/>
    <w:lvl w:ilvl="0" w:tplc="8B56E5A2">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2"/>
  </w:num>
  <w:num w:numId="7">
    <w:abstractNumId w:val="2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0"/>
  </w:num>
  <w:num w:numId="12">
    <w:abstractNumId w:val="4"/>
  </w:num>
  <w:num w:numId="13">
    <w:abstractNumId w:val="10"/>
  </w:num>
  <w:num w:numId="14">
    <w:abstractNumId w:val="9"/>
  </w:num>
  <w:num w:numId="15">
    <w:abstractNumId w:val="22"/>
  </w:num>
  <w:num w:numId="16">
    <w:abstractNumId w:val="18"/>
  </w:num>
  <w:num w:numId="17">
    <w:abstractNumId w:val="19"/>
  </w:num>
  <w:num w:numId="18">
    <w:abstractNumId w:val="17"/>
  </w:num>
  <w:num w:numId="19">
    <w:abstractNumId w:val="2"/>
  </w:num>
  <w:num w:numId="20">
    <w:abstractNumId w:val="16"/>
  </w:num>
  <w:num w:numId="21">
    <w:abstractNumId w:val="20"/>
  </w:num>
  <w:num w:numId="22">
    <w:abstractNumId w:val="3"/>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822F5"/>
    <w:rsid w:val="0000675D"/>
    <w:rsid w:val="000127F9"/>
    <w:rsid w:val="00016D01"/>
    <w:rsid w:val="0003060E"/>
    <w:rsid w:val="000344C8"/>
    <w:rsid w:val="00043D1A"/>
    <w:rsid w:val="00062A00"/>
    <w:rsid w:val="000B35F4"/>
    <w:rsid w:val="000C2889"/>
    <w:rsid w:val="000E3560"/>
    <w:rsid w:val="000E7235"/>
    <w:rsid w:val="000F0F43"/>
    <w:rsid w:val="000F5772"/>
    <w:rsid w:val="000F5B95"/>
    <w:rsid w:val="00100BB1"/>
    <w:rsid w:val="00107597"/>
    <w:rsid w:val="0013563B"/>
    <w:rsid w:val="00140C64"/>
    <w:rsid w:val="00153A19"/>
    <w:rsid w:val="00173212"/>
    <w:rsid w:val="00185F4C"/>
    <w:rsid w:val="001947A1"/>
    <w:rsid w:val="001B4B23"/>
    <w:rsid w:val="001C7DA6"/>
    <w:rsid w:val="001E5B78"/>
    <w:rsid w:val="001F16F4"/>
    <w:rsid w:val="001F3D81"/>
    <w:rsid w:val="00233134"/>
    <w:rsid w:val="00233737"/>
    <w:rsid w:val="00233799"/>
    <w:rsid w:val="0026582E"/>
    <w:rsid w:val="00282147"/>
    <w:rsid w:val="00292496"/>
    <w:rsid w:val="0029638B"/>
    <w:rsid w:val="002B45A8"/>
    <w:rsid w:val="002C6801"/>
    <w:rsid w:val="002D3C84"/>
    <w:rsid w:val="002E3854"/>
    <w:rsid w:val="00326A2B"/>
    <w:rsid w:val="00330ED2"/>
    <w:rsid w:val="00331038"/>
    <w:rsid w:val="00341693"/>
    <w:rsid w:val="00342800"/>
    <w:rsid w:val="00364C08"/>
    <w:rsid w:val="00374D51"/>
    <w:rsid w:val="003778EC"/>
    <w:rsid w:val="00395F31"/>
    <w:rsid w:val="00397E86"/>
    <w:rsid w:val="003E4E00"/>
    <w:rsid w:val="00400F1A"/>
    <w:rsid w:val="00436861"/>
    <w:rsid w:val="00444640"/>
    <w:rsid w:val="00446963"/>
    <w:rsid w:val="0045491C"/>
    <w:rsid w:val="00461BCC"/>
    <w:rsid w:val="0046507F"/>
    <w:rsid w:val="00467000"/>
    <w:rsid w:val="004721B0"/>
    <w:rsid w:val="00472E51"/>
    <w:rsid w:val="004B17D2"/>
    <w:rsid w:val="004D6DC5"/>
    <w:rsid w:val="004E1592"/>
    <w:rsid w:val="004F5968"/>
    <w:rsid w:val="00503DE7"/>
    <w:rsid w:val="00505DCF"/>
    <w:rsid w:val="00522A76"/>
    <w:rsid w:val="00535C11"/>
    <w:rsid w:val="00542908"/>
    <w:rsid w:val="0056366D"/>
    <w:rsid w:val="005A488A"/>
    <w:rsid w:val="005C7E19"/>
    <w:rsid w:val="00605C75"/>
    <w:rsid w:val="00607B68"/>
    <w:rsid w:val="006163D7"/>
    <w:rsid w:val="0061796B"/>
    <w:rsid w:val="00626C09"/>
    <w:rsid w:val="00631B4B"/>
    <w:rsid w:val="00631C21"/>
    <w:rsid w:val="00654213"/>
    <w:rsid w:val="00687F50"/>
    <w:rsid w:val="006A1BA1"/>
    <w:rsid w:val="006B439D"/>
    <w:rsid w:val="006C6498"/>
    <w:rsid w:val="006C6531"/>
    <w:rsid w:val="006D6E4E"/>
    <w:rsid w:val="00700547"/>
    <w:rsid w:val="00734177"/>
    <w:rsid w:val="00740FE3"/>
    <w:rsid w:val="00741D38"/>
    <w:rsid w:val="007450B1"/>
    <w:rsid w:val="0076090E"/>
    <w:rsid w:val="007700ED"/>
    <w:rsid w:val="007759BA"/>
    <w:rsid w:val="00776650"/>
    <w:rsid w:val="007822F5"/>
    <w:rsid w:val="007A101A"/>
    <w:rsid w:val="007B50F1"/>
    <w:rsid w:val="007E3436"/>
    <w:rsid w:val="007E4DC3"/>
    <w:rsid w:val="007F5E7C"/>
    <w:rsid w:val="00801287"/>
    <w:rsid w:val="008148E9"/>
    <w:rsid w:val="00830710"/>
    <w:rsid w:val="00832E50"/>
    <w:rsid w:val="0084177B"/>
    <w:rsid w:val="00860DFA"/>
    <w:rsid w:val="00895328"/>
    <w:rsid w:val="008A2AE9"/>
    <w:rsid w:val="008A7B45"/>
    <w:rsid w:val="008B5F10"/>
    <w:rsid w:val="008B63D6"/>
    <w:rsid w:val="008C3F65"/>
    <w:rsid w:val="008D1CDD"/>
    <w:rsid w:val="008E2CDC"/>
    <w:rsid w:val="00900528"/>
    <w:rsid w:val="00901AA0"/>
    <w:rsid w:val="00904EEE"/>
    <w:rsid w:val="00906588"/>
    <w:rsid w:val="00907DC3"/>
    <w:rsid w:val="0092546C"/>
    <w:rsid w:val="009300B4"/>
    <w:rsid w:val="00942153"/>
    <w:rsid w:val="00946E27"/>
    <w:rsid w:val="00964BB5"/>
    <w:rsid w:val="00992546"/>
    <w:rsid w:val="009A70DB"/>
    <w:rsid w:val="009E3621"/>
    <w:rsid w:val="009E554C"/>
    <w:rsid w:val="009F4308"/>
    <w:rsid w:val="00A0128A"/>
    <w:rsid w:val="00A14B60"/>
    <w:rsid w:val="00A1606A"/>
    <w:rsid w:val="00A20991"/>
    <w:rsid w:val="00A3342D"/>
    <w:rsid w:val="00A41C39"/>
    <w:rsid w:val="00AA1268"/>
    <w:rsid w:val="00AC4D3C"/>
    <w:rsid w:val="00AD113C"/>
    <w:rsid w:val="00AD708A"/>
    <w:rsid w:val="00AE13B4"/>
    <w:rsid w:val="00AE3608"/>
    <w:rsid w:val="00B07DA8"/>
    <w:rsid w:val="00B26856"/>
    <w:rsid w:val="00B60792"/>
    <w:rsid w:val="00B702C9"/>
    <w:rsid w:val="00BA7B28"/>
    <w:rsid w:val="00BB0262"/>
    <w:rsid w:val="00BB427A"/>
    <w:rsid w:val="00BC1FD6"/>
    <w:rsid w:val="00BC5404"/>
    <w:rsid w:val="00BE441E"/>
    <w:rsid w:val="00C427F8"/>
    <w:rsid w:val="00C450E4"/>
    <w:rsid w:val="00C45772"/>
    <w:rsid w:val="00C55902"/>
    <w:rsid w:val="00C64E2A"/>
    <w:rsid w:val="00C83F57"/>
    <w:rsid w:val="00C96FFF"/>
    <w:rsid w:val="00CC4B5D"/>
    <w:rsid w:val="00CE0CEA"/>
    <w:rsid w:val="00D16112"/>
    <w:rsid w:val="00D17F05"/>
    <w:rsid w:val="00D31086"/>
    <w:rsid w:val="00D70183"/>
    <w:rsid w:val="00D87324"/>
    <w:rsid w:val="00DD7F14"/>
    <w:rsid w:val="00DF309D"/>
    <w:rsid w:val="00DF7B07"/>
    <w:rsid w:val="00E0710A"/>
    <w:rsid w:val="00E37F96"/>
    <w:rsid w:val="00E500D1"/>
    <w:rsid w:val="00E55BEC"/>
    <w:rsid w:val="00E57C2A"/>
    <w:rsid w:val="00E62E7E"/>
    <w:rsid w:val="00E825F2"/>
    <w:rsid w:val="00E918EF"/>
    <w:rsid w:val="00EA6CB1"/>
    <w:rsid w:val="00EB5298"/>
    <w:rsid w:val="00EC33ED"/>
    <w:rsid w:val="00EC4ACA"/>
    <w:rsid w:val="00EE09D0"/>
    <w:rsid w:val="00EF5F0F"/>
    <w:rsid w:val="00F44802"/>
    <w:rsid w:val="00F4654A"/>
    <w:rsid w:val="00F51D72"/>
    <w:rsid w:val="00FA068F"/>
    <w:rsid w:val="00FA475C"/>
    <w:rsid w:val="00FC3C46"/>
    <w:rsid w:val="00FD34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A834D528-038F-494A-8F45-9AEBE6A32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uiPriority w:val="9"/>
    <w:qFormat/>
    <w:pPr>
      <w:keepNext/>
      <w:numPr>
        <w:numId w:val="7"/>
      </w:numPr>
      <w:tabs>
        <w:tab w:val="left" w:pos="720"/>
      </w:tabs>
      <w:spacing w:after="240"/>
      <w:outlineLvl w:val="0"/>
    </w:pPr>
    <w:rPr>
      <w:rFonts w:cs="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cs="Arial"/>
      <w:b/>
      <w:bCs/>
      <w:sz w:val="26"/>
      <w:szCs w:val="26"/>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styleId="Hyperlink">
    <w:name w:val="Hyperlink"/>
    <w:basedOn w:val="DefaultParagraphFont"/>
    <w:uiPriority w:val="99"/>
    <w:rPr>
      <w:rFonts w:cs="Times New Roman"/>
      <w:color w:val="0000FF"/>
      <w:u w:val="single"/>
    </w:rPr>
  </w:style>
  <w:style w:type="paragraph" w:styleId="TOC1">
    <w:name w:val="toc 1"/>
    <w:basedOn w:val="Normal"/>
    <w:next w:val="BodyText"/>
    <w:uiPriority w:val="39"/>
    <w:pPr>
      <w:spacing w:before="360"/>
    </w:pPr>
    <w:rPr>
      <w:caps/>
      <w:noProof/>
    </w:rPr>
  </w:style>
  <w:style w:type="paragraph" w:styleId="TOC2">
    <w:name w:val="toc 2"/>
    <w:basedOn w:val="Normal"/>
    <w:next w:val="BlockText"/>
    <w:uiPriority w:val="39"/>
    <w:pPr>
      <w:spacing w:before="240"/>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sid w:val="00EC33ED"/>
    <w:rPr>
      <w:rFonts w:ascii="Arial" w:hAnsi="Arial" w:cs="Times New Roman"/>
      <w:sz w:val="24"/>
      <w:szCs w:val="24"/>
    </w:rPr>
  </w:style>
  <w:style w:type="character" w:customStyle="1" w:styleId="BodyTextChar">
    <w:name w:val="Body Text Char"/>
    <w:basedOn w:val="DefaultParagraphFont"/>
    <w:link w:val="BodyText"/>
    <w:semiHidden/>
    <w:locked/>
    <w:rPr>
      <w:rFonts w:cs="Times New Roman"/>
      <w:sz w:val="24"/>
      <w:szCs w:val="24"/>
      <w:lang w:val="en-AU" w:eastAsia="en-AU" w:bidi="ar-SA"/>
    </w:rPr>
  </w:style>
  <w:style w:type="paragraph" w:styleId="BodyText">
    <w:name w:val="Body Text"/>
    <w:basedOn w:val="Normal"/>
    <w:link w:val="BodyTextChar"/>
    <w:uiPriority w:val="99"/>
    <w:pPr>
      <w:spacing w:after="120"/>
    </w:pPr>
  </w:style>
  <w:style w:type="character" w:customStyle="1" w:styleId="BodyTextChar1">
    <w:name w:val="Body Text Char1"/>
    <w:basedOn w:val="DefaultParagraphFont"/>
    <w:uiPriority w:val="99"/>
    <w:semiHidden/>
    <w:rPr>
      <w:rFonts w:ascii="Arial" w:hAnsi="Arial"/>
      <w:sz w:val="24"/>
      <w:szCs w:val="24"/>
    </w:rPr>
  </w:style>
  <w:style w:type="paragraph" w:customStyle="1" w:styleId="Head1">
    <w:name w:val="Head 1"/>
    <w:basedOn w:val="Normal"/>
    <w:next w:val="BodyText"/>
    <w:pPr>
      <w:numPr>
        <w:numId w:val="1"/>
      </w:numPr>
      <w:spacing w:after="240"/>
    </w:pPr>
    <w:rPr>
      <w:b/>
      <w:sz w:val="36"/>
    </w:rPr>
  </w:style>
  <w:style w:type="paragraph" w:customStyle="1" w:styleId="Head2">
    <w:name w:val="Head 2"/>
    <w:basedOn w:val="Normal"/>
    <w:next w:val="BodyText"/>
    <w:pPr>
      <w:numPr>
        <w:ilvl w:val="1"/>
        <w:numId w:val="1"/>
      </w:numPr>
      <w:spacing w:after="240"/>
    </w:pPr>
    <w:rPr>
      <w:b/>
      <w:sz w:val="32"/>
    </w:rPr>
  </w:style>
  <w:style w:type="paragraph" w:customStyle="1" w:styleId="Head3">
    <w:name w:val="Head 3"/>
    <w:basedOn w:val="Normal"/>
    <w:next w:val="BodyText"/>
    <w:pPr>
      <w:numPr>
        <w:ilvl w:val="2"/>
        <w:numId w:val="1"/>
      </w:numPr>
      <w:spacing w:after="240"/>
    </w:pPr>
    <w:rPr>
      <w:b/>
    </w:rPr>
  </w:style>
  <w:style w:type="paragraph" w:customStyle="1" w:styleId="TAbodytext">
    <w:name w:val="TA body text"/>
    <w:basedOn w:val="Normal"/>
    <w:link w:val="TAbodytextChar"/>
    <w:pPr>
      <w:tabs>
        <w:tab w:val="left" w:pos="720"/>
        <w:tab w:val="left" w:pos="1440"/>
      </w:tabs>
      <w:spacing w:after="120"/>
    </w:pPr>
  </w:style>
  <w:style w:type="paragraph" w:customStyle="1" w:styleId="TAsectionheading2">
    <w:name w:val="TA section heading 2"/>
    <w:basedOn w:val="Heading2"/>
    <w:pPr>
      <w:keepNext w:val="0"/>
      <w:tabs>
        <w:tab w:val="left" w:pos="1440"/>
      </w:tabs>
      <w:spacing w:before="0" w:after="240"/>
    </w:pPr>
    <w:rPr>
      <w:bCs w:val="0"/>
      <w:i w:val="0"/>
      <w:iCs w:val="0"/>
    </w:rPr>
  </w:style>
  <w:style w:type="paragraph" w:styleId="TOC3">
    <w:name w:val="toc 3"/>
    <w:basedOn w:val="Normal"/>
    <w:next w:val="BodyText"/>
    <w:autoRedefine/>
    <w:uiPriority w:val="39"/>
    <w:pPr>
      <w:tabs>
        <w:tab w:val="left" w:pos="1202"/>
        <w:tab w:val="right" w:leader="dot" w:pos="8835"/>
      </w:tabs>
      <w:spacing w:before="240"/>
    </w:pPr>
  </w:style>
  <w:style w:type="paragraph" w:customStyle="1" w:styleId="TAtitlepageplanninganddevelopmentact">
    <w:name w:val="TA title page planning and development act"/>
    <w:basedOn w:val="BodyText"/>
    <w:link w:val="TAtitlepageplanninganddevelopmentactCharChar"/>
    <w:pPr>
      <w:tabs>
        <w:tab w:val="left" w:pos="720"/>
        <w:tab w:val="left" w:pos="1440"/>
      </w:tabs>
      <w:ind w:left="567"/>
      <w:jc w:val="center"/>
    </w:pPr>
    <w:rPr>
      <w:rFonts w:cs="Arial"/>
      <w:sz w:val="32"/>
    </w:rPr>
  </w:style>
  <w:style w:type="character" w:customStyle="1" w:styleId="TAtitlepageplanninganddevelopmentactCharChar">
    <w:name w:val="TA title page planning and development act Char Char"/>
    <w:basedOn w:val="DefaultParagraphFont"/>
    <w:link w:val="TAtitlepageplanninganddevelopmentact"/>
    <w:locked/>
    <w:rPr>
      <w:rFonts w:ascii="Arial" w:hAnsi="Arial" w:cs="Arial"/>
      <w:sz w:val="24"/>
      <w:szCs w:val="24"/>
      <w:lang w:val="en-AU" w:eastAsia="en-AU" w:bidi="ar-SA"/>
    </w:rPr>
  </w:style>
  <w:style w:type="paragraph" w:customStyle="1" w:styleId="TATitlepagedocumenttitle">
    <w:name w:val="TA Title page document title"/>
    <w:basedOn w:val="BodyText"/>
    <w:pPr>
      <w:pBdr>
        <w:top w:val="single" w:sz="4" w:space="1" w:color="auto"/>
        <w:left w:val="single" w:sz="4" w:space="4" w:color="auto"/>
        <w:bottom w:val="single" w:sz="4" w:space="1" w:color="auto"/>
        <w:right w:val="single" w:sz="4" w:space="4" w:color="auto"/>
      </w:pBdr>
      <w:shd w:val="clear" w:color="auto" w:fill="F3F3F3"/>
      <w:tabs>
        <w:tab w:val="left" w:pos="720"/>
        <w:tab w:val="left" w:pos="1440"/>
      </w:tabs>
      <w:ind w:left="567"/>
      <w:jc w:val="center"/>
    </w:pPr>
    <w:rPr>
      <w:rFonts w:cs="Arial"/>
      <w:b/>
      <w:bCs/>
      <w:sz w:val="74"/>
    </w:rPr>
  </w:style>
  <w:style w:type="paragraph" w:customStyle="1" w:styleId="TATitleexplanatoryheading">
    <w:name w:val="TA Title explanatory heading"/>
    <w:basedOn w:val="Normal"/>
    <w:pPr>
      <w:jc w:val="center"/>
    </w:pPr>
    <w:rPr>
      <w:rFonts w:cs="Arial"/>
      <w:sz w:val="40"/>
      <w:szCs w:val="40"/>
    </w:rPr>
  </w:style>
  <w:style w:type="paragraph" w:customStyle="1" w:styleId="TAeditorialitemgeneralheading">
    <w:name w:val="TA editorial item general heading"/>
    <w:basedOn w:val="Normal"/>
    <w:pPr>
      <w:numPr>
        <w:numId w:val="11"/>
      </w:numPr>
      <w:pBdr>
        <w:top w:val="single" w:sz="4" w:space="1" w:color="auto"/>
        <w:left w:val="single" w:sz="4" w:space="4" w:color="auto"/>
        <w:bottom w:val="single" w:sz="4" w:space="1" w:color="auto"/>
        <w:right w:val="single" w:sz="4" w:space="4" w:color="auto"/>
      </w:pBdr>
      <w:shd w:val="clear" w:color="auto" w:fill="D9D9D9"/>
      <w:ind w:hanging="720"/>
    </w:pPr>
    <w:rPr>
      <w:b/>
    </w:rPr>
  </w:style>
  <w:style w:type="paragraph" w:customStyle="1" w:styleId="TAeditorialinstructions">
    <w:name w:val="TA editorial instructions"/>
    <w:basedOn w:val="Normal"/>
    <w:rsid w:val="001C7DA6"/>
    <w:pPr>
      <w:ind w:left="720"/>
    </w:pPr>
    <w:rPr>
      <w:i/>
      <w:iCs/>
    </w:rPr>
  </w:style>
  <w:style w:type="paragraph" w:customStyle="1" w:styleId="CodeItem">
    <w:name w:val="CodeItem"/>
    <w:basedOn w:val="Normal"/>
    <w:pPr>
      <w:numPr>
        <w:ilvl w:val="1"/>
        <w:numId w:val="9"/>
      </w:numPr>
      <w:spacing w:before="60" w:after="60"/>
    </w:pPr>
    <w:rPr>
      <w:rFonts w:cs="Arial"/>
      <w:b/>
      <w:bCs/>
      <w:sz w:val="20"/>
      <w:szCs w:val="20"/>
      <w:lang w:eastAsia="en-US"/>
    </w:rPr>
  </w:style>
  <w:style w:type="paragraph" w:customStyle="1" w:styleId="codeRuleCriteria">
    <w:name w:val="codeRuleCriteria"/>
    <w:basedOn w:val="Normal"/>
    <w:pPr>
      <w:spacing w:before="60" w:after="60" w:line="288" w:lineRule="auto"/>
    </w:pPr>
    <w:rPr>
      <w:rFonts w:cs="Arial"/>
      <w:sz w:val="20"/>
      <w:szCs w:val="20"/>
      <w:lang w:eastAsia="en-US"/>
    </w:rPr>
  </w:style>
  <w:style w:type="paragraph" w:customStyle="1" w:styleId="codeList">
    <w:name w:val="codeList"/>
    <w:basedOn w:val="codeRuleCriteria"/>
    <w:pPr>
      <w:numPr>
        <w:numId w:val="10"/>
      </w:numPr>
      <w:spacing w:before="0" w:after="0" w:line="240" w:lineRule="auto"/>
    </w:pPr>
  </w:style>
  <w:style w:type="paragraph" w:customStyle="1" w:styleId="codeList2">
    <w:name w:val="codeList2"/>
    <w:basedOn w:val="codeList"/>
    <w:pPr>
      <w:numPr>
        <w:ilvl w:val="1"/>
      </w:numPr>
      <w:ind w:firstLine="0"/>
    </w:pPr>
  </w:style>
  <w:style w:type="paragraph" w:customStyle="1" w:styleId="TABodytextinstructioncontentsubtitle">
    <w:name w:val="TA Body text instruction content sub title"/>
    <w:basedOn w:val="BodyText"/>
    <w:pPr>
      <w:tabs>
        <w:tab w:val="left" w:pos="720"/>
        <w:tab w:val="left" w:pos="1440"/>
      </w:tabs>
      <w:ind w:left="720"/>
    </w:pPr>
    <w:rPr>
      <w:b/>
      <w:sz w:val="20"/>
    </w:rPr>
  </w:style>
  <w:style w:type="paragraph" w:customStyle="1" w:styleId="TATableofcontentsTitle">
    <w:name w:val="TA Table of contents Title"/>
    <w:basedOn w:val="TATitleexplanatoryheading"/>
  </w:style>
  <w:style w:type="paragraph" w:customStyle="1" w:styleId="TAsectionheading">
    <w:name w:val="TA section heading"/>
    <w:basedOn w:val="Heading1"/>
  </w:style>
  <w:style w:type="paragraph" w:customStyle="1" w:styleId="TAsectionheading3">
    <w:name w:val="TA section heading 3"/>
    <w:basedOn w:val="Heading3"/>
    <w:pPr>
      <w:keepNext w:val="0"/>
      <w:numPr>
        <w:ilvl w:val="2"/>
        <w:numId w:val="7"/>
      </w:numPr>
      <w:tabs>
        <w:tab w:val="left" w:pos="1440"/>
      </w:tabs>
      <w:spacing w:before="0" w:after="120" w:line="360" w:lineRule="auto"/>
    </w:pPr>
    <w:rPr>
      <w:bCs w:val="0"/>
      <w:sz w:val="28"/>
      <w:szCs w:val="28"/>
    </w:rPr>
  </w:style>
  <w:style w:type="paragraph" w:customStyle="1" w:styleId="TAinterpretationservicetitle">
    <w:name w:val="TA interpretation service title"/>
    <w:basedOn w:val="BodyText"/>
    <w:pPr>
      <w:tabs>
        <w:tab w:val="left" w:pos="720"/>
        <w:tab w:val="left" w:pos="1440"/>
      </w:tabs>
      <w:ind w:left="720" w:hanging="153"/>
    </w:pPr>
    <w:rPr>
      <w:b/>
    </w:rPr>
  </w:style>
  <w:style w:type="paragraph" w:customStyle="1" w:styleId="TAfooter">
    <w:name w:val="TA footer"/>
    <w:basedOn w:val="Footer"/>
    <w:link w:val="TAfooterChar"/>
    <w:pPr>
      <w:spacing w:after="60"/>
      <w:jc w:val="center"/>
    </w:pPr>
    <w:rPr>
      <w:rFonts w:cs="Arial"/>
      <w:sz w:val="20"/>
      <w:szCs w:val="20"/>
    </w:rPr>
  </w:style>
  <w:style w:type="paragraph" w:customStyle="1" w:styleId="TApagenumber">
    <w:name w:val="TA page number"/>
    <w:basedOn w:val="TAfooter"/>
    <w:link w:val="TApagenumberChar"/>
  </w:style>
  <w:style w:type="character" w:customStyle="1" w:styleId="TAfooterChar">
    <w:name w:val="TA footer Char"/>
    <w:basedOn w:val="DefaultParagraphFont"/>
    <w:link w:val="TAfooter"/>
    <w:locked/>
    <w:rPr>
      <w:rFonts w:ascii="Arial" w:hAnsi="Arial" w:cs="Arial"/>
      <w:lang w:val="en-AU" w:eastAsia="en-AU" w:bidi="ar-SA"/>
    </w:rPr>
  </w:style>
  <w:style w:type="character" w:customStyle="1" w:styleId="TApagenumberChar">
    <w:name w:val="TA page number Char"/>
    <w:basedOn w:val="TAfooterChar"/>
    <w:link w:val="TApagenumber"/>
    <w:locked/>
    <w:rPr>
      <w:rFonts w:ascii="Arial" w:hAnsi="Arial" w:cs="Arial"/>
      <w:lang w:val="en-AU" w:eastAsia="en-AU" w:bidi="ar-SA"/>
    </w:rPr>
  </w:style>
  <w:style w:type="paragraph" w:customStyle="1" w:styleId="TAACTPLAlogo">
    <w:name w:val="TA ACTPLA logo"/>
    <w:basedOn w:val="Footer"/>
    <w:pPr>
      <w:jc w:val="center"/>
    </w:pPr>
  </w:style>
  <w:style w:type="paragraph" w:customStyle="1" w:styleId="TAheader">
    <w:name w:val="TA header"/>
    <w:basedOn w:val="Header"/>
  </w:style>
  <w:style w:type="paragraph" w:customStyle="1" w:styleId="TAsubheadinglocationinterritoryplan">
    <w:name w:val="TA sub heading location in territory plan"/>
    <w:basedOn w:val="Heading4"/>
    <w:pPr>
      <w:keepNext w:val="0"/>
      <w:spacing w:after="240"/>
    </w:pPr>
    <w:rPr>
      <w:b w:val="0"/>
      <w:bCs w:val="0"/>
      <w:sz w:val="32"/>
      <w:szCs w:val="20"/>
    </w:rPr>
  </w:style>
  <w:style w:type="paragraph" w:customStyle="1" w:styleId="TATitlepagemonthandyear">
    <w:name w:val="TA Title page month and year"/>
    <w:basedOn w:val="TATitleexplanatoryheading"/>
  </w:style>
  <w:style w:type="paragraph" w:customStyle="1" w:styleId="TAinstructioncontent">
    <w:name w:val="TA instruction content"/>
    <w:basedOn w:val="TABodytextinstructioncontentsubtitle"/>
    <w:pPr>
      <w:ind w:left="1440"/>
    </w:pPr>
    <w:rPr>
      <w:b w:val="0"/>
    </w:rPr>
  </w:style>
  <w:style w:type="paragraph" w:customStyle="1" w:styleId="TAexplanatorystatementsubheading">
    <w:name w:val="TA explanatory statement subheading"/>
    <w:basedOn w:val="BodyText"/>
    <w:pPr>
      <w:numPr>
        <w:numId w:val="12"/>
      </w:numPr>
      <w:tabs>
        <w:tab w:val="clear" w:pos="360"/>
        <w:tab w:val="left" w:pos="720"/>
        <w:tab w:val="left" w:pos="1440"/>
      </w:tabs>
    </w:pPr>
    <w:rPr>
      <w:b/>
      <w:bCs/>
      <w:szCs w:val="20"/>
    </w:rPr>
  </w:style>
  <w:style w:type="paragraph" w:customStyle="1" w:styleId="TAfiguretext">
    <w:name w:val="TA figure text"/>
    <w:basedOn w:val="TAbodytext"/>
    <w:rPr>
      <w:sz w:val="20"/>
    </w:rPr>
  </w:style>
  <w:style w:type="paragraph" w:customStyle="1" w:styleId="codeRuleNone">
    <w:name w:val="codeRuleNone"/>
    <w:basedOn w:val="codeRuleCriteria"/>
    <w:rPr>
      <w:vanish/>
    </w:rPr>
  </w:style>
  <w:style w:type="paragraph" w:customStyle="1" w:styleId="hiddenText">
    <w:name w:val="hiddenText"/>
    <w:basedOn w:val="Normal"/>
    <w:pPr>
      <w:spacing w:before="120" w:line="288" w:lineRule="auto"/>
    </w:pPr>
    <w:rPr>
      <w:rFonts w:cs="Arial"/>
      <w:vanish/>
      <w:sz w:val="20"/>
      <w:szCs w:val="20"/>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sid w:val="00832E50"/>
    <w:rPr>
      <w:rFonts w:ascii="Arial" w:hAnsi="Arial" w:cs="Times New Roman"/>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lockText">
    <w:name w:val="Block Text"/>
    <w:basedOn w:val="Normal"/>
    <w:uiPriority w:val="99"/>
    <w:pPr>
      <w:spacing w:after="120"/>
      <w:ind w:left="1440" w:right="1440"/>
    </w:pPr>
  </w:style>
  <w:style w:type="paragraph" w:styleId="ListParagraph">
    <w:name w:val="List Paragraph"/>
    <w:basedOn w:val="Normal"/>
    <w:uiPriority w:val="34"/>
    <w:qFormat/>
    <w:rsid w:val="008B63D6"/>
    <w:pPr>
      <w:ind w:left="720"/>
      <w:contextualSpacing/>
    </w:pPr>
    <w:rPr>
      <w:rFonts w:ascii="Times New Roman" w:hAnsi="Times New Roman"/>
      <w:szCs w:val="20"/>
    </w:rPr>
  </w:style>
  <w:style w:type="paragraph" w:customStyle="1" w:styleId="TAExplanationheading">
    <w:name w:val="TA Explanation heading"/>
    <w:basedOn w:val="Normal"/>
    <w:rsid w:val="00E55BEC"/>
    <w:pPr>
      <w:spacing w:before="240" w:after="120"/>
      <w:ind w:left="539" w:hanging="539"/>
    </w:pPr>
    <w:rPr>
      <w:rFonts w:cs="Arial"/>
      <w:b/>
      <w:szCs w:val="22"/>
      <w:lang w:val="en-US"/>
    </w:rPr>
  </w:style>
  <w:style w:type="paragraph" w:customStyle="1" w:styleId="TAeditorialitemcodeheading">
    <w:name w:val="TA editorial item code heading"/>
    <w:basedOn w:val="Normal"/>
    <w:rsid w:val="00607B68"/>
    <w:pPr>
      <w:numPr>
        <w:numId w:val="21"/>
      </w:numPr>
      <w:pBdr>
        <w:top w:val="single" w:sz="4" w:space="1" w:color="auto"/>
        <w:left w:val="single" w:sz="4" w:space="4" w:color="auto"/>
        <w:bottom w:val="single" w:sz="4" w:space="1" w:color="auto"/>
        <w:right w:val="single" w:sz="4" w:space="4" w:color="auto"/>
      </w:pBdr>
      <w:shd w:val="clear" w:color="auto" w:fill="D9D9D9"/>
    </w:pPr>
    <w:rPr>
      <w:b/>
    </w:rPr>
  </w:style>
  <w:style w:type="table" w:styleId="TableGrid">
    <w:name w:val="Table Grid"/>
    <w:basedOn w:val="TableNormal"/>
    <w:uiPriority w:val="59"/>
    <w:rsid w:val="000F5B95"/>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odytextChar">
    <w:name w:val="TA body text Char"/>
    <w:basedOn w:val="DefaultParagraphFont"/>
    <w:link w:val="TAbodytext"/>
    <w:locked/>
    <w:rsid w:val="00446963"/>
    <w:rPr>
      <w:rFonts w:ascii="Arial" w:hAnsi="Arial" w:cs="Times New Roman"/>
      <w:sz w:val="24"/>
      <w:szCs w:val="24"/>
    </w:rPr>
  </w:style>
  <w:style w:type="paragraph" w:customStyle="1" w:styleId="DVVersionheading">
    <w:name w:val="DV Version heading"/>
    <w:basedOn w:val="BodyText"/>
    <w:rsid w:val="00446963"/>
    <w:pPr>
      <w:jc w:val="center"/>
    </w:pPr>
    <w:rPr>
      <w:b/>
      <w:bCs/>
      <w:sz w:val="52"/>
      <w:szCs w:val="20"/>
      <w:lang w:eastAsia="en-US"/>
    </w:rPr>
  </w:style>
  <w:style w:type="paragraph" w:customStyle="1" w:styleId="DVBodytext">
    <w:name w:val="DV Body text"/>
    <w:basedOn w:val="BodyText"/>
    <w:link w:val="DVBodytextChar"/>
    <w:rsid w:val="00446963"/>
    <w:rPr>
      <w:sz w:val="32"/>
      <w:szCs w:val="20"/>
      <w:lang w:eastAsia="en-US"/>
    </w:rPr>
  </w:style>
  <w:style w:type="character" w:customStyle="1" w:styleId="DVBodytextChar">
    <w:name w:val="DV Body text Char"/>
    <w:basedOn w:val="BodyTextChar"/>
    <w:link w:val="DVBodytext"/>
    <w:locked/>
    <w:rsid w:val="00446963"/>
    <w:rPr>
      <w:rFonts w:ascii="Arial" w:hAnsi="Arial" w:cs="Times New Roman"/>
      <w:sz w:val="24"/>
      <w:szCs w:val="24"/>
      <w:lang w:val="en-AU" w:eastAsia="en-US" w:bidi="ar-SA"/>
    </w:rPr>
  </w:style>
  <w:style w:type="paragraph" w:customStyle="1" w:styleId="TAheading">
    <w:name w:val="TA heading"/>
    <w:basedOn w:val="Normal"/>
    <w:rsid w:val="009F4308"/>
    <w:pPr>
      <w:tabs>
        <w:tab w:val="left" w:pos="2400"/>
        <w:tab w:val="left" w:pos="2880"/>
      </w:tabs>
      <w:spacing w:before="120" w:after="240"/>
    </w:pPr>
    <w:rPr>
      <w:b/>
      <w:bCs/>
      <w:sz w:val="40"/>
      <w:szCs w:val="20"/>
      <w:lang w:eastAsia="en-US"/>
    </w:rPr>
  </w:style>
  <w:style w:type="paragraph" w:customStyle="1" w:styleId="TAbody">
    <w:name w:val="TA body"/>
    <w:basedOn w:val="Normal"/>
    <w:link w:val="TAbodyChar"/>
    <w:rsid w:val="009F4308"/>
    <w:rPr>
      <w:szCs w:val="20"/>
      <w:lang w:val="en-GB" w:eastAsia="en-US"/>
    </w:rPr>
  </w:style>
  <w:style w:type="character" w:customStyle="1" w:styleId="TAbodyChar">
    <w:name w:val="TA body Char"/>
    <w:basedOn w:val="DefaultParagraphFont"/>
    <w:link w:val="TAbody"/>
    <w:locked/>
    <w:rsid w:val="009F4308"/>
    <w:rPr>
      <w:rFonts w:ascii="Arial" w:hAnsi="Arial" w:cs="Times New Roman"/>
      <w:sz w:val="24"/>
      <w:lang w:val="en-GB" w:eastAsia="en-US"/>
    </w:rPr>
  </w:style>
  <w:style w:type="character" w:customStyle="1" w:styleId="TAannexureAtext">
    <w:name w:val="TA annexure A text"/>
    <w:basedOn w:val="DefaultParagraphFont"/>
    <w:rsid w:val="009F4308"/>
    <w:rPr>
      <w:rFonts w:cs="Times New Roman"/>
      <w:b/>
      <w:bCs/>
    </w:rPr>
  </w:style>
  <w:style w:type="paragraph" w:customStyle="1" w:styleId="TAline">
    <w:name w:val="TA line"/>
    <w:basedOn w:val="Normal"/>
    <w:rsid w:val="009F4308"/>
    <w:pPr>
      <w:pBdr>
        <w:top w:val="single" w:sz="12" w:space="1" w:color="auto"/>
      </w:pBdr>
    </w:pPr>
    <w:rPr>
      <w:szCs w:val="20"/>
      <w:lang w:eastAsia="en-US"/>
    </w:rPr>
  </w:style>
  <w:style w:type="paragraph" w:customStyle="1" w:styleId="TALAtext">
    <w:name w:val="TA (LA) text"/>
    <w:basedOn w:val="Normal"/>
    <w:rsid w:val="009F4308"/>
    <w:pPr>
      <w:spacing w:before="180" w:after="60"/>
      <w:jc w:val="both"/>
    </w:pPr>
    <w:rPr>
      <w:sz w:val="20"/>
      <w:szCs w:val="20"/>
      <w:lang w:eastAsia="en-US"/>
    </w:rPr>
  </w:style>
  <w:style w:type="paragraph" w:customStyle="1" w:styleId="TA-LAitalicstext">
    <w:name w:val="TA - LA italics text"/>
    <w:basedOn w:val="Normal"/>
    <w:next w:val="Normal"/>
    <w:link w:val="TA-LAitalicstextChar"/>
    <w:rsid w:val="009F4308"/>
    <w:pPr>
      <w:tabs>
        <w:tab w:val="left" w:pos="2600"/>
      </w:tabs>
      <w:spacing w:after="240"/>
      <w:jc w:val="both"/>
    </w:pPr>
    <w:rPr>
      <w:b/>
      <w:i/>
      <w:sz w:val="18"/>
      <w:szCs w:val="20"/>
      <w:lang w:eastAsia="en-US"/>
    </w:rPr>
  </w:style>
  <w:style w:type="character" w:customStyle="1" w:styleId="TA-LAitalicstextChar">
    <w:name w:val="TA - LA italics text Char"/>
    <w:basedOn w:val="DefaultParagraphFont"/>
    <w:link w:val="TA-LAitalicstext"/>
    <w:locked/>
    <w:rsid w:val="009F4308"/>
    <w:rPr>
      <w:rFonts w:ascii="Arial" w:hAnsi="Arial" w:cs="Times New Roman"/>
      <w:b/>
      <w:i/>
      <w:sz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5BDAB-BFE8-4A41-8677-506CD4EEF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4006</Words>
  <Characters>21578</Characters>
  <Application>Microsoft Office Word</Application>
  <DocSecurity>0</DocSecurity>
  <Lines>738</Lines>
  <Paragraphs>258</Paragraphs>
  <ScaleCrop>false</ScaleCrop>
  <HeadingPairs>
    <vt:vector size="2" baseType="variant">
      <vt:variant>
        <vt:lpstr>Title</vt:lpstr>
      </vt:variant>
      <vt:variant>
        <vt:i4>1</vt:i4>
      </vt:variant>
    </vt:vector>
  </HeadingPairs>
  <TitlesOfParts>
    <vt:vector size="1" baseType="lpstr">
      <vt:lpstr>Technical amendment template</vt:lpstr>
    </vt:vector>
  </TitlesOfParts>
  <Company>ACTPLA</Company>
  <LinksUpToDate>false</LinksUpToDate>
  <CharactersWithSpaces>25575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amendment template</dc:title>
  <dc:subject/>
  <dc:creator>ACT Government</dc:creator>
  <cp:keywords/>
  <dc:description/>
  <cp:lastModifiedBy>PCODCS</cp:lastModifiedBy>
  <cp:revision>5</cp:revision>
  <cp:lastPrinted>2011-08-02T00:17:00Z</cp:lastPrinted>
  <dcterms:created xsi:type="dcterms:W3CDTF">2018-09-11T23:51:00Z</dcterms:created>
  <dcterms:modified xsi:type="dcterms:W3CDTF">2018-09-11T23:51:00Z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Intelledox</vt:lpwstr>
  </property>
  <property fmtid="{D5CDD505-2E9C-101B-9397-08002B2CF9AE}" pid="3" name="Objective-Id">
    <vt:lpwstr>A6785095</vt:lpwstr>
  </property>
  <property fmtid="{D5CDD505-2E9C-101B-9397-08002B2CF9AE}" pid="4" name="Objective-Title">
    <vt:lpwstr>Attachment A - NI plus TA2011-23 commencment version - September 2011</vt:lpwstr>
  </property>
  <property fmtid="{D5CDD505-2E9C-101B-9397-08002B2CF9AE}" pid="5" name="Objective-Comment">
    <vt:lpwstr/>
  </property>
  <property fmtid="{D5CDD505-2E9C-101B-9397-08002B2CF9AE}" pid="6" name="Objective-CreationStamp">
    <vt:filetime>2011-09-29T14:00:00Z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2011-09-29T14:00:00Z</vt:filetime>
  </property>
  <property fmtid="{D5CDD505-2E9C-101B-9397-08002B2CF9AE}" pid="10" name="Objective-ModificationStamp">
    <vt:filetime>2011-09-29T14:00:00Z</vt:filetime>
  </property>
  <property fmtid="{D5CDD505-2E9C-101B-9397-08002B2CF9AE}" pid="11" name="Objective-Owner">
    <vt:lpwstr>Johannes Botha</vt:lpwstr>
  </property>
  <property fmtid="{D5CDD505-2E9C-101B-9397-08002B2CF9AE}" pid="12" name="Objective-Path">
    <vt:lpwstr>Whole of ACT Government:ESDD:DIVISION - Planning Delivery:BRANCH - Territory Plan Review and Implementation:04 - TERRITORY PLAN VARIATION UNIT - New ((Active 20091126):01 Territory Plan Management (Variations, Technical Amendments, Planning Reports and Pr</vt:lpwstr>
  </property>
  <property fmtid="{D5CDD505-2E9C-101B-9397-08002B2CF9AE}" pid="13" name="Objective-Parent">
    <vt:lpwstr>06 Commencement documents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i4>3</vt:i4>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Not classified</vt:lpwstr>
  </property>
  <property fmtid="{D5CDD505-2E9C-101B-9397-08002B2CF9AE}" pid="20" name="Objective-Caveats">
    <vt:lpwstr/>
  </property>
  <property fmtid="{D5CDD505-2E9C-101B-9397-08002B2CF9AE}" pid="21" name="Objective-Owner Agency [system]">
    <vt:lpwstr>ESDD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Add Place [system]">
    <vt:lpwstr/>
  </property>
  <property fmtid="{D5CDD505-2E9C-101B-9397-08002B2CF9AE}" pid="27" name="Objective-Places [system]">
    <vt:lpwstr/>
  </property>
  <property fmtid="{D5CDD505-2E9C-101B-9397-08002B2CF9AE}" pid="28" name="Objective-Transaction Reference [system]">
    <vt:lpwstr/>
  </property>
  <property fmtid="{D5CDD505-2E9C-101B-9397-08002B2CF9AE}" pid="29" name="Objective-Document Created By [system]">
    <vt:lpwstr/>
  </property>
  <property fmtid="{D5CDD505-2E9C-101B-9397-08002B2CF9AE}" pid="30" name="Objective-Document Created On [system]">
    <vt:lpwstr/>
  </property>
  <property fmtid="{D5CDD505-2E9C-101B-9397-08002B2CF9AE}" pid="31" name="Objective-Covers Period From [system]">
    <vt:lpwstr/>
  </property>
  <property fmtid="{D5CDD505-2E9C-101B-9397-08002B2CF9AE}" pid="32" name="Objective-Covers Period To [system]">
    <vt:lpwstr/>
  </property>
</Properties>
</file>