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4C0E15" w:rsidP="00781390">
      <w:pPr>
        <w:pStyle w:val="Billname"/>
        <w:spacing w:before="700"/>
        <w:ind w:right="-198"/>
      </w:pPr>
      <w:r>
        <w:t>Housing Assistance Rental Bond</w:t>
      </w:r>
      <w:r w:rsidR="00781390">
        <w:t xml:space="preserve"> Program </w:t>
      </w:r>
      <w:r>
        <w:t>Operations Guide</w:t>
      </w:r>
      <w:r w:rsidR="00525963">
        <w:t xml:space="preserve"> </w:t>
      </w:r>
      <w:r>
        <w:t>2018</w:t>
      </w:r>
      <w:r w:rsidR="001440B3">
        <w:t xml:space="preserve"> (No </w:t>
      </w:r>
      <w:r>
        <w:t>1</w:t>
      </w:r>
      <w:r w:rsidR="001440B3">
        <w:t>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1E84">
        <w:rPr>
          <w:rFonts w:ascii="Arial" w:hAnsi="Arial" w:cs="Arial"/>
          <w:b/>
          <w:bCs/>
        </w:rPr>
        <w:t>2018-</w:t>
      </w:r>
      <w:r w:rsidR="002A1224">
        <w:rPr>
          <w:rFonts w:ascii="Arial" w:hAnsi="Arial" w:cs="Arial"/>
          <w:b/>
          <w:bCs/>
        </w:rPr>
        <w:t>628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4C0E15" w:rsidP="004C0E15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i/>
          <w:sz w:val="20"/>
        </w:rPr>
        <w:t>Housing Assistance Act 2007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s21(1) Approved housing assistance programs – operational guidelines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Pr="004C0E15" w:rsidRDefault="001440B3" w:rsidP="0042011A">
      <w:pPr>
        <w:spacing w:before="140"/>
        <w:ind w:left="720"/>
      </w:pPr>
      <w:r>
        <w:t xml:space="preserve">This instrument is the </w:t>
      </w:r>
      <w:r w:rsidR="00781390">
        <w:rPr>
          <w:i/>
        </w:rPr>
        <w:t xml:space="preserve">Housing Assistance </w:t>
      </w:r>
      <w:r w:rsidR="004C0E15" w:rsidRPr="004C0E15">
        <w:rPr>
          <w:i/>
        </w:rPr>
        <w:t>Rental Bond</w:t>
      </w:r>
      <w:r w:rsidR="00781390">
        <w:rPr>
          <w:i/>
        </w:rPr>
        <w:t xml:space="preserve"> Program</w:t>
      </w:r>
      <w:r w:rsidR="004C0E15" w:rsidRPr="004C0E15">
        <w:rPr>
          <w:i/>
        </w:rPr>
        <w:t xml:space="preserve"> Operations Guide 2018 (No 1)</w:t>
      </w:r>
      <w:r w:rsidR="004C0E15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964A30">
        <w:t>the day after its notification day</w:t>
      </w:r>
      <w:r>
        <w:t xml:space="preserve">. </w:t>
      </w:r>
    </w:p>
    <w:p w:rsidR="00FC60A8" w:rsidRPr="00FC60A8" w:rsidRDefault="005C419D" w:rsidP="00FC60A8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C60A8" w:rsidRPr="00FC60A8">
        <w:rPr>
          <w:rFonts w:ascii="Arial" w:hAnsi="Arial" w:cs="Arial"/>
          <w:b/>
          <w:bCs/>
        </w:rPr>
        <w:tab/>
      </w:r>
      <w:r w:rsidR="00FC60A8">
        <w:rPr>
          <w:rFonts w:ascii="Arial" w:hAnsi="Arial" w:cs="Arial"/>
          <w:b/>
          <w:bCs/>
        </w:rPr>
        <w:t>Operation Guideline</w:t>
      </w:r>
    </w:p>
    <w:p w:rsidR="00FC60A8" w:rsidRPr="00FC60A8" w:rsidRDefault="00FC60A8" w:rsidP="00FC60A8">
      <w:pPr>
        <w:spacing w:before="140"/>
        <w:ind w:left="709"/>
      </w:pPr>
      <w:r>
        <w:t xml:space="preserve">In accordance with section 21(1) of the </w:t>
      </w:r>
      <w:r w:rsidRPr="00391E84">
        <w:rPr>
          <w:i/>
        </w:rPr>
        <w:t>Housing</w:t>
      </w:r>
      <w:r>
        <w:rPr>
          <w:i/>
        </w:rPr>
        <w:t xml:space="preserve"> Assistance Act 2007</w:t>
      </w:r>
      <w:r>
        <w:t>, I make the Re</w:t>
      </w:r>
      <w:r w:rsidR="005C419D">
        <w:t xml:space="preserve">ntal Bond </w:t>
      </w:r>
      <w:r w:rsidR="00781390">
        <w:t>Program</w:t>
      </w:r>
      <w:r w:rsidR="005C419D">
        <w:t xml:space="preserve"> Operations Guide provided at Schedule 1,</w:t>
      </w:r>
      <w:r>
        <w:t xml:space="preserve"> to facilitate the administration of the Rental Bond Program for eligible applicants </w:t>
      </w:r>
      <w:r w:rsidR="000970E2">
        <w:t>establishing</w:t>
      </w:r>
      <w:r>
        <w:t xml:space="preserve"> a residential tenancy in the Territory. </w:t>
      </w:r>
    </w:p>
    <w:p w:rsidR="005C419D" w:rsidRDefault="005C419D" w:rsidP="005C419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:rsidR="005C419D" w:rsidRDefault="005C419D" w:rsidP="005C419D">
      <w:pPr>
        <w:spacing w:before="140"/>
        <w:ind w:left="720"/>
      </w:pPr>
      <w:r>
        <w:t xml:space="preserve">This instrument revokes – </w:t>
      </w:r>
    </w:p>
    <w:p w:rsidR="005C419D" w:rsidRPr="00CD0CF8" w:rsidRDefault="005C419D" w:rsidP="005C419D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>
        <w:rPr>
          <w:i/>
        </w:rPr>
        <w:t xml:space="preserve">Housing Assistance Rental Bonds Housing Assistance Program (Pre-approval) Operation Guideline 2012 (No 1) </w:t>
      </w:r>
      <w:r>
        <w:t>NI2012-258;</w:t>
      </w:r>
    </w:p>
    <w:p w:rsidR="005C419D" w:rsidRPr="005C6607" w:rsidRDefault="005C419D" w:rsidP="005C419D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>
        <w:rPr>
          <w:i/>
        </w:rPr>
        <w:t xml:space="preserve">Housing Assistance Rental Bonds Housing Assistance Program (Eligibility criteria for rental bond assistance) Operation Guideline 2012 (No 1) </w:t>
      </w:r>
      <w:r>
        <w:t>NI2012-259;</w:t>
      </w:r>
    </w:p>
    <w:p w:rsidR="005C419D" w:rsidRDefault="005C419D" w:rsidP="005C419D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>
        <w:rPr>
          <w:i/>
        </w:rPr>
        <w:t xml:space="preserve">Housing Assistance Rental Bonds Housing Assistance Program (Individuals in a group situation) Operation Guideline 2012 (No 1) </w:t>
      </w:r>
      <w:r>
        <w:t>NI2012-260;</w:t>
      </w:r>
    </w:p>
    <w:p w:rsidR="005C419D" w:rsidRPr="005C6607" w:rsidRDefault="005C419D" w:rsidP="005C419D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>
        <w:rPr>
          <w:i/>
        </w:rPr>
        <w:t>Housing Assistance Rental Bonds Housing Assistance Program (Hardship) Operation Guideline 2012 (No 1)</w:t>
      </w:r>
      <w:r>
        <w:t xml:space="preserve"> NI2012-261</w:t>
      </w:r>
    </w:p>
    <w:p w:rsidR="005C419D" w:rsidRPr="00CD0CF8" w:rsidRDefault="005C419D" w:rsidP="005C419D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>
        <w:rPr>
          <w:i/>
        </w:rPr>
        <w:t>Housing Assistance Rental Bonds Housing Assistance Program (Meaning of income) Operation Guideline 2012 (No 1)</w:t>
      </w:r>
      <w:r>
        <w:t xml:space="preserve"> NI2012-262; and</w:t>
      </w:r>
    </w:p>
    <w:p w:rsidR="00FC60A8" w:rsidRDefault="005C419D" w:rsidP="001B4C75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>
        <w:rPr>
          <w:i/>
        </w:rPr>
        <w:lastRenderedPageBreak/>
        <w:t xml:space="preserve">Housing Assistance Rental Bonds Housing Assistance Program (Working out weekly income) Operation Guideline 2012 (No 1) </w:t>
      </w:r>
      <w:r>
        <w:t>NI2012-263.</w:t>
      </w:r>
    </w:p>
    <w:p w:rsidR="001B4C75" w:rsidRDefault="001B4C75" w:rsidP="001B4C7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Schedule 1</w:t>
      </w:r>
    </w:p>
    <w:p w:rsidR="001B4C75" w:rsidRPr="001B4C75" w:rsidRDefault="001B4C75" w:rsidP="001B4C75">
      <w:pPr>
        <w:spacing w:before="140"/>
        <w:ind w:left="720"/>
        <w:rPr>
          <w:rFonts w:ascii="Arial" w:hAnsi="Arial" w:cs="Arial"/>
          <w:bCs/>
        </w:rPr>
      </w:pPr>
      <w:r w:rsidRPr="001B4C75">
        <w:t>Schedule 1 forms part of this instrument</w:t>
      </w:r>
      <w:r>
        <w:rPr>
          <w:rFonts w:ascii="Arial" w:hAnsi="Arial" w:cs="Arial"/>
          <w:bCs/>
        </w:rPr>
        <w:t xml:space="preserve">. </w:t>
      </w:r>
    </w:p>
    <w:p w:rsidR="0042011A" w:rsidRDefault="00C13169" w:rsidP="0042011A">
      <w:pPr>
        <w:tabs>
          <w:tab w:val="left" w:pos="4320"/>
        </w:tabs>
        <w:spacing w:before="720"/>
      </w:pPr>
      <w:r>
        <w:t>Jo Wood</w:t>
      </w:r>
    </w:p>
    <w:p w:rsidR="001440B3" w:rsidRDefault="00B450DA" w:rsidP="0042011A">
      <w:pPr>
        <w:tabs>
          <w:tab w:val="left" w:pos="4320"/>
        </w:tabs>
      </w:pPr>
      <w:r>
        <w:t>Commissioner for Social Housing</w:t>
      </w:r>
    </w:p>
    <w:bookmarkEnd w:id="0"/>
    <w:p w:rsidR="001440B3" w:rsidRDefault="006C1F91">
      <w:pPr>
        <w:tabs>
          <w:tab w:val="left" w:pos="4320"/>
        </w:tabs>
      </w:pPr>
      <w:r>
        <w:t xml:space="preserve"> </w:t>
      </w:r>
      <w:r w:rsidR="002A1224">
        <w:t>12</w:t>
      </w:r>
      <w:r>
        <w:t xml:space="preserve"> </w:t>
      </w:r>
      <w:r w:rsidR="00B450DA">
        <w:t xml:space="preserve"> </w:t>
      </w:r>
      <w:r w:rsidR="00391E84">
        <w:t>November</w:t>
      </w:r>
      <w:r>
        <w:t xml:space="preserve"> 2018</w:t>
      </w:r>
    </w:p>
    <w:p w:rsidR="001B4C75" w:rsidRDefault="001B4C75">
      <w:pPr>
        <w:tabs>
          <w:tab w:val="left" w:pos="4320"/>
        </w:tabs>
      </w:pPr>
    </w:p>
    <w:p w:rsidR="00C04B7A" w:rsidRDefault="00C04B7A" w:rsidP="00C04B7A">
      <w:pPr>
        <w:sectPr w:rsidR="00C04B7A" w:rsidSect="00AA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:rsidR="001B4C75" w:rsidRDefault="00C04B7A" w:rsidP="00D25CE0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 1</w:t>
      </w:r>
    </w:p>
    <w:p w:rsidR="00C04B7A" w:rsidRDefault="00C04B7A" w:rsidP="00D25CE0">
      <w:pPr>
        <w:ind w:left="-426"/>
        <w:rPr>
          <w:rFonts w:ascii="Arial" w:hAnsi="Arial" w:cs="Arial"/>
        </w:rPr>
      </w:pPr>
      <w:r>
        <w:rPr>
          <w:rFonts w:ascii="Arial" w:hAnsi="Arial" w:cs="Arial"/>
          <w:b/>
        </w:rPr>
        <w:t>Rental Bond Program Operations Guide</w:t>
      </w:r>
    </w:p>
    <w:p w:rsidR="00C04B7A" w:rsidRDefault="00C04B7A" w:rsidP="00C04B7A">
      <w:pPr>
        <w:rPr>
          <w:rFonts w:ascii="Arial" w:hAnsi="Arial" w:cs="Arial"/>
        </w:rPr>
      </w:pPr>
    </w:p>
    <w:tbl>
      <w:tblPr>
        <w:tblStyle w:val="TableGrid"/>
        <w:tblW w:w="9214" w:type="dxa"/>
        <w:tblInd w:w="-567" w:type="dxa"/>
        <w:tblLook w:val="04A0" w:firstRow="1" w:lastRow="0" w:firstColumn="1" w:lastColumn="0" w:noHBand="0" w:noVBand="1"/>
      </w:tblPr>
      <w:tblGrid>
        <w:gridCol w:w="1403"/>
        <w:gridCol w:w="456"/>
        <w:gridCol w:w="7355"/>
      </w:tblGrid>
      <w:tr w:rsidR="00C04B7A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C04B7A" w:rsidP="00C04B7A">
            <w:pPr>
              <w:rPr>
                <w:i/>
              </w:rPr>
            </w:pPr>
            <w:r w:rsidRPr="00C04B7A">
              <w:rPr>
                <w:i/>
              </w:rPr>
              <w:t>Object</w:t>
            </w:r>
            <w:r>
              <w:rPr>
                <w:i/>
              </w:rPr>
              <w:t xml:space="preserve"> of Program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C04B7A" w:rsidP="00C04B7A">
            <w:r>
              <w:t>3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C04B7A" w:rsidRDefault="00942994" w:rsidP="00942994">
            <w:pPr>
              <w:spacing w:after="120"/>
            </w:pPr>
            <w:r>
              <w:t>The P</w:t>
            </w:r>
            <w:r w:rsidR="00C04B7A">
              <w:t>rogram is designed to help eligible persons who are establishing, or wanting to establish</w:t>
            </w:r>
            <w:r w:rsidR="00EF20A1">
              <w:t xml:space="preserve"> </w:t>
            </w:r>
            <w:r w:rsidR="00EF20A1" w:rsidRPr="00F853F6">
              <w:t>(pending identification of a suitable home)</w:t>
            </w:r>
            <w:r w:rsidR="00C04B7A" w:rsidRPr="00F853F6">
              <w:t>,</w:t>
            </w:r>
            <w:r w:rsidR="00C04B7A">
              <w:t xml:space="preserve"> a residential tenancy in the Territory to meet the rental bond amount sought by a lessor under the </w:t>
            </w:r>
            <w:r w:rsidR="00C04B7A">
              <w:rPr>
                <w:i/>
              </w:rPr>
              <w:t>Residential Tenancies Act 1997</w:t>
            </w:r>
            <w:r>
              <w:rPr>
                <w:i/>
              </w:rPr>
              <w:t xml:space="preserve">, </w:t>
            </w:r>
            <w:r>
              <w:t>section 20</w:t>
            </w:r>
            <w:r w:rsidR="00C04B7A">
              <w:t xml:space="preserve">. </w:t>
            </w:r>
          </w:p>
          <w:p w:rsidR="00942994" w:rsidRPr="00942994" w:rsidRDefault="00942994" w:rsidP="007C744B">
            <w:pPr>
              <w:spacing w:after="120"/>
            </w:pPr>
            <w:r>
              <w:t xml:space="preserve">The Program is an approved housing assistance program under the </w:t>
            </w:r>
            <w:r>
              <w:rPr>
                <w:i/>
              </w:rPr>
              <w:t>Housing Assistance Act 2007</w:t>
            </w:r>
            <w:r>
              <w:t xml:space="preserve">, section 19. When making decisions in relation to the program, delegates should have consideration for the </w:t>
            </w:r>
            <w:r w:rsidR="00707AE8">
              <w:t xml:space="preserve">objects of this Act and the </w:t>
            </w:r>
            <w:r>
              <w:t xml:space="preserve">intent of housing assistance programs </w:t>
            </w:r>
            <w:r w:rsidR="00707AE8">
              <w:t>administered under it</w:t>
            </w:r>
            <w:r w:rsidR="00264600">
              <w:t xml:space="preserve"> </w:t>
            </w:r>
            <w:r w:rsidR="004D5AD0">
              <w:t>–</w:t>
            </w:r>
            <w:r>
              <w:t xml:space="preserve"> to help </w:t>
            </w:r>
            <w:r w:rsidR="007C744B">
              <w:t>people</w:t>
            </w:r>
            <w:r>
              <w:t xml:space="preserve"> to meet their emergency, short-term, medium-term and long-term housing needs.   </w:t>
            </w:r>
          </w:p>
        </w:tc>
      </w:tr>
      <w:tr w:rsidR="00C04B7A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783CC6" w:rsidRDefault="00783CC6" w:rsidP="007C3390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Rental bond </w:t>
            </w:r>
            <w:r w:rsidR="007C3390">
              <w:rPr>
                <w:i/>
              </w:rPr>
              <w:t>assistance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783CC6" w:rsidP="00021473">
            <w:pPr>
              <w:spacing w:before="120"/>
            </w:pPr>
            <w:r>
              <w:t>6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7A65F1" w:rsidRDefault="00513D53" w:rsidP="00021473">
            <w:pPr>
              <w:spacing w:before="120" w:after="120"/>
            </w:pPr>
            <w:r>
              <w:t>Rental bond assistance takes the form of an</w:t>
            </w:r>
            <w:r w:rsidR="007A65F1">
              <w:t xml:space="preserve"> interest-free </w:t>
            </w:r>
            <w:r>
              <w:t>arrangement whereby an amount</w:t>
            </w:r>
            <w:r w:rsidR="007A65F1">
              <w:t xml:space="preserve"> </w:t>
            </w:r>
            <w:r w:rsidR="00550106">
              <w:t xml:space="preserve">is </w:t>
            </w:r>
            <w:r w:rsidR="007A65F1">
              <w:t>paid by an approved applicant to the housing commissioner</w:t>
            </w:r>
            <w:r w:rsidR="00110585">
              <w:t xml:space="preserve"> in instalments as mutually agreed</w:t>
            </w:r>
            <w:r w:rsidR="004C1D2B">
              <w:t xml:space="preserve"> </w:t>
            </w:r>
            <w:r w:rsidR="00110585">
              <w:t>in a</w:t>
            </w:r>
            <w:r w:rsidR="004C1D2B">
              <w:t xml:space="preserve"> schedule of repayments</w:t>
            </w:r>
            <w:r w:rsidR="007A65F1">
              <w:t xml:space="preserve">. </w:t>
            </w:r>
            <w:r w:rsidR="00550106">
              <w:t>To</w:t>
            </w:r>
            <w:r w:rsidR="007A65F1">
              <w:t xml:space="preserve"> receive a rental bond loan, the applicant is required to:</w:t>
            </w:r>
          </w:p>
          <w:p w:rsidR="007A65F1" w:rsidRDefault="007A65F1" w:rsidP="00021473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11"/>
            </w:pPr>
            <w:r>
              <w:t>app</w:t>
            </w:r>
            <w:r w:rsidR="00513D53">
              <w:t>ly, and be found eligible for,</w:t>
            </w:r>
            <w:r>
              <w:t xml:space="preserve"> rental bond </w:t>
            </w:r>
            <w:r w:rsidR="00513D53">
              <w:t>assistance</w:t>
            </w:r>
            <w:r>
              <w:t xml:space="preserve"> (see clause</w:t>
            </w:r>
            <w:r w:rsidR="00513D53">
              <w:t xml:space="preserve"> 9 – Eligibility criteria for </w:t>
            </w:r>
            <w:r>
              <w:t xml:space="preserve">rental bond </w:t>
            </w:r>
            <w:r w:rsidR="00513D53">
              <w:t>assistance</w:t>
            </w:r>
            <w:r>
              <w:t>); and</w:t>
            </w:r>
          </w:p>
          <w:p w:rsidR="00C04B7A" w:rsidRDefault="007A65F1" w:rsidP="00021473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11"/>
            </w:pPr>
            <w:r>
              <w:t xml:space="preserve">enter into a </w:t>
            </w:r>
            <w:r w:rsidR="00513D53">
              <w:t>rental bond</w:t>
            </w:r>
            <w:r>
              <w:t xml:space="preserve"> agreement </w:t>
            </w:r>
            <w:r w:rsidR="00110585">
              <w:t>(</w:t>
            </w:r>
            <w:r w:rsidR="00720D68">
              <w:t>containing</w:t>
            </w:r>
            <w:r w:rsidR="00110585">
              <w:t xml:space="preserve"> a schedule of repayments) </w:t>
            </w:r>
            <w:r>
              <w:t xml:space="preserve">with </w:t>
            </w:r>
            <w:r w:rsidR="00330458">
              <w:t>the housing commissioner</w:t>
            </w:r>
            <w:r>
              <w:t xml:space="preserve">.  </w:t>
            </w:r>
          </w:p>
          <w:p w:rsidR="007A65F1" w:rsidRPr="00021473" w:rsidRDefault="007A65F1" w:rsidP="00550106">
            <w:pPr>
              <w:spacing w:before="120" w:after="120"/>
              <w:ind w:right="-108"/>
            </w:pPr>
            <w:r>
              <w:t>The amount</w:t>
            </w:r>
            <w:r w:rsidR="007F2696">
              <w:t xml:space="preserve"> to be paid by the applicant to the housing commissioner</w:t>
            </w:r>
            <w:r>
              <w:t xml:space="preserve"> </w:t>
            </w:r>
            <w:r w:rsidR="00021473">
              <w:t xml:space="preserve">is equal to the rental bond amount paid by </w:t>
            </w:r>
            <w:r w:rsidR="00550106">
              <w:t xml:space="preserve">the housing commissioner </w:t>
            </w:r>
            <w:r w:rsidR="008E0A55">
              <w:t xml:space="preserve">to the </w:t>
            </w:r>
            <w:r w:rsidR="00914876">
              <w:t>Territory entity responsible for holding a rental bond,</w:t>
            </w:r>
            <w:r w:rsidR="00021473">
              <w:t xml:space="preserve"> on behalf of the tenant under the </w:t>
            </w:r>
            <w:r w:rsidR="00021473">
              <w:rPr>
                <w:i/>
              </w:rPr>
              <w:t>Residential Tenancies Act 1997</w:t>
            </w:r>
            <w:r w:rsidR="00914876">
              <w:t>, section </w:t>
            </w:r>
            <w:r w:rsidR="00021473">
              <w:t>24.</w:t>
            </w:r>
          </w:p>
        </w:tc>
      </w:tr>
      <w:tr w:rsidR="00C04B7A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524240" w:rsidRDefault="00102AB6" w:rsidP="00330458">
            <w:pPr>
              <w:spacing w:before="120" w:after="120"/>
              <w:rPr>
                <w:i/>
              </w:rPr>
            </w:pPr>
            <w:r>
              <w:rPr>
                <w:i/>
              </w:rPr>
              <w:t>Rental bond agreement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102AB6" w:rsidP="008A1FE9">
            <w:pPr>
              <w:spacing w:before="120" w:after="120"/>
            </w:pPr>
            <w:r>
              <w:t>7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6B21CF" w:rsidRDefault="006B21CF" w:rsidP="006B21CF">
            <w:pPr>
              <w:spacing w:before="120" w:after="120"/>
            </w:pPr>
            <w:r>
              <w:t xml:space="preserve">Where a rental bond agreement is entered into, </w:t>
            </w:r>
            <w:r w:rsidR="00330458">
              <w:t>the housing commissioner</w:t>
            </w:r>
            <w:r>
              <w:t>:</w:t>
            </w:r>
          </w:p>
          <w:p w:rsidR="00C04B7A" w:rsidRDefault="006B21CF" w:rsidP="006B21C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12"/>
            </w:pPr>
            <w:r>
              <w:t>maintain</w:t>
            </w:r>
            <w:r w:rsidR="00330458">
              <w:t>s</w:t>
            </w:r>
            <w:r>
              <w:t xml:space="preserve"> the r</w:t>
            </w:r>
            <w:r w:rsidR="00467BD3">
              <w:t>ight</w:t>
            </w:r>
            <w:r>
              <w:t xml:space="preserve"> to any amount of monies paid to the </w:t>
            </w:r>
            <w:r w:rsidR="00914876">
              <w:t>Territory entity responsible for holding a rental bond</w:t>
            </w:r>
            <w:r>
              <w:t xml:space="preserve"> (on the applicant’s behalf), equal to the amount that remains unpaid under the rental bond loan. </w:t>
            </w:r>
          </w:p>
          <w:p w:rsidR="006B21CF" w:rsidRDefault="00467BD3" w:rsidP="00467BD3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12"/>
            </w:pPr>
            <w:r>
              <w:t xml:space="preserve">will recover monies directly from the </w:t>
            </w:r>
            <w:r w:rsidR="00914876">
              <w:t>Territory entity responsible for holding a rental bond</w:t>
            </w:r>
            <w:r>
              <w:t xml:space="preserve"> following the cessation of the tenancy agreement (see clause 13 – Termination of a tenancy agreement).</w:t>
            </w:r>
          </w:p>
          <w:p w:rsidR="00223030" w:rsidRDefault="00330458" w:rsidP="00A6729A">
            <w:pPr>
              <w:spacing w:before="120" w:after="120"/>
              <w:ind w:left="-48"/>
            </w:pPr>
            <w:r>
              <w:t>Applications for</w:t>
            </w:r>
            <w:r w:rsidR="005A088B">
              <w:t xml:space="preserve"> rental bond </w:t>
            </w:r>
            <w:r>
              <w:t>assistance</w:t>
            </w:r>
            <w:r w:rsidR="005A088B">
              <w:t xml:space="preserve"> may be made by a single, or joint (i.e. two) applicants. Only appli</w:t>
            </w:r>
            <w:r>
              <w:t>cants found to be eligible for</w:t>
            </w:r>
            <w:r w:rsidR="005A088B">
              <w:t xml:space="preserve"> rental bond </w:t>
            </w:r>
            <w:r>
              <w:t>assistance</w:t>
            </w:r>
            <w:r w:rsidR="005A088B">
              <w:t xml:space="preserve"> may enter into a rental bond loan agreement with </w:t>
            </w:r>
            <w:r>
              <w:t>the housing commissioner</w:t>
            </w:r>
            <w:r w:rsidR="005A088B">
              <w:t xml:space="preserve">. </w:t>
            </w:r>
          </w:p>
          <w:p w:rsidR="003D6EF3" w:rsidRPr="00C04B7A" w:rsidRDefault="003D6EF3" w:rsidP="00C0532B">
            <w:pPr>
              <w:spacing w:before="120" w:after="120"/>
            </w:pPr>
            <w:r w:rsidRPr="00C0532B">
              <w:t xml:space="preserve">Note: An applicant is not required to have identified a property for rent at the time of application. Rather it is sufficient that they intend to do so, as a </w:t>
            </w:r>
            <w:r w:rsidR="00C0532B">
              <w:t xml:space="preserve">rental </w:t>
            </w:r>
            <w:r w:rsidRPr="00C0532B">
              <w:t xml:space="preserve">bond </w:t>
            </w:r>
            <w:r w:rsidR="00D47AD2" w:rsidRPr="00C0532B">
              <w:t>agreement</w:t>
            </w:r>
            <w:r w:rsidRPr="00C0532B">
              <w:t xml:space="preserve"> will not be entered into until a property is identified.</w:t>
            </w:r>
          </w:p>
        </w:tc>
      </w:tr>
      <w:tr w:rsidR="00C04B7A" w:rsidRPr="001D4DF2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E6902" w:rsidRDefault="003B230A" w:rsidP="003B230A">
            <w:pPr>
              <w:rPr>
                <w:i/>
              </w:rPr>
            </w:pPr>
            <w:r>
              <w:rPr>
                <w:i/>
              </w:rPr>
              <w:t xml:space="preserve">Application for </w:t>
            </w:r>
            <w:r w:rsidR="00CE6902">
              <w:rPr>
                <w:i/>
              </w:rPr>
              <w:t xml:space="preserve">rental bond </w:t>
            </w:r>
            <w:r>
              <w:rPr>
                <w:i/>
              </w:rPr>
              <w:t>assistance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CE6902" w:rsidP="00C04B7A">
            <w:r>
              <w:t>8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1D4DF2" w:rsidRDefault="00D0279A" w:rsidP="007A65F1">
            <w:pPr>
              <w:spacing w:after="120"/>
            </w:pPr>
            <w:r w:rsidRPr="001D4DF2">
              <w:t>An applicant may apply for</w:t>
            </w:r>
            <w:r w:rsidR="00490EDD" w:rsidRPr="001D4DF2">
              <w:t xml:space="preserve"> rental bond </w:t>
            </w:r>
            <w:r w:rsidRPr="001D4DF2">
              <w:t>assistance</w:t>
            </w:r>
            <w:r w:rsidR="00490EDD" w:rsidRPr="001D4DF2">
              <w:t xml:space="preserve"> using the paper-based or electronic form provided for this purpose by </w:t>
            </w:r>
            <w:r w:rsidRPr="001D4DF2">
              <w:t>the housing commissioner</w:t>
            </w:r>
            <w:r w:rsidR="00490EDD" w:rsidRPr="001D4DF2">
              <w:t xml:space="preserve">. </w:t>
            </w:r>
          </w:p>
          <w:p w:rsidR="005556BA" w:rsidRPr="001D4DF2" w:rsidRDefault="00490EDD" w:rsidP="00490EDD">
            <w:pPr>
              <w:spacing w:after="120"/>
            </w:pPr>
            <w:r w:rsidRPr="001D4DF2">
              <w:t xml:space="preserve">An applicant is required to provide all information that </w:t>
            </w:r>
            <w:r w:rsidR="00170607" w:rsidRPr="001D4DF2">
              <w:t>the housing commissioner</w:t>
            </w:r>
            <w:r w:rsidRPr="001D4DF2">
              <w:t xml:space="preserve"> reasonably require</w:t>
            </w:r>
            <w:r w:rsidR="00170607" w:rsidRPr="001D4DF2">
              <w:t>s</w:t>
            </w:r>
            <w:r w:rsidRPr="001D4DF2">
              <w:t xml:space="preserve"> to assess an application. </w:t>
            </w:r>
            <w:r w:rsidR="00170607" w:rsidRPr="001D4DF2">
              <w:t xml:space="preserve">The housing commissioner </w:t>
            </w:r>
            <w:r w:rsidRPr="001D4DF2">
              <w:t>will only seek evidence</w:t>
            </w:r>
            <w:r w:rsidR="00AD290F" w:rsidRPr="001D4DF2">
              <w:t xml:space="preserve"> that is sufficient</w:t>
            </w:r>
            <w:r w:rsidRPr="001D4DF2">
              <w:t xml:space="preserve"> to satisfy: </w:t>
            </w:r>
          </w:p>
          <w:p w:rsidR="005556BA" w:rsidRPr="001D4DF2" w:rsidRDefault="00490EDD" w:rsidP="00F6517E">
            <w:pPr>
              <w:pStyle w:val="ListParagraph"/>
              <w:numPr>
                <w:ilvl w:val="0"/>
                <w:numId w:val="14"/>
              </w:numPr>
              <w:spacing w:after="120"/>
              <w:ind w:left="454" w:right="-108"/>
            </w:pPr>
            <w:r w:rsidRPr="001D4DF2">
              <w:t xml:space="preserve">the eligibility criteria for rental bond </w:t>
            </w:r>
            <w:r w:rsidR="00170607" w:rsidRPr="001D4DF2">
              <w:t>assistance</w:t>
            </w:r>
            <w:r w:rsidRPr="001D4DF2">
              <w:t xml:space="preserve"> (under clause 9); </w:t>
            </w:r>
          </w:p>
          <w:p w:rsidR="005556BA" w:rsidRPr="001D4DF2" w:rsidRDefault="00BB2A60" w:rsidP="005556BA">
            <w:pPr>
              <w:pStyle w:val="ListParagraph"/>
              <w:numPr>
                <w:ilvl w:val="0"/>
                <w:numId w:val="14"/>
              </w:numPr>
              <w:spacing w:after="120"/>
              <w:ind w:left="454"/>
            </w:pPr>
            <w:r w:rsidRPr="001D4DF2">
              <w:t xml:space="preserve">if applicable, </w:t>
            </w:r>
            <w:r w:rsidR="00490EDD" w:rsidRPr="001D4DF2">
              <w:t xml:space="preserve">that circumstances warranting exemption to the eligibility criteria (under clause 10) exist; </w:t>
            </w:r>
            <w:r w:rsidRPr="001D4DF2">
              <w:t>and</w:t>
            </w:r>
            <w:r w:rsidR="00490EDD" w:rsidRPr="001D4DF2">
              <w:t xml:space="preserve"> </w:t>
            </w:r>
          </w:p>
          <w:p w:rsidR="00490EDD" w:rsidRPr="001D4DF2" w:rsidRDefault="00490EDD" w:rsidP="002B0A5B">
            <w:pPr>
              <w:pStyle w:val="ListParagraph"/>
              <w:numPr>
                <w:ilvl w:val="0"/>
                <w:numId w:val="14"/>
              </w:numPr>
              <w:spacing w:after="120"/>
              <w:ind w:left="454"/>
            </w:pPr>
            <w:r w:rsidRPr="001D4DF2">
              <w:t xml:space="preserve">to confirm the accuracy of the information provided by the applicant e.g. </w:t>
            </w:r>
            <w:r w:rsidR="00402799" w:rsidRPr="001D4DF2">
              <w:t xml:space="preserve">proof of identity, or </w:t>
            </w:r>
            <w:r w:rsidRPr="001D4DF2">
              <w:t xml:space="preserve">requesting confirmation of monies paid through </w:t>
            </w:r>
            <w:r w:rsidR="005556BA" w:rsidRPr="001D4DF2">
              <w:t xml:space="preserve">a </w:t>
            </w:r>
            <w:r w:rsidRPr="001D4DF2">
              <w:t xml:space="preserve">private </w:t>
            </w:r>
            <w:r w:rsidR="005556BA" w:rsidRPr="001D4DF2">
              <w:t xml:space="preserve">custodial </w:t>
            </w:r>
            <w:r w:rsidRPr="001D4DF2">
              <w:t>arrangement</w:t>
            </w:r>
            <w:r w:rsidR="005556BA" w:rsidRPr="001D4DF2">
              <w:t xml:space="preserve"> where those payments are to be relied upon in an application</w:t>
            </w:r>
            <w:r w:rsidRPr="001D4DF2">
              <w:t xml:space="preserve">.  </w:t>
            </w:r>
          </w:p>
          <w:p w:rsidR="00952F0F" w:rsidRPr="001D4DF2" w:rsidRDefault="0033749B" w:rsidP="0033749B">
            <w:pPr>
              <w:spacing w:after="120"/>
            </w:pPr>
            <w:r w:rsidRPr="001D4DF2">
              <w:t xml:space="preserve">Where a joint application is made, only two applicants may apply. </w:t>
            </w:r>
          </w:p>
          <w:p w:rsidR="0033749B" w:rsidRPr="001D4DF2" w:rsidRDefault="0033749B" w:rsidP="0033749B">
            <w:pPr>
              <w:spacing w:after="120"/>
            </w:pPr>
            <w:r w:rsidRPr="001D4DF2">
              <w:t xml:space="preserve">Where parties provide the details of more than two applicants in an application, </w:t>
            </w:r>
            <w:r w:rsidR="00214B5A" w:rsidRPr="001D4DF2">
              <w:t>the housing commissioner</w:t>
            </w:r>
            <w:r w:rsidRPr="001D4DF2">
              <w:t xml:space="preserve"> must </w:t>
            </w:r>
            <w:r w:rsidR="00214B5A" w:rsidRPr="001D4DF2">
              <w:t>determine</w:t>
            </w:r>
            <w:r w:rsidRPr="001D4DF2">
              <w:t xml:space="preserve"> the most appropriate parties to list as the joint applicants</w:t>
            </w:r>
            <w:r w:rsidR="00C25422" w:rsidRPr="001D4DF2">
              <w:t>,</w:t>
            </w:r>
            <w:r w:rsidRPr="001D4DF2">
              <w:t xml:space="preserve"> having regard for:</w:t>
            </w:r>
          </w:p>
          <w:p w:rsidR="0033749B" w:rsidRPr="001D4DF2" w:rsidRDefault="00DB041A" w:rsidP="0033749B">
            <w:pPr>
              <w:pStyle w:val="ListParagraph"/>
              <w:numPr>
                <w:ilvl w:val="0"/>
                <w:numId w:val="15"/>
              </w:numPr>
              <w:spacing w:after="120"/>
              <w:ind w:left="454"/>
            </w:pPr>
            <w:r w:rsidRPr="001D4DF2">
              <w:t>the likelihood that the identified persons will satisf</w:t>
            </w:r>
            <w:r w:rsidR="00214B5A" w:rsidRPr="001D4DF2">
              <w:t>y the eligibility criteria for rental bond assistance</w:t>
            </w:r>
            <w:r w:rsidRPr="001D4DF2">
              <w:t xml:space="preserve"> (or an exemption to that criteria); and</w:t>
            </w:r>
          </w:p>
          <w:p w:rsidR="00DB041A" w:rsidRPr="001D4DF2" w:rsidRDefault="00A205CF" w:rsidP="0033749B">
            <w:pPr>
              <w:pStyle w:val="ListParagraph"/>
              <w:numPr>
                <w:ilvl w:val="0"/>
                <w:numId w:val="15"/>
              </w:numPr>
              <w:spacing w:after="120"/>
              <w:ind w:left="454"/>
            </w:pPr>
            <w:r w:rsidRPr="001D4DF2">
              <w:t xml:space="preserve">the identified persons’ willingness to assume responsibility for, and enter into an agreement to repay, the rental bond </w:t>
            </w:r>
            <w:r w:rsidR="00214B5A" w:rsidRPr="001D4DF2">
              <w:t>amount</w:t>
            </w:r>
            <w:r w:rsidRPr="001D4DF2">
              <w:t xml:space="preserve">. </w:t>
            </w:r>
          </w:p>
          <w:p w:rsidR="007A5EFE" w:rsidRPr="001D4DF2" w:rsidRDefault="007A5EFE" w:rsidP="00EA4B71">
            <w:pPr>
              <w:spacing w:after="120"/>
              <w:ind w:right="-108"/>
            </w:pPr>
            <w:r w:rsidRPr="001D4DF2">
              <w:t xml:space="preserve">Once an applicant is found eligible, their application will remain valid for up to </w:t>
            </w:r>
            <w:r w:rsidR="00EA4B71" w:rsidRPr="001D4DF2">
              <w:t>6 months</w:t>
            </w:r>
            <w:r w:rsidRPr="001D4DF2">
              <w:t xml:space="preserve">, allowing the applicant time to apply for a residential tenancy in the Territory, if they have not already done so. </w:t>
            </w:r>
            <w:r w:rsidR="00EA4B71" w:rsidRPr="001D4DF2">
              <w:t xml:space="preserve">If more than 6 months has elapsed, then the application may be reinstated provided the applicant can demonstrate that they continue to satisfy eligibility criteria. </w:t>
            </w:r>
          </w:p>
        </w:tc>
      </w:tr>
      <w:tr w:rsidR="00C04B7A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567844" w:rsidRDefault="00863F38" w:rsidP="00863F38">
            <w:pPr>
              <w:spacing w:before="120" w:after="120"/>
              <w:rPr>
                <w:i/>
              </w:rPr>
            </w:pPr>
            <w:r>
              <w:rPr>
                <w:i/>
              </w:rPr>
              <w:t xml:space="preserve">Eligibility criteria for </w:t>
            </w:r>
            <w:r w:rsidR="00567844">
              <w:rPr>
                <w:i/>
              </w:rPr>
              <w:t xml:space="preserve">rental bond </w:t>
            </w:r>
            <w:r>
              <w:rPr>
                <w:i/>
              </w:rPr>
              <w:t>assistance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567844" w:rsidP="00F02AAB">
            <w:pPr>
              <w:spacing w:before="120" w:after="120"/>
            </w:pPr>
            <w:r>
              <w:t>9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4928A2" w:rsidRDefault="004928A2" w:rsidP="004928A2">
            <w:pPr>
              <w:spacing w:before="120" w:after="120"/>
            </w:pPr>
            <w:r>
              <w:t>An applicant’s eligibility is determined by their age</w:t>
            </w:r>
            <w:r w:rsidR="00303C78">
              <w:t>, their</w:t>
            </w:r>
            <w:r>
              <w:t xml:space="preserve"> intent to enter a tenancy agreement in the Territory and to reside in the tenanted residence for the duration of their tenancy; </w:t>
            </w:r>
            <w:r w:rsidR="00D70763" w:rsidRPr="004A727F">
              <w:t xml:space="preserve">the </w:t>
            </w:r>
            <w:r w:rsidR="00AB2089" w:rsidRPr="004A727F">
              <w:t>cash or cash equivalent</w:t>
            </w:r>
            <w:r w:rsidR="00D70763" w:rsidRPr="004A727F">
              <w:t xml:space="preserve"> holdings of the applicants; </w:t>
            </w:r>
            <w:r w:rsidRPr="004A727F">
              <w:t>and the income of the single and/or joint applicants</w:t>
            </w:r>
            <w:r w:rsidR="003003AF" w:rsidRPr="004A727F">
              <w:t xml:space="preserve"> for the financial year</w:t>
            </w:r>
            <w:r w:rsidRPr="004A727F">
              <w:t>.</w:t>
            </w:r>
            <w:r>
              <w:t xml:space="preserve">   </w:t>
            </w:r>
          </w:p>
          <w:p w:rsidR="004928A2" w:rsidRDefault="004928A2" w:rsidP="004928A2">
            <w:pPr>
              <w:spacing w:before="120" w:after="120"/>
              <w:ind w:left="35"/>
            </w:pPr>
            <w:r>
              <w:t>When assessing eligibility</w:t>
            </w:r>
            <w:r w:rsidR="002C766A">
              <w:t>,</w:t>
            </w:r>
            <w:r>
              <w:t xml:space="preserve"> additional household members will only be considered </w:t>
            </w:r>
            <w:r w:rsidR="00F415EC">
              <w:t xml:space="preserve">when determining whether an applicant exceeds the income eligibility threshold AND </w:t>
            </w:r>
            <w:r>
              <w:t xml:space="preserve">where </w:t>
            </w:r>
            <w:r w:rsidR="00F415EC">
              <w:t>the additional household members</w:t>
            </w:r>
            <w:r>
              <w:t xml:space="preserve"> are:</w:t>
            </w:r>
          </w:p>
          <w:p w:rsidR="004928A2" w:rsidRDefault="004928A2" w:rsidP="004928A2">
            <w:pPr>
              <w:pStyle w:val="ListParagraph"/>
              <w:numPr>
                <w:ilvl w:val="0"/>
                <w:numId w:val="17"/>
              </w:numPr>
              <w:spacing w:before="120" w:after="120"/>
              <w:ind w:left="537"/>
            </w:pPr>
            <w:r>
              <w:t xml:space="preserve">dependent children; and </w:t>
            </w:r>
          </w:p>
          <w:p w:rsidR="004928A2" w:rsidRDefault="004928A2" w:rsidP="004928A2">
            <w:pPr>
              <w:pStyle w:val="ListParagraph"/>
              <w:numPr>
                <w:ilvl w:val="0"/>
                <w:numId w:val="17"/>
              </w:numPr>
              <w:spacing w:before="120" w:after="120"/>
              <w:ind w:left="537"/>
            </w:pPr>
            <w:r>
              <w:t xml:space="preserve">residing with the applicant (noting that fulltime residence is not required). </w:t>
            </w:r>
          </w:p>
          <w:p w:rsidR="0033512F" w:rsidRDefault="003003AF" w:rsidP="00D746A8">
            <w:pPr>
              <w:spacing w:before="120" w:after="120"/>
            </w:pPr>
            <w:r>
              <w:t xml:space="preserve">For example, a single applicant that earned </w:t>
            </w:r>
            <w:r w:rsidR="00D746A8">
              <w:t xml:space="preserve">the equivalent of 160% of AAWE each week for the previous financial year, may still be eligible for a rental bond loan because their two dependent children reside with them </w:t>
            </w:r>
            <w:r w:rsidR="00D86BC0">
              <w:t>regularly on</w:t>
            </w:r>
            <w:r w:rsidR="00ED4884">
              <w:t xml:space="preserve"> weekend</w:t>
            </w:r>
            <w:r w:rsidR="00D86BC0">
              <w:t>s</w:t>
            </w:r>
            <w:r w:rsidR="00D746A8">
              <w:t xml:space="preserve"> as part of a shared custodial arrangement.</w:t>
            </w:r>
          </w:p>
          <w:p w:rsidR="00F771B6" w:rsidRPr="003A44F5" w:rsidRDefault="00F771B6" w:rsidP="00D746A8">
            <w:pPr>
              <w:spacing w:before="120" w:after="120"/>
            </w:pPr>
            <w:r w:rsidRPr="003A44F5">
              <w:rPr>
                <w:u w:val="single"/>
              </w:rPr>
              <w:t>Evidentiary requirements</w:t>
            </w:r>
          </w:p>
          <w:p w:rsidR="006110D2" w:rsidRPr="003A44F5" w:rsidRDefault="00DD1713" w:rsidP="00D746A8">
            <w:pPr>
              <w:spacing w:before="120" w:after="120"/>
            </w:pPr>
            <w:r w:rsidRPr="003A44F5">
              <w:t xml:space="preserve">Housing ACT will only collect sufficient information from an applicant to demonstrate that they meet </w:t>
            </w:r>
            <w:r w:rsidR="00975D51" w:rsidRPr="003A44F5">
              <w:t>program eligibility</w:t>
            </w:r>
            <w:r w:rsidRPr="003A44F5">
              <w:t xml:space="preserve"> thresholds.</w:t>
            </w:r>
            <w:r w:rsidR="00975D51" w:rsidRPr="003A44F5">
              <w:t xml:space="preserve"> </w:t>
            </w:r>
          </w:p>
          <w:p w:rsidR="00F771B6" w:rsidRPr="003A44F5" w:rsidRDefault="006110D2" w:rsidP="00D746A8">
            <w:pPr>
              <w:spacing w:before="120" w:after="120"/>
            </w:pPr>
            <w:r w:rsidRPr="003A44F5">
              <w:t>A list of sufficient evidentiary documentation is provided on the approved application form. Additional information will only be sought where the eligi</w:t>
            </w:r>
            <w:r w:rsidR="002F35C5" w:rsidRPr="003A44F5">
              <w:t xml:space="preserve">bility threshold has not been demonstrated and it is reasonably necessary to seek additional information for </w:t>
            </w:r>
            <w:r w:rsidRPr="003A44F5">
              <w:t>this purpose</w:t>
            </w:r>
            <w:r w:rsidR="002F35C5" w:rsidRPr="003A44F5">
              <w:t>, c</w:t>
            </w:r>
            <w:r w:rsidR="00975D51" w:rsidRPr="003A44F5">
              <w:t xml:space="preserve">onsistent with the </w:t>
            </w:r>
            <w:r w:rsidR="00975D51" w:rsidRPr="003A44F5">
              <w:rPr>
                <w:i/>
              </w:rPr>
              <w:t>Legislation Act 2001</w:t>
            </w:r>
            <w:r w:rsidR="00975D51" w:rsidRPr="003A44F5">
              <w:t xml:space="preserve">, </w:t>
            </w:r>
            <w:r w:rsidR="002F35C5" w:rsidRPr="003A44F5">
              <w:t>section 255(6).</w:t>
            </w:r>
            <w:r w:rsidR="00975D51" w:rsidRPr="003A44F5">
              <w:t xml:space="preserve"> </w:t>
            </w:r>
          </w:p>
          <w:p w:rsidR="00FD747E" w:rsidRPr="00FD747E" w:rsidRDefault="00FD747E" w:rsidP="009812BA">
            <w:pPr>
              <w:keepNext/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Circumstances where an applicant may not be eligible</w:t>
            </w:r>
          </w:p>
          <w:p w:rsidR="00D53929" w:rsidRDefault="00D53929" w:rsidP="009812BA">
            <w:pPr>
              <w:keepNext/>
              <w:spacing w:before="120" w:after="120"/>
            </w:pPr>
            <w:r>
              <w:t>Unless an appropriate delegate determines that an exemption to the eligibility criteria should apply (see clause 10 – Exemptions to eligibility criteria), typically</w:t>
            </w:r>
            <w:r w:rsidR="00FD747E">
              <w:t xml:space="preserve"> an applicant</w:t>
            </w:r>
            <w:r>
              <w:t>:</w:t>
            </w:r>
          </w:p>
          <w:p w:rsidR="00517BE1" w:rsidRDefault="00FD747E" w:rsidP="00517BE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95"/>
            </w:pPr>
            <w:r>
              <w:t xml:space="preserve">will only be permitted to hold one rental bond loan under this program </w:t>
            </w:r>
            <w:r w:rsidR="00D53929">
              <w:t>at a time</w:t>
            </w:r>
            <w:r w:rsidR="00517BE1">
              <w:t xml:space="preserve"> (i.e. they cannot apply if they already owe money to the housing commissioner for another rental bond agreement)</w:t>
            </w:r>
            <w:r w:rsidR="00D53929">
              <w:t xml:space="preserve">; </w:t>
            </w:r>
          </w:p>
          <w:p w:rsidR="00D53929" w:rsidRDefault="00D53929" w:rsidP="00D5392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95"/>
            </w:pPr>
            <w:r>
              <w:t>w</w:t>
            </w:r>
            <w:r w:rsidR="00BF3862">
              <w:t xml:space="preserve">ill not be found eligible for </w:t>
            </w:r>
            <w:r>
              <w:t xml:space="preserve">rental bond </w:t>
            </w:r>
            <w:r w:rsidR="00BF3862">
              <w:t>assistance</w:t>
            </w:r>
            <w:r>
              <w:t xml:space="preserve"> if they provide false or misleading information; and</w:t>
            </w:r>
          </w:p>
          <w:p w:rsidR="00D53929" w:rsidRDefault="00BF3862" w:rsidP="00D746A8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95"/>
            </w:pPr>
            <w:r>
              <w:t>will not be found eligible for</w:t>
            </w:r>
            <w:r w:rsidR="00D53929">
              <w:t xml:space="preserve"> rental bond </w:t>
            </w:r>
            <w:r>
              <w:t>assistance</w:t>
            </w:r>
            <w:r w:rsidR="00D53929">
              <w:t xml:space="preserve"> if, having regard for the income of the applicant, it is determined that the applicant cannot meet the schedule of repayments </w:t>
            </w:r>
            <w:r w:rsidR="003B7DD3">
              <w:t xml:space="preserve">contained in the </w:t>
            </w:r>
            <w:r>
              <w:t>rental bond</w:t>
            </w:r>
            <w:r w:rsidR="003B7DD3">
              <w:t xml:space="preserve"> agreement</w:t>
            </w:r>
            <w:r w:rsidR="00D53929">
              <w:t xml:space="preserve">. </w:t>
            </w:r>
          </w:p>
          <w:p w:rsidR="00D53929" w:rsidRPr="00C04B7A" w:rsidRDefault="00226E2D" w:rsidP="00296C59">
            <w:pPr>
              <w:spacing w:before="120" w:after="120"/>
            </w:pPr>
            <w:r>
              <w:t>The housing commissioner is</w:t>
            </w:r>
            <w:r w:rsidR="00D53929">
              <w:t xml:space="preserve"> not responsible for determining the capacity of </w:t>
            </w:r>
            <w:r w:rsidR="00C26EBF">
              <w:t xml:space="preserve">an applicant to satisfy any </w:t>
            </w:r>
            <w:r w:rsidR="003B7DD3">
              <w:t>agreement</w:t>
            </w:r>
            <w:r w:rsidR="00C26EBF">
              <w:t xml:space="preserve"> made between the applicant (as a tenant) and a lessor for rent under the </w:t>
            </w:r>
            <w:r w:rsidR="00C26EBF">
              <w:rPr>
                <w:i/>
              </w:rPr>
              <w:t>Residential Tenancies Act 1997</w:t>
            </w:r>
            <w:r w:rsidR="00C26EBF">
              <w:t xml:space="preserve">.  </w:t>
            </w:r>
          </w:p>
        </w:tc>
      </w:tr>
      <w:tr w:rsidR="00C04B7A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3B7DD3" w:rsidRDefault="003B7DD3" w:rsidP="00171F39">
            <w:pPr>
              <w:spacing w:before="120" w:after="120"/>
              <w:ind w:right="-191"/>
              <w:rPr>
                <w:i/>
              </w:rPr>
            </w:pPr>
            <w:r>
              <w:rPr>
                <w:i/>
              </w:rPr>
              <w:t>Exemptions  eligibility criteria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3B7DD3" w:rsidP="008D4E3F">
            <w:pPr>
              <w:spacing w:before="120" w:after="120"/>
            </w:pPr>
            <w:r>
              <w:t>10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C04B7A" w:rsidRDefault="00D8088D" w:rsidP="00743FB0">
            <w:pPr>
              <w:spacing w:before="120" w:after="120"/>
              <w:ind w:right="-108"/>
            </w:pPr>
            <w:r>
              <w:t xml:space="preserve">Exemptions to eligibility criteria may be made in the absolute discretion </w:t>
            </w:r>
            <w:r w:rsidRPr="00091243">
              <w:t xml:space="preserve">of </w:t>
            </w:r>
            <w:r w:rsidR="00D47AD2" w:rsidRPr="00091243">
              <w:t>the housing commissioner</w:t>
            </w:r>
            <w:r w:rsidRPr="00091243">
              <w:t>. Such decisions</w:t>
            </w:r>
            <w:r>
              <w:t xml:space="preserve"> are internally reviewable (see clauses 14 &amp; 15), but are not subject to </w:t>
            </w:r>
            <w:r w:rsidR="00743FB0">
              <w:t xml:space="preserve">external </w:t>
            </w:r>
            <w:r>
              <w:t xml:space="preserve">review </w:t>
            </w:r>
            <w:r w:rsidR="00743FB0">
              <w:t>by</w:t>
            </w:r>
            <w:r>
              <w:t xml:space="preserve"> ACAT (see clause 16 – ACAT review). </w:t>
            </w:r>
          </w:p>
          <w:p w:rsidR="00D8088D" w:rsidRDefault="00046D05" w:rsidP="008D4E3F">
            <w:pPr>
              <w:spacing w:before="120" w:after="120"/>
            </w:pPr>
            <w:r>
              <w:t>The e</w:t>
            </w:r>
            <w:r w:rsidR="000A34A4">
              <w:t xml:space="preserve">ligibility criteria requiring an applicant to be at least 16 years of age is not subject to this clause. </w:t>
            </w:r>
          </w:p>
          <w:p w:rsidR="001556FC" w:rsidRDefault="00D70763" w:rsidP="00485343">
            <w:pPr>
              <w:spacing w:before="120" w:after="120"/>
            </w:pPr>
            <w:r>
              <w:t xml:space="preserve">Examples </w:t>
            </w:r>
            <w:r w:rsidR="00690F98">
              <w:t>where exemptions may be applied are contained in the Program instrument. These examples are not exhaustive</w:t>
            </w:r>
            <w:r w:rsidR="001556FC">
              <w:t xml:space="preserve"> and are provided for guidance only</w:t>
            </w:r>
            <w:r w:rsidR="00690F98">
              <w:t xml:space="preserve">. </w:t>
            </w:r>
          </w:p>
          <w:p w:rsidR="000A34A4" w:rsidRDefault="00690F98" w:rsidP="00485343">
            <w:pPr>
              <w:spacing w:before="120" w:after="120"/>
            </w:pPr>
            <w:r>
              <w:t xml:space="preserve">When considering whether an exemption be applied, the delegate should </w:t>
            </w:r>
            <w:r w:rsidR="001556FC">
              <w:t>have regard for</w:t>
            </w:r>
            <w:r>
              <w:t xml:space="preserve"> the object of the Program (see clause 3 – Object of Program)</w:t>
            </w:r>
            <w:r w:rsidR="00485343">
              <w:t xml:space="preserve">, as well as the object of the </w:t>
            </w:r>
            <w:r w:rsidR="00485343">
              <w:rPr>
                <w:i/>
              </w:rPr>
              <w:t>Housing Assistance Act 2007</w:t>
            </w:r>
            <w:r w:rsidR="00485343">
              <w:t xml:space="preserve">, section 6, including – </w:t>
            </w:r>
          </w:p>
          <w:p w:rsidR="00485343" w:rsidRDefault="00485343" w:rsidP="00485343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8"/>
            </w:pPr>
            <w:r>
              <w:t xml:space="preserve">maximising the opportunities for everyone in the ACT to have access to housing that is affordable, secure and appropriate to their needs; </w:t>
            </w:r>
          </w:p>
          <w:p w:rsidR="00485343" w:rsidRDefault="00485343" w:rsidP="00485343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8"/>
            </w:pPr>
            <w:r>
              <w:t xml:space="preserve">to facilitate the provision of housing assistance for those most in need; </w:t>
            </w:r>
          </w:p>
          <w:p w:rsidR="00485343" w:rsidRDefault="00485343" w:rsidP="00485343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8"/>
            </w:pPr>
            <w:r>
              <w:t>to maximise value for money in the provision of housing assistance; and</w:t>
            </w:r>
          </w:p>
          <w:p w:rsidR="00485343" w:rsidRPr="00485343" w:rsidRDefault="00485343" w:rsidP="00485343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8"/>
            </w:pPr>
            <w:r>
              <w:t xml:space="preserve">to facilitate the provision of an adequate support of affordable home finance for people on low and moderate incomes. </w:t>
            </w:r>
          </w:p>
        </w:tc>
      </w:tr>
      <w:tr w:rsidR="00C04B7A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66623D" w:rsidRDefault="0066623D" w:rsidP="00877445">
            <w:pPr>
              <w:spacing w:before="120" w:after="120"/>
              <w:rPr>
                <w:i/>
              </w:rPr>
            </w:pPr>
            <w:r>
              <w:rPr>
                <w:i/>
              </w:rPr>
              <w:t>Meaning of income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66623D" w:rsidP="00877445">
            <w:pPr>
              <w:spacing w:before="120" w:after="120"/>
            </w:pPr>
            <w:r>
              <w:t>11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1508A7" w:rsidRDefault="001508A7" w:rsidP="001508A7">
            <w:pPr>
              <w:spacing w:before="120" w:after="120"/>
            </w:pPr>
            <w:r>
              <w:t xml:space="preserve">Typically any gross earnings made by an applicant are to be considered income for the Program. Income types are provided in the Program. </w:t>
            </w:r>
          </w:p>
          <w:p w:rsidR="00C04B7A" w:rsidRDefault="001508A7" w:rsidP="001508A7">
            <w:pPr>
              <w:spacing w:before="120" w:after="120"/>
            </w:pPr>
            <w:r>
              <w:t>However, income does not mean monies paid by the commonwealth, territory, state or other government body where the mon</w:t>
            </w:r>
            <w:r w:rsidR="00FC76FA">
              <w:t>ies are provided for an express non-housing related</w:t>
            </w:r>
            <w:r>
              <w:t xml:space="preserve"> purpose; or are a one-off special purpose payment unrelated to housing. Non-exhaustive examples are provided in the Program.  </w:t>
            </w:r>
          </w:p>
          <w:p w:rsidR="001508A7" w:rsidRPr="00C04B7A" w:rsidRDefault="00251336" w:rsidP="00CD2332">
            <w:pPr>
              <w:spacing w:before="120" w:after="120"/>
            </w:pPr>
            <w:r>
              <w:t>W</w:t>
            </w:r>
            <w:r w:rsidR="001508A7">
              <w:t xml:space="preserve">hen considering whether monies received are income for the purposes of the Program, </w:t>
            </w:r>
            <w:r w:rsidR="00D94B33">
              <w:t>Housing ACT will have regard for whether the monies received can be used to m</w:t>
            </w:r>
            <w:r w:rsidR="005C47AD">
              <w:t>eet the general cost of living.</w:t>
            </w:r>
            <w:r w:rsidR="00A57568">
              <w:t xml:space="preserve"> Where this is the case, the </w:t>
            </w:r>
            <w:r w:rsidR="003D3D13">
              <w:t>monies</w:t>
            </w:r>
            <w:r w:rsidR="00A57568">
              <w:t xml:space="preserve"> will be </w:t>
            </w:r>
            <w:r w:rsidR="00CD2332">
              <w:t>assessed</w:t>
            </w:r>
            <w:r w:rsidR="003D3D13">
              <w:t xml:space="preserve"> as income</w:t>
            </w:r>
            <w:r w:rsidR="00A57568">
              <w:t xml:space="preserve">. </w:t>
            </w:r>
          </w:p>
        </w:tc>
      </w:tr>
      <w:tr w:rsidR="00C04B7A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886F8F" w:rsidRDefault="00886F8F" w:rsidP="00251336">
            <w:pPr>
              <w:spacing w:before="120" w:after="120"/>
              <w:rPr>
                <w:i/>
              </w:rPr>
            </w:pPr>
            <w:r>
              <w:rPr>
                <w:i/>
              </w:rPr>
              <w:t>Working out income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4B7A" w:rsidRPr="00C04B7A" w:rsidRDefault="00886F8F" w:rsidP="00251336">
            <w:pPr>
              <w:spacing w:before="120" w:after="120"/>
            </w:pPr>
            <w:r>
              <w:t>12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AA61B0" w:rsidRDefault="00294C6F" w:rsidP="00AA61B0">
            <w:pPr>
              <w:spacing w:before="120" w:after="120"/>
            </w:pPr>
            <w:r>
              <w:t xml:space="preserve">Income for the previous financial year will be considered when </w:t>
            </w:r>
            <w:r w:rsidR="00AA61B0">
              <w:t>determining whether an applicant meets income eligibility criteria (see claus</w:t>
            </w:r>
            <w:r w:rsidR="00346FFC">
              <w:t>e 9 – Eligibility criteria for</w:t>
            </w:r>
            <w:r w:rsidR="00AA61B0">
              <w:t xml:space="preserve"> rental bond </w:t>
            </w:r>
            <w:r w:rsidR="00346FFC">
              <w:t>assistance</w:t>
            </w:r>
            <w:r w:rsidR="00AA61B0">
              <w:t xml:space="preserve">). </w:t>
            </w:r>
          </w:p>
          <w:p w:rsidR="00AA61B0" w:rsidRDefault="00AA61B0" w:rsidP="00AA61B0">
            <w:pPr>
              <w:spacing w:before="120" w:after="120"/>
            </w:pPr>
            <w:r>
              <w:t xml:space="preserve">Income thresholds are calculated as a proportion of the Australian Average Weekly Earnings </w:t>
            </w:r>
            <w:r w:rsidR="008E5004">
              <w:t xml:space="preserve">and are </w:t>
            </w:r>
            <w:r>
              <w:t xml:space="preserve">reported biannually by the ABS. </w:t>
            </w:r>
          </w:p>
          <w:p w:rsidR="00C04B7A" w:rsidRPr="00C04B7A" w:rsidRDefault="00AA61B0" w:rsidP="00AA61B0">
            <w:pPr>
              <w:spacing w:before="120" w:after="120"/>
              <w:ind w:right="-108"/>
            </w:pPr>
            <w:r>
              <w:t xml:space="preserve">For example, a single applicant with 1 dependent may earn up to the equivalent of 150% of AAWE each week </w:t>
            </w:r>
            <w:r w:rsidRPr="00AA61B0">
              <w:rPr>
                <w:i/>
              </w:rPr>
              <w:t>plus</w:t>
            </w:r>
            <w:r>
              <w:t xml:space="preserve"> $200/week </w:t>
            </w:r>
            <w:r w:rsidRPr="00AA61B0">
              <w:t>for</w:t>
            </w:r>
            <w:r>
              <w:t xml:space="preserve"> the previous financial year. If the AAWE is $1,700/week the income eligibility limit for the applicant is $98,800 i.e. ($1,700 + $200) x 52 weeks. </w:t>
            </w:r>
          </w:p>
        </w:tc>
      </w:tr>
      <w:tr w:rsidR="00251336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251336" w:rsidRPr="005A5F36" w:rsidRDefault="005A5F36" w:rsidP="00251336">
            <w:pPr>
              <w:spacing w:before="120" w:after="120"/>
            </w:pPr>
            <w:r>
              <w:rPr>
                <w:i/>
              </w:rPr>
              <w:t>Termination of a tenancy agreement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51336" w:rsidRPr="00C04B7A" w:rsidRDefault="005A5F36" w:rsidP="00251336">
            <w:pPr>
              <w:spacing w:before="120" w:after="120"/>
            </w:pPr>
            <w:r>
              <w:t>13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C87E27" w:rsidRDefault="00406465" w:rsidP="00C87E27">
            <w:pPr>
              <w:spacing w:before="120" w:after="120"/>
            </w:pPr>
            <w:r>
              <w:t xml:space="preserve">It is a condition of the rental bond agreement that </w:t>
            </w:r>
            <w:r w:rsidR="00C87E27">
              <w:t>the</w:t>
            </w:r>
            <w:r w:rsidR="00347D5B">
              <w:t xml:space="preserve"> signatory to the agreement notify the housing c</w:t>
            </w:r>
            <w:r w:rsidR="00C87E27">
              <w:t xml:space="preserve">ommissioner in writing of </w:t>
            </w:r>
            <w:r w:rsidR="00B9182A">
              <w:t>the</w:t>
            </w:r>
            <w:r w:rsidR="00C87E27">
              <w:t xml:space="preserve"> termination of </w:t>
            </w:r>
            <w:r w:rsidR="00B9182A">
              <w:t>a</w:t>
            </w:r>
            <w:r w:rsidR="00C87E27">
              <w:t xml:space="preserve"> tenancy to which the </w:t>
            </w:r>
            <w:r w:rsidR="00347D5B">
              <w:t>agreement</w:t>
            </w:r>
            <w:r w:rsidR="00C87E27">
              <w:t xml:space="preserve"> applies, inclusive of the </w:t>
            </w:r>
            <w:r w:rsidR="00347D5B">
              <w:t xml:space="preserve">signatory </w:t>
            </w:r>
            <w:r w:rsidR="00C87E27">
              <w:t xml:space="preserve">vacating the premises where the tenancy is held. </w:t>
            </w:r>
          </w:p>
          <w:p w:rsidR="00251336" w:rsidRDefault="00B9182A" w:rsidP="00B9182A">
            <w:pPr>
              <w:spacing w:before="120" w:after="120"/>
            </w:pPr>
            <w:r>
              <w:t xml:space="preserve">This clause allows a 7 day window to enable the notification to take place. </w:t>
            </w:r>
          </w:p>
          <w:p w:rsidR="00676046" w:rsidRDefault="002D10EA" w:rsidP="002D10EA">
            <w:pPr>
              <w:spacing w:before="120" w:after="120"/>
            </w:pPr>
            <w:r>
              <w:t xml:space="preserve">Upon receipt of the notification, </w:t>
            </w:r>
            <w:r w:rsidR="00347D5B">
              <w:t>the housing commissioner is</w:t>
            </w:r>
            <w:r>
              <w:t xml:space="preserve"> authorised to receive all monies held </w:t>
            </w:r>
            <w:r w:rsidR="00676046">
              <w:t xml:space="preserve">in trust </w:t>
            </w:r>
            <w:r>
              <w:t xml:space="preserve">by the </w:t>
            </w:r>
            <w:r w:rsidR="00CB1108">
              <w:t>Territory entity responsible for holding a rental bond</w:t>
            </w:r>
            <w:r>
              <w:t xml:space="preserve"> following the payment of any deductions made by the lessor at the end of the tenancy under the </w:t>
            </w:r>
            <w:r>
              <w:rPr>
                <w:i/>
              </w:rPr>
              <w:t>Residential Tenancies Act 1997</w:t>
            </w:r>
            <w:r>
              <w:t xml:space="preserve">, section 31. </w:t>
            </w:r>
          </w:p>
          <w:p w:rsidR="00474505" w:rsidRPr="00C04B7A" w:rsidRDefault="00676046" w:rsidP="00474505">
            <w:pPr>
              <w:spacing w:before="120" w:after="120"/>
            </w:pPr>
            <w:r>
              <w:t xml:space="preserve">In accordance with the conditions of the Program (see clause 7 – Rental bond agreement), these monies will be used to repay any outstanding balance owed to the housing commissioner under the </w:t>
            </w:r>
            <w:r w:rsidR="00347D5B">
              <w:t xml:space="preserve">rental </w:t>
            </w:r>
            <w:r>
              <w:t>bond agreement. Any residual funds will be paid to</w:t>
            </w:r>
            <w:r w:rsidR="00856407">
              <w:t xml:space="preserve"> the </w:t>
            </w:r>
            <w:r w:rsidR="00347D5B">
              <w:t>signatory</w:t>
            </w:r>
            <w:r>
              <w:t xml:space="preserve">. </w:t>
            </w:r>
          </w:p>
        </w:tc>
      </w:tr>
      <w:tr w:rsidR="005A5F36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A5F36" w:rsidRDefault="005A5F36" w:rsidP="00251336">
            <w:pPr>
              <w:spacing w:before="120" w:after="120"/>
              <w:rPr>
                <w:i/>
              </w:rPr>
            </w:pPr>
            <w:r>
              <w:rPr>
                <w:i/>
              </w:rPr>
              <w:t>Notice of internally reviewable decision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A5F36" w:rsidRDefault="00406465" w:rsidP="00251336">
            <w:pPr>
              <w:spacing w:before="120" w:after="120"/>
            </w:pPr>
            <w:r>
              <w:t>14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2026B8" w:rsidRDefault="002026B8" w:rsidP="002026B8">
            <w:pPr>
              <w:spacing w:before="120" w:after="120"/>
            </w:pPr>
            <w:r w:rsidRPr="00BD6B6E">
              <w:t xml:space="preserve">Decisions </w:t>
            </w:r>
            <w:r w:rsidR="000B593D" w:rsidRPr="00BD6B6E">
              <w:t xml:space="preserve">made under clause 9 (eligibility) and clause 10 (exemptions) </w:t>
            </w:r>
            <w:r w:rsidRPr="00BD6B6E">
              <w:t>about an application for a rental bond loan</w:t>
            </w:r>
            <w:r w:rsidR="008D5145" w:rsidRPr="00BD6B6E">
              <w:t xml:space="preserve"> are internally reviewable</w:t>
            </w:r>
            <w:r w:rsidRPr="00BD6B6E">
              <w:t xml:space="preserve">. </w:t>
            </w:r>
            <w:r w:rsidR="000B593D" w:rsidRPr="00BD6B6E">
              <w:t>This includes any decision to revoke or amend a decision made under these clauses.</w:t>
            </w:r>
          </w:p>
          <w:p w:rsidR="005A5F36" w:rsidRPr="00C04B7A" w:rsidRDefault="00BD6B6E" w:rsidP="008D5145">
            <w:pPr>
              <w:spacing w:before="120" w:after="120"/>
            </w:pPr>
            <w:r>
              <w:t>The housing commissioner is</w:t>
            </w:r>
            <w:r w:rsidR="002026B8">
              <w:t xml:space="preserve"> required to inform an applicant of any such decision within 28 days in writing, and include sufficient information to </w:t>
            </w:r>
            <w:r w:rsidR="008D5145">
              <w:t>allow</w:t>
            </w:r>
            <w:r w:rsidR="002026B8">
              <w:t xml:space="preserve"> the affected applicant to seek a review of decision (see clause 15) </w:t>
            </w:r>
            <w:r w:rsidR="008D5145">
              <w:t xml:space="preserve">if </w:t>
            </w:r>
            <w:r w:rsidR="002026B8">
              <w:t>they choose</w:t>
            </w:r>
            <w:r w:rsidR="008D5145">
              <w:t xml:space="preserve"> to</w:t>
            </w:r>
            <w:r w:rsidR="002026B8">
              <w:t xml:space="preserve">.   </w:t>
            </w:r>
          </w:p>
        </w:tc>
      </w:tr>
      <w:tr w:rsidR="005A5F36" w:rsidRPr="00C04B7A" w:rsidTr="006543EC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A5F36" w:rsidRDefault="005A5F36" w:rsidP="00251336">
            <w:pPr>
              <w:spacing w:before="120" w:after="120"/>
              <w:rPr>
                <w:i/>
              </w:rPr>
            </w:pPr>
            <w:r>
              <w:rPr>
                <w:i/>
              </w:rPr>
              <w:t>ACAT review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A5F36" w:rsidRDefault="00406465" w:rsidP="00251336">
            <w:pPr>
              <w:spacing w:before="120" w:after="120"/>
            </w:pPr>
            <w:r>
              <w:t>16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0B593D" w:rsidRDefault="008B5B1A" w:rsidP="000B593D">
            <w:pPr>
              <w:spacing w:before="120" w:after="120"/>
            </w:pPr>
            <w:r>
              <w:t>This clause enables an applicant to seek an external review of decision by the ACAT for decisions relating to the rental bond loan application</w:t>
            </w:r>
            <w:r w:rsidR="000B593D">
              <w:t xml:space="preserve">, </w:t>
            </w:r>
            <w:r w:rsidR="000B593D" w:rsidRPr="00BD6B6E">
              <w:t>except where the decision is made under clause 10.</w:t>
            </w:r>
            <w:r w:rsidR="000B593D">
              <w:t xml:space="preserve"> </w:t>
            </w:r>
          </w:p>
          <w:p w:rsidR="005A5F36" w:rsidRPr="008B5B1A" w:rsidRDefault="008B5B1A" w:rsidP="000B593D">
            <w:pPr>
              <w:spacing w:before="120" w:after="120"/>
            </w:pPr>
            <w:r>
              <w:t xml:space="preserve">For example, a decision regarding eligibility criteria (clause 9) may be externally reviewed, but a decision to exempt eligibility criteria (clause 10) is made in the ‘absolute discretion’ of the housing commissioner and may not be referred for external review. </w:t>
            </w:r>
          </w:p>
        </w:tc>
      </w:tr>
    </w:tbl>
    <w:p w:rsidR="00C04B7A" w:rsidRPr="00C04B7A" w:rsidRDefault="00C04B7A" w:rsidP="00C04B7A">
      <w:pPr>
        <w:rPr>
          <w:rFonts w:ascii="Arial" w:hAnsi="Arial" w:cs="Arial"/>
        </w:rPr>
      </w:pPr>
    </w:p>
    <w:sectPr w:rsidR="00C04B7A" w:rsidRPr="00C04B7A" w:rsidSect="00E33776">
      <w:pgSz w:w="11907" w:h="16839" w:code="9"/>
      <w:pgMar w:top="1276" w:right="1800" w:bottom="1276" w:left="1800" w:header="720" w:footer="3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B" w:rsidRDefault="000934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1B4C75" w:rsidP="001B4C75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09343B">
      <w:rPr>
        <w:noProof/>
      </w:rPr>
      <w:t>1</w:t>
    </w:r>
    <w:r>
      <w:rPr>
        <w:noProof/>
      </w:rPr>
      <w:fldChar w:fldCharType="end"/>
    </w:r>
  </w:p>
  <w:p w:rsidR="00E33776" w:rsidRPr="0009343B" w:rsidRDefault="0009343B" w:rsidP="0009343B">
    <w:pPr>
      <w:pStyle w:val="Footer"/>
      <w:jc w:val="center"/>
      <w:rPr>
        <w:rFonts w:cs="Arial"/>
        <w:sz w:val="14"/>
      </w:rPr>
    </w:pPr>
    <w:r w:rsidRPr="0009343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B" w:rsidRDefault="00093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B" w:rsidRDefault="00093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B" w:rsidRDefault="00093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B" w:rsidRDefault="000934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B4083"/>
    <w:multiLevelType w:val="hybridMultilevel"/>
    <w:tmpl w:val="45BA3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30D1"/>
    <w:multiLevelType w:val="hybridMultilevel"/>
    <w:tmpl w:val="14347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B242B"/>
    <w:multiLevelType w:val="hybridMultilevel"/>
    <w:tmpl w:val="74C8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42237D"/>
    <w:multiLevelType w:val="hybridMultilevel"/>
    <w:tmpl w:val="4942E5B2"/>
    <w:lvl w:ilvl="0" w:tplc="0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2A397AE4"/>
    <w:multiLevelType w:val="hybridMultilevel"/>
    <w:tmpl w:val="9D380E9C"/>
    <w:lvl w:ilvl="0" w:tplc="6FDCAF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43BA6D3A"/>
    <w:multiLevelType w:val="hybridMultilevel"/>
    <w:tmpl w:val="4D3E9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73EF5"/>
    <w:multiLevelType w:val="hybridMultilevel"/>
    <w:tmpl w:val="0804E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A302D"/>
    <w:multiLevelType w:val="hybridMultilevel"/>
    <w:tmpl w:val="C71E4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86485"/>
    <w:multiLevelType w:val="hybridMultilevel"/>
    <w:tmpl w:val="385EE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22B13"/>
    <w:multiLevelType w:val="hybridMultilevel"/>
    <w:tmpl w:val="7C043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7"/>
  </w:num>
  <w:num w:numId="6">
    <w:abstractNumId w:val="3"/>
  </w:num>
  <w:num w:numId="7">
    <w:abstractNumId w:val="9"/>
  </w:num>
  <w:num w:numId="8">
    <w:abstractNumId w:val="10"/>
  </w:num>
  <w:num w:numId="9">
    <w:abstractNumId w:val="18"/>
  </w:num>
  <w:num w:numId="10">
    <w:abstractNumId w:val="8"/>
  </w:num>
  <w:num w:numId="11">
    <w:abstractNumId w:val="1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2"/>
  </w:num>
  <w:num w:numId="17">
    <w:abstractNumId w:val="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21473"/>
    <w:rsid w:val="0003622A"/>
    <w:rsid w:val="00046D05"/>
    <w:rsid w:val="00091243"/>
    <w:rsid w:val="0009343B"/>
    <w:rsid w:val="000970E2"/>
    <w:rsid w:val="000A34A4"/>
    <w:rsid w:val="000B593D"/>
    <w:rsid w:val="000D37B6"/>
    <w:rsid w:val="00102AB6"/>
    <w:rsid w:val="00110585"/>
    <w:rsid w:val="0013527F"/>
    <w:rsid w:val="00135486"/>
    <w:rsid w:val="00143966"/>
    <w:rsid w:val="001440B3"/>
    <w:rsid w:val="001508A7"/>
    <w:rsid w:val="001556FC"/>
    <w:rsid w:val="00161997"/>
    <w:rsid w:val="00170607"/>
    <w:rsid w:val="00171F39"/>
    <w:rsid w:val="001B4C75"/>
    <w:rsid w:val="001D4DF2"/>
    <w:rsid w:val="002026B8"/>
    <w:rsid w:val="00214B5A"/>
    <w:rsid w:val="00222933"/>
    <w:rsid w:val="00223030"/>
    <w:rsid w:val="00226E2D"/>
    <w:rsid w:val="00251336"/>
    <w:rsid w:val="00264600"/>
    <w:rsid w:val="00283719"/>
    <w:rsid w:val="00294C6F"/>
    <w:rsid w:val="00296C59"/>
    <w:rsid w:val="002A1224"/>
    <w:rsid w:val="002B0A5B"/>
    <w:rsid w:val="002C766A"/>
    <w:rsid w:val="002D10EA"/>
    <w:rsid w:val="002F35C5"/>
    <w:rsid w:val="003003AF"/>
    <w:rsid w:val="00303C78"/>
    <w:rsid w:val="00304D48"/>
    <w:rsid w:val="003257F9"/>
    <w:rsid w:val="00330458"/>
    <w:rsid w:val="0033512F"/>
    <w:rsid w:val="0033749B"/>
    <w:rsid w:val="00346FFC"/>
    <w:rsid w:val="00347D5B"/>
    <w:rsid w:val="00391E84"/>
    <w:rsid w:val="003A44F5"/>
    <w:rsid w:val="003B230A"/>
    <w:rsid w:val="003B7DD3"/>
    <w:rsid w:val="003D3D13"/>
    <w:rsid w:val="003D6EF3"/>
    <w:rsid w:val="00402799"/>
    <w:rsid w:val="00406465"/>
    <w:rsid w:val="0042011A"/>
    <w:rsid w:val="00467BD3"/>
    <w:rsid w:val="00474505"/>
    <w:rsid w:val="00485343"/>
    <w:rsid w:val="00490EDD"/>
    <w:rsid w:val="004928A2"/>
    <w:rsid w:val="004A1B3F"/>
    <w:rsid w:val="004A727F"/>
    <w:rsid w:val="004C0E15"/>
    <w:rsid w:val="004C1D2B"/>
    <w:rsid w:val="004D5AD0"/>
    <w:rsid w:val="004E418F"/>
    <w:rsid w:val="00513D53"/>
    <w:rsid w:val="00517BE1"/>
    <w:rsid w:val="00524240"/>
    <w:rsid w:val="00525963"/>
    <w:rsid w:val="005470E1"/>
    <w:rsid w:val="00550106"/>
    <w:rsid w:val="005556BA"/>
    <w:rsid w:val="00567844"/>
    <w:rsid w:val="005A088B"/>
    <w:rsid w:val="005A5F36"/>
    <w:rsid w:val="005B7ABA"/>
    <w:rsid w:val="005C419D"/>
    <w:rsid w:val="005C47AD"/>
    <w:rsid w:val="005C6607"/>
    <w:rsid w:val="006110D2"/>
    <w:rsid w:val="00643E60"/>
    <w:rsid w:val="006543EC"/>
    <w:rsid w:val="006560A2"/>
    <w:rsid w:val="0066623D"/>
    <w:rsid w:val="00676046"/>
    <w:rsid w:val="00690F98"/>
    <w:rsid w:val="006A0A27"/>
    <w:rsid w:val="006A2F53"/>
    <w:rsid w:val="006B21CF"/>
    <w:rsid w:val="006C1F91"/>
    <w:rsid w:val="00707AE8"/>
    <w:rsid w:val="00720D68"/>
    <w:rsid w:val="00743FB0"/>
    <w:rsid w:val="00781390"/>
    <w:rsid w:val="00783CC6"/>
    <w:rsid w:val="007A5EFE"/>
    <w:rsid w:val="007A65F1"/>
    <w:rsid w:val="007C3390"/>
    <w:rsid w:val="007C744B"/>
    <w:rsid w:val="007F2696"/>
    <w:rsid w:val="00856407"/>
    <w:rsid w:val="00863F38"/>
    <w:rsid w:val="00877445"/>
    <w:rsid w:val="00886F8F"/>
    <w:rsid w:val="008A1FE9"/>
    <w:rsid w:val="008B5B1A"/>
    <w:rsid w:val="008D4E3F"/>
    <w:rsid w:val="008D5145"/>
    <w:rsid w:val="008E0A55"/>
    <w:rsid w:val="008E5004"/>
    <w:rsid w:val="00914876"/>
    <w:rsid w:val="00942994"/>
    <w:rsid w:val="00952F0F"/>
    <w:rsid w:val="009579F6"/>
    <w:rsid w:val="00964A30"/>
    <w:rsid w:val="00975D51"/>
    <w:rsid w:val="009812BA"/>
    <w:rsid w:val="00996E2B"/>
    <w:rsid w:val="009F71BF"/>
    <w:rsid w:val="00A205CF"/>
    <w:rsid w:val="00A45B20"/>
    <w:rsid w:val="00A57568"/>
    <w:rsid w:val="00A6729A"/>
    <w:rsid w:val="00AA35F7"/>
    <w:rsid w:val="00AA61B0"/>
    <w:rsid w:val="00AB2089"/>
    <w:rsid w:val="00AC2909"/>
    <w:rsid w:val="00AD290F"/>
    <w:rsid w:val="00AD7D80"/>
    <w:rsid w:val="00AF2678"/>
    <w:rsid w:val="00B37BBF"/>
    <w:rsid w:val="00B450DA"/>
    <w:rsid w:val="00B9182A"/>
    <w:rsid w:val="00BB1FCB"/>
    <w:rsid w:val="00BB2A60"/>
    <w:rsid w:val="00BD4D07"/>
    <w:rsid w:val="00BD6B6E"/>
    <w:rsid w:val="00BD7099"/>
    <w:rsid w:val="00BF3862"/>
    <w:rsid w:val="00C04B7A"/>
    <w:rsid w:val="00C0532B"/>
    <w:rsid w:val="00C13169"/>
    <w:rsid w:val="00C25422"/>
    <w:rsid w:val="00C26EBF"/>
    <w:rsid w:val="00C40B95"/>
    <w:rsid w:val="00C87E27"/>
    <w:rsid w:val="00CB1108"/>
    <w:rsid w:val="00CD0CF8"/>
    <w:rsid w:val="00CD2332"/>
    <w:rsid w:val="00CE42D3"/>
    <w:rsid w:val="00CE6902"/>
    <w:rsid w:val="00D0279A"/>
    <w:rsid w:val="00D25CE0"/>
    <w:rsid w:val="00D47AD2"/>
    <w:rsid w:val="00D47C36"/>
    <w:rsid w:val="00D53929"/>
    <w:rsid w:val="00D70763"/>
    <w:rsid w:val="00D746A8"/>
    <w:rsid w:val="00D8088D"/>
    <w:rsid w:val="00D86BC0"/>
    <w:rsid w:val="00D94B33"/>
    <w:rsid w:val="00DA26FA"/>
    <w:rsid w:val="00DB041A"/>
    <w:rsid w:val="00DD1713"/>
    <w:rsid w:val="00E33776"/>
    <w:rsid w:val="00E72DD2"/>
    <w:rsid w:val="00E75C8E"/>
    <w:rsid w:val="00EA4B71"/>
    <w:rsid w:val="00EC4D3C"/>
    <w:rsid w:val="00EC6C3D"/>
    <w:rsid w:val="00ED4884"/>
    <w:rsid w:val="00EF20A1"/>
    <w:rsid w:val="00F02AAB"/>
    <w:rsid w:val="00F22346"/>
    <w:rsid w:val="00F415EC"/>
    <w:rsid w:val="00F43528"/>
    <w:rsid w:val="00F6517E"/>
    <w:rsid w:val="00F771B6"/>
    <w:rsid w:val="00F82C72"/>
    <w:rsid w:val="00F853F6"/>
    <w:rsid w:val="00FC60A8"/>
    <w:rsid w:val="00FC76FA"/>
    <w:rsid w:val="00FC7B48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CD0CF8"/>
    <w:pPr>
      <w:ind w:left="720"/>
      <w:contextualSpacing/>
    </w:pPr>
  </w:style>
  <w:style w:type="table" w:styleId="TableGrid">
    <w:name w:val="Table Grid"/>
    <w:basedOn w:val="TableNormal"/>
    <w:uiPriority w:val="59"/>
    <w:rsid w:val="00C0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1988</Words>
  <Characters>10817</Characters>
  <Application>Microsoft Office Word</Application>
  <DocSecurity>0</DocSecurity>
  <Lines>259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2018-11-15T00:23:00Z</dcterms:created>
  <dcterms:modified xsi:type="dcterms:W3CDTF">2018-11-15T00:23:00Z</dcterms:modified>
</cp:coreProperties>
</file>