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A93430">
        <w:t>2018</w:t>
      </w:r>
      <w:r w:rsidR="004D5636">
        <w:t xml:space="preserve"> (No </w:t>
      </w:r>
      <w:r w:rsidR="00746235">
        <w:t>5</w:t>
      </w:r>
      <w:r w:rsidR="00E01FDE">
        <w:t>)</w:t>
      </w:r>
    </w:p>
    <w:p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NI201</w:t>
      </w:r>
      <w:r w:rsidR="00A93430">
        <w:rPr>
          <w:b/>
          <w:bCs/>
          <w:sz w:val="27"/>
          <w:szCs w:val="27"/>
        </w:rPr>
        <w:t>8-</w:t>
      </w:r>
      <w:r w:rsidR="002613DA">
        <w:rPr>
          <w:b/>
          <w:bCs/>
          <w:sz w:val="27"/>
          <w:szCs w:val="27"/>
        </w:rPr>
        <w:t>678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A93430">
        <w:rPr>
          <w:i/>
          <w:iCs/>
        </w:rPr>
        <w:t>s) Authorisation 2018</w:t>
      </w:r>
      <w:r w:rsidR="00746235">
        <w:rPr>
          <w:i/>
          <w:iCs/>
        </w:rPr>
        <w:t xml:space="preserve"> </w:t>
      </w:r>
      <w:r w:rsidR="000137A8">
        <w:rPr>
          <w:i/>
          <w:iCs/>
        </w:rPr>
        <w:t>(</w:t>
      </w:r>
      <w:r w:rsidR="00746235">
        <w:rPr>
          <w:i/>
          <w:iCs/>
        </w:rPr>
        <w:t>No 5</w:t>
      </w:r>
      <w:r w:rsidR="000137A8">
        <w:rPr>
          <w:i/>
          <w:iCs/>
        </w:rPr>
        <w:t>)*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3204E9">
      <w:pPr>
        <w:spacing w:before="80" w:after="60"/>
        <w:ind w:left="720"/>
      </w:pPr>
      <w:r>
        <w:t xml:space="preserve">This instrument commences </w:t>
      </w:r>
      <w:r w:rsidR="008936B5">
        <w:t xml:space="preserve">on </w:t>
      </w:r>
      <w:r w:rsidR="004963E2">
        <w:t xml:space="preserve">the </w:t>
      </w:r>
      <w:r w:rsidR="00162534">
        <w:t xml:space="preserve">day after </w:t>
      </w:r>
      <w:r w:rsidR="008B2C10">
        <w:t>notification</w:t>
      </w:r>
      <w:r w:rsidR="00873C01">
        <w:t>.</w:t>
      </w:r>
      <w:r w:rsidR="008936B5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:rsidR="008936B5" w:rsidRDefault="000C41A0">
      <w:pPr>
        <w:spacing w:before="80" w:after="60"/>
        <w:ind w:left="720"/>
      </w:pPr>
      <w:r>
        <w:t xml:space="preserve">NI </w:t>
      </w:r>
      <w:r w:rsidR="00E01FDE">
        <w:t>2018-</w:t>
      </w:r>
      <w:r w:rsidR="00746235">
        <w:t>319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:rsidR="005E5A1B" w:rsidRDefault="005E5A1B" w:rsidP="00EC6F44">
      <w:pPr>
        <w:spacing w:before="80" w:after="60"/>
        <w:ind w:left="1440" w:hanging="720"/>
      </w:pPr>
    </w:p>
    <w:p w:rsidR="005E5A1B" w:rsidRDefault="00746235" w:rsidP="005E5A1B">
      <w:pPr>
        <w:pStyle w:val="ListParagraph"/>
        <w:numPr>
          <w:ilvl w:val="0"/>
          <w:numId w:val="13"/>
        </w:numPr>
      </w:pPr>
      <w:r>
        <w:t>Tamzin Lee</w:t>
      </w:r>
    </w:p>
    <w:p w:rsidR="003204E9" w:rsidRDefault="003204E9" w:rsidP="00EC6F44">
      <w:pPr>
        <w:pStyle w:val="ListParagraph"/>
        <w:numPr>
          <w:ilvl w:val="0"/>
          <w:numId w:val="13"/>
        </w:numPr>
      </w:pPr>
      <w:r>
        <w:t>Michael Edwards</w:t>
      </w:r>
    </w:p>
    <w:p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:rsidR="004D5636" w:rsidRDefault="004D5636" w:rsidP="00EC6F44">
      <w:pPr>
        <w:pStyle w:val="ListParagraph"/>
        <w:numPr>
          <w:ilvl w:val="0"/>
          <w:numId w:val="13"/>
        </w:numPr>
      </w:pPr>
      <w:r>
        <w:t>Nisha Amin</w:t>
      </w:r>
    </w:p>
    <w:p w:rsidR="00902A2A" w:rsidRDefault="00902A2A" w:rsidP="005E5A1B">
      <w:pPr>
        <w:pStyle w:val="ListParagraph"/>
        <w:ind w:left="1800"/>
      </w:pPr>
    </w:p>
    <w:p w:rsidR="000D7C5F" w:rsidRDefault="00EC6F44" w:rsidP="00EC6F44">
      <w:pPr>
        <w:ind w:left="1080" w:hanging="360"/>
      </w:pPr>
      <w:r>
        <w:t>(2)</w:t>
      </w:r>
      <w:r>
        <w:tab/>
      </w:r>
      <w:r w:rsidR="0083612F">
        <w:t>The following persons are authorised to exercise the jurisdiction of the Magistrates Court for the purposes of</w:t>
      </w:r>
      <w:r w:rsidR="000D7C5F">
        <w:t>:</w:t>
      </w:r>
    </w:p>
    <w:p w:rsidR="000D7C5F" w:rsidRDefault="000D7C5F" w:rsidP="00883D3E">
      <w:pPr>
        <w:ind w:left="720"/>
      </w:pPr>
    </w:p>
    <w:p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71 (Police officer party to proceeding – substitution of applicant);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:rsidR="00EA189C" w:rsidRDefault="00EA189C" w:rsidP="00EA189C">
      <w:pPr>
        <w:pStyle w:val="ListParagraph"/>
        <w:ind w:left="2160"/>
      </w:pPr>
    </w:p>
    <w:p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:rsidR="0083612F" w:rsidRDefault="0083612F" w:rsidP="00883D3E">
      <w:pPr>
        <w:ind w:left="720"/>
      </w:pPr>
    </w:p>
    <w:p w:rsidR="002B307F" w:rsidRDefault="002B307F" w:rsidP="00EA189C">
      <w:pPr>
        <w:pStyle w:val="ListParagraph"/>
        <w:numPr>
          <w:ilvl w:val="0"/>
          <w:numId w:val="12"/>
        </w:numPr>
      </w:pPr>
      <w:r>
        <w:t>Kay Barralet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Elspeth Ferguson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Elizabeth Henderson</w:t>
      </w:r>
    </w:p>
    <w:p w:rsidR="00AE2754" w:rsidRDefault="00AE2754" w:rsidP="00EA189C">
      <w:pPr>
        <w:pStyle w:val="ListParagraph"/>
        <w:numPr>
          <w:ilvl w:val="0"/>
          <w:numId w:val="12"/>
        </w:numPr>
      </w:pPr>
      <w:r>
        <w:t>Ken Power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Caterina Salsone</w:t>
      </w:r>
    </w:p>
    <w:p w:rsidR="00253CC0" w:rsidRDefault="00253CC0" w:rsidP="00883D3E">
      <w:pPr>
        <w:ind w:left="720"/>
      </w:pPr>
    </w:p>
    <w:p w:rsidR="00253CC0" w:rsidRDefault="00EC6F44" w:rsidP="00EC6F44">
      <w:pPr>
        <w:ind w:left="1080" w:hanging="360"/>
      </w:pPr>
      <w:r>
        <w:t>(3)</w:t>
      </w:r>
      <w:r>
        <w:tab/>
      </w:r>
      <w:r w:rsidR="00253CC0">
        <w:t xml:space="preserve">The persons </w:t>
      </w:r>
      <w:r w:rsidR="00E66B2A">
        <w:t>occupying the position numbers</w:t>
      </w:r>
      <w:r>
        <w:t xml:space="preserve"> 9</w:t>
      </w:r>
      <w:r w:rsidR="009A5809">
        <w:t>78</w:t>
      </w:r>
      <w:r w:rsidR="00940EE6">
        <w:t>4, 1697, 42357</w:t>
      </w:r>
      <w:r>
        <w:t>, 42378, 42396</w:t>
      </w:r>
      <w:r w:rsidR="001F0608">
        <w:t>,</w:t>
      </w:r>
      <w:r>
        <w:t xml:space="preserve"> </w:t>
      </w:r>
      <w:r w:rsidR="00265EDE">
        <w:t>42341</w:t>
      </w:r>
      <w:r w:rsidR="0096262F">
        <w:t>, 2118</w:t>
      </w:r>
      <w:r w:rsidR="00265EDE">
        <w:t xml:space="preserve"> </w:t>
      </w:r>
      <w:r w:rsidR="00E66B2A">
        <w:t xml:space="preserve">from time to time, </w:t>
      </w:r>
      <w:r w:rsidR="00253CC0">
        <w:t>are authorised to exercise the jurisdiction of the Magistrates Court for the purposes of:</w:t>
      </w:r>
    </w:p>
    <w:p w:rsidR="00253CC0" w:rsidRDefault="00253CC0" w:rsidP="00883D3E">
      <w:pPr>
        <w:ind w:left="720"/>
      </w:pP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:rsidR="00106463" w:rsidRDefault="00106463" w:rsidP="00883D3E">
      <w:pPr>
        <w:ind w:left="720"/>
      </w:pPr>
    </w:p>
    <w:p w:rsidR="00E66B2A" w:rsidRDefault="00E66B2A" w:rsidP="00883D3E">
      <w:pPr>
        <w:ind w:left="720"/>
      </w:pPr>
    </w:p>
    <w:p w:rsidR="00883D3E" w:rsidRDefault="00883D3E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883D3E" w:rsidRDefault="00883D3E" w:rsidP="00883D3E">
      <w:pPr>
        <w:tabs>
          <w:tab w:val="left" w:pos="4320"/>
        </w:tabs>
      </w:pPr>
    </w:p>
    <w:p w:rsidR="00883D3E" w:rsidRDefault="00746235" w:rsidP="00883D3E">
      <w:pPr>
        <w:tabs>
          <w:tab w:val="left" w:pos="4320"/>
        </w:tabs>
      </w:pPr>
      <w:r>
        <w:t xml:space="preserve">Acting </w:t>
      </w:r>
      <w:r w:rsidR="00883D3E">
        <w:t>Chief Magistrate</w:t>
      </w:r>
    </w:p>
    <w:p w:rsidR="00883D3E" w:rsidRDefault="00746235" w:rsidP="00883D3E">
      <w:pPr>
        <w:tabs>
          <w:tab w:val="left" w:pos="4320"/>
        </w:tabs>
      </w:pPr>
      <w:r>
        <w:t>Karen Fryar</w:t>
      </w:r>
    </w:p>
    <w:bookmarkEnd w:id="0"/>
    <w:p w:rsidR="00883D3E" w:rsidRDefault="00746235" w:rsidP="00883D3E">
      <w:pPr>
        <w:tabs>
          <w:tab w:val="left" w:pos="4320"/>
        </w:tabs>
      </w:pPr>
      <w:r>
        <w:t>3 December 2018</w:t>
      </w:r>
    </w:p>
    <w:sectPr w:rsidR="00883D3E" w:rsidSect="00013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4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3B" w:rsidRDefault="0063063B">
      <w:r>
        <w:separator/>
      </w:r>
    </w:p>
  </w:endnote>
  <w:endnote w:type="continuationSeparator" w:id="0">
    <w:p w:rsidR="0063063B" w:rsidRDefault="0063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AB" w:rsidRDefault="00641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3F" w:rsidRPr="00641AAB" w:rsidRDefault="00641AAB" w:rsidP="00641AAB">
    <w:pPr>
      <w:pStyle w:val="Footer"/>
      <w:jc w:val="center"/>
      <w:rPr>
        <w:rFonts w:cs="Arial"/>
        <w:sz w:val="14"/>
      </w:rPr>
    </w:pPr>
    <w:r w:rsidRPr="00641A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3F" w:rsidRDefault="000137A8" w:rsidP="000137A8">
    <w:pPr>
      <w:pStyle w:val="Footer"/>
      <w:rPr>
        <w:rFonts w:cs="Arial"/>
      </w:rPr>
    </w:pPr>
    <w:r w:rsidRPr="000137A8">
      <w:rPr>
        <w:rFonts w:cs="Arial"/>
      </w:rPr>
      <w:t>*Name amended under Legislation Act, s 60</w:t>
    </w:r>
  </w:p>
  <w:p w:rsidR="000137A8" w:rsidRPr="00641AAB" w:rsidRDefault="00641AAB" w:rsidP="00641AAB">
    <w:pPr>
      <w:pStyle w:val="Footer"/>
      <w:jc w:val="center"/>
      <w:rPr>
        <w:rFonts w:cs="Arial"/>
        <w:sz w:val="14"/>
      </w:rPr>
    </w:pPr>
    <w:r w:rsidRPr="00641AA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3B" w:rsidRDefault="0063063B">
      <w:r>
        <w:separator/>
      </w:r>
    </w:p>
  </w:footnote>
  <w:footnote w:type="continuationSeparator" w:id="0">
    <w:p w:rsidR="0063063B" w:rsidRDefault="0063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AB" w:rsidRDefault="00641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AB" w:rsidRDefault="00641A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AB" w:rsidRDefault="00641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06CC7"/>
    <w:rsid w:val="000137A8"/>
    <w:rsid w:val="00014911"/>
    <w:rsid w:val="00014B87"/>
    <w:rsid w:val="00065B6F"/>
    <w:rsid w:val="000747E3"/>
    <w:rsid w:val="000856A8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1720D"/>
    <w:rsid w:val="00231A56"/>
    <w:rsid w:val="00253CC0"/>
    <w:rsid w:val="002613DA"/>
    <w:rsid w:val="00265EDE"/>
    <w:rsid w:val="00272950"/>
    <w:rsid w:val="00272EAF"/>
    <w:rsid w:val="00273784"/>
    <w:rsid w:val="00274D92"/>
    <w:rsid w:val="002A301B"/>
    <w:rsid w:val="002B307F"/>
    <w:rsid w:val="002B3D57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8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D5D9A"/>
    <w:rsid w:val="003E61CD"/>
    <w:rsid w:val="003F1061"/>
    <w:rsid w:val="004061A7"/>
    <w:rsid w:val="00406B68"/>
    <w:rsid w:val="00411183"/>
    <w:rsid w:val="004139E9"/>
    <w:rsid w:val="00434559"/>
    <w:rsid w:val="00456A8F"/>
    <w:rsid w:val="00463C08"/>
    <w:rsid w:val="004660BE"/>
    <w:rsid w:val="00487387"/>
    <w:rsid w:val="004963E2"/>
    <w:rsid w:val="004D3960"/>
    <w:rsid w:val="004D5636"/>
    <w:rsid w:val="004D7BCF"/>
    <w:rsid w:val="004F654A"/>
    <w:rsid w:val="005025DD"/>
    <w:rsid w:val="00503BF9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5A1B"/>
    <w:rsid w:val="005F3819"/>
    <w:rsid w:val="00626268"/>
    <w:rsid w:val="00626FC0"/>
    <w:rsid w:val="0063063B"/>
    <w:rsid w:val="006324A3"/>
    <w:rsid w:val="00641AAB"/>
    <w:rsid w:val="00654F74"/>
    <w:rsid w:val="006824FE"/>
    <w:rsid w:val="006A3772"/>
    <w:rsid w:val="006B0C9F"/>
    <w:rsid w:val="006C6000"/>
    <w:rsid w:val="006E4FEE"/>
    <w:rsid w:val="006E7733"/>
    <w:rsid w:val="007137E5"/>
    <w:rsid w:val="00732BE6"/>
    <w:rsid w:val="00746235"/>
    <w:rsid w:val="00765B4B"/>
    <w:rsid w:val="007679BD"/>
    <w:rsid w:val="00776B73"/>
    <w:rsid w:val="007805DC"/>
    <w:rsid w:val="007878F3"/>
    <w:rsid w:val="007A3227"/>
    <w:rsid w:val="007B2AFA"/>
    <w:rsid w:val="00806EA4"/>
    <w:rsid w:val="008169F1"/>
    <w:rsid w:val="0083612F"/>
    <w:rsid w:val="00852A43"/>
    <w:rsid w:val="008725E5"/>
    <w:rsid w:val="00873C01"/>
    <w:rsid w:val="00883D3E"/>
    <w:rsid w:val="008859A9"/>
    <w:rsid w:val="00886065"/>
    <w:rsid w:val="008936B5"/>
    <w:rsid w:val="008A1DD3"/>
    <w:rsid w:val="008B2C10"/>
    <w:rsid w:val="008C2140"/>
    <w:rsid w:val="008C51E8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A5809"/>
    <w:rsid w:val="009D5006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E2754"/>
    <w:rsid w:val="00AE5AB2"/>
    <w:rsid w:val="00AF2514"/>
    <w:rsid w:val="00AF4C14"/>
    <w:rsid w:val="00B105EF"/>
    <w:rsid w:val="00B50965"/>
    <w:rsid w:val="00BB4B9F"/>
    <w:rsid w:val="00BC2372"/>
    <w:rsid w:val="00BE45E2"/>
    <w:rsid w:val="00BE6101"/>
    <w:rsid w:val="00C20FD4"/>
    <w:rsid w:val="00C25716"/>
    <w:rsid w:val="00C261B1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67B2"/>
    <w:rsid w:val="00CC6D91"/>
    <w:rsid w:val="00CE2CC1"/>
    <w:rsid w:val="00CE42E5"/>
    <w:rsid w:val="00CE4388"/>
    <w:rsid w:val="00CF25BC"/>
    <w:rsid w:val="00CF5115"/>
    <w:rsid w:val="00CF545B"/>
    <w:rsid w:val="00D15E98"/>
    <w:rsid w:val="00D16E49"/>
    <w:rsid w:val="00D30952"/>
    <w:rsid w:val="00D3132D"/>
    <w:rsid w:val="00D333F9"/>
    <w:rsid w:val="00D43673"/>
    <w:rsid w:val="00D53F1D"/>
    <w:rsid w:val="00D86CEE"/>
    <w:rsid w:val="00DA2F22"/>
    <w:rsid w:val="00DA4691"/>
    <w:rsid w:val="00DC3119"/>
    <w:rsid w:val="00DD4590"/>
    <w:rsid w:val="00DE72C5"/>
    <w:rsid w:val="00DF168B"/>
    <w:rsid w:val="00DF79E2"/>
    <w:rsid w:val="00E01FDE"/>
    <w:rsid w:val="00E1162A"/>
    <w:rsid w:val="00E24240"/>
    <w:rsid w:val="00E25113"/>
    <w:rsid w:val="00E309C4"/>
    <w:rsid w:val="00E331B1"/>
    <w:rsid w:val="00E4304D"/>
    <w:rsid w:val="00E62043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47776"/>
    <w:rsid w:val="00F56D2D"/>
    <w:rsid w:val="00F66A33"/>
    <w:rsid w:val="00F74872"/>
    <w:rsid w:val="00F9497B"/>
    <w:rsid w:val="00FA04E0"/>
    <w:rsid w:val="00FA0B7B"/>
    <w:rsid w:val="00FA4A63"/>
    <w:rsid w:val="00FD5474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6BB00D3-9D97-4178-BB91-352CAF42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2085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5</cp:revision>
  <cp:lastPrinted>2017-05-31T05:25:00Z</cp:lastPrinted>
  <dcterms:created xsi:type="dcterms:W3CDTF">2018-12-05T00:36:00Z</dcterms:created>
  <dcterms:modified xsi:type="dcterms:W3CDTF">2018-12-05T00:36:00Z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985960</vt:lpwstr>
  </property>
  <property fmtid="{D5CDD505-2E9C-101B-9397-08002B2CF9AE}" pid="4" name="JMSREQUIREDCHECKIN">
    <vt:lpwstr/>
  </property>
</Properties>
</file>