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DD83" w14:textId="77777777" w:rsidR="008145BC" w:rsidRDefault="008145BC" w:rsidP="008145BC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Australian Capital Territory</w:t>
      </w:r>
    </w:p>
    <w:p w14:paraId="4B7ED942" w14:textId="77777777" w:rsidR="008145BC" w:rsidRDefault="008145BC" w:rsidP="008145BC">
      <w:pPr>
        <w:pStyle w:val="Billname"/>
        <w:spacing w:before="700"/>
      </w:pPr>
      <w:r>
        <w:t>Confiscation of Criminal Assets (Distribution of Su</w:t>
      </w:r>
      <w:r w:rsidR="00BE7586">
        <w:t>rplus Funds) Approval 2018</w:t>
      </w:r>
      <w:r w:rsidR="00B53849">
        <w:t xml:space="preserve"> (No </w:t>
      </w:r>
      <w:r w:rsidR="00975AE1">
        <w:t>7</w:t>
      </w:r>
      <w:r>
        <w:t>)</w:t>
      </w:r>
    </w:p>
    <w:p w14:paraId="5C619DAE" w14:textId="5004126E" w:rsidR="008145BC" w:rsidRDefault="008145BC" w:rsidP="008145BC">
      <w:pPr>
        <w:spacing w:before="240" w:after="60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Notifiable instrument NI201</w:t>
      </w:r>
      <w:r w:rsidR="00147C3A">
        <w:rPr>
          <w:rFonts w:ascii="Arial" w:hAnsi="Arial" w:cs="Arial"/>
          <w:b/>
          <w:bCs/>
          <w:sz w:val="22"/>
          <w:szCs w:val="22"/>
        </w:rPr>
        <w:t>8</w:t>
      </w:r>
      <w:r w:rsidR="005023A5">
        <w:rPr>
          <w:rFonts w:ascii="Arial" w:hAnsi="Arial" w:cs="Arial"/>
          <w:b/>
          <w:bCs/>
          <w:sz w:val="22"/>
          <w:szCs w:val="22"/>
        </w:rPr>
        <w:t xml:space="preserve"> - </w:t>
      </w:r>
      <w:r w:rsidR="001047CA">
        <w:rPr>
          <w:rFonts w:ascii="Arial" w:hAnsi="Arial" w:cs="Arial"/>
          <w:b/>
          <w:bCs/>
          <w:sz w:val="22"/>
          <w:szCs w:val="22"/>
        </w:rPr>
        <w:t>700</w:t>
      </w:r>
    </w:p>
    <w:p w14:paraId="27EAFAD9" w14:textId="77777777" w:rsidR="008145BC" w:rsidRDefault="008145BC" w:rsidP="008145BC">
      <w:pPr>
        <w:pStyle w:val="madeunder"/>
        <w:spacing w:before="240" w:after="120"/>
        <w:jc w:val="left"/>
      </w:pPr>
      <w:r>
        <w:t xml:space="preserve">made under the  </w:t>
      </w:r>
    </w:p>
    <w:p w14:paraId="7CA61A1D" w14:textId="77777777" w:rsidR="008145BC" w:rsidRDefault="008145BC" w:rsidP="008145BC">
      <w:pPr>
        <w:pStyle w:val="CoverActName"/>
        <w:jc w:val="left"/>
      </w:pPr>
      <w:r>
        <w:rPr>
          <w:rFonts w:cs="Arial"/>
          <w:sz w:val="20"/>
        </w:rPr>
        <w:t>Confiscation of Criminal Assets Act 2003, s 134</w:t>
      </w:r>
      <w:r w:rsidR="00B53849">
        <w:rPr>
          <w:rFonts w:cs="Arial"/>
          <w:sz w:val="20"/>
        </w:rPr>
        <w:t>(2)</w:t>
      </w:r>
      <w:r>
        <w:rPr>
          <w:rFonts w:cs="Arial"/>
          <w:sz w:val="20"/>
        </w:rPr>
        <w:t xml:space="preserve"> (Distribution of surplus funds) </w:t>
      </w:r>
    </w:p>
    <w:p w14:paraId="0B44CF16" w14:textId="77777777" w:rsidR="008145BC" w:rsidRDefault="008145BC" w:rsidP="008145BC">
      <w:pPr>
        <w:pStyle w:val="N-line3"/>
        <w:pBdr>
          <w:bottom w:val="none" w:sz="0" w:space="0" w:color="auto"/>
        </w:pBdr>
      </w:pPr>
    </w:p>
    <w:p w14:paraId="69C93EE7" w14:textId="77777777" w:rsidR="008145BC" w:rsidRDefault="008145BC" w:rsidP="008145BC">
      <w:pPr>
        <w:pStyle w:val="N-line3"/>
        <w:pBdr>
          <w:top w:val="single" w:sz="12" w:space="1" w:color="auto"/>
          <w:bottom w:val="none" w:sz="0" w:space="0" w:color="auto"/>
        </w:pBdr>
      </w:pPr>
    </w:p>
    <w:p w14:paraId="687F21CC" w14:textId="77777777" w:rsidR="008145BC" w:rsidRDefault="008145BC" w:rsidP="008145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70406EF1" w14:textId="77777777" w:rsidR="008145BC" w:rsidRDefault="008145BC" w:rsidP="008145BC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ab/>
        <w:t>Name of instrument</w:t>
      </w:r>
    </w:p>
    <w:p w14:paraId="72ECF99A" w14:textId="14C089CD" w:rsidR="008145BC" w:rsidRDefault="008145BC" w:rsidP="008145B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This instrument is the </w:t>
      </w:r>
      <w:r>
        <w:rPr>
          <w:i/>
          <w:iCs/>
          <w:szCs w:val="24"/>
        </w:rPr>
        <w:t>Confiscation of Criminal Assets (Distribution of Su</w:t>
      </w:r>
      <w:r w:rsidR="00545E35">
        <w:rPr>
          <w:i/>
          <w:iCs/>
          <w:szCs w:val="24"/>
        </w:rPr>
        <w:t>rplus Funds) Approval 201</w:t>
      </w:r>
      <w:r w:rsidR="00147C3A">
        <w:rPr>
          <w:i/>
          <w:iCs/>
          <w:szCs w:val="24"/>
        </w:rPr>
        <w:t>8</w:t>
      </w:r>
      <w:r w:rsidR="00545E35">
        <w:rPr>
          <w:i/>
          <w:iCs/>
          <w:szCs w:val="24"/>
        </w:rPr>
        <w:t xml:space="preserve"> (No </w:t>
      </w:r>
      <w:r w:rsidR="00F75F5B">
        <w:rPr>
          <w:i/>
          <w:iCs/>
          <w:szCs w:val="24"/>
        </w:rPr>
        <w:t>7</w:t>
      </w:r>
      <w:r>
        <w:rPr>
          <w:i/>
          <w:iCs/>
          <w:szCs w:val="24"/>
        </w:rPr>
        <w:t>).</w:t>
      </w:r>
    </w:p>
    <w:p w14:paraId="08307213" w14:textId="77777777" w:rsidR="008145BC" w:rsidRDefault="008145BC" w:rsidP="008145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4594F062" w14:textId="77777777" w:rsidR="008145BC" w:rsidRDefault="008145BC" w:rsidP="008145BC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ab/>
        <w:t>Commencement</w:t>
      </w:r>
    </w:p>
    <w:p w14:paraId="7DD6C341" w14:textId="77777777" w:rsidR="008145BC" w:rsidRDefault="008145BC" w:rsidP="008145BC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This instrument commences on the day after it is notified.</w:t>
      </w:r>
    </w:p>
    <w:p w14:paraId="330D84C8" w14:textId="77777777" w:rsidR="008145BC" w:rsidRDefault="008145BC" w:rsidP="00545E35">
      <w:pPr>
        <w:spacing w:before="80" w:after="60"/>
        <w:jc w:val="both"/>
        <w:rPr>
          <w:szCs w:val="24"/>
        </w:rPr>
      </w:pPr>
    </w:p>
    <w:p w14:paraId="28ABC35A" w14:textId="77777777" w:rsidR="008145BC" w:rsidRPr="00690F87" w:rsidRDefault="00690F87" w:rsidP="00690F87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145BC" w:rsidRPr="00690F87">
        <w:rPr>
          <w:rFonts w:ascii="Arial" w:hAnsi="Arial" w:cs="Arial"/>
          <w:b/>
          <w:bCs/>
        </w:rPr>
        <w:tab/>
      </w:r>
      <w:r w:rsidR="00FE6BF4">
        <w:rPr>
          <w:rFonts w:ascii="Arial" w:hAnsi="Arial" w:cs="Arial"/>
          <w:b/>
          <w:bCs/>
        </w:rPr>
        <w:t>Distributable funds available</w:t>
      </w:r>
    </w:p>
    <w:p w14:paraId="60720D3D" w14:textId="77777777" w:rsidR="008F3C23" w:rsidRDefault="00FE6BF4" w:rsidP="00FE6BF4">
      <w:pPr>
        <w:spacing w:before="80" w:after="60"/>
        <w:ind w:left="720"/>
        <w:jc w:val="both"/>
        <w:rPr>
          <w:szCs w:val="24"/>
        </w:rPr>
      </w:pPr>
      <w:r>
        <w:rPr>
          <w:szCs w:val="24"/>
        </w:rPr>
        <w:t xml:space="preserve">I </w:t>
      </w:r>
      <w:r w:rsidR="0048056A">
        <w:rPr>
          <w:szCs w:val="24"/>
        </w:rPr>
        <w:t xml:space="preserve">approve the </w:t>
      </w:r>
      <w:r w:rsidR="008F3C23">
        <w:rPr>
          <w:szCs w:val="24"/>
        </w:rPr>
        <w:t xml:space="preserve">Confiscated Assets Trust Fund to be used towards activities associated with criminal justice and crime prevention activities, and the enforcement of territory laws. I approve the funds to be distributed in the following manner and expended by 30 June 2019. </w:t>
      </w:r>
    </w:p>
    <w:p w14:paraId="1272CA2F" w14:textId="77777777" w:rsidR="008F3C23" w:rsidRDefault="008F3C23" w:rsidP="00FE6BF4">
      <w:pPr>
        <w:spacing w:before="80" w:after="60"/>
        <w:ind w:left="720"/>
        <w:jc w:val="both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5450"/>
        <w:gridCol w:w="1123"/>
      </w:tblGrid>
      <w:tr w:rsidR="008F3C23" w14:paraId="58741429" w14:textId="77777777" w:rsidTr="008F3C23">
        <w:tc>
          <w:tcPr>
            <w:tcW w:w="1723" w:type="dxa"/>
          </w:tcPr>
          <w:p w14:paraId="58C32B90" w14:textId="77777777" w:rsidR="008F3C23" w:rsidRPr="0021412B" w:rsidRDefault="008F3C23" w:rsidP="004C1A87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Agency/body</w:t>
            </w:r>
          </w:p>
        </w:tc>
        <w:tc>
          <w:tcPr>
            <w:tcW w:w="5450" w:type="dxa"/>
          </w:tcPr>
          <w:p w14:paraId="526B1FE2" w14:textId="77777777" w:rsidR="008F3C23" w:rsidRPr="0021412B" w:rsidRDefault="008F3C23" w:rsidP="004C1A87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Purpose</w:t>
            </w:r>
          </w:p>
        </w:tc>
        <w:tc>
          <w:tcPr>
            <w:tcW w:w="1123" w:type="dxa"/>
          </w:tcPr>
          <w:p w14:paraId="72B30281" w14:textId="77777777" w:rsidR="008F3C23" w:rsidRPr="0021412B" w:rsidRDefault="008F3C23" w:rsidP="004C1A87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8F3C23" w14:paraId="51CFB79D" w14:textId="77777777" w:rsidTr="008F3C23">
        <w:tc>
          <w:tcPr>
            <w:tcW w:w="1723" w:type="dxa"/>
          </w:tcPr>
          <w:p w14:paraId="78364820" w14:textId="77777777" w:rsidR="008F3C23" w:rsidRDefault="008F3C23" w:rsidP="008F3C23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Justice and Community Safety Directorate</w:t>
            </w:r>
          </w:p>
        </w:tc>
        <w:tc>
          <w:tcPr>
            <w:tcW w:w="5450" w:type="dxa"/>
          </w:tcPr>
          <w:p w14:paraId="5579EEA8" w14:textId="7E6E6E8B" w:rsidR="008F3C23" w:rsidRDefault="008907E5" w:rsidP="008907E5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 xml:space="preserve">To commission an independent consultant to conduct consultation and produce an analysis report </w:t>
            </w:r>
            <w:r w:rsidR="00373166" w:rsidRPr="00373166">
              <w:rPr>
                <w:szCs w:val="24"/>
              </w:rPr>
              <w:t xml:space="preserve">on </w:t>
            </w:r>
            <w:r w:rsidR="00373166">
              <w:rPr>
                <w:szCs w:val="24"/>
              </w:rPr>
              <w:t xml:space="preserve">the </w:t>
            </w:r>
            <w:r w:rsidR="00373166" w:rsidRPr="00373166">
              <w:rPr>
                <w:szCs w:val="24"/>
              </w:rPr>
              <w:t xml:space="preserve">Royal Commission recommendations regarding the reporting of child sexual abuse with implications for the confessional seal </w:t>
            </w:r>
            <w:r>
              <w:rPr>
                <w:szCs w:val="24"/>
              </w:rPr>
              <w:t>and, for associated costs.</w:t>
            </w:r>
          </w:p>
        </w:tc>
        <w:tc>
          <w:tcPr>
            <w:tcW w:w="1123" w:type="dxa"/>
          </w:tcPr>
          <w:p w14:paraId="41C586C3" w14:textId="77777777" w:rsidR="008F3C23" w:rsidRDefault="008F3C23" w:rsidP="008907E5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907E5">
              <w:rPr>
                <w:szCs w:val="24"/>
              </w:rPr>
              <w:t>185</w:t>
            </w:r>
            <w:r>
              <w:rPr>
                <w:szCs w:val="24"/>
              </w:rPr>
              <w:t>,000</w:t>
            </w:r>
          </w:p>
        </w:tc>
      </w:tr>
    </w:tbl>
    <w:p w14:paraId="28C3D488" w14:textId="77777777" w:rsidR="008F3C23" w:rsidRDefault="008F3C23" w:rsidP="00FE6BF4">
      <w:pPr>
        <w:spacing w:before="80" w:after="60"/>
        <w:ind w:left="720"/>
        <w:jc w:val="both"/>
        <w:rPr>
          <w:szCs w:val="24"/>
        </w:rPr>
      </w:pPr>
    </w:p>
    <w:p w14:paraId="7BBD3EB8" w14:textId="77777777" w:rsidR="00FF46E4" w:rsidRDefault="00FF46E4" w:rsidP="00FF46E4">
      <w:pPr>
        <w:tabs>
          <w:tab w:val="left" w:pos="4320"/>
        </w:tabs>
        <w:spacing w:before="480"/>
      </w:pPr>
    </w:p>
    <w:p w14:paraId="261C0677" w14:textId="77777777" w:rsidR="00AA1291" w:rsidRDefault="00AC3538" w:rsidP="00FF46E4">
      <w:pPr>
        <w:tabs>
          <w:tab w:val="left" w:pos="4320"/>
        </w:tabs>
        <w:spacing w:before="480"/>
      </w:pPr>
      <w:r w:rsidRPr="00AC3538">
        <w:t>Gordon Ramsay MLA</w:t>
      </w:r>
      <w:r w:rsidRPr="00AC3538">
        <w:br/>
        <w:t>Attorney-General</w:t>
      </w:r>
    </w:p>
    <w:p w14:paraId="1C30D32E" w14:textId="2889CF5D" w:rsidR="00C10BD5" w:rsidRDefault="001047CA" w:rsidP="00FF46E4">
      <w:pPr>
        <w:tabs>
          <w:tab w:val="left" w:pos="4320"/>
        </w:tabs>
        <w:spacing w:before="480"/>
      </w:pPr>
      <w:r>
        <w:t>11</w:t>
      </w:r>
      <w:r w:rsidR="00C45AC6">
        <w:t xml:space="preserve"> </w:t>
      </w:r>
      <w:r w:rsidR="000E04D2">
        <w:t>December</w:t>
      </w:r>
      <w:r w:rsidR="00C45AC6">
        <w:t xml:space="preserve"> </w:t>
      </w:r>
      <w:r w:rsidR="00C10BD5">
        <w:t>2018</w:t>
      </w:r>
    </w:p>
    <w:sectPr w:rsidR="00C10BD5" w:rsidSect="00BE7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9A86" w14:textId="77777777" w:rsidR="00A06179" w:rsidRDefault="00A06179" w:rsidP="00A30884">
      <w:r>
        <w:separator/>
      </w:r>
    </w:p>
  </w:endnote>
  <w:endnote w:type="continuationSeparator" w:id="0">
    <w:p w14:paraId="3F882641" w14:textId="77777777" w:rsidR="00A06179" w:rsidRDefault="00A06179" w:rsidP="00A3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6382F" w14:textId="77777777" w:rsidR="00B32550" w:rsidRDefault="00B32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EF94" w14:textId="77777777" w:rsidR="001F4C26" w:rsidRPr="001F4C26" w:rsidRDefault="001F4C26" w:rsidP="001F4C26">
    <w:pPr>
      <w:pStyle w:val="Footer"/>
      <w:jc w:val="center"/>
      <w:rPr>
        <w:rFonts w:ascii="Arial" w:hAnsi="Arial" w:cs="Arial"/>
        <w:sz w:val="14"/>
      </w:rPr>
    </w:pPr>
    <w:r w:rsidRPr="001F4C2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ABC35" w14:textId="42331C0A" w:rsidR="00B32550" w:rsidRPr="00B32550" w:rsidRDefault="00B32550" w:rsidP="00B32550">
    <w:pPr>
      <w:pStyle w:val="Footer"/>
      <w:jc w:val="center"/>
      <w:rPr>
        <w:rFonts w:ascii="Arial" w:hAnsi="Arial" w:cs="Arial"/>
        <w:sz w:val="14"/>
      </w:rPr>
    </w:pPr>
    <w:r w:rsidRPr="00B3255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9C348" w14:textId="77777777" w:rsidR="00A06179" w:rsidRDefault="00A06179" w:rsidP="00A30884">
      <w:r>
        <w:separator/>
      </w:r>
    </w:p>
  </w:footnote>
  <w:footnote w:type="continuationSeparator" w:id="0">
    <w:p w14:paraId="05C318F6" w14:textId="77777777" w:rsidR="00A06179" w:rsidRDefault="00A06179" w:rsidP="00A3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C182A" w14:textId="77777777" w:rsidR="00B32550" w:rsidRDefault="00B3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4C1E7" w14:textId="77777777" w:rsidR="00B32550" w:rsidRDefault="00B325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1DA40" w14:textId="77777777" w:rsidR="00B32550" w:rsidRDefault="00B32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79D"/>
    <w:multiLevelType w:val="hybridMultilevel"/>
    <w:tmpl w:val="8C8C4DC4"/>
    <w:lvl w:ilvl="0" w:tplc="9D1603C8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53C86149"/>
    <w:multiLevelType w:val="hybridMultilevel"/>
    <w:tmpl w:val="2E640428"/>
    <w:lvl w:ilvl="0" w:tplc="597C58A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BC"/>
    <w:rsid w:val="0002481A"/>
    <w:rsid w:val="00030C5C"/>
    <w:rsid w:val="00084E1E"/>
    <w:rsid w:val="000B6423"/>
    <w:rsid w:val="000D3216"/>
    <w:rsid w:val="000E04D2"/>
    <w:rsid w:val="0010076E"/>
    <w:rsid w:val="001047CA"/>
    <w:rsid w:val="00124B01"/>
    <w:rsid w:val="00130671"/>
    <w:rsid w:val="00147C3A"/>
    <w:rsid w:val="00183013"/>
    <w:rsid w:val="001E7AC4"/>
    <w:rsid w:val="001F4C26"/>
    <w:rsid w:val="001F5956"/>
    <w:rsid w:val="002309C6"/>
    <w:rsid w:val="00296C1F"/>
    <w:rsid w:val="002B4F74"/>
    <w:rsid w:val="002C59F3"/>
    <w:rsid w:val="002E13B3"/>
    <w:rsid w:val="002E455C"/>
    <w:rsid w:val="003014A0"/>
    <w:rsid w:val="00333519"/>
    <w:rsid w:val="00373166"/>
    <w:rsid w:val="0042709A"/>
    <w:rsid w:val="0048056A"/>
    <w:rsid w:val="005023A5"/>
    <w:rsid w:val="00503D28"/>
    <w:rsid w:val="00530FC4"/>
    <w:rsid w:val="00545E35"/>
    <w:rsid w:val="00670B90"/>
    <w:rsid w:val="006725B7"/>
    <w:rsid w:val="00673E99"/>
    <w:rsid w:val="00686AC4"/>
    <w:rsid w:val="00690F87"/>
    <w:rsid w:val="00702698"/>
    <w:rsid w:val="0073074F"/>
    <w:rsid w:val="007820A4"/>
    <w:rsid w:val="007C2870"/>
    <w:rsid w:val="00806663"/>
    <w:rsid w:val="00806DBE"/>
    <w:rsid w:val="008145BC"/>
    <w:rsid w:val="008223A7"/>
    <w:rsid w:val="008907E5"/>
    <w:rsid w:val="008C23C6"/>
    <w:rsid w:val="008F3C23"/>
    <w:rsid w:val="009160C7"/>
    <w:rsid w:val="009663F6"/>
    <w:rsid w:val="00975AE1"/>
    <w:rsid w:val="009828C7"/>
    <w:rsid w:val="009F18A3"/>
    <w:rsid w:val="009F2E09"/>
    <w:rsid w:val="00A06179"/>
    <w:rsid w:val="00A30884"/>
    <w:rsid w:val="00A64F3A"/>
    <w:rsid w:val="00AA1291"/>
    <w:rsid w:val="00AA59B5"/>
    <w:rsid w:val="00AC1ECC"/>
    <w:rsid w:val="00AC3538"/>
    <w:rsid w:val="00AE0A9B"/>
    <w:rsid w:val="00AE752C"/>
    <w:rsid w:val="00B151C9"/>
    <w:rsid w:val="00B32550"/>
    <w:rsid w:val="00B53849"/>
    <w:rsid w:val="00BE7586"/>
    <w:rsid w:val="00C10BD5"/>
    <w:rsid w:val="00C24168"/>
    <w:rsid w:val="00C44155"/>
    <w:rsid w:val="00C44FA8"/>
    <w:rsid w:val="00C45AC6"/>
    <w:rsid w:val="00C770A6"/>
    <w:rsid w:val="00C94DB8"/>
    <w:rsid w:val="00D5361B"/>
    <w:rsid w:val="00D61618"/>
    <w:rsid w:val="00DB129C"/>
    <w:rsid w:val="00E24CB2"/>
    <w:rsid w:val="00E46498"/>
    <w:rsid w:val="00E71F76"/>
    <w:rsid w:val="00ED2CB2"/>
    <w:rsid w:val="00EF373B"/>
    <w:rsid w:val="00F02997"/>
    <w:rsid w:val="00F46F4A"/>
    <w:rsid w:val="00F75F5B"/>
    <w:rsid w:val="00FE6BF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2D771"/>
  <w14:defaultImageDpi w14:val="0"/>
  <w15:docId w15:val="{6163C926-C36F-4D5A-AE15-19311B9E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B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8145B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145B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45B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45B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45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5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45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45B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88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88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F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0787-A716-4611-9833-E0304BB0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970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cp:lastPrinted>2018-11-08T00:40:00Z</cp:lastPrinted>
  <dcterms:created xsi:type="dcterms:W3CDTF">2018-12-12T02:49:00Z</dcterms:created>
  <dcterms:modified xsi:type="dcterms:W3CDTF">2018-12-12T02:49:00Z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919526</vt:lpwstr>
  </property>
  <property fmtid="{D5CDD505-2E9C-101B-9397-08002B2CF9AE}" pid="4" name="JMSREQUIREDCHECKIN">
    <vt:lpwstr/>
  </property>
</Properties>
</file>