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AF5" w:rsidRDefault="001C6AF5" w:rsidP="001C6AF5">
      <w:pPr>
        <w:pStyle w:val="Header"/>
        <w:tabs>
          <w:tab w:val="clear" w:pos="4320"/>
          <w:tab w:val="clear" w:pos="8640"/>
        </w:tabs>
        <w:spacing w:before="120"/>
        <w:rPr>
          <w:rFonts w:cs="Arial"/>
        </w:rPr>
      </w:pPr>
      <w:bookmarkStart w:id="0" w:name="_GoBack"/>
      <w:bookmarkEnd w:id="0"/>
      <w:r>
        <w:rPr>
          <w:rFonts w:cs="Arial"/>
        </w:rPr>
        <w:t>Australian Capital Territory</w:t>
      </w:r>
    </w:p>
    <w:p w:rsidR="001C6AF5" w:rsidRDefault="001C6AF5" w:rsidP="001C6AF5">
      <w:pPr>
        <w:pStyle w:val="Billname"/>
        <w:spacing w:before="700"/>
        <w:rPr>
          <w:rFonts w:cs="Arial"/>
        </w:rPr>
      </w:pPr>
      <w:r>
        <w:rPr>
          <w:rFonts w:cs="Arial"/>
        </w:rPr>
        <w:t xml:space="preserve">Planning and Development (Technical Amendment—Phillip) Plan Variation </w:t>
      </w:r>
      <w:r w:rsidRPr="00534148">
        <w:rPr>
          <w:rFonts w:cs="Arial"/>
        </w:rPr>
        <w:t>201</w:t>
      </w:r>
      <w:r>
        <w:rPr>
          <w:rFonts w:cs="Arial"/>
        </w:rPr>
        <w:t>9 (No 1)</w:t>
      </w:r>
    </w:p>
    <w:p w:rsidR="001C6AF5" w:rsidRPr="002368A0" w:rsidRDefault="001C6AF5" w:rsidP="001C6AF5">
      <w:pPr>
        <w:pStyle w:val="Heading5"/>
        <w:spacing w:before="340"/>
        <w:rPr>
          <w:rFonts w:ascii="Arial" w:hAnsi="Arial" w:cs="Arial"/>
          <w:b/>
          <w:i/>
          <w:caps/>
          <w:color w:val="auto"/>
        </w:rPr>
      </w:pPr>
      <w:bookmarkStart w:id="1" w:name="Citation"/>
      <w:r w:rsidRPr="002368A0">
        <w:rPr>
          <w:rFonts w:ascii="Arial" w:hAnsi="Arial" w:cs="Arial"/>
          <w:b/>
          <w:color w:val="auto"/>
        </w:rPr>
        <w:t xml:space="preserve">Notifiable </w:t>
      </w:r>
      <w:r>
        <w:rPr>
          <w:rFonts w:ascii="Arial" w:hAnsi="Arial" w:cs="Arial"/>
          <w:b/>
          <w:color w:val="auto"/>
        </w:rPr>
        <w:t>i</w:t>
      </w:r>
      <w:r w:rsidRPr="002368A0">
        <w:rPr>
          <w:rFonts w:ascii="Arial" w:hAnsi="Arial" w:cs="Arial"/>
          <w:b/>
          <w:color w:val="auto"/>
        </w:rPr>
        <w:t xml:space="preserve">nstrument </w:t>
      </w:r>
      <w:r>
        <w:rPr>
          <w:rFonts w:ascii="Arial" w:hAnsi="Arial" w:cs="Arial"/>
          <w:b/>
          <w:caps/>
          <w:color w:val="auto"/>
        </w:rPr>
        <w:t>NI2019</w:t>
      </w:r>
      <w:r w:rsidRPr="002368A0">
        <w:rPr>
          <w:rFonts w:ascii="Arial" w:hAnsi="Arial" w:cs="Arial"/>
          <w:b/>
          <w:caps/>
          <w:color w:val="auto"/>
        </w:rPr>
        <w:t>—</w:t>
      </w:r>
      <w:r w:rsidR="001A3A18">
        <w:rPr>
          <w:rFonts w:ascii="Arial" w:hAnsi="Arial" w:cs="Arial"/>
          <w:b/>
          <w:caps/>
          <w:color w:val="auto"/>
        </w:rPr>
        <w:t>148</w:t>
      </w:r>
    </w:p>
    <w:p w:rsidR="001C6AF5" w:rsidRDefault="001C6AF5" w:rsidP="001C6AF5">
      <w:pPr>
        <w:spacing w:before="340"/>
        <w:rPr>
          <w:rFonts w:cs="Arial"/>
          <w:b/>
          <w:bCs/>
        </w:rPr>
      </w:pPr>
      <w:r>
        <w:rPr>
          <w:rFonts w:cs="Arial"/>
          <w:b/>
          <w:bCs/>
        </w:rPr>
        <w:t>Technical A</w:t>
      </w:r>
      <w:r w:rsidRPr="00534148">
        <w:rPr>
          <w:rFonts w:cs="Arial"/>
          <w:b/>
          <w:bCs/>
        </w:rPr>
        <w:t>mendment No 201</w:t>
      </w:r>
      <w:r>
        <w:rPr>
          <w:rFonts w:cs="Arial"/>
          <w:b/>
          <w:bCs/>
        </w:rPr>
        <w:t>9-02</w:t>
      </w:r>
    </w:p>
    <w:p w:rsidR="001C6AF5" w:rsidRPr="002B3938" w:rsidRDefault="001C6AF5" w:rsidP="001C6AF5">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1C6AF5" w:rsidRDefault="001C6AF5" w:rsidP="001C6AF5">
      <w:pPr>
        <w:pStyle w:val="CoverActName"/>
        <w:spacing w:before="320" w:after="0"/>
        <w:rPr>
          <w:rFonts w:cs="Arial"/>
          <w:sz w:val="20"/>
        </w:rPr>
      </w:pPr>
      <w:r>
        <w:rPr>
          <w:rFonts w:cs="Arial"/>
          <w:sz w:val="20"/>
        </w:rPr>
        <w:t xml:space="preserve">Planning and Development Act 2007, s 89 (Making technical amendments) </w:t>
      </w:r>
    </w:p>
    <w:p w:rsidR="001C6AF5" w:rsidRDefault="001C6AF5" w:rsidP="001C6AF5">
      <w:pPr>
        <w:pStyle w:val="N-line3"/>
        <w:pBdr>
          <w:bottom w:val="none" w:sz="0" w:space="0" w:color="auto"/>
        </w:pBdr>
        <w:spacing w:before="60"/>
        <w:rPr>
          <w:rFonts w:cs="Arial"/>
        </w:rPr>
      </w:pPr>
    </w:p>
    <w:p w:rsidR="001C6AF5" w:rsidRDefault="001C6AF5" w:rsidP="001C6AF5">
      <w:pPr>
        <w:pStyle w:val="N-line3"/>
        <w:pBdr>
          <w:top w:val="single" w:sz="12" w:space="1" w:color="auto"/>
          <w:bottom w:val="none" w:sz="0" w:space="0" w:color="auto"/>
        </w:pBdr>
        <w:jc w:val="left"/>
        <w:rPr>
          <w:rFonts w:cs="Arial"/>
        </w:rPr>
      </w:pPr>
    </w:p>
    <w:p w:rsidR="001C6AF5" w:rsidRPr="002B3938" w:rsidRDefault="001C6AF5" w:rsidP="001C6AF5">
      <w:pPr>
        <w:pStyle w:val="BodyText"/>
        <w:numPr>
          <w:ilvl w:val="0"/>
          <w:numId w:val="40"/>
        </w:numPr>
        <w:spacing w:before="60" w:after="60"/>
        <w:ind w:hanging="720"/>
        <w:rPr>
          <w:rFonts w:eastAsia="Calibri" w:cs="Arial"/>
          <w:b/>
          <w:bCs/>
        </w:rPr>
      </w:pPr>
      <w:r w:rsidRPr="002B3938">
        <w:rPr>
          <w:rFonts w:eastAsia="Calibri" w:cs="Arial"/>
          <w:b/>
          <w:bCs/>
        </w:rPr>
        <w:t>Name of instrument</w:t>
      </w:r>
    </w:p>
    <w:p w:rsidR="001C6AF5" w:rsidRDefault="001C6AF5" w:rsidP="001C6AF5">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Amendment—Phillip)</w:t>
      </w:r>
      <w:r w:rsidRPr="003B53B5">
        <w:rPr>
          <w:rFonts w:ascii="Times New Roman" w:hAnsi="Times New Roman"/>
          <w:b w:val="0"/>
          <w:i/>
          <w:sz w:val="24"/>
          <w:szCs w:val="24"/>
        </w:rPr>
        <w:t xml:space="preserve"> Plan </w:t>
      </w:r>
      <w:r>
        <w:rPr>
          <w:rFonts w:ascii="Times New Roman" w:hAnsi="Times New Roman"/>
          <w:b w:val="0"/>
          <w:i/>
          <w:sz w:val="24"/>
          <w:szCs w:val="24"/>
        </w:rPr>
        <w:t>Variation 2019 (No 1)</w:t>
      </w:r>
      <w:r>
        <w:rPr>
          <w:rFonts w:ascii="Times New Roman" w:hAnsi="Times New Roman"/>
          <w:b w:val="0"/>
          <w:sz w:val="24"/>
          <w:szCs w:val="24"/>
        </w:rPr>
        <w:t>.</w:t>
      </w:r>
    </w:p>
    <w:p w:rsidR="001C6AF5" w:rsidRPr="003B53B5" w:rsidRDefault="001C6AF5" w:rsidP="001C6AF5">
      <w:pPr>
        <w:pStyle w:val="BodyText"/>
        <w:spacing w:before="300" w:after="0"/>
        <w:rPr>
          <w:rFonts w:eastAsia="Calibri" w:cs="Arial"/>
          <w:b/>
          <w:bCs/>
        </w:rPr>
      </w:pPr>
      <w:r>
        <w:rPr>
          <w:rFonts w:eastAsia="Calibri" w:cs="Arial"/>
          <w:b/>
          <w:bCs/>
        </w:rPr>
        <w:t>2</w:t>
      </w:r>
      <w:r>
        <w:rPr>
          <w:rFonts w:eastAsia="Calibri" w:cs="Arial"/>
          <w:b/>
          <w:bCs/>
        </w:rPr>
        <w:tab/>
        <w:t>Commencement</w:t>
      </w:r>
    </w:p>
    <w:p w:rsidR="001C6AF5" w:rsidRPr="006932F8" w:rsidRDefault="001C6AF5" w:rsidP="001C6AF5">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1C6AF5" w:rsidRDefault="001C6AF5" w:rsidP="001C6AF5">
      <w:pPr>
        <w:pStyle w:val="BodyText"/>
        <w:spacing w:before="300" w:after="0"/>
        <w:rPr>
          <w:rFonts w:ascii="Times New Roman" w:hAnsi="Times New Roman"/>
          <w:b/>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rsidR="001C6AF5" w:rsidRPr="006932F8" w:rsidRDefault="001C6AF5" w:rsidP="001C6AF5">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Phillip</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1C6AF5" w:rsidRPr="00D25316" w:rsidRDefault="001C6AF5" w:rsidP="001C6AF5">
      <w:pPr>
        <w:pStyle w:val="BodyText"/>
        <w:spacing w:before="300" w:after="0"/>
        <w:rPr>
          <w:rFonts w:eastAsia="Calibri" w:cs="Arial"/>
          <w:b/>
          <w:bCs/>
        </w:rPr>
      </w:pPr>
      <w:r w:rsidRPr="00D25316">
        <w:rPr>
          <w:rFonts w:eastAsia="Calibri" w:cs="Arial"/>
          <w:b/>
          <w:bCs/>
        </w:rPr>
        <w:t>4</w:t>
      </w:r>
      <w:r w:rsidRPr="00D25316">
        <w:rPr>
          <w:rFonts w:eastAsia="Calibri" w:cs="Arial"/>
          <w:b/>
          <w:bCs/>
        </w:rPr>
        <w:tab/>
        <w:t xml:space="preserve">Meaning of </w:t>
      </w:r>
      <w:r>
        <w:rPr>
          <w:rFonts w:eastAsia="Calibri" w:cs="Arial"/>
          <w:b/>
          <w:bCs/>
          <w:i/>
        </w:rPr>
        <w:t>Phillip</w:t>
      </w:r>
      <w:r w:rsidRPr="00D25316">
        <w:rPr>
          <w:rFonts w:eastAsia="Calibri" w:cs="Arial"/>
          <w:b/>
          <w:bCs/>
          <w:i/>
        </w:rPr>
        <w:t xml:space="preserve"> plan variation</w:t>
      </w:r>
    </w:p>
    <w:p w:rsidR="001C6AF5" w:rsidRDefault="001C6AF5" w:rsidP="001C6AF5">
      <w:pPr>
        <w:pStyle w:val="BodyText"/>
        <w:spacing w:before="140" w:after="0"/>
        <w:ind w:left="1287" w:hanging="567"/>
        <w:rPr>
          <w:rFonts w:ascii="Times New Roman" w:eastAsia="Calibri" w:hAnsi="Times New Roman"/>
          <w:bCs/>
        </w:rPr>
      </w:pPr>
      <w:r>
        <w:rPr>
          <w:rFonts w:ascii="Times New Roman" w:eastAsia="Calibri" w:hAnsi="Times New Roman"/>
          <w:bCs/>
        </w:rPr>
        <w:t>In</w:t>
      </w:r>
      <w:r w:rsidRPr="00D25316">
        <w:rPr>
          <w:rFonts w:ascii="Times New Roman" w:eastAsia="Calibri" w:hAnsi="Times New Roman"/>
          <w:bCs/>
        </w:rPr>
        <w:t xml:space="preserve"> this instrument:</w:t>
      </w:r>
    </w:p>
    <w:p w:rsidR="001C6AF5" w:rsidRPr="003B53B5" w:rsidRDefault="001C6AF5" w:rsidP="001C6AF5">
      <w:pPr>
        <w:pStyle w:val="BodyText"/>
        <w:spacing w:before="140" w:after="0"/>
        <w:ind w:left="720"/>
        <w:rPr>
          <w:rFonts w:ascii="Times New Roman" w:eastAsia="Calibri" w:hAnsi="Times New Roman"/>
          <w:bCs/>
        </w:rPr>
      </w:pPr>
      <w:r>
        <w:rPr>
          <w:rFonts w:ascii="Times New Roman" w:eastAsia="Calibri" w:hAnsi="Times New Roman"/>
          <w:b/>
          <w:bCs/>
          <w:i/>
        </w:rPr>
        <w:t xml:space="preserve">Phillip </w:t>
      </w:r>
      <w:r w:rsidRPr="00F24A9D">
        <w:rPr>
          <w:rFonts w:ascii="Times New Roman" w:eastAsia="Calibri" w:hAnsi="Times New Roman"/>
          <w:b/>
          <w:bCs/>
          <w:i/>
        </w:rPr>
        <w:t>plan variation</w:t>
      </w:r>
      <w:r>
        <w:rPr>
          <w:rFonts w:ascii="Times New Roman" w:eastAsia="Calibri" w:hAnsi="Times New Roman"/>
          <w:bCs/>
        </w:rPr>
        <w:t xml:space="preserve"> means the technical amendment to the Territory Plan, variation 2019-02, in the schedule.</w:t>
      </w:r>
    </w:p>
    <w:p w:rsidR="001C6AF5" w:rsidRPr="003425C9" w:rsidRDefault="001C6AF5" w:rsidP="001C6AF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r>
      <w:r>
        <w:rPr>
          <w:rFonts w:ascii="Times New Roman" w:hAnsi="Times New Roman"/>
          <w:sz w:val="20"/>
          <w:szCs w:val="20"/>
        </w:rPr>
        <w:t>Limited c</w:t>
      </w:r>
      <w:r w:rsidRPr="003425C9">
        <w:rPr>
          <w:rFonts w:ascii="Times New Roman" w:hAnsi="Times New Roman"/>
          <w:sz w:val="20"/>
          <w:szCs w:val="20"/>
        </w:rPr>
        <w:t xml:space="preserve">onsultation was </w:t>
      </w:r>
      <w:r>
        <w:rPr>
          <w:rFonts w:ascii="Times New Roman" w:hAnsi="Times New Roman"/>
          <w:sz w:val="20"/>
          <w:szCs w:val="20"/>
        </w:rPr>
        <w:t>undertaken</w:t>
      </w:r>
      <w:r w:rsidRPr="003425C9">
        <w:rPr>
          <w:rFonts w:ascii="Times New Roman" w:hAnsi="Times New Roman"/>
          <w:sz w:val="20"/>
          <w:szCs w:val="20"/>
        </w:rPr>
        <w:t xml:space="preserve"> in relation to the</w:t>
      </w:r>
      <w:r>
        <w:rPr>
          <w:rFonts w:ascii="Times New Roman" w:hAnsi="Times New Roman"/>
          <w:sz w:val="20"/>
          <w:szCs w:val="20"/>
        </w:rPr>
        <w:t xml:space="preserve"> Phillip</w:t>
      </w:r>
      <w:r w:rsidRPr="003425C9">
        <w:rPr>
          <w:rFonts w:ascii="Times New Roman" w:hAnsi="Times New Roman"/>
          <w:sz w:val="20"/>
          <w:szCs w:val="20"/>
        </w:rPr>
        <w:t xml:space="preserve"> plan variation </w:t>
      </w:r>
      <w:r>
        <w:rPr>
          <w:rFonts w:ascii="Times New Roman" w:hAnsi="Times New Roman"/>
          <w:sz w:val="20"/>
          <w:szCs w:val="20"/>
        </w:rPr>
        <w:t xml:space="preserve">in accordance with </w:t>
      </w:r>
      <w:r w:rsidRPr="003425C9">
        <w:rPr>
          <w:rFonts w:ascii="Times New Roman" w:hAnsi="Times New Roman"/>
          <w:sz w:val="20"/>
          <w:szCs w:val="20"/>
        </w:rPr>
        <w:t>section</w:t>
      </w:r>
      <w:r>
        <w:rPr>
          <w:rFonts w:ascii="Times New Roman" w:hAnsi="Times New Roman"/>
          <w:sz w:val="20"/>
          <w:szCs w:val="20"/>
        </w:rPr>
        <w:t> 90</w:t>
      </w:r>
      <w:r w:rsidRPr="003425C9">
        <w:rPr>
          <w:rFonts w:ascii="Times New Roman" w:hAnsi="Times New Roman"/>
          <w:sz w:val="20"/>
          <w:szCs w:val="20"/>
        </w:rPr>
        <w:t xml:space="preserve"> of the Act.</w:t>
      </w:r>
    </w:p>
    <w:p w:rsidR="001C6AF5" w:rsidRDefault="001C6AF5" w:rsidP="001A3A18">
      <w:pPr>
        <w:spacing w:before="960"/>
        <w:ind w:left="-142" w:firstLine="142"/>
        <w:rPr>
          <w:rFonts w:ascii="Times New Roman" w:hAnsi="Times New Roman"/>
        </w:rPr>
      </w:pPr>
      <w:r>
        <w:rPr>
          <w:rFonts w:ascii="Times New Roman" w:hAnsi="Times New Roman"/>
        </w:rPr>
        <w:t>Kathy Cusack</w:t>
      </w:r>
    </w:p>
    <w:p w:rsidR="001C6AF5" w:rsidRPr="00F24A9D" w:rsidRDefault="001C6AF5" w:rsidP="001C6AF5">
      <w:pPr>
        <w:rPr>
          <w:rFonts w:ascii="Times New Roman" w:hAnsi="Times New Roman"/>
          <w:bCs/>
        </w:rPr>
      </w:pPr>
      <w:r w:rsidRPr="00F24A9D">
        <w:rPr>
          <w:rFonts w:ascii="Times New Roman" w:hAnsi="Times New Roman"/>
          <w:bCs/>
        </w:rPr>
        <w:t>Delegate of the planning and land authority</w:t>
      </w:r>
    </w:p>
    <w:p w:rsidR="001C6AF5" w:rsidRPr="00CB0C45" w:rsidRDefault="001A3A18" w:rsidP="001C6AF5">
      <w:r>
        <w:rPr>
          <w:rFonts w:ascii="Times New Roman" w:hAnsi="Times New Roman"/>
        </w:rPr>
        <w:t>19 March</w:t>
      </w:r>
      <w:r w:rsidR="001C6AF5" w:rsidRPr="00CB0C45">
        <w:rPr>
          <w:rFonts w:ascii="Times New Roman" w:hAnsi="Times New Roman"/>
        </w:rPr>
        <w:t xml:space="preserve"> 201</w:t>
      </w:r>
      <w:r w:rsidR="001C6AF5">
        <w:rPr>
          <w:rFonts w:ascii="Times New Roman" w:hAnsi="Times New Roman"/>
        </w:rPr>
        <w:t>9</w:t>
      </w:r>
    </w:p>
    <w:p w:rsidR="001C6AF5" w:rsidRDefault="001C6AF5" w:rsidP="001C6AF5">
      <w:pPr>
        <w:pStyle w:val="TAtitlepageplanninganddevelopmentact"/>
        <w:jc w:val="left"/>
        <w:rPr>
          <w:sz w:val="24"/>
        </w:rPr>
      </w:pPr>
    </w:p>
    <w:p w:rsidR="001C6AF5" w:rsidRPr="001C6AF5" w:rsidRDefault="001C6AF5" w:rsidP="001D04F6">
      <w:pPr>
        <w:pStyle w:val="TAtitlepageplanninganddevelopmentact"/>
        <w:rPr>
          <w:sz w:val="24"/>
        </w:rPr>
      </w:pPr>
    </w:p>
    <w:p w:rsidR="001C6AF5" w:rsidRPr="001C6AF5" w:rsidRDefault="001C6AF5" w:rsidP="001D04F6">
      <w:pPr>
        <w:pStyle w:val="TAtitlepageplanninganddevelopmentact"/>
        <w:rPr>
          <w:sz w:val="24"/>
        </w:rPr>
        <w:sectPr w:rsidR="001C6AF5" w:rsidRPr="001C6AF5" w:rsidSect="001766B0">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418" w:left="1531" w:header="720" w:footer="1009" w:gutter="0"/>
          <w:pgNumType w:start="1"/>
          <w:cols w:space="720"/>
          <w:titlePg/>
          <w:docGrid w:linePitch="326"/>
        </w:sectPr>
      </w:pPr>
    </w:p>
    <w:p w:rsidR="001D04F6" w:rsidRPr="00C31C20" w:rsidRDefault="001D04F6" w:rsidP="001D04F6">
      <w:pPr>
        <w:pStyle w:val="TAtitlepageplanninganddevelopmentact"/>
      </w:pPr>
    </w:p>
    <w:p w:rsidR="001D04F6" w:rsidRDefault="001D04F6" w:rsidP="001D04F6">
      <w:pPr>
        <w:pStyle w:val="TAtitlepageplanninganddevelopmentact"/>
      </w:pPr>
    </w:p>
    <w:p w:rsidR="001D04F6" w:rsidRPr="00BE441E" w:rsidRDefault="003E0DA3" w:rsidP="001D04F6">
      <w:pPr>
        <w:pStyle w:val="TAtitlepageplanninganddevelopmentact"/>
      </w:pPr>
      <w:r w:rsidRPr="00BE441E">
        <w:t>Planning &amp; Development Act 2007</w:t>
      </w:r>
    </w:p>
    <w:p w:rsidR="001D04F6" w:rsidRPr="00BE441E" w:rsidRDefault="001D04F6" w:rsidP="001D04F6">
      <w:pPr>
        <w:pStyle w:val="TAbodytext"/>
      </w:pPr>
    </w:p>
    <w:p w:rsidR="00FC3C0E" w:rsidRPr="00FC3C0E" w:rsidRDefault="00FC3C0E" w:rsidP="00FC3C0E">
      <w:pPr>
        <w:pStyle w:val="TATitlepagedocumenttitle"/>
        <w:pBdr>
          <w:bottom w:val="single" w:sz="4" w:space="14" w:color="auto"/>
        </w:pBdr>
        <w:spacing w:after="0"/>
        <w:rPr>
          <w:sz w:val="24"/>
        </w:rPr>
      </w:pPr>
    </w:p>
    <w:p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rsidR="00FC3C0E" w:rsidRDefault="00FC3C0E" w:rsidP="00FC3C0E">
      <w:pPr>
        <w:pStyle w:val="TATitlepagedocumenttitle"/>
        <w:pBdr>
          <w:bottom w:val="single" w:sz="4" w:space="14" w:color="auto"/>
        </w:pBdr>
        <w:tabs>
          <w:tab w:val="clear" w:pos="720"/>
          <w:tab w:val="clear" w:pos="1440"/>
        </w:tabs>
      </w:pPr>
      <w:bookmarkStart w:id="2" w:name="Variation_number"/>
    </w:p>
    <w:bookmarkEnd w:id="2"/>
    <w:p w:rsidR="001D04F6" w:rsidRPr="00BE441E" w:rsidRDefault="00472FF7" w:rsidP="00FC3C0E">
      <w:pPr>
        <w:pStyle w:val="TATitlepagedocumenttitle"/>
        <w:pBdr>
          <w:bottom w:val="single" w:sz="4" w:space="14" w:color="auto"/>
        </w:pBdr>
        <w:tabs>
          <w:tab w:val="clear" w:pos="720"/>
          <w:tab w:val="clear" w:pos="1440"/>
        </w:tabs>
      </w:pPr>
      <w:r>
        <w:t>2019</w:t>
      </w:r>
      <w:r w:rsidR="00894061">
        <w:t>-</w:t>
      </w:r>
      <w:r>
        <w:t>02</w:t>
      </w:r>
    </w:p>
    <w:p w:rsidR="001D04F6" w:rsidRPr="00BE441E" w:rsidRDefault="001D04F6" w:rsidP="001D04F6">
      <w:pPr>
        <w:pStyle w:val="TAbodytext"/>
      </w:pPr>
    </w:p>
    <w:p w:rsidR="001D04F6" w:rsidRPr="00BE441E" w:rsidRDefault="001D04F6" w:rsidP="001D04F6">
      <w:pPr>
        <w:pStyle w:val="TAbodytext"/>
      </w:pPr>
    </w:p>
    <w:p w:rsidR="00995F5D" w:rsidRDefault="00E20E0D" w:rsidP="00187850">
      <w:pPr>
        <w:pStyle w:val="TATitleexplanatoryheading"/>
      </w:pPr>
      <w:r>
        <w:t>Amendments to the Phillip P</w:t>
      </w:r>
      <w:r w:rsidR="000B551F">
        <w:t xml:space="preserve">recinct </w:t>
      </w:r>
      <w:r>
        <w:t>C</w:t>
      </w:r>
      <w:r w:rsidR="000B551F">
        <w:t>ode</w:t>
      </w:r>
    </w:p>
    <w:p w:rsidR="005D3A13" w:rsidRDefault="005D3A13" w:rsidP="005D3A13">
      <w:pPr>
        <w:pStyle w:val="TATitleexplanatoryheading"/>
      </w:pPr>
    </w:p>
    <w:p w:rsidR="000B551F" w:rsidRPr="00512A3B" w:rsidRDefault="000B551F" w:rsidP="005D3A13">
      <w:pPr>
        <w:pStyle w:val="TATitleexplanatoryheading"/>
      </w:pPr>
    </w:p>
    <w:p w:rsidR="001D04F6" w:rsidRPr="00BE441E" w:rsidRDefault="001D04F6" w:rsidP="001D04F6">
      <w:pPr>
        <w:pStyle w:val="TAbodytext"/>
      </w:pPr>
    </w:p>
    <w:p w:rsidR="001D04F6" w:rsidRPr="00A906C8" w:rsidRDefault="00880023" w:rsidP="00FC3C0E">
      <w:pPr>
        <w:pStyle w:val="TAbodytext"/>
        <w:tabs>
          <w:tab w:val="clear" w:pos="720"/>
          <w:tab w:val="clear" w:pos="1440"/>
        </w:tabs>
        <w:jc w:val="center"/>
        <w:rPr>
          <w:sz w:val="40"/>
          <w:szCs w:val="40"/>
        </w:rPr>
      </w:pPr>
      <w:r w:rsidRPr="00880023">
        <w:rPr>
          <w:sz w:val="40"/>
          <w:szCs w:val="40"/>
        </w:rPr>
        <w:t>March</w:t>
      </w:r>
      <w:r w:rsidR="001F63E5" w:rsidRPr="00880023">
        <w:rPr>
          <w:sz w:val="40"/>
          <w:szCs w:val="40"/>
        </w:rPr>
        <w:t xml:space="preserve"> </w:t>
      </w:r>
      <w:r w:rsidR="00472FF7" w:rsidRPr="00880023">
        <w:rPr>
          <w:sz w:val="40"/>
          <w:szCs w:val="40"/>
        </w:rPr>
        <w:t>2019</w:t>
      </w:r>
    </w:p>
    <w:p w:rsidR="001D04F6" w:rsidRDefault="001D04F6" w:rsidP="001D04F6">
      <w:pPr>
        <w:pStyle w:val="TATitlepagemonthandyear"/>
      </w:pPr>
    </w:p>
    <w:p w:rsidR="001D04F6" w:rsidRDefault="001D04F6" w:rsidP="001D04F6">
      <w:pPr>
        <w:pStyle w:val="TAbodytext"/>
      </w:pPr>
    </w:p>
    <w:p w:rsidR="001D04F6" w:rsidRDefault="008D274B" w:rsidP="001D04F6">
      <w:pPr>
        <w:pStyle w:val="DVVersionheading"/>
        <w:jc w:val="center"/>
        <w:rPr>
          <w:rFonts w:cs="Calibri"/>
          <w:b/>
          <w:sz w:val="24"/>
          <w:szCs w:val="24"/>
        </w:rPr>
      </w:pPr>
      <w:r>
        <w:rPr>
          <w:rFonts w:cs="Calibri"/>
          <w:b/>
          <w:sz w:val="24"/>
          <w:szCs w:val="24"/>
        </w:rPr>
        <w:t>Commencement</w:t>
      </w:r>
      <w:r w:rsidR="003E0DA3" w:rsidRPr="00312DF5">
        <w:rPr>
          <w:rFonts w:cs="Calibri"/>
          <w:b/>
          <w:sz w:val="24"/>
          <w:szCs w:val="24"/>
        </w:rPr>
        <w:t xml:space="preserve"> version</w:t>
      </w:r>
      <w:r w:rsidR="003E0DA3">
        <w:rPr>
          <w:rFonts w:cs="Calibri"/>
          <w:sz w:val="24"/>
          <w:szCs w:val="24"/>
        </w:rPr>
        <w:t xml:space="preserve"> </w:t>
      </w:r>
      <w:r w:rsidR="003E0DA3">
        <w:rPr>
          <w:rFonts w:cs="Calibri"/>
          <w:sz w:val="24"/>
          <w:szCs w:val="24"/>
        </w:rPr>
        <w:br/>
      </w:r>
      <w:r w:rsidR="003E0DA3">
        <w:rPr>
          <w:rStyle w:val="DVBodytextChar"/>
          <w:rFonts w:cs="Calibri"/>
          <w:sz w:val="24"/>
          <w:szCs w:val="24"/>
        </w:rPr>
        <w:t xml:space="preserve">under section </w:t>
      </w:r>
      <w:r>
        <w:rPr>
          <w:rStyle w:val="DVBodytextChar"/>
          <w:rFonts w:cs="Calibri"/>
          <w:sz w:val="24"/>
          <w:szCs w:val="24"/>
        </w:rPr>
        <w:t>89</w:t>
      </w:r>
      <w:r w:rsidR="003E0DA3">
        <w:rPr>
          <w:rStyle w:val="DVBodytextChar"/>
          <w:rFonts w:cs="Calibri"/>
          <w:sz w:val="24"/>
          <w:szCs w:val="24"/>
        </w:rPr>
        <w:t xml:space="preserve"> of the </w:t>
      </w:r>
      <w:r w:rsidR="003E0DA3">
        <w:rPr>
          <w:rFonts w:cs="Calibri"/>
          <w:i/>
          <w:sz w:val="24"/>
          <w:szCs w:val="24"/>
        </w:rPr>
        <w:t>Planning and Development Act 2007</w:t>
      </w:r>
    </w:p>
    <w:p w:rsidR="001D04F6" w:rsidRPr="006C3DEE" w:rsidRDefault="001D04F6" w:rsidP="001D04F6">
      <w:pPr>
        <w:pStyle w:val="TATitlepagemonthandyear"/>
        <w:sectPr w:rsidR="001D04F6" w:rsidRPr="006C3DEE" w:rsidSect="001766B0">
          <w:headerReference w:type="first" r:id="rId14"/>
          <w:pgSz w:w="11907" w:h="16840"/>
          <w:pgMar w:top="1361" w:right="1531" w:bottom="1418" w:left="1531" w:header="720" w:footer="1009" w:gutter="0"/>
          <w:pgNumType w:start="1"/>
          <w:cols w:space="720"/>
          <w:titlePg/>
          <w:docGrid w:linePitch="326"/>
        </w:sectPr>
      </w:pPr>
    </w:p>
    <w:p w:rsidR="001D04F6" w:rsidRPr="00BE441E" w:rsidRDefault="003E0DA3" w:rsidP="001D04F6">
      <w:pPr>
        <w:pStyle w:val="TATableofcontentsTitle"/>
      </w:pPr>
      <w:r w:rsidRPr="00BE441E">
        <w:t>Table of Contents</w:t>
      </w:r>
    </w:p>
    <w:p w:rsidR="00880023" w:rsidRPr="0012043C" w:rsidRDefault="00AD2AC7">
      <w:pPr>
        <w:pStyle w:val="TOC1"/>
        <w:tabs>
          <w:tab w:val="right" w:leader="dot" w:pos="8835"/>
        </w:tabs>
        <w:rPr>
          <w:rFonts w:ascii="Calibri" w:hAnsi="Calibr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2597597" w:history="1">
        <w:r w:rsidR="00880023" w:rsidRPr="00376919">
          <w:rPr>
            <w:rStyle w:val="Hyperlink"/>
          </w:rPr>
          <w:t>1. INTRODUCTION</w:t>
        </w:r>
        <w:r w:rsidR="00880023">
          <w:rPr>
            <w:webHidden/>
          </w:rPr>
          <w:tab/>
        </w:r>
        <w:r w:rsidR="00880023">
          <w:rPr>
            <w:webHidden/>
          </w:rPr>
          <w:fldChar w:fldCharType="begin"/>
        </w:r>
        <w:r w:rsidR="00880023">
          <w:rPr>
            <w:webHidden/>
          </w:rPr>
          <w:instrText xml:space="preserve"> PAGEREF _Toc2597597 \h </w:instrText>
        </w:r>
        <w:r w:rsidR="00880023">
          <w:rPr>
            <w:webHidden/>
          </w:rPr>
        </w:r>
        <w:r w:rsidR="00880023">
          <w:rPr>
            <w:webHidden/>
          </w:rPr>
          <w:fldChar w:fldCharType="separate"/>
        </w:r>
        <w:r w:rsidR="001C6AF5">
          <w:rPr>
            <w:webHidden/>
          </w:rPr>
          <w:t>1</w:t>
        </w:r>
        <w:r w:rsidR="00880023">
          <w:rPr>
            <w:webHidden/>
          </w:rPr>
          <w:fldChar w:fldCharType="end"/>
        </w:r>
      </w:hyperlink>
    </w:p>
    <w:p w:rsidR="00880023" w:rsidRPr="0012043C" w:rsidRDefault="00880023">
      <w:pPr>
        <w:pStyle w:val="TOC3"/>
        <w:rPr>
          <w:rFonts w:ascii="Calibri" w:hAnsi="Calibri"/>
          <w:noProof/>
          <w:sz w:val="22"/>
          <w:szCs w:val="22"/>
        </w:rPr>
      </w:pPr>
      <w:hyperlink w:anchor="_Toc2597598" w:history="1">
        <w:r w:rsidRPr="00376919">
          <w:rPr>
            <w:rStyle w:val="Hyperlink"/>
            <w:noProof/>
          </w:rPr>
          <w:t>1.1 Purpose</w:t>
        </w:r>
        <w:r>
          <w:rPr>
            <w:noProof/>
            <w:webHidden/>
          </w:rPr>
          <w:tab/>
        </w:r>
        <w:r>
          <w:rPr>
            <w:noProof/>
            <w:webHidden/>
          </w:rPr>
          <w:fldChar w:fldCharType="begin"/>
        </w:r>
        <w:r>
          <w:rPr>
            <w:noProof/>
            <w:webHidden/>
          </w:rPr>
          <w:instrText xml:space="preserve"> PAGEREF _Toc2597598 \h </w:instrText>
        </w:r>
        <w:r>
          <w:rPr>
            <w:noProof/>
            <w:webHidden/>
          </w:rPr>
        </w:r>
        <w:r>
          <w:rPr>
            <w:noProof/>
            <w:webHidden/>
          </w:rPr>
          <w:fldChar w:fldCharType="separate"/>
        </w:r>
        <w:r w:rsidR="001C6AF5">
          <w:rPr>
            <w:noProof/>
            <w:webHidden/>
          </w:rPr>
          <w:t>1</w:t>
        </w:r>
        <w:r>
          <w:rPr>
            <w:noProof/>
            <w:webHidden/>
          </w:rPr>
          <w:fldChar w:fldCharType="end"/>
        </w:r>
      </w:hyperlink>
    </w:p>
    <w:p w:rsidR="00880023" w:rsidRPr="0012043C" w:rsidRDefault="00880023">
      <w:pPr>
        <w:pStyle w:val="TOC3"/>
        <w:rPr>
          <w:rFonts w:ascii="Calibri" w:hAnsi="Calibri"/>
          <w:noProof/>
          <w:sz w:val="22"/>
          <w:szCs w:val="22"/>
        </w:rPr>
      </w:pPr>
      <w:hyperlink w:anchor="_Toc2597599" w:history="1">
        <w:r w:rsidRPr="00376919">
          <w:rPr>
            <w:rStyle w:val="Hyperlink"/>
            <w:noProof/>
          </w:rPr>
          <w:t>1.2 Public consultation</w:t>
        </w:r>
        <w:r>
          <w:rPr>
            <w:noProof/>
            <w:webHidden/>
          </w:rPr>
          <w:tab/>
        </w:r>
        <w:r>
          <w:rPr>
            <w:noProof/>
            <w:webHidden/>
          </w:rPr>
          <w:fldChar w:fldCharType="begin"/>
        </w:r>
        <w:r>
          <w:rPr>
            <w:noProof/>
            <w:webHidden/>
          </w:rPr>
          <w:instrText xml:space="preserve"> PAGEREF _Toc2597599 \h </w:instrText>
        </w:r>
        <w:r>
          <w:rPr>
            <w:noProof/>
            <w:webHidden/>
          </w:rPr>
        </w:r>
        <w:r>
          <w:rPr>
            <w:noProof/>
            <w:webHidden/>
          </w:rPr>
          <w:fldChar w:fldCharType="separate"/>
        </w:r>
        <w:r w:rsidR="001C6AF5">
          <w:rPr>
            <w:noProof/>
            <w:webHidden/>
          </w:rPr>
          <w:t>1</w:t>
        </w:r>
        <w:r>
          <w:rPr>
            <w:noProof/>
            <w:webHidden/>
          </w:rPr>
          <w:fldChar w:fldCharType="end"/>
        </w:r>
      </w:hyperlink>
    </w:p>
    <w:p w:rsidR="00880023" w:rsidRPr="0012043C" w:rsidRDefault="00880023">
      <w:pPr>
        <w:pStyle w:val="TOC3"/>
        <w:rPr>
          <w:rFonts w:ascii="Calibri" w:hAnsi="Calibri"/>
          <w:noProof/>
          <w:sz w:val="22"/>
          <w:szCs w:val="22"/>
        </w:rPr>
      </w:pPr>
      <w:hyperlink w:anchor="_Toc2597600" w:history="1">
        <w:r w:rsidRPr="00376919">
          <w:rPr>
            <w:rStyle w:val="Hyperlink"/>
            <w:noProof/>
          </w:rPr>
          <w:t>1.3 National Capital Authority</w:t>
        </w:r>
        <w:r>
          <w:rPr>
            <w:noProof/>
            <w:webHidden/>
          </w:rPr>
          <w:tab/>
        </w:r>
        <w:r>
          <w:rPr>
            <w:noProof/>
            <w:webHidden/>
          </w:rPr>
          <w:fldChar w:fldCharType="begin"/>
        </w:r>
        <w:r>
          <w:rPr>
            <w:noProof/>
            <w:webHidden/>
          </w:rPr>
          <w:instrText xml:space="preserve"> PAGEREF _Toc2597600 \h </w:instrText>
        </w:r>
        <w:r>
          <w:rPr>
            <w:noProof/>
            <w:webHidden/>
          </w:rPr>
        </w:r>
        <w:r>
          <w:rPr>
            <w:noProof/>
            <w:webHidden/>
          </w:rPr>
          <w:fldChar w:fldCharType="separate"/>
        </w:r>
        <w:r w:rsidR="001C6AF5">
          <w:rPr>
            <w:noProof/>
            <w:webHidden/>
          </w:rPr>
          <w:t>1</w:t>
        </w:r>
        <w:r>
          <w:rPr>
            <w:noProof/>
            <w:webHidden/>
          </w:rPr>
          <w:fldChar w:fldCharType="end"/>
        </w:r>
      </w:hyperlink>
    </w:p>
    <w:p w:rsidR="00880023" w:rsidRPr="0012043C" w:rsidRDefault="00880023">
      <w:pPr>
        <w:pStyle w:val="TOC3"/>
        <w:rPr>
          <w:rFonts w:ascii="Calibri" w:hAnsi="Calibri"/>
          <w:noProof/>
          <w:sz w:val="22"/>
          <w:szCs w:val="22"/>
        </w:rPr>
      </w:pPr>
      <w:hyperlink w:anchor="_Toc2597601" w:history="1">
        <w:r w:rsidRPr="00376919">
          <w:rPr>
            <w:rStyle w:val="Hyperlink"/>
            <w:noProof/>
          </w:rPr>
          <w:t>1.4 Process</w:t>
        </w:r>
        <w:r>
          <w:rPr>
            <w:noProof/>
            <w:webHidden/>
          </w:rPr>
          <w:tab/>
        </w:r>
        <w:r>
          <w:rPr>
            <w:noProof/>
            <w:webHidden/>
          </w:rPr>
          <w:fldChar w:fldCharType="begin"/>
        </w:r>
        <w:r>
          <w:rPr>
            <w:noProof/>
            <w:webHidden/>
          </w:rPr>
          <w:instrText xml:space="preserve"> PAGEREF _Toc2597601 \h </w:instrText>
        </w:r>
        <w:r>
          <w:rPr>
            <w:noProof/>
            <w:webHidden/>
          </w:rPr>
        </w:r>
        <w:r>
          <w:rPr>
            <w:noProof/>
            <w:webHidden/>
          </w:rPr>
          <w:fldChar w:fldCharType="separate"/>
        </w:r>
        <w:r w:rsidR="001C6AF5">
          <w:rPr>
            <w:noProof/>
            <w:webHidden/>
          </w:rPr>
          <w:t>1</w:t>
        </w:r>
        <w:r>
          <w:rPr>
            <w:noProof/>
            <w:webHidden/>
          </w:rPr>
          <w:fldChar w:fldCharType="end"/>
        </w:r>
      </w:hyperlink>
    </w:p>
    <w:p w:rsidR="00880023" w:rsidRPr="0012043C" w:rsidRDefault="00880023">
      <w:pPr>
        <w:pStyle w:val="TOC3"/>
        <w:rPr>
          <w:rFonts w:ascii="Calibri" w:hAnsi="Calibri"/>
          <w:noProof/>
          <w:sz w:val="22"/>
          <w:szCs w:val="22"/>
        </w:rPr>
      </w:pPr>
      <w:hyperlink w:anchor="_Toc2597602" w:history="1">
        <w:r w:rsidRPr="00376919">
          <w:rPr>
            <w:rStyle w:val="Hyperlink"/>
            <w:noProof/>
          </w:rPr>
          <w:t>1.5 Types of technical amendments under the Act</w:t>
        </w:r>
        <w:r>
          <w:rPr>
            <w:noProof/>
            <w:webHidden/>
          </w:rPr>
          <w:tab/>
        </w:r>
        <w:r>
          <w:rPr>
            <w:noProof/>
            <w:webHidden/>
          </w:rPr>
          <w:fldChar w:fldCharType="begin"/>
        </w:r>
        <w:r>
          <w:rPr>
            <w:noProof/>
            <w:webHidden/>
          </w:rPr>
          <w:instrText xml:space="preserve"> PAGEREF _Toc2597602 \h </w:instrText>
        </w:r>
        <w:r>
          <w:rPr>
            <w:noProof/>
            <w:webHidden/>
          </w:rPr>
        </w:r>
        <w:r>
          <w:rPr>
            <w:noProof/>
            <w:webHidden/>
          </w:rPr>
          <w:fldChar w:fldCharType="separate"/>
        </w:r>
        <w:r w:rsidR="001C6AF5">
          <w:rPr>
            <w:noProof/>
            <w:webHidden/>
          </w:rPr>
          <w:t>2</w:t>
        </w:r>
        <w:r>
          <w:rPr>
            <w:noProof/>
            <w:webHidden/>
          </w:rPr>
          <w:fldChar w:fldCharType="end"/>
        </w:r>
      </w:hyperlink>
    </w:p>
    <w:p w:rsidR="00880023" w:rsidRPr="0012043C" w:rsidRDefault="00880023">
      <w:pPr>
        <w:pStyle w:val="TOC1"/>
        <w:tabs>
          <w:tab w:val="right" w:leader="dot" w:pos="8835"/>
        </w:tabs>
        <w:rPr>
          <w:rFonts w:ascii="Calibri" w:hAnsi="Calibri"/>
          <w:caps w:val="0"/>
          <w:sz w:val="22"/>
          <w:szCs w:val="22"/>
        </w:rPr>
      </w:pPr>
      <w:hyperlink w:anchor="_Toc2597603" w:history="1">
        <w:r w:rsidRPr="00376919">
          <w:rPr>
            <w:rStyle w:val="Hyperlink"/>
          </w:rPr>
          <w:t>2. EXPLANATORY STATEMENT</w:t>
        </w:r>
        <w:r>
          <w:rPr>
            <w:webHidden/>
          </w:rPr>
          <w:tab/>
        </w:r>
        <w:r>
          <w:rPr>
            <w:webHidden/>
          </w:rPr>
          <w:fldChar w:fldCharType="begin"/>
        </w:r>
        <w:r>
          <w:rPr>
            <w:webHidden/>
          </w:rPr>
          <w:instrText xml:space="preserve"> PAGEREF _Toc2597603 \h </w:instrText>
        </w:r>
        <w:r>
          <w:rPr>
            <w:webHidden/>
          </w:rPr>
        </w:r>
        <w:r>
          <w:rPr>
            <w:webHidden/>
          </w:rPr>
          <w:fldChar w:fldCharType="separate"/>
        </w:r>
        <w:r w:rsidR="001C6AF5">
          <w:rPr>
            <w:webHidden/>
          </w:rPr>
          <w:t>3</w:t>
        </w:r>
        <w:r>
          <w:rPr>
            <w:webHidden/>
          </w:rPr>
          <w:fldChar w:fldCharType="end"/>
        </w:r>
      </w:hyperlink>
    </w:p>
    <w:p w:rsidR="00880023" w:rsidRPr="0012043C" w:rsidRDefault="00880023">
      <w:pPr>
        <w:pStyle w:val="TOC3"/>
        <w:rPr>
          <w:rFonts w:ascii="Calibri" w:hAnsi="Calibri"/>
          <w:noProof/>
          <w:sz w:val="22"/>
          <w:szCs w:val="22"/>
        </w:rPr>
      </w:pPr>
      <w:hyperlink w:anchor="_Toc2597604" w:history="1">
        <w:r w:rsidRPr="00376919">
          <w:rPr>
            <w:rStyle w:val="Hyperlink"/>
            <w:noProof/>
          </w:rPr>
          <w:t>2.1 Background</w:t>
        </w:r>
        <w:r>
          <w:rPr>
            <w:noProof/>
            <w:webHidden/>
          </w:rPr>
          <w:tab/>
        </w:r>
        <w:r>
          <w:rPr>
            <w:noProof/>
            <w:webHidden/>
          </w:rPr>
          <w:fldChar w:fldCharType="begin"/>
        </w:r>
        <w:r>
          <w:rPr>
            <w:noProof/>
            <w:webHidden/>
          </w:rPr>
          <w:instrText xml:space="preserve"> PAGEREF _Toc2597604 \h </w:instrText>
        </w:r>
        <w:r>
          <w:rPr>
            <w:noProof/>
            <w:webHidden/>
          </w:rPr>
        </w:r>
        <w:r>
          <w:rPr>
            <w:noProof/>
            <w:webHidden/>
          </w:rPr>
          <w:fldChar w:fldCharType="separate"/>
        </w:r>
        <w:r w:rsidR="001C6AF5">
          <w:rPr>
            <w:noProof/>
            <w:webHidden/>
          </w:rPr>
          <w:t>3</w:t>
        </w:r>
        <w:r>
          <w:rPr>
            <w:noProof/>
            <w:webHidden/>
          </w:rPr>
          <w:fldChar w:fldCharType="end"/>
        </w:r>
      </w:hyperlink>
    </w:p>
    <w:p w:rsidR="00880023" w:rsidRPr="0012043C" w:rsidRDefault="00880023">
      <w:pPr>
        <w:pStyle w:val="TOC3"/>
        <w:rPr>
          <w:rFonts w:ascii="Calibri" w:hAnsi="Calibri"/>
          <w:noProof/>
          <w:sz w:val="22"/>
          <w:szCs w:val="22"/>
        </w:rPr>
      </w:pPr>
      <w:hyperlink w:anchor="_Toc2597605" w:history="1">
        <w:r w:rsidRPr="00376919">
          <w:rPr>
            <w:rStyle w:val="Hyperlink"/>
            <w:noProof/>
          </w:rPr>
          <w:t>2.2 Variation to the Phillip Precinct Code</w:t>
        </w:r>
        <w:r>
          <w:rPr>
            <w:noProof/>
            <w:webHidden/>
          </w:rPr>
          <w:tab/>
        </w:r>
        <w:r>
          <w:rPr>
            <w:noProof/>
            <w:webHidden/>
          </w:rPr>
          <w:fldChar w:fldCharType="begin"/>
        </w:r>
        <w:r>
          <w:rPr>
            <w:noProof/>
            <w:webHidden/>
          </w:rPr>
          <w:instrText xml:space="preserve"> PAGEREF _Toc2597605 \h </w:instrText>
        </w:r>
        <w:r>
          <w:rPr>
            <w:noProof/>
            <w:webHidden/>
          </w:rPr>
        </w:r>
        <w:r>
          <w:rPr>
            <w:noProof/>
            <w:webHidden/>
          </w:rPr>
          <w:fldChar w:fldCharType="separate"/>
        </w:r>
        <w:r w:rsidR="001C6AF5">
          <w:rPr>
            <w:noProof/>
            <w:webHidden/>
          </w:rPr>
          <w:t>3</w:t>
        </w:r>
        <w:r>
          <w:rPr>
            <w:noProof/>
            <w:webHidden/>
          </w:rPr>
          <w:fldChar w:fldCharType="end"/>
        </w:r>
      </w:hyperlink>
    </w:p>
    <w:p w:rsidR="00880023" w:rsidRPr="0012043C" w:rsidRDefault="00880023">
      <w:pPr>
        <w:pStyle w:val="TOC1"/>
        <w:tabs>
          <w:tab w:val="right" w:leader="dot" w:pos="8835"/>
        </w:tabs>
        <w:rPr>
          <w:rFonts w:ascii="Calibri" w:hAnsi="Calibri"/>
          <w:caps w:val="0"/>
          <w:sz w:val="22"/>
          <w:szCs w:val="22"/>
        </w:rPr>
      </w:pPr>
      <w:hyperlink w:anchor="_Toc2597606" w:history="1">
        <w:r w:rsidRPr="00376919">
          <w:rPr>
            <w:rStyle w:val="Hyperlink"/>
          </w:rPr>
          <w:t>3. TECHNICAL AMENDMENT</w:t>
        </w:r>
        <w:r>
          <w:rPr>
            <w:webHidden/>
          </w:rPr>
          <w:tab/>
        </w:r>
        <w:r>
          <w:rPr>
            <w:webHidden/>
          </w:rPr>
          <w:fldChar w:fldCharType="begin"/>
        </w:r>
        <w:r>
          <w:rPr>
            <w:webHidden/>
          </w:rPr>
          <w:instrText xml:space="preserve"> PAGEREF _Toc2597606 \h </w:instrText>
        </w:r>
        <w:r>
          <w:rPr>
            <w:webHidden/>
          </w:rPr>
        </w:r>
        <w:r>
          <w:rPr>
            <w:webHidden/>
          </w:rPr>
          <w:fldChar w:fldCharType="separate"/>
        </w:r>
        <w:r w:rsidR="001C6AF5">
          <w:rPr>
            <w:webHidden/>
          </w:rPr>
          <w:t>7</w:t>
        </w:r>
        <w:r>
          <w:rPr>
            <w:webHidden/>
          </w:rPr>
          <w:fldChar w:fldCharType="end"/>
        </w:r>
      </w:hyperlink>
    </w:p>
    <w:p w:rsidR="00880023" w:rsidRPr="0012043C" w:rsidRDefault="00880023">
      <w:pPr>
        <w:pStyle w:val="TOC3"/>
        <w:rPr>
          <w:rFonts w:ascii="Calibri" w:hAnsi="Calibri"/>
          <w:noProof/>
          <w:sz w:val="22"/>
          <w:szCs w:val="22"/>
        </w:rPr>
      </w:pPr>
      <w:hyperlink w:anchor="_Toc2597607" w:history="1">
        <w:r w:rsidRPr="00376919">
          <w:rPr>
            <w:rStyle w:val="Hyperlink"/>
            <w:noProof/>
          </w:rPr>
          <w:t>3.1 Variation to the Phillip Precinct Code</w:t>
        </w:r>
        <w:r>
          <w:rPr>
            <w:noProof/>
            <w:webHidden/>
          </w:rPr>
          <w:tab/>
        </w:r>
        <w:r>
          <w:rPr>
            <w:noProof/>
            <w:webHidden/>
          </w:rPr>
          <w:fldChar w:fldCharType="begin"/>
        </w:r>
        <w:r>
          <w:rPr>
            <w:noProof/>
            <w:webHidden/>
          </w:rPr>
          <w:instrText xml:space="preserve"> PAGEREF _Toc2597607 \h </w:instrText>
        </w:r>
        <w:r>
          <w:rPr>
            <w:noProof/>
            <w:webHidden/>
          </w:rPr>
        </w:r>
        <w:r>
          <w:rPr>
            <w:noProof/>
            <w:webHidden/>
          </w:rPr>
          <w:fldChar w:fldCharType="separate"/>
        </w:r>
        <w:r w:rsidR="001C6AF5">
          <w:rPr>
            <w:noProof/>
            <w:webHidden/>
          </w:rPr>
          <w:t>7</w:t>
        </w:r>
        <w:r>
          <w:rPr>
            <w:noProof/>
            <w:webHidden/>
          </w:rPr>
          <w:fldChar w:fldCharType="end"/>
        </w:r>
      </w:hyperlink>
    </w:p>
    <w:p w:rsidR="001D04F6" w:rsidRPr="00BE441E" w:rsidRDefault="00AD2AC7" w:rsidP="004D0C91">
      <w:pPr>
        <w:pStyle w:val="TOC1"/>
        <w:tabs>
          <w:tab w:val="right" w:leader="dot" w:pos="8835"/>
        </w:tabs>
        <w:sectPr w:rsidR="001D04F6" w:rsidRPr="00BE441E">
          <w:footerReference w:type="default" r:id="rId15"/>
          <w:pgSz w:w="11907" w:h="16840"/>
          <w:pgMar w:top="1361" w:right="1531" w:bottom="1559" w:left="1531" w:header="720" w:footer="1009" w:gutter="0"/>
          <w:pgNumType w:fmt="lowerRoman" w:start="1"/>
          <w:cols w:space="720"/>
        </w:sectPr>
      </w:pPr>
      <w:r>
        <w:fldChar w:fldCharType="end"/>
      </w:r>
    </w:p>
    <w:p w:rsidR="001D04F6" w:rsidRPr="00BE441E" w:rsidRDefault="003E0DA3" w:rsidP="001D04F6">
      <w:pPr>
        <w:pStyle w:val="TAsectionheading"/>
      </w:pPr>
      <w:bookmarkStart w:id="3" w:name="_Toc254851535"/>
      <w:bookmarkStart w:id="4" w:name="_Toc469927019"/>
      <w:bookmarkStart w:id="5" w:name="_Toc2597597"/>
      <w:r w:rsidRPr="00BE441E">
        <w:t>INTRODUCTION</w:t>
      </w:r>
      <w:bookmarkEnd w:id="3"/>
      <w:bookmarkEnd w:id="4"/>
      <w:bookmarkEnd w:id="5"/>
    </w:p>
    <w:p w:rsidR="00332269" w:rsidRDefault="00F66A90" w:rsidP="00955E48">
      <w:pPr>
        <w:pStyle w:val="TAsectionheading3"/>
        <w:spacing w:before="360"/>
        <w:ind w:hanging="862"/>
      </w:pPr>
      <w:bookmarkStart w:id="6" w:name="_Toc327263732"/>
      <w:bookmarkStart w:id="7" w:name="_Toc364933260"/>
      <w:bookmarkStart w:id="8" w:name="_Toc469927020"/>
      <w:bookmarkStart w:id="9" w:name="_Toc214687943"/>
      <w:r>
        <w:t xml:space="preserve">  </w:t>
      </w:r>
      <w:bookmarkStart w:id="10" w:name="_Toc2597598"/>
      <w:r w:rsidR="00332269">
        <w:t>Purpose</w:t>
      </w:r>
      <w:bookmarkEnd w:id="6"/>
      <w:bookmarkEnd w:id="7"/>
      <w:bookmarkEnd w:id="8"/>
      <w:bookmarkEnd w:id="10"/>
    </w:p>
    <w:p w:rsidR="00766FF2" w:rsidRPr="00766FF2" w:rsidRDefault="00766FF2" w:rsidP="00766FF2">
      <w:pPr>
        <w:pStyle w:val="TAbodytext"/>
      </w:pPr>
      <w:r w:rsidRPr="00766FF2">
        <w:t>This technical amendment amends the Phillip Precinct Map and Code to:</w:t>
      </w:r>
    </w:p>
    <w:p w:rsidR="00622237" w:rsidRPr="00965F54" w:rsidRDefault="00622237" w:rsidP="00622237">
      <w:pPr>
        <w:pStyle w:val="TAbodytext"/>
        <w:numPr>
          <w:ilvl w:val="0"/>
          <w:numId w:val="19"/>
        </w:numPr>
        <w:tabs>
          <w:tab w:val="clear" w:pos="720"/>
          <w:tab w:val="clear" w:pos="1440"/>
          <w:tab w:val="left" w:pos="567"/>
        </w:tabs>
        <w:ind w:left="567" w:hanging="283"/>
        <w:rPr>
          <w:rFonts w:cs="Arial"/>
          <w:b/>
        </w:rPr>
      </w:pPr>
      <w:r>
        <w:rPr>
          <w:rFonts w:cs="Arial"/>
        </w:rPr>
        <w:t>Amend Rule R16 and Criterion C16 to permit development addressing Townshend Street, Colbee Court or Dundas Court up to a maximum building height of five storeys.</w:t>
      </w:r>
    </w:p>
    <w:p w:rsidR="00965F54" w:rsidRDefault="00965F54" w:rsidP="00622237">
      <w:pPr>
        <w:pStyle w:val="TAbodytext"/>
        <w:numPr>
          <w:ilvl w:val="0"/>
          <w:numId w:val="19"/>
        </w:numPr>
        <w:tabs>
          <w:tab w:val="clear" w:pos="720"/>
          <w:tab w:val="clear" w:pos="1440"/>
          <w:tab w:val="left" w:pos="567"/>
        </w:tabs>
        <w:ind w:left="567" w:hanging="283"/>
        <w:rPr>
          <w:rFonts w:cs="Arial"/>
          <w:b/>
        </w:rPr>
      </w:pPr>
      <w:r>
        <w:rPr>
          <w:rFonts w:cs="Arial"/>
        </w:rPr>
        <w:t>Amend Rule</w:t>
      </w:r>
      <w:r w:rsidR="00F90CAF">
        <w:rPr>
          <w:rFonts w:cs="Arial"/>
        </w:rPr>
        <w:t>s</w:t>
      </w:r>
      <w:r>
        <w:rPr>
          <w:rFonts w:cs="Arial"/>
        </w:rPr>
        <w:t xml:space="preserve"> R16 and R17 to italicise reference to </w:t>
      </w:r>
      <w:r>
        <w:rPr>
          <w:rFonts w:cs="Arial"/>
          <w:i/>
        </w:rPr>
        <w:t xml:space="preserve">storeys </w:t>
      </w:r>
      <w:r>
        <w:rPr>
          <w:rFonts w:cs="Arial"/>
        </w:rPr>
        <w:t>as a defined term.</w:t>
      </w:r>
    </w:p>
    <w:p w:rsidR="000378E3" w:rsidRPr="00965F54" w:rsidRDefault="00472FF7" w:rsidP="000A5E81">
      <w:pPr>
        <w:pStyle w:val="TAbodytext"/>
        <w:numPr>
          <w:ilvl w:val="0"/>
          <w:numId w:val="19"/>
        </w:numPr>
        <w:tabs>
          <w:tab w:val="clear" w:pos="720"/>
          <w:tab w:val="clear" w:pos="1440"/>
          <w:tab w:val="left" w:pos="567"/>
        </w:tabs>
        <w:ind w:left="567" w:hanging="283"/>
        <w:rPr>
          <w:rFonts w:cs="Arial"/>
          <w:b/>
        </w:rPr>
      </w:pPr>
      <w:r>
        <w:rPr>
          <w:rFonts w:cs="Arial"/>
        </w:rPr>
        <w:t>Add a new Criterion C</w:t>
      </w:r>
      <w:r w:rsidR="00622237">
        <w:rPr>
          <w:rFonts w:cs="Arial"/>
        </w:rPr>
        <w:t>17</w:t>
      </w:r>
      <w:r w:rsidR="000B551F">
        <w:rPr>
          <w:rFonts w:cs="Arial"/>
        </w:rPr>
        <w:t xml:space="preserve"> to </w:t>
      </w:r>
      <w:r w:rsidR="00640D27">
        <w:rPr>
          <w:rFonts w:cs="Arial"/>
        </w:rPr>
        <w:t>permit reduced setbacks</w:t>
      </w:r>
      <w:r w:rsidR="000B551F">
        <w:rPr>
          <w:rFonts w:cs="Arial"/>
        </w:rPr>
        <w:t xml:space="preserve"> for development above two storeys for sections 37, 40, 42, 46 and 112 Phillip</w:t>
      </w:r>
      <w:r w:rsidR="00622237">
        <w:rPr>
          <w:rFonts w:cs="Arial"/>
        </w:rPr>
        <w:t>.</w:t>
      </w:r>
    </w:p>
    <w:p w:rsidR="00332269" w:rsidRDefault="000378E3" w:rsidP="00955E48">
      <w:pPr>
        <w:pStyle w:val="TAsectionheading3"/>
        <w:spacing w:before="360"/>
        <w:ind w:hanging="862"/>
      </w:pPr>
      <w:bookmarkStart w:id="11" w:name="_Toc327263733"/>
      <w:bookmarkStart w:id="12" w:name="_Toc364933261"/>
      <w:bookmarkStart w:id="13" w:name="_Toc390767271"/>
      <w:bookmarkStart w:id="14" w:name="_Toc469927021"/>
      <w:r>
        <w:t xml:space="preserve">  </w:t>
      </w:r>
      <w:bookmarkStart w:id="15" w:name="_Toc2597599"/>
      <w:r w:rsidR="00332269">
        <w:t>Public consultation</w:t>
      </w:r>
      <w:bookmarkEnd w:id="11"/>
      <w:bookmarkEnd w:id="12"/>
      <w:bookmarkEnd w:id="13"/>
      <w:bookmarkEnd w:id="14"/>
      <w:bookmarkEnd w:id="15"/>
    </w:p>
    <w:p w:rsidR="00766FF2" w:rsidRDefault="00766FF2" w:rsidP="00766FF2">
      <w:pPr>
        <w:pStyle w:val="TAbodytext"/>
        <w:rPr>
          <w:rFonts w:cs="Arial"/>
        </w:rPr>
      </w:pPr>
      <w:bookmarkStart w:id="16" w:name="_Toc327263734"/>
      <w:bookmarkStart w:id="17" w:name="_Toc364933262"/>
      <w:r>
        <w:rPr>
          <w:rFonts w:cs="Arial"/>
        </w:rPr>
        <w:t xml:space="preserve">Under section 87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under section 90 of the Act.</w:t>
      </w:r>
    </w:p>
    <w:p w:rsidR="00766FF2" w:rsidRDefault="00766FF2" w:rsidP="00766FF2">
      <w:pPr>
        <w:pStyle w:val="TAbodytext"/>
        <w:rPr>
          <w:rFonts w:cs="Arial"/>
        </w:rPr>
      </w:pPr>
      <w:r>
        <w:rPr>
          <w:rFonts w:cs="Arial"/>
        </w:rPr>
        <w:t>TA2019-02 was released for limited public consultation on 1 February 2019 and concluded on 1 March 2019.</w:t>
      </w:r>
    </w:p>
    <w:p w:rsidR="00766FF2" w:rsidRDefault="00F90CAF" w:rsidP="00766FF2">
      <w:pPr>
        <w:pStyle w:val="TAbodytext"/>
        <w:rPr>
          <w:rFonts w:cs="Arial"/>
        </w:rPr>
      </w:pPr>
      <w:r w:rsidRPr="00F90CAF">
        <w:rPr>
          <w:rFonts w:cs="Arial"/>
        </w:rPr>
        <w:t>One public submission was</w:t>
      </w:r>
      <w:r w:rsidR="00766FF2" w:rsidRPr="00F90CAF">
        <w:rPr>
          <w:rFonts w:cs="Arial"/>
        </w:rPr>
        <w:t xml:space="preserve"> received during the con</w:t>
      </w:r>
      <w:r w:rsidRPr="00F90CAF">
        <w:rPr>
          <w:rFonts w:cs="Arial"/>
        </w:rPr>
        <w:t>sultation period. The key issue</w:t>
      </w:r>
      <w:r w:rsidR="00766FF2" w:rsidRPr="00F90CAF">
        <w:rPr>
          <w:rFonts w:cs="Arial"/>
        </w:rPr>
        <w:t xml:space="preserve"> raised were as follows:</w:t>
      </w:r>
    </w:p>
    <w:p w:rsidR="00766FF2" w:rsidRPr="00BE4299" w:rsidRDefault="00766FF2" w:rsidP="00766FF2">
      <w:pPr>
        <w:pStyle w:val="TAbodytext"/>
        <w:numPr>
          <w:ilvl w:val="0"/>
          <w:numId w:val="36"/>
        </w:numPr>
        <w:rPr>
          <w:rFonts w:cs="Arial"/>
        </w:rPr>
      </w:pPr>
      <w:r w:rsidRPr="00BE4299">
        <w:rPr>
          <w:rFonts w:cs="Arial"/>
        </w:rPr>
        <w:t xml:space="preserve">Inconsistency of the allocation of the maximum building height to selected properties </w:t>
      </w:r>
    </w:p>
    <w:p w:rsidR="00766FF2" w:rsidRDefault="00766FF2" w:rsidP="00766FF2">
      <w:pPr>
        <w:pStyle w:val="TAbodytext"/>
        <w:rPr>
          <w:rFonts w:cs="Arial"/>
        </w:rPr>
      </w:pPr>
      <w:r>
        <w:rPr>
          <w:rFonts w:cs="Arial"/>
        </w:rPr>
        <w:t>Fu</w:t>
      </w:r>
      <w:r w:rsidR="00F90CAF">
        <w:rPr>
          <w:rFonts w:cs="Arial"/>
        </w:rPr>
        <w:t>rther information on the submission</w:t>
      </w:r>
      <w:r>
        <w:rPr>
          <w:rFonts w:cs="Arial"/>
        </w:rPr>
        <w:t xml:space="preserve"> received and responses are contained in the Report on Consultation.</w:t>
      </w:r>
    </w:p>
    <w:p w:rsidR="00332269" w:rsidRDefault="00766FF2" w:rsidP="00766FF2">
      <w:pPr>
        <w:pStyle w:val="TAbodytext"/>
        <w:rPr>
          <w:rFonts w:cs="Arial"/>
        </w:rPr>
      </w:pPr>
      <w:r>
        <w:rPr>
          <w:rFonts w:cs="Arial"/>
        </w:rPr>
        <w:t>Comments received from the public and the National Capital Authority have been considered in the preparation of the final version of TA2019-02.</w:t>
      </w:r>
      <w:r w:rsidR="002A4325">
        <w:rPr>
          <w:rFonts w:cs="Arial"/>
        </w:rPr>
        <w:t xml:space="preserve"> No amendments were made to the final version after consultation. </w:t>
      </w:r>
    </w:p>
    <w:p w:rsidR="00332269" w:rsidRDefault="00F66A90" w:rsidP="00955E48">
      <w:pPr>
        <w:pStyle w:val="TAsectionheading3"/>
        <w:spacing w:before="360"/>
        <w:ind w:hanging="862"/>
      </w:pPr>
      <w:bookmarkStart w:id="18" w:name="_Toc390767272"/>
      <w:bookmarkStart w:id="19" w:name="_Toc469927022"/>
      <w:r>
        <w:t xml:space="preserve">  </w:t>
      </w:r>
      <w:bookmarkStart w:id="20" w:name="_Toc2597600"/>
      <w:r w:rsidR="00332269" w:rsidRPr="006A3135">
        <w:t>National</w:t>
      </w:r>
      <w:r w:rsidR="00332269">
        <w:t xml:space="preserve"> Capital Authority</w:t>
      </w:r>
      <w:bookmarkEnd w:id="16"/>
      <w:bookmarkEnd w:id="17"/>
      <w:bookmarkEnd w:id="18"/>
      <w:bookmarkEnd w:id="19"/>
      <w:bookmarkEnd w:id="20"/>
    </w:p>
    <w:p w:rsidR="00766FF2" w:rsidRDefault="00766FF2" w:rsidP="00766FF2">
      <w:pPr>
        <w:pStyle w:val="TAbodytext"/>
        <w:rPr>
          <w:rFonts w:cs="Arial"/>
        </w:rPr>
      </w:pPr>
      <w:r w:rsidRPr="00BD103B">
        <w:rPr>
          <w:rFonts w:cs="Arial"/>
        </w:rPr>
        <w:t>The N</w:t>
      </w:r>
      <w:r>
        <w:rPr>
          <w:rFonts w:cs="Arial"/>
        </w:rPr>
        <w:t xml:space="preserve">ational </w:t>
      </w:r>
      <w:r w:rsidRPr="00BD103B">
        <w:rPr>
          <w:rFonts w:cs="Arial"/>
        </w:rPr>
        <w:t>C</w:t>
      </w:r>
      <w:r>
        <w:rPr>
          <w:rFonts w:cs="Arial"/>
        </w:rPr>
        <w:t xml:space="preserve">apital </w:t>
      </w:r>
      <w:r w:rsidRPr="00BD103B">
        <w:rPr>
          <w:rFonts w:cs="Arial"/>
        </w:rPr>
        <w:t>A</w:t>
      </w:r>
      <w:r>
        <w:rPr>
          <w:rFonts w:cs="Arial"/>
        </w:rPr>
        <w:t>uthority were advised of TA2019-02</w:t>
      </w:r>
      <w:r w:rsidRPr="00BD103B">
        <w:rPr>
          <w:rFonts w:cs="Arial"/>
        </w:rPr>
        <w:t xml:space="preserve"> on 1</w:t>
      </w:r>
      <w:r>
        <w:rPr>
          <w:rFonts w:cs="Arial"/>
        </w:rPr>
        <w:t> February 2019</w:t>
      </w:r>
      <w:r w:rsidRPr="00BD103B">
        <w:rPr>
          <w:rFonts w:cs="Arial"/>
        </w:rPr>
        <w:t xml:space="preserve">. NCA comments are included at Appendix A (section 3) of </w:t>
      </w:r>
      <w:r>
        <w:rPr>
          <w:rFonts w:cs="Arial"/>
        </w:rPr>
        <w:t>the Report on Consultation.</w:t>
      </w:r>
    </w:p>
    <w:p w:rsidR="00DF2F0A" w:rsidRDefault="00DF2F0A" w:rsidP="00DF2F0A">
      <w:pPr>
        <w:pStyle w:val="TAsectionheading3"/>
        <w:spacing w:before="360"/>
        <w:ind w:hanging="862"/>
      </w:pPr>
      <w:bookmarkStart w:id="21" w:name="_Toc503957005"/>
      <w:r>
        <w:t xml:space="preserve">  </w:t>
      </w:r>
      <w:bookmarkStart w:id="22" w:name="_Toc2597601"/>
      <w:r>
        <w:t>Process</w:t>
      </w:r>
      <w:bookmarkEnd w:id="21"/>
      <w:bookmarkEnd w:id="22"/>
    </w:p>
    <w:p w:rsidR="00DF2F0A" w:rsidRDefault="00DF2F0A" w:rsidP="00DF2F0A">
      <w:pPr>
        <w:pStyle w:val="TAbodytext"/>
        <w:rPr>
          <w:rFonts w:cs="Arial"/>
        </w:rPr>
      </w:pPr>
      <w:r w:rsidRPr="002D304A">
        <w:t>This technical amendment has been prepared in accordance with section 87 of the</w:t>
      </w:r>
      <w:r w:rsidRPr="00190A42">
        <w:rPr>
          <w:rFonts w:cs="Arial"/>
        </w:rPr>
        <w:t xml:space="preserve"> </w:t>
      </w:r>
      <w:r>
        <w:rPr>
          <w:rFonts w:cs="Arial"/>
        </w:rPr>
        <w:t>Act.</w:t>
      </w:r>
    </w:p>
    <w:p w:rsidR="00DF2F0A" w:rsidRDefault="00DF2F0A" w:rsidP="00BB2ACE">
      <w:pPr>
        <w:pStyle w:val="TAbodytext"/>
      </w:pPr>
    </w:p>
    <w:p w:rsidR="00F90CAF" w:rsidRDefault="00F90CAF" w:rsidP="00BB2ACE">
      <w:pPr>
        <w:pStyle w:val="TAbodytext"/>
      </w:pPr>
    </w:p>
    <w:p w:rsidR="00F90CAF" w:rsidRDefault="00F90CAF" w:rsidP="00BB2ACE">
      <w:pPr>
        <w:pStyle w:val="TAbodytext"/>
      </w:pPr>
    </w:p>
    <w:p w:rsidR="00EA13A3" w:rsidRPr="00C0173E" w:rsidRDefault="00F66A90" w:rsidP="00622237">
      <w:pPr>
        <w:pStyle w:val="TAsectionheading3"/>
        <w:spacing w:before="480"/>
        <w:ind w:hanging="862"/>
      </w:pPr>
      <w:bookmarkStart w:id="23" w:name="_Toc390767274"/>
      <w:r>
        <w:t xml:space="preserve">  </w:t>
      </w:r>
      <w:bookmarkStart w:id="24" w:name="_Toc2597602"/>
      <w:r w:rsidR="00EA13A3" w:rsidRPr="00C0173E">
        <w:t>Types of technical amendments under the Act</w:t>
      </w:r>
      <w:bookmarkEnd w:id="23"/>
      <w:bookmarkEnd w:id="24"/>
    </w:p>
    <w:p w:rsidR="00EA13A3" w:rsidRPr="00FA5096" w:rsidRDefault="00EA13A3" w:rsidP="00EA13A3">
      <w:pPr>
        <w:pStyle w:val="TAbodytext"/>
      </w:pPr>
      <w:r w:rsidRPr="00FA5096">
        <w:t>The following categories of technical amendments are provided under section 87 of the Act:</w:t>
      </w:r>
    </w:p>
    <w:p w:rsidR="00EA13A3" w:rsidRPr="00FA5096" w:rsidRDefault="00EA13A3" w:rsidP="00110372">
      <w:pPr>
        <w:pStyle w:val="NoSpacing"/>
        <w:numPr>
          <w:ilvl w:val="0"/>
          <w:numId w:val="10"/>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 xml:space="preserve">a variation, other than one </w:t>
      </w:r>
      <w:r w:rsidR="00B902E4">
        <w:rPr>
          <w:rFonts w:ascii="Arial" w:hAnsi="Arial" w:cs="Arial"/>
          <w:sz w:val="24"/>
          <w:szCs w:val="24"/>
        </w:rPr>
        <w:t>to which subsection (2)</w:t>
      </w:r>
      <w:r w:rsidRPr="00FA5096">
        <w:rPr>
          <w:rFonts w:ascii="Arial" w:hAnsi="Arial" w:cs="Arial"/>
          <w:sz w:val="24"/>
          <w:szCs w:val="24"/>
        </w:rPr>
        <w:t>(d) applies, in relation to an estate development plan under section 96 (Effect of approval of estate development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rsidR="00EA13A3" w:rsidRPr="00FA5096" w:rsidRDefault="00EA13A3" w:rsidP="00110372">
      <w:pPr>
        <w:pStyle w:val="NoSpacing"/>
        <w:numPr>
          <w:ilvl w:val="0"/>
          <w:numId w:val="10"/>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rsidR="00EA13A3" w:rsidRPr="00FA5096" w:rsidRDefault="00EA13A3" w:rsidP="00110372">
      <w:pPr>
        <w:pStyle w:val="TAbodytext"/>
        <w:numPr>
          <w:ilvl w:val="0"/>
          <w:numId w:val="11"/>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would only change a code; and</w:t>
      </w:r>
    </w:p>
    <w:p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not an error variation;</w:t>
      </w:r>
    </w:p>
    <w:p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an estate development pl</w:t>
      </w:r>
      <w:r w:rsidR="00ED6824">
        <w:rPr>
          <w:rFonts w:cs="Arial"/>
        </w:rPr>
        <w:t xml:space="preserve">an under section 96 (Effect of </w:t>
      </w:r>
      <w:r w:rsidRPr="00FA5096">
        <w:rPr>
          <w:rFonts w:cs="Arial"/>
        </w:rPr>
        <w:t>approval of estate development plan) if it incorporates an ongoing provision that was not included in the plan under section 94 (3) (g);</w:t>
      </w:r>
    </w:p>
    <w:p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rsidR="00EA13A3" w:rsidRPr="00FA5096" w:rsidRDefault="00EA13A3" w:rsidP="00EA13A3">
      <w:pPr>
        <w:pStyle w:val="TAbodytext"/>
      </w:pPr>
      <w:r w:rsidRPr="00FA5096">
        <w:t>Following each item in Part 2 Explanation of this technical amendment is a statement of compliance against the specific criteria for the relevant category of technical amendment.</w:t>
      </w:r>
    </w:p>
    <w:p w:rsidR="00EA13A3" w:rsidRPr="0037251F" w:rsidRDefault="00EA13A3" w:rsidP="00EA13A3">
      <w:r w:rsidRPr="0037251F">
        <w:t>TA201</w:t>
      </w:r>
      <w:r w:rsidR="00472FF7">
        <w:t>9-02</w:t>
      </w:r>
      <w:r w:rsidRPr="0037251F">
        <w:t xml:space="preserve"> has been prepa</w:t>
      </w:r>
      <w:r w:rsidR="00C97DE4" w:rsidRPr="0037251F">
        <w:t xml:space="preserve">red in accordance with section </w:t>
      </w:r>
      <w:r w:rsidRPr="0037251F">
        <w:t>87(2)(a)</w:t>
      </w:r>
      <w:r w:rsidR="00A906C8">
        <w:t xml:space="preserve"> </w:t>
      </w:r>
      <w:r w:rsidRPr="0037251F">
        <w:t>of the Act.</w:t>
      </w:r>
    </w:p>
    <w:bookmarkEnd w:id="9"/>
    <w:p w:rsidR="001D04F6" w:rsidRPr="00BE441E" w:rsidRDefault="003E0DA3" w:rsidP="00F6463E">
      <w:pPr>
        <w:pStyle w:val="TAsectionheading"/>
      </w:pPr>
      <w:r>
        <w:br w:type="page"/>
      </w:r>
      <w:bookmarkStart w:id="25" w:name="_Toc254851537"/>
      <w:bookmarkStart w:id="26" w:name="_Toc469927024"/>
      <w:bookmarkStart w:id="27" w:name="_Toc2597603"/>
      <w:r w:rsidRPr="00BE441E">
        <w:t>EXPLANATORY STATEMENT</w:t>
      </w:r>
      <w:bookmarkEnd w:id="25"/>
      <w:bookmarkEnd w:id="26"/>
      <w:bookmarkEnd w:id="27"/>
    </w:p>
    <w:p w:rsidR="001D04F6" w:rsidRDefault="00F21489" w:rsidP="00D804CB">
      <w:pPr>
        <w:pStyle w:val="TAsectionheading3"/>
        <w:numPr>
          <w:ilvl w:val="2"/>
          <w:numId w:val="28"/>
        </w:numPr>
        <w:spacing w:before="360"/>
        <w:ind w:hanging="862"/>
      </w:pPr>
      <w:bookmarkStart w:id="28" w:name="_Toc254851538"/>
      <w:bookmarkStart w:id="29" w:name="_Toc469927025"/>
      <w:r>
        <w:t xml:space="preserve">  </w:t>
      </w:r>
      <w:bookmarkStart w:id="30" w:name="_Toc2597604"/>
      <w:r w:rsidR="003E0DA3">
        <w:t>Background</w:t>
      </w:r>
      <w:bookmarkEnd w:id="29"/>
      <w:bookmarkEnd w:id="30"/>
    </w:p>
    <w:p w:rsidR="000378E3" w:rsidRDefault="000B0E84" w:rsidP="000B0E84">
      <w:r w:rsidRPr="00FA5096">
        <w:t>This part of the technical amendment document explains the changes made to the Territory Plan, the reasons for the change, and a statement of compliance against the relevant section of the Act.</w:t>
      </w:r>
    </w:p>
    <w:p w:rsidR="00367D77" w:rsidRDefault="001C50E7" w:rsidP="00D804CB">
      <w:pPr>
        <w:pStyle w:val="TAsectionheading3"/>
        <w:numPr>
          <w:ilvl w:val="2"/>
          <w:numId w:val="28"/>
        </w:numPr>
        <w:spacing w:before="360"/>
        <w:ind w:hanging="862"/>
      </w:pPr>
      <w:r>
        <w:t xml:space="preserve">  </w:t>
      </w:r>
      <w:bookmarkStart w:id="31" w:name="_Toc2597605"/>
      <w:r w:rsidR="00DE50ED">
        <w:t>Variation to the</w:t>
      </w:r>
      <w:r w:rsidR="004F3D05">
        <w:t xml:space="preserve"> </w:t>
      </w:r>
      <w:r w:rsidR="000B551F">
        <w:t>Phillip Precinct Code</w:t>
      </w:r>
      <w:bookmarkEnd w:id="31"/>
    </w:p>
    <w:p w:rsidR="0072682A" w:rsidRDefault="0072682A" w:rsidP="00536352">
      <w:pPr>
        <w:pStyle w:val="TAbodytext"/>
        <w:rPr>
          <w:rFonts w:cs="Arial"/>
          <w:b/>
        </w:rPr>
      </w:pPr>
      <w:r>
        <w:rPr>
          <w:rFonts w:cs="Arial"/>
          <w:b/>
        </w:rPr>
        <w:t>2.2.1  Location Plan</w:t>
      </w:r>
    </w:p>
    <w:p w:rsidR="0072682A" w:rsidRDefault="0072682A" w:rsidP="00536352">
      <w:pPr>
        <w:pStyle w:val="TAbodytext"/>
        <w:rPr>
          <w:rFonts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3.5pt;height:497.25pt">
            <v:imagedata r:id="rId16" o:title="Phillip - location map"/>
          </v:shape>
        </w:pict>
      </w:r>
    </w:p>
    <w:p w:rsidR="0072682A" w:rsidRDefault="0072682A" w:rsidP="00536352">
      <w:pPr>
        <w:pStyle w:val="TAbodytext"/>
        <w:rPr>
          <w:rFonts w:cs="Arial"/>
          <w:b/>
        </w:rPr>
      </w:pPr>
    </w:p>
    <w:p w:rsidR="00536352" w:rsidRPr="00536352" w:rsidRDefault="00536352" w:rsidP="00536352">
      <w:pPr>
        <w:pStyle w:val="TAbodytext"/>
        <w:rPr>
          <w:rFonts w:cs="Arial"/>
          <w:b/>
        </w:rPr>
      </w:pPr>
      <w:r w:rsidRPr="00536352">
        <w:rPr>
          <w:rFonts w:cs="Arial"/>
          <w:b/>
        </w:rPr>
        <w:t>2.2.2  Rule R1</w:t>
      </w:r>
      <w:r>
        <w:rPr>
          <w:rFonts w:cs="Arial"/>
          <w:b/>
        </w:rPr>
        <w:t>6 and Criterion C16</w:t>
      </w:r>
    </w:p>
    <w:p w:rsidR="00536352" w:rsidRDefault="00536352" w:rsidP="00536352">
      <w:pPr>
        <w:pStyle w:val="TAbodytext"/>
      </w:pPr>
      <w:r>
        <w:t>Variation to the Territory Plan No. 344 Woden town centre (V344) introduced amendments to the Phillip precinct map and code, and zone changes to the Territory Plan map from th</w:t>
      </w:r>
      <w:r w:rsidR="0072682A">
        <w:t>e recommendations of the Woden Town Centre Master P</w:t>
      </w:r>
      <w:r>
        <w:t>lan.</w:t>
      </w:r>
    </w:p>
    <w:p w:rsidR="0072682A" w:rsidRDefault="0072682A" w:rsidP="00536352">
      <w:pPr>
        <w:pStyle w:val="TAbodytext"/>
      </w:pPr>
      <w:r>
        <w:t>V344 and the Woden Town Centre Master Plan are available at:</w:t>
      </w:r>
    </w:p>
    <w:p w:rsidR="0072682A" w:rsidRDefault="0072682A" w:rsidP="00536352">
      <w:pPr>
        <w:pStyle w:val="TAbodytext"/>
      </w:pPr>
      <w:hyperlink r:id="rId17" w:history="1">
        <w:r w:rsidRPr="00AA7F42">
          <w:rPr>
            <w:rStyle w:val="Hyperlink"/>
          </w:rPr>
          <w:t>https://www.planning.act.gov.au/tools_resources/plans-registers/plans/master_plans/woden_and_mawson_master_plans</w:t>
        </w:r>
      </w:hyperlink>
    </w:p>
    <w:p w:rsidR="0072682A" w:rsidRDefault="0072682A" w:rsidP="00890965">
      <w:pPr>
        <w:pStyle w:val="TAbodytext"/>
        <w:spacing w:after="240"/>
      </w:pPr>
      <w:hyperlink r:id="rId18" w:history="1">
        <w:r w:rsidRPr="00AA7F42">
          <w:rPr>
            <w:rStyle w:val="Hyperlink"/>
          </w:rPr>
          <w:t>https://www.planning.act.gov.au/tools_resources/plans-registers/plans/territory_plan/approved_variations</w:t>
        </w:r>
      </w:hyperlink>
    </w:p>
    <w:p w:rsidR="00536352" w:rsidRDefault="00536352" w:rsidP="00890965">
      <w:pPr>
        <w:pStyle w:val="TAbodytext"/>
        <w:spacing w:before="120"/>
      </w:pPr>
      <w:r>
        <w:t>A review of the operation of the a</w:t>
      </w:r>
      <w:r w:rsidR="00890965">
        <w:t>mended Phillip precinct code</w:t>
      </w:r>
      <w:r>
        <w:t xml:space="preserve"> identified departures from the master plan recommendations that </w:t>
      </w:r>
      <w:r w:rsidR="00083358">
        <w:t xml:space="preserve">would </w:t>
      </w:r>
      <w:r>
        <w:t>result in adverse outcomes for development in the CZ3 commercial services zone.</w:t>
      </w:r>
    </w:p>
    <w:p w:rsidR="00536352" w:rsidRPr="00536352" w:rsidRDefault="00536352" w:rsidP="00894061">
      <w:pPr>
        <w:pStyle w:val="TAbodytext"/>
      </w:pPr>
      <w:r>
        <w:t>The previous version of the Phillip precinct code contained a rule R10 and criterion C10 that permitted five storey development on corner blocks fronting Townshend Street. The Woden town centre master plan recommended amending th</w:t>
      </w:r>
      <w:r w:rsidR="00383C9D">
        <w:t>is requirement</w:t>
      </w:r>
      <w:r>
        <w:t xml:space="preserve"> by </w:t>
      </w:r>
      <w:r w:rsidR="00383C9D">
        <w:t>permitting five storeys</w:t>
      </w:r>
      <w:r>
        <w:t xml:space="preserve"> along Townshend Street, Colbee Court or Dundas Court</w:t>
      </w:r>
      <w:r w:rsidR="002B1058">
        <w:t>.</w:t>
      </w:r>
    </w:p>
    <w:p w:rsidR="00536352" w:rsidRDefault="00383C9D" w:rsidP="00894061">
      <w:pPr>
        <w:pStyle w:val="TAbodytext"/>
      </w:pPr>
      <w:r>
        <w:t>This extension of the fifth storey height allowance was not correctly transcribed into the precinct code introduced with V344, which retained the restriction on only allowing fifth storey elements where development addressed both Townshend Street and Colbee Court or Dundas Court.</w:t>
      </w:r>
    </w:p>
    <w:p w:rsidR="002B1058" w:rsidRDefault="00890965" w:rsidP="00894061">
      <w:pPr>
        <w:pStyle w:val="TAbodytext"/>
      </w:pPr>
      <w:r>
        <w:t>The</w:t>
      </w:r>
      <w:r w:rsidR="002B1058">
        <w:t xml:space="preserve"> wording of criterion C16</w:t>
      </w:r>
      <w:r>
        <w:t xml:space="preserve"> is amended</w:t>
      </w:r>
      <w:r w:rsidR="002B1058">
        <w:t xml:space="preserve"> to permit five storey elements along either Townshend Street, Colbee Court or Dundas Court, correctly reflecting the master plan </w:t>
      </w:r>
      <w:r w:rsidR="00083358">
        <w:t>recommendation. The three metre</w:t>
      </w:r>
      <w:r w:rsidR="002B1058">
        <w:t xml:space="preserve"> setback for five storey elements will remain applicable for each street</w:t>
      </w:r>
      <w:r w:rsidR="00911974">
        <w:t xml:space="preserve"> frontage</w:t>
      </w:r>
      <w:r w:rsidR="002B1058">
        <w:t>.</w:t>
      </w:r>
    </w:p>
    <w:p w:rsidR="00E545F3" w:rsidRPr="00536352" w:rsidRDefault="00E545F3" w:rsidP="00894061">
      <w:pPr>
        <w:pStyle w:val="TAbodytext"/>
      </w:pPr>
      <w:r>
        <w:t>In addition, minor edits are included to clarify that the reference to storeys within the rule and criterion is the defined term as described in the Territory Plan definitions.</w:t>
      </w:r>
    </w:p>
    <w:p w:rsidR="002B1058" w:rsidRPr="00536352" w:rsidRDefault="002B1058" w:rsidP="002B1058">
      <w:pPr>
        <w:pStyle w:val="TAbodytext"/>
        <w:rPr>
          <w:rFonts w:cs="Arial"/>
          <w:i/>
        </w:rPr>
      </w:pPr>
      <w:r w:rsidRPr="00536352">
        <w:rPr>
          <w:rFonts w:cs="Arial"/>
        </w:rPr>
        <w:t>Existing rule (text to be changed underlined)</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B1058" w:rsidRPr="006D4030" w:rsidTr="00095AB2">
        <w:tc>
          <w:tcPr>
            <w:tcW w:w="4621" w:type="dxa"/>
            <w:shd w:val="clear" w:color="auto" w:fill="FFFFFF"/>
          </w:tcPr>
          <w:p w:rsidR="002B1058" w:rsidRPr="006D4030" w:rsidRDefault="002B1058" w:rsidP="00095AB2">
            <w:pPr>
              <w:pStyle w:val="RuleList"/>
              <w:numPr>
                <w:ilvl w:val="0"/>
                <w:numId w:val="0"/>
              </w:numPr>
              <w:ind w:left="34"/>
              <w:rPr>
                <w:color w:val="000000"/>
              </w:rPr>
            </w:pPr>
            <w:r>
              <w:rPr>
                <w:color w:val="000000"/>
              </w:rPr>
              <w:t>R16</w:t>
            </w:r>
          </w:p>
          <w:p w:rsidR="002B1058" w:rsidRDefault="002B1058" w:rsidP="00095AB2">
            <w:pPr>
              <w:pStyle w:val="RuleList"/>
              <w:numPr>
                <w:ilvl w:val="1"/>
                <w:numId w:val="14"/>
              </w:numPr>
            </w:pPr>
            <w:r w:rsidRPr="002F7D6B">
              <w:t>This</w:t>
            </w:r>
            <w:r>
              <w:t xml:space="preserve"> rule applies to CZ3.</w:t>
            </w:r>
          </w:p>
          <w:p w:rsidR="002B1058" w:rsidRDefault="002B1058" w:rsidP="00095AB2">
            <w:pPr>
              <w:pStyle w:val="RuleList"/>
              <w:numPr>
                <w:ilvl w:val="1"/>
                <w:numId w:val="14"/>
              </w:numPr>
              <w:rPr>
                <w:rFonts w:ascii="ArialMT" w:hAnsi="ArialMT" w:cs="ArialMT"/>
              </w:rPr>
            </w:pPr>
            <w:r>
              <w:rPr>
                <w:rFonts w:ascii="ArialMT" w:hAnsi="ArialMT" w:cs="ArialMT"/>
              </w:rPr>
              <w:t xml:space="preserve">The </w:t>
            </w:r>
            <w:r w:rsidRPr="00700491">
              <w:t>maximum</w:t>
            </w:r>
            <w:r>
              <w:rPr>
                <w:rFonts w:ascii="ArialMT" w:hAnsi="ArialMT" w:cs="ArialMT"/>
              </w:rPr>
              <w:t xml:space="preserve"> </w:t>
            </w:r>
            <w:r>
              <w:rPr>
                <w:rFonts w:ascii="Arial-ItalicMT" w:hAnsi="Arial-ItalicMT" w:cs="Arial-ItalicMT"/>
                <w:i/>
                <w:iCs/>
              </w:rPr>
              <w:t xml:space="preserve">height of building </w:t>
            </w:r>
            <w:r>
              <w:rPr>
                <w:rFonts w:ascii="ArialMT" w:hAnsi="ArialMT" w:cs="ArialMT"/>
              </w:rPr>
              <w:t xml:space="preserve">for area ‘e’ and area ‘f’ shown in figure 2 is four </w:t>
            </w:r>
            <w:r w:rsidRPr="005462CF">
              <w:rPr>
                <w:rFonts w:ascii="ArialMT" w:hAnsi="ArialMT" w:cs="ArialMT"/>
                <w:u w:val="single"/>
              </w:rPr>
              <w:t>storeys:</w:t>
            </w:r>
            <w:r>
              <w:rPr>
                <w:rFonts w:ascii="ArialMT" w:hAnsi="ArialMT" w:cs="ArialMT"/>
              </w:rPr>
              <w:t xml:space="preserve"> </w:t>
            </w:r>
          </w:p>
          <w:p w:rsidR="002B1058" w:rsidRPr="007B4B84" w:rsidRDefault="002B1058" w:rsidP="00095AB2">
            <w:pPr>
              <w:pStyle w:val="RuleList"/>
              <w:numPr>
                <w:ilvl w:val="2"/>
                <w:numId w:val="14"/>
              </w:numPr>
              <w:rPr>
                <w:color w:val="000000"/>
                <w:u w:val="single"/>
              </w:rPr>
            </w:pPr>
            <w:r>
              <w:rPr>
                <w:rFonts w:ascii="ArialMT" w:hAnsi="ArialMT" w:cs="ArialMT"/>
              </w:rPr>
              <w:t xml:space="preserve">Plant room set back a minimum of 3m from the building facade of the floor immediately below is not included in the number of </w:t>
            </w:r>
            <w:r w:rsidRPr="005462CF">
              <w:rPr>
                <w:rFonts w:ascii="ArialMT" w:hAnsi="ArialMT" w:cs="ArialMT"/>
                <w:u w:val="single"/>
              </w:rPr>
              <w:t>storeys</w:t>
            </w:r>
            <w:r>
              <w:rPr>
                <w:rFonts w:ascii="ArialMT" w:hAnsi="ArialMT" w:cs="ArialMT"/>
              </w:rPr>
              <w:t>.</w:t>
            </w:r>
          </w:p>
        </w:tc>
        <w:tc>
          <w:tcPr>
            <w:tcW w:w="4622" w:type="dxa"/>
            <w:shd w:val="clear" w:color="auto" w:fill="FFFFFF"/>
          </w:tcPr>
          <w:p w:rsidR="002B1058" w:rsidRDefault="002B1058" w:rsidP="00095AB2">
            <w:pPr>
              <w:pStyle w:val="CritList"/>
            </w:pPr>
          </w:p>
          <w:p w:rsidR="002B1058" w:rsidRDefault="002B1058" w:rsidP="00095AB2">
            <w:pPr>
              <w:pStyle w:val="CritList"/>
              <w:numPr>
                <w:ilvl w:val="1"/>
                <w:numId w:val="13"/>
              </w:numPr>
              <w:rPr>
                <w:rFonts w:ascii="ArialMT" w:hAnsi="ArialMT" w:cs="ArialMT"/>
              </w:rPr>
            </w:pPr>
            <w:r>
              <w:rPr>
                <w:rFonts w:ascii="ArialMT" w:hAnsi="ArialMT" w:cs="ArialMT"/>
              </w:rPr>
              <w:t xml:space="preserve">In </w:t>
            </w:r>
            <w:r w:rsidRPr="002F7D6B">
              <w:t>area</w:t>
            </w:r>
            <w:r>
              <w:rPr>
                <w:rFonts w:ascii="ArialMT" w:hAnsi="ArialMT" w:cs="ArialMT"/>
              </w:rPr>
              <w:t xml:space="preserve"> ‘e’:</w:t>
            </w:r>
          </w:p>
          <w:p w:rsidR="002B1058" w:rsidRDefault="002B1058" w:rsidP="00095AB2">
            <w:pPr>
              <w:pStyle w:val="CritList"/>
              <w:numPr>
                <w:ilvl w:val="2"/>
                <w:numId w:val="13"/>
              </w:numPr>
              <w:rPr>
                <w:rFonts w:ascii="ArialMT" w:hAnsi="ArialMT" w:cs="ArialMT"/>
              </w:rPr>
            </w:pPr>
            <w:r>
              <w:rPr>
                <w:rFonts w:ascii="ArialMT" w:hAnsi="ArialMT" w:cs="ArialMT"/>
              </w:rPr>
              <w:t xml:space="preserve">five </w:t>
            </w:r>
            <w:r w:rsidRPr="005462CF">
              <w:rPr>
                <w:u w:val="single"/>
              </w:rPr>
              <w:t>storeys</w:t>
            </w:r>
            <w:r>
              <w:rPr>
                <w:rFonts w:ascii="ArialMT" w:hAnsi="ArialMT" w:cs="ArialMT"/>
              </w:rPr>
              <w:t xml:space="preserve"> is permitted where development complies with all of the following:</w:t>
            </w:r>
          </w:p>
          <w:p w:rsidR="002B1058" w:rsidRDefault="002B1058" w:rsidP="00095AB2">
            <w:pPr>
              <w:pStyle w:val="CritList"/>
              <w:numPr>
                <w:ilvl w:val="3"/>
                <w:numId w:val="13"/>
              </w:numPr>
              <w:rPr>
                <w:rFonts w:ascii="ArialMT" w:hAnsi="ArialMT" w:cs="ArialMT"/>
              </w:rPr>
            </w:pPr>
            <w:r w:rsidRPr="002F7D6B">
              <w:t>development</w:t>
            </w:r>
            <w:r>
              <w:rPr>
                <w:rFonts w:ascii="ArialMT" w:hAnsi="ArialMT" w:cs="ArialMT"/>
              </w:rPr>
              <w:t xml:space="preserve"> fronts on to Townshend Street, </w:t>
            </w:r>
            <w:r w:rsidRPr="005462CF">
              <w:rPr>
                <w:rFonts w:ascii="ArialMT" w:hAnsi="ArialMT" w:cs="ArialMT"/>
                <w:u w:val="single"/>
              </w:rPr>
              <w:t>and either</w:t>
            </w:r>
            <w:r>
              <w:rPr>
                <w:rFonts w:ascii="ArialMT" w:hAnsi="ArialMT" w:cs="ArialMT"/>
              </w:rPr>
              <w:t xml:space="preserve"> Colbee Court or Dundas Court</w:t>
            </w:r>
          </w:p>
          <w:p w:rsidR="002B1058" w:rsidRDefault="002B1058" w:rsidP="00095AB2">
            <w:pPr>
              <w:pStyle w:val="CritList"/>
              <w:numPr>
                <w:ilvl w:val="3"/>
                <w:numId w:val="13"/>
              </w:numPr>
              <w:rPr>
                <w:rFonts w:ascii="ArialMT" w:hAnsi="ArialMT" w:cs="ArialMT"/>
              </w:rPr>
            </w:pPr>
            <w:r>
              <w:rPr>
                <w:rFonts w:ascii="ArialMT" w:hAnsi="ArialMT" w:cs="ArialMT"/>
              </w:rPr>
              <w:t xml:space="preserve">the </w:t>
            </w:r>
            <w:r w:rsidRPr="002F7D6B">
              <w:t>fifth</w:t>
            </w:r>
            <w:r>
              <w:rPr>
                <w:rFonts w:ascii="ArialMT" w:hAnsi="ArialMT" w:cs="ArialMT"/>
              </w:rPr>
              <w:t xml:space="preserve"> </w:t>
            </w:r>
            <w:r w:rsidRPr="005462CF">
              <w:rPr>
                <w:u w:val="single"/>
              </w:rPr>
              <w:t>storey</w:t>
            </w:r>
            <w:r>
              <w:rPr>
                <w:rFonts w:ascii="ArialMT" w:hAnsi="ArialMT" w:cs="ArialMT"/>
              </w:rPr>
              <w:t xml:space="preserve"> is setback a minimum of 3 metres from the front boundary</w:t>
            </w:r>
          </w:p>
          <w:p w:rsidR="002B1058" w:rsidRDefault="002B1058" w:rsidP="00095AB2">
            <w:pPr>
              <w:pStyle w:val="CritList"/>
              <w:numPr>
                <w:ilvl w:val="2"/>
                <w:numId w:val="13"/>
              </w:numPr>
              <w:rPr>
                <w:rFonts w:ascii="ArialMT" w:hAnsi="ArialMT" w:cs="ArialMT"/>
              </w:rPr>
            </w:pPr>
            <w:r>
              <w:rPr>
                <w:rFonts w:ascii="ArialMT" w:hAnsi="ArialMT" w:cs="ArialMT"/>
              </w:rPr>
              <w:t xml:space="preserve">six </w:t>
            </w:r>
            <w:r w:rsidRPr="005462CF">
              <w:rPr>
                <w:u w:val="single"/>
              </w:rPr>
              <w:t>storeys</w:t>
            </w:r>
            <w:r>
              <w:rPr>
                <w:rFonts w:ascii="ArialMT" w:hAnsi="ArialMT" w:cs="ArialMT"/>
              </w:rPr>
              <w:t xml:space="preserve"> is permitted for development facing Altree Court.</w:t>
            </w:r>
          </w:p>
          <w:p w:rsidR="002B1058" w:rsidRPr="006D4030" w:rsidRDefault="002B1058" w:rsidP="00095AB2">
            <w:pPr>
              <w:pStyle w:val="CritList"/>
              <w:numPr>
                <w:ilvl w:val="1"/>
                <w:numId w:val="13"/>
              </w:numPr>
            </w:pPr>
            <w:r>
              <w:rPr>
                <w:rFonts w:ascii="ArialMT" w:hAnsi="ArialMT" w:cs="ArialMT"/>
              </w:rPr>
              <w:t xml:space="preserve">Plant room set back a minimum of 3m from the building facade of the floor immediately below is not included in the number of </w:t>
            </w:r>
            <w:r w:rsidRPr="005462CF">
              <w:rPr>
                <w:rFonts w:ascii="ArialMT" w:hAnsi="ArialMT" w:cs="ArialMT"/>
                <w:u w:val="single"/>
              </w:rPr>
              <w:t>storeys</w:t>
            </w:r>
            <w:r>
              <w:rPr>
                <w:rFonts w:ascii="ArialMT" w:hAnsi="ArialMT" w:cs="ArialMT"/>
              </w:rPr>
              <w:t>.</w:t>
            </w:r>
          </w:p>
        </w:tc>
      </w:tr>
    </w:tbl>
    <w:p w:rsidR="00642732" w:rsidRDefault="00642732" w:rsidP="002B1058">
      <w:pPr>
        <w:pStyle w:val="TAbodytext"/>
      </w:pPr>
    </w:p>
    <w:p w:rsidR="002B1058" w:rsidRPr="00536352" w:rsidRDefault="002B1058" w:rsidP="002B1058">
      <w:pPr>
        <w:pStyle w:val="TAbodytext"/>
      </w:pPr>
      <w:r w:rsidRPr="00536352">
        <w:t>Proposed rule (see underlined text)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B1058" w:rsidRPr="006D4030" w:rsidTr="00095AB2">
        <w:tc>
          <w:tcPr>
            <w:tcW w:w="4621" w:type="dxa"/>
            <w:shd w:val="clear" w:color="auto" w:fill="FFFFFF"/>
          </w:tcPr>
          <w:p w:rsidR="002B1058" w:rsidRPr="006D4030" w:rsidRDefault="002B1058" w:rsidP="00095AB2">
            <w:pPr>
              <w:pStyle w:val="RuleList"/>
              <w:numPr>
                <w:ilvl w:val="0"/>
                <w:numId w:val="0"/>
              </w:numPr>
              <w:ind w:left="34"/>
              <w:rPr>
                <w:color w:val="000000"/>
              </w:rPr>
            </w:pPr>
            <w:r>
              <w:rPr>
                <w:color w:val="000000"/>
              </w:rPr>
              <w:t>R16</w:t>
            </w:r>
          </w:p>
          <w:p w:rsidR="002B1058" w:rsidRDefault="002B1058" w:rsidP="00095AB2">
            <w:pPr>
              <w:pStyle w:val="RuleList"/>
              <w:numPr>
                <w:ilvl w:val="1"/>
                <w:numId w:val="14"/>
              </w:numPr>
            </w:pPr>
            <w:r w:rsidRPr="002F7D6B">
              <w:t>This</w:t>
            </w:r>
            <w:r>
              <w:t xml:space="preserve"> rule applies to CZ3.</w:t>
            </w:r>
          </w:p>
          <w:p w:rsidR="002B1058" w:rsidRDefault="002B1058" w:rsidP="00095AB2">
            <w:pPr>
              <w:pStyle w:val="RuleList"/>
              <w:numPr>
                <w:ilvl w:val="1"/>
                <w:numId w:val="14"/>
              </w:numPr>
              <w:rPr>
                <w:rFonts w:ascii="ArialMT" w:hAnsi="ArialMT" w:cs="ArialMT"/>
              </w:rPr>
            </w:pPr>
            <w:r>
              <w:rPr>
                <w:rFonts w:ascii="ArialMT" w:hAnsi="ArialMT" w:cs="ArialMT"/>
              </w:rPr>
              <w:t xml:space="preserve">The </w:t>
            </w:r>
            <w:r w:rsidRPr="00700491">
              <w:t>maximum</w:t>
            </w:r>
            <w:r>
              <w:rPr>
                <w:rFonts w:ascii="ArialMT" w:hAnsi="ArialMT" w:cs="ArialMT"/>
              </w:rPr>
              <w:t xml:space="preserve"> </w:t>
            </w:r>
            <w:r>
              <w:rPr>
                <w:rFonts w:ascii="Arial-ItalicMT" w:hAnsi="Arial-ItalicMT" w:cs="Arial-ItalicMT"/>
                <w:i/>
                <w:iCs/>
              </w:rPr>
              <w:t xml:space="preserve">height of building </w:t>
            </w:r>
            <w:r>
              <w:rPr>
                <w:rFonts w:ascii="ArialMT" w:hAnsi="ArialMT" w:cs="ArialMT"/>
              </w:rPr>
              <w:t xml:space="preserve">for area ‘e’ and area ‘f’ shown in figure 2 is four </w:t>
            </w:r>
            <w:r w:rsidRPr="005462CF">
              <w:rPr>
                <w:rFonts w:ascii="ArialMT" w:hAnsi="ArialMT" w:cs="ArialMT"/>
                <w:i/>
                <w:u w:val="single"/>
              </w:rPr>
              <w:t>storeys</w:t>
            </w:r>
            <w:r w:rsidRPr="005462CF">
              <w:rPr>
                <w:rFonts w:ascii="ArialMT" w:hAnsi="ArialMT" w:cs="ArialMT"/>
              </w:rPr>
              <w:t>.</w:t>
            </w:r>
          </w:p>
          <w:p w:rsidR="002B1058" w:rsidRPr="007B4B84" w:rsidRDefault="002B1058" w:rsidP="00E44D7D">
            <w:pPr>
              <w:pStyle w:val="RuleList"/>
              <w:numPr>
                <w:ilvl w:val="0"/>
                <w:numId w:val="0"/>
              </w:numPr>
              <w:ind w:left="34"/>
              <w:rPr>
                <w:color w:val="000000"/>
                <w:u w:val="single"/>
              </w:rPr>
            </w:pPr>
            <w:r>
              <w:rPr>
                <w:rFonts w:ascii="ArialMT" w:hAnsi="ArialMT" w:cs="ArialMT"/>
              </w:rPr>
              <w:t xml:space="preserve">Plant room set back a minimum of 3m from the building facade of the floor immediately below is not included in the number of </w:t>
            </w:r>
            <w:r w:rsidRPr="005462CF">
              <w:rPr>
                <w:rFonts w:ascii="ArialMT" w:hAnsi="ArialMT" w:cs="ArialMT"/>
                <w:i/>
                <w:u w:val="single"/>
              </w:rPr>
              <w:t>storeys</w:t>
            </w:r>
            <w:r>
              <w:rPr>
                <w:rFonts w:ascii="ArialMT" w:hAnsi="ArialMT" w:cs="ArialMT"/>
              </w:rPr>
              <w:t>.</w:t>
            </w:r>
          </w:p>
        </w:tc>
        <w:tc>
          <w:tcPr>
            <w:tcW w:w="4622" w:type="dxa"/>
            <w:shd w:val="clear" w:color="auto" w:fill="FFFFFF"/>
          </w:tcPr>
          <w:p w:rsidR="002B1058" w:rsidRPr="00700491" w:rsidRDefault="002B1058" w:rsidP="00095AB2">
            <w:pPr>
              <w:pStyle w:val="CritList"/>
              <w:numPr>
                <w:ilvl w:val="0"/>
                <w:numId w:val="0"/>
              </w:numPr>
            </w:pPr>
            <w:r w:rsidRPr="00700491">
              <w:t>C16</w:t>
            </w:r>
          </w:p>
          <w:p w:rsidR="002B1058" w:rsidRDefault="002B1058" w:rsidP="00095AB2">
            <w:pPr>
              <w:pStyle w:val="CritList"/>
              <w:numPr>
                <w:ilvl w:val="1"/>
                <w:numId w:val="13"/>
              </w:numPr>
            </w:pPr>
            <w:r>
              <w:t xml:space="preserve">In </w:t>
            </w:r>
            <w:r w:rsidRPr="002F7D6B">
              <w:t>area</w:t>
            </w:r>
            <w:r>
              <w:t xml:space="preserve"> ‘e’:</w:t>
            </w:r>
          </w:p>
          <w:p w:rsidR="002B1058" w:rsidRDefault="002B1058" w:rsidP="00095AB2">
            <w:pPr>
              <w:pStyle w:val="CritList"/>
              <w:numPr>
                <w:ilvl w:val="2"/>
                <w:numId w:val="13"/>
              </w:numPr>
            </w:pPr>
            <w:r>
              <w:t xml:space="preserve">five </w:t>
            </w:r>
            <w:r w:rsidRPr="005462CF">
              <w:rPr>
                <w:i/>
                <w:color w:val="auto"/>
                <w:u w:val="single"/>
              </w:rPr>
              <w:t>storeys</w:t>
            </w:r>
            <w:r w:rsidRPr="005462CF">
              <w:rPr>
                <w:color w:val="auto"/>
              </w:rPr>
              <w:t xml:space="preserve"> </w:t>
            </w:r>
            <w:r>
              <w:t>is permitted where development complies with all of the following:</w:t>
            </w:r>
          </w:p>
          <w:p w:rsidR="002B1058" w:rsidRDefault="002B1058" w:rsidP="00095AB2">
            <w:pPr>
              <w:pStyle w:val="CritList"/>
              <w:numPr>
                <w:ilvl w:val="3"/>
                <w:numId w:val="13"/>
              </w:numPr>
            </w:pPr>
            <w:r w:rsidRPr="002F7D6B">
              <w:t>development</w:t>
            </w:r>
            <w:r>
              <w:t xml:space="preserve"> fronts on to </w:t>
            </w:r>
            <w:r w:rsidRPr="005462CF">
              <w:rPr>
                <w:color w:val="auto"/>
                <w:u w:val="single"/>
              </w:rPr>
              <w:t xml:space="preserve">either </w:t>
            </w:r>
            <w:r>
              <w:t xml:space="preserve">Townshend Street, </w:t>
            </w:r>
            <w:r w:rsidRPr="005462CF">
              <w:rPr>
                <w:strike/>
                <w:color w:val="auto"/>
                <w:u w:val="single"/>
              </w:rPr>
              <w:t>and either</w:t>
            </w:r>
            <w:r w:rsidRPr="005462CF">
              <w:rPr>
                <w:color w:val="auto"/>
              </w:rPr>
              <w:t xml:space="preserve"> C</w:t>
            </w:r>
            <w:r>
              <w:t>olbee Court or Dundas Court</w:t>
            </w:r>
          </w:p>
          <w:p w:rsidR="002B1058" w:rsidRDefault="002B1058" w:rsidP="00095AB2">
            <w:pPr>
              <w:pStyle w:val="CritList"/>
              <w:numPr>
                <w:ilvl w:val="3"/>
                <w:numId w:val="13"/>
              </w:numPr>
            </w:pPr>
            <w:r>
              <w:t xml:space="preserve">the </w:t>
            </w:r>
            <w:r w:rsidRPr="002F7D6B">
              <w:t>fifth</w:t>
            </w:r>
            <w:r>
              <w:t xml:space="preserve"> </w:t>
            </w:r>
            <w:r w:rsidRPr="005462CF">
              <w:rPr>
                <w:i/>
                <w:color w:val="auto"/>
                <w:u w:val="single"/>
              </w:rPr>
              <w:t>storey</w:t>
            </w:r>
            <w:r>
              <w:t xml:space="preserve"> is setback a minimum of 3 metres from the front boundary</w:t>
            </w:r>
          </w:p>
          <w:p w:rsidR="002B1058" w:rsidRDefault="002B1058" w:rsidP="00095AB2">
            <w:pPr>
              <w:pStyle w:val="CritList"/>
              <w:numPr>
                <w:ilvl w:val="2"/>
                <w:numId w:val="13"/>
              </w:numPr>
            </w:pPr>
            <w:r>
              <w:t xml:space="preserve">six </w:t>
            </w:r>
            <w:r w:rsidRPr="005462CF">
              <w:rPr>
                <w:i/>
                <w:color w:val="auto"/>
                <w:u w:val="single"/>
              </w:rPr>
              <w:t>storeys</w:t>
            </w:r>
            <w:r>
              <w:t xml:space="preserve"> is permitted for development facing Altree Court.</w:t>
            </w:r>
          </w:p>
          <w:p w:rsidR="002B1058" w:rsidRPr="006D4030" w:rsidRDefault="002B1058" w:rsidP="00095AB2">
            <w:pPr>
              <w:pStyle w:val="CritList"/>
              <w:numPr>
                <w:ilvl w:val="1"/>
                <w:numId w:val="13"/>
              </w:numPr>
            </w:pPr>
            <w:r>
              <w:rPr>
                <w:rFonts w:ascii="ArialMT" w:hAnsi="ArialMT" w:cs="ArialMT"/>
              </w:rPr>
              <w:t xml:space="preserve">Plant room set back a minimum of 3m from the building facade of the floor immediately below is not included in the number of </w:t>
            </w:r>
            <w:r w:rsidRPr="005462CF">
              <w:rPr>
                <w:rFonts w:ascii="ArialMT" w:hAnsi="ArialMT" w:cs="ArialMT"/>
                <w:i/>
                <w:color w:val="auto"/>
                <w:u w:val="single"/>
              </w:rPr>
              <w:t>storeys</w:t>
            </w:r>
            <w:r>
              <w:rPr>
                <w:rFonts w:ascii="ArialMT" w:hAnsi="ArialMT" w:cs="ArialMT"/>
              </w:rPr>
              <w:t>.</w:t>
            </w:r>
          </w:p>
        </w:tc>
      </w:tr>
    </w:tbl>
    <w:p w:rsidR="00536352" w:rsidRDefault="00536352" w:rsidP="00894061">
      <w:pPr>
        <w:pStyle w:val="TAbodytext"/>
      </w:pPr>
    </w:p>
    <w:p w:rsidR="00622237" w:rsidRPr="00F21489" w:rsidRDefault="00622237" w:rsidP="00622237">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622237" w:rsidRPr="00F03116" w:rsidTr="00095AB2">
        <w:trPr>
          <w:trHeight w:val="279"/>
        </w:trPr>
        <w:tc>
          <w:tcPr>
            <w:tcW w:w="4820" w:type="dxa"/>
          </w:tcPr>
          <w:p w:rsidR="00622237" w:rsidRPr="00F03116" w:rsidRDefault="00622237" w:rsidP="00095AB2">
            <w:pPr>
              <w:pStyle w:val="TAbody"/>
              <w:rPr>
                <w:b/>
                <w:sz w:val="22"/>
                <w:szCs w:val="22"/>
                <w:lang w:val="en-AU"/>
              </w:rPr>
            </w:pPr>
            <w:r w:rsidRPr="00F03116">
              <w:rPr>
                <w:b/>
                <w:sz w:val="22"/>
                <w:szCs w:val="22"/>
                <w:lang w:val="en-AU"/>
              </w:rPr>
              <w:t>Section</w:t>
            </w:r>
          </w:p>
        </w:tc>
        <w:tc>
          <w:tcPr>
            <w:tcW w:w="4479" w:type="dxa"/>
          </w:tcPr>
          <w:p w:rsidR="00622237" w:rsidRPr="00F03116" w:rsidRDefault="00622237" w:rsidP="00095AB2">
            <w:pPr>
              <w:pStyle w:val="TAbody"/>
              <w:rPr>
                <w:b/>
                <w:sz w:val="22"/>
                <w:szCs w:val="22"/>
                <w:lang w:val="en-AU"/>
              </w:rPr>
            </w:pPr>
            <w:r w:rsidRPr="00F03116">
              <w:rPr>
                <w:b/>
                <w:sz w:val="22"/>
                <w:szCs w:val="22"/>
                <w:lang w:val="en-AU"/>
              </w:rPr>
              <w:t>Statement</w:t>
            </w:r>
          </w:p>
        </w:tc>
      </w:tr>
      <w:tr w:rsidR="00622237" w:rsidRPr="00E358C2" w:rsidTr="00095AB2">
        <w:tblPrEx>
          <w:tblLook w:val="01E0" w:firstRow="1" w:lastRow="1" w:firstColumn="1" w:lastColumn="1" w:noHBand="0" w:noVBand="0"/>
        </w:tblPrEx>
        <w:trPr>
          <w:trHeight w:val="1922"/>
        </w:trPr>
        <w:tc>
          <w:tcPr>
            <w:tcW w:w="4820" w:type="dxa"/>
          </w:tcPr>
          <w:p w:rsidR="00622237" w:rsidRPr="00E358C2" w:rsidRDefault="00622237" w:rsidP="00095AB2">
            <w:pPr>
              <w:pStyle w:val="TAbody"/>
              <w:rPr>
                <w:rFonts w:cs="Arial"/>
                <w:b/>
                <w:sz w:val="22"/>
                <w:szCs w:val="22"/>
                <w:lang w:val="en-AU"/>
              </w:rPr>
            </w:pPr>
            <w:r w:rsidRPr="00E358C2">
              <w:rPr>
                <w:rFonts w:cs="Arial"/>
                <w:b/>
                <w:sz w:val="22"/>
                <w:szCs w:val="22"/>
                <w:lang w:val="en-AU"/>
              </w:rPr>
              <w:t>s87(2)(a)</w:t>
            </w:r>
          </w:p>
          <w:p w:rsidR="00622237" w:rsidRPr="00E358C2" w:rsidRDefault="00622237" w:rsidP="00095AB2">
            <w:pPr>
              <w:autoSpaceDE w:val="0"/>
              <w:autoSpaceDN w:val="0"/>
              <w:adjustRightInd w:val="0"/>
              <w:rPr>
                <w:rFonts w:cs="Arial"/>
                <w:sz w:val="22"/>
                <w:szCs w:val="22"/>
              </w:rPr>
            </w:pPr>
            <w:r w:rsidRPr="00E358C2">
              <w:rPr>
                <w:rFonts w:cs="Arial"/>
                <w:sz w:val="22"/>
                <w:szCs w:val="22"/>
              </w:rPr>
              <w:t xml:space="preserve">(a) a variation (an </w:t>
            </w:r>
            <w:r w:rsidRPr="00E358C2">
              <w:rPr>
                <w:rFonts w:cs="Arial"/>
                <w:b/>
                <w:bCs/>
                <w:i/>
                <w:iCs/>
                <w:sz w:val="22"/>
                <w:szCs w:val="22"/>
              </w:rPr>
              <w:t>code variation</w:t>
            </w:r>
            <w:r w:rsidRPr="00E358C2">
              <w:rPr>
                <w:rFonts w:cs="Arial"/>
                <w:sz w:val="22"/>
                <w:szCs w:val="22"/>
              </w:rPr>
              <w:t>) that—</w:t>
            </w:r>
          </w:p>
          <w:p w:rsidR="00622237" w:rsidRPr="00E358C2" w:rsidRDefault="00622237" w:rsidP="00095AB2">
            <w:pPr>
              <w:autoSpaceDE w:val="0"/>
              <w:autoSpaceDN w:val="0"/>
              <w:adjustRightInd w:val="0"/>
              <w:rPr>
                <w:rFonts w:cs="Arial"/>
                <w:sz w:val="22"/>
                <w:szCs w:val="22"/>
              </w:rPr>
            </w:pPr>
            <w:r w:rsidRPr="00E358C2">
              <w:rPr>
                <w:rFonts w:cs="Arial"/>
                <w:sz w:val="22"/>
                <w:szCs w:val="22"/>
              </w:rPr>
              <w:t>(i) would only change a code</w:t>
            </w:r>
          </w:p>
          <w:p w:rsidR="00622237" w:rsidRPr="00E358C2" w:rsidRDefault="00622237" w:rsidP="00095AB2">
            <w:pPr>
              <w:autoSpaceDE w:val="0"/>
              <w:autoSpaceDN w:val="0"/>
              <w:adjustRightInd w:val="0"/>
              <w:rPr>
                <w:rFonts w:cs="Arial"/>
                <w:sz w:val="22"/>
                <w:szCs w:val="22"/>
              </w:rPr>
            </w:pPr>
            <w:r w:rsidRPr="00E358C2">
              <w:rPr>
                <w:rFonts w:cs="Arial"/>
                <w:sz w:val="22"/>
                <w:szCs w:val="22"/>
              </w:rPr>
              <w:t xml:space="preserve">(ii) is consistent with the policy purpose and policy framework of the code; and </w:t>
            </w:r>
          </w:p>
          <w:p w:rsidR="00622237" w:rsidRPr="00E358C2" w:rsidRDefault="00622237" w:rsidP="00095AB2">
            <w:pPr>
              <w:autoSpaceDE w:val="0"/>
              <w:autoSpaceDN w:val="0"/>
              <w:adjustRightInd w:val="0"/>
              <w:rPr>
                <w:sz w:val="22"/>
                <w:szCs w:val="22"/>
              </w:rPr>
            </w:pPr>
            <w:r w:rsidRPr="00E358C2">
              <w:rPr>
                <w:rFonts w:cs="Arial"/>
                <w:sz w:val="22"/>
                <w:szCs w:val="22"/>
              </w:rPr>
              <w:t>(iii)is not an error variation</w:t>
            </w:r>
          </w:p>
        </w:tc>
        <w:tc>
          <w:tcPr>
            <w:tcW w:w="4479" w:type="dxa"/>
          </w:tcPr>
          <w:p w:rsidR="00622237" w:rsidRPr="00E358C2" w:rsidRDefault="00622237" w:rsidP="00095AB2">
            <w:pPr>
              <w:pStyle w:val="TAbody"/>
              <w:rPr>
                <w:sz w:val="22"/>
                <w:szCs w:val="22"/>
                <w:lang w:val="en-AU"/>
              </w:rPr>
            </w:pPr>
            <w:r w:rsidRPr="00E358C2">
              <w:rPr>
                <w:sz w:val="22"/>
                <w:szCs w:val="22"/>
                <w:lang w:val="en-AU"/>
              </w:rPr>
              <w:t>Compliant.</w:t>
            </w:r>
          </w:p>
          <w:p w:rsidR="00622237" w:rsidRPr="00E358C2" w:rsidRDefault="00FD220A" w:rsidP="00083358">
            <w:pPr>
              <w:pStyle w:val="TAbody"/>
              <w:rPr>
                <w:sz w:val="22"/>
                <w:szCs w:val="22"/>
                <w:lang w:val="en-AU"/>
              </w:rPr>
            </w:pPr>
            <w:r>
              <w:rPr>
                <w:sz w:val="22"/>
                <w:szCs w:val="22"/>
                <w:lang w:val="en-AU"/>
              </w:rPr>
              <w:t>The adjustment to the criterion</w:t>
            </w:r>
            <w:r w:rsidR="00622237" w:rsidRPr="00E358C2">
              <w:rPr>
                <w:sz w:val="22"/>
                <w:szCs w:val="22"/>
                <w:lang w:val="en-AU"/>
              </w:rPr>
              <w:t xml:space="preserve"> </w:t>
            </w:r>
            <w:r w:rsidR="00E545F3">
              <w:rPr>
                <w:sz w:val="22"/>
                <w:szCs w:val="22"/>
                <w:lang w:val="en-AU"/>
              </w:rPr>
              <w:t xml:space="preserve">brings it in line </w:t>
            </w:r>
            <w:r w:rsidR="00083358">
              <w:rPr>
                <w:sz w:val="22"/>
                <w:szCs w:val="22"/>
                <w:lang w:val="en-AU"/>
              </w:rPr>
              <w:t xml:space="preserve">with </w:t>
            </w:r>
            <w:r w:rsidR="00E545F3">
              <w:rPr>
                <w:sz w:val="22"/>
                <w:szCs w:val="22"/>
                <w:lang w:val="en-AU"/>
              </w:rPr>
              <w:t xml:space="preserve">the master plan recommendations to permit higher levels of development </w:t>
            </w:r>
            <w:r w:rsidR="00083358">
              <w:rPr>
                <w:sz w:val="22"/>
                <w:szCs w:val="22"/>
                <w:lang w:val="en-AU"/>
              </w:rPr>
              <w:t>a</w:t>
            </w:r>
            <w:r w:rsidR="00E545F3">
              <w:rPr>
                <w:sz w:val="22"/>
                <w:szCs w:val="22"/>
                <w:lang w:val="en-AU"/>
              </w:rPr>
              <w:t xml:space="preserve">djoining the green spaces within the </w:t>
            </w:r>
            <w:r w:rsidR="00083358">
              <w:rPr>
                <w:sz w:val="22"/>
                <w:szCs w:val="22"/>
                <w:lang w:val="en-AU"/>
              </w:rPr>
              <w:t xml:space="preserve">CZ3 </w:t>
            </w:r>
            <w:r w:rsidR="00E545F3">
              <w:rPr>
                <w:sz w:val="22"/>
                <w:szCs w:val="22"/>
                <w:lang w:val="en-AU"/>
              </w:rPr>
              <w:t>services area of Woden.</w:t>
            </w:r>
            <w:r w:rsidR="00622237" w:rsidRPr="00E358C2">
              <w:rPr>
                <w:sz w:val="22"/>
                <w:szCs w:val="22"/>
                <w:lang w:val="en-AU"/>
              </w:rPr>
              <w:t xml:space="preserve">  This is consistent with the intent of the </w:t>
            </w:r>
            <w:r w:rsidR="00083358">
              <w:rPr>
                <w:sz w:val="22"/>
                <w:szCs w:val="22"/>
                <w:lang w:val="en-AU"/>
              </w:rPr>
              <w:t>C</w:t>
            </w:r>
            <w:r w:rsidR="00E545F3">
              <w:rPr>
                <w:sz w:val="22"/>
                <w:szCs w:val="22"/>
                <w:lang w:val="en-AU"/>
              </w:rPr>
              <w:t>ode</w:t>
            </w:r>
            <w:r w:rsidR="00622237" w:rsidRPr="00E358C2">
              <w:rPr>
                <w:sz w:val="22"/>
                <w:szCs w:val="22"/>
                <w:lang w:val="en-AU"/>
              </w:rPr>
              <w:t>.</w:t>
            </w:r>
          </w:p>
        </w:tc>
      </w:tr>
    </w:tbl>
    <w:p w:rsidR="00622237" w:rsidRDefault="00622237" w:rsidP="00894061">
      <w:pPr>
        <w:pStyle w:val="TAbodytext"/>
      </w:pPr>
    </w:p>
    <w:p w:rsidR="002B1058" w:rsidRPr="00536352" w:rsidRDefault="002B1058" w:rsidP="00894061">
      <w:pPr>
        <w:pStyle w:val="TAbodytext"/>
      </w:pPr>
    </w:p>
    <w:p w:rsidR="005A6890" w:rsidRPr="005A6890" w:rsidRDefault="00BD5878" w:rsidP="00894061">
      <w:pPr>
        <w:pStyle w:val="TAbodytext"/>
        <w:rPr>
          <w:rFonts w:cs="Arial"/>
          <w:b/>
        </w:rPr>
      </w:pPr>
      <w:r>
        <w:rPr>
          <w:rFonts w:cs="Arial"/>
          <w:b/>
        </w:rPr>
        <w:t>2.2</w:t>
      </w:r>
      <w:r w:rsidR="0072682A">
        <w:rPr>
          <w:rFonts w:cs="Arial"/>
          <w:b/>
        </w:rPr>
        <w:t>.3</w:t>
      </w:r>
      <w:r w:rsidR="00092E16">
        <w:rPr>
          <w:rFonts w:cs="Arial"/>
          <w:b/>
        </w:rPr>
        <w:t xml:space="preserve">  </w:t>
      </w:r>
      <w:r w:rsidR="00472FF7">
        <w:rPr>
          <w:rFonts w:cs="Arial"/>
          <w:b/>
        </w:rPr>
        <w:t>Criterion C17</w:t>
      </w:r>
    </w:p>
    <w:p w:rsidR="00700491" w:rsidRDefault="00700491" w:rsidP="00700491">
      <w:pPr>
        <w:pStyle w:val="TAbodytext"/>
      </w:pPr>
      <w:r>
        <w:t>Variation to the Territory Plan No. 344 Woden town centre (V344) introduced amendments to the Phillip precinct map and code, and zone changes to the Territory Plan map from the recommendations of the Woden town centre master plan.</w:t>
      </w:r>
    </w:p>
    <w:p w:rsidR="00BF24B1" w:rsidRDefault="00700491" w:rsidP="00700491">
      <w:pPr>
        <w:pStyle w:val="TAbodytext"/>
      </w:pPr>
      <w:r>
        <w:t xml:space="preserve">A review of the operation of the amended Phillip precinct code has identified departures from the master plan recommendations that </w:t>
      </w:r>
      <w:r w:rsidR="00083358">
        <w:t xml:space="preserve">would </w:t>
      </w:r>
      <w:r>
        <w:t>result in adverse outcomes for development in the CZ3 commercial services zone.</w:t>
      </w:r>
    </w:p>
    <w:p w:rsidR="00700491" w:rsidRDefault="00083358" w:rsidP="00DA68AC">
      <w:pPr>
        <w:pStyle w:val="TAbodytext"/>
        <w:rPr>
          <w:rFonts w:cs="Arial"/>
        </w:rPr>
      </w:pPr>
      <w:r>
        <w:rPr>
          <w:rFonts w:cs="Arial"/>
        </w:rPr>
        <w:t>Six</w:t>
      </w:r>
      <w:r w:rsidR="000349B3">
        <w:rPr>
          <w:rFonts w:cs="Arial"/>
        </w:rPr>
        <w:t xml:space="preserve"> metre</w:t>
      </w:r>
      <w:r w:rsidR="00700491">
        <w:rPr>
          <w:rFonts w:cs="Arial"/>
        </w:rPr>
        <w:t xml:space="preserve"> setbacks </w:t>
      </w:r>
      <w:r w:rsidR="000349B3">
        <w:rPr>
          <w:rFonts w:cs="Arial"/>
        </w:rPr>
        <w:t xml:space="preserve">to street frontages within Divine Court, Grenville Court and Prospect Court was </w:t>
      </w:r>
      <w:r w:rsidR="00700491">
        <w:rPr>
          <w:rFonts w:cs="Arial"/>
        </w:rPr>
        <w:t xml:space="preserve">introduced through Territory Plan Variation No. 344 (V344) </w:t>
      </w:r>
      <w:r w:rsidR="00DA68AC">
        <w:rPr>
          <w:rFonts w:cs="Arial"/>
        </w:rPr>
        <w:t xml:space="preserve">for </w:t>
      </w:r>
      <w:r w:rsidR="00564F8F">
        <w:rPr>
          <w:rFonts w:cs="Arial"/>
        </w:rPr>
        <w:t xml:space="preserve">the portion of </w:t>
      </w:r>
      <w:r w:rsidR="00DA68AC">
        <w:rPr>
          <w:rFonts w:cs="Arial"/>
        </w:rPr>
        <w:t>development above two storeys</w:t>
      </w:r>
      <w:r w:rsidR="00536352">
        <w:rPr>
          <w:rFonts w:cs="Arial"/>
        </w:rPr>
        <w:t xml:space="preserve"> in the new rule R17</w:t>
      </w:r>
      <w:r w:rsidR="00DA68AC">
        <w:rPr>
          <w:rFonts w:cs="Arial"/>
        </w:rPr>
        <w:t xml:space="preserve">. The setbacks were intended </w:t>
      </w:r>
      <w:r w:rsidR="000349B3">
        <w:rPr>
          <w:rFonts w:cs="Arial"/>
        </w:rPr>
        <w:t xml:space="preserve">to </w:t>
      </w:r>
      <w:r w:rsidR="00DA68AC">
        <w:rPr>
          <w:rFonts w:cs="Arial"/>
        </w:rPr>
        <w:t>ensure upper floor level development around the outer edge of the Courts were set back from the street to provide separation to the services areas on the ground floor within the courts. An u</w:t>
      </w:r>
      <w:r>
        <w:rPr>
          <w:rFonts w:cs="Arial"/>
        </w:rPr>
        <w:t>nintended outcome was that the six</w:t>
      </w:r>
      <w:r w:rsidR="00DA68AC">
        <w:rPr>
          <w:rFonts w:cs="Arial"/>
        </w:rPr>
        <w:t xml:space="preserve"> metre setback substantially reduced the ability to develop a number of isolated ‘island’ blocks loca</w:t>
      </w:r>
      <w:r>
        <w:rPr>
          <w:rFonts w:cs="Arial"/>
        </w:rPr>
        <w:t>ted at the intersection of the Courts and Townshend Street</w:t>
      </w:r>
      <w:r w:rsidR="00DA68AC">
        <w:rPr>
          <w:rFonts w:cs="Arial"/>
        </w:rPr>
        <w:t>. These blocks are surrounded on three or four sides by roads requiring the setback, meaning that development above two storeys would be unviable.</w:t>
      </w:r>
      <w:r w:rsidR="00564F8F">
        <w:rPr>
          <w:rFonts w:cs="Arial"/>
        </w:rPr>
        <w:t xml:space="preserve"> The master plan intended for development facing Townshend Street to frame the street through encouraging higher building elements up to four storeys addressing the street.</w:t>
      </w:r>
    </w:p>
    <w:p w:rsidR="00894061" w:rsidRDefault="00890965" w:rsidP="00894061">
      <w:pPr>
        <w:pStyle w:val="TAbodytext"/>
        <w:rPr>
          <w:rFonts w:cs="Arial"/>
        </w:rPr>
      </w:pPr>
      <w:r>
        <w:rPr>
          <w:rFonts w:cs="Arial"/>
        </w:rPr>
        <w:t xml:space="preserve">A </w:t>
      </w:r>
      <w:r w:rsidR="00472FF7">
        <w:rPr>
          <w:rFonts w:cs="Arial"/>
        </w:rPr>
        <w:t>new criterion C</w:t>
      </w:r>
      <w:r w:rsidR="00DA68AC">
        <w:rPr>
          <w:rFonts w:cs="Arial"/>
        </w:rPr>
        <w:t>1</w:t>
      </w:r>
      <w:r w:rsidR="00536352">
        <w:rPr>
          <w:rFonts w:cs="Arial"/>
        </w:rPr>
        <w:t>7</w:t>
      </w:r>
      <w:r w:rsidR="00DA68AC">
        <w:rPr>
          <w:rFonts w:cs="Arial"/>
        </w:rPr>
        <w:t xml:space="preserve"> </w:t>
      </w:r>
      <w:r>
        <w:rPr>
          <w:rFonts w:cs="Arial"/>
        </w:rPr>
        <w:t xml:space="preserve">is introduced </w:t>
      </w:r>
      <w:r w:rsidR="00DA68AC" w:rsidRPr="00E44D7D">
        <w:rPr>
          <w:rFonts w:cs="Arial"/>
        </w:rPr>
        <w:t xml:space="preserve">to </w:t>
      </w:r>
      <w:r w:rsidR="00640D27" w:rsidRPr="00E44D7D">
        <w:rPr>
          <w:rFonts w:cs="Arial"/>
        </w:rPr>
        <w:t>permit reduced setbacks for</w:t>
      </w:r>
      <w:r w:rsidR="00DA68AC" w:rsidRPr="00E44D7D">
        <w:rPr>
          <w:rFonts w:cs="Arial"/>
        </w:rPr>
        <w:t xml:space="preserve"> the upper floor level</w:t>
      </w:r>
      <w:r w:rsidR="00640D27" w:rsidRPr="00E44D7D">
        <w:rPr>
          <w:rFonts w:cs="Arial"/>
        </w:rPr>
        <w:t>s of</w:t>
      </w:r>
      <w:r w:rsidR="00DA68AC" w:rsidRPr="00E44D7D">
        <w:rPr>
          <w:rFonts w:cs="Arial"/>
        </w:rPr>
        <w:t xml:space="preserve"> the ‘island’ blocks</w:t>
      </w:r>
      <w:r w:rsidR="00640D27" w:rsidRPr="00E44D7D">
        <w:rPr>
          <w:rFonts w:cs="Arial"/>
        </w:rPr>
        <w:t>, provided development d</w:t>
      </w:r>
      <w:r w:rsidR="001D467E" w:rsidRPr="00E44D7D">
        <w:rPr>
          <w:rFonts w:cs="Arial"/>
        </w:rPr>
        <w:t>oes</w:t>
      </w:r>
      <w:r w:rsidR="00640D27" w:rsidRPr="00E44D7D">
        <w:rPr>
          <w:rFonts w:cs="Arial"/>
        </w:rPr>
        <w:t xml:space="preserve"> not adversely impact on neighbouring </w:t>
      </w:r>
      <w:r w:rsidR="001D467E" w:rsidRPr="00E44D7D">
        <w:rPr>
          <w:rFonts w:cs="Arial"/>
        </w:rPr>
        <w:t xml:space="preserve">residential </w:t>
      </w:r>
      <w:r w:rsidR="00640D27" w:rsidRPr="00E44D7D">
        <w:rPr>
          <w:rFonts w:cs="Arial"/>
        </w:rPr>
        <w:t>development</w:t>
      </w:r>
      <w:r w:rsidR="00EA6FB7" w:rsidRPr="00E44D7D">
        <w:rPr>
          <w:rFonts w:cs="Arial"/>
        </w:rPr>
        <w:t xml:space="preserve">. </w:t>
      </w:r>
      <w:r w:rsidR="00640D27" w:rsidRPr="00E44D7D">
        <w:rPr>
          <w:rFonts w:cs="Arial"/>
        </w:rPr>
        <w:t>This will increase the likelihood that sites</w:t>
      </w:r>
      <w:r w:rsidR="00DA68AC" w:rsidRPr="00E44D7D">
        <w:rPr>
          <w:rFonts w:cs="Arial"/>
        </w:rPr>
        <w:t xml:space="preserve"> will be able to develop </w:t>
      </w:r>
      <w:r w:rsidR="00DA68AC">
        <w:rPr>
          <w:rFonts w:cs="Arial"/>
        </w:rPr>
        <w:t xml:space="preserve">up to the maximum building height fronting Townshend Street, consistent with the recommendations of the </w:t>
      </w:r>
      <w:r w:rsidR="00564F8F">
        <w:rPr>
          <w:rFonts w:cs="Arial"/>
        </w:rPr>
        <w:t>Woden town centre</w:t>
      </w:r>
      <w:r w:rsidR="00DA68AC">
        <w:rPr>
          <w:rFonts w:cs="Arial"/>
        </w:rPr>
        <w:t xml:space="preserve"> master plan.</w:t>
      </w:r>
    </w:p>
    <w:p w:rsidR="00EA6FB7" w:rsidRPr="00536352" w:rsidRDefault="00472FF7" w:rsidP="00955E48">
      <w:pPr>
        <w:pStyle w:val="TAbodytext"/>
        <w:spacing w:before="240"/>
        <w:rPr>
          <w:rFonts w:cs="Arial"/>
          <w:i/>
        </w:rPr>
      </w:pPr>
      <w:r>
        <w:rPr>
          <w:rFonts w:cs="Arial"/>
        </w:rPr>
        <w:t>Existing rule and criterion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24F15" w:rsidRPr="006D4030" w:rsidTr="008A2911">
        <w:tc>
          <w:tcPr>
            <w:tcW w:w="4621" w:type="dxa"/>
            <w:shd w:val="clear" w:color="auto" w:fill="FFFFFF"/>
          </w:tcPr>
          <w:p w:rsidR="00924F15" w:rsidRPr="006D4030" w:rsidRDefault="00924F15" w:rsidP="00E44D7D">
            <w:pPr>
              <w:pStyle w:val="CritList"/>
              <w:numPr>
                <w:ilvl w:val="0"/>
                <w:numId w:val="0"/>
              </w:numPr>
            </w:pPr>
            <w:r>
              <w:t>R</w:t>
            </w:r>
            <w:r w:rsidR="00700491">
              <w:t>1</w:t>
            </w:r>
            <w:r w:rsidR="00622237">
              <w:t>7</w:t>
            </w:r>
          </w:p>
          <w:p w:rsidR="00700491" w:rsidRDefault="00700491" w:rsidP="00E44D7D">
            <w:pPr>
              <w:pStyle w:val="CritList"/>
              <w:numPr>
                <w:ilvl w:val="0"/>
                <w:numId w:val="0"/>
              </w:numPr>
            </w:pPr>
            <w:r w:rsidRPr="002F7D6B">
              <w:t>This</w:t>
            </w:r>
            <w:r>
              <w:t xml:space="preserve"> rule applies to CZ3.</w:t>
            </w:r>
          </w:p>
          <w:p w:rsidR="00924F15" w:rsidRPr="00E44D7D" w:rsidRDefault="002B1058" w:rsidP="00E44D7D">
            <w:pPr>
              <w:pStyle w:val="CritList"/>
              <w:numPr>
                <w:ilvl w:val="0"/>
                <w:numId w:val="0"/>
              </w:numPr>
            </w:pPr>
            <w:r w:rsidRPr="00E44D7D">
              <w:t>The portion of development above the first floor fronting on to Grenville Court, Prospect Court, Bellona Court or Devine Court is set back a minimum of 6m from the street front boundary.</w:t>
            </w:r>
          </w:p>
          <w:p w:rsidR="00083358" w:rsidRPr="002B1058" w:rsidRDefault="00083358" w:rsidP="002B1058">
            <w:pPr>
              <w:autoSpaceDE w:val="0"/>
              <w:autoSpaceDN w:val="0"/>
              <w:adjustRightInd w:val="0"/>
              <w:rPr>
                <w:rFonts w:ascii="ArialMT" w:hAnsi="ArialMT" w:cs="ArialMT"/>
                <w:sz w:val="20"/>
                <w:szCs w:val="20"/>
              </w:rPr>
            </w:pPr>
          </w:p>
        </w:tc>
        <w:tc>
          <w:tcPr>
            <w:tcW w:w="4622" w:type="dxa"/>
            <w:shd w:val="clear" w:color="auto" w:fill="FFFFFF"/>
          </w:tcPr>
          <w:p w:rsidR="00700491" w:rsidRPr="002B1058" w:rsidRDefault="00700491" w:rsidP="00700491">
            <w:pPr>
              <w:pStyle w:val="CritList"/>
              <w:rPr>
                <w:vanish/>
              </w:rPr>
            </w:pPr>
          </w:p>
          <w:p w:rsidR="00700491" w:rsidRDefault="00700491" w:rsidP="00700491">
            <w:pPr>
              <w:pStyle w:val="CritList"/>
              <w:numPr>
                <w:ilvl w:val="1"/>
                <w:numId w:val="13"/>
              </w:numPr>
              <w:rPr>
                <w:rFonts w:ascii="ArialMT" w:hAnsi="ArialMT" w:cs="ArialMT"/>
              </w:rPr>
            </w:pPr>
          </w:p>
          <w:p w:rsidR="00924F15" w:rsidRPr="006D4030" w:rsidRDefault="002B1058" w:rsidP="002B1058">
            <w:pPr>
              <w:pStyle w:val="CritList"/>
              <w:numPr>
                <w:ilvl w:val="0"/>
                <w:numId w:val="0"/>
              </w:numPr>
            </w:pPr>
            <w:r>
              <w:t>This is a mandatory requirement. There is no applicable criterion.</w:t>
            </w:r>
          </w:p>
        </w:tc>
      </w:tr>
    </w:tbl>
    <w:p w:rsidR="00EA6FB7" w:rsidRDefault="00EA6FB7" w:rsidP="00EA6FB7"/>
    <w:p w:rsidR="00EA6FB7" w:rsidRPr="00536352" w:rsidRDefault="00472FF7" w:rsidP="00955E48">
      <w:pPr>
        <w:pStyle w:val="TAbodytext"/>
        <w:spacing w:before="240"/>
      </w:pPr>
      <w:r>
        <w:t>Proposed criterion</w:t>
      </w:r>
      <w:r w:rsidR="005462CF" w:rsidRPr="00536352">
        <w:t xml:space="preserve"> (see underlined text)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B1058" w:rsidRPr="006D4030" w:rsidTr="00095AB2">
        <w:tc>
          <w:tcPr>
            <w:tcW w:w="4621" w:type="dxa"/>
            <w:shd w:val="clear" w:color="auto" w:fill="FFFFFF"/>
          </w:tcPr>
          <w:p w:rsidR="002B1058" w:rsidRPr="006D4030" w:rsidRDefault="002B1058" w:rsidP="00E44D7D">
            <w:pPr>
              <w:pStyle w:val="CritList"/>
              <w:numPr>
                <w:ilvl w:val="0"/>
                <w:numId w:val="0"/>
              </w:numPr>
            </w:pPr>
            <w:r>
              <w:t>R</w:t>
            </w:r>
            <w:r w:rsidR="00622237">
              <w:t>17</w:t>
            </w:r>
          </w:p>
          <w:p w:rsidR="002B1058" w:rsidRDefault="002B1058" w:rsidP="00E44D7D">
            <w:pPr>
              <w:pStyle w:val="CritList"/>
              <w:numPr>
                <w:ilvl w:val="0"/>
                <w:numId w:val="0"/>
              </w:numPr>
            </w:pPr>
            <w:r w:rsidRPr="002F7D6B">
              <w:t>This</w:t>
            </w:r>
            <w:r>
              <w:t xml:space="preserve"> rule applies to CZ3</w:t>
            </w:r>
            <w:r w:rsidR="000B7036">
              <w:t>.</w:t>
            </w:r>
          </w:p>
          <w:p w:rsidR="002B1058" w:rsidRPr="00E44D7D" w:rsidRDefault="002B1058" w:rsidP="00E44D7D">
            <w:pPr>
              <w:pStyle w:val="CritList"/>
              <w:numPr>
                <w:ilvl w:val="0"/>
                <w:numId w:val="0"/>
              </w:numPr>
            </w:pPr>
            <w:r w:rsidRPr="00E44D7D">
              <w:t>The portion of development above the first floor fronting on to Grenville Court, Prospect Court, Bellona Court or Devine Court is set back a minimum of 6m from the street front boundary.</w:t>
            </w:r>
          </w:p>
          <w:p w:rsidR="00083358" w:rsidRPr="002B1058" w:rsidRDefault="00083358" w:rsidP="00095AB2">
            <w:pPr>
              <w:autoSpaceDE w:val="0"/>
              <w:autoSpaceDN w:val="0"/>
              <w:adjustRightInd w:val="0"/>
              <w:rPr>
                <w:rFonts w:ascii="ArialMT" w:hAnsi="ArialMT" w:cs="ArialMT"/>
                <w:sz w:val="20"/>
                <w:szCs w:val="20"/>
              </w:rPr>
            </w:pPr>
          </w:p>
        </w:tc>
        <w:tc>
          <w:tcPr>
            <w:tcW w:w="4622" w:type="dxa"/>
            <w:shd w:val="clear" w:color="auto" w:fill="FFFFFF"/>
          </w:tcPr>
          <w:p w:rsidR="002B1058" w:rsidRPr="00640D27" w:rsidRDefault="00622237" w:rsidP="00622237">
            <w:pPr>
              <w:pStyle w:val="CritList"/>
              <w:numPr>
                <w:ilvl w:val="0"/>
                <w:numId w:val="0"/>
              </w:numPr>
            </w:pPr>
            <w:r w:rsidRPr="00640D27">
              <w:t>C17</w:t>
            </w:r>
          </w:p>
          <w:p w:rsidR="002B1058" w:rsidRPr="00E44D7D" w:rsidRDefault="00640D27" w:rsidP="00DF2AF1">
            <w:pPr>
              <w:pStyle w:val="CritList"/>
              <w:numPr>
                <w:ilvl w:val="0"/>
                <w:numId w:val="0"/>
              </w:numPr>
              <w:rPr>
                <w:color w:val="auto"/>
                <w:u w:val="single"/>
              </w:rPr>
            </w:pPr>
            <w:r w:rsidRPr="00E44D7D">
              <w:rPr>
                <w:color w:val="auto"/>
                <w:u w:val="single"/>
              </w:rPr>
              <w:t>Setbacks for development above the first floor in sections 37, 40, 42, 46 and 112 may be reduced, up to 0m f</w:t>
            </w:r>
            <w:r w:rsidR="000B7036" w:rsidRPr="00E44D7D">
              <w:rPr>
                <w:color w:val="auto"/>
                <w:u w:val="single"/>
              </w:rPr>
              <w:t>rom each</w:t>
            </w:r>
            <w:r w:rsidRPr="00E44D7D">
              <w:rPr>
                <w:color w:val="auto"/>
                <w:u w:val="single"/>
              </w:rPr>
              <w:t xml:space="preserve"> boundary, where development </w:t>
            </w:r>
            <w:r w:rsidR="000B7036" w:rsidRPr="00E44D7D">
              <w:rPr>
                <w:color w:val="auto"/>
                <w:u w:val="single"/>
              </w:rPr>
              <w:t xml:space="preserve">does not significantly impact on adjoining dwellings through </w:t>
            </w:r>
            <w:r w:rsidR="00DF2AF1" w:rsidRPr="00E44D7D">
              <w:rPr>
                <w:color w:val="auto"/>
                <w:u w:val="single"/>
              </w:rPr>
              <w:t xml:space="preserve">overlooking or </w:t>
            </w:r>
            <w:r w:rsidR="000B7036" w:rsidRPr="00E44D7D">
              <w:rPr>
                <w:color w:val="auto"/>
                <w:u w:val="single"/>
              </w:rPr>
              <w:t>overshadowing</w:t>
            </w:r>
            <w:r w:rsidR="002B1058" w:rsidRPr="00E44D7D">
              <w:rPr>
                <w:color w:val="auto"/>
                <w:u w:val="single"/>
              </w:rPr>
              <w:t>.</w:t>
            </w:r>
          </w:p>
        </w:tc>
      </w:tr>
    </w:tbl>
    <w:p w:rsidR="00831634" w:rsidRDefault="00831634" w:rsidP="00894061">
      <w:pPr>
        <w:pStyle w:val="TAbodytext"/>
        <w:rPr>
          <w:rFonts w:cs="Arial"/>
        </w:rPr>
      </w:pPr>
    </w:p>
    <w:p w:rsidR="002B1058" w:rsidRDefault="002B1058" w:rsidP="00894061">
      <w:pPr>
        <w:pStyle w:val="TAbodytext"/>
        <w:rPr>
          <w:rFonts w:cs="Arial"/>
        </w:rPr>
      </w:pPr>
    </w:p>
    <w:p w:rsidR="00F21489" w:rsidRPr="00F21489" w:rsidRDefault="00F21489" w:rsidP="00642732">
      <w:pPr>
        <w:pStyle w:val="TAbodytext"/>
        <w:keepNext/>
        <w:keepLines/>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F21489" w:rsidRPr="00F03116" w:rsidTr="000F207F">
        <w:trPr>
          <w:trHeight w:val="279"/>
        </w:trPr>
        <w:tc>
          <w:tcPr>
            <w:tcW w:w="4820" w:type="dxa"/>
          </w:tcPr>
          <w:p w:rsidR="00F21489" w:rsidRPr="00F03116" w:rsidRDefault="00F21489" w:rsidP="00642732">
            <w:pPr>
              <w:pStyle w:val="TAbody"/>
              <w:keepNext/>
              <w:keepLines/>
              <w:rPr>
                <w:b/>
                <w:sz w:val="22"/>
                <w:szCs w:val="22"/>
                <w:lang w:val="en-AU"/>
              </w:rPr>
            </w:pPr>
            <w:r w:rsidRPr="00F03116">
              <w:rPr>
                <w:b/>
                <w:sz w:val="22"/>
                <w:szCs w:val="22"/>
                <w:lang w:val="en-AU"/>
              </w:rPr>
              <w:t>Section</w:t>
            </w:r>
          </w:p>
        </w:tc>
        <w:tc>
          <w:tcPr>
            <w:tcW w:w="4479" w:type="dxa"/>
          </w:tcPr>
          <w:p w:rsidR="00F21489" w:rsidRPr="00F03116" w:rsidRDefault="00F21489" w:rsidP="00642732">
            <w:pPr>
              <w:pStyle w:val="TAbody"/>
              <w:keepNext/>
              <w:keepLines/>
              <w:rPr>
                <w:b/>
                <w:sz w:val="22"/>
                <w:szCs w:val="22"/>
                <w:lang w:val="en-AU"/>
              </w:rPr>
            </w:pPr>
            <w:r w:rsidRPr="00F03116">
              <w:rPr>
                <w:b/>
                <w:sz w:val="22"/>
                <w:szCs w:val="22"/>
                <w:lang w:val="en-AU"/>
              </w:rPr>
              <w:t>Statement</w:t>
            </w:r>
          </w:p>
        </w:tc>
      </w:tr>
      <w:tr w:rsidR="00E358C2" w:rsidRPr="00E358C2" w:rsidTr="00642F7B">
        <w:tblPrEx>
          <w:tblLook w:val="01E0" w:firstRow="1" w:lastRow="1" w:firstColumn="1" w:lastColumn="1" w:noHBand="0" w:noVBand="0"/>
        </w:tblPrEx>
        <w:trPr>
          <w:trHeight w:val="1922"/>
        </w:trPr>
        <w:tc>
          <w:tcPr>
            <w:tcW w:w="4820" w:type="dxa"/>
          </w:tcPr>
          <w:p w:rsidR="00F21489" w:rsidRPr="00E358C2" w:rsidRDefault="00F21489" w:rsidP="006E5BB9">
            <w:pPr>
              <w:pStyle w:val="TAbody"/>
              <w:rPr>
                <w:rFonts w:cs="Arial"/>
                <w:b/>
                <w:sz w:val="22"/>
                <w:szCs w:val="22"/>
                <w:lang w:val="en-AU"/>
              </w:rPr>
            </w:pPr>
            <w:r w:rsidRPr="00E358C2">
              <w:rPr>
                <w:rFonts w:cs="Arial"/>
                <w:b/>
                <w:sz w:val="22"/>
                <w:szCs w:val="22"/>
                <w:lang w:val="en-AU"/>
              </w:rPr>
              <w:t>s87(2)(a)</w:t>
            </w:r>
          </w:p>
          <w:p w:rsidR="00F21489" w:rsidRPr="00E358C2" w:rsidRDefault="00F21489" w:rsidP="006E5BB9">
            <w:pPr>
              <w:autoSpaceDE w:val="0"/>
              <w:autoSpaceDN w:val="0"/>
              <w:adjustRightInd w:val="0"/>
              <w:rPr>
                <w:rFonts w:cs="Arial"/>
                <w:sz w:val="22"/>
                <w:szCs w:val="22"/>
              </w:rPr>
            </w:pPr>
            <w:r w:rsidRPr="00E358C2">
              <w:rPr>
                <w:rFonts w:cs="Arial"/>
                <w:sz w:val="22"/>
                <w:szCs w:val="22"/>
              </w:rPr>
              <w:t xml:space="preserve">(a) a variation (an </w:t>
            </w:r>
            <w:r w:rsidRPr="00E358C2">
              <w:rPr>
                <w:rFonts w:cs="Arial"/>
                <w:b/>
                <w:bCs/>
                <w:i/>
                <w:iCs/>
                <w:sz w:val="22"/>
                <w:szCs w:val="22"/>
              </w:rPr>
              <w:t>code variation</w:t>
            </w:r>
            <w:r w:rsidRPr="00E358C2">
              <w:rPr>
                <w:rFonts w:cs="Arial"/>
                <w:sz w:val="22"/>
                <w:szCs w:val="22"/>
              </w:rPr>
              <w:t>) that—</w:t>
            </w:r>
          </w:p>
          <w:p w:rsidR="00F21489" w:rsidRPr="00E358C2" w:rsidRDefault="00F21489" w:rsidP="006E5BB9">
            <w:pPr>
              <w:autoSpaceDE w:val="0"/>
              <w:autoSpaceDN w:val="0"/>
              <w:adjustRightInd w:val="0"/>
              <w:rPr>
                <w:rFonts w:cs="Arial"/>
                <w:sz w:val="22"/>
                <w:szCs w:val="22"/>
              </w:rPr>
            </w:pPr>
            <w:r w:rsidRPr="00E358C2">
              <w:rPr>
                <w:rFonts w:cs="Arial"/>
                <w:sz w:val="22"/>
                <w:szCs w:val="22"/>
              </w:rPr>
              <w:t>(i) would only change a code</w:t>
            </w:r>
          </w:p>
          <w:p w:rsidR="00F21489" w:rsidRPr="00E358C2" w:rsidRDefault="00F21489" w:rsidP="006E5BB9">
            <w:pPr>
              <w:autoSpaceDE w:val="0"/>
              <w:autoSpaceDN w:val="0"/>
              <w:adjustRightInd w:val="0"/>
              <w:rPr>
                <w:rFonts w:cs="Arial"/>
                <w:sz w:val="22"/>
                <w:szCs w:val="22"/>
              </w:rPr>
            </w:pPr>
            <w:r w:rsidRPr="00E358C2">
              <w:rPr>
                <w:rFonts w:cs="Arial"/>
                <w:sz w:val="22"/>
                <w:szCs w:val="22"/>
              </w:rPr>
              <w:t xml:space="preserve">(ii) is consistent with the policy purpose and policy framework of the code; and </w:t>
            </w:r>
          </w:p>
          <w:p w:rsidR="00F21489" w:rsidRPr="00E358C2" w:rsidRDefault="00F21489" w:rsidP="003111A8">
            <w:pPr>
              <w:autoSpaceDE w:val="0"/>
              <w:autoSpaceDN w:val="0"/>
              <w:adjustRightInd w:val="0"/>
              <w:rPr>
                <w:sz w:val="22"/>
                <w:szCs w:val="22"/>
              </w:rPr>
            </w:pPr>
            <w:r w:rsidRPr="00E358C2">
              <w:rPr>
                <w:rFonts w:cs="Arial"/>
                <w:sz w:val="22"/>
                <w:szCs w:val="22"/>
              </w:rPr>
              <w:t>(iii)is not an error variation</w:t>
            </w:r>
          </w:p>
        </w:tc>
        <w:tc>
          <w:tcPr>
            <w:tcW w:w="4479" w:type="dxa"/>
          </w:tcPr>
          <w:p w:rsidR="00F21489" w:rsidRPr="00E358C2" w:rsidRDefault="00F21489" w:rsidP="006E5BB9">
            <w:pPr>
              <w:pStyle w:val="TAbody"/>
              <w:rPr>
                <w:sz w:val="22"/>
                <w:szCs w:val="22"/>
                <w:lang w:val="en-AU"/>
              </w:rPr>
            </w:pPr>
            <w:r w:rsidRPr="00E358C2">
              <w:rPr>
                <w:sz w:val="22"/>
                <w:szCs w:val="22"/>
                <w:lang w:val="en-AU"/>
              </w:rPr>
              <w:t>Compliant.</w:t>
            </w:r>
          </w:p>
          <w:p w:rsidR="00623298" w:rsidRPr="00E358C2" w:rsidRDefault="00623298" w:rsidP="00E358C2">
            <w:pPr>
              <w:pStyle w:val="TAbody"/>
              <w:rPr>
                <w:sz w:val="22"/>
                <w:szCs w:val="22"/>
                <w:lang w:val="en-AU"/>
              </w:rPr>
            </w:pPr>
            <w:r w:rsidRPr="00E358C2">
              <w:rPr>
                <w:sz w:val="22"/>
                <w:szCs w:val="22"/>
                <w:lang w:val="en-AU"/>
              </w:rPr>
              <w:t xml:space="preserve">The </w:t>
            </w:r>
            <w:r w:rsidR="00472FF7">
              <w:rPr>
                <w:sz w:val="22"/>
                <w:szCs w:val="22"/>
                <w:lang w:val="en-AU"/>
              </w:rPr>
              <w:t>adjustment to the criterion</w:t>
            </w:r>
            <w:r w:rsidR="00642F7B" w:rsidRPr="00E358C2">
              <w:rPr>
                <w:sz w:val="22"/>
                <w:szCs w:val="22"/>
                <w:lang w:val="en-AU"/>
              </w:rPr>
              <w:t xml:space="preserve"> clarifies that the intent of this part of the provision was not to limit </w:t>
            </w:r>
            <w:r w:rsidR="003821A5" w:rsidRPr="00E358C2">
              <w:rPr>
                <w:sz w:val="22"/>
                <w:szCs w:val="22"/>
                <w:lang w:val="en-AU"/>
              </w:rPr>
              <w:t>setbacks for isolated blocks fronting Townshend Street for development above two storeys.</w:t>
            </w:r>
            <w:r w:rsidR="00642F7B" w:rsidRPr="00E358C2">
              <w:rPr>
                <w:sz w:val="22"/>
                <w:szCs w:val="22"/>
                <w:lang w:val="en-AU"/>
              </w:rPr>
              <w:t xml:space="preserve">  This is consistent with the intent of the rule.</w:t>
            </w:r>
          </w:p>
        </w:tc>
      </w:tr>
    </w:tbl>
    <w:p w:rsidR="000349B3" w:rsidRDefault="000349B3" w:rsidP="00F21489">
      <w:pPr>
        <w:pStyle w:val="TAbodytext"/>
        <w:rPr>
          <w:rFonts w:cs="Arial"/>
          <w:i/>
        </w:rPr>
      </w:pPr>
      <w:bookmarkStart w:id="32" w:name="_Toc254851539"/>
      <w:bookmarkStart w:id="33" w:name="_Toc469927026"/>
      <w:bookmarkEnd w:id="28"/>
    </w:p>
    <w:p w:rsidR="001D04F6" w:rsidRDefault="00D52183" w:rsidP="00DA4882">
      <w:pPr>
        <w:pStyle w:val="TAsectionheading"/>
      </w:pPr>
      <w:r>
        <w:br w:type="page"/>
      </w:r>
      <w:bookmarkStart w:id="34" w:name="_Toc2597606"/>
      <w:r w:rsidR="003E0DA3" w:rsidRPr="00BE441E">
        <w:t>TECHNICAL AMENDMENT</w:t>
      </w:r>
      <w:bookmarkEnd w:id="32"/>
      <w:bookmarkEnd w:id="33"/>
      <w:bookmarkEnd w:id="34"/>
    </w:p>
    <w:p w:rsidR="0068565E" w:rsidRDefault="00F6463E">
      <w:r w:rsidRPr="00F6463E">
        <w:t xml:space="preserve">This section of the technical amendment document provides the actual instructions for implementing the changes to the Territory Plan.  </w:t>
      </w:r>
    </w:p>
    <w:p w:rsidR="00CC3991" w:rsidRDefault="00CC3991"/>
    <w:p w:rsidR="00305156" w:rsidRDefault="00305156" w:rsidP="000A5E81">
      <w:pPr>
        <w:pStyle w:val="TAsectionheading3"/>
        <w:numPr>
          <w:ilvl w:val="2"/>
          <w:numId w:val="17"/>
        </w:numPr>
        <w:ind w:hanging="862"/>
      </w:pPr>
      <w:r>
        <w:t xml:space="preserve"> </w:t>
      </w:r>
      <w:bookmarkStart w:id="35" w:name="_Toc496182203"/>
      <w:r w:rsidR="003E0D22">
        <w:t xml:space="preserve"> </w:t>
      </w:r>
      <w:bookmarkStart w:id="36" w:name="_Toc2597607"/>
      <w:r w:rsidR="00CC3991">
        <w:t>Variation to the</w:t>
      </w:r>
      <w:bookmarkEnd w:id="35"/>
      <w:r w:rsidR="004F3D05">
        <w:t xml:space="preserve"> </w:t>
      </w:r>
      <w:r w:rsidR="00E358C2">
        <w:t>Phillip Precinct Code</w:t>
      </w:r>
      <w:bookmarkEnd w:id="36"/>
    </w:p>
    <w:p w:rsidR="00305156" w:rsidRPr="0056366D" w:rsidRDefault="00E358C2" w:rsidP="00305156">
      <w:pPr>
        <w:pStyle w:val="TAeditorialitemgeneralheading"/>
      </w:pPr>
      <w:r>
        <w:t>Additional rules and criteria</w:t>
      </w:r>
      <w:r w:rsidR="00176611">
        <w:t xml:space="preserve"> </w:t>
      </w:r>
      <w:r w:rsidR="00DD3114">
        <w:t>–</w:t>
      </w:r>
      <w:r w:rsidR="00176611">
        <w:t xml:space="preserve"> </w:t>
      </w:r>
      <w:r>
        <w:t>RC1 – Woden Town Centre</w:t>
      </w:r>
      <w:r w:rsidR="00DD3114">
        <w:t xml:space="preserve">; Element </w:t>
      </w:r>
      <w:r>
        <w:t>2</w:t>
      </w:r>
      <w:r w:rsidR="00DD3114">
        <w:t>: Building</w:t>
      </w:r>
      <w:r>
        <w:t>s</w:t>
      </w:r>
      <w:r w:rsidR="00DD3114">
        <w:t xml:space="preserve">; Item </w:t>
      </w:r>
      <w:r>
        <w:t>2</w:t>
      </w:r>
      <w:r w:rsidR="00DD3114">
        <w:t xml:space="preserve">.1 </w:t>
      </w:r>
      <w:r>
        <w:t>Building heights</w:t>
      </w:r>
      <w:r w:rsidR="00DD3114">
        <w:t>; Rule R</w:t>
      </w:r>
      <w:r>
        <w:t>16 and Criterion C16</w:t>
      </w:r>
    </w:p>
    <w:p w:rsidR="00305156" w:rsidRDefault="00305156" w:rsidP="00305156"/>
    <w:p w:rsidR="00305156" w:rsidRPr="005A071D" w:rsidRDefault="00305156" w:rsidP="005A071D">
      <w:pPr>
        <w:rPr>
          <w:i/>
        </w:rPr>
      </w:pPr>
      <w:r w:rsidRPr="005A071D">
        <w:rPr>
          <w:i/>
        </w:rPr>
        <w:t>Substitute</w:t>
      </w:r>
    </w:p>
    <w:p w:rsidR="005A071D" w:rsidRDefault="005A071D" w:rsidP="005A071D"/>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622237" w:rsidRPr="00187F78" w:rsidTr="00622237">
        <w:tc>
          <w:tcPr>
            <w:tcW w:w="4621" w:type="dxa"/>
            <w:shd w:val="clear" w:color="auto" w:fill="D9D9D9"/>
          </w:tcPr>
          <w:p w:rsidR="00622237" w:rsidRPr="00187F78" w:rsidRDefault="00622237" w:rsidP="00095AB2">
            <w:pPr>
              <w:pStyle w:val="RuleList"/>
              <w:numPr>
                <w:ilvl w:val="0"/>
                <w:numId w:val="0"/>
              </w:numPr>
              <w:rPr>
                <w:b/>
              </w:rPr>
            </w:pPr>
            <w:r w:rsidRPr="00187F78">
              <w:rPr>
                <w:b/>
              </w:rPr>
              <w:t>Rules</w:t>
            </w:r>
          </w:p>
        </w:tc>
        <w:tc>
          <w:tcPr>
            <w:tcW w:w="4622" w:type="dxa"/>
            <w:shd w:val="clear" w:color="auto" w:fill="D9D9D9"/>
          </w:tcPr>
          <w:p w:rsidR="00622237" w:rsidRPr="00187F78" w:rsidRDefault="00622237" w:rsidP="00095AB2">
            <w:pPr>
              <w:pStyle w:val="RuleList"/>
              <w:numPr>
                <w:ilvl w:val="0"/>
                <w:numId w:val="0"/>
              </w:numPr>
              <w:rPr>
                <w:b/>
              </w:rPr>
            </w:pPr>
            <w:r w:rsidRPr="00187F78">
              <w:rPr>
                <w:b/>
                <w:color w:val="000000"/>
              </w:rPr>
              <w:t>Criteria</w:t>
            </w:r>
          </w:p>
        </w:tc>
      </w:tr>
      <w:tr w:rsidR="00E358C2" w:rsidRPr="006D4030" w:rsidTr="00622237">
        <w:tblPrEx>
          <w:tblLook w:val="0000" w:firstRow="0" w:lastRow="0" w:firstColumn="0" w:lastColumn="0" w:noHBand="0" w:noVBand="0"/>
        </w:tblPrEx>
        <w:tc>
          <w:tcPr>
            <w:tcW w:w="4621" w:type="dxa"/>
            <w:shd w:val="clear" w:color="auto" w:fill="FFFFFF"/>
          </w:tcPr>
          <w:p w:rsidR="00E358C2" w:rsidRPr="006D4030" w:rsidRDefault="00E358C2" w:rsidP="00095AB2">
            <w:pPr>
              <w:pStyle w:val="RuleList"/>
              <w:numPr>
                <w:ilvl w:val="0"/>
                <w:numId w:val="0"/>
              </w:numPr>
              <w:ind w:left="34"/>
              <w:rPr>
                <w:color w:val="000000"/>
              </w:rPr>
            </w:pPr>
            <w:r>
              <w:rPr>
                <w:color w:val="000000"/>
              </w:rPr>
              <w:t>R16</w:t>
            </w:r>
          </w:p>
          <w:p w:rsidR="00E358C2" w:rsidRDefault="00E358C2" w:rsidP="00095AB2">
            <w:pPr>
              <w:pStyle w:val="RuleList"/>
              <w:numPr>
                <w:ilvl w:val="1"/>
                <w:numId w:val="14"/>
              </w:numPr>
            </w:pPr>
            <w:r w:rsidRPr="002F7D6B">
              <w:t>This</w:t>
            </w:r>
            <w:r>
              <w:t xml:space="preserve"> rule applies to CZ3.</w:t>
            </w:r>
          </w:p>
          <w:p w:rsidR="00E358C2" w:rsidRDefault="00E358C2" w:rsidP="00095AB2">
            <w:pPr>
              <w:pStyle w:val="RuleList"/>
              <w:numPr>
                <w:ilvl w:val="1"/>
                <w:numId w:val="14"/>
              </w:numPr>
              <w:rPr>
                <w:rFonts w:ascii="ArialMT" w:hAnsi="ArialMT" w:cs="ArialMT"/>
              </w:rPr>
            </w:pPr>
            <w:r>
              <w:rPr>
                <w:rFonts w:ascii="ArialMT" w:hAnsi="ArialMT" w:cs="ArialMT"/>
              </w:rPr>
              <w:t xml:space="preserve">The </w:t>
            </w:r>
            <w:r w:rsidRPr="00700491">
              <w:t>maximum</w:t>
            </w:r>
            <w:r>
              <w:rPr>
                <w:rFonts w:ascii="ArialMT" w:hAnsi="ArialMT" w:cs="ArialMT"/>
              </w:rPr>
              <w:t xml:space="preserve"> </w:t>
            </w:r>
            <w:r>
              <w:rPr>
                <w:rFonts w:ascii="Arial-ItalicMT" w:hAnsi="Arial-ItalicMT" w:cs="Arial-ItalicMT"/>
                <w:i/>
                <w:iCs/>
              </w:rPr>
              <w:t xml:space="preserve">height of building </w:t>
            </w:r>
            <w:r>
              <w:rPr>
                <w:rFonts w:ascii="ArialMT" w:hAnsi="ArialMT" w:cs="ArialMT"/>
              </w:rPr>
              <w:t xml:space="preserve">for area ‘e’ and area ‘f’ shown in figure 2 is four </w:t>
            </w:r>
            <w:r w:rsidRPr="00083358">
              <w:rPr>
                <w:rFonts w:ascii="ArialMT" w:hAnsi="ArialMT" w:cs="ArialMT"/>
                <w:i/>
              </w:rPr>
              <w:t>storeys</w:t>
            </w:r>
            <w:r w:rsidRPr="005462CF">
              <w:rPr>
                <w:rFonts w:ascii="ArialMT" w:hAnsi="ArialMT" w:cs="ArialMT"/>
              </w:rPr>
              <w:t>.</w:t>
            </w:r>
          </w:p>
          <w:p w:rsidR="00E358C2" w:rsidRPr="007B4B84" w:rsidRDefault="00E358C2" w:rsidP="00E44D7D">
            <w:pPr>
              <w:pStyle w:val="RuleList"/>
              <w:numPr>
                <w:ilvl w:val="0"/>
                <w:numId w:val="0"/>
              </w:numPr>
              <w:ind w:left="34"/>
              <w:rPr>
                <w:color w:val="000000"/>
                <w:u w:val="single"/>
              </w:rPr>
            </w:pPr>
            <w:r>
              <w:rPr>
                <w:rFonts w:ascii="ArialMT" w:hAnsi="ArialMT" w:cs="ArialMT"/>
              </w:rPr>
              <w:t xml:space="preserve">Plant room set back a minimum of 3m from the building facade of the floor immediately below is not included in the number of </w:t>
            </w:r>
            <w:r w:rsidRPr="00083358">
              <w:rPr>
                <w:rFonts w:ascii="ArialMT" w:hAnsi="ArialMT" w:cs="ArialMT"/>
                <w:i/>
              </w:rPr>
              <w:t>storeys</w:t>
            </w:r>
            <w:r w:rsidRPr="00083358">
              <w:rPr>
                <w:rFonts w:ascii="ArialMT" w:hAnsi="ArialMT" w:cs="ArialMT"/>
              </w:rPr>
              <w:t>.</w:t>
            </w:r>
          </w:p>
        </w:tc>
        <w:tc>
          <w:tcPr>
            <w:tcW w:w="4622" w:type="dxa"/>
            <w:shd w:val="clear" w:color="auto" w:fill="FFFFFF"/>
          </w:tcPr>
          <w:p w:rsidR="00E358C2" w:rsidRPr="00700491" w:rsidRDefault="00E358C2" w:rsidP="00095AB2">
            <w:pPr>
              <w:pStyle w:val="CritList"/>
              <w:numPr>
                <w:ilvl w:val="0"/>
                <w:numId w:val="0"/>
              </w:numPr>
            </w:pPr>
            <w:r w:rsidRPr="00700491">
              <w:t>C16</w:t>
            </w:r>
          </w:p>
          <w:p w:rsidR="00E358C2" w:rsidRDefault="00E358C2" w:rsidP="00095AB2">
            <w:pPr>
              <w:pStyle w:val="CritList"/>
              <w:numPr>
                <w:ilvl w:val="1"/>
                <w:numId w:val="13"/>
              </w:numPr>
            </w:pPr>
            <w:r>
              <w:t xml:space="preserve">In </w:t>
            </w:r>
            <w:r w:rsidRPr="002F7D6B">
              <w:t>area</w:t>
            </w:r>
            <w:r>
              <w:t xml:space="preserve"> ‘e’:</w:t>
            </w:r>
          </w:p>
          <w:p w:rsidR="00E358C2" w:rsidRDefault="00E358C2" w:rsidP="00095AB2">
            <w:pPr>
              <w:pStyle w:val="CritList"/>
              <w:numPr>
                <w:ilvl w:val="2"/>
                <w:numId w:val="13"/>
              </w:numPr>
            </w:pPr>
            <w:r>
              <w:t xml:space="preserve">five </w:t>
            </w:r>
            <w:r w:rsidRPr="00083358">
              <w:rPr>
                <w:i/>
                <w:color w:val="auto"/>
              </w:rPr>
              <w:t>storeys</w:t>
            </w:r>
            <w:r w:rsidRPr="005462CF">
              <w:rPr>
                <w:color w:val="auto"/>
              </w:rPr>
              <w:t xml:space="preserve"> </w:t>
            </w:r>
            <w:r>
              <w:t>is permitted where development complies with all of the following:</w:t>
            </w:r>
          </w:p>
          <w:p w:rsidR="00E358C2" w:rsidRDefault="00E358C2" w:rsidP="00095AB2">
            <w:pPr>
              <w:pStyle w:val="CritList"/>
              <w:numPr>
                <w:ilvl w:val="3"/>
                <w:numId w:val="13"/>
              </w:numPr>
            </w:pPr>
            <w:r w:rsidRPr="002F7D6B">
              <w:t>development</w:t>
            </w:r>
            <w:r>
              <w:t xml:space="preserve"> fronts on to </w:t>
            </w:r>
            <w:r w:rsidRPr="00083358">
              <w:rPr>
                <w:color w:val="auto"/>
              </w:rPr>
              <w:t>either</w:t>
            </w:r>
            <w:r w:rsidRPr="005462CF">
              <w:rPr>
                <w:color w:val="auto"/>
                <w:u w:val="single"/>
              </w:rPr>
              <w:t xml:space="preserve"> </w:t>
            </w:r>
            <w:r>
              <w:t xml:space="preserve">Townshend Street, </w:t>
            </w:r>
            <w:r w:rsidRPr="005462CF">
              <w:rPr>
                <w:color w:val="auto"/>
              </w:rPr>
              <w:t>C</w:t>
            </w:r>
            <w:r>
              <w:t>olbee Court or Dundas Court</w:t>
            </w:r>
          </w:p>
          <w:p w:rsidR="00E358C2" w:rsidRDefault="00E358C2" w:rsidP="00095AB2">
            <w:pPr>
              <w:pStyle w:val="CritList"/>
              <w:numPr>
                <w:ilvl w:val="3"/>
                <w:numId w:val="13"/>
              </w:numPr>
            </w:pPr>
            <w:r>
              <w:t xml:space="preserve">the </w:t>
            </w:r>
            <w:r w:rsidRPr="002F7D6B">
              <w:t>fifth</w:t>
            </w:r>
            <w:r>
              <w:t xml:space="preserve"> </w:t>
            </w:r>
            <w:r w:rsidRPr="00083358">
              <w:rPr>
                <w:i/>
                <w:color w:val="auto"/>
              </w:rPr>
              <w:t>storey</w:t>
            </w:r>
            <w:r>
              <w:t xml:space="preserve"> is setback a minimum of 3 metres from the front boundary</w:t>
            </w:r>
          </w:p>
          <w:p w:rsidR="00E358C2" w:rsidRDefault="00E358C2" w:rsidP="00095AB2">
            <w:pPr>
              <w:pStyle w:val="CritList"/>
              <w:numPr>
                <w:ilvl w:val="2"/>
                <w:numId w:val="13"/>
              </w:numPr>
            </w:pPr>
            <w:r>
              <w:t xml:space="preserve">six </w:t>
            </w:r>
            <w:r w:rsidRPr="00083358">
              <w:rPr>
                <w:i/>
                <w:color w:val="auto"/>
              </w:rPr>
              <w:t>storeys</w:t>
            </w:r>
            <w:r>
              <w:t xml:space="preserve"> is permitted for development facing Altree Court.</w:t>
            </w:r>
          </w:p>
          <w:p w:rsidR="00E358C2" w:rsidRPr="006D4030" w:rsidRDefault="00E358C2" w:rsidP="00095AB2">
            <w:pPr>
              <w:pStyle w:val="CritList"/>
              <w:numPr>
                <w:ilvl w:val="1"/>
                <w:numId w:val="13"/>
              </w:numPr>
            </w:pPr>
            <w:r>
              <w:rPr>
                <w:rFonts w:ascii="ArialMT" w:hAnsi="ArialMT" w:cs="ArialMT"/>
              </w:rPr>
              <w:t xml:space="preserve">Plant room set back a minimum of 3m from the building facade of the floor immediately below is not included in the number of </w:t>
            </w:r>
            <w:r w:rsidRPr="00083358">
              <w:rPr>
                <w:rFonts w:ascii="ArialMT" w:hAnsi="ArialMT" w:cs="ArialMT"/>
                <w:i/>
                <w:color w:val="auto"/>
              </w:rPr>
              <w:t>storeys</w:t>
            </w:r>
            <w:r>
              <w:rPr>
                <w:rFonts w:ascii="ArialMT" w:hAnsi="ArialMT" w:cs="ArialMT"/>
              </w:rPr>
              <w:t>.</w:t>
            </w:r>
          </w:p>
        </w:tc>
      </w:tr>
    </w:tbl>
    <w:p w:rsidR="00894061" w:rsidRDefault="00894061" w:rsidP="005A071D"/>
    <w:p w:rsidR="00BF24B1" w:rsidRDefault="00BF24B1" w:rsidP="005A071D"/>
    <w:p w:rsidR="00BF24B1" w:rsidRPr="0056366D" w:rsidRDefault="00622237" w:rsidP="00BF24B1">
      <w:pPr>
        <w:pStyle w:val="TAeditorialitemgeneralheading"/>
      </w:pPr>
      <w:r>
        <w:t>Additional rules and criteria – RC1 – Woden Town Centre; Element 2: Buildings; Item 2.1 Building heights; Rule</w:t>
      </w:r>
      <w:r w:rsidR="00BF24B1">
        <w:t xml:space="preserve"> R17</w:t>
      </w:r>
    </w:p>
    <w:p w:rsidR="00BF24B1" w:rsidRDefault="00BF24B1" w:rsidP="00BF24B1"/>
    <w:p w:rsidR="00BF24B1" w:rsidRPr="005A071D" w:rsidRDefault="00BF24B1" w:rsidP="00BF24B1">
      <w:pPr>
        <w:rPr>
          <w:i/>
        </w:rPr>
      </w:pPr>
      <w:r w:rsidRPr="005A071D">
        <w:rPr>
          <w:i/>
        </w:rPr>
        <w:t>Substitute</w:t>
      </w:r>
    </w:p>
    <w:p w:rsidR="00BF24B1" w:rsidRDefault="00BF24B1" w:rsidP="00BF24B1"/>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622237" w:rsidRPr="00187F78" w:rsidTr="00622237">
        <w:tc>
          <w:tcPr>
            <w:tcW w:w="4621" w:type="dxa"/>
            <w:shd w:val="clear" w:color="auto" w:fill="D9D9D9"/>
          </w:tcPr>
          <w:p w:rsidR="00622237" w:rsidRPr="00187F78" w:rsidRDefault="00622237" w:rsidP="00095AB2">
            <w:pPr>
              <w:pStyle w:val="RuleList"/>
              <w:numPr>
                <w:ilvl w:val="0"/>
                <w:numId w:val="0"/>
              </w:numPr>
              <w:rPr>
                <w:b/>
              </w:rPr>
            </w:pPr>
            <w:r w:rsidRPr="00187F78">
              <w:rPr>
                <w:b/>
              </w:rPr>
              <w:t>Rules</w:t>
            </w:r>
          </w:p>
        </w:tc>
        <w:tc>
          <w:tcPr>
            <w:tcW w:w="4622" w:type="dxa"/>
            <w:shd w:val="clear" w:color="auto" w:fill="D9D9D9"/>
          </w:tcPr>
          <w:p w:rsidR="00622237" w:rsidRPr="00187F78" w:rsidRDefault="00622237" w:rsidP="00095AB2">
            <w:pPr>
              <w:pStyle w:val="RuleList"/>
              <w:numPr>
                <w:ilvl w:val="0"/>
                <w:numId w:val="0"/>
              </w:numPr>
              <w:rPr>
                <w:b/>
              </w:rPr>
            </w:pPr>
            <w:r w:rsidRPr="00187F78">
              <w:rPr>
                <w:b/>
                <w:color w:val="000000"/>
              </w:rPr>
              <w:t>Criteria</w:t>
            </w:r>
          </w:p>
        </w:tc>
      </w:tr>
      <w:tr w:rsidR="001D467E" w:rsidRPr="006D4030" w:rsidTr="00622237">
        <w:tblPrEx>
          <w:tblLook w:val="0000" w:firstRow="0" w:lastRow="0" w:firstColumn="0" w:lastColumn="0" w:noHBand="0" w:noVBand="0"/>
        </w:tblPrEx>
        <w:tc>
          <w:tcPr>
            <w:tcW w:w="4621" w:type="dxa"/>
            <w:shd w:val="clear" w:color="auto" w:fill="FFFFFF"/>
          </w:tcPr>
          <w:p w:rsidR="001D467E" w:rsidRPr="00E44D7D" w:rsidRDefault="001D467E" w:rsidP="001D467E">
            <w:pPr>
              <w:pStyle w:val="RuleList"/>
              <w:numPr>
                <w:ilvl w:val="0"/>
                <w:numId w:val="0"/>
              </w:numPr>
              <w:ind w:left="34"/>
              <w:rPr>
                <w:rFonts w:ascii="ArialMT" w:hAnsi="ArialMT" w:cs="ArialMT"/>
              </w:rPr>
            </w:pPr>
            <w:r w:rsidRPr="00E44D7D">
              <w:rPr>
                <w:rFonts w:ascii="ArialMT" w:hAnsi="ArialMT" w:cs="ArialMT"/>
              </w:rPr>
              <w:t>R17</w:t>
            </w:r>
          </w:p>
          <w:p w:rsidR="001D467E" w:rsidRPr="00E44D7D" w:rsidRDefault="001D467E" w:rsidP="00E44D7D">
            <w:pPr>
              <w:pStyle w:val="RuleList"/>
              <w:numPr>
                <w:ilvl w:val="0"/>
                <w:numId w:val="0"/>
              </w:numPr>
              <w:ind w:left="34"/>
              <w:rPr>
                <w:rFonts w:ascii="ArialMT" w:hAnsi="ArialMT" w:cs="ArialMT"/>
              </w:rPr>
            </w:pPr>
            <w:r w:rsidRPr="00E44D7D">
              <w:rPr>
                <w:rFonts w:ascii="ArialMT" w:hAnsi="ArialMT" w:cs="ArialMT"/>
              </w:rPr>
              <w:t>This rule applies to CZ3.</w:t>
            </w:r>
          </w:p>
          <w:p w:rsidR="001D467E" w:rsidRPr="002B1058" w:rsidRDefault="001D467E" w:rsidP="00E44D7D">
            <w:pPr>
              <w:pStyle w:val="RuleList"/>
              <w:numPr>
                <w:ilvl w:val="0"/>
                <w:numId w:val="0"/>
              </w:numPr>
              <w:ind w:left="34"/>
              <w:rPr>
                <w:rFonts w:ascii="ArialMT" w:hAnsi="ArialMT" w:cs="ArialMT"/>
              </w:rPr>
            </w:pPr>
            <w:r>
              <w:rPr>
                <w:rFonts w:ascii="ArialMT" w:hAnsi="ArialMT" w:cs="ArialMT"/>
              </w:rPr>
              <w:t>The portion of development above the first floor fronting on to Grenville Court, Prospect Court, Bellona Court or Devine Court is set back a minimum of 6m from the street front boundary.</w:t>
            </w:r>
          </w:p>
        </w:tc>
        <w:tc>
          <w:tcPr>
            <w:tcW w:w="4622" w:type="dxa"/>
            <w:shd w:val="clear" w:color="auto" w:fill="FFFFFF"/>
          </w:tcPr>
          <w:p w:rsidR="001D467E" w:rsidRPr="00640D27" w:rsidRDefault="001D467E" w:rsidP="001D467E">
            <w:pPr>
              <w:pStyle w:val="CritList"/>
              <w:numPr>
                <w:ilvl w:val="0"/>
                <w:numId w:val="0"/>
              </w:numPr>
            </w:pPr>
            <w:r w:rsidRPr="00640D27">
              <w:t>C17</w:t>
            </w:r>
          </w:p>
          <w:p w:rsidR="001D467E" w:rsidRPr="00E44D7D" w:rsidRDefault="001D467E" w:rsidP="001D467E">
            <w:pPr>
              <w:pStyle w:val="CritList"/>
              <w:numPr>
                <w:ilvl w:val="0"/>
                <w:numId w:val="0"/>
              </w:numPr>
              <w:rPr>
                <w:color w:val="auto"/>
              </w:rPr>
            </w:pPr>
            <w:r w:rsidRPr="00E44D7D">
              <w:rPr>
                <w:color w:val="auto"/>
              </w:rPr>
              <w:t>Setbacks for development above the first floor in sections 37, 40, 42, 46 and 112 may be reduced, up to 0m from each boundary, where development does not significantly impact on adjoining dwellings through overlooking or overshadowing.</w:t>
            </w:r>
          </w:p>
        </w:tc>
      </w:tr>
    </w:tbl>
    <w:p w:rsidR="00622237" w:rsidRDefault="00622237" w:rsidP="00BF24B1"/>
    <w:p w:rsidR="00794559" w:rsidRDefault="00794559" w:rsidP="00BD5878">
      <w:pPr>
        <w:pStyle w:val="TAsectionheading3"/>
        <w:numPr>
          <w:ilvl w:val="0"/>
          <w:numId w:val="0"/>
        </w:numPr>
      </w:pPr>
    </w:p>
    <w:p w:rsidR="00CC3991" w:rsidRPr="00CC3991" w:rsidRDefault="00CC3991" w:rsidP="00CC3991">
      <w:pPr>
        <w:sectPr w:rsidR="00CC3991" w:rsidRPr="00CC3991" w:rsidSect="00EA13A3">
          <w:headerReference w:type="default" r:id="rId19"/>
          <w:footerReference w:type="default" r:id="rId20"/>
          <w:type w:val="continuous"/>
          <w:pgSz w:w="11906" w:h="16838"/>
          <w:pgMar w:top="1276" w:right="1418" w:bottom="1440" w:left="1418" w:header="709" w:footer="380" w:gutter="0"/>
          <w:pgNumType w:start="1"/>
          <w:cols w:space="708"/>
          <w:docGrid w:linePitch="360"/>
        </w:sectPr>
      </w:pPr>
    </w:p>
    <w:p w:rsidR="001D04F6" w:rsidRPr="008A2AE9" w:rsidRDefault="003E0DA3" w:rsidP="001D04F6">
      <w:pPr>
        <w:pStyle w:val="TAinterpretationservicetitle"/>
      </w:pPr>
      <w:r w:rsidRPr="00BE441E">
        <w:t>Interpretation service</w:t>
      </w:r>
    </w:p>
    <w:p w:rsidR="001D04F6" w:rsidRPr="00BE441E" w:rsidRDefault="00521FE2" w:rsidP="001D04F6">
      <w:pPr>
        <w:pStyle w:val="BodyText"/>
      </w:pPr>
      <w:r w:rsidRPr="000742E2">
        <w:rPr>
          <w:noProof/>
        </w:rPr>
        <w:pict>
          <v:shape id="Picture 1" o:spid="_x0000_i1027" type="#_x0000_t75" alt="Trans" style="width:423pt;height:279pt;visibility:visible">
            <v:imagedata r:id="rId21" o:title="Trans"/>
          </v:shape>
        </w:pict>
      </w:r>
    </w:p>
    <w:p w:rsidR="001D04F6" w:rsidRDefault="001D04F6" w:rsidP="001D04F6">
      <w:pPr>
        <w:pStyle w:val="BodyText"/>
      </w:pPr>
    </w:p>
    <w:p w:rsidR="001D04F6" w:rsidRDefault="001D04F6" w:rsidP="001D04F6">
      <w:pPr>
        <w:pStyle w:val="BodyText"/>
      </w:pPr>
    </w:p>
    <w:p w:rsidR="001D04F6" w:rsidRPr="008A2AE9" w:rsidRDefault="001D04F6" w:rsidP="001D04F6">
      <w:pPr>
        <w:pStyle w:val="BodyText"/>
      </w:pPr>
    </w:p>
    <w:sectPr w:rsidR="001D04F6" w:rsidRPr="008A2AE9" w:rsidSect="001D04F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B0B" w:rsidRDefault="00DD3B0B">
      <w:r>
        <w:separator/>
      </w:r>
    </w:p>
  </w:endnote>
  <w:endnote w:type="continuationSeparator" w:id="0">
    <w:p w:rsidR="00DD3B0B" w:rsidRDefault="00DD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Default="00336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Pr="00336EA5" w:rsidRDefault="00336EA5" w:rsidP="00336EA5">
    <w:pPr>
      <w:pStyle w:val="Footer"/>
      <w:jc w:val="center"/>
      <w:rPr>
        <w:rFonts w:cs="Arial"/>
        <w:sz w:val="14"/>
      </w:rPr>
    </w:pPr>
    <w:r w:rsidRPr="00336EA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Pr="00336EA5" w:rsidRDefault="00336EA5" w:rsidP="00336EA5">
    <w:pPr>
      <w:pStyle w:val="Footer"/>
      <w:jc w:val="center"/>
      <w:rPr>
        <w:rFonts w:cs="Arial"/>
        <w:sz w:val="14"/>
      </w:rPr>
    </w:pPr>
    <w:r w:rsidRPr="00336EA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1FA" w:rsidRPr="00336EA5" w:rsidRDefault="00336EA5" w:rsidP="00336EA5">
    <w:pPr>
      <w:pStyle w:val="TAfooter"/>
      <w:rPr>
        <w:sz w:val="14"/>
      </w:rPr>
    </w:pPr>
    <w:r w:rsidRPr="00336EA5">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1FA" w:rsidRPr="00257223" w:rsidRDefault="001D21FA" w:rsidP="00521FE2">
    <w:pPr>
      <w:pStyle w:val="Footer"/>
      <w:tabs>
        <w:tab w:val="clear" w:pos="4153"/>
        <w:tab w:val="clear" w:pos="8306"/>
        <w:tab w:val="center" w:pos="4535"/>
        <w:tab w:val="right" w:pos="9070"/>
      </w:tabs>
      <w:jc w:val="both"/>
      <w:rPr>
        <w:color w:val="FF0000"/>
        <w:sz w:val="20"/>
        <w:szCs w:val="20"/>
      </w:rPr>
    </w:pPr>
    <w:r w:rsidRPr="00774E62">
      <w:rPr>
        <w:sz w:val="22"/>
        <w:szCs w:val="22"/>
      </w:rPr>
      <w:t>T</w:t>
    </w:r>
    <w:r w:rsidR="00472FF7">
      <w:rPr>
        <w:sz w:val="22"/>
        <w:szCs w:val="22"/>
      </w:rPr>
      <w:t>A2019-02</w:t>
    </w:r>
    <w:r w:rsidR="00521FE2">
      <w:rPr>
        <w:sz w:val="22"/>
        <w:szCs w:val="22"/>
      </w:rPr>
      <w:tab/>
    </w:r>
    <w:r w:rsidR="00880023">
      <w:rPr>
        <w:sz w:val="22"/>
        <w:szCs w:val="22"/>
      </w:rPr>
      <w:t>March</w:t>
    </w:r>
    <w:r w:rsidR="00472FF7">
      <w:rPr>
        <w:sz w:val="22"/>
        <w:szCs w:val="22"/>
      </w:rPr>
      <w:t xml:space="preserve"> 2019</w:t>
    </w:r>
    <w:r w:rsidR="00521FE2" w:rsidRPr="00C0173E">
      <w:rPr>
        <w:sz w:val="22"/>
        <w:szCs w:val="22"/>
      </w:rPr>
      <w:tab/>
    </w:r>
    <w:r w:rsidRPr="00C0173E">
      <w:rPr>
        <w:sz w:val="22"/>
        <w:szCs w:val="22"/>
      </w:rPr>
      <w:t>page</w:t>
    </w:r>
    <w:r>
      <w:rPr>
        <w:sz w:val="22"/>
        <w:szCs w:val="22"/>
      </w:rPr>
      <w:t xml:space="preserv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1C6AF5">
      <w:rPr>
        <w:noProof/>
        <w:sz w:val="22"/>
        <w:szCs w:val="22"/>
      </w:rPr>
      <w:t>1</w:t>
    </w:r>
    <w:r w:rsidRPr="00941A1F">
      <w:rPr>
        <w:sz w:val="22"/>
        <w:szCs w:val="22"/>
      </w:rPr>
      <w:fldChar w:fldCharType="end"/>
    </w:r>
  </w:p>
  <w:p w:rsidR="001D21FA" w:rsidRPr="00336EA5" w:rsidRDefault="00336EA5" w:rsidP="00336EA5">
    <w:pPr>
      <w:pStyle w:val="Footer"/>
      <w:jc w:val="center"/>
      <w:rPr>
        <w:rFonts w:cs="Arial"/>
        <w:sz w:val="14"/>
      </w:rPr>
    </w:pPr>
    <w:r w:rsidRPr="00336EA5">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B0B" w:rsidRDefault="00DD3B0B">
      <w:r>
        <w:separator/>
      </w:r>
    </w:p>
  </w:footnote>
  <w:footnote w:type="continuationSeparator" w:id="0">
    <w:p w:rsidR="00DD3B0B" w:rsidRDefault="00DD3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Default="00336E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Default="00336E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A5" w:rsidRDefault="00336E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AF5" w:rsidRPr="00312DF5" w:rsidRDefault="001C6AF5" w:rsidP="002B25ED">
    <w:pPr>
      <w:pStyle w:val="Header"/>
      <w:spacing w:before="360"/>
      <w:rPr>
        <w:rFonts w:ascii="Calibri" w:hAnsi="Calibri" w:cs="Calibri"/>
        <w:b/>
        <w:sz w:val="32"/>
        <w:szCs w:val="32"/>
      </w:rPr>
    </w:pPr>
    <w:r w:rsidRPr="00521FE2">
      <w:rPr>
        <w:rFonts w:ascii="Calibri" w:hAnsi="Calibri" w:cs="Calibri"/>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1.25pt;height:83.25pt;visibility:visible">
          <v:imagedata r:id="rId1" o:title="ACTGov_EPSDD_inline_black"/>
        </v:shape>
      </w:pict>
    </w:r>
  </w:p>
  <w:p w:rsidR="001C6AF5" w:rsidRDefault="001C6A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1FA" w:rsidRDefault="001D21FA" w:rsidP="001D04F6">
    <w:pPr>
      <w:pStyle w:val="TA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2"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3" w15:restartNumberingAfterBreak="0">
    <w:nsid w:val="234966C6"/>
    <w:multiLevelType w:val="hybridMultilevel"/>
    <w:tmpl w:val="01FC6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5" w15:restartNumberingAfterBreak="0">
    <w:nsid w:val="2DFA182E"/>
    <w:multiLevelType w:val="multilevel"/>
    <w:tmpl w:val="EDFC759E"/>
    <w:lvl w:ilvl="0">
      <w:start w:val="6"/>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7" w15:restartNumberingAfterBreak="0">
    <w:nsid w:val="362A324A"/>
    <w:multiLevelType w:val="multilevel"/>
    <w:tmpl w:val="7E74C1D0"/>
    <w:lvl w:ilvl="0">
      <w:start w:val="1"/>
      <w:numFmt w:val="decimal"/>
      <w:pStyle w:val="codeCriteriaList"/>
      <w:suff w:val="nothing"/>
      <w:lvlText w:val="C%1"/>
      <w:lvlJc w:val="left"/>
      <w:pPr>
        <w:ind w:left="28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codeCriteriaListA"/>
      <w:suff w:val="nothing"/>
      <w:lvlText w:val="C%1%2"/>
      <w:lvlJc w:val="left"/>
      <w:pPr>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4631039D"/>
    <w:multiLevelType w:val="hybridMultilevel"/>
    <w:tmpl w:val="C2F00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95734CF"/>
    <w:multiLevelType w:val="multilevel"/>
    <w:tmpl w:val="22A227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4"/>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38A759E"/>
    <w:multiLevelType w:val="hybridMultilevel"/>
    <w:tmpl w:val="1346A10E"/>
    <w:lvl w:ilvl="0" w:tplc="5C1AEBE2">
      <w:start w:val="6"/>
      <w:numFmt w:val="decimal"/>
      <w:lvlText w:val="%1.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16" w15:restartNumberingAfterBreak="0">
    <w:nsid w:val="65E13AE1"/>
    <w:multiLevelType w:val="multilevel"/>
    <w:tmpl w:val="2E32A05C"/>
    <w:lvl w:ilvl="0">
      <w:start w:val="16"/>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7"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9" w15:restartNumberingAfterBreak="0">
    <w:nsid w:val="6E157DCC"/>
    <w:multiLevelType w:val="hybridMultilevel"/>
    <w:tmpl w:val="C046D8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32100B7"/>
    <w:multiLevelType w:val="hybridMultilevel"/>
    <w:tmpl w:val="1CFE9FBC"/>
    <w:lvl w:ilvl="0" w:tplc="4F9A2858">
      <w:start w:val="1"/>
      <w:numFmt w:val="lowerLetter"/>
      <w:lvlText w:val="%1)"/>
      <w:lvlJc w:val="left"/>
      <w:pPr>
        <w:ind w:left="720" w:hanging="360"/>
      </w:pPr>
    </w:lvl>
    <w:lvl w:ilvl="1" w:tplc="3FEE1486" w:tentative="1">
      <w:start w:val="1"/>
      <w:numFmt w:val="lowerLetter"/>
      <w:lvlText w:val="%2."/>
      <w:lvlJc w:val="left"/>
      <w:pPr>
        <w:ind w:left="1440" w:hanging="360"/>
      </w:pPr>
    </w:lvl>
    <w:lvl w:ilvl="2" w:tplc="9D2C3AC8" w:tentative="1">
      <w:start w:val="1"/>
      <w:numFmt w:val="lowerRoman"/>
      <w:lvlText w:val="%3."/>
      <w:lvlJc w:val="right"/>
      <w:pPr>
        <w:ind w:left="2160" w:hanging="180"/>
      </w:pPr>
    </w:lvl>
    <w:lvl w:ilvl="3" w:tplc="9DB6EC70" w:tentative="1">
      <w:start w:val="1"/>
      <w:numFmt w:val="decimal"/>
      <w:lvlText w:val="%4."/>
      <w:lvlJc w:val="left"/>
      <w:pPr>
        <w:ind w:left="2880" w:hanging="360"/>
      </w:pPr>
    </w:lvl>
    <w:lvl w:ilvl="4" w:tplc="1C7E6F34" w:tentative="1">
      <w:start w:val="1"/>
      <w:numFmt w:val="lowerLetter"/>
      <w:lvlText w:val="%5."/>
      <w:lvlJc w:val="left"/>
      <w:pPr>
        <w:ind w:left="3600" w:hanging="360"/>
      </w:pPr>
    </w:lvl>
    <w:lvl w:ilvl="5" w:tplc="9E1E6D7E" w:tentative="1">
      <w:start w:val="1"/>
      <w:numFmt w:val="lowerRoman"/>
      <w:lvlText w:val="%6."/>
      <w:lvlJc w:val="right"/>
      <w:pPr>
        <w:ind w:left="4320" w:hanging="180"/>
      </w:pPr>
    </w:lvl>
    <w:lvl w:ilvl="6" w:tplc="E1DC35EC" w:tentative="1">
      <w:start w:val="1"/>
      <w:numFmt w:val="decimal"/>
      <w:lvlText w:val="%7."/>
      <w:lvlJc w:val="left"/>
      <w:pPr>
        <w:ind w:left="5040" w:hanging="360"/>
      </w:pPr>
    </w:lvl>
    <w:lvl w:ilvl="7" w:tplc="132822DA" w:tentative="1">
      <w:start w:val="1"/>
      <w:numFmt w:val="lowerLetter"/>
      <w:lvlText w:val="%8."/>
      <w:lvlJc w:val="left"/>
      <w:pPr>
        <w:ind w:left="5760" w:hanging="360"/>
      </w:pPr>
    </w:lvl>
    <w:lvl w:ilvl="8" w:tplc="6FE885BE" w:tentative="1">
      <w:start w:val="1"/>
      <w:numFmt w:val="lowerRoman"/>
      <w:lvlText w:val="%9."/>
      <w:lvlJc w:val="right"/>
      <w:pPr>
        <w:ind w:left="6480" w:hanging="180"/>
      </w:pPr>
    </w:lvl>
  </w:abstractNum>
  <w:abstractNum w:abstractNumId="21" w15:restartNumberingAfterBreak="0">
    <w:nsid w:val="77A36D01"/>
    <w:multiLevelType w:val="multilevel"/>
    <w:tmpl w:val="CB306E1E"/>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1"/>
  </w:num>
  <w:num w:numId="4">
    <w:abstractNumId w:val="5"/>
  </w:num>
  <w:num w:numId="5">
    <w:abstractNumId w:val="6"/>
  </w:num>
  <w:num w:numId="6">
    <w:abstractNumId w:val="1"/>
  </w:num>
  <w:num w:numId="7">
    <w:abstractNumId w:val="4"/>
  </w:num>
  <w:num w:numId="8">
    <w:abstractNumId w:val="3"/>
  </w:num>
  <w:num w:numId="9">
    <w:abstractNumId w:val="15"/>
  </w:num>
  <w:num w:numId="10">
    <w:abstractNumId w:val="22"/>
  </w:num>
  <w:num w:numId="11">
    <w:abstractNumId w:val="0"/>
  </w:num>
  <w:num w:numId="12">
    <w:abstractNumId w:val="2"/>
  </w:num>
  <w:num w:numId="13">
    <w:abstractNumId w:val="16"/>
  </w:num>
  <w:num w:numId="14">
    <w:abstractNumId w:val="18"/>
  </w:num>
  <w:num w:numId="15">
    <w:abstractNumId w:val="11"/>
  </w:num>
  <w:num w:numId="16">
    <w:abstractNumId w:val="9"/>
  </w:num>
  <w:num w:numId="17">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7"/>
  </w:num>
  <w:num w:numId="21">
    <w:abstractNumId w:val="20"/>
  </w:num>
  <w:num w:numId="22">
    <w:abstractNumId w:val="1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1"/>
  </w:num>
  <w:num w:numId="31">
    <w:abstractNumId w:val="21"/>
  </w:num>
  <w:num w:numId="32">
    <w:abstractNumId w:val="21"/>
  </w:num>
  <w:num w:numId="33">
    <w:abstractNumId w:val="18"/>
  </w:num>
  <w:num w:numId="34">
    <w:abstractNumId w:val="16"/>
  </w:num>
  <w:num w:numId="35">
    <w:abstractNumId w:val="16"/>
  </w:num>
  <w:num w:numId="36">
    <w:abstractNumId w:val="8"/>
  </w:num>
  <w:num w:numId="37">
    <w:abstractNumId w:val="13"/>
  </w:num>
  <w:num w:numId="38">
    <w:abstractNumId w:val="12"/>
  </w:num>
  <w:num w:numId="39">
    <w:abstractNumId w:val="21"/>
  </w:num>
  <w:num w:numId="4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2F5"/>
    <w:rsid w:val="00002362"/>
    <w:rsid w:val="00011CED"/>
    <w:rsid w:val="0001254C"/>
    <w:rsid w:val="00013DF2"/>
    <w:rsid w:val="000171BB"/>
    <w:rsid w:val="00017FCA"/>
    <w:rsid w:val="0002236B"/>
    <w:rsid w:val="00023409"/>
    <w:rsid w:val="000349B3"/>
    <w:rsid w:val="000378E3"/>
    <w:rsid w:val="0004177D"/>
    <w:rsid w:val="00042D26"/>
    <w:rsid w:val="0005163B"/>
    <w:rsid w:val="0005175A"/>
    <w:rsid w:val="00052A73"/>
    <w:rsid w:val="00057CA1"/>
    <w:rsid w:val="0006188E"/>
    <w:rsid w:val="00062B4C"/>
    <w:rsid w:val="000640A9"/>
    <w:rsid w:val="00064E2C"/>
    <w:rsid w:val="00065E65"/>
    <w:rsid w:val="00075306"/>
    <w:rsid w:val="00083358"/>
    <w:rsid w:val="000925A1"/>
    <w:rsid w:val="00092E16"/>
    <w:rsid w:val="0009347A"/>
    <w:rsid w:val="00095AB2"/>
    <w:rsid w:val="000A0C9C"/>
    <w:rsid w:val="000A11E8"/>
    <w:rsid w:val="000A56AC"/>
    <w:rsid w:val="000A5E81"/>
    <w:rsid w:val="000B0E84"/>
    <w:rsid w:val="000B2972"/>
    <w:rsid w:val="000B2E49"/>
    <w:rsid w:val="000B551F"/>
    <w:rsid w:val="000B7036"/>
    <w:rsid w:val="000B73E6"/>
    <w:rsid w:val="000C3CFA"/>
    <w:rsid w:val="000C7CD6"/>
    <w:rsid w:val="000F0005"/>
    <w:rsid w:val="000F207F"/>
    <w:rsid w:val="000F30AA"/>
    <w:rsid w:val="000F6C4A"/>
    <w:rsid w:val="00105521"/>
    <w:rsid w:val="00107315"/>
    <w:rsid w:val="001079CA"/>
    <w:rsid w:val="00110372"/>
    <w:rsid w:val="00113201"/>
    <w:rsid w:val="0011561C"/>
    <w:rsid w:val="00115D9B"/>
    <w:rsid w:val="00115EE6"/>
    <w:rsid w:val="0012043C"/>
    <w:rsid w:val="001212F6"/>
    <w:rsid w:val="001226C2"/>
    <w:rsid w:val="001270DD"/>
    <w:rsid w:val="00132B0F"/>
    <w:rsid w:val="00136661"/>
    <w:rsid w:val="001434B2"/>
    <w:rsid w:val="001514C5"/>
    <w:rsid w:val="00152A43"/>
    <w:rsid w:val="001557A0"/>
    <w:rsid w:val="00167793"/>
    <w:rsid w:val="001710D5"/>
    <w:rsid w:val="00176611"/>
    <w:rsid w:val="001766B0"/>
    <w:rsid w:val="001772F2"/>
    <w:rsid w:val="00180B9D"/>
    <w:rsid w:val="00187850"/>
    <w:rsid w:val="00187F78"/>
    <w:rsid w:val="001912E4"/>
    <w:rsid w:val="00191965"/>
    <w:rsid w:val="0019291E"/>
    <w:rsid w:val="00193697"/>
    <w:rsid w:val="00196C25"/>
    <w:rsid w:val="001A331F"/>
    <w:rsid w:val="001A3A18"/>
    <w:rsid w:val="001B0839"/>
    <w:rsid w:val="001B7016"/>
    <w:rsid w:val="001B7A01"/>
    <w:rsid w:val="001B7D83"/>
    <w:rsid w:val="001C018E"/>
    <w:rsid w:val="001C054D"/>
    <w:rsid w:val="001C2AD0"/>
    <w:rsid w:val="001C500F"/>
    <w:rsid w:val="001C50E7"/>
    <w:rsid w:val="001C6AF5"/>
    <w:rsid w:val="001D04F6"/>
    <w:rsid w:val="001D11B6"/>
    <w:rsid w:val="001D21FA"/>
    <w:rsid w:val="001D467E"/>
    <w:rsid w:val="001D5E00"/>
    <w:rsid w:val="001E0B73"/>
    <w:rsid w:val="001E4ED3"/>
    <w:rsid w:val="001F0F10"/>
    <w:rsid w:val="001F1559"/>
    <w:rsid w:val="001F4F13"/>
    <w:rsid w:val="001F63E5"/>
    <w:rsid w:val="00203909"/>
    <w:rsid w:val="00205AA6"/>
    <w:rsid w:val="00214AE9"/>
    <w:rsid w:val="00216993"/>
    <w:rsid w:val="00220CE3"/>
    <w:rsid w:val="00230BCD"/>
    <w:rsid w:val="00235FC0"/>
    <w:rsid w:val="00237EA5"/>
    <w:rsid w:val="0025048C"/>
    <w:rsid w:val="00253941"/>
    <w:rsid w:val="002550BF"/>
    <w:rsid w:val="00255D9E"/>
    <w:rsid w:val="00264F96"/>
    <w:rsid w:val="002704D1"/>
    <w:rsid w:val="00283CBE"/>
    <w:rsid w:val="0028762C"/>
    <w:rsid w:val="00291D65"/>
    <w:rsid w:val="00293B61"/>
    <w:rsid w:val="0029529E"/>
    <w:rsid w:val="002963E1"/>
    <w:rsid w:val="00296BA5"/>
    <w:rsid w:val="002A0C8F"/>
    <w:rsid w:val="002A1315"/>
    <w:rsid w:val="002A173C"/>
    <w:rsid w:val="002A1B45"/>
    <w:rsid w:val="002A4325"/>
    <w:rsid w:val="002A4572"/>
    <w:rsid w:val="002B0280"/>
    <w:rsid w:val="002B1058"/>
    <w:rsid w:val="002B1A40"/>
    <w:rsid w:val="002B25ED"/>
    <w:rsid w:val="002B5B5E"/>
    <w:rsid w:val="002C0D3E"/>
    <w:rsid w:val="002C47FF"/>
    <w:rsid w:val="002C5E74"/>
    <w:rsid w:val="002C62FD"/>
    <w:rsid w:val="002D0DA8"/>
    <w:rsid w:val="002D0FDE"/>
    <w:rsid w:val="002D3FE1"/>
    <w:rsid w:val="002D4BD8"/>
    <w:rsid w:val="002D63B9"/>
    <w:rsid w:val="002E256B"/>
    <w:rsid w:val="002E3358"/>
    <w:rsid w:val="002E7225"/>
    <w:rsid w:val="002F063D"/>
    <w:rsid w:val="002F2C40"/>
    <w:rsid w:val="002F2D94"/>
    <w:rsid w:val="00301981"/>
    <w:rsid w:val="003042B3"/>
    <w:rsid w:val="00305156"/>
    <w:rsid w:val="00305E13"/>
    <w:rsid w:val="003102A9"/>
    <w:rsid w:val="003111A8"/>
    <w:rsid w:val="00312581"/>
    <w:rsid w:val="00314319"/>
    <w:rsid w:val="00314C7A"/>
    <w:rsid w:val="00316BD8"/>
    <w:rsid w:val="00323704"/>
    <w:rsid w:val="003255FD"/>
    <w:rsid w:val="00325648"/>
    <w:rsid w:val="00331431"/>
    <w:rsid w:val="00332269"/>
    <w:rsid w:val="00336CE4"/>
    <w:rsid w:val="00336EA5"/>
    <w:rsid w:val="003454AB"/>
    <w:rsid w:val="00345557"/>
    <w:rsid w:val="003457B3"/>
    <w:rsid w:val="00347A2F"/>
    <w:rsid w:val="003520AA"/>
    <w:rsid w:val="00363B12"/>
    <w:rsid w:val="00364BFC"/>
    <w:rsid w:val="00365905"/>
    <w:rsid w:val="00366642"/>
    <w:rsid w:val="00367D77"/>
    <w:rsid w:val="0037251F"/>
    <w:rsid w:val="003731A5"/>
    <w:rsid w:val="003817FD"/>
    <w:rsid w:val="003821A5"/>
    <w:rsid w:val="00383C9D"/>
    <w:rsid w:val="00384943"/>
    <w:rsid w:val="003915A4"/>
    <w:rsid w:val="00397714"/>
    <w:rsid w:val="003A2E1B"/>
    <w:rsid w:val="003A2F37"/>
    <w:rsid w:val="003A30CD"/>
    <w:rsid w:val="003B4F74"/>
    <w:rsid w:val="003B5B56"/>
    <w:rsid w:val="003B7DE2"/>
    <w:rsid w:val="003E0D22"/>
    <w:rsid w:val="003E0DA3"/>
    <w:rsid w:val="003E577A"/>
    <w:rsid w:val="003E5E99"/>
    <w:rsid w:val="003E687C"/>
    <w:rsid w:val="003E7E78"/>
    <w:rsid w:val="003F13BA"/>
    <w:rsid w:val="003F62A4"/>
    <w:rsid w:val="004014B3"/>
    <w:rsid w:val="00402501"/>
    <w:rsid w:val="00405175"/>
    <w:rsid w:val="004079CE"/>
    <w:rsid w:val="0041062B"/>
    <w:rsid w:val="00411254"/>
    <w:rsid w:val="00413ADA"/>
    <w:rsid w:val="00414FB8"/>
    <w:rsid w:val="00416283"/>
    <w:rsid w:val="004166D6"/>
    <w:rsid w:val="004218A3"/>
    <w:rsid w:val="0042292B"/>
    <w:rsid w:val="004241FE"/>
    <w:rsid w:val="00430533"/>
    <w:rsid w:val="004305B0"/>
    <w:rsid w:val="004334BF"/>
    <w:rsid w:val="00437CA5"/>
    <w:rsid w:val="00440CD3"/>
    <w:rsid w:val="00442281"/>
    <w:rsid w:val="0044404F"/>
    <w:rsid w:val="004460DB"/>
    <w:rsid w:val="00446856"/>
    <w:rsid w:val="00451262"/>
    <w:rsid w:val="00452C8F"/>
    <w:rsid w:val="00455633"/>
    <w:rsid w:val="00463E60"/>
    <w:rsid w:val="00466E95"/>
    <w:rsid w:val="00467BD4"/>
    <w:rsid w:val="00467C77"/>
    <w:rsid w:val="00470166"/>
    <w:rsid w:val="0047073D"/>
    <w:rsid w:val="00472FF7"/>
    <w:rsid w:val="004823F5"/>
    <w:rsid w:val="004828EF"/>
    <w:rsid w:val="00483C61"/>
    <w:rsid w:val="00484054"/>
    <w:rsid w:val="00484C58"/>
    <w:rsid w:val="00485C1D"/>
    <w:rsid w:val="0049798D"/>
    <w:rsid w:val="004A10C3"/>
    <w:rsid w:val="004B26CA"/>
    <w:rsid w:val="004B50AD"/>
    <w:rsid w:val="004B5810"/>
    <w:rsid w:val="004C0C98"/>
    <w:rsid w:val="004C32B8"/>
    <w:rsid w:val="004C5FCA"/>
    <w:rsid w:val="004D0C91"/>
    <w:rsid w:val="004D3125"/>
    <w:rsid w:val="004D4586"/>
    <w:rsid w:val="004E3303"/>
    <w:rsid w:val="004E4672"/>
    <w:rsid w:val="004F0BEB"/>
    <w:rsid w:val="004F20A2"/>
    <w:rsid w:val="004F2366"/>
    <w:rsid w:val="004F247B"/>
    <w:rsid w:val="004F3D05"/>
    <w:rsid w:val="004F3ECE"/>
    <w:rsid w:val="004F444C"/>
    <w:rsid w:val="004F5E65"/>
    <w:rsid w:val="004F5F4C"/>
    <w:rsid w:val="004F774F"/>
    <w:rsid w:val="004F7841"/>
    <w:rsid w:val="00514ECF"/>
    <w:rsid w:val="00516743"/>
    <w:rsid w:val="00521FE2"/>
    <w:rsid w:val="00522EF6"/>
    <w:rsid w:val="00530454"/>
    <w:rsid w:val="005304A6"/>
    <w:rsid w:val="00531F57"/>
    <w:rsid w:val="00533680"/>
    <w:rsid w:val="00536352"/>
    <w:rsid w:val="00540EED"/>
    <w:rsid w:val="005413F9"/>
    <w:rsid w:val="005434BB"/>
    <w:rsid w:val="005462CF"/>
    <w:rsid w:val="005478BD"/>
    <w:rsid w:val="005508C5"/>
    <w:rsid w:val="0055120C"/>
    <w:rsid w:val="00554FBD"/>
    <w:rsid w:val="005568A4"/>
    <w:rsid w:val="00556C8C"/>
    <w:rsid w:val="00557410"/>
    <w:rsid w:val="00564F8F"/>
    <w:rsid w:val="005661CF"/>
    <w:rsid w:val="005758E2"/>
    <w:rsid w:val="0058364D"/>
    <w:rsid w:val="00590591"/>
    <w:rsid w:val="005A071D"/>
    <w:rsid w:val="005A4529"/>
    <w:rsid w:val="005A6890"/>
    <w:rsid w:val="005C2830"/>
    <w:rsid w:val="005C52DA"/>
    <w:rsid w:val="005C60C7"/>
    <w:rsid w:val="005D3A13"/>
    <w:rsid w:val="005E07C9"/>
    <w:rsid w:val="005E08A6"/>
    <w:rsid w:val="005E3BF8"/>
    <w:rsid w:val="005E5077"/>
    <w:rsid w:val="005E70C8"/>
    <w:rsid w:val="005F2DF3"/>
    <w:rsid w:val="005F7DA3"/>
    <w:rsid w:val="00603798"/>
    <w:rsid w:val="00606597"/>
    <w:rsid w:val="00606707"/>
    <w:rsid w:val="00611C3D"/>
    <w:rsid w:val="006139CE"/>
    <w:rsid w:val="00615288"/>
    <w:rsid w:val="00616152"/>
    <w:rsid w:val="00622237"/>
    <w:rsid w:val="00622619"/>
    <w:rsid w:val="00623298"/>
    <w:rsid w:val="00623337"/>
    <w:rsid w:val="00625029"/>
    <w:rsid w:val="006318D8"/>
    <w:rsid w:val="00634056"/>
    <w:rsid w:val="00635B58"/>
    <w:rsid w:val="006361EE"/>
    <w:rsid w:val="006404BD"/>
    <w:rsid w:val="00640D27"/>
    <w:rsid w:val="00642732"/>
    <w:rsid w:val="00642D07"/>
    <w:rsid w:val="00642F7B"/>
    <w:rsid w:val="006443BD"/>
    <w:rsid w:val="00656CD5"/>
    <w:rsid w:val="00657712"/>
    <w:rsid w:val="00667E00"/>
    <w:rsid w:val="006726D9"/>
    <w:rsid w:val="00673C41"/>
    <w:rsid w:val="00675022"/>
    <w:rsid w:val="00677AB2"/>
    <w:rsid w:val="00680F6E"/>
    <w:rsid w:val="00683FDE"/>
    <w:rsid w:val="0068444E"/>
    <w:rsid w:val="0068565E"/>
    <w:rsid w:val="006878D7"/>
    <w:rsid w:val="006A65A6"/>
    <w:rsid w:val="006B2AEE"/>
    <w:rsid w:val="006C3720"/>
    <w:rsid w:val="006C7057"/>
    <w:rsid w:val="006D0F39"/>
    <w:rsid w:val="006D227A"/>
    <w:rsid w:val="006D243C"/>
    <w:rsid w:val="006D34AC"/>
    <w:rsid w:val="006D4B43"/>
    <w:rsid w:val="006D51C9"/>
    <w:rsid w:val="006D7C7E"/>
    <w:rsid w:val="006E143C"/>
    <w:rsid w:val="006E201D"/>
    <w:rsid w:val="006E36C4"/>
    <w:rsid w:val="006E48C1"/>
    <w:rsid w:val="006E5BB9"/>
    <w:rsid w:val="006F7276"/>
    <w:rsid w:val="00700491"/>
    <w:rsid w:val="00700BA7"/>
    <w:rsid w:val="007067DB"/>
    <w:rsid w:val="0071288F"/>
    <w:rsid w:val="007141D6"/>
    <w:rsid w:val="00724230"/>
    <w:rsid w:val="0072682A"/>
    <w:rsid w:val="00726A0E"/>
    <w:rsid w:val="00737075"/>
    <w:rsid w:val="00740272"/>
    <w:rsid w:val="0074252C"/>
    <w:rsid w:val="007454DB"/>
    <w:rsid w:val="0075296F"/>
    <w:rsid w:val="0076364F"/>
    <w:rsid w:val="007655DB"/>
    <w:rsid w:val="00765BD7"/>
    <w:rsid w:val="00766FF2"/>
    <w:rsid w:val="00767325"/>
    <w:rsid w:val="00767B2B"/>
    <w:rsid w:val="00774E62"/>
    <w:rsid w:val="00775046"/>
    <w:rsid w:val="007822F5"/>
    <w:rsid w:val="007827C0"/>
    <w:rsid w:val="00783057"/>
    <w:rsid w:val="0078596B"/>
    <w:rsid w:val="00790FC2"/>
    <w:rsid w:val="0079450E"/>
    <w:rsid w:val="00794559"/>
    <w:rsid w:val="007A0CEC"/>
    <w:rsid w:val="007A4315"/>
    <w:rsid w:val="007A47A3"/>
    <w:rsid w:val="007B1C6C"/>
    <w:rsid w:val="007C33DB"/>
    <w:rsid w:val="007C7028"/>
    <w:rsid w:val="007C71CB"/>
    <w:rsid w:val="007C731D"/>
    <w:rsid w:val="007C7740"/>
    <w:rsid w:val="007D3EC5"/>
    <w:rsid w:val="007E345C"/>
    <w:rsid w:val="007F2AAC"/>
    <w:rsid w:val="007F2DC1"/>
    <w:rsid w:val="008022E9"/>
    <w:rsid w:val="00804B13"/>
    <w:rsid w:val="00806202"/>
    <w:rsid w:val="00814BDD"/>
    <w:rsid w:val="00816B15"/>
    <w:rsid w:val="00817B1E"/>
    <w:rsid w:val="00820BA8"/>
    <w:rsid w:val="00821969"/>
    <w:rsid w:val="00824ED5"/>
    <w:rsid w:val="00825FD6"/>
    <w:rsid w:val="00826343"/>
    <w:rsid w:val="00826720"/>
    <w:rsid w:val="00826953"/>
    <w:rsid w:val="00826EC2"/>
    <w:rsid w:val="00831634"/>
    <w:rsid w:val="00831730"/>
    <w:rsid w:val="00832CDC"/>
    <w:rsid w:val="0083637B"/>
    <w:rsid w:val="00842EF9"/>
    <w:rsid w:val="0084360F"/>
    <w:rsid w:val="008464AB"/>
    <w:rsid w:val="00853D24"/>
    <w:rsid w:val="008605D8"/>
    <w:rsid w:val="0086144E"/>
    <w:rsid w:val="008703A8"/>
    <w:rsid w:val="00870E71"/>
    <w:rsid w:val="00873208"/>
    <w:rsid w:val="00876672"/>
    <w:rsid w:val="00880023"/>
    <w:rsid w:val="00880316"/>
    <w:rsid w:val="00881900"/>
    <w:rsid w:val="0088392B"/>
    <w:rsid w:val="0088659D"/>
    <w:rsid w:val="00890965"/>
    <w:rsid w:val="00894061"/>
    <w:rsid w:val="0089780A"/>
    <w:rsid w:val="008A2911"/>
    <w:rsid w:val="008A29DB"/>
    <w:rsid w:val="008A30A0"/>
    <w:rsid w:val="008B08AF"/>
    <w:rsid w:val="008B2447"/>
    <w:rsid w:val="008B28AF"/>
    <w:rsid w:val="008B2AF8"/>
    <w:rsid w:val="008B4329"/>
    <w:rsid w:val="008B7BFC"/>
    <w:rsid w:val="008C0D86"/>
    <w:rsid w:val="008C2C3E"/>
    <w:rsid w:val="008C3B4B"/>
    <w:rsid w:val="008C4C25"/>
    <w:rsid w:val="008C73EE"/>
    <w:rsid w:val="008D0ADA"/>
    <w:rsid w:val="008D1AD9"/>
    <w:rsid w:val="008D1EE1"/>
    <w:rsid w:val="008D274B"/>
    <w:rsid w:val="008D2F66"/>
    <w:rsid w:val="008D64FC"/>
    <w:rsid w:val="008F63AC"/>
    <w:rsid w:val="009003A4"/>
    <w:rsid w:val="009007BE"/>
    <w:rsid w:val="009010C5"/>
    <w:rsid w:val="0090492F"/>
    <w:rsid w:val="00911054"/>
    <w:rsid w:val="00911974"/>
    <w:rsid w:val="00915D3D"/>
    <w:rsid w:val="00916F01"/>
    <w:rsid w:val="00921D49"/>
    <w:rsid w:val="00924F15"/>
    <w:rsid w:val="00925034"/>
    <w:rsid w:val="009257D9"/>
    <w:rsid w:val="00930A9A"/>
    <w:rsid w:val="00930E21"/>
    <w:rsid w:val="00937E13"/>
    <w:rsid w:val="00945364"/>
    <w:rsid w:val="009504FF"/>
    <w:rsid w:val="00955E48"/>
    <w:rsid w:val="00960792"/>
    <w:rsid w:val="009647C2"/>
    <w:rsid w:val="00965F54"/>
    <w:rsid w:val="00967622"/>
    <w:rsid w:val="0096770D"/>
    <w:rsid w:val="00967FB2"/>
    <w:rsid w:val="00970F18"/>
    <w:rsid w:val="00971C29"/>
    <w:rsid w:val="0097230B"/>
    <w:rsid w:val="00973483"/>
    <w:rsid w:val="00981179"/>
    <w:rsid w:val="00981D9B"/>
    <w:rsid w:val="00984E43"/>
    <w:rsid w:val="009923F8"/>
    <w:rsid w:val="00992B52"/>
    <w:rsid w:val="00993D21"/>
    <w:rsid w:val="00995F5D"/>
    <w:rsid w:val="00996E06"/>
    <w:rsid w:val="00996FFB"/>
    <w:rsid w:val="009979B4"/>
    <w:rsid w:val="009A0CB5"/>
    <w:rsid w:val="009B24BD"/>
    <w:rsid w:val="009B44EA"/>
    <w:rsid w:val="009B476F"/>
    <w:rsid w:val="009B7DAA"/>
    <w:rsid w:val="009C3C26"/>
    <w:rsid w:val="009C3E59"/>
    <w:rsid w:val="009C44F4"/>
    <w:rsid w:val="009C6587"/>
    <w:rsid w:val="009C7040"/>
    <w:rsid w:val="009D7DE2"/>
    <w:rsid w:val="009E0EED"/>
    <w:rsid w:val="009E3D20"/>
    <w:rsid w:val="009E3DA9"/>
    <w:rsid w:val="009F3DD4"/>
    <w:rsid w:val="009F477C"/>
    <w:rsid w:val="009F4C7B"/>
    <w:rsid w:val="009F5BAC"/>
    <w:rsid w:val="009F5F98"/>
    <w:rsid w:val="00A02849"/>
    <w:rsid w:val="00A05346"/>
    <w:rsid w:val="00A057F4"/>
    <w:rsid w:val="00A127D2"/>
    <w:rsid w:val="00A16CDF"/>
    <w:rsid w:val="00A20276"/>
    <w:rsid w:val="00A23192"/>
    <w:rsid w:val="00A25792"/>
    <w:rsid w:val="00A27333"/>
    <w:rsid w:val="00A308B6"/>
    <w:rsid w:val="00A32B97"/>
    <w:rsid w:val="00A37840"/>
    <w:rsid w:val="00A47D69"/>
    <w:rsid w:val="00A523CB"/>
    <w:rsid w:val="00A53D3A"/>
    <w:rsid w:val="00A55A82"/>
    <w:rsid w:val="00A5708A"/>
    <w:rsid w:val="00A60D91"/>
    <w:rsid w:val="00A64A23"/>
    <w:rsid w:val="00A735AA"/>
    <w:rsid w:val="00A75216"/>
    <w:rsid w:val="00A774B8"/>
    <w:rsid w:val="00A906C8"/>
    <w:rsid w:val="00A90E66"/>
    <w:rsid w:val="00AA2544"/>
    <w:rsid w:val="00AA6175"/>
    <w:rsid w:val="00AB5163"/>
    <w:rsid w:val="00AC0547"/>
    <w:rsid w:val="00AC7E69"/>
    <w:rsid w:val="00AD0464"/>
    <w:rsid w:val="00AD2AC7"/>
    <w:rsid w:val="00AD74E8"/>
    <w:rsid w:val="00AE2B16"/>
    <w:rsid w:val="00AE2C07"/>
    <w:rsid w:val="00AE7FA0"/>
    <w:rsid w:val="00AF0255"/>
    <w:rsid w:val="00AF0E1A"/>
    <w:rsid w:val="00AF2614"/>
    <w:rsid w:val="00AF419E"/>
    <w:rsid w:val="00AF47A6"/>
    <w:rsid w:val="00AF78EA"/>
    <w:rsid w:val="00B013C1"/>
    <w:rsid w:val="00B04042"/>
    <w:rsid w:val="00B10176"/>
    <w:rsid w:val="00B109AA"/>
    <w:rsid w:val="00B20418"/>
    <w:rsid w:val="00B20F72"/>
    <w:rsid w:val="00B22700"/>
    <w:rsid w:val="00B235FF"/>
    <w:rsid w:val="00B24485"/>
    <w:rsid w:val="00B253DF"/>
    <w:rsid w:val="00B360BB"/>
    <w:rsid w:val="00B454B9"/>
    <w:rsid w:val="00B47D7C"/>
    <w:rsid w:val="00B528BF"/>
    <w:rsid w:val="00B531EF"/>
    <w:rsid w:val="00B65C1E"/>
    <w:rsid w:val="00B6662A"/>
    <w:rsid w:val="00B86F99"/>
    <w:rsid w:val="00B902E4"/>
    <w:rsid w:val="00B9245E"/>
    <w:rsid w:val="00BA0B6A"/>
    <w:rsid w:val="00BA12A8"/>
    <w:rsid w:val="00BA7EB8"/>
    <w:rsid w:val="00BB2ACE"/>
    <w:rsid w:val="00BD2969"/>
    <w:rsid w:val="00BD32F1"/>
    <w:rsid w:val="00BD5878"/>
    <w:rsid w:val="00BD7E5B"/>
    <w:rsid w:val="00BE4119"/>
    <w:rsid w:val="00BE5D95"/>
    <w:rsid w:val="00BF24B1"/>
    <w:rsid w:val="00BF5867"/>
    <w:rsid w:val="00C0291C"/>
    <w:rsid w:val="00C04FF3"/>
    <w:rsid w:val="00C10DA8"/>
    <w:rsid w:val="00C15E4E"/>
    <w:rsid w:val="00C23FCD"/>
    <w:rsid w:val="00C27B7B"/>
    <w:rsid w:val="00C307C5"/>
    <w:rsid w:val="00C3156F"/>
    <w:rsid w:val="00C33ADC"/>
    <w:rsid w:val="00C46922"/>
    <w:rsid w:val="00C541BE"/>
    <w:rsid w:val="00C563AD"/>
    <w:rsid w:val="00C62E45"/>
    <w:rsid w:val="00C6440C"/>
    <w:rsid w:val="00C76E45"/>
    <w:rsid w:val="00C8238B"/>
    <w:rsid w:val="00C8474A"/>
    <w:rsid w:val="00C85212"/>
    <w:rsid w:val="00C92FCD"/>
    <w:rsid w:val="00C95E5E"/>
    <w:rsid w:val="00C95F6D"/>
    <w:rsid w:val="00C976CA"/>
    <w:rsid w:val="00C97DE4"/>
    <w:rsid w:val="00CA0047"/>
    <w:rsid w:val="00CA5224"/>
    <w:rsid w:val="00CA6060"/>
    <w:rsid w:val="00CA74AA"/>
    <w:rsid w:val="00CB6BA4"/>
    <w:rsid w:val="00CC14E1"/>
    <w:rsid w:val="00CC33E5"/>
    <w:rsid w:val="00CC385C"/>
    <w:rsid w:val="00CC3991"/>
    <w:rsid w:val="00CC51D0"/>
    <w:rsid w:val="00CC6545"/>
    <w:rsid w:val="00CC7B3F"/>
    <w:rsid w:val="00CD20A2"/>
    <w:rsid w:val="00CD4D86"/>
    <w:rsid w:val="00CE0B79"/>
    <w:rsid w:val="00CE3617"/>
    <w:rsid w:val="00CE6E29"/>
    <w:rsid w:val="00CE7B8E"/>
    <w:rsid w:val="00CE7C7F"/>
    <w:rsid w:val="00D21E9D"/>
    <w:rsid w:val="00D2430F"/>
    <w:rsid w:val="00D2739B"/>
    <w:rsid w:val="00D345C0"/>
    <w:rsid w:val="00D36464"/>
    <w:rsid w:val="00D4099E"/>
    <w:rsid w:val="00D42B55"/>
    <w:rsid w:val="00D430B4"/>
    <w:rsid w:val="00D4505B"/>
    <w:rsid w:val="00D4678F"/>
    <w:rsid w:val="00D46EDC"/>
    <w:rsid w:val="00D52183"/>
    <w:rsid w:val="00D54D84"/>
    <w:rsid w:val="00D561A0"/>
    <w:rsid w:val="00D565C0"/>
    <w:rsid w:val="00D5795E"/>
    <w:rsid w:val="00D70CE9"/>
    <w:rsid w:val="00D72FB5"/>
    <w:rsid w:val="00D73047"/>
    <w:rsid w:val="00D7337E"/>
    <w:rsid w:val="00D73EA9"/>
    <w:rsid w:val="00D804CB"/>
    <w:rsid w:val="00D8314D"/>
    <w:rsid w:val="00D963AF"/>
    <w:rsid w:val="00DA0EE2"/>
    <w:rsid w:val="00DA1A39"/>
    <w:rsid w:val="00DA4882"/>
    <w:rsid w:val="00DA5EEB"/>
    <w:rsid w:val="00DA68AC"/>
    <w:rsid w:val="00DA7478"/>
    <w:rsid w:val="00DB1CAF"/>
    <w:rsid w:val="00DB1E12"/>
    <w:rsid w:val="00DC1CDF"/>
    <w:rsid w:val="00DC67B4"/>
    <w:rsid w:val="00DD042B"/>
    <w:rsid w:val="00DD2A19"/>
    <w:rsid w:val="00DD3114"/>
    <w:rsid w:val="00DD3B0B"/>
    <w:rsid w:val="00DE37BE"/>
    <w:rsid w:val="00DE50ED"/>
    <w:rsid w:val="00DE75E9"/>
    <w:rsid w:val="00DF1FBE"/>
    <w:rsid w:val="00DF2AF1"/>
    <w:rsid w:val="00DF2F0A"/>
    <w:rsid w:val="00DF69E5"/>
    <w:rsid w:val="00DF78E3"/>
    <w:rsid w:val="00E00280"/>
    <w:rsid w:val="00E05178"/>
    <w:rsid w:val="00E1038F"/>
    <w:rsid w:val="00E143AA"/>
    <w:rsid w:val="00E15948"/>
    <w:rsid w:val="00E16943"/>
    <w:rsid w:val="00E20E0D"/>
    <w:rsid w:val="00E2110D"/>
    <w:rsid w:val="00E22BC2"/>
    <w:rsid w:val="00E2347F"/>
    <w:rsid w:val="00E24020"/>
    <w:rsid w:val="00E34587"/>
    <w:rsid w:val="00E358C2"/>
    <w:rsid w:val="00E3628C"/>
    <w:rsid w:val="00E36E7E"/>
    <w:rsid w:val="00E36F8C"/>
    <w:rsid w:val="00E405AC"/>
    <w:rsid w:val="00E44D7D"/>
    <w:rsid w:val="00E4605C"/>
    <w:rsid w:val="00E518C0"/>
    <w:rsid w:val="00E52AC5"/>
    <w:rsid w:val="00E5367C"/>
    <w:rsid w:val="00E545F3"/>
    <w:rsid w:val="00E57088"/>
    <w:rsid w:val="00E64DD8"/>
    <w:rsid w:val="00E66184"/>
    <w:rsid w:val="00E67D2F"/>
    <w:rsid w:val="00E71CD9"/>
    <w:rsid w:val="00E7245B"/>
    <w:rsid w:val="00E73612"/>
    <w:rsid w:val="00E76A9A"/>
    <w:rsid w:val="00E820F3"/>
    <w:rsid w:val="00E82FAF"/>
    <w:rsid w:val="00E830EA"/>
    <w:rsid w:val="00E86C59"/>
    <w:rsid w:val="00E95C4E"/>
    <w:rsid w:val="00EA13A3"/>
    <w:rsid w:val="00EA1AFA"/>
    <w:rsid w:val="00EA2170"/>
    <w:rsid w:val="00EA2A7C"/>
    <w:rsid w:val="00EA5FF1"/>
    <w:rsid w:val="00EA6FB7"/>
    <w:rsid w:val="00EC0E2D"/>
    <w:rsid w:val="00EC12DA"/>
    <w:rsid w:val="00EC12FA"/>
    <w:rsid w:val="00EC578A"/>
    <w:rsid w:val="00EC5C32"/>
    <w:rsid w:val="00ED3A69"/>
    <w:rsid w:val="00ED40CB"/>
    <w:rsid w:val="00ED6824"/>
    <w:rsid w:val="00ED7E4F"/>
    <w:rsid w:val="00EE0C61"/>
    <w:rsid w:val="00EE58D2"/>
    <w:rsid w:val="00EE67F8"/>
    <w:rsid w:val="00EF37B2"/>
    <w:rsid w:val="00EF7697"/>
    <w:rsid w:val="00F03927"/>
    <w:rsid w:val="00F13228"/>
    <w:rsid w:val="00F1726F"/>
    <w:rsid w:val="00F17932"/>
    <w:rsid w:val="00F20FE6"/>
    <w:rsid w:val="00F21489"/>
    <w:rsid w:val="00F233C0"/>
    <w:rsid w:val="00F305ED"/>
    <w:rsid w:val="00F4159B"/>
    <w:rsid w:val="00F44D0E"/>
    <w:rsid w:val="00F45527"/>
    <w:rsid w:val="00F507AE"/>
    <w:rsid w:val="00F529AA"/>
    <w:rsid w:val="00F6463E"/>
    <w:rsid w:val="00F66A90"/>
    <w:rsid w:val="00F67C9A"/>
    <w:rsid w:val="00F717F7"/>
    <w:rsid w:val="00F72346"/>
    <w:rsid w:val="00F74AD9"/>
    <w:rsid w:val="00F76A9E"/>
    <w:rsid w:val="00F85472"/>
    <w:rsid w:val="00F8678F"/>
    <w:rsid w:val="00F87CA8"/>
    <w:rsid w:val="00F90B75"/>
    <w:rsid w:val="00F90CAF"/>
    <w:rsid w:val="00F945F5"/>
    <w:rsid w:val="00FA5096"/>
    <w:rsid w:val="00FA7573"/>
    <w:rsid w:val="00FB3290"/>
    <w:rsid w:val="00FB3AE1"/>
    <w:rsid w:val="00FC08E2"/>
    <w:rsid w:val="00FC1093"/>
    <w:rsid w:val="00FC3C0E"/>
    <w:rsid w:val="00FC4A36"/>
    <w:rsid w:val="00FD1DC5"/>
    <w:rsid w:val="00FD220A"/>
    <w:rsid w:val="00FE183D"/>
    <w:rsid w:val="00FE2ACC"/>
    <w:rsid w:val="00FE4555"/>
    <w:rsid w:val="00FE5AA4"/>
    <w:rsid w:val="00FF167D"/>
    <w:rsid w:val="00FF1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4D6914D3-C76B-4624-946B-E97F4A55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3"/>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1C6AF5"/>
    <w:pPr>
      <w:keepNext/>
      <w:keepLines/>
      <w:spacing w:before="40"/>
      <w:outlineLvl w:val="4"/>
    </w:pPr>
    <w:rPr>
      <w:rFonts w:ascii="Cambria"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pPr>
      <w:numPr>
        <w:numId w:val="2"/>
      </w:numPr>
    </w:pPr>
  </w:style>
  <w:style w:type="paragraph" w:customStyle="1" w:styleId="TAsectionheading3">
    <w:name w:val="TA section heading 3"/>
    <w:basedOn w:val="Heading3"/>
    <w:rsid w:val="008A2AE9"/>
    <w:pPr>
      <w:keepNext w:val="0"/>
      <w:numPr>
        <w:ilvl w:val="2"/>
        <w:numId w:val="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34"/>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3"/>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4"/>
      </w:numPr>
      <w:spacing w:before="60" w:after="60" w:line="288" w:lineRule="auto"/>
    </w:pPr>
    <w:rPr>
      <w:rFonts w:cs="Arial"/>
      <w:sz w:val="20"/>
      <w:szCs w:val="20"/>
      <w:lang w:eastAsia="en-US"/>
    </w:rPr>
  </w:style>
  <w:style w:type="character" w:customStyle="1" w:styleId="CritListCharChar">
    <w:name w:val="CritList Char Char"/>
    <w:link w:val="CritList"/>
    <w:rsid w:val="001B7A01"/>
    <w:rPr>
      <w:rFonts w:ascii="Arial" w:hAnsi="Arial" w:cs="Arial"/>
      <w:color w:val="000000"/>
      <w:lang w:eastAsia="en-US"/>
    </w:rPr>
  </w:style>
  <w:style w:type="character" w:customStyle="1" w:styleId="RuleListChar">
    <w:name w:val="RuleList Char"/>
    <w:link w:val="RuleList"/>
    <w:rsid w:val="001B7A01"/>
    <w:rPr>
      <w:rFonts w:ascii="Arial" w:hAnsi="Arial" w:cs="Arial"/>
      <w:lang w:eastAsia="en-US"/>
    </w:rPr>
  </w:style>
  <w:style w:type="paragraph" w:customStyle="1" w:styleId="StyleStyleelementHeadingArialBoldLightBlueArial">
    <w:name w:val="Style Style elementHeading + Arial Bold Light Blue + Arial"/>
    <w:basedOn w:val="Normal"/>
    <w:qFormat/>
    <w:rsid w:val="001B7A01"/>
    <w:pPr>
      <w:numPr>
        <w:numId w:val="15"/>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link w:val="bodyText0"/>
    <w:rsid w:val="001C054D"/>
    <w:rPr>
      <w:rFonts w:ascii="Arial" w:hAnsi="Arial" w:cs="Arial"/>
      <w:lang w:eastAsia="en-US"/>
    </w:rPr>
  </w:style>
  <w:style w:type="paragraph" w:customStyle="1" w:styleId="codeRuleList">
    <w:name w:val="codeRuleList"/>
    <w:basedOn w:val="Normal"/>
    <w:rsid w:val="001C054D"/>
    <w:pPr>
      <w:numPr>
        <w:numId w:val="16"/>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CritListChar">
    <w:name w:val="CritList Char"/>
    <w:rsid w:val="00924F15"/>
    <w:rPr>
      <w:rFonts w:ascii="Arial" w:hAnsi="Arial" w:cs="Arial"/>
      <w:lang w:val="en-US" w:eastAsia="en-US" w:bidi="en-US"/>
    </w:rPr>
  </w:style>
  <w:style w:type="character" w:styleId="FollowedHyperlink">
    <w:name w:val="FollowedHyperlink"/>
    <w:semiHidden/>
    <w:unhideWhenUsed/>
    <w:rsid w:val="008B28AF"/>
    <w:rPr>
      <w:color w:val="954F72"/>
      <w:u w:val="single"/>
    </w:rPr>
  </w:style>
  <w:style w:type="table" w:styleId="TableGridLight">
    <w:name w:val="Grid Table Light"/>
    <w:basedOn w:val="TableNormal"/>
    <w:uiPriority w:val="40"/>
    <w:rsid w:val="00283CB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283C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lementHeading">
    <w:name w:val="elementHeading"/>
    <w:basedOn w:val="Normal"/>
    <w:rsid w:val="002C62FD"/>
    <w:pPr>
      <w:tabs>
        <w:tab w:val="left" w:pos="1418"/>
        <w:tab w:val="num" w:pos="2880"/>
      </w:tabs>
      <w:spacing w:before="120" w:line="288" w:lineRule="auto"/>
    </w:pPr>
    <w:rPr>
      <w:rFonts w:cs="Arial"/>
      <w:b/>
      <w:bCs/>
      <w:szCs w:val="20"/>
    </w:rPr>
  </w:style>
  <w:style w:type="paragraph" w:customStyle="1" w:styleId="codeCriteriaList">
    <w:name w:val="codeCriteriaList"/>
    <w:basedOn w:val="codeRuleCriteria"/>
    <w:rsid w:val="002C62FD"/>
    <w:pPr>
      <w:numPr>
        <w:numId w:val="20"/>
      </w:numPr>
      <w:spacing w:before="0" w:after="0"/>
    </w:pPr>
  </w:style>
  <w:style w:type="paragraph" w:customStyle="1" w:styleId="codeCriteriaListA">
    <w:name w:val="codeCriteriaListA"/>
    <w:basedOn w:val="codeCriteriaList"/>
    <w:rsid w:val="002C62FD"/>
    <w:pPr>
      <w:numPr>
        <w:ilvl w:val="1"/>
      </w:numPr>
    </w:pPr>
  </w:style>
  <w:style w:type="paragraph" w:customStyle="1" w:styleId="partsubheading">
    <w:name w:val="partsubheading"/>
    <w:basedOn w:val="Normal"/>
    <w:next w:val="BodyText"/>
    <w:qFormat/>
    <w:rsid w:val="002C62FD"/>
    <w:pPr>
      <w:shd w:val="clear" w:color="auto" w:fill="000000"/>
      <w:tabs>
        <w:tab w:val="left" w:pos="1134"/>
        <w:tab w:val="left" w:pos="1287"/>
        <w:tab w:val="left" w:pos="1701"/>
      </w:tabs>
      <w:spacing w:before="60" w:after="120" w:line="276" w:lineRule="auto"/>
    </w:pPr>
    <w:rPr>
      <w:rFonts w:cs="Arial"/>
      <w:b/>
      <w:bCs/>
      <w:color w:val="FFFFFF"/>
      <w:sz w:val="32"/>
      <w:szCs w:val="20"/>
    </w:rPr>
  </w:style>
  <w:style w:type="paragraph" w:customStyle="1" w:styleId="TA-LAitalicstext">
    <w:name w:val="TA - LA italics text"/>
    <w:basedOn w:val="Normal"/>
    <w:next w:val="Normal"/>
    <w:rsid w:val="00700491"/>
    <w:pPr>
      <w:tabs>
        <w:tab w:val="left" w:pos="2600"/>
      </w:tabs>
      <w:spacing w:after="240"/>
      <w:jc w:val="both"/>
    </w:pPr>
    <w:rPr>
      <w:b/>
      <w:i/>
      <w:sz w:val="18"/>
      <w:szCs w:val="20"/>
      <w:lang w:eastAsia="en-US"/>
    </w:rPr>
  </w:style>
  <w:style w:type="character" w:customStyle="1" w:styleId="Heading5Char">
    <w:name w:val="Heading 5 Char"/>
    <w:link w:val="Heading5"/>
    <w:semiHidden/>
    <w:rsid w:val="001C6AF5"/>
    <w:rPr>
      <w:rFonts w:ascii="Cambria" w:hAnsi="Cambria"/>
      <w:color w:val="365F91"/>
      <w:sz w:val="24"/>
      <w:szCs w:val="24"/>
    </w:rPr>
  </w:style>
  <w:style w:type="paragraph" w:customStyle="1" w:styleId="Billname">
    <w:name w:val="Billname"/>
    <w:basedOn w:val="Normal"/>
    <w:rsid w:val="001C6AF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1C6AF5"/>
    <w:pPr>
      <w:pBdr>
        <w:bottom w:val="single" w:sz="12" w:space="1" w:color="auto"/>
      </w:pBdr>
      <w:jc w:val="both"/>
    </w:pPr>
    <w:rPr>
      <w:szCs w:val="20"/>
      <w:lang w:eastAsia="en-US"/>
    </w:rPr>
  </w:style>
  <w:style w:type="paragraph" w:customStyle="1" w:styleId="madeunder">
    <w:name w:val="made under"/>
    <w:basedOn w:val="Normal"/>
    <w:rsid w:val="001C6AF5"/>
    <w:pPr>
      <w:spacing w:before="180" w:after="60"/>
      <w:jc w:val="both"/>
    </w:pPr>
    <w:rPr>
      <w:szCs w:val="20"/>
      <w:lang w:eastAsia="en-US"/>
    </w:rPr>
  </w:style>
  <w:style w:type="paragraph" w:customStyle="1" w:styleId="CoverActName">
    <w:name w:val="CoverActName"/>
    <w:basedOn w:val="Normal"/>
    <w:rsid w:val="001C6AF5"/>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207104740">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490144947">
      <w:bodyDiv w:val="1"/>
      <w:marLeft w:val="0"/>
      <w:marRight w:val="0"/>
      <w:marTop w:val="0"/>
      <w:marBottom w:val="0"/>
      <w:divBdr>
        <w:top w:val="none" w:sz="0" w:space="0" w:color="auto"/>
        <w:left w:val="none" w:sz="0" w:space="0" w:color="auto"/>
        <w:bottom w:val="none" w:sz="0" w:space="0" w:color="auto"/>
        <w:right w:val="none" w:sz="0" w:space="0" w:color="auto"/>
      </w:divBdr>
    </w:div>
    <w:div w:id="518593197">
      <w:bodyDiv w:val="1"/>
      <w:marLeft w:val="0"/>
      <w:marRight w:val="0"/>
      <w:marTop w:val="0"/>
      <w:marBottom w:val="0"/>
      <w:divBdr>
        <w:top w:val="none" w:sz="0" w:space="0" w:color="auto"/>
        <w:left w:val="none" w:sz="0" w:space="0" w:color="auto"/>
        <w:bottom w:val="none" w:sz="0" w:space="0" w:color="auto"/>
        <w:right w:val="none" w:sz="0" w:space="0" w:color="auto"/>
      </w:divBdr>
    </w:div>
    <w:div w:id="566651084">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656568467">
      <w:bodyDiv w:val="1"/>
      <w:marLeft w:val="0"/>
      <w:marRight w:val="0"/>
      <w:marTop w:val="0"/>
      <w:marBottom w:val="0"/>
      <w:divBdr>
        <w:top w:val="none" w:sz="0" w:space="0" w:color="auto"/>
        <w:left w:val="none" w:sz="0" w:space="0" w:color="auto"/>
        <w:bottom w:val="none" w:sz="0" w:space="0" w:color="auto"/>
        <w:right w:val="none" w:sz="0" w:space="0" w:color="auto"/>
      </w:divBdr>
    </w:div>
    <w:div w:id="693992727">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861895272">
      <w:bodyDiv w:val="1"/>
      <w:marLeft w:val="0"/>
      <w:marRight w:val="0"/>
      <w:marTop w:val="0"/>
      <w:marBottom w:val="0"/>
      <w:divBdr>
        <w:top w:val="none" w:sz="0" w:space="0" w:color="auto"/>
        <w:left w:val="none" w:sz="0" w:space="0" w:color="auto"/>
        <w:bottom w:val="none" w:sz="0" w:space="0" w:color="auto"/>
        <w:right w:val="none" w:sz="0" w:space="0" w:color="auto"/>
      </w:divBdr>
    </w:div>
    <w:div w:id="937834596">
      <w:bodyDiv w:val="1"/>
      <w:marLeft w:val="0"/>
      <w:marRight w:val="0"/>
      <w:marTop w:val="0"/>
      <w:marBottom w:val="0"/>
      <w:divBdr>
        <w:top w:val="none" w:sz="0" w:space="0" w:color="auto"/>
        <w:left w:val="none" w:sz="0" w:space="0" w:color="auto"/>
        <w:bottom w:val="none" w:sz="0" w:space="0" w:color="auto"/>
        <w:right w:val="none" w:sz="0" w:space="0" w:color="auto"/>
      </w:divBdr>
    </w:div>
    <w:div w:id="1358658222">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52969950">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lanning.act.gov.au/tools_resources/plans-registers/plans/territory_plan/approved_variations"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lanning.act.gov.au/tools_resources/plans-registers/plans/master_plans/woden_and_mawson_master_plans"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0C6A6-5600-4B00-A9BE-D54651B9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2301</Words>
  <Characters>12081</Characters>
  <Application>Microsoft Office Word</Application>
  <DocSecurity>0</DocSecurity>
  <Lines>373</Lines>
  <Paragraphs>179</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14248</CharactersWithSpaces>
  <SharedDoc>false</SharedDoc>
  <HLinks>
    <vt:vector size="78" baseType="variant">
      <vt:variant>
        <vt:i4>3080271</vt:i4>
      </vt:variant>
      <vt:variant>
        <vt:i4>72</vt:i4>
      </vt:variant>
      <vt:variant>
        <vt:i4>0</vt:i4>
      </vt:variant>
      <vt:variant>
        <vt:i4>5</vt:i4>
      </vt:variant>
      <vt:variant>
        <vt:lpwstr>https://www.planning.act.gov.au/tools_resources/plans-registers/plans/territory_plan/approved_variations</vt:lpwstr>
      </vt:variant>
      <vt:variant>
        <vt:lpwstr/>
      </vt:variant>
      <vt:variant>
        <vt:i4>1376333</vt:i4>
      </vt:variant>
      <vt:variant>
        <vt:i4>69</vt:i4>
      </vt:variant>
      <vt:variant>
        <vt:i4>0</vt:i4>
      </vt:variant>
      <vt:variant>
        <vt:i4>5</vt:i4>
      </vt:variant>
      <vt:variant>
        <vt:lpwstr>https://www.planning.act.gov.au/tools_resources/plans-registers/plans/master_plans/woden_and_mawson_master_plans</vt:lpwstr>
      </vt:variant>
      <vt:variant>
        <vt:lpwstr/>
      </vt:variant>
      <vt:variant>
        <vt:i4>2424845</vt:i4>
      </vt:variant>
      <vt:variant>
        <vt:i4>62</vt:i4>
      </vt:variant>
      <vt:variant>
        <vt:i4>0</vt:i4>
      </vt:variant>
      <vt:variant>
        <vt:i4>5</vt:i4>
      </vt:variant>
      <vt:variant>
        <vt:lpwstr/>
      </vt:variant>
      <vt:variant>
        <vt:lpwstr>_Toc2597607</vt:lpwstr>
      </vt:variant>
      <vt:variant>
        <vt:i4>2424845</vt:i4>
      </vt:variant>
      <vt:variant>
        <vt:i4>56</vt:i4>
      </vt:variant>
      <vt:variant>
        <vt:i4>0</vt:i4>
      </vt:variant>
      <vt:variant>
        <vt:i4>5</vt:i4>
      </vt:variant>
      <vt:variant>
        <vt:lpwstr/>
      </vt:variant>
      <vt:variant>
        <vt:lpwstr>_Toc2597606</vt:lpwstr>
      </vt:variant>
      <vt:variant>
        <vt:i4>2424845</vt:i4>
      </vt:variant>
      <vt:variant>
        <vt:i4>50</vt:i4>
      </vt:variant>
      <vt:variant>
        <vt:i4>0</vt:i4>
      </vt:variant>
      <vt:variant>
        <vt:i4>5</vt:i4>
      </vt:variant>
      <vt:variant>
        <vt:lpwstr/>
      </vt:variant>
      <vt:variant>
        <vt:lpwstr>_Toc2597605</vt:lpwstr>
      </vt:variant>
      <vt:variant>
        <vt:i4>2424845</vt:i4>
      </vt:variant>
      <vt:variant>
        <vt:i4>44</vt:i4>
      </vt:variant>
      <vt:variant>
        <vt:i4>0</vt:i4>
      </vt:variant>
      <vt:variant>
        <vt:i4>5</vt:i4>
      </vt:variant>
      <vt:variant>
        <vt:lpwstr/>
      </vt:variant>
      <vt:variant>
        <vt:lpwstr>_Toc2597604</vt:lpwstr>
      </vt:variant>
      <vt:variant>
        <vt:i4>2424845</vt:i4>
      </vt:variant>
      <vt:variant>
        <vt:i4>38</vt:i4>
      </vt:variant>
      <vt:variant>
        <vt:i4>0</vt:i4>
      </vt:variant>
      <vt:variant>
        <vt:i4>5</vt:i4>
      </vt:variant>
      <vt:variant>
        <vt:lpwstr/>
      </vt:variant>
      <vt:variant>
        <vt:lpwstr>_Toc2597603</vt:lpwstr>
      </vt:variant>
      <vt:variant>
        <vt:i4>2424845</vt:i4>
      </vt:variant>
      <vt:variant>
        <vt:i4>32</vt:i4>
      </vt:variant>
      <vt:variant>
        <vt:i4>0</vt:i4>
      </vt:variant>
      <vt:variant>
        <vt:i4>5</vt:i4>
      </vt:variant>
      <vt:variant>
        <vt:lpwstr/>
      </vt:variant>
      <vt:variant>
        <vt:lpwstr>_Toc2597602</vt:lpwstr>
      </vt:variant>
      <vt:variant>
        <vt:i4>2424845</vt:i4>
      </vt:variant>
      <vt:variant>
        <vt:i4>26</vt:i4>
      </vt:variant>
      <vt:variant>
        <vt:i4>0</vt:i4>
      </vt:variant>
      <vt:variant>
        <vt:i4>5</vt:i4>
      </vt:variant>
      <vt:variant>
        <vt:lpwstr/>
      </vt:variant>
      <vt:variant>
        <vt:lpwstr>_Toc2597601</vt:lpwstr>
      </vt:variant>
      <vt:variant>
        <vt:i4>2424845</vt:i4>
      </vt:variant>
      <vt:variant>
        <vt:i4>20</vt:i4>
      </vt:variant>
      <vt:variant>
        <vt:i4>0</vt:i4>
      </vt:variant>
      <vt:variant>
        <vt:i4>5</vt:i4>
      </vt:variant>
      <vt:variant>
        <vt:lpwstr/>
      </vt:variant>
      <vt:variant>
        <vt:lpwstr>_Toc2597600</vt:lpwstr>
      </vt:variant>
      <vt:variant>
        <vt:i4>2883598</vt:i4>
      </vt:variant>
      <vt:variant>
        <vt:i4>14</vt:i4>
      </vt:variant>
      <vt:variant>
        <vt:i4>0</vt:i4>
      </vt:variant>
      <vt:variant>
        <vt:i4>5</vt:i4>
      </vt:variant>
      <vt:variant>
        <vt:lpwstr/>
      </vt:variant>
      <vt:variant>
        <vt:lpwstr>_Toc2597599</vt:lpwstr>
      </vt:variant>
      <vt:variant>
        <vt:i4>2883598</vt:i4>
      </vt:variant>
      <vt:variant>
        <vt:i4>8</vt:i4>
      </vt:variant>
      <vt:variant>
        <vt:i4>0</vt:i4>
      </vt:variant>
      <vt:variant>
        <vt:i4>5</vt:i4>
      </vt:variant>
      <vt:variant>
        <vt:lpwstr/>
      </vt:variant>
      <vt:variant>
        <vt:lpwstr>_Toc2597598</vt:lpwstr>
      </vt:variant>
      <vt:variant>
        <vt:i4>2883598</vt:i4>
      </vt:variant>
      <vt:variant>
        <vt:i4>2</vt:i4>
      </vt:variant>
      <vt:variant>
        <vt:i4>0</vt:i4>
      </vt:variant>
      <vt:variant>
        <vt:i4>5</vt:i4>
      </vt:variant>
      <vt:variant>
        <vt:lpwstr/>
      </vt:variant>
      <vt:variant>
        <vt:lpwstr>_Toc2597597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 </cp:lastModifiedBy>
  <cp:revision>5</cp:revision>
  <cp:lastPrinted>2019-03-12T01:23:00Z</cp:lastPrinted>
  <dcterms:created xsi:type="dcterms:W3CDTF">2019-03-19T01:13:00Z</dcterms:created>
  <dcterms:modified xsi:type="dcterms:W3CDTF">2019-03-19T01:13:00Z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A19031116</vt:lpwstr>
  </property>
  <property fmtid="{D5CDD505-2E9C-101B-9397-08002B2CF9AE}" pid="4" name="Objective-Title">
    <vt:lpwstr>TA2019-02 Amendment to the Phillip precinct code - FINAL for commencement incl NI</vt:lpwstr>
  </property>
  <property fmtid="{D5CDD505-2E9C-101B-9397-08002B2CF9AE}" pid="5" name="Objective-Comment">
    <vt:lpwstr/>
  </property>
  <property fmtid="{D5CDD505-2E9C-101B-9397-08002B2CF9AE}" pid="6" name="Objective-CreationStamp">
    <vt:filetime>2019-03-12T01:17:56Z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2019-03-12T01:23:39Z</vt:filetime>
  </property>
  <property fmtid="{D5CDD505-2E9C-101B-9397-08002B2CF9AE}" pid="10" name="Objective-ModificationStamp">
    <vt:filetime>2019-03-19T00:48:16Z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Amendments:TA2019-02 Woden Town Centre - minor adjustments </vt:lpwstr>
  </property>
  <property fmtid="{D5CDD505-2E9C-101B-9397-08002B2CF9AE}" pid="13" name="Objective-Parent">
    <vt:lpwstr>5. Commencement</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1-2018/33682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