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77261" w14:textId="77777777" w:rsidR="001440B3" w:rsidRDefault="001440B3">
      <w:pPr>
        <w:spacing w:before="120"/>
        <w:rPr>
          <w:rFonts w:ascii="Arial" w:hAnsi="Arial" w:cs="Arial"/>
        </w:rPr>
      </w:pPr>
      <w:bookmarkStart w:id="0" w:name="_Toc44738651"/>
      <w:bookmarkStart w:id="1" w:name="_GoBack"/>
      <w:bookmarkEnd w:id="1"/>
      <w:r>
        <w:rPr>
          <w:rFonts w:ascii="Arial" w:hAnsi="Arial" w:cs="Arial"/>
        </w:rPr>
        <w:t>Australian Capital Territory</w:t>
      </w:r>
    </w:p>
    <w:p w14:paraId="3C7BCCB4" w14:textId="04DEA78E" w:rsidR="001440B3" w:rsidRDefault="006B4C1F">
      <w:pPr>
        <w:pStyle w:val="Billname"/>
        <w:spacing w:before="700"/>
      </w:pPr>
      <w:r w:rsidRPr="006B4C1F">
        <w:t>Public Sector Workers Compensation Fund (Investments and Funding Ratio) Management Guidelines 2019 (No 1)</w:t>
      </w:r>
      <w:r>
        <w:t>*</w:t>
      </w:r>
    </w:p>
    <w:p w14:paraId="7468EA95" w14:textId="68156E81" w:rsidR="001440B3" w:rsidRDefault="001440B3" w:rsidP="0042011A">
      <w:pPr>
        <w:spacing w:before="340"/>
        <w:rPr>
          <w:rFonts w:ascii="Arial" w:hAnsi="Arial" w:cs="Arial"/>
          <w:b/>
          <w:bCs/>
        </w:rPr>
      </w:pPr>
      <w:r>
        <w:rPr>
          <w:rFonts w:ascii="Arial" w:hAnsi="Arial" w:cs="Arial"/>
          <w:b/>
          <w:bCs/>
        </w:rPr>
        <w:t>Notifiable instrument NI</w:t>
      </w:r>
      <w:r w:rsidR="00A45763">
        <w:rPr>
          <w:rFonts w:ascii="Arial" w:hAnsi="Arial" w:cs="Arial"/>
          <w:b/>
          <w:bCs/>
        </w:rPr>
        <w:t>2019</w:t>
      </w:r>
      <w:r>
        <w:rPr>
          <w:rFonts w:ascii="Arial" w:hAnsi="Arial" w:cs="Arial"/>
          <w:b/>
          <w:bCs/>
        </w:rPr>
        <w:t>–</w:t>
      </w:r>
      <w:r w:rsidR="00B6599B">
        <w:rPr>
          <w:rFonts w:ascii="Arial" w:hAnsi="Arial" w:cs="Arial"/>
          <w:b/>
          <w:bCs/>
        </w:rPr>
        <w:t>149</w:t>
      </w:r>
    </w:p>
    <w:p w14:paraId="77FC441F" w14:textId="77777777" w:rsidR="001440B3" w:rsidRDefault="001440B3" w:rsidP="0042011A">
      <w:pPr>
        <w:pStyle w:val="madeunder"/>
        <w:spacing w:before="300" w:after="0"/>
      </w:pPr>
      <w:r>
        <w:t xml:space="preserve">made under the  </w:t>
      </w:r>
    </w:p>
    <w:p w14:paraId="23CE4BFB" w14:textId="77777777" w:rsidR="001440B3" w:rsidRDefault="00A45763" w:rsidP="0042011A">
      <w:pPr>
        <w:pStyle w:val="CoverActName"/>
        <w:spacing w:before="320" w:after="0"/>
        <w:rPr>
          <w:rFonts w:cs="Arial"/>
          <w:sz w:val="20"/>
        </w:rPr>
      </w:pPr>
      <w:r w:rsidRPr="00A45763">
        <w:rPr>
          <w:rFonts w:cs="Arial"/>
          <w:i/>
          <w:sz w:val="20"/>
        </w:rPr>
        <w:t>Public Sector Workers’ Compensation Fund Act 2018</w:t>
      </w:r>
      <w:r w:rsidR="001440B3">
        <w:rPr>
          <w:rFonts w:cs="Arial"/>
          <w:sz w:val="20"/>
        </w:rPr>
        <w:t xml:space="preserve">, </w:t>
      </w:r>
      <w:r>
        <w:rPr>
          <w:rFonts w:cs="Arial"/>
          <w:sz w:val="20"/>
        </w:rPr>
        <w:t>s 17(1)</w:t>
      </w:r>
      <w:r w:rsidR="001440B3">
        <w:rPr>
          <w:rFonts w:cs="Arial"/>
          <w:sz w:val="20"/>
        </w:rPr>
        <w:t xml:space="preserve"> (</w:t>
      </w:r>
      <w:r>
        <w:rPr>
          <w:rFonts w:cs="Arial"/>
          <w:sz w:val="20"/>
        </w:rPr>
        <w:t>PSWC fund management guidelines</w:t>
      </w:r>
      <w:r w:rsidR="001440B3">
        <w:rPr>
          <w:rFonts w:cs="Arial"/>
          <w:sz w:val="20"/>
        </w:rPr>
        <w:t>)</w:t>
      </w:r>
    </w:p>
    <w:p w14:paraId="3C459342" w14:textId="77777777" w:rsidR="001440B3" w:rsidRDefault="001440B3" w:rsidP="0042011A">
      <w:pPr>
        <w:pStyle w:val="N-line3"/>
        <w:pBdr>
          <w:bottom w:val="none" w:sz="0" w:space="0" w:color="auto"/>
        </w:pBdr>
        <w:spacing w:before="60"/>
      </w:pPr>
    </w:p>
    <w:p w14:paraId="542F11DC" w14:textId="77777777" w:rsidR="001440B3" w:rsidRDefault="001440B3">
      <w:pPr>
        <w:pStyle w:val="N-line3"/>
        <w:pBdr>
          <w:top w:val="single" w:sz="12" w:space="1" w:color="auto"/>
          <w:bottom w:val="none" w:sz="0" w:space="0" w:color="auto"/>
        </w:pBdr>
      </w:pPr>
    </w:p>
    <w:p w14:paraId="2CCCF852" w14:textId="77777777" w:rsidR="001440B3" w:rsidRDefault="001440B3">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4E5F1BA2" w14:textId="2B232186" w:rsidR="001440B3" w:rsidRDefault="001440B3" w:rsidP="0042011A">
      <w:pPr>
        <w:spacing w:before="140"/>
        <w:ind w:left="720"/>
      </w:pPr>
      <w:r>
        <w:t xml:space="preserve">This instrument is the </w:t>
      </w:r>
      <w:r w:rsidR="006B4C1F" w:rsidRPr="006B4C1F">
        <w:rPr>
          <w:i/>
        </w:rPr>
        <w:t>Public Sector Workers Compensation Fund (Investments and Funding Ratio) Management Guidelines 2019 (No 1)</w:t>
      </w:r>
      <w:r w:rsidRPr="0042011A">
        <w:t>.</w:t>
      </w:r>
    </w:p>
    <w:p w14:paraId="31B3F862" w14:textId="77777777" w:rsidR="001440B3" w:rsidRDefault="001440B3" w:rsidP="0042011A">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604C9BF8" w14:textId="66F867B5" w:rsidR="001440B3" w:rsidRDefault="00C30F83" w:rsidP="0042011A">
      <w:pPr>
        <w:spacing w:before="140"/>
        <w:ind w:left="720"/>
      </w:pPr>
      <w:r>
        <w:t>This instrument commences the day after notification.</w:t>
      </w:r>
    </w:p>
    <w:p w14:paraId="76086729" w14:textId="77777777" w:rsidR="001440B3" w:rsidRDefault="001440B3" w:rsidP="0042011A">
      <w:pPr>
        <w:spacing w:before="300"/>
        <w:ind w:left="720" w:hanging="720"/>
        <w:rPr>
          <w:rFonts w:ascii="Arial" w:hAnsi="Arial" w:cs="Arial"/>
          <w:b/>
          <w:bCs/>
        </w:rPr>
      </w:pPr>
      <w:r>
        <w:rPr>
          <w:rFonts w:ascii="Arial" w:hAnsi="Arial" w:cs="Arial"/>
          <w:b/>
          <w:bCs/>
        </w:rPr>
        <w:t>3</w:t>
      </w:r>
      <w:r>
        <w:rPr>
          <w:rFonts w:ascii="Arial" w:hAnsi="Arial" w:cs="Arial"/>
          <w:b/>
          <w:bCs/>
        </w:rPr>
        <w:tab/>
      </w:r>
      <w:r w:rsidR="00265A94">
        <w:rPr>
          <w:rFonts w:ascii="Arial" w:hAnsi="Arial" w:cs="Arial"/>
          <w:b/>
          <w:bCs/>
        </w:rPr>
        <w:t>Investment</w:t>
      </w:r>
      <w:r w:rsidR="001C5446">
        <w:rPr>
          <w:rFonts w:ascii="Arial" w:hAnsi="Arial" w:cs="Arial"/>
          <w:b/>
          <w:bCs/>
        </w:rPr>
        <w:t>s</w:t>
      </w:r>
      <w:r w:rsidR="00265A94">
        <w:rPr>
          <w:rFonts w:ascii="Arial" w:hAnsi="Arial" w:cs="Arial"/>
          <w:b/>
          <w:bCs/>
        </w:rPr>
        <w:t xml:space="preserve"> and Funding Ratio</w:t>
      </w:r>
    </w:p>
    <w:p w14:paraId="3B6A8994" w14:textId="77777777" w:rsidR="001440B3" w:rsidRDefault="00265A94" w:rsidP="0042011A">
      <w:pPr>
        <w:spacing w:before="140"/>
        <w:ind w:left="720"/>
      </w:pPr>
      <w:r>
        <w:t>I make the Investment</w:t>
      </w:r>
      <w:r w:rsidR="001C5446">
        <w:t>s</w:t>
      </w:r>
      <w:r>
        <w:t xml:space="preserve"> and Funding Ratio Fund Management Guidelines as set out in the Schedule to this instrument.</w:t>
      </w:r>
    </w:p>
    <w:p w14:paraId="012CCC02" w14:textId="77777777" w:rsidR="00265A94" w:rsidRDefault="00265A94" w:rsidP="0042011A">
      <w:pPr>
        <w:tabs>
          <w:tab w:val="left" w:pos="4320"/>
        </w:tabs>
        <w:spacing w:before="720"/>
      </w:pPr>
    </w:p>
    <w:p w14:paraId="2E9B2904" w14:textId="77777777" w:rsidR="00265A94" w:rsidRDefault="00265A94" w:rsidP="0042011A">
      <w:pPr>
        <w:tabs>
          <w:tab w:val="left" w:pos="4320"/>
        </w:tabs>
        <w:spacing w:before="720"/>
      </w:pPr>
    </w:p>
    <w:p w14:paraId="11815274" w14:textId="77777777" w:rsidR="0042011A" w:rsidRDefault="00265A94" w:rsidP="0042011A">
      <w:pPr>
        <w:tabs>
          <w:tab w:val="left" w:pos="4320"/>
        </w:tabs>
        <w:spacing w:before="720"/>
      </w:pPr>
      <w:r>
        <w:t>Andrew Barr MLA</w:t>
      </w:r>
    </w:p>
    <w:p w14:paraId="2944DC82" w14:textId="77777777" w:rsidR="001440B3" w:rsidRDefault="00265A94" w:rsidP="0042011A">
      <w:pPr>
        <w:tabs>
          <w:tab w:val="left" w:pos="4320"/>
        </w:tabs>
      </w:pPr>
      <w:r>
        <w:t>Treasurer</w:t>
      </w:r>
    </w:p>
    <w:bookmarkEnd w:id="0"/>
    <w:p w14:paraId="193D3018" w14:textId="2B0A2196" w:rsidR="00B6599B" w:rsidRDefault="00B6599B">
      <w:pPr>
        <w:tabs>
          <w:tab w:val="left" w:pos="4320"/>
        </w:tabs>
        <w:sectPr w:rsidR="00B6599B" w:rsidSect="00924C5E">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titlePg/>
          <w:docGrid w:linePitch="326"/>
        </w:sectPr>
      </w:pPr>
      <w:r>
        <w:t>18 March 2019</w:t>
      </w:r>
    </w:p>
    <w:p w14:paraId="22779B78" w14:textId="77777777" w:rsidR="001440B3" w:rsidRPr="00717639" w:rsidRDefault="00C724DC" w:rsidP="00C724DC">
      <w:pPr>
        <w:pStyle w:val="Title"/>
        <w:pBdr>
          <w:top w:val="none" w:sz="0" w:space="0" w:color="auto"/>
        </w:pBdr>
        <w:rPr>
          <w:b w:val="0"/>
        </w:rPr>
      </w:pPr>
      <w:r w:rsidRPr="00717639">
        <w:rPr>
          <w:b w:val="0"/>
        </w:rPr>
        <w:lastRenderedPageBreak/>
        <w:t>Investment and Funding Ratio</w:t>
      </w:r>
      <w:r w:rsidR="00717639">
        <w:rPr>
          <w:b w:val="0"/>
        </w:rPr>
        <w:t xml:space="preserve"> </w:t>
      </w:r>
      <w:r w:rsidRPr="00717639">
        <w:rPr>
          <w:b w:val="0"/>
        </w:rPr>
        <w:t>Fund Management Guidelines</w:t>
      </w:r>
    </w:p>
    <w:p w14:paraId="6194093B" w14:textId="77777777" w:rsidR="00AB5249" w:rsidRPr="00C724DC" w:rsidRDefault="00AB5249">
      <w:pPr>
        <w:tabs>
          <w:tab w:val="left" w:pos="4320"/>
        </w:tabs>
        <w:rPr>
          <w:rFonts w:asciiTheme="minorHAnsi" w:hAnsiTheme="minorHAnsi"/>
        </w:rPr>
      </w:pPr>
    </w:p>
    <w:p w14:paraId="073316F2" w14:textId="77777777" w:rsidR="00B73EFB" w:rsidRPr="00B73EFB" w:rsidRDefault="00B73EFB" w:rsidP="00B73EFB">
      <w:pPr>
        <w:pBdr>
          <w:bottom w:val="single" w:sz="4" w:space="1" w:color="auto"/>
        </w:pBdr>
        <w:tabs>
          <w:tab w:val="left" w:pos="2600"/>
        </w:tabs>
        <w:autoSpaceDE w:val="0"/>
        <w:autoSpaceDN w:val="0"/>
        <w:spacing w:after="20"/>
        <w:rPr>
          <w:rFonts w:asciiTheme="minorHAnsi" w:hAnsiTheme="minorHAnsi"/>
          <w:b/>
          <w:bCs/>
          <w:sz w:val="32"/>
          <w:szCs w:val="32"/>
          <w:lang w:eastAsia="en-AU"/>
        </w:rPr>
      </w:pPr>
      <w:r w:rsidRPr="00B73EFB">
        <w:rPr>
          <w:rFonts w:asciiTheme="minorHAnsi" w:hAnsiTheme="minorHAnsi"/>
          <w:b/>
          <w:bCs/>
          <w:sz w:val="32"/>
          <w:szCs w:val="32"/>
          <w:lang w:eastAsia="en-AU"/>
        </w:rPr>
        <w:t>Contents</w:t>
      </w:r>
    </w:p>
    <w:p w14:paraId="4E03F4B7" w14:textId="11D0A9FE" w:rsidR="00B73EFB" w:rsidRPr="00B73EFB" w:rsidRDefault="00B73EFB" w:rsidP="00B73EFB">
      <w:pPr>
        <w:tabs>
          <w:tab w:val="right" w:pos="7272"/>
        </w:tabs>
        <w:autoSpaceDE w:val="0"/>
        <w:autoSpaceDN w:val="0"/>
        <w:spacing w:before="120" w:after="20"/>
        <w:jc w:val="both"/>
        <w:rPr>
          <w:rFonts w:asciiTheme="minorHAnsi" w:hAnsiTheme="minorHAnsi"/>
          <w:sz w:val="18"/>
          <w:szCs w:val="18"/>
          <w:lang w:eastAsia="en-AU"/>
        </w:rPr>
      </w:pPr>
      <w:r w:rsidRPr="00B73EFB">
        <w:rPr>
          <w:rFonts w:asciiTheme="minorHAnsi" w:hAnsiTheme="minorHAnsi"/>
          <w:sz w:val="18"/>
          <w:szCs w:val="18"/>
          <w:lang w:eastAsia="en-AU"/>
        </w:rPr>
        <w:tab/>
      </w:r>
      <w:r w:rsidR="00564F54">
        <w:rPr>
          <w:rFonts w:asciiTheme="minorHAnsi" w:hAnsiTheme="minorHAnsi"/>
          <w:sz w:val="18"/>
          <w:szCs w:val="18"/>
          <w:lang w:eastAsia="en-AU"/>
        </w:rPr>
        <w:tab/>
      </w:r>
      <w:r w:rsidRPr="00B73EFB">
        <w:rPr>
          <w:rFonts w:asciiTheme="minorHAnsi" w:hAnsiTheme="minorHAnsi"/>
          <w:sz w:val="18"/>
          <w:szCs w:val="18"/>
          <w:lang w:eastAsia="en-AU"/>
        </w:rPr>
        <w:t>Page</w:t>
      </w:r>
    </w:p>
    <w:p w14:paraId="08CFF02B" w14:textId="63CC36D5" w:rsidR="00FD1825" w:rsidRPr="00FD1825" w:rsidRDefault="00B73EFB" w:rsidP="00FD1825">
      <w:pPr>
        <w:pStyle w:val="TOC1"/>
        <w:rPr>
          <w:rFonts w:eastAsiaTheme="minorEastAsia" w:cstheme="minorBidi"/>
          <w:sz w:val="22"/>
          <w:szCs w:val="22"/>
        </w:rPr>
      </w:pPr>
      <w:r w:rsidRPr="00FD1825">
        <w:rPr>
          <w:lang w:val="en-US"/>
        </w:rPr>
        <w:fldChar w:fldCharType="begin"/>
      </w:r>
      <w:r w:rsidRPr="00FD1825">
        <w:rPr>
          <w:lang w:val="en-US"/>
        </w:rPr>
        <w:instrText xml:space="preserve"> TOC \o "1-5" \t "A H1 Chapter,1,A H2 Part,2,A H3 Div,3,A H4 SubDiv,4,A H5 Sec,5,EndNote2,5,Sched-heading,6,Sched-heading Symb,6,Sched-Part,7,Sched-Part Symb,7,Endnote1,7,Sched-Form,8,Sched-Form Symb,8,Dict-Heading,6,Dict-Heading Symb,6,Sch clause heading,5,Endnote2,5" </w:instrText>
      </w:r>
      <w:r w:rsidRPr="00FD1825">
        <w:rPr>
          <w:lang w:val="en-US"/>
        </w:rPr>
        <w:fldChar w:fldCharType="separate"/>
      </w:r>
      <w:r w:rsidR="00FD1825" w:rsidRPr="00FD1825">
        <w:t>Part 1</w:t>
      </w:r>
      <w:r w:rsidR="00FD1825" w:rsidRPr="00FD1825">
        <w:rPr>
          <w:rFonts w:eastAsiaTheme="minorEastAsia" w:cstheme="minorBidi"/>
          <w:sz w:val="22"/>
          <w:szCs w:val="22"/>
        </w:rPr>
        <w:tab/>
      </w:r>
      <w:r w:rsidR="00FD1825" w:rsidRPr="00FD1825">
        <w:t>Preliminary</w:t>
      </w:r>
      <w:r w:rsidR="00FD1825" w:rsidRPr="00FD1825">
        <w:tab/>
      </w:r>
      <w:r w:rsidR="00FD1825" w:rsidRPr="00FD1825">
        <w:fldChar w:fldCharType="begin"/>
      </w:r>
      <w:r w:rsidR="00FD1825" w:rsidRPr="00FD1825">
        <w:instrText xml:space="preserve"> PAGEREF _Toc530252521 \h </w:instrText>
      </w:r>
      <w:r w:rsidR="00FD1825" w:rsidRPr="00FD1825">
        <w:fldChar w:fldCharType="separate"/>
      </w:r>
      <w:r w:rsidR="003861D3">
        <w:t>2</w:t>
      </w:r>
      <w:r w:rsidR="00FD1825" w:rsidRPr="00FD1825">
        <w:fldChar w:fldCharType="end"/>
      </w:r>
    </w:p>
    <w:p w14:paraId="2C3D5360" w14:textId="0A355CB9" w:rsidR="00FD1825" w:rsidRPr="00FD1825" w:rsidRDefault="00FD1825" w:rsidP="00FD1825">
      <w:pPr>
        <w:pStyle w:val="TOC2"/>
        <w:tabs>
          <w:tab w:val="left" w:pos="720"/>
          <w:tab w:val="right" w:pos="8297"/>
        </w:tabs>
        <w:ind w:left="0"/>
        <w:rPr>
          <w:rFonts w:asciiTheme="minorHAnsi" w:eastAsiaTheme="minorEastAsia" w:hAnsiTheme="minorHAnsi" w:cstheme="minorBidi"/>
          <w:noProof/>
          <w:sz w:val="22"/>
          <w:szCs w:val="22"/>
          <w:lang w:eastAsia="en-AU"/>
        </w:rPr>
      </w:pPr>
      <w:r w:rsidRPr="00FD1825">
        <w:rPr>
          <w:rFonts w:asciiTheme="minorHAnsi" w:hAnsiTheme="minorHAnsi"/>
          <w:noProof/>
          <w:lang w:eastAsia="en-AU"/>
        </w:rPr>
        <w:t>1</w:t>
      </w:r>
      <w:r w:rsidRPr="00FD1825">
        <w:rPr>
          <w:rFonts w:asciiTheme="minorHAnsi" w:eastAsiaTheme="minorEastAsia" w:hAnsiTheme="minorHAnsi" w:cstheme="minorBidi"/>
          <w:noProof/>
          <w:sz w:val="22"/>
          <w:szCs w:val="22"/>
          <w:lang w:eastAsia="en-AU"/>
        </w:rPr>
        <w:tab/>
      </w:r>
      <w:r w:rsidRPr="00FD1825">
        <w:rPr>
          <w:rFonts w:asciiTheme="minorHAnsi" w:hAnsiTheme="minorHAnsi"/>
          <w:noProof/>
          <w:lang w:eastAsia="en-AU"/>
        </w:rPr>
        <w:t>Dictionary</w:t>
      </w:r>
      <w:r w:rsidRPr="00FD1825">
        <w:rPr>
          <w:rFonts w:asciiTheme="minorHAnsi" w:hAnsiTheme="minorHAnsi"/>
          <w:noProof/>
        </w:rPr>
        <w:tab/>
      </w:r>
      <w:r w:rsidRPr="00FD1825">
        <w:rPr>
          <w:rFonts w:asciiTheme="minorHAnsi" w:hAnsiTheme="minorHAnsi"/>
          <w:noProof/>
        </w:rPr>
        <w:fldChar w:fldCharType="begin"/>
      </w:r>
      <w:r w:rsidRPr="00FD1825">
        <w:rPr>
          <w:rFonts w:asciiTheme="minorHAnsi" w:hAnsiTheme="minorHAnsi"/>
          <w:noProof/>
        </w:rPr>
        <w:instrText xml:space="preserve"> PAGEREF _Toc530252522 \h </w:instrText>
      </w:r>
      <w:r w:rsidRPr="00FD1825">
        <w:rPr>
          <w:rFonts w:asciiTheme="minorHAnsi" w:hAnsiTheme="minorHAnsi"/>
          <w:noProof/>
        </w:rPr>
      </w:r>
      <w:r w:rsidRPr="00FD1825">
        <w:rPr>
          <w:rFonts w:asciiTheme="minorHAnsi" w:hAnsiTheme="minorHAnsi"/>
          <w:noProof/>
        </w:rPr>
        <w:fldChar w:fldCharType="separate"/>
      </w:r>
      <w:r w:rsidR="003861D3">
        <w:rPr>
          <w:rFonts w:asciiTheme="minorHAnsi" w:hAnsiTheme="minorHAnsi"/>
          <w:noProof/>
        </w:rPr>
        <w:t>2</w:t>
      </w:r>
      <w:r w:rsidRPr="00FD1825">
        <w:rPr>
          <w:rFonts w:asciiTheme="minorHAnsi" w:hAnsiTheme="minorHAnsi"/>
          <w:noProof/>
        </w:rPr>
        <w:fldChar w:fldCharType="end"/>
      </w:r>
    </w:p>
    <w:p w14:paraId="47B454BA" w14:textId="084A653F" w:rsidR="00FD1825" w:rsidRPr="00FD1825" w:rsidRDefault="00FD1825" w:rsidP="00FD1825">
      <w:pPr>
        <w:pStyle w:val="TOC2"/>
        <w:tabs>
          <w:tab w:val="left" w:pos="720"/>
          <w:tab w:val="right" w:pos="8297"/>
        </w:tabs>
        <w:ind w:left="0"/>
        <w:rPr>
          <w:rFonts w:asciiTheme="minorHAnsi" w:eastAsiaTheme="minorEastAsia" w:hAnsiTheme="minorHAnsi" w:cstheme="minorBidi"/>
          <w:noProof/>
          <w:sz w:val="22"/>
          <w:szCs w:val="22"/>
          <w:lang w:eastAsia="en-AU"/>
        </w:rPr>
      </w:pPr>
      <w:r w:rsidRPr="00FD1825">
        <w:rPr>
          <w:rFonts w:asciiTheme="minorHAnsi" w:hAnsiTheme="minorHAnsi"/>
          <w:noProof/>
          <w:lang w:eastAsia="en-AU"/>
        </w:rPr>
        <w:t>2</w:t>
      </w:r>
      <w:r w:rsidRPr="00FD1825">
        <w:rPr>
          <w:rFonts w:asciiTheme="minorHAnsi" w:eastAsiaTheme="minorEastAsia" w:hAnsiTheme="minorHAnsi" w:cstheme="minorBidi"/>
          <w:noProof/>
          <w:sz w:val="22"/>
          <w:szCs w:val="22"/>
          <w:lang w:eastAsia="en-AU"/>
        </w:rPr>
        <w:tab/>
      </w:r>
      <w:r w:rsidRPr="00FD1825">
        <w:rPr>
          <w:rFonts w:asciiTheme="minorHAnsi" w:hAnsiTheme="minorHAnsi"/>
          <w:noProof/>
          <w:lang w:eastAsia="en-AU"/>
        </w:rPr>
        <w:t>Notes</w:t>
      </w:r>
      <w:r w:rsidRPr="00FD1825">
        <w:rPr>
          <w:rFonts w:asciiTheme="minorHAnsi" w:hAnsiTheme="minorHAnsi"/>
          <w:noProof/>
        </w:rPr>
        <w:tab/>
      </w:r>
      <w:r w:rsidRPr="00FD1825">
        <w:rPr>
          <w:rFonts w:asciiTheme="minorHAnsi" w:hAnsiTheme="minorHAnsi"/>
          <w:noProof/>
        </w:rPr>
        <w:fldChar w:fldCharType="begin"/>
      </w:r>
      <w:r w:rsidRPr="00FD1825">
        <w:rPr>
          <w:rFonts w:asciiTheme="minorHAnsi" w:hAnsiTheme="minorHAnsi"/>
          <w:noProof/>
        </w:rPr>
        <w:instrText xml:space="preserve"> PAGEREF _Toc530252523 \h </w:instrText>
      </w:r>
      <w:r w:rsidRPr="00FD1825">
        <w:rPr>
          <w:rFonts w:asciiTheme="minorHAnsi" w:hAnsiTheme="minorHAnsi"/>
          <w:noProof/>
        </w:rPr>
      </w:r>
      <w:r w:rsidRPr="00FD1825">
        <w:rPr>
          <w:rFonts w:asciiTheme="minorHAnsi" w:hAnsiTheme="minorHAnsi"/>
          <w:noProof/>
        </w:rPr>
        <w:fldChar w:fldCharType="separate"/>
      </w:r>
      <w:r w:rsidR="003861D3">
        <w:rPr>
          <w:rFonts w:asciiTheme="minorHAnsi" w:hAnsiTheme="minorHAnsi"/>
          <w:noProof/>
        </w:rPr>
        <w:t>2</w:t>
      </w:r>
      <w:r w:rsidRPr="00FD1825">
        <w:rPr>
          <w:rFonts w:asciiTheme="minorHAnsi" w:hAnsiTheme="minorHAnsi"/>
          <w:noProof/>
        </w:rPr>
        <w:fldChar w:fldCharType="end"/>
      </w:r>
    </w:p>
    <w:p w14:paraId="6C234F04" w14:textId="77777777" w:rsidR="00FD1825" w:rsidRDefault="00FD1825" w:rsidP="00FD1825">
      <w:pPr>
        <w:pStyle w:val="TOC1"/>
      </w:pPr>
    </w:p>
    <w:p w14:paraId="219B386D" w14:textId="05D9DE10" w:rsidR="00FD1825" w:rsidRPr="00FD1825" w:rsidRDefault="00FD1825" w:rsidP="00FD1825">
      <w:pPr>
        <w:pStyle w:val="TOC1"/>
        <w:rPr>
          <w:rFonts w:eastAsiaTheme="minorEastAsia" w:cstheme="minorBidi"/>
          <w:sz w:val="22"/>
          <w:szCs w:val="22"/>
        </w:rPr>
      </w:pPr>
      <w:r w:rsidRPr="00FD1825">
        <w:t>Part 2</w:t>
      </w:r>
      <w:r w:rsidRPr="00FD1825">
        <w:rPr>
          <w:rFonts w:eastAsiaTheme="minorEastAsia" w:cstheme="minorBidi"/>
          <w:sz w:val="22"/>
          <w:szCs w:val="22"/>
        </w:rPr>
        <w:tab/>
      </w:r>
      <w:r w:rsidRPr="00FD1825">
        <w:t>Investments of the PSWC fund</w:t>
      </w:r>
      <w:r w:rsidRPr="00FD1825">
        <w:tab/>
      </w:r>
      <w:r w:rsidRPr="00FD1825">
        <w:fldChar w:fldCharType="begin"/>
      </w:r>
      <w:r w:rsidRPr="00FD1825">
        <w:instrText xml:space="preserve"> PAGEREF _Toc530252524 \h </w:instrText>
      </w:r>
      <w:r w:rsidRPr="00FD1825">
        <w:fldChar w:fldCharType="separate"/>
      </w:r>
      <w:r w:rsidR="003861D3">
        <w:t>3</w:t>
      </w:r>
      <w:r w:rsidRPr="00FD1825">
        <w:fldChar w:fldCharType="end"/>
      </w:r>
    </w:p>
    <w:p w14:paraId="5AD07DB2" w14:textId="422DB550" w:rsidR="00FD1825" w:rsidRPr="00FD1825" w:rsidRDefault="00FD1825" w:rsidP="00FD1825">
      <w:pPr>
        <w:pStyle w:val="TOC2"/>
        <w:tabs>
          <w:tab w:val="left" w:pos="720"/>
          <w:tab w:val="right" w:pos="8297"/>
        </w:tabs>
        <w:ind w:left="0"/>
        <w:rPr>
          <w:rFonts w:asciiTheme="minorHAnsi" w:eastAsiaTheme="minorEastAsia" w:hAnsiTheme="minorHAnsi" w:cstheme="minorBidi"/>
          <w:noProof/>
          <w:sz w:val="22"/>
          <w:szCs w:val="22"/>
          <w:lang w:eastAsia="en-AU"/>
        </w:rPr>
      </w:pPr>
      <w:r w:rsidRPr="00FD1825">
        <w:rPr>
          <w:rFonts w:asciiTheme="minorHAnsi" w:hAnsiTheme="minorHAnsi"/>
          <w:noProof/>
          <w:lang w:eastAsia="en-AU"/>
        </w:rPr>
        <w:t>3</w:t>
      </w:r>
      <w:r w:rsidRPr="00FD1825">
        <w:rPr>
          <w:rFonts w:asciiTheme="minorHAnsi" w:eastAsiaTheme="minorEastAsia" w:hAnsiTheme="minorHAnsi" w:cstheme="minorBidi"/>
          <w:noProof/>
          <w:sz w:val="22"/>
          <w:szCs w:val="22"/>
          <w:lang w:eastAsia="en-AU"/>
        </w:rPr>
        <w:tab/>
      </w:r>
      <w:r w:rsidRPr="00FD1825">
        <w:rPr>
          <w:rFonts w:asciiTheme="minorHAnsi" w:hAnsiTheme="minorHAnsi"/>
          <w:noProof/>
          <w:lang w:eastAsia="en-AU"/>
        </w:rPr>
        <w:t>Prescribed investments—Act, s 14 (1) (c)</w:t>
      </w:r>
      <w:r w:rsidRPr="00FD1825">
        <w:rPr>
          <w:rFonts w:asciiTheme="minorHAnsi" w:hAnsiTheme="minorHAnsi"/>
          <w:noProof/>
        </w:rPr>
        <w:tab/>
      </w:r>
      <w:r w:rsidRPr="00FD1825">
        <w:rPr>
          <w:rFonts w:asciiTheme="minorHAnsi" w:hAnsiTheme="minorHAnsi"/>
          <w:noProof/>
        </w:rPr>
        <w:fldChar w:fldCharType="begin"/>
      </w:r>
      <w:r w:rsidRPr="00FD1825">
        <w:rPr>
          <w:rFonts w:asciiTheme="minorHAnsi" w:hAnsiTheme="minorHAnsi"/>
          <w:noProof/>
        </w:rPr>
        <w:instrText xml:space="preserve"> PAGEREF _Toc530252525 \h </w:instrText>
      </w:r>
      <w:r w:rsidRPr="00FD1825">
        <w:rPr>
          <w:rFonts w:asciiTheme="minorHAnsi" w:hAnsiTheme="minorHAnsi"/>
          <w:noProof/>
        </w:rPr>
      </w:r>
      <w:r w:rsidRPr="00FD1825">
        <w:rPr>
          <w:rFonts w:asciiTheme="minorHAnsi" w:hAnsiTheme="minorHAnsi"/>
          <w:noProof/>
        </w:rPr>
        <w:fldChar w:fldCharType="separate"/>
      </w:r>
      <w:r w:rsidR="003861D3">
        <w:rPr>
          <w:rFonts w:asciiTheme="minorHAnsi" w:hAnsiTheme="minorHAnsi"/>
          <w:noProof/>
        </w:rPr>
        <w:t>3</w:t>
      </w:r>
      <w:r w:rsidRPr="00FD1825">
        <w:rPr>
          <w:rFonts w:asciiTheme="minorHAnsi" w:hAnsiTheme="minorHAnsi"/>
          <w:noProof/>
        </w:rPr>
        <w:fldChar w:fldCharType="end"/>
      </w:r>
    </w:p>
    <w:p w14:paraId="0B72F62D" w14:textId="5FAEAAEB" w:rsidR="00FD1825" w:rsidRPr="00FD1825" w:rsidRDefault="00FD1825" w:rsidP="00FD1825">
      <w:pPr>
        <w:pStyle w:val="TOC2"/>
        <w:tabs>
          <w:tab w:val="left" w:pos="720"/>
          <w:tab w:val="right" w:pos="8297"/>
        </w:tabs>
        <w:ind w:left="0"/>
        <w:rPr>
          <w:rFonts w:asciiTheme="minorHAnsi" w:eastAsiaTheme="minorEastAsia" w:hAnsiTheme="minorHAnsi" w:cstheme="minorBidi"/>
          <w:noProof/>
          <w:sz w:val="22"/>
          <w:szCs w:val="22"/>
          <w:lang w:eastAsia="en-AU"/>
        </w:rPr>
      </w:pPr>
      <w:r w:rsidRPr="00FD1825">
        <w:rPr>
          <w:rFonts w:asciiTheme="minorHAnsi" w:hAnsiTheme="minorHAnsi"/>
          <w:noProof/>
          <w:lang w:eastAsia="en-AU"/>
        </w:rPr>
        <w:t>4</w:t>
      </w:r>
      <w:r w:rsidRPr="00FD1825">
        <w:rPr>
          <w:rFonts w:asciiTheme="minorHAnsi" w:eastAsiaTheme="minorEastAsia" w:hAnsiTheme="minorHAnsi" w:cstheme="minorBidi"/>
          <w:noProof/>
          <w:sz w:val="22"/>
          <w:szCs w:val="22"/>
          <w:lang w:eastAsia="en-AU"/>
        </w:rPr>
        <w:tab/>
      </w:r>
      <w:r w:rsidRPr="00FD1825">
        <w:rPr>
          <w:rFonts w:asciiTheme="minorHAnsi" w:hAnsiTheme="minorHAnsi"/>
          <w:noProof/>
          <w:lang w:eastAsia="en-AU"/>
        </w:rPr>
        <w:t>Investment Plan and Responsible Investment Policy</w:t>
      </w:r>
      <w:r w:rsidRPr="00FD1825">
        <w:rPr>
          <w:rFonts w:asciiTheme="minorHAnsi" w:hAnsiTheme="minorHAnsi"/>
          <w:noProof/>
        </w:rPr>
        <w:tab/>
      </w:r>
      <w:r w:rsidRPr="00FD1825">
        <w:rPr>
          <w:rFonts w:asciiTheme="minorHAnsi" w:hAnsiTheme="minorHAnsi"/>
          <w:noProof/>
        </w:rPr>
        <w:fldChar w:fldCharType="begin"/>
      </w:r>
      <w:r w:rsidRPr="00FD1825">
        <w:rPr>
          <w:rFonts w:asciiTheme="minorHAnsi" w:hAnsiTheme="minorHAnsi"/>
          <w:noProof/>
        </w:rPr>
        <w:instrText xml:space="preserve"> PAGEREF _Toc530252526 \h </w:instrText>
      </w:r>
      <w:r w:rsidRPr="00FD1825">
        <w:rPr>
          <w:rFonts w:asciiTheme="minorHAnsi" w:hAnsiTheme="minorHAnsi"/>
          <w:noProof/>
        </w:rPr>
      </w:r>
      <w:r w:rsidRPr="00FD1825">
        <w:rPr>
          <w:rFonts w:asciiTheme="minorHAnsi" w:hAnsiTheme="minorHAnsi"/>
          <w:noProof/>
        </w:rPr>
        <w:fldChar w:fldCharType="separate"/>
      </w:r>
      <w:r w:rsidR="003861D3">
        <w:rPr>
          <w:rFonts w:asciiTheme="minorHAnsi" w:hAnsiTheme="minorHAnsi"/>
          <w:noProof/>
        </w:rPr>
        <w:t>3</w:t>
      </w:r>
      <w:r w:rsidRPr="00FD1825">
        <w:rPr>
          <w:rFonts w:asciiTheme="minorHAnsi" w:hAnsiTheme="minorHAnsi"/>
          <w:noProof/>
        </w:rPr>
        <w:fldChar w:fldCharType="end"/>
      </w:r>
    </w:p>
    <w:p w14:paraId="545ACE06" w14:textId="77777777" w:rsidR="00FD1825" w:rsidRDefault="00FD1825" w:rsidP="00FD1825">
      <w:pPr>
        <w:pStyle w:val="TOC1"/>
      </w:pPr>
    </w:p>
    <w:p w14:paraId="3A9EA66E" w14:textId="0C90586C" w:rsidR="00FD1825" w:rsidRPr="00FD1825" w:rsidRDefault="00FD1825" w:rsidP="00FD1825">
      <w:pPr>
        <w:pStyle w:val="TOC1"/>
        <w:rPr>
          <w:rFonts w:eastAsiaTheme="minorEastAsia" w:cstheme="minorBidi"/>
          <w:sz w:val="22"/>
          <w:szCs w:val="22"/>
        </w:rPr>
      </w:pPr>
      <w:r w:rsidRPr="00FD1825">
        <w:t>Part 3</w:t>
      </w:r>
      <w:r w:rsidRPr="00FD1825">
        <w:rPr>
          <w:rFonts w:eastAsiaTheme="minorEastAsia" w:cstheme="minorBidi"/>
          <w:sz w:val="22"/>
          <w:szCs w:val="22"/>
        </w:rPr>
        <w:tab/>
      </w:r>
      <w:r w:rsidRPr="00FD1825">
        <w:t>Funding and liquidity levels</w:t>
      </w:r>
      <w:r w:rsidRPr="00FD1825">
        <w:tab/>
      </w:r>
      <w:r w:rsidRPr="00FD1825">
        <w:fldChar w:fldCharType="begin"/>
      </w:r>
      <w:r w:rsidRPr="00FD1825">
        <w:instrText xml:space="preserve"> PAGEREF _Toc530252527 \h </w:instrText>
      </w:r>
      <w:r w:rsidRPr="00FD1825">
        <w:fldChar w:fldCharType="separate"/>
      </w:r>
      <w:r w:rsidR="003861D3">
        <w:t>4</w:t>
      </w:r>
      <w:r w:rsidRPr="00FD1825">
        <w:fldChar w:fldCharType="end"/>
      </w:r>
    </w:p>
    <w:p w14:paraId="4E119DDB" w14:textId="57D7E340" w:rsidR="00FD1825" w:rsidRPr="00FD1825" w:rsidRDefault="00BD11BD" w:rsidP="00FD1825">
      <w:pPr>
        <w:pStyle w:val="TOC2"/>
        <w:tabs>
          <w:tab w:val="left" w:pos="720"/>
          <w:tab w:val="right" w:pos="8297"/>
        </w:tabs>
        <w:ind w:left="0"/>
        <w:rPr>
          <w:rFonts w:asciiTheme="minorHAnsi" w:eastAsiaTheme="minorEastAsia" w:hAnsiTheme="minorHAnsi" w:cstheme="minorBidi"/>
          <w:noProof/>
          <w:sz w:val="22"/>
          <w:szCs w:val="22"/>
          <w:lang w:eastAsia="en-AU"/>
        </w:rPr>
      </w:pPr>
      <w:r>
        <w:rPr>
          <w:rFonts w:asciiTheme="minorHAnsi" w:hAnsiTheme="minorHAnsi"/>
          <w:noProof/>
          <w:lang w:eastAsia="en-AU"/>
        </w:rPr>
        <w:t>5</w:t>
      </w:r>
      <w:r w:rsidR="00FD1825" w:rsidRPr="00FD1825">
        <w:rPr>
          <w:rFonts w:asciiTheme="minorHAnsi" w:eastAsiaTheme="minorEastAsia" w:hAnsiTheme="minorHAnsi" w:cstheme="minorBidi"/>
          <w:noProof/>
          <w:sz w:val="22"/>
          <w:szCs w:val="22"/>
          <w:lang w:eastAsia="en-AU"/>
        </w:rPr>
        <w:tab/>
      </w:r>
      <w:r w:rsidR="00FD1825" w:rsidRPr="00FD1825">
        <w:rPr>
          <w:rFonts w:asciiTheme="minorHAnsi" w:hAnsiTheme="minorHAnsi"/>
          <w:noProof/>
          <w:lang w:eastAsia="en-AU"/>
        </w:rPr>
        <w:t>Fund Value</w:t>
      </w:r>
      <w:r w:rsidR="00FD1825" w:rsidRPr="00FD1825">
        <w:rPr>
          <w:rFonts w:asciiTheme="minorHAnsi" w:hAnsiTheme="minorHAnsi"/>
          <w:noProof/>
        </w:rPr>
        <w:tab/>
      </w:r>
      <w:r w:rsidR="00FD1825" w:rsidRPr="00FD1825">
        <w:rPr>
          <w:rFonts w:asciiTheme="minorHAnsi" w:hAnsiTheme="minorHAnsi"/>
          <w:noProof/>
        </w:rPr>
        <w:fldChar w:fldCharType="begin"/>
      </w:r>
      <w:r w:rsidR="00FD1825" w:rsidRPr="00FD1825">
        <w:rPr>
          <w:rFonts w:asciiTheme="minorHAnsi" w:hAnsiTheme="minorHAnsi"/>
          <w:noProof/>
        </w:rPr>
        <w:instrText xml:space="preserve"> PAGEREF _Toc530252529 \h </w:instrText>
      </w:r>
      <w:r w:rsidR="00FD1825" w:rsidRPr="00FD1825">
        <w:rPr>
          <w:rFonts w:asciiTheme="minorHAnsi" w:hAnsiTheme="minorHAnsi"/>
          <w:noProof/>
        </w:rPr>
      </w:r>
      <w:r w:rsidR="00FD1825" w:rsidRPr="00FD1825">
        <w:rPr>
          <w:rFonts w:asciiTheme="minorHAnsi" w:hAnsiTheme="minorHAnsi"/>
          <w:noProof/>
        </w:rPr>
        <w:fldChar w:fldCharType="separate"/>
      </w:r>
      <w:r w:rsidR="003861D3">
        <w:rPr>
          <w:rFonts w:asciiTheme="minorHAnsi" w:hAnsiTheme="minorHAnsi"/>
          <w:noProof/>
        </w:rPr>
        <w:t>4</w:t>
      </w:r>
      <w:r w:rsidR="00FD1825" w:rsidRPr="00FD1825">
        <w:rPr>
          <w:rFonts w:asciiTheme="minorHAnsi" w:hAnsiTheme="minorHAnsi"/>
          <w:noProof/>
        </w:rPr>
        <w:fldChar w:fldCharType="end"/>
      </w:r>
    </w:p>
    <w:p w14:paraId="14E1AE1B" w14:textId="7EF30D93" w:rsidR="00FD1825" w:rsidRPr="00FD1825" w:rsidRDefault="00BD11BD" w:rsidP="00FD1825">
      <w:pPr>
        <w:pStyle w:val="TOC2"/>
        <w:tabs>
          <w:tab w:val="left" w:pos="720"/>
          <w:tab w:val="right" w:pos="8297"/>
        </w:tabs>
        <w:ind w:left="0"/>
        <w:rPr>
          <w:rFonts w:asciiTheme="minorHAnsi" w:eastAsiaTheme="minorEastAsia" w:hAnsiTheme="minorHAnsi" w:cstheme="minorBidi"/>
          <w:noProof/>
          <w:sz w:val="22"/>
          <w:szCs w:val="22"/>
          <w:lang w:eastAsia="en-AU"/>
        </w:rPr>
      </w:pPr>
      <w:r>
        <w:rPr>
          <w:rFonts w:asciiTheme="minorHAnsi" w:hAnsiTheme="minorHAnsi"/>
          <w:noProof/>
          <w:lang w:eastAsia="en-AU"/>
        </w:rPr>
        <w:t>6</w:t>
      </w:r>
      <w:r w:rsidR="00FD1825" w:rsidRPr="00FD1825">
        <w:rPr>
          <w:rFonts w:asciiTheme="minorHAnsi" w:eastAsiaTheme="minorEastAsia" w:hAnsiTheme="minorHAnsi" w:cstheme="minorBidi"/>
          <w:noProof/>
          <w:sz w:val="22"/>
          <w:szCs w:val="22"/>
          <w:lang w:eastAsia="en-AU"/>
        </w:rPr>
        <w:tab/>
      </w:r>
      <w:r w:rsidR="00FD1825" w:rsidRPr="00FD1825">
        <w:rPr>
          <w:rFonts w:asciiTheme="minorHAnsi" w:hAnsiTheme="minorHAnsi"/>
          <w:noProof/>
          <w:lang w:eastAsia="en-AU"/>
        </w:rPr>
        <w:t>Optimal funding ratio</w:t>
      </w:r>
      <w:r w:rsidR="00FD1825" w:rsidRPr="00FD1825">
        <w:rPr>
          <w:rFonts w:asciiTheme="minorHAnsi" w:hAnsiTheme="minorHAnsi"/>
          <w:noProof/>
        </w:rPr>
        <w:tab/>
      </w:r>
      <w:r w:rsidR="00FD1825" w:rsidRPr="00FD1825">
        <w:rPr>
          <w:rFonts w:asciiTheme="minorHAnsi" w:hAnsiTheme="minorHAnsi"/>
          <w:noProof/>
        </w:rPr>
        <w:fldChar w:fldCharType="begin"/>
      </w:r>
      <w:r w:rsidR="00FD1825" w:rsidRPr="00FD1825">
        <w:rPr>
          <w:rFonts w:asciiTheme="minorHAnsi" w:hAnsiTheme="minorHAnsi"/>
          <w:noProof/>
        </w:rPr>
        <w:instrText xml:space="preserve"> PAGEREF _Toc530252530 \h </w:instrText>
      </w:r>
      <w:r w:rsidR="00FD1825" w:rsidRPr="00FD1825">
        <w:rPr>
          <w:rFonts w:asciiTheme="minorHAnsi" w:hAnsiTheme="minorHAnsi"/>
          <w:noProof/>
        </w:rPr>
      </w:r>
      <w:r w:rsidR="00FD1825" w:rsidRPr="00FD1825">
        <w:rPr>
          <w:rFonts w:asciiTheme="minorHAnsi" w:hAnsiTheme="minorHAnsi"/>
          <w:noProof/>
        </w:rPr>
        <w:fldChar w:fldCharType="separate"/>
      </w:r>
      <w:r w:rsidR="003861D3">
        <w:rPr>
          <w:rFonts w:asciiTheme="minorHAnsi" w:hAnsiTheme="minorHAnsi"/>
          <w:noProof/>
        </w:rPr>
        <w:t>4</w:t>
      </w:r>
      <w:r w:rsidR="00FD1825" w:rsidRPr="00FD1825">
        <w:rPr>
          <w:rFonts w:asciiTheme="minorHAnsi" w:hAnsiTheme="minorHAnsi"/>
          <w:noProof/>
        </w:rPr>
        <w:fldChar w:fldCharType="end"/>
      </w:r>
    </w:p>
    <w:p w14:paraId="30E10997" w14:textId="7BEDF9B0" w:rsidR="00FD1825" w:rsidRPr="00FD1825" w:rsidRDefault="00BD11BD" w:rsidP="00FD1825">
      <w:pPr>
        <w:pStyle w:val="TOC2"/>
        <w:tabs>
          <w:tab w:val="left" w:pos="720"/>
          <w:tab w:val="right" w:pos="8297"/>
        </w:tabs>
        <w:ind w:left="0"/>
        <w:rPr>
          <w:rFonts w:asciiTheme="minorHAnsi" w:eastAsiaTheme="minorEastAsia" w:hAnsiTheme="minorHAnsi" w:cstheme="minorBidi"/>
          <w:noProof/>
          <w:sz w:val="22"/>
          <w:szCs w:val="22"/>
          <w:lang w:eastAsia="en-AU"/>
        </w:rPr>
      </w:pPr>
      <w:r>
        <w:rPr>
          <w:rFonts w:asciiTheme="minorHAnsi" w:hAnsiTheme="minorHAnsi"/>
          <w:noProof/>
          <w:lang w:eastAsia="en-AU"/>
        </w:rPr>
        <w:t>7</w:t>
      </w:r>
      <w:r w:rsidR="00FD1825" w:rsidRPr="00FD1825">
        <w:rPr>
          <w:rFonts w:asciiTheme="minorHAnsi" w:eastAsiaTheme="minorEastAsia" w:hAnsiTheme="minorHAnsi" w:cstheme="minorBidi"/>
          <w:noProof/>
          <w:sz w:val="22"/>
          <w:szCs w:val="22"/>
          <w:lang w:eastAsia="en-AU"/>
        </w:rPr>
        <w:tab/>
      </w:r>
      <w:r w:rsidR="00FD1825" w:rsidRPr="00FD1825">
        <w:rPr>
          <w:rFonts w:asciiTheme="minorHAnsi" w:hAnsiTheme="minorHAnsi"/>
          <w:noProof/>
          <w:lang w:eastAsia="en-AU"/>
        </w:rPr>
        <w:t>Liquidity levels</w:t>
      </w:r>
      <w:r w:rsidR="00FD1825" w:rsidRPr="00FD1825">
        <w:rPr>
          <w:rFonts w:asciiTheme="minorHAnsi" w:hAnsiTheme="minorHAnsi"/>
          <w:noProof/>
        </w:rPr>
        <w:tab/>
      </w:r>
      <w:r w:rsidR="00FD1825" w:rsidRPr="00FD1825">
        <w:rPr>
          <w:rFonts w:asciiTheme="minorHAnsi" w:hAnsiTheme="minorHAnsi"/>
          <w:noProof/>
        </w:rPr>
        <w:fldChar w:fldCharType="begin"/>
      </w:r>
      <w:r w:rsidR="00FD1825" w:rsidRPr="00FD1825">
        <w:rPr>
          <w:rFonts w:asciiTheme="minorHAnsi" w:hAnsiTheme="minorHAnsi"/>
          <w:noProof/>
        </w:rPr>
        <w:instrText xml:space="preserve"> PAGEREF _Toc530252531 \h </w:instrText>
      </w:r>
      <w:r w:rsidR="00FD1825" w:rsidRPr="00FD1825">
        <w:rPr>
          <w:rFonts w:asciiTheme="minorHAnsi" w:hAnsiTheme="minorHAnsi"/>
          <w:noProof/>
        </w:rPr>
      </w:r>
      <w:r w:rsidR="00FD1825" w:rsidRPr="00FD1825">
        <w:rPr>
          <w:rFonts w:asciiTheme="minorHAnsi" w:hAnsiTheme="minorHAnsi"/>
          <w:noProof/>
        </w:rPr>
        <w:fldChar w:fldCharType="separate"/>
      </w:r>
      <w:r w:rsidR="003861D3">
        <w:rPr>
          <w:rFonts w:asciiTheme="minorHAnsi" w:hAnsiTheme="minorHAnsi"/>
          <w:noProof/>
        </w:rPr>
        <w:t>4</w:t>
      </w:r>
      <w:r w:rsidR="00FD1825" w:rsidRPr="00FD1825">
        <w:rPr>
          <w:rFonts w:asciiTheme="minorHAnsi" w:hAnsiTheme="minorHAnsi"/>
          <w:noProof/>
        </w:rPr>
        <w:fldChar w:fldCharType="end"/>
      </w:r>
    </w:p>
    <w:p w14:paraId="4439C025" w14:textId="77777777" w:rsidR="00FD1825" w:rsidRDefault="00FD1825" w:rsidP="00FD1825">
      <w:pPr>
        <w:pStyle w:val="TOC1"/>
      </w:pPr>
    </w:p>
    <w:p w14:paraId="0D412020" w14:textId="15D1FD50" w:rsidR="00FD1825" w:rsidRPr="00FD1825" w:rsidRDefault="00FD1825" w:rsidP="00FD1825">
      <w:pPr>
        <w:pStyle w:val="TOC1"/>
        <w:rPr>
          <w:rFonts w:eastAsiaTheme="minorEastAsia" w:cstheme="minorBidi"/>
          <w:sz w:val="22"/>
          <w:szCs w:val="22"/>
        </w:rPr>
      </w:pPr>
      <w:r w:rsidRPr="00FD1825">
        <w:t>Dictionary</w:t>
      </w:r>
      <w:r w:rsidRPr="00FD1825">
        <w:tab/>
      </w:r>
      <w:r w:rsidRPr="00FD1825">
        <w:fldChar w:fldCharType="begin"/>
      </w:r>
      <w:r w:rsidRPr="00FD1825">
        <w:instrText xml:space="preserve"> PAGEREF _Toc530252535 \h </w:instrText>
      </w:r>
      <w:r w:rsidRPr="00FD1825">
        <w:fldChar w:fldCharType="separate"/>
      </w:r>
      <w:r w:rsidR="003861D3">
        <w:t>6</w:t>
      </w:r>
      <w:r w:rsidRPr="00FD1825">
        <w:fldChar w:fldCharType="end"/>
      </w:r>
    </w:p>
    <w:p w14:paraId="167A31C3" w14:textId="77777777" w:rsidR="00B73EFB" w:rsidRPr="00B73EFB" w:rsidRDefault="00B73EFB" w:rsidP="00B73EFB">
      <w:pPr>
        <w:autoSpaceDE w:val="0"/>
        <w:autoSpaceDN w:val="0"/>
        <w:spacing w:before="80" w:after="60"/>
        <w:jc w:val="both"/>
        <w:rPr>
          <w:rFonts w:asciiTheme="minorHAnsi" w:hAnsiTheme="minorHAnsi"/>
          <w:szCs w:val="24"/>
          <w:lang w:eastAsia="en-AU"/>
        </w:rPr>
      </w:pPr>
      <w:r w:rsidRPr="00FD1825">
        <w:rPr>
          <w:rFonts w:asciiTheme="minorHAnsi" w:hAnsiTheme="minorHAnsi"/>
          <w:bCs/>
          <w:szCs w:val="24"/>
          <w:lang w:eastAsia="en-AU"/>
        </w:rPr>
        <w:fldChar w:fldCharType="end"/>
      </w:r>
    </w:p>
    <w:p w14:paraId="68D3B9EA" w14:textId="77777777" w:rsidR="00B6748F" w:rsidRDefault="00B6748F" w:rsidP="00B73EFB">
      <w:pPr>
        <w:autoSpaceDE w:val="0"/>
        <w:autoSpaceDN w:val="0"/>
        <w:rPr>
          <w:rFonts w:asciiTheme="minorHAnsi" w:hAnsiTheme="minorHAnsi"/>
          <w:szCs w:val="24"/>
          <w:lang w:eastAsia="en-AU"/>
        </w:rPr>
      </w:pPr>
    </w:p>
    <w:p w14:paraId="1D902911" w14:textId="77777777" w:rsidR="00B6748F" w:rsidRPr="00B6748F" w:rsidRDefault="00B6748F" w:rsidP="00B6748F">
      <w:pPr>
        <w:rPr>
          <w:rFonts w:asciiTheme="minorHAnsi" w:hAnsiTheme="minorHAnsi"/>
          <w:szCs w:val="24"/>
          <w:lang w:eastAsia="en-AU"/>
        </w:rPr>
      </w:pPr>
    </w:p>
    <w:p w14:paraId="3E842999" w14:textId="77777777" w:rsidR="00B6748F" w:rsidRPr="00B6748F" w:rsidRDefault="00B6748F" w:rsidP="00B6748F">
      <w:pPr>
        <w:rPr>
          <w:rFonts w:asciiTheme="minorHAnsi" w:hAnsiTheme="minorHAnsi"/>
          <w:szCs w:val="24"/>
          <w:lang w:eastAsia="en-AU"/>
        </w:rPr>
      </w:pPr>
    </w:p>
    <w:p w14:paraId="6F3CA3CD" w14:textId="77777777" w:rsidR="00B6748F" w:rsidRPr="00B6748F" w:rsidRDefault="00B6748F" w:rsidP="00B6748F">
      <w:pPr>
        <w:rPr>
          <w:rFonts w:asciiTheme="minorHAnsi" w:hAnsiTheme="minorHAnsi"/>
          <w:szCs w:val="24"/>
          <w:lang w:eastAsia="en-AU"/>
        </w:rPr>
      </w:pPr>
    </w:p>
    <w:p w14:paraId="0464EBC8" w14:textId="77777777" w:rsidR="00B6748F" w:rsidRPr="00B6748F" w:rsidRDefault="00B6748F" w:rsidP="00B6748F">
      <w:pPr>
        <w:rPr>
          <w:rFonts w:asciiTheme="minorHAnsi" w:hAnsiTheme="minorHAnsi"/>
          <w:szCs w:val="24"/>
          <w:lang w:eastAsia="en-AU"/>
        </w:rPr>
      </w:pPr>
    </w:p>
    <w:p w14:paraId="2EB61852" w14:textId="77777777" w:rsidR="00B6748F" w:rsidRPr="00B6748F" w:rsidRDefault="00B6748F" w:rsidP="00B6748F">
      <w:pPr>
        <w:rPr>
          <w:rFonts w:asciiTheme="minorHAnsi" w:hAnsiTheme="minorHAnsi"/>
          <w:szCs w:val="24"/>
          <w:lang w:eastAsia="en-AU"/>
        </w:rPr>
      </w:pPr>
    </w:p>
    <w:p w14:paraId="1ACFD244" w14:textId="77777777" w:rsidR="00B6748F" w:rsidRDefault="00B6748F" w:rsidP="00B6748F">
      <w:pPr>
        <w:jc w:val="center"/>
        <w:rPr>
          <w:rFonts w:asciiTheme="minorHAnsi" w:hAnsiTheme="minorHAnsi"/>
          <w:szCs w:val="24"/>
          <w:lang w:eastAsia="en-AU"/>
        </w:rPr>
      </w:pPr>
    </w:p>
    <w:p w14:paraId="31C23154" w14:textId="77777777" w:rsidR="005A4E03" w:rsidRDefault="005A4E03">
      <w:pPr>
        <w:rPr>
          <w:rFonts w:asciiTheme="minorHAnsi" w:hAnsiTheme="minorHAnsi"/>
          <w:b/>
          <w:bCs/>
          <w:sz w:val="32"/>
          <w:szCs w:val="32"/>
          <w:lang w:eastAsia="en-AU"/>
        </w:rPr>
      </w:pPr>
      <w:bookmarkStart w:id="2" w:name="_Toc11637109"/>
      <w:r>
        <w:rPr>
          <w:rFonts w:asciiTheme="minorHAnsi" w:hAnsiTheme="minorHAnsi"/>
          <w:b/>
          <w:bCs/>
          <w:sz w:val="32"/>
          <w:szCs w:val="32"/>
          <w:lang w:eastAsia="en-AU"/>
        </w:rPr>
        <w:br w:type="page"/>
      </w:r>
    </w:p>
    <w:p w14:paraId="01EB26F5" w14:textId="77777777" w:rsidR="00B73EFB" w:rsidRPr="00B73EFB" w:rsidRDefault="00B73EFB" w:rsidP="005A4E03">
      <w:pPr>
        <w:pStyle w:val="Heading1"/>
        <w:tabs>
          <w:tab w:val="clear" w:pos="2880"/>
          <w:tab w:val="left" w:pos="2268"/>
        </w:tabs>
        <w:rPr>
          <w:lang w:eastAsia="en-AU"/>
        </w:rPr>
      </w:pPr>
      <w:bookmarkStart w:id="3" w:name="_Toc530252521"/>
      <w:r w:rsidRPr="00C724DC">
        <w:rPr>
          <w:lang w:eastAsia="en-AU"/>
        </w:rPr>
        <w:t>Part 1</w:t>
      </w:r>
      <w:r w:rsidRPr="00B73EFB">
        <w:rPr>
          <w:lang w:eastAsia="en-AU"/>
        </w:rPr>
        <w:tab/>
      </w:r>
      <w:r w:rsidRPr="00C724DC">
        <w:rPr>
          <w:lang w:eastAsia="en-AU"/>
        </w:rPr>
        <w:t>Preliminary</w:t>
      </w:r>
      <w:bookmarkEnd w:id="2"/>
      <w:bookmarkEnd w:id="3"/>
    </w:p>
    <w:p w14:paraId="35422466" w14:textId="77777777" w:rsidR="005A4E03" w:rsidRDefault="005A4E03" w:rsidP="005A4E03">
      <w:pPr>
        <w:pStyle w:val="Heading2"/>
        <w:tabs>
          <w:tab w:val="left" w:pos="709"/>
        </w:tabs>
        <w:jc w:val="left"/>
        <w:rPr>
          <w:b/>
          <w:i w:val="0"/>
          <w:sz w:val="24"/>
          <w:szCs w:val="24"/>
          <w:lang w:eastAsia="en-AU"/>
        </w:rPr>
      </w:pPr>
    </w:p>
    <w:p w14:paraId="457B3B04" w14:textId="77777777" w:rsidR="00B73EFB" w:rsidRPr="005A4E03" w:rsidRDefault="00717639" w:rsidP="005A4E03">
      <w:pPr>
        <w:pStyle w:val="Heading2"/>
        <w:tabs>
          <w:tab w:val="left" w:pos="709"/>
        </w:tabs>
        <w:jc w:val="left"/>
        <w:rPr>
          <w:b/>
          <w:i w:val="0"/>
          <w:sz w:val="24"/>
          <w:szCs w:val="24"/>
          <w:lang w:eastAsia="en-AU"/>
        </w:rPr>
      </w:pPr>
      <w:bookmarkStart w:id="4" w:name="_Toc530252522"/>
      <w:r w:rsidRPr="005A4E03">
        <w:rPr>
          <w:b/>
          <w:i w:val="0"/>
          <w:sz w:val="24"/>
          <w:szCs w:val="24"/>
          <w:lang w:eastAsia="en-AU"/>
        </w:rPr>
        <w:t>1</w:t>
      </w:r>
      <w:r w:rsidR="00B73EFB" w:rsidRPr="005A4E03">
        <w:rPr>
          <w:b/>
          <w:i w:val="0"/>
          <w:sz w:val="24"/>
          <w:szCs w:val="24"/>
          <w:lang w:eastAsia="en-AU"/>
        </w:rPr>
        <w:tab/>
        <w:t>Dictionary</w:t>
      </w:r>
      <w:bookmarkEnd w:id="4"/>
    </w:p>
    <w:p w14:paraId="2393F0C1" w14:textId="77777777" w:rsidR="00B73EFB" w:rsidRPr="00B73EFB" w:rsidRDefault="00B73EFB" w:rsidP="006D1AD0">
      <w:pPr>
        <w:autoSpaceDE w:val="0"/>
        <w:autoSpaceDN w:val="0"/>
        <w:spacing w:before="120" w:after="120"/>
        <w:ind w:left="697"/>
        <w:jc w:val="both"/>
        <w:rPr>
          <w:rFonts w:asciiTheme="minorHAnsi" w:hAnsiTheme="minorHAnsi"/>
          <w:szCs w:val="24"/>
          <w:lang w:eastAsia="en-AU"/>
        </w:rPr>
      </w:pPr>
      <w:r w:rsidRPr="00B73EFB">
        <w:rPr>
          <w:rFonts w:asciiTheme="minorHAnsi" w:hAnsiTheme="minorHAnsi"/>
          <w:szCs w:val="24"/>
          <w:lang w:eastAsia="en-AU"/>
        </w:rPr>
        <w:t>The dictionary at the end of these guidelines is part of these guidelines.</w:t>
      </w:r>
    </w:p>
    <w:p w14:paraId="7D87EFF4" w14:textId="77777777" w:rsidR="00B73EFB" w:rsidRPr="00B73EFB" w:rsidRDefault="00B73EFB" w:rsidP="00604BB2">
      <w:pPr>
        <w:autoSpaceDE w:val="0"/>
        <w:autoSpaceDN w:val="0"/>
        <w:spacing w:before="80" w:after="60"/>
        <w:ind w:left="1560" w:hanging="851"/>
        <w:jc w:val="both"/>
        <w:rPr>
          <w:rFonts w:asciiTheme="minorHAnsi" w:hAnsiTheme="minorHAnsi"/>
          <w:sz w:val="20"/>
          <w:lang w:eastAsia="en-AU"/>
        </w:rPr>
      </w:pPr>
      <w:r w:rsidRPr="00C724DC">
        <w:rPr>
          <w:rFonts w:asciiTheme="minorHAnsi" w:hAnsiTheme="minorHAnsi"/>
          <w:i/>
          <w:iCs/>
          <w:sz w:val="20"/>
          <w:lang w:eastAsia="en-AU"/>
        </w:rPr>
        <w:t>Note 1</w:t>
      </w:r>
      <w:r w:rsidRPr="00C724DC">
        <w:rPr>
          <w:rFonts w:asciiTheme="minorHAnsi" w:hAnsiTheme="minorHAnsi"/>
          <w:i/>
          <w:iCs/>
          <w:sz w:val="20"/>
          <w:lang w:eastAsia="en-AU"/>
        </w:rPr>
        <w:tab/>
      </w:r>
      <w:r w:rsidRPr="00B73EFB">
        <w:rPr>
          <w:rFonts w:asciiTheme="minorHAnsi" w:hAnsiTheme="minorHAnsi"/>
          <w:sz w:val="20"/>
          <w:lang w:eastAsia="en-AU"/>
        </w:rPr>
        <w:t>The dictionary at the end of these guidelines defines certain words and expressions used in these guidelines and includes references (</w:t>
      </w:r>
      <w:r w:rsidRPr="00C724DC">
        <w:rPr>
          <w:rFonts w:asciiTheme="minorHAnsi" w:hAnsiTheme="minorHAnsi"/>
          <w:b/>
          <w:bCs/>
          <w:i/>
          <w:iCs/>
          <w:sz w:val="20"/>
          <w:lang w:eastAsia="en-AU"/>
        </w:rPr>
        <w:t>signpost definitions</w:t>
      </w:r>
      <w:r w:rsidRPr="00B73EFB">
        <w:rPr>
          <w:rFonts w:asciiTheme="minorHAnsi" w:hAnsiTheme="minorHAnsi"/>
          <w:sz w:val="20"/>
          <w:lang w:eastAsia="en-AU"/>
        </w:rPr>
        <w:t xml:space="preserve">) to other words and expressions defined elsewhere in these guidelines. </w:t>
      </w:r>
    </w:p>
    <w:p w14:paraId="630D6DA8" w14:textId="77777777" w:rsidR="00B73EFB" w:rsidRPr="00B73EFB" w:rsidRDefault="00B73EFB" w:rsidP="00604BB2">
      <w:pPr>
        <w:tabs>
          <w:tab w:val="left" w:pos="709"/>
        </w:tabs>
        <w:autoSpaceDE w:val="0"/>
        <w:autoSpaceDN w:val="0"/>
        <w:spacing w:before="80" w:after="60"/>
        <w:ind w:left="1560" w:hanging="851"/>
        <w:jc w:val="both"/>
        <w:rPr>
          <w:rFonts w:asciiTheme="minorHAnsi" w:hAnsiTheme="minorHAnsi"/>
          <w:sz w:val="20"/>
          <w:lang w:eastAsia="en-AU"/>
        </w:rPr>
      </w:pPr>
      <w:r w:rsidRPr="00C724DC">
        <w:rPr>
          <w:rFonts w:asciiTheme="minorHAnsi" w:hAnsiTheme="minorHAnsi"/>
          <w:i/>
          <w:iCs/>
          <w:sz w:val="20"/>
          <w:lang w:eastAsia="en-AU"/>
        </w:rPr>
        <w:t>Note 2</w:t>
      </w:r>
      <w:r w:rsidRPr="00B73EFB">
        <w:rPr>
          <w:rFonts w:asciiTheme="minorHAnsi" w:hAnsiTheme="minorHAnsi"/>
          <w:sz w:val="20"/>
          <w:lang w:eastAsia="en-AU"/>
        </w:rPr>
        <w:tab/>
        <w:t xml:space="preserve">A definition in the dictionary (including a signpost definition) applies to the entire guidelines unless the definition, or another provision of the guidelines, provides otherwise or the contrary intention otherwise appears (see </w:t>
      </w:r>
      <w:r w:rsidRPr="00C724DC">
        <w:rPr>
          <w:rFonts w:asciiTheme="minorHAnsi" w:hAnsiTheme="minorHAnsi"/>
          <w:i/>
          <w:iCs/>
          <w:sz w:val="20"/>
          <w:lang w:eastAsia="en-AU"/>
        </w:rPr>
        <w:t>Legislation Act 2001</w:t>
      </w:r>
      <w:r w:rsidRPr="00B73EFB">
        <w:rPr>
          <w:rFonts w:asciiTheme="minorHAnsi" w:hAnsiTheme="minorHAnsi"/>
          <w:sz w:val="20"/>
          <w:lang w:eastAsia="en-AU"/>
        </w:rPr>
        <w:t>, s 155 and s 156 (1)).</w:t>
      </w:r>
    </w:p>
    <w:p w14:paraId="1534B65A" w14:textId="77777777" w:rsidR="004C1917" w:rsidRDefault="004C1917" w:rsidP="00B73EFB">
      <w:pPr>
        <w:keepNext/>
        <w:tabs>
          <w:tab w:val="left" w:pos="700"/>
        </w:tabs>
        <w:autoSpaceDE w:val="0"/>
        <w:autoSpaceDN w:val="0"/>
        <w:spacing w:before="180" w:after="60"/>
        <w:ind w:left="700" w:hanging="700"/>
        <w:outlineLvl w:val="4"/>
        <w:rPr>
          <w:rFonts w:asciiTheme="minorHAnsi" w:hAnsiTheme="minorHAnsi"/>
          <w:b/>
          <w:bCs/>
          <w:szCs w:val="24"/>
          <w:lang w:eastAsia="en-AU"/>
        </w:rPr>
      </w:pPr>
    </w:p>
    <w:p w14:paraId="224458E3" w14:textId="77777777" w:rsidR="00B73EFB" w:rsidRPr="005A4E03" w:rsidRDefault="00717639" w:rsidP="005A4E03">
      <w:pPr>
        <w:pStyle w:val="Heading2"/>
        <w:tabs>
          <w:tab w:val="left" w:pos="709"/>
        </w:tabs>
        <w:jc w:val="left"/>
        <w:rPr>
          <w:b/>
          <w:i w:val="0"/>
          <w:sz w:val="24"/>
          <w:szCs w:val="24"/>
          <w:lang w:eastAsia="en-AU"/>
        </w:rPr>
      </w:pPr>
      <w:bookmarkStart w:id="5" w:name="_Toc530252523"/>
      <w:r w:rsidRPr="005A4E03">
        <w:rPr>
          <w:b/>
          <w:i w:val="0"/>
          <w:sz w:val="24"/>
          <w:szCs w:val="24"/>
          <w:lang w:eastAsia="en-AU"/>
        </w:rPr>
        <w:t>2</w:t>
      </w:r>
      <w:r w:rsidR="00B73EFB" w:rsidRPr="005A4E03">
        <w:rPr>
          <w:b/>
          <w:i w:val="0"/>
          <w:sz w:val="24"/>
          <w:szCs w:val="24"/>
          <w:lang w:eastAsia="en-AU"/>
        </w:rPr>
        <w:tab/>
        <w:t>Notes</w:t>
      </w:r>
      <w:bookmarkEnd w:id="5"/>
    </w:p>
    <w:p w14:paraId="3312CD2A" w14:textId="77777777" w:rsidR="00B73EFB" w:rsidRPr="00B73EFB" w:rsidRDefault="00B73EFB" w:rsidP="006D1AD0">
      <w:pPr>
        <w:autoSpaceDE w:val="0"/>
        <w:autoSpaceDN w:val="0"/>
        <w:spacing w:before="120" w:after="120"/>
        <w:ind w:left="697"/>
        <w:jc w:val="both"/>
        <w:rPr>
          <w:rFonts w:asciiTheme="minorHAnsi" w:hAnsiTheme="minorHAnsi"/>
          <w:szCs w:val="24"/>
          <w:lang w:eastAsia="en-AU"/>
        </w:rPr>
      </w:pPr>
      <w:r w:rsidRPr="00B73EFB">
        <w:rPr>
          <w:rFonts w:asciiTheme="minorHAnsi" w:hAnsiTheme="minorHAnsi"/>
          <w:szCs w:val="24"/>
          <w:lang w:eastAsia="en-AU"/>
        </w:rPr>
        <w:t>A note included in these guidelines is explanatory and is not part of the guidelines.</w:t>
      </w:r>
    </w:p>
    <w:p w14:paraId="73558FC8" w14:textId="77777777" w:rsidR="00B73EFB" w:rsidRPr="00B73EFB" w:rsidRDefault="00B73EFB" w:rsidP="00604BB2">
      <w:pPr>
        <w:autoSpaceDE w:val="0"/>
        <w:autoSpaceDN w:val="0"/>
        <w:spacing w:before="80" w:after="60"/>
        <w:ind w:left="1560" w:hanging="851"/>
        <w:jc w:val="both"/>
        <w:rPr>
          <w:rFonts w:asciiTheme="minorHAnsi" w:hAnsiTheme="minorHAnsi"/>
          <w:sz w:val="20"/>
          <w:lang w:eastAsia="en-AU"/>
        </w:rPr>
      </w:pPr>
      <w:r w:rsidRPr="00C724DC">
        <w:rPr>
          <w:rFonts w:asciiTheme="minorHAnsi" w:hAnsiTheme="minorHAnsi"/>
          <w:i/>
          <w:iCs/>
          <w:sz w:val="20"/>
          <w:lang w:eastAsia="en-AU"/>
        </w:rPr>
        <w:t>Note 3</w:t>
      </w:r>
      <w:r w:rsidRPr="00C724DC">
        <w:rPr>
          <w:rFonts w:asciiTheme="minorHAnsi" w:hAnsiTheme="minorHAnsi"/>
          <w:i/>
          <w:iCs/>
          <w:sz w:val="20"/>
          <w:lang w:eastAsia="en-AU"/>
        </w:rPr>
        <w:tab/>
      </w:r>
      <w:r w:rsidRPr="00B73EFB">
        <w:rPr>
          <w:rFonts w:asciiTheme="minorHAnsi" w:hAnsiTheme="minorHAnsi"/>
          <w:sz w:val="20"/>
          <w:lang w:eastAsia="en-AU"/>
        </w:rPr>
        <w:t xml:space="preserve">See </w:t>
      </w:r>
      <w:r w:rsidRPr="00C724DC">
        <w:rPr>
          <w:rFonts w:asciiTheme="minorHAnsi" w:hAnsiTheme="minorHAnsi"/>
          <w:i/>
          <w:iCs/>
          <w:sz w:val="20"/>
          <w:lang w:eastAsia="en-AU"/>
        </w:rPr>
        <w:t>Legislation Act 2001</w:t>
      </w:r>
      <w:r w:rsidRPr="00B73EFB">
        <w:rPr>
          <w:rFonts w:asciiTheme="minorHAnsi" w:hAnsiTheme="minorHAnsi"/>
          <w:sz w:val="20"/>
          <w:lang w:eastAsia="en-AU"/>
        </w:rPr>
        <w:t>, s 127 (1), (4) and (5) for the legal status of notes.</w:t>
      </w:r>
    </w:p>
    <w:p w14:paraId="3479EF75" w14:textId="77777777" w:rsidR="004C1917" w:rsidRDefault="004C1917" w:rsidP="00717639">
      <w:pPr>
        <w:keepNext/>
        <w:tabs>
          <w:tab w:val="left" w:pos="1701"/>
        </w:tabs>
        <w:autoSpaceDE w:val="0"/>
        <w:autoSpaceDN w:val="0"/>
        <w:spacing w:before="320" w:after="60"/>
        <w:outlineLvl w:val="1"/>
        <w:rPr>
          <w:rFonts w:asciiTheme="minorHAnsi" w:hAnsiTheme="minorHAnsi"/>
          <w:b/>
          <w:bCs/>
          <w:sz w:val="32"/>
          <w:szCs w:val="32"/>
          <w:lang w:eastAsia="en-AU"/>
        </w:rPr>
      </w:pPr>
      <w:bookmarkStart w:id="6" w:name="_Toc11637115"/>
    </w:p>
    <w:p w14:paraId="44E42276" w14:textId="77777777" w:rsidR="00B73EFB" w:rsidRPr="00B73EFB" w:rsidRDefault="00B73EFB" w:rsidP="005A4E03">
      <w:pPr>
        <w:pStyle w:val="Heading1"/>
        <w:tabs>
          <w:tab w:val="clear" w:pos="2880"/>
          <w:tab w:val="left" w:pos="2268"/>
        </w:tabs>
        <w:rPr>
          <w:lang w:eastAsia="en-AU"/>
        </w:rPr>
      </w:pPr>
      <w:bookmarkStart w:id="7" w:name="_Toc530252524"/>
      <w:r w:rsidRPr="00C724DC">
        <w:rPr>
          <w:lang w:eastAsia="en-AU"/>
        </w:rPr>
        <w:t>Part 2</w:t>
      </w:r>
      <w:r w:rsidRPr="00B73EFB">
        <w:rPr>
          <w:lang w:eastAsia="en-AU"/>
        </w:rPr>
        <w:tab/>
      </w:r>
      <w:r w:rsidRPr="00C724DC">
        <w:rPr>
          <w:lang w:eastAsia="en-AU"/>
        </w:rPr>
        <w:t>Investments</w:t>
      </w:r>
      <w:bookmarkEnd w:id="6"/>
      <w:r w:rsidRPr="00C724DC">
        <w:rPr>
          <w:lang w:eastAsia="en-AU"/>
        </w:rPr>
        <w:t xml:space="preserve"> of the </w:t>
      </w:r>
      <w:r w:rsidR="000C3EDA">
        <w:rPr>
          <w:lang w:eastAsia="en-AU"/>
        </w:rPr>
        <w:t>PSWC f</w:t>
      </w:r>
      <w:r w:rsidRPr="00C724DC">
        <w:rPr>
          <w:lang w:eastAsia="en-AU"/>
        </w:rPr>
        <w:t>und</w:t>
      </w:r>
      <w:bookmarkEnd w:id="7"/>
      <w:r w:rsidRPr="00C724DC">
        <w:rPr>
          <w:lang w:eastAsia="en-AU"/>
        </w:rPr>
        <w:t xml:space="preserve"> </w:t>
      </w:r>
    </w:p>
    <w:p w14:paraId="7F0AE33A" w14:textId="77777777" w:rsidR="005A4E03" w:rsidRDefault="005A4E03" w:rsidP="005A4E03">
      <w:pPr>
        <w:pStyle w:val="Heading2"/>
        <w:tabs>
          <w:tab w:val="left" w:pos="709"/>
        </w:tabs>
        <w:jc w:val="left"/>
        <w:rPr>
          <w:b/>
          <w:i w:val="0"/>
          <w:sz w:val="24"/>
          <w:szCs w:val="24"/>
          <w:lang w:eastAsia="en-AU"/>
        </w:rPr>
      </w:pPr>
    </w:p>
    <w:p w14:paraId="5FBC2A85" w14:textId="77777777" w:rsidR="00B73EFB" w:rsidRPr="005A4E03" w:rsidRDefault="00FB7805" w:rsidP="005A4E03">
      <w:pPr>
        <w:pStyle w:val="Heading2"/>
        <w:tabs>
          <w:tab w:val="left" w:pos="709"/>
        </w:tabs>
        <w:jc w:val="left"/>
        <w:rPr>
          <w:b/>
          <w:i w:val="0"/>
          <w:sz w:val="24"/>
          <w:szCs w:val="24"/>
          <w:lang w:eastAsia="en-AU"/>
        </w:rPr>
      </w:pPr>
      <w:bookmarkStart w:id="8" w:name="_Toc530252525"/>
      <w:r>
        <w:rPr>
          <w:b/>
          <w:i w:val="0"/>
          <w:sz w:val="24"/>
          <w:szCs w:val="24"/>
          <w:lang w:eastAsia="en-AU"/>
        </w:rPr>
        <w:t>3</w:t>
      </w:r>
      <w:r w:rsidR="00B73EFB" w:rsidRPr="005A4E03">
        <w:rPr>
          <w:b/>
          <w:i w:val="0"/>
          <w:sz w:val="24"/>
          <w:szCs w:val="24"/>
          <w:lang w:eastAsia="en-AU"/>
        </w:rPr>
        <w:tab/>
        <w:t>Prescribed investments—Act, s 14 (1) (c)</w:t>
      </w:r>
      <w:bookmarkEnd w:id="8"/>
    </w:p>
    <w:p w14:paraId="50B8134C" w14:textId="31F350C6" w:rsidR="00B73EFB" w:rsidRPr="00B73EFB" w:rsidRDefault="00B73EFB" w:rsidP="006D1AD0">
      <w:pPr>
        <w:numPr>
          <w:ilvl w:val="0"/>
          <w:numId w:val="18"/>
        </w:numPr>
        <w:autoSpaceDE w:val="0"/>
        <w:autoSpaceDN w:val="0"/>
        <w:spacing w:before="120" w:after="120"/>
        <w:ind w:left="1276" w:hanging="576"/>
        <w:jc w:val="both"/>
        <w:rPr>
          <w:rFonts w:asciiTheme="minorHAnsi" w:hAnsiTheme="minorHAnsi"/>
          <w:szCs w:val="24"/>
          <w:lang w:eastAsia="en-AU"/>
        </w:rPr>
      </w:pPr>
      <w:r w:rsidRPr="00B73EFB">
        <w:rPr>
          <w:rFonts w:asciiTheme="minorHAnsi" w:hAnsiTheme="minorHAnsi"/>
          <w:szCs w:val="24"/>
          <w:lang w:eastAsia="en-AU"/>
        </w:rPr>
        <w:t xml:space="preserve">Subject to section </w:t>
      </w:r>
      <w:r w:rsidR="00BD11BD">
        <w:rPr>
          <w:rFonts w:asciiTheme="minorHAnsi" w:hAnsiTheme="minorHAnsi"/>
          <w:szCs w:val="24"/>
          <w:lang w:eastAsia="en-AU"/>
        </w:rPr>
        <w:t>5</w:t>
      </w:r>
      <w:r w:rsidRPr="00B73EFB">
        <w:rPr>
          <w:rFonts w:asciiTheme="minorHAnsi" w:hAnsiTheme="minorHAnsi"/>
          <w:szCs w:val="24"/>
          <w:lang w:eastAsia="en-AU"/>
        </w:rPr>
        <w:t xml:space="preserve"> of these guidelines the following are prescribed investments for the purposes of section 14(1)(c) of the PSWC </w:t>
      </w:r>
      <w:r w:rsidR="008248F7">
        <w:rPr>
          <w:rFonts w:asciiTheme="minorHAnsi" w:hAnsiTheme="minorHAnsi"/>
          <w:szCs w:val="24"/>
          <w:lang w:eastAsia="en-AU"/>
        </w:rPr>
        <w:t xml:space="preserve">Fund </w:t>
      </w:r>
      <w:r w:rsidRPr="00B73EFB">
        <w:rPr>
          <w:rFonts w:asciiTheme="minorHAnsi" w:hAnsiTheme="minorHAnsi"/>
          <w:szCs w:val="24"/>
          <w:lang w:eastAsia="en-AU"/>
        </w:rPr>
        <w:t>Act</w:t>
      </w:r>
      <w:r w:rsidRPr="00B73EFB">
        <w:rPr>
          <w:rFonts w:asciiTheme="minorHAnsi" w:hAnsiTheme="minorHAnsi"/>
          <w:i/>
          <w:iCs/>
          <w:szCs w:val="24"/>
          <w:lang w:eastAsia="en-AU"/>
        </w:rPr>
        <w:t xml:space="preserve"> </w:t>
      </w:r>
      <w:r w:rsidRPr="00B73EFB">
        <w:rPr>
          <w:rFonts w:asciiTheme="minorHAnsi" w:hAnsiTheme="minorHAnsi"/>
          <w:szCs w:val="24"/>
          <w:lang w:eastAsia="en-AU"/>
        </w:rPr>
        <w:t>and refer to investments made and/or held anywhere in the world:</w:t>
      </w:r>
    </w:p>
    <w:p w14:paraId="40C9226D" w14:textId="77777777" w:rsidR="00B73EFB" w:rsidRPr="00B73EFB" w:rsidRDefault="00B73EFB" w:rsidP="006D1AD0">
      <w:pPr>
        <w:autoSpaceDE w:val="0"/>
        <w:autoSpaceDN w:val="0"/>
        <w:spacing w:before="120" w:after="120"/>
        <w:ind w:left="1843" w:hanging="567"/>
        <w:jc w:val="both"/>
        <w:outlineLvl w:val="6"/>
        <w:rPr>
          <w:rFonts w:asciiTheme="minorHAnsi" w:hAnsiTheme="minorHAnsi"/>
          <w:szCs w:val="24"/>
          <w:lang w:eastAsia="en-AU"/>
        </w:rPr>
      </w:pPr>
      <w:r w:rsidRPr="00B73EFB">
        <w:rPr>
          <w:rFonts w:asciiTheme="minorHAnsi" w:hAnsiTheme="minorHAnsi"/>
          <w:szCs w:val="24"/>
          <w:lang w:eastAsia="en-AU"/>
        </w:rPr>
        <w:t>(a)</w:t>
      </w:r>
      <w:r w:rsidRPr="00B73EFB">
        <w:rPr>
          <w:rFonts w:asciiTheme="minorHAnsi" w:hAnsiTheme="minorHAnsi"/>
          <w:szCs w:val="24"/>
          <w:lang w:eastAsia="en-AU"/>
        </w:rPr>
        <w:tab/>
        <w:t>cash and cash equivalents;</w:t>
      </w:r>
    </w:p>
    <w:p w14:paraId="7F3A84F0" w14:textId="77777777" w:rsidR="00B73EFB" w:rsidRPr="00B73EFB" w:rsidRDefault="00B73EFB" w:rsidP="006D1AD0">
      <w:pPr>
        <w:autoSpaceDE w:val="0"/>
        <w:autoSpaceDN w:val="0"/>
        <w:spacing w:before="120" w:after="120"/>
        <w:ind w:left="1843" w:hanging="567"/>
        <w:jc w:val="both"/>
        <w:outlineLvl w:val="6"/>
        <w:rPr>
          <w:rFonts w:asciiTheme="minorHAnsi" w:hAnsiTheme="minorHAnsi"/>
          <w:szCs w:val="24"/>
          <w:lang w:eastAsia="en-AU"/>
        </w:rPr>
      </w:pPr>
      <w:r w:rsidRPr="00B73EFB">
        <w:rPr>
          <w:rFonts w:asciiTheme="minorHAnsi" w:hAnsiTheme="minorHAnsi"/>
          <w:szCs w:val="24"/>
          <w:lang w:eastAsia="en-AU"/>
        </w:rPr>
        <w:t>(b)</w:t>
      </w:r>
      <w:r w:rsidRPr="00B73EFB">
        <w:rPr>
          <w:rFonts w:asciiTheme="minorHAnsi" w:hAnsiTheme="minorHAnsi"/>
          <w:szCs w:val="24"/>
          <w:lang w:eastAsia="en-AU"/>
        </w:rPr>
        <w:tab/>
        <w:t>debt;</w:t>
      </w:r>
    </w:p>
    <w:p w14:paraId="030AE71F" w14:textId="77777777" w:rsidR="00B73EFB" w:rsidRPr="00B73EFB" w:rsidRDefault="00B73EFB" w:rsidP="006D1AD0">
      <w:pPr>
        <w:autoSpaceDE w:val="0"/>
        <w:autoSpaceDN w:val="0"/>
        <w:spacing w:before="120" w:after="120"/>
        <w:ind w:left="1843" w:hanging="567"/>
        <w:jc w:val="both"/>
        <w:outlineLvl w:val="6"/>
        <w:rPr>
          <w:rFonts w:asciiTheme="minorHAnsi" w:hAnsiTheme="minorHAnsi"/>
          <w:szCs w:val="24"/>
          <w:lang w:eastAsia="en-AU"/>
        </w:rPr>
      </w:pPr>
      <w:r w:rsidRPr="00B73EFB">
        <w:rPr>
          <w:rFonts w:asciiTheme="minorHAnsi" w:hAnsiTheme="minorHAnsi"/>
          <w:szCs w:val="24"/>
          <w:lang w:eastAsia="en-AU"/>
        </w:rPr>
        <w:t>(c)</w:t>
      </w:r>
      <w:r w:rsidRPr="00B73EFB">
        <w:rPr>
          <w:rFonts w:asciiTheme="minorHAnsi" w:hAnsiTheme="minorHAnsi"/>
          <w:szCs w:val="24"/>
          <w:lang w:eastAsia="en-AU"/>
        </w:rPr>
        <w:tab/>
        <w:t>derivatives;</w:t>
      </w:r>
    </w:p>
    <w:p w14:paraId="54515485" w14:textId="77777777" w:rsidR="00B73EFB" w:rsidRPr="00B73EFB" w:rsidRDefault="00B73EFB" w:rsidP="006D1AD0">
      <w:pPr>
        <w:autoSpaceDE w:val="0"/>
        <w:autoSpaceDN w:val="0"/>
        <w:spacing w:before="120" w:after="120"/>
        <w:ind w:left="1843" w:hanging="567"/>
        <w:jc w:val="both"/>
        <w:outlineLvl w:val="6"/>
        <w:rPr>
          <w:rFonts w:asciiTheme="minorHAnsi" w:hAnsiTheme="minorHAnsi"/>
          <w:szCs w:val="24"/>
          <w:lang w:eastAsia="en-AU"/>
        </w:rPr>
      </w:pPr>
      <w:r w:rsidRPr="00B73EFB">
        <w:rPr>
          <w:rFonts w:asciiTheme="minorHAnsi" w:hAnsiTheme="minorHAnsi"/>
          <w:szCs w:val="24"/>
          <w:lang w:eastAsia="en-AU"/>
        </w:rPr>
        <w:t>(d)</w:t>
      </w:r>
      <w:r w:rsidRPr="00B73EFB">
        <w:rPr>
          <w:rFonts w:asciiTheme="minorHAnsi" w:hAnsiTheme="minorHAnsi"/>
          <w:szCs w:val="24"/>
          <w:lang w:eastAsia="en-AU"/>
        </w:rPr>
        <w:tab/>
        <w:t>listed equity;</w:t>
      </w:r>
    </w:p>
    <w:p w14:paraId="4F245E5D" w14:textId="77777777" w:rsidR="00B73EFB" w:rsidRPr="00B73EFB" w:rsidRDefault="00B73EFB" w:rsidP="006D1AD0">
      <w:pPr>
        <w:autoSpaceDE w:val="0"/>
        <w:autoSpaceDN w:val="0"/>
        <w:spacing w:before="120" w:after="120"/>
        <w:ind w:left="1843" w:hanging="567"/>
        <w:jc w:val="both"/>
        <w:outlineLvl w:val="6"/>
        <w:rPr>
          <w:rFonts w:asciiTheme="minorHAnsi" w:hAnsiTheme="minorHAnsi"/>
          <w:szCs w:val="24"/>
          <w:lang w:eastAsia="en-AU"/>
        </w:rPr>
      </w:pPr>
      <w:r w:rsidRPr="00B73EFB">
        <w:rPr>
          <w:rFonts w:asciiTheme="minorHAnsi" w:hAnsiTheme="minorHAnsi"/>
          <w:szCs w:val="24"/>
          <w:lang w:eastAsia="en-AU"/>
        </w:rPr>
        <w:t>(e)</w:t>
      </w:r>
      <w:r w:rsidRPr="00B73EFB">
        <w:rPr>
          <w:rFonts w:asciiTheme="minorHAnsi" w:hAnsiTheme="minorHAnsi"/>
          <w:szCs w:val="24"/>
          <w:lang w:eastAsia="en-AU"/>
        </w:rPr>
        <w:tab/>
        <w:t>private equity;</w:t>
      </w:r>
    </w:p>
    <w:p w14:paraId="414503C8" w14:textId="77777777" w:rsidR="00B73EFB" w:rsidRPr="00B73EFB" w:rsidRDefault="00B73EFB" w:rsidP="006D1AD0">
      <w:pPr>
        <w:autoSpaceDE w:val="0"/>
        <w:autoSpaceDN w:val="0"/>
        <w:spacing w:before="120" w:after="120"/>
        <w:ind w:left="1843" w:hanging="567"/>
        <w:jc w:val="both"/>
        <w:outlineLvl w:val="6"/>
        <w:rPr>
          <w:rFonts w:asciiTheme="minorHAnsi" w:hAnsiTheme="minorHAnsi"/>
          <w:szCs w:val="24"/>
          <w:lang w:eastAsia="en-AU"/>
        </w:rPr>
      </w:pPr>
      <w:r w:rsidRPr="00B73EFB">
        <w:rPr>
          <w:rFonts w:asciiTheme="minorHAnsi" w:hAnsiTheme="minorHAnsi"/>
          <w:szCs w:val="24"/>
          <w:lang w:eastAsia="en-AU"/>
        </w:rPr>
        <w:t>(f)</w:t>
      </w:r>
      <w:r w:rsidRPr="00B73EFB">
        <w:rPr>
          <w:rFonts w:asciiTheme="minorHAnsi" w:hAnsiTheme="minorHAnsi"/>
          <w:szCs w:val="24"/>
          <w:lang w:eastAsia="en-AU"/>
        </w:rPr>
        <w:tab/>
        <w:t>property;</w:t>
      </w:r>
    </w:p>
    <w:p w14:paraId="0FAEDC03" w14:textId="77777777" w:rsidR="00B73EFB" w:rsidRPr="00B73EFB" w:rsidRDefault="00B73EFB" w:rsidP="006D1AD0">
      <w:pPr>
        <w:autoSpaceDE w:val="0"/>
        <w:autoSpaceDN w:val="0"/>
        <w:spacing w:before="120" w:after="120"/>
        <w:ind w:left="1843" w:hanging="567"/>
        <w:jc w:val="both"/>
        <w:outlineLvl w:val="6"/>
        <w:rPr>
          <w:rFonts w:asciiTheme="minorHAnsi" w:hAnsiTheme="minorHAnsi"/>
          <w:szCs w:val="24"/>
          <w:lang w:eastAsia="en-AU"/>
        </w:rPr>
      </w:pPr>
      <w:r w:rsidRPr="00B73EFB">
        <w:rPr>
          <w:rFonts w:asciiTheme="minorHAnsi" w:hAnsiTheme="minorHAnsi"/>
          <w:szCs w:val="24"/>
          <w:lang w:eastAsia="en-AU"/>
        </w:rPr>
        <w:t>(g)</w:t>
      </w:r>
      <w:r w:rsidRPr="00B73EFB">
        <w:rPr>
          <w:rFonts w:asciiTheme="minorHAnsi" w:hAnsiTheme="minorHAnsi"/>
          <w:szCs w:val="24"/>
          <w:lang w:eastAsia="en-AU"/>
        </w:rPr>
        <w:tab/>
        <w:t>infrastructure;</w:t>
      </w:r>
    </w:p>
    <w:p w14:paraId="423B1616" w14:textId="77777777" w:rsidR="00B73EFB" w:rsidRPr="00B73EFB" w:rsidRDefault="00B73EFB" w:rsidP="006D1AD0">
      <w:pPr>
        <w:autoSpaceDE w:val="0"/>
        <w:autoSpaceDN w:val="0"/>
        <w:spacing w:before="120" w:after="120"/>
        <w:ind w:left="1843" w:hanging="567"/>
        <w:jc w:val="both"/>
        <w:outlineLvl w:val="6"/>
        <w:rPr>
          <w:rFonts w:asciiTheme="minorHAnsi" w:hAnsiTheme="minorHAnsi"/>
          <w:szCs w:val="24"/>
          <w:lang w:eastAsia="en-AU"/>
        </w:rPr>
      </w:pPr>
      <w:r w:rsidRPr="00B73EFB">
        <w:rPr>
          <w:rFonts w:asciiTheme="minorHAnsi" w:hAnsiTheme="minorHAnsi"/>
          <w:szCs w:val="24"/>
          <w:lang w:eastAsia="en-AU"/>
        </w:rPr>
        <w:t>(h)</w:t>
      </w:r>
      <w:r w:rsidRPr="00B73EFB">
        <w:rPr>
          <w:rFonts w:asciiTheme="minorHAnsi" w:hAnsiTheme="minorHAnsi"/>
          <w:szCs w:val="24"/>
          <w:lang w:eastAsia="en-AU"/>
        </w:rPr>
        <w:tab/>
        <w:t>natural resources and commodities;</w:t>
      </w:r>
    </w:p>
    <w:p w14:paraId="6FCB3044" w14:textId="77777777" w:rsidR="00B73EFB" w:rsidRPr="00B73EFB" w:rsidRDefault="00B73EFB" w:rsidP="006D1AD0">
      <w:pPr>
        <w:autoSpaceDE w:val="0"/>
        <w:autoSpaceDN w:val="0"/>
        <w:spacing w:before="120" w:after="120"/>
        <w:ind w:left="1843" w:hanging="567"/>
        <w:jc w:val="both"/>
        <w:outlineLvl w:val="6"/>
        <w:rPr>
          <w:rFonts w:asciiTheme="minorHAnsi" w:hAnsiTheme="minorHAnsi"/>
          <w:szCs w:val="24"/>
          <w:lang w:eastAsia="en-AU"/>
        </w:rPr>
      </w:pPr>
      <w:r w:rsidRPr="00B73EFB">
        <w:rPr>
          <w:rFonts w:asciiTheme="minorHAnsi" w:hAnsiTheme="minorHAnsi"/>
          <w:szCs w:val="24"/>
          <w:lang w:eastAsia="en-AU"/>
        </w:rPr>
        <w:t>(i)</w:t>
      </w:r>
      <w:r w:rsidRPr="00B73EFB">
        <w:rPr>
          <w:rFonts w:asciiTheme="minorHAnsi" w:hAnsiTheme="minorHAnsi"/>
          <w:szCs w:val="24"/>
          <w:lang w:eastAsia="en-AU"/>
        </w:rPr>
        <w:tab/>
        <w:t>currency;</w:t>
      </w:r>
    </w:p>
    <w:p w14:paraId="61079E95" w14:textId="77777777" w:rsidR="00B73EFB" w:rsidRPr="00B73EFB" w:rsidRDefault="00B73EFB" w:rsidP="006D1AD0">
      <w:pPr>
        <w:autoSpaceDE w:val="0"/>
        <w:autoSpaceDN w:val="0"/>
        <w:spacing w:before="120" w:after="120"/>
        <w:ind w:left="1843" w:hanging="567"/>
        <w:jc w:val="both"/>
        <w:outlineLvl w:val="6"/>
        <w:rPr>
          <w:rFonts w:asciiTheme="minorHAnsi" w:hAnsiTheme="minorHAnsi"/>
          <w:szCs w:val="24"/>
          <w:lang w:eastAsia="en-AU"/>
        </w:rPr>
      </w:pPr>
      <w:r w:rsidRPr="00B73EFB">
        <w:rPr>
          <w:rFonts w:asciiTheme="minorHAnsi" w:hAnsiTheme="minorHAnsi"/>
          <w:szCs w:val="24"/>
          <w:lang w:eastAsia="en-AU"/>
        </w:rPr>
        <w:t>(j)</w:t>
      </w:r>
      <w:r w:rsidRPr="00B73EFB">
        <w:rPr>
          <w:rFonts w:asciiTheme="minorHAnsi" w:hAnsiTheme="minorHAnsi"/>
          <w:szCs w:val="24"/>
          <w:lang w:eastAsia="en-AU"/>
        </w:rPr>
        <w:tab/>
        <w:t>listed and unlisted unit trusts that invest in one, or more, or combination thereof, of investments</w:t>
      </w:r>
      <w:r w:rsidR="00604BB2">
        <w:rPr>
          <w:rFonts w:asciiTheme="minorHAnsi" w:hAnsiTheme="minorHAnsi"/>
          <w:szCs w:val="24"/>
          <w:lang w:eastAsia="en-AU"/>
        </w:rPr>
        <w:t xml:space="preserve"> mentioned in paragraphs (a) to </w:t>
      </w:r>
      <w:r w:rsidRPr="00B73EFB">
        <w:rPr>
          <w:rFonts w:asciiTheme="minorHAnsi" w:hAnsiTheme="minorHAnsi"/>
          <w:szCs w:val="24"/>
          <w:lang w:eastAsia="en-AU"/>
        </w:rPr>
        <w:t>(i).</w:t>
      </w:r>
    </w:p>
    <w:p w14:paraId="7C5B99F5" w14:textId="77777777" w:rsidR="004C1917" w:rsidRDefault="004C1917" w:rsidP="00B73EFB">
      <w:pPr>
        <w:keepNext/>
        <w:tabs>
          <w:tab w:val="left" w:pos="700"/>
        </w:tabs>
        <w:autoSpaceDE w:val="0"/>
        <w:autoSpaceDN w:val="0"/>
        <w:spacing w:before="180" w:after="60"/>
        <w:ind w:left="700" w:hanging="700"/>
        <w:outlineLvl w:val="4"/>
        <w:rPr>
          <w:rFonts w:asciiTheme="minorHAnsi" w:hAnsiTheme="minorHAnsi"/>
          <w:b/>
          <w:bCs/>
          <w:szCs w:val="24"/>
          <w:lang w:eastAsia="en-AU"/>
        </w:rPr>
      </w:pPr>
    </w:p>
    <w:p w14:paraId="612E586B" w14:textId="77777777" w:rsidR="00B73EFB" w:rsidRPr="005A4E03" w:rsidRDefault="00FB7805" w:rsidP="005A4E03">
      <w:pPr>
        <w:pStyle w:val="Heading2"/>
        <w:tabs>
          <w:tab w:val="left" w:pos="709"/>
        </w:tabs>
        <w:jc w:val="left"/>
        <w:rPr>
          <w:b/>
          <w:i w:val="0"/>
          <w:sz w:val="24"/>
          <w:szCs w:val="24"/>
          <w:lang w:eastAsia="en-AU"/>
        </w:rPr>
      </w:pPr>
      <w:bookmarkStart w:id="9" w:name="_Toc530252526"/>
      <w:r>
        <w:rPr>
          <w:b/>
          <w:i w:val="0"/>
          <w:sz w:val="24"/>
          <w:szCs w:val="24"/>
          <w:lang w:eastAsia="en-AU"/>
        </w:rPr>
        <w:t>4</w:t>
      </w:r>
      <w:r w:rsidR="00B73EFB" w:rsidRPr="005A4E03">
        <w:rPr>
          <w:b/>
          <w:i w:val="0"/>
          <w:sz w:val="24"/>
          <w:szCs w:val="24"/>
          <w:lang w:eastAsia="en-AU"/>
        </w:rPr>
        <w:tab/>
        <w:t>Investment Plan and Responsible Investment Policy</w:t>
      </w:r>
      <w:bookmarkEnd w:id="9"/>
    </w:p>
    <w:p w14:paraId="4A02E9FF" w14:textId="44737A4B" w:rsidR="00B73EFB" w:rsidRPr="00B73EFB" w:rsidRDefault="00B73EFB" w:rsidP="006D1AD0">
      <w:pPr>
        <w:keepLines/>
        <w:autoSpaceDE w:val="0"/>
        <w:autoSpaceDN w:val="0"/>
        <w:spacing w:before="120" w:after="120"/>
        <w:ind w:left="1276" w:hanging="567"/>
        <w:jc w:val="both"/>
        <w:rPr>
          <w:rFonts w:asciiTheme="minorHAnsi" w:hAnsiTheme="minorHAnsi"/>
          <w:szCs w:val="24"/>
          <w:lang w:eastAsia="en-AU"/>
        </w:rPr>
      </w:pPr>
      <w:r w:rsidRPr="00B73EFB">
        <w:rPr>
          <w:rFonts w:asciiTheme="minorHAnsi" w:hAnsiTheme="minorHAnsi"/>
          <w:szCs w:val="24"/>
          <w:lang w:eastAsia="en-AU"/>
        </w:rPr>
        <w:t>(1)</w:t>
      </w:r>
      <w:r w:rsidRPr="00B73EFB">
        <w:rPr>
          <w:rFonts w:asciiTheme="minorHAnsi" w:hAnsiTheme="minorHAnsi"/>
          <w:szCs w:val="24"/>
          <w:lang w:eastAsia="en-AU"/>
        </w:rPr>
        <w:tab/>
        <w:t>Any investments made under s</w:t>
      </w:r>
      <w:r w:rsidR="00BD11BD">
        <w:rPr>
          <w:rFonts w:asciiTheme="minorHAnsi" w:hAnsiTheme="minorHAnsi"/>
          <w:szCs w:val="24"/>
          <w:lang w:eastAsia="en-AU"/>
        </w:rPr>
        <w:t xml:space="preserve">ection </w:t>
      </w:r>
      <w:r w:rsidRPr="00B73EFB">
        <w:rPr>
          <w:rFonts w:asciiTheme="minorHAnsi" w:hAnsiTheme="minorHAnsi"/>
          <w:szCs w:val="24"/>
          <w:lang w:eastAsia="en-AU"/>
        </w:rPr>
        <w:t xml:space="preserve">14 of the PSWC </w:t>
      </w:r>
      <w:r w:rsidR="008248F7">
        <w:rPr>
          <w:rFonts w:asciiTheme="minorHAnsi" w:hAnsiTheme="minorHAnsi"/>
          <w:szCs w:val="24"/>
          <w:lang w:eastAsia="en-AU"/>
        </w:rPr>
        <w:t xml:space="preserve">Fund </w:t>
      </w:r>
      <w:r w:rsidRPr="00B73EFB">
        <w:rPr>
          <w:rFonts w:asciiTheme="minorHAnsi" w:hAnsiTheme="minorHAnsi"/>
          <w:szCs w:val="24"/>
          <w:lang w:eastAsia="en-AU"/>
        </w:rPr>
        <w:t>Act may only be made in accordance with an Investment Plan and Responsible Investment Policy.</w:t>
      </w:r>
    </w:p>
    <w:p w14:paraId="6CD7AF67" w14:textId="77777777" w:rsidR="00B73EFB" w:rsidRPr="00C724DC" w:rsidRDefault="00B73EFB" w:rsidP="006D1AD0">
      <w:pPr>
        <w:keepLines/>
        <w:autoSpaceDE w:val="0"/>
        <w:autoSpaceDN w:val="0"/>
        <w:spacing w:before="120" w:after="120"/>
        <w:ind w:left="1276" w:hanging="567"/>
        <w:jc w:val="both"/>
        <w:rPr>
          <w:rFonts w:asciiTheme="minorHAnsi" w:hAnsiTheme="minorHAnsi"/>
          <w:bCs/>
          <w:iCs/>
          <w:szCs w:val="24"/>
          <w:lang w:eastAsia="en-AU"/>
        </w:rPr>
      </w:pPr>
      <w:r w:rsidRPr="00B73EFB">
        <w:rPr>
          <w:rFonts w:asciiTheme="minorHAnsi" w:hAnsiTheme="minorHAnsi"/>
          <w:szCs w:val="24"/>
          <w:lang w:eastAsia="en-AU"/>
        </w:rPr>
        <w:t>(2)</w:t>
      </w:r>
      <w:r w:rsidRPr="00B73EFB">
        <w:rPr>
          <w:rFonts w:asciiTheme="minorHAnsi" w:hAnsiTheme="minorHAnsi"/>
          <w:szCs w:val="24"/>
          <w:lang w:eastAsia="en-AU"/>
        </w:rPr>
        <w:tab/>
        <w:t xml:space="preserve">An Investment Plan and Responsible Investment Policy must be approved </w:t>
      </w:r>
      <w:r w:rsidRPr="000E6F1D">
        <w:rPr>
          <w:rFonts w:asciiTheme="minorHAnsi" w:hAnsiTheme="minorHAnsi"/>
          <w:bCs/>
          <w:iCs/>
          <w:szCs w:val="24"/>
          <w:lang w:eastAsia="en-AU"/>
        </w:rPr>
        <w:t>in writing by the Treasurer.</w:t>
      </w:r>
    </w:p>
    <w:p w14:paraId="29710578" w14:textId="77777777" w:rsidR="00B73EFB" w:rsidRPr="00B73EFB" w:rsidRDefault="00B73EFB" w:rsidP="006D1AD0">
      <w:pPr>
        <w:keepLines/>
        <w:autoSpaceDE w:val="0"/>
        <w:autoSpaceDN w:val="0"/>
        <w:spacing w:before="120" w:after="120"/>
        <w:ind w:left="1276" w:hanging="567"/>
        <w:jc w:val="both"/>
        <w:rPr>
          <w:rFonts w:asciiTheme="minorHAnsi" w:hAnsiTheme="minorHAnsi"/>
          <w:szCs w:val="24"/>
          <w:lang w:eastAsia="en-AU"/>
        </w:rPr>
      </w:pPr>
      <w:r w:rsidRPr="00B73EFB">
        <w:rPr>
          <w:rFonts w:asciiTheme="minorHAnsi" w:hAnsiTheme="minorHAnsi"/>
          <w:szCs w:val="24"/>
          <w:lang w:eastAsia="en-AU"/>
        </w:rPr>
        <w:t>(3)</w:t>
      </w:r>
      <w:r w:rsidRPr="00B73EFB">
        <w:rPr>
          <w:rFonts w:asciiTheme="minorHAnsi" w:hAnsiTheme="minorHAnsi"/>
          <w:szCs w:val="24"/>
          <w:lang w:eastAsia="en-AU"/>
        </w:rPr>
        <w:tab/>
        <w:t>Any amendment to an Investment Plan or Responsible Investment Policy takes effect from the time of approval of the amendment in writing by the Treasurer.</w:t>
      </w:r>
    </w:p>
    <w:p w14:paraId="6FEB9A97" w14:textId="77777777" w:rsidR="00B73EFB" w:rsidRPr="00B73EFB" w:rsidRDefault="00B73EFB" w:rsidP="006D1AD0">
      <w:pPr>
        <w:keepLines/>
        <w:autoSpaceDE w:val="0"/>
        <w:autoSpaceDN w:val="0"/>
        <w:spacing w:before="120" w:after="120"/>
        <w:ind w:left="1276" w:hanging="567"/>
        <w:jc w:val="both"/>
        <w:rPr>
          <w:rFonts w:asciiTheme="minorHAnsi" w:hAnsiTheme="minorHAnsi"/>
          <w:szCs w:val="24"/>
          <w:lang w:eastAsia="en-AU"/>
        </w:rPr>
      </w:pPr>
      <w:r w:rsidRPr="00B73EFB">
        <w:rPr>
          <w:rFonts w:asciiTheme="minorHAnsi" w:hAnsiTheme="minorHAnsi"/>
          <w:szCs w:val="24"/>
          <w:lang w:eastAsia="en-AU"/>
        </w:rPr>
        <w:t>(4)</w:t>
      </w:r>
      <w:r w:rsidRPr="00B73EFB">
        <w:rPr>
          <w:rFonts w:asciiTheme="minorHAnsi" w:hAnsiTheme="minorHAnsi"/>
          <w:szCs w:val="24"/>
          <w:lang w:eastAsia="en-AU"/>
        </w:rPr>
        <w:tab/>
        <w:t>An Investment Plan or Responsible Investment Policy must be made publicly available, including by publishing on a Territory website.</w:t>
      </w:r>
    </w:p>
    <w:p w14:paraId="3C96966E" w14:textId="77777777" w:rsidR="004C1917" w:rsidRDefault="004C1917" w:rsidP="00717639">
      <w:pPr>
        <w:keepNext/>
        <w:tabs>
          <w:tab w:val="left" w:pos="1701"/>
        </w:tabs>
        <w:autoSpaceDE w:val="0"/>
        <w:autoSpaceDN w:val="0"/>
        <w:spacing w:before="320" w:after="60"/>
        <w:outlineLvl w:val="1"/>
        <w:rPr>
          <w:rFonts w:asciiTheme="minorHAnsi" w:hAnsiTheme="minorHAnsi"/>
          <w:b/>
          <w:bCs/>
          <w:sz w:val="32"/>
          <w:szCs w:val="32"/>
          <w:lang w:eastAsia="en-AU"/>
        </w:rPr>
      </w:pPr>
    </w:p>
    <w:p w14:paraId="7815D24C" w14:textId="77777777" w:rsidR="00B73EFB" w:rsidRPr="00B73EFB" w:rsidRDefault="00B73EFB" w:rsidP="005A4E03">
      <w:pPr>
        <w:pStyle w:val="Heading1"/>
        <w:tabs>
          <w:tab w:val="clear" w:pos="2880"/>
          <w:tab w:val="left" w:pos="2268"/>
        </w:tabs>
        <w:rPr>
          <w:lang w:eastAsia="en-AU"/>
        </w:rPr>
      </w:pPr>
      <w:bookmarkStart w:id="10" w:name="_Toc530252527"/>
      <w:r w:rsidRPr="00C724DC">
        <w:rPr>
          <w:lang w:eastAsia="en-AU"/>
        </w:rPr>
        <w:t>Part 3</w:t>
      </w:r>
      <w:r w:rsidRPr="00B73EFB">
        <w:rPr>
          <w:lang w:eastAsia="en-AU"/>
        </w:rPr>
        <w:tab/>
        <w:t>Funding and liquidity levels</w:t>
      </w:r>
      <w:bookmarkEnd w:id="10"/>
    </w:p>
    <w:p w14:paraId="7831B3BA" w14:textId="77777777" w:rsidR="005A4E03" w:rsidRDefault="005A4E03" w:rsidP="005A4E03">
      <w:pPr>
        <w:pStyle w:val="Heading2"/>
        <w:tabs>
          <w:tab w:val="left" w:pos="709"/>
        </w:tabs>
        <w:jc w:val="left"/>
        <w:rPr>
          <w:b/>
          <w:i w:val="0"/>
          <w:sz w:val="24"/>
          <w:szCs w:val="24"/>
          <w:lang w:eastAsia="en-AU"/>
        </w:rPr>
      </w:pPr>
    </w:p>
    <w:p w14:paraId="050E755F" w14:textId="77777777" w:rsidR="004C1917" w:rsidRDefault="004C1917" w:rsidP="00B73EFB">
      <w:pPr>
        <w:keepNext/>
        <w:tabs>
          <w:tab w:val="left" w:pos="700"/>
        </w:tabs>
        <w:autoSpaceDE w:val="0"/>
        <w:autoSpaceDN w:val="0"/>
        <w:spacing w:before="180" w:after="60"/>
        <w:ind w:left="700" w:hanging="700"/>
        <w:outlineLvl w:val="4"/>
        <w:rPr>
          <w:rFonts w:asciiTheme="minorHAnsi" w:hAnsiTheme="minorHAnsi"/>
          <w:b/>
          <w:bCs/>
          <w:szCs w:val="24"/>
          <w:lang w:eastAsia="en-AU"/>
        </w:rPr>
      </w:pPr>
    </w:p>
    <w:p w14:paraId="16B97975" w14:textId="43C4CC85" w:rsidR="00B73EFB" w:rsidRPr="005A4E03" w:rsidRDefault="00BD11BD" w:rsidP="005A4E03">
      <w:pPr>
        <w:pStyle w:val="Heading2"/>
        <w:tabs>
          <w:tab w:val="left" w:pos="709"/>
        </w:tabs>
        <w:jc w:val="left"/>
        <w:rPr>
          <w:b/>
          <w:i w:val="0"/>
          <w:sz w:val="24"/>
          <w:szCs w:val="24"/>
          <w:lang w:eastAsia="en-AU"/>
        </w:rPr>
      </w:pPr>
      <w:bookmarkStart w:id="11" w:name="_Toc530252529"/>
      <w:r>
        <w:rPr>
          <w:b/>
          <w:i w:val="0"/>
          <w:sz w:val="24"/>
          <w:szCs w:val="24"/>
          <w:lang w:eastAsia="en-AU"/>
        </w:rPr>
        <w:t>5</w:t>
      </w:r>
      <w:r w:rsidR="00B73EFB" w:rsidRPr="005A4E03">
        <w:rPr>
          <w:b/>
          <w:i w:val="0"/>
          <w:sz w:val="24"/>
          <w:szCs w:val="24"/>
          <w:lang w:eastAsia="en-AU"/>
        </w:rPr>
        <w:tab/>
        <w:t>Fund Value</w:t>
      </w:r>
      <w:bookmarkEnd w:id="11"/>
    </w:p>
    <w:p w14:paraId="64753CF7" w14:textId="77777777" w:rsidR="002840B3" w:rsidRPr="00B73EFB" w:rsidRDefault="002840B3" w:rsidP="002840B3">
      <w:pPr>
        <w:keepLines/>
        <w:numPr>
          <w:ilvl w:val="0"/>
          <w:numId w:val="15"/>
        </w:numPr>
        <w:autoSpaceDE w:val="0"/>
        <w:autoSpaceDN w:val="0"/>
        <w:spacing w:before="120" w:after="120"/>
        <w:ind w:left="1276" w:hanging="576"/>
        <w:jc w:val="both"/>
        <w:rPr>
          <w:rFonts w:asciiTheme="minorHAnsi" w:hAnsiTheme="minorHAnsi"/>
          <w:szCs w:val="24"/>
          <w:lang w:eastAsia="en-AU"/>
        </w:rPr>
      </w:pPr>
      <w:r w:rsidRPr="00B73EFB">
        <w:rPr>
          <w:rFonts w:asciiTheme="minorHAnsi" w:hAnsiTheme="minorHAnsi"/>
          <w:szCs w:val="24"/>
          <w:lang w:eastAsia="en-AU"/>
        </w:rPr>
        <w:t>The Fund Value must not be less than the combined value of:</w:t>
      </w:r>
    </w:p>
    <w:p w14:paraId="00B0CA2B" w14:textId="77777777" w:rsidR="002840B3" w:rsidRPr="000E6F1D" w:rsidRDefault="002840B3" w:rsidP="002840B3">
      <w:pPr>
        <w:pStyle w:val="ListParagraph"/>
        <w:keepLines/>
        <w:numPr>
          <w:ilvl w:val="1"/>
          <w:numId w:val="15"/>
        </w:numPr>
        <w:autoSpaceDE w:val="0"/>
        <w:autoSpaceDN w:val="0"/>
        <w:spacing w:before="120" w:after="120"/>
        <w:ind w:hanging="504"/>
        <w:contextualSpacing w:val="0"/>
        <w:jc w:val="both"/>
        <w:rPr>
          <w:rFonts w:asciiTheme="minorHAnsi" w:hAnsiTheme="minorHAnsi"/>
          <w:szCs w:val="24"/>
          <w:lang w:eastAsia="en-AU"/>
        </w:rPr>
      </w:pPr>
      <w:r w:rsidRPr="000E6F1D">
        <w:rPr>
          <w:rFonts w:asciiTheme="minorHAnsi" w:hAnsiTheme="minorHAnsi"/>
          <w:szCs w:val="24"/>
          <w:lang w:eastAsia="en-AU"/>
        </w:rPr>
        <w:t>the Minimum Fund Value; plus</w:t>
      </w:r>
    </w:p>
    <w:p w14:paraId="19487F75" w14:textId="77777777" w:rsidR="002840B3" w:rsidRPr="008F585F" w:rsidRDefault="002840B3" w:rsidP="002840B3">
      <w:pPr>
        <w:keepLines/>
        <w:numPr>
          <w:ilvl w:val="1"/>
          <w:numId w:val="15"/>
        </w:numPr>
        <w:autoSpaceDE w:val="0"/>
        <w:autoSpaceDN w:val="0"/>
        <w:spacing w:before="120" w:after="120"/>
        <w:ind w:hanging="504"/>
        <w:jc w:val="both"/>
        <w:rPr>
          <w:rFonts w:asciiTheme="minorHAnsi" w:hAnsiTheme="minorHAnsi"/>
          <w:szCs w:val="24"/>
          <w:lang w:eastAsia="en-AU"/>
        </w:rPr>
      </w:pPr>
      <w:r w:rsidRPr="008F585F">
        <w:rPr>
          <w:rFonts w:asciiTheme="minorHAnsi" w:hAnsiTheme="minorHAnsi"/>
          <w:szCs w:val="24"/>
          <w:lang w:eastAsia="en-AU"/>
        </w:rPr>
        <w:t>the PSWC services.</w:t>
      </w:r>
    </w:p>
    <w:p w14:paraId="236556C0" w14:textId="08B39550" w:rsidR="002840B3" w:rsidRDefault="00D019EB" w:rsidP="002840B3">
      <w:pPr>
        <w:keepLines/>
        <w:numPr>
          <w:ilvl w:val="0"/>
          <w:numId w:val="15"/>
        </w:numPr>
        <w:autoSpaceDE w:val="0"/>
        <w:autoSpaceDN w:val="0"/>
        <w:spacing w:before="120" w:after="120"/>
        <w:ind w:left="1276" w:hanging="576"/>
        <w:jc w:val="both"/>
        <w:rPr>
          <w:rFonts w:asciiTheme="minorHAnsi" w:hAnsiTheme="minorHAnsi"/>
          <w:szCs w:val="24"/>
          <w:lang w:eastAsia="en-AU"/>
        </w:rPr>
      </w:pPr>
      <w:r>
        <w:rPr>
          <w:rFonts w:asciiTheme="minorHAnsi" w:hAnsiTheme="minorHAnsi"/>
          <w:szCs w:val="24"/>
          <w:lang w:eastAsia="en-AU"/>
        </w:rPr>
        <w:t>The PSWC c</w:t>
      </w:r>
      <w:r w:rsidRPr="00B73EFB">
        <w:rPr>
          <w:rFonts w:asciiTheme="minorHAnsi" w:hAnsiTheme="minorHAnsi"/>
          <w:szCs w:val="24"/>
          <w:lang w:eastAsia="en-AU"/>
        </w:rPr>
        <w:t xml:space="preserve">ommissioner </w:t>
      </w:r>
      <w:r>
        <w:rPr>
          <w:rFonts w:asciiTheme="minorHAnsi" w:hAnsiTheme="minorHAnsi"/>
          <w:szCs w:val="24"/>
          <w:lang w:eastAsia="en-AU"/>
        </w:rPr>
        <w:t xml:space="preserve">must </w:t>
      </w:r>
      <w:r w:rsidR="000A46A6">
        <w:rPr>
          <w:rFonts w:asciiTheme="minorHAnsi" w:hAnsiTheme="minorHAnsi"/>
          <w:szCs w:val="24"/>
          <w:lang w:eastAsia="en-AU"/>
        </w:rPr>
        <w:t>obtain</w:t>
      </w:r>
      <w:r>
        <w:rPr>
          <w:rFonts w:asciiTheme="minorHAnsi" w:hAnsiTheme="minorHAnsi"/>
          <w:szCs w:val="24"/>
          <w:lang w:eastAsia="en-AU"/>
        </w:rPr>
        <w:t xml:space="preserve"> a recommendation on the</w:t>
      </w:r>
      <w:r w:rsidR="00BD11BD">
        <w:rPr>
          <w:rFonts w:asciiTheme="minorHAnsi" w:hAnsiTheme="minorHAnsi"/>
          <w:szCs w:val="24"/>
          <w:lang w:eastAsia="en-AU"/>
        </w:rPr>
        <w:t xml:space="preserve"> estimated</w:t>
      </w:r>
      <w:r>
        <w:rPr>
          <w:rFonts w:asciiTheme="minorHAnsi" w:hAnsiTheme="minorHAnsi"/>
          <w:szCs w:val="24"/>
          <w:lang w:eastAsia="en-AU"/>
        </w:rPr>
        <w:t xml:space="preserve"> value of </w:t>
      </w:r>
      <w:r w:rsidR="002840B3">
        <w:rPr>
          <w:rFonts w:asciiTheme="minorHAnsi" w:hAnsiTheme="minorHAnsi"/>
          <w:szCs w:val="24"/>
          <w:lang w:eastAsia="en-AU"/>
        </w:rPr>
        <w:t>the PSWC Services</w:t>
      </w:r>
      <w:r>
        <w:rPr>
          <w:rFonts w:asciiTheme="minorHAnsi" w:hAnsiTheme="minorHAnsi"/>
          <w:szCs w:val="24"/>
          <w:lang w:eastAsia="en-AU"/>
        </w:rPr>
        <w:t xml:space="preserve"> from </w:t>
      </w:r>
      <w:r w:rsidR="002840B3" w:rsidRPr="00B73EFB">
        <w:rPr>
          <w:rFonts w:asciiTheme="minorHAnsi" w:hAnsiTheme="minorHAnsi"/>
          <w:szCs w:val="24"/>
          <w:lang w:eastAsia="en-AU"/>
        </w:rPr>
        <w:t xml:space="preserve">the actuary responsible for </w:t>
      </w:r>
      <w:r w:rsidR="009B35E3">
        <w:rPr>
          <w:rFonts w:asciiTheme="minorHAnsi" w:hAnsiTheme="minorHAnsi"/>
          <w:szCs w:val="24"/>
          <w:lang w:eastAsia="en-AU"/>
        </w:rPr>
        <w:t>preparing</w:t>
      </w:r>
      <w:r w:rsidR="002840B3" w:rsidRPr="00B73EFB">
        <w:rPr>
          <w:rFonts w:asciiTheme="minorHAnsi" w:hAnsiTheme="minorHAnsi"/>
          <w:szCs w:val="24"/>
          <w:lang w:eastAsia="en-AU"/>
        </w:rPr>
        <w:t xml:space="preserve"> the Liability Report.</w:t>
      </w:r>
    </w:p>
    <w:p w14:paraId="01BDB821" w14:textId="73CA2FA5" w:rsidR="00D019EB" w:rsidRPr="00B73EFB" w:rsidRDefault="00D019EB" w:rsidP="002840B3">
      <w:pPr>
        <w:keepLines/>
        <w:numPr>
          <w:ilvl w:val="0"/>
          <w:numId w:val="15"/>
        </w:numPr>
        <w:autoSpaceDE w:val="0"/>
        <w:autoSpaceDN w:val="0"/>
        <w:spacing w:before="120" w:after="120"/>
        <w:ind w:left="1276" w:hanging="576"/>
        <w:jc w:val="both"/>
        <w:rPr>
          <w:rFonts w:asciiTheme="minorHAnsi" w:hAnsiTheme="minorHAnsi"/>
          <w:szCs w:val="24"/>
          <w:lang w:eastAsia="en-AU"/>
        </w:rPr>
      </w:pPr>
      <w:r>
        <w:rPr>
          <w:rFonts w:asciiTheme="minorHAnsi" w:hAnsiTheme="minorHAnsi"/>
          <w:szCs w:val="24"/>
          <w:lang w:eastAsia="en-AU"/>
        </w:rPr>
        <w:t>The PSWC commissioner must have regard to the recommendation obtained in accordance with section 6(2) of these guidelines when estimating the value of the PSWC services</w:t>
      </w:r>
      <w:r w:rsidR="00CB7BA8">
        <w:rPr>
          <w:rFonts w:asciiTheme="minorHAnsi" w:hAnsiTheme="minorHAnsi"/>
          <w:szCs w:val="24"/>
          <w:lang w:eastAsia="en-AU"/>
        </w:rPr>
        <w:t xml:space="preserve">, and provide reasons to the </w:t>
      </w:r>
      <w:r w:rsidR="005350F0">
        <w:rPr>
          <w:rFonts w:asciiTheme="minorHAnsi" w:hAnsiTheme="minorHAnsi"/>
          <w:szCs w:val="24"/>
          <w:lang w:eastAsia="en-AU"/>
        </w:rPr>
        <w:t>SRCC</w:t>
      </w:r>
      <w:r w:rsidR="00CB7BA8">
        <w:rPr>
          <w:rFonts w:asciiTheme="minorHAnsi" w:hAnsiTheme="minorHAnsi"/>
          <w:szCs w:val="24"/>
          <w:lang w:eastAsia="en-AU"/>
        </w:rPr>
        <w:t xml:space="preserve"> where a different value has been adopted</w:t>
      </w:r>
      <w:r>
        <w:rPr>
          <w:rFonts w:asciiTheme="minorHAnsi" w:hAnsiTheme="minorHAnsi"/>
          <w:szCs w:val="24"/>
          <w:lang w:eastAsia="en-AU"/>
        </w:rPr>
        <w:t>.</w:t>
      </w:r>
    </w:p>
    <w:p w14:paraId="7A68F92A" w14:textId="43FFFB7D" w:rsidR="00B73EFB" w:rsidRPr="00CB7BA8" w:rsidRDefault="00BD11BD" w:rsidP="008F585F">
      <w:pPr>
        <w:pStyle w:val="Heading2"/>
        <w:tabs>
          <w:tab w:val="left" w:pos="709"/>
        </w:tabs>
        <w:ind w:left="709" w:hanging="709"/>
        <w:jc w:val="left"/>
        <w:rPr>
          <w:b/>
          <w:i w:val="0"/>
          <w:sz w:val="24"/>
          <w:szCs w:val="24"/>
          <w:lang w:eastAsia="en-AU"/>
        </w:rPr>
      </w:pPr>
      <w:bookmarkStart w:id="12" w:name="_Toc530252530"/>
      <w:r>
        <w:rPr>
          <w:b/>
          <w:i w:val="0"/>
          <w:sz w:val="24"/>
          <w:szCs w:val="24"/>
          <w:lang w:eastAsia="en-AU"/>
        </w:rPr>
        <w:t>6</w:t>
      </w:r>
      <w:r w:rsidR="00A44351">
        <w:rPr>
          <w:b/>
          <w:i w:val="0"/>
          <w:sz w:val="24"/>
          <w:szCs w:val="24"/>
          <w:lang w:eastAsia="en-AU"/>
        </w:rPr>
        <w:t xml:space="preserve"> </w:t>
      </w:r>
      <w:r w:rsidR="008F585F">
        <w:rPr>
          <w:b/>
          <w:i w:val="0"/>
          <w:sz w:val="24"/>
          <w:szCs w:val="24"/>
          <w:lang w:eastAsia="en-AU"/>
        </w:rPr>
        <w:tab/>
      </w:r>
      <w:r w:rsidR="00CB7BA8">
        <w:rPr>
          <w:b/>
          <w:i w:val="0"/>
          <w:sz w:val="24"/>
          <w:szCs w:val="24"/>
          <w:lang w:eastAsia="en-AU"/>
        </w:rPr>
        <w:t xml:space="preserve">Acceptable </w:t>
      </w:r>
      <w:r w:rsidR="00B73EFB" w:rsidRPr="008F585F">
        <w:rPr>
          <w:b/>
          <w:i w:val="0"/>
          <w:sz w:val="24"/>
          <w:szCs w:val="24"/>
          <w:lang w:eastAsia="en-AU"/>
        </w:rPr>
        <w:t>funding ratio</w:t>
      </w:r>
      <w:bookmarkEnd w:id="12"/>
    </w:p>
    <w:p w14:paraId="282BCBC7" w14:textId="77777777" w:rsidR="00B73EFB" w:rsidRPr="00CB7BA8" w:rsidRDefault="00B73EFB" w:rsidP="00CB7BA8">
      <w:pPr>
        <w:keepLines/>
        <w:numPr>
          <w:ilvl w:val="0"/>
          <w:numId w:val="16"/>
        </w:numPr>
        <w:autoSpaceDE w:val="0"/>
        <w:autoSpaceDN w:val="0"/>
        <w:spacing w:before="120" w:after="120"/>
        <w:ind w:left="1275" w:hanging="578"/>
        <w:jc w:val="both"/>
        <w:rPr>
          <w:rFonts w:asciiTheme="minorHAnsi" w:hAnsiTheme="minorHAnsi"/>
          <w:szCs w:val="24"/>
          <w:lang w:eastAsia="en-AU"/>
        </w:rPr>
      </w:pPr>
      <w:r w:rsidRPr="00CB7BA8">
        <w:rPr>
          <w:rFonts w:asciiTheme="minorHAnsi" w:hAnsiTheme="minorHAnsi"/>
          <w:szCs w:val="24"/>
          <w:lang w:eastAsia="en-AU"/>
        </w:rPr>
        <w:t>This section does not apply during the Transitional Period.</w:t>
      </w:r>
    </w:p>
    <w:p w14:paraId="33354D29" w14:textId="4EED118E" w:rsidR="00B73EFB" w:rsidRPr="00CB7BA8" w:rsidRDefault="00B73EFB" w:rsidP="00CB7BA8">
      <w:pPr>
        <w:keepLines/>
        <w:numPr>
          <w:ilvl w:val="0"/>
          <w:numId w:val="16"/>
        </w:numPr>
        <w:autoSpaceDE w:val="0"/>
        <w:autoSpaceDN w:val="0"/>
        <w:spacing w:before="120" w:after="120"/>
        <w:ind w:left="1275" w:hanging="578"/>
        <w:jc w:val="both"/>
        <w:rPr>
          <w:rFonts w:asciiTheme="minorHAnsi" w:hAnsiTheme="minorHAnsi"/>
          <w:szCs w:val="24"/>
          <w:lang w:eastAsia="en-AU"/>
        </w:rPr>
      </w:pPr>
      <w:r w:rsidRPr="00CB7BA8">
        <w:rPr>
          <w:rFonts w:asciiTheme="minorHAnsi" w:hAnsiTheme="minorHAnsi"/>
          <w:szCs w:val="24"/>
          <w:lang w:eastAsia="en-AU"/>
        </w:rPr>
        <w:t xml:space="preserve">The </w:t>
      </w:r>
      <w:r w:rsidR="00CB7BA8">
        <w:rPr>
          <w:rFonts w:asciiTheme="minorHAnsi" w:hAnsiTheme="minorHAnsi"/>
          <w:szCs w:val="24"/>
          <w:lang w:eastAsia="en-AU"/>
        </w:rPr>
        <w:t>acceptable</w:t>
      </w:r>
      <w:r w:rsidRPr="00CB7BA8">
        <w:rPr>
          <w:rFonts w:asciiTheme="minorHAnsi" w:hAnsiTheme="minorHAnsi"/>
          <w:szCs w:val="24"/>
          <w:lang w:eastAsia="en-AU"/>
        </w:rPr>
        <w:t xml:space="preserve"> ratio of Fund Value to </w:t>
      </w:r>
      <w:r w:rsidR="006773DE" w:rsidRPr="00CB7BA8">
        <w:rPr>
          <w:rFonts w:asciiTheme="minorHAnsi" w:hAnsiTheme="minorHAnsi"/>
          <w:bCs/>
          <w:iCs/>
          <w:szCs w:val="24"/>
          <w:lang w:eastAsia="en-AU"/>
        </w:rPr>
        <w:t>Outstanding Claim Liability</w:t>
      </w:r>
      <w:r w:rsidR="006773DE" w:rsidRPr="00CB7BA8">
        <w:rPr>
          <w:rFonts w:asciiTheme="minorHAnsi" w:hAnsiTheme="minorHAnsi"/>
          <w:szCs w:val="24"/>
          <w:lang w:eastAsia="en-AU"/>
        </w:rPr>
        <w:t xml:space="preserve"> </w:t>
      </w:r>
      <w:r w:rsidRPr="00CB7BA8">
        <w:rPr>
          <w:rFonts w:asciiTheme="minorHAnsi" w:hAnsiTheme="minorHAnsi"/>
          <w:szCs w:val="24"/>
          <w:lang w:eastAsia="en-AU"/>
        </w:rPr>
        <w:t>plus PSWC services is the range between 100 and 110 per cent.</w:t>
      </w:r>
    </w:p>
    <w:p w14:paraId="1EDDFCC2" w14:textId="1279AF05" w:rsidR="00B73EFB" w:rsidRPr="00CB7BA8" w:rsidRDefault="00B73EFB" w:rsidP="00CB7BA8">
      <w:pPr>
        <w:keepLines/>
        <w:numPr>
          <w:ilvl w:val="0"/>
          <w:numId w:val="16"/>
        </w:numPr>
        <w:autoSpaceDE w:val="0"/>
        <w:autoSpaceDN w:val="0"/>
        <w:spacing w:before="120" w:after="120"/>
        <w:ind w:left="1275" w:hanging="578"/>
        <w:jc w:val="both"/>
        <w:rPr>
          <w:rFonts w:asciiTheme="minorHAnsi" w:hAnsiTheme="minorHAnsi"/>
          <w:szCs w:val="24"/>
          <w:lang w:eastAsia="en-AU"/>
        </w:rPr>
      </w:pPr>
      <w:r w:rsidRPr="00CB7BA8">
        <w:rPr>
          <w:rFonts w:asciiTheme="minorHAnsi" w:hAnsiTheme="minorHAnsi"/>
          <w:szCs w:val="24"/>
          <w:lang w:eastAsia="en-AU"/>
        </w:rPr>
        <w:t xml:space="preserve">If the funding ratio is estimated to be outside </w:t>
      </w:r>
      <w:r w:rsidR="002F6E32" w:rsidRPr="00CB7BA8">
        <w:rPr>
          <w:rFonts w:asciiTheme="minorHAnsi" w:hAnsiTheme="minorHAnsi"/>
          <w:szCs w:val="24"/>
          <w:lang w:eastAsia="en-AU"/>
        </w:rPr>
        <w:t xml:space="preserve">of the </w:t>
      </w:r>
      <w:r w:rsidR="00CB7BA8">
        <w:rPr>
          <w:rFonts w:asciiTheme="minorHAnsi" w:hAnsiTheme="minorHAnsi"/>
          <w:szCs w:val="24"/>
          <w:lang w:eastAsia="en-AU"/>
        </w:rPr>
        <w:t>acceptable</w:t>
      </w:r>
      <w:r w:rsidR="002F6E32" w:rsidRPr="00CB7BA8">
        <w:rPr>
          <w:rFonts w:asciiTheme="minorHAnsi" w:hAnsiTheme="minorHAnsi"/>
          <w:szCs w:val="24"/>
          <w:lang w:eastAsia="en-AU"/>
        </w:rPr>
        <w:t xml:space="preserve"> range, the PSWC c</w:t>
      </w:r>
      <w:r w:rsidRPr="00CB7BA8">
        <w:rPr>
          <w:rFonts w:asciiTheme="minorHAnsi" w:hAnsiTheme="minorHAnsi"/>
          <w:szCs w:val="24"/>
          <w:lang w:eastAsia="en-AU"/>
        </w:rPr>
        <w:t xml:space="preserve">ommissioner must develop a funding ratio action plan, which describes steps to be taken to return the funding ratio to the </w:t>
      </w:r>
      <w:r w:rsidR="00CB7BA8">
        <w:rPr>
          <w:rFonts w:asciiTheme="minorHAnsi" w:hAnsiTheme="minorHAnsi"/>
          <w:szCs w:val="24"/>
          <w:lang w:eastAsia="en-AU"/>
        </w:rPr>
        <w:t>acceptable</w:t>
      </w:r>
      <w:r w:rsidRPr="00CB7BA8">
        <w:rPr>
          <w:rFonts w:asciiTheme="minorHAnsi" w:hAnsiTheme="minorHAnsi"/>
          <w:szCs w:val="24"/>
          <w:lang w:eastAsia="en-AU"/>
        </w:rPr>
        <w:t xml:space="preserve"> range within 30 months of the date of the departure from the </w:t>
      </w:r>
      <w:r w:rsidR="00CB7BA8">
        <w:rPr>
          <w:rFonts w:asciiTheme="minorHAnsi" w:hAnsiTheme="minorHAnsi"/>
          <w:szCs w:val="24"/>
          <w:lang w:eastAsia="en-AU"/>
        </w:rPr>
        <w:t>acceptable</w:t>
      </w:r>
      <w:r w:rsidRPr="00CB7BA8">
        <w:rPr>
          <w:rFonts w:asciiTheme="minorHAnsi" w:hAnsiTheme="minorHAnsi"/>
          <w:szCs w:val="24"/>
          <w:lang w:eastAsia="en-AU"/>
        </w:rPr>
        <w:t xml:space="preserve"> range.</w:t>
      </w:r>
    </w:p>
    <w:p w14:paraId="4536504E" w14:textId="613C0637" w:rsidR="00B73EFB" w:rsidRPr="00BD11BD" w:rsidRDefault="00B73EFB" w:rsidP="00CB7BA8">
      <w:pPr>
        <w:keepLines/>
        <w:autoSpaceDE w:val="0"/>
        <w:autoSpaceDN w:val="0"/>
        <w:spacing w:before="80" w:after="60"/>
        <w:ind w:left="2268" w:hanging="992"/>
        <w:jc w:val="both"/>
        <w:rPr>
          <w:rFonts w:asciiTheme="minorHAnsi" w:hAnsiTheme="minorHAnsi" w:cstheme="minorHAnsi"/>
          <w:szCs w:val="24"/>
          <w:lang w:eastAsia="en-AU"/>
        </w:rPr>
      </w:pPr>
      <w:r w:rsidRPr="00CB7BA8">
        <w:rPr>
          <w:rFonts w:asciiTheme="minorHAnsi" w:hAnsiTheme="minorHAnsi"/>
          <w:iCs/>
          <w:szCs w:val="24"/>
          <w:lang w:eastAsia="en-AU"/>
        </w:rPr>
        <w:t>Note 5</w:t>
      </w:r>
      <w:r w:rsidRPr="00CB7BA8">
        <w:rPr>
          <w:rFonts w:asciiTheme="minorHAnsi" w:hAnsiTheme="minorHAnsi"/>
          <w:i/>
          <w:iCs/>
          <w:szCs w:val="24"/>
          <w:lang w:eastAsia="en-AU"/>
        </w:rPr>
        <w:tab/>
      </w:r>
      <w:r w:rsidR="004C1917" w:rsidRPr="00CB7BA8">
        <w:rPr>
          <w:rFonts w:asciiTheme="minorHAnsi" w:hAnsiTheme="minorHAnsi"/>
          <w:i/>
          <w:iCs/>
          <w:szCs w:val="24"/>
          <w:lang w:eastAsia="en-AU"/>
        </w:rPr>
        <w:t>I</w:t>
      </w:r>
      <w:r w:rsidRPr="00CB7BA8">
        <w:rPr>
          <w:rFonts w:asciiTheme="minorHAnsi" w:hAnsiTheme="minorHAnsi"/>
          <w:i/>
          <w:iCs/>
          <w:szCs w:val="24"/>
          <w:lang w:eastAsia="en-AU"/>
        </w:rPr>
        <w:t xml:space="preserve">f the reported departure from the </w:t>
      </w:r>
      <w:r w:rsidR="00CB7BA8">
        <w:rPr>
          <w:rFonts w:asciiTheme="minorHAnsi" w:hAnsiTheme="minorHAnsi"/>
          <w:i/>
          <w:iCs/>
          <w:szCs w:val="24"/>
          <w:lang w:eastAsia="en-AU"/>
        </w:rPr>
        <w:t>acceptable</w:t>
      </w:r>
      <w:r w:rsidRPr="00CB7BA8">
        <w:rPr>
          <w:rFonts w:asciiTheme="minorHAnsi" w:hAnsiTheme="minorHAnsi"/>
          <w:i/>
          <w:iCs/>
          <w:szCs w:val="24"/>
          <w:lang w:eastAsia="en-AU"/>
        </w:rPr>
        <w:t xml:space="preserve"> funding ratio also results in the Fund Value being less than the value indicated in section </w:t>
      </w:r>
      <w:r w:rsidR="006871A5" w:rsidRPr="00CB7BA8">
        <w:rPr>
          <w:rFonts w:asciiTheme="minorHAnsi" w:hAnsiTheme="minorHAnsi"/>
          <w:i/>
          <w:iCs/>
          <w:szCs w:val="24"/>
          <w:lang w:eastAsia="en-AU"/>
        </w:rPr>
        <w:t>6</w:t>
      </w:r>
      <w:r w:rsidRPr="00CB7BA8">
        <w:rPr>
          <w:rFonts w:asciiTheme="minorHAnsi" w:hAnsiTheme="minorHAnsi"/>
          <w:i/>
          <w:iCs/>
          <w:szCs w:val="24"/>
          <w:lang w:eastAsia="en-AU"/>
        </w:rPr>
        <w:t xml:space="preserve">(1) of these </w:t>
      </w:r>
      <w:r w:rsidR="001C5446" w:rsidRPr="00CB7BA8">
        <w:rPr>
          <w:rFonts w:asciiTheme="minorHAnsi" w:hAnsiTheme="minorHAnsi"/>
          <w:i/>
          <w:iCs/>
          <w:szCs w:val="24"/>
          <w:lang w:eastAsia="en-AU"/>
        </w:rPr>
        <w:t>g</w:t>
      </w:r>
      <w:r w:rsidRPr="00CB7BA8">
        <w:rPr>
          <w:rFonts w:asciiTheme="minorHAnsi" w:hAnsiTheme="minorHAnsi"/>
          <w:i/>
          <w:iCs/>
          <w:szCs w:val="24"/>
          <w:lang w:eastAsia="en-AU"/>
        </w:rPr>
        <w:t>uidelines, the obligations</w:t>
      </w:r>
      <w:r w:rsidR="004C1917" w:rsidRPr="00CB7BA8">
        <w:rPr>
          <w:rFonts w:asciiTheme="minorHAnsi" w:hAnsiTheme="minorHAnsi"/>
          <w:i/>
          <w:iCs/>
          <w:szCs w:val="24"/>
          <w:lang w:eastAsia="en-AU"/>
        </w:rPr>
        <w:t xml:space="preserve"> </w:t>
      </w:r>
      <w:r w:rsidRPr="00CB7BA8">
        <w:rPr>
          <w:rFonts w:asciiTheme="minorHAnsi" w:hAnsiTheme="minorHAnsi"/>
          <w:i/>
          <w:iCs/>
          <w:szCs w:val="24"/>
          <w:lang w:eastAsia="en-AU"/>
        </w:rPr>
        <w:t xml:space="preserve">provided in sections </w:t>
      </w:r>
      <w:r w:rsidR="00B106F2" w:rsidRPr="00CB7BA8">
        <w:rPr>
          <w:rFonts w:asciiTheme="minorHAnsi" w:hAnsiTheme="minorHAnsi"/>
          <w:i/>
          <w:iCs/>
          <w:szCs w:val="24"/>
          <w:lang w:eastAsia="en-AU"/>
        </w:rPr>
        <w:t>6</w:t>
      </w:r>
      <w:r w:rsidRPr="00CB7BA8">
        <w:rPr>
          <w:rFonts w:asciiTheme="minorHAnsi" w:hAnsiTheme="minorHAnsi"/>
          <w:i/>
          <w:iCs/>
          <w:szCs w:val="24"/>
          <w:lang w:eastAsia="en-AU"/>
        </w:rPr>
        <w:t xml:space="preserve"> and </w:t>
      </w:r>
      <w:r w:rsidR="00B106F2" w:rsidRPr="00CB7BA8">
        <w:rPr>
          <w:rFonts w:asciiTheme="minorHAnsi" w:hAnsiTheme="minorHAnsi"/>
          <w:i/>
          <w:iCs/>
          <w:szCs w:val="24"/>
          <w:lang w:eastAsia="en-AU"/>
        </w:rPr>
        <w:t>7</w:t>
      </w:r>
      <w:r w:rsidRPr="00CB7BA8">
        <w:rPr>
          <w:rFonts w:asciiTheme="minorHAnsi" w:hAnsiTheme="minorHAnsi"/>
          <w:i/>
          <w:iCs/>
          <w:szCs w:val="24"/>
          <w:lang w:eastAsia="en-AU"/>
        </w:rPr>
        <w:t xml:space="preserve"> apply concurrently.</w:t>
      </w:r>
    </w:p>
    <w:p w14:paraId="4FB39228" w14:textId="77777777" w:rsidR="00B73EFB" w:rsidRPr="00B73EFB" w:rsidRDefault="00B73EFB" w:rsidP="008F585F">
      <w:pPr>
        <w:pStyle w:val="Heading2"/>
        <w:tabs>
          <w:tab w:val="left" w:pos="709"/>
        </w:tabs>
        <w:jc w:val="left"/>
        <w:rPr>
          <w:rFonts w:asciiTheme="minorHAnsi" w:hAnsiTheme="minorHAnsi"/>
          <w:szCs w:val="24"/>
          <w:lang w:eastAsia="en-AU"/>
        </w:rPr>
      </w:pPr>
    </w:p>
    <w:p w14:paraId="36FAEFDC" w14:textId="56C75D0C" w:rsidR="00B73EFB" w:rsidRPr="005A4E03" w:rsidRDefault="00BD11BD" w:rsidP="005A4E03">
      <w:pPr>
        <w:pStyle w:val="Heading2"/>
        <w:tabs>
          <w:tab w:val="left" w:pos="709"/>
        </w:tabs>
        <w:jc w:val="left"/>
        <w:rPr>
          <w:b/>
          <w:i w:val="0"/>
          <w:sz w:val="24"/>
          <w:szCs w:val="24"/>
          <w:lang w:eastAsia="en-AU"/>
        </w:rPr>
      </w:pPr>
      <w:bookmarkStart w:id="13" w:name="_Toc530252531"/>
      <w:r>
        <w:rPr>
          <w:b/>
          <w:i w:val="0"/>
          <w:sz w:val="24"/>
          <w:szCs w:val="24"/>
          <w:lang w:eastAsia="en-AU"/>
        </w:rPr>
        <w:t>7</w:t>
      </w:r>
      <w:r w:rsidR="00B73EFB" w:rsidRPr="005A4E03">
        <w:rPr>
          <w:b/>
          <w:i w:val="0"/>
          <w:sz w:val="24"/>
          <w:szCs w:val="24"/>
          <w:lang w:eastAsia="en-AU"/>
        </w:rPr>
        <w:tab/>
        <w:t>Liquidity levels</w:t>
      </w:r>
      <w:bookmarkEnd w:id="13"/>
    </w:p>
    <w:p w14:paraId="53D090E7" w14:textId="77777777" w:rsidR="00B73EFB" w:rsidRPr="00B73EFB" w:rsidRDefault="002F6E32" w:rsidP="006D1AD0">
      <w:pPr>
        <w:keepLines/>
        <w:numPr>
          <w:ilvl w:val="0"/>
          <w:numId w:val="17"/>
        </w:numPr>
        <w:autoSpaceDE w:val="0"/>
        <w:autoSpaceDN w:val="0"/>
        <w:spacing w:before="120" w:after="120"/>
        <w:ind w:left="1276" w:hanging="576"/>
        <w:jc w:val="both"/>
        <w:rPr>
          <w:rFonts w:asciiTheme="minorHAnsi" w:hAnsiTheme="minorHAnsi"/>
          <w:szCs w:val="24"/>
          <w:lang w:eastAsia="en-AU"/>
        </w:rPr>
      </w:pPr>
      <w:r>
        <w:rPr>
          <w:rFonts w:asciiTheme="minorHAnsi" w:hAnsiTheme="minorHAnsi"/>
          <w:szCs w:val="24"/>
          <w:lang w:eastAsia="en-AU"/>
        </w:rPr>
        <w:t>The PSWC c</w:t>
      </w:r>
      <w:r w:rsidR="00B73EFB" w:rsidRPr="00B73EFB">
        <w:rPr>
          <w:rFonts w:asciiTheme="minorHAnsi" w:hAnsiTheme="minorHAnsi"/>
          <w:szCs w:val="24"/>
          <w:lang w:eastAsia="en-AU"/>
        </w:rPr>
        <w:t xml:space="preserve">ommissioner must ensure that the Fund Money Value is sufficient to meet the cost of all payments expected to be made in accordance with section 12 of the PSWC Fund Act.  </w:t>
      </w:r>
    </w:p>
    <w:p w14:paraId="0353E0C9" w14:textId="66D02A41" w:rsidR="00B73EFB" w:rsidRPr="00B73EFB" w:rsidRDefault="00B73EFB" w:rsidP="006D1AD0">
      <w:pPr>
        <w:keepLines/>
        <w:numPr>
          <w:ilvl w:val="0"/>
          <w:numId w:val="17"/>
        </w:numPr>
        <w:autoSpaceDE w:val="0"/>
        <w:autoSpaceDN w:val="0"/>
        <w:spacing w:before="120" w:after="120"/>
        <w:ind w:left="1276" w:hanging="576"/>
        <w:jc w:val="both"/>
        <w:rPr>
          <w:rFonts w:asciiTheme="minorHAnsi" w:hAnsiTheme="minorHAnsi"/>
          <w:szCs w:val="24"/>
          <w:lang w:eastAsia="en-AU"/>
        </w:rPr>
      </w:pPr>
      <w:r w:rsidRPr="00B73EFB">
        <w:rPr>
          <w:rFonts w:asciiTheme="minorHAnsi" w:hAnsiTheme="minorHAnsi"/>
          <w:szCs w:val="24"/>
          <w:lang w:eastAsia="en-AU"/>
        </w:rPr>
        <w:t>In order to sati</w:t>
      </w:r>
      <w:r w:rsidR="001B217A">
        <w:rPr>
          <w:rFonts w:asciiTheme="minorHAnsi" w:hAnsiTheme="minorHAnsi"/>
          <w:szCs w:val="24"/>
          <w:lang w:eastAsia="en-AU"/>
        </w:rPr>
        <w:t xml:space="preserve">sfy the requirement in section </w:t>
      </w:r>
      <w:r w:rsidR="00BD11BD">
        <w:rPr>
          <w:rFonts w:asciiTheme="minorHAnsi" w:hAnsiTheme="minorHAnsi"/>
          <w:szCs w:val="24"/>
          <w:lang w:eastAsia="en-AU"/>
        </w:rPr>
        <w:t>7</w:t>
      </w:r>
      <w:r w:rsidRPr="00B73EFB">
        <w:rPr>
          <w:rFonts w:asciiTheme="minorHAnsi" w:hAnsiTheme="minorHAnsi"/>
          <w:szCs w:val="24"/>
          <w:lang w:eastAsia="en-AU"/>
        </w:rPr>
        <w:t>(1)</w:t>
      </w:r>
      <w:r w:rsidR="001B217A">
        <w:rPr>
          <w:rFonts w:asciiTheme="minorHAnsi" w:hAnsiTheme="minorHAnsi"/>
          <w:szCs w:val="24"/>
          <w:lang w:eastAsia="en-AU"/>
        </w:rPr>
        <w:t xml:space="preserve"> of these </w:t>
      </w:r>
      <w:r w:rsidR="001C5446">
        <w:rPr>
          <w:rFonts w:asciiTheme="minorHAnsi" w:hAnsiTheme="minorHAnsi"/>
          <w:szCs w:val="24"/>
          <w:lang w:eastAsia="en-AU"/>
        </w:rPr>
        <w:t>g</w:t>
      </w:r>
      <w:r w:rsidR="001B217A">
        <w:rPr>
          <w:rFonts w:asciiTheme="minorHAnsi" w:hAnsiTheme="minorHAnsi"/>
          <w:szCs w:val="24"/>
          <w:lang w:eastAsia="en-AU"/>
        </w:rPr>
        <w:t>uidelines</w:t>
      </w:r>
      <w:r w:rsidRPr="00B73EFB">
        <w:rPr>
          <w:rFonts w:asciiTheme="minorHAnsi" w:hAnsiTheme="minorHAnsi"/>
          <w:szCs w:val="24"/>
          <w:lang w:eastAsia="en-AU"/>
        </w:rPr>
        <w:t>, the Fund Money Value must exceed:</w:t>
      </w:r>
    </w:p>
    <w:p w14:paraId="43E343F4" w14:textId="5AF1E9DC" w:rsidR="00B73EFB" w:rsidRPr="00BE3E7E" w:rsidRDefault="00822173" w:rsidP="006D1AD0">
      <w:pPr>
        <w:pStyle w:val="ListParagraph"/>
        <w:keepLines/>
        <w:numPr>
          <w:ilvl w:val="1"/>
          <w:numId w:val="17"/>
        </w:numPr>
        <w:autoSpaceDE w:val="0"/>
        <w:autoSpaceDN w:val="0"/>
        <w:spacing w:before="120" w:after="120"/>
        <w:ind w:hanging="504"/>
        <w:contextualSpacing w:val="0"/>
        <w:jc w:val="both"/>
        <w:rPr>
          <w:rFonts w:asciiTheme="minorHAnsi" w:hAnsiTheme="minorHAnsi"/>
          <w:szCs w:val="24"/>
          <w:lang w:eastAsia="en-AU"/>
        </w:rPr>
      </w:pPr>
      <w:r w:rsidRPr="00522E90">
        <w:rPr>
          <w:rFonts w:asciiTheme="minorHAnsi" w:hAnsiTheme="minorHAnsi"/>
          <w:szCs w:val="24"/>
          <w:lang w:eastAsia="en-AU"/>
        </w:rPr>
        <w:t>t</w:t>
      </w:r>
      <w:r w:rsidR="00B73EFB" w:rsidRPr="00BE3E7E">
        <w:rPr>
          <w:rFonts w:asciiTheme="minorHAnsi" w:hAnsiTheme="minorHAnsi"/>
          <w:szCs w:val="24"/>
          <w:lang w:eastAsia="en-AU"/>
        </w:rPr>
        <w:t xml:space="preserve">he </w:t>
      </w:r>
      <w:r w:rsidR="00BD11BD">
        <w:rPr>
          <w:rFonts w:asciiTheme="minorHAnsi" w:hAnsiTheme="minorHAnsi"/>
          <w:szCs w:val="24"/>
          <w:lang w:eastAsia="en-AU"/>
        </w:rPr>
        <w:t>estimated value</w:t>
      </w:r>
      <w:r w:rsidR="00B73EFB" w:rsidRPr="00BE3E7E">
        <w:rPr>
          <w:rFonts w:asciiTheme="minorHAnsi" w:hAnsiTheme="minorHAnsi"/>
          <w:szCs w:val="24"/>
          <w:lang w:eastAsia="en-AU"/>
        </w:rPr>
        <w:t xml:space="preserve"> of the PSWC Services for the financial year in question; plus</w:t>
      </w:r>
    </w:p>
    <w:p w14:paraId="00B2C5AF" w14:textId="65BAC378" w:rsidR="00B73EFB" w:rsidRPr="00522E90" w:rsidRDefault="00822173" w:rsidP="00522E90">
      <w:pPr>
        <w:keepLines/>
        <w:numPr>
          <w:ilvl w:val="1"/>
          <w:numId w:val="17"/>
        </w:numPr>
        <w:autoSpaceDE w:val="0"/>
        <w:autoSpaceDN w:val="0"/>
        <w:spacing w:before="120" w:after="120"/>
        <w:ind w:hanging="504"/>
        <w:jc w:val="both"/>
        <w:rPr>
          <w:rFonts w:asciiTheme="minorHAnsi" w:hAnsiTheme="minorHAnsi"/>
          <w:szCs w:val="24"/>
          <w:lang w:eastAsia="en-AU"/>
        </w:rPr>
      </w:pPr>
      <w:r>
        <w:rPr>
          <w:rFonts w:asciiTheme="minorHAnsi" w:hAnsiTheme="minorHAnsi"/>
          <w:szCs w:val="24"/>
          <w:lang w:eastAsia="en-AU"/>
        </w:rPr>
        <w:t>t</w:t>
      </w:r>
      <w:r w:rsidR="00B73EFB" w:rsidRPr="00B73EFB">
        <w:rPr>
          <w:rFonts w:asciiTheme="minorHAnsi" w:hAnsiTheme="minorHAnsi"/>
          <w:szCs w:val="24"/>
          <w:lang w:eastAsia="en-AU"/>
        </w:rPr>
        <w:t xml:space="preserve">he current </w:t>
      </w:r>
      <w:r w:rsidR="009A69EE">
        <w:rPr>
          <w:rFonts w:asciiTheme="minorHAnsi" w:hAnsiTheme="minorHAnsi"/>
          <w:szCs w:val="24"/>
          <w:lang w:eastAsia="en-AU"/>
        </w:rPr>
        <w:t xml:space="preserve">liability </w:t>
      </w:r>
      <w:r w:rsidR="00B73EFB" w:rsidRPr="00B73EFB">
        <w:rPr>
          <w:rFonts w:asciiTheme="minorHAnsi" w:hAnsiTheme="minorHAnsi"/>
          <w:szCs w:val="24"/>
          <w:lang w:eastAsia="en-AU"/>
        </w:rPr>
        <w:t xml:space="preserve">component of the </w:t>
      </w:r>
      <w:r w:rsidR="009A69EE">
        <w:rPr>
          <w:rFonts w:asciiTheme="minorHAnsi" w:hAnsiTheme="minorHAnsi"/>
          <w:szCs w:val="24"/>
          <w:lang w:eastAsia="en-AU"/>
        </w:rPr>
        <w:t xml:space="preserve">Territory’s </w:t>
      </w:r>
      <w:r w:rsidR="006773DE">
        <w:rPr>
          <w:rFonts w:asciiTheme="minorHAnsi" w:hAnsiTheme="minorHAnsi"/>
          <w:bCs/>
          <w:iCs/>
          <w:szCs w:val="24"/>
          <w:lang w:eastAsia="en-AU"/>
        </w:rPr>
        <w:t>O</w:t>
      </w:r>
      <w:r w:rsidR="006773DE" w:rsidRPr="00717639">
        <w:rPr>
          <w:rFonts w:asciiTheme="minorHAnsi" w:hAnsiTheme="minorHAnsi"/>
          <w:bCs/>
          <w:iCs/>
          <w:szCs w:val="24"/>
          <w:lang w:eastAsia="en-AU"/>
        </w:rPr>
        <w:t xml:space="preserve">utstanding </w:t>
      </w:r>
      <w:r w:rsidR="006773DE">
        <w:rPr>
          <w:rFonts w:asciiTheme="minorHAnsi" w:hAnsiTheme="minorHAnsi"/>
          <w:bCs/>
          <w:iCs/>
          <w:szCs w:val="24"/>
          <w:lang w:eastAsia="en-AU"/>
        </w:rPr>
        <w:t>C</w:t>
      </w:r>
      <w:r w:rsidR="006773DE" w:rsidRPr="00717639">
        <w:rPr>
          <w:rFonts w:asciiTheme="minorHAnsi" w:hAnsiTheme="minorHAnsi"/>
          <w:bCs/>
          <w:iCs/>
          <w:szCs w:val="24"/>
          <w:lang w:eastAsia="en-AU"/>
        </w:rPr>
        <w:t xml:space="preserve">laim </w:t>
      </w:r>
      <w:r w:rsidR="006773DE">
        <w:rPr>
          <w:rFonts w:asciiTheme="minorHAnsi" w:hAnsiTheme="minorHAnsi"/>
          <w:bCs/>
          <w:iCs/>
          <w:szCs w:val="24"/>
          <w:lang w:eastAsia="en-AU"/>
        </w:rPr>
        <w:t>L</w:t>
      </w:r>
      <w:r w:rsidR="006773DE" w:rsidRPr="00717639">
        <w:rPr>
          <w:rFonts w:asciiTheme="minorHAnsi" w:hAnsiTheme="minorHAnsi"/>
          <w:bCs/>
          <w:iCs/>
          <w:szCs w:val="24"/>
          <w:lang w:eastAsia="en-AU"/>
        </w:rPr>
        <w:t>iability</w:t>
      </w:r>
      <w:r w:rsidR="00B73EFB" w:rsidRPr="00822173">
        <w:rPr>
          <w:rFonts w:asciiTheme="minorHAnsi" w:hAnsiTheme="minorHAnsi"/>
          <w:bCs/>
          <w:iCs/>
          <w:szCs w:val="24"/>
          <w:lang w:eastAsia="en-AU"/>
        </w:rPr>
        <w:t xml:space="preserve">, as </w:t>
      </w:r>
      <w:r w:rsidR="009A69EE">
        <w:rPr>
          <w:rFonts w:asciiTheme="minorHAnsi" w:hAnsiTheme="minorHAnsi"/>
          <w:bCs/>
          <w:iCs/>
          <w:szCs w:val="24"/>
          <w:lang w:eastAsia="en-AU"/>
        </w:rPr>
        <w:t>broken down under condition 33(b) of the self-insurance licence in the most recent Liability Report</w:t>
      </w:r>
      <w:r w:rsidR="00B73EFB" w:rsidRPr="00522E90">
        <w:rPr>
          <w:rFonts w:asciiTheme="minorHAnsi" w:hAnsiTheme="minorHAnsi"/>
          <w:bCs/>
          <w:iCs/>
          <w:szCs w:val="24"/>
          <w:lang w:eastAsia="en-AU"/>
        </w:rPr>
        <w:t>; minus</w:t>
      </w:r>
    </w:p>
    <w:p w14:paraId="65566D1D" w14:textId="48E9B952" w:rsidR="00B73EFB" w:rsidRPr="00B73EFB" w:rsidRDefault="00822173" w:rsidP="006D1AD0">
      <w:pPr>
        <w:keepLines/>
        <w:numPr>
          <w:ilvl w:val="1"/>
          <w:numId w:val="17"/>
        </w:numPr>
        <w:autoSpaceDE w:val="0"/>
        <w:autoSpaceDN w:val="0"/>
        <w:spacing w:before="120" w:after="120"/>
        <w:ind w:hanging="504"/>
        <w:jc w:val="both"/>
        <w:rPr>
          <w:rFonts w:asciiTheme="minorHAnsi" w:hAnsiTheme="minorHAnsi"/>
          <w:szCs w:val="24"/>
          <w:lang w:eastAsia="en-AU"/>
        </w:rPr>
      </w:pPr>
      <w:r>
        <w:rPr>
          <w:rFonts w:asciiTheme="minorHAnsi" w:hAnsiTheme="minorHAnsi"/>
          <w:szCs w:val="24"/>
          <w:lang w:eastAsia="en-AU"/>
        </w:rPr>
        <w:t>t</w:t>
      </w:r>
      <w:r w:rsidR="00B73EFB" w:rsidRPr="00B73EFB">
        <w:rPr>
          <w:rFonts w:asciiTheme="minorHAnsi" w:hAnsiTheme="minorHAnsi"/>
          <w:szCs w:val="24"/>
          <w:lang w:eastAsia="en-AU"/>
        </w:rPr>
        <w:t>he total a</w:t>
      </w:r>
      <w:r w:rsidR="00FD1825">
        <w:rPr>
          <w:rFonts w:asciiTheme="minorHAnsi" w:hAnsiTheme="minorHAnsi"/>
          <w:szCs w:val="24"/>
          <w:lang w:eastAsia="en-AU"/>
        </w:rPr>
        <w:t>mount of any payments from the PSWC f</w:t>
      </w:r>
      <w:r w:rsidR="00B73EFB" w:rsidRPr="00B73EFB">
        <w:rPr>
          <w:rFonts w:asciiTheme="minorHAnsi" w:hAnsiTheme="minorHAnsi"/>
          <w:szCs w:val="24"/>
          <w:lang w:eastAsia="en-AU"/>
        </w:rPr>
        <w:t>und during the financial year in question</w:t>
      </w:r>
      <w:r w:rsidR="00843DAD">
        <w:rPr>
          <w:rFonts w:asciiTheme="minorHAnsi" w:hAnsiTheme="minorHAnsi"/>
          <w:szCs w:val="24"/>
          <w:lang w:eastAsia="en-AU"/>
        </w:rPr>
        <w:t>, excluding payments paid under section 12(e) of the PSWC Fund Act.</w:t>
      </w:r>
    </w:p>
    <w:p w14:paraId="20D955B9" w14:textId="77777777" w:rsidR="00B73EFB" w:rsidRPr="00C724DC" w:rsidRDefault="00B73EFB" w:rsidP="00B73EFB">
      <w:pPr>
        <w:rPr>
          <w:rFonts w:asciiTheme="minorHAnsi" w:hAnsiTheme="minorHAnsi"/>
          <w:b/>
          <w:bCs/>
          <w:sz w:val="32"/>
          <w:szCs w:val="32"/>
          <w:lang w:eastAsia="en-AU"/>
        </w:rPr>
      </w:pPr>
      <w:bookmarkStart w:id="14" w:name="_Toc11637125"/>
    </w:p>
    <w:p w14:paraId="4CBA6E93" w14:textId="77777777" w:rsidR="00B73EFB" w:rsidRPr="005A4E03" w:rsidRDefault="00B73EFB" w:rsidP="005A4E03">
      <w:pPr>
        <w:pStyle w:val="Heading1"/>
        <w:tabs>
          <w:tab w:val="clear" w:pos="2880"/>
          <w:tab w:val="left" w:pos="2268"/>
        </w:tabs>
        <w:rPr>
          <w:lang w:eastAsia="en-AU"/>
        </w:rPr>
      </w:pPr>
      <w:bookmarkStart w:id="15" w:name="_Toc530252535"/>
      <w:bookmarkEnd w:id="14"/>
      <w:r w:rsidRPr="005A4E03">
        <w:rPr>
          <w:lang w:eastAsia="en-AU"/>
        </w:rPr>
        <w:t>Dictionary</w:t>
      </w:r>
      <w:bookmarkEnd w:id="15"/>
    </w:p>
    <w:p w14:paraId="2730EB79" w14:textId="77777777" w:rsidR="00B73EFB" w:rsidRPr="00B73EFB" w:rsidRDefault="00B73EFB" w:rsidP="00B73EFB">
      <w:pPr>
        <w:autoSpaceDE w:val="0"/>
        <w:autoSpaceDN w:val="0"/>
        <w:spacing w:after="60"/>
        <w:jc w:val="both"/>
        <w:rPr>
          <w:rFonts w:asciiTheme="minorHAnsi" w:hAnsiTheme="minorHAnsi"/>
          <w:sz w:val="18"/>
          <w:szCs w:val="18"/>
          <w:lang w:eastAsia="en-AU"/>
        </w:rPr>
      </w:pPr>
      <w:r w:rsidRPr="00B73EFB">
        <w:rPr>
          <w:rFonts w:asciiTheme="minorHAnsi" w:hAnsiTheme="minorHAnsi"/>
          <w:sz w:val="18"/>
          <w:szCs w:val="18"/>
          <w:lang w:eastAsia="en-AU"/>
        </w:rPr>
        <w:t>(see s 3)</w:t>
      </w:r>
    </w:p>
    <w:p w14:paraId="1AC65448" w14:textId="77777777" w:rsidR="00B73EFB" w:rsidRPr="00B73EFB" w:rsidRDefault="00B73EFB" w:rsidP="007D4DD8">
      <w:pPr>
        <w:autoSpaceDE w:val="0"/>
        <w:autoSpaceDN w:val="0"/>
        <w:spacing w:before="80" w:after="60"/>
        <w:ind w:left="1560" w:hanging="851"/>
        <w:jc w:val="both"/>
        <w:rPr>
          <w:rFonts w:asciiTheme="minorHAnsi" w:hAnsiTheme="minorHAnsi"/>
          <w:sz w:val="20"/>
          <w:lang w:eastAsia="en-AU"/>
        </w:rPr>
      </w:pPr>
      <w:r w:rsidRPr="00C724DC">
        <w:rPr>
          <w:rFonts w:asciiTheme="minorHAnsi" w:hAnsiTheme="minorHAnsi"/>
          <w:i/>
          <w:iCs/>
          <w:sz w:val="20"/>
          <w:lang w:eastAsia="en-AU"/>
        </w:rPr>
        <w:t xml:space="preserve">Note </w:t>
      </w:r>
      <w:r w:rsidR="007D4DD8">
        <w:rPr>
          <w:rFonts w:asciiTheme="minorHAnsi" w:hAnsiTheme="minorHAnsi"/>
          <w:i/>
          <w:iCs/>
          <w:sz w:val="20"/>
          <w:lang w:eastAsia="en-AU"/>
        </w:rPr>
        <w:t>1</w:t>
      </w:r>
      <w:r w:rsidRPr="00B73EFB">
        <w:rPr>
          <w:rFonts w:asciiTheme="minorHAnsi" w:hAnsiTheme="minorHAnsi"/>
          <w:sz w:val="20"/>
          <w:lang w:eastAsia="en-AU"/>
        </w:rPr>
        <w:tab/>
        <w:t xml:space="preserve">The </w:t>
      </w:r>
      <w:r w:rsidRPr="00C724DC">
        <w:rPr>
          <w:rFonts w:asciiTheme="minorHAnsi" w:hAnsiTheme="minorHAnsi"/>
          <w:i/>
          <w:iCs/>
          <w:sz w:val="20"/>
          <w:lang w:eastAsia="en-AU"/>
        </w:rPr>
        <w:t>Legislation Act 2001</w:t>
      </w:r>
      <w:r w:rsidRPr="00B73EFB">
        <w:rPr>
          <w:rFonts w:asciiTheme="minorHAnsi" w:hAnsiTheme="minorHAnsi"/>
          <w:sz w:val="20"/>
          <w:lang w:eastAsia="en-AU"/>
        </w:rPr>
        <w:t xml:space="preserve"> contains definitions and other provisions relevant to these guidelines.</w:t>
      </w:r>
    </w:p>
    <w:p w14:paraId="459C0108" w14:textId="0083FAA3" w:rsidR="007D4DD8" w:rsidRDefault="007D4DD8" w:rsidP="007D4DD8">
      <w:pPr>
        <w:autoSpaceDE w:val="0"/>
        <w:autoSpaceDN w:val="0"/>
        <w:spacing w:before="80" w:after="60"/>
        <w:ind w:left="1560" w:hanging="851"/>
        <w:jc w:val="both"/>
        <w:rPr>
          <w:rFonts w:asciiTheme="minorHAnsi" w:hAnsiTheme="minorHAnsi"/>
          <w:sz w:val="20"/>
          <w:lang w:eastAsia="en-AU"/>
        </w:rPr>
      </w:pPr>
      <w:r w:rsidRPr="00C724DC">
        <w:rPr>
          <w:rFonts w:asciiTheme="minorHAnsi" w:hAnsiTheme="minorHAnsi"/>
          <w:i/>
          <w:iCs/>
          <w:sz w:val="20"/>
          <w:lang w:eastAsia="en-AU"/>
        </w:rPr>
        <w:t xml:space="preserve">Note </w:t>
      </w:r>
      <w:r>
        <w:rPr>
          <w:rFonts w:asciiTheme="minorHAnsi" w:hAnsiTheme="minorHAnsi"/>
          <w:i/>
          <w:iCs/>
          <w:sz w:val="20"/>
          <w:lang w:eastAsia="en-AU"/>
        </w:rPr>
        <w:t>2</w:t>
      </w:r>
      <w:r w:rsidRPr="00B73EFB">
        <w:rPr>
          <w:rFonts w:asciiTheme="minorHAnsi" w:hAnsiTheme="minorHAnsi"/>
          <w:sz w:val="20"/>
          <w:lang w:eastAsia="en-AU"/>
        </w:rPr>
        <w:tab/>
      </w:r>
      <w:r>
        <w:rPr>
          <w:rFonts w:asciiTheme="minorHAnsi" w:hAnsiTheme="minorHAnsi"/>
          <w:sz w:val="20"/>
          <w:lang w:eastAsia="en-AU"/>
        </w:rPr>
        <w:t xml:space="preserve">The </w:t>
      </w:r>
      <w:r>
        <w:rPr>
          <w:rFonts w:asciiTheme="minorHAnsi" w:hAnsiTheme="minorHAnsi"/>
          <w:i/>
          <w:sz w:val="20"/>
          <w:lang w:eastAsia="en-AU"/>
        </w:rPr>
        <w:t>Public Sector Workers</w:t>
      </w:r>
      <w:r w:rsidR="00D07B87">
        <w:rPr>
          <w:rFonts w:asciiTheme="minorHAnsi" w:hAnsiTheme="minorHAnsi"/>
          <w:i/>
          <w:sz w:val="20"/>
          <w:lang w:eastAsia="en-AU"/>
        </w:rPr>
        <w:t xml:space="preserve"> Compensation</w:t>
      </w:r>
      <w:r w:rsidR="00D07B87">
        <w:rPr>
          <w:rFonts w:asciiTheme="minorHAnsi" w:hAnsiTheme="minorHAnsi"/>
          <w:sz w:val="20"/>
          <w:lang w:eastAsia="en-AU"/>
        </w:rPr>
        <w:t xml:space="preserve"> </w:t>
      </w:r>
      <w:r w:rsidR="00D07B87">
        <w:rPr>
          <w:rFonts w:asciiTheme="minorHAnsi" w:hAnsiTheme="minorHAnsi"/>
          <w:i/>
          <w:sz w:val="20"/>
          <w:lang w:eastAsia="en-AU"/>
        </w:rPr>
        <w:t>Fund</w:t>
      </w:r>
      <w:r>
        <w:rPr>
          <w:rFonts w:asciiTheme="minorHAnsi" w:hAnsiTheme="minorHAnsi"/>
          <w:i/>
          <w:sz w:val="20"/>
          <w:lang w:eastAsia="en-AU"/>
        </w:rPr>
        <w:t xml:space="preserve"> Act 2018</w:t>
      </w:r>
      <w:r>
        <w:rPr>
          <w:rFonts w:asciiTheme="minorHAnsi" w:hAnsiTheme="minorHAnsi"/>
          <w:sz w:val="20"/>
          <w:lang w:eastAsia="en-AU"/>
        </w:rPr>
        <w:t xml:space="preserve"> contains definition</w:t>
      </w:r>
      <w:r w:rsidR="006871A5">
        <w:rPr>
          <w:rFonts w:asciiTheme="minorHAnsi" w:hAnsiTheme="minorHAnsi"/>
          <w:sz w:val="20"/>
          <w:lang w:eastAsia="en-AU"/>
        </w:rPr>
        <w:t>s</w:t>
      </w:r>
      <w:r>
        <w:rPr>
          <w:rFonts w:asciiTheme="minorHAnsi" w:hAnsiTheme="minorHAnsi"/>
          <w:sz w:val="20"/>
          <w:lang w:eastAsia="en-AU"/>
        </w:rPr>
        <w:t xml:space="preserve"> relevant to this Investment and Fund Ratio Fund Management Guideline. For example, the following terms used in this </w:t>
      </w:r>
      <w:r w:rsidR="00357E75">
        <w:rPr>
          <w:rFonts w:asciiTheme="minorHAnsi" w:hAnsiTheme="minorHAnsi"/>
          <w:sz w:val="20"/>
          <w:lang w:eastAsia="en-AU"/>
        </w:rPr>
        <w:t>g</w:t>
      </w:r>
      <w:r>
        <w:rPr>
          <w:rFonts w:asciiTheme="minorHAnsi" w:hAnsiTheme="minorHAnsi"/>
          <w:sz w:val="20"/>
          <w:lang w:eastAsia="en-AU"/>
        </w:rPr>
        <w:t xml:space="preserve">uideline have the meaning given by the </w:t>
      </w:r>
      <w:r>
        <w:rPr>
          <w:rFonts w:asciiTheme="minorHAnsi" w:hAnsiTheme="minorHAnsi"/>
          <w:i/>
          <w:sz w:val="20"/>
          <w:lang w:eastAsia="en-AU"/>
        </w:rPr>
        <w:t xml:space="preserve">Public Sector Workers Compensation </w:t>
      </w:r>
      <w:r w:rsidR="00D07B87">
        <w:rPr>
          <w:rFonts w:asciiTheme="minorHAnsi" w:hAnsiTheme="minorHAnsi"/>
          <w:i/>
          <w:sz w:val="20"/>
          <w:lang w:eastAsia="en-AU"/>
        </w:rPr>
        <w:t xml:space="preserve">Fund </w:t>
      </w:r>
      <w:r w:rsidR="00D07B87">
        <w:rPr>
          <w:rFonts w:asciiTheme="minorHAnsi" w:hAnsiTheme="minorHAnsi"/>
          <w:i/>
          <w:sz w:val="20"/>
          <w:lang w:eastAsia="en-AU"/>
        </w:rPr>
        <w:tab/>
      </w:r>
      <w:r>
        <w:rPr>
          <w:rFonts w:asciiTheme="minorHAnsi" w:hAnsiTheme="minorHAnsi"/>
          <w:i/>
          <w:sz w:val="20"/>
          <w:lang w:eastAsia="en-AU"/>
        </w:rPr>
        <w:t>Act 2018</w:t>
      </w:r>
      <w:r>
        <w:rPr>
          <w:rFonts w:asciiTheme="minorHAnsi" w:hAnsiTheme="minorHAnsi"/>
          <w:sz w:val="20"/>
          <w:lang w:eastAsia="en-AU"/>
        </w:rPr>
        <w:t>:</w:t>
      </w:r>
    </w:p>
    <w:p w14:paraId="0CE07690" w14:textId="77777777" w:rsidR="000C3EDA" w:rsidRDefault="000C3EDA" w:rsidP="007D4DD8">
      <w:pPr>
        <w:pStyle w:val="ListParagraph"/>
        <w:numPr>
          <w:ilvl w:val="0"/>
          <w:numId w:val="26"/>
        </w:numPr>
        <w:autoSpaceDE w:val="0"/>
        <w:autoSpaceDN w:val="0"/>
        <w:spacing w:before="80" w:after="60"/>
        <w:ind w:left="1985" w:hanging="425"/>
        <w:jc w:val="both"/>
        <w:rPr>
          <w:rFonts w:asciiTheme="minorHAnsi" w:hAnsiTheme="minorHAnsi"/>
          <w:sz w:val="20"/>
          <w:lang w:eastAsia="en-AU"/>
        </w:rPr>
      </w:pPr>
      <w:r>
        <w:rPr>
          <w:rFonts w:asciiTheme="minorHAnsi" w:hAnsiTheme="minorHAnsi"/>
          <w:sz w:val="20"/>
          <w:lang w:eastAsia="en-AU"/>
        </w:rPr>
        <w:t>PSWC commissioner</w:t>
      </w:r>
    </w:p>
    <w:p w14:paraId="1A311FF2" w14:textId="77777777" w:rsidR="007D4DD8" w:rsidRDefault="000C3EDA" w:rsidP="007D4DD8">
      <w:pPr>
        <w:pStyle w:val="ListParagraph"/>
        <w:numPr>
          <w:ilvl w:val="0"/>
          <w:numId w:val="26"/>
        </w:numPr>
        <w:autoSpaceDE w:val="0"/>
        <w:autoSpaceDN w:val="0"/>
        <w:spacing w:before="80" w:after="60"/>
        <w:ind w:left="1985" w:hanging="425"/>
        <w:jc w:val="both"/>
        <w:rPr>
          <w:rFonts w:asciiTheme="minorHAnsi" w:hAnsiTheme="minorHAnsi"/>
          <w:sz w:val="20"/>
          <w:lang w:eastAsia="en-AU"/>
        </w:rPr>
      </w:pPr>
      <w:r>
        <w:rPr>
          <w:rFonts w:asciiTheme="minorHAnsi" w:hAnsiTheme="minorHAnsi"/>
          <w:sz w:val="20"/>
          <w:lang w:eastAsia="en-AU"/>
        </w:rPr>
        <w:t>PSWC f</w:t>
      </w:r>
      <w:r w:rsidR="00980787">
        <w:rPr>
          <w:rFonts w:asciiTheme="minorHAnsi" w:hAnsiTheme="minorHAnsi"/>
          <w:sz w:val="20"/>
          <w:lang w:eastAsia="en-AU"/>
        </w:rPr>
        <w:t>und</w:t>
      </w:r>
    </w:p>
    <w:p w14:paraId="69A35224" w14:textId="77777777" w:rsidR="00980787" w:rsidRPr="007D4DD8" w:rsidRDefault="000C3EDA" w:rsidP="007D4DD8">
      <w:pPr>
        <w:pStyle w:val="ListParagraph"/>
        <w:numPr>
          <w:ilvl w:val="0"/>
          <w:numId w:val="26"/>
        </w:numPr>
        <w:autoSpaceDE w:val="0"/>
        <w:autoSpaceDN w:val="0"/>
        <w:spacing w:before="80" w:after="60"/>
        <w:ind w:left="1985" w:hanging="425"/>
        <w:jc w:val="both"/>
        <w:rPr>
          <w:rFonts w:asciiTheme="minorHAnsi" w:hAnsiTheme="minorHAnsi"/>
          <w:sz w:val="20"/>
          <w:lang w:eastAsia="en-AU"/>
        </w:rPr>
      </w:pPr>
      <w:r>
        <w:rPr>
          <w:rFonts w:asciiTheme="minorHAnsi" w:hAnsiTheme="minorHAnsi"/>
          <w:sz w:val="20"/>
          <w:lang w:eastAsia="en-AU"/>
        </w:rPr>
        <w:t>PSWC fund banking account</w:t>
      </w:r>
    </w:p>
    <w:p w14:paraId="39931701" w14:textId="77777777" w:rsidR="00B73EFB" w:rsidRPr="00B73EFB" w:rsidRDefault="00B73EFB" w:rsidP="00717639">
      <w:pPr>
        <w:autoSpaceDE w:val="0"/>
        <w:autoSpaceDN w:val="0"/>
        <w:spacing w:before="80" w:after="60"/>
        <w:ind w:left="700"/>
        <w:jc w:val="both"/>
        <w:rPr>
          <w:rFonts w:asciiTheme="minorHAnsi" w:hAnsiTheme="minorHAnsi"/>
          <w:szCs w:val="24"/>
          <w:lang w:eastAsia="en-AU"/>
        </w:rPr>
      </w:pPr>
    </w:p>
    <w:p w14:paraId="5AE658BA" w14:textId="77777777" w:rsidR="00B73EFB" w:rsidRPr="007D4DD8" w:rsidRDefault="00B73EFB" w:rsidP="00717639">
      <w:pPr>
        <w:autoSpaceDE w:val="0"/>
        <w:autoSpaceDN w:val="0"/>
        <w:spacing w:before="80" w:after="60"/>
        <w:ind w:left="700"/>
        <w:jc w:val="both"/>
        <w:rPr>
          <w:rFonts w:asciiTheme="minorHAnsi" w:hAnsiTheme="minorHAnsi"/>
          <w:bCs/>
          <w:iCs/>
          <w:szCs w:val="24"/>
          <w:lang w:eastAsia="en-AU"/>
        </w:rPr>
      </w:pPr>
      <w:r w:rsidRPr="00C724DC">
        <w:rPr>
          <w:rFonts w:asciiTheme="minorHAnsi" w:hAnsiTheme="minorHAnsi"/>
          <w:b/>
          <w:bCs/>
          <w:i/>
          <w:iCs/>
          <w:szCs w:val="24"/>
          <w:lang w:eastAsia="en-AU"/>
        </w:rPr>
        <w:t xml:space="preserve">cash and cash equivalents </w:t>
      </w:r>
      <w:r w:rsidRPr="007D4DD8">
        <w:rPr>
          <w:rFonts w:asciiTheme="minorHAnsi" w:hAnsiTheme="minorHAnsi"/>
          <w:bCs/>
          <w:iCs/>
          <w:szCs w:val="24"/>
          <w:lang w:eastAsia="en-AU"/>
        </w:rPr>
        <w:t>means discounted debt securities with twelve months or less maturity, term deposits, interest paying facilities and cash.</w:t>
      </w:r>
    </w:p>
    <w:p w14:paraId="51E6CFD4" w14:textId="77777777" w:rsidR="00D10CA4" w:rsidRPr="00257BE0" w:rsidRDefault="00D10CA4" w:rsidP="00717639">
      <w:pPr>
        <w:autoSpaceDE w:val="0"/>
        <w:autoSpaceDN w:val="0"/>
        <w:spacing w:before="80" w:after="60"/>
        <w:ind w:left="700"/>
        <w:jc w:val="both"/>
        <w:rPr>
          <w:rFonts w:asciiTheme="minorHAnsi" w:hAnsiTheme="minorHAnsi"/>
          <w:bCs/>
          <w:i/>
          <w:iCs/>
          <w:szCs w:val="24"/>
          <w:lang w:eastAsia="en-AU"/>
        </w:rPr>
      </w:pPr>
      <w:r>
        <w:rPr>
          <w:rFonts w:asciiTheme="minorHAnsi" w:hAnsiTheme="minorHAnsi"/>
          <w:b/>
          <w:bCs/>
          <w:i/>
          <w:iCs/>
          <w:szCs w:val="24"/>
          <w:lang w:eastAsia="en-AU"/>
        </w:rPr>
        <w:t xml:space="preserve">commencement date </w:t>
      </w:r>
      <w:r>
        <w:rPr>
          <w:rFonts w:asciiTheme="minorHAnsi" w:hAnsiTheme="minorHAnsi"/>
          <w:bCs/>
          <w:i/>
          <w:iCs/>
          <w:szCs w:val="24"/>
          <w:lang w:eastAsia="en-AU"/>
        </w:rPr>
        <w:t>means 1 March 2019.</w:t>
      </w:r>
    </w:p>
    <w:p w14:paraId="1EBFE650" w14:textId="77777777" w:rsidR="00B73EFB" w:rsidRPr="00717639" w:rsidRDefault="00B73EFB" w:rsidP="00717639">
      <w:pPr>
        <w:autoSpaceDE w:val="0"/>
        <w:autoSpaceDN w:val="0"/>
        <w:spacing w:before="80" w:after="60"/>
        <w:ind w:left="700"/>
        <w:jc w:val="both"/>
        <w:rPr>
          <w:rFonts w:asciiTheme="minorHAnsi" w:hAnsiTheme="minorHAnsi"/>
          <w:bCs/>
          <w:iCs/>
          <w:szCs w:val="24"/>
          <w:lang w:eastAsia="en-AU"/>
        </w:rPr>
      </w:pPr>
      <w:r w:rsidRPr="00C724DC">
        <w:rPr>
          <w:rFonts w:asciiTheme="minorHAnsi" w:hAnsiTheme="minorHAnsi"/>
          <w:b/>
          <w:bCs/>
          <w:i/>
          <w:iCs/>
          <w:szCs w:val="24"/>
          <w:lang w:eastAsia="en-AU"/>
        </w:rPr>
        <w:t xml:space="preserve">debt </w:t>
      </w:r>
      <w:r w:rsidRPr="00717639">
        <w:rPr>
          <w:rFonts w:asciiTheme="minorHAnsi" w:hAnsiTheme="minorHAnsi"/>
          <w:bCs/>
          <w:iCs/>
          <w:szCs w:val="24"/>
          <w:lang w:eastAsia="en-AU"/>
        </w:rPr>
        <w:t>means government and non-government nominal and inflation-linked debt securities, mortgage-backed and asset-backed debt securities, zero coupon debt securities, project debt securities, institutional corporate loans and high yield debt securities.</w:t>
      </w:r>
    </w:p>
    <w:p w14:paraId="42F34CED" w14:textId="77777777" w:rsidR="00B73EFB" w:rsidRPr="00717639" w:rsidRDefault="00B73EFB" w:rsidP="00717639">
      <w:pPr>
        <w:autoSpaceDE w:val="0"/>
        <w:autoSpaceDN w:val="0"/>
        <w:spacing w:before="80" w:after="60"/>
        <w:ind w:left="700"/>
        <w:jc w:val="both"/>
        <w:rPr>
          <w:rFonts w:asciiTheme="minorHAnsi" w:hAnsiTheme="minorHAnsi"/>
          <w:bCs/>
          <w:iCs/>
          <w:szCs w:val="24"/>
          <w:lang w:eastAsia="en-AU"/>
        </w:rPr>
      </w:pPr>
      <w:r w:rsidRPr="00C724DC">
        <w:rPr>
          <w:rFonts w:asciiTheme="minorHAnsi" w:hAnsiTheme="minorHAnsi"/>
          <w:b/>
          <w:bCs/>
          <w:i/>
          <w:iCs/>
          <w:szCs w:val="24"/>
          <w:lang w:eastAsia="en-AU"/>
        </w:rPr>
        <w:t xml:space="preserve">derivatives </w:t>
      </w:r>
      <w:r w:rsidRPr="00717639">
        <w:rPr>
          <w:rFonts w:asciiTheme="minorHAnsi" w:hAnsiTheme="minorHAnsi"/>
          <w:bCs/>
          <w:iCs/>
          <w:szCs w:val="24"/>
          <w:lang w:eastAsia="en-AU"/>
        </w:rPr>
        <w:t>means a financial asset or liability (whether issued over the counter or exchange traded) whose value depends on, or is derived from, other assets, liabilities or indices (the ‘underlying asset’), such as interest rate, inflation, currency, equity, commodity and credit derivatives and includes futures, forwards, swaps, options, or warrants.</w:t>
      </w:r>
    </w:p>
    <w:p w14:paraId="0ADAECFA" w14:textId="320D8C8D" w:rsidR="00B73EFB" w:rsidRPr="00980787" w:rsidRDefault="00B73EFB" w:rsidP="00717639">
      <w:pPr>
        <w:autoSpaceDE w:val="0"/>
        <w:autoSpaceDN w:val="0"/>
        <w:spacing w:before="80" w:after="60"/>
        <w:ind w:left="700"/>
        <w:jc w:val="both"/>
        <w:rPr>
          <w:rFonts w:asciiTheme="minorHAnsi" w:hAnsiTheme="minorHAnsi"/>
          <w:bCs/>
          <w:iCs/>
          <w:szCs w:val="24"/>
          <w:lang w:eastAsia="en-AU"/>
        </w:rPr>
      </w:pPr>
      <w:r w:rsidRPr="00C724DC">
        <w:rPr>
          <w:rFonts w:asciiTheme="minorHAnsi" w:hAnsiTheme="minorHAnsi"/>
          <w:b/>
          <w:bCs/>
          <w:i/>
          <w:iCs/>
          <w:szCs w:val="24"/>
          <w:lang w:eastAsia="en-AU"/>
        </w:rPr>
        <w:t xml:space="preserve">Fund Money </w:t>
      </w:r>
      <w:r w:rsidR="00BD11BD">
        <w:rPr>
          <w:rFonts w:asciiTheme="minorHAnsi" w:hAnsiTheme="minorHAnsi"/>
          <w:bCs/>
          <w:iCs/>
          <w:szCs w:val="24"/>
          <w:lang w:eastAsia="en-AU"/>
        </w:rPr>
        <w:t xml:space="preserve">has the same meaning as </w:t>
      </w:r>
      <w:r w:rsidR="005C4660">
        <w:rPr>
          <w:rFonts w:asciiTheme="minorHAnsi" w:hAnsiTheme="minorHAnsi"/>
          <w:bCs/>
          <w:iCs/>
          <w:szCs w:val="24"/>
          <w:lang w:eastAsia="en-AU"/>
        </w:rPr>
        <w:t>defined in the self</w:t>
      </w:r>
      <w:r w:rsidR="00802F03">
        <w:rPr>
          <w:rFonts w:asciiTheme="minorHAnsi" w:hAnsiTheme="minorHAnsi"/>
          <w:bCs/>
          <w:iCs/>
          <w:szCs w:val="24"/>
          <w:lang w:eastAsia="en-AU"/>
        </w:rPr>
        <w:t>-insurance</w:t>
      </w:r>
      <w:r w:rsidR="00F675A0">
        <w:rPr>
          <w:rFonts w:asciiTheme="minorHAnsi" w:hAnsiTheme="minorHAnsi"/>
          <w:bCs/>
          <w:iCs/>
          <w:szCs w:val="24"/>
          <w:lang w:eastAsia="en-AU"/>
        </w:rPr>
        <w:t xml:space="preserve"> licence</w:t>
      </w:r>
      <w:r w:rsidR="00980787">
        <w:rPr>
          <w:rFonts w:asciiTheme="minorHAnsi" w:hAnsiTheme="minorHAnsi"/>
          <w:bCs/>
          <w:iCs/>
          <w:szCs w:val="24"/>
          <w:lang w:eastAsia="en-AU"/>
        </w:rPr>
        <w:t>.</w:t>
      </w:r>
      <w:r w:rsidRPr="00980787">
        <w:rPr>
          <w:rFonts w:asciiTheme="minorHAnsi" w:hAnsiTheme="minorHAnsi"/>
          <w:bCs/>
          <w:iCs/>
          <w:szCs w:val="24"/>
          <w:lang w:eastAsia="en-AU"/>
        </w:rPr>
        <w:t xml:space="preserve"> </w:t>
      </w:r>
    </w:p>
    <w:p w14:paraId="0BC1F43C" w14:textId="38EE9411" w:rsidR="00B73EFB" w:rsidRPr="00C724DC" w:rsidRDefault="00B73EFB" w:rsidP="00717639">
      <w:pPr>
        <w:autoSpaceDE w:val="0"/>
        <w:autoSpaceDN w:val="0"/>
        <w:spacing w:before="80" w:after="60"/>
        <w:ind w:left="700"/>
        <w:jc w:val="both"/>
        <w:rPr>
          <w:rFonts w:asciiTheme="minorHAnsi" w:hAnsiTheme="minorHAnsi"/>
          <w:bCs/>
          <w:iCs/>
          <w:szCs w:val="24"/>
          <w:lang w:eastAsia="en-AU"/>
        </w:rPr>
      </w:pPr>
      <w:r w:rsidRPr="00C724DC">
        <w:rPr>
          <w:rFonts w:asciiTheme="minorHAnsi" w:hAnsiTheme="minorHAnsi"/>
          <w:b/>
          <w:bCs/>
          <w:i/>
          <w:iCs/>
          <w:szCs w:val="24"/>
          <w:lang w:eastAsia="en-AU"/>
        </w:rPr>
        <w:t xml:space="preserve">Fund Money Value </w:t>
      </w:r>
      <w:r w:rsidR="00F675A0">
        <w:rPr>
          <w:rFonts w:asciiTheme="minorHAnsi" w:hAnsiTheme="minorHAnsi"/>
          <w:bCs/>
          <w:iCs/>
          <w:szCs w:val="24"/>
          <w:lang w:eastAsia="en-AU"/>
        </w:rPr>
        <w:t>has the same meaning as defined in the self-insurance licence</w:t>
      </w:r>
      <w:r w:rsidR="00980787">
        <w:rPr>
          <w:rFonts w:asciiTheme="minorHAnsi" w:hAnsiTheme="minorHAnsi"/>
          <w:bCs/>
          <w:iCs/>
          <w:szCs w:val="24"/>
          <w:lang w:eastAsia="en-AU"/>
        </w:rPr>
        <w:t>.</w:t>
      </w:r>
    </w:p>
    <w:p w14:paraId="2AC36B3A" w14:textId="2178B27D" w:rsidR="00B73EFB" w:rsidRPr="00C724DC" w:rsidRDefault="00B73EFB" w:rsidP="00717639">
      <w:pPr>
        <w:autoSpaceDE w:val="0"/>
        <w:autoSpaceDN w:val="0"/>
        <w:spacing w:before="80" w:after="60"/>
        <w:ind w:left="700"/>
        <w:jc w:val="both"/>
        <w:rPr>
          <w:rFonts w:asciiTheme="minorHAnsi" w:hAnsiTheme="minorHAnsi"/>
          <w:bCs/>
          <w:iCs/>
          <w:szCs w:val="24"/>
          <w:lang w:eastAsia="en-AU"/>
        </w:rPr>
      </w:pPr>
      <w:r w:rsidRPr="00C724DC">
        <w:rPr>
          <w:rFonts w:asciiTheme="minorHAnsi" w:hAnsiTheme="minorHAnsi"/>
          <w:b/>
          <w:bCs/>
          <w:i/>
          <w:iCs/>
          <w:szCs w:val="24"/>
          <w:lang w:eastAsia="en-AU"/>
        </w:rPr>
        <w:t xml:space="preserve">Fund Value </w:t>
      </w:r>
      <w:r w:rsidR="00F675A0">
        <w:rPr>
          <w:rFonts w:asciiTheme="minorHAnsi" w:hAnsiTheme="minorHAnsi"/>
          <w:bCs/>
          <w:iCs/>
          <w:szCs w:val="24"/>
          <w:lang w:eastAsia="en-AU"/>
        </w:rPr>
        <w:t>has the same meaning as defined in the self-insurance licence</w:t>
      </w:r>
      <w:r w:rsidR="00980787">
        <w:rPr>
          <w:rFonts w:asciiTheme="minorHAnsi" w:hAnsiTheme="minorHAnsi"/>
          <w:bCs/>
          <w:iCs/>
          <w:szCs w:val="24"/>
          <w:lang w:eastAsia="en-AU"/>
        </w:rPr>
        <w:t>.</w:t>
      </w:r>
      <w:r w:rsidRPr="00C724DC">
        <w:rPr>
          <w:rFonts w:asciiTheme="minorHAnsi" w:hAnsiTheme="minorHAnsi"/>
          <w:b/>
          <w:bCs/>
          <w:i/>
          <w:iCs/>
          <w:szCs w:val="24"/>
          <w:lang w:eastAsia="en-AU"/>
        </w:rPr>
        <w:t xml:space="preserve"> </w:t>
      </w:r>
    </w:p>
    <w:p w14:paraId="12F295F7" w14:textId="79D6D84B" w:rsidR="00592F24" w:rsidRPr="005204B6" w:rsidRDefault="00B73EFB" w:rsidP="008F585F">
      <w:pPr>
        <w:pStyle w:val="ListParagraph"/>
        <w:shd w:val="clear" w:color="auto" w:fill="FFFFFF"/>
        <w:ind w:left="709"/>
        <w:rPr>
          <w:rFonts w:asciiTheme="minorHAnsi" w:hAnsiTheme="minorHAnsi"/>
          <w:szCs w:val="24"/>
          <w:lang w:eastAsia="en-AU"/>
        </w:rPr>
      </w:pPr>
      <w:r w:rsidRPr="00C724DC">
        <w:rPr>
          <w:rFonts w:asciiTheme="minorHAnsi" w:hAnsiTheme="minorHAnsi"/>
          <w:b/>
          <w:bCs/>
          <w:i/>
          <w:iCs/>
          <w:szCs w:val="24"/>
          <w:lang w:eastAsia="en-AU"/>
        </w:rPr>
        <w:t xml:space="preserve">Minimum Fund Value </w:t>
      </w:r>
      <w:r w:rsidR="00522E90">
        <w:rPr>
          <w:rFonts w:asciiTheme="minorHAnsi" w:hAnsiTheme="minorHAnsi"/>
          <w:bCs/>
          <w:iCs/>
          <w:szCs w:val="24"/>
          <w:lang w:eastAsia="en-AU"/>
        </w:rPr>
        <w:t>has the same meaning as</w:t>
      </w:r>
      <w:r w:rsidR="00F675A0">
        <w:rPr>
          <w:rFonts w:asciiTheme="minorHAnsi" w:hAnsiTheme="minorHAnsi"/>
          <w:bCs/>
          <w:iCs/>
          <w:szCs w:val="24"/>
          <w:lang w:eastAsia="en-AU"/>
        </w:rPr>
        <w:t xml:space="preserve"> defined</w:t>
      </w:r>
      <w:r w:rsidR="00522E90">
        <w:rPr>
          <w:rFonts w:asciiTheme="minorHAnsi" w:hAnsiTheme="minorHAnsi"/>
          <w:bCs/>
          <w:iCs/>
          <w:szCs w:val="24"/>
          <w:lang w:eastAsia="en-AU"/>
        </w:rPr>
        <w:t xml:space="preserve"> in the self-insurance licence</w:t>
      </w:r>
      <w:r w:rsidR="00BE3E7E">
        <w:rPr>
          <w:rFonts w:asciiTheme="minorHAnsi" w:hAnsiTheme="minorHAnsi"/>
          <w:bCs/>
          <w:iCs/>
          <w:szCs w:val="24"/>
          <w:lang w:eastAsia="en-AU"/>
        </w:rPr>
        <w:t>, except during the Transitional Period, when it has the same meaning as Minimum Transition Fund Value, as defined in the self-insurance licence</w:t>
      </w:r>
      <w:r w:rsidR="00F675A0">
        <w:rPr>
          <w:rFonts w:asciiTheme="minorHAnsi" w:hAnsiTheme="minorHAnsi"/>
          <w:bCs/>
          <w:iCs/>
          <w:szCs w:val="24"/>
          <w:lang w:eastAsia="en-AU"/>
        </w:rPr>
        <w:t>.</w:t>
      </w:r>
      <w:r w:rsidR="005204B6" w:rsidRPr="005204B6">
        <w:rPr>
          <w:rFonts w:asciiTheme="minorHAnsi" w:hAnsiTheme="minorHAnsi"/>
          <w:szCs w:val="24"/>
          <w:lang w:eastAsia="en-AU"/>
        </w:rPr>
        <w:t xml:space="preserve">; </w:t>
      </w:r>
    </w:p>
    <w:p w14:paraId="6537B0C4" w14:textId="77777777" w:rsidR="00B73EFB" w:rsidRPr="00717639" w:rsidRDefault="00B73EFB" w:rsidP="00717639">
      <w:pPr>
        <w:autoSpaceDE w:val="0"/>
        <w:autoSpaceDN w:val="0"/>
        <w:spacing w:before="80" w:after="60"/>
        <w:ind w:left="700"/>
        <w:jc w:val="both"/>
        <w:rPr>
          <w:rFonts w:asciiTheme="minorHAnsi" w:hAnsiTheme="minorHAnsi"/>
          <w:bCs/>
          <w:iCs/>
          <w:szCs w:val="24"/>
          <w:lang w:eastAsia="en-AU"/>
        </w:rPr>
      </w:pPr>
      <w:r w:rsidRPr="00C724DC">
        <w:rPr>
          <w:rFonts w:asciiTheme="minorHAnsi" w:hAnsiTheme="minorHAnsi"/>
          <w:b/>
          <w:bCs/>
          <w:i/>
          <w:iCs/>
          <w:szCs w:val="24"/>
          <w:lang w:eastAsia="en-AU"/>
        </w:rPr>
        <w:t xml:space="preserve">infrastructure </w:t>
      </w:r>
      <w:r w:rsidRPr="00717639">
        <w:rPr>
          <w:rFonts w:asciiTheme="minorHAnsi" w:hAnsiTheme="minorHAnsi"/>
          <w:bCs/>
          <w:iCs/>
          <w:szCs w:val="24"/>
          <w:lang w:eastAsia="en-AU"/>
        </w:rPr>
        <w:t>means an equity or debt capital investment in assets and services such as transportation, energy, pipelines, communications and social infrastructure.</w:t>
      </w:r>
    </w:p>
    <w:p w14:paraId="248537F5" w14:textId="77777777" w:rsidR="00B73EFB" w:rsidRPr="00717639" w:rsidRDefault="00B73EFB" w:rsidP="00717639">
      <w:pPr>
        <w:autoSpaceDE w:val="0"/>
        <w:autoSpaceDN w:val="0"/>
        <w:spacing w:before="80" w:after="60"/>
        <w:ind w:left="700"/>
        <w:jc w:val="both"/>
        <w:rPr>
          <w:rFonts w:asciiTheme="minorHAnsi" w:hAnsiTheme="minorHAnsi"/>
          <w:bCs/>
          <w:iCs/>
          <w:szCs w:val="24"/>
          <w:lang w:eastAsia="en-AU"/>
        </w:rPr>
      </w:pPr>
      <w:r w:rsidRPr="00C724DC">
        <w:rPr>
          <w:rFonts w:asciiTheme="minorHAnsi" w:hAnsiTheme="minorHAnsi"/>
          <w:b/>
          <w:bCs/>
          <w:i/>
          <w:iCs/>
          <w:szCs w:val="24"/>
          <w:lang w:eastAsia="en-AU"/>
        </w:rPr>
        <w:t xml:space="preserve">Investment Plan </w:t>
      </w:r>
      <w:r w:rsidRPr="00717639">
        <w:rPr>
          <w:rFonts w:asciiTheme="minorHAnsi" w:hAnsiTheme="minorHAnsi"/>
          <w:bCs/>
          <w:iCs/>
          <w:szCs w:val="24"/>
          <w:lang w:eastAsia="en-AU"/>
        </w:rPr>
        <w:t xml:space="preserve">means details about the investment risk and return objectives, strategic asset allocation, investment governance and any other information considered relevant for the </w:t>
      </w:r>
      <w:r w:rsidR="00050225">
        <w:rPr>
          <w:rFonts w:asciiTheme="minorHAnsi" w:hAnsiTheme="minorHAnsi"/>
          <w:bCs/>
          <w:iCs/>
          <w:szCs w:val="24"/>
          <w:lang w:eastAsia="en-AU"/>
        </w:rPr>
        <w:t>PSWC Fund Portfolio</w:t>
      </w:r>
      <w:r w:rsidRPr="00717639">
        <w:rPr>
          <w:rFonts w:asciiTheme="minorHAnsi" w:hAnsiTheme="minorHAnsi"/>
          <w:bCs/>
          <w:iCs/>
          <w:szCs w:val="24"/>
          <w:lang w:eastAsia="en-AU"/>
        </w:rPr>
        <w:t>.</w:t>
      </w:r>
    </w:p>
    <w:p w14:paraId="25C079F0" w14:textId="22CAACA2" w:rsidR="00B73EFB" w:rsidRPr="00717639" w:rsidRDefault="00B73EFB" w:rsidP="00717639">
      <w:pPr>
        <w:autoSpaceDE w:val="0"/>
        <w:autoSpaceDN w:val="0"/>
        <w:spacing w:before="80" w:after="60"/>
        <w:ind w:left="700"/>
        <w:jc w:val="both"/>
        <w:rPr>
          <w:rFonts w:asciiTheme="minorHAnsi" w:hAnsiTheme="minorHAnsi"/>
          <w:bCs/>
          <w:iCs/>
          <w:szCs w:val="24"/>
          <w:lang w:eastAsia="en-AU"/>
        </w:rPr>
      </w:pPr>
      <w:r w:rsidRPr="00B73EFB">
        <w:rPr>
          <w:rFonts w:asciiTheme="minorHAnsi" w:hAnsiTheme="minorHAnsi"/>
          <w:b/>
          <w:i/>
          <w:szCs w:val="24"/>
          <w:lang w:eastAsia="en-AU"/>
        </w:rPr>
        <w:t>Liability Report</w:t>
      </w:r>
      <w:r w:rsidRPr="00B73EFB">
        <w:rPr>
          <w:rFonts w:asciiTheme="minorHAnsi" w:hAnsiTheme="minorHAnsi"/>
          <w:i/>
          <w:szCs w:val="24"/>
          <w:lang w:eastAsia="en-AU"/>
        </w:rPr>
        <w:t xml:space="preserve"> </w:t>
      </w:r>
      <w:r w:rsidR="00D019EB">
        <w:rPr>
          <w:rFonts w:asciiTheme="minorHAnsi" w:hAnsiTheme="minorHAnsi"/>
          <w:szCs w:val="24"/>
          <w:lang w:eastAsia="en-AU"/>
        </w:rPr>
        <w:t>has the</w:t>
      </w:r>
      <w:r w:rsidR="00F675A0">
        <w:rPr>
          <w:rFonts w:asciiTheme="minorHAnsi" w:hAnsiTheme="minorHAnsi"/>
          <w:szCs w:val="24"/>
          <w:lang w:eastAsia="en-AU"/>
        </w:rPr>
        <w:t xml:space="preserve"> same</w:t>
      </w:r>
      <w:r w:rsidR="00D019EB">
        <w:rPr>
          <w:rFonts w:asciiTheme="minorHAnsi" w:hAnsiTheme="minorHAnsi"/>
          <w:szCs w:val="24"/>
          <w:lang w:eastAsia="en-AU"/>
        </w:rPr>
        <w:t xml:space="preserve"> meaning as </w:t>
      </w:r>
      <w:r w:rsidR="005D1558">
        <w:rPr>
          <w:rFonts w:asciiTheme="minorHAnsi" w:hAnsiTheme="minorHAnsi"/>
          <w:szCs w:val="24"/>
          <w:lang w:eastAsia="en-AU"/>
        </w:rPr>
        <w:t xml:space="preserve">defined </w:t>
      </w:r>
      <w:r w:rsidR="00D019EB">
        <w:rPr>
          <w:rFonts w:asciiTheme="minorHAnsi" w:hAnsiTheme="minorHAnsi"/>
          <w:szCs w:val="24"/>
          <w:lang w:eastAsia="en-AU"/>
        </w:rPr>
        <w:t>in the self-insurance licence</w:t>
      </w:r>
      <w:r w:rsidR="00F675A0">
        <w:rPr>
          <w:rFonts w:asciiTheme="minorHAnsi" w:hAnsiTheme="minorHAnsi"/>
          <w:szCs w:val="24"/>
          <w:lang w:eastAsia="en-AU"/>
        </w:rPr>
        <w:t>.</w:t>
      </w:r>
    </w:p>
    <w:p w14:paraId="6412AE0C" w14:textId="77777777" w:rsidR="00B73EFB" w:rsidRPr="00717639" w:rsidRDefault="00B73EFB" w:rsidP="00717639">
      <w:pPr>
        <w:autoSpaceDE w:val="0"/>
        <w:autoSpaceDN w:val="0"/>
        <w:spacing w:before="80" w:after="60"/>
        <w:ind w:left="700"/>
        <w:jc w:val="both"/>
        <w:rPr>
          <w:rFonts w:asciiTheme="minorHAnsi" w:hAnsiTheme="minorHAnsi"/>
          <w:bCs/>
          <w:iCs/>
          <w:szCs w:val="24"/>
          <w:lang w:eastAsia="en-AU"/>
        </w:rPr>
      </w:pPr>
      <w:r w:rsidRPr="00C724DC">
        <w:rPr>
          <w:rFonts w:asciiTheme="minorHAnsi" w:hAnsiTheme="minorHAnsi"/>
          <w:b/>
          <w:bCs/>
          <w:i/>
          <w:iCs/>
          <w:szCs w:val="24"/>
          <w:lang w:eastAsia="en-AU"/>
        </w:rPr>
        <w:t xml:space="preserve">listed equity </w:t>
      </w:r>
      <w:r w:rsidRPr="00717639">
        <w:rPr>
          <w:rFonts w:asciiTheme="minorHAnsi" w:hAnsiTheme="minorHAnsi"/>
          <w:bCs/>
          <w:iCs/>
          <w:szCs w:val="24"/>
          <w:lang w:eastAsia="en-AU"/>
        </w:rPr>
        <w:t>means an investment in a unit of ownership interest in a company or corporation or trust or similar entity listed on a public exchange.</w:t>
      </w:r>
    </w:p>
    <w:p w14:paraId="3BABF59A" w14:textId="77777777" w:rsidR="00B73EFB" w:rsidRPr="00717639" w:rsidRDefault="00B73EFB" w:rsidP="00717639">
      <w:pPr>
        <w:autoSpaceDE w:val="0"/>
        <w:autoSpaceDN w:val="0"/>
        <w:spacing w:before="80" w:after="60"/>
        <w:ind w:left="700"/>
        <w:jc w:val="both"/>
        <w:rPr>
          <w:rFonts w:asciiTheme="minorHAnsi" w:hAnsiTheme="minorHAnsi"/>
          <w:bCs/>
          <w:iCs/>
          <w:szCs w:val="24"/>
          <w:lang w:eastAsia="en-AU"/>
        </w:rPr>
      </w:pPr>
      <w:r w:rsidRPr="00C724DC">
        <w:rPr>
          <w:rFonts w:asciiTheme="minorHAnsi" w:hAnsiTheme="minorHAnsi"/>
          <w:b/>
          <w:bCs/>
          <w:i/>
          <w:iCs/>
          <w:szCs w:val="24"/>
          <w:lang w:eastAsia="en-AU"/>
        </w:rPr>
        <w:t xml:space="preserve">listed and unlisted trusts </w:t>
      </w:r>
      <w:r w:rsidRPr="00717639">
        <w:rPr>
          <w:rFonts w:asciiTheme="minorHAnsi" w:hAnsiTheme="minorHAnsi"/>
          <w:bCs/>
          <w:iCs/>
          <w:szCs w:val="24"/>
          <w:lang w:eastAsia="en-AU"/>
        </w:rPr>
        <w:t>means a unit trust, whether or not its units are traded on a public exchange and any other form of trust.</w:t>
      </w:r>
    </w:p>
    <w:p w14:paraId="4EF9D65B" w14:textId="77777777" w:rsidR="00B73EFB" w:rsidRPr="00717639" w:rsidRDefault="00B73EFB" w:rsidP="00717639">
      <w:pPr>
        <w:autoSpaceDE w:val="0"/>
        <w:autoSpaceDN w:val="0"/>
        <w:spacing w:before="80" w:after="60"/>
        <w:ind w:left="700"/>
        <w:jc w:val="both"/>
        <w:rPr>
          <w:rFonts w:asciiTheme="minorHAnsi" w:hAnsiTheme="minorHAnsi"/>
          <w:bCs/>
          <w:iCs/>
          <w:szCs w:val="24"/>
          <w:lang w:eastAsia="en-AU"/>
        </w:rPr>
      </w:pPr>
      <w:r w:rsidRPr="00C724DC">
        <w:rPr>
          <w:rFonts w:asciiTheme="minorHAnsi" w:hAnsiTheme="minorHAnsi"/>
          <w:b/>
          <w:bCs/>
          <w:i/>
          <w:iCs/>
          <w:szCs w:val="24"/>
          <w:lang w:eastAsia="en-AU"/>
        </w:rPr>
        <w:t xml:space="preserve">natural resources and commodities </w:t>
      </w:r>
      <w:r w:rsidRPr="00717639">
        <w:rPr>
          <w:rFonts w:asciiTheme="minorHAnsi" w:hAnsiTheme="minorHAnsi"/>
          <w:bCs/>
          <w:iCs/>
          <w:szCs w:val="24"/>
          <w:lang w:eastAsia="en-AU"/>
        </w:rPr>
        <w:t>means securities (whether or not traded on a public exchange) which provide an economic exposure to changes in prices in commodities or natural resources.</w:t>
      </w:r>
    </w:p>
    <w:p w14:paraId="61A150DA" w14:textId="7F6180DB" w:rsidR="006773DE" w:rsidRPr="00950EA8" w:rsidRDefault="006773DE" w:rsidP="00950EA8">
      <w:pPr>
        <w:autoSpaceDE w:val="0"/>
        <w:autoSpaceDN w:val="0"/>
        <w:spacing w:before="80" w:after="60"/>
        <w:ind w:left="700"/>
        <w:jc w:val="both"/>
        <w:rPr>
          <w:rFonts w:asciiTheme="minorHAnsi" w:hAnsiTheme="minorHAnsi"/>
          <w:bCs/>
          <w:iCs/>
          <w:szCs w:val="24"/>
          <w:lang w:eastAsia="en-AU"/>
        </w:rPr>
      </w:pPr>
      <w:r w:rsidRPr="00950EA8">
        <w:rPr>
          <w:rFonts w:asciiTheme="minorHAnsi" w:hAnsiTheme="minorHAnsi"/>
          <w:b/>
          <w:bCs/>
          <w:i/>
          <w:iCs/>
          <w:szCs w:val="24"/>
          <w:lang w:eastAsia="en-AU"/>
        </w:rPr>
        <w:t>Outstanding Claim Liability</w:t>
      </w:r>
      <w:r w:rsidR="00950EA8" w:rsidRPr="00950EA8">
        <w:rPr>
          <w:rFonts w:asciiTheme="minorHAnsi" w:hAnsiTheme="minorHAnsi"/>
          <w:bCs/>
          <w:iCs/>
          <w:szCs w:val="24"/>
          <w:lang w:eastAsia="en-AU"/>
        </w:rPr>
        <w:t xml:space="preserve"> </w:t>
      </w:r>
      <w:r w:rsidR="005D1558">
        <w:rPr>
          <w:rFonts w:asciiTheme="minorHAnsi" w:hAnsiTheme="minorHAnsi"/>
          <w:bCs/>
          <w:iCs/>
          <w:szCs w:val="24"/>
          <w:lang w:eastAsia="en-AU"/>
        </w:rPr>
        <w:t>has the same meaning as defined in the self-insurance licence</w:t>
      </w:r>
      <w:r w:rsidR="00950EA8">
        <w:rPr>
          <w:rFonts w:asciiTheme="minorHAnsi" w:hAnsiTheme="minorHAnsi"/>
          <w:szCs w:val="24"/>
          <w:lang w:eastAsia="en-AU"/>
        </w:rPr>
        <w:t>.</w:t>
      </w:r>
    </w:p>
    <w:p w14:paraId="04A79557" w14:textId="77777777" w:rsidR="00B73EFB" w:rsidRPr="00717639" w:rsidRDefault="00B73EFB" w:rsidP="00717639">
      <w:pPr>
        <w:autoSpaceDE w:val="0"/>
        <w:autoSpaceDN w:val="0"/>
        <w:spacing w:before="80" w:after="60"/>
        <w:ind w:left="700"/>
        <w:jc w:val="both"/>
        <w:rPr>
          <w:rFonts w:asciiTheme="minorHAnsi" w:hAnsiTheme="minorHAnsi"/>
          <w:bCs/>
          <w:iCs/>
          <w:szCs w:val="24"/>
          <w:lang w:eastAsia="en-AU"/>
        </w:rPr>
      </w:pPr>
      <w:r w:rsidRPr="00C724DC">
        <w:rPr>
          <w:rFonts w:asciiTheme="minorHAnsi" w:hAnsiTheme="minorHAnsi"/>
          <w:b/>
          <w:bCs/>
          <w:i/>
          <w:iCs/>
          <w:szCs w:val="24"/>
          <w:lang w:eastAsia="en-AU"/>
        </w:rPr>
        <w:t xml:space="preserve">private equity </w:t>
      </w:r>
      <w:r w:rsidRPr="00717639">
        <w:rPr>
          <w:rFonts w:asciiTheme="minorHAnsi" w:hAnsiTheme="minorHAnsi"/>
          <w:bCs/>
          <w:iCs/>
          <w:szCs w:val="24"/>
          <w:lang w:eastAsia="en-AU"/>
        </w:rPr>
        <w:t>means an equity or debt capital investment in a company or corporation that is not listed on a public exchange.</w:t>
      </w:r>
    </w:p>
    <w:p w14:paraId="2C18CB6D" w14:textId="77777777" w:rsidR="00B73EFB" w:rsidRPr="00717639" w:rsidRDefault="00B73EFB" w:rsidP="00717639">
      <w:pPr>
        <w:autoSpaceDE w:val="0"/>
        <w:autoSpaceDN w:val="0"/>
        <w:spacing w:before="80" w:after="60"/>
        <w:ind w:left="700"/>
        <w:jc w:val="both"/>
        <w:rPr>
          <w:rFonts w:asciiTheme="minorHAnsi" w:hAnsiTheme="minorHAnsi"/>
          <w:bCs/>
          <w:iCs/>
          <w:szCs w:val="24"/>
          <w:lang w:eastAsia="en-AU"/>
        </w:rPr>
      </w:pPr>
      <w:r w:rsidRPr="00C724DC">
        <w:rPr>
          <w:rFonts w:asciiTheme="minorHAnsi" w:hAnsiTheme="minorHAnsi"/>
          <w:b/>
          <w:bCs/>
          <w:i/>
          <w:iCs/>
          <w:szCs w:val="24"/>
          <w:lang w:eastAsia="en-AU"/>
        </w:rPr>
        <w:t xml:space="preserve">property </w:t>
      </w:r>
      <w:r w:rsidRPr="00717639">
        <w:rPr>
          <w:rFonts w:asciiTheme="minorHAnsi" w:hAnsiTheme="minorHAnsi"/>
          <w:bCs/>
          <w:iCs/>
          <w:szCs w:val="24"/>
          <w:lang w:eastAsia="en-AU"/>
        </w:rPr>
        <w:t>means real property.</w:t>
      </w:r>
    </w:p>
    <w:p w14:paraId="4E40DD81" w14:textId="77777777" w:rsidR="00717639" w:rsidRPr="00B6748F" w:rsidRDefault="00717639" w:rsidP="00717639">
      <w:pPr>
        <w:autoSpaceDE w:val="0"/>
        <w:autoSpaceDN w:val="0"/>
        <w:spacing w:before="80" w:after="60"/>
        <w:ind w:left="700"/>
        <w:jc w:val="both"/>
        <w:rPr>
          <w:rFonts w:asciiTheme="minorHAnsi" w:hAnsiTheme="minorHAnsi"/>
          <w:bCs/>
          <w:iCs/>
          <w:szCs w:val="24"/>
          <w:lang w:eastAsia="en-AU"/>
        </w:rPr>
      </w:pPr>
      <w:r w:rsidRPr="00717639">
        <w:rPr>
          <w:rFonts w:asciiTheme="minorHAnsi" w:hAnsiTheme="minorHAnsi"/>
          <w:b/>
          <w:bCs/>
          <w:i/>
          <w:iCs/>
          <w:szCs w:val="24"/>
          <w:lang w:eastAsia="en-AU"/>
        </w:rPr>
        <w:t>PSWC Fund Act</w:t>
      </w:r>
      <w:r w:rsidR="00B6748F">
        <w:rPr>
          <w:rFonts w:asciiTheme="minorHAnsi" w:hAnsiTheme="minorHAnsi"/>
          <w:bCs/>
          <w:iCs/>
          <w:szCs w:val="24"/>
          <w:lang w:eastAsia="en-AU"/>
        </w:rPr>
        <w:t xml:space="preserve"> means the </w:t>
      </w:r>
      <w:r w:rsidR="00B6748F">
        <w:rPr>
          <w:rFonts w:asciiTheme="minorHAnsi" w:hAnsiTheme="minorHAnsi"/>
          <w:bCs/>
          <w:i/>
          <w:iCs/>
          <w:szCs w:val="24"/>
          <w:lang w:eastAsia="en-AU"/>
        </w:rPr>
        <w:t>Public Sector Workers Compensation Fund Act 2018</w:t>
      </w:r>
      <w:r w:rsidR="00B6748F">
        <w:rPr>
          <w:rFonts w:asciiTheme="minorHAnsi" w:hAnsiTheme="minorHAnsi"/>
          <w:bCs/>
          <w:iCs/>
          <w:szCs w:val="24"/>
          <w:lang w:eastAsia="en-AU"/>
        </w:rPr>
        <w:t xml:space="preserve"> (ACT).</w:t>
      </w:r>
    </w:p>
    <w:p w14:paraId="297E6D97" w14:textId="5A9957E7" w:rsidR="00B73EFB" w:rsidRPr="00717639" w:rsidRDefault="00B73EFB" w:rsidP="00717639">
      <w:pPr>
        <w:autoSpaceDE w:val="0"/>
        <w:autoSpaceDN w:val="0"/>
        <w:spacing w:before="80" w:after="60"/>
        <w:ind w:left="700"/>
        <w:jc w:val="both"/>
        <w:rPr>
          <w:rFonts w:asciiTheme="minorHAnsi" w:hAnsiTheme="minorHAnsi"/>
          <w:bCs/>
          <w:iCs/>
          <w:szCs w:val="24"/>
          <w:lang w:eastAsia="en-AU"/>
        </w:rPr>
      </w:pPr>
      <w:r w:rsidRPr="00C724DC">
        <w:rPr>
          <w:rFonts w:asciiTheme="minorHAnsi" w:hAnsiTheme="minorHAnsi"/>
          <w:b/>
          <w:bCs/>
          <w:i/>
          <w:iCs/>
          <w:szCs w:val="24"/>
          <w:lang w:eastAsia="en-AU"/>
        </w:rPr>
        <w:t xml:space="preserve">PSWC Services </w:t>
      </w:r>
      <w:r w:rsidRPr="00717639">
        <w:rPr>
          <w:rFonts w:asciiTheme="minorHAnsi" w:hAnsiTheme="minorHAnsi"/>
          <w:bCs/>
          <w:iCs/>
          <w:szCs w:val="24"/>
          <w:lang w:eastAsia="en-AU"/>
        </w:rPr>
        <w:t xml:space="preserve">means those things described in sections 12(c) and </w:t>
      </w:r>
      <w:r w:rsidR="006773DE">
        <w:rPr>
          <w:rFonts w:asciiTheme="minorHAnsi" w:hAnsiTheme="minorHAnsi"/>
          <w:bCs/>
          <w:iCs/>
          <w:szCs w:val="24"/>
          <w:lang w:eastAsia="en-AU"/>
        </w:rPr>
        <w:t>12</w:t>
      </w:r>
      <w:r w:rsidRPr="00717639">
        <w:rPr>
          <w:rFonts w:asciiTheme="minorHAnsi" w:hAnsiTheme="minorHAnsi"/>
          <w:bCs/>
          <w:iCs/>
          <w:szCs w:val="24"/>
          <w:lang w:eastAsia="en-AU"/>
        </w:rPr>
        <w:t>(d) of the P</w:t>
      </w:r>
      <w:r w:rsidR="00950EA8">
        <w:rPr>
          <w:rFonts w:asciiTheme="minorHAnsi" w:hAnsiTheme="minorHAnsi"/>
          <w:bCs/>
          <w:iCs/>
          <w:szCs w:val="24"/>
          <w:lang w:eastAsia="en-AU"/>
        </w:rPr>
        <w:t>SWC</w:t>
      </w:r>
      <w:r w:rsidRPr="00717639">
        <w:rPr>
          <w:rFonts w:asciiTheme="minorHAnsi" w:hAnsiTheme="minorHAnsi"/>
          <w:bCs/>
          <w:iCs/>
          <w:szCs w:val="24"/>
          <w:lang w:eastAsia="en-AU"/>
        </w:rPr>
        <w:t xml:space="preserve"> Fund Act, which the Commissioner expects to be paid from the </w:t>
      </w:r>
      <w:r w:rsidR="000C3EDA">
        <w:rPr>
          <w:rFonts w:asciiTheme="minorHAnsi" w:hAnsiTheme="minorHAnsi"/>
          <w:bCs/>
          <w:iCs/>
          <w:szCs w:val="24"/>
          <w:lang w:eastAsia="en-AU"/>
        </w:rPr>
        <w:t>PSWC f</w:t>
      </w:r>
      <w:r w:rsidRPr="00717639">
        <w:rPr>
          <w:rFonts w:asciiTheme="minorHAnsi" w:hAnsiTheme="minorHAnsi"/>
          <w:bCs/>
          <w:iCs/>
          <w:szCs w:val="24"/>
          <w:lang w:eastAsia="en-AU"/>
        </w:rPr>
        <w:t>und during the relevant financial year.</w:t>
      </w:r>
    </w:p>
    <w:p w14:paraId="723EF785" w14:textId="77777777" w:rsidR="00B73EFB" w:rsidRDefault="00B73EFB" w:rsidP="00717639">
      <w:pPr>
        <w:autoSpaceDE w:val="0"/>
        <w:autoSpaceDN w:val="0"/>
        <w:spacing w:before="80" w:after="60"/>
        <w:ind w:left="700"/>
        <w:jc w:val="both"/>
        <w:rPr>
          <w:rFonts w:asciiTheme="minorHAnsi" w:hAnsiTheme="minorHAnsi"/>
          <w:bCs/>
          <w:iCs/>
          <w:szCs w:val="24"/>
          <w:lang w:eastAsia="en-AU"/>
        </w:rPr>
      </w:pPr>
      <w:r w:rsidRPr="00C724DC">
        <w:rPr>
          <w:rFonts w:asciiTheme="minorHAnsi" w:hAnsiTheme="minorHAnsi"/>
          <w:b/>
          <w:bCs/>
          <w:i/>
          <w:iCs/>
          <w:szCs w:val="24"/>
          <w:lang w:eastAsia="en-AU"/>
        </w:rPr>
        <w:t xml:space="preserve">Responsible Investment Policy </w:t>
      </w:r>
      <w:r w:rsidRPr="00717639">
        <w:rPr>
          <w:rFonts w:asciiTheme="minorHAnsi" w:hAnsiTheme="minorHAnsi"/>
          <w:bCs/>
          <w:iCs/>
          <w:szCs w:val="24"/>
          <w:lang w:eastAsia="en-AU"/>
        </w:rPr>
        <w:t>means a responsible investment statement of objectives; details about the responsible investment framework; and share voting arrangements, and any other information considered relevant for the PSWC Fund Portfolio.</w:t>
      </w:r>
    </w:p>
    <w:p w14:paraId="4F47E6E4" w14:textId="64E743A2" w:rsidR="00403C95" w:rsidRPr="00257BE0" w:rsidRDefault="00403C95" w:rsidP="00717639">
      <w:pPr>
        <w:autoSpaceDE w:val="0"/>
        <w:autoSpaceDN w:val="0"/>
        <w:spacing w:before="80" w:after="60"/>
        <w:ind w:left="700"/>
        <w:jc w:val="both"/>
        <w:rPr>
          <w:rFonts w:asciiTheme="minorHAnsi" w:hAnsiTheme="minorHAnsi"/>
          <w:bCs/>
          <w:i/>
          <w:iCs/>
          <w:szCs w:val="24"/>
          <w:lang w:eastAsia="en-AU"/>
        </w:rPr>
      </w:pPr>
      <w:r>
        <w:rPr>
          <w:rFonts w:asciiTheme="minorHAnsi" w:hAnsiTheme="minorHAnsi"/>
          <w:b/>
          <w:bCs/>
          <w:i/>
          <w:iCs/>
          <w:szCs w:val="24"/>
          <w:lang w:eastAsia="en-AU"/>
        </w:rPr>
        <w:t xml:space="preserve">self-insurance licence </w:t>
      </w:r>
      <w:r>
        <w:rPr>
          <w:rFonts w:asciiTheme="minorHAnsi" w:hAnsiTheme="minorHAnsi"/>
          <w:bCs/>
          <w:i/>
          <w:iCs/>
          <w:szCs w:val="24"/>
          <w:lang w:eastAsia="en-AU"/>
        </w:rPr>
        <w:t xml:space="preserve">means </w:t>
      </w:r>
      <w:r w:rsidR="005D1558">
        <w:rPr>
          <w:rFonts w:asciiTheme="minorHAnsi" w:hAnsiTheme="minorHAnsi"/>
          <w:bCs/>
          <w:i/>
          <w:iCs/>
          <w:szCs w:val="24"/>
          <w:lang w:eastAsia="en-AU"/>
        </w:rPr>
        <w:t>the</w:t>
      </w:r>
      <w:r w:rsidR="00F675A0">
        <w:rPr>
          <w:rFonts w:asciiTheme="minorHAnsi" w:hAnsiTheme="minorHAnsi"/>
          <w:bCs/>
          <w:i/>
          <w:iCs/>
          <w:szCs w:val="24"/>
          <w:lang w:eastAsia="en-AU"/>
        </w:rPr>
        <w:t xml:space="preserve"> licence granted to the Territory by the S</w:t>
      </w:r>
      <w:r w:rsidR="005350F0">
        <w:rPr>
          <w:rFonts w:asciiTheme="minorHAnsi" w:hAnsiTheme="minorHAnsi"/>
          <w:bCs/>
          <w:i/>
          <w:iCs/>
          <w:szCs w:val="24"/>
          <w:lang w:eastAsia="en-AU"/>
        </w:rPr>
        <w:t>RCC</w:t>
      </w:r>
      <w:r w:rsidR="00F675A0">
        <w:rPr>
          <w:rFonts w:asciiTheme="minorHAnsi" w:hAnsiTheme="minorHAnsi"/>
          <w:bCs/>
          <w:i/>
          <w:iCs/>
          <w:szCs w:val="24"/>
          <w:lang w:eastAsia="en-AU"/>
        </w:rPr>
        <w:t xml:space="preserve"> under the SRC Act as amended from time to time</w:t>
      </w:r>
      <w:r w:rsidR="005D1558">
        <w:rPr>
          <w:rFonts w:asciiTheme="minorHAnsi" w:hAnsiTheme="minorHAnsi"/>
          <w:bCs/>
          <w:i/>
          <w:iCs/>
          <w:szCs w:val="24"/>
          <w:lang w:eastAsia="en-AU"/>
        </w:rPr>
        <w:t xml:space="preserve"> </w:t>
      </w:r>
      <w:r>
        <w:rPr>
          <w:rFonts w:asciiTheme="minorHAnsi" w:hAnsiTheme="minorHAnsi"/>
          <w:bCs/>
          <w:i/>
          <w:iCs/>
          <w:szCs w:val="24"/>
          <w:lang w:eastAsia="en-AU"/>
        </w:rPr>
        <w:t>.</w:t>
      </w:r>
    </w:p>
    <w:p w14:paraId="1471A1A8" w14:textId="77777777" w:rsidR="00B73EFB" w:rsidRPr="00B73EFB" w:rsidRDefault="00B73EFB" w:rsidP="00717639">
      <w:pPr>
        <w:autoSpaceDE w:val="0"/>
        <w:autoSpaceDN w:val="0"/>
        <w:spacing w:before="80" w:after="60"/>
        <w:ind w:left="700"/>
        <w:jc w:val="both"/>
        <w:rPr>
          <w:rFonts w:asciiTheme="minorHAnsi" w:hAnsiTheme="minorHAnsi"/>
          <w:szCs w:val="24"/>
          <w:lang w:eastAsia="en-AU"/>
        </w:rPr>
      </w:pPr>
      <w:r w:rsidRPr="00C724DC">
        <w:rPr>
          <w:rFonts w:asciiTheme="minorHAnsi" w:hAnsiTheme="minorHAnsi"/>
          <w:b/>
          <w:bCs/>
          <w:i/>
          <w:iCs/>
          <w:szCs w:val="24"/>
          <w:lang w:eastAsia="en-AU"/>
        </w:rPr>
        <w:t>strategic asset allocation</w:t>
      </w:r>
      <w:r w:rsidRPr="00B73EFB">
        <w:rPr>
          <w:rFonts w:asciiTheme="minorHAnsi" w:hAnsiTheme="minorHAnsi"/>
          <w:szCs w:val="24"/>
          <w:lang w:eastAsia="en-AU"/>
        </w:rPr>
        <w:t xml:space="preserve"> means the target exposure weightings to the prescribed investments specified in terms of these guidelines.</w:t>
      </w:r>
    </w:p>
    <w:p w14:paraId="665361ED" w14:textId="77777777" w:rsidR="00B73EFB" w:rsidRPr="00B73EFB" w:rsidRDefault="00B73EFB" w:rsidP="00717639">
      <w:pPr>
        <w:autoSpaceDE w:val="0"/>
        <w:autoSpaceDN w:val="0"/>
        <w:spacing w:before="80" w:after="60"/>
        <w:ind w:left="700"/>
        <w:jc w:val="both"/>
        <w:rPr>
          <w:rFonts w:asciiTheme="minorHAnsi" w:hAnsiTheme="minorHAnsi"/>
          <w:szCs w:val="24"/>
          <w:lang w:eastAsia="en-AU"/>
        </w:rPr>
      </w:pPr>
      <w:r w:rsidRPr="00C724DC">
        <w:rPr>
          <w:rFonts w:asciiTheme="minorHAnsi" w:hAnsiTheme="minorHAnsi"/>
          <w:b/>
          <w:bCs/>
          <w:i/>
          <w:iCs/>
          <w:szCs w:val="24"/>
          <w:lang w:eastAsia="en-AU"/>
        </w:rPr>
        <w:t xml:space="preserve">PSWC Fund Portfolio </w:t>
      </w:r>
      <w:r w:rsidRPr="00B73EFB">
        <w:rPr>
          <w:rFonts w:asciiTheme="minorHAnsi" w:hAnsiTheme="minorHAnsi"/>
          <w:szCs w:val="24"/>
          <w:lang w:eastAsia="en-AU"/>
        </w:rPr>
        <w:t>means a portfolio of investments made under s14 of the PSWC Fund Act</w:t>
      </w:r>
      <w:r w:rsidRPr="00B73EFB">
        <w:rPr>
          <w:rFonts w:asciiTheme="minorHAnsi" w:hAnsiTheme="minorHAnsi"/>
          <w:i/>
          <w:iCs/>
          <w:szCs w:val="24"/>
          <w:lang w:eastAsia="en-AU"/>
        </w:rPr>
        <w:t xml:space="preserve"> </w:t>
      </w:r>
      <w:r w:rsidRPr="00B73EFB">
        <w:rPr>
          <w:rFonts w:asciiTheme="minorHAnsi" w:hAnsiTheme="minorHAnsi"/>
          <w:szCs w:val="24"/>
          <w:lang w:eastAsia="en-AU"/>
        </w:rPr>
        <w:t>(Investment of amounts in PSWC fund banking accounts) and money provided for making the investments.</w:t>
      </w:r>
    </w:p>
    <w:p w14:paraId="27E0AE45" w14:textId="77777777" w:rsidR="00B73EFB" w:rsidRDefault="00B73EFB" w:rsidP="00717639">
      <w:pPr>
        <w:autoSpaceDE w:val="0"/>
        <w:autoSpaceDN w:val="0"/>
        <w:spacing w:before="80" w:after="60"/>
        <w:ind w:left="700"/>
        <w:jc w:val="both"/>
        <w:rPr>
          <w:rFonts w:asciiTheme="minorHAnsi" w:hAnsiTheme="minorHAnsi"/>
          <w:bCs/>
          <w:iCs/>
          <w:szCs w:val="24"/>
          <w:lang w:eastAsia="en-AU"/>
        </w:rPr>
      </w:pPr>
      <w:r w:rsidRPr="00C724DC">
        <w:rPr>
          <w:rFonts w:asciiTheme="minorHAnsi" w:hAnsiTheme="minorHAnsi"/>
          <w:b/>
          <w:bCs/>
          <w:i/>
          <w:iCs/>
          <w:szCs w:val="24"/>
          <w:lang w:eastAsia="en-AU"/>
        </w:rPr>
        <w:t xml:space="preserve">trust </w:t>
      </w:r>
      <w:r w:rsidRPr="00717639">
        <w:rPr>
          <w:rFonts w:asciiTheme="minorHAnsi" w:hAnsiTheme="minorHAnsi"/>
          <w:bCs/>
          <w:iCs/>
          <w:szCs w:val="24"/>
          <w:lang w:eastAsia="en-AU"/>
        </w:rPr>
        <w:t>means an arrangement whereby a fiduciary obligation exists on the part of one person to hold real property on behalf of another.</w:t>
      </w:r>
    </w:p>
    <w:p w14:paraId="718A597E" w14:textId="77777777" w:rsidR="001B217A" w:rsidRPr="001B217A" w:rsidRDefault="001B217A" w:rsidP="00717639">
      <w:pPr>
        <w:autoSpaceDE w:val="0"/>
        <w:autoSpaceDN w:val="0"/>
        <w:spacing w:before="80" w:after="60"/>
        <w:ind w:left="700"/>
        <w:jc w:val="both"/>
        <w:rPr>
          <w:rFonts w:asciiTheme="minorHAnsi" w:hAnsiTheme="minorHAnsi"/>
          <w:bCs/>
          <w:iCs/>
          <w:szCs w:val="24"/>
          <w:lang w:eastAsia="en-AU"/>
        </w:rPr>
      </w:pPr>
      <w:r>
        <w:rPr>
          <w:rFonts w:asciiTheme="minorHAnsi" w:hAnsiTheme="minorHAnsi"/>
          <w:b/>
          <w:bCs/>
          <w:i/>
          <w:iCs/>
          <w:szCs w:val="24"/>
          <w:lang w:eastAsia="en-AU"/>
        </w:rPr>
        <w:t>SRC Act</w:t>
      </w:r>
      <w:r>
        <w:rPr>
          <w:rFonts w:asciiTheme="minorHAnsi" w:hAnsiTheme="minorHAnsi"/>
          <w:bCs/>
          <w:iCs/>
          <w:szCs w:val="24"/>
          <w:lang w:eastAsia="en-AU"/>
        </w:rPr>
        <w:t xml:space="preserve"> means the </w:t>
      </w:r>
      <w:r>
        <w:rPr>
          <w:rFonts w:asciiTheme="minorHAnsi" w:hAnsiTheme="minorHAnsi"/>
          <w:bCs/>
          <w:i/>
          <w:iCs/>
          <w:szCs w:val="24"/>
          <w:lang w:eastAsia="en-AU"/>
        </w:rPr>
        <w:t>Safety, Rehabilitation and Compensation Act 19</w:t>
      </w:r>
      <w:r w:rsidR="00EC5B16">
        <w:rPr>
          <w:rFonts w:asciiTheme="minorHAnsi" w:hAnsiTheme="minorHAnsi"/>
          <w:bCs/>
          <w:i/>
          <w:iCs/>
          <w:szCs w:val="24"/>
          <w:lang w:eastAsia="en-AU"/>
        </w:rPr>
        <w:t>8</w:t>
      </w:r>
      <w:r>
        <w:rPr>
          <w:rFonts w:asciiTheme="minorHAnsi" w:hAnsiTheme="minorHAnsi"/>
          <w:bCs/>
          <w:i/>
          <w:iCs/>
          <w:szCs w:val="24"/>
          <w:lang w:eastAsia="en-AU"/>
        </w:rPr>
        <w:t xml:space="preserve">8 </w:t>
      </w:r>
      <w:r w:rsidRPr="004B28CB">
        <w:rPr>
          <w:rFonts w:asciiTheme="minorHAnsi" w:hAnsiTheme="minorHAnsi"/>
          <w:bCs/>
          <w:iCs/>
          <w:szCs w:val="24"/>
          <w:lang w:eastAsia="en-AU"/>
        </w:rPr>
        <w:t>(Cth)</w:t>
      </w:r>
      <w:r>
        <w:rPr>
          <w:rFonts w:asciiTheme="minorHAnsi" w:hAnsiTheme="minorHAnsi"/>
          <w:bCs/>
          <w:iCs/>
          <w:szCs w:val="24"/>
          <w:lang w:eastAsia="en-AU"/>
        </w:rPr>
        <w:t>.</w:t>
      </w:r>
    </w:p>
    <w:p w14:paraId="63981B1A" w14:textId="74E6F273" w:rsidR="004B28CB" w:rsidRPr="004B28CB" w:rsidRDefault="004B28CB" w:rsidP="00717639">
      <w:pPr>
        <w:autoSpaceDE w:val="0"/>
        <w:autoSpaceDN w:val="0"/>
        <w:spacing w:before="80" w:after="60"/>
        <w:ind w:left="700"/>
        <w:jc w:val="both"/>
        <w:rPr>
          <w:rFonts w:asciiTheme="minorHAnsi" w:hAnsiTheme="minorHAnsi"/>
          <w:bCs/>
          <w:i/>
          <w:iCs/>
          <w:szCs w:val="24"/>
          <w:lang w:eastAsia="en-AU"/>
        </w:rPr>
      </w:pPr>
      <w:r>
        <w:rPr>
          <w:rFonts w:asciiTheme="minorHAnsi" w:hAnsiTheme="minorHAnsi"/>
          <w:b/>
          <w:bCs/>
          <w:i/>
          <w:iCs/>
          <w:szCs w:val="24"/>
          <w:lang w:eastAsia="en-AU"/>
        </w:rPr>
        <w:t>SRCC</w:t>
      </w:r>
      <w:r>
        <w:rPr>
          <w:rFonts w:asciiTheme="minorHAnsi" w:hAnsiTheme="minorHAnsi"/>
          <w:bCs/>
          <w:iCs/>
          <w:szCs w:val="24"/>
          <w:lang w:eastAsia="en-AU"/>
        </w:rPr>
        <w:t xml:space="preserve"> means the Safety, Rehabilitation and Compensation Commission as established under the</w:t>
      </w:r>
      <w:r w:rsidR="001B217A">
        <w:rPr>
          <w:rFonts w:asciiTheme="minorHAnsi" w:hAnsiTheme="minorHAnsi"/>
          <w:bCs/>
          <w:iCs/>
          <w:szCs w:val="24"/>
          <w:lang w:eastAsia="en-AU"/>
        </w:rPr>
        <w:t xml:space="preserve"> SRC Act</w:t>
      </w:r>
      <w:r>
        <w:rPr>
          <w:rFonts w:asciiTheme="minorHAnsi" w:hAnsiTheme="minorHAnsi"/>
          <w:bCs/>
          <w:iCs/>
          <w:szCs w:val="24"/>
          <w:lang w:eastAsia="en-AU"/>
        </w:rPr>
        <w:t>.</w:t>
      </w:r>
    </w:p>
    <w:p w14:paraId="5D5496AD" w14:textId="171A9AC3" w:rsidR="005D1558" w:rsidRDefault="00B73EFB" w:rsidP="00717639">
      <w:pPr>
        <w:keepLines/>
        <w:autoSpaceDE w:val="0"/>
        <w:autoSpaceDN w:val="0"/>
        <w:spacing w:before="80" w:after="60"/>
        <w:ind w:left="700"/>
        <w:jc w:val="both"/>
        <w:rPr>
          <w:rFonts w:asciiTheme="minorHAnsi" w:hAnsiTheme="minorHAnsi"/>
          <w:bCs/>
          <w:iCs/>
          <w:szCs w:val="24"/>
          <w:lang w:eastAsia="en-AU"/>
        </w:rPr>
      </w:pPr>
      <w:r w:rsidRPr="00C724DC">
        <w:rPr>
          <w:rFonts w:asciiTheme="minorHAnsi" w:hAnsiTheme="minorHAnsi"/>
          <w:b/>
          <w:bCs/>
          <w:i/>
          <w:iCs/>
          <w:szCs w:val="24"/>
          <w:lang w:eastAsia="en-AU"/>
        </w:rPr>
        <w:t xml:space="preserve">Transitional Period </w:t>
      </w:r>
      <w:r w:rsidRPr="00717639">
        <w:rPr>
          <w:rFonts w:asciiTheme="minorHAnsi" w:hAnsiTheme="minorHAnsi"/>
          <w:bCs/>
          <w:iCs/>
          <w:szCs w:val="24"/>
          <w:lang w:eastAsia="en-AU"/>
        </w:rPr>
        <w:t>means</w:t>
      </w:r>
      <w:r w:rsidRPr="00C724DC">
        <w:rPr>
          <w:rFonts w:asciiTheme="minorHAnsi" w:hAnsiTheme="minorHAnsi"/>
          <w:b/>
          <w:bCs/>
          <w:i/>
          <w:iCs/>
          <w:szCs w:val="24"/>
          <w:lang w:eastAsia="en-AU"/>
        </w:rPr>
        <w:t xml:space="preserve"> </w:t>
      </w:r>
      <w:r w:rsidRPr="005D1558">
        <w:rPr>
          <w:rFonts w:asciiTheme="minorHAnsi" w:hAnsiTheme="minorHAnsi"/>
          <w:bCs/>
          <w:iCs/>
          <w:szCs w:val="24"/>
          <w:lang w:eastAsia="en-AU"/>
        </w:rPr>
        <w:t>the</w:t>
      </w:r>
      <w:r w:rsidR="005D1558" w:rsidRPr="008F585F">
        <w:rPr>
          <w:rFonts w:asciiTheme="minorHAnsi" w:hAnsiTheme="minorHAnsi"/>
          <w:bCs/>
          <w:iCs/>
          <w:szCs w:val="24"/>
          <w:lang w:eastAsia="en-AU"/>
        </w:rPr>
        <w:t xml:space="preserve"> Transition Period that applies under the self-insurance licence</w:t>
      </w:r>
      <w:r w:rsidR="005D1558">
        <w:rPr>
          <w:rFonts w:asciiTheme="minorHAnsi" w:hAnsiTheme="minorHAnsi"/>
          <w:bCs/>
          <w:iCs/>
          <w:szCs w:val="24"/>
          <w:lang w:eastAsia="en-AU"/>
        </w:rPr>
        <w:t xml:space="preserve">. </w:t>
      </w:r>
    </w:p>
    <w:p w14:paraId="039A10A1" w14:textId="77777777" w:rsidR="00B73EFB" w:rsidRPr="00717639" w:rsidRDefault="00B73EFB" w:rsidP="00717639">
      <w:pPr>
        <w:autoSpaceDE w:val="0"/>
        <w:autoSpaceDN w:val="0"/>
        <w:spacing w:before="80" w:after="60"/>
        <w:ind w:left="700"/>
        <w:jc w:val="both"/>
        <w:rPr>
          <w:rFonts w:asciiTheme="minorHAnsi" w:hAnsiTheme="minorHAnsi"/>
          <w:bCs/>
          <w:iCs/>
          <w:szCs w:val="24"/>
          <w:lang w:eastAsia="en-AU"/>
        </w:rPr>
      </w:pPr>
      <w:r w:rsidRPr="00C724DC">
        <w:rPr>
          <w:rFonts w:asciiTheme="minorHAnsi" w:hAnsiTheme="minorHAnsi"/>
          <w:b/>
          <w:bCs/>
          <w:i/>
          <w:iCs/>
          <w:szCs w:val="24"/>
          <w:lang w:eastAsia="en-AU"/>
        </w:rPr>
        <w:t xml:space="preserve">unit trust </w:t>
      </w:r>
      <w:r w:rsidRPr="00717639">
        <w:rPr>
          <w:rFonts w:asciiTheme="minorHAnsi" w:hAnsiTheme="minorHAnsi"/>
          <w:bCs/>
          <w:iCs/>
          <w:szCs w:val="24"/>
          <w:lang w:eastAsia="en-AU"/>
        </w:rPr>
        <w:t>means a trust where in exchange for a payment of money to a trustee by a beneficiary the trustee issues units in the unit trust to the beneficiary to represent the beneficiary’s interest in the unit trust.</w:t>
      </w:r>
    </w:p>
    <w:p w14:paraId="487C901C" w14:textId="77777777" w:rsidR="00B73EFB" w:rsidRPr="00C724DC" w:rsidRDefault="00B73EFB">
      <w:pPr>
        <w:tabs>
          <w:tab w:val="left" w:pos="4320"/>
        </w:tabs>
        <w:rPr>
          <w:rFonts w:asciiTheme="minorHAnsi" w:hAnsiTheme="minorHAnsi"/>
        </w:rPr>
      </w:pPr>
    </w:p>
    <w:sectPr w:rsidR="00B73EFB" w:rsidRPr="00C724DC" w:rsidSect="00924C5E">
      <w:headerReference w:type="even" r:id="rId14"/>
      <w:headerReference w:type="default" r:id="rId15"/>
      <w:footerReference w:type="even" r:id="rId16"/>
      <w:footerReference w:type="default" r:id="rId17"/>
      <w:headerReference w:type="first" r:id="rId18"/>
      <w:footerReference w:type="first" r:id="rId19"/>
      <w:pgSz w:w="11907" w:h="16839" w:code="9"/>
      <w:pgMar w:top="1440" w:right="1800" w:bottom="1440" w:left="1800" w:header="720" w:footer="37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8DD87" w14:textId="77777777" w:rsidR="00B049B7" w:rsidRDefault="00B049B7" w:rsidP="001440B3">
      <w:r>
        <w:separator/>
      </w:r>
    </w:p>
  </w:endnote>
  <w:endnote w:type="continuationSeparator" w:id="0">
    <w:p w14:paraId="07676627" w14:textId="77777777" w:rsidR="00B049B7" w:rsidRDefault="00B049B7" w:rsidP="0014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3C8D0" w14:textId="77777777" w:rsidR="005B56E1" w:rsidRDefault="005B56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28C03" w14:textId="460E13F1" w:rsidR="005B56E1" w:rsidRPr="005B56E1" w:rsidRDefault="005B56E1" w:rsidP="005B56E1">
    <w:pPr>
      <w:pStyle w:val="Footer"/>
      <w:jc w:val="center"/>
      <w:rPr>
        <w:rFonts w:cs="Arial"/>
        <w:sz w:val="14"/>
      </w:rPr>
    </w:pPr>
    <w:r w:rsidRPr="005B56E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FC74D" w14:textId="0DEC9482" w:rsidR="00663D1E" w:rsidRDefault="00924C5E" w:rsidP="00924C5E">
    <w:pPr>
      <w:pStyle w:val="Footer"/>
      <w:rPr>
        <w:rFonts w:cs="Arial"/>
      </w:rPr>
    </w:pPr>
    <w:r w:rsidRPr="00924C5E">
      <w:rPr>
        <w:rFonts w:cs="Arial"/>
      </w:rPr>
      <w:t>*Name amended under Legislation Act, s 60</w:t>
    </w:r>
  </w:p>
  <w:p w14:paraId="4809FF37" w14:textId="4290BF77" w:rsidR="005B56E1" w:rsidRPr="005B56E1" w:rsidRDefault="005B56E1" w:rsidP="005B56E1">
    <w:pPr>
      <w:pStyle w:val="Footer"/>
      <w:jc w:val="center"/>
      <w:rPr>
        <w:rFonts w:cs="Arial"/>
        <w:sz w:val="14"/>
      </w:rPr>
    </w:pPr>
    <w:r w:rsidRPr="005B56E1">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2FB8A" w14:textId="77777777" w:rsidR="00AB59B4" w:rsidRDefault="00AB59B4">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AB59B4" w14:paraId="1DF3EF7B" w14:textId="77777777">
      <w:trPr>
        <w:jc w:val="center"/>
      </w:trPr>
      <w:tc>
        <w:tcPr>
          <w:tcW w:w="1240" w:type="dxa"/>
          <w:tcBorders>
            <w:top w:val="single" w:sz="4" w:space="0" w:color="auto"/>
            <w:left w:val="nil"/>
            <w:bottom w:val="nil"/>
            <w:right w:val="nil"/>
          </w:tcBorders>
        </w:tcPr>
        <w:p w14:paraId="341896D4" w14:textId="77777777" w:rsidR="00AB59B4" w:rsidRDefault="00AB59B4">
          <w:pPr>
            <w:pStyle w:val="Footer"/>
          </w:pPr>
          <w:r>
            <w:t xml:space="preserve">page </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w:t>
          </w:r>
          <w:r>
            <w:rPr>
              <w:rStyle w:val="PageNumber"/>
              <w:rFonts w:cs="Arial"/>
            </w:rPr>
            <w:fldChar w:fldCharType="end"/>
          </w:r>
        </w:p>
      </w:tc>
      <w:tc>
        <w:tcPr>
          <w:tcW w:w="4527" w:type="dxa"/>
          <w:tcBorders>
            <w:top w:val="single" w:sz="4" w:space="0" w:color="auto"/>
            <w:left w:val="nil"/>
            <w:bottom w:val="nil"/>
            <w:right w:val="nil"/>
          </w:tcBorders>
        </w:tcPr>
        <w:p w14:paraId="2E5F179C" w14:textId="77777777" w:rsidR="00AB59B4" w:rsidRDefault="00AB59B4" w:rsidP="00AB59B4">
          <w:pPr>
            <w:pStyle w:val="Footer"/>
            <w:jc w:val="center"/>
          </w:pPr>
          <w:r>
            <w:t>Fund Management Guidelines 2018</w:t>
          </w:r>
        </w:p>
      </w:tc>
      <w:tc>
        <w:tcPr>
          <w:tcW w:w="1553" w:type="dxa"/>
          <w:tcBorders>
            <w:top w:val="single" w:sz="4" w:space="0" w:color="auto"/>
            <w:left w:val="nil"/>
            <w:bottom w:val="nil"/>
            <w:right w:val="nil"/>
          </w:tcBorders>
        </w:tcPr>
        <w:p w14:paraId="11199849" w14:textId="1FEC5283" w:rsidR="00AB59B4" w:rsidRDefault="00AB59B4">
          <w:pPr>
            <w:pStyle w:val="Footer"/>
            <w:jc w:val="right"/>
          </w:pPr>
          <w:r>
            <w:fldChar w:fldCharType="begin"/>
          </w:r>
          <w:r>
            <w:instrText xml:space="preserve"> DOCPROPERTY "Category"  </w:instrText>
          </w:r>
          <w:r>
            <w:fldChar w:fldCharType="end"/>
          </w:r>
        </w:p>
      </w:tc>
    </w:tr>
  </w:tbl>
  <w:p w14:paraId="3236F5AF" w14:textId="77777777" w:rsidR="00AB59B4" w:rsidRPr="00843620" w:rsidRDefault="00AB59B4" w:rsidP="00AB59B4">
    <w:pPr>
      <w:pStyle w:val="Status"/>
      <w:rPr>
        <w:szCs w:val="18"/>
      </w:rPr>
    </w:pPr>
    <w:r w:rsidRPr="00843620">
      <w:rPr>
        <w:szCs w:val="18"/>
      </w:rPr>
      <w:t xml:space="preserve">Unauthorised version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E344E" w14:textId="77777777" w:rsidR="00AB59B4" w:rsidRDefault="00AB59B4">
    <w:pPr>
      <w:rPr>
        <w:sz w:val="16"/>
        <w:szCs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AB59B4" w14:paraId="4177989D" w14:textId="77777777">
      <w:trPr>
        <w:jc w:val="center"/>
      </w:trPr>
      <w:tc>
        <w:tcPr>
          <w:tcW w:w="1553" w:type="dxa"/>
          <w:tcBorders>
            <w:top w:val="single" w:sz="4" w:space="0" w:color="auto"/>
            <w:left w:val="nil"/>
            <w:bottom w:val="nil"/>
            <w:right w:val="nil"/>
          </w:tcBorders>
        </w:tcPr>
        <w:p w14:paraId="54A93ED2" w14:textId="03D77535" w:rsidR="00AB59B4" w:rsidRDefault="00AB59B4">
          <w:pPr>
            <w:pStyle w:val="Footer"/>
          </w:pPr>
          <w:r>
            <w:fldChar w:fldCharType="begin"/>
          </w:r>
          <w:r>
            <w:instrText xml:space="preserve"> DOCPROPERTY "Category"  </w:instrText>
          </w:r>
          <w:r>
            <w:fldChar w:fldCharType="end"/>
          </w:r>
        </w:p>
      </w:tc>
      <w:tc>
        <w:tcPr>
          <w:tcW w:w="4527" w:type="dxa"/>
          <w:tcBorders>
            <w:top w:val="single" w:sz="4" w:space="0" w:color="auto"/>
            <w:left w:val="nil"/>
            <w:bottom w:val="nil"/>
            <w:right w:val="nil"/>
          </w:tcBorders>
        </w:tcPr>
        <w:p w14:paraId="7BDBE340" w14:textId="77777777" w:rsidR="00AB59B4" w:rsidRDefault="00AB59B4" w:rsidP="00AB59B4">
          <w:pPr>
            <w:pStyle w:val="Footer"/>
            <w:jc w:val="center"/>
          </w:pPr>
          <w:r>
            <w:t>Fund Management Guidelines 2019</w:t>
          </w:r>
        </w:p>
      </w:tc>
      <w:tc>
        <w:tcPr>
          <w:tcW w:w="1240" w:type="dxa"/>
          <w:tcBorders>
            <w:top w:val="single" w:sz="4" w:space="0" w:color="auto"/>
            <w:left w:val="nil"/>
            <w:bottom w:val="nil"/>
            <w:right w:val="nil"/>
          </w:tcBorders>
        </w:tcPr>
        <w:p w14:paraId="3DAA186B" w14:textId="77777777" w:rsidR="00AB59B4" w:rsidRDefault="00AB59B4">
          <w:pPr>
            <w:pStyle w:val="Footer"/>
            <w:jc w:val="right"/>
          </w:pPr>
          <w:r>
            <w:t xml:space="preserve">page </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B6599B">
            <w:rPr>
              <w:rStyle w:val="PageNumber"/>
              <w:rFonts w:cs="Arial"/>
              <w:noProof/>
            </w:rPr>
            <w:t>7</w:t>
          </w:r>
          <w:r>
            <w:rPr>
              <w:rStyle w:val="PageNumber"/>
              <w:rFonts w:cs="Arial"/>
            </w:rPr>
            <w:fldChar w:fldCharType="end"/>
          </w:r>
        </w:p>
      </w:tc>
    </w:tr>
  </w:tbl>
  <w:p w14:paraId="24268D6A" w14:textId="54865E46" w:rsidR="00AB59B4" w:rsidRPr="005B56E1" w:rsidRDefault="005B56E1" w:rsidP="005B56E1">
    <w:pPr>
      <w:pStyle w:val="Status"/>
      <w:rPr>
        <w:szCs w:val="18"/>
      </w:rPr>
    </w:pPr>
    <w:r w:rsidRPr="005B56E1">
      <w:rPr>
        <w:szCs w:val="18"/>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8A733" w14:textId="251FEAFB" w:rsidR="00924C5E" w:rsidRPr="005B56E1" w:rsidRDefault="005B56E1" w:rsidP="005B56E1">
    <w:pPr>
      <w:pStyle w:val="Footer"/>
      <w:jc w:val="center"/>
      <w:rPr>
        <w:rFonts w:cs="Arial"/>
        <w:sz w:val="14"/>
      </w:rPr>
    </w:pPr>
    <w:r w:rsidRPr="005B56E1">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F7ECA" w14:textId="77777777" w:rsidR="00B049B7" w:rsidRDefault="00B049B7" w:rsidP="001440B3">
      <w:r>
        <w:separator/>
      </w:r>
    </w:p>
  </w:footnote>
  <w:footnote w:type="continuationSeparator" w:id="0">
    <w:p w14:paraId="24D04C08" w14:textId="77777777" w:rsidR="00B049B7" w:rsidRDefault="00B049B7" w:rsidP="00144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8FF12" w14:textId="77777777" w:rsidR="005B56E1" w:rsidRDefault="005B56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2489D" w14:textId="77777777" w:rsidR="005B56E1" w:rsidRDefault="005B56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42858" w14:textId="77777777" w:rsidR="005B56E1" w:rsidRDefault="005B56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1560"/>
      <w:gridCol w:w="5741"/>
    </w:tblGrid>
    <w:tr w:rsidR="00AB59B4" w14:paraId="008FA008" w14:textId="77777777">
      <w:trPr>
        <w:jc w:val="center"/>
      </w:trPr>
      <w:tc>
        <w:tcPr>
          <w:tcW w:w="1560" w:type="dxa"/>
          <w:tcBorders>
            <w:top w:val="nil"/>
            <w:left w:val="nil"/>
            <w:bottom w:val="nil"/>
            <w:right w:val="nil"/>
          </w:tcBorders>
        </w:tcPr>
        <w:p w14:paraId="2209F3C0" w14:textId="77777777" w:rsidR="00AB59B4" w:rsidRDefault="00AB59B4" w:rsidP="00AB59B4">
          <w:pPr>
            <w:pStyle w:val="HeaderEven"/>
            <w:rPr>
              <w:b/>
              <w:bCs/>
            </w:rPr>
          </w:pPr>
        </w:p>
      </w:tc>
      <w:tc>
        <w:tcPr>
          <w:tcW w:w="5741" w:type="dxa"/>
          <w:tcBorders>
            <w:top w:val="nil"/>
            <w:left w:val="nil"/>
            <w:bottom w:val="nil"/>
            <w:right w:val="nil"/>
          </w:tcBorders>
        </w:tcPr>
        <w:p w14:paraId="72D8C1CC" w14:textId="77777777" w:rsidR="00AB59B4" w:rsidRDefault="00AB59B4">
          <w:pPr>
            <w:pStyle w:val="HeaderEven"/>
          </w:pPr>
        </w:p>
      </w:tc>
    </w:tr>
    <w:tr w:rsidR="00AB59B4" w14:paraId="2658B431" w14:textId="77777777">
      <w:trPr>
        <w:jc w:val="center"/>
      </w:trPr>
      <w:tc>
        <w:tcPr>
          <w:tcW w:w="1560" w:type="dxa"/>
          <w:tcBorders>
            <w:top w:val="nil"/>
            <w:left w:val="nil"/>
            <w:bottom w:val="nil"/>
            <w:right w:val="nil"/>
          </w:tcBorders>
        </w:tcPr>
        <w:p w14:paraId="20FAFC32" w14:textId="77777777" w:rsidR="00AB59B4" w:rsidRDefault="00AB59B4">
          <w:pPr>
            <w:pStyle w:val="HeaderEven"/>
            <w:rPr>
              <w:b/>
              <w:bCs/>
            </w:rPr>
          </w:pPr>
        </w:p>
      </w:tc>
      <w:tc>
        <w:tcPr>
          <w:tcW w:w="5741" w:type="dxa"/>
          <w:tcBorders>
            <w:top w:val="nil"/>
            <w:left w:val="nil"/>
            <w:bottom w:val="nil"/>
            <w:right w:val="nil"/>
          </w:tcBorders>
        </w:tcPr>
        <w:p w14:paraId="57A9C0DD" w14:textId="77777777" w:rsidR="00AB59B4" w:rsidRDefault="00AB59B4">
          <w:pPr>
            <w:pStyle w:val="HeaderEven"/>
          </w:pPr>
        </w:p>
      </w:tc>
    </w:tr>
    <w:tr w:rsidR="00AB59B4" w14:paraId="53DD76AC" w14:textId="77777777">
      <w:trPr>
        <w:cantSplit/>
        <w:jc w:val="center"/>
      </w:trPr>
      <w:tc>
        <w:tcPr>
          <w:tcW w:w="7296" w:type="dxa"/>
          <w:gridSpan w:val="2"/>
          <w:tcBorders>
            <w:top w:val="nil"/>
            <w:left w:val="nil"/>
            <w:bottom w:val="single" w:sz="4" w:space="0" w:color="auto"/>
            <w:right w:val="nil"/>
          </w:tcBorders>
        </w:tcPr>
        <w:p w14:paraId="34058C20" w14:textId="77777777" w:rsidR="00AB59B4" w:rsidRDefault="00AB59B4" w:rsidP="00AB59B4">
          <w:pPr>
            <w:pStyle w:val="HeaderEven6"/>
          </w:pPr>
        </w:p>
      </w:tc>
    </w:tr>
  </w:tbl>
  <w:p w14:paraId="721E9686" w14:textId="1FD9A200" w:rsidR="00AB59B4" w:rsidRDefault="00AB59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D9DCC" w14:textId="7B28A53A" w:rsidR="00AB59B4" w:rsidRDefault="00AB59B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AAB7A" w14:textId="47B903F5" w:rsidR="00AB59B4" w:rsidRDefault="00AB59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A93527D"/>
    <w:multiLevelType w:val="hybridMultilevel"/>
    <w:tmpl w:val="B8FE8C5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0C4150F0"/>
    <w:multiLevelType w:val="hybridMultilevel"/>
    <w:tmpl w:val="478C5DD6"/>
    <w:lvl w:ilvl="0" w:tplc="47D4215C">
      <w:start w:val="1"/>
      <w:numFmt w:val="decimal"/>
      <w:lvlText w:val="(%1)"/>
      <w:lvlJc w:val="left"/>
      <w:pPr>
        <w:ind w:left="1060" w:hanging="360"/>
      </w:pPr>
      <w:rPr>
        <w:rFonts w:hint="default"/>
      </w:rPr>
    </w:lvl>
    <w:lvl w:ilvl="1" w:tplc="0C090019">
      <w:start w:val="1"/>
      <w:numFmt w:val="lowerLetter"/>
      <w:lvlText w:val="%2."/>
      <w:lvlJc w:val="left"/>
      <w:pPr>
        <w:ind w:left="1780" w:hanging="360"/>
      </w:pPr>
    </w:lvl>
    <w:lvl w:ilvl="2" w:tplc="0C09001B">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5"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0496F7D"/>
    <w:multiLevelType w:val="hybridMultilevel"/>
    <w:tmpl w:val="2586010E"/>
    <w:lvl w:ilvl="0" w:tplc="2988930A">
      <w:start w:val="1"/>
      <w:numFmt w:val="lowerLetter"/>
      <w:lvlText w:val="(%1)"/>
      <w:lvlJc w:val="left"/>
      <w:pPr>
        <w:ind w:left="1080" w:hanging="360"/>
      </w:pPr>
      <w:rPr>
        <w:rFonts w:asciiTheme="minorHAnsi" w:eastAsia="Times New Roman" w:hAnsiTheme="minorHAnsi" w:cs="Times New Roman"/>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24F20CF"/>
    <w:multiLevelType w:val="hybridMultilevel"/>
    <w:tmpl w:val="97F056DA"/>
    <w:lvl w:ilvl="0" w:tplc="54FA646C">
      <w:start w:val="1"/>
      <w:numFmt w:val="lowerLetter"/>
      <w:lvlText w:val="(%1)"/>
      <w:lvlJc w:val="left"/>
      <w:pPr>
        <w:ind w:left="927" w:hanging="360"/>
      </w:pPr>
      <w:rPr>
        <w:rFonts w:asciiTheme="minorHAnsi" w:hAnsiTheme="minorHAnsi" w:cstheme="minorBidi" w:hint="default"/>
        <w:sz w:val="24"/>
        <w:szCs w:val="24"/>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15:restartNumberingAfterBreak="0">
    <w:nsid w:val="20FF120F"/>
    <w:multiLevelType w:val="hybridMultilevel"/>
    <w:tmpl w:val="9F342942"/>
    <w:lvl w:ilvl="0" w:tplc="A182A9B8">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2611225E"/>
    <w:multiLevelType w:val="hybridMultilevel"/>
    <w:tmpl w:val="4C00FCAE"/>
    <w:lvl w:ilvl="0" w:tplc="0E5AE27A">
      <w:start w:val="1"/>
      <w:numFmt w:val="lowerRoman"/>
      <w:lvlText w:val="(%1)"/>
      <w:lvlJc w:val="right"/>
      <w:pPr>
        <w:ind w:left="1429" w:hanging="360"/>
      </w:pPr>
      <w:rPr>
        <w:rFonts w:asciiTheme="minorHAnsi" w:eastAsia="Times New Roman" w:hAnsiTheme="minorHAnsi" w:cs="Times New Roman"/>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0" w15:restartNumberingAfterBreak="0">
    <w:nsid w:val="2AEC53E2"/>
    <w:multiLevelType w:val="hybridMultilevel"/>
    <w:tmpl w:val="0D7CAE3C"/>
    <w:lvl w:ilvl="0" w:tplc="0C521D50">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1" w15:restartNumberingAfterBreak="0">
    <w:nsid w:val="308C2822"/>
    <w:multiLevelType w:val="hybridMultilevel"/>
    <w:tmpl w:val="AC32AA60"/>
    <w:lvl w:ilvl="0" w:tplc="0C090001">
      <w:start w:val="1"/>
      <w:numFmt w:val="bullet"/>
      <w:lvlText w:val=""/>
      <w:lvlJc w:val="left"/>
      <w:pPr>
        <w:ind w:left="2280" w:hanging="360"/>
      </w:pPr>
      <w:rPr>
        <w:rFonts w:ascii="Symbol" w:hAnsi="Symbol" w:hint="default"/>
      </w:rPr>
    </w:lvl>
    <w:lvl w:ilvl="1" w:tplc="0C090003" w:tentative="1">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12"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13" w15:restartNumberingAfterBreak="0">
    <w:nsid w:val="357044C6"/>
    <w:multiLevelType w:val="hybridMultilevel"/>
    <w:tmpl w:val="2A7C5D36"/>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15"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16" w15:restartNumberingAfterBreak="0">
    <w:nsid w:val="3F8811ED"/>
    <w:multiLevelType w:val="hybridMultilevel"/>
    <w:tmpl w:val="478C5DD6"/>
    <w:lvl w:ilvl="0" w:tplc="47D4215C">
      <w:start w:val="1"/>
      <w:numFmt w:val="decimal"/>
      <w:lvlText w:val="(%1)"/>
      <w:lvlJc w:val="left"/>
      <w:pPr>
        <w:ind w:left="1060" w:hanging="360"/>
      </w:pPr>
      <w:rPr>
        <w:rFonts w:hint="default"/>
      </w:rPr>
    </w:lvl>
    <w:lvl w:ilvl="1" w:tplc="0C090019">
      <w:start w:val="1"/>
      <w:numFmt w:val="lowerLetter"/>
      <w:lvlText w:val="%2."/>
      <w:lvlJc w:val="left"/>
      <w:pPr>
        <w:ind w:left="1780" w:hanging="360"/>
      </w:pPr>
    </w:lvl>
    <w:lvl w:ilvl="2" w:tplc="0C09001B">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7" w15:restartNumberingAfterBreak="0">
    <w:nsid w:val="48CC7D0E"/>
    <w:multiLevelType w:val="hybridMultilevel"/>
    <w:tmpl w:val="95B26C46"/>
    <w:lvl w:ilvl="0" w:tplc="2988930A">
      <w:start w:val="1"/>
      <w:numFmt w:val="lowerLetter"/>
      <w:lvlText w:val="(%1)"/>
      <w:lvlJc w:val="left"/>
      <w:pPr>
        <w:ind w:left="5322" w:hanging="360"/>
      </w:pPr>
      <w:rPr>
        <w:rFonts w:asciiTheme="minorHAnsi" w:eastAsia="Times New Roman" w:hAnsiTheme="minorHAnsi" w:cs="Times New Roman"/>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B0844C7"/>
    <w:multiLevelType w:val="hybridMultilevel"/>
    <w:tmpl w:val="EF54FC48"/>
    <w:lvl w:ilvl="0" w:tplc="47D4215C">
      <w:start w:val="1"/>
      <w:numFmt w:val="decimal"/>
      <w:lvlText w:val="(%1)"/>
      <w:lvlJc w:val="left"/>
      <w:pPr>
        <w:ind w:left="1060" w:hanging="360"/>
      </w:pPr>
      <w:rPr>
        <w:rFonts w:hint="default"/>
      </w:rPr>
    </w:lvl>
    <w:lvl w:ilvl="1" w:tplc="1B8C4B7E">
      <w:start w:val="1"/>
      <w:numFmt w:val="lowerLetter"/>
      <w:lvlText w:val="(%2)"/>
      <w:lvlJc w:val="left"/>
      <w:pPr>
        <w:ind w:left="1780" w:hanging="360"/>
      </w:pPr>
      <w:rPr>
        <w:rFonts w:asciiTheme="minorHAnsi" w:eastAsia="Times New Roman" w:hAnsiTheme="minorHAnsi" w:cs="Times New Roman"/>
      </w:rPr>
    </w:lvl>
    <w:lvl w:ilvl="2" w:tplc="0C09001B">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9" w15:restartNumberingAfterBreak="0">
    <w:nsid w:val="4C8561C5"/>
    <w:multiLevelType w:val="hybridMultilevel"/>
    <w:tmpl w:val="B8FE8C5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4E7D5035"/>
    <w:multiLevelType w:val="hybridMultilevel"/>
    <w:tmpl w:val="057CDDC2"/>
    <w:lvl w:ilvl="0" w:tplc="0C521D50">
      <w:start w:val="1"/>
      <w:numFmt w:val="lowerRoman"/>
      <w:lvlText w:val="(%1)"/>
      <w:lvlJc w:val="left"/>
      <w:pPr>
        <w:ind w:left="1571" w:hanging="720"/>
      </w:pPr>
      <w:rPr>
        <w:rFonts w:hint="default"/>
      </w:rPr>
    </w:lvl>
    <w:lvl w:ilvl="1" w:tplc="0C090019">
      <w:start w:val="1"/>
      <w:numFmt w:val="lowerLetter"/>
      <w:lvlText w:val="%2."/>
      <w:lvlJc w:val="left"/>
      <w:pPr>
        <w:ind w:left="2770" w:hanging="360"/>
      </w:pPr>
    </w:lvl>
    <w:lvl w:ilvl="2" w:tplc="B7D86E3A">
      <w:start w:val="1"/>
      <w:numFmt w:val="lowerRoman"/>
      <w:lvlText w:val="%3."/>
      <w:lvlJc w:val="right"/>
      <w:pPr>
        <w:ind w:left="2651" w:hanging="180"/>
      </w:pPr>
      <w:rPr>
        <w:rFonts w:hint="default"/>
      </w:rPr>
    </w:lvl>
    <w:lvl w:ilvl="3" w:tplc="0C09000F" w:tentative="1">
      <w:start w:val="1"/>
      <w:numFmt w:val="decimal"/>
      <w:lvlText w:val="%4."/>
      <w:lvlJc w:val="left"/>
      <w:pPr>
        <w:ind w:left="3371" w:hanging="360"/>
      </w:pPr>
    </w:lvl>
    <w:lvl w:ilvl="4" w:tplc="0C090019">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1" w15:restartNumberingAfterBreak="0">
    <w:nsid w:val="52F40ED8"/>
    <w:multiLevelType w:val="hybridMultilevel"/>
    <w:tmpl w:val="787E1D70"/>
    <w:lvl w:ilvl="0" w:tplc="3F68EF8C">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0C1F9E"/>
    <w:multiLevelType w:val="hybridMultilevel"/>
    <w:tmpl w:val="7638B7DA"/>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789" w:hanging="360"/>
      </w:pPr>
      <w:rPr>
        <w:rFonts w:ascii="Courier New" w:hAnsi="Courier New" w:cs="Courier New" w:hint="default"/>
      </w:rPr>
    </w:lvl>
    <w:lvl w:ilvl="2" w:tplc="0C090005">
      <w:start w:val="1"/>
      <w:numFmt w:val="bullet"/>
      <w:lvlText w:val=""/>
      <w:lvlJc w:val="left"/>
      <w:pPr>
        <w:ind w:left="2509" w:hanging="360"/>
      </w:pPr>
      <w:rPr>
        <w:rFonts w:ascii="Wingdings" w:hAnsi="Wingdings" w:hint="default"/>
      </w:rPr>
    </w:lvl>
    <w:lvl w:ilvl="3" w:tplc="0C090001">
      <w:start w:val="1"/>
      <w:numFmt w:val="bullet"/>
      <w:lvlText w:val=""/>
      <w:lvlJc w:val="left"/>
      <w:pPr>
        <w:ind w:left="3229" w:hanging="360"/>
      </w:pPr>
      <w:rPr>
        <w:rFonts w:ascii="Symbol" w:hAnsi="Symbol" w:hint="default"/>
      </w:rPr>
    </w:lvl>
    <w:lvl w:ilvl="4" w:tplc="0C090003">
      <w:start w:val="1"/>
      <w:numFmt w:val="bullet"/>
      <w:lvlText w:val="o"/>
      <w:lvlJc w:val="left"/>
      <w:pPr>
        <w:ind w:left="3949" w:hanging="360"/>
      </w:pPr>
      <w:rPr>
        <w:rFonts w:ascii="Courier New" w:hAnsi="Courier New" w:cs="Courier New" w:hint="default"/>
      </w:rPr>
    </w:lvl>
    <w:lvl w:ilvl="5" w:tplc="0C090005">
      <w:start w:val="1"/>
      <w:numFmt w:val="bullet"/>
      <w:lvlText w:val=""/>
      <w:lvlJc w:val="left"/>
      <w:pPr>
        <w:ind w:left="4669" w:hanging="360"/>
      </w:pPr>
      <w:rPr>
        <w:rFonts w:ascii="Wingdings" w:hAnsi="Wingdings" w:hint="default"/>
      </w:rPr>
    </w:lvl>
    <w:lvl w:ilvl="6" w:tplc="0C090001">
      <w:start w:val="1"/>
      <w:numFmt w:val="bullet"/>
      <w:lvlText w:val=""/>
      <w:lvlJc w:val="left"/>
      <w:pPr>
        <w:ind w:left="5389" w:hanging="360"/>
      </w:pPr>
      <w:rPr>
        <w:rFonts w:ascii="Symbol" w:hAnsi="Symbol" w:hint="default"/>
      </w:rPr>
    </w:lvl>
    <w:lvl w:ilvl="7" w:tplc="0C090003">
      <w:start w:val="1"/>
      <w:numFmt w:val="bullet"/>
      <w:lvlText w:val="o"/>
      <w:lvlJc w:val="left"/>
      <w:pPr>
        <w:ind w:left="6109" w:hanging="360"/>
      </w:pPr>
      <w:rPr>
        <w:rFonts w:ascii="Courier New" w:hAnsi="Courier New" w:cs="Courier New" w:hint="default"/>
      </w:rPr>
    </w:lvl>
    <w:lvl w:ilvl="8" w:tplc="0C090005">
      <w:start w:val="1"/>
      <w:numFmt w:val="bullet"/>
      <w:lvlText w:val=""/>
      <w:lvlJc w:val="left"/>
      <w:pPr>
        <w:ind w:left="6829" w:hanging="360"/>
      </w:pPr>
      <w:rPr>
        <w:rFonts w:ascii="Wingdings" w:hAnsi="Wingdings" w:hint="default"/>
      </w:rPr>
    </w:lvl>
  </w:abstractNum>
  <w:abstractNum w:abstractNumId="23" w15:restartNumberingAfterBreak="0">
    <w:nsid w:val="5FE47A83"/>
    <w:multiLevelType w:val="hybridMultilevel"/>
    <w:tmpl w:val="9BD6E1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0B97373"/>
    <w:multiLevelType w:val="hybridMultilevel"/>
    <w:tmpl w:val="478C5DD6"/>
    <w:lvl w:ilvl="0" w:tplc="47D4215C">
      <w:start w:val="1"/>
      <w:numFmt w:val="decimal"/>
      <w:lvlText w:val="(%1)"/>
      <w:lvlJc w:val="left"/>
      <w:pPr>
        <w:ind w:left="2770" w:hanging="360"/>
      </w:pPr>
      <w:rPr>
        <w:rFonts w:hint="default"/>
      </w:rPr>
    </w:lvl>
    <w:lvl w:ilvl="1" w:tplc="0C090019">
      <w:start w:val="1"/>
      <w:numFmt w:val="lowerLetter"/>
      <w:lvlText w:val="%2."/>
      <w:lvlJc w:val="left"/>
      <w:pPr>
        <w:ind w:left="1780" w:hanging="360"/>
      </w:pPr>
    </w:lvl>
    <w:lvl w:ilvl="2" w:tplc="0C09001B">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5" w15:restartNumberingAfterBreak="0">
    <w:nsid w:val="6CDA43AF"/>
    <w:multiLevelType w:val="hybridMultilevel"/>
    <w:tmpl w:val="8320FA30"/>
    <w:lvl w:ilvl="0" w:tplc="47D4215C">
      <w:start w:val="1"/>
      <w:numFmt w:val="decimal"/>
      <w:lvlText w:val="(%1)"/>
      <w:lvlJc w:val="left"/>
      <w:pPr>
        <w:ind w:left="1060" w:hanging="360"/>
      </w:pPr>
      <w:rPr>
        <w:rFonts w:hint="default"/>
      </w:rPr>
    </w:lvl>
    <w:lvl w:ilvl="1" w:tplc="C846BA4C">
      <w:start w:val="1"/>
      <w:numFmt w:val="lowerLetter"/>
      <w:lvlText w:val="(%2)"/>
      <w:lvlJc w:val="left"/>
      <w:pPr>
        <w:ind w:left="1780" w:hanging="360"/>
      </w:pPr>
      <w:rPr>
        <w:rFonts w:asciiTheme="minorHAnsi" w:eastAsia="Times New Roman" w:hAnsiTheme="minorHAnsi" w:cs="Times New Roman"/>
      </w:rPr>
    </w:lvl>
    <w:lvl w:ilvl="2" w:tplc="0C09001B">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6" w15:restartNumberingAfterBreak="0">
    <w:nsid w:val="6DE35F30"/>
    <w:multiLevelType w:val="hybridMultilevel"/>
    <w:tmpl w:val="0D7CAE3C"/>
    <w:lvl w:ilvl="0" w:tplc="0C521D50">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8" w15:restartNumberingAfterBreak="0">
    <w:nsid w:val="72393D58"/>
    <w:multiLevelType w:val="hybridMultilevel"/>
    <w:tmpl w:val="E1C86CA0"/>
    <w:lvl w:ilvl="0" w:tplc="CC0A34B8">
      <w:start w:val="1"/>
      <w:numFmt w:val="lowerLetter"/>
      <w:lvlText w:val="(%1)"/>
      <w:lvlJc w:val="left"/>
      <w:pPr>
        <w:ind w:left="1780" w:hanging="360"/>
      </w:pPr>
      <w:rPr>
        <w:rFonts w:asciiTheme="minorHAnsi" w:eastAsia="Times New Roman" w:hAnsiTheme="minorHAnsi" w:cs="Times New Roman"/>
      </w:rPr>
    </w:lvl>
    <w:lvl w:ilvl="1" w:tplc="0C090019" w:tentative="1">
      <w:start w:val="1"/>
      <w:numFmt w:val="lowerLetter"/>
      <w:lvlText w:val="%2."/>
      <w:lvlJc w:val="left"/>
      <w:pPr>
        <w:ind w:left="2500" w:hanging="360"/>
      </w:pPr>
    </w:lvl>
    <w:lvl w:ilvl="2" w:tplc="0C09001B" w:tentative="1">
      <w:start w:val="1"/>
      <w:numFmt w:val="lowerRoman"/>
      <w:lvlText w:val="%3."/>
      <w:lvlJc w:val="right"/>
      <w:pPr>
        <w:ind w:left="3220" w:hanging="180"/>
      </w:pPr>
    </w:lvl>
    <w:lvl w:ilvl="3" w:tplc="0C09000F" w:tentative="1">
      <w:start w:val="1"/>
      <w:numFmt w:val="decimal"/>
      <w:lvlText w:val="%4."/>
      <w:lvlJc w:val="left"/>
      <w:pPr>
        <w:ind w:left="3940" w:hanging="360"/>
      </w:pPr>
    </w:lvl>
    <w:lvl w:ilvl="4" w:tplc="0C090019" w:tentative="1">
      <w:start w:val="1"/>
      <w:numFmt w:val="lowerLetter"/>
      <w:lvlText w:val="%5."/>
      <w:lvlJc w:val="left"/>
      <w:pPr>
        <w:ind w:left="4660" w:hanging="360"/>
      </w:pPr>
    </w:lvl>
    <w:lvl w:ilvl="5" w:tplc="0C09001B" w:tentative="1">
      <w:start w:val="1"/>
      <w:numFmt w:val="lowerRoman"/>
      <w:lvlText w:val="%6."/>
      <w:lvlJc w:val="right"/>
      <w:pPr>
        <w:ind w:left="5380" w:hanging="180"/>
      </w:pPr>
    </w:lvl>
    <w:lvl w:ilvl="6" w:tplc="0C09000F" w:tentative="1">
      <w:start w:val="1"/>
      <w:numFmt w:val="decimal"/>
      <w:lvlText w:val="%7."/>
      <w:lvlJc w:val="left"/>
      <w:pPr>
        <w:ind w:left="6100" w:hanging="360"/>
      </w:pPr>
    </w:lvl>
    <w:lvl w:ilvl="7" w:tplc="0C090019" w:tentative="1">
      <w:start w:val="1"/>
      <w:numFmt w:val="lowerLetter"/>
      <w:lvlText w:val="%8."/>
      <w:lvlJc w:val="left"/>
      <w:pPr>
        <w:ind w:left="6820" w:hanging="360"/>
      </w:pPr>
    </w:lvl>
    <w:lvl w:ilvl="8" w:tplc="0C09001B" w:tentative="1">
      <w:start w:val="1"/>
      <w:numFmt w:val="lowerRoman"/>
      <w:lvlText w:val="%9."/>
      <w:lvlJc w:val="right"/>
      <w:pPr>
        <w:ind w:left="7540" w:hanging="180"/>
      </w:pPr>
    </w:lvl>
  </w:abstractNum>
  <w:abstractNum w:abstractNumId="29" w15:restartNumberingAfterBreak="0">
    <w:nsid w:val="72DD68D3"/>
    <w:multiLevelType w:val="multilevel"/>
    <w:tmpl w:val="59A81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30" w15:restartNumberingAfterBreak="0">
    <w:nsid w:val="75311C43"/>
    <w:multiLevelType w:val="hybridMultilevel"/>
    <w:tmpl w:val="E500B9B0"/>
    <w:lvl w:ilvl="0" w:tplc="C846BA4C">
      <w:start w:val="1"/>
      <w:numFmt w:val="lowerLetter"/>
      <w:lvlText w:val="(%1)"/>
      <w:lvlJc w:val="left"/>
      <w:pPr>
        <w:ind w:left="1780" w:hanging="360"/>
      </w:pPr>
      <w:rPr>
        <w:rFonts w:asciiTheme="minorHAnsi" w:eastAsia="Times New Roman" w:hAnsiTheme="minorHAns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8F058CF"/>
    <w:multiLevelType w:val="hybridMultilevel"/>
    <w:tmpl w:val="B55C068E"/>
    <w:lvl w:ilvl="0" w:tplc="47D4215C">
      <w:start w:val="1"/>
      <w:numFmt w:val="decimal"/>
      <w:lvlText w:val="(%1)"/>
      <w:lvlJc w:val="left"/>
      <w:pPr>
        <w:ind w:left="1060" w:hanging="360"/>
      </w:pPr>
      <w:rPr>
        <w:rFonts w:hint="default"/>
      </w:rPr>
    </w:lvl>
    <w:lvl w:ilvl="1" w:tplc="F5124AB0">
      <w:start w:val="1"/>
      <w:numFmt w:val="lowerLetter"/>
      <w:lvlText w:val="(%2)"/>
      <w:lvlJc w:val="left"/>
      <w:pPr>
        <w:ind w:left="1780" w:hanging="360"/>
      </w:pPr>
      <w:rPr>
        <w:rFonts w:asciiTheme="minorHAnsi" w:eastAsia="Times New Roman" w:hAnsiTheme="minorHAnsi" w:cs="Times New Roman"/>
      </w:rPr>
    </w:lvl>
    <w:lvl w:ilvl="2" w:tplc="0C09001B">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32" w15:restartNumberingAfterBreak="0">
    <w:nsid w:val="7A9D243D"/>
    <w:multiLevelType w:val="hybridMultilevel"/>
    <w:tmpl w:val="47700B2C"/>
    <w:lvl w:ilvl="0" w:tplc="47D4215C">
      <w:start w:val="1"/>
      <w:numFmt w:val="decimal"/>
      <w:lvlText w:val="(%1)"/>
      <w:lvlJc w:val="left"/>
      <w:pPr>
        <w:ind w:left="1060" w:hanging="360"/>
      </w:pPr>
      <w:rPr>
        <w:rFonts w:hint="default"/>
      </w:rPr>
    </w:lvl>
    <w:lvl w:ilvl="1" w:tplc="19A6500A">
      <w:start w:val="1"/>
      <w:numFmt w:val="lowerLetter"/>
      <w:lvlText w:val="(%2)"/>
      <w:lvlJc w:val="left"/>
      <w:pPr>
        <w:ind w:left="1780" w:hanging="360"/>
      </w:pPr>
      <w:rPr>
        <w:rFonts w:asciiTheme="minorHAnsi" w:eastAsia="Times New Roman" w:hAnsiTheme="minorHAnsi" w:cs="Times New Roman"/>
      </w:rPr>
    </w:lvl>
    <w:lvl w:ilvl="2" w:tplc="0E5AE27A">
      <w:start w:val="1"/>
      <w:numFmt w:val="lowerRoman"/>
      <w:lvlText w:val="(%3)"/>
      <w:lvlJc w:val="right"/>
      <w:pPr>
        <w:ind w:left="2500" w:hanging="180"/>
      </w:pPr>
      <w:rPr>
        <w:rFonts w:asciiTheme="minorHAnsi" w:eastAsia="Times New Roman" w:hAnsiTheme="minorHAnsi" w:cs="Times New Roman"/>
      </w:r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num w:numId="1">
    <w:abstractNumId w:val="2"/>
  </w:num>
  <w:num w:numId="2">
    <w:abstractNumId w:val="0"/>
  </w:num>
  <w:num w:numId="3">
    <w:abstractNumId w:val="5"/>
  </w:num>
  <w:num w:numId="4">
    <w:abstractNumId w:val="15"/>
  </w:num>
  <w:num w:numId="5">
    <w:abstractNumId w:val="27"/>
  </w:num>
  <w:num w:numId="6">
    <w:abstractNumId w:val="1"/>
  </w:num>
  <w:num w:numId="7">
    <w:abstractNumId w:val="12"/>
  </w:num>
  <w:num w:numId="8">
    <w:abstractNumId w:val="14"/>
  </w:num>
  <w:num w:numId="9">
    <w:abstractNumId w:val="29"/>
  </w:num>
  <w:num w:numId="10">
    <w:abstractNumId w:val="10"/>
  </w:num>
  <w:num w:numId="11">
    <w:abstractNumId w:val="7"/>
  </w:num>
  <w:num w:numId="12">
    <w:abstractNumId w:val="24"/>
  </w:num>
  <w:num w:numId="13">
    <w:abstractNumId w:val="17"/>
  </w:num>
  <w:num w:numId="14">
    <w:abstractNumId w:val="13"/>
  </w:num>
  <w:num w:numId="15">
    <w:abstractNumId w:val="32"/>
  </w:num>
  <w:num w:numId="16">
    <w:abstractNumId w:val="16"/>
  </w:num>
  <w:num w:numId="17">
    <w:abstractNumId w:val="18"/>
  </w:num>
  <w:num w:numId="18">
    <w:abstractNumId w:val="4"/>
  </w:num>
  <w:num w:numId="19">
    <w:abstractNumId w:val="31"/>
  </w:num>
  <w:num w:numId="20">
    <w:abstractNumId w:val="28"/>
  </w:num>
  <w:num w:numId="21">
    <w:abstractNumId w:val="8"/>
  </w:num>
  <w:num w:numId="22">
    <w:abstractNumId w:val="6"/>
  </w:num>
  <w:num w:numId="23">
    <w:abstractNumId w:val="20"/>
  </w:num>
  <w:num w:numId="24">
    <w:abstractNumId w:val="26"/>
  </w:num>
  <w:num w:numId="25">
    <w:abstractNumId w:val="25"/>
  </w:num>
  <w:num w:numId="26">
    <w:abstractNumId w:val="11"/>
  </w:num>
  <w:num w:numId="27">
    <w:abstractNumId w:val="30"/>
  </w:num>
  <w:num w:numId="28">
    <w:abstractNumId w:val="9"/>
  </w:num>
  <w:num w:numId="29">
    <w:abstractNumId w:val="21"/>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3"/>
  </w:num>
  <w:num w:numId="33">
    <w:abstractNumId w:val="19"/>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719"/>
    <w:rsid w:val="0004044F"/>
    <w:rsid w:val="00050225"/>
    <w:rsid w:val="00061DBE"/>
    <w:rsid w:val="000763EC"/>
    <w:rsid w:val="000848F0"/>
    <w:rsid w:val="00095524"/>
    <w:rsid w:val="000A0D65"/>
    <w:rsid w:val="000A46A6"/>
    <w:rsid w:val="000B3834"/>
    <w:rsid w:val="000C3EDA"/>
    <w:rsid w:val="000E6F1D"/>
    <w:rsid w:val="001440B3"/>
    <w:rsid w:val="001729BD"/>
    <w:rsid w:val="001853CC"/>
    <w:rsid w:val="001A62B3"/>
    <w:rsid w:val="001B217A"/>
    <w:rsid w:val="001C36FA"/>
    <w:rsid w:val="001C5446"/>
    <w:rsid w:val="001D2573"/>
    <w:rsid w:val="00203BDA"/>
    <w:rsid w:val="00211902"/>
    <w:rsid w:val="00222933"/>
    <w:rsid w:val="00222BFC"/>
    <w:rsid w:val="002238F5"/>
    <w:rsid w:val="00257BE0"/>
    <w:rsid w:val="00265A94"/>
    <w:rsid w:val="00274107"/>
    <w:rsid w:val="00283719"/>
    <w:rsid w:val="002840B3"/>
    <w:rsid w:val="002C11D3"/>
    <w:rsid w:val="002C514A"/>
    <w:rsid w:val="002F6E32"/>
    <w:rsid w:val="00305BE7"/>
    <w:rsid w:val="00356D18"/>
    <w:rsid w:val="00357E75"/>
    <w:rsid w:val="00377B7A"/>
    <w:rsid w:val="003861D3"/>
    <w:rsid w:val="00391E46"/>
    <w:rsid w:val="003A0BC6"/>
    <w:rsid w:val="003A47F8"/>
    <w:rsid w:val="003C18FB"/>
    <w:rsid w:val="00403C95"/>
    <w:rsid w:val="0042011A"/>
    <w:rsid w:val="004357A4"/>
    <w:rsid w:val="00454197"/>
    <w:rsid w:val="00485DFA"/>
    <w:rsid w:val="004B28CB"/>
    <w:rsid w:val="004C1917"/>
    <w:rsid w:val="004C4297"/>
    <w:rsid w:val="004C6018"/>
    <w:rsid w:val="004E6DE5"/>
    <w:rsid w:val="00506DD8"/>
    <w:rsid w:val="005204B6"/>
    <w:rsid w:val="00522E90"/>
    <w:rsid w:val="00525963"/>
    <w:rsid w:val="005350F0"/>
    <w:rsid w:val="005403DC"/>
    <w:rsid w:val="00564F54"/>
    <w:rsid w:val="005734ED"/>
    <w:rsid w:val="00582EA6"/>
    <w:rsid w:val="00592F24"/>
    <w:rsid w:val="00594448"/>
    <w:rsid w:val="005A4E03"/>
    <w:rsid w:val="005A4F5B"/>
    <w:rsid w:val="005B56E1"/>
    <w:rsid w:val="005C4660"/>
    <w:rsid w:val="005C692C"/>
    <w:rsid w:val="005D1558"/>
    <w:rsid w:val="00604BB2"/>
    <w:rsid w:val="00617EC2"/>
    <w:rsid w:val="00663D1E"/>
    <w:rsid w:val="00664BC8"/>
    <w:rsid w:val="006773DE"/>
    <w:rsid w:val="006871A5"/>
    <w:rsid w:val="006B2BBC"/>
    <w:rsid w:val="006B4C1F"/>
    <w:rsid w:val="006D1AD0"/>
    <w:rsid w:val="006D6F53"/>
    <w:rsid w:val="006E1DC8"/>
    <w:rsid w:val="006E1EFA"/>
    <w:rsid w:val="006F5CFE"/>
    <w:rsid w:val="00710996"/>
    <w:rsid w:val="00717639"/>
    <w:rsid w:val="00730EE2"/>
    <w:rsid w:val="007319EF"/>
    <w:rsid w:val="007600AB"/>
    <w:rsid w:val="007A2B82"/>
    <w:rsid w:val="007A5A28"/>
    <w:rsid w:val="007D4DD8"/>
    <w:rsid w:val="00802F03"/>
    <w:rsid w:val="00822173"/>
    <w:rsid w:val="008248F7"/>
    <w:rsid w:val="00831EF8"/>
    <w:rsid w:val="00842853"/>
    <w:rsid w:val="00843DAD"/>
    <w:rsid w:val="00852894"/>
    <w:rsid w:val="00863A94"/>
    <w:rsid w:val="008759C0"/>
    <w:rsid w:val="00885F1F"/>
    <w:rsid w:val="008B39C9"/>
    <w:rsid w:val="008D187A"/>
    <w:rsid w:val="008E4653"/>
    <w:rsid w:val="008F585F"/>
    <w:rsid w:val="00911D40"/>
    <w:rsid w:val="00924C5E"/>
    <w:rsid w:val="00932706"/>
    <w:rsid w:val="00941DE5"/>
    <w:rsid w:val="00950EA8"/>
    <w:rsid w:val="00980787"/>
    <w:rsid w:val="009A69EE"/>
    <w:rsid w:val="009B35E3"/>
    <w:rsid w:val="009C5C14"/>
    <w:rsid w:val="009E6001"/>
    <w:rsid w:val="00A13435"/>
    <w:rsid w:val="00A44351"/>
    <w:rsid w:val="00A45763"/>
    <w:rsid w:val="00A55986"/>
    <w:rsid w:val="00A56253"/>
    <w:rsid w:val="00AA13DD"/>
    <w:rsid w:val="00AA35F7"/>
    <w:rsid w:val="00AB5249"/>
    <w:rsid w:val="00AB59B4"/>
    <w:rsid w:val="00AE6CF8"/>
    <w:rsid w:val="00AF3F9A"/>
    <w:rsid w:val="00AF538E"/>
    <w:rsid w:val="00B02ABB"/>
    <w:rsid w:val="00B049B7"/>
    <w:rsid w:val="00B05144"/>
    <w:rsid w:val="00B106F2"/>
    <w:rsid w:val="00B31068"/>
    <w:rsid w:val="00B6599B"/>
    <w:rsid w:val="00B6748F"/>
    <w:rsid w:val="00B73EFB"/>
    <w:rsid w:val="00BC1B74"/>
    <w:rsid w:val="00BD11BD"/>
    <w:rsid w:val="00BE3E7E"/>
    <w:rsid w:val="00BE7CD2"/>
    <w:rsid w:val="00C051B4"/>
    <w:rsid w:val="00C30F83"/>
    <w:rsid w:val="00C526BB"/>
    <w:rsid w:val="00C71481"/>
    <w:rsid w:val="00C724DC"/>
    <w:rsid w:val="00C87529"/>
    <w:rsid w:val="00C97339"/>
    <w:rsid w:val="00CB7BA8"/>
    <w:rsid w:val="00CE6682"/>
    <w:rsid w:val="00D00C06"/>
    <w:rsid w:val="00D019EB"/>
    <w:rsid w:val="00D07B87"/>
    <w:rsid w:val="00D10CA4"/>
    <w:rsid w:val="00D353F2"/>
    <w:rsid w:val="00D47CD5"/>
    <w:rsid w:val="00D51AAA"/>
    <w:rsid w:val="00D74959"/>
    <w:rsid w:val="00DA192F"/>
    <w:rsid w:val="00DB38E3"/>
    <w:rsid w:val="00DB7583"/>
    <w:rsid w:val="00DC037B"/>
    <w:rsid w:val="00DC4035"/>
    <w:rsid w:val="00DD0BCA"/>
    <w:rsid w:val="00DF3241"/>
    <w:rsid w:val="00E0529E"/>
    <w:rsid w:val="00E20CA6"/>
    <w:rsid w:val="00EA480E"/>
    <w:rsid w:val="00EB2D9A"/>
    <w:rsid w:val="00EC5B16"/>
    <w:rsid w:val="00EE2514"/>
    <w:rsid w:val="00EF26A1"/>
    <w:rsid w:val="00EF6F11"/>
    <w:rsid w:val="00F1383F"/>
    <w:rsid w:val="00F1684F"/>
    <w:rsid w:val="00F541A2"/>
    <w:rsid w:val="00F57EDF"/>
    <w:rsid w:val="00F675A0"/>
    <w:rsid w:val="00FA3D89"/>
    <w:rsid w:val="00FA631F"/>
    <w:rsid w:val="00FB7805"/>
    <w:rsid w:val="00FC0C41"/>
    <w:rsid w:val="00FC7B48"/>
    <w:rsid w:val="00FD182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9D6ED87"/>
  <w15:docId w15:val="{A3F90559-4C1D-4F0C-9091-0A48F864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35F7"/>
    <w:rPr>
      <w:sz w:val="24"/>
      <w:lang w:eastAsia="en-US"/>
    </w:rPr>
  </w:style>
  <w:style w:type="paragraph" w:styleId="Heading1">
    <w:name w:val="heading 1"/>
    <w:basedOn w:val="Normal"/>
    <w:next w:val="Normal"/>
    <w:qFormat/>
    <w:rsid w:val="00AA35F7"/>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AA35F7"/>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AA35F7"/>
    <w:pPr>
      <w:keepNext/>
      <w:pBdr>
        <w:right w:val="single" w:sz="4" w:space="4" w:color="auto"/>
      </w:pBdr>
      <w:outlineLvl w:val="2"/>
    </w:pPr>
    <w:rPr>
      <w:i/>
      <w:iCs/>
      <w:sz w:val="22"/>
      <w:szCs w:val="22"/>
    </w:rPr>
  </w:style>
  <w:style w:type="paragraph" w:styleId="Heading4">
    <w:name w:val="heading 4"/>
    <w:basedOn w:val="Normal"/>
    <w:next w:val="Normal"/>
    <w:qFormat/>
    <w:rsid w:val="00AA35F7"/>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A35F7"/>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AA35F7"/>
    <w:pPr>
      <w:tabs>
        <w:tab w:val="left" w:pos="2880"/>
      </w:tabs>
      <w:spacing w:before="120" w:after="60" w:line="240" w:lineRule="exact"/>
    </w:pPr>
    <w:rPr>
      <w:rFonts w:ascii="Arial" w:hAnsi="Arial"/>
      <w:sz w:val="18"/>
    </w:rPr>
  </w:style>
  <w:style w:type="paragraph" w:customStyle="1" w:styleId="Billname">
    <w:name w:val="Billname"/>
    <w:basedOn w:val="Normal"/>
    <w:rsid w:val="00AA35F7"/>
    <w:pPr>
      <w:tabs>
        <w:tab w:val="left" w:pos="2400"/>
        <w:tab w:val="left" w:pos="2880"/>
      </w:tabs>
      <w:spacing w:before="1220" w:after="100"/>
    </w:pPr>
    <w:rPr>
      <w:rFonts w:ascii="Arial" w:hAnsi="Arial"/>
      <w:b/>
      <w:sz w:val="40"/>
    </w:rPr>
  </w:style>
  <w:style w:type="paragraph" w:customStyle="1" w:styleId="Amain">
    <w:name w:val="A main"/>
    <w:basedOn w:val="Normal"/>
    <w:rsid w:val="00AA35F7"/>
    <w:pPr>
      <w:tabs>
        <w:tab w:val="right" w:pos="500"/>
        <w:tab w:val="left" w:pos="700"/>
      </w:tabs>
      <w:spacing w:before="80" w:after="60"/>
      <w:ind w:left="700" w:hanging="700"/>
      <w:jc w:val="both"/>
      <w:outlineLvl w:val="5"/>
    </w:pPr>
  </w:style>
  <w:style w:type="paragraph" w:customStyle="1" w:styleId="N-line3">
    <w:name w:val="N-line3"/>
    <w:basedOn w:val="Normal"/>
    <w:next w:val="Normal"/>
    <w:rsid w:val="00AA35F7"/>
    <w:pPr>
      <w:pBdr>
        <w:bottom w:val="single" w:sz="12" w:space="1" w:color="auto"/>
      </w:pBdr>
      <w:jc w:val="both"/>
    </w:pPr>
  </w:style>
  <w:style w:type="paragraph" w:customStyle="1" w:styleId="madeunder">
    <w:name w:val="made under"/>
    <w:basedOn w:val="Normal"/>
    <w:uiPriority w:val="99"/>
    <w:rsid w:val="00AA35F7"/>
    <w:pPr>
      <w:spacing w:before="180" w:after="60"/>
      <w:jc w:val="both"/>
    </w:pPr>
  </w:style>
  <w:style w:type="paragraph" w:customStyle="1" w:styleId="CoverActName">
    <w:name w:val="CoverActName"/>
    <w:basedOn w:val="Normal"/>
    <w:rsid w:val="00AA35F7"/>
    <w:pPr>
      <w:tabs>
        <w:tab w:val="left" w:pos="2600"/>
      </w:tabs>
      <w:spacing w:before="200" w:after="60"/>
      <w:jc w:val="both"/>
    </w:pPr>
    <w:rPr>
      <w:rFonts w:ascii="Arial" w:hAnsi="Arial"/>
      <w:b/>
    </w:rPr>
  </w:style>
  <w:style w:type="paragraph" w:customStyle="1" w:styleId="06Copyright">
    <w:name w:val="06Copyright"/>
    <w:basedOn w:val="Normal"/>
    <w:rsid w:val="00AA35F7"/>
    <w:pPr>
      <w:tabs>
        <w:tab w:val="left" w:pos="2880"/>
      </w:tabs>
    </w:pPr>
  </w:style>
  <w:style w:type="paragraph" w:customStyle="1" w:styleId="Apara">
    <w:name w:val="A para"/>
    <w:basedOn w:val="Normal"/>
    <w:rsid w:val="00AA35F7"/>
    <w:pPr>
      <w:numPr>
        <w:ilvl w:val="6"/>
        <w:numId w:val="9"/>
      </w:numPr>
      <w:spacing w:before="80" w:after="60"/>
      <w:jc w:val="both"/>
      <w:outlineLvl w:val="6"/>
    </w:pPr>
  </w:style>
  <w:style w:type="paragraph" w:customStyle="1" w:styleId="Asubpara">
    <w:name w:val="A subpara"/>
    <w:basedOn w:val="Normal"/>
    <w:rsid w:val="00AA35F7"/>
    <w:pPr>
      <w:numPr>
        <w:ilvl w:val="7"/>
        <w:numId w:val="9"/>
      </w:numPr>
      <w:spacing w:before="80" w:after="60"/>
      <w:jc w:val="both"/>
      <w:outlineLvl w:val="7"/>
    </w:pPr>
  </w:style>
  <w:style w:type="paragraph" w:customStyle="1" w:styleId="Asubsubpara">
    <w:name w:val="A subsubpara"/>
    <w:basedOn w:val="Normal"/>
    <w:rsid w:val="00AA35F7"/>
    <w:pPr>
      <w:numPr>
        <w:ilvl w:val="8"/>
        <w:numId w:val="9"/>
      </w:numPr>
      <w:spacing w:before="80" w:after="60"/>
      <w:jc w:val="both"/>
      <w:outlineLvl w:val="8"/>
    </w:pPr>
  </w:style>
  <w:style w:type="paragraph" w:customStyle="1" w:styleId="AH5Sec">
    <w:name w:val="A H5 Sec"/>
    <w:basedOn w:val="Normal"/>
    <w:next w:val="Amain"/>
    <w:rsid w:val="00AA35F7"/>
    <w:pPr>
      <w:keepNext/>
      <w:numPr>
        <w:ilvl w:val="4"/>
        <w:numId w:val="1"/>
      </w:numPr>
      <w:spacing w:before="180" w:after="60"/>
      <w:outlineLvl w:val="4"/>
    </w:pPr>
    <w:rPr>
      <w:rFonts w:ascii="Arial" w:hAnsi="Arial"/>
      <w:b/>
    </w:rPr>
  </w:style>
  <w:style w:type="paragraph" w:styleId="Header">
    <w:name w:val="header"/>
    <w:basedOn w:val="Normal"/>
    <w:semiHidden/>
    <w:rsid w:val="00AA35F7"/>
    <w:pPr>
      <w:tabs>
        <w:tab w:val="left" w:pos="2880"/>
        <w:tab w:val="center" w:pos="4153"/>
        <w:tab w:val="right" w:pos="8306"/>
      </w:tabs>
    </w:pPr>
  </w:style>
  <w:style w:type="paragraph" w:customStyle="1" w:styleId="ref">
    <w:name w:val="ref"/>
    <w:basedOn w:val="Normal"/>
    <w:next w:val="Normal"/>
    <w:rsid w:val="00AA35F7"/>
    <w:pPr>
      <w:spacing w:after="60"/>
      <w:jc w:val="both"/>
    </w:pPr>
    <w:rPr>
      <w:sz w:val="18"/>
    </w:rPr>
  </w:style>
  <w:style w:type="character" w:customStyle="1" w:styleId="CharDivText">
    <w:name w:val="CharDivText"/>
    <w:basedOn w:val="DefaultParagraphFont"/>
    <w:rsid w:val="00AA35F7"/>
  </w:style>
  <w:style w:type="paragraph" w:customStyle="1" w:styleId="CoverInForce">
    <w:name w:val="CoverInForce"/>
    <w:basedOn w:val="Normal"/>
    <w:rsid w:val="00AA35F7"/>
    <w:pPr>
      <w:tabs>
        <w:tab w:val="left" w:pos="2600"/>
      </w:tabs>
      <w:spacing w:before="200" w:after="60"/>
      <w:jc w:val="both"/>
    </w:pPr>
    <w:rPr>
      <w:rFonts w:ascii="Arial" w:hAnsi="Arial"/>
    </w:rPr>
  </w:style>
  <w:style w:type="paragraph" w:customStyle="1" w:styleId="AFHdg">
    <w:name w:val="AFHdg"/>
    <w:basedOn w:val="Normal"/>
    <w:rsid w:val="00AA35F7"/>
    <w:pPr>
      <w:tabs>
        <w:tab w:val="left" w:pos="2600"/>
      </w:tabs>
      <w:spacing w:before="80" w:after="60"/>
      <w:jc w:val="both"/>
    </w:pPr>
    <w:rPr>
      <w:rFonts w:ascii="Arial" w:hAnsi="Arial"/>
      <w:b/>
      <w:sz w:val="32"/>
    </w:rPr>
  </w:style>
  <w:style w:type="paragraph" w:customStyle="1" w:styleId="ApprFormHd">
    <w:name w:val="ApprFormHd"/>
    <w:basedOn w:val="Normal"/>
    <w:rsid w:val="00AA35F7"/>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AA35F7"/>
  </w:style>
  <w:style w:type="paragraph" w:customStyle="1" w:styleId="Aparabullet">
    <w:name w:val="A para bullet"/>
    <w:basedOn w:val="Normal"/>
    <w:rsid w:val="00AA35F7"/>
    <w:pPr>
      <w:numPr>
        <w:numId w:val="4"/>
      </w:numPr>
    </w:pPr>
  </w:style>
  <w:style w:type="paragraph" w:styleId="TOC1">
    <w:name w:val="toc 1"/>
    <w:basedOn w:val="Normal"/>
    <w:next w:val="Normal"/>
    <w:autoRedefine/>
    <w:uiPriority w:val="39"/>
    <w:rsid w:val="00FD1825"/>
    <w:pPr>
      <w:tabs>
        <w:tab w:val="left" w:pos="960"/>
        <w:tab w:val="right" w:pos="8297"/>
      </w:tabs>
    </w:pPr>
    <w:rPr>
      <w:rFonts w:asciiTheme="minorHAnsi" w:hAnsiTheme="minorHAnsi"/>
      <w:b/>
      <w:noProof/>
      <w:lang w:eastAsia="en-AU"/>
    </w:rPr>
  </w:style>
  <w:style w:type="paragraph" w:styleId="TOC2">
    <w:name w:val="toc 2"/>
    <w:basedOn w:val="Normal"/>
    <w:next w:val="Normal"/>
    <w:autoRedefine/>
    <w:uiPriority w:val="39"/>
    <w:rsid w:val="00AA35F7"/>
    <w:pPr>
      <w:ind w:left="240"/>
    </w:pPr>
  </w:style>
  <w:style w:type="paragraph" w:styleId="TOC3">
    <w:name w:val="toc 3"/>
    <w:basedOn w:val="Normal"/>
    <w:next w:val="Normal"/>
    <w:autoRedefine/>
    <w:semiHidden/>
    <w:rsid w:val="00AA35F7"/>
    <w:pPr>
      <w:ind w:left="480"/>
    </w:pPr>
  </w:style>
  <w:style w:type="paragraph" w:styleId="TOC4">
    <w:name w:val="toc 4"/>
    <w:basedOn w:val="Normal"/>
    <w:next w:val="Normal"/>
    <w:autoRedefine/>
    <w:semiHidden/>
    <w:rsid w:val="00AA35F7"/>
    <w:pPr>
      <w:ind w:left="720"/>
    </w:pPr>
  </w:style>
  <w:style w:type="paragraph" w:styleId="TOC5">
    <w:name w:val="toc 5"/>
    <w:basedOn w:val="Normal"/>
    <w:next w:val="Normal"/>
    <w:autoRedefine/>
    <w:semiHidden/>
    <w:rsid w:val="00AA35F7"/>
    <w:pPr>
      <w:ind w:left="960"/>
    </w:pPr>
  </w:style>
  <w:style w:type="paragraph" w:styleId="TOC6">
    <w:name w:val="toc 6"/>
    <w:basedOn w:val="Normal"/>
    <w:next w:val="Normal"/>
    <w:autoRedefine/>
    <w:semiHidden/>
    <w:rsid w:val="00AA35F7"/>
    <w:pPr>
      <w:ind w:left="1200"/>
    </w:pPr>
  </w:style>
  <w:style w:type="paragraph" w:styleId="TOC7">
    <w:name w:val="toc 7"/>
    <w:basedOn w:val="Normal"/>
    <w:next w:val="Normal"/>
    <w:autoRedefine/>
    <w:semiHidden/>
    <w:rsid w:val="00AA35F7"/>
    <w:pPr>
      <w:ind w:left="1440"/>
    </w:pPr>
  </w:style>
  <w:style w:type="paragraph" w:styleId="TOC8">
    <w:name w:val="toc 8"/>
    <w:basedOn w:val="Normal"/>
    <w:next w:val="Normal"/>
    <w:autoRedefine/>
    <w:semiHidden/>
    <w:rsid w:val="00AA35F7"/>
    <w:pPr>
      <w:ind w:left="1680"/>
    </w:pPr>
  </w:style>
  <w:style w:type="paragraph" w:styleId="TOC9">
    <w:name w:val="toc 9"/>
    <w:basedOn w:val="Normal"/>
    <w:next w:val="Normal"/>
    <w:autoRedefine/>
    <w:semiHidden/>
    <w:rsid w:val="00AA35F7"/>
    <w:pPr>
      <w:ind w:left="1920"/>
    </w:pPr>
  </w:style>
  <w:style w:type="character" w:styleId="Hyperlink">
    <w:name w:val="Hyperlink"/>
    <w:basedOn w:val="DefaultParagraphFont"/>
    <w:semiHidden/>
    <w:rsid w:val="00AA35F7"/>
    <w:rPr>
      <w:color w:val="0000FF"/>
      <w:u w:val="single"/>
    </w:rPr>
  </w:style>
  <w:style w:type="paragraph" w:styleId="BodyTextIndent">
    <w:name w:val="Body Text Indent"/>
    <w:basedOn w:val="Normal"/>
    <w:semiHidden/>
    <w:rsid w:val="00AA35F7"/>
    <w:pPr>
      <w:spacing w:before="120" w:after="60"/>
      <w:ind w:left="709"/>
    </w:pPr>
  </w:style>
  <w:style w:type="paragraph" w:customStyle="1" w:styleId="Minister">
    <w:name w:val="Minister"/>
    <w:basedOn w:val="Normal"/>
    <w:rsid w:val="00AA35F7"/>
    <w:pPr>
      <w:spacing w:before="880" w:after="60"/>
      <w:jc w:val="right"/>
    </w:pPr>
    <w:rPr>
      <w:caps/>
      <w:szCs w:val="24"/>
    </w:rPr>
  </w:style>
  <w:style w:type="paragraph" w:customStyle="1" w:styleId="DateLine">
    <w:name w:val="DateLine"/>
    <w:basedOn w:val="Normal"/>
    <w:rsid w:val="00AA35F7"/>
    <w:pPr>
      <w:tabs>
        <w:tab w:val="left" w:pos="4320"/>
      </w:tabs>
      <w:spacing w:before="80" w:after="60"/>
      <w:jc w:val="both"/>
    </w:pPr>
    <w:rPr>
      <w:szCs w:val="24"/>
    </w:rPr>
  </w:style>
  <w:style w:type="paragraph" w:customStyle="1" w:styleId="MinisterWord">
    <w:name w:val="MinisterWord"/>
    <w:basedOn w:val="Normal"/>
    <w:rsid w:val="00AA35F7"/>
    <w:pPr>
      <w:tabs>
        <w:tab w:val="left" w:pos="2880"/>
      </w:tabs>
      <w:jc w:val="right"/>
    </w:pPr>
    <w:rPr>
      <w:szCs w:val="24"/>
    </w:rPr>
  </w:style>
  <w:style w:type="character" w:styleId="FollowedHyperlink">
    <w:name w:val="FollowedHyperlink"/>
    <w:basedOn w:val="DefaultParagraphFont"/>
    <w:semiHidden/>
    <w:rsid w:val="00AA35F7"/>
    <w:rPr>
      <w:color w:val="800080"/>
      <w:u w:val="single"/>
    </w:rPr>
  </w:style>
  <w:style w:type="character" w:styleId="FootnoteReference">
    <w:name w:val="footnote reference"/>
    <w:basedOn w:val="DefaultParagraphFont"/>
    <w:semiHidden/>
    <w:rsid w:val="00AA35F7"/>
    <w:rPr>
      <w:rFonts w:ascii="Times New Roman" w:hAnsi="Times New Roman" w:cs="Times New Roman"/>
      <w:sz w:val="24"/>
      <w:szCs w:val="24"/>
      <w:vertAlign w:val="superscript"/>
    </w:rPr>
  </w:style>
  <w:style w:type="paragraph" w:styleId="FootnoteText">
    <w:name w:val="footnote text"/>
    <w:basedOn w:val="Normal"/>
    <w:semiHidden/>
    <w:rsid w:val="00AA35F7"/>
    <w:pPr>
      <w:spacing w:before="80" w:after="60"/>
      <w:jc w:val="both"/>
    </w:pPr>
    <w:rPr>
      <w:szCs w:val="24"/>
    </w:rPr>
  </w:style>
  <w:style w:type="paragraph" w:customStyle="1" w:styleId="ShadedSchClause">
    <w:name w:val="Shaded Sch Clause"/>
    <w:basedOn w:val="Normal"/>
    <w:next w:val="Normal"/>
    <w:rsid w:val="00AA35F7"/>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AA35F7"/>
  </w:style>
  <w:style w:type="paragraph" w:customStyle="1" w:styleId="HeaderEven">
    <w:name w:val="HeaderEven"/>
    <w:basedOn w:val="Normal"/>
    <w:rsid w:val="00B73EFB"/>
    <w:pPr>
      <w:autoSpaceDE w:val="0"/>
      <w:autoSpaceDN w:val="0"/>
    </w:pPr>
    <w:rPr>
      <w:rFonts w:ascii="Arial" w:hAnsi="Arial" w:cs="Arial"/>
      <w:sz w:val="18"/>
      <w:szCs w:val="18"/>
      <w:lang w:eastAsia="en-AU"/>
    </w:rPr>
  </w:style>
  <w:style w:type="paragraph" w:customStyle="1" w:styleId="HeaderEven6">
    <w:name w:val="HeaderEven6"/>
    <w:basedOn w:val="HeaderEven"/>
    <w:rsid w:val="00B73EFB"/>
    <w:pPr>
      <w:spacing w:before="120" w:after="60"/>
    </w:pPr>
  </w:style>
  <w:style w:type="paragraph" w:customStyle="1" w:styleId="HeaderOdd6">
    <w:name w:val="HeaderOdd6"/>
    <w:basedOn w:val="HeaderEven6"/>
    <w:rsid w:val="00B73EFB"/>
    <w:pPr>
      <w:jc w:val="right"/>
    </w:pPr>
  </w:style>
  <w:style w:type="paragraph" w:customStyle="1" w:styleId="HeaderOdd">
    <w:name w:val="HeaderOdd"/>
    <w:basedOn w:val="HeaderEven"/>
    <w:rsid w:val="00B73EFB"/>
    <w:pPr>
      <w:jc w:val="right"/>
    </w:pPr>
  </w:style>
  <w:style w:type="paragraph" w:customStyle="1" w:styleId="N-9pt">
    <w:name w:val="N-9pt"/>
    <w:basedOn w:val="Normal"/>
    <w:next w:val="Normal"/>
    <w:rsid w:val="00B73EFB"/>
    <w:pPr>
      <w:tabs>
        <w:tab w:val="right" w:pos="7272"/>
      </w:tabs>
      <w:autoSpaceDE w:val="0"/>
      <w:autoSpaceDN w:val="0"/>
      <w:spacing w:before="120" w:after="20"/>
      <w:jc w:val="both"/>
    </w:pPr>
    <w:rPr>
      <w:rFonts w:ascii="Arial" w:hAnsi="Arial" w:cs="Arial"/>
      <w:sz w:val="18"/>
      <w:szCs w:val="18"/>
      <w:lang w:eastAsia="en-AU"/>
    </w:rPr>
  </w:style>
  <w:style w:type="paragraph" w:customStyle="1" w:styleId="ActNo">
    <w:name w:val="ActNo"/>
    <w:basedOn w:val="Normal"/>
    <w:rsid w:val="00B73EFB"/>
    <w:pPr>
      <w:tabs>
        <w:tab w:val="left" w:pos="2600"/>
      </w:tabs>
      <w:autoSpaceDE w:val="0"/>
      <w:autoSpaceDN w:val="0"/>
      <w:spacing w:before="240" w:after="60"/>
      <w:jc w:val="both"/>
    </w:pPr>
    <w:rPr>
      <w:rFonts w:ascii="Arial" w:hAnsi="Arial" w:cs="Arial"/>
      <w:b/>
      <w:bCs/>
      <w:szCs w:val="24"/>
      <w:lang w:eastAsia="en-AU"/>
    </w:rPr>
  </w:style>
  <w:style w:type="paragraph" w:customStyle="1" w:styleId="Status">
    <w:name w:val="Status"/>
    <w:basedOn w:val="Normal"/>
    <w:rsid w:val="00B73EFB"/>
    <w:pPr>
      <w:autoSpaceDE w:val="0"/>
      <w:autoSpaceDN w:val="0"/>
      <w:spacing w:before="280"/>
      <w:jc w:val="center"/>
    </w:pPr>
    <w:rPr>
      <w:rFonts w:ascii="Arial" w:hAnsi="Arial" w:cs="Arial"/>
      <w:sz w:val="14"/>
      <w:szCs w:val="14"/>
      <w:lang w:eastAsia="en-AU"/>
    </w:rPr>
  </w:style>
  <w:style w:type="character" w:styleId="CommentReference">
    <w:name w:val="annotation reference"/>
    <w:basedOn w:val="DefaultParagraphFont"/>
    <w:rsid w:val="00B73EFB"/>
    <w:rPr>
      <w:sz w:val="16"/>
      <w:szCs w:val="16"/>
    </w:rPr>
  </w:style>
  <w:style w:type="paragraph" w:styleId="CommentText">
    <w:name w:val="annotation text"/>
    <w:basedOn w:val="Normal"/>
    <w:link w:val="CommentTextChar"/>
    <w:rsid w:val="00B73EFB"/>
    <w:pPr>
      <w:autoSpaceDE w:val="0"/>
      <w:autoSpaceDN w:val="0"/>
    </w:pPr>
    <w:rPr>
      <w:sz w:val="20"/>
      <w:lang w:eastAsia="en-AU"/>
    </w:rPr>
  </w:style>
  <w:style w:type="character" w:customStyle="1" w:styleId="CommentTextChar">
    <w:name w:val="Comment Text Char"/>
    <w:basedOn w:val="DefaultParagraphFont"/>
    <w:link w:val="CommentText"/>
    <w:rsid w:val="00B73EFB"/>
  </w:style>
  <w:style w:type="paragraph" w:styleId="BalloonText">
    <w:name w:val="Balloon Text"/>
    <w:basedOn w:val="Normal"/>
    <w:link w:val="BalloonTextChar"/>
    <w:uiPriority w:val="99"/>
    <w:semiHidden/>
    <w:unhideWhenUsed/>
    <w:rsid w:val="00B73E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EFB"/>
    <w:rPr>
      <w:rFonts w:ascii="Segoe UI" w:hAnsi="Segoe UI" w:cs="Segoe UI"/>
      <w:sz w:val="18"/>
      <w:szCs w:val="18"/>
      <w:lang w:eastAsia="en-US"/>
    </w:rPr>
  </w:style>
  <w:style w:type="paragraph" w:styleId="ListParagraph">
    <w:name w:val="List Paragraph"/>
    <w:basedOn w:val="Normal"/>
    <w:uiPriority w:val="34"/>
    <w:qFormat/>
    <w:rsid w:val="000E6F1D"/>
    <w:pPr>
      <w:ind w:left="720"/>
      <w:contextualSpacing/>
    </w:pPr>
  </w:style>
  <w:style w:type="paragraph" w:styleId="CommentSubject">
    <w:name w:val="annotation subject"/>
    <w:basedOn w:val="CommentText"/>
    <w:next w:val="CommentText"/>
    <w:link w:val="CommentSubjectChar"/>
    <w:uiPriority w:val="99"/>
    <w:semiHidden/>
    <w:unhideWhenUsed/>
    <w:rsid w:val="004B28CB"/>
    <w:pPr>
      <w:autoSpaceDE/>
      <w:autoSpaceDN/>
    </w:pPr>
    <w:rPr>
      <w:b/>
      <w:bCs/>
      <w:lang w:eastAsia="en-US"/>
    </w:rPr>
  </w:style>
  <w:style w:type="character" w:customStyle="1" w:styleId="CommentSubjectChar">
    <w:name w:val="Comment Subject Char"/>
    <w:basedOn w:val="CommentTextChar"/>
    <w:link w:val="CommentSubject"/>
    <w:uiPriority w:val="99"/>
    <w:semiHidden/>
    <w:rsid w:val="004B28C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428023">
      <w:bodyDiv w:val="1"/>
      <w:marLeft w:val="0"/>
      <w:marRight w:val="0"/>
      <w:marTop w:val="0"/>
      <w:marBottom w:val="0"/>
      <w:divBdr>
        <w:top w:val="none" w:sz="0" w:space="0" w:color="auto"/>
        <w:left w:val="none" w:sz="0" w:space="0" w:color="auto"/>
        <w:bottom w:val="none" w:sz="0" w:space="0" w:color="auto"/>
        <w:right w:val="none" w:sz="0" w:space="0" w:color="auto"/>
      </w:divBdr>
    </w:div>
    <w:div w:id="1580098937">
      <w:bodyDiv w:val="1"/>
      <w:marLeft w:val="0"/>
      <w:marRight w:val="0"/>
      <w:marTop w:val="0"/>
      <w:marBottom w:val="0"/>
      <w:divBdr>
        <w:top w:val="none" w:sz="0" w:space="0" w:color="auto"/>
        <w:left w:val="none" w:sz="0" w:space="0" w:color="auto"/>
        <w:bottom w:val="none" w:sz="0" w:space="0" w:color="auto"/>
        <w:right w:val="none" w:sz="0" w:space="0" w:color="auto"/>
      </w:divBdr>
      <w:divsChild>
        <w:div w:id="1129544468">
          <w:marLeft w:val="0"/>
          <w:marRight w:val="0"/>
          <w:marTop w:val="0"/>
          <w:marBottom w:val="0"/>
          <w:divBdr>
            <w:top w:val="none" w:sz="0" w:space="0" w:color="auto"/>
            <w:left w:val="none" w:sz="0" w:space="0" w:color="auto"/>
            <w:bottom w:val="none" w:sz="0" w:space="0" w:color="auto"/>
            <w:right w:val="none" w:sz="0" w:space="0" w:color="auto"/>
          </w:divBdr>
          <w:divsChild>
            <w:div w:id="164439117">
              <w:marLeft w:val="0"/>
              <w:marRight w:val="0"/>
              <w:marTop w:val="0"/>
              <w:marBottom w:val="0"/>
              <w:divBdr>
                <w:top w:val="none" w:sz="0" w:space="0" w:color="auto"/>
                <w:left w:val="none" w:sz="0" w:space="0" w:color="auto"/>
                <w:bottom w:val="none" w:sz="0" w:space="0" w:color="auto"/>
                <w:right w:val="none" w:sz="0" w:space="0" w:color="auto"/>
              </w:divBdr>
              <w:divsChild>
                <w:div w:id="660815196">
                  <w:marLeft w:val="0"/>
                  <w:marRight w:val="0"/>
                  <w:marTop w:val="0"/>
                  <w:marBottom w:val="0"/>
                  <w:divBdr>
                    <w:top w:val="none" w:sz="0" w:space="0" w:color="auto"/>
                    <w:left w:val="none" w:sz="0" w:space="0" w:color="auto"/>
                    <w:bottom w:val="none" w:sz="0" w:space="0" w:color="auto"/>
                    <w:right w:val="none" w:sz="0" w:space="0" w:color="auto"/>
                  </w:divBdr>
                  <w:divsChild>
                    <w:div w:id="1262033075">
                      <w:marLeft w:val="0"/>
                      <w:marRight w:val="0"/>
                      <w:marTop w:val="0"/>
                      <w:marBottom w:val="0"/>
                      <w:divBdr>
                        <w:top w:val="none" w:sz="0" w:space="0" w:color="auto"/>
                        <w:left w:val="none" w:sz="0" w:space="0" w:color="auto"/>
                        <w:bottom w:val="none" w:sz="0" w:space="0" w:color="auto"/>
                        <w:right w:val="none" w:sz="0" w:space="0" w:color="auto"/>
                      </w:divBdr>
                      <w:divsChild>
                        <w:div w:id="247542139">
                          <w:marLeft w:val="0"/>
                          <w:marRight w:val="0"/>
                          <w:marTop w:val="0"/>
                          <w:marBottom w:val="0"/>
                          <w:divBdr>
                            <w:top w:val="none" w:sz="0" w:space="0" w:color="auto"/>
                            <w:left w:val="none" w:sz="0" w:space="0" w:color="auto"/>
                            <w:bottom w:val="none" w:sz="0" w:space="0" w:color="auto"/>
                            <w:right w:val="none" w:sz="0" w:space="0" w:color="auto"/>
                          </w:divBdr>
                          <w:divsChild>
                            <w:div w:id="2018463056">
                              <w:marLeft w:val="0"/>
                              <w:marRight w:val="0"/>
                              <w:marTop w:val="0"/>
                              <w:marBottom w:val="0"/>
                              <w:divBdr>
                                <w:top w:val="none" w:sz="0" w:space="0" w:color="auto"/>
                                <w:left w:val="none" w:sz="0" w:space="0" w:color="auto"/>
                                <w:bottom w:val="none" w:sz="0" w:space="0" w:color="auto"/>
                                <w:right w:val="none" w:sz="0" w:space="0" w:color="auto"/>
                              </w:divBdr>
                              <w:divsChild>
                                <w:div w:id="2086342750">
                                  <w:marLeft w:val="0"/>
                                  <w:marRight w:val="0"/>
                                  <w:marTop w:val="0"/>
                                  <w:marBottom w:val="0"/>
                                  <w:divBdr>
                                    <w:top w:val="none" w:sz="0" w:space="0" w:color="auto"/>
                                    <w:left w:val="none" w:sz="0" w:space="0" w:color="auto"/>
                                    <w:bottom w:val="none" w:sz="0" w:space="0" w:color="auto"/>
                                    <w:right w:val="none" w:sz="0" w:space="0" w:color="auto"/>
                                  </w:divBdr>
                                  <w:divsChild>
                                    <w:div w:id="663968637">
                                      <w:marLeft w:val="0"/>
                                      <w:marRight w:val="0"/>
                                      <w:marTop w:val="0"/>
                                      <w:marBottom w:val="0"/>
                                      <w:divBdr>
                                        <w:top w:val="none" w:sz="0" w:space="0" w:color="auto"/>
                                        <w:left w:val="none" w:sz="0" w:space="0" w:color="auto"/>
                                        <w:bottom w:val="none" w:sz="0" w:space="0" w:color="auto"/>
                                        <w:right w:val="none" w:sz="0" w:space="0" w:color="auto"/>
                                      </w:divBdr>
                                      <w:divsChild>
                                        <w:div w:id="1725134160">
                                          <w:marLeft w:val="0"/>
                                          <w:marRight w:val="0"/>
                                          <w:marTop w:val="0"/>
                                          <w:marBottom w:val="0"/>
                                          <w:divBdr>
                                            <w:top w:val="none" w:sz="0" w:space="0" w:color="auto"/>
                                            <w:left w:val="none" w:sz="0" w:space="0" w:color="auto"/>
                                            <w:bottom w:val="none" w:sz="0" w:space="0" w:color="auto"/>
                                            <w:right w:val="none" w:sz="0" w:space="0" w:color="auto"/>
                                          </w:divBdr>
                                          <w:divsChild>
                                            <w:div w:id="794254368">
                                              <w:marLeft w:val="0"/>
                                              <w:marRight w:val="0"/>
                                              <w:marTop w:val="0"/>
                                              <w:marBottom w:val="0"/>
                                              <w:divBdr>
                                                <w:top w:val="none" w:sz="0" w:space="0" w:color="auto"/>
                                                <w:left w:val="none" w:sz="0" w:space="0" w:color="auto"/>
                                                <w:bottom w:val="none" w:sz="0" w:space="0" w:color="auto"/>
                                                <w:right w:val="none" w:sz="0" w:space="0" w:color="auto"/>
                                              </w:divBdr>
                                              <w:divsChild>
                                                <w:div w:id="625158975">
                                                  <w:marLeft w:val="0"/>
                                                  <w:marRight w:val="0"/>
                                                  <w:marTop w:val="0"/>
                                                  <w:marBottom w:val="0"/>
                                                  <w:divBdr>
                                                    <w:top w:val="none" w:sz="0" w:space="0" w:color="auto"/>
                                                    <w:left w:val="none" w:sz="0" w:space="0" w:color="auto"/>
                                                    <w:bottom w:val="none" w:sz="0" w:space="0" w:color="auto"/>
                                                    <w:right w:val="none" w:sz="0" w:space="0" w:color="auto"/>
                                                  </w:divBdr>
                                                  <w:divsChild>
                                                    <w:div w:id="960764794">
                                                      <w:marLeft w:val="0"/>
                                                      <w:marRight w:val="0"/>
                                                      <w:marTop w:val="0"/>
                                                      <w:marBottom w:val="0"/>
                                                      <w:divBdr>
                                                        <w:top w:val="none" w:sz="0" w:space="0" w:color="auto"/>
                                                        <w:left w:val="none" w:sz="0" w:space="0" w:color="auto"/>
                                                        <w:bottom w:val="none" w:sz="0" w:space="0" w:color="auto"/>
                                                        <w:right w:val="none" w:sz="0" w:space="0" w:color="auto"/>
                                                      </w:divBdr>
                                                      <w:divsChild>
                                                        <w:div w:id="177643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8909251">
      <w:bodyDiv w:val="1"/>
      <w:marLeft w:val="0"/>
      <w:marRight w:val="0"/>
      <w:marTop w:val="0"/>
      <w:marBottom w:val="0"/>
      <w:divBdr>
        <w:top w:val="none" w:sz="0" w:space="0" w:color="auto"/>
        <w:left w:val="none" w:sz="0" w:space="0" w:color="auto"/>
        <w:bottom w:val="none" w:sz="0" w:space="0" w:color="auto"/>
        <w:right w:val="none" w:sz="0" w:space="0" w:color="auto"/>
      </w:divBdr>
    </w:div>
    <w:div w:id="213957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A6872-29DA-493C-83B9-607995C58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1516</Words>
  <Characters>8121</Characters>
  <Application>Microsoft Office Word</Application>
  <DocSecurity>0</DocSecurity>
  <Lines>219</Lines>
  <Paragraphs>107</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dc:description/>
  <cp:lastModifiedBy>PCODCS </cp:lastModifiedBy>
  <cp:revision>5</cp:revision>
  <cp:lastPrinted>2019-02-18T03:29:00Z</cp:lastPrinted>
  <dcterms:created xsi:type="dcterms:W3CDTF">2019-03-20T00:48:00Z</dcterms:created>
  <dcterms:modified xsi:type="dcterms:W3CDTF">2019-03-20T00:48:00Z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1024771</vt:lpwstr>
  </property>
  <property fmtid="{D5CDD505-2E9C-101B-9397-08002B2CF9AE}" pid="4" name="JMSREQUIREDCHECKIN">
    <vt:lpwstr/>
  </property>
</Properties>
</file>