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CAC96" w14:textId="77777777" w:rsidR="009C181F" w:rsidRPr="009C181F" w:rsidRDefault="009C181F" w:rsidP="009C181F">
      <w:pPr>
        <w:spacing w:before="120" w:after="0" w:line="240" w:lineRule="auto"/>
        <w:rPr>
          <w:rFonts w:ascii="Arial" w:eastAsia="Times New Roman" w:hAnsi="Arial" w:cs="Arial"/>
          <w:sz w:val="24"/>
          <w:szCs w:val="20"/>
        </w:rPr>
      </w:pPr>
      <w:bookmarkStart w:id="0" w:name="_Toc44738651"/>
      <w:r w:rsidRPr="009C181F">
        <w:rPr>
          <w:rFonts w:ascii="Arial" w:eastAsia="Times New Roman" w:hAnsi="Arial" w:cs="Arial"/>
          <w:sz w:val="24"/>
          <w:szCs w:val="20"/>
        </w:rPr>
        <w:t>Australian Capital Territory</w:t>
      </w:r>
      <w:bookmarkStart w:id="1" w:name="_GoBack"/>
      <w:bookmarkEnd w:id="1"/>
    </w:p>
    <w:p w14:paraId="5715B654" w14:textId="77777777" w:rsidR="009C181F" w:rsidRPr="009C181F" w:rsidRDefault="009C181F" w:rsidP="009C181F">
      <w:pPr>
        <w:tabs>
          <w:tab w:val="left" w:pos="2400"/>
          <w:tab w:val="left" w:pos="2880"/>
        </w:tabs>
        <w:spacing w:before="700" w:after="100" w:line="240" w:lineRule="auto"/>
        <w:rPr>
          <w:rFonts w:ascii="Arial" w:eastAsia="Times New Roman" w:hAnsi="Arial" w:cs="Times New Roman"/>
          <w:b/>
          <w:sz w:val="40"/>
          <w:szCs w:val="20"/>
        </w:rPr>
      </w:pPr>
      <w:r w:rsidRPr="009C181F">
        <w:rPr>
          <w:rFonts w:ascii="Arial" w:eastAsia="Times New Roman" w:hAnsi="Arial" w:cs="Times New Roman"/>
          <w:b/>
          <w:sz w:val="40"/>
          <w:szCs w:val="20"/>
        </w:rPr>
        <w:t>Public Interest Disclosure Guidelines 2019</w:t>
      </w:r>
    </w:p>
    <w:p w14:paraId="7700AB6C" w14:textId="77777777" w:rsidR="009C181F" w:rsidRPr="009C181F" w:rsidRDefault="009C181F" w:rsidP="009C181F">
      <w:pPr>
        <w:spacing w:before="340" w:after="0" w:line="240" w:lineRule="auto"/>
        <w:rPr>
          <w:rFonts w:ascii="Arial" w:eastAsia="Times New Roman" w:hAnsi="Arial" w:cs="Arial"/>
          <w:b/>
          <w:bCs/>
          <w:sz w:val="24"/>
          <w:szCs w:val="20"/>
        </w:rPr>
      </w:pPr>
      <w:r w:rsidRPr="009C181F">
        <w:rPr>
          <w:rFonts w:ascii="Arial" w:eastAsia="Times New Roman" w:hAnsi="Arial" w:cs="Arial"/>
          <w:b/>
          <w:bCs/>
          <w:sz w:val="24"/>
          <w:szCs w:val="20"/>
        </w:rPr>
        <w:t>Notifiable instrument NI2019–281</w:t>
      </w:r>
    </w:p>
    <w:p w14:paraId="6FBD588D" w14:textId="77777777" w:rsidR="009C181F" w:rsidRPr="009C181F" w:rsidRDefault="009C181F" w:rsidP="009C181F">
      <w:pPr>
        <w:spacing w:before="300" w:after="0" w:line="240" w:lineRule="auto"/>
        <w:jc w:val="both"/>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 xml:space="preserve">made under the  </w:t>
      </w:r>
    </w:p>
    <w:p w14:paraId="4DFAFF0D" w14:textId="77777777" w:rsidR="009C181F" w:rsidRPr="009C181F" w:rsidRDefault="009C181F" w:rsidP="009C181F">
      <w:pPr>
        <w:tabs>
          <w:tab w:val="left" w:pos="2600"/>
        </w:tabs>
        <w:spacing w:before="320" w:after="0" w:line="240" w:lineRule="auto"/>
        <w:jc w:val="both"/>
        <w:rPr>
          <w:rFonts w:ascii="Arial" w:eastAsia="Times New Roman" w:hAnsi="Arial" w:cs="Arial"/>
          <w:b/>
          <w:sz w:val="20"/>
          <w:szCs w:val="20"/>
        </w:rPr>
      </w:pPr>
      <w:r w:rsidRPr="009C181F">
        <w:rPr>
          <w:rFonts w:ascii="Arial" w:eastAsia="Times New Roman" w:hAnsi="Arial" w:cs="Arial"/>
          <w:b/>
          <w:sz w:val="20"/>
          <w:szCs w:val="20"/>
        </w:rPr>
        <w:t xml:space="preserve">Public Interest Disclosure Act 2012, section 32 (Commissioner’s Guidelines) </w:t>
      </w:r>
    </w:p>
    <w:p w14:paraId="311769DE" w14:textId="77777777" w:rsidR="009C181F" w:rsidRPr="009C181F" w:rsidRDefault="009C181F" w:rsidP="009C181F">
      <w:pPr>
        <w:spacing w:before="60" w:after="0" w:line="240" w:lineRule="auto"/>
        <w:jc w:val="both"/>
        <w:rPr>
          <w:rFonts w:ascii="Times New Roman" w:eastAsia="Times New Roman" w:hAnsi="Times New Roman" w:cs="Times New Roman"/>
          <w:sz w:val="24"/>
          <w:szCs w:val="20"/>
        </w:rPr>
      </w:pPr>
    </w:p>
    <w:p w14:paraId="6A4542D0" w14:textId="77777777" w:rsidR="009C181F" w:rsidRPr="009C181F" w:rsidRDefault="009C181F" w:rsidP="009C181F">
      <w:pPr>
        <w:pBdr>
          <w:top w:val="single" w:sz="12" w:space="1" w:color="auto"/>
        </w:pBdr>
        <w:spacing w:after="0" w:line="240" w:lineRule="auto"/>
        <w:jc w:val="both"/>
        <w:rPr>
          <w:rFonts w:ascii="Times New Roman" w:eastAsia="Times New Roman" w:hAnsi="Times New Roman" w:cs="Times New Roman"/>
          <w:sz w:val="24"/>
          <w:szCs w:val="20"/>
        </w:rPr>
      </w:pPr>
    </w:p>
    <w:p w14:paraId="7E21053E" w14:textId="77777777" w:rsidR="009C181F" w:rsidRPr="009C181F" w:rsidRDefault="009C181F" w:rsidP="009C181F">
      <w:pPr>
        <w:spacing w:before="60" w:after="60" w:line="240" w:lineRule="auto"/>
        <w:ind w:left="720" w:hanging="720"/>
        <w:rPr>
          <w:rFonts w:ascii="Arial" w:eastAsia="Times New Roman" w:hAnsi="Arial" w:cs="Arial"/>
          <w:b/>
          <w:bCs/>
          <w:sz w:val="24"/>
          <w:szCs w:val="20"/>
        </w:rPr>
      </w:pPr>
      <w:r w:rsidRPr="009C181F">
        <w:rPr>
          <w:rFonts w:ascii="Arial" w:eastAsia="Times New Roman" w:hAnsi="Arial" w:cs="Arial"/>
          <w:b/>
          <w:bCs/>
          <w:sz w:val="24"/>
          <w:szCs w:val="20"/>
        </w:rPr>
        <w:t>1</w:t>
      </w:r>
      <w:r w:rsidRPr="009C181F">
        <w:rPr>
          <w:rFonts w:ascii="Arial" w:eastAsia="Times New Roman" w:hAnsi="Arial" w:cs="Arial"/>
          <w:b/>
          <w:bCs/>
          <w:sz w:val="24"/>
          <w:szCs w:val="20"/>
        </w:rPr>
        <w:tab/>
        <w:t>Name of instrument</w:t>
      </w:r>
    </w:p>
    <w:p w14:paraId="53D31A00" w14:textId="77777777" w:rsidR="009C181F" w:rsidRPr="009C181F" w:rsidRDefault="009C181F" w:rsidP="009C181F">
      <w:pPr>
        <w:spacing w:before="140" w:after="0" w:line="240" w:lineRule="auto"/>
        <w:ind w:left="720"/>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This instrument is the Public Interest Disclosure Guidelines 2019.</w:t>
      </w:r>
    </w:p>
    <w:p w14:paraId="64996337" w14:textId="77777777" w:rsidR="009C181F" w:rsidRPr="009C181F" w:rsidRDefault="009C181F" w:rsidP="009C181F">
      <w:pPr>
        <w:spacing w:before="300" w:after="0" w:line="240" w:lineRule="auto"/>
        <w:ind w:left="720" w:hanging="720"/>
        <w:rPr>
          <w:rFonts w:ascii="Arial" w:eastAsia="Times New Roman" w:hAnsi="Arial" w:cs="Arial"/>
          <w:b/>
          <w:bCs/>
          <w:sz w:val="24"/>
          <w:szCs w:val="20"/>
        </w:rPr>
      </w:pPr>
      <w:r w:rsidRPr="009C181F">
        <w:rPr>
          <w:rFonts w:ascii="Arial" w:eastAsia="Times New Roman" w:hAnsi="Arial" w:cs="Arial"/>
          <w:b/>
          <w:bCs/>
          <w:sz w:val="24"/>
          <w:szCs w:val="20"/>
        </w:rPr>
        <w:t>2</w:t>
      </w:r>
      <w:r w:rsidRPr="009C181F">
        <w:rPr>
          <w:rFonts w:ascii="Arial" w:eastAsia="Times New Roman" w:hAnsi="Arial" w:cs="Arial"/>
          <w:b/>
          <w:bCs/>
          <w:sz w:val="24"/>
          <w:szCs w:val="20"/>
        </w:rPr>
        <w:tab/>
        <w:t xml:space="preserve">Commencement </w:t>
      </w:r>
    </w:p>
    <w:p w14:paraId="6B80206D" w14:textId="77777777" w:rsidR="009C181F" w:rsidRPr="009C181F" w:rsidRDefault="009C181F" w:rsidP="009C181F">
      <w:pPr>
        <w:spacing w:before="140" w:after="0" w:line="240" w:lineRule="auto"/>
        <w:ind w:left="720"/>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 xml:space="preserve">This instrument commences on the day after notification. </w:t>
      </w:r>
    </w:p>
    <w:p w14:paraId="2D68E192" w14:textId="77777777" w:rsidR="009C181F" w:rsidRPr="009C181F" w:rsidRDefault="009C181F" w:rsidP="009C181F">
      <w:pPr>
        <w:spacing w:before="300" w:after="0" w:line="240" w:lineRule="auto"/>
        <w:ind w:left="720" w:hanging="720"/>
        <w:rPr>
          <w:rFonts w:ascii="Arial" w:eastAsia="Times New Roman" w:hAnsi="Arial" w:cs="Arial"/>
          <w:b/>
          <w:bCs/>
          <w:sz w:val="24"/>
          <w:szCs w:val="20"/>
        </w:rPr>
      </w:pPr>
      <w:r w:rsidRPr="009C181F">
        <w:rPr>
          <w:rFonts w:ascii="Arial" w:eastAsia="Times New Roman" w:hAnsi="Arial" w:cs="Arial"/>
          <w:b/>
          <w:bCs/>
          <w:sz w:val="24"/>
          <w:szCs w:val="20"/>
        </w:rPr>
        <w:t>3</w:t>
      </w:r>
      <w:r w:rsidRPr="009C181F">
        <w:rPr>
          <w:rFonts w:ascii="Arial" w:eastAsia="Times New Roman" w:hAnsi="Arial" w:cs="Arial"/>
          <w:b/>
          <w:bCs/>
          <w:sz w:val="24"/>
          <w:szCs w:val="20"/>
        </w:rPr>
        <w:tab/>
        <w:t>Commissioner’s Guidelines</w:t>
      </w:r>
    </w:p>
    <w:p w14:paraId="2BA26E24" w14:textId="77777777" w:rsidR="009C181F" w:rsidRPr="009C181F" w:rsidRDefault="009C181F" w:rsidP="009C181F">
      <w:pPr>
        <w:spacing w:before="140" w:after="0" w:line="240" w:lineRule="auto"/>
        <w:ind w:left="720"/>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I make the guidelines as set out in schedule 1.</w:t>
      </w:r>
    </w:p>
    <w:p w14:paraId="1168153A" w14:textId="77777777" w:rsidR="009C181F" w:rsidRPr="009C181F" w:rsidRDefault="009C181F" w:rsidP="009C181F">
      <w:pPr>
        <w:spacing w:before="300" w:after="0" w:line="240" w:lineRule="auto"/>
        <w:ind w:left="720" w:hanging="720"/>
        <w:rPr>
          <w:rFonts w:ascii="Arial" w:eastAsia="Times New Roman" w:hAnsi="Arial" w:cs="Arial"/>
          <w:b/>
          <w:bCs/>
          <w:sz w:val="24"/>
          <w:szCs w:val="20"/>
        </w:rPr>
      </w:pPr>
      <w:r w:rsidRPr="009C181F">
        <w:rPr>
          <w:rFonts w:ascii="Arial" w:eastAsia="Times New Roman" w:hAnsi="Arial" w:cs="Arial"/>
          <w:b/>
          <w:bCs/>
          <w:sz w:val="24"/>
          <w:szCs w:val="20"/>
        </w:rPr>
        <w:t>4</w:t>
      </w:r>
      <w:r w:rsidRPr="009C181F">
        <w:rPr>
          <w:rFonts w:ascii="Arial" w:eastAsia="Times New Roman" w:hAnsi="Arial" w:cs="Arial"/>
          <w:b/>
          <w:bCs/>
          <w:sz w:val="24"/>
          <w:szCs w:val="20"/>
        </w:rPr>
        <w:tab/>
        <w:t>Revocation</w:t>
      </w:r>
    </w:p>
    <w:p w14:paraId="610303BF" w14:textId="77777777" w:rsidR="009C181F" w:rsidRPr="009C181F" w:rsidRDefault="009C181F" w:rsidP="009C181F">
      <w:pPr>
        <w:spacing w:before="140" w:after="0" w:line="240" w:lineRule="auto"/>
        <w:ind w:left="720"/>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This instrument revokes Public Interest Disclosure Guidelines 2017   [NI2017–290].</w:t>
      </w:r>
    </w:p>
    <w:p w14:paraId="4BB3A0A2" w14:textId="77777777" w:rsidR="009C181F" w:rsidRPr="009C181F" w:rsidRDefault="009C181F" w:rsidP="009C181F">
      <w:pPr>
        <w:tabs>
          <w:tab w:val="left" w:pos="4320"/>
        </w:tabs>
        <w:spacing w:before="720" w:after="0" w:line="240" w:lineRule="auto"/>
        <w:rPr>
          <w:rFonts w:ascii="Times New Roman" w:eastAsia="Times New Roman" w:hAnsi="Times New Roman" w:cs="Times New Roman"/>
          <w:sz w:val="24"/>
          <w:szCs w:val="20"/>
        </w:rPr>
      </w:pPr>
    </w:p>
    <w:p w14:paraId="4526566B" w14:textId="77777777" w:rsidR="009C181F" w:rsidRPr="009C181F" w:rsidRDefault="009C181F" w:rsidP="009C181F">
      <w:pPr>
        <w:tabs>
          <w:tab w:val="left" w:pos="4320"/>
        </w:tabs>
        <w:spacing w:before="720" w:after="0" w:line="240" w:lineRule="auto"/>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Ian McPhee AO PSM</w:t>
      </w:r>
    </w:p>
    <w:p w14:paraId="6ACE3277" w14:textId="77777777" w:rsidR="009C181F" w:rsidRPr="009C181F" w:rsidRDefault="009C181F" w:rsidP="009C181F">
      <w:pPr>
        <w:tabs>
          <w:tab w:val="left" w:pos="4320"/>
        </w:tabs>
        <w:spacing w:after="0" w:line="240" w:lineRule="auto"/>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Public Sector Standards Commissioner</w:t>
      </w:r>
    </w:p>
    <w:p w14:paraId="0372F925" w14:textId="77777777" w:rsidR="009C181F" w:rsidRPr="009C181F" w:rsidRDefault="009C181F" w:rsidP="009C181F">
      <w:pPr>
        <w:tabs>
          <w:tab w:val="left" w:pos="4320"/>
        </w:tabs>
        <w:spacing w:after="0" w:line="240" w:lineRule="auto"/>
        <w:rPr>
          <w:rFonts w:ascii="Times New Roman" w:eastAsia="Times New Roman" w:hAnsi="Times New Roman" w:cs="Times New Roman"/>
          <w:sz w:val="24"/>
          <w:szCs w:val="20"/>
        </w:rPr>
      </w:pPr>
      <w:r w:rsidRPr="009C181F">
        <w:rPr>
          <w:rFonts w:ascii="Times New Roman" w:eastAsia="Times New Roman" w:hAnsi="Times New Roman" w:cs="Times New Roman"/>
          <w:sz w:val="24"/>
          <w:szCs w:val="20"/>
        </w:rPr>
        <w:t xml:space="preserve">7 May 2019 </w:t>
      </w:r>
      <w:bookmarkEnd w:id="0"/>
    </w:p>
    <w:p w14:paraId="589A04D2" w14:textId="77777777" w:rsidR="009C181F" w:rsidRDefault="009C181F" w:rsidP="0060581C">
      <w:pPr>
        <w:spacing w:line="240" w:lineRule="auto"/>
        <w:sectPr w:rsidR="009C181F" w:rsidSect="00E600FB">
          <w:footerReference w:type="default" r:id="rId8"/>
          <w:pgSz w:w="11910" w:h="16840"/>
          <w:pgMar w:top="1440" w:right="1797" w:bottom="1440" w:left="1797" w:header="0" w:footer="1361" w:gutter="0"/>
          <w:pgNumType w:start="0"/>
          <w:cols w:space="720"/>
          <w:noEndnote/>
          <w:docGrid w:linePitch="299"/>
        </w:sectPr>
      </w:pPr>
    </w:p>
    <w:p w14:paraId="13B891E5" w14:textId="420F1B60" w:rsidR="004E7B8B" w:rsidRPr="004E7B8B" w:rsidRDefault="004E7B8B" w:rsidP="0060581C">
      <w:pPr>
        <w:spacing w:line="240" w:lineRule="auto"/>
      </w:pPr>
      <w:r w:rsidRPr="004E7B8B">
        <w:rPr>
          <w:noProof/>
          <w:lang w:eastAsia="en-AU"/>
        </w:rPr>
        <w:lastRenderedPageBreak/>
        <w:drawing>
          <wp:inline distT="0" distB="0" distL="0" distR="0" wp14:anchorId="39D17B6D" wp14:editId="3478CFE7">
            <wp:extent cx="5619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4E7B8B">
        <w:t xml:space="preserve"> </w:t>
      </w:r>
      <w:r w:rsidRPr="004E7B8B">
        <w:rPr>
          <w:noProof/>
          <w:lang w:eastAsia="en-AU"/>
        </w:rPr>
        <w:drawing>
          <wp:inline distT="0" distB="0" distL="0" distR="0" wp14:anchorId="19CC9974" wp14:editId="5927A405">
            <wp:extent cx="46672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95275"/>
                    </a:xfrm>
                    <a:prstGeom prst="rect">
                      <a:avLst/>
                    </a:prstGeom>
                    <a:noFill/>
                    <a:ln>
                      <a:noFill/>
                    </a:ln>
                  </pic:spPr>
                </pic:pic>
              </a:graphicData>
            </a:graphic>
          </wp:inline>
        </w:drawing>
      </w:r>
    </w:p>
    <w:p w14:paraId="2AC1B710" w14:textId="77777777" w:rsidR="004E7B8B" w:rsidRPr="004E7B8B" w:rsidRDefault="004E7B8B" w:rsidP="0060581C">
      <w:pPr>
        <w:spacing w:line="240" w:lineRule="auto"/>
      </w:pPr>
    </w:p>
    <w:p w14:paraId="6498B57B" w14:textId="77777777" w:rsidR="004E7B8B" w:rsidRPr="004E7B8B" w:rsidRDefault="004E7B8B" w:rsidP="0060581C">
      <w:pPr>
        <w:spacing w:line="240" w:lineRule="auto"/>
      </w:pPr>
    </w:p>
    <w:p w14:paraId="51771343" w14:textId="77777777" w:rsidR="004E7B8B" w:rsidRPr="004E7B8B" w:rsidRDefault="004E7B8B" w:rsidP="0060581C">
      <w:pPr>
        <w:spacing w:line="240" w:lineRule="auto"/>
      </w:pPr>
    </w:p>
    <w:p w14:paraId="602ADA8A" w14:textId="77777777" w:rsidR="004E7B8B" w:rsidRPr="00851F46" w:rsidRDefault="00A47CDA" w:rsidP="0060581C">
      <w:pPr>
        <w:spacing w:after="0" w:line="240" w:lineRule="auto"/>
        <w:rPr>
          <w:b/>
        </w:rPr>
      </w:pPr>
      <w:r w:rsidRPr="00851F46">
        <w:rPr>
          <w:b/>
        </w:rPr>
        <w:t>Public Sector Standards Commissioner</w:t>
      </w:r>
    </w:p>
    <w:p w14:paraId="670EBADE" w14:textId="77777777" w:rsidR="004E7B8B" w:rsidRPr="00851F46" w:rsidRDefault="004E7B8B" w:rsidP="0060581C">
      <w:pPr>
        <w:spacing w:after="0" w:line="240" w:lineRule="auto"/>
        <w:rPr>
          <w:b/>
          <w:bCs/>
          <w:sz w:val="36"/>
          <w:szCs w:val="36"/>
        </w:rPr>
      </w:pPr>
      <w:r w:rsidRPr="00851F46">
        <w:rPr>
          <w:b/>
          <w:bCs/>
          <w:sz w:val="36"/>
          <w:szCs w:val="36"/>
        </w:rPr>
        <w:t>Public Int</w:t>
      </w:r>
      <w:r w:rsidR="006F2516" w:rsidRPr="00851F46">
        <w:rPr>
          <w:b/>
          <w:bCs/>
          <w:sz w:val="36"/>
          <w:szCs w:val="36"/>
        </w:rPr>
        <w:t>erest Disclosure Guidelines 2019</w:t>
      </w:r>
    </w:p>
    <w:p w14:paraId="3B23D594" w14:textId="77777777" w:rsidR="004E7B8B" w:rsidRPr="004E7B8B" w:rsidRDefault="004E7B8B" w:rsidP="0060581C">
      <w:pPr>
        <w:spacing w:line="240" w:lineRule="auto"/>
        <w:rPr>
          <w:b/>
          <w:bCs/>
        </w:rPr>
      </w:pPr>
    </w:p>
    <w:p w14:paraId="68C55D10" w14:textId="77777777" w:rsidR="004E7B8B" w:rsidRPr="004E7B8B" w:rsidRDefault="004E7B8B" w:rsidP="0060581C">
      <w:pPr>
        <w:spacing w:line="240" w:lineRule="auto"/>
        <w:rPr>
          <w:b/>
          <w:bCs/>
        </w:rPr>
      </w:pPr>
    </w:p>
    <w:p w14:paraId="769027E5" w14:textId="77777777" w:rsidR="004E7B8B" w:rsidRPr="004E7B8B" w:rsidRDefault="004E7B8B" w:rsidP="0060581C">
      <w:pPr>
        <w:spacing w:line="240" w:lineRule="auto"/>
        <w:rPr>
          <w:b/>
          <w:bCs/>
        </w:rPr>
      </w:pPr>
    </w:p>
    <w:p w14:paraId="13576A6A" w14:textId="77777777" w:rsidR="004E7B8B" w:rsidRPr="004E7B8B" w:rsidRDefault="004E7B8B" w:rsidP="0060581C">
      <w:pPr>
        <w:spacing w:line="240" w:lineRule="auto"/>
        <w:rPr>
          <w:b/>
          <w:bCs/>
        </w:rPr>
      </w:pPr>
    </w:p>
    <w:p w14:paraId="1B9A1F7B" w14:textId="77777777" w:rsidR="004E7B8B" w:rsidRPr="004E7B8B" w:rsidRDefault="004E7B8B" w:rsidP="0060581C">
      <w:pPr>
        <w:spacing w:line="240" w:lineRule="auto"/>
        <w:rPr>
          <w:b/>
          <w:bCs/>
        </w:rPr>
      </w:pPr>
    </w:p>
    <w:p w14:paraId="02B6634A" w14:textId="77777777" w:rsidR="004E7B8B" w:rsidRPr="004E7B8B" w:rsidRDefault="004E7B8B" w:rsidP="0060581C">
      <w:pPr>
        <w:spacing w:line="240" w:lineRule="auto"/>
        <w:rPr>
          <w:b/>
          <w:bCs/>
        </w:rPr>
      </w:pPr>
    </w:p>
    <w:p w14:paraId="2A0BCACD" w14:textId="77777777" w:rsidR="004E7B8B" w:rsidRPr="004E7B8B" w:rsidRDefault="004E7B8B" w:rsidP="0060581C">
      <w:pPr>
        <w:spacing w:line="240" w:lineRule="auto"/>
        <w:rPr>
          <w:b/>
          <w:bCs/>
        </w:rPr>
      </w:pPr>
    </w:p>
    <w:p w14:paraId="216FE7CE" w14:textId="77777777" w:rsidR="004E7B8B" w:rsidRPr="004E7B8B" w:rsidRDefault="004E7B8B" w:rsidP="0060581C">
      <w:pPr>
        <w:spacing w:line="240" w:lineRule="auto"/>
        <w:rPr>
          <w:b/>
          <w:bCs/>
        </w:rPr>
      </w:pPr>
    </w:p>
    <w:p w14:paraId="5D1C7F55" w14:textId="77777777" w:rsidR="004E7B8B" w:rsidRPr="004E7B8B" w:rsidRDefault="004E7B8B" w:rsidP="0060581C">
      <w:pPr>
        <w:spacing w:line="240" w:lineRule="auto"/>
        <w:rPr>
          <w:b/>
          <w:bCs/>
        </w:rPr>
      </w:pPr>
    </w:p>
    <w:p w14:paraId="294DD43F" w14:textId="77777777" w:rsidR="004E7B8B" w:rsidRPr="004E7B8B" w:rsidRDefault="004E7B8B" w:rsidP="0060581C">
      <w:pPr>
        <w:spacing w:line="240" w:lineRule="auto"/>
        <w:rPr>
          <w:b/>
          <w:bCs/>
        </w:rPr>
      </w:pPr>
    </w:p>
    <w:p w14:paraId="29D42BBC" w14:textId="77777777" w:rsidR="004E7B8B" w:rsidRPr="004E7B8B" w:rsidRDefault="004E7B8B" w:rsidP="0060581C">
      <w:pPr>
        <w:spacing w:line="240" w:lineRule="auto"/>
        <w:rPr>
          <w:b/>
          <w:bCs/>
        </w:rPr>
      </w:pPr>
    </w:p>
    <w:p w14:paraId="4B9EA3A3" w14:textId="77777777" w:rsidR="004E7B8B" w:rsidRPr="004E7B8B" w:rsidRDefault="004E7B8B" w:rsidP="0060581C">
      <w:pPr>
        <w:spacing w:line="240" w:lineRule="auto"/>
        <w:rPr>
          <w:b/>
          <w:bCs/>
        </w:rPr>
      </w:pPr>
    </w:p>
    <w:p w14:paraId="1FF883FA" w14:textId="77777777" w:rsidR="004E7B8B" w:rsidRPr="004E7B8B" w:rsidRDefault="004E7B8B" w:rsidP="0060581C">
      <w:pPr>
        <w:spacing w:line="240" w:lineRule="auto"/>
        <w:rPr>
          <w:b/>
          <w:bCs/>
        </w:rPr>
      </w:pPr>
    </w:p>
    <w:p w14:paraId="05D4BD3C" w14:textId="77777777" w:rsidR="008A2577" w:rsidRDefault="004E7B8B" w:rsidP="0060581C">
      <w:pPr>
        <w:spacing w:after="0" w:line="240" w:lineRule="auto"/>
        <w:rPr>
          <w:b/>
          <w:bCs/>
          <w:i/>
          <w:iCs/>
          <w:sz w:val="28"/>
          <w:szCs w:val="28"/>
        </w:rPr>
      </w:pPr>
      <w:r w:rsidRPr="00851F46">
        <w:rPr>
          <w:b/>
          <w:bCs/>
          <w:sz w:val="28"/>
          <w:szCs w:val="28"/>
        </w:rPr>
        <w:t xml:space="preserve">Made under the </w:t>
      </w:r>
      <w:r w:rsidRPr="00E87866">
        <w:rPr>
          <w:b/>
          <w:bCs/>
          <w:i/>
          <w:iCs/>
          <w:sz w:val="28"/>
          <w:szCs w:val="28"/>
        </w:rPr>
        <w:t>Public Interest Disclosure Act 2012</w:t>
      </w:r>
    </w:p>
    <w:p w14:paraId="3F2C893B" w14:textId="4516178F" w:rsidR="00607553" w:rsidRPr="008A2577" w:rsidRDefault="00482B42" w:rsidP="008A2577">
      <w:pPr>
        <w:spacing w:after="0" w:line="240" w:lineRule="auto"/>
        <w:rPr>
          <w:b/>
          <w:bCs/>
          <w:i/>
          <w:iCs/>
          <w:sz w:val="28"/>
          <w:szCs w:val="28"/>
        </w:rPr>
      </w:pPr>
      <w:r>
        <w:rPr>
          <w:b/>
          <w:bCs/>
        </w:rPr>
        <w:t>May</w:t>
      </w:r>
      <w:r w:rsidR="00EA6F7E">
        <w:rPr>
          <w:b/>
          <w:bCs/>
        </w:rPr>
        <w:t xml:space="preserve"> </w:t>
      </w:r>
      <w:r w:rsidR="004E7B8B" w:rsidRPr="00C87F17">
        <w:rPr>
          <w:b/>
          <w:bCs/>
        </w:rPr>
        <w:t>2019</w:t>
      </w:r>
    </w:p>
    <w:p w14:paraId="2A9961E5" w14:textId="77777777" w:rsidR="00607553" w:rsidRDefault="00607553" w:rsidP="0060581C">
      <w:pPr>
        <w:spacing w:after="0" w:line="240" w:lineRule="auto"/>
        <w:rPr>
          <w:b/>
          <w:bCs/>
        </w:rPr>
      </w:pPr>
    </w:p>
    <w:p w14:paraId="594D5047" w14:textId="77777777" w:rsidR="00607553" w:rsidRDefault="00607553" w:rsidP="0060581C">
      <w:pPr>
        <w:spacing w:after="0" w:line="240" w:lineRule="auto"/>
        <w:rPr>
          <w:b/>
          <w:bCs/>
        </w:rPr>
      </w:pPr>
    </w:p>
    <w:p w14:paraId="060D9594" w14:textId="77777777" w:rsidR="00607553" w:rsidRDefault="00607553" w:rsidP="0060581C">
      <w:pPr>
        <w:spacing w:after="0" w:line="240" w:lineRule="auto"/>
        <w:rPr>
          <w:b/>
          <w:bCs/>
        </w:rPr>
      </w:pPr>
    </w:p>
    <w:p w14:paraId="523003D0" w14:textId="77777777" w:rsidR="00607553" w:rsidRDefault="00607553" w:rsidP="0060581C">
      <w:pPr>
        <w:spacing w:after="0" w:line="240" w:lineRule="auto"/>
        <w:rPr>
          <w:b/>
          <w:bCs/>
        </w:rPr>
      </w:pPr>
    </w:p>
    <w:p w14:paraId="170F337B" w14:textId="77777777" w:rsidR="00607553" w:rsidRDefault="00607553" w:rsidP="0060581C">
      <w:pPr>
        <w:spacing w:after="0" w:line="240" w:lineRule="auto"/>
        <w:rPr>
          <w:b/>
          <w:bCs/>
        </w:rPr>
      </w:pPr>
    </w:p>
    <w:p w14:paraId="3D36C542" w14:textId="77777777" w:rsidR="00607553" w:rsidRDefault="00607553" w:rsidP="0060581C">
      <w:pPr>
        <w:spacing w:after="0" w:line="240" w:lineRule="auto"/>
        <w:rPr>
          <w:b/>
          <w:bCs/>
        </w:rPr>
      </w:pPr>
    </w:p>
    <w:p w14:paraId="793A4B11" w14:textId="77777777" w:rsidR="00607553" w:rsidRDefault="00607553" w:rsidP="0060581C">
      <w:pPr>
        <w:spacing w:after="0" w:line="240" w:lineRule="auto"/>
        <w:rPr>
          <w:b/>
          <w:bCs/>
        </w:rPr>
      </w:pPr>
    </w:p>
    <w:p w14:paraId="4C5EC010" w14:textId="77777777" w:rsidR="00607553" w:rsidRDefault="00607553" w:rsidP="0060581C">
      <w:pPr>
        <w:spacing w:after="0" w:line="240" w:lineRule="auto"/>
        <w:rPr>
          <w:b/>
          <w:bCs/>
        </w:rPr>
      </w:pPr>
    </w:p>
    <w:p w14:paraId="69FB0D70" w14:textId="77777777" w:rsidR="00607553" w:rsidRDefault="00607553" w:rsidP="0060581C">
      <w:pPr>
        <w:spacing w:after="0" w:line="240" w:lineRule="auto"/>
        <w:rPr>
          <w:b/>
          <w:bCs/>
        </w:rPr>
      </w:pPr>
    </w:p>
    <w:p w14:paraId="5F3F638B" w14:textId="77777777" w:rsidR="00607553" w:rsidRDefault="00607553" w:rsidP="0060581C">
      <w:pPr>
        <w:spacing w:after="0" w:line="240" w:lineRule="auto"/>
        <w:rPr>
          <w:b/>
          <w:bCs/>
        </w:rPr>
      </w:pPr>
    </w:p>
    <w:p w14:paraId="1DDAADE1" w14:textId="77777777" w:rsidR="00607553" w:rsidRDefault="00607553" w:rsidP="0060581C">
      <w:pPr>
        <w:spacing w:after="0" w:line="240" w:lineRule="auto"/>
        <w:rPr>
          <w:b/>
          <w:bCs/>
        </w:rPr>
      </w:pPr>
    </w:p>
    <w:p w14:paraId="694D572B" w14:textId="77777777" w:rsidR="00607553" w:rsidRDefault="00607553" w:rsidP="0060581C">
      <w:pPr>
        <w:spacing w:after="0" w:line="240" w:lineRule="auto"/>
        <w:rPr>
          <w:b/>
          <w:bCs/>
        </w:rPr>
      </w:pPr>
    </w:p>
    <w:p w14:paraId="571602EF" w14:textId="77777777" w:rsidR="00607553" w:rsidRDefault="00607553" w:rsidP="0060581C">
      <w:pPr>
        <w:spacing w:after="0" w:line="240" w:lineRule="auto"/>
        <w:rPr>
          <w:b/>
          <w:bCs/>
        </w:rPr>
      </w:pPr>
    </w:p>
    <w:p w14:paraId="027B5D66" w14:textId="77777777" w:rsidR="00607553" w:rsidRDefault="00607553" w:rsidP="0060581C">
      <w:pPr>
        <w:spacing w:after="0" w:line="240" w:lineRule="auto"/>
        <w:rPr>
          <w:b/>
          <w:bCs/>
        </w:rPr>
      </w:pPr>
    </w:p>
    <w:p w14:paraId="51BACBF9" w14:textId="77777777" w:rsidR="00607553" w:rsidRDefault="00607553" w:rsidP="0060581C">
      <w:pPr>
        <w:spacing w:after="0" w:line="240" w:lineRule="auto"/>
        <w:rPr>
          <w:b/>
          <w:bCs/>
        </w:rPr>
      </w:pPr>
    </w:p>
    <w:p w14:paraId="062FF8F6" w14:textId="77777777" w:rsidR="00607553" w:rsidRDefault="00607553" w:rsidP="0060581C">
      <w:pPr>
        <w:spacing w:line="240" w:lineRule="auto"/>
        <w:rPr>
          <w:b/>
          <w:bCs/>
        </w:rPr>
      </w:pPr>
      <w:r>
        <w:rPr>
          <w:b/>
          <w:bCs/>
        </w:rPr>
        <w:br w:type="page"/>
      </w:r>
    </w:p>
    <w:p w14:paraId="796EB640" w14:textId="77777777" w:rsidR="004E7B8B" w:rsidRPr="00732D38" w:rsidRDefault="004E7B8B" w:rsidP="0060581C">
      <w:pPr>
        <w:spacing w:after="0" w:line="240" w:lineRule="auto"/>
        <w:rPr>
          <w:b/>
          <w:bCs/>
          <w:sz w:val="28"/>
          <w:szCs w:val="28"/>
          <w:u w:val="single"/>
        </w:rPr>
      </w:pPr>
      <w:r w:rsidRPr="00732D38">
        <w:rPr>
          <w:b/>
          <w:bCs/>
          <w:sz w:val="28"/>
          <w:szCs w:val="28"/>
          <w:u w:val="single"/>
        </w:rPr>
        <w:lastRenderedPageBreak/>
        <w:t>Contents</w:t>
      </w:r>
    </w:p>
    <w:p w14:paraId="2752C0FE" w14:textId="77777777" w:rsidR="00057F38" w:rsidRDefault="00057F38" w:rsidP="0060581C">
      <w:pPr>
        <w:spacing w:line="240" w:lineRule="auto"/>
        <w:rPr>
          <w:rFonts w:cs="Arial"/>
          <w:b/>
          <w:bCs/>
          <w:sz w:val="24"/>
          <w:szCs w:val="24"/>
        </w:rPr>
      </w:pPr>
    </w:p>
    <w:p w14:paraId="2CC2A0F9" w14:textId="6CE86529" w:rsidR="009A332A" w:rsidRPr="008218C9" w:rsidRDefault="009A332A" w:rsidP="0060581C">
      <w:pPr>
        <w:spacing w:line="240" w:lineRule="auto"/>
        <w:rPr>
          <w:rFonts w:cs="Arial"/>
          <w:b/>
          <w:bCs/>
        </w:rPr>
      </w:pPr>
      <w:r w:rsidRPr="008218C9">
        <w:rPr>
          <w:rFonts w:cs="Arial"/>
          <w:b/>
          <w:bCs/>
        </w:rPr>
        <w:t>Commissioner’s Foreword</w:t>
      </w:r>
      <w:r w:rsidR="00760A17">
        <w:rPr>
          <w:rFonts w:cs="Arial"/>
          <w:b/>
          <w:bCs/>
        </w:rPr>
        <w:t>…………………………………………………………………………………</w:t>
      </w:r>
      <w:r w:rsidR="00E44FB7">
        <w:rPr>
          <w:rFonts w:cs="Arial"/>
          <w:b/>
          <w:bCs/>
        </w:rPr>
        <w:t>.</w:t>
      </w:r>
      <w:r w:rsidR="00760A17">
        <w:rPr>
          <w:rFonts w:cs="Arial"/>
          <w:b/>
          <w:bCs/>
        </w:rPr>
        <w:t>…………</w:t>
      </w:r>
      <w:r w:rsidR="00060DB5">
        <w:rPr>
          <w:rFonts w:cs="Arial"/>
          <w:b/>
          <w:bCs/>
        </w:rPr>
        <w:t>.</w:t>
      </w:r>
      <w:r w:rsidR="00261D2B">
        <w:rPr>
          <w:rFonts w:cs="Arial"/>
          <w:b/>
          <w:bCs/>
        </w:rPr>
        <w:t>.</w:t>
      </w:r>
      <w:r w:rsidR="007304FB">
        <w:rPr>
          <w:rFonts w:cs="Arial"/>
          <w:b/>
          <w:bCs/>
        </w:rPr>
        <w:tab/>
      </w:r>
      <w:r w:rsidR="001405C1">
        <w:rPr>
          <w:rFonts w:cs="Arial"/>
          <w:b/>
          <w:bCs/>
        </w:rPr>
        <w:t>4</w:t>
      </w:r>
    </w:p>
    <w:p w14:paraId="2BFFAAC6" w14:textId="369CE513" w:rsidR="00F20190" w:rsidRDefault="009A332A" w:rsidP="0060581C">
      <w:pPr>
        <w:spacing w:line="240" w:lineRule="auto"/>
        <w:rPr>
          <w:rFonts w:cs="Arial"/>
          <w:b/>
          <w:bCs/>
        </w:rPr>
      </w:pPr>
      <w:r w:rsidRPr="008218C9">
        <w:rPr>
          <w:rFonts w:cs="Arial"/>
          <w:b/>
          <w:bCs/>
        </w:rPr>
        <w:t>Introduction</w:t>
      </w:r>
      <w:r w:rsidR="00760A17">
        <w:rPr>
          <w:rFonts w:cs="Arial"/>
          <w:b/>
          <w:bCs/>
        </w:rPr>
        <w:t>……………………………………………………………………………………………………………..</w:t>
      </w:r>
      <w:r w:rsidR="001405C1">
        <w:rPr>
          <w:rFonts w:cs="Arial"/>
          <w:b/>
          <w:bCs/>
        </w:rPr>
        <w:t>....</w:t>
      </w:r>
      <w:r w:rsidR="00060DB5">
        <w:rPr>
          <w:rFonts w:cs="Arial"/>
          <w:b/>
          <w:bCs/>
        </w:rPr>
        <w:t>..</w:t>
      </w:r>
      <w:r w:rsidR="007304FB">
        <w:rPr>
          <w:rFonts w:cs="Arial"/>
          <w:b/>
          <w:bCs/>
        </w:rPr>
        <w:tab/>
      </w:r>
      <w:r w:rsidR="001405C1">
        <w:rPr>
          <w:rFonts w:cs="Arial"/>
          <w:b/>
          <w:bCs/>
        </w:rPr>
        <w:t>5</w:t>
      </w:r>
    </w:p>
    <w:p w14:paraId="41A63BFC" w14:textId="3EC15632" w:rsidR="009A332A" w:rsidRPr="00732D38" w:rsidRDefault="001854C6" w:rsidP="0060581C">
      <w:pPr>
        <w:spacing w:line="240" w:lineRule="auto"/>
        <w:rPr>
          <w:rFonts w:cs="Arial"/>
          <w:b/>
          <w:bCs/>
        </w:rPr>
      </w:pPr>
      <w:r>
        <w:rPr>
          <w:rFonts w:cs="Arial"/>
          <w:b/>
          <w:bCs/>
        </w:rPr>
        <w:t>The ACT Integrity Commission</w:t>
      </w:r>
      <w:r w:rsidR="00760A17">
        <w:rPr>
          <w:rFonts w:cs="Arial"/>
          <w:b/>
          <w:bCs/>
        </w:rPr>
        <w:t>……………………………………………………………………………………</w:t>
      </w:r>
      <w:r w:rsidR="007304FB">
        <w:rPr>
          <w:rFonts w:cs="Arial"/>
          <w:b/>
          <w:bCs/>
        </w:rPr>
        <w:t>…</w:t>
      </w:r>
      <w:r w:rsidR="007304FB">
        <w:rPr>
          <w:rFonts w:cs="Arial"/>
          <w:b/>
          <w:bCs/>
        </w:rPr>
        <w:tab/>
      </w:r>
      <w:r w:rsidR="007304FB">
        <w:rPr>
          <w:rFonts w:cs="Arial"/>
          <w:b/>
          <w:bCs/>
        </w:rPr>
        <w:tab/>
      </w:r>
      <w:r w:rsidR="00B5431D">
        <w:rPr>
          <w:rFonts w:cs="Arial"/>
          <w:b/>
          <w:bCs/>
        </w:rPr>
        <w:t>5</w:t>
      </w:r>
    </w:p>
    <w:p w14:paraId="0ADF2EE7" w14:textId="5CFF699C" w:rsidR="00F20190" w:rsidRDefault="000D3754" w:rsidP="00F20190">
      <w:pPr>
        <w:spacing w:line="240" w:lineRule="auto"/>
        <w:rPr>
          <w:rFonts w:cs="Arial"/>
          <w:b/>
          <w:bCs/>
        </w:rPr>
      </w:pPr>
      <w:r w:rsidRPr="00732D38">
        <w:rPr>
          <w:rFonts w:cs="Arial"/>
          <w:b/>
          <w:bCs/>
        </w:rPr>
        <w:t>Part One:  Guidance for d</w:t>
      </w:r>
      <w:r w:rsidR="00AD1F7F" w:rsidRPr="00732D38">
        <w:rPr>
          <w:rFonts w:cs="Arial"/>
          <w:b/>
          <w:bCs/>
        </w:rPr>
        <w:t>isclosers</w:t>
      </w:r>
      <w:r w:rsidR="00760A17">
        <w:rPr>
          <w:rFonts w:cs="Arial"/>
          <w:b/>
          <w:bCs/>
        </w:rPr>
        <w:t>……………………………………………………………………..…</w:t>
      </w:r>
      <w:r w:rsidR="00060DB5">
        <w:rPr>
          <w:rFonts w:cs="Arial"/>
          <w:b/>
          <w:bCs/>
        </w:rPr>
        <w:t>……….</w:t>
      </w:r>
      <w:r w:rsidR="007304FB">
        <w:rPr>
          <w:rFonts w:cs="Arial"/>
          <w:b/>
          <w:bCs/>
        </w:rPr>
        <w:tab/>
      </w:r>
      <w:r w:rsidR="001405C1">
        <w:rPr>
          <w:rFonts w:cs="Arial"/>
          <w:b/>
          <w:bCs/>
        </w:rPr>
        <w:t>7</w:t>
      </w:r>
    </w:p>
    <w:p w14:paraId="4A69FD6E" w14:textId="456105D6" w:rsidR="009A332A" w:rsidRPr="00760A17" w:rsidRDefault="008D1E51" w:rsidP="00F20190">
      <w:pPr>
        <w:spacing w:line="240" w:lineRule="auto"/>
        <w:ind w:firstLine="720"/>
        <w:rPr>
          <w:rFonts w:cs="Arial"/>
          <w:bCs/>
        </w:rPr>
      </w:pPr>
      <w:r>
        <w:rPr>
          <w:rFonts w:cs="Arial"/>
          <w:bCs/>
        </w:rPr>
        <w:t xml:space="preserve">1. </w:t>
      </w:r>
      <w:r w:rsidR="00732D38" w:rsidRPr="00760A17">
        <w:rPr>
          <w:rFonts w:cs="Arial"/>
          <w:bCs/>
        </w:rPr>
        <w:t xml:space="preserve">Public </w:t>
      </w:r>
      <w:r w:rsidR="001854C6" w:rsidRPr="00760A17">
        <w:rPr>
          <w:rFonts w:cs="Arial"/>
          <w:bCs/>
        </w:rPr>
        <w:t>I</w:t>
      </w:r>
      <w:r w:rsidR="00732D38" w:rsidRPr="00760A17">
        <w:rPr>
          <w:rFonts w:cs="Arial"/>
          <w:bCs/>
        </w:rPr>
        <w:t xml:space="preserve">nterest </w:t>
      </w:r>
      <w:r w:rsidR="001854C6" w:rsidRPr="00760A17">
        <w:rPr>
          <w:rFonts w:cs="Arial"/>
          <w:bCs/>
        </w:rPr>
        <w:t>D</w:t>
      </w:r>
      <w:r w:rsidR="009A332A" w:rsidRPr="00760A17">
        <w:rPr>
          <w:rFonts w:cs="Arial"/>
          <w:bCs/>
        </w:rPr>
        <w:t>isclosures</w:t>
      </w:r>
      <w:r w:rsidR="00760A17">
        <w:rPr>
          <w:rFonts w:cs="Arial"/>
          <w:bCs/>
        </w:rPr>
        <w:t>…………………………………………………………………………………</w:t>
      </w:r>
      <w:r w:rsidR="00261D2B">
        <w:rPr>
          <w:rFonts w:cs="Arial"/>
          <w:bCs/>
        </w:rPr>
        <w:t>..</w:t>
      </w:r>
      <w:r w:rsidR="007304FB">
        <w:rPr>
          <w:rFonts w:cs="Arial"/>
          <w:b/>
          <w:bCs/>
        </w:rPr>
        <w:tab/>
      </w:r>
      <w:r w:rsidR="001405C1">
        <w:rPr>
          <w:rFonts w:cs="Arial"/>
          <w:b/>
          <w:bCs/>
        </w:rPr>
        <w:t>7</w:t>
      </w:r>
    </w:p>
    <w:p w14:paraId="5F2C385B" w14:textId="7C313AE8" w:rsidR="009A332A" w:rsidRPr="00760A17" w:rsidRDefault="008D1E51" w:rsidP="00060DB5">
      <w:pPr>
        <w:spacing w:line="240" w:lineRule="auto"/>
        <w:ind w:left="1440"/>
        <w:rPr>
          <w:rFonts w:cs="Arial"/>
          <w:bCs/>
        </w:rPr>
      </w:pPr>
      <w:r>
        <w:rPr>
          <w:rFonts w:cs="Arial"/>
          <w:bCs/>
        </w:rPr>
        <w:t xml:space="preserve">1.1 </w:t>
      </w:r>
      <w:r w:rsidR="00EA6F7E" w:rsidRPr="00760A17">
        <w:rPr>
          <w:rFonts w:cs="Arial"/>
          <w:bCs/>
        </w:rPr>
        <w:t>What is a Public Interest D</w:t>
      </w:r>
      <w:r w:rsidR="009A332A" w:rsidRPr="00760A17">
        <w:rPr>
          <w:rFonts w:cs="Arial"/>
          <w:bCs/>
        </w:rPr>
        <w:t>isclosure?</w:t>
      </w:r>
      <w:r w:rsidR="00760A17">
        <w:rPr>
          <w:rFonts w:cs="Arial"/>
          <w:bCs/>
        </w:rPr>
        <w:t>........................</w:t>
      </w:r>
      <w:r w:rsidR="00060DB5">
        <w:rPr>
          <w:rFonts w:cs="Arial"/>
          <w:bCs/>
        </w:rPr>
        <w:t>.................</w:t>
      </w:r>
      <w:r w:rsidR="007304FB">
        <w:rPr>
          <w:rFonts w:cs="Arial"/>
          <w:bCs/>
        </w:rPr>
        <w:t>................</w:t>
      </w:r>
      <w:r w:rsidR="007304FB">
        <w:rPr>
          <w:rFonts w:cs="Arial"/>
          <w:bCs/>
        </w:rPr>
        <w:tab/>
      </w:r>
      <w:r w:rsidR="00760A17" w:rsidRPr="00760A17">
        <w:rPr>
          <w:rFonts w:cs="Arial"/>
          <w:b/>
          <w:bCs/>
        </w:rPr>
        <w:t>7</w:t>
      </w:r>
    </w:p>
    <w:p w14:paraId="3E7ADB44" w14:textId="32E4C68D" w:rsidR="009A332A" w:rsidRDefault="008D1E51" w:rsidP="00060DB5">
      <w:pPr>
        <w:spacing w:line="240" w:lineRule="auto"/>
        <w:ind w:left="1440"/>
        <w:rPr>
          <w:rFonts w:cs="Arial"/>
          <w:b/>
          <w:bCs/>
        </w:rPr>
      </w:pPr>
      <w:r>
        <w:rPr>
          <w:rFonts w:cs="Arial"/>
          <w:bCs/>
        </w:rPr>
        <w:t xml:space="preserve">1.2 </w:t>
      </w:r>
      <w:r w:rsidR="00EA6F7E" w:rsidRPr="00760A17">
        <w:rPr>
          <w:rFonts w:cs="Arial"/>
          <w:bCs/>
        </w:rPr>
        <w:t>What is not a Public Interest D</w:t>
      </w:r>
      <w:r w:rsidR="009A332A" w:rsidRPr="00760A17">
        <w:rPr>
          <w:rFonts w:cs="Arial"/>
          <w:bCs/>
        </w:rPr>
        <w:t>isclosure?</w:t>
      </w:r>
      <w:r w:rsidR="009A332A" w:rsidRPr="00760A17">
        <w:rPr>
          <w:rFonts w:cs="Arial"/>
          <w:bCs/>
        </w:rPr>
        <w:tab/>
      </w:r>
      <w:r w:rsidR="00760A17">
        <w:rPr>
          <w:rFonts w:cs="Arial"/>
          <w:bCs/>
        </w:rPr>
        <w:t>………………………………..……</w:t>
      </w:r>
      <w:r w:rsidR="001405C1">
        <w:rPr>
          <w:rFonts w:cs="Arial"/>
          <w:bCs/>
        </w:rPr>
        <w:t>.</w:t>
      </w:r>
      <w:r w:rsidR="00760A17">
        <w:rPr>
          <w:rFonts w:cs="Arial"/>
          <w:bCs/>
        </w:rPr>
        <w:t>…</w:t>
      </w:r>
      <w:r w:rsidR="007304FB">
        <w:rPr>
          <w:rFonts w:cs="Arial"/>
          <w:bCs/>
        </w:rPr>
        <w:tab/>
      </w:r>
      <w:r w:rsidR="00760A17">
        <w:rPr>
          <w:rFonts w:cs="Arial"/>
          <w:b/>
          <w:bCs/>
        </w:rPr>
        <w:t>8</w:t>
      </w:r>
    </w:p>
    <w:p w14:paraId="217CD5A9" w14:textId="1D77F78E" w:rsidR="00760A17" w:rsidRPr="00E44FB7" w:rsidRDefault="00760A17" w:rsidP="00060DB5">
      <w:pPr>
        <w:spacing w:line="240" w:lineRule="auto"/>
        <w:ind w:left="1440"/>
        <w:rPr>
          <w:rFonts w:cs="Arial"/>
          <w:b/>
          <w:bCs/>
        </w:rPr>
      </w:pPr>
      <w:r w:rsidRPr="00760A17">
        <w:rPr>
          <w:rFonts w:cs="Arial"/>
          <w:bCs/>
        </w:rPr>
        <w:t>Table 1: Differentiating between a PID, complaint</w:t>
      </w:r>
      <w:r w:rsidR="009D4C17">
        <w:rPr>
          <w:rFonts w:cs="Arial"/>
          <w:bCs/>
        </w:rPr>
        <w:t>s/</w:t>
      </w:r>
      <w:r w:rsidR="00E44FB7">
        <w:rPr>
          <w:rFonts w:cs="Arial"/>
          <w:bCs/>
        </w:rPr>
        <w:t>grievance</w:t>
      </w:r>
      <w:r w:rsidR="009D4C17">
        <w:rPr>
          <w:rFonts w:cs="Arial"/>
          <w:bCs/>
        </w:rPr>
        <w:t>s, etc</w:t>
      </w:r>
      <w:r w:rsidR="00E44FB7">
        <w:rPr>
          <w:rFonts w:cs="Arial"/>
          <w:bCs/>
        </w:rPr>
        <w:t>…………………</w:t>
      </w:r>
      <w:r w:rsidR="007304FB">
        <w:rPr>
          <w:rFonts w:cs="Arial"/>
          <w:bCs/>
        </w:rPr>
        <w:tab/>
      </w:r>
      <w:r w:rsidR="00E44FB7">
        <w:rPr>
          <w:rFonts w:cs="Arial"/>
          <w:b/>
          <w:bCs/>
        </w:rPr>
        <w:t>9</w:t>
      </w:r>
    </w:p>
    <w:p w14:paraId="0A3AA23D" w14:textId="4726DEC1" w:rsidR="009A332A" w:rsidRPr="00760A17" w:rsidRDefault="008D1E51" w:rsidP="00060DB5">
      <w:pPr>
        <w:spacing w:line="240" w:lineRule="auto"/>
        <w:ind w:left="1440"/>
        <w:rPr>
          <w:rFonts w:cs="Arial"/>
          <w:bCs/>
        </w:rPr>
      </w:pPr>
      <w:r>
        <w:rPr>
          <w:rFonts w:cs="Arial"/>
          <w:bCs/>
        </w:rPr>
        <w:t xml:space="preserve">1.3 </w:t>
      </w:r>
      <w:r w:rsidR="009A332A" w:rsidRPr="00760A17">
        <w:rPr>
          <w:rFonts w:cs="Arial"/>
          <w:bCs/>
        </w:rPr>
        <w:t>Relation</w:t>
      </w:r>
      <w:r w:rsidR="00E44FB7">
        <w:rPr>
          <w:rFonts w:cs="Arial"/>
          <w:bCs/>
        </w:rPr>
        <w:t xml:space="preserve">ship to other external scrutiny and </w:t>
      </w:r>
      <w:r w:rsidR="009A332A" w:rsidRPr="00760A17">
        <w:rPr>
          <w:rFonts w:cs="Arial"/>
          <w:bCs/>
        </w:rPr>
        <w:t>complaint functions</w:t>
      </w:r>
      <w:r w:rsidR="00E44FB7">
        <w:rPr>
          <w:rFonts w:cs="Arial"/>
          <w:bCs/>
        </w:rPr>
        <w:t>…</w:t>
      </w:r>
      <w:r w:rsidR="00060DB5">
        <w:rPr>
          <w:rFonts w:cs="Arial"/>
          <w:bCs/>
        </w:rPr>
        <w:t>………….</w:t>
      </w:r>
      <w:r w:rsidR="007304FB">
        <w:rPr>
          <w:rFonts w:cs="Arial"/>
          <w:bCs/>
        </w:rPr>
        <w:tab/>
      </w:r>
      <w:r w:rsidR="00E44FB7" w:rsidRPr="00E44FB7">
        <w:rPr>
          <w:rFonts w:cs="Arial"/>
          <w:b/>
          <w:bCs/>
        </w:rPr>
        <w:t>10</w:t>
      </w:r>
    </w:p>
    <w:p w14:paraId="066EAC2C" w14:textId="60C0C1E2" w:rsidR="009A332A" w:rsidRDefault="008D1E51" w:rsidP="0060581C">
      <w:pPr>
        <w:spacing w:line="240" w:lineRule="auto"/>
        <w:ind w:left="720"/>
        <w:rPr>
          <w:rFonts w:cs="Arial"/>
          <w:b/>
          <w:bCs/>
        </w:rPr>
      </w:pPr>
      <w:r>
        <w:rPr>
          <w:rFonts w:cs="Arial"/>
          <w:bCs/>
        </w:rPr>
        <w:t xml:space="preserve">2. </w:t>
      </w:r>
      <w:r w:rsidR="00732D38" w:rsidRPr="00760A17">
        <w:rPr>
          <w:rFonts w:cs="Arial"/>
          <w:bCs/>
        </w:rPr>
        <w:t>Making a d</w:t>
      </w:r>
      <w:r w:rsidR="009A332A" w:rsidRPr="00760A17">
        <w:rPr>
          <w:rFonts w:cs="Arial"/>
          <w:bCs/>
        </w:rPr>
        <w:t>isclosure</w:t>
      </w:r>
      <w:r w:rsidR="00E44FB7">
        <w:rPr>
          <w:rFonts w:cs="Arial"/>
          <w:bCs/>
        </w:rPr>
        <w:t>……………………………………………………………………………………………</w:t>
      </w:r>
      <w:r w:rsidR="00060DB5">
        <w:rPr>
          <w:rFonts w:cs="Arial"/>
          <w:bCs/>
        </w:rPr>
        <w:t>..</w:t>
      </w:r>
      <w:r w:rsidR="007304FB">
        <w:rPr>
          <w:rFonts w:cs="Arial"/>
          <w:bCs/>
        </w:rPr>
        <w:t>..</w:t>
      </w:r>
      <w:r w:rsidR="007304FB">
        <w:rPr>
          <w:rFonts w:cs="Arial"/>
          <w:bCs/>
        </w:rPr>
        <w:tab/>
      </w:r>
      <w:r w:rsidR="00E44FB7">
        <w:rPr>
          <w:rFonts w:cs="Arial"/>
          <w:b/>
          <w:bCs/>
        </w:rPr>
        <w:t>11</w:t>
      </w:r>
    </w:p>
    <w:p w14:paraId="3D7F4EED" w14:textId="343E18A4" w:rsidR="00E44FB7" w:rsidRPr="00E44FB7" w:rsidRDefault="00E44FB7" w:rsidP="00060DB5">
      <w:pPr>
        <w:spacing w:line="240" w:lineRule="auto"/>
        <w:ind w:left="1440"/>
        <w:rPr>
          <w:rFonts w:cs="Arial"/>
          <w:bCs/>
        </w:rPr>
      </w:pPr>
      <w:r>
        <w:rPr>
          <w:rFonts w:cs="Arial"/>
          <w:bCs/>
        </w:rPr>
        <w:t>Table 2: Before making a disclosure……</w:t>
      </w:r>
      <w:r w:rsidR="00060DB5">
        <w:rPr>
          <w:rFonts w:cs="Arial"/>
          <w:bCs/>
        </w:rPr>
        <w:t>…………………………………………………………</w:t>
      </w:r>
      <w:r w:rsidR="007304FB">
        <w:rPr>
          <w:rFonts w:cs="Arial"/>
          <w:bCs/>
        </w:rPr>
        <w:tab/>
      </w:r>
      <w:r>
        <w:rPr>
          <w:rFonts w:cs="Arial"/>
          <w:b/>
          <w:bCs/>
        </w:rPr>
        <w:t>11</w:t>
      </w:r>
    </w:p>
    <w:p w14:paraId="5ECFB553" w14:textId="467C9829" w:rsidR="009A332A" w:rsidRPr="00E44FB7" w:rsidRDefault="008D1E51" w:rsidP="00060DB5">
      <w:pPr>
        <w:spacing w:line="240" w:lineRule="auto"/>
        <w:ind w:left="1440"/>
        <w:rPr>
          <w:rFonts w:cs="Arial"/>
          <w:b/>
          <w:bCs/>
        </w:rPr>
      </w:pPr>
      <w:r>
        <w:rPr>
          <w:rFonts w:cs="Arial"/>
          <w:bCs/>
        </w:rPr>
        <w:t xml:space="preserve">2.1 </w:t>
      </w:r>
      <w:r w:rsidR="009A332A" w:rsidRPr="00760A17">
        <w:rPr>
          <w:rFonts w:cs="Arial"/>
          <w:bCs/>
        </w:rPr>
        <w:t>Who can make a disclosure?</w:t>
      </w:r>
      <w:r w:rsidR="00E44FB7">
        <w:rPr>
          <w:rFonts w:cs="Arial"/>
          <w:bCs/>
        </w:rPr>
        <w:t>.........................................................</w:t>
      </w:r>
      <w:r w:rsidR="007304FB">
        <w:rPr>
          <w:rFonts w:cs="Arial"/>
          <w:bCs/>
        </w:rPr>
        <w:t>..............</w:t>
      </w:r>
      <w:r w:rsidR="007304FB">
        <w:rPr>
          <w:rFonts w:cs="Arial"/>
          <w:bCs/>
        </w:rPr>
        <w:tab/>
      </w:r>
      <w:r w:rsidR="00E44FB7">
        <w:rPr>
          <w:rFonts w:cs="Arial"/>
          <w:b/>
          <w:bCs/>
        </w:rPr>
        <w:t>12</w:t>
      </w:r>
    </w:p>
    <w:p w14:paraId="616C2AD6" w14:textId="7F1678BB" w:rsidR="009A332A" w:rsidRPr="00E44FB7" w:rsidRDefault="008D1E51" w:rsidP="00060DB5">
      <w:pPr>
        <w:spacing w:line="240" w:lineRule="auto"/>
        <w:ind w:left="1440"/>
        <w:rPr>
          <w:rFonts w:cs="Arial"/>
          <w:b/>
          <w:bCs/>
        </w:rPr>
      </w:pPr>
      <w:r>
        <w:rPr>
          <w:rFonts w:cs="Arial"/>
          <w:bCs/>
        </w:rPr>
        <w:t xml:space="preserve">2.2 </w:t>
      </w:r>
      <w:r w:rsidR="009A332A" w:rsidRPr="00760A17">
        <w:rPr>
          <w:rFonts w:cs="Arial"/>
          <w:bCs/>
        </w:rPr>
        <w:t>How should a disclosure be made?</w:t>
      </w:r>
      <w:r w:rsidR="00E44FB7">
        <w:rPr>
          <w:rFonts w:cs="Arial"/>
          <w:bCs/>
        </w:rPr>
        <w:t>.............................................................</w:t>
      </w:r>
      <w:r w:rsidR="007304FB">
        <w:rPr>
          <w:rFonts w:cs="Arial"/>
          <w:bCs/>
        </w:rPr>
        <w:tab/>
      </w:r>
      <w:r w:rsidR="00E44FB7">
        <w:rPr>
          <w:rFonts w:cs="Arial"/>
          <w:b/>
          <w:bCs/>
        </w:rPr>
        <w:t>12</w:t>
      </w:r>
    </w:p>
    <w:p w14:paraId="0DB42CFC" w14:textId="78D7027D" w:rsidR="009A332A" w:rsidRPr="00E44FB7" w:rsidRDefault="008D1E51" w:rsidP="00060DB5">
      <w:pPr>
        <w:spacing w:line="240" w:lineRule="auto"/>
        <w:ind w:left="1440"/>
        <w:rPr>
          <w:rFonts w:cs="Arial"/>
          <w:b/>
          <w:bCs/>
        </w:rPr>
      </w:pPr>
      <w:r>
        <w:rPr>
          <w:rFonts w:cs="Arial"/>
          <w:bCs/>
        </w:rPr>
        <w:t xml:space="preserve">2.3 </w:t>
      </w:r>
      <w:r w:rsidR="009A332A" w:rsidRPr="00760A17">
        <w:rPr>
          <w:rFonts w:cs="Arial"/>
          <w:bCs/>
        </w:rPr>
        <w:t>Making a disclosure inadvertently</w:t>
      </w:r>
      <w:r w:rsidR="00E44FB7">
        <w:rPr>
          <w:rFonts w:cs="Arial"/>
          <w:bCs/>
        </w:rPr>
        <w:t>……………………………………………………………</w:t>
      </w:r>
      <w:r w:rsidR="007304FB">
        <w:rPr>
          <w:rFonts w:cs="Arial"/>
          <w:bCs/>
        </w:rPr>
        <w:tab/>
      </w:r>
      <w:r w:rsidR="00E44FB7">
        <w:rPr>
          <w:rFonts w:cs="Arial"/>
          <w:b/>
          <w:bCs/>
        </w:rPr>
        <w:t>13</w:t>
      </w:r>
    </w:p>
    <w:p w14:paraId="542E7FD6" w14:textId="45000DA5" w:rsidR="009A332A" w:rsidRPr="00E44FB7" w:rsidRDefault="008D1E51" w:rsidP="00060DB5">
      <w:pPr>
        <w:spacing w:line="240" w:lineRule="auto"/>
        <w:ind w:left="1440"/>
        <w:rPr>
          <w:rFonts w:cs="Arial"/>
          <w:b/>
          <w:bCs/>
        </w:rPr>
      </w:pPr>
      <w:r>
        <w:rPr>
          <w:rFonts w:cs="Arial"/>
          <w:bCs/>
        </w:rPr>
        <w:t xml:space="preserve">2.4 </w:t>
      </w:r>
      <w:r w:rsidR="009A332A" w:rsidRPr="00760A17">
        <w:rPr>
          <w:rFonts w:cs="Arial"/>
          <w:bCs/>
        </w:rPr>
        <w:t>Making a disclosure anonymously or in-confidence</w:t>
      </w:r>
      <w:r w:rsidR="00E44FB7">
        <w:rPr>
          <w:rFonts w:cs="Arial"/>
          <w:bCs/>
        </w:rPr>
        <w:t>…………………………………</w:t>
      </w:r>
      <w:r w:rsidR="007304FB">
        <w:rPr>
          <w:rFonts w:cs="Arial"/>
          <w:bCs/>
        </w:rPr>
        <w:tab/>
      </w:r>
      <w:r w:rsidR="00E44FB7">
        <w:rPr>
          <w:rFonts w:cs="Arial"/>
          <w:b/>
          <w:bCs/>
        </w:rPr>
        <w:t>13</w:t>
      </w:r>
    </w:p>
    <w:p w14:paraId="16EB08BD" w14:textId="740FF44B" w:rsidR="009A332A" w:rsidRPr="00E44FB7" w:rsidRDefault="008D1E51" w:rsidP="00060DB5">
      <w:pPr>
        <w:spacing w:line="240" w:lineRule="auto"/>
        <w:ind w:left="1440"/>
        <w:rPr>
          <w:rFonts w:cs="Arial"/>
          <w:b/>
          <w:bCs/>
        </w:rPr>
      </w:pPr>
      <w:r>
        <w:rPr>
          <w:rFonts w:cs="Arial"/>
          <w:bCs/>
        </w:rPr>
        <w:t xml:space="preserve">2.5 </w:t>
      </w:r>
      <w:r w:rsidR="009A332A" w:rsidRPr="00760A17">
        <w:rPr>
          <w:rFonts w:cs="Arial"/>
          <w:bCs/>
        </w:rPr>
        <w:t>Protection for people who make a disclosure</w:t>
      </w:r>
      <w:r w:rsidR="00E44FB7">
        <w:rPr>
          <w:rFonts w:cs="Arial"/>
          <w:bCs/>
        </w:rPr>
        <w:t>…………………………………………</w:t>
      </w:r>
      <w:r w:rsidR="00060DB5">
        <w:rPr>
          <w:rFonts w:cs="Arial"/>
          <w:bCs/>
        </w:rPr>
        <w:t>.</w:t>
      </w:r>
      <w:r w:rsidR="007304FB">
        <w:rPr>
          <w:rFonts w:cs="Arial"/>
          <w:bCs/>
        </w:rPr>
        <w:tab/>
      </w:r>
      <w:r w:rsidR="00E44FB7">
        <w:rPr>
          <w:rFonts w:cs="Arial"/>
          <w:b/>
          <w:bCs/>
        </w:rPr>
        <w:t>14</w:t>
      </w:r>
    </w:p>
    <w:p w14:paraId="51BB05E3" w14:textId="7D4925AE" w:rsidR="009A332A" w:rsidRPr="00760A17" w:rsidRDefault="008D1E51" w:rsidP="00060DB5">
      <w:pPr>
        <w:spacing w:line="240" w:lineRule="auto"/>
        <w:ind w:left="1440"/>
        <w:rPr>
          <w:rFonts w:cs="Arial"/>
          <w:bCs/>
        </w:rPr>
      </w:pPr>
      <w:r>
        <w:rPr>
          <w:rFonts w:cs="Arial"/>
          <w:bCs/>
        </w:rPr>
        <w:t xml:space="preserve">2.6 </w:t>
      </w:r>
      <w:r w:rsidR="009A332A" w:rsidRPr="00760A17">
        <w:rPr>
          <w:rFonts w:cs="Arial"/>
          <w:bCs/>
        </w:rPr>
        <w:t>Making a disclosure externally</w:t>
      </w:r>
      <w:r w:rsidR="00F20190">
        <w:rPr>
          <w:rFonts w:cs="Arial"/>
          <w:bCs/>
        </w:rPr>
        <w:t>…………………………………………………………………</w:t>
      </w:r>
      <w:r w:rsidR="007304FB">
        <w:rPr>
          <w:rFonts w:cs="Arial"/>
          <w:bCs/>
        </w:rPr>
        <w:tab/>
      </w:r>
      <w:r w:rsidR="00F20190" w:rsidRPr="00F20190">
        <w:rPr>
          <w:rFonts w:cs="Arial"/>
          <w:b/>
          <w:bCs/>
        </w:rPr>
        <w:t>15</w:t>
      </w:r>
    </w:p>
    <w:p w14:paraId="0EDDBD65" w14:textId="3D501A28" w:rsidR="009A332A" w:rsidRPr="00CA0C4F" w:rsidRDefault="008D1E51" w:rsidP="00060DB5">
      <w:pPr>
        <w:spacing w:line="240" w:lineRule="auto"/>
        <w:ind w:left="1440"/>
        <w:rPr>
          <w:rFonts w:cs="Arial"/>
          <w:b/>
          <w:bCs/>
        </w:rPr>
      </w:pPr>
      <w:r>
        <w:rPr>
          <w:rFonts w:cs="Arial"/>
          <w:bCs/>
        </w:rPr>
        <w:t xml:space="preserve">2.7 </w:t>
      </w:r>
      <w:r w:rsidR="009A332A" w:rsidRPr="00760A17">
        <w:rPr>
          <w:rFonts w:cs="Arial"/>
          <w:bCs/>
        </w:rPr>
        <w:t>What happens after a disclosure has been made?</w:t>
      </w:r>
      <w:r w:rsidR="00F20190">
        <w:rPr>
          <w:rFonts w:cs="Arial"/>
          <w:bCs/>
        </w:rPr>
        <w:t>.............................</w:t>
      </w:r>
      <w:r w:rsidR="001405C1">
        <w:rPr>
          <w:rFonts w:cs="Arial"/>
          <w:bCs/>
        </w:rPr>
        <w:t>........</w:t>
      </w:r>
      <w:r w:rsidR="007304FB">
        <w:rPr>
          <w:rFonts w:cs="Arial"/>
          <w:bCs/>
        </w:rPr>
        <w:tab/>
      </w:r>
      <w:r w:rsidR="00CA0C4F">
        <w:rPr>
          <w:rFonts w:cs="Arial"/>
          <w:b/>
          <w:bCs/>
        </w:rPr>
        <w:t>16</w:t>
      </w:r>
    </w:p>
    <w:p w14:paraId="6BB77CB1" w14:textId="69A6F55B" w:rsidR="009A332A" w:rsidRPr="00CA0C4F" w:rsidRDefault="008D1E51" w:rsidP="00060DB5">
      <w:pPr>
        <w:spacing w:line="240" w:lineRule="auto"/>
        <w:ind w:left="1440"/>
        <w:rPr>
          <w:rFonts w:cs="Arial"/>
          <w:b/>
          <w:bCs/>
        </w:rPr>
      </w:pPr>
      <w:r>
        <w:rPr>
          <w:rFonts w:cs="Arial"/>
          <w:bCs/>
        </w:rPr>
        <w:t xml:space="preserve">2.8 </w:t>
      </w:r>
      <w:r w:rsidR="009A332A" w:rsidRPr="00760A17">
        <w:rPr>
          <w:rFonts w:cs="Arial"/>
          <w:bCs/>
        </w:rPr>
        <w:t>What happens if I think my disclosure is not handled properly?</w:t>
      </w:r>
      <w:r w:rsidR="00CA0C4F">
        <w:rPr>
          <w:rFonts w:cs="Arial"/>
          <w:bCs/>
        </w:rPr>
        <w:t>........</w:t>
      </w:r>
      <w:r w:rsidR="001405C1">
        <w:rPr>
          <w:rFonts w:cs="Arial"/>
          <w:bCs/>
        </w:rPr>
        <w:t>........</w:t>
      </w:r>
      <w:r w:rsidR="007304FB">
        <w:rPr>
          <w:rFonts w:cs="Arial"/>
          <w:bCs/>
        </w:rPr>
        <w:tab/>
      </w:r>
      <w:r w:rsidR="00CA0C4F">
        <w:rPr>
          <w:rFonts w:cs="Arial"/>
          <w:b/>
          <w:bCs/>
        </w:rPr>
        <w:t>17</w:t>
      </w:r>
    </w:p>
    <w:p w14:paraId="79378A8F" w14:textId="1BAA186D" w:rsidR="009A332A" w:rsidRPr="00461730" w:rsidRDefault="008D1E51" w:rsidP="00461730">
      <w:pPr>
        <w:spacing w:line="240" w:lineRule="auto"/>
        <w:ind w:left="1440"/>
        <w:rPr>
          <w:rFonts w:cs="Arial"/>
          <w:bCs/>
        </w:rPr>
      </w:pPr>
      <w:r>
        <w:rPr>
          <w:rFonts w:cs="Arial"/>
          <w:bCs/>
        </w:rPr>
        <w:t xml:space="preserve">2.9 </w:t>
      </w:r>
      <w:r w:rsidR="009A332A" w:rsidRPr="00760A17">
        <w:rPr>
          <w:rFonts w:cs="Arial"/>
          <w:bCs/>
        </w:rPr>
        <w:t>What happens i</w:t>
      </w:r>
      <w:r w:rsidR="00461730">
        <w:rPr>
          <w:rFonts w:cs="Arial"/>
          <w:bCs/>
        </w:rPr>
        <w:t>f my disclosure is determined not to be a PID?.................</w:t>
      </w:r>
      <w:r w:rsidR="00461730">
        <w:rPr>
          <w:rFonts w:cs="Arial"/>
          <w:bCs/>
        </w:rPr>
        <w:tab/>
      </w:r>
      <w:r w:rsidR="00461730" w:rsidRPr="00461730">
        <w:rPr>
          <w:rFonts w:cs="Arial"/>
          <w:b/>
          <w:bCs/>
        </w:rPr>
        <w:t>17</w:t>
      </w:r>
    </w:p>
    <w:p w14:paraId="62CB7E51" w14:textId="7863223E" w:rsidR="009A332A" w:rsidRPr="00732D38" w:rsidRDefault="009A332A" w:rsidP="0060581C">
      <w:pPr>
        <w:spacing w:line="240" w:lineRule="auto"/>
        <w:rPr>
          <w:rFonts w:cs="Arial"/>
          <w:b/>
          <w:bCs/>
        </w:rPr>
      </w:pPr>
      <w:r w:rsidRPr="00732D38">
        <w:rPr>
          <w:rFonts w:cs="Arial"/>
          <w:b/>
          <w:bCs/>
        </w:rPr>
        <w:t>Part Two</w:t>
      </w:r>
      <w:r w:rsidR="00AD1F7F" w:rsidRPr="00732D38">
        <w:rPr>
          <w:rFonts w:cs="Arial"/>
          <w:b/>
          <w:bCs/>
        </w:rPr>
        <w:t>: Management of disclosures by ACT Public Sector Entities</w:t>
      </w:r>
      <w:r w:rsidR="00CA0C4F">
        <w:rPr>
          <w:rFonts w:cs="Arial"/>
          <w:b/>
          <w:bCs/>
        </w:rPr>
        <w:t>………………………</w:t>
      </w:r>
      <w:r w:rsidR="001405C1">
        <w:rPr>
          <w:rFonts w:cs="Arial"/>
          <w:b/>
          <w:bCs/>
        </w:rPr>
        <w:t>..........</w:t>
      </w:r>
      <w:r w:rsidR="00060DB5">
        <w:rPr>
          <w:rFonts w:cs="Arial"/>
          <w:b/>
          <w:bCs/>
        </w:rPr>
        <w:t>...</w:t>
      </w:r>
      <w:r w:rsidR="001405C1">
        <w:rPr>
          <w:rFonts w:cs="Arial"/>
          <w:b/>
          <w:bCs/>
        </w:rPr>
        <w:tab/>
      </w:r>
      <w:r w:rsidR="00CA0C4F">
        <w:rPr>
          <w:rFonts w:cs="Arial"/>
          <w:b/>
          <w:bCs/>
        </w:rPr>
        <w:t>18</w:t>
      </w:r>
    </w:p>
    <w:p w14:paraId="6055DF14" w14:textId="18E695D7" w:rsidR="00483D9E" w:rsidRDefault="00060DB5" w:rsidP="0060581C">
      <w:pPr>
        <w:spacing w:line="240" w:lineRule="auto"/>
        <w:ind w:left="720"/>
        <w:rPr>
          <w:rFonts w:cs="Arial"/>
          <w:bCs/>
        </w:rPr>
      </w:pPr>
      <w:r>
        <w:rPr>
          <w:rFonts w:cs="Arial"/>
          <w:bCs/>
        </w:rPr>
        <w:t xml:space="preserve">3. </w:t>
      </w:r>
      <w:r w:rsidR="00C1207A" w:rsidRPr="00CA0C4F">
        <w:rPr>
          <w:rFonts w:cs="Arial"/>
          <w:bCs/>
        </w:rPr>
        <w:t>Respons</w:t>
      </w:r>
      <w:r w:rsidR="00470C3E">
        <w:rPr>
          <w:rFonts w:cs="Arial"/>
          <w:bCs/>
        </w:rPr>
        <w:t>ibilities of ACT Public Sector e</w:t>
      </w:r>
      <w:r w:rsidR="009A332A" w:rsidRPr="00CA0C4F">
        <w:rPr>
          <w:rFonts w:cs="Arial"/>
          <w:bCs/>
        </w:rPr>
        <w:t>ntities</w:t>
      </w:r>
      <w:r w:rsidR="00CA0C4F" w:rsidRPr="00CA0C4F">
        <w:rPr>
          <w:rFonts w:cs="Arial"/>
          <w:bCs/>
        </w:rPr>
        <w:t>………………………</w:t>
      </w:r>
      <w:r w:rsidR="00CA0C4F">
        <w:rPr>
          <w:rFonts w:cs="Arial"/>
          <w:bCs/>
        </w:rPr>
        <w:t>……………………………</w:t>
      </w:r>
      <w:r w:rsidR="00483D9E">
        <w:rPr>
          <w:rFonts w:cs="Arial"/>
          <w:bCs/>
        </w:rPr>
        <w:t>…</w:t>
      </w:r>
      <w:r w:rsidR="001405C1">
        <w:rPr>
          <w:rFonts w:cs="Arial"/>
          <w:bCs/>
        </w:rPr>
        <w:t>….</w:t>
      </w:r>
      <w:r w:rsidR="001405C1">
        <w:rPr>
          <w:rFonts w:cs="Arial"/>
          <w:bCs/>
        </w:rPr>
        <w:tab/>
      </w:r>
      <w:r w:rsidR="00483D9E" w:rsidRPr="00F5586C">
        <w:rPr>
          <w:rFonts w:cs="Arial"/>
          <w:b/>
          <w:bCs/>
        </w:rPr>
        <w:t>18</w:t>
      </w:r>
    </w:p>
    <w:p w14:paraId="7BBAF462" w14:textId="21AFBA78" w:rsidR="009A332A" w:rsidRPr="00CA0C4F" w:rsidRDefault="00060DB5" w:rsidP="00060DB5">
      <w:pPr>
        <w:spacing w:line="240" w:lineRule="auto"/>
        <w:ind w:left="1440"/>
        <w:rPr>
          <w:rFonts w:cs="Arial"/>
          <w:bCs/>
        </w:rPr>
      </w:pPr>
      <w:r>
        <w:rPr>
          <w:rFonts w:cs="Arial"/>
          <w:bCs/>
        </w:rPr>
        <w:t xml:space="preserve">3.1 </w:t>
      </w:r>
      <w:r w:rsidR="009A332A" w:rsidRPr="00CA0C4F">
        <w:rPr>
          <w:rFonts w:cs="Arial"/>
          <w:bCs/>
        </w:rPr>
        <w:t>What must each entity do under the Act?</w:t>
      </w:r>
      <w:r w:rsidR="00F5586C">
        <w:rPr>
          <w:rFonts w:cs="Arial"/>
          <w:bCs/>
        </w:rPr>
        <w:t>..............................................</w:t>
      </w:r>
      <w:r w:rsidR="001405C1">
        <w:rPr>
          <w:rFonts w:cs="Arial"/>
          <w:bCs/>
        </w:rPr>
        <w:t>.....</w:t>
      </w:r>
      <w:r w:rsidR="001405C1">
        <w:rPr>
          <w:rFonts w:cs="Arial"/>
          <w:bCs/>
        </w:rPr>
        <w:tab/>
      </w:r>
      <w:r w:rsidR="00F5586C" w:rsidRPr="00F5586C">
        <w:rPr>
          <w:rFonts w:cs="Arial"/>
          <w:b/>
          <w:bCs/>
        </w:rPr>
        <w:t>18</w:t>
      </w:r>
    </w:p>
    <w:p w14:paraId="7DFFF015" w14:textId="7ECD3679" w:rsidR="00E87866" w:rsidRPr="00CA0C4F" w:rsidRDefault="00060DB5" w:rsidP="00060DB5">
      <w:pPr>
        <w:spacing w:line="240" w:lineRule="auto"/>
        <w:ind w:left="1440"/>
        <w:rPr>
          <w:rFonts w:cs="Arial"/>
          <w:bCs/>
        </w:rPr>
      </w:pPr>
      <w:r>
        <w:rPr>
          <w:rFonts w:cs="Arial"/>
          <w:bCs/>
        </w:rPr>
        <w:t xml:space="preserve">3.2 </w:t>
      </w:r>
      <w:r w:rsidR="00E87866" w:rsidRPr="00CA0C4F">
        <w:rPr>
          <w:rFonts w:cs="Arial"/>
          <w:bCs/>
        </w:rPr>
        <w:t>Delegation of responsibilities</w:t>
      </w:r>
      <w:r w:rsidR="00F5586C">
        <w:rPr>
          <w:rFonts w:cs="Arial"/>
          <w:bCs/>
        </w:rPr>
        <w:t>…………………………………………………………………</w:t>
      </w:r>
      <w:r w:rsidR="001405C1">
        <w:rPr>
          <w:rFonts w:cs="Arial"/>
          <w:bCs/>
        </w:rPr>
        <w:tab/>
      </w:r>
      <w:r w:rsidR="00F5586C" w:rsidRPr="00F5586C">
        <w:rPr>
          <w:rFonts w:cs="Arial"/>
          <w:b/>
          <w:bCs/>
        </w:rPr>
        <w:t>18</w:t>
      </w:r>
    </w:p>
    <w:p w14:paraId="4E3E5DFE" w14:textId="53BC6DCD" w:rsidR="009A332A" w:rsidRPr="00F5586C" w:rsidRDefault="00060DB5" w:rsidP="00060DB5">
      <w:pPr>
        <w:spacing w:line="240" w:lineRule="auto"/>
        <w:ind w:left="1440"/>
        <w:rPr>
          <w:rFonts w:cs="Arial"/>
          <w:b/>
          <w:bCs/>
        </w:rPr>
      </w:pPr>
      <w:r>
        <w:rPr>
          <w:rFonts w:cs="Arial"/>
          <w:bCs/>
        </w:rPr>
        <w:t xml:space="preserve">3.3 </w:t>
      </w:r>
      <w:r w:rsidR="00360E14" w:rsidRPr="00CA0C4F">
        <w:rPr>
          <w:rFonts w:cs="Arial"/>
          <w:bCs/>
        </w:rPr>
        <w:t>Publish P</w:t>
      </w:r>
      <w:r w:rsidR="00EA6F7E" w:rsidRPr="00CA0C4F">
        <w:rPr>
          <w:rFonts w:cs="Arial"/>
          <w:bCs/>
        </w:rPr>
        <w:t xml:space="preserve">ublic </w:t>
      </w:r>
      <w:r w:rsidR="00360E14" w:rsidRPr="00CA0C4F">
        <w:rPr>
          <w:rFonts w:cs="Arial"/>
          <w:bCs/>
        </w:rPr>
        <w:t>I</w:t>
      </w:r>
      <w:r w:rsidR="00EA6F7E" w:rsidRPr="00CA0C4F">
        <w:rPr>
          <w:rFonts w:cs="Arial"/>
          <w:bCs/>
        </w:rPr>
        <w:t xml:space="preserve">nterest </w:t>
      </w:r>
      <w:r w:rsidR="00360E14" w:rsidRPr="00CA0C4F">
        <w:rPr>
          <w:rFonts w:cs="Arial"/>
          <w:bCs/>
        </w:rPr>
        <w:t>D</w:t>
      </w:r>
      <w:r w:rsidR="00EA6F7E" w:rsidRPr="00CA0C4F">
        <w:rPr>
          <w:rFonts w:cs="Arial"/>
          <w:bCs/>
        </w:rPr>
        <w:t xml:space="preserve">isclosure </w:t>
      </w:r>
      <w:r w:rsidR="00F5586C">
        <w:rPr>
          <w:rFonts w:cs="Arial"/>
          <w:bCs/>
        </w:rPr>
        <w:t>p</w:t>
      </w:r>
      <w:r w:rsidR="009A332A" w:rsidRPr="00CA0C4F">
        <w:rPr>
          <w:rFonts w:cs="Arial"/>
          <w:bCs/>
        </w:rPr>
        <w:t>rocedures</w:t>
      </w:r>
      <w:r w:rsidR="007304FB">
        <w:rPr>
          <w:rFonts w:cs="Arial"/>
          <w:bCs/>
        </w:rPr>
        <w:t>…………………………………….</w:t>
      </w:r>
      <w:r w:rsidR="00F5586C">
        <w:rPr>
          <w:rFonts w:cs="Arial"/>
          <w:bCs/>
        </w:rPr>
        <w:t>…</w:t>
      </w:r>
      <w:r w:rsidR="001405C1">
        <w:rPr>
          <w:rFonts w:cs="Arial"/>
          <w:bCs/>
        </w:rPr>
        <w:tab/>
      </w:r>
      <w:r w:rsidR="00F5586C" w:rsidRPr="00F5586C">
        <w:rPr>
          <w:rFonts w:cs="Arial"/>
          <w:b/>
          <w:bCs/>
        </w:rPr>
        <w:t>19</w:t>
      </w:r>
    </w:p>
    <w:p w14:paraId="49A8C5FE" w14:textId="103EC947" w:rsidR="00EE77E7" w:rsidRPr="00CA0C4F" w:rsidRDefault="00060DB5" w:rsidP="00060DB5">
      <w:pPr>
        <w:spacing w:line="240" w:lineRule="auto"/>
        <w:ind w:left="1440"/>
        <w:rPr>
          <w:rFonts w:cs="Arial"/>
          <w:bCs/>
        </w:rPr>
      </w:pPr>
      <w:r>
        <w:rPr>
          <w:rFonts w:cs="Arial"/>
          <w:bCs/>
        </w:rPr>
        <w:t xml:space="preserve">3.4 </w:t>
      </w:r>
      <w:r w:rsidR="00EE77E7" w:rsidRPr="00CA0C4F">
        <w:rPr>
          <w:rFonts w:cs="Arial"/>
          <w:bCs/>
        </w:rPr>
        <w:t>Manage the</w:t>
      </w:r>
      <w:r w:rsidR="001854C6" w:rsidRPr="00CA0C4F">
        <w:rPr>
          <w:rFonts w:cs="Arial"/>
          <w:bCs/>
        </w:rPr>
        <w:t xml:space="preserve"> Public Interest Disclosure process</w:t>
      </w:r>
      <w:r w:rsidR="00F5586C">
        <w:rPr>
          <w:rFonts w:cs="Arial"/>
          <w:bCs/>
        </w:rPr>
        <w:t>………………………………………</w:t>
      </w:r>
      <w:r w:rsidR="001405C1">
        <w:rPr>
          <w:rFonts w:cs="Arial"/>
          <w:bCs/>
        </w:rPr>
        <w:tab/>
      </w:r>
      <w:r w:rsidR="00F5586C" w:rsidRPr="00F5586C">
        <w:rPr>
          <w:rFonts w:cs="Arial"/>
          <w:b/>
          <w:bCs/>
        </w:rPr>
        <w:t>19</w:t>
      </w:r>
    </w:p>
    <w:p w14:paraId="6AC0909D" w14:textId="4F3DC86C" w:rsidR="009A332A" w:rsidRPr="00CA0C4F" w:rsidRDefault="00060DB5" w:rsidP="00060DB5">
      <w:pPr>
        <w:spacing w:line="240" w:lineRule="auto"/>
        <w:ind w:left="1440"/>
        <w:rPr>
          <w:rFonts w:cs="Arial"/>
          <w:bCs/>
        </w:rPr>
      </w:pPr>
      <w:r>
        <w:rPr>
          <w:rFonts w:cs="Arial"/>
          <w:bCs/>
        </w:rPr>
        <w:t xml:space="preserve">3.5 </w:t>
      </w:r>
      <w:r w:rsidR="005B216E" w:rsidRPr="00CA0C4F">
        <w:rPr>
          <w:rFonts w:cs="Arial"/>
          <w:bCs/>
        </w:rPr>
        <w:t xml:space="preserve">Annual </w:t>
      </w:r>
      <w:r w:rsidR="00EE77E7" w:rsidRPr="00CA0C4F">
        <w:rPr>
          <w:rFonts w:cs="Arial"/>
          <w:bCs/>
        </w:rPr>
        <w:t>r</w:t>
      </w:r>
      <w:r w:rsidR="009A332A" w:rsidRPr="00CA0C4F">
        <w:rPr>
          <w:rFonts w:cs="Arial"/>
          <w:bCs/>
        </w:rPr>
        <w:t>eporting</w:t>
      </w:r>
      <w:r w:rsidR="00F5586C">
        <w:rPr>
          <w:rFonts w:cs="Arial"/>
          <w:bCs/>
        </w:rPr>
        <w:t>……………………………………………………………………………………</w:t>
      </w:r>
      <w:r>
        <w:rPr>
          <w:rFonts w:cs="Arial"/>
          <w:bCs/>
        </w:rPr>
        <w:tab/>
      </w:r>
      <w:r w:rsidR="00F5586C" w:rsidRPr="00F5586C">
        <w:rPr>
          <w:rFonts w:cs="Arial"/>
          <w:b/>
          <w:bCs/>
        </w:rPr>
        <w:t>19</w:t>
      </w:r>
    </w:p>
    <w:p w14:paraId="7878D416" w14:textId="078688E1" w:rsidR="00FB0A35" w:rsidRPr="00EF5A4C" w:rsidRDefault="00060DB5" w:rsidP="00060DB5">
      <w:pPr>
        <w:spacing w:line="240" w:lineRule="auto"/>
        <w:ind w:left="1440"/>
        <w:rPr>
          <w:rFonts w:cs="Arial"/>
          <w:b/>
          <w:bCs/>
        </w:rPr>
      </w:pPr>
      <w:r>
        <w:rPr>
          <w:rFonts w:cs="Arial"/>
          <w:bCs/>
        </w:rPr>
        <w:t>3.6 O</w:t>
      </w:r>
      <w:r w:rsidR="00FB0A35" w:rsidRPr="00CA0C4F">
        <w:rPr>
          <w:rFonts w:cs="Arial"/>
          <w:bCs/>
        </w:rPr>
        <w:t>ther actions by each entity</w:t>
      </w:r>
      <w:r>
        <w:rPr>
          <w:rFonts w:cs="Arial"/>
          <w:bCs/>
        </w:rPr>
        <w:t>………………………………………………………………….</w:t>
      </w:r>
      <w:r w:rsidR="001405C1">
        <w:rPr>
          <w:rFonts w:cs="Arial"/>
          <w:bCs/>
        </w:rPr>
        <w:tab/>
      </w:r>
      <w:r w:rsidR="00EF5A4C">
        <w:rPr>
          <w:rFonts w:cs="Arial"/>
          <w:b/>
          <w:bCs/>
        </w:rPr>
        <w:t>19</w:t>
      </w:r>
    </w:p>
    <w:p w14:paraId="4E6D5643" w14:textId="4FBC57F1" w:rsidR="009A332A" w:rsidRPr="00EF5A4C" w:rsidRDefault="00060DB5" w:rsidP="0060581C">
      <w:pPr>
        <w:spacing w:line="240" w:lineRule="auto"/>
        <w:ind w:left="720"/>
        <w:rPr>
          <w:rFonts w:cs="Arial"/>
          <w:b/>
          <w:bCs/>
        </w:rPr>
      </w:pPr>
      <w:r>
        <w:rPr>
          <w:rFonts w:cs="Arial"/>
          <w:bCs/>
        </w:rPr>
        <w:t xml:space="preserve">4. </w:t>
      </w:r>
      <w:r w:rsidR="009A332A" w:rsidRPr="00CA0C4F">
        <w:rPr>
          <w:rFonts w:cs="Arial"/>
          <w:bCs/>
        </w:rPr>
        <w:t>What to do if someone makes a disclosure to me</w:t>
      </w:r>
      <w:r w:rsidR="00EF5A4C">
        <w:rPr>
          <w:rFonts w:cs="Arial"/>
          <w:bCs/>
        </w:rPr>
        <w:t>……………………………………………….</w:t>
      </w:r>
      <w:r>
        <w:rPr>
          <w:rFonts w:cs="Arial"/>
          <w:bCs/>
        </w:rPr>
        <w:tab/>
      </w:r>
      <w:r w:rsidR="00EF5A4C">
        <w:rPr>
          <w:rFonts w:cs="Arial"/>
          <w:b/>
          <w:bCs/>
        </w:rPr>
        <w:t>20</w:t>
      </w:r>
    </w:p>
    <w:p w14:paraId="5393355C" w14:textId="69A49501" w:rsidR="009A332A" w:rsidRPr="00EF5A4C" w:rsidRDefault="00060DB5" w:rsidP="0060581C">
      <w:pPr>
        <w:spacing w:line="240" w:lineRule="auto"/>
        <w:ind w:left="720"/>
        <w:rPr>
          <w:rFonts w:cs="Arial"/>
          <w:b/>
          <w:bCs/>
        </w:rPr>
      </w:pPr>
      <w:r>
        <w:rPr>
          <w:rFonts w:cs="Arial"/>
          <w:bCs/>
        </w:rPr>
        <w:t xml:space="preserve">5. </w:t>
      </w:r>
      <w:r w:rsidR="00360E14" w:rsidRPr="00CA0C4F">
        <w:rPr>
          <w:rFonts w:cs="Arial"/>
          <w:bCs/>
        </w:rPr>
        <w:t xml:space="preserve">The </w:t>
      </w:r>
      <w:r w:rsidR="0041489B" w:rsidRPr="00CA0C4F">
        <w:rPr>
          <w:rFonts w:cs="Arial"/>
          <w:bCs/>
        </w:rPr>
        <w:t>r</w:t>
      </w:r>
      <w:r w:rsidR="00360E14" w:rsidRPr="00CA0C4F">
        <w:rPr>
          <w:rFonts w:cs="Arial"/>
          <w:bCs/>
        </w:rPr>
        <w:t>ole of disclosure o</w:t>
      </w:r>
      <w:r w:rsidR="009A332A" w:rsidRPr="00CA0C4F">
        <w:rPr>
          <w:rFonts w:cs="Arial"/>
          <w:bCs/>
        </w:rPr>
        <w:t>fficers</w:t>
      </w:r>
      <w:r>
        <w:rPr>
          <w:rFonts w:cs="Arial"/>
          <w:bCs/>
        </w:rPr>
        <w:t>………………………………………………………….……………….…</w:t>
      </w:r>
      <w:r w:rsidR="001405C1">
        <w:rPr>
          <w:rFonts w:cs="Arial"/>
          <w:bCs/>
        </w:rPr>
        <w:tab/>
      </w:r>
      <w:r w:rsidR="00EF5A4C">
        <w:rPr>
          <w:rFonts w:cs="Arial"/>
          <w:b/>
          <w:bCs/>
        </w:rPr>
        <w:t>21</w:t>
      </w:r>
    </w:p>
    <w:p w14:paraId="5172EF46" w14:textId="69F52984" w:rsidR="009A332A" w:rsidRPr="00CA0C4F" w:rsidRDefault="00060DB5" w:rsidP="0060581C">
      <w:pPr>
        <w:spacing w:line="240" w:lineRule="auto"/>
        <w:ind w:left="720"/>
        <w:rPr>
          <w:rFonts w:cs="Arial"/>
          <w:bCs/>
        </w:rPr>
      </w:pPr>
      <w:r>
        <w:rPr>
          <w:rFonts w:cs="Arial"/>
          <w:bCs/>
        </w:rPr>
        <w:lastRenderedPageBreak/>
        <w:t xml:space="preserve">6. </w:t>
      </w:r>
      <w:r w:rsidR="00360E14" w:rsidRPr="00CA0C4F">
        <w:rPr>
          <w:rFonts w:cs="Arial"/>
          <w:bCs/>
        </w:rPr>
        <w:t>Guidance for d</w:t>
      </w:r>
      <w:r w:rsidR="009A332A" w:rsidRPr="00CA0C4F">
        <w:rPr>
          <w:rFonts w:cs="Arial"/>
          <w:bCs/>
        </w:rPr>
        <w:t xml:space="preserve">isclosure </w:t>
      </w:r>
      <w:r w:rsidR="00360E14" w:rsidRPr="00CA0C4F">
        <w:rPr>
          <w:rFonts w:cs="Arial"/>
          <w:bCs/>
        </w:rPr>
        <w:t>o</w:t>
      </w:r>
      <w:r w:rsidR="009A332A" w:rsidRPr="00CA0C4F">
        <w:rPr>
          <w:rFonts w:cs="Arial"/>
          <w:bCs/>
        </w:rPr>
        <w:t>fficers</w:t>
      </w:r>
      <w:r>
        <w:rPr>
          <w:rFonts w:cs="Arial"/>
          <w:bCs/>
        </w:rPr>
        <w:t>………………………………………………………………………….</w:t>
      </w:r>
      <w:r w:rsidR="001405C1">
        <w:rPr>
          <w:rFonts w:cs="Arial"/>
          <w:bCs/>
        </w:rPr>
        <w:tab/>
      </w:r>
      <w:r w:rsidR="00DD73B0" w:rsidRPr="00DD73B0">
        <w:rPr>
          <w:rFonts w:cs="Arial"/>
          <w:b/>
          <w:bCs/>
        </w:rPr>
        <w:t>21</w:t>
      </w:r>
    </w:p>
    <w:p w14:paraId="41523D00" w14:textId="44FC342E" w:rsidR="009A332A" w:rsidRPr="00CA0C4F" w:rsidRDefault="009A332A" w:rsidP="00DD73B0">
      <w:pPr>
        <w:spacing w:line="240" w:lineRule="auto"/>
        <w:ind w:left="1440"/>
        <w:rPr>
          <w:rFonts w:cs="Arial"/>
          <w:bCs/>
        </w:rPr>
      </w:pPr>
      <w:r w:rsidRPr="00CA0C4F">
        <w:rPr>
          <w:rFonts w:cs="Arial"/>
          <w:bCs/>
        </w:rPr>
        <w:t>Step 1 – Receive</w:t>
      </w:r>
      <w:r w:rsidR="00360E14" w:rsidRPr="00CA0C4F">
        <w:rPr>
          <w:rFonts w:cs="Arial"/>
          <w:bCs/>
        </w:rPr>
        <w:t xml:space="preserve"> the disclosure</w:t>
      </w:r>
      <w:r w:rsidR="007304FB">
        <w:rPr>
          <w:rFonts w:cs="Arial"/>
          <w:bCs/>
        </w:rPr>
        <w:t>…………………………………………………………………</w:t>
      </w:r>
      <w:r w:rsidR="007304FB">
        <w:rPr>
          <w:rFonts w:cs="Arial"/>
          <w:bCs/>
        </w:rPr>
        <w:tab/>
      </w:r>
      <w:r w:rsidR="00D2572E">
        <w:rPr>
          <w:rFonts w:cs="Arial"/>
          <w:b/>
          <w:bCs/>
        </w:rPr>
        <w:t>22</w:t>
      </w:r>
    </w:p>
    <w:p w14:paraId="0AFB0A69" w14:textId="0F517E09" w:rsidR="009A332A" w:rsidRPr="00D2572E" w:rsidRDefault="009A332A" w:rsidP="00DD73B0">
      <w:pPr>
        <w:spacing w:line="240" w:lineRule="auto"/>
        <w:ind w:left="1440"/>
        <w:rPr>
          <w:rFonts w:cs="Arial"/>
          <w:b/>
          <w:bCs/>
        </w:rPr>
      </w:pPr>
      <w:r w:rsidRPr="00CA0C4F">
        <w:rPr>
          <w:rFonts w:cs="Arial"/>
          <w:bCs/>
        </w:rPr>
        <w:t>Step 2 – Acknowledge</w:t>
      </w:r>
      <w:r w:rsidR="00D2572E">
        <w:rPr>
          <w:rFonts w:cs="Arial"/>
          <w:bCs/>
        </w:rPr>
        <w:t>………………………………………………………………………………</w:t>
      </w:r>
      <w:r w:rsidR="00D2572E">
        <w:rPr>
          <w:rFonts w:cs="Arial"/>
          <w:bCs/>
        </w:rPr>
        <w:tab/>
      </w:r>
      <w:r w:rsidR="00D2572E">
        <w:rPr>
          <w:rFonts w:cs="Arial"/>
          <w:b/>
          <w:bCs/>
        </w:rPr>
        <w:t>22</w:t>
      </w:r>
    </w:p>
    <w:p w14:paraId="5BCB16B7" w14:textId="56088FE2" w:rsidR="009A332A" w:rsidRPr="00D2572E" w:rsidRDefault="009A332A" w:rsidP="00DD73B0">
      <w:pPr>
        <w:spacing w:line="240" w:lineRule="auto"/>
        <w:ind w:left="1440"/>
        <w:rPr>
          <w:rFonts w:cs="Arial"/>
          <w:b/>
          <w:bCs/>
        </w:rPr>
      </w:pPr>
      <w:r w:rsidRPr="00CA0C4F">
        <w:rPr>
          <w:rFonts w:cs="Arial"/>
          <w:bCs/>
        </w:rPr>
        <w:t xml:space="preserve">Step 3 – </w:t>
      </w:r>
      <w:r w:rsidR="00FB0A35" w:rsidRPr="00CA0C4F">
        <w:rPr>
          <w:rFonts w:cs="Arial"/>
          <w:bCs/>
        </w:rPr>
        <w:t>Assess the disclosure</w:t>
      </w:r>
      <w:r w:rsidR="00D2572E">
        <w:rPr>
          <w:rFonts w:cs="Arial"/>
          <w:bCs/>
        </w:rPr>
        <w:t>……………………………………………………………………</w:t>
      </w:r>
      <w:r w:rsidR="00D2572E">
        <w:rPr>
          <w:rFonts w:cs="Arial"/>
          <w:bCs/>
        </w:rPr>
        <w:tab/>
      </w:r>
      <w:r w:rsidR="00D2572E">
        <w:rPr>
          <w:rFonts w:cs="Arial"/>
          <w:b/>
          <w:bCs/>
        </w:rPr>
        <w:t>22</w:t>
      </w:r>
    </w:p>
    <w:p w14:paraId="4222D00A" w14:textId="445CD8F7" w:rsidR="00DD73B0" w:rsidRPr="00D2572E" w:rsidRDefault="00060DB5" w:rsidP="00360E14">
      <w:pPr>
        <w:spacing w:line="240" w:lineRule="auto"/>
        <w:ind w:left="720"/>
        <w:rPr>
          <w:rFonts w:cs="Arial"/>
          <w:b/>
          <w:bCs/>
        </w:rPr>
      </w:pPr>
      <w:r>
        <w:rPr>
          <w:rFonts w:cs="Arial"/>
          <w:bCs/>
        </w:rPr>
        <w:t xml:space="preserve">7. </w:t>
      </w:r>
      <w:r w:rsidR="00DD73B0" w:rsidRPr="00DD73B0">
        <w:rPr>
          <w:rFonts w:cs="Arial"/>
          <w:bCs/>
        </w:rPr>
        <w:t>Guidance for the investigating entity</w:t>
      </w:r>
      <w:r w:rsidR="00D2572E">
        <w:rPr>
          <w:rFonts w:cs="Arial"/>
          <w:bCs/>
        </w:rPr>
        <w:t>…………………………………………………………………</w:t>
      </w:r>
      <w:r w:rsidR="00D2572E">
        <w:rPr>
          <w:rFonts w:cs="Arial"/>
          <w:bCs/>
        </w:rPr>
        <w:tab/>
      </w:r>
      <w:r w:rsidR="00D2572E">
        <w:rPr>
          <w:rFonts w:cs="Arial"/>
          <w:b/>
          <w:bCs/>
        </w:rPr>
        <w:t>24</w:t>
      </w:r>
    </w:p>
    <w:p w14:paraId="193349A4" w14:textId="02F325C2" w:rsidR="009A332A" w:rsidRPr="00C9009C" w:rsidRDefault="009A332A" w:rsidP="00DD73B0">
      <w:pPr>
        <w:spacing w:line="240" w:lineRule="auto"/>
        <w:ind w:left="1440"/>
        <w:rPr>
          <w:rFonts w:cs="Arial"/>
          <w:b/>
          <w:bCs/>
        </w:rPr>
      </w:pPr>
      <w:r w:rsidRPr="00CA0C4F">
        <w:rPr>
          <w:rFonts w:cs="Arial"/>
          <w:bCs/>
        </w:rPr>
        <w:t xml:space="preserve">Step 4 – </w:t>
      </w:r>
      <w:r w:rsidR="00C9009C">
        <w:rPr>
          <w:rFonts w:cs="Arial"/>
          <w:bCs/>
        </w:rPr>
        <w:t>Determine if investig</w:t>
      </w:r>
      <w:r w:rsidR="007304FB">
        <w:rPr>
          <w:rFonts w:cs="Arial"/>
          <w:bCs/>
        </w:rPr>
        <w:t>ation in required…….…………………………….</w:t>
      </w:r>
      <w:r w:rsidR="00C9009C">
        <w:rPr>
          <w:rFonts w:cs="Arial"/>
          <w:bCs/>
        </w:rPr>
        <w:t>……</w:t>
      </w:r>
      <w:r w:rsidR="00C9009C">
        <w:rPr>
          <w:rFonts w:cs="Arial"/>
          <w:bCs/>
        </w:rPr>
        <w:tab/>
      </w:r>
      <w:r w:rsidR="00C9009C">
        <w:rPr>
          <w:rFonts w:cs="Arial"/>
          <w:b/>
          <w:bCs/>
        </w:rPr>
        <w:t>25</w:t>
      </w:r>
    </w:p>
    <w:p w14:paraId="5B081118" w14:textId="42A25CC4" w:rsidR="00FA6E54" w:rsidRPr="00FA6E54" w:rsidRDefault="00FA6E54" w:rsidP="00DD73B0">
      <w:pPr>
        <w:spacing w:line="240" w:lineRule="auto"/>
        <w:ind w:left="1440"/>
        <w:rPr>
          <w:rFonts w:cs="Arial"/>
          <w:b/>
          <w:bCs/>
        </w:rPr>
      </w:pPr>
      <w:r>
        <w:rPr>
          <w:rFonts w:cs="Arial"/>
          <w:bCs/>
        </w:rPr>
        <w:t>Step 5 – Proceed with investigation…………………………………………………………</w:t>
      </w:r>
      <w:r w:rsidR="00060DB5">
        <w:rPr>
          <w:rFonts w:cs="Arial"/>
          <w:bCs/>
        </w:rPr>
        <w:tab/>
      </w:r>
      <w:r>
        <w:rPr>
          <w:rFonts w:cs="Arial"/>
          <w:b/>
          <w:bCs/>
        </w:rPr>
        <w:t>26</w:t>
      </w:r>
    </w:p>
    <w:p w14:paraId="5F9CE647" w14:textId="69CD9228" w:rsidR="009A332A" w:rsidRPr="00FA6E54" w:rsidRDefault="00FA6E54" w:rsidP="00DD73B0">
      <w:pPr>
        <w:spacing w:line="240" w:lineRule="auto"/>
        <w:ind w:left="1440"/>
        <w:rPr>
          <w:rFonts w:cs="Arial"/>
          <w:bCs/>
        </w:rPr>
      </w:pPr>
      <w:r>
        <w:rPr>
          <w:rFonts w:cs="Arial"/>
          <w:bCs/>
        </w:rPr>
        <w:t>Step 6</w:t>
      </w:r>
      <w:r w:rsidR="009A332A" w:rsidRPr="00CA0C4F">
        <w:rPr>
          <w:rFonts w:cs="Arial"/>
          <w:bCs/>
        </w:rPr>
        <w:t xml:space="preserve"> – De</w:t>
      </w:r>
      <w:r w:rsidR="00FB0A35" w:rsidRPr="00CA0C4F">
        <w:rPr>
          <w:rFonts w:cs="Arial"/>
          <w:bCs/>
        </w:rPr>
        <w:t xml:space="preserve">termination </w:t>
      </w:r>
      <w:r w:rsidR="00360E14" w:rsidRPr="00CA0C4F">
        <w:rPr>
          <w:rFonts w:cs="Arial"/>
          <w:bCs/>
        </w:rPr>
        <w:t>and a</w:t>
      </w:r>
      <w:r w:rsidR="009A332A" w:rsidRPr="00CA0C4F">
        <w:rPr>
          <w:rFonts w:cs="Arial"/>
          <w:bCs/>
        </w:rPr>
        <w:t>ction</w:t>
      </w:r>
      <w:r w:rsidR="007304FB">
        <w:rPr>
          <w:rFonts w:cs="Arial"/>
          <w:bCs/>
        </w:rPr>
        <w:t>……………………………………………………………</w:t>
      </w:r>
      <w:r>
        <w:rPr>
          <w:rFonts w:cs="Arial"/>
          <w:bCs/>
        </w:rPr>
        <w:tab/>
      </w:r>
      <w:r>
        <w:rPr>
          <w:rFonts w:cs="Arial"/>
          <w:b/>
          <w:bCs/>
        </w:rPr>
        <w:t>26</w:t>
      </w:r>
    </w:p>
    <w:p w14:paraId="213B197F" w14:textId="0E6D0943" w:rsidR="009A332A" w:rsidRPr="00547C57" w:rsidRDefault="00FA6E54" w:rsidP="00DD73B0">
      <w:pPr>
        <w:spacing w:line="240" w:lineRule="auto"/>
        <w:ind w:left="720" w:firstLine="720"/>
        <w:rPr>
          <w:rFonts w:cs="Arial"/>
          <w:b/>
          <w:bCs/>
        </w:rPr>
      </w:pPr>
      <w:r>
        <w:rPr>
          <w:rFonts w:cs="Arial"/>
          <w:bCs/>
        </w:rPr>
        <w:t>Step 7</w:t>
      </w:r>
      <w:r w:rsidR="00FB0A35" w:rsidRPr="00CA0C4F">
        <w:rPr>
          <w:rFonts w:cs="Arial"/>
          <w:bCs/>
        </w:rPr>
        <w:t xml:space="preserve"> </w:t>
      </w:r>
      <w:r w:rsidR="00547C57">
        <w:rPr>
          <w:rFonts w:cs="Arial"/>
          <w:bCs/>
        </w:rPr>
        <w:t>–</w:t>
      </w:r>
      <w:r w:rsidR="00FB0A35" w:rsidRPr="00CA0C4F">
        <w:rPr>
          <w:rFonts w:cs="Arial"/>
          <w:bCs/>
        </w:rPr>
        <w:t xml:space="preserve"> </w:t>
      </w:r>
      <w:r w:rsidR="00360E14" w:rsidRPr="00CA0C4F">
        <w:rPr>
          <w:rFonts w:cs="Arial"/>
          <w:bCs/>
        </w:rPr>
        <w:t>Report</w:t>
      </w:r>
      <w:r w:rsidR="00547C57">
        <w:rPr>
          <w:rFonts w:cs="Arial"/>
          <w:bCs/>
        </w:rPr>
        <w:t>…………………………………………………………………………………………</w:t>
      </w:r>
      <w:r w:rsidR="00547C57">
        <w:rPr>
          <w:rFonts w:cs="Arial"/>
          <w:bCs/>
        </w:rPr>
        <w:tab/>
      </w:r>
      <w:r w:rsidR="00547C57">
        <w:rPr>
          <w:rFonts w:cs="Arial"/>
          <w:b/>
          <w:bCs/>
        </w:rPr>
        <w:t>27</w:t>
      </w:r>
    </w:p>
    <w:p w14:paraId="734DDF98" w14:textId="39656C29" w:rsidR="009A332A" w:rsidRPr="00732D38" w:rsidRDefault="00060DB5" w:rsidP="00F574A1">
      <w:pPr>
        <w:tabs>
          <w:tab w:val="left" w:pos="5310"/>
        </w:tabs>
        <w:spacing w:line="240" w:lineRule="auto"/>
        <w:rPr>
          <w:rFonts w:cs="Arial"/>
          <w:b/>
          <w:bCs/>
        </w:rPr>
      </w:pPr>
      <w:r>
        <w:rPr>
          <w:rFonts w:cs="Arial"/>
          <w:b/>
          <w:bCs/>
        </w:rPr>
        <w:t xml:space="preserve">8. </w:t>
      </w:r>
      <w:r w:rsidR="009A332A" w:rsidRPr="00732D38">
        <w:rPr>
          <w:rFonts w:cs="Arial"/>
          <w:b/>
          <w:bCs/>
        </w:rPr>
        <w:t>Review</w:t>
      </w:r>
      <w:r w:rsidR="00FB0A35" w:rsidRPr="00732D38">
        <w:rPr>
          <w:rFonts w:cs="Arial"/>
          <w:b/>
          <w:bCs/>
        </w:rPr>
        <w:t xml:space="preserve"> of a P</w:t>
      </w:r>
      <w:r w:rsidR="00EA6F7E">
        <w:rPr>
          <w:rFonts w:cs="Arial"/>
          <w:b/>
          <w:bCs/>
        </w:rPr>
        <w:t xml:space="preserve">ublic </w:t>
      </w:r>
      <w:r w:rsidR="00FB0A35" w:rsidRPr="00732D38">
        <w:rPr>
          <w:rFonts w:cs="Arial"/>
          <w:b/>
          <w:bCs/>
        </w:rPr>
        <w:t>I</w:t>
      </w:r>
      <w:r w:rsidR="00EA6F7E">
        <w:rPr>
          <w:rFonts w:cs="Arial"/>
          <w:b/>
          <w:bCs/>
        </w:rPr>
        <w:t xml:space="preserve">nterest </w:t>
      </w:r>
      <w:r w:rsidR="00FB0A35" w:rsidRPr="00732D38">
        <w:rPr>
          <w:rFonts w:cs="Arial"/>
          <w:b/>
          <w:bCs/>
        </w:rPr>
        <w:t>D</w:t>
      </w:r>
      <w:r w:rsidR="00EA6F7E">
        <w:rPr>
          <w:rFonts w:cs="Arial"/>
          <w:b/>
          <w:bCs/>
        </w:rPr>
        <w:t>isclosure</w:t>
      </w:r>
      <w:r w:rsidR="00FB0A35" w:rsidRPr="00732D38">
        <w:rPr>
          <w:rFonts w:cs="Arial"/>
          <w:b/>
          <w:bCs/>
        </w:rPr>
        <w:t xml:space="preserve"> process</w:t>
      </w:r>
      <w:r w:rsidR="00514535">
        <w:rPr>
          <w:rFonts w:cs="Arial"/>
          <w:b/>
          <w:bCs/>
        </w:rPr>
        <w:t>……………………………………………………………</w:t>
      </w:r>
      <w:r w:rsidR="00514535">
        <w:rPr>
          <w:rFonts w:cs="Arial"/>
          <w:b/>
          <w:bCs/>
        </w:rPr>
        <w:tab/>
        <w:t>27</w:t>
      </w:r>
    </w:p>
    <w:p w14:paraId="0D87CED8" w14:textId="4E4ECE6E" w:rsidR="009A332A" w:rsidRPr="00732D38" w:rsidRDefault="00060DB5" w:rsidP="00F574A1">
      <w:pPr>
        <w:spacing w:line="240" w:lineRule="auto"/>
        <w:rPr>
          <w:rFonts w:cs="Arial"/>
          <w:b/>
          <w:bCs/>
        </w:rPr>
      </w:pPr>
      <w:r>
        <w:rPr>
          <w:rFonts w:cs="Arial"/>
          <w:b/>
          <w:bCs/>
        </w:rPr>
        <w:t xml:space="preserve">9. </w:t>
      </w:r>
      <w:r w:rsidR="009A332A" w:rsidRPr="00732D38">
        <w:rPr>
          <w:rFonts w:cs="Arial"/>
          <w:b/>
          <w:bCs/>
        </w:rPr>
        <w:t>Role of the Public Sector Standards Commissioner</w:t>
      </w:r>
      <w:r w:rsidR="007304FB">
        <w:rPr>
          <w:rFonts w:cs="Arial"/>
          <w:b/>
          <w:bCs/>
        </w:rPr>
        <w:t>………………………………………………………</w:t>
      </w:r>
      <w:r w:rsidR="00514535">
        <w:rPr>
          <w:rFonts w:cs="Arial"/>
          <w:b/>
          <w:bCs/>
        </w:rPr>
        <w:tab/>
        <w:t>27</w:t>
      </w:r>
    </w:p>
    <w:p w14:paraId="2E16FB6D" w14:textId="3422E2D9" w:rsidR="009A332A" w:rsidRPr="00547C57" w:rsidRDefault="00060DB5" w:rsidP="00547C57">
      <w:pPr>
        <w:spacing w:line="240" w:lineRule="auto"/>
        <w:ind w:firstLine="720"/>
        <w:rPr>
          <w:rFonts w:cs="Arial"/>
          <w:bCs/>
        </w:rPr>
      </w:pPr>
      <w:r>
        <w:rPr>
          <w:rFonts w:cs="Arial"/>
          <w:bCs/>
        </w:rPr>
        <w:t xml:space="preserve">9.1 </w:t>
      </w:r>
      <w:r w:rsidR="009A332A" w:rsidRPr="00547C57">
        <w:rPr>
          <w:rFonts w:cs="Arial"/>
          <w:bCs/>
        </w:rPr>
        <w:t>Commissioner may review decisions</w:t>
      </w:r>
      <w:r w:rsidR="00FB0A35" w:rsidRPr="00547C57">
        <w:rPr>
          <w:rFonts w:cs="Arial"/>
          <w:bCs/>
        </w:rPr>
        <w:t xml:space="preserve"> and actions</w:t>
      </w:r>
      <w:r w:rsidR="00547C57" w:rsidRPr="00547C57">
        <w:rPr>
          <w:rFonts w:cs="Arial"/>
          <w:bCs/>
        </w:rPr>
        <w:t>…………………………</w:t>
      </w:r>
      <w:r w:rsidR="00547C57">
        <w:rPr>
          <w:rFonts w:cs="Arial"/>
          <w:bCs/>
        </w:rPr>
        <w:t>……………………</w:t>
      </w:r>
      <w:r w:rsidR="00547C57" w:rsidRPr="00547C57">
        <w:rPr>
          <w:rFonts w:cs="Arial"/>
          <w:bCs/>
        </w:rPr>
        <w:tab/>
      </w:r>
      <w:r w:rsidR="00547C57" w:rsidRPr="00547C57">
        <w:rPr>
          <w:rFonts w:cs="Arial"/>
          <w:b/>
          <w:bCs/>
        </w:rPr>
        <w:t>28</w:t>
      </w:r>
    </w:p>
    <w:p w14:paraId="42B85EF6" w14:textId="211EC2C6" w:rsidR="009A332A" w:rsidRPr="00547C57" w:rsidRDefault="00060DB5" w:rsidP="0060581C">
      <w:pPr>
        <w:spacing w:line="240" w:lineRule="auto"/>
        <w:ind w:left="720"/>
        <w:rPr>
          <w:rFonts w:cs="Arial"/>
          <w:bCs/>
        </w:rPr>
      </w:pPr>
      <w:r>
        <w:rPr>
          <w:rFonts w:cs="Arial"/>
          <w:bCs/>
        </w:rPr>
        <w:t xml:space="preserve">9.2 </w:t>
      </w:r>
      <w:r w:rsidR="009A332A" w:rsidRPr="00547C57">
        <w:rPr>
          <w:rFonts w:cs="Arial"/>
          <w:bCs/>
        </w:rPr>
        <w:t xml:space="preserve">Report by </w:t>
      </w:r>
      <w:r w:rsidR="00FB0A35" w:rsidRPr="00547C57">
        <w:rPr>
          <w:rFonts w:cs="Arial"/>
          <w:bCs/>
        </w:rPr>
        <w:t xml:space="preserve">the </w:t>
      </w:r>
      <w:r w:rsidR="009A332A" w:rsidRPr="00547C57">
        <w:rPr>
          <w:rFonts w:cs="Arial"/>
          <w:bCs/>
        </w:rPr>
        <w:t>Commissioner</w:t>
      </w:r>
      <w:r w:rsidR="00547C57">
        <w:rPr>
          <w:rFonts w:cs="Arial"/>
          <w:bCs/>
        </w:rPr>
        <w:t>……………………………………………………………………………</w:t>
      </w:r>
      <w:r w:rsidR="00547C57">
        <w:rPr>
          <w:rFonts w:cs="Arial"/>
          <w:bCs/>
        </w:rPr>
        <w:tab/>
      </w:r>
      <w:r w:rsidR="00514535">
        <w:rPr>
          <w:rFonts w:cs="Arial"/>
          <w:b/>
          <w:bCs/>
        </w:rPr>
        <w:t>28</w:t>
      </w:r>
    </w:p>
    <w:p w14:paraId="361FDF74" w14:textId="225E091D" w:rsidR="00A92FE5" w:rsidRPr="00547C57" w:rsidRDefault="00060DB5" w:rsidP="0060581C">
      <w:pPr>
        <w:spacing w:line="240" w:lineRule="auto"/>
        <w:ind w:left="720"/>
        <w:rPr>
          <w:rFonts w:cs="Arial"/>
          <w:b/>
          <w:bCs/>
        </w:rPr>
      </w:pPr>
      <w:r>
        <w:rPr>
          <w:rFonts w:cs="Arial"/>
          <w:bCs/>
        </w:rPr>
        <w:t xml:space="preserve">9.3 </w:t>
      </w:r>
      <w:r w:rsidR="009A332A" w:rsidRPr="00547C57">
        <w:rPr>
          <w:rFonts w:cs="Arial"/>
          <w:bCs/>
        </w:rPr>
        <w:t>Commissioner must keep discloser informed</w:t>
      </w:r>
      <w:r w:rsidR="007304FB">
        <w:rPr>
          <w:rFonts w:cs="Arial"/>
          <w:bCs/>
        </w:rPr>
        <w:t>…………………………………………………</w:t>
      </w:r>
      <w:r w:rsidR="00547C57">
        <w:rPr>
          <w:rFonts w:cs="Arial"/>
          <w:bCs/>
        </w:rPr>
        <w:t>…</w:t>
      </w:r>
      <w:r w:rsidR="00547C57">
        <w:rPr>
          <w:rFonts w:cs="Arial"/>
          <w:bCs/>
        </w:rPr>
        <w:tab/>
      </w:r>
      <w:r w:rsidR="00514535">
        <w:rPr>
          <w:rFonts w:cs="Arial"/>
          <w:b/>
          <w:bCs/>
        </w:rPr>
        <w:t>28</w:t>
      </w:r>
    </w:p>
    <w:p w14:paraId="7FCC480B" w14:textId="199759B6" w:rsidR="00EA6F7E" w:rsidRDefault="00EA6F7E" w:rsidP="0060581C">
      <w:pPr>
        <w:spacing w:line="240" w:lineRule="auto"/>
        <w:rPr>
          <w:rFonts w:cs="Arial"/>
          <w:b/>
          <w:bCs/>
        </w:rPr>
      </w:pPr>
      <w:r>
        <w:rPr>
          <w:rFonts w:cs="Arial"/>
          <w:b/>
          <w:bCs/>
        </w:rPr>
        <w:t xml:space="preserve">Part 3:  </w:t>
      </w:r>
      <w:r w:rsidRPr="00EA6F7E">
        <w:rPr>
          <w:rFonts w:cs="Arial"/>
          <w:b/>
          <w:bCs/>
        </w:rPr>
        <w:t>Disclosures made to Members of the ACT Legislative Assembly</w:t>
      </w:r>
      <w:r w:rsidR="00514535">
        <w:rPr>
          <w:rFonts w:cs="Arial"/>
          <w:b/>
          <w:bCs/>
        </w:rPr>
        <w:t>……………………………</w:t>
      </w:r>
      <w:r w:rsidR="00514535">
        <w:rPr>
          <w:rFonts w:cs="Arial"/>
          <w:b/>
          <w:bCs/>
        </w:rPr>
        <w:tab/>
        <w:t>29</w:t>
      </w:r>
    </w:p>
    <w:p w14:paraId="5AF4C535" w14:textId="26540FA0" w:rsidR="009A332A" w:rsidRPr="00732D38" w:rsidRDefault="009A332A" w:rsidP="0060581C">
      <w:pPr>
        <w:spacing w:line="240" w:lineRule="auto"/>
        <w:rPr>
          <w:rFonts w:cs="Arial"/>
          <w:b/>
          <w:bCs/>
        </w:rPr>
      </w:pPr>
      <w:r w:rsidRPr="00732D38">
        <w:rPr>
          <w:rFonts w:cs="Arial"/>
          <w:b/>
          <w:bCs/>
        </w:rPr>
        <w:t>Glossary</w:t>
      </w:r>
      <w:r w:rsidR="00547C57">
        <w:rPr>
          <w:rFonts w:cs="Arial"/>
          <w:b/>
          <w:bCs/>
        </w:rPr>
        <w:t>………………………………………………</w:t>
      </w:r>
      <w:r w:rsidR="00514535">
        <w:rPr>
          <w:rFonts w:cs="Arial"/>
          <w:b/>
          <w:bCs/>
        </w:rPr>
        <w:t>……………………………………………………………………………</w:t>
      </w:r>
      <w:r w:rsidR="00514535">
        <w:rPr>
          <w:rFonts w:cs="Arial"/>
          <w:b/>
          <w:bCs/>
        </w:rPr>
        <w:tab/>
        <w:t>31</w:t>
      </w:r>
    </w:p>
    <w:p w14:paraId="7B3E5BCA" w14:textId="01E8373C" w:rsidR="009A332A" w:rsidRPr="00732D38" w:rsidRDefault="009A332A" w:rsidP="0060581C">
      <w:pPr>
        <w:spacing w:line="240" w:lineRule="auto"/>
        <w:rPr>
          <w:rFonts w:cs="Arial"/>
          <w:b/>
          <w:bCs/>
        </w:rPr>
      </w:pPr>
      <w:r w:rsidRPr="00732D38">
        <w:rPr>
          <w:rFonts w:cs="Arial"/>
          <w:b/>
          <w:bCs/>
        </w:rPr>
        <w:t>References</w:t>
      </w:r>
      <w:r w:rsidR="00547C57">
        <w:rPr>
          <w:rFonts w:cs="Arial"/>
          <w:b/>
          <w:bCs/>
        </w:rPr>
        <w:t>………………………………………………………………………………………………………………………</w:t>
      </w:r>
      <w:r w:rsidR="007304FB">
        <w:rPr>
          <w:rFonts w:cs="Arial"/>
          <w:b/>
          <w:bCs/>
        </w:rPr>
        <w:tab/>
      </w:r>
      <w:r w:rsidR="00514535">
        <w:rPr>
          <w:rFonts w:cs="Arial"/>
          <w:b/>
          <w:bCs/>
        </w:rPr>
        <w:t>33</w:t>
      </w:r>
    </w:p>
    <w:p w14:paraId="225456E9" w14:textId="449B9E90" w:rsidR="009A332A" w:rsidRPr="00732D38" w:rsidRDefault="009A332A" w:rsidP="0060581C">
      <w:pPr>
        <w:spacing w:line="240" w:lineRule="auto"/>
        <w:rPr>
          <w:rFonts w:cs="Arial"/>
          <w:b/>
          <w:bCs/>
        </w:rPr>
      </w:pPr>
      <w:r w:rsidRPr="00732D38">
        <w:rPr>
          <w:rFonts w:cs="Arial"/>
          <w:b/>
          <w:bCs/>
        </w:rPr>
        <w:t xml:space="preserve">Appendix A </w:t>
      </w:r>
      <w:r w:rsidR="00F371E3" w:rsidRPr="00732D38">
        <w:rPr>
          <w:rFonts w:cs="Arial"/>
          <w:b/>
          <w:bCs/>
        </w:rPr>
        <w:t>–</w:t>
      </w:r>
      <w:r w:rsidRPr="00732D38">
        <w:rPr>
          <w:rFonts w:cs="Arial"/>
          <w:b/>
          <w:bCs/>
        </w:rPr>
        <w:t xml:space="preserve"> </w:t>
      </w:r>
      <w:r w:rsidR="00547C57">
        <w:rPr>
          <w:rFonts w:cs="Arial"/>
          <w:b/>
          <w:bCs/>
        </w:rPr>
        <w:t>Steps in managing a disclosur</w:t>
      </w:r>
      <w:r w:rsidR="00060DB5">
        <w:rPr>
          <w:rFonts w:cs="Arial"/>
          <w:b/>
          <w:bCs/>
        </w:rPr>
        <w:t>e......…………………………………………………………….</w:t>
      </w:r>
      <w:r w:rsidR="00514535">
        <w:rPr>
          <w:rFonts w:cs="Arial"/>
          <w:b/>
          <w:bCs/>
        </w:rPr>
        <w:tab/>
        <w:t>34</w:t>
      </w:r>
    </w:p>
    <w:p w14:paraId="70F446FF" w14:textId="76C33BA4" w:rsidR="009A332A" w:rsidRPr="00732D38" w:rsidRDefault="009A332A" w:rsidP="0060581C">
      <w:pPr>
        <w:spacing w:line="240" w:lineRule="auto"/>
        <w:rPr>
          <w:rFonts w:cs="Arial"/>
          <w:b/>
          <w:bCs/>
        </w:rPr>
      </w:pPr>
      <w:r w:rsidRPr="00732D38">
        <w:rPr>
          <w:rFonts w:cs="Arial"/>
          <w:b/>
          <w:bCs/>
        </w:rPr>
        <w:t xml:space="preserve">Appendix </w:t>
      </w:r>
      <w:r w:rsidR="00521ACA">
        <w:rPr>
          <w:rFonts w:cs="Arial"/>
          <w:b/>
          <w:bCs/>
        </w:rPr>
        <w:t>B</w:t>
      </w:r>
      <w:r w:rsidR="00F371E3" w:rsidRPr="00732D38">
        <w:rPr>
          <w:rFonts w:cs="Arial"/>
          <w:b/>
          <w:bCs/>
        </w:rPr>
        <w:t xml:space="preserve"> – Acknowledgment letter</w:t>
      </w:r>
      <w:r w:rsidR="00B50396" w:rsidRPr="00732D38">
        <w:rPr>
          <w:rFonts w:cs="Arial"/>
          <w:b/>
          <w:bCs/>
        </w:rPr>
        <w:t xml:space="preserve"> </w:t>
      </w:r>
      <w:r w:rsidR="00547C57">
        <w:rPr>
          <w:rFonts w:cs="Arial"/>
          <w:b/>
          <w:bCs/>
        </w:rPr>
        <w:t>to discloser……………………………………………………………</w:t>
      </w:r>
      <w:r w:rsidR="007304FB">
        <w:rPr>
          <w:rFonts w:cs="Arial"/>
          <w:b/>
          <w:bCs/>
        </w:rPr>
        <w:tab/>
      </w:r>
      <w:r w:rsidR="00514535">
        <w:rPr>
          <w:rFonts w:cs="Arial"/>
          <w:b/>
          <w:bCs/>
        </w:rPr>
        <w:t>37</w:t>
      </w:r>
    </w:p>
    <w:p w14:paraId="66549C98" w14:textId="6EA190AF" w:rsidR="008442E9" w:rsidRPr="00732D38" w:rsidRDefault="009A332A" w:rsidP="0060581C">
      <w:pPr>
        <w:spacing w:line="240" w:lineRule="auto"/>
        <w:rPr>
          <w:rFonts w:cs="Arial"/>
          <w:b/>
          <w:bCs/>
        </w:rPr>
      </w:pPr>
      <w:r w:rsidRPr="00732D38">
        <w:rPr>
          <w:rFonts w:cs="Arial"/>
          <w:b/>
          <w:bCs/>
        </w:rPr>
        <w:t xml:space="preserve">Appendix </w:t>
      </w:r>
      <w:r w:rsidR="00521ACA">
        <w:rPr>
          <w:rFonts w:cs="Arial"/>
          <w:b/>
          <w:bCs/>
        </w:rPr>
        <w:t>C</w:t>
      </w:r>
      <w:r w:rsidR="00F371E3" w:rsidRPr="00732D38">
        <w:rPr>
          <w:rFonts w:cs="Arial"/>
          <w:b/>
          <w:bCs/>
        </w:rPr>
        <w:t xml:space="preserve"> – </w:t>
      </w:r>
      <w:r w:rsidR="008442E9" w:rsidRPr="00732D38">
        <w:rPr>
          <w:rFonts w:cs="Arial"/>
          <w:b/>
          <w:bCs/>
        </w:rPr>
        <w:t>Letter referring disclosure</w:t>
      </w:r>
      <w:r w:rsidR="00547C57">
        <w:rPr>
          <w:rFonts w:cs="Arial"/>
          <w:b/>
          <w:bCs/>
        </w:rPr>
        <w:t xml:space="preserve"> to another entity………………………</w:t>
      </w:r>
      <w:r w:rsidR="00514535">
        <w:rPr>
          <w:rFonts w:cs="Arial"/>
          <w:b/>
          <w:bCs/>
        </w:rPr>
        <w:t>……………………….</w:t>
      </w:r>
      <w:r w:rsidR="00514535">
        <w:rPr>
          <w:rFonts w:cs="Arial"/>
          <w:b/>
          <w:bCs/>
        </w:rPr>
        <w:tab/>
        <w:t>38</w:t>
      </w:r>
    </w:p>
    <w:p w14:paraId="57086C14" w14:textId="5E16141B" w:rsidR="009A332A" w:rsidRPr="00732D38" w:rsidRDefault="008442E9" w:rsidP="0060581C">
      <w:pPr>
        <w:spacing w:line="240" w:lineRule="auto"/>
        <w:rPr>
          <w:rFonts w:cs="Arial"/>
          <w:b/>
          <w:bCs/>
        </w:rPr>
      </w:pPr>
      <w:r w:rsidRPr="00732D38">
        <w:rPr>
          <w:rFonts w:cs="Arial"/>
          <w:b/>
          <w:bCs/>
        </w:rPr>
        <w:t xml:space="preserve">Appendix </w:t>
      </w:r>
      <w:r w:rsidR="00521ACA">
        <w:rPr>
          <w:rFonts w:cs="Arial"/>
          <w:b/>
          <w:bCs/>
        </w:rPr>
        <w:t>D</w:t>
      </w:r>
      <w:r w:rsidRPr="00732D38">
        <w:rPr>
          <w:rFonts w:cs="Arial"/>
          <w:b/>
          <w:bCs/>
        </w:rPr>
        <w:t xml:space="preserve"> – PID final report template</w:t>
      </w:r>
      <w:r w:rsidR="00514535">
        <w:rPr>
          <w:rFonts w:cs="Arial"/>
          <w:b/>
          <w:bCs/>
        </w:rPr>
        <w:t>……………………………………………………………………………</w:t>
      </w:r>
      <w:r w:rsidR="00514535">
        <w:rPr>
          <w:rFonts w:cs="Arial"/>
          <w:b/>
          <w:bCs/>
        </w:rPr>
        <w:tab/>
        <w:t>39</w:t>
      </w:r>
    </w:p>
    <w:p w14:paraId="125128EB" w14:textId="1A6AA51A" w:rsidR="009A332A" w:rsidRPr="00060DB5" w:rsidRDefault="009A332A" w:rsidP="0060581C">
      <w:pPr>
        <w:spacing w:line="240" w:lineRule="auto"/>
        <w:rPr>
          <w:rFonts w:cs="Arial"/>
          <w:b/>
          <w:bCs/>
        </w:rPr>
      </w:pPr>
    </w:p>
    <w:p w14:paraId="4E9B6BA7" w14:textId="77777777" w:rsidR="009A332A" w:rsidRPr="00732D38" w:rsidRDefault="009A332A" w:rsidP="0060581C">
      <w:pPr>
        <w:spacing w:line="240" w:lineRule="auto"/>
        <w:rPr>
          <w:b/>
          <w:bCs/>
        </w:rPr>
      </w:pPr>
    </w:p>
    <w:p w14:paraId="3B7DCCEB" w14:textId="77777777" w:rsidR="009A332A" w:rsidRDefault="009A332A" w:rsidP="0060581C">
      <w:pPr>
        <w:spacing w:line="240" w:lineRule="auto"/>
        <w:rPr>
          <w:b/>
          <w:bCs/>
        </w:rPr>
      </w:pPr>
      <w:bookmarkStart w:id="2" w:name="_bookmark1"/>
      <w:bookmarkEnd w:id="2"/>
      <w:r>
        <w:rPr>
          <w:b/>
          <w:bCs/>
        </w:rPr>
        <w:br w:type="page"/>
      </w:r>
    </w:p>
    <w:p w14:paraId="642B38BF" w14:textId="77777777" w:rsidR="004E7B8B" w:rsidRPr="007F7A18" w:rsidRDefault="004E7B8B">
      <w:pPr>
        <w:spacing w:line="240" w:lineRule="auto"/>
        <w:rPr>
          <w:b/>
          <w:bCs/>
          <w:sz w:val="28"/>
          <w:szCs w:val="28"/>
        </w:rPr>
      </w:pPr>
      <w:r w:rsidRPr="007F7A18">
        <w:rPr>
          <w:b/>
          <w:bCs/>
          <w:sz w:val="28"/>
          <w:szCs w:val="28"/>
        </w:rPr>
        <w:lastRenderedPageBreak/>
        <w:t>Commissioner’s Foreword</w:t>
      </w:r>
    </w:p>
    <w:p w14:paraId="692CEE5F" w14:textId="77777777" w:rsidR="004E7B8B" w:rsidRPr="004E7B8B" w:rsidRDefault="004E7B8B">
      <w:pPr>
        <w:spacing w:line="240" w:lineRule="auto"/>
      </w:pPr>
      <w:r w:rsidRPr="004E7B8B">
        <w:t>It is critical to the proper functioning of the ACT Government, the ACT Public</w:t>
      </w:r>
      <w:r w:rsidR="00D73C6A">
        <w:t xml:space="preserve"> Service (ACTPS) and other ACT Public S</w:t>
      </w:r>
      <w:r w:rsidRPr="004E7B8B">
        <w:t xml:space="preserve">ector entities (entities) that the citizens we serve have trust and confidence in the integrity and probity structures that underpin the ACT’s system of representative democracy. A focus on the desired standards of behaviour of the holders of public office – be they </w:t>
      </w:r>
      <w:r w:rsidR="00AD3A49">
        <w:t xml:space="preserve">either </w:t>
      </w:r>
      <w:r w:rsidRPr="004E7B8B">
        <w:t>elected representatives or officials – plays an important role in this regard and is achieved through the maintenance of legislative frameworks and codes of conduct for decision making and behaviour.</w:t>
      </w:r>
    </w:p>
    <w:p w14:paraId="7BC19D6E" w14:textId="77777777" w:rsidR="004E7B8B" w:rsidRPr="004E7B8B" w:rsidRDefault="004E7B8B">
      <w:pPr>
        <w:spacing w:line="240" w:lineRule="auto"/>
      </w:pPr>
      <w:r w:rsidRPr="004E7B8B">
        <w:t>It</w:t>
      </w:r>
      <w:r w:rsidR="00AD3A49">
        <w:t xml:space="preserve"> is also important that there is</w:t>
      </w:r>
      <w:r w:rsidRPr="004E7B8B">
        <w:t xml:space="preserve"> a range of measures and institutions that provide avenues for the independent review of decisions made and actions taken. Public interest disclosure (PID) legislation and processes form part of this governance framework and provide an opportunity for people to raise concerns about a</w:t>
      </w:r>
      <w:r w:rsidR="00AD3A49">
        <w:t>ny</w:t>
      </w:r>
      <w:r w:rsidRPr="004E7B8B">
        <w:t xml:space="preserve"> suspected wrongdoing in the public sector without fear of reprisal.</w:t>
      </w:r>
      <w:r w:rsidR="00B622E6">
        <w:t xml:space="preserve"> </w:t>
      </w:r>
      <w:r w:rsidRPr="004E7B8B">
        <w:t xml:space="preserve">In the ACT, a disclosure or complaint to an official becomes a PID when it is about </w:t>
      </w:r>
      <w:r w:rsidR="00581302">
        <w:t xml:space="preserve">concerning </w:t>
      </w:r>
      <w:r w:rsidRPr="004E7B8B">
        <w:t>conduct that could amount to a criminal offence, gives grounds for disciplinary action, or actions that could amount to a serious mal</w:t>
      </w:r>
      <w:r w:rsidR="00617BB7">
        <w:t>feasance</w:t>
      </w:r>
      <w:r w:rsidRPr="004E7B8B">
        <w:t xml:space="preserve"> of public office, or danger to public health, safety or the environment</w:t>
      </w:r>
      <w:r w:rsidR="00291241">
        <w:t>.</w:t>
      </w:r>
      <w:r w:rsidR="00B46D7D">
        <w:t xml:space="preserve"> As such, </w:t>
      </w:r>
      <w:r w:rsidR="00314464">
        <w:t>they are a more serious category</w:t>
      </w:r>
      <w:r w:rsidR="00DD2AEA">
        <w:t xml:space="preserve"> of complaint</w:t>
      </w:r>
      <w:r w:rsidR="00C329A8">
        <w:t xml:space="preserve"> outside the bounds of the regular complaint handling processes available to members of the public and employees.</w:t>
      </w:r>
    </w:p>
    <w:p w14:paraId="4DC18CE1" w14:textId="77777777" w:rsidR="004E7B8B" w:rsidRPr="004E7B8B" w:rsidRDefault="004E7B8B">
      <w:pPr>
        <w:spacing w:line="240" w:lineRule="auto"/>
      </w:pPr>
      <w:r w:rsidRPr="004E7B8B">
        <w:t>Governments and the public services that support them hold a special place in society, being entrusted to manage public resources and make decisions on the community’s behalf. It is proper that mechanisms are in place to ensure these public resources are not wasted or used for individual gain.</w:t>
      </w:r>
    </w:p>
    <w:p w14:paraId="154680C3" w14:textId="77777777" w:rsidR="004E7B8B" w:rsidRPr="004E7B8B" w:rsidRDefault="004E7B8B">
      <w:pPr>
        <w:spacing w:line="240" w:lineRule="auto"/>
      </w:pPr>
      <w:r w:rsidRPr="004E7B8B">
        <w:t>The ACT Government is committed to promotin</w:t>
      </w:r>
      <w:r w:rsidR="00AD3A49">
        <w:t xml:space="preserve">g a workplace culture where </w:t>
      </w:r>
      <w:r w:rsidRPr="004E7B8B">
        <w:t xml:space="preserve">employees feel confident and comfortable about reporting PIDs, and recognises its fundamental obligation to proactively deal with cases of wrongdoing in a fair and robust fashion. Indeed, the maintenance of proper standards of integrity and probity in the discharge of official duties is central to the expectations of behaviour enshrined in the </w:t>
      </w:r>
      <w:r w:rsidRPr="004E7B8B">
        <w:rPr>
          <w:i/>
          <w:iCs/>
        </w:rPr>
        <w:t xml:space="preserve">ACTPS Code of Conduct </w:t>
      </w:r>
      <w:r w:rsidRPr="004E7B8B">
        <w:t>and comprises one of the four ACTPS Values.</w:t>
      </w:r>
    </w:p>
    <w:p w14:paraId="4CC67754" w14:textId="77777777" w:rsidR="004E7B8B" w:rsidRPr="004E7B8B" w:rsidRDefault="004E7B8B">
      <w:pPr>
        <w:spacing w:line="240" w:lineRule="auto"/>
      </w:pPr>
      <w:r w:rsidRPr="004E7B8B">
        <w:t>Furthermore, the ACTPS believes that employees or members of the public who raise genuine disclosures of wrongdoing are acting in an exemplary manner by assisting in promoting open and accountable government and best practice public sector management. In recognition of this, the ACTPS is committed to ensuring that any employee who raises genuine concerns through proper processes about wrongdoing is protected from retaliation or reprisal.</w:t>
      </w:r>
    </w:p>
    <w:p w14:paraId="53753366" w14:textId="02756C7A" w:rsidR="004E7B8B" w:rsidRPr="004E7B8B" w:rsidRDefault="004E7B8B">
      <w:pPr>
        <w:spacing w:line="240" w:lineRule="auto"/>
      </w:pPr>
      <w:r w:rsidRPr="004E7B8B">
        <w:t xml:space="preserve">Under the </w:t>
      </w:r>
      <w:r w:rsidRPr="004E7B8B">
        <w:rPr>
          <w:i/>
          <w:iCs/>
        </w:rPr>
        <w:t xml:space="preserve">Public Interest Disclosure Act 2012 </w:t>
      </w:r>
      <w:r w:rsidRPr="004E7B8B">
        <w:t xml:space="preserve">(the Act), I am obliged to make guidelines about the way in which the ACTPS and other entities covered by the Act should handle PIDs. These </w:t>
      </w:r>
      <w:r w:rsidR="00B26E54">
        <w:t>g</w:t>
      </w:r>
      <w:r w:rsidRPr="004E7B8B">
        <w:t xml:space="preserve">uidelines have been prepared to provide a clear framework in which concerns can be </w:t>
      </w:r>
      <w:r w:rsidR="00283EEA">
        <w:t>raised with confidence,</w:t>
      </w:r>
      <w:r w:rsidRPr="004E7B8B">
        <w:t xml:space="preserve"> investigated fairly and properly, and responded to </w:t>
      </w:r>
      <w:r w:rsidR="00825495">
        <w:t>appropriately</w:t>
      </w:r>
      <w:r w:rsidRPr="004E7B8B">
        <w:t>.</w:t>
      </w:r>
      <w:r w:rsidR="00385376">
        <w:t xml:space="preserve"> This version of the </w:t>
      </w:r>
      <w:r w:rsidR="00BE5DDE">
        <w:t>g</w:t>
      </w:r>
      <w:r w:rsidR="00570403">
        <w:t xml:space="preserve">uidelines  </w:t>
      </w:r>
      <w:r w:rsidR="00BE5DDE">
        <w:t>draws on experience</w:t>
      </w:r>
      <w:r w:rsidR="00C43917">
        <w:t xml:space="preserve"> in managing PIDs</w:t>
      </w:r>
      <w:r w:rsidR="006C6E3B">
        <w:t xml:space="preserve"> </w:t>
      </w:r>
      <w:r w:rsidR="00035441">
        <w:t>since the issue of the previous version of the guideline</w:t>
      </w:r>
      <w:r w:rsidR="009D550D">
        <w:t>s</w:t>
      </w:r>
      <w:r w:rsidR="00CC6786">
        <w:t xml:space="preserve"> some 2 years ago</w:t>
      </w:r>
      <w:r w:rsidR="00D52312">
        <w:t xml:space="preserve">, </w:t>
      </w:r>
      <w:r w:rsidR="00C347D4">
        <w:t xml:space="preserve"> </w:t>
      </w:r>
      <w:r w:rsidR="007214C6">
        <w:t>presents the guidance material more concisely</w:t>
      </w:r>
      <w:r w:rsidR="006673C4">
        <w:t xml:space="preserve"> and </w:t>
      </w:r>
      <w:r w:rsidR="000B795C">
        <w:t xml:space="preserve">emphasises the </w:t>
      </w:r>
      <w:r w:rsidR="008238BC">
        <w:t>importance of the timely management of relevant processe</w:t>
      </w:r>
      <w:r w:rsidR="00317643">
        <w:t>s</w:t>
      </w:r>
      <w:r w:rsidR="00ED756D">
        <w:t xml:space="preserve">.   </w:t>
      </w:r>
    </w:p>
    <w:p w14:paraId="24E8103E" w14:textId="43C725D3" w:rsidR="009D14C3" w:rsidRDefault="004E7B8B">
      <w:pPr>
        <w:spacing w:after="0" w:line="240" w:lineRule="auto"/>
      </w:pPr>
      <w:r w:rsidRPr="004E7B8B">
        <w:t>The Head of Service</w:t>
      </w:r>
      <w:r w:rsidR="003C1C12">
        <w:t xml:space="preserve"> </w:t>
      </w:r>
      <w:r w:rsidRPr="004E7B8B">
        <w:t xml:space="preserve">and I encourage any employee or member of the public who considers that they have witnessed </w:t>
      </w:r>
      <w:r w:rsidR="003C1C12">
        <w:t xml:space="preserve">disclosable </w:t>
      </w:r>
      <w:r w:rsidRPr="004E7B8B">
        <w:t xml:space="preserve">conduct to </w:t>
      </w:r>
      <w:r w:rsidR="003C1C12">
        <w:t>report in a timely manner</w:t>
      </w:r>
      <w:r w:rsidR="00562B15">
        <w:t>,</w:t>
      </w:r>
      <w:r w:rsidR="003C1C12">
        <w:t xml:space="preserve"> in order that the integrity of the ACT Public Service is preserved</w:t>
      </w:r>
      <w:r w:rsidRPr="004E7B8B">
        <w:t>.</w:t>
      </w:r>
    </w:p>
    <w:p w14:paraId="0087ED65" w14:textId="79AAFF59" w:rsidR="0059587A" w:rsidRDefault="0059587A">
      <w:pPr>
        <w:spacing w:after="0" w:line="240" w:lineRule="auto"/>
      </w:pPr>
    </w:p>
    <w:p w14:paraId="3012FA5C" w14:textId="77777777" w:rsidR="0059587A" w:rsidRDefault="0059587A">
      <w:pPr>
        <w:spacing w:after="0" w:line="240" w:lineRule="auto"/>
      </w:pPr>
    </w:p>
    <w:p w14:paraId="0B927847" w14:textId="77777777" w:rsidR="00590A3D" w:rsidRDefault="00590A3D">
      <w:pPr>
        <w:spacing w:after="0" w:line="240" w:lineRule="auto"/>
      </w:pPr>
    </w:p>
    <w:p w14:paraId="2788FD76" w14:textId="6BEFA203" w:rsidR="0059587A" w:rsidRPr="004E7B8B" w:rsidRDefault="004E7B8B">
      <w:pPr>
        <w:spacing w:after="0" w:line="240" w:lineRule="auto"/>
      </w:pPr>
      <w:r w:rsidRPr="004E7B8B">
        <w:t>Ian McPhee</w:t>
      </w:r>
      <w:r w:rsidR="001854C6">
        <w:t xml:space="preserve"> AO PSM</w:t>
      </w:r>
    </w:p>
    <w:p w14:paraId="6234C2DC" w14:textId="77777777" w:rsidR="006F2516" w:rsidRDefault="004E7B8B">
      <w:pPr>
        <w:spacing w:after="0" w:line="240" w:lineRule="auto"/>
      </w:pPr>
      <w:r w:rsidRPr="004E7B8B">
        <w:t xml:space="preserve">Public Sector Standards </w:t>
      </w:r>
      <w:r w:rsidR="006F2516" w:rsidRPr="004E7B8B">
        <w:t xml:space="preserve">Commissioner </w:t>
      </w:r>
    </w:p>
    <w:p w14:paraId="1D245AC0" w14:textId="062F6A3D" w:rsidR="004E7B8B" w:rsidRPr="004E7B8B" w:rsidRDefault="002749DC">
      <w:pPr>
        <w:spacing w:after="0" w:line="240" w:lineRule="auto"/>
      </w:pPr>
      <w:r>
        <w:t xml:space="preserve">    </w:t>
      </w:r>
      <w:r w:rsidR="00351EA3">
        <w:t>Ma</w:t>
      </w:r>
      <w:r w:rsidR="0059587A">
        <w:t>y</w:t>
      </w:r>
      <w:r w:rsidR="006F2516">
        <w:t xml:space="preserve"> </w:t>
      </w:r>
      <w:r w:rsidR="006F2516" w:rsidRPr="004E7B8B">
        <w:t>2019</w:t>
      </w:r>
    </w:p>
    <w:p w14:paraId="16BA2FA6" w14:textId="77777777" w:rsidR="004E7B8B" w:rsidRPr="004E7B8B" w:rsidRDefault="004E7B8B">
      <w:pPr>
        <w:spacing w:after="0" w:line="240" w:lineRule="auto"/>
        <w:sectPr w:rsidR="004E7B8B" w:rsidRPr="004E7B8B" w:rsidSect="009C181F">
          <w:headerReference w:type="default" r:id="rId11"/>
          <w:footerReference w:type="default" r:id="rId12"/>
          <w:pgSz w:w="11910" w:h="16840"/>
          <w:pgMar w:top="1440" w:right="1080" w:bottom="1440" w:left="1080" w:header="0" w:footer="1222" w:gutter="0"/>
          <w:cols w:space="720"/>
          <w:noEndnote/>
          <w:docGrid w:linePitch="299"/>
        </w:sectPr>
      </w:pPr>
    </w:p>
    <w:p w14:paraId="7FC2BA1C" w14:textId="77777777" w:rsidR="004E7B8B" w:rsidRPr="007F7A18" w:rsidRDefault="004E7B8B" w:rsidP="00F574A1">
      <w:pPr>
        <w:rPr>
          <w:b/>
          <w:sz w:val="28"/>
          <w:szCs w:val="28"/>
        </w:rPr>
      </w:pPr>
      <w:bookmarkStart w:id="3" w:name="_bookmark2"/>
      <w:bookmarkEnd w:id="3"/>
      <w:r w:rsidRPr="007F7A18">
        <w:rPr>
          <w:b/>
          <w:sz w:val="28"/>
          <w:szCs w:val="28"/>
        </w:rPr>
        <w:lastRenderedPageBreak/>
        <w:t>Introduction</w:t>
      </w:r>
    </w:p>
    <w:p w14:paraId="6C6AB6F6" w14:textId="77777777" w:rsidR="004E7B8B" w:rsidRPr="000B5F2A" w:rsidRDefault="004E7B8B">
      <w:pPr>
        <w:spacing w:line="240" w:lineRule="auto"/>
      </w:pPr>
      <w:r w:rsidRPr="000B5F2A">
        <w:t>The ACT Government recognises the inherent value in providing effective mechanisms to support transparency and accountability in the public sector creating a channel for the reporting of wrongdoing in the delivery of government services.</w:t>
      </w:r>
    </w:p>
    <w:p w14:paraId="54F9DFB2" w14:textId="77777777" w:rsidR="004E7B8B" w:rsidRPr="000B5F2A" w:rsidRDefault="004E7B8B">
      <w:pPr>
        <w:spacing w:line="240" w:lineRule="auto"/>
      </w:pPr>
      <w:r w:rsidRPr="000B5F2A">
        <w:t xml:space="preserve">The </w:t>
      </w:r>
      <w:r w:rsidRPr="000B5F2A">
        <w:rPr>
          <w:i/>
          <w:iCs/>
        </w:rPr>
        <w:t xml:space="preserve">Public Interest Disclosure Act 2012 </w:t>
      </w:r>
      <w:r w:rsidRPr="000B5F2A">
        <w:t>(the Act) specifically encourages and enables anyone witnessing serious wrongdoing that falls within the definition of ‘disclosable conduct’ to raise concerns. It provides for these concerns to be seriously considered and investigated where warranted. The Act sets out the obligations of those raising a potential PID (the discloser), the protections available for disclosers, how disclosures should be dealt with, and the obligations of staff who manage disclosures and PIDs.</w:t>
      </w:r>
    </w:p>
    <w:p w14:paraId="110791E6" w14:textId="5F67C40A" w:rsidR="004E7B8B" w:rsidRPr="000B5F2A" w:rsidRDefault="004E7B8B">
      <w:pPr>
        <w:spacing w:line="240" w:lineRule="auto"/>
      </w:pPr>
      <w:r w:rsidRPr="000B5F2A">
        <w:t xml:space="preserve">These </w:t>
      </w:r>
      <w:r w:rsidR="00164239">
        <w:t>g</w:t>
      </w:r>
      <w:r w:rsidRPr="000B5F2A">
        <w:t>uidelines are designed to explain and support PID arrangements and assist individuals who wish to make a disclosu</w:t>
      </w:r>
      <w:r w:rsidR="00470C3E">
        <w:t>re, as well as ensure that ACT Public S</w:t>
      </w:r>
      <w:r w:rsidRPr="000B5F2A">
        <w:t>ector entities have arrangements in place to consider disclosures and take appropriate action on PIDs. They will be reviewed periodically to ensure they meet the needs</w:t>
      </w:r>
      <w:r w:rsidR="00470C3E">
        <w:t xml:space="preserve"> of users. This version of the g</w:t>
      </w:r>
      <w:r w:rsidRPr="000B5F2A">
        <w:t>uidelines updates those issued in June 2017.</w:t>
      </w:r>
    </w:p>
    <w:p w14:paraId="6A74DD0C" w14:textId="6FE0E594" w:rsidR="004E7B8B" w:rsidRPr="000B5F2A" w:rsidRDefault="00A2454C">
      <w:pPr>
        <w:spacing w:line="240" w:lineRule="auto"/>
      </w:pPr>
      <w:r w:rsidRPr="000B5F2A">
        <w:t xml:space="preserve">The </w:t>
      </w:r>
      <w:r w:rsidR="00164239">
        <w:t>g</w:t>
      </w:r>
      <w:r w:rsidRPr="000B5F2A">
        <w:t>uidelines comprise three</w:t>
      </w:r>
      <w:r w:rsidR="004E7B8B" w:rsidRPr="000B5F2A">
        <w:t xml:space="preserve"> parts:</w:t>
      </w:r>
    </w:p>
    <w:p w14:paraId="205113EA" w14:textId="77777777" w:rsidR="004E7B8B" w:rsidRPr="000B5F2A" w:rsidRDefault="004E7B8B" w:rsidP="00F574A1">
      <w:pPr>
        <w:spacing w:line="240" w:lineRule="auto"/>
        <w:ind w:left="720"/>
      </w:pPr>
      <w:r w:rsidRPr="00F574A1">
        <w:rPr>
          <w:rFonts w:eastAsia="Times New Roman" w:cs="Calibri"/>
          <w:b/>
          <w:lang w:eastAsia="en-AU"/>
        </w:rPr>
        <w:t>Part One</w:t>
      </w:r>
      <w:r w:rsidRPr="00F574A1">
        <w:rPr>
          <w:rFonts w:eastAsia="Times New Roman" w:cs="Calibri"/>
          <w:lang w:eastAsia="en-AU"/>
        </w:rPr>
        <w:t xml:space="preserve"> </w:t>
      </w:r>
      <w:r w:rsidR="00C144FA" w:rsidRPr="000B5F2A">
        <w:t>is directed towards would-be disclosers</w:t>
      </w:r>
      <w:r w:rsidRPr="000B5F2A">
        <w:t xml:space="preserve">. It </w:t>
      </w:r>
      <w:r w:rsidR="00C144FA" w:rsidRPr="000B5F2A">
        <w:t xml:space="preserve">provides </w:t>
      </w:r>
      <w:r w:rsidR="00A2454C" w:rsidRPr="000B5F2A">
        <w:t xml:space="preserve">information and </w:t>
      </w:r>
      <w:r w:rsidR="00C144FA" w:rsidRPr="000B5F2A">
        <w:t xml:space="preserve">guidance for those who are considering making a disclosure under the </w:t>
      </w:r>
      <w:r w:rsidRPr="000B5F2A">
        <w:t>framework established by the Act.</w:t>
      </w:r>
    </w:p>
    <w:p w14:paraId="6175C9D4" w14:textId="08C38236" w:rsidR="000F2F01" w:rsidRPr="000B5F2A" w:rsidRDefault="004E7B8B" w:rsidP="00F574A1">
      <w:pPr>
        <w:spacing w:line="240" w:lineRule="auto"/>
        <w:ind w:left="720"/>
      </w:pPr>
      <w:r w:rsidRPr="00F574A1">
        <w:rPr>
          <w:rFonts w:eastAsia="Times New Roman" w:cs="Calibri"/>
          <w:b/>
          <w:lang w:eastAsia="en-AU"/>
        </w:rPr>
        <w:t>Part Two</w:t>
      </w:r>
      <w:r w:rsidRPr="00F574A1">
        <w:rPr>
          <w:rFonts w:eastAsia="Times New Roman" w:cs="Calibri"/>
          <w:lang w:eastAsia="en-AU"/>
        </w:rPr>
        <w:t xml:space="preserve"> </w:t>
      </w:r>
      <w:r w:rsidR="00334A76" w:rsidRPr="000B5F2A">
        <w:t xml:space="preserve">explains the management </w:t>
      </w:r>
      <w:r w:rsidRPr="000B5F2A">
        <w:t>and handling of disclosures and PIDs</w:t>
      </w:r>
      <w:r w:rsidR="00A35759">
        <w:t xml:space="preserve"> by ACT Public Sector e</w:t>
      </w:r>
      <w:r w:rsidR="00334A76" w:rsidRPr="000B5F2A">
        <w:t>ntities</w:t>
      </w:r>
      <w:r w:rsidRPr="000B5F2A">
        <w:t xml:space="preserve">. It has been written with an internal focus and aims to assist those with responsibility for </w:t>
      </w:r>
      <w:r w:rsidR="00334A76" w:rsidRPr="000B5F2A">
        <w:t xml:space="preserve">receiving and </w:t>
      </w:r>
      <w:r w:rsidRPr="000B5F2A">
        <w:t>managing disclosures and PIDs.</w:t>
      </w:r>
    </w:p>
    <w:p w14:paraId="5680D684" w14:textId="77777777" w:rsidR="001854C6" w:rsidRPr="00F574A1" w:rsidRDefault="00A2454C" w:rsidP="00F574A1">
      <w:pPr>
        <w:spacing w:line="240" w:lineRule="auto"/>
        <w:ind w:left="720"/>
        <w:rPr>
          <w:rFonts w:eastAsia="Times New Roman" w:cs="Calibri"/>
          <w:lang w:eastAsia="en-AU"/>
        </w:rPr>
      </w:pPr>
      <w:r w:rsidRPr="00F574A1">
        <w:rPr>
          <w:rFonts w:eastAsia="Times New Roman" w:cs="Calibri"/>
          <w:b/>
          <w:lang w:eastAsia="en-AU"/>
        </w:rPr>
        <w:t>Part Three</w:t>
      </w:r>
      <w:r w:rsidRPr="00F574A1">
        <w:rPr>
          <w:rFonts w:eastAsia="Times New Roman" w:cs="Calibri"/>
          <w:lang w:eastAsia="en-AU"/>
        </w:rPr>
        <w:t xml:space="preserve"> provides guidance to assist Members of the ACT Legislative Assembly respond to disclosures made to </w:t>
      </w:r>
      <w:r w:rsidR="00562B15" w:rsidRPr="00F574A1">
        <w:rPr>
          <w:rFonts w:eastAsia="Times New Roman" w:cs="Calibri"/>
          <w:lang w:eastAsia="en-AU"/>
        </w:rPr>
        <w:t xml:space="preserve">them. </w:t>
      </w:r>
    </w:p>
    <w:p w14:paraId="58EED875" w14:textId="77777777" w:rsidR="001854C6" w:rsidRDefault="001854C6" w:rsidP="00F574A1">
      <w:pPr>
        <w:spacing w:line="240" w:lineRule="auto"/>
        <w:rPr>
          <w:bCs/>
        </w:rPr>
      </w:pPr>
    </w:p>
    <w:p w14:paraId="7ECCB157" w14:textId="27B272AD" w:rsidR="00217C23" w:rsidRPr="007F7A18" w:rsidRDefault="00562B15">
      <w:pPr>
        <w:rPr>
          <w:b/>
          <w:sz w:val="28"/>
          <w:szCs w:val="28"/>
        </w:rPr>
      </w:pPr>
      <w:r w:rsidRPr="007F7A18">
        <w:rPr>
          <w:b/>
          <w:bCs/>
          <w:sz w:val="28"/>
          <w:szCs w:val="28"/>
        </w:rPr>
        <w:t>The</w:t>
      </w:r>
      <w:r w:rsidR="00217C23" w:rsidRPr="007F7A18">
        <w:rPr>
          <w:b/>
          <w:bCs/>
          <w:sz w:val="28"/>
          <w:szCs w:val="28"/>
        </w:rPr>
        <w:t xml:space="preserve"> ACT Integrity Commission</w:t>
      </w:r>
    </w:p>
    <w:p w14:paraId="0DBC42F5" w14:textId="21D462F1" w:rsidR="00217C23" w:rsidRPr="00217C23" w:rsidRDefault="00217C23" w:rsidP="00F574A1">
      <w:pPr>
        <w:spacing w:line="240" w:lineRule="auto"/>
      </w:pPr>
      <w:r w:rsidRPr="006D6B18">
        <w:t xml:space="preserve">The ACT Legislative Assembly passed the </w:t>
      </w:r>
      <w:r w:rsidRPr="006D6B18">
        <w:rPr>
          <w:i/>
          <w:iCs/>
        </w:rPr>
        <w:t xml:space="preserve">Integrity Commission Act 2018 </w:t>
      </w:r>
      <w:r w:rsidRPr="006D6B18">
        <w:t>(</w:t>
      </w:r>
      <w:r w:rsidR="001854C6">
        <w:t>IC Act</w:t>
      </w:r>
      <w:r w:rsidRPr="006D6B18">
        <w:t>)</w:t>
      </w:r>
      <w:r w:rsidRPr="006D6B18">
        <w:rPr>
          <w:i/>
          <w:iCs/>
        </w:rPr>
        <w:t xml:space="preserve"> </w:t>
      </w:r>
      <w:r w:rsidRPr="006D6B18">
        <w:t xml:space="preserve">on 29 November 2018.  The Act is available at </w:t>
      </w:r>
      <w:hyperlink r:id="rId13" w:history="1">
        <w:r w:rsidRPr="006D6B18">
          <w:rPr>
            <w:rStyle w:val="Hyperlink"/>
          </w:rPr>
          <w:t>https://www.legislation.act.gov.au/a/2018-52/</w:t>
        </w:r>
      </w:hyperlink>
      <w:r w:rsidRPr="006D6B18">
        <w:t>.</w:t>
      </w:r>
    </w:p>
    <w:p w14:paraId="1D240632" w14:textId="77777777" w:rsidR="001854C6" w:rsidRPr="006D6B18" w:rsidRDefault="001854C6">
      <w:pPr>
        <w:pStyle w:val="NormalWeb"/>
        <w:spacing w:before="0" w:beforeAutospacing="0" w:after="0" w:afterAutospacing="0"/>
        <w:rPr>
          <w:sz w:val="22"/>
          <w:szCs w:val="22"/>
        </w:rPr>
      </w:pPr>
      <w:r w:rsidRPr="009F6353">
        <w:rPr>
          <w:rFonts w:ascii="Calibri" w:hAnsi="Calibri"/>
          <w:sz w:val="22"/>
          <w:szCs w:val="22"/>
        </w:rPr>
        <w:t xml:space="preserve">The </w:t>
      </w:r>
      <w:r>
        <w:rPr>
          <w:rFonts w:ascii="Calibri" w:hAnsi="Calibri"/>
          <w:sz w:val="22"/>
          <w:szCs w:val="22"/>
        </w:rPr>
        <w:t xml:space="preserve">ACT Integrity </w:t>
      </w:r>
      <w:r w:rsidRPr="009F6353">
        <w:rPr>
          <w:rFonts w:ascii="Calibri" w:hAnsi="Calibri"/>
          <w:sz w:val="22"/>
          <w:szCs w:val="22"/>
        </w:rPr>
        <w:t xml:space="preserve">Commission is an independent body that </w:t>
      </w:r>
      <w:r>
        <w:rPr>
          <w:rFonts w:ascii="Calibri" w:hAnsi="Calibri"/>
          <w:sz w:val="22"/>
          <w:szCs w:val="22"/>
        </w:rPr>
        <w:t xml:space="preserve">has the </w:t>
      </w:r>
      <w:r w:rsidRPr="009F6353">
        <w:rPr>
          <w:rFonts w:ascii="Calibri" w:hAnsi="Calibri"/>
          <w:sz w:val="22"/>
          <w:szCs w:val="22"/>
        </w:rPr>
        <w:t xml:space="preserve">power to investigate corruption in public administration </w:t>
      </w:r>
      <w:r>
        <w:rPr>
          <w:rFonts w:ascii="Calibri" w:hAnsi="Calibri"/>
          <w:sz w:val="22"/>
          <w:szCs w:val="22"/>
        </w:rPr>
        <w:t>in the interests of</w:t>
      </w:r>
      <w:r w:rsidRPr="009F6353">
        <w:rPr>
          <w:rFonts w:ascii="Calibri" w:hAnsi="Calibri"/>
          <w:sz w:val="22"/>
          <w:szCs w:val="22"/>
        </w:rPr>
        <w:t xml:space="preserve"> strengthen</w:t>
      </w:r>
      <w:r>
        <w:rPr>
          <w:rFonts w:ascii="Calibri" w:hAnsi="Calibri"/>
          <w:sz w:val="22"/>
          <w:szCs w:val="22"/>
        </w:rPr>
        <w:t>ing</w:t>
      </w:r>
      <w:r w:rsidRPr="009F6353">
        <w:rPr>
          <w:rFonts w:ascii="Calibri" w:hAnsi="Calibri"/>
          <w:sz w:val="22"/>
          <w:szCs w:val="22"/>
        </w:rPr>
        <w:t xml:space="preserve"> public confidence in government integrity</w:t>
      </w:r>
      <w:r>
        <w:rPr>
          <w:rFonts w:ascii="Calibri" w:hAnsi="Calibri"/>
          <w:sz w:val="22"/>
          <w:szCs w:val="22"/>
        </w:rPr>
        <w:t xml:space="preserve">. </w:t>
      </w:r>
      <w:r w:rsidRPr="006D6B18">
        <w:rPr>
          <w:rFonts w:ascii="Calibri" w:hAnsi="Calibri"/>
          <w:sz w:val="22"/>
          <w:szCs w:val="22"/>
        </w:rPr>
        <w:t xml:space="preserve">The Integrity Commission, which </w:t>
      </w:r>
      <w:r>
        <w:rPr>
          <w:rFonts w:ascii="Calibri" w:hAnsi="Calibri"/>
          <w:sz w:val="22"/>
          <w:szCs w:val="22"/>
        </w:rPr>
        <w:t>is</w:t>
      </w:r>
      <w:r w:rsidRPr="006D6B18">
        <w:rPr>
          <w:rFonts w:ascii="Calibri" w:hAnsi="Calibri"/>
          <w:sz w:val="22"/>
          <w:szCs w:val="22"/>
        </w:rPr>
        <w:t xml:space="preserve"> operational from 1 July 2019, </w:t>
      </w:r>
      <w:r w:rsidRPr="009F6353">
        <w:rPr>
          <w:rFonts w:ascii="Calibri" w:hAnsi="Calibri"/>
          <w:sz w:val="22"/>
          <w:szCs w:val="22"/>
        </w:rPr>
        <w:t xml:space="preserve">will investigate conduct that is alleged to be corrupt conduct in relation to </w:t>
      </w:r>
      <w:r w:rsidRPr="006D6B18">
        <w:rPr>
          <w:rFonts w:ascii="Calibri" w:hAnsi="Calibri"/>
          <w:sz w:val="22"/>
          <w:szCs w:val="22"/>
        </w:rPr>
        <w:t xml:space="preserve">all ACT public officials including public servants, statutory office holders, officers of the Legislative Assembly, Members of the Legislative Assembly (MLAs) and their staff. Judicial officers and ACT Civil and Administrative Tribunal members, </w:t>
      </w:r>
      <w:r>
        <w:rPr>
          <w:rFonts w:ascii="Calibri" w:hAnsi="Calibri"/>
          <w:sz w:val="22"/>
          <w:szCs w:val="22"/>
        </w:rPr>
        <w:t xml:space="preserve">assessors and </w:t>
      </w:r>
      <w:r w:rsidRPr="006D6B18">
        <w:rPr>
          <w:rFonts w:ascii="Calibri" w:hAnsi="Calibri"/>
          <w:sz w:val="22"/>
          <w:szCs w:val="22"/>
        </w:rPr>
        <w:t xml:space="preserve">registrars are also included in the definition of an ACT public official for the purposes of the </w:t>
      </w:r>
      <w:r>
        <w:rPr>
          <w:rFonts w:ascii="Calibri" w:hAnsi="Calibri"/>
          <w:sz w:val="22"/>
          <w:szCs w:val="22"/>
        </w:rPr>
        <w:t xml:space="preserve">IC </w:t>
      </w:r>
      <w:r w:rsidRPr="006D6B18">
        <w:rPr>
          <w:rFonts w:ascii="Calibri" w:hAnsi="Calibri"/>
          <w:sz w:val="22"/>
          <w:szCs w:val="22"/>
        </w:rPr>
        <w:t xml:space="preserve">Act. </w:t>
      </w:r>
    </w:p>
    <w:p w14:paraId="0A61574C" w14:textId="7EB97156" w:rsidR="00217C23" w:rsidRPr="006D6B18" w:rsidRDefault="00217C23">
      <w:pPr>
        <w:pStyle w:val="NormalWeb"/>
        <w:spacing w:before="0" w:beforeAutospacing="0" w:after="0" w:afterAutospacing="0"/>
        <w:rPr>
          <w:sz w:val="22"/>
          <w:szCs w:val="22"/>
        </w:rPr>
      </w:pPr>
      <w:r w:rsidRPr="006D6B18">
        <w:rPr>
          <w:rFonts w:ascii="Calibri" w:hAnsi="Calibri"/>
          <w:sz w:val="22"/>
          <w:szCs w:val="22"/>
        </w:rPr>
        <w:t xml:space="preserve">  </w:t>
      </w:r>
    </w:p>
    <w:p w14:paraId="71D773B0" w14:textId="77777777" w:rsidR="00217C23" w:rsidRPr="006D6B18" w:rsidRDefault="00217C23">
      <w:pPr>
        <w:pStyle w:val="NormalWeb"/>
        <w:spacing w:before="0" w:beforeAutospacing="0" w:after="0" w:afterAutospacing="0"/>
        <w:rPr>
          <w:sz w:val="22"/>
          <w:szCs w:val="22"/>
        </w:rPr>
      </w:pPr>
      <w:r w:rsidRPr="006D6B18">
        <w:rPr>
          <w:rFonts w:ascii="Calibri" w:hAnsi="Calibri"/>
          <w:sz w:val="22"/>
          <w:szCs w:val="22"/>
        </w:rPr>
        <w:t xml:space="preserve">The intended focus of the Commission is on current and emerging corrupt conduct. The Act also has retrospective operation in circumstances where investigation is in the public interest and is appropriate in the circumstances. </w:t>
      </w:r>
    </w:p>
    <w:p w14:paraId="717E2650" w14:textId="77777777" w:rsidR="00217C23" w:rsidRPr="006D6B18" w:rsidRDefault="00217C23">
      <w:pPr>
        <w:pStyle w:val="NormalWeb"/>
        <w:spacing w:before="0" w:beforeAutospacing="0" w:after="0" w:afterAutospacing="0"/>
        <w:rPr>
          <w:sz w:val="22"/>
          <w:szCs w:val="22"/>
        </w:rPr>
      </w:pPr>
      <w:r w:rsidRPr="006D6B18">
        <w:rPr>
          <w:rFonts w:ascii="Calibri" w:hAnsi="Calibri"/>
          <w:sz w:val="22"/>
          <w:szCs w:val="22"/>
        </w:rPr>
        <w:t> </w:t>
      </w:r>
    </w:p>
    <w:p w14:paraId="0F90C32D" w14:textId="0D620B4F" w:rsidR="00217C23" w:rsidRDefault="00217C23">
      <w:pPr>
        <w:pStyle w:val="NormalWeb"/>
        <w:spacing w:before="0" w:beforeAutospacing="0" w:after="0" w:afterAutospacing="0"/>
        <w:rPr>
          <w:rFonts w:asciiTheme="minorHAnsi" w:hAnsiTheme="minorHAnsi"/>
          <w:sz w:val="22"/>
          <w:szCs w:val="22"/>
        </w:rPr>
      </w:pPr>
      <w:r w:rsidRPr="006D6B18">
        <w:rPr>
          <w:rFonts w:asciiTheme="minorHAnsi" w:hAnsiTheme="minorHAnsi"/>
          <w:sz w:val="22"/>
          <w:szCs w:val="22"/>
        </w:rPr>
        <w:t>The legislation also requires mandatory reporting of corrupt conduct by all senior public servants, MLAs and chiefs of staff to Ministers and the Leader of the Opposition. Extending mandatory reporting obligations to persons beyond the head of a public sector agency is intended to create a higher lev</w:t>
      </w:r>
      <w:r w:rsidR="00470C3E">
        <w:rPr>
          <w:rFonts w:asciiTheme="minorHAnsi" w:hAnsiTheme="minorHAnsi"/>
          <w:sz w:val="22"/>
          <w:szCs w:val="22"/>
        </w:rPr>
        <w:t>el of accountability among ACT Public S</w:t>
      </w:r>
      <w:r w:rsidRPr="006D6B18">
        <w:rPr>
          <w:rFonts w:asciiTheme="minorHAnsi" w:hAnsiTheme="minorHAnsi"/>
          <w:sz w:val="22"/>
          <w:szCs w:val="22"/>
        </w:rPr>
        <w:t xml:space="preserve">ector leaders. The ACT Integrity Commission model also introduces a criminal offence for a mandatory reporter who fails to notify the Commission of serious or systemic corrupt conduct. This reflects </w:t>
      </w:r>
      <w:r w:rsidRPr="006D6B18">
        <w:rPr>
          <w:rFonts w:asciiTheme="minorHAnsi" w:hAnsiTheme="minorHAnsi"/>
          <w:sz w:val="22"/>
          <w:szCs w:val="22"/>
        </w:rPr>
        <w:lastRenderedPageBreak/>
        <w:t>the intent of the</w:t>
      </w:r>
      <w:r w:rsidR="00470C3E">
        <w:rPr>
          <w:rFonts w:asciiTheme="minorHAnsi" w:hAnsiTheme="minorHAnsi"/>
          <w:sz w:val="22"/>
          <w:szCs w:val="22"/>
        </w:rPr>
        <w:t xml:space="preserve"> ACT Government to require ACT Public S</w:t>
      </w:r>
      <w:r w:rsidRPr="006D6B18">
        <w:rPr>
          <w:rFonts w:asciiTheme="minorHAnsi" w:hAnsiTheme="minorHAnsi"/>
          <w:sz w:val="22"/>
          <w:szCs w:val="22"/>
        </w:rPr>
        <w:t xml:space="preserve">ector leaders to maintain the highest ethical standards. </w:t>
      </w:r>
    </w:p>
    <w:p w14:paraId="3F9C4F6B" w14:textId="77777777" w:rsidR="00217C23" w:rsidRPr="006D6B18" w:rsidRDefault="00217C23">
      <w:pPr>
        <w:pStyle w:val="NormalWeb"/>
        <w:spacing w:before="0" w:beforeAutospacing="0" w:after="0" w:afterAutospacing="0"/>
        <w:rPr>
          <w:rFonts w:asciiTheme="minorHAnsi" w:hAnsiTheme="minorHAnsi"/>
          <w:sz w:val="22"/>
          <w:szCs w:val="22"/>
        </w:rPr>
      </w:pPr>
    </w:p>
    <w:p w14:paraId="6A9F8CF1" w14:textId="2EB90A5C" w:rsidR="00217C23" w:rsidRPr="006D6B18" w:rsidRDefault="00217C23">
      <w:pPr>
        <w:pStyle w:val="NormalWeb"/>
        <w:spacing w:before="0" w:beforeAutospacing="0" w:after="0" w:afterAutospacing="0"/>
        <w:rPr>
          <w:rFonts w:asciiTheme="minorHAnsi" w:hAnsiTheme="minorHAnsi"/>
          <w:sz w:val="22"/>
          <w:szCs w:val="22"/>
        </w:rPr>
      </w:pPr>
      <w:r w:rsidRPr="00562B15">
        <w:rPr>
          <w:rFonts w:asciiTheme="minorHAnsi" w:eastAsia="Times New Roman" w:hAnsiTheme="minorHAnsi"/>
          <w:sz w:val="22"/>
          <w:szCs w:val="22"/>
        </w:rPr>
        <w:t xml:space="preserve">It is anticipated that the next version of these </w:t>
      </w:r>
      <w:r w:rsidR="00CE7A1F">
        <w:rPr>
          <w:rFonts w:asciiTheme="minorHAnsi" w:eastAsia="Times New Roman" w:hAnsiTheme="minorHAnsi"/>
          <w:sz w:val="22"/>
          <w:szCs w:val="22"/>
        </w:rPr>
        <w:t>g</w:t>
      </w:r>
      <w:r w:rsidRPr="00562B15">
        <w:rPr>
          <w:rFonts w:asciiTheme="minorHAnsi" w:eastAsia="Times New Roman" w:hAnsiTheme="minorHAnsi"/>
          <w:sz w:val="22"/>
          <w:szCs w:val="22"/>
        </w:rPr>
        <w:t>uidelines will include advice on any protocols or other arrangements developed with the Integrity Commission to assist in managing the responsibilities of the</w:t>
      </w:r>
      <w:r w:rsidR="00470C3E">
        <w:rPr>
          <w:rFonts w:asciiTheme="minorHAnsi" w:eastAsia="Times New Roman" w:hAnsiTheme="minorHAnsi"/>
          <w:sz w:val="22"/>
          <w:szCs w:val="22"/>
        </w:rPr>
        <w:t xml:space="preserve"> Commission, ACT Public Sector e</w:t>
      </w:r>
      <w:r w:rsidRPr="00562B15">
        <w:rPr>
          <w:rFonts w:asciiTheme="minorHAnsi" w:eastAsia="Times New Roman" w:hAnsiTheme="minorHAnsi"/>
          <w:sz w:val="22"/>
          <w:szCs w:val="22"/>
        </w:rPr>
        <w:t xml:space="preserve">ntities and the </w:t>
      </w:r>
      <w:r w:rsidR="00562B15">
        <w:rPr>
          <w:rFonts w:asciiTheme="minorHAnsi" w:eastAsia="Times New Roman" w:hAnsiTheme="minorHAnsi"/>
          <w:sz w:val="22"/>
          <w:szCs w:val="22"/>
        </w:rPr>
        <w:t>o</w:t>
      </w:r>
      <w:r w:rsidRPr="00562B15">
        <w:rPr>
          <w:rFonts w:asciiTheme="minorHAnsi" w:eastAsia="Times New Roman" w:hAnsiTheme="minorHAnsi"/>
          <w:sz w:val="22"/>
          <w:szCs w:val="22"/>
        </w:rPr>
        <w:t>ffice of the Public Sector Standards Commissioner</w:t>
      </w:r>
      <w:r w:rsidR="00562B15">
        <w:rPr>
          <w:rFonts w:asciiTheme="minorHAnsi" w:eastAsia="Times New Roman" w:hAnsiTheme="minorHAnsi"/>
          <w:sz w:val="22"/>
          <w:szCs w:val="22"/>
        </w:rPr>
        <w:t>.</w:t>
      </w:r>
    </w:p>
    <w:p w14:paraId="05EEE7ED" w14:textId="77777777" w:rsidR="000F2F01" w:rsidRPr="00217C23" w:rsidRDefault="000F2F01">
      <w:pPr>
        <w:spacing w:line="240" w:lineRule="auto"/>
        <w:rPr>
          <w:i/>
        </w:rPr>
        <w:sectPr w:rsidR="000F2F01" w:rsidRPr="00217C23" w:rsidSect="00FF3403">
          <w:pgSz w:w="11910" w:h="16840"/>
          <w:pgMar w:top="1440" w:right="1080" w:bottom="1440" w:left="1080" w:header="0" w:footer="1360" w:gutter="0"/>
          <w:cols w:space="720"/>
          <w:noEndnote/>
          <w:docGrid w:linePitch="299"/>
        </w:sectPr>
      </w:pPr>
    </w:p>
    <w:p w14:paraId="39441191" w14:textId="7F7BF6CB" w:rsidR="004E7B8B" w:rsidRPr="007F7A18" w:rsidRDefault="004E7B8B">
      <w:pPr>
        <w:spacing w:line="240" w:lineRule="auto"/>
        <w:rPr>
          <w:b/>
          <w:bCs/>
          <w:sz w:val="28"/>
          <w:szCs w:val="28"/>
        </w:rPr>
      </w:pPr>
      <w:bookmarkStart w:id="4" w:name="_bookmark3"/>
      <w:bookmarkEnd w:id="4"/>
      <w:r w:rsidRPr="007F7A18">
        <w:rPr>
          <w:b/>
          <w:bCs/>
          <w:sz w:val="28"/>
          <w:szCs w:val="28"/>
        </w:rPr>
        <w:lastRenderedPageBreak/>
        <w:t xml:space="preserve">Part One – </w:t>
      </w:r>
      <w:r w:rsidR="000D3754" w:rsidRPr="007F7A18">
        <w:rPr>
          <w:b/>
          <w:bCs/>
          <w:sz w:val="28"/>
          <w:szCs w:val="28"/>
        </w:rPr>
        <w:t>Guidance for disclosers</w:t>
      </w:r>
      <w:r w:rsidR="007F39B6" w:rsidRPr="007F7A18">
        <w:rPr>
          <w:b/>
          <w:bCs/>
          <w:sz w:val="28"/>
          <w:szCs w:val="28"/>
        </w:rPr>
        <w:t xml:space="preserve"> </w:t>
      </w:r>
    </w:p>
    <w:p w14:paraId="0362B06F" w14:textId="77777777" w:rsidR="004E7B8B" w:rsidRPr="004E7B8B" w:rsidRDefault="004E7B8B">
      <w:pPr>
        <w:spacing w:line="240" w:lineRule="auto"/>
      </w:pPr>
      <w:r w:rsidRPr="004E7B8B">
        <w:t>This part makes the distinction between a public interest disclosure and other types of complaints, looks at how to make a disclosure, the types of information that might amount to a public interest disclosure, protections available and what happens after a disclosure is made.</w:t>
      </w:r>
    </w:p>
    <w:p w14:paraId="7C17541C" w14:textId="3B117553" w:rsidR="004E7B8B" w:rsidRPr="00851F46" w:rsidRDefault="003B2C73">
      <w:pPr>
        <w:spacing w:line="240" w:lineRule="auto"/>
        <w:rPr>
          <w:b/>
          <w:bCs/>
          <w:u w:val="single"/>
        </w:rPr>
      </w:pPr>
      <w:bookmarkStart w:id="5" w:name="_bookmark4"/>
      <w:bookmarkEnd w:id="5"/>
      <w:r>
        <w:rPr>
          <w:b/>
          <w:bCs/>
        </w:rPr>
        <w:t xml:space="preserve">1. </w:t>
      </w:r>
      <w:r w:rsidR="004E7B8B" w:rsidRPr="00851F46">
        <w:rPr>
          <w:b/>
          <w:bCs/>
          <w:u w:val="single"/>
        </w:rPr>
        <w:t>Public Interest Disclosures</w:t>
      </w:r>
    </w:p>
    <w:p w14:paraId="2602A272" w14:textId="54BCE01A" w:rsidR="004E7B8B" w:rsidRPr="004E7B8B" w:rsidRDefault="004E7B8B">
      <w:pPr>
        <w:spacing w:line="240" w:lineRule="auto"/>
      </w:pPr>
      <w:r w:rsidRPr="004E7B8B">
        <w:t xml:space="preserve">There are many </w:t>
      </w:r>
      <w:r w:rsidR="003C1C12">
        <w:t>types</w:t>
      </w:r>
      <w:r w:rsidRPr="004E7B8B">
        <w:t xml:space="preserve"> of feedback that may be provided in relation to concerns </w:t>
      </w:r>
      <w:r w:rsidR="003C1C12">
        <w:t>about</w:t>
      </w:r>
      <w:r w:rsidR="00470C3E">
        <w:t xml:space="preserve"> ACT Public S</w:t>
      </w:r>
      <w:r w:rsidRPr="004E7B8B">
        <w:t xml:space="preserve">ector administration ranging from formal client satisfaction surveys, general complaints and allegations, to personal grievances and workplace disputes. These guidelines deal with complaints </w:t>
      </w:r>
      <w:r w:rsidR="003C1C12">
        <w:t>about</w:t>
      </w:r>
      <w:r w:rsidRPr="004E7B8B">
        <w:t xml:space="preserve"> suspected illegal or illegitimate practices of ACT Government </w:t>
      </w:r>
      <w:r w:rsidR="003C1C12">
        <w:t xml:space="preserve">employees </w:t>
      </w:r>
      <w:r w:rsidRPr="004E7B8B">
        <w:t>and entities.</w:t>
      </w:r>
    </w:p>
    <w:p w14:paraId="4E1EB506" w14:textId="27CECA8B" w:rsidR="004E7B8B" w:rsidRPr="00851F46" w:rsidRDefault="003B2C73">
      <w:pPr>
        <w:spacing w:line="240" w:lineRule="auto"/>
        <w:rPr>
          <w:b/>
          <w:bCs/>
          <w:iCs/>
          <w:u w:val="single"/>
        </w:rPr>
      </w:pPr>
      <w:bookmarkStart w:id="6" w:name="_bookmark5"/>
      <w:bookmarkEnd w:id="6"/>
      <w:r>
        <w:rPr>
          <w:b/>
          <w:bCs/>
          <w:iCs/>
        </w:rPr>
        <w:t xml:space="preserve">1.1 </w:t>
      </w:r>
      <w:r w:rsidR="004E7B8B" w:rsidRPr="00851F46">
        <w:rPr>
          <w:b/>
          <w:bCs/>
          <w:iCs/>
          <w:u w:val="single"/>
        </w:rPr>
        <w:t>What is a Public Interest Disclosure?</w:t>
      </w:r>
    </w:p>
    <w:p w14:paraId="0B137735" w14:textId="77777777" w:rsidR="004E7B8B" w:rsidRPr="004E7B8B" w:rsidRDefault="004E7B8B">
      <w:pPr>
        <w:spacing w:line="240" w:lineRule="auto"/>
      </w:pPr>
      <w:r w:rsidRPr="004E7B8B">
        <w:t>Sometimes matters raised are so serious they should sit outside normal complaint or feedback systems. Certain matters suggest serious or systemic concerns that may bring harm directly or indirectly to the general public, now, or in the future. These matters are outside of the bounds of the regular complaint handling process and are in a special category called a ‘Public Interest Disclosure’ (PID).</w:t>
      </w:r>
    </w:p>
    <w:p w14:paraId="04D0DF6F" w14:textId="77777777" w:rsidR="004E7B8B" w:rsidRPr="004E7B8B" w:rsidRDefault="004E7B8B">
      <w:pPr>
        <w:spacing w:line="240" w:lineRule="auto"/>
      </w:pPr>
      <w:r w:rsidRPr="004E7B8B">
        <w:t xml:space="preserve">Disclosable conduct is more serious than a technical breach of policy or procedures: it is action (or inaction) that has, or has the potential to create, a significant or widespread negative impact. Disclosures of this kind require a special type of treatment due to their seriousness. Likewise, a person disclosing information of this </w:t>
      </w:r>
      <w:r w:rsidR="003C1C12">
        <w:t>nature</w:t>
      </w:r>
      <w:r w:rsidRPr="004E7B8B">
        <w:t xml:space="preserve"> needs special protection for taking the risk of raising such serious allegations.</w:t>
      </w:r>
    </w:p>
    <w:p w14:paraId="5C185B1F" w14:textId="77777777" w:rsidR="001D2AE8" w:rsidRDefault="001D2AE8">
      <w:pPr>
        <w:spacing w:line="240" w:lineRule="auto"/>
      </w:pPr>
      <w:r>
        <w:rPr>
          <w:noProof/>
          <w:lang w:eastAsia="en-AU"/>
        </w:rPr>
        <mc:AlternateContent>
          <mc:Choice Requires="wps">
            <w:drawing>
              <wp:anchor distT="45720" distB="45720" distL="114300" distR="114300" simplePos="0" relativeHeight="251711488" behindDoc="0" locked="0" layoutInCell="1" allowOverlap="1" wp14:anchorId="60CC4C73" wp14:editId="189DC28E">
                <wp:simplePos x="0" y="0"/>
                <wp:positionH relativeFrom="column">
                  <wp:posOffset>400050</wp:posOffset>
                </wp:positionH>
                <wp:positionV relativeFrom="paragraph">
                  <wp:posOffset>231140</wp:posOffset>
                </wp:positionV>
                <wp:extent cx="5400675" cy="1404620"/>
                <wp:effectExtent l="0" t="0" r="28575"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chemeClr val="accent5">
                            <a:lumMod val="20000"/>
                            <a:lumOff val="80000"/>
                          </a:schemeClr>
                        </a:solidFill>
                        <a:ln w="9525">
                          <a:solidFill>
                            <a:srgbClr val="000000"/>
                          </a:solidFill>
                          <a:miter lim="800000"/>
                          <a:headEnd/>
                          <a:tailEnd/>
                        </a:ln>
                      </wps:spPr>
                      <wps:txbx>
                        <w:txbxContent>
                          <w:p w14:paraId="54901B89" w14:textId="77777777" w:rsidR="00D85ECD" w:rsidRPr="001D2AE8" w:rsidRDefault="00D85ECD" w:rsidP="001D2AE8">
                            <w:pPr>
                              <w:spacing w:after="0"/>
                              <w:jc w:val="center"/>
                              <w:rPr>
                                <w:b/>
                              </w:rPr>
                            </w:pPr>
                            <w:r w:rsidRPr="001D2AE8">
                              <w:rPr>
                                <w:b/>
                              </w:rPr>
                              <w:t xml:space="preserve">Reporting </w:t>
                            </w:r>
                            <w:r>
                              <w:rPr>
                                <w:b/>
                              </w:rPr>
                              <w:t xml:space="preserve">suspected </w:t>
                            </w:r>
                            <w:r w:rsidRPr="001D2AE8">
                              <w:rPr>
                                <w:b/>
                              </w:rPr>
                              <w:t>wrongdoing is essential to the integrity of the ACTPS.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C4C73" id="_x0000_t202" coordsize="21600,21600" o:spt="202" path="m,l,21600r21600,l21600,xe">
                <v:stroke joinstyle="miter"/>
                <v:path gradientshapeok="t" o:connecttype="rect"/>
              </v:shapetype>
              <v:shape id="Text Box 2" o:spid="_x0000_s1026" type="#_x0000_t202" style="position:absolute;margin-left:31.5pt;margin-top:18.2pt;width:425.2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" fillcolor="#d9e2f3 [664]">
                <v:textbox style="mso-fit-shape-to-text:t">
                  <w:txbxContent>
                    <w:p w14:paraId="54901B89" w14:textId="77777777" w:rsidR="00D85ECD" w:rsidRPr="001D2AE8" w:rsidRDefault="00D85ECD" w:rsidP="001D2AE8">
                      <w:pPr>
                        <w:spacing w:after="0"/>
                        <w:jc w:val="center"/>
                        <w:rPr>
                          <w:b/>
                        </w:rPr>
                      </w:pPr>
                      <w:r w:rsidRPr="001D2AE8">
                        <w:rPr>
                          <w:b/>
                        </w:rPr>
                        <w:t xml:space="preserve">Reporting </w:t>
                      </w:r>
                      <w:r>
                        <w:rPr>
                          <w:b/>
                        </w:rPr>
                        <w:t xml:space="preserve">suspected </w:t>
                      </w:r>
                      <w:r w:rsidRPr="001D2AE8">
                        <w:rPr>
                          <w:b/>
                        </w:rPr>
                        <w:t>wrongdoing is essential to the integrity of the ACTPS.</w:t>
                      </w:r>
                    </w:p>
                  </w:txbxContent>
                </v:textbox>
                <w10:wrap type="square"/>
              </v:shape>
            </w:pict>
          </mc:Fallback>
        </mc:AlternateContent>
      </w:r>
    </w:p>
    <w:p w14:paraId="2D6C9E23" w14:textId="77777777" w:rsidR="001D2AE8" w:rsidRDefault="001D2AE8">
      <w:pPr>
        <w:spacing w:line="240" w:lineRule="auto"/>
      </w:pPr>
    </w:p>
    <w:p w14:paraId="3AFB7171" w14:textId="77777777" w:rsidR="001D2AE8" w:rsidRDefault="001D2AE8">
      <w:pPr>
        <w:spacing w:line="240" w:lineRule="auto"/>
      </w:pPr>
    </w:p>
    <w:p w14:paraId="5B3BD5E3" w14:textId="77777777" w:rsidR="004E7B8B" w:rsidRPr="004E7B8B" w:rsidRDefault="003C1C12">
      <w:pPr>
        <w:spacing w:line="240" w:lineRule="auto"/>
      </w:pPr>
      <w:r>
        <w:t xml:space="preserve">Any person </w:t>
      </w:r>
      <w:r w:rsidR="004E7B8B" w:rsidRPr="004E7B8B">
        <w:t>prepared to speak up about wrongdoing in the public sector</w:t>
      </w:r>
      <w:r>
        <w:t>, should be</w:t>
      </w:r>
      <w:r w:rsidR="004E7B8B" w:rsidRPr="004E7B8B">
        <w:t xml:space="preserve"> recognised as one of the most important sources of information about problems that may disadvantage or endanger others. People who raise concerns of this </w:t>
      </w:r>
      <w:r w:rsidR="005733DA">
        <w:t>kind</w:t>
      </w:r>
      <w:r w:rsidR="004E7B8B" w:rsidRPr="004E7B8B">
        <w:t xml:space="preserve"> are sometimes called ‘whistle blowers’. Whistle blowing is important because it serves to uphold community standards and enhance the integrity of the public sector.</w:t>
      </w:r>
    </w:p>
    <w:p w14:paraId="215D037A" w14:textId="14FDA8E2" w:rsidR="00521ACA" w:rsidRDefault="00521ACA">
      <w:pPr>
        <w:spacing w:line="240" w:lineRule="auto"/>
        <w:rPr>
          <w:b/>
        </w:rPr>
      </w:pPr>
      <w:r w:rsidRPr="00521ACA">
        <w:rPr>
          <w:b/>
        </w:rPr>
        <w:t>A disclosure becomes a PID when it is about disclosabl</w:t>
      </w:r>
      <w:r>
        <w:rPr>
          <w:b/>
        </w:rPr>
        <w:t>e conduct, as defined by the PID</w:t>
      </w:r>
      <w:r w:rsidRPr="00521ACA">
        <w:rPr>
          <w:b/>
        </w:rPr>
        <w:t xml:space="preserve"> Act.  Because of the technical definition, a disclosure officer must first determine whether</w:t>
      </w:r>
      <w:r>
        <w:rPr>
          <w:b/>
        </w:rPr>
        <w:t>,</w:t>
      </w:r>
      <w:r w:rsidRPr="00521ACA">
        <w:rPr>
          <w:b/>
        </w:rPr>
        <w:t xml:space="preserve"> based on the disclosure p</w:t>
      </w:r>
      <w:r>
        <w:rPr>
          <w:b/>
        </w:rPr>
        <w:t>rovided, the various elements</w:t>
      </w:r>
      <w:r w:rsidRPr="00521ACA">
        <w:rPr>
          <w:b/>
        </w:rPr>
        <w:t xml:space="preserve"> of the definition are met before processing the disclosure </w:t>
      </w:r>
      <w:r>
        <w:rPr>
          <w:b/>
        </w:rPr>
        <w:t>as a PID.</w:t>
      </w:r>
    </w:p>
    <w:p w14:paraId="7B7C35FF" w14:textId="51B7CF32" w:rsidR="00521ACA" w:rsidRDefault="00521ACA">
      <w:pPr>
        <w:spacing w:line="240" w:lineRule="auto"/>
        <w:rPr>
          <w:b/>
        </w:rPr>
      </w:pPr>
      <w:r>
        <w:rPr>
          <w:b/>
        </w:rPr>
        <w:t>T</w:t>
      </w:r>
      <w:r w:rsidRPr="00521ACA">
        <w:rPr>
          <w:b/>
        </w:rPr>
        <w:t xml:space="preserve">he more details the discloser is able to provide the easier </w:t>
      </w:r>
      <w:r>
        <w:rPr>
          <w:b/>
        </w:rPr>
        <w:t xml:space="preserve">it will be </w:t>
      </w:r>
      <w:r w:rsidRPr="00521ACA">
        <w:rPr>
          <w:b/>
        </w:rPr>
        <w:t>for the disclosure officer to make that determination.</w:t>
      </w:r>
    </w:p>
    <w:p w14:paraId="21895D81" w14:textId="1A3692E4" w:rsidR="004E7B8B" w:rsidRPr="004E7B8B" w:rsidRDefault="004E7B8B">
      <w:pPr>
        <w:spacing w:line="240" w:lineRule="auto"/>
      </w:pPr>
      <w:r w:rsidRPr="004E7B8B">
        <w:t>Examples of disclosable conduct</w:t>
      </w:r>
      <w:r w:rsidR="00D451EC">
        <w:rPr>
          <w:rStyle w:val="FootnoteReference"/>
        </w:rPr>
        <w:footnoteReference w:id="1"/>
      </w:r>
      <w:r w:rsidRPr="004E7B8B">
        <w:t xml:space="preserve"> include:</w:t>
      </w:r>
    </w:p>
    <w:p w14:paraId="2DD4D0E4" w14:textId="453AF04F" w:rsidR="004E7B8B" w:rsidRPr="004E7B8B" w:rsidRDefault="004E7B8B">
      <w:pPr>
        <w:numPr>
          <w:ilvl w:val="0"/>
          <w:numId w:val="7"/>
        </w:numPr>
        <w:spacing w:line="240" w:lineRule="auto"/>
      </w:pPr>
      <w:r w:rsidRPr="004E7B8B">
        <w:t>corrupt</w:t>
      </w:r>
      <w:r w:rsidR="001854C6">
        <w:t>ion</w:t>
      </w:r>
      <w:r w:rsidRPr="004E7B8B">
        <w:t xml:space="preserve">, e.g. accepting money or other benefits in exchange for helping someone to avoid prosecution, win a contract or gain </w:t>
      </w:r>
      <w:r w:rsidR="00CE7A1F">
        <w:t>g</w:t>
      </w:r>
      <w:r w:rsidRPr="004E7B8B">
        <w:t>overnment approval;</w:t>
      </w:r>
    </w:p>
    <w:p w14:paraId="585E890D" w14:textId="77777777" w:rsidR="004E7B8B" w:rsidRDefault="004E7B8B">
      <w:pPr>
        <w:numPr>
          <w:ilvl w:val="0"/>
          <w:numId w:val="7"/>
        </w:numPr>
        <w:spacing w:line="240" w:lineRule="auto"/>
      </w:pPr>
      <w:r w:rsidRPr="004E7B8B">
        <w:t>fraud or theft, e.g. falsifying documents or information, or stealing an employer’s property or funds;</w:t>
      </w:r>
    </w:p>
    <w:p w14:paraId="3DBCA9D7" w14:textId="77777777" w:rsidR="00C728BD" w:rsidRDefault="00C728BD">
      <w:pPr>
        <w:numPr>
          <w:ilvl w:val="0"/>
          <w:numId w:val="7"/>
        </w:numPr>
        <w:spacing w:line="240" w:lineRule="auto"/>
      </w:pPr>
      <w:r>
        <w:t>official misconduct or maladministration, e.g. gaining personal benefit by not revealing a conflict of interest;</w:t>
      </w:r>
      <w:r w:rsidR="009D79A1">
        <w:t xml:space="preserve"> or</w:t>
      </w:r>
    </w:p>
    <w:p w14:paraId="01E82B84" w14:textId="3AADF558" w:rsidR="00C728BD" w:rsidRPr="004E7B8B" w:rsidRDefault="00562B15">
      <w:pPr>
        <w:numPr>
          <w:ilvl w:val="0"/>
          <w:numId w:val="7"/>
        </w:numPr>
        <w:spacing w:line="240" w:lineRule="auto"/>
      </w:pPr>
      <w:r>
        <w:t>practices</w:t>
      </w:r>
      <w:r w:rsidR="00C728BD">
        <w:t xml:space="preserve"> endangering the health or safety of staff, the community or the environment.</w:t>
      </w:r>
    </w:p>
    <w:p w14:paraId="1307E9A7" w14:textId="53ACBB96" w:rsidR="004E7B8B" w:rsidRPr="004E7B8B" w:rsidRDefault="004E7B8B" w:rsidP="0060581C">
      <w:pPr>
        <w:spacing w:line="240" w:lineRule="auto"/>
      </w:pPr>
      <w:r w:rsidRPr="004E7B8B">
        <w:lastRenderedPageBreak/>
        <w:t>The legislation provides for</w:t>
      </w:r>
      <w:r w:rsidR="00470C3E">
        <w:t xml:space="preserve"> a PID to be made about an ACT Public S</w:t>
      </w:r>
      <w:r w:rsidRPr="004E7B8B">
        <w:t>ector entity (entity), which is broadly defined to include anyone performing a function on behalf of the ACT government using public funds (i.e. all government agencies and their staff or contractors). In other words, a PID might be made about activity by an instrumentality, officer, employee, contractor, or anyone else who exercises a function on behalf of the ACT Government.</w:t>
      </w:r>
    </w:p>
    <w:p w14:paraId="319B65BD" w14:textId="77777777" w:rsidR="004E7B8B" w:rsidRPr="004E7B8B" w:rsidRDefault="004E7B8B" w:rsidP="0060581C">
      <w:pPr>
        <w:spacing w:line="240" w:lineRule="auto"/>
      </w:pPr>
      <w:r w:rsidRPr="004E7B8B">
        <w:t>A PID can be about the actions of permanent, temporary or casual staff and employees of the ACTPS and other entities, including the ACT Legislative Assembly.</w:t>
      </w:r>
    </w:p>
    <w:p w14:paraId="319AD4BC" w14:textId="77777777" w:rsidR="004E7B8B" w:rsidRPr="004E7B8B" w:rsidRDefault="004E7B8B" w:rsidP="0060581C">
      <w:pPr>
        <w:spacing w:line="240" w:lineRule="auto"/>
      </w:pPr>
      <w:r w:rsidRPr="004E7B8B">
        <w:t>It can also be about the actions of contractors, sub‐contractors, consultants and volunteers working on ACT</w:t>
      </w:r>
      <w:r w:rsidR="00AD3A49">
        <w:t> </w:t>
      </w:r>
      <w:r w:rsidRPr="004E7B8B">
        <w:t>Government sponsored projects or on programs funded by the ACT Government. This might include not‐for‐profit or other non‐government entities providing a public service to the community under a contract with an entity.</w:t>
      </w:r>
    </w:p>
    <w:p w14:paraId="1BDFF84E" w14:textId="77777777" w:rsidR="009960AA" w:rsidRDefault="004E7B8B" w:rsidP="0060581C">
      <w:pPr>
        <w:spacing w:line="240" w:lineRule="auto"/>
      </w:pPr>
      <w:r w:rsidRPr="004E7B8B">
        <w:t>A PID might relate to events which are happening (or are strongly suspected of happening) now, in the past, or that may happen in the future.</w:t>
      </w:r>
    </w:p>
    <w:p w14:paraId="7A45912A" w14:textId="77777777" w:rsidR="00F57883" w:rsidRDefault="009960AA" w:rsidP="0060581C">
      <w:pPr>
        <w:spacing w:line="240" w:lineRule="auto"/>
      </w:pPr>
      <w:r>
        <w:t>A PID may be made unintentionally, for example, during a causal conversation or other informal means.</w:t>
      </w:r>
    </w:p>
    <w:p w14:paraId="7B00955C" w14:textId="709957F7" w:rsidR="005723A0" w:rsidRDefault="00F57883" w:rsidP="0060581C">
      <w:pPr>
        <w:spacing w:line="240" w:lineRule="auto"/>
      </w:pPr>
      <w:r>
        <w:rPr>
          <w:noProof/>
          <w:lang w:eastAsia="en-AU"/>
        </w:rPr>
        <mc:AlternateContent>
          <mc:Choice Requires="wps">
            <w:drawing>
              <wp:anchor distT="45720" distB="45720" distL="114300" distR="114300" simplePos="0" relativeHeight="251699200" behindDoc="0" locked="0" layoutInCell="1" allowOverlap="1" wp14:anchorId="3A9DF196" wp14:editId="0412FEBA">
                <wp:simplePos x="0" y="0"/>
                <wp:positionH relativeFrom="column">
                  <wp:posOffset>-38100</wp:posOffset>
                </wp:positionH>
                <wp:positionV relativeFrom="paragraph">
                  <wp:posOffset>542925</wp:posOffset>
                </wp:positionV>
                <wp:extent cx="6096000" cy="8477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725"/>
                        </a:xfrm>
                        <a:prstGeom prst="rect">
                          <a:avLst/>
                        </a:prstGeom>
                        <a:solidFill>
                          <a:schemeClr val="accent5">
                            <a:lumMod val="20000"/>
                            <a:lumOff val="80000"/>
                          </a:schemeClr>
                        </a:solidFill>
                        <a:ln w="9525">
                          <a:solidFill>
                            <a:srgbClr val="000000"/>
                          </a:solidFill>
                          <a:miter lim="800000"/>
                          <a:headEnd/>
                          <a:tailEnd/>
                        </a:ln>
                      </wps:spPr>
                      <wps:txbx>
                        <w:txbxContent>
                          <w:p w14:paraId="5B81C287" w14:textId="43EEB21A" w:rsidR="00D85ECD" w:rsidRPr="001D2AE8" w:rsidRDefault="00D85ECD" w:rsidP="00F574A1">
                            <w:pPr>
                              <w:shd w:val="clear" w:color="auto" w:fill="D9E2F3" w:themeFill="accent5" w:themeFillTint="33"/>
                              <w:spacing w:line="240" w:lineRule="auto"/>
                            </w:pPr>
                            <w:r w:rsidRPr="001D2AE8">
                              <w:t>If you are worried that something</w:t>
                            </w:r>
                            <w:r>
                              <w:t xml:space="preserve"> seriously</w:t>
                            </w:r>
                            <w:r w:rsidRPr="001D2AE8">
                              <w:t xml:space="preserve"> wrong or dangero</w:t>
                            </w:r>
                            <w:r>
                              <w:t>us is happening within the ACT Public S</w:t>
                            </w:r>
                            <w:r w:rsidRPr="001D2AE8">
                              <w:t>ector, please d</w:t>
                            </w:r>
                            <w:r>
                              <w:t xml:space="preserve">o not </w:t>
                            </w:r>
                            <w:r w:rsidRPr="001D2AE8">
                              <w:t>keep it to yourself. Unless y</w:t>
                            </w:r>
                            <w:r>
                              <w:t>ou pass on information about such</w:t>
                            </w:r>
                            <w:r w:rsidRPr="001D2AE8">
                              <w:t xml:space="preserve"> concerns </w:t>
                            </w:r>
                            <w:r>
                              <w:t>that may involve</w:t>
                            </w:r>
                            <w:r w:rsidRPr="001D2AE8">
                              <w:t xml:space="preserve"> </w:t>
                            </w:r>
                            <w:r>
                              <w:t xml:space="preserve">serious or systemic </w:t>
                            </w:r>
                            <w:r w:rsidRPr="001D2AE8">
                              <w:t>fraud, safety risks, or other wrongdoing, it is possible the</w:t>
                            </w:r>
                            <w:r>
                              <w:t xml:space="preserve">se issues will not become known until it is </w:t>
                            </w:r>
                            <w:r w:rsidRPr="001D2AE8">
                              <w:t>too 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DF196" id="_x0000_s1027" type="#_x0000_t202" style="position:absolute;margin-left:-3pt;margin-top:42.75pt;width:480pt;height:66.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" fillcolor="#d9e2f3 [664]">
                <v:textbox>
                  <w:txbxContent>
                    <w:p w14:paraId="5B81C287" w14:textId="43EEB21A" w:rsidR="00D85ECD" w:rsidRPr="001D2AE8" w:rsidRDefault="00D85ECD" w:rsidP="00F574A1">
                      <w:pPr>
                        <w:shd w:val="clear" w:color="auto" w:fill="D9E2F3" w:themeFill="accent5" w:themeFillTint="33"/>
                        <w:spacing w:line="240" w:lineRule="auto"/>
                      </w:pPr>
                      <w:r w:rsidRPr="001D2AE8">
                        <w:t>If you are worried that something</w:t>
                      </w:r>
                      <w:r>
                        <w:t xml:space="preserve"> seriously</w:t>
                      </w:r>
                      <w:r w:rsidRPr="001D2AE8">
                        <w:t xml:space="preserve"> wrong or dangero</w:t>
                      </w:r>
                      <w:r>
                        <w:t>us is happening within the ACT Public S</w:t>
                      </w:r>
                      <w:r w:rsidRPr="001D2AE8">
                        <w:t>ector, please d</w:t>
                      </w:r>
                      <w:r>
                        <w:t xml:space="preserve">o not </w:t>
                      </w:r>
                      <w:r w:rsidRPr="001D2AE8">
                        <w:t>keep it to yourself. Unless y</w:t>
                      </w:r>
                      <w:r>
                        <w:t>ou pass on information about such</w:t>
                      </w:r>
                      <w:r w:rsidRPr="001D2AE8">
                        <w:t xml:space="preserve"> concerns </w:t>
                      </w:r>
                      <w:r>
                        <w:t>that may involve</w:t>
                      </w:r>
                      <w:r w:rsidRPr="001D2AE8">
                        <w:t xml:space="preserve"> </w:t>
                      </w:r>
                      <w:r>
                        <w:t xml:space="preserve">serious or systemic </w:t>
                      </w:r>
                      <w:r w:rsidRPr="001D2AE8">
                        <w:t>fraud, safety risks, or other wrongdoing, it is possible the</w:t>
                      </w:r>
                      <w:r>
                        <w:t xml:space="preserve">se issues will not become known until it is </w:t>
                      </w:r>
                      <w:r w:rsidRPr="001D2AE8">
                        <w:t>too late.</w:t>
                      </w:r>
                    </w:p>
                  </w:txbxContent>
                </v:textbox>
                <w10:wrap type="square"/>
              </v:shape>
            </w:pict>
          </mc:Fallback>
        </mc:AlternateContent>
      </w:r>
      <w:r w:rsidRPr="00F57883">
        <w:t>A person may make a PID even if they are not able to identify a particular person who is responsible for the activity</w:t>
      </w:r>
      <w:r>
        <w:t>.</w:t>
      </w:r>
      <w:bookmarkStart w:id="7" w:name="_bookmark6"/>
      <w:bookmarkEnd w:id="7"/>
    </w:p>
    <w:p w14:paraId="45D09591" w14:textId="77777777" w:rsidR="005723A0" w:rsidRPr="005723A0" w:rsidRDefault="005723A0" w:rsidP="005723A0">
      <w:pPr>
        <w:spacing w:after="0" w:line="240" w:lineRule="auto"/>
      </w:pPr>
    </w:p>
    <w:p w14:paraId="7AAB5052" w14:textId="433D04B9" w:rsidR="004E7B8B" w:rsidRDefault="003B2C73" w:rsidP="005723A0">
      <w:pPr>
        <w:spacing w:after="0" w:line="240" w:lineRule="auto"/>
        <w:rPr>
          <w:b/>
          <w:bCs/>
          <w:iCs/>
          <w:u w:val="single"/>
        </w:rPr>
      </w:pPr>
      <w:r>
        <w:rPr>
          <w:b/>
          <w:bCs/>
          <w:iCs/>
        </w:rPr>
        <w:t xml:space="preserve">1.2 </w:t>
      </w:r>
      <w:r w:rsidR="004E7B8B" w:rsidRPr="00851F46">
        <w:rPr>
          <w:b/>
          <w:bCs/>
          <w:iCs/>
          <w:u w:val="single"/>
        </w:rPr>
        <w:t>What is not a Public Interest Disclosure?</w:t>
      </w:r>
    </w:p>
    <w:p w14:paraId="7AAC5CBC" w14:textId="77777777" w:rsidR="005723A0" w:rsidRPr="00851F46" w:rsidRDefault="005723A0" w:rsidP="005723A0">
      <w:pPr>
        <w:spacing w:after="0" w:line="240" w:lineRule="auto"/>
        <w:rPr>
          <w:b/>
          <w:bCs/>
          <w:iCs/>
          <w:u w:val="single"/>
        </w:rPr>
      </w:pPr>
    </w:p>
    <w:p w14:paraId="19354191" w14:textId="6F52EF35" w:rsidR="004E7B8B" w:rsidRDefault="00B71735" w:rsidP="0060581C">
      <w:pPr>
        <w:spacing w:line="240" w:lineRule="auto"/>
      </w:pPr>
      <w:r w:rsidRPr="004E7B8B">
        <w:rPr>
          <w:noProof/>
          <w:lang w:eastAsia="en-AU"/>
        </w:rPr>
        <mc:AlternateContent>
          <mc:Choice Requires="wps">
            <w:drawing>
              <wp:anchor distT="0" distB="0" distL="0" distR="0" simplePos="0" relativeHeight="251664384" behindDoc="0" locked="0" layoutInCell="0" allowOverlap="1" wp14:anchorId="25BAE707" wp14:editId="261C4D62">
                <wp:simplePos x="0" y="0"/>
                <wp:positionH relativeFrom="page">
                  <wp:posOffset>647700</wp:posOffset>
                </wp:positionH>
                <wp:positionV relativeFrom="paragraph">
                  <wp:posOffset>1171575</wp:posOffset>
                </wp:positionV>
                <wp:extent cx="6162675" cy="542925"/>
                <wp:effectExtent l="0" t="0" r="28575" b="28575"/>
                <wp:wrapTopAndBottom/>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42925"/>
                        </a:xfrm>
                        <a:prstGeom prst="rect">
                          <a:avLst/>
                        </a:prstGeom>
                        <a:solidFill>
                          <a:schemeClr val="accent5">
                            <a:lumMod val="20000"/>
                            <a:lumOff val="80000"/>
                          </a:schemeClr>
                        </a:solidFill>
                        <a:ln w="6096">
                          <a:solidFill>
                            <a:srgbClr val="000000"/>
                          </a:solidFill>
                          <a:miter lim="800000"/>
                          <a:headEnd/>
                          <a:tailEnd/>
                        </a:ln>
                      </wps:spPr>
                      <wps:txbx>
                        <w:txbxContent>
                          <w:p w14:paraId="45822087" w14:textId="77777777" w:rsidR="00D85ECD" w:rsidRPr="001D2AE8" w:rsidRDefault="00D85ECD" w:rsidP="00F574A1">
                            <w:pPr>
                              <w:pStyle w:val="BodyText"/>
                              <w:kinsoku w:val="0"/>
                              <w:overflowPunct w:val="0"/>
                              <w:ind w:left="308" w:right="300"/>
                              <w:rPr>
                                <w:bCs/>
                              </w:rPr>
                            </w:pPr>
                            <w:r w:rsidRPr="001D2AE8">
                              <w:rPr>
                                <w:bCs/>
                              </w:rPr>
                              <w:t>A PID is not a mechanism for solving a personal grievance. It is a process within government to deal with matters of a serious nature which if resol</w:t>
                            </w:r>
                            <w:r>
                              <w:rPr>
                                <w:bCs/>
                              </w:rPr>
                              <w:t xml:space="preserve">ved would increase </w:t>
                            </w:r>
                            <w:r w:rsidRPr="00946B98">
                              <w:rPr>
                                <w:bCs/>
                              </w:rPr>
                              <w:t>trust and confidence in the integrity and probity structures that underpin the ACT’s system of representative democracy</w:t>
                            </w:r>
                            <w:r>
                              <w:rPr>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E707" id="Text Box 82" o:spid="_x0000_s1028" type="#_x0000_t202" style="position:absolute;margin-left:51pt;margin-top:92.25pt;width:485.25pt;height:42.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" o:allowincell="f" fillcolor="#d9e2f3 [664]" strokeweight=".48pt">
                <v:textbox inset="0,0,0,0">
                  <w:txbxContent>
                    <w:p w14:paraId="45822087" w14:textId="77777777" w:rsidR="00D85ECD" w:rsidRPr="001D2AE8" w:rsidRDefault="00D85ECD" w:rsidP="00F574A1">
                      <w:pPr>
                        <w:pStyle w:val="BodyText"/>
                        <w:kinsoku w:val="0"/>
                        <w:overflowPunct w:val="0"/>
                        <w:ind w:left="308" w:right="300"/>
                        <w:rPr>
                          <w:bCs/>
                        </w:rPr>
                      </w:pPr>
                      <w:r w:rsidRPr="001D2AE8">
                        <w:rPr>
                          <w:bCs/>
                        </w:rPr>
                        <w:t>A PID is not a mechanism for solving a personal grievance. It is a process within government to deal with matters of a serious nature which if resol</w:t>
                      </w:r>
                      <w:r>
                        <w:rPr>
                          <w:bCs/>
                        </w:rPr>
                        <w:t xml:space="preserve">ved would increase </w:t>
                      </w:r>
                      <w:r w:rsidRPr="00946B98">
                        <w:rPr>
                          <w:bCs/>
                        </w:rPr>
                        <w:t>trust and confidence in the integrity and probity structures that underpin the ACT’s system of representative democracy</w:t>
                      </w:r>
                      <w:r>
                        <w:rPr>
                          <w:bCs/>
                        </w:rPr>
                        <w:t>.</w:t>
                      </w:r>
                    </w:p>
                  </w:txbxContent>
                </v:textbox>
                <w10:wrap type="topAndBottom" anchorx="page"/>
              </v:shape>
            </w:pict>
          </mc:Fallback>
        </mc:AlternateContent>
      </w:r>
      <w:r w:rsidR="004E7B8B" w:rsidRPr="004E7B8B">
        <w:t xml:space="preserve">Not all concerns will amount to a PID. </w:t>
      </w:r>
      <w:r w:rsidR="00F816BC">
        <w:t xml:space="preserve">Making </w:t>
      </w:r>
      <w:r w:rsidR="009E5D49">
        <w:t>f</w:t>
      </w:r>
      <w:r w:rsidR="004E7B8B" w:rsidRPr="004E7B8B">
        <w:t xml:space="preserve">alse </w:t>
      </w:r>
      <w:r w:rsidR="00F816BC">
        <w:t xml:space="preserve">or misleading </w:t>
      </w:r>
      <w:r w:rsidR="004E7B8B" w:rsidRPr="004E7B8B">
        <w:t xml:space="preserve">allegations </w:t>
      </w:r>
      <w:r w:rsidR="00F816BC">
        <w:t>knowingly</w:t>
      </w:r>
      <w:r w:rsidR="007A66A5">
        <w:t>,</w:t>
      </w:r>
      <w:r w:rsidR="00F816BC">
        <w:t xml:space="preserve"> and vexatious disclosure </w:t>
      </w:r>
      <w:r w:rsidR="003C1C12">
        <w:t xml:space="preserve">are </w:t>
      </w:r>
      <w:r w:rsidR="004E7B8B" w:rsidRPr="004E7B8B">
        <w:t>not</w:t>
      </w:r>
      <w:r w:rsidR="003C1C12">
        <w:t xml:space="preserve"> </w:t>
      </w:r>
      <w:r w:rsidR="004E7B8B" w:rsidRPr="004E7B8B">
        <w:t>PID</w:t>
      </w:r>
      <w:r w:rsidR="003C1C12">
        <w:t>s</w:t>
      </w:r>
      <w:r w:rsidR="004E7B8B" w:rsidRPr="004E7B8B">
        <w:t>. Matters that affect only personal or private interests</w:t>
      </w:r>
      <w:r w:rsidR="003C1C12">
        <w:t xml:space="preserve"> </w:t>
      </w:r>
      <w:r w:rsidR="004E7B8B" w:rsidRPr="004E7B8B">
        <w:t xml:space="preserve">are unlikely to be a PID. Complaints relating to individual employment and industrial matters, isolated allegations of bullying or harassment, personnel matters, individual performance management concerns and individual workplace health or safety concerns would generally </w:t>
      </w:r>
      <w:r w:rsidR="009E5D49">
        <w:t xml:space="preserve">not </w:t>
      </w:r>
      <w:r w:rsidR="004E7B8B" w:rsidRPr="004E7B8B">
        <w:t xml:space="preserve">be considered </w:t>
      </w:r>
      <w:r>
        <w:t>a PID</w:t>
      </w:r>
      <w:r w:rsidR="003C1C12">
        <w:t xml:space="preserve"> and are best dealt with through other means.</w:t>
      </w:r>
    </w:p>
    <w:p w14:paraId="50AB392B" w14:textId="77777777" w:rsidR="003B42DE" w:rsidRDefault="003B42DE" w:rsidP="003B42DE">
      <w:pPr>
        <w:spacing w:line="240" w:lineRule="auto"/>
      </w:pPr>
    </w:p>
    <w:p w14:paraId="07350AEB" w14:textId="77777777" w:rsidR="003B42DE" w:rsidRDefault="003B42DE" w:rsidP="003B42DE">
      <w:pPr>
        <w:spacing w:line="240" w:lineRule="auto"/>
      </w:pPr>
      <w:r w:rsidRPr="003B42DE">
        <w:rPr>
          <w:rFonts w:ascii="Calibri" w:eastAsia="Times New Roman" w:hAnsi="Calibri" w:cs="Times New Roman"/>
          <w:noProof/>
          <w:lang w:eastAsia="en-AU"/>
        </w:rPr>
        <mc:AlternateContent>
          <mc:Choice Requires="wps">
            <w:drawing>
              <wp:anchor distT="45720" distB="45720" distL="114300" distR="114300" simplePos="0" relativeHeight="251736064" behindDoc="0" locked="0" layoutInCell="1" allowOverlap="1" wp14:anchorId="6F53D934" wp14:editId="441ACE59">
                <wp:simplePos x="0" y="0"/>
                <wp:positionH relativeFrom="column">
                  <wp:posOffset>-38100</wp:posOffset>
                </wp:positionH>
                <wp:positionV relativeFrom="paragraph">
                  <wp:posOffset>1051560</wp:posOffset>
                </wp:positionV>
                <wp:extent cx="6238875" cy="657225"/>
                <wp:effectExtent l="0" t="0" r="28575"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57225"/>
                        </a:xfrm>
                        <a:prstGeom prst="rect">
                          <a:avLst/>
                        </a:prstGeom>
                        <a:solidFill>
                          <a:srgbClr val="4472C4">
                            <a:lumMod val="20000"/>
                            <a:lumOff val="80000"/>
                          </a:srgbClr>
                        </a:solidFill>
                        <a:ln w="9525">
                          <a:solidFill>
                            <a:srgbClr val="000000"/>
                          </a:solidFill>
                          <a:miter lim="800000"/>
                          <a:headEnd/>
                          <a:tailEnd/>
                        </a:ln>
                      </wps:spPr>
                      <wps:txbx>
                        <w:txbxContent>
                          <w:p w14:paraId="548E9DD5" w14:textId="77777777" w:rsidR="00D85ECD" w:rsidRDefault="00D85ECD" w:rsidP="003B42DE">
                            <w:pPr>
                              <w:spacing w:line="240" w:lineRule="auto"/>
                            </w:pPr>
                            <w:r>
                              <w:t xml:space="preserve">It is important </w:t>
                            </w:r>
                            <w:r w:rsidRPr="00C728BD">
                              <w:t>that you are aware of what a PID is before making a disclosure.  Consider whether your concerns only affect you, or have a wider impact. Other avenues to pursue your concerns may be more suitable.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3D934" id="_x0000_s1029" type="#_x0000_t202" style="position:absolute;margin-left:-3pt;margin-top:82.8pt;width:491.25pt;height:51.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" fillcolor="#dae3f3">
                <v:textbox>
                  <w:txbxContent>
                    <w:p w14:paraId="548E9DD5" w14:textId="77777777" w:rsidR="00D85ECD" w:rsidRDefault="00D85ECD" w:rsidP="003B42DE">
                      <w:pPr>
                        <w:spacing w:line="240" w:lineRule="auto"/>
                      </w:pPr>
                      <w:r>
                        <w:t xml:space="preserve">It is important </w:t>
                      </w:r>
                      <w:r w:rsidRPr="00C728BD">
                        <w:t>that you are aware of what a PID is before making a disclosure.  Consider whether your concerns only affect you, or have a wider impact. Other avenues to pursue your concerns may be more suitable.</w:t>
                      </w:r>
                    </w:p>
                  </w:txbxContent>
                </v:textbox>
                <w10:wrap type="topAndBottom"/>
              </v:shape>
            </w:pict>
          </mc:Fallback>
        </mc:AlternateContent>
      </w:r>
      <w:r w:rsidR="00731E83" w:rsidRPr="00731E83">
        <w:t xml:space="preserve">Certain matters can be more appropriately addressed through other complaint handling mechanisms such as internal review or grievance resolution procedures, a workplace inspection or sometimes the Fair Work Commission. If you think your concerns fall outside of the PID framework, as a first step you should speak to your manager, </w:t>
      </w:r>
      <w:r w:rsidR="005E74C9">
        <w:t xml:space="preserve">supervisor, </w:t>
      </w:r>
      <w:r w:rsidR="00731E83" w:rsidRPr="00731E83">
        <w:t>a work health and safety representative, or Respect, Equity and Diversity contact of</w:t>
      </w:r>
      <w:r>
        <w:t>ficer</w:t>
      </w:r>
    </w:p>
    <w:p w14:paraId="5EE27105" w14:textId="18F07DF0" w:rsidR="004E7B8B" w:rsidRPr="003B42DE" w:rsidRDefault="004E7B8B" w:rsidP="003B42DE">
      <w:pPr>
        <w:spacing w:line="240" w:lineRule="auto"/>
      </w:pPr>
      <w:r w:rsidRPr="004E7B8B">
        <w:rPr>
          <w:b/>
          <w:bCs/>
          <w:i/>
          <w:iCs/>
        </w:rPr>
        <w:lastRenderedPageBreak/>
        <w:t xml:space="preserve">Table 1: </w:t>
      </w:r>
      <w:r w:rsidRPr="004E7B8B">
        <w:rPr>
          <w:i/>
          <w:iCs/>
        </w:rPr>
        <w:t>Differentiating between a PID, complaints /grievances and performance management matters</w:t>
      </w:r>
    </w:p>
    <w:p w14:paraId="3016C29B" w14:textId="77777777" w:rsidR="001D2AE8" w:rsidRPr="004E7B8B" w:rsidRDefault="001D2AE8" w:rsidP="0060581C">
      <w:pPr>
        <w:spacing w:after="0" w:line="240" w:lineRule="auto"/>
        <w:rPr>
          <w:i/>
          <w:iCs/>
        </w:rPr>
      </w:pPr>
    </w:p>
    <w:tbl>
      <w:tblPr>
        <w:tblW w:w="0" w:type="auto"/>
        <w:tblInd w:w="114" w:type="dxa"/>
        <w:tblLayout w:type="fixed"/>
        <w:tblCellMar>
          <w:left w:w="0" w:type="dxa"/>
          <w:right w:w="0" w:type="dxa"/>
        </w:tblCellMar>
        <w:tblLook w:val="0000" w:firstRow="0" w:lastRow="0" w:firstColumn="0" w:lastColumn="0" w:noHBand="0" w:noVBand="0"/>
      </w:tblPr>
      <w:tblGrid>
        <w:gridCol w:w="7514"/>
        <w:gridCol w:w="2268"/>
      </w:tblGrid>
      <w:tr w:rsidR="004E7B8B" w:rsidRPr="004E7B8B" w14:paraId="037A98AB" w14:textId="77777777" w:rsidTr="003C1608">
        <w:trPr>
          <w:trHeight w:val="483"/>
        </w:trPr>
        <w:tc>
          <w:tcPr>
            <w:tcW w:w="7514" w:type="dxa"/>
            <w:tcBorders>
              <w:top w:val="single" w:sz="12" w:space="0" w:color="auto"/>
              <w:left w:val="single" w:sz="12" w:space="0" w:color="auto"/>
              <w:bottom w:val="single" w:sz="12" w:space="0" w:color="000000" w:themeColor="text1"/>
              <w:right w:val="single" w:sz="12" w:space="0" w:color="000000" w:themeColor="text1"/>
            </w:tcBorders>
            <w:shd w:val="clear" w:color="auto" w:fill="BDD6EE" w:themeFill="accent1" w:themeFillTint="66"/>
          </w:tcPr>
          <w:p w14:paraId="74347C76" w14:textId="3B96D5A0" w:rsidR="004E7B8B" w:rsidRPr="004E7B8B" w:rsidRDefault="00D922DC" w:rsidP="00226158">
            <w:pPr>
              <w:tabs>
                <w:tab w:val="left" w:pos="2580"/>
              </w:tabs>
              <w:spacing w:before="240" w:line="240" w:lineRule="auto"/>
              <w:rPr>
                <w:b/>
                <w:bCs/>
              </w:rPr>
            </w:pPr>
            <w:r>
              <w:rPr>
                <w:b/>
                <w:bCs/>
              </w:rPr>
              <w:t xml:space="preserve">  </w:t>
            </w:r>
            <w:r w:rsidR="004E7B8B" w:rsidRPr="004E7B8B">
              <w:rPr>
                <w:b/>
                <w:bCs/>
              </w:rPr>
              <w:t>If the matter involves:</w:t>
            </w:r>
            <w:r w:rsidR="00226158">
              <w:rPr>
                <w:b/>
                <w:bCs/>
              </w:rPr>
              <w:tab/>
            </w:r>
          </w:p>
        </w:tc>
        <w:tc>
          <w:tcPr>
            <w:tcW w:w="2268" w:type="dxa"/>
            <w:tcBorders>
              <w:top w:val="single" w:sz="12" w:space="0" w:color="auto"/>
              <w:left w:val="single" w:sz="12" w:space="0" w:color="000000" w:themeColor="text1"/>
              <w:bottom w:val="single" w:sz="12" w:space="0" w:color="000000" w:themeColor="text1"/>
              <w:right w:val="single" w:sz="12" w:space="0" w:color="auto"/>
            </w:tcBorders>
            <w:shd w:val="clear" w:color="auto" w:fill="BDD6EE" w:themeFill="accent1" w:themeFillTint="66"/>
          </w:tcPr>
          <w:p w14:paraId="1C97B800" w14:textId="77777777" w:rsidR="004E7B8B" w:rsidRPr="004E7B8B" w:rsidRDefault="00D922DC" w:rsidP="00226158">
            <w:pPr>
              <w:spacing w:before="240" w:line="240" w:lineRule="auto"/>
              <w:rPr>
                <w:b/>
                <w:bCs/>
              </w:rPr>
            </w:pPr>
            <w:r>
              <w:rPr>
                <w:b/>
                <w:bCs/>
              </w:rPr>
              <w:t xml:space="preserve"> </w:t>
            </w:r>
            <w:r w:rsidR="004E7B8B" w:rsidRPr="004E7B8B">
              <w:rPr>
                <w:b/>
                <w:bCs/>
              </w:rPr>
              <w:t>Then it could be a:</w:t>
            </w:r>
          </w:p>
        </w:tc>
      </w:tr>
      <w:tr w:rsidR="004E7B8B" w:rsidRPr="004E7B8B" w14:paraId="3522D7B7" w14:textId="77777777" w:rsidTr="00634C90">
        <w:trPr>
          <w:trHeight w:val="2406"/>
        </w:trPr>
        <w:tc>
          <w:tcPr>
            <w:tcW w:w="7514" w:type="dxa"/>
            <w:vMerge w:val="restart"/>
            <w:tcBorders>
              <w:top w:val="single" w:sz="12" w:space="0" w:color="000000" w:themeColor="text1"/>
              <w:left w:val="single" w:sz="8" w:space="0" w:color="4F82BD"/>
              <w:bottom w:val="single" w:sz="8" w:space="0" w:color="4F82BD"/>
              <w:right w:val="single" w:sz="12" w:space="0" w:color="000000" w:themeColor="text1"/>
            </w:tcBorders>
            <w:shd w:val="clear" w:color="auto" w:fill="DBE5F1"/>
          </w:tcPr>
          <w:p w14:paraId="113F823C" w14:textId="77777777" w:rsidR="004E7B8B" w:rsidRPr="004E7B8B" w:rsidRDefault="004E7B8B" w:rsidP="00226158">
            <w:pPr>
              <w:numPr>
                <w:ilvl w:val="0"/>
                <w:numId w:val="6"/>
              </w:numPr>
              <w:spacing w:before="240" w:line="240" w:lineRule="auto"/>
            </w:pPr>
            <w:r w:rsidRPr="004E7B8B">
              <w:rPr>
                <w:u w:val="single"/>
              </w:rPr>
              <w:t>Unlawful activity</w:t>
            </w:r>
            <w:r w:rsidRPr="004E7B8B">
              <w:t xml:space="preserve"> – has someone broken a law or engaged in illegal activity?</w:t>
            </w:r>
          </w:p>
          <w:p w14:paraId="4C73EE6B" w14:textId="77777777" w:rsidR="004E7B8B" w:rsidRPr="004E7B8B" w:rsidRDefault="004E7B8B" w:rsidP="00AA5B1C">
            <w:pPr>
              <w:numPr>
                <w:ilvl w:val="0"/>
                <w:numId w:val="6"/>
              </w:numPr>
              <w:spacing w:line="240" w:lineRule="auto"/>
            </w:pPr>
            <w:r w:rsidRPr="004E7B8B">
              <w:rPr>
                <w:u w:val="single"/>
              </w:rPr>
              <w:t>Corruption</w:t>
            </w:r>
            <w:r w:rsidRPr="004E7B8B">
              <w:t xml:space="preserve"> – has someone been involved in corrupt behaviour such as bribery, graft, extortion, political manipulation, kickbacks, misappropriation or theft, fraud, abuse of discretion, creating or exploiting a conflict of interest, nepotism or favouritism?</w:t>
            </w:r>
          </w:p>
          <w:p w14:paraId="168E68AC" w14:textId="77777777" w:rsidR="004E7B8B" w:rsidRPr="004E7B8B" w:rsidRDefault="004E7B8B" w:rsidP="00AA5B1C">
            <w:pPr>
              <w:numPr>
                <w:ilvl w:val="0"/>
                <w:numId w:val="6"/>
              </w:numPr>
              <w:spacing w:line="240" w:lineRule="auto"/>
            </w:pPr>
            <w:r w:rsidRPr="004E7B8B">
              <w:rPr>
                <w:u w:val="single"/>
              </w:rPr>
              <w:t>Misconduct</w:t>
            </w:r>
            <w:r w:rsidRPr="004E7B8B">
              <w:t xml:space="preserve"> – has someone breached section 9 of the </w:t>
            </w:r>
            <w:r w:rsidRPr="004E7B8B">
              <w:rPr>
                <w:i/>
                <w:iCs/>
              </w:rPr>
              <w:t xml:space="preserve">Public Sector Management Act 1994 </w:t>
            </w:r>
            <w:r w:rsidRPr="004E7B8B">
              <w:t>in a way that has significant consequences for their organisation or a third party, or a widespread impact?</w:t>
            </w:r>
          </w:p>
          <w:p w14:paraId="7052543D" w14:textId="77777777" w:rsidR="004E7B8B" w:rsidRPr="004E7B8B" w:rsidRDefault="004E7B8B" w:rsidP="00AA5B1C">
            <w:pPr>
              <w:numPr>
                <w:ilvl w:val="0"/>
                <w:numId w:val="6"/>
              </w:numPr>
              <w:spacing w:line="240" w:lineRule="auto"/>
            </w:pPr>
            <w:r w:rsidRPr="004E7B8B">
              <w:rPr>
                <w:u w:val="single"/>
              </w:rPr>
              <w:t>Maladministration</w:t>
            </w:r>
            <w:r w:rsidRPr="004E7B8B">
              <w:t xml:space="preserve"> – does the issue relate to the action (or inaction) of an entity or public official for an entity that is of a serious nature and is unjust, unreasonable, improperly discriminatory, involves dishonest or fraudulent decisions or is contrary to law, including an act, decision, advice or omission:</w:t>
            </w:r>
          </w:p>
          <w:p w14:paraId="2176AC7C" w14:textId="77777777" w:rsidR="004E7B8B" w:rsidRPr="004E7B8B" w:rsidRDefault="004E7B8B" w:rsidP="00AA5B1C">
            <w:pPr>
              <w:numPr>
                <w:ilvl w:val="1"/>
                <w:numId w:val="6"/>
              </w:numPr>
              <w:spacing w:line="240" w:lineRule="auto"/>
            </w:pPr>
            <w:r w:rsidRPr="004E7B8B">
              <w:t>that does not comply with the law, is inconsistent with relevant legislation, or which violates administrative fairness; or</w:t>
            </w:r>
          </w:p>
          <w:p w14:paraId="60C3E27E" w14:textId="0121EFFA" w:rsidR="004E7B8B" w:rsidRPr="004E7B8B" w:rsidRDefault="004E7B8B" w:rsidP="00AA5B1C">
            <w:pPr>
              <w:numPr>
                <w:ilvl w:val="1"/>
                <w:numId w:val="6"/>
              </w:numPr>
              <w:spacing w:line="240" w:lineRule="auto"/>
            </w:pPr>
            <w:r w:rsidRPr="004E7B8B">
              <w:t>that goes against the principles of fairness or equity; or</w:t>
            </w:r>
          </w:p>
          <w:p w14:paraId="55D4E69F" w14:textId="77777777" w:rsidR="004E7B8B" w:rsidRPr="004E7B8B" w:rsidRDefault="004E7B8B" w:rsidP="00AA5B1C">
            <w:pPr>
              <w:numPr>
                <w:ilvl w:val="1"/>
                <w:numId w:val="6"/>
              </w:numPr>
              <w:spacing w:line="240" w:lineRule="auto"/>
            </w:pPr>
            <w:r w:rsidRPr="004E7B8B">
              <w:t xml:space="preserve">that is inconsistent with </w:t>
            </w:r>
            <w:r w:rsidR="00F10E91" w:rsidRPr="004E7B8B">
              <w:t>well-established</w:t>
            </w:r>
            <w:r w:rsidRPr="004E7B8B">
              <w:t xml:space="preserve"> policies or procedures; or</w:t>
            </w:r>
          </w:p>
          <w:p w14:paraId="63A03C59" w14:textId="77777777" w:rsidR="004E7B8B" w:rsidRPr="004E7B8B" w:rsidRDefault="004E7B8B" w:rsidP="00AA5B1C">
            <w:pPr>
              <w:numPr>
                <w:ilvl w:val="1"/>
                <w:numId w:val="6"/>
              </w:numPr>
              <w:spacing w:line="240" w:lineRule="auto"/>
            </w:pPr>
            <w:r w:rsidRPr="004E7B8B">
              <w:t>that demonstrates negligence, or the absence of proper care or attention; or</w:t>
            </w:r>
          </w:p>
          <w:p w14:paraId="15381354" w14:textId="77777777" w:rsidR="004E7B8B" w:rsidRPr="004E7B8B" w:rsidRDefault="004E7B8B" w:rsidP="00AA5B1C">
            <w:pPr>
              <w:numPr>
                <w:ilvl w:val="1"/>
                <w:numId w:val="6"/>
              </w:numPr>
              <w:spacing w:line="240" w:lineRule="auto"/>
            </w:pPr>
            <w:r w:rsidRPr="004E7B8B">
              <w:t>that involves excessive use of authority or where authority is used to intimidate, harass or subject someone to unreasonable conditions.</w:t>
            </w:r>
          </w:p>
          <w:p w14:paraId="234A2DB2" w14:textId="77777777" w:rsidR="004E7B8B" w:rsidRPr="004E7B8B" w:rsidRDefault="004E7B8B" w:rsidP="00AA5B1C">
            <w:pPr>
              <w:numPr>
                <w:ilvl w:val="0"/>
                <w:numId w:val="6"/>
              </w:numPr>
              <w:spacing w:line="240" w:lineRule="auto"/>
            </w:pPr>
            <w:r w:rsidRPr="004E7B8B">
              <w:rPr>
                <w:u w:val="single"/>
              </w:rPr>
              <w:t xml:space="preserve">A </w:t>
            </w:r>
            <w:r w:rsidR="001651E5">
              <w:rPr>
                <w:u w:val="single"/>
              </w:rPr>
              <w:t>su</w:t>
            </w:r>
            <w:r w:rsidR="00F10E91">
              <w:rPr>
                <w:u w:val="single"/>
              </w:rPr>
              <w:t>b</w:t>
            </w:r>
            <w:r w:rsidR="001651E5">
              <w:rPr>
                <w:u w:val="single"/>
              </w:rPr>
              <w:t xml:space="preserve">stantial </w:t>
            </w:r>
            <w:r w:rsidRPr="004E7B8B">
              <w:rPr>
                <w:u w:val="single"/>
              </w:rPr>
              <w:t xml:space="preserve">danger to the health or safety of the </w:t>
            </w:r>
            <w:r w:rsidRPr="00087998">
              <w:rPr>
                <w:u w:val="single"/>
              </w:rPr>
              <w:t>community or</w:t>
            </w:r>
            <w:r w:rsidRPr="004E7B8B">
              <w:t xml:space="preserve"> </w:t>
            </w:r>
            <w:r w:rsidRPr="004E7B8B">
              <w:rPr>
                <w:u w:val="single"/>
              </w:rPr>
              <w:t>environment</w:t>
            </w:r>
            <w:r w:rsidRPr="004E7B8B">
              <w:t xml:space="preserve"> ‐ is someone doing something that will adversely affect people’s health or damage the environment?</w:t>
            </w:r>
          </w:p>
        </w:tc>
        <w:tc>
          <w:tcPr>
            <w:tcW w:w="2268" w:type="dxa"/>
            <w:tcBorders>
              <w:top w:val="single" w:sz="12" w:space="0" w:color="000000" w:themeColor="text1"/>
              <w:left w:val="single" w:sz="12" w:space="0" w:color="000000" w:themeColor="text1"/>
              <w:bottom w:val="none" w:sz="6" w:space="0" w:color="auto"/>
              <w:right w:val="single" w:sz="6" w:space="0" w:color="4F82BD"/>
            </w:tcBorders>
            <w:shd w:val="clear" w:color="auto" w:fill="DBE5F1"/>
          </w:tcPr>
          <w:p w14:paraId="6FC7D7A2" w14:textId="77777777" w:rsidR="004E7B8B" w:rsidRPr="004E7B8B" w:rsidRDefault="004E7B8B" w:rsidP="0060581C">
            <w:pPr>
              <w:spacing w:line="240" w:lineRule="auto"/>
              <w:rPr>
                <w:i/>
                <w:iCs/>
              </w:rPr>
            </w:pPr>
          </w:p>
          <w:p w14:paraId="60A8571D" w14:textId="77777777" w:rsidR="004E7B8B" w:rsidRPr="004E7B8B" w:rsidRDefault="004E7B8B" w:rsidP="0060581C">
            <w:pPr>
              <w:spacing w:line="240" w:lineRule="auto"/>
              <w:rPr>
                <w:b/>
                <w:bCs/>
              </w:rPr>
            </w:pPr>
            <w:r w:rsidRPr="004E7B8B">
              <w:rPr>
                <w:b/>
                <w:bCs/>
              </w:rPr>
              <w:t>Public</w:t>
            </w:r>
            <w:r w:rsidR="001651E5">
              <w:rPr>
                <w:b/>
                <w:bCs/>
              </w:rPr>
              <w:t xml:space="preserve"> Interest Disclosure </w:t>
            </w:r>
            <w:r w:rsidR="001651E5" w:rsidRPr="00F57883">
              <w:rPr>
                <w:bCs/>
              </w:rPr>
              <w:t>– talk to your manager, supervisor or disclosure officer.</w:t>
            </w:r>
          </w:p>
        </w:tc>
      </w:tr>
      <w:tr w:rsidR="004E7B8B" w:rsidRPr="004E7B8B" w14:paraId="1D917A76" w14:textId="77777777" w:rsidTr="00634C90">
        <w:trPr>
          <w:trHeight w:val="260"/>
        </w:trPr>
        <w:tc>
          <w:tcPr>
            <w:tcW w:w="7514" w:type="dxa"/>
            <w:vMerge/>
            <w:tcBorders>
              <w:top w:val="nil"/>
              <w:left w:val="single" w:sz="8" w:space="0" w:color="4F82BD"/>
              <w:bottom w:val="single" w:sz="8" w:space="0" w:color="4F82BD"/>
              <w:right w:val="single" w:sz="12" w:space="0" w:color="000000" w:themeColor="text1"/>
            </w:tcBorders>
            <w:shd w:val="clear" w:color="auto" w:fill="DBE5F1"/>
          </w:tcPr>
          <w:p w14:paraId="14BA5BB4" w14:textId="77777777" w:rsidR="004E7B8B" w:rsidRPr="004E7B8B" w:rsidRDefault="004E7B8B" w:rsidP="0060581C">
            <w:pPr>
              <w:spacing w:line="240" w:lineRule="auto"/>
              <w:rPr>
                <w:i/>
                <w:iCs/>
              </w:rPr>
            </w:pPr>
          </w:p>
        </w:tc>
        <w:tc>
          <w:tcPr>
            <w:tcW w:w="2268" w:type="dxa"/>
            <w:tcBorders>
              <w:top w:val="none" w:sz="6" w:space="0" w:color="auto"/>
              <w:left w:val="single" w:sz="12" w:space="0" w:color="000000" w:themeColor="text1"/>
              <w:bottom w:val="none" w:sz="6" w:space="0" w:color="auto"/>
              <w:right w:val="single" w:sz="6" w:space="0" w:color="4F82BD"/>
            </w:tcBorders>
            <w:shd w:val="clear" w:color="auto" w:fill="DBE5F1"/>
          </w:tcPr>
          <w:p w14:paraId="4C5CC229" w14:textId="77777777" w:rsidR="004E7B8B" w:rsidRPr="004E7B8B" w:rsidRDefault="004E7B8B" w:rsidP="0060581C">
            <w:pPr>
              <w:spacing w:line="240" w:lineRule="auto"/>
              <w:rPr>
                <w:b/>
                <w:bCs/>
              </w:rPr>
            </w:pPr>
          </w:p>
        </w:tc>
      </w:tr>
      <w:tr w:rsidR="004E7B8B" w:rsidRPr="004E7B8B" w14:paraId="2F26ABF0" w14:textId="77777777" w:rsidTr="00634C90">
        <w:trPr>
          <w:trHeight w:val="520"/>
        </w:trPr>
        <w:tc>
          <w:tcPr>
            <w:tcW w:w="7514" w:type="dxa"/>
            <w:vMerge/>
            <w:tcBorders>
              <w:top w:val="nil"/>
              <w:left w:val="single" w:sz="8" w:space="0" w:color="4F82BD"/>
              <w:bottom w:val="single" w:sz="8" w:space="0" w:color="4F82BD"/>
              <w:right w:val="single" w:sz="12" w:space="0" w:color="000000" w:themeColor="text1"/>
            </w:tcBorders>
            <w:shd w:val="clear" w:color="auto" w:fill="DBE5F1"/>
          </w:tcPr>
          <w:p w14:paraId="7113B2FE" w14:textId="77777777" w:rsidR="004E7B8B" w:rsidRPr="004E7B8B" w:rsidRDefault="004E7B8B" w:rsidP="0060581C">
            <w:pPr>
              <w:spacing w:line="240" w:lineRule="auto"/>
              <w:rPr>
                <w:i/>
                <w:iCs/>
              </w:rPr>
            </w:pPr>
          </w:p>
        </w:tc>
        <w:tc>
          <w:tcPr>
            <w:tcW w:w="2268" w:type="dxa"/>
            <w:tcBorders>
              <w:top w:val="none" w:sz="6" w:space="0" w:color="auto"/>
              <w:left w:val="single" w:sz="12" w:space="0" w:color="000000" w:themeColor="text1"/>
              <w:bottom w:val="none" w:sz="6" w:space="0" w:color="auto"/>
              <w:right w:val="single" w:sz="6" w:space="0" w:color="4F82BD"/>
            </w:tcBorders>
            <w:shd w:val="clear" w:color="auto" w:fill="DBE5F1"/>
          </w:tcPr>
          <w:p w14:paraId="1BC6A7F9" w14:textId="77777777" w:rsidR="004E7B8B" w:rsidRPr="004E7B8B" w:rsidRDefault="004E7B8B" w:rsidP="0060581C">
            <w:pPr>
              <w:spacing w:line="240" w:lineRule="auto"/>
              <w:rPr>
                <w:b/>
                <w:bCs/>
              </w:rPr>
            </w:pPr>
          </w:p>
        </w:tc>
      </w:tr>
      <w:tr w:rsidR="004E7B8B" w:rsidRPr="004E7B8B" w14:paraId="59A9D63B" w14:textId="77777777" w:rsidTr="00634C90">
        <w:trPr>
          <w:trHeight w:val="495"/>
        </w:trPr>
        <w:tc>
          <w:tcPr>
            <w:tcW w:w="7514" w:type="dxa"/>
            <w:vMerge/>
            <w:tcBorders>
              <w:top w:val="nil"/>
              <w:left w:val="single" w:sz="8" w:space="0" w:color="4F82BD"/>
              <w:bottom w:val="single" w:sz="8" w:space="0" w:color="4F82BD"/>
              <w:right w:val="single" w:sz="12" w:space="0" w:color="000000" w:themeColor="text1"/>
            </w:tcBorders>
            <w:shd w:val="clear" w:color="auto" w:fill="DBE5F1"/>
          </w:tcPr>
          <w:p w14:paraId="799EDDAA" w14:textId="77777777" w:rsidR="004E7B8B" w:rsidRPr="004E7B8B" w:rsidRDefault="004E7B8B" w:rsidP="0060581C">
            <w:pPr>
              <w:spacing w:line="240" w:lineRule="auto"/>
              <w:rPr>
                <w:i/>
                <w:iCs/>
              </w:rPr>
            </w:pPr>
          </w:p>
        </w:tc>
        <w:tc>
          <w:tcPr>
            <w:tcW w:w="2268" w:type="dxa"/>
            <w:tcBorders>
              <w:top w:val="none" w:sz="6" w:space="0" w:color="auto"/>
              <w:left w:val="single" w:sz="12" w:space="0" w:color="000000" w:themeColor="text1"/>
              <w:bottom w:val="none" w:sz="6" w:space="0" w:color="auto"/>
              <w:right w:val="single" w:sz="6" w:space="0" w:color="4F82BD"/>
            </w:tcBorders>
            <w:shd w:val="clear" w:color="auto" w:fill="DBE5F1"/>
          </w:tcPr>
          <w:p w14:paraId="5EAACDE6" w14:textId="77777777" w:rsidR="004E7B8B" w:rsidRPr="004E7B8B" w:rsidRDefault="004E7B8B" w:rsidP="0060581C">
            <w:pPr>
              <w:spacing w:line="240" w:lineRule="auto"/>
              <w:rPr>
                <w:b/>
                <w:bCs/>
              </w:rPr>
            </w:pPr>
          </w:p>
        </w:tc>
      </w:tr>
      <w:tr w:rsidR="004E7B8B" w:rsidRPr="004E7B8B" w14:paraId="52F5979C" w14:textId="77777777" w:rsidTr="00634C90">
        <w:trPr>
          <w:trHeight w:val="232"/>
        </w:trPr>
        <w:tc>
          <w:tcPr>
            <w:tcW w:w="7514" w:type="dxa"/>
            <w:vMerge/>
            <w:tcBorders>
              <w:top w:val="nil"/>
              <w:left w:val="single" w:sz="8" w:space="0" w:color="4F82BD"/>
              <w:bottom w:val="single" w:sz="8" w:space="0" w:color="4F82BD"/>
              <w:right w:val="single" w:sz="12" w:space="0" w:color="000000" w:themeColor="text1"/>
            </w:tcBorders>
            <w:shd w:val="clear" w:color="auto" w:fill="DBE5F1"/>
          </w:tcPr>
          <w:p w14:paraId="638C81EE" w14:textId="77777777" w:rsidR="004E7B8B" w:rsidRPr="004E7B8B" w:rsidRDefault="004E7B8B" w:rsidP="0060581C">
            <w:pPr>
              <w:spacing w:line="240" w:lineRule="auto"/>
              <w:rPr>
                <w:i/>
                <w:iCs/>
              </w:rPr>
            </w:pPr>
          </w:p>
        </w:tc>
        <w:tc>
          <w:tcPr>
            <w:tcW w:w="2268" w:type="dxa"/>
            <w:tcBorders>
              <w:top w:val="none" w:sz="6" w:space="0" w:color="auto"/>
              <w:left w:val="single" w:sz="12" w:space="0" w:color="000000" w:themeColor="text1"/>
              <w:bottom w:val="none" w:sz="6" w:space="0" w:color="auto"/>
              <w:right w:val="single" w:sz="6" w:space="0" w:color="4F82BD"/>
            </w:tcBorders>
            <w:shd w:val="clear" w:color="auto" w:fill="DBE5F1"/>
          </w:tcPr>
          <w:p w14:paraId="206161E7" w14:textId="77777777" w:rsidR="004E7B8B" w:rsidRPr="004E7B8B" w:rsidRDefault="004E7B8B" w:rsidP="0060581C">
            <w:pPr>
              <w:spacing w:line="240" w:lineRule="auto"/>
              <w:rPr>
                <w:b/>
                <w:bCs/>
              </w:rPr>
            </w:pPr>
          </w:p>
        </w:tc>
      </w:tr>
      <w:tr w:rsidR="004E7B8B" w:rsidRPr="004E7B8B" w14:paraId="7B217483" w14:textId="77777777" w:rsidTr="00634C90">
        <w:trPr>
          <w:trHeight w:val="1534"/>
        </w:trPr>
        <w:tc>
          <w:tcPr>
            <w:tcW w:w="7514" w:type="dxa"/>
            <w:vMerge/>
            <w:tcBorders>
              <w:top w:val="nil"/>
              <w:left w:val="single" w:sz="8" w:space="0" w:color="4F82BD"/>
              <w:bottom w:val="single" w:sz="8" w:space="0" w:color="4F82BD"/>
              <w:right w:val="single" w:sz="12" w:space="0" w:color="000000" w:themeColor="text1"/>
            </w:tcBorders>
            <w:shd w:val="clear" w:color="auto" w:fill="DBE5F1"/>
          </w:tcPr>
          <w:p w14:paraId="32C61A75" w14:textId="77777777" w:rsidR="004E7B8B" w:rsidRPr="004E7B8B" w:rsidRDefault="004E7B8B" w:rsidP="0060581C">
            <w:pPr>
              <w:spacing w:line="240" w:lineRule="auto"/>
              <w:rPr>
                <w:i/>
                <w:iCs/>
              </w:rPr>
            </w:pPr>
          </w:p>
        </w:tc>
        <w:tc>
          <w:tcPr>
            <w:tcW w:w="2268" w:type="dxa"/>
            <w:tcBorders>
              <w:top w:val="none" w:sz="6" w:space="0" w:color="auto"/>
              <w:left w:val="single" w:sz="12" w:space="0" w:color="000000" w:themeColor="text1"/>
              <w:bottom w:val="single" w:sz="6" w:space="0" w:color="4F82BD"/>
              <w:right w:val="single" w:sz="6" w:space="0" w:color="4F82BD"/>
            </w:tcBorders>
            <w:shd w:val="clear" w:color="auto" w:fill="DBE5F1"/>
          </w:tcPr>
          <w:p w14:paraId="74F1CBB9" w14:textId="77777777" w:rsidR="004E7B8B" w:rsidRPr="004E7B8B" w:rsidRDefault="004E7B8B" w:rsidP="0060581C">
            <w:pPr>
              <w:spacing w:line="240" w:lineRule="auto"/>
              <w:rPr>
                <w:b/>
                <w:bCs/>
              </w:rPr>
            </w:pPr>
          </w:p>
        </w:tc>
      </w:tr>
      <w:tr w:rsidR="00191C50" w:rsidRPr="004E7B8B" w14:paraId="454B1AA6" w14:textId="77777777" w:rsidTr="00F57883">
        <w:trPr>
          <w:trHeight w:val="1116"/>
        </w:trPr>
        <w:tc>
          <w:tcPr>
            <w:tcW w:w="7514" w:type="dxa"/>
            <w:tcBorders>
              <w:top w:val="single" w:sz="8" w:space="0" w:color="4F82BD"/>
              <w:left w:val="single" w:sz="8" w:space="0" w:color="4F82BD"/>
              <w:bottom w:val="single" w:sz="12" w:space="0" w:color="5B9BD5" w:themeColor="accent1"/>
              <w:right w:val="single" w:sz="12" w:space="0" w:color="000000" w:themeColor="text1"/>
            </w:tcBorders>
            <w:shd w:val="clear" w:color="auto" w:fill="FFFFFF" w:themeFill="background1"/>
          </w:tcPr>
          <w:p w14:paraId="4D7FAC9E" w14:textId="77777777" w:rsidR="00191C50" w:rsidRDefault="00191C50" w:rsidP="00226158">
            <w:pPr>
              <w:numPr>
                <w:ilvl w:val="0"/>
                <w:numId w:val="5"/>
              </w:numPr>
              <w:spacing w:before="240" w:after="0" w:line="240" w:lineRule="auto"/>
            </w:pPr>
            <w:r>
              <w:t>Industrial matters – is it an issue relating to overtime, workload, or working conditions?</w:t>
            </w:r>
          </w:p>
          <w:p w14:paraId="360DF9F3" w14:textId="77777777" w:rsidR="00191C50" w:rsidRDefault="00191C50" w:rsidP="00AA5B1C">
            <w:pPr>
              <w:numPr>
                <w:ilvl w:val="0"/>
                <w:numId w:val="5"/>
              </w:numPr>
              <w:spacing w:after="0" w:line="240" w:lineRule="auto"/>
            </w:pPr>
            <w:r>
              <w:t>Individual allegations of bullying</w:t>
            </w:r>
            <w:r w:rsidR="001B0EAA">
              <w:t>,</w:t>
            </w:r>
            <w:r>
              <w:t xml:space="preserve"> harassment or discrimination.</w:t>
            </w:r>
          </w:p>
          <w:p w14:paraId="513A9CDE" w14:textId="77777777" w:rsidR="00191C50" w:rsidRPr="00F57883" w:rsidRDefault="00191C50" w:rsidP="00AA5B1C">
            <w:pPr>
              <w:numPr>
                <w:ilvl w:val="0"/>
                <w:numId w:val="5"/>
              </w:numPr>
              <w:spacing w:after="0" w:line="240" w:lineRule="auto"/>
            </w:pPr>
            <w:r>
              <w:t>Conduct of an individual where the consequences do not have a widespread impact.</w:t>
            </w:r>
          </w:p>
        </w:tc>
        <w:tc>
          <w:tcPr>
            <w:tcW w:w="2268" w:type="dxa"/>
            <w:tcBorders>
              <w:top w:val="single" w:sz="6" w:space="0" w:color="4F82BD"/>
              <w:left w:val="single" w:sz="12" w:space="0" w:color="000000" w:themeColor="text1"/>
              <w:bottom w:val="single" w:sz="12" w:space="0" w:color="5B9BD5" w:themeColor="accent1"/>
              <w:right w:val="single" w:sz="6" w:space="0" w:color="4F82BD"/>
            </w:tcBorders>
            <w:shd w:val="clear" w:color="auto" w:fill="FFFFFF" w:themeFill="background1"/>
          </w:tcPr>
          <w:p w14:paraId="50A0D653" w14:textId="51FEF9F0" w:rsidR="00191C50" w:rsidRPr="001B0EAA" w:rsidRDefault="00191C50" w:rsidP="00226158">
            <w:pPr>
              <w:spacing w:before="240" w:line="240" w:lineRule="auto"/>
              <w:rPr>
                <w:b/>
                <w:bCs/>
              </w:rPr>
            </w:pPr>
            <w:r>
              <w:rPr>
                <w:b/>
                <w:bCs/>
              </w:rPr>
              <w:t xml:space="preserve"> Workplace complaint/grievance –</w:t>
            </w:r>
            <w:r>
              <w:rPr>
                <w:bCs/>
              </w:rPr>
              <w:t xml:space="preserve"> talk to your</w:t>
            </w:r>
            <w:r w:rsidR="003363F0">
              <w:rPr>
                <w:bCs/>
              </w:rPr>
              <w:t xml:space="preserve"> manager,</w:t>
            </w:r>
            <w:r>
              <w:rPr>
                <w:bCs/>
              </w:rPr>
              <w:t xml:space="preserve"> supervisor, workplace re</w:t>
            </w:r>
            <w:r w:rsidR="00087998">
              <w:rPr>
                <w:bCs/>
              </w:rPr>
              <w:t xml:space="preserve">presentative or Human Resources </w:t>
            </w:r>
            <w:r>
              <w:rPr>
                <w:bCs/>
              </w:rPr>
              <w:t>area.</w:t>
            </w:r>
          </w:p>
        </w:tc>
      </w:tr>
      <w:tr w:rsidR="004E7B8B" w:rsidRPr="004E7B8B" w14:paraId="240441B0" w14:textId="77777777" w:rsidTr="00F57883">
        <w:trPr>
          <w:trHeight w:val="1116"/>
        </w:trPr>
        <w:tc>
          <w:tcPr>
            <w:tcW w:w="7514" w:type="dxa"/>
            <w:tcBorders>
              <w:top w:val="single" w:sz="8" w:space="0" w:color="4F82BD"/>
              <w:left w:val="single" w:sz="8" w:space="0" w:color="4F82BD"/>
              <w:bottom w:val="single" w:sz="12" w:space="0" w:color="5B9BD5" w:themeColor="accent1"/>
              <w:right w:val="single" w:sz="12" w:space="0" w:color="000000" w:themeColor="text1"/>
            </w:tcBorders>
            <w:shd w:val="clear" w:color="auto" w:fill="FFFFFF" w:themeFill="background1"/>
          </w:tcPr>
          <w:p w14:paraId="6D4A2CBE" w14:textId="77777777" w:rsidR="004E7B8B" w:rsidRDefault="004E7B8B" w:rsidP="00226158">
            <w:pPr>
              <w:numPr>
                <w:ilvl w:val="0"/>
                <w:numId w:val="5"/>
              </w:numPr>
              <w:spacing w:before="240" w:after="0" w:line="240" w:lineRule="auto"/>
            </w:pPr>
            <w:r w:rsidRPr="00F57883">
              <w:t xml:space="preserve">Issues relating to </w:t>
            </w:r>
            <w:r w:rsidRPr="00191C50">
              <w:t>underperformance</w:t>
            </w:r>
            <w:r w:rsidR="00191C50">
              <w:t xml:space="preserve"> or performance management.</w:t>
            </w:r>
          </w:p>
          <w:p w14:paraId="51A35814" w14:textId="77777777" w:rsidR="004E7B8B" w:rsidRPr="00F57883" w:rsidRDefault="00191C50" w:rsidP="00AA5B1C">
            <w:pPr>
              <w:numPr>
                <w:ilvl w:val="0"/>
                <w:numId w:val="5"/>
              </w:numPr>
              <w:spacing w:after="0" w:line="240" w:lineRule="auto"/>
            </w:pPr>
            <w:r>
              <w:t xml:space="preserve">The </w:t>
            </w:r>
            <w:r w:rsidRPr="00191C50">
              <w:t xml:space="preserve">exercise of duties without reasonable care or skill </w:t>
            </w:r>
            <w:r>
              <w:t>where the consequences are localised.</w:t>
            </w:r>
          </w:p>
        </w:tc>
        <w:tc>
          <w:tcPr>
            <w:tcW w:w="2268" w:type="dxa"/>
            <w:tcBorders>
              <w:top w:val="single" w:sz="6" w:space="0" w:color="4F82BD"/>
              <w:left w:val="single" w:sz="12" w:space="0" w:color="000000" w:themeColor="text1"/>
              <w:bottom w:val="single" w:sz="12" w:space="0" w:color="5B9BD5" w:themeColor="accent1"/>
              <w:right w:val="single" w:sz="6" w:space="0" w:color="4F82BD"/>
            </w:tcBorders>
            <w:shd w:val="clear" w:color="auto" w:fill="FFFFFF" w:themeFill="background1"/>
          </w:tcPr>
          <w:p w14:paraId="0276D634" w14:textId="78E81320" w:rsidR="004E7B8B" w:rsidRPr="00F57883" w:rsidRDefault="004E7B8B" w:rsidP="00226158">
            <w:pPr>
              <w:spacing w:before="240" w:line="240" w:lineRule="auto"/>
              <w:rPr>
                <w:bCs/>
              </w:rPr>
            </w:pPr>
            <w:r w:rsidRPr="00F57883">
              <w:rPr>
                <w:b/>
                <w:bCs/>
              </w:rPr>
              <w:t>Performance management or misconduct issue</w:t>
            </w:r>
            <w:r w:rsidR="00191C50">
              <w:rPr>
                <w:bCs/>
              </w:rPr>
              <w:t xml:space="preserve"> - </w:t>
            </w:r>
            <w:r w:rsidR="00171FA0" w:rsidRPr="00F57883">
              <w:rPr>
                <w:bCs/>
              </w:rPr>
              <w:t>talk to your</w:t>
            </w:r>
            <w:r w:rsidR="007944CD">
              <w:rPr>
                <w:bCs/>
              </w:rPr>
              <w:t xml:space="preserve"> manager or</w:t>
            </w:r>
            <w:r w:rsidR="00171FA0" w:rsidRPr="00F57883">
              <w:rPr>
                <w:bCs/>
              </w:rPr>
              <w:t xml:space="preserve"> </w:t>
            </w:r>
            <w:r w:rsidR="00B8573A" w:rsidRPr="00F57883">
              <w:rPr>
                <w:bCs/>
              </w:rPr>
              <w:t>supervisor</w:t>
            </w:r>
            <w:r w:rsidR="00191C50">
              <w:rPr>
                <w:bCs/>
              </w:rPr>
              <w:t>.</w:t>
            </w:r>
          </w:p>
        </w:tc>
      </w:tr>
    </w:tbl>
    <w:p w14:paraId="5258CAA4" w14:textId="77777777" w:rsidR="00705CE9" w:rsidRDefault="00705CE9" w:rsidP="0060581C">
      <w:pPr>
        <w:spacing w:line="240" w:lineRule="auto"/>
        <w:rPr>
          <w:b/>
          <w:bCs/>
          <w:iCs/>
          <w:u w:val="single"/>
        </w:rPr>
      </w:pPr>
      <w:bookmarkStart w:id="8" w:name="_bookmark7"/>
      <w:bookmarkEnd w:id="8"/>
    </w:p>
    <w:p w14:paraId="40619CB6" w14:textId="16EAF8F6" w:rsidR="004E7B8B" w:rsidRPr="00851F46" w:rsidRDefault="003B2C73" w:rsidP="0060581C">
      <w:pPr>
        <w:spacing w:line="240" w:lineRule="auto"/>
        <w:rPr>
          <w:b/>
          <w:bCs/>
          <w:iCs/>
          <w:u w:val="single"/>
        </w:rPr>
      </w:pPr>
      <w:r>
        <w:rPr>
          <w:b/>
          <w:bCs/>
          <w:iCs/>
        </w:rPr>
        <w:lastRenderedPageBreak/>
        <w:t xml:space="preserve">1.3 </w:t>
      </w:r>
      <w:r w:rsidR="004E7B8B" w:rsidRPr="00851F46">
        <w:rPr>
          <w:b/>
          <w:bCs/>
          <w:iCs/>
          <w:u w:val="single"/>
        </w:rPr>
        <w:t>Relation</w:t>
      </w:r>
      <w:r w:rsidR="002F2119">
        <w:rPr>
          <w:b/>
          <w:bCs/>
          <w:iCs/>
          <w:u w:val="single"/>
        </w:rPr>
        <w:t xml:space="preserve">ship to other external scrutiny and </w:t>
      </w:r>
      <w:r w:rsidR="004E7B8B" w:rsidRPr="00851F46">
        <w:rPr>
          <w:b/>
          <w:bCs/>
          <w:iCs/>
          <w:u w:val="single"/>
        </w:rPr>
        <w:t>complaint functions</w:t>
      </w:r>
    </w:p>
    <w:p w14:paraId="7BC5BE8A" w14:textId="10464DAF" w:rsidR="00AB6A74" w:rsidRDefault="004E7B8B" w:rsidP="0060581C">
      <w:pPr>
        <w:spacing w:line="240" w:lineRule="auto"/>
      </w:pPr>
      <w:r w:rsidRPr="004E7B8B">
        <w:t xml:space="preserve">In some </w:t>
      </w:r>
      <w:r w:rsidR="003B51F6" w:rsidRPr="004E7B8B">
        <w:t>situations,</w:t>
      </w:r>
      <w:r w:rsidRPr="004E7B8B">
        <w:t xml:space="preserve"> it may be more appropriate </w:t>
      </w:r>
      <w:r w:rsidR="003C1C12">
        <w:t xml:space="preserve">for </w:t>
      </w:r>
      <w:r w:rsidRPr="004E7B8B">
        <w:t xml:space="preserve">a concern or complaint </w:t>
      </w:r>
      <w:r w:rsidR="003C1C12">
        <w:t xml:space="preserve">to </w:t>
      </w:r>
      <w:r w:rsidR="00437146">
        <w:t>be</w:t>
      </w:r>
      <w:r w:rsidRPr="004E7B8B">
        <w:t xml:space="preserve"> addressed under other statutory or regulatory provisions. For example, this may be the case in relation to health </w:t>
      </w:r>
      <w:r w:rsidR="003C1C12">
        <w:t>matters</w:t>
      </w:r>
      <w:r w:rsidRPr="004E7B8B">
        <w:t>, where approaches can be made direct</w:t>
      </w:r>
      <w:r w:rsidR="003C1C12">
        <w:t>ly</w:t>
      </w:r>
      <w:r w:rsidRPr="004E7B8B">
        <w:t xml:space="preserve"> to the Health Services Commissioner, the Clinical Practice Com</w:t>
      </w:r>
      <w:r w:rsidR="00AD3A49">
        <w:t xml:space="preserve">mittee of Canberra </w:t>
      </w:r>
      <w:r w:rsidRPr="004E7B8B">
        <w:t xml:space="preserve">Health </w:t>
      </w:r>
      <w:r w:rsidR="00AD3A49">
        <w:t>Services</w:t>
      </w:r>
      <w:r w:rsidRPr="004E7B8B">
        <w:t>, or a nationally regulated health professional board. It is also possible for a disclosure officer under the Act to refer a matter to such bodies, or to decide not to inves</w:t>
      </w:r>
      <w:r w:rsidR="00D922DC">
        <w:t xml:space="preserve">tigate a matter if it is </w:t>
      </w:r>
      <w:r w:rsidR="003B51F6">
        <w:t>being or</w:t>
      </w:r>
      <w:r w:rsidRPr="004E7B8B">
        <w:t xml:space="preserve"> has a</w:t>
      </w:r>
      <w:r w:rsidR="00D922DC">
        <w:t>lready been</w:t>
      </w:r>
      <w:r w:rsidRPr="004E7B8B">
        <w:t xml:space="preserve"> dealt with by such an external scrutineer. Conversely</w:t>
      </w:r>
      <w:r w:rsidR="00437146">
        <w:t>,</w:t>
      </w:r>
      <w:r w:rsidRPr="004E7B8B">
        <w:t xml:space="preserve"> there may be occasions when a matter is brought to the attention of one of those entities but cannot be progressed by them. In such instances, if permissible under their own confidentiality and secrecy restrictions, they </w:t>
      </w:r>
      <w:r w:rsidR="009E5D49">
        <w:t>should</w:t>
      </w:r>
      <w:r w:rsidRPr="004E7B8B">
        <w:t xml:space="preserve"> refer relevant issues to a disclosure officer under the Act.</w:t>
      </w:r>
      <w:bookmarkStart w:id="9" w:name="_bookmark8"/>
      <w:bookmarkEnd w:id="9"/>
      <w:r w:rsidR="00AD3A49">
        <w:t xml:space="preserve">  </w:t>
      </w:r>
    </w:p>
    <w:p w14:paraId="6C2BBED3" w14:textId="77777777" w:rsidR="00705CE9" w:rsidRDefault="00705CE9" w:rsidP="0060581C">
      <w:pPr>
        <w:spacing w:line="240" w:lineRule="auto"/>
      </w:pPr>
    </w:p>
    <w:p w14:paraId="10F76B0A" w14:textId="53BD100B" w:rsidR="004E7B8B" w:rsidRPr="003B42DE" w:rsidRDefault="00705CE9" w:rsidP="0060581C">
      <w:pPr>
        <w:spacing w:line="240" w:lineRule="auto"/>
      </w:pPr>
      <w:r>
        <w:br w:type="page"/>
      </w:r>
      <w:r w:rsidR="003B2C73">
        <w:rPr>
          <w:b/>
          <w:bCs/>
        </w:rPr>
        <w:lastRenderedPageBreak/>
        <w:t xml:space="preserve">2. </w:t>
      </w:r>
      <w:r w:rsidR="004E7B8B" w:rsidRPr="00851F46">
        <w:rPr>
          <w:b/>
          <w:bCs/>
          <w:u w:val="single"/>
        </w:rPr>
        <w:t>Making a Disclosure</w:t>
      </w:r>
    </w:p>
    <w:p w14:paraId="7ED2176D" w14:textId="77777777" w:rsidR="004E7B8B" w:rsidRPr="004E7B8B" w:rsidRDefault="004E7B8B" w:rsidP="0060581C">
      <w:pPr>
        <w:spacing w:line="240" w:lineRule="auto"/>
      </w:pPr>
      <w:r w:rsidRPr="004E7B8B">
        <w:t>This section deals with the matters someone considering making a</w:t>
      </w:r>
      <w:r w:rsidR="00E4064E">
        <w:t xml:space="preserve"> disclosure needs to know</w:t>
      </w:r>
      <w:r w:rsidRPr="004E7B8B">
        <w:t xml:space="preserve"> before they come forward.</w:t>
      </w:r>
    </w:p>
    <w:p w14:paraId="5CD9A4A9" w14:textId="2FEF8010" w:rsidR="004E7B8B" w:rsidRPr="004E7B8B" w:rsidRDefault="006F2516" w:rsidP="0060581C">
      <w:pPr>
        <w:spacing w:line="240" w:lineRule="auto"/>
        <w:rPr>
          <w:i/>
          <w:iCs/>
        </w:rPr>
      </w:pPr>
      <w:r w:rsidRPr="004E7B8B">
        <w:rPr>
          <w:noProof/>
          <w:lang w:eastAsia="en-AU"/>
        </w:rPr>
        <mc:AlternateContent>
          <mc:Choice Requires="wpg">
            <w:drawing>
              <wp:anchor distT="0" distB="0" distL="114300" distR="114300" simplePos="0" relativeHeight="251665408" behindDoc="1" locked="0" layoutInCell="0" allowOverlap="1" wp14:anchorId="7DFD2291" wp14:editId="73241EB1">
                <wp:simplePos x="0" y="0"/>
                <wp:positionH relativeFrom="page">
                  <wp:posOffset>952500</wp:posOffset>
                </wp:positionH>
                <wp:positionV relativeFrom="paragraph">
                  <wp:posOffset>264160</wp:posOffset>
                </wp:positionV>
                <wp:extent cx="6134100" cy="7553325"/>
                <wp:effectExtent l="0" t="0" r="19050" b="2857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553325"/>
                          <a:chOff x="1502" y="-73"/>
                          <a:chExt cx="9020" cy="10768"/>
                        </a:xfrm>
                      </wpg:grpSpPr>
                      <wps:wsp>
                        <wps:cNvPr id="76" name="Freeform 11"/>
                        <wps:cNvSpPr>
                          <a:spLocks/>
                        </wps:cNvSpPr>
                        <wps:spPr bwMode="auto">
                          <a:xfrm>
                            <a:off x="1512" y="-64"/>
                            <a:ext cx="9000" cy="10748"/>
                          </a:xfrm>
                          <a:custGeom>
                            <a:avLst/>
                            <a:gdLst>
                              <a:gd name="T0" fmla="*/ 9000 w 9000"/>
                              <a:gd name="T1" fmla="*/ 0 h 10748"/>
                              <a:gd name="T2" fmla="*/ 0 w 9000"/>
                              <a:gd name="T3" fmla="*/ 0 h 10748"/>
                              <a:gd name="T4" fmla="*/ 0 w 9000"/>
                              <a:gd name="T5" fmla="*/ 10748 h 10748"/>
                              <a:gd name="T6" fmla="*/ 9000 w 9000"/>
                              <a:gd name="T7" fmla="*/ 10748 h 10748"/>
                              <a:gd name="T8" fmla="*/ 9000 w 9000"/>
                              <a:gd name="T9" fmla="*/ 0 h 10748"/>
                            </a:gdLst>
                            <a:ahLst/>
                            <a:cxnLst>
                              <a:cxn ang="0">
                                <a:pos x="T0" y="T1"/>
                              </a:cxn>
                              <a:cxn ang="0">
                                <a:pos x="T2" y="T3"/>
                              </a:cxn>
                              <a:cxn ang="0">
                                <a:pos x="T4" y="T5"/>
                              </a:cxn>
                              <a:cxn ang="0">
                                <a:pos x="T6" y="T7"/>
                              </a:cxn>
                              <a:cxn ang="0">
                                <a:pos x="T8" y="T9"/>
                              </a:cxn>
                            </a:cxnLst>
                            <a:rect l="0" t="0" r="r" b="b"/>
                            <a:pathLst>
                              <a:path w="9000" h="10748">
                                <a:moveTo>
                                  <a:pt x="9000" y="0"/>
                                </a:moveTo>
                                <a:lnTo>
                                  <a:pt x="0" y="0"/>
                                </a:lnTo>
                                <a:lnTo>
                                  <a:pt x="0" y="10748"/>
                                </a:lnTo>
                                <a:lnTo>
                                  <a:pt x="9000" y="10748"/>
                                </a:lnTo>
                                <a:lnTo>
                                  <a:pt x="9000" y="0"/>
                                </a:lnTo>
                              </a:path>
                            </a:pathLst>
                          </a:custGeom>
                          <a:solidFill>
                            <a:srgbClr val="FDE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12"/>
                        <wpg:cNvGrpSpPr>
                          <a:grpSpLocks/>
                        </wpg:cNvGrpSpPr>
                        <wpg:grpSpPr bwMode="auto">
                          <a:xfrm>
                            <a:off x="1502" y="-73"/>
                            <a:ext cx="9020" cy="10768"/>
                            <a:chOff x="1502" y="-73"/>
                            <a:chExt cx="9020" cy="10768"/>
                          </a:xfrm>
                        </wpg:grpSpPr>
                        <wps:wsp>
                          <wps:cNvPr id="78" name="Freeform 13"/>
                          <wps:cNvSpPr>
                            <a:spLocks/>
                          </wps:cNvSpPr>
                          <wps:spPr bwMode="auto">
                            <a:xfrm>
                              <a:off x="1502" y="-73"/>
                              <a:ext cx="9020" cy="10768"/>
                            </a:xfrm>
                            <a:custGeom>
                              <a:avLst/>
                              <a:gdLst>
                                <a:gd name="T0" fmla="*/ 0 w 9020"/>
                                <a:gd name="T1" fmla="*/ 4 h 10768"/>
                                <a:gd name="T2" fmla="*/ 9019 w 9020"/>
                                <a:gd name="T3" fmla="*/ 4 h 10768"/>
                              </a:gdLst>
                              <a:ahLst/>
                              <a:cxnLst>
                                <a:cxn ang="0">
                                  <a:pos x="T0" y="T1"/>
                                </a:cxn>
                                <a:cxn ang="0">
                                  <a:pos x="T2" y="T3"/>
                                </a:cxn>
                              </a:cxnLst>
                              <a:rect l="0" t="0" r="r" b="b"/>
                              <a:pathLst>
                                <a:path w="9020" h="10768">
                                  <a:moveTo>
                                    <a:pt x="0" y="4"/>
                                  </a:moveTo>
                                  <a:lnTo>
                                    <a:pt x="9019" y="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4"/>
                          <wps:cNvSpPr>
                            <a:spLocks/>
                          </wps:cNvSpPr>
                          <wps:spPr bwMode="auto">
                            <a:xfrm>
                              <a:off x="1502" y="-73"/>
                              <a:ext cx="9020" cy="10768"/>
                            </a:xfrm>
                            <a:custGeom>
                              <a:avLst/>
                              <a:gdLst>
                                <a:gd name="T0" fmla="*/ 4 w 9020"/>
                                <a:gd name="T1" fmla="*/ 0 h 10768"/>
                                <a:gd name="T2" fmla="*/ 4 w 9020"/>
                                <a:gd name="T3" fmla="*/ 10768 h 10768"/>
                              </a:gdLst>
                              <a:ahLst/>
                              <a:cxnLst>
                                <a:cxn ang="0">
                                  <a:pos x="T0" y="T1"/>
                                </a:cxn>
                                <a:cxn ang="0">
                                  <a:pos x="T2" y="T3"/>
                                </a:cxn>
                              </a:cxnLst>
                              <a:rect l="0" t="0" r="r" b="b"/>
                              <a:pathLst>
                                <a:path w="9020" h="10768">
                                  <a:moveTo>
                                    <a:pt x="4" y="0"/>
                                  </a:moveTo>
                                  <a:lnTo>
                                    <a:pt x="4" y="107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Freeform 15"/>
                        <wps:cNvSpPr>
                          <a:spLocks/>
                        </wps:cNvSpPr>
                        <wps:spPr bwMode="auto">
                          <a:xfrm>
                            <a:off x="1502" y="10690"/>
                            <a:ext cx="9010" cy="20"/>
                          </a:xfrm>
                          <a:custGeom>
                            <a:avLst/>
                            <a:gdLst>
                              <a:gd name="T0" fmla="*/ 0 w 9010"/>
                              <a:gd name="T1" fmla="*/ 0 h 20"/>
                              <a:gd name="T2" fmla="*/ 9009 w 9010"/>
                              <a:gd name="T3" fmla="*/ 0 h 20"/>
                            </a:gdLst>
                            <a:ahLst/>
                            <a:cxnLst>
                              <a:cxn ang="0">
                                <a:pos x="T0" y="T1"/>
                              </a:cxn>
                              <a:cxn ang="0">
                                <a:pos x="T2" y="T3"/>
                              </a:cxn>
                            </a:cxnLst>
                            <a:rect l="0" t="0" r="r" b="b"/>
                            <a:pathLst>
                              <a:path w="9010" h="20">
                                <a:moveTo>
                                  <a:pt x="0" y="0"/>
                                </a:moveTo>
                                <a:lnTo>
                                  <a:pt x="900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10516" y="-73"/>
                            <a:ext cx="20" cy="10768"/>
                          </a:xfrm>
                          <a:custGeom>
                            <a:avLst/>
                            <a:gdLst>
                              <a:gd name="T0" fmla="*/ 0 w 20"/>
                              <a:gd name="T1" fmla="*/ 0 h 10768"/>
                              <a:gd name="T2" fmla="*/ 0 w 20"/>
                              <a:gd name="T3" fmla="*/ 10768 h 10768"/>
                            </a:gdLst>
                            <a:ahLst/>
                            <a:cxnLst>
                              <a:cxn ang="0">
                                <a:pos x="T0" y="T1"/>
                              </a:cxn>
                              <a:cxn ang="0">
                                <a:pos x="T2" y="T3"/>
                              </a:cxn>
                            </a:cxnLst>
                            <a:rect l="0" t="0" r="r" b="b"/>
                            <a:pathLst>
                              <a:path w="20" h="10768">
                                <a:moveTo>
                                  <a:pt x="0" y="0"/>
                                </a:moveTo>
                                <a:lnTo>
                                  <a:pt x="0" y="107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2D570" id="Group 75" o:spid="_x0000_s1026" style="position:absolute;margin-left:75pt;margin-top:20.8pt;width:483pt;height:594.75pt;z-index:-251651072;mso-position-horizontal-relative:page" coordorigin="1502,-73" coordsize="9020,1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" o:allowincell="f">
                <v:shape id="Freeform 11" o:spid="_x0000_s1027" style="position:absolute;left:1512;top:-64;width:9000;height:10748;visibility:visible;mso-wrap-style:square;v-text-anchor:top" coordsize="9000,10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dBsYA&#10;AADbAAAADwAAAGRycy9kb3ducmV2LnhtbESPT2sCMRTE74LfIbxCb25WD7auRimCpWBB6p+Dt8fm&#10;uVndvGw3UVc/fVMQPA4z8xtmMmttJS7U+NKxgn6SgiDOnS65ULDdLHrvIHxA1lg5JgU38jCbdjsT&#10;zLS78g9d1qEQEcI+QwUmhDqT0ueGLPrE1cTRO7jGYoiyKaRu8BrhtpKDNB1KiyXHBYM1zQ3lp/XZ&#10;KjiOdtW9vsvTaLn63ZtP1x987xdKvb60H2MQgdrwDD/aX1rB2xD+v8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fdBsYAAADbAAAADwAAAAAAAAAAAAAAAACYAgAAZHJz&#10;L2Rvd25yZXYueG1sUEsFBgAAAAAEAAQA9QAAAIsDAAAAAA==&#10;" path="m9000,l,,,10748r9000,l9000,e" fillcolor="#fde9d9" stroked="f">
                  <v:path arrowok="t" o:connecttype="custom" o:connectlocs="9000,0;0,0;0,10748;9000,10748;9000,0" o:connectangles="0,0,0,0,0"/>
                </v:shape>
                <v:group id="Group 12" o:spid="_x0000_s1028" style="position:absolute;left:1502;top:-73;width:9020;height:10768" coordorigin="1502,-73" coordsize="9020,10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3" o:spid="_x0000_s1029" style="position:absolute;left:1502;top:-73;width:9020;height:10768;visibility:visible;mso-wrap-style:square;v-text-anchor:top" coordsize="9020,1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48sEA&#10;AADbAAAADwAAAGRycy9kb3ducmV2LnhtbERPy4rCMBTdC/5DuIK7MXUQHapRdMAHs5Gp4vrSXNtq&#10;c1ObaDt+vVkMuDyc92zRmlI8qHaFZQXDQQSCOLW64EzB8bD++ALhPLLG0jIp+CMHi3m3M8NY24Z/&#10;6ZH4TIQQdjEqyL2vYildmpNBN7AVceDOtjboA6wzqWtsQrgp5WcUjaXBgkNDjhV955Rek7tRkGwm&#10;o8QNnzu7/7mc5Op28NvmqVS/1y6nIDy1/i3+d++0gkkYG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H+PLBAAAA2wAAAA8AAAAAAAAAAAAAAAAAmAIAAGRycy9kb3du&#10;cmV2LnhtbFBLBQYAAAAABAAEAPUAAACGAwAAAAA=&#10;" path="m,4r9019,e" filled="f" strokeweight=".48pt">
                    <v:path arrowok="t" o:connecttype="custom" o:connectlocs="0,4;9019,4" o:connectangles="0,0"/>
                  </v:shape>
                  <v:shape id="Freeform 14" o:spid="_x0000_s1030" style="position:absolute;left:1502;top:-73;width:9020;height:10768;visibility:visible;mso-wrap-style:square;v-text-anchor:top" coordsize="9020,1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tdacQA&#10;AADbAAAADwAAAGRycy9kb3ducmV2LnhtbESPQWvCQBSE74L/YXmCN90oUjV1FRW00ktpLD0/sq9J&#10;NPs2ZleT+uu7BcHjMDPfMItVa0pxo9oVlhWMhhEI4tTqgjMFX8fdYAbCeWSNpWVS8EsOVstuZ4Gx&#10;tg1/0i3xmQgQdjEqyL2vYildmpNBN7QVcfB+bG3QB1lnUtfYBLgp5TiKXqTBgsNCjhVtc0rPydUo&#10;SPbTSeJG94P9eD99y83l6N+au1L9Xrt+BeGp9c/wo33QCqZz+P8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WnEAAAA2wAAAA8AAAAAAAAAAAAAAAAAmAIAAGRycy9k&#10;b3ducmV2LnhtbFBLBQYAAAAABAAEAPUAAACJAwAAAAA=&#10;" path="m4,r,10768e" filled="f" strokeweight=".48pt">
                    <v:path arrowok="t" o:connecttype="custom" o:connectlocs="4,0;4,10768" o:connectangles="0,0"/>
                  </v:shape>
                </v:group>
                <v:shape id="Freeform 15" o:spid="_x0000_s1031" style="position:absolute;left:1502;top:10690;width:9010;height:20;visibility:visible;mso-wrap-style:square;v-text-anchor:top" coordsize="9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xrb8A&#10;AADbAAAADwAAAGRycy9kb3ducmV2LnhtbERPzYrCMBC+C/sOYRa8yJoqWKRrFFlc8KKg9QGGZmyq&#10;zaSbZLW+vTkIHj++/8Wqt624kQ+NYwWTcQaCuHK64VrBqfz9moMIEVlj65gUPCjAavkxWGCh3Z0P&#10;dDvGWqQQDgUqMDF2hZShMmQxjF1HnLiz8xZjgr6W2uM9hdtWTrMslxYbTg0GO/oxVF2P/1ZBbcpd&#10;nG3+9n60zi+E+b6/WlJq+Nmvv0FE6uNb/HJvtYJ5Wp++p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L3GtvwAAANsAAAAPAAAAAAAAAAAAAAAAAJgCAABkcnMvZG93bnJl&#10;di54bWxQSwUGAAAAAAQABAD1AAAAhAMAAAAA&#10;" path="m,l9009,e" filled="f" strokeweight=".16931mm">
                  <v:path arrowok="t" o:connecttype="custom" o:connectlocs="0,0;9009,0" o:connectangles="0,0"/>
                </v:shape>
                <v:shape id="Freeform 16" o:spid="_x0000_s1032" style="position:absolute;left:10516;top:-73;width:20;height:10768;visibility:visible;mso-wrap-style:square;v-text-anchor:top" coordsize="20,1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jXMYA&#10;AADbAAAADwAAAGRycy9kb3ducmV2LnhtbESPQWvCQBSE74L/YXlCL1I39iAxuhERxB6KtEYK3h7Z&#10;l2za7NuQ3WraX98tFDwOM/MNs94MthVX6n3jWMF8loAgLp1uuFZwLvaPKQgfkDW2jknBN3nY5OPR&#10;GjPtbvxG11OoRYSwz1CBCaHLpPSlIYt+5jri6FWutxii7Gupe7xFuG3lU5IspMWG44LBjnaGys/T&#10;l1VwnL5uw8A/5ftHetgVy7S6mBep1MNk2K5ABBrCPfzfftYK0jn8fYk/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TjXMYAAADbAAAADwAAAAAAAAAAAAAAAACYAgAAZHJz&#10;L2Rvd25yZXYueG1sUEsFBgAAAAAEAAQA9QAAAIsDAAAAAA==&#10;" path="m,l,10768e" filled="f" strokeweight=".48pt">
                  <v:path arrowok="t" o:connecttype="custom" o:connectlocs="0,0;0,10768" o:connectangles="0,0"/>
                </v:shape>
                <w10:wrap anchorx="page"/>
              </v:group>
            </w:pict>
          </mc:Fallback>
        </mc:AlternateContent>
      </w:r>
      <w:r w:rsidR="004E7B8B" w:rsidRPr="004E7B8B">
        <w:rPr>
          <w:b/>
          <w:bCs/>
          <w:i/>
          <w:iCs/>
        </w:rPr>
        <w:t xml:space="preserve">Table 2: </w:t>
      </w:r>
      <w:r w:rsidR="00226158">
        <w:rPr>
          <w:b/>
          <w:bCs/>
          <w:i/>
          <w:iCs/>
        </w:rPr>
        <w:t xml:space="preserve"> </w:t>
      </w:r>
      <w:r w:rsidR="004E7B8B" w:rsidRPr="00226158">
        <w:rPr>
          <w:b/>
          <w:iCs/>
        </w:rPr>
        <w:t>Before making a disclosure</w:t>
      </w:r>
      <w:r w:rsidR="007D6EC8" w:rsidRPr="00226158">
        <w:rPr>
          <w:b/>
          <w:iCs/>
        </w:rPr>
        <w:t>:</w:t>
      </w:r>
    </w:p>
    <w:p w14:paraId="248ECF2C" w14:textId="77777777" w:rsidR="004E7B8B" w:rsidRPr="004E7B8B" w:rsidRDefault="004E7B8B" w:rsidP="0060581C">
      <w:pPr>
        <w:spacing w:line="240" w:lineRule="auto"/>
        <w:rPr>
          <w:i/>
          <w:iCs/>
        </w:rPr>
      </w:pPr>
    </w:p>
    <w:p w14:paraId="15AE946B" w14:textId="77777777" w:rsidR="004E7B8B" w:rsidRPr="004E7B8B" w:rsidRDefault="004E7B8B" w:rsidP="00AA5B1C">
      <w:pPr>
        <w:numPr>
          <w:ilvl w:val="0"/>
          <w:numId w:val="4"/>
        </w:numPr>
        <w:spacing w:line="240" w:lineRule="auto"/>
      </w:pPr>
      <w:r w:rsidRPr="004E7B8B">
        <w:t>Consider what have you witnessed or otherwise come to know. Is it</w:t>
      </w:r>
    </w:p>
    <w:p w14:paraId="658080A5" w14:textId="77777777" w:rsidR="004E7B8B" w:rsidRPr="004E7B8B" w:rsidRDefault="007B7937" w:rsidP="00AA5B1C">
      <w:pPr>
        <w:numPr>
          <w:ilvl w:val="1"/>
          <w:numId w:val="4"/>
        </w:numPr>
        <w:spacing w:line="240" w:lineRule="auto"/>
      </w:pPr>
      <w:r>
        <w:rPr>
          <w:u w:val="single"/>
        </w:rPr>
        <w:t>u</w:t>
      </w:r>
      <w:r w:rsidR="004E7B8B" w:rsidRPr="004E7B8B">
        <w:rPr>
          <w:u w:val="single"/>
        </w:rPr>
        <w:t>nlawful</w:t>
      </w:r>
      <w:r w:rsidR="004E7B8B" w:rsidRPr="004E7B8B">
        <w:t xml:space="preserve"> (has someone has broken a law or are th</w:t>
      </w:r>
      <w:r w:rsidR="0011093D">
        <w:t>ey engaging in illegal activity</w:t>
      </w:r>
      <w:r w:rsidR="004E7B8B" w:rsidRPr="004E7B8B">
        <w:t>)</w:t>
      </w:r>
      <w:r w:rsidR="0011093D">
        <w:t>?</w:t>
      </w:r>
    </w:p>
    <w:p w14:paraId="0DD4277D" w14:textId="04690392" w:rsidR="004E7B8B" w:rsidRPr="004E7B8B" w:rsidRDefault="007B7937" w:rsidP="00AA5B1C">
      <w:pPr>
        <w:numPr>
          <w:ilvl w:val="1"/>
          <w:numId w:val="4"/>
        </w:numPr>
        <w:spacing w:line="240" w:lineRule="auto"/>
      </w:pPr>
      <w:r>
        <w:rPr>
          <w:u w:val="single"/>
        </w:rPr>
        <w:t>c</w:t>
      </w:r>
      <w:r w:rsidR="004E7B8B" w:rsidRPr="004E7B8B">
        <w:rPr>
          <w:u w:val="single"/>
        </w:rPr>
        <w:t>orrupt</w:t>
      </w:r>
      <w:r w:rsidR="001854C6">
        <w:rPr>
          <w:u w:val="single"/>
        </w:rPr>
        <w:t>ion</w:t>
      </w:r>
      <w:r w:rsidR="004E7B8B" w:rsidRPr="004E7B8B">
        <w:t xml:space="preserve"> (for example, bribery, graft, extortion, political manipulation, kickbacks, misappropriation or theft, fraud, self‐dealing, patronage, abuse of discretion, creating/exploiting a conflict of interest, nepotism, or favouritism etc.)</w:t>
      </w:r>
      <w:r w:rsidR="0011093D">
        <w:t>?</w:t>
      </w:r>
    </w:p>
    <w:p w14:paraId="1EFBAF51" w14:textId="77777777" w:rsidR="004E7B8B" w:rsidRPr="004E7B8B" w:rsidRDefault="007B7937" w:rsidP="00AA5B1C">
      <w:pPr>
        <w:numPr>
          <w:ilvl w:val="1"/>
          <w:numId w:val="4"/>
        </w:numPr>
        <w:spacing w:line="240" w:lineRule="auto"/>
      </w:pPr>
      <w:r>
        <w:rPr>
          <w:u w:val="single"/>
        </w:rPr>
        <w:t>m</w:t>
      </w:r>
      <w:r w:rsidR="004E7B8B" w:rsidRPr="004E7B8B">
        <w:rPr>
          <w:u w:val="single"/>
        </w:rPr>
        <w:t>isconduct</w:t>
      </w:r>
      <w:r w:rsidR="004E7B8B" w:rsidRPr="004E7B8B">
        <w:t xml:space="preserve"> (see Section 9 PSM Act and the </w:t>
      </w:r>
      <w:r w:rsidR="004E7B8B" w:rsidRPr="004E7B8B">
        <w:rPr>
          <w:i/>
          <w:iCs/>
        </w:rPr>
        <w:t>ACTPS Code of Conduct</w:t>
      </w:r>
      <w:r w:rsidR="004E7B8B" w:rsidRPr="004E7B8B">
        <w:t>)</w:t>
      </w:r>
      <w:r w:rsidR="0011093D">
        <w:t>?</w:t>
      </w:r>
    </w:p>
    <w:p w14:paraId="38818626" w14:textId="77777777" w:rsidR="004E7B8B" w:rsidRPr="004E7B8B" w:rsidRDefault="007B7937" w:rsidP="00AA5B1C">
      <w:pPr>
        <w:numPr>
          <w:ilvl w:val="1"/>
          <w:numId w:val="4"/>
        </w:numPr>
        <w:spacing w:line="240" w:lineRule="auto"/>
      </w:pPr>
      <w:r>
        <w:rPr>
          <w:u w:val="single"/>
        </w:rPr>
        <w:t>m</w:t>
      </w:r>
      <w:r w:rsidR="004E7B8B" w:rsidRPr="004E7B8B">
        <w:rPr>
          <w:u w:val="single"/>
        </w:rPr>
        <w:t>aladministration</w:t>
      </w:r>
      <w:r w:rsidR="004E7B8B" w:rsidRPr="004E7B8B">
        <w:t xml:space="preserve"> (including public wastage, organisational negligence or inaction)</w:t>
      </w:r>
      <w:r w:rsidR="0011093D">
        <w:t>?</w:t>
      </w:r>
    </w:p>
    <w:p w14:paraId="5C0443D5" w14:textId="77777777" w:rsidR="004E7B8B" w:rsidRPr="004E7B8B" w:rsidRDefault="007B7937" w:rsidP="00AA5B1C">
      <w:pPr>
        <w:numPr>
          <w:ilvl w:val="1"/>
          <w:numId w:val="4"/>
        </w:numPr>
        <w:spacing w:line="240" w:lineRule="auto"/>
      </w:pPr>
      <w:r>
        <w:t xml:space="preserve">a </w:t>
      </w:r>
      <w:r w:rsidR="004E7B8B" w:rsidRPr="004E7B8B">
        <w:t xml:space="preserve">substantial </w:t>
      </w:r>
      <w:r w:rsidR="004E7B8B" w:rsidRPr="004E7B8B">
        <w:rPr>
          <w:u w:val="single"/>
        </w:rPr>
        <w:t xml:space="preserve">danger to the health or safety of the </w:t>
      </w:r>
      <w:r w:rsidR="004E7B8B" w:rsidRPr="0011093D">
        <w:rPr>
          <w:u w:val="single"/>
        </w:rPr>
        <w:t>community or environment</w:t>
      </w:r>
      <w:r w:rsidR="004E7B8B" w:rsidRPr="004E7B8B">
        <w:t xml:space="preserve"> (has someone done something that will adversely affect people’s health or damage the environment leaving it in a wor</w:t>
      </w:r>
      <w:r w:rsidR="0011093D">
        <w:t>se state than it was previously</w:t>
      </w:r>
      <w:r w:rsidR="004E7B8B" w:rsidRPr="004E7B8B">
        <w:t>)</w:t>
      </w:r>
      <w:r w:rsidR="0011093D">
        <w:t>?</w:t>
      </w:r>
    </w:p>
    <w:p w14:paraId="2AAB2F07" w14:textId="77777777" w:rsidR="004E7B8B" w:rsidRPr="004E7B8B" w:rsidRDefault="004E7B8B" w:rsidP="00AA5B1C">
      <w:pPr>
        <w:numPr>
          <w:ilvl w:val="0"/>
          <w:numId w:val="4"/>
        </w:numPr>
        <w:spacing w:line="240" w:lineRule="auto"/>
      </w:pPr>
      <w:r w:rsidRPr="004E7B8B">
        <w:t>Think about what you are reporting. Is the information rumour or fact? Can you provide evidence to support your assertions?</w:t>
      </w:r>
    </w:p>
    <w:p w14:paraId="0437E18F" w14:textId="77777777" w:rsidR="004E7B8B" w:rsidRPr="004E7B8B" w:rsidRDefault="004E7B8B" w:rsidP="00AA5B1C">
      <w:pPr>
        <w:numPr>
          <w:ilvl w:val="0"/>
          <w:numId w:val="4"/>
        </w:numPr>
        <w:spacing w:line="240" w:lineRule="auto"/>
      </w:pPr>
      <w:r w:rsidRPr="004E7B8B">
        <w:t>Is your belief reasonable?</w:t>
      </w:r>
    </w:p>
    <w:p w14:paraId="6ED4DF66" w14:textId="77777777" w:rsidR="004E7B8B" w:rsidRPr="004E7B8B" w:rsidRDefault="004E7B8B" w:rsidP="00AA5B1C">
      <w:pPr>
        <w:numPr>
          <w:ilvl w:val="0"/>
          <w:numId w:val="4"/>
        </w:numPr>
        <w:spacing w:line="240" w:lineRule="auto"/>
      </w:pPr>
      <w:r w:rsidRPr="004E7B8B">
        <w:t xml:space="preserve">Does the activity </w:t>
      </w:r>
      <w:r w:rsidR="007B7937">
        <w:t>damage the public interest? (is the harm limited to an individual, or does</w:t>
      </w:r>
      <w:r w:rsidRPr="004E7B8B">
        <w:t xml:space="preserve"> the public at large suffer due to the actions of the individual or entity?</w:t>
      </w:r>
    </w:p>
    <w:p w14:paraId="778B2B96" w14:textId="01ECF631" w:rsidR="004E7B8B" w:rsidRPr="004E7B8B" w:rsidRDefault="004E7B8B" w:rsidP="00AA5B1C">
      <w:pPr>
        <w:numPr>
          <w:ilvl w:val="0"/>
          <w:numId w:val="4"/>
        </w:numPr>
        <w:spacing w:line="240" w:lineRule="auto"/>
      </w:pPr>
      <w:r w:rsidRPr="004E7B8B">
        <w:t xml:space="preserve">Does the issue have wide ramifications or </w:t>
      </w:r>
      <w:r w:rsidR="009D4C17" w:rsidRPr="004E7B8B">
        <w:t>longer-term</w:t>
      </w:r>
      <w:r w:rsidRPr="004E7B8B">
        <w:t xml:space="preserve"> implications?</w:t>
      </w:r>
    </w:p>
    <w:p w14:paraId="31140A1C" w14:textId="77777777" w:rsidR="004E7B8B" w:rsidRPr="004E7B8B" w:rsidRDefault="004E7B8B" w:rsidP="00AA5B1C">
      <w:pPr>
        <w:numPr>
          <w:ilvl w:val="0"/>
          <w:numId w:val="4"/>
        </w:numPr>
        <w:spacing w:line="240" w:lineRule="auto"/>
      </w:pPr>
      <w:r w:rsidRPr="004E7B8B">
        <w:t>Have you thought about how others might react to your PID? It is a good idea to establish a support network (e.g. employee assistance provider or seek the assistance of others trained in helping people to deal with stressful situations) so that if matters become complex, you are in a good position to take care of your interests.</w:t>
      </w:r>
    </w:p>
    <w:p w14:paraId="68D4AE4F" w14:textId="5A340F7B" w:rsidR="004E7B8B" w:rsidRPr="004E7B8B" w:rsidRDefault="004E7B8B" w:rsidP="00AA5B1C">
      <w:pPr>
        <w:numPr>
          <w:ilvl w:val="0"/>
          <w:numId w:val="4"/>
        </w:numPr>
        <w:spacing w:line="240" w:lineRule="auto"/>
      </w:pPr>
      <w:r w:rsidRPr="004E7B8B">
        <w:t xml:space="preserve">If after considering the </w:t>
      </w:r>
      <w:r w:rsidR="003B51F6" w:rsidRPr="004E7B8B">
        <w:t>above,</w:t>
      </w:r>
      <w:r w:rsidRPr="004E7B8B">
        <w:t xml:space="preserve"> you decide you hold information that will serve to protect the public interest and uphold the integrity of the public sector:</w:t>
      </w:r>
    </w:p>
    <w:p w14:paraId="422FFA3F" w14:textId="4815C98A" w:rsidR="004E7B8B" w:rsidRPr="004E7B8B" w:rsidRDefault="00E376D1" w:rsidP="00AA5B1C">
      <w:pPr>
        <w:numPr>
          <w:ilvl w:val="1"/>
          <w:numId w:val="4"/>
        </w:numPr>
        <w:spacing w:line="240" w:lineRule="auto"/>
      </w:pPr>
      <w:r>
        <w:t>D</w:t>
      </w:r>
      <w:r w:rsidR="004E7B8B" w:rsidRPr="004E7B8B">
        <w:t xml:space="preserve">o you know how to make the disclosure? Are you willing to put it </w:t>
      </w:r>
      <w:r w:rsidR="005E74C9">
        <w:t xml:space="preserve">in writing? A disclosure may </w:t>
      </w:r>
      <w:r w:rsidR="004E7B8B" w:rsidRPr="004E7B8B">
        <w:t>be made to your supervisor, a dis</w:t>
      </w:r>
      <w:r w:rsidR="00E4064E">
        <w:t xml:space="preserve">closure officer, the head of a public sector </w:t>
      </w:r>
      <w:r w:rsidR="004E7B8B" w:rsidRPr="004E7B8B">
        <w:t>entity</w:t>
      </w:r>
      <w:r>
        <w:t>,</w:t>
      </w:r>
      <w:r w:rsidR="004E7B8B" w:rsidRPr="004E7B8B">
        <w:t xml:space="preserve"> or the Public Sector Stand</w:t>
      </w:r>
      <w:r>
        <w:t>ards Commissioner</w:t>
      </w:r>
      <w:r w:rsidR="004E7B8B" w:rsidRPr="004E7B8B">
        <w:t xml:space="preserve">. </w:t>
      </w:r>
      <w:r>
        <w:t xml:space="preserve"> </w:t>
      </w:r>
      <w:r w:rsidR="004E7B8B" w:rsidRPr="00E376D1">
        <w:rPr>
          <w:u w:val="single"/>
        </w:rPr>
        <w:t xml:space="preserve">Only in very specific circumstances </w:t>
      </w:r>
      <w:r w:rsidR="00422EC3">
        <w:rPr>
          <w:u w:val="single"/>
        </w:rPr>
        <w:t>should</w:t>
      </w:r>
      <w:r w:rsidR="004E7B8B" w:rsidRPr="00E376D1">
        <w:rPr>
          <w:u w:val="single"/>
        </w:rPr>
        <w:t xml:space="preserve"> a disclosure be made to a journalist or a Member of the Legislative Assembly</w:t>
      </w:r>
      <w:r w:rsidR="001854C6">
        <w:rPr>
          <w:u w:val="single"/>
        </w:rPr>
        <w:t xml:space="preserve"> (</w:t>
      </w:r>
      <w:r w:rsidR="001854C6" w:rsidRPr="00F574A1">
        <w:rPr>
          <w:i/>
          <w:u w:val="single"/>
        </w:rPr>
        <w:t>see section 27 of the PID Act</w:t>
      </w:r>
      <w:r w:rsidR="00422EC3">
        <w:rPr>
          <w:u w:val="single"/>
        </w:rPr>
        <w:t>)</w:t>
      </w:r>
      <w:r w:rsidR="004E7B8B" w:rsidRPr="004E7B8B">
        <w:t>.</w:t>
      </w:r>
    </w:p>
    <w:p w14:paraId="45A00BCB" w14:textId="77777777" w:rsidR="004E7B8B" w:rsidRPr="004E7B8B" w:rsidRDefault="004E7B8B" w:rsidP="00AA5B1C">
      <w:pPr>
        <w:numPr>
          <w:ilvl w:val="1"/>
          <w:numId w:val="4"/>
        </w:numPr>
        <w:spacing w:line="240" w:lineRule="auto"/>
      </w:pPr>
      <w:r w:rsidRPr="004E7B8B">
        <w:t>Do you know the kinds of information you should provide when making a disclosure? You should have good reasons and possibly evidence for your suspicions.</w:t>
      </w:r>
    </w:p>
    <w:p w14:paraId="27F13A79" w14:textId="77777777" w:rsidR="004E7B8B" w:rsidRPr="004E7B8B" w:rsidRDefault="004E7B8B" w:rsidP="00AA5B1C">
      <w:pPr>
        <w:numPr>
          <w:ilvl w:val="1"/>
          <w:numId w:val="4"/>
        </w:numPr>
        <w:spacing w:line="240" w:lineRule="auto"/>
      </w:pPr>
      <w:r w:rsidRPr="004E7B8B">
        <w:t>Is the outcome you expect reasonable? You should communicate your expectations when making your disclosure. Do you know what happens next? If unsure you should ask when making your disclosure.</w:t>
      </w:r>
    </w:p>
    <w:p w14:paraId="6C5CF19F" w14:textId="77777777" w:rsidR="004E7B8B" w:rsidRPr="004E7B8B" w:rsidRDefault="004E7B8B" w:rsidP="00AA5B1C">
      <w:pPr>
        <w:numPr>
          <w:ilvl w:val="1"/>
          <w:numId w:val="4"/>
        </w:numPr>
        <w:spacing w:line="240" w:lineRule="auto"/>
        <w:sectPr w:rsidR="004E7B8B" w:rsidRPr="004E7B8B" w:rsidSect="00A64B26">
          <w:pgSz w:w="11910" w:h="16840"/>
          <w:pgMar w:top="1440" w:right="1080" w:bottom="1440" w:left="1080" w:header="0" w:footer="932" w:gutter="0"/>
          <w:cols w:space="720"/>
          <w:noEndnote/>
        </w:sectPr>
      </w:pPr>
    </w:p>
    <w:p w14:paraId="44AE4D68" w14:textId="5ACF2DDA" w:rsidR="004E7B8B" w:rsidRPr="00851F46" w:rsidRDefault="003B2C73" w:rsidP="0060581C">
      <w:pPr>
        <w:spacing w:line="240" w:lineRule="auto"/>
        <w:rPr>
          <w:b/>
          <w:bCs/>
          <w:iCs/>
          <w:u w:val="single"/>
        </w:rPr>
      </w:pPr>
      <w:bookmarkStart w:id="10" w:name="_bookmark9"/>
      <w:bookmarkEnd w:id="10"/>
      <w:r>
        <w:rPr>
          <w:b/>
          <w:bCs/>
          <w:iCs/>
        </w:rPr>
        <w:lastRenderedPageBreak/>
        <w:t xml:space="preserve">2.1 </w:t>
      </w:r>
      <w:r w:rsidR="004E7B8B" w:rsidRPr="00851F46">
        <w:rPr>
          <w:b/>
          <w:bCs/>
          <w:iCs/>
          <w:u w:val="single"/>
        </w:rPr>
        <w:t>Who can make a disclosure?</w:t>
      </w:r>
    </w:p>
    <w:p w14:paraId="6DDC774E" w14:textId="77777777" w:rsidR="004E7B8B" w:rsidRPr="004E7B8B" w:rsidRDefault="00D7760A" w:rsidP="0060581C">
      <w:pPr>
        <w:spacing w:line="240" w:lineRule="auto"/>
      </w:pPr>
      <w:r>
        <w:rPr>
          <w:noProof/>
          <w:lang w:eastAsia="en-AU"/>
        </w:rPr>
        <mc:AlternateContent>
          <mc:Choice Requires="wps">
            <w:drawing>
              <wp:anchor distT="45720" distB="45720" distL="114300" distR="114300" simplePos="0" relativeHeight="251705344" behindDoc="0" locked="0" layoutInCell="1" allowOverlap="1" wp14:anchorId="4BBA5C9E" wp14:editId="65C02333">
                <wp:simplePos x="0" y="0"/>
                <wp:positionH relativeFrom="column">
                  <wp:posOffset>-38100</wp:posOffset>
                </wp:positionH>
                <wp:positionV relativeFrom="paragraph">
                  <wp:posOffset>699135</wp:posOffset>
                </wp:positionV>
                <wp:extent cx="6038850" cy="1276350"/>
                <wp:effectExtent l="0" t="0" r="1905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76350"/>
                        </a:xfrm>
                        <a:prstGeom prst="rect">
                          <a:avLst/>
                        </a:prstGeom>
                        <a:solidFill>
                          <a:schemeClr val="accent5">
                            <a:lumMod val="20000"/>
                            <a:lumOff val="80000"/>
                          </a:schemeClr>
                        </a:solidFill>
                        <a:ln w="9525">
                          <a:solidFill>
                            <a:srgbClr val="000000"/>
                          </a:solidFill>
                          <a:miter lim="800000"/>
                          <a:headEnd/>
                          <a:tailEnd/>
                        </a:ln>
                      </wps:spPr>
                      <wps:txbx>
                        <w:txbxContent>
                          <w:p w14:paraId="74457949" w14:textId="77777777" w:rsidR="00D85ECD" w:rsidRPr="00E376D1" w:rsidRDefault="00D85ECD" w:rsidP="00F574A1">
                            <w:pPr>
                              <w:spacing w:line="240" w:lineRule="auto"/>
                            </w:pPr>
                            <w:r w:rsidRPr="00E376D1">
                              <w:t>Here are some tips for raising a concern:</w:t>
                            </w:r>
                          </w:p>
                          <w:p w14:paraId="284AC8CD" w14:textId="77777777" w:rsidR="00D85ECD" w:rsidRPr="00E376D1" w:rsidRDefault="00D85ECD" w:rsidP="00F574A1">
                            <w:pPr>
                              <w:numPr>
                                <w:ilvl w:val="0"/>
                                <w:numId w:val="22"/>
                              </w:numPr>
                              <w:spacing w:line="240" w:lineRule="auto"/>
                              <w:contextualSpacing/>
                            </w:pPr>
                            <w:r w:rsidRPr="00E376D1">
                              <w:t>Raise it when it's a concern – you won’t be asked to prove it, but your concern must be reasonably based.</w:t>
                            </w:r>
                          </w:p>
                          <w:p w14:paraId="58062DDF" w14:textId="77777777" w:rsidR="00D85ECD" w:rsidRPr="00E376D1" w:rsidRDefault="00D85ECD" w:rsidP="00F574A1">
                            <w:pPr>
                              <w:numPr>
                                <w:ilvl w:val="0"/>
                                <w:numId w:val="22"/>
                              </w:numPr>
                              <w:spacing w:line="240" w:lineRule="auto"/>
                              <w:contextualSpacing/>
                            </w:pPr>
                            <w:r w:rsidRPr="00E376D1">
                              <w:t>Keep it in perspective ‐ there may be an innocent explanation.</w:t>
                            </w:r>
                          </w:p>
                          <w:p w14:paraId="001AB635" w14:textId="77777777" w:rsidR="00D85ECD" w:rsidRPr="00E376D1" w:rsidRDefault="00D85ECD" w:rsidP="00F574A1">
                            <w:pPr>
                              <w:numPr>
                                <w:ilvl w:val="0"/>
                                <w:numId w:val="22"/>
                              </w:numPr>
                              <w:spacing w:line="240" w:lineRule="auto"/>
                              <w:contextualSpacing/>
                            </w:pPr>
                            <w:r w:rsidRPr="00E376D1">
                              <w:t>Stay calm</w:t>
                            </w:r>
                            <w:r>
                              <w:t xml:space="preserve"> ‐ you are doing the right thing in raising genuinely held concerns about suspected illegal or illegitimate practices.</w:t>
                            </w:r>
                          </w:p>
                          <w:p w14:paraId="1BCCBBD7" w14:textId="77777777" w:rsidR="00D85ECD" w:rsidRDefault="00D85ECD" w:rsidP="00E376D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A5C9E" id="_x0000_s1030" type="#_x0000_t202" style="position:absolute;margin-left:-3pt;margin-top:55.05pt;width:475.5pt;height:10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" fillcolor="#d9e2f3 [664]">
                <v:textbox>
                  <w:txbxContent>
                    <w:p w14:paraId="74457949" w14:textId="77777777" w:rsidR="00D85ECD" w:rsidRPr="00E376D1" w:rsidRDefault="00D85ECD" w:rsidP="00F574A1">
                      <w:pPr>
                        <w:spacing w:line="240" w:lineRule="auto"/>
                      </w:pPr>
                      <w:r w:rsidRPr="00E376D1">
                        <w:t>Here are some tips for raising a concern:</w:t>
                      </w:r>
                    </w:p>
                    <w:p w14:paraId="284AC8CD" w14:textId="77777777" w:rsidR="00D85ECD" w:rsidRPr="00E376D1" w:rsidRDefault="00D85ECD" w:rsidP="00F574A1">
                      <w:pPr>
                        <w:numPr>
                          <w:ilvl w:val="0"/>
                          <w:numId w:val="22"/>
                        </w:numPr>
                        <w:spacing w:line="240" w:lineRule="auto"/>
                        <w:contextualSpacing/>
                      </w:pPr>
                      <w:r w:rsidRPr="00E376D1">
                        <w:t>Raise it when it's a concern – you won’t be asked to prove it, but your concern must be reasonably based.</w:t>
                      </w:r>
                    </w:p>
                    <w:p w14:paraId="58062DDF" w14:textId="77777777" w:rsidR="00D85ECD" w:rsidRPr="00E376D1" w:rsidRDefault="00D85ECD" w:rsidP="00F574A1">
                      <w:pPr>
                        <w:numPr>
                          <w:ilvl w:val="0"/>
                          <w:numId w:val="22"/>
                        </w:numPr>
                        <w:spacing w:line="240" w:lineRule="auto"/>
                        <w:contextualSpacing/>
                      </w:pPr>
                      <w:r w:rsidRPr="00E376D1">
                        <w:t>Keep it in perspective ‐ there may be an innocent explanation.</w:t>
                      </w:r>
                    </w:p>
                    <w:p w14:paraId="001AB635" w14:textId="77777777" w:rsidR="00D85ECD" w:rsidRPr="00E376D1" w:rsidRDefault="00D85ECD" w:rsidP="00F574A1">
                      <w:pPr>
                        <w:numPr>
                          <w:ilvl w:val="0"/>
                          <w:numId w:val="22"/>
                        </w:numPr>
                        <w:spacing w:line="240" w:lineRule="auto"/>
                        <w:contextualSpacing/>
                      </w:pPr>
                      <w:r w:rsidRPr="00E376D1">
                        <w:t>Stay calm</w:t>
                      </w:r>
                      <w:r>
                        <w:t xml:space="preserve"> ‐ you are doing the right thing in raising genuinely held concerns about suspected illegal or illegitimate practices.</w:t>
                      </w:r>
                    </w:p>
                    <w:p w14:paraId="1BCCBBD7" w14:textId="77777777" w:rsidR="00D85ECD" w:rsidRDefault="00D85ECD" w:rsidP="00E376D1">
                      <w:pPr>
                        <w:spacing w:after="0"/>
                      </w:pPr>
                    </w:p>
                  </w:txbxContent>
                </v:textbox>
                <w10:wrap type="topAndBottom"/>
              </v:shape>
            </w:pict>
          </mc:Fallback>
        </mc:AlternateContent>
      </w:r>
      <w:r w:rsidR="004E7B8B" w:rsidRPr="004E7B8B">
        <w:t>Anyone suspecting a misuse of public resources or with information that indicates questionable activity relating to the work of an entity is encouraged to make a disclosure. This includes ACTPS employees, contractors and others who work with entities, and members of the public.</w:t>
      </w:r>
    </w:p>
    <w:p w14:paraId="3DD9D416" w14:textId="77777777" w:rsidR="00FF1294" w:rsidRDefault="00FF1294" w:rsidP="0060581C">
      <w:pPr>
        <w:spacing w:after="0" w:line="240" w:lineRule="auto"/>
        <w:rPr>
          <w:bCs/>
          <w:iCs/>
        </w:rPr>
      </w:pPr>
    </w:p>
    <w:p w14:paraId="68AA276E" w14:textId="69A11AFB" w:rsidR="004E7B8B" w:rsidRDefault="004E7B8B" w:rsidP="0060581C">
      <w:pPr>
        <w:spacing w:after="0" w:line="240" w:lineRule="auto"/>
        <w:rPr>
          <w:bCs/>
          <w:iCs/>
        </w:rPr>
      </w:pPr>
      <w:r w:rsidRPr="00851F46">
        <w:rPr>
          <w:bCs/>
          <w:iCs/>
        </w:rPr>
        <w:t xml:space="preserve">If you are unsure about how you can make a </w:t>
      </w:r>
      <w:r w:rsidR="009D4C17" w:rsidRPr="00851F46">
        <w:rPr>
          <w:bCs/>
          <w:iCs/>
        </w:rPr>
        <w:t>disclosure or</w:t>
      </w:r>
      <w:r w:rsidRPr="00851F46">
        <w:rPr>
          <w:bCs/>
          <w:iCs/>
        </w:rPr>
        <w:t xml:space="preserve"> have a question about procedural matters relating to PIDs, you can </w:t>
      </w:r>
      <w:r w:rsidR="00437146" w:rsidRPr="00851F46">
        <w:rPr>
          <w:bCs/>
          <w:iCs/>
        </w:rPr>
        <w:t xml:space="preserve">may approach the disclosure officer within the entity for which the matter relates, or, for sensitive matters, </w:t>
      </w:r>
      <w:r w:rsidRPr="00851F46">
        <w:rPr>
          <w:bCs/>
          <w:iCs/>
        </w:rPr>
        <w:t>approach the</w:t>
      </w:r>
      <w:r w:rsidR="004A1692">
        <w:rPr>
          <w:bCs/>
          <w:iCs/>
        </w:rPr>
        <w:t xml:space="preserve"> office of the</w:t>
      </w:r>
      <w:r w:rsidRPr="00851F46">
        <w:rPr>
          <w:bCs/>
          <w:iCs/>
        </w:rPr>
        <w:t xml:space="preserve"> </w:t>
      </w:r>
      <w:r w:rsidR="00437146" w:rsidRPr="00851F46">
        <w:rPr>
          <w:bCs/>
          <w:iCs/>
        </w:rPr>
        <w:t xml:space="preserve">Public Sector Standards </w:t>
      </w:r>
      <w:r w:rsidRPr="00851F46">
        <w:rPr>
          <w:bCs/>
          <w:iCs/>
        </w:rPr>
        <w:t>Commissioner for confidential advice.</w:t>
      </w:r>
    </w:p>
    <w:p w14:paraId="62B7A630" w14:textId="77777777" w:rsidR="00B548F8" w:rsidRPr="00B548F8" w:rsidRDefault="00B548F8" w:rsidP="0060581C">
      <w:pPr>
        <w:spacing w:after="0" w:line="240" w:lineRule="auto"/>
        <w:rPr>
          <w:bCs/>
          <w:iCs/>
        </w:rPr>
      </w:pPr>
    </w:p>
    <w:p w14:paraId="3A6F699D" w14:textId="591ED8B7" w:rsidR="004E7B8B" w:rsidRDefault="003B2C73" w:rsidP="0060581C">
      <w:pPr>
        <w:spacing w:after="0" w:line="240" w:lineRule="auto"/>
        <w:rPr>
          <w:b/>
          <w:bCs/>
          <w:iCs/>
          <w:u w:val="single"/>
        </w:rPr>
      </w:pPr>
      <w:bookmarkStart w:id="11" w:name="_bookmark10"/>
      <w:bookmarkEnd w:id="11"/>
      <w:r>
        <w:rPr>
          <w:b/>
          <w:bCs/>
          <w:iCs/>
        </w:rPr>
        <w:t xml:space="preserve">2.2 </w:t>
      </w:r>
      <w:r w:rsidR="004E7B8B" w:rsidRPr="00851F46">
        <w:rPr>
          <w:b/>
          <w:bCs/>
          <w:iCs/>
          <w:u w:val="single"/>
        </w:rPr>
        <w:t>How should a disclosure be made?</w:t>
      </w:r>
    </w:p>
    <w:p w14:paraId="5F336E45" w14:textId="77777777" w:rsidR="0077564A" w:rsidRPr="00851F46" w:rsidRDefault="0077564A" w:rsidP="0060581C">
      <w:pPr>
        <w:spacing w:after="0" w:line="240" w:lineRule="auto"/>
        <w:rPr>
          <w:b/>
          <w:bCs/>
          <w:iCs/>
          <w:u w:val="single"/>
        </w:rPr>
      </w:pPr>
    </w:p>
    <w:p w14:paraId="531A3CC9" w14:textId="77777777" w:rsidR="004E7B8B" w:rsidRPr="004E7B8B" w:rsidRDefault="004E7B8B" w:rsidP="0060581C">
      <w:pPr>
        <w:spacing w:line="240" w:lineRule="auto"/>
      </w:pPr>
      <w:r w:rsidRPr="004E7B8B">
        <w:t>A disclosure may be made orally or in writing. There is no prescribed form.</w:t>
      </w:r>
    </w:p>
    <w:p w14:paraId="309ABE31" w14:textId="77777777" w:rsidR="004E7B8B" w:rsidRDefault="004E7B8B" w:rsidP="0060581C">
      <w:pPr>
        <w:spacing w:line="240" w:lineRule="auto"/>
      </w:pPr>
      <w:r w:rsidRPr="004E7B8B">
        <w:t>Before making a disclosure, you should think about the problem and what you think should be done to fix it. You should try to communicate these things when making your disclosure and provide as much detail as will be needed to resolve the issue, but no more. This might include the main facts, dates and times, and steps already taken to resolve the problem.</w:t>
      </w:r>
    </w:p>
    <w:p w14:paraId="3B7F291B" w14:textId="77777777" w:rsidR="00B160E4" w:rsidRPr="004E7B8B" w:rsidRDefault="00B160E4" w:rsidP="0060581C">
      <w:pPr>
        <w:spacing w:line="240" w:lineRule="auto"/>
      </w:pPr>
      <w:r>
        <w:t>W</w:t>
      </w:r>
      <w:r w:rsidRPr="00B160E4">
        <w:t>hile you will not be required to satisfy a legal level of proof, a discloser must have good reasons or evidence for their suspicions.</w:t>
      </w:r>
    </w:p>
    <w:p w14:paraId="1858B958" w14:textId="53EC81B5" w:rsidR="00825F6F" w:rsidRDefault="00B160E4" w:rsidP="0060581C">
      <w:pPr>
        <w:spacing w:line="240" w:lineRule="auto"/>
        <w:rPr>
          <w:bCs/>
          <w:iCs/>
        </w:rPr>
      </w:pPr>
      <w:r w:rsidRPr="00825F6F">
        <w:rPr>
          <w:bCs/>
          <w:iCs/>
          <w:noProof/>
          <w:lang w:eastAsia="en-AU"/>
        </w:rPr>
        <mc:AlternateContent>
          <mc:Choice Requires="wps">
            <w:drawing>
              <wp:anchor distT="45720" distB="45720" distL="114300" distR="114300" simplePos="0" relativeHeight="251707392" behindDoc="0" locked="0" layoutInCell="1" allowOverlap="1" wp14:anchorId="14412A36" wp14:editId="1962ED85">
                <wp:simplePos x="0" y="0"/>
                <wp:positionH relativeFrom="column">
                  <wp:posOffset>28575</wp:posOffset>
                </wp:positionH>
                <wp:positionV relativeFrom="paragraph">
                  <wp:posOffset>624840</wp:posOffset>
                </wp:positionV>
                <wp:extent cx="6134100" cy="2190750"/>
                <wp:effectExtent l="0" t="0" r="1905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190750"/>
                        </a:xfrm>
                        <a:prstGeom prst="rect">
                          <a:avLst/>
                        </a:prstGeom>
                        <a:solidFill>
                          <a:schemeClr val="accent5">
                            <a:lumMod val="20000"/>
                            <a:lumOff val="80000"/>
                          </a:schemeClr>
                        </a:solidFill>
                        <a:ln w="9525">
                          <a:solidFill>
                            <a:srgbClr val="000000"/>
                          </a:solidFill>
                          <a:miter lim="800000"/>
                          <a:headEnd/>
                          <a:tailEnd/>
                        </a:ln>
                      </wps:spPr>
                      <wps:txbx>
                        <w:txbxContent>
                          <w:p w14:paraId="24948125" w14:textId="77777777" w:rsidR="00D85ECD" w:rsidRPr="00B160E4" w:rsidRDefault="00D85ECD" w:rsidP="00F574A1">
                            <w:pPr>
                              <w:spacing w:line="240" w:lineRule="auto"/>
                            </w:pPr>
                            <w:r w:rsidRPr="00B160E4">
                              <w:t>There are a number of people you can approach in order to make a disclosure.</w:t>
                            </w:r>
                          </w:p>
                          <w:p w14:paraId="702B35C4" w14:textId="77777777" w:rsidR="00D85ECD" w:rsidRPr="00B160E4" w:rsidRDefault="00D85ECD" w:rsidP="00F574A1">
                            <w:pPr>
                              <w:spacing w:line="240" w:lineRule="auto"/>
                            </w:pPr>
                            <w:r w:rsidRPr="00B160E4">
                              <w:t>Every entity has at least one disclosure officer who has been given special responsibility and training in dealing with disclosures and PIDs.</w:t>
                            </w:r>
                          </w:p>
                          <w:p w14:paraId="44BA8B6D" w14:textId="77777777" w:rsidR="00D85ECD" w:rsidRPr="00B160E4" w:rsidRDefault="00D85ECD">
                            <w:pPr>
                              <w:pStyle w:val="ListParagraph"/>
                              <w:numPr>
                                <w:ilvl w:val="0"/>
                                <w:numId w:val="14"/>
                              </w:numPr>
                              <w:rPr>
                                <w:sz w:val="22"/>
                                <w:szCs w:val="22"/>
                              </w:rPr>
                            </w:pPr>
                            <w:r w:rsidRPr="00B160E4">
                              <w:rPr>
                                <w:sz w:val="22"/>
                                <w:szCs w:val="22"/>
                              </w:rPr>
                              <w:t>In relation to the ACTPS, a disclosure can be made to a Director-General or the Head of Service.</w:t>
                            </w:r>
                          </w:p>
                          <w:p w14:paraId="4383ABBD" w14:textId="77777777" w:rsidR="00D85ECD" w:rsidRPr="00B160E4" w:rsidRDefault="00D85ECD">
                            <w:pPr>
                              <w:pStyle w:val="ListParagraph"/>
                              <w:numPr>
                                <w:ilvl w:val="0"/>
                                <w:numId w:val="14"/>
                              </w:numPr>
                              <w:rPr>
                                <w:sz w:val="22"/>
                                <w:szCs w:val="22"/>
                              </w:rPr>
                            </w:pPr>
                            <w:r w:rsidRPr="00B160E4">
                              <w:rPr>
                                <w:sz w:val="22"/>
                                <w:szCs w:val="22"/>
                              </w:rPr>
                              <w:t>If there is a governing board, a disclosure can be made to a board member.</w:t>
                            </w:r>
                          </w:p>
                          <w:p w14:paraId="2D605504" w14:textId="77777777" w:rsidR="00D85ECD" w:rsidRPr="00B160E4" w:rsidRDefault="00D85ECD">
                            <w:pPr>
                              <w:pStyle w:val="ListParagraph"/>
                              <w:numPr>
                                <w:ilvl w:val="0"/>
                                <w:numId w:val="14"/>
                              </w:numPr>
                              <w:rPr>
                                <w:sz w:val="22"/>
                                <w:szCs w:val="22"/>
                              </w:rPr>
                            </w:pPr>
                            <w:r w:rsidRPr="00B160E4">
                              <w:rPr>
                                <w:sz w:val="22"/>
                                <w:szCs w:val="22"/>
                              </w:rPr>
                              <w:t>For matters that relate to the ACT Legislative Assembly, a disclosure can be made to the Clerk of the Legislative Assembly.</w:t>
                            </w:r>
                          </w:p>
                          <w:p w14:paraId="63AA4EBF" w14:textId="77777777" w:rsidR="00D85ECD" w:rsidRPr="00B160E4" w:rsidRDefault="00D85ECD">
                            <w:pPr>
                              <w:pStyle w:val="ListParagraph"/>
                              <w:numPr>
                                <w:ilvl w:val="0"/>
                                <w:numId w:val="14"/>
                              </w:numPr>
                              <w:rPr>
                                <w:sz w:val="22"/>
                                <w:szCs w:val="22"/>
                              </w:rPr>
                            </w:pPr>
                            <w:r w:rsidRPr="00B160E4">
                              <w:rPr>
                                <w:sz w:val="22"/>
                                <w:szCs w:val="22"/>
                              </w:rPr>
                              <w:t>Disclosures can also be made to a Minister, the Public Sector Standards Commissioner, the ACT Auditor-General, or the ACT Ombudsman.</w:t>
                            </w:r>
                          </w:p>
                          <w:p w14:paraId="179BDC7E" w14:textId="77777777" w:rsidR="00D85ECD" w:rsidRPr="00B160E4" w:rsidRDefault="00D85ECD">
                            <w:pPr>
                              <w:pStyle w:val="ListParagraph"/>
                              <w:numPr>
                                <w:ilvl w:val="0"/>
                                <w:numId w:val="14"/>
                              </w:numPr>
                              <w:rPr>
                                <w:sz w:val="22"/>
                                <w:szCs w:val="22"/>
                              </w:rPr>
                            </w:pPr>
                            <w:r w:rsidRPr="00B160E4">
                              <w:rPr>
                                <w:sz w:val="22"/>
                                <w:szCs w:val="22"/>
                              </w:rPr>
                              <w:t>For employees of the ACTPS, a disclosure can be made to your supervisor or manager.</w:t>
                            </w:r>
                          </w:p>
                          <w:p w14:paraId="51667EDA" w14:textId="77777777" w:rsidR="00D85ECD" w:rsidRPr="00B160E4" w:rsidRDefault="00D85ECD" w:rsidP="00F574A1">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12A36" id="_x0000_s1031" type="#_x0000_t202" style="position:absolute;margin-left:2.25pt;margin-top:49.2pt;width:483pt;height:17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" fillcolor="#d9e2f3 [664]">
                <v:textbox>
                  <w:txbxContent>
                    <w:p w14:paraId="24948125" w14:textId="77777777" w:rsidR="00D85ECD" w:rsidRPr="00B160E4" w:rsidRDefault="00D85ECD" w:rsidP="00F574A1">
                      <w:pPr>
                        <w:spacing w:line="240" w:lineRule="auto"/>
                      </w:pPr>
                      <w:r w:rsidRPr="00B160E4">
                        <w:t>There are a number of people you can approach in order to make a disclosure.</w:t>
                      </w:r>
                    </w:p>
                    <w:p w14:paraId="702B35C4" w14:textId="77777777" w:rsidR="00D85ECD" w:rsidRPr="00B160E4" w:rsidRDefault="00D85ECD" w:rsidP="00F574A1">
                      <w:pPr>
                        <w:spacing w:line="240" w:lineRule="auto"/>
                      </w:pPr>
                      <w:r w:rsidRPr="00B160E4">
                        <w:t>Every entity has at least one disclosure officer who has been given special responsibility and training in dealing with disclosures and PIDs.</w:t>
                      </w:r>
                    </w:p>
                    <w:p w14:paraId="44BA8B6D" w14:textId="77777777" w:rsidR="00D85ECD" w:rsidRPr="00B160E4" w:rsidRDefault="00D85ECD">
                      <w:pPr>
                        <w:pStyle w:val="ListParagraph"/>
                        <w:numPr>
                          <w:ilvl w:val="0"/>
                          <w:numId w:val="14"/>
                        </w:numPr>
                        <w:rPr>
                          <w:sz w:val="22"/>
                          <w:szCs w:val="22"/>
                        </w:rPr>
                      </w:pPr>
                      <w:r w:rsidRPr="00B160E4">
                        <w:rPr>
                          <w:sz w:val="22"/>
                          <w:szCs w:val="22"/>
                        </w:rPr>
                        <w:t>In relation to the ACTPS, a disclosure can be made to a Director-General or the Head of Service.</w:t>
                      </w:r>
                    </w:p>
                    <w:p w14:paraId="4383ABBD" w14:textId="77777777" w:rsidR="00D85ECD" w:rsidRPr="00B160E4" w:rsidRDefault="00D85ECD">
                      <w:pPr>
                        <w:pStyle w:val="ListParagraph"/>
                        <w:numPr>
                          <w:ilvl w:val="0"/>
                          <w:numId w:val="14"/>
                        </w:numPr>
                        <w:rPr>
                          <w:sz w:val="22"/>
                          <w:szCs w:val="22"/>
                        </w:rPr>
                      </w:pPr>
                      <w:r w:rsidRPr="00B160E4">
                        <w:rPr>
                          <w:sz w:val="22"/>
                          <w:szCs w:val="22"/>
                        </w:rPr>
                        <w:t>If there is a governing board, a disclosure can be made to a board member.</w:t>
                      </w:r>
                    </w:p>
                    <w:p w14:paraId="2D605504" w14:textId="77777777" w:rsidR="00D85ECD" w:rsidRPr="00B160E4" w:rsidRDefault="00D85ECD">
                      <w:pPr>
                        <w:pStyle w:val="ListParagraph"/>
                        <w:numPr>
                          <w:ilvl w:val="0"/>
                          <w:numId w:val="14"/>
                        </w:numPr>
                        <w:rPr>
                          <w:sz w:val="22"/>
                          <w:szCs w:val="22"/>
                        </w:rPr>
                      </w:pPr>
                      <w:r w:rsidRPr="00B160E4">
                        <w:rPr>
                          <w:sz w:val="22"/>
                          <w:szCs w:val="22"/>
                        </w:rPr>
                        <w:t>For matters that relate to the ACT Legislative Assembly, a disclosure can be made to the Clerk of the Legislative Assembly.</w:t>
                      </w:r>
                    </w:p>
                    <w:p w14:paraId="63AA4EBF" w14:textId="77777777" w:rsidR="00D85ECD" w:rsidRPr="00B160E4" w:rsidRDefault="00D85ECD">
                      <w:pPr>
                        <w:pStyle w:val="ListParagraph"/>
                        <w:numPr>
                          <w:ilvl w:val="0"/>
                          <w:numId w:val="14"/>
                        </w:numPr>
                        <w:rPr>
                          <w:sz w:val="22"/>
                          <w:szCs w:val="22"/>
                        </w:rPr>
                      </w:pPr>
                      <w:r w:rsidRPr="00B160E4">
                        <w:rPr>
                          <w:sz w:val="22"/>
                          <w:szCs w:val="22"/>
                        </w:rPr>
                        <w:t>Disclosures can also be made to a Minister, the Public Sector Standards Commissioner, the ACT Auditor-General, or the ACT Ombudsman.</w:t>
                      </w:r>
                    </w:p>
                    <w:p w14:paraId="179BDC7E" w14:textId="77777777" w:rsidR="00D85ECD" w:rsidRPr="00B160E4" w:rsidRDefault="00D85ECD">
                      <w:pPr>
                        <w:pStyle w:val="ListParagraph"/>
                        <w:numPr>
                          <w:ilvl w:val="0"/>
                          <w:numId w:val="14"/>
                        </w:numPr>
                        <w:rPr>
                          <w:sz w:val="22"/>
                          <w:szCs w:val="22"/>
                        </w:rPr>
                      </w:pPr>
                      <w:r w:rsidRPr="00B160E4">
                        <w:rPr>
                          <w:sz w:val="22"/>
                          <w:szCs w:val="22"/>
                        </w:rPr>
                        <w:t>For employees of the ACTPS, a disclosure can be made to your supervisor or manager.</w:t>
                      </w:r>
                    </w:p>
                    <w:p w14:paraId="51667EDA" w14:textId="77777777" w:rsidR="00D85ECD" w:rsidRPr="00B160E4" w:rsidRDefault="00D85ECD" w:rsidP="00F574A1">
                      <w:pPr>
                        <w:spacing w:line="240" w:lineRule="auto"/>
                      </w:pPr>
                    </w:p>
                  </w:txbxContent>
                </v:textbox>
                <w10:wrap type="topAndBottom"/>
              </v:shape>
            </w:pict>
          </mc:Fallback>
        </mc:AlternateContent>
      </w:r>
      <w:r w:rsidR="004E7B8B" w:rsidRPr="004E7B8B">
        <w:t>If you make your disclosure in person or over the phone, the receiver will make a written record of the conversation. For this reason,</w:t>
      </w:r>
      <w:r w:rsidR="00E21BA1">
        <w:t xml:space="preserve"> to avoid any ambiguity </w:t>
      </w:r>
      <w:r w:rsidR="004E7B8B" w:rsidRPr="004E7B8B">
        <w:t>it is best to document the details of your concern in a letter or email.</w:t>
      </w:r>
    </w:p>
    <w:p w14:paraId="1ECB11DA" w14:textId="77777777" w:rsidR="00825F6F" w:rsidRDefault="00825F6F" w:rsidP="0060581C">
      <w:pPr>
        <w:spacing w:line="240" w:lineRule="auto"/>
        <w:rPr>
          <w:bCs/>
          <w:iCs/>
        </w:rPr>
      </w:pPr>
    </w:p>
    <w:p w14:paraId="717F3159" w14:textId="77777777" w:rsidR="00226158" w:rsidRDefault="00B160E4" w:rsidP="00226158">
      <w:pPr>
        <w:spacing w:line="240" w:lineRule="auto"/>
        <w:rPr>
          <w:bCs/>
          <w:iCs/>
        </w:rPr>
      </w:pPr>
      <w:r>
        <w:rPr>
          <w:bCs/>
          <w:iCs/>
        </w:rPr>
        <w:t>I</w:t>
      </w:r>
      <w:r w:rsidR="004E7B8B" w:rsidRPr="0077564A">
        <w:rPr>
          <w:bCs/>
          <w:iCs/>
        </w:rPr>
        <w:t>f you feel that the matter is so serious that you cannot discuss it internally, you should inform the</w:t>
      </w:r>
      <w:r w:rsidR="00E4064E">
        <w:rPr>
          <w:bCs/>
          <w:iCs/>
        </w:rPr>
        <w:t xml:space="preserve"> Public Sector Standards</w:t>
      </w:r>
      <w:r w:rsidR="004E7B8B" w:rsidRPr="0077564A">
        <w:rPr>
          <w:bCs/>
          <w:iCs/>
        </w:rPr>
        <w:t xml:space="preserve"> Commissioner, ACT Auditor‐General or the ACT Ombudsman.</w:t>
      </w:r>
      <w:bookmarkStart w:id="12" w:name="_bookmark11"/>
      <w:bookmarkEnd w:id="12"/>
    </w:p>
    <w:p w14:paraId="03308202" w14:textId="0F6CBA20" w:rsidR="004E7B8B" w:rsidRPr="00226158" w:rsidRDefault="003B2C73" w:rsidP="00226158">
      <w:pPr>
        <w:spacing w:line="240" w:lineRule="auto"/>
        <w:rPr>
          <w:bCs/>
          <w:iCs/>
        </w:rPr>
      </w:pPr>
      <w:r>
        <w:rPr>
          <w:b/>
          <w:bCs/>
          <w:iCs/>
        </w:rPr>
        <w:lastRenderedPageBreak/>
        <w:t xml:space="preserve">2.3 </w:t>
      </w:r>
      <w:r w:rsidR="004E7B8B" w:rsidRPr="00851F46">
        <w:rPr>
          <w:b/>
          <w:bCs/>
          <w:iCs/>
          <w:u w:val="single"/>
        </w:rPr>
        <w:t>Making a disclosure inadvertently</w:t>
      </w:r>
    </w:p>
    <w:p w14:paraId="2AF1F92C" w14:textId="77777777" w:rsidR="004E7B8B" w:rsidRPr="004E7B8B" w:rsidRDefault="004E7B8B" w:rsidP="0060581C">
      <w:pPr>
        <w:spacing w:line="240" w:lineRule="auto"/>
      </w:pPr>
      <w:r w:rsidRPr="004E7B8B">
        <w:t>A disclosure may be made without the discloser asserting that the disclosure is made under the Act.</w:t>
      </w:r>
    </w:p>
    <w:p w14:paraId="1FF0CFBF" w14:textId="250F0818" w:rsidR="004E7B8B" w:rsidRPr="004E7B8B" w:rsidRDefault="004E7B8B" w:rsidP="0060581C">
      <w:pPr>
        <w:spacing w:line="240" w:lineRule="auto"/>
      </w:pPr>
      <w:r w:rsidRPr="004E7B8B">
        <w:t xml:space="preserve">Essentially this means that a disclosure could be made unintentionally, possibly during a casual conversation, or without the person claiming that the information is provided as a disclosure. For example, while chatting in the kitchen, a colleague might </w:t>
      </w:r>
      <w:r w:rsidR="003007FE">
        <w:t xml:space="preserve">mention that an invoice was paid </w:t>
      </w:r>
      <w:r w:rsidRPr="004E7B8B">
        <w:t xml:space="preserve">for </w:t>
      </w:r>
      <w:r w:rsidR="00AC41C2">
        <w:t>a range of services</w:t>
      </w:r>
      <w:r w:rsidRPr="004E7B8B">
        <w:t xml:space="preserve"> that w</w:t>
      </w:r>
      <w:r w:rsidR="00AC41C2">
        <w:t>ere</w:t>
      </w:r>
      <w:r w:rsidRPr="004E7B8B">
        <w:t xml:space="preserve"> never delivered. This should be addressed as a disclosure.</w:t>
      </w:r>
    </w:p>
    <w:p w14:paraId="745EA627" w14:textId="77777777" w:rsidR="004E7B8B" w:rsidRPr="004E7B8B" w:rsidRDefault="004E7B8B" w:rsidP="0060581C">
      <w:pPr>
        <w:spacing w:line="240" w:lineRule="auto"/>
      </w:pPr>
      <w:r w:rsidRPr="004E7B8B">
        <w:t>Similarly, you may find yourself in a situation where you inadvertently witness the disclosure of information which you suspect is wrongdoing. For example, you may overhear a conversation in the lift that a manager has selected their own family member through a recruitment process without declaring a conflict of interest. This should also be addressed as a disclosure.</w:t>
      </w:r>
    </w:p>
    <w:p w14:paraId="6E192937" w14:textId="77777777" w:rsidR="004E7B8B" w:rsidRPr="004E7B8B" w:rsidRDefault="004E7B8B" w:rsidP="0060581C">
      <w:pPr>
        <w:spacing w:line="240" w:lineRule="auto"/>
      </w:pPr>
      <w:r w:rsidRPr="004E7B8B">
        <w:t>Although you may not be directly involved in the discussion or actions, you may have nonetheless witnessed wrongdoing. It is strongly encouraged that you report these matters to a supervisor or disclosure officer.</w:t>
      </w:r>
    </w:p>
    <w:p w14:paraId="564F1758" w14:textId="77777777" w:rsidR="004E7B8B" w:rsidRPr="004E7B8B" w:rsidRDefault="00FF1294" w:rsidP="0060581C">
      <w:pPr>
        <w:spacing w:line="240" w:lineRule="auto"/>
      </w:pPr>
      <w:r w:rsidRPr="004E7B8B">
        <w:rPr>
          <w:noProof/>
          <w:lang w:eastAsia="en-AU"/>
        </w:rPr>
        <mc:AlternateContent>
          <mc:Choice Requires="wps">
            <w:drawing>
              <wp:anchor distT="0" distB="0" distL="0" distR="0" simplePos="0" relativeHeight="251709440" behindDoc="0" locked="0" layoutInCell="0" allowOverlap="1" wp14:anchorId="63E8C0FD" wp14:editId="724CF54D">
                <wp:simplePos x="0" y="0"/>
                <wp:positionH relativeFrom="page">
                  <wp:posOffset>704850</wp:posOffset>
                </wp:positionH>
                <wp:positionV relativeFrom="paragraph">
                  <wp:posOffset>560070</wp:posOffset>
                </wp:positionV>
                <wp:extent cx="6076950" cy="620395"/>
                <wp:effectExtent l="0" t="0" r="19050" b="27305"/>
                <wp:wrapTopAndBottom/>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20395"/>
                        </a:xfrm>
                        <a:prstGeom prst="rect">
                          <a:avLst/>
                        </a:prstGeom>
                        <a:solidFill>
                          <a:srgbClr val="4472C4">
                            <a:lumMod val="20000"/>
                            <a:lumOff val="80000"/>
                          </a:srgbClr>
                        </a:solidFill>
                        <a:ln w="6096">
                          <a:solidFill>
                            <a:srgbClr val="000000"/>
                          </a:solidFill>
                          <a:miter lim="800000"/>
                          <a:headEnd/>
                          <a:tailEnd/>
                        </a:ln>
                      </wps:spPr>
                      <wps:txbx>
                        <w:txbxContent>
                          <w:p w14:paraId="52AF0B9F" w14:textId="77777777" w:rsidR="00D85ECD" w:rsidRPr="001D2AE8" w:rsidRDefault="00D85ECD" w:rsidP="00F574A1">
                            <w:pPr>
                              <w:pStyle w:val="BodyText"/>
                              <w:kinsoku w:val="0"/>
                              <w:overflowPunct w:val="0"/>
                              <w:spacing w:before="19"/>
                              <w:ind w:left="149" w:right="149"/>
                              <w:rPr>
                                <w:bCs/>
                              </w:rPr>
                            </w:pPr>
                            <w:r w:rsidRPr="001D2AE8">
                              <w:rPr>
                                <w:bCs/>
                              </w:rPr>
                              <w:t xml:space="preserve">Because a disclosure can be made inadvertently, it emphasises the importance of all employees being aware of this type of disclosure and that managers and supervisors be aware of their possible role as a </w:t>
                            </w:r>
                            <w:r w:rsidRPr="001D2AE8">
                              <w:rPr>
                                <w:b/>
                                <w:bCs/>
                                <w:i/>
                                <w:iCs/>
                              </w:rPr>
                              <w:t>receiving officer</w:t>
                            </w:r>
                            <w:r w:rsidRPr="001D2AE8">
                              <w:rPr>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C0FD" id="Text Box 51" o:spid="_x0000_s1032" type="#_x0000_t202" style="position:absolute;margin-left:55.5pt;margin-top:44.1pt;width:478.5pt;height:48.8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" o:allowincell="f" fillcolor="#dae3f3" strokeweight=".48pt">
                <v:textbox inset="0,0,0,0">
                  <w:txbxContent>
                    <w:p w14:paraId="52AF0B9F" w14:textId="77777777" w:rsidR="00D85ECD" w:rsidRPr="001D2AE8" w:rsidRDefault="00D85ECD" w:rsidP="00F574A1">
                      <w:pPr>
                        <w:pStyle w:val="BodyText"/>
                        <w:kinsoku w:val="0"/>
                        <w:overflowPunct w:val="0"/>
                        <w:spacing w:before="19"/>
                        <w:ind w:left="149" w:right="149"/>
                        <w:rPr>
                          <w:bCs/>
                        </w:rPr>
                      </w:pPr>
                      <w:r w:rsidRPr="001D2AE8">
                        <w:rPr>
                          <w:bCs/>
                        </w:rPr>
                        <w:t xml:space="preserve">Because a disclosure can be made inadvertently, it emphasises the importance of all employees being aware of this type of disclosure and that managers and supervisors be aware of their possible role as a </w:t>
                      </w:r>
                      <w:r w:rsidRPr="001D2AE8">
                        <w:rPr>
                          <w:b/>
                          <w:bCs/>
                          <w:i/>
                          <w:iCs/>
                        </w:rPr>
                        <w:t>receiving officer</w:t>
                      </w:r>
                      <w:r w:rsidRPr="001D2AE8">
                        <w:rPr>
                          <w:bCs/>
                        </w:rPr>
                        <w:t>.</w:t>
                      </w:r>
                    </w:p>
                  </w:txbxContent>
                </v:textbox>
                <w10:wrap type="topAndBottom" anchorx="page"/>
              </v:shape>
            </w:pict>
          </mc:Fallback>
        </mc:AlternateContent>
      </w:r>
      <w:r w:rsidR="004E7B8B" w:rsidRPr="004E7B8B">
        <w:t>A disclosure assessed as not being a PID may still be investigated in accordance with the PSM Act or Enterprise Agreements as appropriate.</w:t>
      </w:r>
    </w:p>
    <w:p w14:paraId="333F6841" w14:textId="77777777" w:rsidR="004E7B8B" w:rsidRPr="004E7B8B" w:rsidRDefault="004E7B8B" w:rsidP="0060581C">
      <w:pPr>
        <w:spacing w:line="240" w:lineRule="auto"/>
      </w:pPr>
    </w:p>
    <w:p w14:paraId="228F64ED" w14:textId="592D28B4" w:rsidR="004E7B8B" w:rsidRPr="00851F46" w:rsidRDefault="003B2C73" w:rsidP="0060581C">
      <w:pPr>
        <w:spacing w:line="240" w:lineRule="auto"/>
        <w:rPr>
          <w:b/>
          <w:bCs/>
          <w:iCs/>
          <w:u w:val="single"/>
        </w:rPr>
      </w:pPr>
      <w:bookmarkStart w:id="13" w:name="_bookmark12"/>
      <w:bookmarkEnd w:id="13"/>
      <w:r>
        <w:rPr>
          <w:b/>
          <w:bCs/>
          <w:iCs/>
        </w:rPr>
        <w:t xml:space="preserve">2.4 </w:t>
      </w:r>
      <w:r w:rsidR="004E7B8B" w:rsidRPr="00851F46">
        <w:rPr>
          <w:b/>
          <w:bCs/>
          <w:iCs/>
          <w:u w:val="single"/>
        </w:rPr>
        <w:t>Making a disclosure anonymously or in-confidence</w:t>
      </w:r>
    </w:p>
    <w:p w14:paraId="721F8D5E" w14:textId="4CB63EC2" w:rsidR="004E7B8B" w:rsidRPr="004E7B8B" w:rsidRDefault="004E7B8B" w:rsidP="0060581C">
      <w:pPr>
        <w:spacing w:line="240" w:lineRule="auto"/>
      </w:pPr>
      <w:r w:rsidRPr="004E7B8B">
        <w:t xml:space="preserve">The chance of an outcome will be more likely where the identity of a discloser is known. However, a </w:t>
      </w:r>
      <w:r w:rsidR="003B3B84">
        <w:t>disclosure</w:t>
      </w:r>
      <w:r w:rsidRPr="004E7B8B">
        <w:t xml:space="preserve"> can be made </w:t>
      </w:r>
      <w:r w:rsidRPr="004E7B8B">
        <w:rPr>
          <w:b/>
          <w:bCs/>
          <w:i/>
          <w:iCs/>
        </w:rPr>
        <w:t>anonymously</w:t>
      </w:r>
      <w:r w:rsidRPr="004E7B8B">
        <w:t>, where the discloser does not identify themselves at all (for example an anonymous phone call or letter).</w:t>
      </w:r>
    </w:p>
    <w:p w14:paraId="3F7F54F9" w14:textId="77777777" w:rsidR="004E7B8B" w:rsidRPr="004E7B8B" w:rsidRDefault="004E7B8B" w:rsidP="0060581C">
      <w:pPr>
        <w:spacing w:line="240" w:lineRule="auto"/>
      </w:pPr>
      <w:r w:rsidRPr="004E7B8B">
        <w:t>Remember that if you make a disclosure anonymously, it will not be possible for the decision maker to seek clarification, so it is essential that as much information is provided as possible. In weighing the veracity of any anonymous complaint, decision makers will have regard to the extent to which the allegations made can be independently verified. If enough information is provided, anonymous reports may be inquired into, however it will not be possible to keep the discloser protected or informed about that status of their disclosure.</w:t>
      </w:r>
    </w:p>
    <w:p w14:paraId="12EB97D2" w14:textId="77777777" w:rsidR="004E7B8B" w:rsidRDefault="004E7B8B" w:rsidP="0060581C">
      <w:pPr>
        <w:spacing w:line="240" w:lineRule="auto"/>
      </w:pPr>
      <w:r w:rsidRPr="004E7B8B">
        <w:t xml:space="preserve">A disclosure can also be made </w:t>
      </w:r>
      <w:r w:rsidRPr="004E7B8B">
        <w:rPr>
          <w:b/>
          <w:bCs/>
          <w:i/>
          <w:iCs/>
        </w:rPr>
        <w:t>in‐confidence</w:t>
      </w:r>
      <w:r w:rsidRPr="004E7B8B">
        <w:t>, where the discloser asks that they not be revealed as the source of the disclosure. Where a disclosure is made in‐confidence, the discloser</w:t>
      </w:r>
      <w:r w:rsidR="003007FE">
        <w:t>’s identity should</w:t>
      </w:r>
      <w:r w:rsidRPr="004E7B8B">
        <w:t xml:space="preserve"> not be revealed without that person’s consent</w:t>
      </w:r>
      <w:r w:rsidR="003007FE">
        <w:t>,</w:t>
      </w:r>
      <w:r w:rsidRPr="004E7B8B">
        <w:t xml:space="preserve"> unless required by law.</w:t>
      </w:r>
    </w:p>
    <w:p w14:paraId="732C1214" w14:textId="77777777" w:rsidR="004E7B8B" w:rsidRPr="004E7B8B" w:rsidRDefault="0011583C" w:rsidP="0060581C">
      <w:pPr>
        <w:spacing w:line="240" w:lineRule="auto"/>
      </w:pPr>
      <w:r>
        <w:t>I</w:t>
      </w:r>
      <w:r w:rsidR="004E7B8B" w:rsidRPr="004E7B8B">
        <w:t>n some circumstances a discloser’s identity may be required</w:t>
      </w:r>
      <w:r>
        <w:t xml:space="preserve"> to be disclosed </w:t>
      </w:r>
      <w:r w:rsidR="004E7B8B" w:rsidRPr="004E7B8B">
        <w:t>by law, for example for a witness of an assault in a workplace. Under Section 21 of the Act, an entity must refer a disclosure to the chief police officer if satisfied on reasonable grounds that the subject of the disclosure involves, or could involve, an offence.</w:t>
      </w:r>
    </w:p>
    <w:p w14:paraId="7CBE6B58" w14:textId="77777777" w:rsidR="00FF7E63" w:rsidRDefault="004E7B8B" w:rsidP="0060581C">
      <w:pPr>
        <w:spacing w:line="240" w:lineRule="auto"/>
        <w:rPr>
          <w:noProof/>
          <w:lang w:eastAsia="en-AU"/>
        </w:rPr>
      </w:pPr>
      <w:r w:rsidRPr="004E7B8B">
        <w:t>Should an anonymous disclosure be received by an employee, the employee should pass the disclosure, including the date and time the disclosure was received, to a disclosure officer, after which time their role in the process ceases.</w:t>
      </w:r>
      <w:bookmarkStart w:id="14" w:name="_bookmark13"/>
      <w:bookmarkEnd w:id="14"/>
    </w:p>
    <w:p w14:paraId="30E4ABFE" w14:textId="171D65A4" w:rsidR="001D2AE8" w:rsidRDefault="001651E1" w:rsidP="0060581C">
      <w:pPr>
        <w:spacing w:line="240" w:lineRule="auto"/>
        <w:rPr>
          <w:b/>
          <w:bCs/>
          <w:iCs/>
          <w:u w:val="single"/>
        </w:rPr>
      </w:pPr>
      <w:r w:rsidRPr="004E7B8B">
        <w:rPr>
          <w:noProof/>
          <w:lang w:eastAsia="en-AU"/>
        </w:rPr>
        <w:lastRenderedPageBreak/>
        <mc:AlternateContent>
          <mc:Choice Requires="wps">
            <w:drawing>
              <wp:anchor distT="0" distB="0" distL="114300" distR="114300" simplePos="0" relativeHeight="251712512" behindDoc="0" locked="0" layoutInCell="1" allowOverlap="1" wp14:anchorId="0F6C9302" wp14:editId="37B2DD7B">
                <wp:simplePos x="0" y="0"/>
                <wp:positionH relativeFrom="column">
                  <wp:posOffset>-19050</wp:posOffset>
                </wp:positionH>
                <wp:positionV relativeFrom="paragraph">
                  <wp:posOffset>0</wp:posOffset>
                </wp:positionV>
                <wp:extent cx="6191250" cy="1447800"/>
                <wp:effectExtent l="0" t="0" r="19050" b="19050"/>
                <wp:wrapTopAndBottom/>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47800"/>
                        </a:xfrm>
                        <a:prstGeom prst="rect">
                          <a:avLst/>
                        </a:prstGeom>
                        <a:solidFill>
                          <a:schemeClr val="accent5">
                            <a:lumMod val="20000"/>
                            <a:lumOff val="80000"/>
                          </a:schemeClr>
                        </a:solidFill>
                        <a:ln w="6096">
                          <a:solidFill>
                            <a:schemeClr val="tx2"/>
                          </a:solidFill>
                          <a:miter lim="800000"/>
                          <a:headEnd/>
                          <a:tailEnd/>
                        </a:ln>
                      </wps:spPr>
                      <wps:txbx>
                        <w:txbxContent>
                          <w:p w14:paraId="46E9A824" w14:textId="77777777" w:rsidR="00D85ECD" w:rsidRPr="001D2AE8" w:rsidRDefault="00D85ECD" w:rsidP="00F574A1">
                            <w:pPr>
                              <w:pStyle w:val="BodyText"/>
                              <w:numPr>
                                <w:ilvl w:val="0"/>
                                <w:numId w:val="9"/>
                              </w:numPr>
                              <w:kinsoku w:val="0"/>
                              <w:overflowPunct w:val="0"/>
                              <w:spacing w:before="119"/>
                              <w:ind w:right="519"/>
                              <w:rPr>
                                <w:bCs/>
                              </w:rPr>
                            </w:pPr>
                            <w:r>
                              <w:rPr>
                                <w:bCs/>
                              </w:rPr>
                              <w:t>A</w:t>
                            </w:r>
                            <w:r w:rsidRPr="001D2AE8">
                              <w:rPr>
                                <w:bCs/>
                              </w:rPr>
                              <w:t>nonymity and confidentiality may have practical implications in consideration of a disclosure.</w:t>
                            </w:r>
                          </w:p>
                          <w:p w14:paraId="0CE44041" w14:textId="77777777" w:rsidR="00D85ECD" w:rsidRPr="001D2AE8" w:rsidRDefault="00D85ECD" w:rsidP="00F574A1">
                            <w:pPr>
                              <w:pStyle w:val="BodyText"/>
                              <w:numPr>
                                <w:ilvl w:val="0"/>
                                <w:numId w:val="9"/>
                              </w:numPr>
                              <w:kinsoku w:val="0"/>
                              <w:overflowPunct w:val="0"/>
                              <w:spacing w:before="120"/>
                              <w:ind w:right="389"/>
                              <w:rPr>
                                <w:bCs/>
                              </w:rPr>
                            </w:pPr>
                            <w:r w:rsidRPr="001D2AE8">
                              <w:rPr>
                                <w:bCs/>
                              </w:rPr>
                              <w:t xml:space="preserve">There may be times when a concern cannot be examined without revealing the discloser’s identity, for example where personal evidence is essential. In such cases, the matter </w:t>
                            </w:r>
                            <w:r>
                              <w:rPr>
                                <w:bCs/>
                              </w:rPr>
                              <w:t>should be</w:t>
                            </w:r>
                            <w:r w:rsidRPr="001D2AE8">
                              <w:rPr>
                                <w:bCs/>
                              </w:rPr>
                              <w:t xml:space="preserve"> discussed with the discloser.</w:t>
                            </w:r>
                          </w:p>
                          <w:p w14:paraId="2B81A28E" w14:textId="77777777" w:rsidR="00D85ECD" w:rsidRPr="00B548F8" w:rsidRDefault="00D85ECD" w:rsidP="00F574A1">
                            <w:pPr>
                              <w:pStyle w:val="BodyText"/>
                              <w:numPr>
                                <w:ilvl w:val="0"/>
                                <w:numId w:val="9"/>
                              </w:numPr>
                              <w:kinsoku w:val="0"/>
                              <w:overflowPunct w:val="0"/>
                              <w:spacing w:before="120"/>
                              <w:ind w:right="194"/>
                              <w:rPr>
                                <w:bCs/>
                              </w:rPr>
                            </w:pPr>
                            <w:r w:rsidRPr="001D2AE8">
                              <w:rPr>
                                <w:bCs/>
                              </w:rPr>
                              <w:t>Where a disclosure is made anonymously, it is generally more difficult for an entity to look into the matter</w:t>
                            </w:r>
                            <w:r>
                              <w:rPr>
                                <w:bCs/>
                              </w:rPr>
                              <w:t>. It is also not possible to pro</w:t>
                            </w:r>
                            <w:r w:rsidRPr="001D2AE8">
                              <w:rPr>
                                <w:bCs/>
                              </w:rPr>
                              <w:t xml:space="preserve">tect the discloser or keep them </w:t>
                            </w:r>
                            <w:r w:rsidRPr="00B548F8">
                              <w:rPr>
                                <w:bCs/>
                              </w:rPr>
                              <w:t>informed of the process.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C9302" id="Text Box 49" o:spid="_x0000_s1033" type="#_x0000_t202" style="position:absolute;margin-left:-1.5pt;margin-top:0;width:487.5pt;height:1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" fillcolor="#d9e2f3 [664]" strokecolor="#44546a [3215]" strokeweight=".48pt">
                <v:textbox inset="0,0,0,0">
                  <w:txbxContent>
                    <w:p w14:paraId="46E9A824" w14:textId="77777777" w:rsidR="00D85ECD" w:rsidRPr="001D2AE8" w:rsidRDefault="00D85ECD" w:rsidP="00F574A1">
                      <w:pPr>
                        <w:pStyle w:val="BodyText"/>
                        <w:numPr>
                          <w:ilvl w:val="0"/>
                          <w:numId w:val="9"/>
                        </w:numPr>
                        <w:kinsoku w:val="0"/>
                        <w:overflowPunct w:val="0"/>
                        <w:spacing w:before="119"/>
                        <w:ind w:right="519"/>
                        <w:rPr>
                          <w:bCs/>
                        </w:rPr>
                      </w:pPr>
                      <w:r>
                        <w:rPr>
                          <w:bCs/>
                        </w:rPr>
                        <w:t>A</w:t>
                      </w:r>
                      <w:r w:rsidRPr="001D2AE8">
                        <w:rPr>
                          <w:bCs/>
                        </w:rPr>
                        <w:t>nonymity and confidentiality may have practical implications in consideration of a disclosure.</w:t>
                      </w:r>
                    </w:p>
                    <w:p w14:paraId="0CE44041" w14:textId="77777777" w:rsidR="00D85ECD" w:rsidRPr="001D2AE8" w:rsidRDefault="00D85ECD" w:rsidP="00F574A1">
                      <w:pPr>
                        <w:pStyle w:val="BodyText"/>
                        <w:numPr>
                          <w:ilvl w:val="0"/>
                          <w:numId w:val="9"/>
                        </w:numPr>
                        <w:kinsoku w:val="0"/>
                        <w:overflowPunct w:val="0"/>
                        <w:spacing w:before="120"/>
                        <w:ind w:right="389"/>
                        <w:rPr>
                          <w:bCs/>
                        </w:rPr>
                      </w:pPr>
                      <w:r w:rsidRPr="001D2AE8">
                        <w:rPr>
                          <w:bCs/>
                        </w:rPr>
                        <w:t xml:space="preserve">There may be times when a concern cannot be examined without revealing the discloser’s identity, for example where personal evidence is essential. In such cases, the matter </w:t>
                      </w:r>
                      <w:r>
                        <w:rPr>
                          <w:bCs/>
                        </w:rPr>
                        <w:t>should be</w:t>
                      </w:r>
                      <w:r w:rsidRPr="001D2AE8">
                        <w:rPr>
                          <w:bCs/>
                        </w:rPr>
                        <w:t xml:space="preserve"> discussed with the discloser.</w:t>
                      </w:r>
                    </w:p>
                    <w:p w14:paraId="2B81A28E" w14:textId="77777777" w:rsidR="00D85ECD" w:rsidRPr="00B548F8" w:rsidRDefault="00D85ECD" w:rsidP="00F574A1">
                      <w:pPr>
                        <w:pStyle w:val="BodyText"/>
                        <w:numPr>
                          <w:ilvl w:val="0"/>
                          <w:numId w:val="9"/>
                        </w:numPr>
                        <w:kinsoku w:val="0"/>
                        <w:overflowPunct w:val="0"/>
                        <w:spacing w:before="120"/>
                        <w:ind w:right="194"/>
                        <w:rPr>
                          <w:bCs/>
                        </w:rPr>
                      </w:pPr>
                      <w:r w:rsidRPr="001D2AE8">
                        <w:rPr>
                          <w:bCs/>
                        </w:rPr>
                        <w:t>Where a disclosure is made anonymously, it is generally more difficult for an entity to look into the matter</w:t>
                      </w:r>
                      <w:r>
                        <w:rPr>
                          <w:bCs/>
                        </w:rPr>
                        <w:t>. It is also not possible to pro</w:t>
                      </w:r>
                      <w:r w:rsidRPr="001D2AE8">
                        <w:rPr>
                          <w:bCs/>
                        </w:rPr>
                        <w:t xml:space="preserve">tect the discloser or keep them </w:t>
                      </w:r>
                      <w:r w:rsidRPr="00B548F8">
                        <w:rPr>
                          <w:bCs/>
                        </w:rPr>
                        <w:t>informed of the process.</w:t>
                      </w:r>
                    </w:p>
                  </w:txbxContent>
                </v:textbox>
                <w10:wrap type="topAndBottom"/>
              </v:shape>
            </w:pict>
          </mc:Fallback>
        </mc:AlternateContent>
      </w:r>
    </w:p>
    <w:p w14:paraId="4FA70331" w14:textId="347F5B61" w:rsidR="004E7B8B" w:rsidRPr="00851F46" w:rsidRDefault="003B2C73" w:rsidP="0060581C">
      <w:pPr>
        <w:spacing w:line="240" w:lineRule="auto"/>
        <w:rPr>
          <w:b/>
          <w:bCs/>
          <w:iCs/>
          <w:u w:val="single"/>
        </w:rPr>
      </w:pPr>
      <w:r>
        <w:rPr>
          <w:b/>
          <w:bCs/>
          <w:iCs/>
        </w:rPr>
        <w:t xml:space="preserve">2.5 </w:t>
      </w:r>
      <w:r w:rsidR="004E7B8B" w:rsidRPr="00851F46">
        <w:rPr>
          <w:b/>
          <w:bCs/>
          <w:iCs/>
          <w:u w:val="single"/>
        </w:rPr>
        <w:t>Protection for people who make a disclosure</w:t>
      </w:r>
    </w:p>
    <w:p w14:paraId="5532596C" w14:textId="77777777" w:rsidR="004E7B8B" w:rsidRPr="004E7B8B" w:rsidRDefault="004E7B8B" w:rsidP="0060581C">
      <w:pPr>
        <w:spacing w:line="240" w:lineRule="auto"/>
      </w:pPr>
      <w:r w:rsidRPr="004E7B8B">
        <w:t xml:space="preserve">Under the Act, a person who acts honestly and reasonably in making a disclosure (the discloser) receives protection from reprisal that results from the disclosure (reprisal is called </w:t>
      </w:r>
      <w:r w:rsidRPr="004E7B8B">
        <w:rPr>
          <w:b/>
          <w:bCs/>
          <w:i/>
          <w:iCs/>
        </w:rPr>
        <w:t xml:space="preserve">detrimental action </w:t>
      </w:r>
      <w:r w:rsidRPr="004E7B8B">
        <w:t>in the Act).</w:t>
      </w:r>
    </w:p>
    <w:p w14:paraId="079D7049" w14:textId="46AF9473" w:rsidR="004E7B8B" w:rsidRPr="004E7B8B" w:rsidRDefault="004E7B8B" w:rsidP="0060581C">
      <w:pPr>
        <w:spacing w:line="240" w:lineRule="auto"/>
      </w:pPr>
      <w:r w:rsidRPr="004E7B8B">
        <w:t>Under the Act</w:t>
      </w:r>
      <w:r w:rsidR="006E7E45">
        <w:t>,</w:t>
      </w:r>
      <w:r w:rsidR="00470C3E">
        <w:t xml:space="preserve"> all ACT Public S</w:t>
      </w:r>
      <w:r w:rsidRPr="004E7B8B">
        <w:t>ector employees (employees) are required to report any fraudulent, corrupt or maladministration that comes to their attention. An employee, a contractor, employee of a contractor, volunteer exercising a function of the entity, or a person prescribed by regulation who makes a disclosure is not liable under the Act to administrative action, including disciplinary action or dismissal because of the making of a disclosure.</w:t>
      </w:r>
    </w:p>
    <w:p w14:paraId="3DE95126" w14:textId="77777777" w:rsidR="004E7B8B" w:rsidRPr="004E7B8B" w:rsidRDefault="004E7B8B" w:rsidP="0060581C">
      <w:pPr>
        <w:spacing w:line="240" w:lineRule="auto"/>
      </w:pPr>
      <w:r w:rsidRPr="004E7B8B">
        <w:t>If a person makes a disclosure, they will not incur civil or criminal liability only because of the making of the disclosure. A disclosure is not:</w:t>
      </w:r>
    </w:p>
    <w:p w14:paraId="3ADAF439" w14:textId="77777777" w:rsidR="004E7B8B" w:rsidRPr="004E7B8B" w:rsidRDefault="004E7B8B" w:rsidP="00AA5B1C">
      <w:pPr>
        <w:numPr>
          <w:ilvl w:val="0"/>
          <w:numId w:val="3"/>
        </w:numPr>
        <w:spacing w:line="240" w:lineRule="auto"/>
      </w:pPr>
      <w:r w:rsidRPr="004E7B8B">
        <w:t>a breach of confidence; or</w:t>
      </w:r>
    </w:p>
    <w:p w14:paraId="7CD80B3D" w14:textId="77777777" w:rsidR="004E7B8B" w:rsidRPr="004E7B8B" w:rsidRDefault="004E7B8B" w:rsidP="00AA5B1C">
      <w:pPr>
        <w:numPr>
          <w:ilvl w:val="0"/>
          <w:numId w:val="3"/>
        </w:numPr>
        <w:spacing w:line="240" w:lineRule="auto"/>
      </w:pPr>
      <w:r w:rsidRPr="004E7B8B">
        <w:t>a breach of professional etiquette or ethics; or</w:t>
      </w:r>
    </w:p>
    <w:p w14:paraId="07342FE1" w14:textId="77777777" w:rsidR="004E7B8B" w:rsidRPr="004E7B8B" w:rsidRDefault="004E7B8B" w:rsidP="00AA5B1C">
      <w:pPr>
        <w:numPr>
          <w:ilvl w:val="0"/>
          <w:numId w:val="3"/>
        </w:numPr>
        <w:spacing w:line="240" w:lineRule="auto"/>
      </w:pPr>
      <w:r w:rsidRPr="004E7B8B">
        <w:t>a breach of a rule of professional conduct; or</w:t>
      </w:r>
    </w:p>
    <w:p w14:paraId="781D8302" w14:textId="77777777" w:rsidR="004E7B8B" w:rsidRPr="004E7B8B" w:rsidRDefault="004E7B8B" w:rsidP="00AA5B1C">
      <w:pPr>
        <w:numPr>
          <w:ilvl w:val="0"/>
          <w:numId w:val="3"/>
        </w:numPr>
        <w:spacing w:line="240" w:lineRule="auto"/>
      </w:pPr>
      <w:r w:rsidRPr="004E7B8B">
        <w:t>if the disclosure is made in relation to a member of the Legislative Assembly – a contempt of the Assembly.</w:t>
      </w:r>
    </w:p>
    <w:p w14:paraId="1F37CD61" w14:textId="77777777" w:rsidR="004E7B8B" w:rsidRPr="004E7B8B" w:rsidRDefault="004E7B8B" w:rsidP="0060581C">
      <w:pPr>
        <w:spacing w:line="240" w:lineRule="auto"/>
      </w:pPr>
      <w:r w:rsidRPr="004E7B8B">
        <w:t>If a person retaliates against the discloser by directly or indirectly punishing them for reporting information, they will be held accountable for their behaviour.</w:t>
      </w:r>
    </w:p>
    <w:p w14:paraId="3ACEBA36" w14:textId="77777777" w:rsidR="006450D4" w:rsidRDefault="004E7B8B" w:rsidP="0060581C">
      <w:pPr>
        <w:spacing w:line="240" w:lineRule="auto"/>
        <w:rPr>
          <w:b/>
          <w:bCs/>
          <w:iCs/>
        </w:rPr>
      </w:pPr>
      <w:r w:rsidRPr="008E7571">
        <w:rPr>
          <w:b/>
          <w:bCs/>
          <w:iCs/>
        </w:rPr>
        <w:t>There can be serious consequences for reprisals. Under Section 40 of the Act</w:t>
      </w:r>
      <w:r w:rsidR="008E7571">
        <w:rPr>
          <w:b/>
          <w:bCs/>
          <w:iCs/>
        </w:rPr>
        <w:t>,</w:t>
      </w:r>
      <w:r w:rsidRPr="008E7571">
        <w:rPr>
          <w:b/>
          <w:bCs/>
          <w:iCs/>
        </w:rPr>
        <w:t xml:space="preserve"> the person who takes detrimental action has committed an offence. This person may also be pursued for</w:t>
      </w:r>
      <w:r w:rsidR="006450D4">
        <w:rPr>
          <w:b/>
          <w:bCs/>
          <w:iCs/>
        </w:rPr>
        <w:t xml:space="preserve"> damages in court (Section 41).</w:t>
      </w:r>
    </w:p>
    <w:p w14:paraId="27CA7765" w14:textId="77777777" w:rsidR="004E7B8B" w:rsidRPr="004E7B8B" w:rsidRDefault="004E7B8B" w:rsidP="0060581C">
      <w:pPr>
        <w:spacing w:line="240" w:lineRule="auto"/>
      </w:pPr>
      <w:r w:rsidRPr="004E7B8B">
        <w:t>Examples of detrimental action include:</w:t>
      </w:r>
    </w:p>
    <w:p w14:paraId="1D532600" w14:textId="77777777" w:rsidR="004E7B8B" w:rsidRPr="004E7B8B" w:rsidRDefault="004E7B8B" w:rsidP="00AA5B1C">
      <w:pPr>
        <w:numPr>
          <w:ilvl w:val="1"/>
          <w:numId w:val="7"/>
        </w:numPr>
        <w:spacing w:line="240" w:lineRule="auto"/>
      </w:pPr>
      <w:r w:rsidRPr="004E7B8B">
        <w:t>intimidating or harassing the discloser;</w:t>
      </w:r>
    </w:p>
    <w:p w14:paraId="19E58C58" w14:textId="77777777" w:rsidR="004E7B8B" w:rsidRPr="004E7B8B" w:rsidRDefault="004E7B8B" w:rsidP="00AA5B1C">
      <w:pPr>
        <w:numPr>
          <w:ilvl w:val="1"/>
          <w:numId w:val="7"/>
        </w:numPr>
        <w:spacing w:line="240" w:lineRule="auto"/>
      </w:pPr>
      <w:r w:rsidRPr="004E7B8B">
        <w:t>damaging or taking the discloser’s property;</w:t>
      </w:r>
    </w:p>
    <w:p w14:paraId="1645C43E" w14:textId="77777777" w:rsidR="004E7B8B" w:rsidRPr="004E7B8B" w:rsidRDefault="004E7B8B" w:rsidP="00AA5B1C">
      <w:pPr>
        <w:numPr>
          <w:ilvl w:val="1"/>
          <w:numId w:val="7"/>
        </w:numPr>
        <w:spacing w:line="240" w:lineRule="auto"/>
      </w:pPr>
      <w:r w:rsidRPr="004E7B8B">
        <w:t>disadvantaging the discloser in relation to their career, employment, trade or business;</w:t>
      </w:r>
    </w:p>
    <w:p w14:paraId="0D8641D0" w14:textId="77777777" w:rsidR="004E7B8B" w:rsidRPr="004E7B8B" w:rsidRDefault="004E7B8B" w:rsidP="00AA5B1C">
      <w:pPr>
        <w:numPr>
          <w:ilvl w:val="1"/>
          <w:numId w:val="7"/>
        </w:numPr>
        <w:spacing w:line="240" w:lineRule="auto"/>
      </w:pPr>
      <w:r w:rsidRPr="004E7B8B">
        <w:t>threats of any of the above; or</w:t>
      </w:r>
    </w:p>
    <w:p w14:paraId="72978062" w14:textId="77777777" w:rsidR="004E7B8B" w:rsidRPr="004E7B8B" w:rsidRDefault="004E7B8B" w:rsidP="00AA5B1C">
      <w:pPr>
        <w:numPr>
          <w:ilvl w:val="1"/>
          <w:numId w:val="7"/>
        </w:numPr>
        <w:spacing w:line="240" w:lineRule="auto"/>
      </w:pPr>
      <w:r w:rsidRPr="004E7B8B">
        <w:t>deliberately causing financial loss to the discloser.</w:t>
      </w:r>
    </w:p>
    <w:p w14:paraId="392515CE" w14:textId="77777777" w:rsidR="00FF7E63" w:rsidRDefault="00B120AB" w:rsidP="00D80700">
      <w:pPr>
        <w:spacing w:after="0" w:line="240" w:lineRule="auto"/>
      </w:pPr>
      <w:r>
        <w:rPr>
          <w:noProof/>
          <w:lang w:eastAsia="en-AU"/>
        </w:rPr>
        <mc:AlternateContent>
          <mc:Choice Requires="wps">
            <w:drawing>
              <wp:anchor distT="45720" distB="45720" distL="114300" distR="114300" simplePos="0" relativeHeight="251697152" behindDoc="0" locked="0" layoutInCell="1" allowOverlap="1" wp14:anchorId="4FD5F914" wp14:editId="2EFA691E">
                <wp:simplePos x="0" y="0"/>
                <wp:positionH relativeFrom="column">
                  <wp:posOffset>47625</wp:posOffset>
                </wp:positionH>
                <wp:positionV relativeFrom="paragraph">
                  <wp:posOffset>523875</wp:posOffset>
                </wp:positionV>
                <wp:extent cx="582930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6225"/>
                        </a:xfrm>
                        <a:prstGeom prst="rect">
                          <a:avLst/>
                        </a:prstGeom>
                        <a:solidFill>
                          <a:schemeClr val="accent5">
                            <a:lumMod val="20000"/>
                            <a:lumOff val="80000"/>
                          </a:schemeClr>
                        </a:solidFill>
                        <a:ln w="9525">
                          <a:solidFill>
                            <a:srgbClr val="000000"/>
                          </a:solidFill>
                          <a:miter lim="800000"/>
                          <a:headEnd/>
                          <a:tailEnd/>
                        </a:ln>
                      </wps:spPr>
                      <wps:txbx>
                        <w:txbxContent>
                          <w:p w14:paraId="40335425" w14:textId="77777777" w:rsidR="00D85ECD" w:rsidRPr="00F12784" w:rsidRDefault="00D85ECD" w:rsidP="00712A10">
                            <w:pPr>
                              <w:spacing w:after="0"/>
                            </w:pPr>
                            <w:r w:rsidRPr="00F12784">
                              <w:t>Protection will not be provided to people who knowingly make false claims.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5F914" id="_x0000_s1034" type="#_x0000_t202" style="position:absolute;margin-left:3.75pt;margin-top:41.25pt;width:459pt;height:21.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" fillcolor="#d9e2f3 [664]">
                <v:textbox>
                  <w:txbxContent>
                    <w:p w14:paraId="40335425" w14:textId="77777777" w:rsidR="00D85ECD" w:rsidRPr="00F12784" w:rsidRDefault="00D85ECD" w:rsidP="00712A10">
                      <w:pPr>
                        <w:spacing w:after="0"/>
                      </w:pPr>
                      <w:r w:rsidRPr="00F12784">
                        <w:t>Protection will not be provided to people who knowingly make false claims.</w:t>
                      </w:r>
                    </w:p>
                  </w:txbxContent>
                </v:textbox>
                <w10:wrap type="square"/>
              </v:shape>
            </w:pict>
          </mc:Fallback>
        </mc:AlternateContent>
      </w:r>
      <w:r w:rsidR="004E7B8B" w:rsidRPr="004E7B8B">
        <w:t>If a disclosure is made in good faith but turns out to be untrue, the discloser is still entitled to protection under the Act.</w:t>
      </w:r>
    </w:p>
    <w:p w14:paraId="5F92A38E" w14:textId="77777777" w:rsidR="00B71735" w:rsidRDefault="00B71735">
      <w:pPr>
        <w:spacing w:after="0" w:line="240" w:lineRule="auto"/>
        <w:rPr>
          <w:bCs/>
          <w:iCs/>
        </w:rPr>
      </w:pPr>
      <w:r w:rsidRPr="00851F46">
        <w:rPr>
          <w:bCs/>
          <w:iCs/>
        </w:rPr>
        <w:lastRenderedPageBreak/>
        <w:t>Every disclosure will be treated as being made in good faith. However, if it is found that a person has maliciously raised a concern that they know is untrue, protections are not provided. If the person is employed under the Public Sector Management Act 1994 (PSM Act), they may be subject to disciplinary proceedings as articulated in the PSM Act or Enterprise Agreement as appropriate.</w:t>
      </w:r>
    </w:p>
    <w:p w14:paraId="17996444" w14:textId="77777777" w:rsidR="0078023F" w:rsidRPr="00851F46" w:rsidRDefault="0078023F">
      <w:pPr>
        <w:spacing w:after="0" w:line="240" w:lineRule="auto"/>
        <w:rPr>
          <w:bCs/>
          <w:iCs/>
        </w:rPr>
      </w:pPr>
    </w:p>
    <w:p w14:paraId="72A84AD5" w14:textId="77777777" w:rsidR="00B71735" w:rsidRDefault="00B71735">
      <w:pPr>
        <w:spacing w:line="240" w:lineRule="auto"/>
        <w:rPr>
          <w:bCs/>
          <w:iCs/>
        </w:rPr>
      </w:pPr>
      <w:r w:rsidRPr="00B71735">
        <w:rPr>
          <w:bCs/>
          <w:iCs/>
        </w:rPr>
        <w:t>Vexatious disclosures may be investigated, however where a person makes a disclosure vexatiously or with otherwise unethical intentions, they will lose the protections provided in the Act.</w:t>
      </w:r>
    </w:p>
    <w:p w14:paraId="3D4BCE2E" w14:textId="77777777" w:rsidR="00B71735" w:rsidRPr="00851F46" w:rsidRDefault="00B71735">
      <w:pPr>
        <w:spacing w:line="240" w:lineRule="auto"/>
        <w:rPr>
          <w:bCs/>
          <w:iCs/>
        </w:rPr>
      </w:pPr>
      <w:r w:rsidRPr="00851F46">
        <w:rPr>
          <w:bCs/>
          <w:iCs/>
        </w:rPr>
        <w:t>Similarly, an employee making a disclosure about their own conduct will not protect them from management or criminal action.</w:t>
      </w:r>
    </w:p>
    <w:p w14:paraId="20319DD8" w14:textId="282C4787" w:rsidR="004E7B8B" w:rsidRPr="00851F46" w:rsidRDefault="00B71735">
      <w:pPr>
        <w:spacing w:after="0" w:line="240" w:lineRule="auto"/>
        <w:rPr>
          <w:bCs/>
          <w:iCs/>
        </w:rPr>
      </w:pPr>
      <w:r w:rsidRPr="00851F46">
        <w:rPr>
          <w:bCs/>
          <w:iCs/>
        </w:rPr>
        <w:t>Making a disclosure to a journalist or Member of the Legislative Assembly other than in strictly defined circumstances (see Part 5 of the Act) may constitute an unauthorised release of official information and render the individual liable to misconduct proceedings under the PSM Act and/or prosec</w:t>
      </w:r>
      <w:r w:rsidR="00F3648F">
        <w:rPr>
          <w:bCs/>
          <w:iCs/>
        </w:rPr>
        <w:t>ution under the Crimes Act.</w:t>
      </w:r>
    </w:p>
    <w:p w14:paraId="2A8126DC" w14:textId="77777777" w:rsidR="00C0596E" w:rsidRDefault="00C0596E" w:rsidP="0060581C">
      <w:pPr>
        <w:spacing w:after="0" w:line="240" w:lineRule="auto"/>
        <w:rPr>
          <w:b/>
          <w:bCs/>
          <w:i/>
          <w:iCs/>
        </w:rPr>
      </w:pPr>
      <w:bookmarkStart w:id="15" w:name="_bookmark14"/>
      <w:bookmarkEnd w:id="15"/>
    </w:p>
    <w:p w14:paraId="37BC9306" w14:textId="14E177DA" w:rsidR="004E7B8B" w:rsidRDefault="003B2C73" w:rsidP="0060581C">
      <w:pPr>
        <w:spacing w:after="0" w:line="240" w:lineRule="auto"/>
        <w:rPr>
          <w:b/>
          <w:bCs/>
          <w:iCs/>
          <w:u w:val="single"/>
        </w:rPr>
      </w:pPr>
      <w:r>
        <w:rPr>
          <w:b/>
          <w:bCs/>
          <w:iCs/>
        </w:rPr>
        <w:t xml:space="preserve">2.6 </w:t>
      </w:r>
      <w:r w:rsidR="004E7B8B" w:rsidRPr="00851F46">
        <w:rPr>
          <w:b/>
          <w:bCs/>
          <w:iCs/>
          <w:u w:val="single"/>
        </w:rPr>
        <w:t>Making a disclosure externally</w:t>
      </w:r>
    </w:p>
    <w:p w14:paraId="5861237F" w14:textId="77777777" w:rsidR="00F12784" w:rsidRPr="00851F46" w:rsidRDefault="00F12784" w:rsidP="0060581C">
      <w:pPr>
        <w:spacing w:after="0" w:line="240" w:lineRule="auto"/>
        <w:rPr>
          <w:b/>
          <w:bCs/>
          <w:iCs/>
          <w:u w:val="single"/>
        </w:rPr>
      </w:pPr>
    </w:p>
    <w:p w14:paraId="219BA292" w14:textId="77777777" w:rsidR="004E7B8B" w:rsidRPr="004E7B8B" w:rsidRDefault="004E7B8B" w:rsidP="0060581C">
      <w:pPr>
        <w:spacing w:line="240" w:lineRule="auto"/>
      </w:pPr>
      <w:r w:rsidRPr="004E7B8B">
        <w:t>Usually, issues or concerns with the processes following a disclosure should be reported to the disclosure officer in the relevant entity in the first instance.</w:t>
      </w:r>
    </w:p>
    <w:p w14:paraId="6AB86FF0" w14:textId="77777777" w:rsidR="004E7B8B" w:rsidRPr="004E7B8B" w:rsidRDefault="004E7B8B" w:rsidP="0060581C">
      <w:pPr>
        <w:spacing w:line="240" w:lineRule="auto"/>
      </w:pPr>
      <w:r w:rsidRPr="004E7B8B">
        <w:t>Under certain circumstances, the discloser may make a disclosure to a third party, specifically, a journalist or a Member of the ACT Legislative Assembly.</w:t>
      </w:r>
    </w:p>
    <w:p w14:paraId="40AB2D2B" w14:textId="77777777" w:rsidR="004E7B8B" w:rsidRPr="004E7B8B" w:rsidRDefault="004E7B8B" w:rsidP="0060581C">
      <w:pPr>
        <w:spacing w:line="240" w:lineRule="auto"/>
      </w:pPr>
      <w:r w:rsidRPr="004E7B8B">
        <w:t>Protection only applies to disclosures made in this way under very specific circumstances, specifically where:</w:t>
      </w:r>
    </w:p>
    <w:p w14:paraId="01F0A271" w14:textId="77777777" w:rsidR="004E7B8B" w:rsidRPr="004E7B8B" w:rsidRDefault="004E7B8B" w:rsidP="00AA5B1C">
      <w:pPr>
        <w:numPr>
          <w:ilvl w:val="0"/>
          <w:numId w:val="7"/>
        </w:numPr>
        <w:spacing w:line="240" w:lineRule="auto"/>
      </w:pPr>
      <w:r w:rsidRPr="004E7B8B">
        <w:t>an entity refuses or otherwise fails to look into your disclosure;</w:t>
      </w:r>
    </w:p>
    <w:p w14:paraId="07947809" w14:textId="77777777" w:rsidR="004E7B8B" w:rsidRPr="004E7B8B" w:rsidRDefault="004E7B8B" w:rsidP="00AA5B1C">
      <w:pPr>
        <w:numPr>
          <w:ilvl w:val="0"/>
          <w:numId w:val="7"/>
        </w:numPr>
        <w:spacing w:line="240" w:lineRule="auto"/>
      </w:pPr>
      <w:r w:rsidRPr="004E7B8B">
        <w:t>where an entity agrees someone has acted inappropriately but the entity does not act to address the problem; or</w:t>
      </w:r>
    </w:p>
    <w:p w14:paraId="65CDA07A" w14:textId="77777777" w:rsidR="004E7B8B" w:rsidRPr="004E7B8B" w:rsidRDefault="004E7B8B" w:rsidP="00AA5B1C">
      <w:pPr>
        <w:numPr>
          <w:ilvl w:val="0"/>
          <w:numId w:val="7"/>
        </w:numPr>
        <w:spacing w:line="240" w:lineRule="auto"/>
      </w:pPr>
      <w:r w:rsidRPr="004E7B8B">
        <w:t>where you have not been told about progress on your disclosure within the statutory timeframe.</w:t>
      </w:r>
    </w:p>
    <w:p w14:paraId="1C92436D" w14:textId="77777777" w:rsidR="004E7B8B" w:rsidRPr="004E7B8B" w:rsidRDefault="00785CD7" w:rsidP="0060581C">
      <w:pPr>
        <w:spacing w:line="240" w:lineRule="auto"/>
        <w:rPr>
          <w:b/>
          <w:bCs/>
        </w:rPr>
      </w:pPr>
      <w:r>
        <w:t>I</w:t>
      </w:r>
      <w:r w:rsidR="004E7B8B" w:rsidRPr="004E7B8B">
        <w:t>f you believe the conduct involves many people or is so deeply embedded in the culture of an entity and for this reason making an internal disclosure is unlikely to be taken seriously or may be detrimental to your health or wellbeing, you may make a disclosure to a third party. Section 27 of the Act permits this where a person honestly believes on reasonable grounds that:</w:t>
      </w:r>
    </w:p>
    <w:p w14:paraId="3231725B" w14:textId="77777777" w:rsidR="004E7B8B" w:rsidRPr="004E7B8B" w:rsidRDefault="00F279D6" w:rsidP="00AA5B1C">
      <w:pPr>
        <w:numPr>
          <w:ilvl w:val="0"/>
          <w:numId w:val="7"/>
        </w:numPr>
        <w:spacing w:line="240" w:lineRule="auto"/>
      </w:pPr>
      <w:r>
        <w:t>a person</w:t>
      </w:r>
      <w:r w:rsidR="004E7B8B" w:rsidRPr="004E7B8B">
        <w:t xml:space="preserve"> has information that tends to show disclosable conduct;</w:t>
      </w:r>
    </w:p>
    <w:p w14:paraId="2DFCEB05" w14:textId="77777777" w:rsidR="004E7B8B" w:rsidRPr="004E7B8B" w:rsidRDefault="004E7B8B" w:rsidP="00AA5B1C">
      <w:pPr>
        <w:numPr>
          <w:ilvl w:val="0"/>
          <w:numId w:val="7"/>
        </w:numPr>
        <w:spacing w:line="240" w:lineRule="auto"/>
      </w:pPr>
      <w:r w:rsidRPr="004E7B8B">
        <w:t xml:space="preserve">there is a significant risk of detrimental action to </w:t>
      </w:r>
      <w:r w:rsidR="00F279D6">
        <w:t>the person</w:t>
      </w:r>
      <w:r w:rsidRPr="004E7B8B">
        <w:t xml:space="preserve"> or someone else if a disclosure is made through the usual process; and</w:t>
      </w:r>
    </w:p>
    <w:p w14:paraId="5AD0F01D" w14:textId="77777777" w:rsidR="004E7B8B" w:rsidRDefault="004E7B8B" w:rsidP="00AA5B1C">
      <w:pPr>
        <w:numPr>
          <w:ilvl w:val="0"/>
          <w:numId w:val="7"/>
        </w:numPr>
        <w:spacing w:line="240" w:lineRule="auto"/>
      </w:pPr>
      <w:r w:rsidRPr="004E7B8B">
        <w:t>it would be unreasonable to make a disclosure through the usual process to a person mentioned in Section 15 of the Act.</w:t>
      </w:r>
    </w:p>
    <w:p w14:paraId="1C986573" w14:textId="77777777" w:rsidR="006744C2" w:rsidRDefault="006744C2" w:rsidP="00A64B26">
      <w:pPr>
        <w:spacing w:after="120" w:line="240" w:lineRule="auto"/>
      </w:pPr>
    </w:p>
    <w:p w14:paraId="1D78A93F" w14:textId="77777777" w:rsidR="000901A2" w:rsidRDefault="00712A10" w:rsidP="0060581C">
      <w:pPr>
        <w:spacing w:line="240" w:lineRule="auto"/>
      </w:pPr>
      <w:r>
        <w:rPr>
          <w:noProof/>
          <w:lang w:eastAsia="en-AU"/>
        </w:rPr>
        <mc:AlternateContent>
          <mc:Choice Requires="wps">
            <w:drawing>
              <wp:anchor distT="45720" distB="45720" distL="114300" distR="114300" simplePos="0" relativeHeight="251714560" behindDoc="0" locked="0" layoutInCell="1" allowOverlap="1" wp14:anchorId="389EF654" wp14:editId="2990BF98">
                <wp:simplePos x="0" y="0"/>
                <wp:positionH relativeFrom="column">
                  <wp:posOffset>57150</wp:posOffset>
                </wp:positionH>
                <wp:positionV relativeFrom="paragraph">
                  <wp:posOffset>0</wp:posOffset>
                </wp:positionV>
                <wp:extent cx="6029325" cy="942975"/>
                <wp:effectExtent l="0" t="0" r="28575" b="285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42975"/>
                        </a:xfrm>
                        <a:prstGeom prst="rect">
                          <a:avLst/>
                        </a:prstGeom>
                        <a:solidFill>
                          <a:schemeClr val="accent5">
                            <a:lumMod val="20000"/>
                            <a:lumOff val="80000"/>
                          </a:schemeClr>
                        </a:solidFill>
                        <a:ln w="9525">
                          <a:solidFill>
                            <a:srgbClr val="000000"/>
                          </a:solidFill>
                          <a:miter lim="800000"/>
                          <a:headEnd/>
                          <a:tailEnd/>
                        </a:ln>
                      </wps:spPr>
                      <wps:txbx>
                        <w:txbxContent>
                          <w:p w14:paraId="23F2EDE4" w14:textId="524C93C8" w:rsidR="00D85ECD" w:rsidRPr="001854C6" w:rsidRDefault="00D85ECD" w:rsidP="00F574A1">
                            <w:pPr>
                              <w:spacing w:after="0" w:line="240" w:lineRule="auto"/>
                            </w:pPr>
                            <w:r w:rsidRPr="001854C6">
                              <w:t>If you approach a third party in this manner, you:</w:t>
                            </w:r>
                          </w:p>
                          <w:p w14:paraId="399D1773" w14:textId="77777777" w:rsidR="00D85ECD" w:rsidRPr="00F574A1" w:rsidRDefault="00D85ECD">
                            <w:pPr>
                              <w:pStyle w:val="ListParagraph"/>
                              <w:numPr>
                                <w:ilvl w:val="0"/>
                                <w:numId w:val="15"/>
                              </w:numPr>
                              <w:rPr>
                                <w:sz w:val="22"/>
                                <w:szCs w:val="22"/>
                              </w:rPr>
                            </w:pPr>
                            <w:r w:rsidRPr="00F574A1">
                              <w:rPr>
                                <w:sz w:val="22"/>
                                <w:szCs w:val="22"/>
                              </w:rPr>
                              <w:t>must disclose sufficient information to demonstrate disclosable conduct but should not provide more than is reasonably necessary; and</w:t>
                            </w:r>
                          </w:p>
                          <w:p w14:paraId="5A996587" w14:textId="77777777" w:rsidR="00D85ECD" w:rsidRPr="00F574A1" w:rsidRDefault="00D85ECD">
                            <w:pPr>
                              <w:pStyle w:val="ListParagraph"/>
                              <w:numPr>
                                <w:ilvl w:val="0"/>
                                <w:numId w:val="15"/>
                              </w:numPr>
                              <w:rPr>
                                <w:sz w:val="22"/>
                                <w:szCs w:val="22"/>
                              </w:rPr>
                            </w:pPr>
                            <w:r w:rsidRPr="00F574A1">
                              <w:rPr>
                                <w:sz w:val="22"/>
                                <w:szCs w:val="22"/>
                              </w:rPr>
                              <w:t xml:space="preserve">may inform an MLA or journalist about the progress and outcome of any investigation of a PID you have made.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F654" id="_x0000_s1035" type="#_x0000_t202" style="position:absolute;margin-left:4.5pt;margin-top:0;width:474.75pt;height:74.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" fillcolor="#d9e2f3 [664]">
                <v:textbox>
                  <w:txbxContent>
                    <w:p w14:paraId="23F2EDE4" w14:textId="524C93C8" w:rsidR="00D85ECD" w:rsidRPr="001854C6" w:rsidRDefault="00D85ECD" w:rsidP="00F574A1">
                      <w:pPr>
                        <w:spacing w:after="0" w:line="240" w:lineRule="auto"/>
                      </w:pPr>
                      <w:r w:rsidRPr="001854C6">
                        <w:t>If you approach a third party in this manner, you:</w:t>
                      </w:r>
                    </w:p>
                    <w:p w14:paraId="399D1773" w14:textId="77777777" w:rsidR="00D85ECD" w:rsidRPr="00F574A1" w:rsidRDefault="00D85ECD">
                      <w:pPr>
                        <w:pStyle w:val="ListParagraph"/>
                        <w:numPr>
                          <w:ilvl w:val="0"/>
                          <w:numId w:val="15"/>
                        </w:numPr>
                        <w:rPr>
                          <w:sz w:val="22"/>
                          <w:szCs w:val="22"/>
                        </w:rPr>
                      </w:pPr>
                      <w:r w:rsidRPr="00F574A1">
                        <w:rPr>
                          <w:sz w:val="22"/>
                          <w:szCs w:val="22"/>
                        </w:rPr>
                        <w:t>must disclose sufficient information to demonstrate disclosable conduct but should not provide more than is reasonably necessary; and</w:t>
                      </w:r>
                    </w:p>
                    <w:p w14:paraId="5A996587" w14:textId="77777777" w:rsidR="00D85ECD" w:rsidRPr="00F574A1" w:rsidRDefault="00D85ECD">
                      <w:pPr>
                        <w:pStyle w:val="ListParagraph"/>
                        <w:numPr>
                          <w:ilvl w:val="0"/>
                          <w:numId w:val="15"/>
                        </w:numPr>
                        <w:rPr>
                          <w:sz w:val="22"/>
                          <w:szCs w:val="22"/>
                        </w:rPr>
                      </w:pPr>
                      <w:r w:rsidRPr="00F574A1">
                        <w:rPr>
                          <w:sz w:val="22"/>
                          <w:szCs w:val="22"/>
                        </w:rPr>
                        <w:t xml:space="preserve">may inform an MLA or journalist about the progress and outcome of any investigation of a PID you have made.  </w:t>
                      </w:r>
                    </w:p>
                  </w:txbxContent>
                </v:textbox>
                <w10:wrap type="topAndBottom"/>
              </v:shape>
            </w:pict>
          </mc:Fallback>
        </mc:AlternateContent>
      </w:r>
      <w:bookmarkStart w:id="16" w:name="_bookmark15"/>
      <w:bookmarkEnd w:id="16"/>
    </w:p>
    <w:p w14:paraId="39019FC4" w14:textId="28BF90FB" w:rsidR="004E7B8B" w:rsidRPr="000901A2" w:rsidRDefault="003B2C73" w:rsidP="0060581C">
      <w:pPr>
        <w:spacing w:line="240" w:lineRule="auto"/>
      </w:pPr>
      <w:r>
        <w:rPr>
          <w:b/>
          <w:bCs/>
          <w:iCs/>
        </w:rPr>
        <w:lastRenderedPageBreak/>
        <w:t xml:space="preserve">2.7 </w:t>
      </w:r>
      <w:r w:rsidR="004E7B8B" w:rsidRPr="00851F46">
        <w:rPr>
          <w:b/>
          <w:bCs/>
          <w:iCs/>
          <w:u w:val="single"/>
        </w:rPr>
        <w:t>What happens after a disclosure has been made?</w:t>
      </w:r>
    </w:p>
    <w:p w14:paraId="0E5AFFCB" w14:textId="0692819B" w:rsidR="003778B6" w:rsidRDefault="004E7B8B" w:rsidP="003778B6">
      <w:pPr>
        <w:spacing w:after="0" w:line="240" w:lineRule="auto"/>
      </w:pPr>
      <w:r w:rsidRPr="004E7B8B">
        <w:t xml:space="preserve">The steps </w:t>
      </w:r>
      <w:r w:rsidR="002F29D0">
        <w:t>taken by the entity in relation to a disclosure</w:t>
      </w:r>
      <w:r w:rsidR="000901A2">
        <w:t xml:space="preserve"> are explained</w:t>
      </w:r>
      <w:r w:rsidRPr="004E7B8B">
        <w:t xml:space="preserve"> in detail in Part </w:t>
      </w:r>
      <w:r w:rsidR="00322829">
        <w:t>Two</w:t>
      </w:r>
      <w:r w:rsidRPr="004E7B8B">
        <w:t xml:space="preserve"> of these guidelines</w:t>
      </w:r>
      <w:r w:rsidR="00E259E6">
        <w:t>. In summary, your disclosure will be handled as follows:</w:t>
      </w:r>
    </w:p>
    <w:p w14:paraId="5413BD33" w14:textId="77777777" w:rsidR="00E259E6" w:rsidRDefault="00E259E6" w:rsidP="003778B6">
      <w:pPr>
        <w:spacing w:after="0" w:line="240" w:lineRule="auto"/>
      </w:pPr>
      <w:r>
        <w:t xml:space="preserve"> </w:t>
      </w:r>
    </w:p>
    <w:p w14:paraId="144E3F0C" w14:textId="77777777" w:rsidR="0090451A" w:rsidRDefault="0090451A" w:rsidP="003778B6">
      <w:pPr>
        <w:spacing w:after="0" w:line="240" w:lineRule="auto"/>
        <w:ind w:left="720"/>
        <w:rPr>
          <w:u w:val="single"/>
        </w:rPr>
      </w:pPr>
      <w:r w:rsidRPr="00935E5B">
        <w:t>1)</w:t>
      </w:r>
      <w:r w:rsidR="00935E5B">
        <w:t xml:space="preserve"> </w:t>
      </w:r>
      <w:r w:rsidRPr="00851F46">
        <w:rPr>
          <w:b/>
          <w:u w:val="single"/>
        </w:rPr>
        <w:t>Assessment:</w:t>
      </w:r>
      <w:r w:rsidRPr="00851F46">
        <w:rPr>
          <w:u w:val="single"/>
        </w:rPr>
        <w:t xml:space="preserve"> </w:t>
      </w:r>
    </w:p>
    <w:p w14:paraId="18D569F5" w14:textId="77777777" w:rsidR="00B2319B" w:rsidRPr="00851F46" w:rsidRDefault="00B2319B" w:rsidP="003778B6">
      <w:pPr>
        <w:spacing w:after="0" w:line="240" w:lineRule="auto"/>
        <w:ind w:left="720"/>
        <w:rPr>
          <w:u w:val="single"/>
        </w:rPr>
      </w:pPr>
    </w:p>
    <w:p w14:paraId="4E4E9121" w14:textId="77777777" w:rsidR="00C1534D" w:rsidRDefault="00E259E6" w:rsidP="0060581C">
      <w:pPr>
        <w:spacing w:line="240" w:lineRule="auto"/>
        <w:ind w:left="720"/>
      </w:pPr>
      <w:r>
        <w:t>Y</w:t>
      </w:r>
      <w:r w:rsidR="00C1534D">
        <w:t>our disclosure will be assessed by a designated disclosure officer within the entity to which the conduct relates.  The disclosure officer will determine whether the alleged conduct meets the definition of disclosable conduct</w:t>
      </w:r>
      <w:r w:rsidR="00015650">
        <w:t xml:space="preserve"> and is in fact a PID.</w:t>
      </w:r>
    </w:p>
    <w:p w14:paraId="37227083" w14:textId="3D82C4B7" w:rsidR="0042561E" w:rsidRDefault="00C1534D" w:rsidP="0060581C">
      <w:pPr>
        <w:spacing w:after="0" w:line="240" w:lineRule="auto"/>
        <w:ind w:left="720"/>
        <w:rPr>
          <w:b/>
        </w:rPr>
      </w:pPr>
      <w:r w:rsidRPr="00E259E6">
        <w:rPr>
          <w:b/>
        </w:rPr>
        <w:t>It is important to note</w:t>
      </w:r>
      <w:r w:rsidR="00702CCE">
        <w:rPr>
          <w:b/>
        </w:rPr>
        <w:t xml:space="preserve"> that it is the </w:t>
      </w:r>
      <w:r w:rsidRPr="00E259E6">
        <w:rPr>
          <w:b/>
        </w:rPr>
        <w:t>disclosure officer</w:t>
      </w:r>
      <w:r w:rsidR="00702CCE">
        <w:rPr>
          <w:b/>
        </w:rPr>
        <w:t xml:space="preserve"> who de</w:t>
      </w:r>
      <w:r w:rsidR="00921BBD">
        <w:rPr>
          <w:b/>
        </w:rPr>
        <w:t>termines</w:t>
      </w:r>
      <w:r w:rsidR="00702CCE">
        <w:rPr>
          <w:b/>
        </w:rPr>
        <w:t xml:space="preserve"> whether a disclosure qualifies as a PID</w:t>
      </w:r>
      <w:r w:rsidRPr="00E259E6">
        <w:rPr>
          <w:b/>
        </w:rPr>
        <w:t>, not the discloser</w:t>
      </w:r>
      <w:r w:rsidR="00702CCE">
        <w:rPr>
          <w:b/>
        </w:rPr>
        <w:t>.</w:t>
      </w:r>
    </w:p>
    <w:p w14:paraId="3F431D0B" w14:textId="77777777" w:rsidR="00C1534D" w:rsidRPr="00E259E6" w:rsidRDefault="00C1534D" w:rsidP="0060581C">
      <w:pPr>
        <w:spacing w:after="0" w:line="240" w:lineRule="auto"/>
        <w:rPr>
          <w:b/>
          <w:bCs/>
        </w:rPr>
      </w:pPr>
    </w:p>
    <w:p w14:paraId="0CBE0578" w14:textId="77777777" w:rsidR="0090451A" w:rsidRDefault="0090451A" w:rsidP="0060581C">
      <w:pPr>
        <w:spacing w:after="0" w:line="240" w:lineRule="auto"/>
        <w:ind w:left="720"/>
        <w:rPr>
          <w:b/>
          <w:u w:val="single"/>
        </w:rPr>
      </w:pPr>
      <w:r w:rsidRPr="00935E5B">
        <w:t>2)</w:t>
      </w:r>
      <w:r w:rsidR="00935E5B">
        <w:t xml:space="preserve"> </w:t>
      </w:r>
      <w:r w:rsidRPr="00851F46">
        <w:rPr>
          <w:b/>
          <w:u w:val="single"/>
        </w:rPr>
        <w:t xml:space="preserve"> Investigation</w:t>
      </w:r>
    </w:p>
    <w:p w14:paraId="70E4713B" w14:textId="77777777" w:rsidR="0042561E" w:rsidRPr="00851F46" w:rsidRDefault="0042561E" w:rsidP="0060581C">
      <w:pPr>
        <w:spacing w:after="0" w:line="240" w:lineRule="auto"/>
        <w:ind w:left="720"/>
        <w:rPr>
          <w:u w:val="single"/>
        </w:rPr>
      </w:pPr>
    </w:p>
    <w:p w14:paraId="06D8DDD2" w14:textId="57733F30" w:rsidR="006E11B2" w:rsidRDefault="006E11B2" w:rsidP="0060581C">
      <w:pPr>
        <w:spacing w:after="0" w:line="240" w:lineRule="auto"/>
        <w:ind w:left="720"/>
      </w:pPr>
      <w:r w:rsidRPr="006E11B2">
        <w:t xml:space="preserve">If the disclosure officer has assessed the disclosure </w:t>
      </w:r>
      <w:r w:rsidR="00015650">
        <w:t>as</w:t>
      </w:r>
      <w:r w:rsidRPr="006E11B2">
        <w:t xml:space="preserve"> </w:t>
      </w:r>
      <w:r w:rsidR="00702CCE">
        <w:t xml:space="preserve">being </w:t>
      </w:r>
      <w:r w:rsidRPr="006E11B2">
        <w:t xml:space="preserve">a PID, the disclosure officer </w:t>
      </w:r>
      <w:r w:rsidR="002F29D0">
        <w:t>will</w:t>
      </w:r>
      <w:r w:rsidR="00E8252B">
        <w:t xml:space="preserve"> refer the matter to the head of the </w:t>
      </w:r>
      <w:r w:rsidR="00921BBD">
        <w:t xml:space="preserve">relevant </w:t>
      </w:r>
      <w:r w:rsidR="00E8252B">
        <w:t xml:space="preserve">entity or their delegate, who will determine </w:t>
      </w:r>
      <w:r w:rsidRPr="006E11B2">
        <w:t xml:space="preserve">whether </w:t>
      </w:r>
      <w:r w:rsidR="003F7CEA">
        <w:t>an investigation</w:t>
      </w:r>
      <w:r>
        <w:t xml:space="preserve"> is </w:t>
      </w:r>
      <w:r w:rsidR="00921BBD">
        <w:t>required</w:t>
      </w:r>
      <w:r>
        <w:t xml:space="preserve">.  If </w:t>
      </w:r>
      <w:r w:rsidR="00E8252B">
        <w:t xml:space="preserve">an investigation is warranted, the investigating entity will </w:t>
      </w:r>
      <w:r w:rsidR="003F7CEA">
        <w:t>determine the</w:t>
      </w:r>
      <w:r>
        <w:t xml:space="preserve"> terms of reference for the investigation, decid</w:t>
      </w:r>
      <w:r w:rsidR="00E8252B">
        <w:t>e</w:t>
      </w:r>
      <w:r>
        <w:t xml:space="preserve"> who will conduct the investigation, monitor progress of the investigation</w:t>
      </w:r>
      <w:r w:rsidR="00E8252B">
        <w:t>, and provide periodic updates to the discloser</w:t>
      </w:r>
      <w:r w:rsidR="00684630">
        <w:t xml:space="preserve"> and the Public Sector Standards Commissioner</w:t>
      </w:r>
      <w:r w:rsidR="00E8252B">
        <w:t>.</w:t>
      </w:r>
    </w:p>
    <w:p w14:paraId="48C27EA8" w14:textId="77777777" w:rsidR="0042561E" w:rsidRDefault="0042561E" w:rsidP="0060581C">
      <w:pPr>
        <w:spacing w:after="0" w:line="240" w:lineRule="auto"/>
        <w:ind w:left="720"/>
      </w:pPr>
    </w:p>
    <w:p w14:paraId="6881C3CD" w14:textId="7B4BF11F" w:rsidR="006E11B2" w:rsidRDefault="006E11B2" w:rsidP="0060581C">
      <w:pPr>
        <w:spacing w:after="0" w:line="240" w:lineRule="auto"/>
        <w:ind w:left="720"/>
      </w:pPr>
      <w:r w:rsidRPr="006E11B2">
        <w:t>In certain circumstances, the investigating entity may make a decision not to investigate a PID</w:t>
      </w:r>
      <w:r w:rsidR="002F29D0">
        <w:t xml:space="preserve">, for reasons </w:t>
      </w:r>
      <w:r w:rsidR="003F7CEA">
        <w:t xml:space="preserve">cited </w:t>
      </w:r>
      <w:r w:rsidR="002F29D0">
        <w:t xml:space="preserve">under </w:t>
      </w:r>
      <w:r w:rsidRPr="006E11B2">
        <w:t>Section 20</w:t>
      </w:r>
      <w:r w:rsidR="002F29D0">
        <w:t xml:space="preserve"> of the Act</w:t>
      </w:r>
      <w:r w:rsidRPr="006E11B2">
        <w:t>. This is a decision that would end the process.</w:t>
      </w:r>
      <w:r>
        <w:t xml:space="preserve"> </w:t>
      </w:r>
      <w:r w:rsidR="002F29D0">
        <w:t xml:space="preserve"> </w:t>
      </w:r>
      <w:r w:rsidR="00E8252B">
        <w:t>The dis</w:t>
      </w:r>
      <w:r w:rsidR="00494182">
        <w:t>c</w:t>
      </w:r>
      <w:r w:rsidR="00E8252B">
        <w:t>loser will be notified of that decision.</w:t>
      </w:r>
    </w:p>
    <w:p w14:paraId="55418855" w14:textId="77777777" w:rsidR="0042561E" w:rsidRDefault="0042561E" w:rsidP="0060581C">
      <w:pPr>
        <w:spacing w:after="0" w:line="240" w:lineRule="auto"/>
        <w:ind w:left="720"/>
      </w:pPr>
    </w:p>
    <w:p w14:paraId="4FB33689" w14:textId="77777777" w:rsidR="00527F77" w:rsidRDefault="0042561E" w:rsidP="0060581C">
      <w:pPr>
        <w:spacing w:after="0" w:line="240" w:lineRule="auto"/>
        <w:ind w:left="720"/>
      </w:pPr>
      <w:r w:rsidRPr="0090451A">
        <w:t>Under the Act</w:t>
      </w:r>
      <w:r>
        <w:t xml:space="preserve">, </w:t>
      </w:r>
      <w:r w:rsidRPr="0090451A">
        <w:t xml:space="preserve">the disclosure officer must </w:t>
      </w:r>
      <w:r>
        <w:t>inform</w:t>
      </w:r>
      <w:r w:rsidRPr="0090451A">
        <w:t xml:space="preserve"> the </w:t>
      </w:r>
      <w:r>
        <w:t>discl</w:t>
      </w:r>
      <w:r w:rsidR="00527F77">
        <w:t>oser about a referral of the disclosure</w:t>
      </w:r>
      <w:r>
        <w:t xml:space="preserve"> to another entity</w:t>
      </w:r>
      <w:r w:rsidR="00E8252B">
        <w:t xml:space="preserve">.  </w:t>
      </w:r>
    </w:p>
    <w:p w14:paraId="16D37A22" w14:textId="77777777" w:rsidR="00527F77" w:rsidRDefault="00527F77" w:rsidP="0060581C">
      <w:pPr>
        <w:spacing w:after="0" w:line="240" w:lineRule="auto"/>
        <w:ind w:left="720"/>
      </w:pPr>
    </w:p>
    <w:p w14:paraId="4E17FE31" w14:textId="27AB8225" w:rsidR="009F55B7" w:rsidRDefault="00527F77" w:rsidP="0060581C">
      <w:pPr>
        <w:spacing w:after="0" w:line="240" w:lineRule="auto"/>
        <w:ind w:left="720"/>
      </w:pPr>
      <w:r>
        <w:t xml:space="preserve">The discloser will </w:t>
      </w:r>
      <w:r w:rsidR="00E8252B">
        <w:t xml:space="preserve">be </w:t>
      </w:r>
      <w:r w:rsidR="00921BBD">
        <w:t>informed</w:t>
      </w:r>
      <w:r w:rsidR="00EE5614">
        <w:t xml:space="preserve"> </w:t>
      </w:r>
      <w:r w:rsidR="00921BBD">
        <w:t xml:space="preserve">by the investigating entity </w:t>
      </w:r>
      <w:r w:rsidR="00BB3ADF">
        <w:t>o</w:t>
      </w:r>
      <w:r w:rsidR="00E8252B">
        <w:t>f</w:t>
      </w:r>
      <w:r w:rsidR="0042561E">
        <w:t xml:space="preserve"> a decision not to investigate the disclosure, including reasons for making that decision.  </w:t>
      </w:r>
    </w:p>
    <w:p w14:paraId="097F8B6D" w14:textId="77777777" w:rsidR="009F55B7" w:rsidRDefault="009F55B7" w:rsidP="0060581C">
      <w:pPr>
        <w:spacing w:after="0" w:line="240" w:lineRule="auto"/>
        <w:ind w:left="720"/>
      </w:pPr>
    </w:p>
    <w:p w14:paraId="7D147E1B" w14:textId="5FFF3E79" w:rsidR="0042561E" w:rsidRDefault="0042561E" w:rsidP="0060581C">
      <w:pPr>
        <w:spacing w:after="0" w:line="240" w:lineRule="auto"/>
        <w:ind w:left="720"/>
      </w:pPr>
      <w:r>
        <w:t>If a disclosure is in</w:t>
      </w:r>
      <w:r w:rsidR="00A705C7">
        <w:t>vestigated the disclos</w:t>
      </w:r>
      <w:r w:rsidR="00E8252B">
        <w:t>er</w:t>
      </w:r>
      <w:r w:rsidR="00A705C7">
        <w:t xml:space="preserve"> must</w:t>
      </w:r>
      <w:r>
        <w:t xml:space="preserve"> be informed of the progress of the investigation at least once every 3 months</w:t>
      </w:r>
      <w:r w:rsidR="00E8252B">
        <w:t xml:space="preserve">, </w:t>
      </w:r>
      <w:r>
        <w:t>and</w:t>
      </w:r>
      <w:r w:rsidR="00E8252B">
        <w:t xml:space="preserve"> about</w:t>
      </w:r>
      <w:r>
        <w:t xml:space="preserve"> the outcome of the investigation</w:t>
      </w:r>
      <w:r w:rsidR="00E8252B">
        <w:t xml:space="preserve"> when concluded</w:t>
      </w:r>
      <w:r>
        <w:t>.</w:t>
      </w:r>
    </w:p>
    <w:p w14:paraId="1636C3C7" w14:textId="77777777" w:rsidR="0042561E" w:rsidRDefault="0042561E" w:rsidP="0060581C">
      <w:pPr>
        <w:spacing w:after="0" w:line="240" w:lineRule="auto"/>
      </w:pPr>
    </w:p>
    <w:p w14:paraId="4E016768" w14:textId="77777777" w:rsidR="0042561E" w:rsidRDefault="0090451A" w:rsidP="0060581C">
      <w:pPr>
        <w:spacing w:after="0" w:line="240" w:lineRule="auto"/>
        <w:ind w:left="720"/>
        <w:rPr>
          <w:b/>
          <w:bCs/>
          <w:u w:val="single"/>
        </w:rPr>
      </w:pPr>
      <w:r w:rsidRPr="00935E5B">
        <w:t xml:space="preserve">3)  </w:t>
      </w:r>
      <w:r w:rsidR="004E7B8B" w:rsidRPr="00851F46">
        <w:rPr>
          <w:b/>
          <w:bCs/>
          <w:u w:val="single"/>
        </w:rPr>
        <w:t>Determination and Action</w:t>
      </w:r>
    </w:p>
    <w:p w14:paraId="26E8F0E0" w14:textId="77777777" w:rsidR="004E7B8B" w:rsidRPr="004E7B8B" w:rsidRDefault="004E7B8B" w:rsidP="0060581C">
      <w:pPr>
        <w:spacing w:after="0" w:line="240" w:lineRule="auto"/>
        <w:ind w:left="720"/>
      </w:pPr>
      <w:r w:rsidRPr="004E7B8B">
        <w:rPr>
          <w:b/>
          <w:bCs/>
        </w:rPr>
        <w:tab/>
      </w:r>
    </w:p>
    <w:p w14:paraId="516D9106" w14:textId="18388B47" w:rsidR="004E7B8B" w:rsidRDefault="002F29D0" w:rsidP="0060581C">
      <w:pPr>
        <w:spacing w:after="0" w:line="240" w:lineRule="auto"/>
        <w:ind w:left="720"/>
      </w:pPr>
      <w:r>
        <w:t>Once the investigation is completed, t</w:t>
      </w:r>
      <w:r w:rsidR="004E7B8B" w:rsidRPr="004E7B8B">
        <w:t xml:space="preserve">he </w:t>
      </w:r>
      <w:r>
        <w:t>h</w:t>
      </w:r>
      <w:r w:rsidR="004E7B8B" w:rsidRPr="004E7B8B">
        <w:t xml:space="preserve">ead of the </w:t>
      </w:r>
      <w:r w:rsidR="00470C3E">
        <w:t>public sector e</w:t>
      </w:r>
      <w:r w:rsidR="004E7B8B" w:rsidRPr="004E7B8B">
        <w:t xml:space="preserve">ntity (or their delegate) </w:t>
      </w:r>
      <w:r>
        <w:t xml:space="preserve">will </w:t>
      </w:r>
      <w:r w:rsidR="004E7B8B" w:rsidRPr="004E7B8B">
        <w:t>make a determination</w:t>
      </w:r>
      <w:r w:rsidR="00A705C7">
        <w:t xml:space="preserve"> as to whether the disclosable conduct occurred or may occur, and what action is taken to address that conduct.  The determination is</w:t>
      </w:r>
      <w:r w:rsidR="004E7B8B" w:rsidRPr="004E7B8B">
        <w:t xml:space="preserve"> based on the findings of the investigation</w:t>
      </w:r>
      <w:r w:rsidR="00A705C7">
        <w:t xml:space="preserve">.  </w:t>
      </w:r>
    </w:p>
    <w:p w14:paraId="7361703D" w14:textId="77777777" w:rsidR="000901A2" w:rsidRPr="004E7B8B" w:rsidRDefault="000901A2" w:rsidP="0060581C">
      <w:pPr>
        <w:spacing w:after="0" w:line="240" w:lineRule="auto"/>
        <w:ind w:left="720"/>
      </w:pPr>
    </w:p>
    <w:p w14:paraId="7C1BC4ED" w14:textId="508CD5D8" w:rsidR="004E7B8B" w:rsidRPr="004E7B8B" w:rsidRDefault="004E7B8B" w:rsidP="0060581C">
      <w:pPr>
        <w:spacing w:line="240" w:lineRule="auto"/>
        <w:ind w:left="720"/>
      </w:pPr>
      <w:r w:rsidRPr="004E7B8B">
        <w:t xml:space="preserve">If the head of the </w:t>
      </w:r>
      <w:r w:rsidR="00470C3E">
        <w:t>public sector e</w:t>
      </w:r>
      <w:r w:rsidRPr="004E7B8B">
        <w:t>ntity believes on reasonable grounds that disclosable conduct has occurred, is likely to have occurred</w:t>
      </w:r>
      <w:r w:rsidR="00A705C7">
        <w:t>,</w:t>
      </w:r>
      <w:r w:rsidRPr="004E7B8B">
        <w:t xml:space="preserve"> or is likely to occur, the entity must take reasonable </w:t>
      </w:r>
      <w:r w:rsidR="000901A2">
        <w:t xml:space="preserve">and necessary action </w:t>
      </w:r>
      <w:r w:rsidRPr="004E7B8B">
        <w:t>to prevent the disclosable conduct continuing or occurring in the future; and discipline any person responsible for the disclosable conduct.</w:t>
      </w:r>
    </w:p>
    <w:p w14:paraId="505EA02C" w14:textId="77777777" w:rsidR="004E7B8B" w:rsidRPr="004E7B8B" w:rsidRDefault="004E7B8B" w:rsidP="0060581C">
      <w:pPr>
        <w:spacing w:line="240" w:lineRule="auto"/>
        <w:ind w:left="720"/>
      </w:pPr>
      <w:r w:rsidRPr="004E7B8B">
        <w:t>Following completion of the investigation, the disclosure officer must inform the discloser of the outcome of any investigation; or if it is decided that the investigation will be ended, the reason for this decision and how this complies with Section 20 of the Act.</w:t>
      </w:r>
    </w:p>
    <w:p w14:paraId="59339D5C" w14:textId="71EABE49" w:rsidR="004E7B8B" w:rsidRPr="004E7B8B" w:rsidRDefault="004253F6" w:rsidP="0060581C">
      <w:pPr>
        <w:spacing w:after="0" w:line="240" w:lineRule="auto"/>
        <w:ind w:left="720"/>
      </w:pPr>
      <w:r>
        <w:lastRenderedPageBreak/>
        <w:t xml:space="preserve">Under the Act, the discloser will be informed about the outcome of the investigation.  </w:t>
      </w:r>
      <w:r w:rsidR="004E7B8B" w:rsidRPr="004E7B8B">
        <w:t>The discloser is not entitled to all the information obtained during the course of investigating a PID. The discloser does not have to be kept informed</w:t>
      </w:r>
      <w:r w:rsidR="001F76EA">
        <w:t xml:space="preserve"> about information in relation to a PID</w:t>
      </w:r>
      <w:r w:rsidR="004E7B8B" w:rsidRPr="004E7B8B">
        <w:t xml:space="preserve"> where this is likely to bring risk to a person’s safety or an investigation relating to the PID.</w:t>
      </w:r>
    </w:p>
    <w:p w14:paraId="2C28C969" w14:textId="77777777" w:rsidR="00CC1969" w:rsidRDefault="00CC1969" w:rsidP="0060581C">
      <w:pPr>
        <w:spacing w:after="0" w:line="240" w:lineRule="auto"/>
      </w:pPr>
      <w:bookmarkStart w:id="17" w:name="_bookmark16"/>
      <w:bookmarkEnd w:id="17"/>
    </w:p>
    <w:p w14:paraId="33C385B4" w14:textId="5829BC28" w:rsidR="004E7B8B" w:rsidRPr="00851F46" w:rsidRDefault="003B2C73" w:rsidP="0060581C">
      <w:pPr>
        <w:spacing w:line="240" w:lineRule="auto"/>
        <w:rPr>
          <w:u w:val="single"/>
        </w:rPr>
      </w:pPr>
      <w:r>
        <w:rPr>
          <w:b/>
          <w:bCs/>
        </w:rPr>
        <w:t xml:space="preserve">2.8 </w:t>
      </w:r>
      <w:r w:rsidR="004E7B8B" w:rsidRPr="00851F46">
        <w:rPr>
          <w:b/>
          <w:bCs/>
          <w:u w:val="single"/>
        </w:rPr>
        <w:t>What happens if I think my disclosure is not handled properly?</w:t>
      </w:r>
    </w:p>
    <w:p w14:paraId="6EED2BF2" w14:textId="49474883" w:rsidR="004E7B8B" w:rsidRPr="004E7B8B" w:rsidRDefault="004E7B8B" w:rsidP="0060581C">
      <w:pPr>
        <w:spacing w:line="240" w:lineRule="auto"/>
      </w:pPr>
      <w:r w:rsidRPr="004E7B8B">
        <w:t>If</w:t>
      </w:r>
      <w:r w:rsidR="0055383C">
        <w:t>, as a</w:t>
      </w:r>
      <w:r w:rsidRPr="004E7B8B">
        <w:t xml:space="preserve"> discloser</w:t>
      </w:r>
      <w:r w:rsidR="0055383C">
        <w:t>, you are</w:t>
      </w:r>
      <w:r w:rsidRPr="004E7B8B">
        <w:t xml:space="preserve"> </w:t>
      </w:r>
      <w:r w:rsidR="004253F6">
        <w:t xml:space="preserve">not satisfied </w:t>
      </w:r>
      <w:r w:rsidRPr="004E7B8B">
        <w:t xml:space="preserve">with the </w:t>
      </w:r>
      <w:r w:rsidR="00872C53">
        <w:t xml:space="preserve">process used to deal with your </w:t>
      </w:r>
      <w:r w:rsidR="0055383C">
        <w:t xml:space="preserve">disclosure, you </w:t>
      </w:r>
      <w:r w:rsidRPr="004E7B8B">
        <w:t>should first talk to the disclosure officer and</w:t>
      </w:r>
      <w:r w:rsidR="00CE0180">
        <w:t xml:space="preserve">, if </w:t>
      </w:r>
      <w:r w:rsidR="00BB3D49">
        <w:t>circumstances require</w:t>
      </w:r>
      <w:r w:rsidR="00F26F56">
        <w:t>, the</w:t>
      </w:r>
      <w:r w:rsidRPr="004E7B8B">
        <w:t xml:space="preserve"> head of the relevant entity to better understand the process which was used. The disclosure officer</w:t>
      </w:r>
      <w:r w:rsidR="00126D47">
        <w:t xml:space="preserve"> is </w:t>
      </w:r>
      <w:r w:rsidRPr="004E7B8B">
        <w:t xml:space="preserve">responsible for making clear to a discloser how their disclosure was </w:t>
      </w:r>
      <w:r w:rsidR="003B51F6" w:rsidRPr="004E7B8B">
        <w:t>handled,</w:t>
      </w:r>
      <w:r w:rsidRPr="004E7B8B">
        <w:t xml:space="preserve"> and any steps taken to address their concerns.</w:t>
      </w:r>
    </w:p>
    <w:p w14:paraId="1BBBCFCA" w14:textId="392BB4CD" w:rsidR="001C6EF4" w:rsidRDefault="00527F77" w:rsidP="0060581C">
      <w:pPr>
        <w:spacing w:line="240" w:lineRule="auto"/>
      </w:pPr>
      <w:r w:rsidRPr="004E7B8B">
        <w:rPr>
          <w:noProof/>
          <w:lang w:eastAsia="en-AU"/>
        </w:rPr>
        <mc:AlternateContent>
          <mc:Choice Requires="wps">
            <w:drawing>
              <wp:anchor distT="0" distB="0" distL="114300" distR="114300" simplePos="0" relativeHeight="251715584" behindDoc="0" locked="0" layoutInCell="1" allowOverlap="1" wp14:anchorId="10AAF5AB" wp14:editId="295CF2B6">
                <wp:simplePos x="0" y="0"/>
                <wp:positionH relativeFrom="column">
                  <wp:posOffset>19050</wp:posOffset>
                </wp:positionH>
                <wp:positionV relativeFrom="paragraph">
                  <wp:posOffset>923925</wp:posOffset>
                </wp:positionV>
                <wp:extent cx="6191250" cy="904875"/>
                <wp:effectExtent l="0" t="0" r="19050" b="28575"/>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04875"/>
                        </a:xfrm>
                        <a:prstGeom prst="rect">
                          <a:avLst/>
                        </a:prstGeom>
                        <a:solidFill>
                          <a:schemeClr val="accent5">
                            <a:lumMod val="20000"/>
                            <a:lumOff val="80000"/>
                          </a:schemeClr>
                        </a:solidFill>
                        <a:ln w="6096">
                          <a:solidFill>
                            <a:srgbClr val="000000"/>
                          </a:solidFill>
                          <a:miter lim="800000"/>
                          <a:headEnd/>
                          <a:tailEnd/>
                        </a:ln>
                      </wps:spPr>
                      <wps:txbx>
                        <w:txbxContent>
                          <w:p w14:paraId="1B9F671D" w14:textId="77777777" w:rsidR="00D85ECD" w:rsidRPr="001C6EF4" w:rsidRDefault="00D85ECD" w:rsidP="00F574A1">
                            <w:pPr>
                              <w:pStyle w:val="BodyText"/>
                              <w:numPr>
                                <w:ilvl w:val="0"/>
                                <w:numId w:val="10"/>
                              </w:numPr>
                              <w:kinsoku w:val="0"/>
                              <w:overflowPunct w:val="0"/>
                              <w:spacing w:before="19"/>
                              <w:ind w:right="134"/>
                              <w:rPr>
                                <w:bCs/>
                              </w:rPr>
                            </w:pPr>
                            <w:r w:rsidRPr="001C6EF4">
                              <w:rPr>
                                <w:bCs/>
                              </w:rPr>
                              <w:t>If you think a matter has not been handled appropriately, there are certain checks and balances in place to ensure the disclosure receives proper evaluation.</w:t>
                            </w:r>
                          </w:p>
                          <w:p w14:paraId="4D4380AD" w14:textId="7260B02C" w:rsidR="00D85ECD" w:rsidRPr="001C6EF4" w:rsidRDefault="00D85ECD" w:rsidP="00F574A1">
                            <w:pPr>
                              <w:pStyle w:val="BodyText"/>
                              <w:numPr>
                                <w:ilvl w:val="0"/>
                                <w:numId w:val="10"/>
                              </w:numPr>
                              <w:kinsoku w:val="0"/>
                              <w:overflowPunct w:val="0"/>
                              <w:spacing w:before="19"/>
                              <w:ind w:right="134"/>
                              <w:rPr>
                                <w:bCs/>
                              </w:rPr>
                            </w:pPr>
                            <w:r w:rsidRPr="001C6EF4">
                              <w:rPr>
                                <w:bCs/>
                              </w:rPr>
                              <w:t>If you have contacted your disclosure officers and are still unsatisfied with how your disclosure has been handled, you may contact the</w:t>
                            </w:r>
                            <w:r>
                              <w:rPr>
                                <w:bCs/>
                              </w:rPr>
                              <w:t xml:space="preserve"> office of the Public Sector Standards</w:t>
                            </w:r>
                            <w:r w:rsidRPr="001C6EF4">
                              <w:rPr>
                                <w:bCs/>
                              </w:rPr>
                              <w:t xml:space="preserve"> Commissioner for further advice.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AF5AB" id="Text Box 39" o:spid="_x0000_s1036" type="#_x0000_t202" style="position:absolute;margin-left:1.5pt;margin-top:72.75pt;width:487.5pt;height:7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" fillcolor="#d9e2f3 [664]" strokeweight=".48pt">
                <v:textbox inset="0,0,0,0">
                  <w:txbxContent>
                    <w:p w14:paraId="1B9F671D" w14:textId="77777777" w:rsidR="00D85ECD" w:rsidRPr="001C6EF4" w:rsidRDefault="00D85ECD" w:rsidP="00F574A1">
                      <w:pPr>
                        <w:pStyle w:val="BodyText"/>
                        <w:numPr>
                          <w:ilvl w:val="0"/>
                          <w:numId w:val="10"/>
                        </w:numPr>
                        <w:kinsoku w:val="0"/>
                        <w:overflowPunct w:val="0"/>
                        <w:spacing w:before="19"/>
                        <w:ind w:right="134"/>
                        <w:rPr>
                          <w:bCs/>
                        </w:rPr>
                      </w:pPr>
                      <w:r w:rsidRPr="001C6EF4">
                        <w:rPr>
                          <w:bCs/>
                        </w:rPr>
                        <w:t>If you think a matter has not been handled appropriately, there are certain checks and balances in place to ensure the disclosure receives proper evaluation.</w:t>
                      </w:r>
                    </w:p>
                    <w:p w14:paraId="4D4380AD" w14:textId="7260B02C" w:rsidR="00D85ECD" w:rsidRPr="001C6EF4" w:rsidRDefault="00D85ECD" w:rsidP="00F574A1">
                      <w:pPr>
                        <w:pStyle w:val="BodyText"/>
                        <w:numPr>
                          <w:ilvl w:val="0"/>
                          <w:numId w:val="10"/>
                        </w:numPr>
                        <w:kinsoku w:val="0"/>
                        <w:overflowPunct w:val="0"/>
                        <w:spacing w:before="19"/>
                        <w:ind w:right="134"/>
                        <w:rPr>
                          <w:bCs/>
                        </w:rPr>
                      </w:pPr>
                      <w:r w:rsidRPr="001C6EF4">
                        <w:rPr>
                          <w:bCs/>
                        </w:rPr>
                        <w:t>If you have contacted your disclosure officers and are still unsatisfied with how your disclosure has been handled, you may contact the</w:t>
                      </w:r>
                      <w:r>
                        <w:rPr>
                          <w:bCs/>
                        </w:rPr>
                        <w:t xml:space="preserve"> office of the Public Sector Standards</w:t>
                      </w:r>
                      <w:r w:rsidRPr="001C6EF4">
                        <w:rPr>
                          <w:bCs/>
                        </w:rPr>
                        <w:t xml:space="preserve"> Commissioner for further advice.</w:t>
                      </w:r>
                    </w:p>
                  </w:txbxContent>
                </v:textbox>
                <w10:wrap type="topAndBottom"/>
              </v:shape>
            </w:pict>
          </mc:Fallback>
        </mc:AlternateContent>
      </w:r>
      <w:r w:rsidR="00E62D77">
        <w:t xml:space="preserve">After taking these actions, if you remain </w:t>
      </w:r>
      <w:r w:rsidR="004E7B8B" w:rsidRPr="00E62D77">
        <w:t>dissatisfied</w:t>
      </w:r>
      <w:r w:rsidR="004E7B8B" w:rsidRPr="004E7B8B">
        <w:t xml:space="preserve"> with the outcome of an investigation, </w:t>
      </w:r>
      <w:r w:rsidR="00E62D77">
        <w:t>you may consider reporting your concerns to the</w:t>
      </w:r>
      <w:r w:rsidR="000901A2">
        <w:t xml:space="preserve"> Public Sector Standards</w:t>
      </w:r>
      <w:r w:rsidR="00E62D77">
        <w:t xml:space="preserve"> </w:t>
      </w:r>
      <w:r w:rsidR="004E7B8B" w:rsidRPr="004E7B8B">
        <w:t>Commissioner</w:t>
      </w:r>
      <w:r w:rsidR="00E62D77">
        <w:t xml:space="preserve">, who </w:t>
      </w:r>
      <w:r w:rsidR="004E7B8B" w:rsidRPr="004E7B8B">
        <w:t xml:space="preserve">may review an investigation or any aspect of the handling of a disclosure. Additionally, the </w:t>
      </w:r>
      <w:r w:rsidR="000901A2">
        <w:t xml:space="preserve">ACT </w:t>
      </w:r>
      <w:r w:rsidR="004E7B8B" w:rsidRPr="004E7B8B">
        <w:t>Ombudsman may look into any matter dealt with under the Act.</w:t>
      </w:r>
    </w:p>
    <w:p w14:paraId="0F1F2904" w14:textId="3B6552F1" w:rsidR="004E7B8B" w:rsidRPr="004E7B8B" w:rsidRDefault="004E7B8B" w:rsidP="0060581C">
      <w:pPr>
        <w:spacing w:line="240" w:lineRule="auto"/>
      </w:pPr>
    </w:p>
    <w:p w14:paraId="39752D82" w14:textId="30F98170" w:rsidR="004E7B8B" w:rsidRPr="00851F46" w:rsidRDefault="003B2C73" w:rsidP="0060581C">
      <w:pPr>
        <w:spacing w:line="240" w:lineRule="auto"/>
        <w:rPr>
          <w:b/>
          <w:bCs/>
          <w:iCs/>
          <w:u w:val="single"/>
        </w:rPr>
      </w:pPr>
      <w:bookmarkStart w:id="18" w:name="_bookmark17"/>
      <w:bookmarkEnd w:id="18"/>
      <w:r>
        <w:rPr>
          <w:b/>
          <w:bCs/>
          <w:iCs/>
        </w:rPr>
        <w:t xml:space="preserve">2.9 </w:t>
      </w:r>
      <w:r w:rsidR="004E7B8B" w:rsidRPr="00851F46">
        <w:rPr>
          <w:b/>
          <w:bCs/>
          <w:iCs/>
          <w:u w:val="single"/>
        </w:rPr>
        <w:t>What happens if my disclosure is determined not to be a PID?</w:t>
      </w:r>
    </w:p>
    <w:p w14:paraId="5F5FB0C3" w14:textId="77777777" w:rsidR="00BF2C88" w:rsidRDefault="004E7B8B" w:rsidP="0060581C">
      <w:pPr>
        <w:spacing w:line="240" w:lineRule="auto"/>
      </w:pPr>
      <w:r w:rsidRPr="004E7B8B">
        <w:t xml:space="preserve">Sometimes your concerns, even though warranted, will not be serious enough to amount to a PID. </w:t>
      </w:r>
    </w:p>
    <w:p w14:paraId="750D0F30" w14:textId="77777777" w:rsidR="004E7B8B" w:rsidRPr="004E7B8B" w:rsidRDefault="004E7B8B" w:rsidP="0060581C">
      <w:pPr>
        <w:spacing w:line="240" w:lineRule="auto"/>
      </w:pPr>
      <w:r w:rsidRPr="004E7B8B">
        <w:t>There may</w:t>
      </w:r>
      <w:r w:rsidR="00CB2AE7">
        <w:t xml:space="preserve"> also</w:t>
      </w:r>
      <w:r w:rsidRPr="004E7B8B">
        <w:t xml:space="preserve"> be occasions when a disclosure is made either with an ulterior motive or maliciously. In such a case, an entity is unable to provide the assurances and safeguards to someone who is found to have maliciously raised a concern that they also know to be untrue.</w:t>
      </w:r>
    </w:p>
    <w:p w14:paraId="110CA94A" w14:textId="13D6DB84" w:rsidR="004E7B8B" w:rsidRPr="00A36AEC" w:rsidRDefault="004E7B8B" w:rsidP="0060581C">
      <w:pPr>
        <w:spacing w:line="240" w:lineRule="auto"/>
      </w:pPr>
      <w:r w:rsidRPr="004E7B8B">
        <w:t xml:space="preserve">If it is found that your concerns are false or otherwise </w:t>
      </w:r>
      <w:r w:rsidR="009D4C17" w:rsidRPr="004E7B8B">
        <w:t>misplaced,</w:t>
      </w:r>
      <w:r w:rsidRPr="004E7B8B">
        <w:t xml:space="preserve"> they will not be dealt with as a PID.</w:t>
      </w:r>
      <w:r w:rsidR="00CF786F">
        <w:t xml:space="preserve"> </w:t>
      </w:r>
      <w:r w:rsidRPr="004E7B8B">
        <w:t xml:space="preserve"> If information is assessed and determined not to be a PID, </w:t>
      </w:r>
      <w:r w:rsidRPr="00A36AEC">
        <w:t xml:space="preserve">the discloser </w:t>
      </w:r>
      <w:r w:rsidR="00A36AEC">
        <w:t>should</w:t>
      </w:r>
      <w:r w:rsidRPr="00A36AEC">
        <w:t xml:space="preserve"> be informed </w:t>
      </w:r>
      <w:r w:rsidR="00A36AEC">
        <w:t xml:space="preserve">of the decision and may be advised of an alternate means of addressing the complaint, if appropriate.  </w:t>
      </w:r>
    </w:p>
    <w:p w14:paraId="2DC7314F" w14:textId="77777777" w:rsidR="00A36AEC" w:rsidRDefault="00A36AEC" w:rsidP="0060581C">
      <w:pPr>
        <w:spacing w:line="240" w:lineRule="auto"/>
      </w:pPr>
      <w:r>
        <w:t>Decisions made under the Act are subject to review.  You may seek clarification about the decision from the disclosure officer, or request a formal review by the Public Sector Standards Commissioner.</w:t>
      </w:r>
    </w:p>
    <w:p w14:paraId="6292F58B" w14:textId="5E0C96A0" w:rsidR="00921BBD" w:rsidRDefault="00F53307" w:rsidP="00F574A1">
      <w:pPr>
        <w:spacing w:line="240" w:lineRule="auto"/>
      </w:pPr>
      <w:r>
        <w:rPr>
          <w:noProof/>
          <w:lang w:eastAsia="en-AU"/>
        </w:rPr>
        <mc:AlternateContent>
          <mc:Choice Requires="wps">
            <w:drawing>
              <wp:anchor distT="45720" distB="45720" distL="114300" distR="114300" simplePos="0" relativeHeight="251719680" behindDoc="0" locked="0" layoutInCell="1" allowOverlap="1" wp14:anchorId="443D580F" wp14:editId="0068157D">
                <wp:simplePos x="0" y="0"/>
                <wp:positionH relativeFrom="column">
                  <wp:posOffset>19050</wp:posOffset>
                </wp:positionH>
                <wp:positionV relativeFrom="paragraph">
                  <wp:posOffset>882015</wp:posOffset>
                </wp:positionV>
                <wp:extent cx="6286500" cy="485775"/>
                <wp:effectExtent l="0" t="0" r="19050" b="2857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85775"/>
                        </a:xfrm>
                        <a:prstGeom prst="rect">
                          <a:avLst/>
                        </a:prstGeom>
                        <a:solidFill>
                          <a:schemeClr val="accent5">
                            <a:lumMod val="20000"/>
                            <a:lumOff val="80000"/>
                          </a:schemeClr>
                        </a:solidFill>
                        <a:ln w="9525">
                          <a:solidFill>
                            <a:srgbClr val="000000"/>
                          </a:solidFill>
                          <a:miter lim="800000"/>
                          <a:headEnd/>
                          <a:tailEnd/>
                        </a:ln>
                      </wps:spPr>
                      <wps:txbx>
                        <w:txbxContent>
                          <w:p w14:paraId="3A629120" w14:textId="6AE8DED8" w:rsidR="00D85ECD" w:rsidRDefault="00D85ECD" w:rsidP="00F574A1">
                            <w:pPr>
                              <w:spacing w:line="240" w:lineRule="auto"/>
                            </w:pPr>
                            <w:r w:rsidRPr="00E91930">
                              <w:t>A disclosure that h</w:t>
                            </w:r>
                            <w:r>
                              <w:t xml:space="preserve">as been assessed as not qualifying as a </w:t>
                            </w:r>
                            <w:r w:rsidRPr="00E91930">
                              <w:t>PID may still be investigated in accordance with the P</w:t>
                            </w:r>
                            <w:r>
                              <w:t xml:space="preserve">ublic Sector Management </w:t>
                            </w:r>
                            <w:r w:rsidRPr="00E91930">
                              <w:t>Act or Enterprise Agreement,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D580F" id="_x0000_s1037" type="#_x0000_t202" style="position:absolute;margin-left:1.5pt;margin-top:69.45pt;width:495pt;height:38.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" fillcolor="#d9e2f3 [664]">
                <v:textbox>
                  <w:txbxContent>
                    <w:p w14:paraId="3A629120" w14:textId="6AE8DED8" w:rsidR="00D85ECD" w:rsidRDefault="00D85ECD" w:rsidP="00F574A1">
                      <w:pPr>
                        <w:spacing w:line="240" w:lineRule="auto"/>
                      </w:pPr>
                      <w:r w:rsidRPr="00E91930">
                        <w:t>A disclosure that h</w:t>
                      </w:r>
                      <w:r>
                        <w:t xml:space="preserve">as been assessed as not qualifying as a </w:t>
                      </w:r>
                      <w:r w:rsidRPr="00E91930">
                        <w:t>PID may still be investigated in accordance with the P</w:t>
                      </w:r>
                      <w:r>
                        <w:t xml:space="preserve">ublic Sector Management </w:t>
                      </w:r>
                      <w:r w:rsidRPr="00E91930">
                        <w:t>Act or Enterprise Agreement, as appropriate.</w:t>
                      </w:r>
                    </w:p>
                  </w:txbxContent>
                </v:textbox>
                <w10:wrap type="topAndBottom"/>
              </v:shape>
            </w:pict>
          </mc:Fallback>
        </mc:AlternateContent>
      </w:r>
      <w:r w:rsidR="00A97533">
        <w:t xml:space="preserve">The </w:t>
      </w:r>
      <w:r w:rsidR="0088765C">
        <w:t>ACT O</w:t>
      </w:r>
      <w:r w:rsidR="004E7B8B" w:rsidRPr="004E7B8B">
        <w:t xml:space="preserve">mbudsman is also available to investigate complaints about the actions and decisions of entities to determine if they are wrong, unjust, unlawful or discriminatory. As a general rule, however, the ACT Ombudsman will not investigate a complaint unless the concern has been raised with the entity concerned and an attempt has </w:t>
      </w:r>
      <w:r w:rsidR="00192D12">
        <w:t>been made to solve the problem.</w:t>
      </w:r>
      <w:r w:rsidR="00921BBD">
        <w:br w:type="page"/>
      </w:r>
    </w:p>
    <w:p w14:paraId="29FA6944" w14:textId="77777777" w:rsidR="004E7B8B" w:rsidRPr="007F7A18" w:rsidRDefault="004E7B8B" w:rsidP="00172513">
      <w:pPr>
        <w:rPr>
          <w:b/>
          <w:bCs/>
          <w:sz w:val="28"/>
          <w:szCs w:val="28"/>
        </w:rPr>
      </w:pPr>
      <w:r w:rsidRPr="007F7A18">
        <w:rPr>
          <w:b/>
          <w:bCs/>
          <w:sz w:val="28"/>
          <w:szCs w:val="28"/>
        </w:rPr>
        <w:lastRenderedPageBreak/>
        <w:t>Part Two</w:t>
      </w:r>
      <w:r w:rsidR="00192D12" w:rsidRPr="007F7A18">
        <w:rPr>
          <w:b/>
          <w:bCs/>
          <w:sz w:val="28"/>
          <w:szCs w:val="28"/>
        </w:rPr>
        <w:t>:</w:t>
      </w:r>
      <w:r w:rsidR="00870F05" w:rsidRPr="007F7A18">
        <w:rPr>
          <w:b/>
          <w:bCs/>
          <w:sz w:val="28"/>
          <w:szCs w:val="28"/>
        </w:rPr>
        <w:t xml:space="preserve"> </w:t>
      </w:r>
      <w:r w:rsidR="001F7B91" w:rsidRPr="007F7A18">
        <w:rPr>
          <w:b/>
          <w:bCs/>
          <w:sz w:val="28"/>
          <w:szCs w:val="28"/>
        </w:rPr>
        <w:t xml:space="preserve"> </w:t>
      </w:r>
      <w:r w:rsidR="00785CD7" w:rsidRPr="007F7A18">
        <w:rPr>
          <w:b/>
          <w:bCs/>
          <w:sz w:val="28"/>
          <w:szCs w:val="28"/>
        </w:rPr>
        <w:t>Manag</w:t>
      </w:r>
      <w:r w:rsidR="001652B6" w:rsidRPr="007F7A18">
        <w:rPr>
          <w:b/>
          <w:bCs/>
          <w:sz w:val="28"/>
          <w:szCs w:val="28"/>
        </w:rPr>
        <w:t>ement</w:t>
      </w:r>
      <w:r w:rsidR="00785CD7" w:rsidRPr="007F7A18">
        <w:rPr>
          <w:b/>
          <w:bCs/>
          <w:sz w:val="28"/>
          <w:szCs w:val="28"/>
        </w:rPr>
        <w:t xml:space="preserve"> of disclosures by ACT </w:t>
      </w:r>
      <w:r w:rsidR="00CF786F" w:rsidRPr="007F7A18">
        <w:rPr>
          <w:b/>
          <w:bCs/>
          <w:sz w:val="28"/>
          <w:szCs w:val="28"/>
        </w:rPr>
        <w:t>P</w:t>
      </w:r>
      <w:r w:rsidR="00785CD7" w:rsidRPr="007F7A18">
        <w:rPr>
          <w:b/>
          <w:bCs/>
          <w:sz w:val="28"/>
          <w:szCs w:val="28"/>
        </w:rPr>
        <w:t xml:space="preserve">ublic </w:t>
      </w:r>
      <w:r w:rsidR="00CF786F" w:rsidRPr="007F7A18">
        <w:rPr>
          <w:b/>
          <w:bCs/>
          <w:sz w:val="28"/>
          <w:szCs w:val="28"/>
        </w:rPr>
        <w:t>S</w:t>
      </w:r>
      <w:r w:rsidR="00785CD7" w:rsidRPr="007F7A18">
        <w:rPr>
          <w:b/>
          <w:bCs/>
          <w:sz w:val="28"/>
          <w:szCs w:val="28"/>
        </w:rPr>
        <w:t xml:space="preserve">ector </w:t>
      </w:r>
      <w:r w:rsidR="00CF786F" w:rsidRPr="007F7A18">
        <w:rPr>
          <w:b/>
          <w:bCs/>
          <w:sz w:val="28"/>
          <w:szCs w:val="28"/>
        </w:rPr>
        <w:t>E</w:t>
      </w:r>
      <w:r w:rsidR="00785CD7" w:rsidRPr="007F7A18">
        <w:rPr>
          <w:b/>
          <w:bCs/>
          <w:sz w:val="28"/>
          <w:szCs w:val="28"/>
        </w:rPr>
        <w:t>ntities.</w:t>
      </w:r>
      <w:r w:rsidRPr="007F7A18">
        <w:rPr>
          <w:b/>
          <w:bCs/>
          <w:sz w:val="28"/>
          <w:szCs w:val="28"/>
        </w:rPr>
        <w:tab/>
      </w:r>
    </w:p>
    <w:p w14:paraId="06A52DAC" w14:textId="77777777" w:rsidR="004E7B8B" w:rsidRPr="004E7B8B" w:rsidRDefault="004E7B8B" w:rsidP="0060581C">
      <w:pPr>
        <w:spacing w:line="240" w:lineRule="auto"/>
      </w:pPr>
      <w:r w:rsidRPr="004E7B8B">
        <w:t>This part outlines the integrated management approach entities should follow in handling of disclosures. It will be of particular use to those involved in receiving and managing PIDs. It outlines the responsibilities of disclosure officers, entities and the Commissioner.</w:t>
      </w:r>
    </w:p>
    <w:p w14:paraId="09D5DC68" w14:textId="77777777" w:rsidR="004E7B8B" w:rsidRPr="004E7B8B" w:rsidRDefault="004E7B8B" w:rsidP="0060581C">
      <w:pPr>
        <w:spacing w:line="240" w:lineRule="auto"/>
      </w:pPr>
      <w:r w:rsidRPr="004E7B8B">
        <w:t xml:space="preserve">It articulates what to do when a disclosure is received, the types of information that might amount to a PID, the steps a disclosure officer should follow in actioning a disclosure, the parameters an entity must work within in handling a disclosure, and the functions of the </w:t>
      </w:r>
      <w:r w:rsidR="00C1207A">
        <w:t xml:space="preserve">Public Sector Standards </w:t>
      </w:r>
      <w:r w:rsidRPr="004E7B8B">
        <w:t>Commissioner in overseeing the handling of disclosures.</w:t>
      </w:r>
    </w:p>
    <w:p w14:paraId="7A6F679C" w14:textId="2FDE064D" w:rsidR="005727D9" w:rsidRDefault="004E7B8B" w:rsidP="005727D9">
      <w:pPr>
        <w:spacing w:after="0" w:line="240" w:lineRule="auto"/>
      </w:pPr>
      <w:r w:rsidRPr="004E7B8B">
        <w:t xml:space="preserve">It also reminds entities of their reporting </w:t>
      </w:r>
      <w:r w:rsidR="003B51F6" w:rsidRPr="004E7B8B">
        <w:t>responsibilities</w:t>
      </w:r>
      <w:r w:rsidR="003B51F6">
        <w:t xml:space="preserve"> and</w:t>
      </w:r>
      <w:r w:rsidR="00925B6C">
        <w:t xml:space="preserve"> underlines the importance of timely </w:t>
      </w:r>
      <w:r w:rsidR="004D3D9D">
        <w:t>processes.</w:t>
      </w:r>
      <w:bookmarkStart w:id="19" w:name="_bookmark18"/>
      <w:bookmarkEnd w:id="19"/>
    </w:p>
    <w:p w14:paraId="4D03CAD9" w14:textId="77777777" w:rsidR="005727D9" w:rsidRDefault="005727D9" w:rsidP="005727D9">
      <w:pPr>
        <w:spacing w:after="0" w:line="240" w:lineRule="auto"/>
      </w:pPr>
    </w:p>
    <w:p w14:paraId="65A8EC3E" w14:textId="1EE6B2A0" w:rsidR="004E7B8B" w:rsidRDefault="008D1E51" w:rsidP="005727D9">
      <w:pPr>
        <w:spacing w:after="0" w:line="240" w:lineRule="auto"/>
        <w:rPr>
          <w:b/>
          <w:bCs/>
          <w:u w:val="single"/>
        </w:rPr>
      </w:pPr>
      <w:r>
        <w:rPr>
          <w:b/>
          <w:bCs/>
        </w:rPr>
        <w:t xml:space="preserve">3. </w:t>
      </w:r>
      <w:r w:rsidR="004E7B8B" w:rsidRPr="00D80700">
        <w:rPr>
          <w:b/>
          <w:bCs/>
          <w:u w:val="single"/>
        </w:rPr>
        <w:t xml:space="preserve">Responsibilities of </w:t>
      </w:r>
      <w:r w:rsidR="00C1207A" w:rsidRPr="00D80700">
        <w:rPr>
          <w:b/>
          <w:bCs/>
          <w:u w:val="single"/>
        </w:rPr>
        <w:t>ACT Public S</w:t>
      </w:r>
      <w:r w:rsidR="00832431" w:rsidRPr="00D80700">
        <w:rPr>
          <w:b/>
          <w:bCs/>
          <w:u w:val="single"/>
        </w:rPr>
        <w:t xml:space="preserve">ector </w:t>
      </w:r>
      <w:r w:rsidR="00470C3E">
        <w:rPr>
          <w:b/>
          <w:bCs/>
          <w:u w:val="single"/>
        </w:rPr>
        <w:t>e</w:t>
      </w:r>
      <w:r w:rsidR="004E7B8B" w:rsidRPr="00D80700">
        <w:rPr>
          <w:b/>
          <w:bCs/>
          <w:u w:val="single"/>
        </w:rPr>
        <w:t>ntities</w:t>
      </w:r>
    </w:p>
    <w:p w14:paraId="064F4EBE" w14:textId="77777777" w:rsidR="005727D9" w:rsidRPr="00D80700" w:rsidRDefault="005727D9" w:rsidP="005727D9">
      <w:pPr>
        <w:spacing w:after="0" w:line="240" w:lineRule="auto"/>
      </w:pPr>
    </w:p>
    <w:p w14:paraId="1252C3E1" w14:textId="77777777" w:rsidR="005727D9" w:rsidRDefault="00E74BE3" w:rsidP="008B0684">
      <w:pPr>
        <w:spacing w:after="0" w:line="240" w:lineRule="auto"/>
        <w:rPr>
          <w:bCs/>
        </w:rPr>
      </w:pPr>
      <w:r>
        <w:rPr>
          <w:bCs/>
        </w:rPr>
        <w:t>Because the ACT Public Sector is committed to ensuring the effective and timely management of PID processes, all entities are expected to have effective and efficient processes in place for the management of disclosures received from employees and members of the public.</w:t>
      </w:r>
      <w:bookmarkStart w:id="20" w:name="_bookmark19"/>
      <w:bookmarkEnd w:id="20"/>
    </w:p>
    <w:p w14:paraId="582AD0A2" w14:textId="77777777" w:rsidR="005727D9" w:rsidRDefault="005727D9" w:rsidP="008B0684">
      <w:pPr>
        <w:spacing w:after="0" w:line="240" w:lineRule="auto"/>
        <w:rPr>
          <w:bCs/>
        </w:rPr>
      </w:pPr>
    </w:p>
    <w:p w14:paraId="690C42D9" w14:textId="0C313E2C" w:rsidR="004E7B8B" w:rsidRPr="005727D9" w:rsidRDefault="003B2C73" w:rsidP="008B0684">
      <w:pPr>
        <w:spacing w:after="0" w:line="240" w:lineRule="auto"/>
        <w:rPr>
          <w:bCs/>
        </w:rPr>
      </w:pPr>
      <w:r>
        <w:rPr>
          <w:b/>
          <w:bCs/>
          <w:iCs/>
        </w:rPr>
        <w:t xml:space="preserve">3.1 </w:t>
      </w:r>
      <w:r w:rsidR="004E7B8B" w:rsidRPr="00851F46">
        <w:rPr>
          <w:b/>
          <w:bCs/>
          <w:iCs/>
          <w:u w:val="single"/>
        </w:rPr>
        <w:t>What must each entity do under the Act?</w:t>
      </w:r>
    </w:p>
    <w:p w14:paraId="166D65F0" w14:textId="77777777" w:rsidR="00E74BE3" w:rsidRPr="00851F46" w:rsidRDefault="00E74BE3" w:rsidP="008B0684">
      <w:pPr>
        <w:spacing w:after="0" w:line="240" w:lineRule="auto"/>
        <w:rPr>
          <w:b/>
          <w:bCs/>
          <w:iCs/>
          <w:u w:val="single"/>
        </w:rPr>
      </w:pPr>
    </w:p>
    <w:p w14:paraId="7DEC5943" w14:textId="77777777" w:rsidR="004E7B8B" w:rsidRPr="004E7B8B" w:rsidRDefault="004E7B8B" w:rsidP="008B0684">
      <w:pPr>
        <w:spacing w:line="240" w:lineRule="auto"/>
      </w:pPr>
      <w:r w:rsidRPr="004E7B8B">
        <w:t>Each entity has a number of responsibilities under the Act. Each must:</w:t>
      </w:r>
    </w:p>
    <w:p w14:paraId="6F295E91" w14:textId="77777777" w:rsidR="004E7B8B" w:rsidRPr="004E7B8B" w:rsidRDefault="004E7B8B" w:rsidP="008B0684">
      <w:pPr>
        <w:numPr>
          <w:ilvl w:val="0"/>
          <w:numId w:val="2"/>
        </w:numPr>
        <w:spacing w:line="240" w:lineRule="auto"/>
      </w:pPr>
      <w:r w:rsidRPr="004E7B8B">
        <w:t>declare at least one disclosure officer;</w:t>
      </w:r>
    </w:p>
    <w:p w14:paraId="211DCB00" w14:textId="77777777" w:rsidR="004E7B8B" w:rsidRPr="004E7B8B" w:rsidRDefault="004E7B8B" w:rsidP="008B0684">
      <w:pPr>
        <w:numPr>
          <w:ilvl w:val="0"/>
          <w:numId w:val="2"/>
        </w:numPr>
        <w:spacing w:line="240" w:lineRule="auto"/>
      </w:pPr>
      <w:r w:rsidRPr="004E7B8B">
        <w:t>keep the list of disclosure officers current;</w:t>
      </w:r>
    </w:p>
    <w:p w14:paraId="0F018F40" w14:textId="77777777" w:rsidR="004E7B8B" w:rsidRPr="004E7B8B" w:rsidRDefault="004E7B8B" w:rsidP="008B0684">
      <w:pPr>
        <w:numPr>
          <w:ilvl w:val="0"/>
          <w:numId w:val="2"/>
        </w:numPr>
        <w:spacing w:line="240" w:lineRule="auto"/>
      </w:pPr>
      <w:r w:rsidRPr="004E7B8B">
        <w:t>make information on entity procedures accessible;</w:t>
      </w:r>
    </w:p>
    <w:p w14:paraId="49E15255" w14:textId="77777777" w:rsidR="004E7B8B" w:rsidRPr="004E7B8B" w:rsidRDefault="004E7B8B" w:rsidP="008B0684">
      <w:pPr>
        <w:numPr>
          <w:ilvl w:val="0"/>
          <w:numId w:val="2"/>
        </w:numPr>
        <w:spacing w:line="240" w:lineRule="auto"/>
      </w:pPr>
      <w:r w:rsidRPr="004E7B8B">
        <w:t xml:space="preserve">notify the </w:t>
      </w:r>
      <w:r w:rsidR="001B3497">
        <w:t xml:space="preserve">Public Sector Standards </w:t>
      </w:r>
      <w:r w:rsidRPr="004E7B8B">
        <w:t>C</w:t>
      </w:r>
      <w:r w:rsidR="00B33444">
        <w:t xml:space="preserve">ommissioner of any disclosures received </w:t>
      </w:r>
      <w:r w:rsidRPr="004E7B8B">
        <w:t xml:space="preserve">which </w:t>
      </w:r>
      <w:r w:rsidR="00B33444">
        <w:t>have been determined to be PIDs</w:t>
      </w:r>
      <w:r w:rsidRPr="004E7B8B">
        <w:t>;</w:t>
      </w:r>
    </w:p>
    <w:p w14:paraId="642056AD" w14:textId="77777777" w:rsidR="004E7B8B" w:rsidRDefault="004E7B8B" w:rsidP="008B0684">
      <w:pPr>
        <w:numPr>
          <w:ilvl w:val="0"/>
          <w:numId w:val="2"/>
        </w:numPr>
        <w:spacing w:line="240" w:lineRule="auto"/>
      </w:pPr>
      <w:r w:rsidRPr="004E7B8B">
        <w:t>determine whether to investigate a disclosure or whether a matter needs to be referred to another entity for investigation;</w:t>
      </w:r>
    </w:p>
    <w:p w14:paraId="5429DD8B" w14:textId="7D250FA6" w:rsidR="001B1FB0" w:rsidRPr="004E7B8B" w:rsidRDefault="001B1FB0" w:rsidP="008B0684">
      <w:pPr>
        <w:numPr>
          <w:ilvl w:val="0"/>
          <w:numId w:val="2"/>
        </w:numPr>
        <w:spacing w:line="240" w:lineRule="auto"/>
      </w:pPr>
      <w:r>
        <w:t>conduct</w:t>
      </w:r>
      <w:r w:rsidR="00921BBD">
        <w:t xml:space="preserve"> appropriate</w:t>
      </w:r>
      <w:r>
        <w:t xml:space="preserve"> investigation of </w:t>
      </w:r>
      <w:r w:rsidR="00921BBD">
        <w:t>disclosures</w:t>
      </w:r>
      <w:r>
        <w:t>;</w:t>
      </w:r>
    </w:p>
    <w:p w14:paraId="47AA15D8" w14:textId="11D63CF5" w:rsidR="004E7B8B" w:rsidRPr="004E7B8B" w:rsidRDefault="004E7B8B" w:rsidP="008B0684">
      <w:pPr>
        <w:numPr>
          <w:ilvl w:val="0"/>
          <w:numId w:val="2"/>
        </w:numPr>
        <w:spacing w:line="240" w:lineRule="auto"/>
      </w:pPr>
      <w:r w:rsidRPr="004E7B8B">
        <w:t>keep the discloser</w:t>
      </w:r>
      <w:r w:rsidR="00B86B84">
        <w:t xml:space="preserve">, the </w:t>
      </w:r>
      <w:r w:rsidR="001B3497">
        <w:t xml:space="preserve">Public Sector Standards </w:t>
      </w:r>
      <w:r w:rsidR="00B86B84">
        <w:t>Commissioner,</w:t>
      </w:r>
      <w:r w:rsidRPr="004E7B8B">
        <w:t xml:space="preserve"> and other parties informed during the process in accordance with the timeframes and other requirements in the Act; </w:t>
      </w:r>
    </w:p>
    <w:p w14:paraId="456D7397" w14:textId="26C5F33D" w:rsidR="00164239" w:rsidRDefault="004E7B8B" w:rsidP="008B0684">
      <w:pPr>
        <w:numPr>
          <w:ilvl w:val="0"/>
          <w:numId w:val="2"/>
        </w:numPr>
        <w:spacing w:line="240" w:lineRule="auto"/>
      </w:pPr>
      <w:r w:rsidRPr="004E7B8B">
        <w:t>take action if disclosable conduct is proven</w:t>
      </w:r>
      <w:r w:rsidR="00164239">
        <w:t>; and</w:t>
      </w:r>
    </w:p>
    <w:p w14:paraId="6314E7FE" w14:textId="62ED3AF9" w:rsidR="004E7B8B" w:rsidRPr="004E7B8B" w:rsidRDefault="00164239" w:rsidP="005727D9">
      <w:pPr>
        <w:numPr>
          <w:ilvl w:val="0"/>
          <w:numId w:val="2"/>
        </w:numPr>
        <w:spacing w:after="0" w:line="240" w:lineRule="auto"/>
      </w:pPr>
      <w:r>
        <w:t>inform the discloser, Public Sector Standards Commissioner, and referring entity of outcome and actions taken.</w:t>
      </w:r>
    </w:p>
    <w:p w14:paraId="2AB7BE64" w14:textId="77777777" w:rsidR="00164239" w:rsidRDefault="00164239" w:rsidP="005727D9">
      <w:pPr>
        <w:spacing w:after="0" w:line="240" w:lineRule="auto"/>
        <w:ind w:left="720"/>
        <w:rPr>
          <w:b/>
          <w:u w:val="single"/>
        </w:rPr>
      </w:pPr>
    </w:p>
    <w:p w14:paraId="5F2D4BEC" w14:textId="70BB64A5" w:rsidR="00921BBD" w:rsidRDefault="003B2C73" w:rsidP="005727D9">
      <w:pPr>
        <w:spacing w:after="0" w:line="240" w:lineRule="auto"/>
        <w:rPr>
          <w:b/>
          <w:u w:val="single"/>
        </w:rPr>
      </w:pPr>
      <w:r>
        <w:rPr>
          <w:b/>
        </w:rPr>
        <w:t xml:space="preserve">3.2 </w:t>
      </w:r>
      <w:r w:rsidR="00F23BC6">
        <w:rPr>
          <w:b/>
          <w:u w:val="single"/>
        </w:rPr>
        <w:t>Delegation of r</w:t>
      </w:r>
      <w:r w:rsidR="00921BBD" w:rsidRPr="00F574A1">
        <w:rPr>
          <w:b/>
          <w:u w:val="single"/>
        </w:rPr>
        <w:t>esponsibilities:</w:t>
      </w:r>
    </w:p>
    <w:p w14:paraId="32AD5201" w14:textId="77777777" w:rsidR="00921BBD" w:rsidRPr="00F574A1" w:rsidRDefault="00921BBD" w:rsidP="008B0684">
      <w:pPr>
        <w:spacing w:after="0" w:line="240" w:lineRule="auto"/>
        <w:rPr>
          <w:b/>
          <w:u w:val="single"/>
        </w:rPr>
      </w:pPr>
    </w:p>
    <w:p w14:paraId="3414E406" w14:textId="0E7FEAA5" w:rsidR="004E7B8B" w:rsidRDefault="004E7B8B" w:rsidP="008B0684">
      <w:pPr>
        <w:spacing w:after="0" w:line="240" w:lineRule="auto"/>
      </w:pPr>
      <w:r w:rsidRPr="004E7B8B">
        <w:t xml:space="preserve">The head of each </w:t>
      </w:r>
      <w:r w:rsidR="00214CD9">
        <w:t xml:space="preserve">ACT </w:t>
      </w:r>
      <w:r w:rsidR="001B3497">
        <w:t xml:space="preserve">Public Sector </w:t>
      </w:r>
      <w:r w:rsidR="00A15729">
        <w:t>e</w:t>
      </w:r>
      <w:r w:rsidRPr="004E7B8B">
        <w:t xml:space="preserve">ntity has responsibility for these actions and should determine whether delegations are to be established </w:t>
      </w:r>
      <w:r w:rsidR="00322301">
        <w:t xml:space="preserve">in relation to </w:t>
      </w:r>
      <w:r w:rsidR="00E51575">
        <w:t>these</w:t>
      </w:r>
      <w:r w:rsidR="00322301">
        <w:t xml:space="preserve"> matters</w:t>
      </w:r>
      <w:r w:rsidRPr="004E7B8B">
        <w:t xml:space="preserve">. </w:t>
      </w:r>
      <w:r w:rsidR="001435ED">
        <w:t>T</w:t>
      </w:r>
      <w:r w:rsidRPr="004E7B8B">
        <w:t>he head of an</w:t>
      </w:r>
      <w:r w:rsidR="00A72134">
        <w:t xml:space="preserve"> ACT</w:t>
      </w:r>
      <w:r w:rsidRPr="004E7B8B">
        <w:t xml:space="preserve"> </w:t>
      </w:r>
      <w:r w:rsidR="001B3497">
        <w:t>Public Sector</w:t>
      </w:r>
      <w:r w:rsidR="002B2888">
        <w:t xml:space="preserve"> entity</w:t>
      </w:r>
      <w:r w:rsidR="00F3648F">
        <w:t xml:space="preserve">, in declaring who will be a </w:t>
      </w:r>
      <w:r w:rsidR="001435ED">
        <w:t>disclosure officer,</w:t>
      </w:r>
      <w:r w:rsidR="001B3497">
        <w:t xml:space="preserve"> </w:t>
      </w:r>
      <w:r w:rsidR="001435ED">
        <w:t>must</w:t>
      </w:r>
      <w:r w:rsidRPr="004E7B8B">
        <w:t xml:space="preserve"> do so in writing and place this document on the legislation register by notifiable instrument.</w:t>
      </w:r>
      <w:r w:rsidR="001B3497">
        <w:t xml:space="preserve">  </w:t>
      </w:r>
      <w:r w:rsidR="00B2319B">
        <w:t xml:space="preserve">The ACT </w:t>
      </w:r>
      <w:r w:rsidR="001B3497" w:rsidRPr="001B3497">
        <w:t>Legis</w:t>
      </w:r>
      <w:r w:rsidR="001B3497">
        <w:t>lation Register</w:t>
      </w:r>
      <w:r w:rsidR="00B2319B">
        <w:t xml:space="preserve"> for the PID Act </w:t>
      </w:r>
      <w:r w:rsidR="001B3497">
        <w:t>is available at</w:t>
      </w:r>
      <w:r w:rsidR="00B2319B">
        <w:t xml:space="preserve"> </w:t>
      </w:r>
      <w:hyperlink r:id="rId14" w:history="1">
        <w:r w:rsidR="00B2319B" w:rsidRPr="009C4ECC">
          <w:rPr>
            <w:rStyle w:val="Hyperlink"/>
          </w:rPr>
          <w:t>https://www.legislation.act.gov.au/a/2012-43/</w:t>
        </w:r>
      </w:hyperlink>
      <w:r w:rsidR="00B2319B">
        <w:t>.</w:t>
      </w:r>
    </w:p>
    <w:p w14:paraId="1BA029D7" w14:textId="6A71D47A" w:rsidR="00E51575" w:rsidRDefault="00E51575" w:rsidP="008B0684">
      <w:pPr>
        <w:spacing w:after="0" w:line="240" w:lineRule="auto"/>
      </w:pPr>
    </w:p>
    <w:p w14:paraId="2BF12F14" w14:textId="08A3302C" w:rsidR="00E51575" w:rsidRDefault="00E51575" w:rsidP="008B0684">
      <w:pPr>
        <w:spacing w:after="0" w:line="240" w:lineRule="auto"/>
      </w:pPr>
      <w:r>
        <w:t xml:space="preserve">It is important that </w:t>
      </w:r>
      <w:r w:rsidR="003001A2">
        <w:t>public sector entities maintain</w:t>
      </w:r>
      <w:r w:rsidR="00FF46F6">
        <w:t xml:space="preserve"> current delegations for discharging</w:t>
      </w:r>
      <w:r w:rsidR="00082567">
        <w:t xml:space="preserve"> their responsibilities under the PID Act, as determined by the head of each entity.</w:t>
      </w:r>
    </w:p>
    <w:p w14:paraId="65E599E2" w14:textId="79C159D4" w:rsidR="004E7B8B" w:rsidRDefault="003B2C73" w:rsidP="008B0684">
      <w:pPr>
        <w:spacing w:after="0" w:line="240" w:lineRule="auto"/>
        <w:rPr>
          <w:b/>
          <w:bCs/>
          <w:iCs/>
          <w:u w:val="single"/>
        </w:rPr>
      </w:pPr>
      <w:bookmarkStart w:id="21" w:name="_bookmark20"/>
      <w:bookmarkEnd w:id="21"/>
      <w:r>
        <w:rPr>
          <w:b/>
          <w:bCs/>
          <w:iCs/>
        </w:rPr>
        <w:lastRenderedPageBreak/>
        <w:t xml:space="preserve">3.3 </w:t>
      </w:r>
      <w:r w:rsidR="003C6266" w:rsidRPr="00D80700">
        <w:rPr>
          <w:b/>
          <w:bCs/>
          <w:iCs/>
          <w:u w:val="single"/>
        </w:rPr>
        <w:t>Publish</w:t>
      </w:r>
      <w:r w:rsidR="00935E5B" w:rsidRPr="00D80700">
        <w:rPr>
          <w:b/>
          <w:bCs/>
          <w:iCs/>
          <w:u w:val="single"/>
        </w:rPr>
        <w:t xml:space="preserve"> PID </w:t>
      </w:r>
      <w:r w:rsidR="003C6266" w:rsidRPr="00D80700">
        <w:rPr>
          <w:b/>
          <w:bCs/>
          <w:iCs/>
          <w:u w:val="single"/>
        </w:rPr>
        <w:t>p</w:t>
      </w:r>
      <w:r w:rsidR="004E7B8B" w:rsidRPr="00D80700">
        <w:rPr>
          <w:b/>
          <w:bCs/>
          <w:iCs/>
          <w:u w:val="single"/>
        </w:rPr>
        <w:t>rocedures</w:t>
      </w:r>
    </w:p>
    <w:p w14:paraId="344D6585" w14:textId="77777777" w:rsidR="00B2319B" w:rsidRPr="00D80700" w:rsidRDefault="00B2319B" w:rsidP="008B0684">
      <w:pPr>
        <w:spacing w:after="0" w:line="240" w:lineRule="auto"/>
        <w:rPr>
          <w:b/>
          <w:bCs/>
          <w:iCs/>
          <w:u w:val="single"/>
        </w:rPr>
      </w:pPr>
    </w:p>
    <w:p w14:paraId="183C60CE" w14:textId="77777777" w:rsidR="004E7B8B" w:rsidRPr="004E7B8B" w:rsidRDefault="004E7B8B" w:rsidP="008B0684">
      <w:pPr>
        <w:spacing w:line="240" w:lineRule="auto"/>
      </w:pPr>
      <w:r w:rsidRPr="004E7B8B">
        <w:t xml:space="preserve">Under Section 33 of the Act, entities are required to prepare and publish procedures about how they intend to deal with disclosures and those </w:t>
      </w:r>
      <w:r w:rsidRPr="00B33444">
        <w:rPr>
          <w:bCs/>
        </w:rPr>
        <w:t xml:space="preserve">procedures must be approved by the </w:t>
      </w:r>
      <w:r w:rsidR="001B3497">
        <w:rPr>
          <w:bCs/>
        </w:rPr>
        <w:t xml:space="preserve">Public Sector Standards </w:t>
      </w:r>
      <w:r w:rsidRPr="00B33444">
        <w:rPr>
          <w:bCs/>
        </w:rPr>
        <w:t>Commissioner</w:t>
      </w:r>
      <w:r w:rsidRPr="004E7B8B">
        <w:t>.</w:t>
      </w:r>
    </w:p>
    <w:p w14:paraId="5F5A8F3B" w14:textId="1AB394CD" w:rsidR="004E7B8B" w:rsidRPr="004E7B8B" w:rsidRDefault="004E7B8B" w:rsidP="008B0684">
      <w:pPr>
        <w:spacing w:line="240" w:lineRule="auto"/>
      </w:pPr>
      <w:r w:rsidRPr="004E7B8B">
        <w:t>Entities may choose to adopt these guidelines and apply them as their PID procedures. In the event that these guidelines are updated, entities who have adopted these guidelines as their entity</w:t>
      </w:r>
      <w:bookmarkStart w:id="22" w:name="_bookmark21"/>
      <w:bookmarkEnd w:id="22"/>
      <w:r w:rsidRPr="004E7B8B">
        <w:t xml:space="preserve"> procedures </w:t>
      </w:r>
      <w:r w:rsidR="00F279D6">
        <w:t>may</w:t>
      </w:r>
      <w:r w:rsidRPr="004E7B8B">
        <w:t xml:space="preserve"> be required to revise their </w:t>
      </w:r>
      <w:r w:rsidR="00F3648F">
        <w:t xml:space="preserve">internal </w:t>
      </w:r>
      <w:r w:rsidRPr="004E7B8B">
        <w:t>procedures. Entities intending to do this should publish a statement that they adopt these guidelines (which may be amended from time to time),</w:t>
      </w:r>
      <w:r w:rsidR="00D312AA">
        <w:t xml:space="preserve"> </w:t>
      </w:r>
      <w:r w:rsidRPr="004E7B8B">
        <w:t>and name their disclosure officer</w:t>
      </w:r>
      <w:r w:rsidR="00F3648F">
        <w:t>(</w:t>
      </w:r>
      <w:r w:rsidRPr="004E7B8B">
        <w:t>s</w:t>
      </w:r>
      <w:r w:rsidR="00F3648F">
        <w:t>)</w:t>
      </w:r>
      <w:r w:rsidRPr="004E7B8B">
        <w:t xml:space="preserve"> in keeping with the requirements of Section 11 (2) of the Act. In addition, entities must provide a copy of the statement endorsing the guidelines to the </w:t>
      </w:r>
      <w:r w:rsidR="0075134C">
        <w:t xml:space="preserve">Public Sector Standards </w:t>
      </w:r>
      <w:r w:rsidRPr="004E7B8B">
        <w:t>Commissioner for approval.</w:t>
      </w:r>
    </w:p>
    <w:p w14:paraId="3035C6D1" w14:textId="77777777" w:rsidR="00FF3403" w:rsidRDefault="004E7B8B" w:rsidP="008B0684">
      <w:pPr>
        <w:spacing w:after="0" w:line="240" w:lineRule="auto"/>
      </w:pPr>
      <w:r w:rsidRPr="004E7B8B">
        <w:t xml:space="preserve">Where entities require specific amendments/additions to reflect their particular circumstances, these must be approved by the </w:t>
      </w:r>
      <w:r w:rsidR="0075134C">
        <w:t xml:space="preserve">Public Sector Standards </w:t>
      </w:r>
      <w:r w:rsidRPr="004E7B8B">
        <w:t>Commissioner.</w:t>
      </w:r>
      <w:bookmarkStart w:id="23" w:name="_bookmark22"/>
      <w:bookmarkEnd w:id="23"/>
    </w:p>
    <w:p w14:paraId="1A19077C" w14:textId="77777777" w:rsidR="00FF3403" w:rsidRDefault="00FF3403" w:rsidP="008B0684">
      <w:pPr>
        <w:spacing w:after="0" w:line="240" w:lineRule="auto"/>
      </w:pPr>
    </w:p>
    <w:p w14:paraId="4D40E56E" w14:textId="04060693" w:rsidR="007959E9" w:rsidRPr="005727D9" w:rsidRDefault="005727D9" w:rsidP="008B0684">
      <w:pPr>
        <w:spacing w:after="0" w:line="240" w:lineRule="auto"/>
        <w:rPr>
          <w:u w:val="single"/>
        </w:rPr>
      </w:pPr>
      <w:r>
        <w:rPr>
          <w:b/>
          <w:bCs/>
          <w:iCs/>
        </w:rPr>
        <w:t xml:space="preserve">3.4 </w:t>
      </w:r>
      <w:r w:rsidRPr="005727D9">
        <w:rPr>
          <w:b/>
          <w:bCs/>
          <w:iCs/>
          <w:u w:val="single"/>
        </w:rPr>
        <w:t>Manage</w:t>
      </w:r>
      <w:r w:rsidR="00625CEB" w:rsidRPr="005727D9">
        <w:rPr>
          <w:b/>
          <w:bCs/>
          <w:iCs/>
          <w:u w:val="single"/>
        </w:rPr>
        <w:t xml:space="preserve"> the </w:t>
      </w:r>
      <w:r w:rsidR="00B33444" w:rsidRPr="005727D9">
        <w:rPr>
          <w:b/>
          <w:bCs/>
          <w:iCs/>
          <w:u w:val="single"/>
        </w:rPr>
        <w:t>P</w:t>
      </w:r>
      <w:r w:rsidR="001854C6" w:rsidRPr="005727D9">
        <w:rPr>
          <w:b/>
          <w:bCs/>
          <w:iCs/>
          <w:u w:val="single"/>
        </w:rPr>
        <w:t>ublic Interest Disclosure</w:t>
      </w:r>
      <w:r w:rsidR="00B33444" w:rsidRPr="005727D9">
        <w:rPr>
          <w:b/>
          <w:bCs/>
          <w:iCs/>
          <w:u w:val="single"/>
        </w:rPr>
        <w:t xml:space="preserve"> </w:t>
      </w:r>
      <w:r w:rsidR="00625CEB" w:rsidRPr="005727D9">
        <w:rPr>
          <w:b/>
          <w:bCs/>
          <w:iCs/>
          <w:u w:val="single"/>
        </w:rPr>
        <w:t>Process</w:t>
      </w:r>
    </w:p>
    <w:p w14:paraId="4DAE8E71" w14:textId="77777777" w:rsidR="007959E9" w:rsidRDefault="007959E9" w:rsidP="008B0684">
      <w:pPr>
        <w:spacing w:after="0" w:line="240" w:lineRule="auto"/>
        <w:rPr>
          <w:b/>
          <w:bCs/>
          <w:iCs/>
          <w:sz w:val="24"/>
          <w:szCs w:val="24"/>
          <w:u w:val="single"/>
        </w:rPr>
      </w:pPr>
    </w:p>
    <w:p w14:paraId="3C9B6AF4" w14:textId="77777777" w:rsidR="0081539C" w:rsidRDefault="00625CEB" w:rsidP="008B0684">
      <w:pPr>
        <w:spacing w:after="0" w:line="240" w:lineRule="auto"/>
        <w:rPr>
          <w:rFonts w:ascii="Calibri" w:hAnsi="Calibri"/>
          <w:bCs/>
          <w:iCs/>
        </w:rPr>
      </w:pPr>
      <w:r w:rsidRPr="00851F46">
        <w:rPr>
          <w:rFonts w:ascii="Calibri" w:hAnsi="Calibri"/>
          <w:bCs/>
          <w:iCs/>
        </w:rPr>
        <w:t xml:space="preserve">Each entity must establish a means of tracking </w:t>
      </w:r>
      <w:r w:rsidR="0081539C">
        <w:rPr>
          <w:rFonts w:ascii="Calibri" w:hAnsi="Calibri"/>
          <w:bCs/>
          <w:iCs/>
        </w:rPr>
        <w:t xml:space="preserve">disclosures and </w:t>
      </w:r>
      <w:r w:rsidRPr="00851F46">
        <w:rPr>
          <w:rFonts w:ascii="Calibri" w:hAnsi="Calibri"/>
          <w:bCs/>
          <w:iCs/>
        </w:rPr>
        <w:t>PIDs</w:t>
      </w:r>
      <w:r w:rsidR="0081539C">
        <w:rPr>
          <w:rFonts w:ascii="Calibri" w:hAnsi="Calibri"/>
          <w:bCs/>
          <w:iCs/>
        </w:rPr>
        <w:t>,</w:t>
      </w:r>
      <w:r w:rsidRPr="00851F46">
        <w:rPr>
          <w:rFonts w:ascii="Calibri" w:hAnsi="Calibri"/>
          <w:bCs/>
          <w:iCs/>
        </w:rPr>
        <w:t xml:space="preserve"> and develop i</w:t>
      </w:r>
      <w:r w:rsidR="0081539C">
        <w:rPr>
          <w:rFonts w:ascii="Calibri" w:hAnsi="Calibri"/>
          <w:bCs/>
          <w:iCs/>
        </w:rPr>
        <w:t xml:space="preserve">nternal procedures to monitor the progression of disclosures </w:t>
      </w:r>
      <w:r w:rsidRPr="00851F46">
        <w:rPr>
          <w:rFonts w:ascii="Calibri" w:hAnsi="Calibri"/>
          <w:bCs/>
          <w:iCs/>
        </w:rPr>
        <w:t xml:space="preserve">throughout the process. </w:t>
      </w:r>
      <w:r w:rsidR="0081539C">
        <w:rPr>
          <w:rFonts w:ascii="Calibri" w:hAnsi="Calibri"/>
          <w:bCs/>
          <w:iCs/>
        </w:rPr>
        <w:t xml:space="preserve"> The tracking mechanism is intended to give confidence that reported matters are being handled in a timely and effective manner within the entity.  </w:t>
      </w:r>
    </w:p>
    <w:p w14:paraId="3162EDAE" w14:textId="77777777" w:rsidR="0081539C" w:rsidRDefault="0081539C" w:rsidP="008B0684">
      <w:pPr>
        <w:spacing w:after="0" w:line="240" w:lineRule="auto"/>
        <w:rPr>
          <w:rFonts w:ascii="Calibri" w:hAnsi="Calibri"/>
          <w:bCs/>
          <w:iCs/>
        </w:rPr>
      </w:pPr>
    </w:p>
    <w:p w14:paraId="2B0CB92E" w14:textId="106EA6BA" w:rsidR="001854C6" w:rsidRDefault="001854C6" w:rsidP="008B0684">
      <w:pPr>
        <w:spacing w:after="0" w:line="240" w:lineRule="auto"/>
        <w:rPr>
          <w:b/>
          <w:bCs/>
          <w:iCs/>
          <w:sz w:val="24"/>
          <w:szCs w:val="24"/>
          <w:u w:val="single"/>
        </w:rPr>
      </w:pPr>
      <w:r w:rsidRPr="00851F46">
        <w:rPr>
          <w:rFonts w:ascii="Calibri" w:hAnsi="Calibri"/>
          <w:bCs/>
          <w:iCs/>
        </w:rPr>
        <w:t xml:space="preserve">This information can also be used </w:t>
      </w:r>
      <w:r>
        <w:rPr>
          <w:rFonts w:ascii="Calibri" w:hAnsi="Calibri"/>
          <w:bCs/>
          <w:iCs/>
        </w:rPr>
        <w:t xml:space="preserve">by entities to fulfil their PID reporting requirements under the </w:t>
      </w:r>
      <w:r w:rsidRPr="00F574A1">
        <w:rPr>
          <w:rFonts w:ascii="Calibri" w:hAnsi="Calibri"/>
          <w:bCs/>
          <w:i/>
          <w:iCs/>
        </w:rPr>
        <w:t>Annual</w:t>
      </w:r>
      <w:r w:rsidRPr="001854C6">
        <w:rPr>
          <w:rFonts w:ascii="Calibri" w:hAnsi="Calibri"/>
          <w:bCs/>
          <w:i/>
          <w:iCs/>
        </w:rPr>
        <w:t xml:space="preserve"> </w:t>
      </w:r>
      <w:r w:rsidRPr="00C23B2E">
        <w:rPr>
          <w:rFonts w:ascii="Calibri" w:hAnsi="Calibri"/>
          <w:bCs/>
          <w:i/>
          <w:iCs/>
        </w:rPr>
        <w:t>Reports (Government Agencies) Directions 2019</w:t>
      </w:r>
      <w:r>
        <w:rPr>
          <w:rFonts w:ascii="Calibri" w:hAnsi="Calibri"/>
          <w:bCs/>
          <w:iCs/>
        </w:rPr>
        <w:t>.</w:t>
      </w:r>
    </w:p>
    <w:p w14:paraId="6042A6B2" w14:textId="77777777" w:rsidR="00FF3403" w:rsidRDefault="00FF3403" w:rsidP="008B0684">
      <w:pPr>
        <w:spacing w:after="0" w:line="240" w:lineRule="auto"/>
        <w:rPr>
          <w:b/>
          <w:bCs/>
          <w:iCs/>
          <w:sz w:val="24"/>
          <w:szCs w:val="24"/>
          <w:u w:val="single"/>
        </w:rPr>
      </w:pPr>
      <w:bookmarkStart w:id="24" w:name="_bookmark23"/>
      <w:bookmarkEnd w:id="24"/>
    </w:p>
    <w:p w14:paraId="7801F53E" w14:textId="09A01CFE" w:rsidR="00DE68CA" w:rsidRPr="00D80700" w:rsidRDefault="003B2C73" w:rsidP="008B0684">
      <w:pPr>
        <w:spacing w:after="0" w:line="240" w:lineRule="auto"/>
        <w:rPr>
          <w:b/>
          <w:u w:val="single"/>
        </w:rPr>
      </w:pPr>
      <w:r>
        <w:rPr>
          <w:b/>
        </w:rPr>
        <w:t xml:space="preserve">3.5 </w:t>
      </w:r>
      <w:r w:rsidR="00BB2FF3" w:rsidRPr="00D80700">
        <w:rPr>
          <w:b/>
          <w:u w:val="single"/>
        </w:rPr>
        <w:t>Annual Reporting</w:t>
      </w:r>
    </w:p>
    <w:p w14:paraId="7E2A5204" w14:textId="77777777" w:rsidR="0042614C" w:rsidRPr="00FF3403" w:rsidRDefault="0042614C" w:rsidP="008B0684">
      <w:pPr>
        <w:spacing w:after="0" w:line="240" w:lineRule="auto"/>
        <w:rPr>
          <w:b/>
          <w:bCs/>
          <w:iCs/>
          <w:sz w:val="24"/>
          <w:szCs w:val="24"/>
          <w:u w:val="single"/>
        </w:rPr>
      </w:pPr>
    </w:p>
    <w:p w14:paraId="38996574" w14:textId="59205699" w:rsidR="00BB2FF3" w:rsidRDefault="008576D7" w:rsidP="008B0684">
      <w:pPr>
        <w:tabs>
          <w:tab w:val="left" w:pos="4605"/>
        </w:tabs>
        <w:spacing w:after="0" w:line="240" w:lineRule="auto"/>
      </w:pPr>
      <w:r>
        <w:t xml:space="preserve">ACT Public Sector entities are requested to maintain effective record keeping </w:t>
      </w:r>
      <w:r w:rsidR="00C17819">
        <w:t>concerning</w:t>
      </w:r>
      <w:r>
        <w:t xml:space="preserve"> disclosures received and report to the Public Sector Standards Commissioner the following information</w:t>
      </w:r>
      <w:r w:rsidR="00C17819">
        <w:t xml:space="preserve"> on an annual basis</w:t>
      </w:r>
      <w:r>
        <w:t xml:space="preserve">: </w:t>
      </w:r>
    </w:p>
    <w:p w14:paraId="03D2B88E" w14:textId="77777777" w:rsidR="008576D7" w:rsidRDefault="008576D7" w:rsidP="008B0684">
      <w:pPr>
        <w:tabs>
          <w:tab w:val="left" w:pos="4605"/>
        </w:tabs>
        <w:spacing w:after="0" w:line="240" w:lineRule="auto"/>
      </w:pPr>
    </w:p>
    <w:p w14:paraId="7124E9CB" w14:textId="785BB5BE" w:rsidR="008576D7" w:rsidRPr="00226158" w:rsidRDefault="008576D7" w:rsidP="008B0684">
      <w:pPr>
        <w:numPr>
          <w:ilvl w:val="0"/>
          <w:numId w:val="26"/>
        </w:numPr>
        <w:tabs>
          <w:tab w:val="left" w:pos="4605"/>
        </w:tabs>
        <w:spacing w:line="240" w:lineRule="auto"/>
        <w:ind w:left="720"/>
      </w:pPr>
      <w:r w:rsidRPr="00226158">
        <w:t>Number of claimed Public Interest Disclosures received</w:t>
      </w:r>
      <w:r w:rsidR="00C17819">
        <w:t xml:space="preserve"> during the financial year</w:t>
      </w:r>
      <w:r w:rsidRPr="00226158">
        <w:t>;</w:t>
      </w:r>
    </w:p>
    <w:p w14:paraId="302A1106" w14:textId="77777777" w:rsidR="008576D7" w:rsidRPr="00226158" w:rsidRDefault="008576D7" w:rsidP="008B0684">
      <w:pPr>
        <w:numPr>
          <w:ilvl w:val="0"/>
          <w:numId w:val="26"/>
        </w:numPr>
        <w:tabs>
          <w:tab w:val="left" w:pos="4605"/>
        </w:tabs>
        <w:spacing w:line="240" w:lineRule="auto"/>
        <w:ind w:left="720"/>
      </w:pPr>
      <w:r w:rsidRPr="00226158">
        <w:t xml:space="preserve">Number of claims assessed by relevant entity as meeting definition of disclosable conduct under the </w:t>
      </w:r>
      <w:r w:rsidRPr="00226158">
        <w:rPr>
          <w:i/>
        </w:rPr>
        <w:t xml:space="preserve">Public Interest Disclosure Act 2012 </w:t>
      </w:r>
      <w:r w:rsidRPr="00226158">
        <w:t>(the Act);</w:t>
      </w:r>
    </w:p>
    <w:p w14:paraId="58DBEBD2" w14:textId="77777777" w:rsidR="008576D7" w:rsidRPr="00226158" w:rsidRDefault="008576D7" w:rsidP="008B0684">
      <w:pPr>
        <w:numPr>
          <w:ilvl w:val="0"/>
          <w:numId w:val="26"/>
        </w:numPr>
        <w:tabs>
          <w:tab w:val="left" w:pos="4605"/>
        </w:tabs>
        <w:spacing w:line="240" w:lineRule="auto"/>
        <w:ind w:left="720"/>
      </w:pPr>
      <w:r w:rsidRPr="00226158">
        <w:t>Number of claims investigated;</w:t>
      </w:r>
    </w:p>
    <w:p w14:paraId="6FD5F2AC" w14:textId="1A5777C0" w:rsidR="0042614C" w:rsidRPr="00226158" w:rsidRDefault="008576D7" w:rsidP="008B0684">
      <w:pPr>
        <w:numPr>
          <w:ilvl w:val="0"/>
          <w:numId w:val="26"/>
        </w:numPr>
        <w:tabs>
          <w:tab w:val="left" w:pos="4605"/>
        </w:tabs>
        <w:spacing w:line="240" w:lineRule="auto"/>
        <w:ind w:left="720"/>
      </w:pPr>
      <w:r w:rsidRPr="00226158">
        <w:t>Number of claims not investigated by virtue of Section 20 of the Act.</w:t>
      </w:r>
    </w:p>
    <w:p w14:paraId="41459490" w14:textId="77777777" w:rsidR="003C6266" w:rsidRDefault="003C6266" w:rsidP="008B0684">
      <w:pPr>
        <w:spacing w:after="0" w:line="240" w:lineRule="auto"/>
      </w:pPr>
    </w:p>
    <w:p w14:paraId="25612783" w14:textId="77777777" w:rsidR="00442291" w:rsidRDefault="00442291" w:rsidP="008B0684">
      <w:pPr>
        <w:spacing w:after="0" w:line="240" w:lineRule="auto"/>
      </w:pPr>
      <w:r>
        <w:t>For reporting purposes, each separate allegation should</w:t>
      </w:r>
      <w:r w:rsidRPr="00442291">
        <w:t xml:space="preserve"> be reported as a separate PID, unless the matters are clearly linked and it would be reasonable to view them as a single disclosure</w:t>
      </w:r>
      <w:r>
        <w:t>.</w:t>
      </w:r>
    </w:p>
    <w:p w14:paraId="5C3912E8" w14:textId="77777777" w:rsidR="001854C6" w:rsidRDefault="001854C6" w:rsidP="008B0684">
      <w:pPr>
        <w:spacing w:after="0" w:line="240" w:lineRule="auto"/>
      </w:pPr>
    </w:p>
    <w:p w14:paraId="06389B72" w14:textId="77777777" w:rsidR="001854C6" w:rsidRDefault="001854C6" w:rsidP="008B0684">
      <w:pPr>
        <w:spacing w:after="0" w:line="240" w:lineRule="auto"/>
      </w:pPr>
      <w:r>
        <w:t xml:space="preserve">The above information must also be provided to the Head of Service for inclusion in the State of the Service report, as required under the </w:t>
      </w:r>
      <w:r w:rsidRPr="009627DD">
        <w:rPr>
          <w:rFonts w:ascii="Calibri" w:hAnsi="Calibri"/>
          <w:bCs/>
          <w:i/>
          <w:iCs/>
        </w:rPr>
        <w:t>Annual Reports (Government Agencies) Directions 2019</w:t>
      </w:r>
      <w:r>
        <w:rPr>
          <w:rFonts w:ascii="Calibri" w:hAnsi="Calibri"/>
          <w:bCs/>
          <w:iCs/>
        </w:rPr>
        <w:t>.</w:t>
      </w:r>
    </w:p>
    <w:p w14:paraId="1B35A635" w14:textId="77777777" w:rsidR="00442291" w:rsidRDefault="00442291" w:rsidP="008B0684">
      <w:pPr>
        <w:spacing w:after="0" w:line="240" w:lineRule="auto"/>
      </w:pPr>
    </w:p>
    <w:p w14:paraId="2DFAAA23" w14:textId="7ED55F11" w:rsidR="00BB2FF3" w:rsidRPr="00D80700" w:rsidRDefault="003B2C73" w:rsidP="008B0684">
      <w:pPr>
        <w:spacing w:after="0" w:line="240" w:lineRule="auto"/>
        <w:rPr>
          <w:rFonts w:ascii="Calibri" w:hAnsi="Calibri"/>
          <w:b/>
          <w:bCs/>
          <w:iCs/>
          <w:u w:val="single"/>
        </w:rPr>
      </w:pPr>
      <w:bookmarkStart w:id="25" w:name="_bookmark24"/>
      <w:bookmarkEnd w:id="25"/>
      <w:r>
        <w:rPr>
          <w:rFonts w:ascii="Calibri" w:hAnsi="Calibri"/>
          <w:b/>
          <w:bCs/>
          <w:iCs/>
        </w:rPr>
        <w:t>3.6</w:t>
      </w:r>
      <w:r w:rsidR="008B0684">
        <w:rPr>
          <w:rFonts w:ascii="Calibri" w:hAnsi="Calibri"/>
          <w:b/>
          <w:bCs/>
          <w:iCs/>
        </w:rPr>
        <w:t xml:space="preserve"> </w:t>
      </w:r>
      <w:r w:rsidR="00BB2FF3" w:rsidRPr="00D80700">
        <w:rPr>
          <w:rFonts w:ascii="Calibri" w:hAnsi="Calibri"/>
          <w:b/>
          <w:bCs/>
          <w:iCs/>
          <w:u w:val="single"/>
        </w:rPr>
        <w:t>Other actions by each entity</w:t>
      </w:r>
    </w:p>
    <w:p w14:paraId="045DDBE8" w14:textId="77777777" w:rsidR="0060581C" w:rsidRPr="007959E9" w:rsidRDefault="0060581C" w:rsidP="008B0684">
      <w:pPr>
        <w:spacing w:after="0" w:line="240" w:lineRule="auto"/>
        <w:rPr>
          <w:b/>
        </w:rPr>
      </w:pPr>
    </w:p>
    <w:p w14:paraId="1FCA08EF" w14:textId="5AAD0663" w:rsidR="00BB2FF3" w:rsidRPr="004E7B8B" w:rsidRDefault="00BB2FF3" w:rsidP="008B0684">
      <w:pPr>
        <w:spacing w:line="240" w:lineRule="auto"/>
      </w:pPr>
      <w:r w:rsidRPr="004E7B8B">
        <w:t xml:space="preserve">Each </w:t>
      </w:r>
      <w:r w:rsidR="008B0684">
        <w:t xml:space="preserve">public sector </w:t>
      </w:r>
      <w:r w:rsidRPr="004E7B8B">
        <w:t>entity should review their procedures</w:t>
      </w:r>
      <w:r>
        <w:t>, and the timeliness of their actions,</w:t>
      </w:r>
      <w:r w:rsidRPr="004E7B8B">
        <w:t xml:space="preserve"> periodically. </w:t>
      </w:r>
    </w:p>
    <w:p w14:paraId="24C56E66" w14:textId="77777777" w:rsidR="00BB2FF3" w:rsidRPr="004E7B8B" w:rsidRDefault="00BB2FF3" w:rsidP="008B0684">
      <w:pPr>
        <w:spacing w:line="240" w:lineRule="auto"/>
      </w:pPr>
      <w:r w:rsidRPr="004E7B8B">
        <w:t>Each entity should periodically ensure staff are aware of the procedures and the intention of the legislation.</w:t>
      </w:r>
    </w:p>
    <w:p w14:paraId="7636E521" w14:textId="77777777" w:rsidR="005727D9" w:rsidRPr="00E87862" w:rsidRDefault="005727D9" w:rsidP="00E87862">
      <w:pPr>
        <w:spacing w:after="0" w:line="240" w:lineRule="auto"/>
        <w:rPr>
          <w:sz w:val="18"/>
          <w:szCs w:val="18"/>
        </w:rPr>
      </w:pPr>
    </w:p>
    <w:p w14:paraId="45291406" w14:textId="77777777" w:rsidR="00BB2FF3" w:rsidRPr="0042614C" w:rsidRDefault="00BB2FF3" w:rsidP="008B0684">
      <w:pPr>
        <w:spacing w:line="240" w:lineRule="auto"/>
      </w:pPr>
      <w:r w:rsidRPr="0042614C">
        <w:lastRenderedPageBreak/>
        <w:t>Entities should consider:</w:t>
      </w:r>
    </w:p>
    <w:p w14:paraId="53F20345" w14:textId="77777777" w:rsidR="0042614C" w:rsidRPr="0042614C" w:rsidRDefault="0042614C" w:rsidP="008B0684">
      <w:pPr>
        <w:pStyle w:val="ListParagraph"/>
        <w:numPr>
          <w:ilvl w:val="0"/>
          <w:numId w:val="23"/>
        </w:numPr>
        <w:spacing w:after="160"/>
        <w:ind w:left="645"/>
        <w:rPr>
          <w:sz w:val="22"/>
          <w:szCs w:val="22"/>
        </w:rPr>
      </w:pPr>
      <w:r w:rsidRPr="0042614C">
        <w:rPr>
          <w:sz w:val="22"/>
          <w:szCs w:val="22"/>
        </w:rPr>
        <w:t>comparing and correlating disclosure data with information from other risk management systems; and</w:t>
      </w:r>
    </w:p>
    <w:p w14:paraId="35CC42E5" w14:textId="27EE30AC" w:rsidR="00D80700" w:rsidRPr="00253E37" w:rsidRDefault="0042614C" w:rsidP="008B0684">
      <w:pPr>
        <w:pStyle w:val="ListParagraph"/>
        <w:numPr>
          <w:ilvl w:val="0"/>
          <w:numId w:val="23"/>
        </w:numPr>
        <w:spacing w:after="160"/>
        <w:ind w:left="645"/>
        <w:rPr>
          <w:sz w:val="22"/>
          <w:szCs w:val="22"/>
        </w:rPr>
      </w:pPr>
      <w:r w:rsidRPr="0042614C">
        <w:rPr>
          <w:sz w:val="22"/>
          <w:szCs w:val="22"/>
        </w:rPr>
        <w:t>gauging staff awareness and trust of PID arrangements</w:t>
      </w:r>
    </w:p>
    <w:p w14:paraId="451F88D6" w14:textId="77777777" w:rsidR="007304FB" w:rsidRDefault="007304FB" w:rsidP="0060581C">
      <w:pPr>
        <w:spacing w:after="0" w:line="240" w:lineRule="auto"/>
        <w:rPr>
          <w:b/>
          <w:bCs/>
          <w:u w:val="single"/>
        </w:rPr>
      </w:pPr>
    </w:p>
    <w:p w14:paraId="782F15AB" w14:textId="4B6507F6" w:rsidR="002866FE" w:rsidRPr="00D80700" w:rsidRDefault="003B2C73" w:rsidP="0060581C">
      <w:pPr>
        <w:spacing w:after="0" w:line="240" w:lineRule="auto"/>
        <w:rPr>
          <w:b/>
          <w:bCs/>
          <w:u w:val="single"/>
        </w:rPr>
      </w:pPr>
      <w:r>
        <w:rPr>
          <w:b/>
          <w:bCs/>
        </w:rPr>
        <w:t xml:space="preserve">4.  </w:t>
      </w:r>
      <w:r w:rsidR="004E7B8B" w:rsidRPr="00D80700">
        <w:rPr>
          <w:b/>
          <w:bCs/>
          <w:u w:val="single"/>
        </w:rPr>
        <w:t>What to do if someone makes a disclosure to me</w:t>
      </w:r>
      <w:r w:rsidR="00870F05" w:rsidRPr="00D80700">
        <w:rPr>
          <w:b/>
          <w:bCs/>
          <w:u w:val="single"/>
        </w:rPr>
        <w:t>.</w:t>
      </w:r>
    </w:p>
    <w:p w14:paraId="415F3017" w14:textId="77777777" w:rsidR="007959E9" w:rsidRPr="002866FE" w:rsidRDefault="007959E9" w:rsidP="0060581C">
      <w:pPr>
        <w:spacing w:after="0" w:line="240" w:lineRule="auto"/>
        <w:rPr>
          <w:b/>
          <w:bCs/>
          <w:sz w:val="24"/>
          <w:szCs w:val="24"/>
          <w:u w:val="single"/>
        </w:rPr>
      </w:pPr>
    </w:p>
    <w:p w14:paraId="7BC4BCA4" w14:textId="77777777" w:rsidR="00870F05" w:rsidRDefault="00870F05" w:rsidP="0060581C">
      <w:pPr>
        <w:spacing w:after="0" w:line="240" w:lineRule="auto"/>
      </w:pPr>
      <w:bookmarkStart w:id="26" w:name="_bookmark25"/>
      <w:bookmarkEnd w:id="26"/>
      <w:r>
        <w:t>You could receive a disclosure if:</w:t>
      </w:r>
    </w:p>
    <w:p w14:paraId="4585DB0F" w14:textId="77777777" w:rsidR="00FF3403" w:rsidRDefault="00FF3403" w:rsidP="0060581C">
      <w:pPr>
        <w:spacing w:after="0" w:line="240" w:lineRule="auto"/>
      </w:pPr>
    </w:p>
    <w:p w14:paraId="3B31B57A" w14:textId="77777777" w:rsidR="00870F05" w:rsidRDefault="00870F05" w:rsidP="00AA5B1C">
      <w:pPr>
        <w:numPr>
          <w:ilvl w:val="0"/>
          <w:numId w:val="13"/>
        </w:numPr>
        <w:spacing w:line="240" w:lineRule="auto"/>
      </w:pPr>
      <w:r>
        <w:t>you are an ACTPS employee with responsibility for supervising staff; or</w:t>
      </w:r>
    </w:p>
    <w:p w14:paraId="7D0BD9CA" w14:textId="77777777" w:rsidR="00870F05" w:rsidRDefault="00870F05" w:rsidP="00AA5B1C">
      <w:pPr>
        <w:numPr>
          <w:ilvl w:val="0"/>
          <w:numId w:val="13"/>
        </w:numPr>
        <w:spacing w:line="240" w:lineRule="auto"/>
      </w:pPr>
      <w:r>
        <w:t>you are the member of a governing board of an entity; or</w:t>
      </w:r>
    </w:p>
    <w:p w14:paraId="4AAF1DBB" w14:textId="77777777" w:rsidR="00870F05" w:rsidRDefault="00870F05" w:rsidP="00AA5B1C">
      <w:pPr>
        <w:numPr>
          <w:ilvl w:val="0"/>
          <w:numId w:val="13"/>
        </w:numPr>
        <w:spacing w:line="240" w:lineRule="auto"/>
      </w:pPr>
      <w:r>
        <w:t>you are in a position where you receive information about matters such as funding, conduct, whether administrative procedures have been followed, health or safety risks, or environmental risks – such as a Chief Financial Officer; Workplace Health and Safety Representative; Respect, Equity and Diversity Contact Officer; or member of an audit committee.</w:t>
      </w:r>
    </w:p>
    <w:p w14:paraId="1B6B69EE" w14:textId="77777777" w:rsidR="00FF3403" w:rsidRDefault="00870F05" w:rsidP="0060581C">
      <w:pPr>
        <w:spacing w:after="0" w:line="240" w:lineRule="auto"/>
      </w:pPr>
      <w:r w:rsidRPr="009A74AD">
        <w:t xml:space="preserve">If you are not </w:t>
      </w:r>
      <w:r w:rsidR="00AF61C2">
        <w:t>a</w:t>
      </w:r>
      <w:r w:rsidRPr="009A74AD">
        <w:t xml:space="preserve"> </w:t>
      </w:r>
      <w:r w:rsidR="00AF61C2">
        <w:t>d</w:t>
      </w:r>
      <w:r>
        <w:t xml:space="preserve">isclosure </w:t>
      </w:r>
      <w:r w:rsidR="00AF61C2">
        <w:t>o</w:t>
      </w:r>
      <w:r>
        <w:t>fficer</w:t>
      </w:r>
      <w:r w:rsidRPr="009A74AD">
        <w:t xml:space="preserve"> and you receive a disclosure, you are known as the </w:t>
      </w:r>
      <w:r w:rsidR="00AF61C2">
        <w:t>r</w:t>
      </w:r>
      <w:r w:rsidRPr="009A74AD">
        <w:t xml:space="preserve">eceiving </w:t>
      </w:r>
      <w:r w:rsidR="00AF61C2">
        <w:t>o</w:t>
      </w:r>
      <w:r w:rsidRPr="009A74AD">
        <w:t xml:space="preserve">fficer.  The </w:t>
      </w:r>
      <w:r w:rsidR="00AF61C2">
        <w:t>r</w:t>
      </w:r>
      <w:r w:rsidRPr="009A74AD">
        <w:t xml:space="preserve">eceiving </w:t>
      </w:r>
      <w:r w:rsidR="00AF61C2">
        <w:t>o</w:t>
      </w:r>
      <w:r w:rsidRPr="009A74AD">
        <w:t xml:space="preserve">fficer should thank the discloser for coming forward and let them know that they are not the </w:t>
      </w:r>
      <w:r w:rsidR="00AF61C2">
        <w:t>d</w:t>
      </w:r>
      <w:r>
        <w:t xml:space="preserve">isclosure </w:t>
      </w:r>
      <w:r w:rsidR="00AF61C2">
        <w:t>o</w:t>
      </w:r>
      <w:r>
        <w:t>fficer,</w:t>
      </w:r>
      <w:r w:rsidRPr="009A74AD">
        <w:t xml:space="preserve"> but that </w:t>
      </w:r>
      <w:r>
        <w:t>you</w:t>
      </w:r>
      <w:r w:rsidRPr="009A74AD">
        <w:t xml:space="preserve"> will </w:t>
      </w:r>
      <w:r>
        <w:t xml:space="preserve">provide the disclosure to the </w:t>
      </w:r>
      <w:r w:rsidR="00AF61C2">
        <w:t>d</w:t>
      </w:r>
      <w:r>
        <w:t xml:space="preserve">isclosure </w:t>
      </w:r>
      <w:r w:rsidR="00AF61C2">
        <w:t>o</w:t>
      </w:r>
      <w:r>
        <w:t>fficer</w:t>
      </w:r>
      <w:r w:rsidRPr="009A74AD">
        <w:t xml:space="preserve"> as soon as possible.</w:t>
      </w:r>
    </w:p>
    <w:p w14:paraId="02CB82F1" w14:textId="77777777" w:rsidR="00FF3403" w:rsidRDefault="00FF3403" w:rsidP="0060581C">
      <w:pPr>
        <w:spacing w:after="0" w:line="240" w:lineRule="auto"/>
      </w:pPr>
    </w:p>
    <w:p w14:paraId="546B02DC" w14:textId="77777777" w:rsidR="00870F05" w:rsidRPr="00FF3403" w:rsidRDefault="00870F05" w:rsidP="0060581C">
      <w:pPr>
        <w:spacing w:after="0" w:line="240" w:lineRule="auto"/>
      </w:pPr>
      <w:r w:rsidRPr="009A74AD">
        <w:t xml:space="preserve">The </w:t>
      </w:r>
      <w:r w:rsidR="00AF61C2">
        <w:t>r</w:t>
      </w:r>
      <w:r w:rsidRPr="009A74AD">
        <w:t xml:space="preserve">eceiving </w:t>
      </w:r>
      <w:r w:rsidR="00AF61C2">
        <w:t>o</w:t>
      </w:r>
      <w:r w:rsidRPr="009A74AD">
        <w:t xml:space="preserve">fficer should inform </w:t>
      </w:r>
      <w:r w:rsidR="00AF61C2">
        <w:t xml:space="preserve">a disclosure officer </w:t>
      </w:r>
      <w:r w:rsidRPr="009A74AD">
        <w:t xml:space="preserve">of the disclosure as soon as possible.  The </w:t>
      </w:r>
      <w:r w:rsidR="00AF61C2">
        <w:t>r</w:t>
      </w:r>
      <w:r w:rsidRPr="009A74AD">
        <w:t xml:space="preserve">eceiving </w:t>
      </w:r>
      <w:r w:rsidR="00AF61C2">
        <w:t>o</w:t>
      </w:r>
      <w:r w:rsidRPr="009A74AD">
        <w:t>fficer should not attempt to investigate the matter or tell others</w:t>
      </w:r>
      <w:r w:rsidRPr="009A74AD">
        <w:rPr>
          <w:bCs/>
          <w:iCs/>
        </w:rPr>
        <w:t xml:space="preserve"> about the disclosure as this might put the discloser or any su</w:t>
      </w:r>
      <w:r>
        <w:rPr>
          <w:bCs/>
          <w:iCs/>
        </w:rPr>
        <w:t>bsequent investigation at risk.</w:t>
      </w:r>
    </w:p>
    <w:p w14:paraId="28598B51" w14:textId="77777777" w:rsidR="00AF61C2" w:rsidRPr="00DB0C61" w:rsidRDefault="00AF61C2" w:rsidP="0060581C">
      <w:pPr>
        <w:spacing w:after="0" w:line="240" w:lineRule="auto"/>
      </w:pPr>
    </w:p>
    <w:p w14:paraId="0E42614B" w14:textId="77777777" w:rsidR="00870F05" w:rsidRPr="00851F46" w:rsidRDefault="00870F05" w:rsidP="0060581C">
      <w:pPr>
        <w:spacing w:line="240" w:lineRule="auto"/>
        <w:rPr>
          <w:bCs/>
          <w:iCs/>
        </w:rPr>
      </w:pPr>
      <w:r w:rsidRPr="009A74AD">
        <w:rPr>
          <w:bCs/>
          <w:iCs/>
        </w:rPr>
        <w:t xml:space="preserve">If the matter is raised orally, the </w:t>
      </w:r>
      <w:r w:rsidR="00AF61C2">
        <w:rPr>
          <w:bCs/>
          <w:iCs/>
        </w:rPr>
        <w:t>r</w:t>
      </w:r>
      <w:r w:rsidRPr="009A74AD">
        <w:rPr>
          <w:bCs/>
          <w:iCs/>
        </w:rPr>
        <w:t xml:space="preserve">eceiving </w:t>
      </w:r>
      <w:r w:rsidR="00AF61C2">
        <w:rPr>
          <w:bCs/>
          <w:iCs/>
        </w:rPr>
        <w:t>o</w:t>
      </w:r>
      <w:r w:rsidRPr="009A74AD">
        <w:rPr>
          <w:bCs/>
          <w:iCs/>
        </w:rPr>
        <w:t>fficer should</w:t>
      </w:r>
      <w:r w:rsidR="00AF61C2">
        <w:rPr>
          <w:bCs/>
          <w:iCs/>
        </w:rPr>
        <w:t xml:space="preserve"> </w:t>
      </w:r>
      <w:r w:rsidRPr="009A74AD">
        <w:rPr>
          <w:bCs/>
          <w:iCs/>
        </w:rPr>
        <w:t>make a written note including details of the discloser and any individuals implicated in the matter</w:t>
      </w:r>
      <w:r w:rsidR="00AF61C2">
        <w:rPr>
          <w:bCs/>
          <w:iCs/>
        </w:rPr>
        <w:t>,</w:t>
      </w:r>
      <w:r>
        <w:rPr>
          <w:bCs/>
          <w:iCs/>
        </w:rPr>
        <w:t xml:space="preserve"> and</w:t>
      </w:r>
      <w:r w:rsidR="00034307">
        <w:rPr>
          <w:bCs/>
          <w:iCs/>
        </w:rPr>
        <w:t xml:space="preserve"> </w:t>
      </w:r>
      <w:r>
        <w:rPr>
          <w:bCs/>
          <w:iCs/>
        </w:rPr>
        <w:t>i</w:t>
      </w:r>
      <w:r w:rsidRPr="009A74AD">
        <w:rPr>
          <w:bCs/>
          <w:iCs/>
        </w:rPr>
        <w:t>nform the discloser that they will probably be asked to check, sign and date the record</w:t>
      </w:r>
      <w:r w:rsidR="00034307">
        <w:rPr>
          <w:bCs/>
          <w:iCs/>
        </w:rPr>
        <w:t>.</w:t>
      </w:r>
      <w:bookmarkStart w:id="27" w:name="_bookmark26"/>
      <w:bookmarkEnd w:id="27"/>
    </w:p>
    <w:p w14:paraId="239B3CEF" w14:textId="77777777" w:rsidR="004E7B8B" w:rsidRDefault="00B51353" w:rsidP="0060581C">
      <w:pPr>
        <w:spacing w:line="240" w:lineRule="auto"/>
      </w:pPr>
      <w:r>
        <w:rPr>
          <w:noProof/>
          <w:lang w:eastAsia="en-AU"/>
        </w:rPr>
        <mc:AlternateContent>
          <mc:Choice Requires="wps">
            <w:drawing>
              <wp:anchor distT="45720" distB="45720" distL="114300" distR="114300" simplePos="0" relativeHeight="251717632" behindDoc="0" locked="0" layoutInCell="1" allowOverlap="1" wp14:anchorId="340D0E50" wp14:editId="62ABD041">
                <wp:simplePos x="0" y="0"/>
                <wp:positionH relativeFrom="column">
                  <wp:posOffset>-19050</wp:posOffset>
                </wp:positionH>
                <wp:positionV relativeFrom="paragraph">
                  <wp:posOffset>807085</wp:posOffset>
                </wp:positionV>
                <wp:extent cx="6124575" cy="1404620"/>
                <wp:effectExtent l="0" t="0" r="28575" b="2159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chemeClr val="accent5">
                            <a:lumMod val="20000"/>
                            <a:lumOff val="80000"/>
                          </a:schemeClr>
                        </a:solidFill>
                        <a:ln w="9525">
                          <a:solidFill>
                            <a:srgbClr val="000000"/>
                          </a:solidFill>
                          <a:miter lim="800000"/>
                          <a:headEnd/>
                          <a:tailEnd/>
                        </a:ln>
                      </wps:spPr>
                      <wps:txbx>
                        <w:txbxContent>
                          <w:p w14:paraId="5A3733BF" w14:textId="77777777" w:rsidR="00D85ECD" w:rsidRDefault="00D85ECD" w:rsidP="00F574A1">
                            <w:pPr>
                              <w:spacing w:after="0" w:line="240" w:lineRule="auto"/>
                            </w:pPr>
                            <w:r>
                              <w:t>There are certain general principles to follow when receiving a disclosure.</w:t>
                            </w:r>
                          </w:p>
                          <w:p w14:paraId="12C90DB7" w14:textId="77777777" w:rsidR="00D85ECD" w:rsidRPr="006D6B18" w:rsidRDefault="00D85ECD">
                            <w:pPr>
                              <w:pStyle w:val="ListParagraph"/>
                              <w:numPr>
                                <w:ilvl w:val="0"/>
                                <w:numId w:val="16"/>
                              </w:numPr>
                              <w:rPr>
                                <w:sz w:val="22"/>
                                <w:szCs w:val="22"/>
                              </w:rPr>
                            </w:pPr>
                            <w:r w:rsidRPr="006D6B18">
                              <w:rPr>
                                <w:sz w:val="22"/>
                                <w:szCs w:val="22"/>
                              </w:rPr>
                              <w:t>Thank the discloser for raising the concern, even if they may appear to be mistaken.</w:t>
                            </w:r>
                          </w:p>
                          <w:p w14:paraId="461FEB77" w14:textId="77777777" w:rsidR="00D85ECD" w:rsidRPr="006D6B18" w:rsidRDefault="00D85ECD">
                            <w:pPr>
                              <w:pStyle w:val="ListParagraph"/>
                              <w:numPr>
                                <w:ilvl w:val="0"/>
                                <w:numId w:val="16"/>
                              </w:numPr>
                              <w:rPr>
                                <w:sz w:val="22"/>
                                <w:szCs w:val="22"/>
                              </w:rPr>
                            </w:pPr>
                            <w:r w:rsidRPr="006D6B18">
                              <w:rPr>
                                <w:sz w:val="22"/>
                                <w:szCs w:val="22"/>
                              </w:rPr>
                              <w:t>If you are not a disclosure officer for your entity, let the discloser know that you will inform the disclosure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0E50" id="_x0000_s1038" type="#_x0000_t202" style="position:absolute;margin-left:-1.5pt;margin-top:63.55pt;width:482.2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" fillcolor="#d9e2f3 [664]">
                <v:textbox style="mso-fit-shape-to-text:t">
                  <w:txbxContent>
                    <w:p w14:paraId="5A3733BF" w14:textId="77777777" w:rsidR="00D85ECD" w:rsidRDefault="00D85ECD" w:rsidP="00F574A1">
                      <w:pPr>
                        <w:spacing w:after="0" w:line="240" w:lineRule="auto"/>
                      </w:pPr>
                      <w:r>
                        <w:t>There are certain general principles to follow when receiving a disclosure.</w:t>
                      </w:r>
                    </w:p>
                    <w:p w14:paraId="12C90DB7" w14:textId="77777777" w:rsidR="00D85ECD" w:rsidRPr="006D6B18" w:rsidRDefault="00D85ECD">
                      <w:pPr>
                        <w:pStyle w:val="ListParagraph"/>
                        <w:numPr>
                          <w:ilvl w:val="0"/>
                          <w:numId w:val="16"/>
                        </w:numPr>
                        <w:rPr>
                          <w:sz w:val="22"/>
                          <w:szCs w:val="22"/>
                        </w:rPr>
                      </w:pPr>
                      <w:r w:rsidRPr="006D6B18">
                        <w:rPr>
                          <w:sz w:val="22"/>
                          <w:szCs w:val="22"/>
                        </w:rPr>
                        <w:t>Thank the discloser for raising the concern, even if they may appear to be mistaken.</w:t>
                      </w:r>
                    </w:p>
                    <w:p w14:paraId="461FEB77" w14:textId="77777777" w:rsidR="00D85ECD" w:rsidRPr="006D6B18" w:rsidRDefault="00D85ECD">
                      <w:pPr>
                        <w:pStyle w:val="ListParagraph"/>
                        <w:numPr>
                          <w:ilvl w:val="0"/>
                          <w:numId w:val="16"/>
                        </w:numPr>
                        <w:rPr>
                          <w:sz w:val="22"/>
                          <w:szCs w:val="22"/>
                        </w:rPr>
                      </w:pPr>
                      <w:r w:rsidRPr="006D6B18">
                        <w:rPr>
                          <w:sz w:val="22"/>
                          <w:szCs w:val="22"/>
                        </w:rPr>
                        <w:t>If you are not a disclosure officer for your entity, let the discloser know that you will inform the disclosure officer.</w:t>
                      </w:r>
                    </w:p>
                  </w:txbxContent>
                </v:textbox>
                <w10:wrap type="topAndBottom"/>
              </v:shape>
            </w:pict>
          </mc:Fallback>
        </mc:AlternateContent>
      </w:r>
      <w:r w:rsidR="004E7B8B" w:rsidRPr="004E7B8B">
        <w:t>Given the seriousness of making a disclosure, it is important that the disclosure is acknowledged, and th</w:t>
      </w:r>
      <w:r w:rsidR="00AF61C2">
        <w:t>e discloser</w:t>
      </w:r>
      <w:r w:rsidR="004E7B8B" w:rsidRPr="004E7B8B">
        <w:t xml:space="preserve"> </w:t>
      </w:r>
      <w:r w:rsidR="00AF61C2">
        <w:t>is</w:t>
      </w:r>
      <w:r w:rsidR="004E7B8B" w:rsidRPr="004E7B8B">
        <w:t xml:space="preserve"> commended for taking this action.</w:t>
      </w:r>
      <w:r w:rsidR="00AF61C2">
        <w:t xml:space="preserve">  </w:t>
      </w:r>
      <w:r w:rsidR="004E7B8B" w:rsidRPr="004E7B8B">
        <w:t xml:space="preserve">It is suggested the disclosure officer send a letter to acknowledge the discloser’s public interest in reporting the matter. </w:t>
      </w:r>
    </w:p>
    <w:p w14:paraId="157D69A1" w14:textId="77777777" w:rsidR="00B33444" w:rsidRDefault="00B33444" w:rsidP="0060581C">
      <w:pPr>
        <w:spacing w:line="240" w:lineRule="auto"/>
      </w:pPr>
    </w:p>
    <w:p w14:paraId="0749FFF0" w14:textId="77777777" w:rsidR="007A454C" w:rsidRDefault="007A454C" w:rsidP="0060581C">
      <w:pPr>
        <w:spacing w:line="240" w:lineRule="auto"/>
      </w:pPr>
      <w:bookmarkStart w:id="28" w:name="_bookmark27"/>
      <w:bookmarkEnd w:id="28"/>
      <w:r w:rsidRPr="007A454C">
        <w:t>If there is doubt whether the di</w:t>
      </w:r>
      <w:r>
        <w:t>sclosure is a PID, the receiving officer</w:t>
      </w:r>
      <w:r w:rsidRPr="007A454C">
        <w:t xml:space="preserve"> should assume that the disclosure is protected by the PID Act and manage the disclosure as if it were a PID.</w:t>
      </w:r>
    </w:p>
    <w:p w14:paraId="4E94D9A3" w14:textId="7C702D00" w:rsidR="0042614C" w:rsidRDefault="008003EB" w:rsidP="0060581C">
      <w:pPr>
        <w:spacing w:line="240" w:lineRule="auto"/>
        <w:rPr>
          <w:b/>
          <w:bCs/>
          <w:sz w:val="28"/>
          <w:szCs w:val="28"/>
          <w:u w:val="single"/>
        </w:rPr>
      </w:pPr>
      <w:r>
        <w:t>Advice</w:t>
      </w:r>
      <w:r w:rsidR="0042614C">
        <w:t xml:space="preserve"> for</w:t>
      </w:r>
      <w:r w:rsidR="00E322D0">
        <w:t xml:space="preserve"> </w:t>
      </w:r>
      <w:r w:rsidR="00E322D0" w:rsidRPr="00E322D0">
        <w:rPr>
          <w:u w:val="single"/>
        </w:rPr>
        <w:t>Members of the ACT Legislative Assembly</w:t>
      </w:r>
      <w:r w:rsidR="00E322D0">
        <w:t xml:space="preserve"> </w:t>
      </w:r>
      <w:r w:rsidR="0042614C">
        <w:t xml:space="preserve">who receive </w:t>
      </w:r>
      <w:r w:rsidR="00E322D0">
        <w:t xml:space="preserve">a </w:t>
      </w:r>
      <w:r w:rsidR="0042614C">
        <w:t>disclosure is include</w:t>
      </w:r>
      <w:r w:rsidR="00E322D0">
        <w:t xml:space="preserve">d within </w:t>
      </w:r>
      <w:r w:rsidR="00235377">
        <w:t>Part Three of these Guidelines.</w:t>
      </w:r>
    </w:p>
    <w:p w14:paraId="3F6E3348" w14:textId="77777777" w:rsidR="000C6714" w:rsidRDefault="000C6714">
      <w:pPr>
        <w:rPr>
          <w:bCs/>
        </w:rPr>
      </w:pPr>
      <w:r>
        <w:rPr>
          <w:bCs/>
        </w:rPr>
        <w:br w:type="page"/>
      </w:r>
    </w:p>
    <w:p w14:paraId="01B22EAC" w14:textId="4A53EF3A" w:rsidR="004E7B8B" w:rsidRPr="00D80700" w:rsidRDefault="003B2C73" w:rsidP="0060581C">
      <w:pPr>
        <w:spacing w:line="240" w:lineRule="auto"/>
        <w:rPr>
          <w:b/>
          <w:bCs/>
          <w:u w:val="single"/>
        </w:rPr>
      </w:pPr>
      <w:r>
        <w:rPr>
          <w:b/>
          <w:bCs/>
        </w:rPr>
        <w:lastRenderedPageBreak/>
        <w:t xml:space="preserve">5. </w:t>
      </w:r>
      <w:r>
        <w:rPr>
          <w:b/>
          <w:bCs/>
          <w:u w:val="single"/>
        </w:rPr>
        <w:t>T</w:t>
      </w:r>
      <w:r w:rsidR="0042614C" w:rsidRPr="00D80700">
        <w:rPr>
          <w:b/>
          <w:bCs/>
          <w:u w:val="single"/>
        </w:rPr>
        <w:t xml:space="preserve">he Role of </w:t>
      </w:r>
      <w:r w:rsidR="004E7B8B" w:rsidRPr="00D80700">
        <w:rPr>
          <w:b/>
          <w:bCs/>
          <w:u w:val="single"/>
        </w:rPr>
        <w:t>Disclosure Officers</w:t>
      </w:r>
    </w:p>
    <w:p w14:paraId="2BB523F9" w14:textId="4C207A75" w:rsidR="00AA5B1C" w:rsidRPr="001854C6" w:rsidRDefault="00E87866" w:rsidP="0060581C">
      <w:pPr>
        <w:spacing w:line="240" w:lineRule="auto"/>
      </w:pPr>
      <w:r w:rsidRPr="00F574A1">
        <w:t xml:space="preserve">In practice, </w:t>
      </w:r>
      <w:r w:rsidR="00AA5B1C" w:rsidRPr="001854C6">
        <w:t>disclosure officer</w:t>
      </w:r>
      <w:r w:rsidRPr="00F574A1">
        <w:t xml:space="preserve">s have been the central coordination point for all matters relating to </w:t>
      </w:r>
      <w:r w:rsidR="008C34DE">
        <w:t>P</w:t>
      </w:r>
      <w:r w:rsidRPr="00F574A1">
        <w:t xml:space="preserve">ublic </w:t>
      </w:r>
      <w:r w:rsidR="008C34DE">
        <w:t>I</w:t>
      </w:r>
      <w:r w:rsidRPr="00F574A1">
        <w:t xml:space="preserve">nterest </w:t>
      </w:r>
      <w:r w:rsidR="008C34DE">
        <w:t>D</w:t>
      </w:r>
      <w:r w:rsidRPr="00F574A1">
        <w:t xml:space="preserve">isclosures.   They </w:t>
      </w:r>
      <w:r w:rsidR="008C34DE">
        <w:t xml:space="preserve">have </w:t>
      </w:r>
      <w:r w:rsidRPr="00F574A1">
        <w:t>ensure</w:t>
      </w:r>
      <w:r w:rsidR="008C34DE">
        <w:t>d</w:t>
      </w:r>
      <w:r w:rsidRPr="00F574A1">
        <w:t xml:space="preserve"> that</w:t>
      </w:r>
      <w:r w:rsidR="00AA5B1C" w:rsidRPr="001854C6">
        <w:t xml:space="preserve"> appropriate action is taken in response to a </w:t>
      </w:r>
      <w:r w:rsidR="009D4C17" w:rsidRPr="001854C6">
        <w:t>disclosure</w:t>
      </w:r>
      <w:r w:rsidR="009D4C17" w:rsidRPr="00F574A1">
        <w:t xml:space="preserve"> and</w:t>
      </w:r>
      <w:r w:rsidR="00AA5B1C" w:rsidRPr="001854C6">
        <w:t xml:space="preserve"> maintain the effective and timely </w:t>
      </w:r>
      <w:r w:rsidR="00A474C2" w:rsidRPr="001854C6">
        <w:t>administration</w:t>
      </w:r>
      <w:r w:rsidR="00AA5B1C" w:rsidRPr="001854C6">
        <w:t xml:space="preserve"> of the process.</w:t>
      </w:r>
    </w:p>
    <w:p w14:paraId="5F31D6BB" w14:textId="2F7DABE7" w:rsidR="004E7B8B" w:rsidRPr="001854C6" w:rsidRDefault="00625CEB" w:rsidP="0060581C">
      <w:pPr>
        <w:spacing w:line="240" w:lineRule="auto"/>
      </w:pPr>
      <w:r w:rsidRPr="001854C6">
        <w:t>T</w:t>
      </w:r>
      <w:r w:rsidR="004E7B8B" w:rsidRPr="001854C6">
        <w:t>he role of a disclosure officer is to</w:t>
      </w:r>
      <w:r w:rsidR="00E87866" w:rsidRPr="00F574A1">
        <w:t xml:space="preserve"> receive the disclosure, determine if it is within the correct entity, and a</w:t>
      </w:r>
      <w:r w:rsidR="004E7B8B" w:rsidRPr="001854C6">
        <w:t>s</w:t>
      </w:r>
      <w:r w:rsidR="00E87866" w:rsidRPr="00F574A1">
        <w:t>s</w:t>
      </w:r>
      <w:r w:rsidR="004E7B8B" w:rsidRPr="001854C6">
        <w:t>es</w:t>
      </w:r>
      <w:r w:rsidR="00E87866" w:rsidRPr="00F574A1">
        <w:t>s</w:t>
      </w:r>
      <w:r w:rsidR="004E7B8B" w:rsidRPr="001854C6">
        <w:t xml:space="preserve"> </w:t>
      </w:r>
      <w:r w:rsidR="008C34DE">
        <w:t>the allegations</w:t>
      </w:r>
      <w:r w:rsidR="004E7B8B" w:rsidRPr="001854C6">
        <w:t xml:space="preserve"> </w:t>
      </w:r>
      <w:r w:rsidRPr="001854C6">
        <w:t>to determine if it qualifies as a PID</w:t>
      </w:r>
      <w:r w:rsidR="00E87866" w:rsidRPr="00F574A1">
        <w:t>.  Subject to appropriate delegations from the investigating entity (or head of the entity), they may also</w:t>
      </w:r>
      <w:r w:rsidRPr="001854C6">
        <w:t xml:space="preserve"> decide whether an investigation is required, develop terms of reference for the investigation, keep the discloser and Commissioner informed, and ensure compliance with</w:t>
      </w:r>
      <w:r w:rsidR="00E87866" w:rsidRPr="00F574A1">
        <w:t xml:space="preserve"> other</w:t>
      </w:r>
      <w:r w:rsidRPr="001854C6">
        <w:t xml:space="preserve"> requirements of the Act.  </w:t>
      </w:r>
    </w:p>
    <w:p w14:paraId="35B07326" w14:textId="77777777" w:rsidR="00E9061B" w:rsidRDefault="004E7B8B" w:rsidP="0060581C">
      <w:pPr>
        <w:spacing w:line="240" w:lineRule="auto"/>
      </w:pPr>
      <w:r w:rsidRPr="004E7B8B">
        <w:t xml:space="preserve">A consistent criticism levelled at disclosures that are poorly managed is that often the links in the communication chain break down and disclosures slip between the cracks or fail to be investigated when they should be. </w:t>
      </w:r>
    </w:p>
    <w:p w14:paraId="41B1B342" w14:textId="7E06C65D" w:rsidR="002E79B2" w:rsidRDefault="004E7B8B" w:rsidP="0060581C">
      <w:pPr>
        <w:spacing w:line="240" w:lineRule="auto"/>
        <w:rPr>
          <w:b/>
          <w:bCs/>
        </w:rPr>
      </w:pPr>
      <w:r w:rsidRPr="004E7B8B">
        <w:rPr>
          <w:b/>
          <w:bCs/>
        </w:rPr>
        <w:t xml:space="preserve">It is the responsibility of a disclosure officer to </w:t>
      </w:r>
      <w:r w:rsidR="00B33409">
        <w:rPr>
          <w:b/>
          <w:bCs/>
        </w:rPr>
        <w:t>manage</w:t>
      </w:r>
      <w:r w:rsidR="00BC4F07">
        <w:rPr>
          <w:b/>
          <w:bCs/>
        </w:rPr>
        <w:t xml:space="preserve"> the relevant processes </w:t>
      </w:r>
      <w:r w:rsidR="00757570">
        <w:rPr>
          <w:b/>
          <w:bCs/>
        </w:rPr>
        <w:t xml:space="preserve">and deal with </w:t>
      </w:r>
      <w:r w:rsidRPr="004E7B8B">
        <w:rPr>
          <w:b/>
          <w:bCs/>
        </w:rPr>
        <w:t>matters</w:t>
      </w:r>
      <w:r w:rsidR="00757570">
        <w:rPr>
          <w:b/>
          <w:bCs/>
        </w:rPr>
        <w:t xml:space="preserve"> </w:t>
      </w:r>
      <w:r w:rsidRPr="004E7B8B">
        <w:rPr>
          <w:b/>
          <w:bCs/>
        </w:rPr>
        <w:t>in a timely manner</w:t>
      </w:r>
      <w:r w:rsidR="002E79B2">
        <w:rPr>
          <w:b/>
          <w:bCs/>
        </w:rPr>
        <w:t>.</w:t>
      </w:r>
    </w:p>
    <w:p w14:paraId="4BA14C0A" w14:textId="35FE22D7" w:rsidR="001854C6" w:rsidRDefault="001854C6" w:rsidP="001854C6">
      <w:pPr>
        <w:spacing w:line="240" w:lineRule="auto"/>
      </w:pPr>
      <w:r w:rsidRPr="004E7B8B">
        <w:t>Section 11(2) of the Act require</w:t>
      </w:r>
      <w:r>
        <w:t xml:space="preserve">s the head of an entity to </w:t>
      </w:r>
      <w:r w:rsidRPr="004E7B8B">
        <w:t xml:space="preserve">declare at least one other person to be a disclosure officer in their entity. </w:t>
      </w:r>
      <w:r>
        <w:t xml:space="preserve"> The declaration is a notifiable instrument and must be listed on the ACT Legislation Register (</w:t>
      </w:r>
      <w:hyperlink r:id="rId15" w:history="1">
        <w:r w:rsidRPr="009C4ECC">
          <w:rPr>
            <w:rStyle w:val="Hyperlink"/>
          </w:rPr>
          <w:t>https://www.legislation.act.gov.au/a/2012-43/</w:t>
        </w:r>
      </w:hyperlink>
      <w:r>
        <w:t>).</w:t>
      </w:r>
      <w:r w:rsidR="008C34DE">
        <w:t xml:space="preserve"> </w:t>
      </w:r>
      <w:r>
        <w:t xml:space="preserve"> I</w:t>
      </w:r>
      <w:r w:rsidRPr="004E7B8B">
        <w:t xml:space="preserve">t is recommended that </w:t>
      </w:r>
      <w:r w:rsidR="009C17C9">
        <w:t xml:space="preserve">one of </w:t>
      </w:r>
      <w:r w:rsidRPr="004E7B8B">
        <w:t>the disclosure officer declared be a Senior Executive Responsible for Business Integrity and Risk (SERBIR).</w:t>
      </w:r>
      <w:r>
        <w:t xml:space="preserve">  </w:t>
      </w:r>
    </w:p>
    <w:p w14:paraId="2E0E1CCE" w14:textId="5BA937E9" w:rsidR="008C34DE" w:rsidRDefault="008C34DE" w:rsidP="001854C6">
      <w:pPr>
        <w:spacing w:line="240" w:lineRule="auto"/>
      </w:pPr>
      <w:r w:rsidRPr="008C34DE">
        <w:t>The head of the entity may elect to delegate all or part of their responsibilities as investigating entity to the disclosure officer.</w:t>
      </w:r>
    </w:p>
    <w:p w14:paraId="05EF097B" w14:textId="718B6D71" w:rsidR="001854C6" w:rsidRDefault="001854C6" w:rsidP="001854C6">
      <w:pPr>
        <w:spacing w:line="240" w:lineRule="auto"/>
      </w:pPr>
      <w:r w:rsidRPr="004E7B8B">
        <w:t xml:space="preserve">In the event disclosure officer </w:t>
      </w:r>
      <w:r w:rsidR="008C34DE">
        <w:t>designations</w:t>
      </w:r>
      <w:r w:rsidRPr="004E7B8B">
        <w:t xml:space="preserve"> change in an entity, a new declaration by </w:t>
      </w:r>
      <w:r w:rsidRPr="0075134C">
        <w:rPr>
          <w:b/>
        </w:rPr>
        <w:t>notifiable instrument</w:t>
      </w:r>
      <w:r w:rsidRPr="004E7B8B">
        <w:t xml:space="preserve"> is required.</w:t>
      </w:r>
    </w:p>
    <w:p w14:paraId="2034C4D7" w14:textId="3535497E" w:rsidR="004E7B8B" w:rsidRPr="004E7B8B" w:rsidRDefault="001854C6">
      <w:pPr>
        <w:spacing w:line="240" w:lineRule="auto"/>
      </w:pPr>
      <w:r>
        <w:t xml:space="preserve">Entities are also encouraged to make the names of their disclosure officers known by posting their names on </w:t>
      </w:r>
      <w:r w:rsidR="008C34DE">
        <w:t>their intranet website.</w:t>
      </w:r>
    </w:p>
    <w:p w14:paraId="23702F2B" w14:textId="77777777" w:rsidR="004E7B8B" w:rsidRPr="004E7B8B" w:rsidRDefault="002E79B2" w:rsidP="0060581C">
      <w:pPr>
        <w:spacing w:line="240" w:lineRule="auto"/>
      </w:pPr>
      <w:r>
        <w:t>In addition, t</w:t>
      </w:r>
      <w:r w:rsidR="004E7B8B" w:rsidRPr="004E7B8B">
        <w:t>he following positions are authorised to act as disclosure officers and must meet the requirements of the Act if a disclosure is made to them:</w:t>
      </w:r>
    </w:p>
    <w:p w14:paraId="21CE4DE7" w14:textId="77777777" w:rsidR="004E7B8B" w:rsidRPr="004E7B8B" w:rsidRDefault="0075134C" w:rsidP="00AA5B1C">
      <w:pPr>
        <w:numPr>
          <w:ilvl w:val="0"/>
          <w:numId w:val="7"/>
        </w:numPr>
        <w:spacing w:line="240" w:lineRule="auto"/>
      </w:pPr>
      <w:r>
        <w:t xml:space="preserve">Public Sector Standards </w:t>
      </w:r>
      <w:r w:rsidR="004E7B8B" w:rsidRPr="004E7B8B">
        <w:t>Commissioner;</w:t>
      </w:r>
    </w:p>
    <w:p w14:paraId="028F6320" w14:textId="77777777" w:rsidR="004E7B8B" w:rsidRPr="004E7B8B" w:rsidRDefault="004E7B8B" w:rsidP="00AA5B1C">
      <w:pPr>
        <w:numPr>
          <w:ilvl w:val="0"/>
          <w:numId w:val="7"/>
        </w:numPr>
        <w:spacing w:line="240" w:lineRule="auto"/>
      </w:pPr>
      <w:r w:rsidRPr="004E7B8B">
        <w:t>Head of Service;</w:t>
      </w:r>
    </w:p>
    <w:p w14:paraId="51DA6BAF" w14:textId="585144A8" w:rsidR="004E7B8B" w:rsidRPr="004E7B8B" w:rsidRDefault="004E7B8B" w:rsidP="00AA5B1C">
      <w:pPr>
        <w:numPr>
          <w:ilvl w:val="0"/>
          <w:numId w:val="7"/>
        </w:numPr>
        <w:spacing w:line="240" w:lineRule="auto"/>
      </w:pPr>
      <w:r w:rsidRPr="004E7B8B">
        <w:t>Auditor‐General;</w:t>
      </w:r>
    </w:p>
    <w:p w14:paraId="4E0B51A0" w14:textId="77777777" w:rsidR="001854C6" w:rsidRDefault="004E7B8B" w:rsidP="00AA5B1C">
      <w:pPr>
        <w:numPr>
          <w:ilvl w:val="0"/>
          <w:numId w:val="7"/>
        </w:numPr>
        <w:spacing w:line="240" w:lineRule="auto"/>
      </w:pPr>
      <w:r w:rsidRPr="004E7B8B">
        <w:t>ACT Ombudsman</w:t>
      </w:r>
      <w:r w:rsidR="001854C6">
        <w:t>; and</w:t>
      </w:r>
    </w:p>
    <w:p w14:paraId="43620719" w14:textId="40C3D1B9" w:rsidR="004E7B8B" w:rsidRDefault="001854C6" w:rsidP="00AA5B1C">
      <w:pPr>
        <w:numPr>
          <w:ilvl w:val="0"/>
          <w:numId w:val="7"/>
        </w:numPr>
        <w:spacing w:line="240" w:lineRule="auto"/>
      </w:pPr>
      <w:r>
        <w:t>Integrity Commissioner.</w:t>
      </w:r>
    </w:p>
    <w:p w14:paraId="51E93307" w14:textId="77777777" w:rsidR="00757570" w:rsidRDefault="00757570" w:rsidP="00FF3403">
      <w:pPr>
        <w:spacing w:after="0" w:line="240" w:lineRule="auto"/>
      </w:pPr>
    </w:p>
    <w:p w14:paraId="5C3DA198" w14:textId="3198B434" w:rsidR="004E7B8B" w:rsidRDefault="003B2C73" w:rsidP="00F574A1">
      <w:pPr>
        <w:spacing w:after="0" w:line="240" w:lineRule="auto"/>
        <w:rPr>
          <w:b/>
          <w:bCs/>
          <w:u w:val="single"/>
        </w:rPr>
      </w:pPr>
      <w:r>
        <w:rPr>
          <w:b/>
          <w:bCs/>
        </w:rPr>
        <w:t>6.</w:t>
      </w:r>
      <w:r w:rsidR="008B0684">
        <w:rPr>
          <w:b/>
          <w:bCs/>
        </w:rPr>
        <w:t xml:space="preserve"> </w:t>
      </w:r>
      <w:r w:rsidR="004E7B8B" w:rsidRPr="00D80700">
        <w:rPr>
          <w:b/>
          <w:bCs/>
          <w:u w:val="single"/>
        </w:rPr>
        <w:t>Guidance for Disclosure Officers</w:t>
      </w:r>
    </w:p>
    <w:p w14:paraId="5981A504" w14:textId="77777777" w:rsidR="00C7079A" w:rsidRPr="00A925D1" w:rsidRDefault="00C7079A" w:rsidP="00F574A1">
      <w:pPr>
        <w:spacing w:after="0" w:line="240" w:lineRule="auto"/>
        <w:rPr>
          <w:bCs/>
          <w:iCs/>
        </w:rPr>
      </w:pPr>
    </w:p>
    <w:p w14:paraId="436D3B81" w14:textId="323DC6B5" w:rsidR="004E7B8B" w:rsidRPr="004E7B8B" w:rsidRDefault="004E7B8B" w:rsidP="0060581C">
      <w:pPr>
        <w:spacing w:line="240" w:lineRule="auto"/>
      </w:pPr>
      <w:r w:rsidRPr="004E7B8B">
        <w:t>The following outlines the steps that should be undertaken by a disclosure officer upon receiving a disclosure</w:t>
      </w:r>
      <w:r w:rsidR="00533B05">
        <w:t xml:space="preserve">. </w:t>
      </w:r>
      <w:r w:rsidR="00533B05" w:rsidRPr="00533B05">
        <w:t>A table su</w:t>
      </w:r>
      <w:r w:rsidR="00AC183D">
        <w:t xml:space="preserve">mmarising the steps </w:t>
      </w:r>
      <w:r w:rsidR="00533B05" w:rsidRPr="00533B05">
        <w:t>is included a</w:t>
      </w:r>
      <w:r w:rsidR="00C7079A">
        <w:t>t</w:t>
      </w:r>
      <w:r w:rsidR="00533B05" w:rsidRPr="00533B05">
        <w:t xml:space="preserve"> Appendix A </w:t>
      </w:r>
      <w:r w:rsidR="00C7079A">
        <w:t>of these guidelines</w:t>
      </w:r>
      <w:r w:rsidR="00533B05" w:rsidRPr="00533B05">
        <w:t>.</w:t>
      </w:r>
    </w:p>
    <w:p w14:paraId="5090A44C" w14:textId="77777777" w:rsidR="00AA5B1C" w:rsidRPr="00AC183D" w:rsidRDefault="004E7B8B" w:rsidP="00AA5B1C">
      <w:pPr>
        <w:spacing w:line="240" w:lineRule="auto"/>
        <w:rPr>
          <w:bCs/>
          <w:iCs/>
        </w:rPr>
      </w:pPr>
      <w:r w:rsidRPr="00851F46">
        <w:rPr>
          <w:bCs/>
          <w:iCs/>
        </w:rPr>
        <w:t xml:space="preserve">Remember, disclosure officers must take their responsibilities under the legislation seriously. It is imperative that the process is followed </w:t>
      </w:r>
      <w:r w:rsidR="00AA5B1C">
        <w:rPr>
          <w:bCs/>
          <w:iCs/>
        </w:rPr>
        <w:t xml:space="preserve">and completed in a timely manner, </w:t>
      </w:r>
      <w:r w:rsidRPr="00851F46">
        <w:rPr>
          <w:bCs/>
          <w:iCs/>
        </w:rPr>
        <w:t>to r</w:t>
      </w:r>
      <w:r w:rsidR="00AA5B1C">
        <w:rPr>
          <w:bCs/>
          <w:iCs/>
        </w:rPr>
        <w:t>etain the integrity of the ACT P</w:t>
      </w:r>
      <w:r w:rsidRPr="00851F46">
        <w:rPr>
          <w:bCs/>
          <w:iCs/>
        </w:rPr>
        <w:t xml:space="preserve">ublic </w:t>
      </w:r>
      <w:r w:rsidR="00AA5B1C">
        <w:rPr>
          <w:bCs/>
          <w:iCs/>
        </w:rPr>
        <w:t>S</w:t>
      </w:r>
      <w:r w:rsidRPr="00851F46">
        <w:rPr>
          <w:bCs/>
          <w:iCs/>
        </w:rPr>
        <w:t>ector.</w:t>
      </w:r>
    </w:p>
    <w:p w14:paraId="57FBC8AE" w14:textId="77777777" w:rsidR="0043245A" w:rsidRDefault="0043245A" w:rsidP="0043245A">
      <w:r>
        <w:lastRenderedPageBreak/>
        <w:t xml:space="preserve">Disclosure Officers should </w:t>
      </w:r>
      <w:r w:rsidRPr="0043245A">
        <w:t>treat all disclosures in the strictest confidence, including disclosures which do not finally qualify as PIDs</w:t>
      </w:r>
      <w:r>
        <w:t>. A discloser’s concerns should be</w:t>
      </w:r>
      <w:r w:rsidRPr="0043245A">
        <w:t xml:space="preserve"> taken seriously and their privacy and confidentiality protected as far as possible throughout any investigation process. </w:t>
      </w:r>
    </w:p>
    <w:p w14:paraId="71CC81F5" w14:textId="205E8303" w:rsidR="0043245A" w:rsidRDefault="00E50486" w:rsidP="00226AD2">
      <w:pPr>
        <w:rPr>
          <w:b/>
          <w:u w:val="single"/>
        </w:rPr>
      </w:pPr>
      <w:r>
        <w:t>Section 44 of the</w:t>
      </w:r>
      <w:r w:rsidR="0043245A" w:rsidRPr="0043245A">
        <w:t xml:space="preserve"> Act makes it an offence for a person to </w:t>
      </w:r>
      <w:r>
        <w:t xml:space="preserve">use or recklessly divulge protected </w:t>
      </w:r>
      <w:r w:rsidR="0043245A" w:rsidRPr="0043245A">
        <w:t xml:space="preserve">information contained in a PID to anyone </w:t>
      </w:r>
      <w:r>
        <w:t xml:space="preserve">except as authorised by the </w:t>
      </w:r>
      <w:r w:rsidR="0043245A" w:rsidRPr="0043245A">
        <w:t>Act.</w:t>
      </w:r>
    </w:p>
    <w:p w14:paraId="4DA2831F" w14:textId="77777777" w:rsidR="00670A35" w:rsidRPr="00851F46" w:rsidRDefault="00670A35" w:rsidP="001C5480">
      <w:pPr>
        <w:spacing w:line="240" w:lineRule="auto"/>
        <w:ind w:left="720"/>
        <w:rPr>
          <w:u w:val="single"/>
        </w:rPr>
      </w:pPr>
      <w:r w:rsidRPr="00851F46">
        <w:rPr>
          <w:b/>
          <w:u w:val="single"/>
        </w:rPr>
        <w:t>Step 1 - Receive the Disclosure</w:t>
      </w:r>
    </w:p>
    <w:p w14:paraId="6E8D247C" w14:textId="5A8CDD3A" w:rsidR="00670A35" w:rsidRPr="00973563" w:rsidRDefault="00670A35" w:rsidP="001C5480">
      <w:pPr>
        <w:spacing w:line="240" w:lineRule="auto"/>
        <w:ind w:left="720"/>
        <w:rPr>
          <w:bCs/>
        </w:rPr>
      </w:pPr>
      <w:r w:rsidRPr="00670A35">
        <w:t xml:space="preserve">Under the Act, a person who has been designated as a disclosure officer is </w:t>
      </w:r>
      <w:r w:rsidRPr="00973563">
        <w:t xml:space="preserve">an </w:t>
      </w:r>
      <w:r w:rsidRPr="00973563">
        <w:rPr>
          <w:bCs/>
        </w:rPr>
        <w:t>officer declared by the head of their respective entity to make</w:t>
      </w:r>
      <w:r w:rsidR="00A72630">
        <w:rPr>
          <w:bCs/>
        </w:rPr>
        <w:t xml:space="preserve"> certain</w:t>
      </w:r>
      <w:r w:rsidRPr="00973563">
        <w:rPr>
          <w:bCs/>
        </w:rPr>
        <w:t xml:space="preserve"> decisions about PIDs.</w:t>
      </w:r>
    </w:p>
    <w:p w14:paraId="37BD9C4A" w14:textId="77777777" w:rsidR="00973563" w:rsidRDefault="008607CC" w:rsidP="00381439">
      <w:pPr>
        <w:spacing w:after="0" w:line="240" w:lineRule="auto"/>
        <w:ind w:left="720"/>
      </w:pPr>
      <w:r w:rsidRPr="008607CC">
        <w:t xml:space="preserve">Under section 15 of the Act, a </w:t>
      </w:r>
      <w:r w:rsidRPr="008607CC">
        <w:rPr>
          <w:i/>
        </w:rPr>
        <w:t>receiving officer</w:t>
      </w:r>
      <w:r w:rsidRPr="008607CC">
        <w:t xml:space="preserve"> may include a disclosure officer, Minister, a supervisor of the discloser or a Board member </w:t>
      </w:r>
      <w:r>
        <w:t xml:space="preserve">of a relevant governing board.  </w:t>
      </w:r>
      <w:r w:rsidR="00670A35" w:rsidRPr="00670A35">
        <w:t xml:space="preserve">A </w:t>
      </w:r>
      <w:r w:rsidR="00670A35" w:rsidRPr="008607CC">
        <w:rPr>
          <w:iCs/>
        </w:rPr>
        <w:t>receiving officer</w:t>
      </w:r>
      <w:r w:rsidR="00973563">
        <w:t xml:space="preserve"> </w:t>
      </w:r>
      <w:r w:rsidR="00670A35" w:rsidRPr="00670A35">
        <w:t xml:space="preserve">must provide a disclosure to a disclosure officer </w:t>
      </w:r>
      <w:r w:rsidR="00973563">
        <w:rPr>
          <w:b/>
          <w:bCs/>
        </w:rPr>
        <w:t xml:space="preserve">as soon as possible </w:t>
      </w:r>
      <w:r w:rsidR="00973563">
        <w:rPr>
          <w:bCs/>
        </w:rPr>
        <w:t>after receiving the disclosure</w:t>
      </w:r>
      <w:r w:rsidR="00670A35" w:rsidRPr="00670A35">
        <w:t>.</w:t>
      </w:r>
    </w:p>
    <w:p w14:paraId="00218473" w14:textId="77777777" w:rsidR="00973563" w:rsidRDefault="00973563" w:rsidP="001C5480">
      <w:pPr>
        <w:spacing w:after="0" w:line="240" w:lineRule="auto"/>
        <w:ind w:left="720"/>
      </w:pPr>
    </w:p>
    <w:p w14:paraId="20E2E0C8" w14:textId="77777777" w:rsidR="00973563" w:rsidRDefault="00973563" w:rsidP="001C5480">
      <w:pPr>
        <w:spacing w:after="0" w:line="240" w:lineRule="auto"/>
        <w:ind w:left="720"/>
      </w:pPr>
      <w:r>
        <w:t>If the disclosure is made orally, the person receiving the disclosure must make a written record of the disclosure</w:t>
      </w:r>
      <w:r w:rsidR="00381439">
        <w:t>.</w:t>
      </w:r>
    </w:p>
    <w:p w14:paraId="3AD62A8E" w14:textId="77777777" w:rsidR="00973563" w:rsidRDefault="00973563" w:rsidP="001C5480">
      <w:pPr>
        <w:spacing w:after="0" w:line="240" w:lineRule="auto"/>
        <w:ind w:left="720"/>
      </w:pPr>
    </w:p>
    <w:p w14:paraId="452B5FE7" w14:textId="627E900E" w:rsidR="00726C41" w:rsidRPr="004E7B8B" w:rsidRDefault="00726C41" w:rsidP="00F574A1">
      <w:pPr>
        <w:spacing w:line="240" w:lineRule="auto"/>
        <w:ind w:left="720"/>
      </w:pPr>
      <w:r w:rsidRPr="004E7B8B">
        <w:t xml:space="preserve">Under Section 17 of the Act, </w:t>
      </w:r>
      <w:r>
        <w:t xml:space="preserve">the </w:t>
      </w:r>
      <w:r w:rsidR="008C7D84">
        <w:t>head of the public sector entity (or their delegate)</w:t>
      </w:r>
      <w:r w:rsidRPr="004E7B8B">
        <w:t xml:space="preserve"> must</w:t>
      </w:r>
      <w:r w:rsidR="00381439">
        <w:t xml:space="preserve"> provide a copy of </w:t>
      </w:r>
      <w:r w:rsidR="00F460B1">
        <w:t>a</w:t>
      </w:r>
      <w:r w:rsidR="00381439">
        <w:t xml:space="preserve"> </w:t>
      </w:r>
      <w:r w:rsidR="00FC5363">
        <w:t>PID</w:t>
      </w:r>
      <w:r>
        <w:t xml:space="preserve"> </w:t>
      </w:r>
      <w:r w:rsidRPr="004E7B8B">
        <w:t>to:</w:t>
      </w:r>
    </w:p>
    <w:p w14:paraId="2C0B0459" w14:textId="77777777" w:rsidR="00726C41" w:rsidRPr="004E7B8B" w:rsidRDefault="00726C41" w:rsidP="00AA5B1C">
      <w:pPr>
        <w:numPr>
          <w:ilvl w:val="0"/>
          <w:numId w:val="7"/>
        </w:numPr>
        <w:spacing w:line="240" w:lineRule="auto"/>
        <w:ind w:left="1829"/>
      </w:pPr>
      <w:r w:rsidRPr="004E7B8B">
        <w:t>the head of each enti</w:t>
      </w:r>
      <w:r w:rsidR="00381439">
        <w:t xml:space="preserve">ty to which the PID relates; </w:t>
      </w:r>
    </w:p>
    <w:p w14:paraId="3DB2A598" w14:textId="77777777" w:rsidR="00726C41" w:rsidRDefault="00726C41" w:rsidP="00AA5B1C">
      <w:pPr>
        <w:numPr>
          <w:ilvl w:val="0"/>
          <w:numId w:val="7"/>
        </w:numPr>
        <w:spacing w:line="240" w:lineRule="auto"/>
        <w:ind w:left="1829"/>
      </w:pPr>
      <w:r w:rsidRPr="004E7B8B">
        <w:t>the</w:t>
      </w:r>
      <w:r w:rsidR="008607CC">
        <w:t xml:space="preserve"> Public Sector Standards Commissioner</w:t>
      </w:r>
      <w:r w:rsidR="00381439">
        <w:t>;</w:t>
      </w:r>
    </w:p>
    <w:p w14:paraId="18AA06A2" w14:textId="71209CC4" w:rsidR="0043245A" w:rsidRPr="00226AD2" w:rsidRDefault="00381439" w:rsidP="00226AD2">
      <w:pPr>
        <w:numPr>
          <w:ilvl w:val="0"/>
          <w:numId w:val="7"/>
        </w:numPr>
        <w:spacing w:line="240" w:lineRule="auto"/>
        <w:ind w:left="1829"/>
      </w:pPr>
      <w:r>
        <w:t xml:space="preserve">and in some </w:t>
      </w:r>
      <w:r w:rsidR="009D4C17">
        <w:t>cases,</w:t>
      </w:r>
      <w:r w:rsidR="00A97533">
        <w:t xml:space="preserve"> the </w:t>
      </w:r>
      <w:r w:rsidR="00C7079A">
        <w:t>ACT O</w:t>
      </w:r>
      <w:r>
        <w:t xml:space="preserve">mbudsman or the </w:t>
      </w:r>
      <w:r w:rsidR="00C7079A">
        <w:t>H</w:t>
      </w:r>
      <w:r>
        <w:t xml:space="preserve">ead of </w:t>
      </w:r>
      <w:r w:rsidR="00C7079A">
        <w:t>S</w:t>
      </w:r>
      <w:r>
        <w:t>ervice.</w:t>
      </w:r>
    </w:p>
    <w:p w14:paraId="4DCD38F6" w14:textId="77777777" w:rsidR="0043245A" w:rsidRDefault="0043245A" w:rsidP="001C5480">
      <w:pPr>
        <w:spacing w:after="0" w:line="240" w:lineRule="auto"/>
        <w:ind w:left="720"/>
        <w:rPr>
          <w:b/>
          <w:u w:val="single"/>
        </w:rPr>
      </w:pPr>
    </w:p>
    <w:p w14:paraId="550F137A" w14:textId="77777777" w:rsidR="00670A35" w:rsidRPr="00851F46" w:rsidRDefault="00670A35" w:rsidP="001C5480">
      <w:pPr>
        <w:spacing w:after="0" w:line="240" w:lineRule="auto"/>
        <w:ind w:left="720"/>
        <w:rPr>
          <w:b/>
          <w:u w:val="single"/>
        </w:rPr>
      </w:pPr>
      <w:r w:rsidRPr="00851F46">
        <w:rPr>
          <w:b/>
          <w:u w:val="single"/>
        </w:rPr>
        <w:t xml:space="preserve">Step 2 </w:t>
      </w:r>
      <w:r w:rsidR="00B10685" w:rsidRPr="00851F46">
        <w:rPr>
          <w:b/>
          <w:u w:val="single"/>
        </w:rPr>
        <w:t>–</w:t>
      </w:r>
      <w:r w:rsidRPr="00851F46">
        <w:rPr>
          <w:b/>
          <w:u w:val="single"/>
        </w:rPr>
        <w:t xml:space="preserve"> Acknowledge</w:t>
      </w:r>
    </w:p>
    <w:p w14:paraId="3E6B0E8E" w14:textId="77777777" w:rsidR="00B10685" w:rsidRPr="00851F46" w:rsidRDefault="00B10685" w:rsidP="001C5480">
      <w:pPr>
        <w:spacing w:after="0" w:line="240" w:lineRule="auto"/>
        <w:ind w:left="720"/>
        <w:rPr>
          <w:b/>
          <w:u w:val="single"/>
        </w:rPr>
      </w:pPr>
    </w:p>
    <w:p w14:paraId="2C1A3242" w14:textId="77777777" w:rsidR="00670A35" w:rsidRPr="00670A35" w:rsidRDefault="00670A35" w:rsidP="001C5480">
      <w:pPr>
        <w:spacing w:line="240" w:lineRule="auto"/>
        <w:ind w:left="720"/>
      </w:pPr>
      <w:r w:rsidRPr="00670A35">
        <w:t>Given the seriousness of making a disclosure, it should be acknowledged that the person making the disclosure will most likely be under some stres</w:t>
      </w:r>
      <w:r w:rsidR="008607CC">
        <w:t xml:space="preserve">s. It is important that the disclosure be </w:t>
      </w:r>
      <w:r w:rsidRPr="00670A35">
        <w:t>acknowledged and that they are thanked for taking this action.</w:t>
      </w:r>
    </w:p>
    <w:p w14:paraId="0AE6793A" w14:textId="77777777" w:rsidR="00C7079A" w:rsidRDefault="00C7079A" w:rsidP="00226AD2">
      <w:pPr>
        <w:spacing w:after="0" w:line="240" w:lineRule="auto"/>
        <w:ind w:firstLine="720"/>
        <w:rPr>
          <w:b/>
          <w:u w:val="single"/>
        </w:rPr>
      </w:pPr>
    </w:p>
    <w:p w14:paraId="1542DABE" w14:textId="6A879AED" w:rsidR="00670A35" w:rsidRPr="00851F46" w:rsidRDefault="00670A35" w:rsidP="00226AD2">
      <w:pPr>
        <w:spacing w:after="0" w:line="240" w:lineRule="auto"/>
        <w:ind w:firstLine="720"/>
        <w:rPr>
          <w:b/>
          <w:u w:val="single"/>
        </w:rPr>
      </w:pPr>
      <w:r w:rsidRPr="00851F46">
        <w:rPr>
          <w:b/>
          <w:u w:val="single"/>
        </w:rPr>
        <w:t>Step 3 – Asses</w:t>
      </w:r>
      <w:r w:rsidR="00B10685" w:rsidRPr="00851F46">
        <w:rPr>
          <w:b/>
          <w:u w:val="single"/>
        </w:rPr>
        <w:t xml:space="preserve">s </w:t>
      </w:r>
      <w:r w:rsidRPr="00851F46">
        <w:rPr>
          <w:b/>
          <w:u w:val="single"/>
        </w:rPr>
        <w:t xml:space="preserve">the </w:t>
      </w:r>
      <w:r w:rsidR="00B10685" w:rsidRPr="00851F46">
        <w:rPr>
          <w:b/>
          <w:u w:val="single"/>
        </w:rPr>
        <w:t>d</w:t>
      </w:r>
      <w:r w:rsidRPr="00851F46">
        <w:rPr>
          <w:b/>
          <w:u w:val="single"/>
        </w:rPr>
        <w:t>isclosure</w:t>
      </w:r>
    </w:p>
    <w:p w14:paraId="40CE5D3A" w14:textId="77777777" w:rsidR="00B10685" w:rsidRPr="00851F46" w:rsidRDefault="00B10685" w:rsidP="0060581C">
      <w:pPr>
        <w:spacing w:after="0" w:line="240" w:lineRule="auto"/>
        <w:rPr>
          <w:b/>
          <w:u w:val="single"/>
        </w:rPr>
      </w:pPr>
    </w:p>
    <w:p w14:paraId="47DB485F" w14:textId="7BA8B26D" w:rsidR="00A474C2" w:rsidRPr="00851F46" w:rsidRDefault="00670A35" w:rsidP="0060581C">
      <w:pPr>
        <w:spacing w:line="240" w:lineRule="auto"/>
        <w:ind w:left="720"/>
        <w:rPr>
          <w:u w:val="single"/>
        </w:rPr>
      </w:pPr>
      <w:r w:rsidRPr="00670A35">
        <w:rPr>
          <w:b/>
        </w:rPr>
        <w:t xml:space="preserve">a)  </w:t>
      </w:r>
      <w:r w:rsidR="00B10685" w:rsidRPr="00851F46">
        <w:rPr>
          <w:b/>
          <w:u w:val="single"/>
        </w:rPr>
        <w:t>Is it in the correct entity?</w:t>
      </w:r>
    </w:p>
    <w:p w14:paraId="7F77C0A6" w14:textId="1D3AC921" w:rsidR="00670A35" w:rsidRPr="00670A35" w:rsidRDefault="00670A35" w:rsidP="0060581C">
      <w:pPr>
        <w:spacing w:line="240" w:lineRule="auto"/>
        <w:ind w:left="720"/>
      </w:pPr>
      <w:r w:rsidRPr="00670A35">
        <w:t xml:space="preserve">The </w:t>
      </w:r>
      <w:r w:rsidR="00527F77">
        <w:t xml:space="preserve">disclosure officer </w:t>
      </w:r>
      <w:r w:rsidRPr="00851F46">
        <w:rPr>
          <w:bCs/>
        </w:rPr>
        <w:t>must decide</w:t>
      </w:r>
      <w:r w:rsidRPr="00670A35">
        <w:rPr>
          <w:b/>
          <w:bCs/>
        </w:rPr>
        <w:t xml:space="preserve"> </w:t>
      </w:r>
      <w:r w:rsidRPr="00670A35">
        <w:t xml:space="preserve">if the </w:t>
      </w:r>
      <w:r w:rsidR="00F51F2F">
        <w:t>disclosure s</w:t>
      </w:r>
      <w:r w:rsidR="00DA5EF0">
        <w:t xml:space="preserve">hould be </w:t>
      </w:r>
      <w:r w:rsidRPr="00670A35">
        <w:t>handled in another entity. For example, if the disclosure:</w:t>
      </w:r>
    </w:p>
    <w:p w14:paraId="3026A7ED" w14:textId="77777777" w:rsidR="00670A35" w:rsidRPr="00670A35" w:rsidRDefault="00670A35" w:rsidP="00AA5B1C">
      <w:pPr>
        <w:numPr>
          <w:ilvl w:val="1"/>
          <w:numId w:val="7"/>
        </w:numPr>
        <w:spacing w:line="240" w:lineRule="auto"/>
        <w:ind w:left="2303"/>
      </w:pPr>
      <w:r w:rsidRPr="00670A35">
        <w:t>involves a staff member from another entity; or</w:t>
      </w:r>
    </w:p>
    <w:p w14:paraId="5605003E" w14:textId="77777777" w:rsidR="00670A35" w:rsidRPr="00670A35" w:rsidRDefault="00670A35" w:rsidP="00AA5B1C">
      <w:pPr>
        <w:numPr>
          <w:ilvl w:val="1"/>
          <w:numId w:val="7"/>
        </w:numPr>
        <w:spacing w:line="240" w:lineRule="auto"/>
        <w:ind w:left="2303"/>
      </w:pPr>
      <w:r w:rsidRPr="00670A35">
        <w:t>involves a program managed under another entity; or</w:t>
      </w:r>
    </w:p>
    <w:p w14:paraId="18E73FDD" w14:textId="77777777" w:rsidR="00670A35" w:rsidRPr="00670A35" w:rsidRDefault="00670A35" w:rsidP="00AA5B1C">
      <w:pPr>
        <w:numPr>
          <w:ilvl w:val="1"/>
          <w:numId w:val="7"/>
        </w:numPr>
        <w:spacing w:line="240" w:lineRule="auto"/>
        <w:ind w:left="2303"/>
      </w:pPr>
      <w:r w:rsidRPr="00670A35">
        <w:t>relates to an entity which is funded by another entity.</w:t>
      </w:r>
    </w:p>
    <w:p w14:paraId="7A89C5FE" w14:textId="2896EE72" w:rsidR="007A454C" w:rsidRDefault="00DA5EF0" w:rsidP="006C24AD">
      <w:pPr>
        <w:spacing w:after="0" w:line="240" w:lineRule="auto"/>
        <w:ind w:left="720"/>
      </w:pPr>
      <w:r>
        <w:t xml:space="preserve">The </w:t>
      </w:r>
      <w:r w:rsidR="00527F77">
        <w:t xml:space="preserve">disclosure officer </w:t>
      </w:r>
      <w:r w:rsidR="00F51F2F">
        <w:t xml:space="preserve">who receives the disclosure </w:t>
      </w:r>
      <w:r w:rsidR="00190CDE">
        <w:t xml:space="preserve">must, in the normal course of events, </w:t>
      </w:r>
      <w:r>
        <w:t>give a copy of the disclosure to the head of the entity to which the disclosure relates.</w:t>
      </w:r>
    </w:p>
    <w:p w14:paraId="11CBDFDB" w14:textId="77777777" w:rsidR="00DA5EF0" w:rsidRDefault="00DA5EF0" w:rsidP="00F574A1">
      <w:pPr>
        <w:spacing w:after="0" w:line="240" w:lineRule="auto"/>
      </w:pPr>
    </w:p>
    <w:p w14:paraId="127D90C5" w14:textId="7EABE434" w:rsidR="007A454C" w:rsidRDefault="00DA1DC8" w:rsidP="006C24AD">
      <w:pPr>
        <w:spacing w:after="0" w:line="240" w:lineRule="auto"/>
        <w:ind w:left="720"/>
      </w:pPr>
      <w:r>
        <w:t>A</w:t>
      </w:r>
      <w:r w:rsidR="007A454C" w:rsidRPr="007A454C">
        <w:t xml:space="preserve"> </w:t>
      </w:r>
      <w:r w:rsidR="005E4A26">
        <w:t>disclosure</w:t>
      </w:r>
      <w:r w:rsidR="007A454C" w:rsidRPr="007A454C">
        <w:t xml:space="preserve"> </w:t>
      </w:r>
      <w:r w:rsidR="00ED7994">
        <w:t xml:space="preserve">should not be referred </w:t>
      </w:r>
      <w:r w:rsidR="007A454C" w:rsidRPr="007A454C">
        <w:t xml:space="preserve">to another public sector entity if it </w:t>
      </w:r>
      <w:r w:rsidR="00E74B34">
        <w:t>creates a</w:t>
      </w:r>
      <w:r w:rsidR="007A454C" w:rsidRPr="007A454C">
        <w:t>n unacceptable risk that a reprisal would happen because of the referral. In considering whether there would be an unacc</w:t>
      </w:r>
      <w:r w:rsidR="00F3648F">
        <w:t xml:space="preserve">eptable risk, </w:t>
      </w:r>
      <w:r w:rsidR="00E74B34">
        <w:t>the entity</w:t>
      </w:r>
      <w:r w:rsidR="007A454C">
        <w:t xml:space="preserve"> may first </w:t>
      </w:r>
      <w:r w:rsidR="007A454C" w:rsidRPr="007A454C">
        <w:t>consult with the person who made the PID.</w:t>
      </w:r>
    </w:p>
    <w:p w14:paraId="762793D4" w14:textId="77777777" w:rsidR="007A454C" w:rsidRDefault="007A454C" w:rsidP="006C24AD">
      <w:pPr>
        <w:spacing w:after="0" w:line="240" w:lineRule="auto"/>
        <w:ind w:left="720"/>
      </w:pPr>
    </w:p>
    <w:p w14:paraId="48DCD5EA" w14:textId="746126B3" w:rsidR="007A454C" w:rsidRDefault="007A454C" w:rsidP="001C753D">
      <w:pPr>
        <w:spacing w:after="0" w:line="240" w:lineRule="auto"/>
        <w:ind w:left="720"/>
      </w:pPr>
      <w:r w:rsidRPr="007A454C">
        <w:lastRenderedPageBreak/>
        <w:t>A Referral Form template is provided as an Appendix to these guidelines.</w:t>
      </w:r>
    </w:p>
    <w:p w14:paraId="5B075DC1" w14:textId="77777777" w:rsidR="006C24AD" w:rsidRDefault="006C24AD" w:rsidP="006C24AD">
      <w:pPr>
        <w:spacing w:after="0" w:line="240" w:lineRule="auto"/>
        <w:ind w:left="720"/>
      </w:pPr>
    </w:p>
    <w:p w14:paraId="44A49698" w14:textId="77777777" w:rsidR="00670A35" w:rsidRDefault="00670A35" w:rsidP="006C24AD">
      <w:pPr>
        <w:spacing w:after="0" w:line="240" w:lineRule="auto"/>
        <w:ind w:left="720"/>
        <w:rPr>
          <w:b/>
          <w:bCs/>
          <w:u w:val="single"/>
        </w:rPr>
      </w:pPr>
      <w:r w:rsidRPr="00670A35">
        <w:rPr>
          <w:b/>
          <w:bCs/>
        </w:rPr>
        <w:t xml:space="preserve">b) </w:t>
      </w:r>
      <w:r w:rsidR="00B10685">
        <w:rPr>
          <w:b/>
          <w:bCs/>
          <w:u w:val="single"/>
        </w:rPr>
        <w:t xml:space="preserve"> Is the d</w:t>
      </w:r>
      <w:r w:rsidR="00F34A90">
        <w:rPr>
          <w:b/>
          <w:bCs/>
          <w:u w:val="single"/>
        </w:rPr>
        <w:t xml:space="preserve">isclosure </w:t>
      </w:r>
      <w:r w:rsidRPr="00670A35">
        <w:rPr>
          <w:b/>
          <w:bCs/>
          <w:u w:val="single"/>
        </w:rPr>
        <w:t>actually a PID</w:t>
      </w:r>
      <w:r w:rsidR="00B10685">
        <w:rPr>
          <w:b/>
          <w:bCs/>
          <w:u w:val="single"/>
        </w:rPr>
        <w:t>?</w:t>
      </w:r>
    </w:p>
    <w:p w14:paraId="79322B1E" w14:textId="77777777" w:rsidR="00D80700" w:rsidRPr="006C24AD" w:rsidRDefault="00D80700" w:rsidP="006C24AD">
      <w:pPr>
        <w:spacing w:after="0" w:line="240" w:lineRule="auto"/>
        <w:ind w:left="720"/>
      </w:pPr>
    </w:p>
    <w:p w14:paraId="14AD1F4D" w14:textId="5304AAAA" w:rsidR="00670A35" w:rsidRPr="00670A35" w:rsidRDefault="00670A35" w:rsidP="0060581C">
      <w:pPr>
        <w:spacing w:line="240" w:lineRule="auto"/>
        <w:ind w:left="720"/>
        <w:rPr>
          <w:b/>
          <w:bCs/>
        </w:rPr>
      </w:pPr>
      <w:r w:rsidRPr="00670A35">
        <w:rPr>
          <w:b/>
          <w:bCs/>
        </w:rPr>
        <w:t xml:space="preserve">It is imperative for the disclosure officer to make a decision whether the disclosure qualifies as a </w:t>
      </w:r>
      <w:r w:rsidR="008C34DE">
        <w:rPr>
          <w:b/>
          <w:bCs/>
        </w:rPr>
        <w:t>PID</w:t>
      </w:r>
      <w:r w:rsidRPr="00670A35">
        <w:rPr>
          <w:b/>
          <w:bCs/>
        </w:rPr>
        <w:t xml:space="preserve"> under the Act.</w:t>
      </w:r>
    </w:p>
    <w:p w14:paraId="50969B1F" w14:textId="77777777" w:rsidR="00670A35" w:rsidRPr="00670A35" w:rsidRDefault="00670A35" w:rsidP="0060581C">
      <w:pPr>
        <w:spacing w:line="240" w:lineRule="auto"/>
        <w:ind w:left="720"/>
      </w:pPr>
      <w:r w:rsidRPr="00670A35">
        <w:t>Part One of the guidelines will assist disclosure officers in making this decision.</w:t>
      </w:r>
    </w:p>
    <w:p w14:paraId="3CC9DF69" w14:textId="0DB1E2E9" w:rsidR="00670A35" w:rsidRPr="00670A35" w:rsidRDefault="00670A35" w:rsidP="0060581C">
      <w:pPr>
        <w:spacing w:line="240" w:lineRule="auto"/>
        <w:ind w:left="720"/>
      </w:pPr>
      <w:r w:rsidRPr="00670A35">
        <w:t xml:space="preserve">Remember that PIDs are about serious and systemic concerns; personal or other </w:t>
      </w:r>
      <w:r w:rsidR="009D4C17" w:rsidRPr="00670A35">
        <w:t>relationship-based</w:t>
      </w:r>
      <w:r w:rsidRPr="00670A35">
        <w:t xml:space="preserve"> problems alone will rarely amount to a PID.</w:t>
      </w:r>
    </w:p>
    <w:p w14:paraId="278C8F3F" w14:textId="77777777" w:rsidR="00670A35" w:rsidRPr="00670A35" w:rsidRDefault="00670A35" w:rsidP="0060581C">
      <w:pPr>
        <w:spacing w:line="240" w:lineRule="auto"/>
        <w:ind w:left="720"/>
      </w:pPr>
      <w:r w:rsidRPr="00670A35">
        <w:t>Questions to consider include:</w:t>
      </w:r>
    </w:p>
    <w:p w14:paraId="56601E08" w14:textId="77777777" w:rsidR="00670A35" w:rsidRPr="00670A35" w:rsidRDefault="00670A35" w:rsidP="00AA5B1C">
      <w:pPr>
        <w:numPr>
          <w:ilvl w:val="1"/>
          <w:numId w:val="7"/>
        </w:numPr>
        <w:spacing w:line="240" w:lineRule="auto"/>
        <w:ind w:left="2303"/>
      </w:pPr>
      <w:r w:rsidRPr="00670A35">
        <w:t>What type of conduct has occurred?</w:t>
      </w:r>
    </w:p>
    <w:p w14:paraId="406CF0F3" w14:textId="7CE9BDF4" w:rsidR="00670A35" w:rsidRPr="00670A35" w:rsidRDefault="00D32684" w:rsidP="00AA5B1C">
      <w:pPr>
        <w:numPr>
          <w:ilvl w:val="1"/>
          <w:numId w:val="7"/>
        </w:numPr>
        <w:spacing w:line="240" w:lineRule="auto"/>
        <w:ind w:left="2303"/>
      </w:pPr>
      <w:r>
        <w:t xml:space="preserve">How serious </w:t>
      </w:r>
      <w:r w:rsidR="00670A35" w:rsidRPr="00670A35">
        <w:t>is</w:t>
      </w:r>
      <w:r>
        <w:t xml:space="preserve"> it</w:t>
      </w:r>
      <w:r w:rsidR="00670A35" w:rsidRPr="00670A35">
        <w:t>?</w:t>
      </w:r>
    </w:p>
    <w:p w14:paraId="2E645E2A" w14:textId="77777777" w:rsidR="00670A35" w:rsidRPr="00670A35" w:rsidRDefault="00670A35" w:rsidP="00AA5B1C">
      <w:pPr>
        <w:numPr>
          <w:ilvl w:val="1"/>
          <w:numId w:val="7"/>
        </w:numPr>
        <w:spacing w:line="240" w:lineRule="auto"/>
        <w:ind w:left="2303"/>
      </w:pPr>
      <w:r w:rsidRPr="00670A35">
        <w:t>How many people are involved?</w:t>
      </w:r>
    </w:p>
    <w:p w14:paraId="5B7D3A76" w14:textId="77777777" w:rsidR="00670A35" w:rsidRPr="00670A35" w:rsidRDefault="00670A35" w:rsidP="00AA5B1C">
      <w:pPr>
        <w:numPr>
          <w:ilvl w:val="1"/>
          <w:numId w:val="7"/>
        </w:numPr>
        <w:spacing w:line="240" w:lineRule="auto"/>
        <w:ind w:left="2303"/>
      </w:pPr>
      <w:r w:rsidRPr="00670A35">
        <w:t>What is the seniority of those involved or affected?</w:t>
      </w:r>
    </w:p>
    <w:p w14:paraId="6E38AC76" w14:textId="77777777" w:rsidR="00670A35" w:rsidRPr="00670A35" w:rsidRDefault="00670A35" w:rsidP="00AA5B1C">
      <w:pPr>
        <w:numPr>
          <w:ilvl w:val="1"/>
          <w:numId w:val="7"/>
        </w:numPr>
        <w:spacing w:line="240" w:lineRule="auto"/>
        <w:ind w:left="2303"/>
      </w:pPr>
      <w:r w:rsidRPr="00670A35">
        <w:t>Is the conduct of a type referred to in the Act or these Guidelines?</w:t>
      </w:r>
    </w:p>
    <w:p w14:paraId="0F3D24C7" w14:textId="77777777" w:rsidR="00670A35" w:rsidRPr="00670A35" w:rsidRDefault="00670A35" w:rsidP="00AA5B1C">
      <w:pPr>
        <w:numPr>
          <w:ilvl w:val="1"/>
          <w:numId w:val="7"/>
        </w:numPr>
        <w:spacing w:line="240" w:lineRule="auto"/>
        <w:ind w:left="2303"/>
      </w:pPr>
      <w:r w:rsidRPr="00670A35">
        <w:t>Is the behaviour systemic?</w:t>
      </w:r>
    </w:p>
    <w:p w14:paraId="37B8AE26" w14:textId="77777777" w:rsidR="00670A35" w:rsidRDefault="00670A35" w:rsidP="00AA5B1C">
      <w:pPr>
        <w:numPr>
          <w:ilvl w:val="1"/>
          <w:numId w:val="7"/>
        </w:numPr>
        <w:spacing w:line="240" w:lineRule="auto"/>
        <w:ind w:left="2303"/>
      </w:pPr>
      <w:r w:rsidRPr="00670A35">
        <w:t>Are amounts involved substantial?</w:t>
      </w:r>
    </w:p>
    <w:p w14:paraId="6369EE9F" w14:textId="720609B5" w:rsidR="00DE0E0B" w:rsidRDefault="00E9061B" w:rsidP="00DE0E0B">
      <w:pPr>
        <w:numPr>
          <w:ilvl w:val="1"/>
          <w:numId w:val="7"/>
        </w:numPr>
        <w:spacing w:line="240" w:lineRule="auto"/>
        <w:ind w:left="2303"/>
      </w:pPr>
      <w:r>
        <w:t>If proven, could the allegations result in termination of employment?</w:t>
      </w:r>
    </w:p>
    <w:p w14:paraId="57F1593D" w14:textId="412656B1" w:rsidR="00CE6C1C" w:rsidRDefault="00CE6C1C">
      <w:pPr>
        <w:spacing w:line="240" w:lineRule="auto"/>
        <w:ind w:left="720"/>
      </w:pPr>
      <w:r w:rsidRPr="00CE6C1C">
        <w:t>It is not necessary for the discloser</w:t>
      </w:r>
      <w:r w:rsidR="00DE0E0B">
        <w:t xml:space="preserve"> to identify a matter as a PID.  I</w:t>
      </w:r>
      <w:r w:rsidRPr="00CE6C1C">
        <w:t>t is the disclosure officer’s responsibility to identify a PID as such and address it accordingly.</w:t>
      </w:r>
    </w:p>
    <w:p w14:paraId="5A4B8A5E" w14:textId="76F9824A" w:rsidR="00CE6C1C" w:rsidRDefault="00CE6C1C" w:rsidP="00DE0E0B">
      <w:pPr>
        <w:spacing w:line="240" w:lineRule="auto"/>
        <w:ind w:left="720"/>
      </w:pPr>
      <w:r w:rsidRPr="00CE6C1C">
        <w:t>Should the disclosure officer require additional information to make their decision as to whether the disclosure qualifies as a PID, the disclosure officer may consider conducting limited inquiries, interviewing the complainant, and seeking advice from GSO or the</w:t>
      </w:r>
      <w:r w:rsidR="00ED7994">
        <w:t xml:space="preserve"> office of the</w:t>
      </w:r>
      <w:r w:rsidRPr="00CE6C1C">
        <w:t xml:space="preserve"> Public Sector Standards Commissioner</w:t>
      </w:r>
      <w:r>
        <w:t>.</w:t>
      </w:r>
    </w:p>
    <w:p w14:paraId="76D89898" w14:textId="644922B1" w:rsidR="00DE0E0B" w:rsidRDefault="00DE0E0B" w:rsidP="00DE0E0B">
      <w:pPr>
        <w:spacing w:line="240" w:lineRule="auto"/>
        <w:ind w:left="720"/>
      </w:pPr>
      <w:r w:rsidRPr="00DE0E0B">
        <w:rPr>
          <w:rFonts w:ascii="Calibri" w:eastAsia="Times New Roman" w:hAnsi="Calibri" w:cs="Times New Roman"/>
          <w:noProof/>
          <w:lang w:eastAsia="en-AU"/>
        </w:rPr>
        <mc:AlternateContent>
          <mc:Choice Requires="wps">
            <w:drawing>
              <wp:anchor distT="45720" distB="45720" distL="114300" distR="114300" simplePos="0" relativeHeight="251734016" behindDoc="0" locked="0" layoutInCell="1" allowOverlap="1" wp14:anchorId="611D44A1" wp14:editId="603971B0">
                <wp:simplePos x="0" y="0"/>
                <wp:positionH relativeFrom="column">
                  <wp:posOffset>476250</wp:posOffset>
                </wp:positionH>
                <wp:positionV relativeFrom="paragraph">
                  <wp:posOffset>116840</wp:posOffset>
                </wp:positionV>
                <wp:extent cx="5181600" cy="9810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81075"/>
                        </a:xfrm>
                        <a:prstGeom prst="rect">
                          <a:avLst/>
                        </a:prstGeom>
                        <a:solidFill>
                          <a:srgbClr val="4472C4">
                            <a:lumMod val="20000"/>
                            <a:lumOff val="80000"/>
                          </a:srgbClr>
                        </a:solidFill>
                        <a:ln w="9525">
                          <a:solidFill>
                            <a:srgbClr val="000000"/>
                          </a:solidFill>
                          <a:miter lim="800000"/>
                          <a:headEnd/>
                          <a:tailEnd/>
                        </a:ln>
                      </wps:spPr>
                      <wps:txbx>
                        <w:txbxContent>
                          <w:p w14:paraId="11F5A5F3" w14:textId="77777777" w:rsidR="00D85ECD" w:rsidRDefault="00D85ECD" w:rsidP="00DE0E0B">
                            <w:pPr>
                              <w:spacing w:line="240" w:lineRule="auto"/>
                            </w:pPr>
                            <w:r>
                              <w:t>• The assessment of the PID should be based on the content of the disclosure, not the expected outcome of the investigation.</w:t>
                            </w:r>
                          </w:p>
                          <w:p w14:paraId="17EC1367" w14:textId="77777777" w:rsidR="00D85ECD" w:rsidRDefault="00D85ECD" w:rsidP="00DE0E0B">
                            <w:pPr>
                              <w:spacing w:line="240" w:lineRule="auto"/>
                            </w:pPr>
                            <w:r>
                              <w:t>• If in doubt, err on the side of caution.  If there is reasonable grounds to believe the alleged matter involves disclosable conduct then treat the matter as a PID.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D44A1" id="_x0000_s1039" type="#_x0000_t202" style="position:absolute;left:0;text-align:left;margin-left:37.5pt;margin-top:9.2pt;width:408pt;height:77.2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" fillcolor="#dae3f3">
                <v:textbox>
                  <w:txbxContent>
                    <w:p w14:paraId="11F5A5F3" w14:textId="77777777" w:rsidR="00D85ECD" w:rsidRDefault="00D85ECD" w:rsidP="00DE0E0B">
                      <w:pPr>
                        <w:spacing w:line="240" w:lineRule="auto"/>
                      </w:pPr>
                      <w:r>
                        <w:t>• The assessment of the PID should be based on the content of the disclosure, not the expected outcome of the investigation.</w:t>
                      </w:r>
                    </w:p>
                    <w:p w14:paraId="17EC1367" w14:textId="77777777" w:rsidR="00D85ECD" w:rsidRDefault="00D85ECD" w:rsidP="00DE0E0B">
                      <w:pPr>
                        <w:spacing w:line="240" w:lineRule="auto"/>
                      </w:pPr>
                      <w:r>
                        <w:t>• If in doubt, err on the side of caution.  If there is reasonable grounds to believe the alleged matter involves disclosable conduct then treat the matter as a PID.</w:t>
                      </w:r>
                    </w:p>
                  </w:txbxContent>
                </v:textbox>
                <w10:wrap type="square"/>
              </v:shape>
            </w:pict>
          </mc:Fallback>
        </mc:AlternateContent>
      </w:r>
    </w:p>
    <w:p w14:paraId="6E62E651" w14:textId="4B85BA4E" w:rsidR="00DE0E0B" w:rsidRDefault="00DE0E0B" w:rsidP="00DE0E0B">
      <w:pPr>
        <w:spacing w:line="240" w:lineRule="auto"/>
        <w:ind w:left="720"/>
      </w:pPr>
    </w:p>
    <w:p w14:paraId="632AAF3B" w14:textId="77777777" w:rsidR="00DE0E0B" w:rsidRDefault="00DE0E0B" w:rsidP="00DE0E0B">
      <w:pPr>
        <w:spacing w:line="240" w:lineRule="auto"/>
        <w:ind w:left="720"/>
      </w:pPr>
    </w:p>
    <w:p w14:paraId="269E3DAF" w14:textId="77777777" w:rsidR="00DE0E0B" w:rsidRDefault="00DE0E0B">
      <w:pPr>
        <w:spacing w:line="240" w:lineRule="auto"/>
        <w:ind w:left="720"/>
      </w:pPr>
    </w:p>
    <w:p w14:paraId="1FB13885" w14:textId="77777777" w:rsidR="00DE0E0B" w:rsidRDefault="00DE0E0B">
      <w:pPr>
        <w:spacing w:line="240" w:lineRule="auto"/>
        <w:ind w:left="720"/>
      </w:pPr>
    </w:p>
    <w:p w14:paraId="1F5E5B9A" w14:textId="77777777" w:rsidR="00670A35" w:rsidRPr="00670A35" w:rsidRDefault="00670A35">
      <w:pPr>
        <w:spacing w:line="240" w:lineRule="auto"/>
        <w:ind w:left="720"/>
      </w:pPr>
      <w:r w:rsidRPr="00670A35">
        <w:t xml:space="preserve">Situations that appear to involve false or vexatious allegations should be handled carefully. The starting point for any disclosure officer is to look at the concern and examine whether there </w:t>
      </w:r>
      <w:r w:rsidR="006C24AD" w:rsidRPr="00670A35">
        <w:t xml:space="preserve">is </w:t>
      </w:r>
      <w:r w:rsidR="006C24AD">
        <w:t>substance</w:t>
      </w:r>
      <w:r w:rsidRPr="00670A35">
        <w:t xml:space="preserve"> to it. Every concern should be treated as </w:t>
      </w:r>
      <w:r w:rsidR="006C24AD">
        <w:t xml:space="preserve">being </w:t>
      </w:r>
      <w:r w:rsidRPr="00670A35">
        <w:t xml:space="preserve">made in good faith, unless it is subsequently found not to be. </w:t>
      </w:r>
      <w:r w:rsidR="006C24AD">
        <w:t xml:space="preserve"> </w:t>
      </w:r>
      <w:r w:rsidRPr="00670A35">
        <w:t xml:space="preserve">However, if </w:t>
      </w:r>
      <w:r w:rsidR="006C24AD">
        <w:t xml:space="preserve">it is found that an employee </w:t>
      </w:r>
      <w:r w:rsidRPr="00670A35">
        <w:t xml:space="preserve">has maliciously raised a concern that they know is untrue, disciplinary proceedings, as articulated in the </w:t>
      </w:r>
      <w:r w:rsidRPr="00670A35">
        <w:rPr>
          <w:i/>
          <w:iCs/>
        </w:rPr>
        <w:t>Public Sector Management Act 1994</w:t>
      </w:r>
      <w:r w:rsidRPr="00670A35">
        <w:t>, may be c</w:t>
      </w:r>
      <w:r w:rsidR="006C24AD">
        <w:t>ommenced against that employee</w:t>
      </w:r>
      <w:r w:rsidRPr="00670A35">
        <w:t>, and as a result, the protections provided under the PID Act can be removed.</w:t>
      </w:r>
    </w:p>
    <w:p w14:paraId="0B3AD412" w14:textId="77777777" w:rsidR="00D678C6" w:rsidRDefault="00D678C6" w:rsidP="00DE0E0B">
      <w:pPr>
        <w:spacing w:line="240" w:lineRule="auto"/>
        <w:ind w:left="720"/>
        <w:rPr>
          <w:b/>
        </w:rPr>
      </w:pPr>
    </w:p>
    <w:p w14:paraId="5F10844B" w14:textId="54AA39A0" w:rsidR="00DE0E0B" w:rsidRDefault="00F34A90" w:rsidP="00DE0E0B">
      <w:pPr>
        <w:spacing w:line="240" w:lineRule="auto"/>
        <w:ind w:left="720"/>
        <w:rPr>
          <w:b/>
        </w:rPr>
      </w:pPr>
      <w:r w:rsidRPr="00851F46">
        <w:rPr>
          <w:b/>
        </w:rPr>
        <w:lastRenderedPageBreak/>
        <w:t xml:space="preserve">If the disclosure officer determines that the disclosure </w:t>
      </w:r>
      <w:r w:rsidR="00726C41">
        <w:rPr>
          <w:b/>
        </w:rPr>
        <w:t>does not</w:t>
      </w:r>
      <w:r w:rsidR="00647663" w:rsidRPr="00851F46">
        <w:rPr>
          <w:b/>
        </w:rPr>
        <w:t xml:space="preserve"> qualify as a PID</w:t>
      </w:r>
      <w:r w:rsidRPr="00851F46">
        <w:rPr>
          <w:b/>
        </w:rPr>
        <w:t>, the disclosure officer</w:t>
      </w:r>
      <w:r w:rsidR="00647663" w:rsidRPr="00851F46">
        <w:rPr>
          <w:b/>
        </w:rPr>
        <w:t xml:space="preserve"> should</w:t>
      </w:r>
      <w:r w:rsidRPr="00851F46">
        <w:rPr>
          <w:b/>
        </w:rPr>
        <w:t xml:space="preserve"> advise the discloser</w:t>
      </w:r>
      <w:r w:rsidR="004A577C">
        <w:rPr>
          <w:b/>
        </w:rPr>
        <w:t xml:space="preserve"> of that, the </w:t>
      </w:r>
      <w:r w:rsidR="00647663" w:rsidRPr="00851F46">
        <w:rPr>
          <w:b/>
        </w:rPr>
        <w:t xml:space="preserve">reasons why the reported conduct was determined not to </w:t>
      </w:r>
      <w:r w:rsidR="00726C41">
        <w:rPr>
          <w:b/>
        </w:rPr>
        <w:t xml:space="preserve">be </w:t>
      </w:r>
      <w:r w:rsidR="00647663" w:rsidRPr="00851F46">
        <w:rPr>
          <w:b/>
        </w:rPr>
        <w:t>disclosable</w:t>
      </w:r>
      <w:r w:rsidR="00062C64">
        <w:rPr>
          <w:b/>
        </w:rPr>
        <w:t xml:space="preserve"> conduct</w:t>
      </w:r>
      <w:r w:rsidR="004A577C">
        <w:rPr>
          <w:b/>
        </w:rPr>
        <w:t>, and what further action, if any</w:t>
      </w:r>
      <w:r w:rsidR="00577583">
        <w:rPr>
          <w:b/>
        </w:rPr>
        <w:t>,</w:t>
      </w:r>
      <w:r w:rsidR="004A577C">
        <w:rPr>
          <w:b/>
        </w:rPr>
        <w:t xml:space="preserve"> is to be taken regarding the complaint</w:t>
      </w:r>
      <w:r w:rsidR="00647663" w:rsidRPr="00851F46">
        <w:rPr>
          <w:b/>
        </w:rPr>
        <w:t xml:space="preserve">.  </w:t>
      </w:r>
      <w:r w:rsidR="00CB6BED">
        <w:rPr>
          <w:b/>
        </w:rPr>
        <w:t xml:space="preserve">  </w:t>
      </w:r>
    </w:p>
    <w:p w14:paraId="6CC373C2" w14:textId="1EFD6C19" w:rsidR="00DE0E0B" w:rsidRDefault="00DE0E0B" w:rsidP="00DE0E0B">
      <w:pPr>
        <w:spacing w:line="240" w:lineRule="auto"/>
        <w:ind w:left="720"/>
        <w:rPr>
          <w:b/>
        </w:rPr>
      </w:pPr>
      <w:r w:rsidRPr="00CB6BED">
        <w:rPr>
          <w:b/>
          <w:noProof/>
          <w:lang w:eastAsia="en-AU"/>
        </w:rPr>
        <mc:AlternateContent>
          <mc:Choice Requires="wps">
            <w:drawing>
              <wp:anchor distT="45720" distB="45720" distL="114300" distR="114300" simplePos="0" relativeHeight="251731968" behindDoc="0" locked="0" layoutInCell="1" allowOverlap="1" wp14:anchorId="4C798C37" wp14:editId="11A74B5F">
                <wp:simplePos x="0" y="0"/>
                <wp:positionH relativeFrom="column">
                  <wp:posOffset>457200</wp:posOffset>
                </wp:positionH>
                <wp:positionV relativeFrom="paragraph">
                  <wp:posOffset>512445</wp:posOffset>
                </wp:positionV>
                <wp:extent cx="5553075" cy="476250"/>
                <wp:effectExtent l="0" t="0" r="28575" b="1905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76250"/>
                        </a:xfrm>
                        <a:prstGeom prst="rect">
                          <a:avLst/>
                        </a:prstGeom>
                        <a:solidFill>
                          <a:schemeClr val="accent5">
                            <a:lumMod val="20000"/>
                            <a:lumOff val="80000"/>
                          </a:schemeClr>
                        </a:solidFill>
                        <a:ln w="9525">
                          <a:solidFill>
                            <a:srgbClr val="000000"/>
                          </a:solidFill>
                          <a:miter lim="800000"/>
                          <a:headEnd/>
                          <a:tailEnd/>
                        </a:ln>
                      </wps:spPr>
                      <wps:txbx>
                        <w:txbxContent>
                          <w:p w14:paraId="37EEAE16" w14:textId="56A3CEDF" w:rsidR="00D85ECD" w:rsidRDefault="00D85ECD" w:rsidP="00F574A1">
                            <w:pPr>
                              <w:spacing w:line="240" w:lineRule="auto"/>
                            </w:pPr>
                            <w:r w:rsidRPr="00CB6BED">
                              <w:t>It is important to provide the discloser with clear</w:t>
                            </w:r>
                            <w:r>
                              <w:t xml:space="preserve"> </w:t>
                            </w:r>
                            <w:r w:rsidRPr="00CB6BED">
                              <w:t>reasons why the</w:t>
                            </w:r>
                            <w:r>
                              <w:t>ir</w:t>
                            </w:r>
                            <w:r w:rsidRPr="00CB6BED">
                              <w:t xml:space="preserve"> allegations were not considered to qualify as disclosable conduct, rather than merely restating the legalisation.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98C37" id="_x0000_s1040" type="#_x0000_t202" style="position:absolute;left:0;text-align:left;margin-left:36pt;margin-top:40.35pt;width:437.25pt;height:3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" fillcolor="#d9e2f3 [664]">
                <v:textbox>
                  <w:txbxContent>
                    <w:p w14:paraId="37EEAE16" w14:textId="56A3CEDF" w:rsidR="00D85ECD" w:rsidRDefault="00D85ECD" w:rsidP="00F574A1">
                      <w:pPr>
                        <w:spacing w:line="240" w:lineRule="auto"/>
                      </w:pPr>
                      <w:r w:rsidRPr="00CB6BED">
                        <w:t>It is important to provide the discloser with clear</w:t>
                      </w:r>
                      <w:r>
                        <w:t xml:space="preserve"> </w:t>
                      </w:r>
                      <w:r w:rsidRPr="00CB6BED">
                        <w:t>reasons why the</w:t>
                      </w:r>
                      <w:r>
                        <w:t>ir</w:t>
                      </w:r>
                      <w:r w:rsidRPr="00CB6BED">
                        <w:t xml:space="preserve"> allegations were not considered to qualify as disclosable conduct, rather than merely restating the legalisation.</w:t>
                      </w:r>
                    </w:p>
                  </w:txbxContent>
                </v:textbox>
                <w10:wrap type="topAndBottom"/>
              </v:shape>
            </w:pict>
          </mc:Fallback>
        </mc:AlternateContent>
      </w:r>
      <w:r w:rsidRPr="00DE0E0B">
        <w:rPr>
          <w:b/>
        </w:rPr>
        <w:t>The disclosure officer should provide the Public Sector Standards Commissioner with a copy of the complaint as well as the communication informing the discloser of the decision.</w:t>
      </w:r>
    </w:p>
    <w:p w14:paraId="60F78FDC" w14:textId="6580F329" w:rsidR="00DA5EF0" w:rsidRDefault="00DA5EF0" w:rsidP="00F574A1">
      <w:pPr>
        <w:tabs>
          <w:tab w:val="left" w:pos="1950"/>
        </w:tabs>
        <w:spacing w:after="0" w:line="240" w:lineRule="auto"/>
        <w:ind w:left="720"/>
        <w:rPr>
          <w:b/>
        </w:rPr>
      </w:pPr>
    </w:p>
    <w:p w14:paraId="3F2F4680" w14:textId="77777777" w:rsidR="00D16D27" w:rsidRDefault="00F7020A" w:rsidP="00577583">
      <w:pPr>
        <w:spacing w:line="240" w:lineRule="auto"/>
        <w:rPr>
          <w:b/>
        </w:rPr>
      </w:pPr>
      <w:r w:rsidRPr="004A577C">
        <w:rPr>
          <w:b/>
          <w:noProof/>
          <w:lang w:eastAsia="en-AU"/>
        </w:rPr>
        <mc:AlternateContent>
          <mc:Choice Requires="wps">
            <w:drawing>
              <wp:anchor distT="45720" distB="45720" distL="114300" distR="114300" simplePos="0" relativeHeight="251725824" behindDoc="0" locked="0" layoutInCell="1" allowOverlap="1" wp14:anchorId="3FE05C48" wp14:editId="6CD276A5">
                <wp:simplePos x="0" y="0"/>
                <wp:positionH relativeFrom="column">
                  <wp:posOffset>457200</wp:posOffset>
                </wp:positionH>
                <wp:positionV relativeFrom="paragraph">
                  <wp:posOffset>122555</wp:posOffset>
                </wp:positionV>
                <wp:extent cx="5553075" cy="1404620"/>
                <wp:effectExtent l="0" t="0" r="9525" b="177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4620"/>
                        </a:xfrm>
                        <a:prstGeom prst="rect">
                          <a:avLst/>
                        </a:prstGeom>
                        <a:solidFill>
                          <a:schemeClr val="accent5">
                            <a:lumMod val="20000"/>
                            <a:lumOff val="80000"/>
                          </a:schemeClr>
                        </a:solidFill>
                        <a:ln w="9525">
                          <a:solidFill>
                            <a:srgbClr val="000000"/>
                          </a:solidFill>
                          <a:miter lim="800000"/>
                          <a:headEnd/>
                          <a:tailEnd/>
                        </a:ln>
                      </wps:spPr>
                      <wps:txbx>
                        <w:txbxContent>
                          <w:p w14:paraId="4D3C48A3" w14:textId="77777777" w:rsidR="00D85ECD" w:rsidRDefault="00D85ECD" w:rsidP="00F574A1">
                            <w:pPr>
                              <w:spacing w:line="240" w:lineRule="auto"/>
                            </w:pPr>
                            <w:r>
                              <w:t xml:space="preserve">If a disclosure is determined </w:t>
                            </w:r>
                            <w:r w:rsidRPr="006D6B18">
                              <w:rPr>
                                <w:u w:val="single"/>
                              </w:rPr>
                              <w:t>not</w:t>
                            </w:r>
                            <w:r>
                              <w:t xml:space="preserve"> to be a PID, the disclosure officer must still consider whether the reported allegations require investigation outside of the PID framework.   </w:t>
                            </w:r>
                          </w:p>
                          <w:p w14:paraId="1CBB7700" w14:textId="54409F63" w:rsidR="00D85ECD" w:rsidRDefault="00D85ECD" w:rsidP="00F574A1">
                            <w:pPr>
                              <w:spacing w:line="240" w:lineRule="auto"/>
                            </w:pPr>
                            <w:r>
                              <w:t xml:space="preserve"> It is recommended that a </w:t>
                            </w:r>
                            <w:r w:rsidRPr="007B665E">
                              <w:rPr>
                                <w:i/>
                              </w:rPr>
                              <w:t>Preliminary Assessment</w:t>
                            </w:r>
                            <w:r>
                              <w:t xml:space="preserve"> be considered to evaluate the merits of the reported conduct and determine the need for a formal investigation or other type of inquiry.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E05C48" id="_x0000_s1041" type="#_x0000_t202" style="position:absolute;margin-left:36pt;margin-top:9.65pt;width:437.2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" fillcolor="#d9e2f3 [664]">
                <v:textbox style="mso-fit-shape-to-text:t">
                  <w:txbxContent>
                    <w:p w14:paraId="4D3C48A3" w14:textId="77777777" w:rsidR="00D85ECD" w:rsidRDefault="00D85ECD" w:rsidP="00F574A1">
                      <w:pPr>
                        <w:spacing w:line="240" w:lineRule="auto"/>
                      </w:pPr>
                      <w:r>
                        <w:t xml:space="preserve">If a disclosure is determined </w:t>
                      </w:r>
                      <w:r w:rsidRPr="006D6B18">
                        <w:rPr>
                          <w:u w:val="single"/>
                        </w:rPr>
                        <w:t>not</w:t>
                      </w:r>
                      <w:r>
                        <w:t xml:space="preserve"> to be a PID, the disclosure officer must still consider whether the reported allegations require investigation outside of the PID framework.   </w:t>
                      </w:r>
                    </w:p>
                    <w:p w14:paraId="1CBB7700" w14:textId="54409F63" w:rsidR="00D85ECD" w:rsidRDefault="00D85ECD" w:rsidP="00F574A1">
                      <w:pPr>
                        <w:spacing w:line="240" w:lineRule="auto"/>
                      </w:pPr>
                      <w:r>
                        <w:t xml:space="preserve"> It is recommended that a </w:t>
                      </w:r>
                      <w:r w:rsidRPr="007B665E">
                        <w:rPr>
                          <w:i/>
                        </w:rPr>
                        <w:t>Preliminary Assessment</w:t>
                      </w:r>
                      <w:r>
                        <w:t xml:space="preserve"> be considered to evaluate the merits of the reported conduct and determine the need for a formal investigation or other type of inquiry.</w:t>
                      </w:r>
                    </w:p>
                  </w:txbxContent>
                </v:textbox>
                <w10:wrap type="square"/>
              </v:shape>
            </w:pict>
          </mc:Fallback>
        </mc:AlternateContent>
      </w:r>
    </w:p>
    <w:p w14:paraId="13B067A8" w14:textId="7550803A" w:rsidR="004A577C" w:rsidRDefault="004A577C" w:rsidP="00577583">
      <w:pPr>
        <w:spacing w:line="240" w:lineRule="auto"/>
        <w:rPr>
          <w:b/>
        </w:rPr>
      </w:pPr>
    </w:p>
    <w:p w14:paraId="7185529F" w14:textId="77777777" w:rsidR="00062C64" w:rsidRDefault="00062C64" w:rsidP="003053EA">
      <w:pPr>
        <w:spacing w:line="240" w:lineRule="auto"/>
        <w:rPr>
          <w:b/>
        </w:rPr>
      </w:pPr>
    </w:p>
    <w:p w14:paraId="2F008335" w14:textId="77777777" w:rsidR="0014555D" w:rsidRDefault="0014555D" w:rsidP="006C24AD">
      <w:pPr>
        <w:spacing w:line="240" w:lineRule="auto"/>
        <w:ind w:left="720"/>
        <w:rPr>
          <w:b/>
        </w:rPr>
      </w:pPr>
    </w:p>
    <w:p w14:paraId="438F2689" w14:textId="7CB473F2" w:rsidR="00C1706E" w:rsidRDefault="00C1706E" w:rsidP="00F3648F">
      <w:pPr>
        <w:spacing w:line="240" w:lineRule="auto"/>
        <w:ind w:left="720"/>
        <w:rPr>
          <w:b/>
        </w:rPr>
      </w:pPr>
      <w:r>
        <w:rPr>
          <w:b/>
        </w:rPr>
        <w:t>After assessing the disclosure as a PID, the disclosure officer must give a copy of the of the disclosure to the head of the public sector entity to which the disclosure relates – who will be the</w:t>
      </w:r>
      <w:r w:rsidR="00755042">
        <w:rPr>
          <w:b/>
        </w:rPr>
        <w:t xml:space="preserve"> head of the</w:t>
      </w:r>
      <w:r w:rsidR="00D42B83">
        <w:rPr>
          <w:b/>
        </w:rPr>
        <w:t xml:space="preserve"> </w:t>
      </w:r>
      <w:r w:rsidRPr="00F574A1">
        <w:rPr>
          <w:b/>
          <w:i/>
        </w:rPr>
        <w:t>investigating entity</w:t>
      </w:r>
      <w:r>
        <w:rPr>
          <w:b/>
        </w:rPr>
        <w:t>, and to the Public Sector Standards Commissioner</w:t>
      </w:r>
      <w:r w:rsidR="00896ADC">
        <w:rPr>
          <w:b/>
        </w:rPr>
        <w:t xml:space="preserve"> </w:t>
      </w:r>
      <w:r w:rsidR="00896ADC">
        <w:t>(</w:t>
      </w:r>
      <w:r w:rsidR="00896ADC" w:rsidRPr="00896ADC">
        <w:rPr>
          <w:i/>
        </w:rPr>
        <w:t>S</w:t>
      </w:r>
      <w:r w:rsidR="00896ADC" w:rsidRPr="00F574A1">
        <w:rPr>
          <w:i/>
        </w:rPr>
        <w:t>ection 17 of the PID Act)</w:t>
      </w:r>
      <w:r w:rsidRPr="00F574A1">
        <w:rPr>
          <w:b/>
          <w:i/>
        </w:rPr>
        <w:t>.</w:t>
      </w:r>
      <w:r>
        <w:rPr>
          <w:b/>
        </w:rPr>
        <w:t xml:space="preserve">  </w:t>
      </w:r>
      <w:r w:rsidR="00F3648F">
        <w:rPr>
          <w:b/>
        </w:rPr>
        <w:t xml:space="preserve"> </w:t>
      </w:r>
      <w:r>
        <w:rPr>
          <w:b/>
        </w:rPr>
        <w:t>A disclosure officer must comply with this requirement as soon as possible after receiving the PID.</w:t>
      </w:r>
    </w:p>
    <w:p w14:paraId="135AFDFD" w14:textId="6758B374" w:rsidR="00C1706E" w:rsidRPr="00F574A1" w:rsidRDefault="00C1706E" w:rsidP="006C24AD">
      <w:pPr>
        <w:spacing w:line="240" w:lineRule="auto"/>
        <w:ind w:left="720"/>
        <w:rPr>
          <w:i/>
        </w:rPr>
      </w:pPr>
      <w:r>
        <w:t xml:space="preserve">There are exceptions to the requirement of providing the disclosure to the head of the entity </w:t>
      </w:r>
      <w:r w:rsidR="000154E9">
        <w:t xml:space="preserve">(and others referred to in </w:t>
      </w:r>
      <w:r w:rsidR="00336EC5">
        <w:t xml:space="preserve">section </w:t>
      </w:r>
      <w:r w:rsidR="00BE3BB5">
        <w:t>17 of the Act)</w:t>
      </w:r>
      <w:r>
        <w:t xml:space="preserve"> if doing so is likely to adversely affect a </w:t>
      </w:r>
      <w:r w:rsidR="00B6068C">
        <w:t>person’s</w:t>
      </w:r>
      <w:r>
        <w:t xml:space="preserve"> safety or a</w:t>
      </w:r>
      <w:r w:rsidR="00B6068C">
        <w:t>n</w:t>
      </w:r>
      <w:r>
        <w:t xml:space="preserve"> investigation of the disclosure</w:t>
      </w:r>
      <w:r w:rsidR="00832C3F">
        <w:t xml:space="preserve"> (</w:t>
      </w:r>
      <w:r w:rsidR="00832C3F" w:rsidRPr="00F574A1">
        <w:rPr>
          <w:i/>
        </w:rPr>
        <w:t xml:space="preserve">see </w:t>
      </w:r>
      <w:r w:rsidR="00896ADC">
        <w:rPr>
          <w:i/>
        </w:rPr>
        <w:t>Note 1 S</w:t>
      </w:r>
      <w:r w:rsidR="00832C3F" w:rsidRPr="00F574A1">
        <w:rPr>
          <w:i/>
        </w:rPr>
        <w:t xml:space="preserve">ection </w:t>
      </w:r>
      <w:r w:rsidR="00896ADC">
        <w:rPr>
          <w:i/>
        </w:rPr>
        <w:t>17</w:t>
      </w:r>
      <w:r w:rsidR="00832C3F" w:rsidRPr="00F574A1">
        <w:rPr>
          <w:i/>
        </w:rPr>
        <w:t xml:space="preserve"> of the Act</w:t>
      </w:r>
      <w:r w:rsidR="00BE3BB5">
        <w:rPr>
          <w:i/>
        </w:rPr>
        <w:t>)</w:t>
      </w:r>
      <w:r w:rsidRPr="00F574A1">
        <w:rPr>
          <w:i/>
        </w:rPr>
        <w:t>.</w:t>
      </w:r>
    </w:p>
    <w:p w14:paraId="3A795240" w14:textId="77777777" w:rsidR="005B4580" w:rsidRDefault="005B4580" w:rsidP="006C24AD">
      <w:pPr>
        <w:spacing w:line="240" w:lineRule="auto"/>
        <w:ind w:left="720"/>
      </w:pPr>
    </w:p>
    <w:p w14:paraId="20D85785" w14:textId="7DEF32FE" w:rsidR="00B6068C" w:rsidRDefault="003B2C73" w:rsidP="00F574A1">
      <w:pPr>
        <w:spacing w:line="240" w:lineRule="auto"/>
      </w:pPr>
      <w:r>
        <w:rPr>
          <w:b/>
        </w:rPr>
        <w:t xml:space="preserve">7. </w:t>
      </w:r>
      <w:r w:rsidR="00C1706E">
        <w:rPr>
          <w:b/>
        </w:rPr>
        <w:t xml:space="preserve"> </w:t>
      </w:r>
      <w:r w:rsidR="00602A39">
        <w:rPr>
          <w:b/>
          <w:u w:val="single"/>
        </w:rPr>
        <w:t xml:space="preserve">Guidance for the </w:t>
      </w:r>
      <w:r w:rsidR="00B6068C" w:rsidRPr="00F574A1">
        <w:rPr>
          <w:b/>
          <w:u w:val="single"/>
        </w:rPr>
        <w:t>Investigating Entity</w:t>
      </w:r>
      <w:r w:rsidR="00B6068C">
        <w:t>:</w:t>
      </w:r>
    </w:p>
    <w:p w14:paraId="5DE38924" w14:textId="31D93A3F" w:rsidR="00B6068C" w:rsidRDefault="00B6068C" w:rsidP="00F574A1">
      <w:pPr>
        <w:spacing w:line="240" w:lineRule="auto"/>
      </w:pPr>
      <w:r>
        <w:t xml:space="preserve">The PID Act defines the </w:t>
      </w:r>
      <w:r w:rsidR="003964EC" w:rsidRPr="00F574A1">
        <w:rPr>
          <w:b/>
          <w:i/>
        </w:rPr>
        <w:t>investigating</w:t>
      </w:r>
      <w:r w:rsidRPr="00F574A1">
        <w:rPr>
          <w:b/>
          <w:i/>
        </w:rPr>
        <w:t xml:space="preserve"> entity</w:t>
      </w:r>
      <w:r>
        <w:t xml:space="preserve"> for a public interest disclosure as the head of the public sector entity to whom the disclosure relates</w:t>
      </w:r>
      <w:r w:rsidR="003964EC">
        <w:t xml:space="preserve">.  (See definition of </w:t>
      </w:r>
      <w:r w:rsidR="003964EC" w:rsidRPr="00F574A1">
        <w:rPr>
          <w:i/>
        </w:rPr>
        <w:t>investigating entity</w:t>
      </w:r>
      <w:r w:rsidR="003964EC">
        <w:t xml:space="preserve"> in the dictionary section of the PID Act.) </w:t>
      </w:r>
    </w:p>
    <w:p w14:paraId="46D3B1ED" w14:textId="69E915C0" w:rsidR="00996EB5" w:rsidRDefault="00B6068C" w:rsidP="00F574A1">
      <w:pPr>
        <w:spacing w:line="240" w:lineRule="auto"/>
      </w:pPr>
      <w:r>
        <w:t xml:space="preserve">The </w:t>
      </w:r>
      <w:r w:rsidR="008C34DE">
        <w:t>he</w:t>
      </w:r>
      <w:r w:rsidR="000B5F2A">
        <w:t xml:space="preserve">ad of the public sector entity </w:t>
      </w:r>
      <w:r w:rsidR="008C34DE">
        <w:t xml:space="preserve">may delegate their </w:t>
      </w:r>
      <w:r w:rsidR="000B5F2A">
        <w:t>responsibilities as investigating entity</w:t>
      </w:r>
      <w:r w:rsidR="008C34DE">
        <w:t xml:space="preserve"> to the disclosure officer</w:t>
      </w:r>
      <w:r w:rsidR="00A41207">
        <w:t xml:space="preserve"> or other entity officer</w:t>
      </w:r>
      <w:r w:rsidR="008C34DE">
        <w:t xml:space="preserve">.  The extent to which these </w:t>
      </w:r>
      <w:r w:rsidR="000B5F2A">
        <w:t>responsibilities</w:t>
      </w:r>
      <w:r w:rsidR="008C34DE">
        <w:t xml:space="preserve"> are </w:t>
      </w:r>
      <w:r w:rsidR="000B5F2A">
        <w:t>delegated</w:t>
      </w:r>
      <w:r w:rsidR="008C34DE">
        <w:t xml:space="preserve"> is a decision of the head of the </w:t>
      </w:r>
      <w:r w:rsidR="000B5F2A">
        <w:t>entity</w:t>
      </w:r>
      <w:r w:rsidR="008C34DE">
        <w:t xml:space="preserve">, however the delegation of authorities </w:t>
      </w:r>
      <w:r w:rsidR="000B5F2A">
        <w:t>should</w:t>
      </w:r>
      <w:r w:rsidR="008C34DE">
        <w:t xml:space="preserve"> be </w:t>
      </w:r>
      <w:r w:rsidR="000B5F2A">
        <w:t>appropriately</w:t>
      </w:r>
      <w:r w:rsidR="008C34DE">
        <w:t xml:space="preserve"> documented.</w:t>
      </w:r>
    </w:p>
    <w:p w14:paraId="5893B178" w14:textId="7149FC0C" w:rsidR="00B6068C" w:rsidRDefault="00B6068C" w:rsidP="00F574A1">
      <w:pPr>
        <w:spacing w:line="240" w:lineRule="auto"/>
        <w:rPr>
          <w:b/>
        </w:rPr>
      </w:pPr>
      <w:r w:rsidRPr="00F574A1">
        <w:rPr>
          <w:b/>
        </w:rPr>
        <w:t>The head of th</w:t>
      </w:r>
      <w:r w:rsidRPr="003964EC">
        <w:rPr>
          <w:b/>
        </w:rPr>
        <w:t xml:space="preserve">e public sector </w:t>
      </w:r>
      <w:r>
        <w:rPr>
          <w:b/>
        </w:rPr>
        <w:t xml:space="preserve">entity </w:t>
      </w:r>
      <w:r w:rsidRPr="003964EC">
        <w:rPr>
          <w:b/>
        </w:rPr>
        <w:t>to which the p</w:t>
      </w:r>
      <w:r w:rsidRPr="00F574A1">
        <w:rPr>
          <w:b/>
        </w:rPr>
        <w:t>ublic inter</w:t>
      </w:r>
      <w:r>
        <w:rPr>
          <w:b/>
        </w:rPr>
        <w:t>e</w:t>
      </w:r>
      <w:r w:rsidRPr="003964EC">
        <w:rPr>
          <w:b/>
        </w:rPr>
        <w:t xml:space="preserve">st </w:t>
      </w:r>
      <w:r>
        <w:rPr>
          <w:b/>
        </w:rPr>
        <w:t>disclosure</w:t>
      </w:r>
      <w:r w:rsidRPr="003964EC">
        <w:rPr>
          <w:b/>
        </w:rPr>
        <w:t xml:space="preserve"> </w:t>
      </w:r>
      <w:r>
        <w:rPr>
          <w:b/>
        </w:rPr>
        <w:t>relates (the investigating entity) must investigat</w:t>
      </w:r>
      <w:r w:rsidR="00DA5284">
        <w:rPr>
          <w:b/>
        </w:rPr>
        <w:t>e</w:t>
      </w:r>
      <w:r>
        <w:rPr>
          <w:b/>
        </w:rPr>
        <w:t xml:space="preserve"> the </w:t>
      </w:r>
      <w:r w:rsidRPr="003964EC">
        <w:rPr>
          <w:b/>
        </w:rPr>
        <w:t>disclosure as soon as possible after receiving the disclosure.</w:t>
      </w:r>
    </w:p>
    <w:p w14:paraId="222F572E" w14:textId="54661D25" w:rsidR="008C34DE" w:rsidRPr="000B5F2A" w:rsidRDefault="008C34DE" w:rsidP="00F574A1">
      <w:pPr>
        <w:spacing w:line="240" w:lineRule="auto"/>
      </w:pPr>
      <w:r w:rsidRPr="00F574A1">
        <w:t>The investigating entity may refer the disclosure to the head of another public sector entity if the matter is more appropr</w:t>
      </w:r>
      <w:r w:rsidRPr="000B5F2A">
        <w:t xml:space="preserve">iately investigated by </w:t>
      </w:r>
      <w:r w:rsidRPr="00F574A1">
        <w:t>the other entity (</w:t>
      </w:r>
      <w:r w:rsidRPr="00F574A1">
        <w:rPr>
          <w:i/>
        </w:rPr>
        <w:t>Section 19 of the PID Act</w:t>
      </w:r>
      <w:r w:rsidRPr="00F574A1">
        <w:t>).</w:t>
      </w:r>
    </w:p>
    <w:p w14:paraId="40C983B7" w14:textId="174826EF" w:rsidR="00D678C6" w:rsidRDefault="00E56A96" w:rsidP="00F574A1">
      <w:pPr>
        <w:spacing w:line="240" w:lineRule="auto"/>
      </w:pPr>
      <w:r>
        <w:t>The investigating entity may decide not to investigate a public interest disclosure, or end an investigation, based on reasons listed in section 20 of the Act.</w:t>
      </w:r>
    </w:p>
    <w:p w14:paraId="453181AA" w14:textId="330117E1" w:rsidR="009D12F0" w:rsidRPr="003964EC" w:rsidRDefault="00D678C6" w:rsidP="005727D9">
      <w:r>
        <w:br w:type="page"/>
      </w:r>
    </w:p>
    <w:p w14:paraId="22BF9F9D" w14:textId="46634567" w:rsidR="00670A35" w:rsidRPr="006C24AD" w:rsidRDefault="00643927" w:rsidP="00F574A1">
      <w:pPr>
        <w:spacing w:line="240" w:lineRule="auto"/>
        <w:ind w:firstLine="720"/>
        <w:rPr>
          <w:b/>
        </w:rPr>
      </w:pPr>
      <w:r>
        <w:rPr>
          <w:b/>
          <w:u w:val="single"/>
        </w:rPr>
        <w:lastRenderedPageBreak/>
        <w:t xml:space="preserve">Step 4: </w:t>
      </w:r>
      <w:r w:rsidR="00670A35" w:rsidRPr="00851F46">
        <w:rPr>
          <w:b/>
          <w:u w:val="single"/>
        </w:rPr>
        <w:t>De</w:t>
      </w:r>
      <w:r w:rsidR="00C1706E">
        <w:rPr>
          <w:b/>
          <w:u w:val="single"/>
        </w:rPr>
        <w:t>termine</w:t>
      </w:r>
      <w:r w:rsidR="00670A35" w:rsidRPr="00851F46">
        <w:rPr>
          <w:b/>
          <w:u w:val="single"/>
        </w:rPr>
        <w:t xml:space="preserve"> if </w:t>
      </w:r>
      <w:r w:rsidR="00C1706E">
        <w:rPr>
          <w:b/>
          <w:u w:val="single"/>
        </w:rPr>
        <w:t xml:space="preserve">an </w:t>
      </w:r>
      <w:r w:rsidR="00F34A90">
        <w:rPr>
          <w:b/>
          <w:u w:val="single"/>
        </w:rPr>
        <w:t>i</w:t>
      </w:r>
      <w:r w:rsidR="00670A35" w:rsidRPr="00851F46">
        <w:rPr>
          <w:b/>
          <w:u w:val="single"/>
        </w:rPr>
        <w:t>nvestigation is required.</w:t>
      </w:r>
    </w:p>
    <w:p w14:paraId="3E3FE846" w14:textId="77777777" w:rsidR="00670A35" w:rsidRDefault="00670A35" w:rsidP="00F574A1">
      <w:pPr>
        <w:spacing w:after="0" w:line="240" w:lineRule="auto"/>
        <w:ind w:left="1440"/>
        <w:rPr>
          <w:b/>
          <w:u w:val="single"/>
        </w:rPr>
      </w:pPr>
      <w:r w:rsidRPr="00670A35">
        <w:rPr>
          <w:b/>
        </w:rPr>
        <w:t xml:space="preserve">a) </w:t>
      </w:r>
      <w:r w:rsidRPr="00670A35">
        <w:rPr>
          <w:b/>
          <w:u w:val="single"/>
        </w:rPr>
        <w:t>Investigate:</w:t>
      </w:r>
    </w:p>
    <w:p w14:paraId="7E2D8CE5" w14:textId="77777777" w:rsidR="00602A39" w:rsidRDefault="00602A39" w:rsidP="00F574A1">
      <w:pPr>
        <w:spacing w:after="0" w:line="240" w:lineRule="auto"/>
        <w:ind w:left="1440"/>
        <w:rPr>
          <w:b/>
          <w:u w:val="single"/>
        </w:rPr>
      </w:pPr>
    </w:p>
    <w:p w14:paraId="65C67A8C" w14:textId="10212DB2" w:rsidR="00A46C4D" w:rsidRDefault="00A46C4D">
      <w:pPr>
        <w:spacing w:line="240" w:lineRule="auto"/>
        <w:ind w:left="1440"/>
      </w:pPr>
      <w:r>
        <w:t xml:space="preserve">The head of the public sector entity </w:t>
      </w:r>
      <w:r w:rsidR="003D2719">
        <w:t xml:space="preserve">(or their delegate) </w:t>
      </w:r>
      <w:r>
        <w:t xml:space="preserve">must investigate a </w:t>
      </w:r>
      <w:r w:rsidR="00AD43F2">
        <w:t>PID</w:t>
      </w:r>
      <w:r>
        <w:t xml:space="preserve"> received which relates to their entity (</w:t>
      </w:r>
      <w:r w:rsidRPr="00F574A1">
        <w:rPr>
          <w:i/>
        </w:rPr>
        <w:t>Section 18 of the PID Act).</w:t>
      </w:r>
    </w:p>
    <w:p w14:paraId="34BE97C7" w14:textId="63E2D1CA" w:rsidR="00A15729" w:rsidRPr="00670A35" w:rsidRDefault="00A15729" w:rsidP="00A15729">
      <w:pPr>
        <w:spacing w:line="240" w:lineRule="auto"/>
        <w:ind w:left="1440"/>
      </w:pPr>
      <w:r w:rsidRPr="00670A35">
        <w:t xml:space="preserve">Before </w:t>
      </w:r>
      <w:r>
        <w:t xml:space="preserve">an </w:t>
      </w:r>
      <w:r w:rsidRPr="00670A35">
        <w:t xml:space="preserve">investigation is undertaken, the </w:t>
      </w:r>
      <w:r w:rsidR="004F5953">
        <w:t xml:space="preserve">investigating entity </w:t>
      </w:r>
      <w:r w:rsidRPr="00670A35">
        <w:t>must:</w:t>
      </w:r>
    </w:p>
    <w:p w14:paraId="0ED178AD" w14:textId="77777777" w:rsidR="00A15729" w:rsidRPr="00670A35" w:rsidRDefault="00A15729" w:rsidP="00A15729">
      <w:pPr>
        <w:numPr>
          <w:ilvl w:val="0"/>
          <w:numId w:val="11"/>
        </w:numPr>
        <w:spacing w:line="240" w:lineRule="auto"/>
        <w:ind w:left="2520"/>
      </w:pPr>
      <w:r w:rsidRPr="00670A35">
        <w:t xml:space="preserve">decide whether the investigation </w:t>
      </w:r>
      <w:r>
        <w:t xml:space="preserve">is to </w:t>
      </w:r>
      <w:r w:rsidRPr="00670A35">
        <w:t>be conducted internally, or whether an external investigation is required; and</w:t>
      </w:r>
    </w:p>
    <w:p w14:paraId="150F2DFC" w14:textId="77777777" w:rsidR="00A15729" w:rsidRDefault="00A15729" w:rsidP="006D6B18">
      <w:pPr>
        <w:numPr>
          <w:ilvl w:val="0"/>
          <w:numId w:val="11"/>
        </w:numPr>
        <w:spacing w:after="0" w:line="240" w:lineRule="auto"/>
        <w:ind w:left="2520"/>
      </w:pPr>
      <w:r w:rsidRPr="00670A35">
        <w:t>develop clear terms of reference, including timeframes.</w:t>
      </w:r>
    </w:p>
    <w:p w14:paraId="0263EBAD" w14:textId="77777777" w:rsidR="00A15729" w:rsidRPr="00670A35" w:rsidRDefault="00A15729" w:rsidP="006D6B18">
      <w:pPr>
        <w:spacing w:after="0" w:line="240" w:lineRule="auto"/>
        <w:ind w:left="1440"/>
        <w:rPr>
          <w:b/>
          <w:u w:val="single"/>
        </w:rPr>
      </w:pPr>
    </w:p>
    <w:p w14:paraId="4F26F142" w14:textId="6FFE0C03" w:rsidR="00A46C4D" w:rsidRDefault="00670A35" w:rsidP="006D6B18">
      <w:pPr>
        <w:spacing w:after="0" w:line="240" w:lineRule="auto"/>
        <w:ind w:left="1440"/>
      </w:pPr>
      <w:r w:rsidRPr="00670A35">
        <w:t xml:space="preserve">There are </w:t>
      </w:r>
      <w:r w:rsidR="00A46C4D">
        <w:t>scenarios</w:t>
      </w:r>
      <w:r w:rsidRPr="00670A35">
        <w:t xml:space="preserve"> where the head of an entity may not be responsible for investigating a disclosure. These are where a disclosure involves the head of the entity, the Head of Service, or the </w:t>
      </w:r>
      <w:r w:rsidR="00FD4085">
        <w:t xml:space="preserve">Public Sector Standards </w:t>
      </w:r>
      <w:r w:rsidRPr="00670A35">
        <w:t>Commissioner</w:t>
      </w:r>
      <w:r w:rsidR="00A46C4D">
        <w:t xml:space="preserve"> (</w:t>
      </w:r>
      <w:r w:rsidR="00A46C4D" w:rsidRPr="00F574A1">
        <w:rPr>
          <w:i/>
        </w:rPr>
        <w:t>Section 18(2) of the PID Act</w:t>
      </w:r>
      <w:r w:rsidR="00A46C4D">
        <w:t>).</w:t>
      </w:r>
      <w:r w:rsidRPr="00670A35">
        <w:t xml:space="preserve"> </w:t>
      </w:r>
    </w:p>
    <w:p w14:paraId="09B1C66F" w14:textId="77777777" w:rsidR="00A46C4D" w:rsidRDefault="00A46C4D" w:rsidP="006D6B18">
      <w:pPr>
        <w:spacing w:after="0" w:line="240" w:lineRule="auto"/>
        <w:ind w:left="1440"/>
      </w:pPr>
    </w:p>
    <w:p w14:paraId="4E54F821" w14:textId="001FB97E" w:rsidR="00670A35" w:rsidRDefault="00670A35" w:rsidP="006D6B18">
      <w:pPr>
        <w:spacing w:after="0" w:line="240" w:lineRule="auto"/>
        <w:ind w:left="1440"/>
      </w:pPr>
      <w:r w:rsidRPr="00670A35">
        <w:t xml:space="preserve">Where a PID relates to a head of </w:t>
      </w:r>
      <w:r w:rsidR="008C34DE">
        <w:t xml:space="preserve">an </w:t>
      </w:r>
      <w:r w:rsidRPr="00670A35">
        <w:t xml:space="preserve">entity, the Head of Service must investigate the disclosure. </w:t>
      </w:r>
      <w:r w:rsidR="00A46C4D">
        <w:t>I</w:t>
      </w:r>
      <w:r w:rsidRPr="00670A35">
        <w:t xml:space="preserve">f a disclosure relates to the Head of Service, the ACT Ombudsman may investigate the disclosure or refer it to the head of another entity. Similarly, where a PID relates to the </w:t>
      </w:r>
      <w:r w:rsidR="00FD4085">
        <w:t xml:space="preserve">Public Sector Standards </w:t>
      </w:r>
      <w:r w:rsidRPr="00670A35">
        <w:t>Commissioner, the Head of Service must investigate the disclosure.</w:t>
      </w:r>
    </w:p>
    <w:p w14:paraId="398F1FAB" w14:textId="77777777" w:rsidR="004F5953" w:rsidRPr="00670A35" w:rsidRDefault="004F5953" w:rsidP="006D6B18">
      <w:pPr>
        <w:spacing w:after="0" w:line="240" w:lineRule="auto"/>
        <w:ind w:left="1440"/>
      </w:pPr>
    </w:p>
    <w:p w14:paraId="5A96AD8A" w14:textId="5C1BC78D" w:rsidR="003053EA" w:rsidRPr="00C51707" w:rsidRDefault="00ED541F" w:rsidP="005727D9">
      <w:pPr>
        <w:spacing w:after="0" w:line="240" w:lineRule="auto"/>
        <w:ind w:left="1440"/>
        <w:rPr>
          <w:b/>
        </w:rPr>
      </w:pPr>
      <w:r w:rsidRPr="00C51707">
        <w:rPr>
          <w:b/>
        </w:rPr>
        <w:t>If the disclosable conduct could involve a criminal offence, t</w:t>
      </w:r>
      <w:r w:rsidR="00E15278" w:rsidRPr="00C51707">
        <w:rPr>
          <w:b/>
        </w:rPr>
        <w:t>he investigating entity must refer the PID to the Chief Police Officer</w:t>
      </w:r>
      <w:r w:rsidR="00A46C4D" w:rsidRPr="00C51707">
        <w:rPr>
          <w:b/>
        </w:rPr>
        <w:t xml:space="preserve"> (</w:t>
      </w:r>
      <w:r w:rsidR="00A46C4D" w:rsidRPr="00C51707">
        <w:rPr>
          <w:b/>
          <w:i/>
        </w:rPr>
        <w:t>Section 21 of the PID Act</w:t>
      </w:r>
      <w:r w:rsidR="00A46C4D" w:rsidRPr="00C51707">
        <w:rPr>
          <w:b/>
        </w:rPr>
        <w:t>)</w:t>
      </w:r>
      <w:r w:rsidRPr="00C51707">
        <w:rPr>
          <w:b/>
        </w:rPr>
        <w:t>.</w:t>
      </w:r>
    </w:p>
    <w:p w14:paraId="1F6D2BCC" w14:textId="77777777" w:rsidR="00602A39" w:rsidRPr="00670A35" w:rsidRDefault="00602A39" w:rsidP="005727D9">
      <w:pPr>
        <w:spacing w:after="0" w:line="240" w:lineRule="auto"/>
      </w:pPr>
    </w:p>
    <w:p w14:paraId="618C750D" w14:textId="6CEB9027" w:rsidR="00670A35" w:rsidRDefault="00670A35" w:rsidP="005727D9">
      <w:pPr>
        <w:spacing w:after="0" w:line="240" w:lineRule="auto"/>
        <w:ind w:left="1440"/>
        <w:rPr>
          <w:u w:val="single"/>
        </w:rPr>
      </w:pPr>
      <w:r w:rsidRPr="00670A35">
        <w:rPr>
          <w:b/>
        </w:rPr>
        <w:t xml:space="preserve">b) </w:t>
      </w:r>
      <w:r w:rsidR="00445CBD">
        <w:rPr>
          <w:b/>
          <w:u w:val="single"/>
        </w:rPr>
        <w:t xml:space="preserve">No </w:t>
      </w:r>
      <w:r w:rsidRPr="00670A35">
        <w:rPr>
          <w:b/>
          <w:u w:val="single"/>
        </w:rPr>
        <w:t>investigat</w:t>
      </w:r>
      <w:r w:rsidR="00445CBD">
        <w:rPr>
          <w:b/>
          <w:u w:val="single"/>
        </w:rPr>
        <w:t>ion required:</w:t>
      </w:r>
      <w:r w:rsidR="008575F1">
        <w:rPr>
          <w:b/>
          <w:u w:val="single"/>
        </w:rPr>
        <w:t xml:space="preserve"> </w:t>
      </w:r>
      <w:r w:rsidR="008575F1" w:rsidRPr="00F574A1">
        <w:rPr>
          <w:u w:val="single"/>
        </w:rPr>
        <w:t>(</w:t>
      </w:r>
      <w:r w:rsidR="008575F1" w:rsidRPr="00F574A1">
        <w:rPr>
          <w:i/>
          <w:u w:val="single"/>
        </w:rPr>
        <w:t>Section 20</w:t>
      </w:r>
      <w:r w:rsidR="00A46C4D" w:rsidRPr="00F574A1">
        <w:rPr>
          <w:i/>
          <w:u w:val="single"/>
        </w:rPr>
        <w:t xml:space="preserve"> of the PID Act</w:t>
      </w:r>
      <w:r w:rsidR="008575F1" w:rsidRPr="00F574A1">
        <w:rPr>
          <w:u w:val="single"/>
        </w:rPr>
        <w:t>)</w:t>
      </w:r>
    </w:p>
    <w:p w14:paraId="6CC6FFD0" w14:textId="77777777" w:rsidR="005727D9" w:rsidRPr="00F574A1" w:rsidRDefault="005727D9" w:rsidP="005727D9">
      <w:pPr>
        <w:spacing w:after="0" w:line="240" w:lineRule="auto"/>
        <w:ind w:left="1440"/>
        <w:rPr>
          <w:u w:val="single"/>
        </w:rPr>
      </w:pPr>
    </w:p>
    <w:p w14:paraId="64735F78" w14:textId="30C34F95" w:rsidR="00670A35" w:rsidRPr="00670A35" w:rsidRDefault="00670A35" w:rsidP="0060581C">
      <w:pPr>
        <w:spacing w:line="240" w:lineRule="auto"/>
        <w:ind w:left="1440"/>
      </w:pPr>
      <w:r w:rsidRPr="00670A35">
        <w:t xml:space="preserve">In certain circumstances the </w:t>
      </w:r>
      <w:r w:rsidR="004F5953">
        <w:t>investigating entity</w:t>
      </w:r>
      <w:r w:rsidRPr="00670A35">
        <w:t xml:space="preserve"> may make a decision not to investigate a PID. Reasons for not further inve</w:t>
      </w:r>
      <w:r w:rsidR="00BB3E35">
        <w:t xml:space="preserve">stigating allegations </w:t>
      </w:r>
      <w:r w:rsidRPr="00670A35">
        <w:t>in a PID are listed in section 20 of the Act.  They include the following:</w:t>
      </w:r>
    </w:p>
    <w:p w14:paraId="39226014" w14:textId="77777777" w:rsidR="00670A35" w:rsidRPr="00670A35" w:rsidRDefault="00670A35" w:rsidP="00AA5B1C">
      <w:pPr>
        <w:numPr>
          <w:ilvl w:val="0"/>
          <w:numId w:val="12"/>
        </w:numPr>
        <w:spacing w:line="240" w:lineRule="auto"/>
        <w:ind w:left="2520"/>
      </w:pPr>
      <w:r w:rsidRPr="00670A35">
        <w:t>the discloser has withdrawn the PID and the investigating entity is reasonably satisfied that there are no further matters in the disclosure that warrant investigation;</w:t>
      </w:r>
    </w:p>
    <w:p w14:paraId="76CC9ECD" w14:textId="77777777" w:rsidR="00670A35" w:rsidRPr="00670A35" w:rsidRDefault="00670A35" w:rsidP="00AA5B1C">
      <w:pPr>
        <w:numPr>
          <w:ilvl w:val="2"/>
          <w:numId w:val="7"/>
        </w:numPr>
        <w:spacing w:line="240" w:lineRule="auto"/>
        <w:ind w:left="2520"/>
      </w:pPr>
      <w:r w:rsidRPr="00670A35">
        <w:t>the discloser has not disclosed his or her name and contact details and the investigating entity is reasonably satisfied that this lack of information makes it impracticable for the disclosure to be investigated;</w:t>
      </w:r>
    </w:p>
    <w:p w14:paraId="22F51FE0" w14:textId="77777777" w:rsidR="00670A35" w:rsidRPr="00670A35" w:rsidRDefault="00670A35" w:rsidP="00AA5B1C">
      <w:pPr>
        <w:numPr>
          <w:ilvl w:val="2"/>
          <w:numId w:val="7"/>
        </w:numPr>
        <w:spacing w:line="240" w:lineRule="auto"/>
        <w:ind w:left="2520"/>
      </w:pPr>
      <w:r w:rsidRPr="00670A35">
        <w:t>the discloser fails, without reasonable excuse, to give assistance when requested from the investigating entity;</w:t>
      </w:r>
    </w:p>
    <w:p w14:paraId="30D4A287" w14:textId="77777777" w:rsidR="00670A35" w:rsidRPr="00670A35" w:rsidRDefault="00670A35" w:rsidP="00AA5B1C">
      <w:pPr>
        <w:numPr>
          <w:ilvl w:val="2"/>
          <w:numId w:val="7"/>
        </w:numPr>
        <w:spacing w:line="240" w:lineRule="auto"/>
        <w:ind w:left="2520"/>
      </w:pPr>
      <w:r w:rsidRPr="00670A35">
        <w:t>the investigating entity is reasonably satisfied that the disclosure information is wrong in a material way and investigation of the disclosure is not warranted;</w:t>
      </w:r>
    </w:p>
    <w:p w14:paraId="686BD9D3" w14:textId="77777777" w:rsidR="00670A35" w:rsidRPr="00670A35" w:rsidRDefault="00670A35" w:rsidP="00AA5B1C">
      <w:pPr>
        <w:numPr>
          <w:ilvl w:val="2"/>
          <w:numId w:val="7"/>
        </w:numPr>
        <w:spacing w:line="240" w:lineRule="auto"/>
        <w:ind w:left="2520"/>
      </w:pPr>
      <w:r w:rsidRPr="00670A35">
        <w:t>the investigating entity is reasonably satisfied that the age of the disclosed information makes it impracticable for the disclosure to be investigated;</w:t>
      </w:r>
    </w:p>
    <w:p w14:paraId="0C906A1E" w14:textId="77777777" w:rsidR="00670A35" w:rsidRDefault="00670A35" w:rsidP="00AA5B1C">
      <w:pPr>
        <w:numPr>
          <w:ilvl w:val="2"/>
          <w:numId w:val="7"/>
        </w:numPr>
        <w:spacing w:line="240" w:lineRule="auto"/>
        <w:ind w:left="2520"/>
      </w:pPr>
      <w:r w:rsidRPr="00670A35">
        <w:t>the investigating entity is reasonably satisfied that the substance of the disclosure has already been investigated under the Act or another law in for in the ACT; or</w:t>
      </w:r>
    </w:p>
    <w:p w14:paraId="512CBE0F" w14:textId="38889E54" w:rsidR="003D0942" w:rsidRPr="00670A35" w:rsidRDefault="008F1EE4" w:rsidP="00AA5B1C">
      <w:pPr>
        <w:numPr>
          <w:ilvl w:val="2"/>
          <w:numId w:val="7"/>
        </w:numPr>
        <w:spacing w:line="240" w:lineRule="auto"/>
        <w:ind w:left="2520"/>
      </w:pPr>
      <w:r>
        <w:lastRenderedPageBreak/>
        <w:t>there is a more appropriate way reasonably available to deal with disclosable conduct in the disclosure.</w:t>
      </w:r>
    </w:p>
    <w:p w14:paraId="316B4EFF" w14:textId="6B18ECE7" w:rsidR="008C34DE" w:rsidRDefault="000B5F2A" w:rsidP="00F574A1">
      <w:pPr>
        <w:spacing w:line="240" w:lineRule="auto"/>
        <w:ind w:left="1440"/>
        <w:rPr>
          <w:b/>
        </w:rPr>
      </w:pPr>
      <w:r>
        <w:rPr>
          <w:noProof/>
          <w:lang w:eastAsia="en-AU"/>
        </w:rPr>
        <mc:AlternateContent>
          <mc:Choice Requires="wps">
            <w:drawing>
              <wp:anchor distT="45720" distB="45720" distL="114300" distR="114300" simplePos="0" relativeHeight="251701248" behindDoc="0" locked="0" layoutInCell="1" allowOverlap="1" wp14:anchorId="02858E17" wp14:editId="47B5E793">
                <wp:simplePos x="0" y="0"/>
                <wp:positionH relativeFrom="column">
                  <wp:posOffset>428625</wp:posOffset>
                </wp:positionH>
                <wp:positionV relativeFrom="paragraph">
                  <wp:posOffset>923925</wp:posOffset>
                </wp:positionV>
                <wp:extent cx="5743575" cy="1123950"/>
                <wp:effectExtent l="0" t="0" r="28575" b="19050"/>
                <wp:wrapTopAndBottom/>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123950"/>
                        </a:xfrm>
                        <a:prstGeom prst="rect">
                          <a:avLst/>
                        </a:prstGeom>
                        <a:solidFill>
                          <a:schemeClr val="accent5">
                            <a:lumMod val="20000"/>
                            <a:lumOff val="80000"/>
                          </a:schemeClr>
                        </a:solidFill>
                        <a:ln w="9525">
                          <a:solidFill>
                            <a:srgbClr val="000000"/>
                          </a:solidFill>
                          <a:miter lim="800000"/>
                          <a:headEnd/>
                          <a:tailEnd/>
                        </a:ln>
                      </wps:spPr>
                      <wps:txbx>
                        <w:txbxContent>
                          <w:p w14:paraId="204BC10D" w14:textId="1CAA5231" w:rsidR="00D85ECD" w:rsidRPr="00BB3E35" w:rsidRDefault="00D85ECD" w:rsidP="00F574A1">
                            <w:pPr>
                              <w:spacing w:line="240" w:lineRule="auto"/>
                            </w:pPr>
                            <w:r w:rsidRPr="00BB3E35">
                              <w:t xml:space="preserve">Under Section 23 of the Act, </w:t>
                            </w:r>
                            <w:r>
                              <w:t xml:space="preserve">the investigating entity </w:t>
                            </w:r>
                            <w:r w:rsidRPr="00BB3E35">
                              <w:t xml:space="preserve">must update </w:t>
                            </w:r>
                            <w:r>
                              <w:t>the</w:t>
                            </w:r>
                            <w:r w:rsidRPr="00BB3E35">
                              <w:t xml:space="preserve"> discloser </w:t>
                            </w:r>
                            <w:r>
                              <w:t xml:space="preserve">and the Public Sector Standards Commissioner </w:t>
                            </w:r>
                            <w:r w:rsidRPr="00BB3E35">
                              <w:t>within three months after the day the disclosure is made whether or not the disclosure will be investigated or dealt with under the Act.</w:t>
                            </w:r>
                          </w:p>
                          <w:p w14:paraId="1539D0FD" w14:textId="77777777" w:rsidR="00D85ECD" w:rsidRPr="00BB3E35" w:rsidRDefault="00D85ECD" w:rsidP="00F574A1">
                            <w:pPr>
                              <w:spacing w:line="240" w:lineRule="auto"/>
                            </w:pPr>
                            <w:r w:rsidRPr="00BB3E35">
                              <w:t xml:space="preserve">Entities should note that should this timeframe not be met, a discloser is allowed to make their disclosure </w:t>
                            </w:r>
                            <w:r>
                              <w:t xml:space="preserve">known </w:t>
                            </w:r>
                            <w:r w:rsidRPr="00BB3E35">
                              <w:t xml:space="preserve">to a </w:t>
                            </w:r>
                            <w:r>
                              <w:t>M</w:t>
                            </w:r>
                            <w:r w:rsidRPr="00BB3E35">
                              <w:t>ember of the Legislative Assembly or a journalist.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58E17" id="_x0000_s1042" type="#_x0000_t202" style="position:absolute;left:0;text-align:left;margin-left:33.75pt;margin-top:72.75pt;width:452.25pt;height:8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" fillcolor="#d9e2f3 [664]">
                <v:textbox>
                  <w:txbxContent>
                    <w:p w14:paraId="204BC10D" w14:textId="1CAA5231" w:rsidR="00D85ECD" w:rsidRPr="00BB3E35" w:rsidRDefault="00D85ECD" w:rsidP="00F574A1">
                      <w:pPr>
                        <w:spacing w:line="240" w:lineRule="auto"/>
                      </w:pPr>
                      <w:r w:rsidRPr="00BB3E35">
                        <w:t xml:space="preserve">Under Section 23 of the Act, </w:t>
                      </w:r>
                      <w:r>
                        <w:t xml:space="preserve">the investigating entity </w:t>
                      </w:r>
                      <w:r w:rsidRPr="00BB3E35">
                        <w:t xml:space="preserve">must update </w:t>
                      </w:r>
                      <w:r>
                        <w:t>the</w:t>
                      </w:r>
                      <w:r w:rsidRPr="00BB3E35">
                        <w:t xml:space="preserve"> discloser </w:t>
                      </w:r>
                      <w:r>
                        <w:t xml:space="preserve">and the Public Sector Standards Commissioner </w:t>
                      </w:r>
                      <w:r w:rsidRPr="00BB3E35">
                        <w:t>within three months after the day the disclosure is made whether or not the disclosure will be investigated or dealt with under the Act.</w:t>
                      </w:r>
                    </w:p>
                    <w:p w14:paraId="1539D0FD" w14:textId="77777777" w:rsidR="00D85ECD" w:rsidRPr="00BB3E35" w:rsidRDefault="00D85ECD" w:rsidP="00F574A1">
                      <w:pPr>
                        <w:spacing w:line="240" w:lineRule="auto"/>
                      </w:pPr>
                      <w:r w:rsidRPr="00BB3E35">
                        <w:t xml:space="preserve">Entities should note that should this timeframe not be met, a discloser is allowed to make their disclosure </w:t>
                      </w:r>
                      <w:r>
                        <w:t xml:space="preserve">known </w:t>
                      </w:r>
                      <w:r w:rsidRPr="00BB3E35">
                        <w:t xml:space="preserve">to a </w:t>
                      </w:r>
                      <w:r>
                        <w:t>M</w:t>
                      </w:r>
                      <w:r w:rsidRPr="00BB3E35">
                        <w:t>ember of the Legislative Assembly or a journalist.</w:t>
                      </w:r>
                    </w:p>
                  </w:txbxContent>
                </v:textbox>
                <w10:wrap type="topAndBottom"/>
              </v:shape>
            </w:pict>
          </mc:Fallback>
        </mc:AlternateContent>
      </w:r>
      <w:r w:rsidR="00D77AA0" w:rsidRPr="008F1EE4">
        <w:rPr>
          <w:b/>
        </w:rPr>
        <w:t xml:space="preserve">If </w:t>
      </w:r>
      <w:r w:rsidR="00E56A96">
        <w:rPr>
          <w:b/>
        </w:rPr>
        <w:t xml:space="preserve">the head of the public </w:t>
      </w:r>
      <w:r w:rsidR="007E3E80">
        <w:rPr>
          <w:b/>
        </w:rPr>
        <w:t>sector</w:t>
      </w:r>
      <w:r w:rsidR="00E56A96">
        <w:rPr>
          <w:b/>
        </w:rPr>
        <w:t xml:space="preserve"> entity</w:t>
      </w:r>
      <w:r w:rsidR="002F036B">
        <w:rPr>
          <w:b/>
        </w:rPr>
        <w:t xml:space="preserve"> (or their delegate)</w:t>
      </w:r>
      <w:r w:rsidR="00A811A5">
        <w:rPr>
          <w:b/>
        </w:rPr>
        <w:t xml:space="preserve"> </w:t>
      </w:r>
      <w:r w:rsidR="00D77AA0" w:rsidRPr="008F1EE4">
        <w:rPr>
          <w:b/>
        </w:rPr>
        <w:t>declines to investigate a disclosure</w:t>
      </w:r>
      <w:r w:rsidR="00E56A96">
        <w:rPr>
          <w:b/>
        </w:rPr>
        <w:t xml:space="preserve"> under section 20 of the Act</w:t>
      </w:r>
      <w:r w:rsidR="00D77AA0" w:rsidRPr="008F1EE4">
        <w:rPr>
          <w:b/>
        </w:rPr>
        <w:t xml:space="preserve">, </w:t>
      </w:r>
      <w:r w:rsidR="009D4C17" w:rsidRPr="008F1EE4">
        <w:rPr>
          <w:b/>
        </w:rPr>
        <w:t>the</w:t>
      </w:r>
      <w:r w:rsidR="009D4C17">
        <w:rPr>
          <w:b/>
        </w:rPr>
        <w:t>y</w:t>
      </w:r>
      <w:r w:rsidR="009D4C17" w:rsidRPr="008F1EE4">
        <w:rPr>
          <w:b/>
        </w:rPr>
        <w:t xml:space="preserve"> must</w:t>
      </w:r>
      <w:r w:rsidR="00D77AA0" w:rsidRPr="008F1EE4">
        <w:rPr>
          <w:b/>
        </w:rPr>
        <w:t xml:space="preserve"> provide reasons for th</w:t>
      </w:r>
      <w:r w:rsidR="004F5953">
        <w:rPr>
          <w:b/>
        </w:rPr>
        <w:t>at</w:t>
      </w:r>
      <w:r w:rsidR="00D77AA0" w:rsidRPr="008F1EE4">
        <w:rPr>
          <w:b/>
        </w:rPr>
        <w:t xml:space="preserve"> decision, and inform the discloser</w:t>
      </w:r>
      <w:r w:rsidR="00B77512">
        <w:rPr>
          <w:b/>
        </w:rPr>
        <w:t>,</w:t>
      </w:r>
      <w:r w:rsidR="00D77AA0" w:rsidRPr="008F1EE4">
        <w:rPr>
          <w:b/>
        </w:rPr>
        <w:t xml:space="preserve"> the</w:t>
      </w:r>
      <w:r w:rsidR="00B77512">
        <w:rPr>
          <w:b/>
        </w:rPr>
        <w:t xml:space="preserve"> referring entity and the</w:t>
      </w:r>
      <w:r w:rsidR="00D77AA0" w:rsidRPr="008F1EE4">
        <w:rPr>
          <w:b/>
        </w:rPr>
        <w:t xml:space="preserve"> Public Sector Standards Commissioner of the decision</w:t>
      </w:r>
      <w:r w:rsidR="00B77512">
        <w:rPr>
          <w:b/>
        </w:rPr>
        <w:t xml:space="preserve"> </w:t>
      </w:r>
      <w:r w:rsidR="00B77512">
        <w:t>(</w:t>
      </w:r>
      <w:r w:rsidR="00B77512">
        <w:rPr>
          <w:i/>
        </w:rPr>
        <w:t>Section 23 of the PID Act</w:t>
      </w:r>
      <w:r w:rsidR="00B77512">
        <w:t>)</w:t>
      </w:r>
      <w:r w:rsidR="00D77AA0" w:rsidRPr="008F1EE4">
        <w:rPr>
          <w:b/>
        </w:rPr>
        <w:t>.</w:t>
      </w:r>
    </w:p>
    <w:p w14:paraId="7642BFA3" w14:textId="6EE267DE" w:rsidR="00CF4CCB" w:rsidRDefault="00CF4CCB" w:rsidP="00F574A1">
      <w:pPr>
        <w:spacing w:after="0" w:line="240" w:lineRule="auto"/>
        <w:rPr>
          <w:b/>
          <w:u w:val="single"/>
        </w:rPr>
      </w:pPr>
    </w:p>
    <w:p w14:paraId="79BEC88C" w14:textId="77777777" w:rsidR="00CF4CCB" w:rsidRDefault="00CF4CCB" w:rsidP="001C5480">
      <w:pPr>
        <w:spacing w:after="0" w:line="240" w:lineRule="auto"/>
        <w:ind w:left="720"/>
        <w:rPr>
          <w:b/>
          <w:u w:val="single"/>
        </w:rPr>
      </w:pPr>
    </w:p>
    <w:p w14:paraId="2A1810EA" w14:textId="298D1CAD" w:rsidR="00670A35" w:rsidRPr="00851F46" w:rsidRDefault="00643927" w:rsidP="001C5480">
      <w:pPr>
        <w:spacing w:after="0" w:line="240" w:lineRule="auto"/>
        <w:ind w:left="720"/>
        <w:rPr>
          <w:b/>
          <w:u w:val="single"/>
        </w:rPr>
      </w:pPr>
      <w:r>
        <w:rPr>
          <w:b/>
          <w:u w:val="single"/>
        </w:rPr>
        <w:t>Step 5</w:t>
      </w:r>
      <w:r w:rsidR="00547C57">
        <w:rPr>
          <w:b/>
          <w:u w:val="single"/>
        </w:rPr>
        <w:t>: Proceed with an i</w:t>
      </w:r>
      <w:r w:rsidR="00670A35" w:rsidRPr="00851F46">
        <w:rPr>
          <w:b/>
          <w:u w:val="single"/>
        </w:rPr>
        <w:t>nvestigation</w:t>
      </w:r>
    </w:p>
    <w:p w14:paraId="784DB48D" w14:textId="77777777" w:rsidR="00445CBD" w:rsidRPr="00670A35" w:rsidRDefault="00445CBD" w:rsidP="001C5480">
      <w:pPr>
        <w:spacing w:after="0" w:line="240" w:lineRule="auto"/>
        <w:ind w:left="720"/>
        <w:rPr>
          <w:b/>
          <w:bCs/>
        </w:rPr>
      </w:pPr>
    </w:p>
    <w:p w14:paraId="5814735E" w14:textId="1AC7DD60" w:rsidR="00670A35" w:rsidRPr="00670A35" w:rsidRDefault="00670A35" w:rsidP="001C5480">
      <w:pPr>
        <w:spacing w:line="240" w:lineRule="auto"/>
        <w:ind w:left="720"/>
      </w:pPr>
      <w:r w:rsidRPr="00670A35">
        <w:t xml:space="preserve">The investigation </w:t>
      </w:r>
      <w:r w:rsidR="00E15278">
        <w:t xml:space="preserve">should </w:t>
      </w:r>
      <w:r w:rsidR="007C74C4">
        <w:t xml:space="preserve">be </w:t>
      </w:r>
      <w:r w:rsidR="007C74C4" w:rsidRPr="00670A35">
        <w:t>undertaken</w:t>
      </w:r>
      <w:r w:rsidRPr="00670A35">
        <w:t xml:space="preserve"> as per the terms of reference </w:t>
      </w:r>
      <w:r w:rsidR="00E15278">
        <w:t xml:space="preserve">and </w:t>
      </w:r>
      <w:r w:rsidRPr="00670A35">
        <w:t xml:space="preserve">in a timely manner. The basic framework for developing the terms of reference is to aim to answer </w:t>
      </w:r>
      <w:r w:rsidRPr="00670A35">
        <w:rPr>
          <w:b/>
          <w:bCs/>
        </w:rPr>
        <w:t>who‐</w:t>
      </w:r>
      <w:r w:rsidR="00313E3B">
        <w:rPr>
          <w:b/>
          <w:bCs/>
        </w:rPr>
        <w:t>what-where-when‐</w:t>
      </w:r>
      <w:r w:rsidRPr="00670A35">
        <w:rPr>
          <w:b/>
          <w:bCs/>
        </w:rPr>
        <w:t xml:space="preserve">how </w:t>
      </w:r>
      <w:r w:rsidRPr="00670A35">
        <w:t>questions.</w:t>
      </w:r>
    </w:p>
    <w:p w14:paraId="239AB797" w14:textId="657E408C" w:rsidR="00670A35" w:rsidRDefault="00E15278" w:rsidP="001C5480">
      <w:pPr>
        <w:spacing w:line="240" w:lineRule="auto"/>
        <w:ind w:left="720"/>
      </w:pPr>
      <w:r>
        <w:t>When</w:t>
      </w:r>
      <w:r w:rsidR="00670A35" w:rsidRPr="00670A35">
        <w:t xml:space="preserve"> conducting an investigation, entities must collect and document information in a fair and unbiased way; inform people of the nature of allegations and give them time to reflect on this information before seeking their input; allow people the opportunity to state their case and respond to subsequent allegations; avoid using investigators with a personal interest in an investigation; and ensure any investigation is and is perc</w:t>
      </w:r>
      <w:r w:rsidR="002B7B51">
        <w:t>eived as being conducted fairly</w:t>
      </w:r>
      <w:r w:rsidR="000C67B6">
        <w:t>, respectfully</w:t>
      </w:r>
      <w:r w:rsidR="002B7B51">
        <w:t xml:space="preserve"> and in confidence.</w:t>
      </w:r>
    </w:p>
    <w:p w14:paraId="0181D88D" w14:textId="4ABC9831" w:rsidR="00670A35" w:rsidRPr="00670A35" w:rsidRDefault="00670A35" w:rsidP="001C5480">
      <w:pPr>
        <w:spacing w:line="240" w:lineRule="auto"/>
        <w:ind w:left="720"/>
      </w:pPr>
      <w:r w:rsidRPr="00670A35">
        <w:t xml:space="preserve">The </w:t>
      </w:r>
      <w:r w:rsidR="00602A39">
        <w:t>investigating entity</w:t>
      </w:r>
      <w:r w:rsidRPr="00670A35">
        <w:t xml:space="preserve"> must be mindful of notif</w:t>
      </w:r>
      <w:r w:rsidR="0096492F">
        <w:t>ication</w:t>
      </w:r>
      <w:r w:rsidRPr="00670A35">
        <w:t xml:space="preserve"> requirements</w:t>
      </w:r>
      <w:r w:rsidR="00EC5894">
        <w:t xml:space="preserve"> </w:t>
      </w:r>
      <w:r w:rsidR="00602A39">
        <w:t>defined</w:t>
      </w:r>
      <w:r w:rsidRPr="00670A35">
        <w:t xml:space="preserve"> under Sections 22, 23 and 25 of the Act, specifically, informing:</w:t>
      </w:r>
    </w:p>
    <w:p w14:paraId="6D5D51A4" w14:textId="77777777" w:rsidR="00E15278" w:rsidRDefault="00670A35" w:rsidP="00AA5B1C">
      <w:pPr>
        <w:numPr>
          <w:ilvl w:val="0"/>
          <w:numId w:val="7"/>
        </w:numPr>
        <w:spacing w:line="240" w:lineRule="auto"/>
        <w:ind w:left="1829"/>
      </w:pPr>
      <w:r w:rsidRPr="00670A35">
        <w:t>the referring entity (where applicable);</w:t>
      </w:r>
    </w:p>
    <w:p w14:paraId="3011F82B" w14:textId="77777777" w:rsidR="00670A35" w:rsidRPr="00670A35" w:rsidRDefault="00670A35" w:rsidP="00AA5B1C">
      <w:pPr>
        <w:numPr>
          <w:ilvl w:val="0"/>
          <w:numId w:val="7"/>
        </w:numPr>
        <w:spacing w:line="240" w:lineRule="auto"/>
        <w:ind w:left="1829"/>
      </w:pPr>
      <w:r w:rsidRPr="00670A35">
        <w:t>the discloser; and</w:t>
      </w:r>
    </w:p>
    <w:p w14:paraId="3C6A44BD" w14:textId="77777777" w:rsidR="00670A35" w:rsidRPr="00670A35" w:rsidRDefault="00670A35" w:rsidP="00AA5B1C">
      <w:pPr>
        <w:numPr>
          <w:ilvl w:val="0"/>
          <w:numId w:val="7"/>
        </w:numPr>
        <w:spacing w:line="240" w:lineRule="auto"/>
        <w:ind w:left="1829"/>
      </w:pPr>
      <w:r w:rsidRPr="00670A35">
        <w:t xml:space="preserve">the </w:t>
      </w:r>
      <w:r w:rsidR="00CC1B04">
        <w:t xml:space="preserve">Public Sector Standards </w:t>
      </w:r>
      <w:r w:rsidRPr="00670A35">
        <w:t>Commissioner.</w:t>
      </w:r>
    </w:p>
    <w:p w14:paraId="53DBEC90" w14:textId="41FE5668" w:rsidR="00670A35" w:rsidRPr="00670A35" w:rsidRDefault="00E15278" w:rsidP="001C5480">
      <w:pPr>
        <w:spacing w:after="0" w:line="240" w:lineRule="auto"/>
        <w:ind w:left="720"/>
      </w:pPr>
      <w:r w:rsidRPr="00851F46">
        <w:rPr>
          <w:b/>
        </w:rPr>
        <w:t>T</w:t>
      </w:r>
      <w:r w:rsidR="00670A35" w:rsidRPr="00851F46">
        <w:rPr>
          <w:b/>
        </w:rPr>
        <w:t xml:space="preserve">he </w:t>
      </w:r>
      <w:r w:rsidR="00996EB5">
        <w:rPr>
          <w:b/>
        </w:rPr>
        <w:t xml:space="preserve">investigating entity </w:t>
      </w:r>
      <w:r w:rsidR="00670A35" w:rsidRPr="00851F46">
        <w:rPr>
          <w:b/>
        </w:rPr>
        <w:t xml:space="preserve">must inform the discloser </w:t>
      </w:r>
      <w:r w:rsidR="00602A39">
        <w:rPr>
          <w:b/>
        </w:rPr>
        <w:t xml:space="preserve">and Public Sector Standards Commissioner </w:t>
      </w:r>
      <w:r w:rsidR="00670A35" w:rsidRPr="00851F46">
        <w:rPr>
          <w:b/>
        </w:rPr>
        <w:t>of the progress of the investigation at least once every three months</w:t>
      </w:r>
      <w:r w:rsidR="00A27681">
        <w:rPr>
          <w:b/>
        </w:rPr>
        <w:t xml:space="preserve"> – this is a legislative requirement</w:t>
      </w:r>
      <w:r w:rsidR="00B77512">
        <w:rPr>
          <w:b/>
        </w:rPr>
        <w:t xml:space="preserve"> </w:t>
      </w:r>
      <w:r w:rsidR="00B77512">
        <w:t>(</w:t>
      </w:r>
      <w:r w:rsidR="00B77512" w:rsidRPr="00B77512">
        <w:rPr>
          <w:i/>
        </w:rPr>
        <w:t>Section 23(1</w:t>
      </w:r>
      <w:r w:rsidR="00B77512">
        <w:rPr>
          <w:i/>
        </w:rPr>
        <w:t>)</w:t>
      </w:r>
      <w:r w:rsidR="000B5F2A">
        <w:rPr>
          <w:i/>
        </w:rPr>
        <w:t>(</w:t>
      </w:r>
      <w:r w:rsidR="00B77512" w:rsidRPr="00B77512">
        <w:rPr>
          <w:i/>
        </w:rPr>
        <w:t>c</w:t>
      </w:r>
      <w:r w:rsidR="000B5F2A">
        <w:rPr>
          <w:i/>
        </w:rPr>
        <w:t>)</w:t>
      </w:r>
      <w:r w:rsidR="00B77512" w:rsidRPr="00B77512">
        <w:rPr>
          <w:i/>
        </w:rPr>
        <w:t xml:space="preserve"> </w:t>
      </w:r>
      <w:r w:rsidR="00B77512" w:rsidRPr="00F574A1">
        <w:rPr>
          <w:i/>
        </w:rPr>
        <w:t>of the PID Act).</w:t>
      </w:r>
    </w:p>
    <w:p w14:paraId="370F2B5A" w14:textId="77777777" w:rsidR="00EB32E8" w:rsidRDefault="00EB32E8" w:rsidP="002F552C">
      <w:pPr>
        <w:spacing w:after="0" w:line="240" w:lineRule="auto"/>
        <w:rPr>
          <w:b/>
          <w:u w:val="single"/>
        </w:rPr>
      </w:pPr>
    </w:p>
    <w:p w14:paraId="5D5B0EBE" w14:textId="680FFE86" w:rsidR="00670A35" w:rsidRDefault="00643927" w:rsidP="00602A39">
      <w:pPr>
        <w:spacing w:after="0" w:line="240" w:lineRule="auto"/>
        <w:ind w:left="720"/>
        <w:rPr>
          <w:b/>
          <w:u w:val="single"/>
        </w:rPr>
      </w:pPr>
      <w:r>
        <w:rPr>
          <w:b/>
          <w:u w:val="single"/>
        </w:rPr>
        <w:t>Step 6</w:t>
      </w:r>
      <w:r w:rsidR="00FA6E54">
        <w:rPr>
          <w:b/>
          <w:u w:val="single"/>
        </w:rPr>
        <w:t>:  Determination and</w:t>
      </w:r>
      <w:r w:rsidR="00547C57">
        <w:rPr>
          <w:b/>
          <w:u w:val="single"/>
        </w:rPr>
        <w:t xml:space="preserve"> a</w:t>
      </w:r>
      <w:r w:rsidR="00670A35" w:rsidRPr="00851F46">
        <w:rPr>
          <w:b/>
          <w:u w:val="single"/>
        </w:rPr>
        <w:t>ction</w:t>
      </w:r>
    </w:p>
    <w:p w14:paraId="0951899C" w14:textId="77777777" w:rsidR="00935E5B" w:rsidRPr="00851F46" w:rsidRDefault="00935E5B" w:rsidP="001C5480">
      <w:pPr>
        <w:spacing w:after="0" w:line="240" w:lineRule="auto"/>
        <w:ind w:left="720"/>
        <w:rPr>
          <w:b/>
        </w:rPr>
      </w:pPr>
    </w:p>
    <w:p w14:paraId="1818DF72" w14:textId="2F2A83C6" w:rsidR="00A7488B" w:rsidRDefault="00A7488B" w:rsidP="001C5480">
      <w:pPr>
        <w:spacing w:line="240" w:lineRule="auto"/>
        <w:ind w:left="720"/>
      </w:pPr>
      <w:r>
        <w:t xml:space="preserve">Under section 24 of the </w:t>
      </w:r>
      <w:r w:rsidR="00FC13CC">
        <w:t xml:space="preserve">PID </w:t>
      </w:r>
      <w:r>
        <w:t>Act, u</w:t>
      </w:r>
      <w:r w:rsidR="00670A35" w:rsidRPr="00670A35">
        <w:t xml:space="preserve">pon completion of the investigation, the head of </w:t>
      </w:r>
      <w:r w:rsidR="0026406B">
        <w:t>the entity</w:t>
      </w:r>
      <w:r w:rsidR="00D502C6">
        <w:t xml:space="preserve"> </w:t>
      </w:r>
      <w:r w:rsidR="00670A35" w:rsidRPr="00670A35">
        <w:t xml:space="preserve">should make a determination on whether </w:t>
      </w:r>
      <w:r>
        <w:t>the</w:t>
      </w:r>
      <w:r w:rsidR="001D065E">
        <w:t xml:space="preserve">y </w:t>
      </w:r>
      <w:r w:rsidR="00670A35" w:rsidRPr="00670A35">
        <w:t>believe</w:t>
      </w:r>
      <w:r w:rsidR="001D065E">
        <w:t>,</w:t>
      </w:r>
      <w:r w:rsidR="00670A35" w:rsidRPr="00670A35">
        <w:t xml:space="preserve"> on reasonable grounds</w:t>
      </w:r>
      <w:r w:rsidR="001D065E">
        <w:t xml:space="preserve">, </w:t>
      </w:r>
      <w:r w:rsidR="00670A35" w:rsidRPr="00670A35">
        <w:t>that disclosable conduct has occurred, is likely to have occurred</w:t>
      </w:r>
      <w:r w:rsidR="00A27681">
        <w:t>,</w:t>
      </w:r>
      <w:r w:rsidR="00670A35" w:rsidRPr="00670A35">
        <w:t xml:space="preserve"> or is likely to occur</w:t>
      </w:r>
      <w:r>
        <w:t>.</w:t>
      </w:r>
    </w:p>
    <w:p w14:paraId="0D40CD9E" w14:textId="77777777" w:rsidR="00670A35" w:rsidRPr="00670A35" w:rsidRDefault="002F1230" w:rsidP="001C5480">
      <w:pPr>
        <w:spacing w:line="240" w:lineRule="auto"/>
        <w:ind w:left="720"/>
      </w:pPr>
      <w:r>
        <w:t>If such is determined, t</w:t>
      </w:r>
      <w:r w:rsidR="00A7488B">
        <w:t>he</w:t>
      </w:r>
      <w:r w:rsidR="00670A35" w:rsidRPr="00670A35">
        <w:t xml:space="preserve"> entity must take action necessary and reasonable to:</w:t>
      </w:r>
    </w:p>
    <w:p w14:paraId="0A1CD887" w14:textId="77777777" w:rsidR="00670A35" w:rsidRPr="00670A35" w:rsidRDefault="00670A35" w:rsidP="0026406B">
      <w:pPr>
        <w:numPr>
          <w:ilvl w:val="0"/>
          <w:numId w:val="7"/>
        </w:numPr>
        <w:spacing w:line="240" w:lineRule="auto"/>
        <w:ind w:left="1829"/>
      </w:pPr>
      <w:r w:rsidRPr="00670A35">
        <w:t>prevent the disclosable conduct continuing or occurring in the future; and</w:t>
      </w:r>
    </w:p>
    <w:p w14:paraId="0FAB7A61" w14:textId="77777777" w:rsidR="00670A35" w:rsidRPr="00670A35" w:rsidRDefault="00670A35" w:rsidP="0026406B">
      <w:pPr>
        <w:numPr>
          <w:ilvl w:val="0"/>
          <w:numId w:val="7"/>
        </w:numPr>
        <w:spacing w:line="240" w:lineRule="auto"/>
        <w:ind w:left="1829"/>
      </w:pPr>
      <w:r w:rsidRPr="00670A35">
        <w:t>discipline any person responsible for the disclosable conduct.</w:t>
      </w:r>
    </w:p>
    <w:p w14:paraId="40828BB8" w14:textId="77777777" w:rsidR="00670A35" w:rsidRPr="00670A35" w:rsidRDefault="00670A35" w:rsidP="001C5480">
      <w:pPr>
        <w:spacing w:after="0" w:line="240" w:lineRule="auto"/>
        <w:ind w:left="720"/>
      </w:pPr>
      <w:r w:rsidRPr="00670A35">
        <w:lastRenderedPageBreak/>
        <w:t xml:space="preserve">When coming to a decision, </w:t>
      </w:r>
      <w:r w:rsidR="0026406B">
        <w:t>the</w:t>
      </w:r>
      <w:r w:rsidRPr="001D065E">
        <w:t xml:space="preserve"> </w:t>
      </w:r>
      <w:r w:rsidR="005F171B" w:rsidRPr="001D065E">
        <w:t>head of the entity</w:t>
      </w:r>
      <w:r w:rsidRPr="00670A35">
        <w:t xml:space="preserve"> should always act within the bounds of the legislation, apply the principles of natural justice, be consistent and reasonable, make clear and document decisions.</w:t>
      </w:r>
    </w:p>
    <w:p w14:paraId="6B36D953" w14:textId="77777777" w:rsidR="00981EAE" w:rsidRDefault="00981EAE" w:rsidP="00981EAE">
      <w:pPr>
        <w:spacing w:after="0" w:line="240" w:lineRule="auto"/>
      </w:pPr>
    </w:p>
    <w:p w14:paraId="323C29EF" w14:textId="234A0B48" w:rsidR="00670A35" w:rsidRDefault="00643927" w:rsidP="00981EAE">
      <w:pPr>
        <w:spacing w:after="0" w:line="240" w:lineRule="auto"/>
        <w:ind w:left="720"/>
        <w:rPr>
          <w:b/>
          <w:u w:val="single"/>
        </w:rPr>
      </w:pPr>
      <w:r>
        <w:rPr>
          <w:b/>
          <w:u w:val="single"/>
        </w:rPr>
        <w:t>Step 7</w:t>
      </w:r>
      <w:r w:rsidR="00670A35" w:rsidRPr="00851F46">
        <w:rPr>
          <w:b/>
          <w:u w:val="single"/>
        </w:rPr>
        <w:t>:  Report</w:t>
      </w:r>
    </w:p>
    <w:p w14:paraId="49217523" w14:textId="77777777" w:rsidR="00935E5B" w:rsidRPr="00851F46" w:rsidRDefault="00935E5B">
      <w:pPr>
        <w:spacing w:after="0" w:line="240" w:lineRule="auto"/>
        <w:ind w:left="720"/>
        <w:rPr>
          <w:b/>
          <w:u w:val="single"/>
        </w:rPr>
      </w:pPr>
    </w:p>
    <w:p w14:paraId="2397AC37" w14:textId="1D152F38" w:rsidR="00670A35" w:rsidRPr="00F574A1" w:rsidRDefault="00D3260A">
      <w:pPr>
        <w:spacing w:line="240" w:lineRule="auto"/>
        <w:ind w:left="720"/>
        <w:rPr>
          <w:i/>
        </w:rPr>
      </w:pPr>
      <w:r>
        <w:t>The discloser must be informed of the outcome of the</w:t>
      </w:r>
      <w:r w:rsidR="007313CE">
        <w:t xml:space="preserve"> </w:t>
      </w:r>
      <w:r>
        <w:t xml:space="preserve">investigation as well as any action taken or proposed </w:t>
      </w:r>
      <w:r w:rsidR="009D4C17">
        <w:t>in relation</w:t>
      </w:r>
      <w:r w:rsidR="007313CE">
        <w:t xml:space="preserve"> to the disclosable conduct the subject of the disclosure </w:t>
      </w:r>
      <w:r>
        <w:t>(</w:t>
      </w:r>
      <w:r w:rsidR="007313CE" w:rsidRPr="00F574A1">
        <w:rPr>
          <w:i/>
        </w:rPr>
        <w:t>sections</w:t>
      </w:r>
      <w:r w:rsidRPr="00F574A1">
        <w:rPr>
          <w:i/>
        </w:rPr>
        <w:t xml:space="preserve"> 23 </w:t>
      </w:r>
      <w:r w:rsidR="007313CE" w:rsidRPr="00F574A1">
        <w:rPr>
          <w:i/>
        </w:rPr>
        <w:t>(1)(c) and 24(2)</w:t>
      </w:r>
      <w:r w:rsidR="000B5F2A">
        <w:rPr>
          <w:i/>
        </w:rPr>
        <w:t>)</w:t>
      </w:r>
      <w:r w:rsidR="007313CE" w:rsidRPr="00F574A1">
        <w:rPr>
          <w:i/>
        </w:rPr>
        <w:t>.</w:t>
      </w:r>
    </w:p>
    <w:p w14:paraId="58FA119A" w14:textId="414654D8" w:rsidR="007313CE" w:rsidRPr="00F574A1" w:rsidRDefault="007313CE">
      <w:pPr>
        <w:spacing w:line="240" w:lineRule="auto"/>
        <w:ind w:left="720"/>
        <w:rPr>
          <w:i/>
        </w:rPr>
      </w:pPr>
      <w:r>
        <w:t>The Public Sector Standards Commissioner must</w:t>
      </w:r>
      <w:r w:rsidR="00527F77">
        <w:t xml:space="preserve"> be</w:t>
      </w:r>
      <w:r>
        <w:t xml:space="preserve"> informed of the outcome of the investigation as well as any action taken or proposed in relation to the disclosable conduct (</w:t>
      </w:r>
      <w:r w:rsidRPr="00F574A1">
        <w:rPr>
          <w:i/>
        </w:rPr>
        <w:t>section 25 (1) (a) and (c)).</w:t>
      </w:r>
    </w:p>
    <w:p w14:paraId="4DA8F224" w14:textId="77777777" w:rsidR="004C0B9F" w:rsidRDefault="00431874">
      <w:pPr>
        <w:spacing w:line="240" w:lineRule="auto"/>
        <w:ind w:left="720"/>
      </w:pPr>
      <w:r>
        <w:t>The</w:t>
      </w:r>
      <w:r w:rsidR="004C0B9F">
        <w:t xml:space="preserve">re are limitations to what should be </w:t>
      </w:r>
      <w:r>
        <w:t>reported to a discloser detailed in section 26 of the Act.</w:t>
      </w:r>
    </w:p>
    <w:p w14:paraId="655E2DDC" w14:textId="46E767AE" w:rsidR="002B0A11" w:rsidRDefault="004032ED">
      <w:pPr>
        <w:spacing w:line="240" w:lineRule="auto"/>
        <w:ind w:left="720"/>
      </w:pPr>
      <w:r>
        <w:t xml:space="preserve">In drafting reports, </w:t>
      </w:r>
      <w:r w:rsidR="006F4065">
        <w:t>entities should</w:t>
      </w:r>
      <w:r w:rsidR="00770AA8" w:rsidRPr="00770AA8">
        <w:t xml:space="preserve"> be aware of FOI requirements and privacy con</w:t>
      </w:r>
      <w:r w:rsidR="006F4065">
        <w:t>siderations.</w:t>
      </w:r>
      <w:r w:rsidR="00770AA8" w:rsidRPr="00770AA8">
        <w:t xml:space="preserve"> </w:t>
      </w:r>
      <w:r w:rsidR="00770AA8">
        <w:t xml:space="preserve">  </w:t>
      </w:r>
    </w:p>
    <w:p w14:paraId="78594D92" w14:textId="230E90C1" w:rsidR="00533B05" w:rsidRDefault="00770AA8" w:rsidP="00F14DE4">
      <w:pPr>
        <w:spacing w:line="240" w:lineRule="auto"/>
        <w:ind w:left="720"/>
      </w:pPr>
      <w:r w:rsidRPr="00770AA8">
        <w:t xml:space="preserve">For consistency across </w:t>
      </w:r>
      <w:r w:rsidR="00C419CF">
        <w:t xml:space="preserve">the ACT Public Sector, </w:t>
      </w:r>
      <w:r w:rsidRPr="00770AA8">
        <w:t xml:space="preserve">a template </w:t>
      </w:r>
      <w:r>
        <w:t xml:space="preserve">is included </w:t>
      </w:r>
      <w:r w:rsidRPr="00770AA8">
        <w:t xml:space="preserve">at Appendix </w:t>
      </w:r>
      <w:r w:rsidR="00D51D79">
        <w:t>D</w:t>
      </w:r>
      <w:r>
        <w:t xml:space="preserve"> of these guidelines</w:t>
      </w:r>
      <w:r w:rsidR="008B7668">
        <w:t xml:space="preserve"> for reporting PID outcomes to the Public Sector Standards Commissioner.</w:t>
      </w:r>
    </w:p>
    <w:p w14:paraId="00D3FDD4" w14:textId="77777777" w:rsidR="00F14DE4" w:rsidRDefault="00F14DE4" w:rsidP="00F14DE4">
      <w:pPr>
        <w:spacing w:line="240" w:lineRule="auto"/>
        <w:ind w:left="720"/>
        <w:rPr>
          <w:b/>
          <w:sz w:val="28"/>
          <w:szCs w:val="28"/>
          <w:u w:val="single"/>
        </w:rPr>
      </w:pPr>
    </w:p>
    <w:p w14:paraId="1501CA0F" w14:textId="5C84372D" w:rsidR="004E7B8B" w:rsidRPr="00D80700" w:rsidRDefault="003B2C73" w:rsidP="0060581C">
      <w:pPr>
        <w:spacing w:line="240" w:lineRule="auto"/>
        <w:rPr>
          <w:b/>
          <w:u w:val="single"/>
        </w:rPr>
      </w:pPr>
      <w:r>
        <w:rPr>
          <w:b/>
        </w:rPr>
        <w:t xml:space="preserve">8. </w:t>
      </w:r>
      <w:r w:rsidR="004E7B8B" w:rsidRPr="00D80700">
        <w:rPr>
          <w:b/>
          <w:u w:val="single"/>
        </w:rPr>
        <w:t>Review</w:t>
      </w:r>
      <w:r w:rsidR="00BA5835" w:rsidRPr="00D80700">
        <w:rPr>
          <w:b/>
          <w:u w:val="single"/>
        </w:rPr>
        <w:t xml:space="preserve"> </w:t>
      </w:r>
      <w:r w:rsidR="00A16064" w:rsidRPr="00D80700">
        <w:rPr>
          <w:b/>
          <w:u w:val="single"/>
        </w:rPr>
        <w:t>of a PID process</w:t>
      </w:r>
    </w:p>
    <w:p w14:paraId="00B16A35" w14:textId="77777777" w:rsidR="004E7B8B" w:rsidRPr="004E7B8B" w:rsidRDefault="004E7B8B" w:rsidP="0060581C">
      <w:pPr>
        <w:spacing w:line="240" w:lineRule="auto"/>
      </w:pPr>
      <w:r w:rsidRPr="004E7B8B">
        <w:t>A review may not be necessary for all disclosures, however where a review occurs, those undertaking the review should not have been involved in the initial investigation.</w:t>
      </w:r>
    </w:p>
    <w:p w14:paraId="3144350B" w14:textId="77777777" w:rsidR="004E7B8B" w:rsidRPr="004E7B8B" w:rsidRDefault="004E7B8B" w:rsidP="0060581C">
      <w:pPr>
        <w:spacing w:line="240" w:lineRule="auto"/>
        <w:ind w:left="720"/>
        <w:rPr>
          <w:b/>
          <w:bCs/>
        </w:rPr>
      </w:pPr>
      <w:r w:rsidRPr="004E7B8B">
        <w:rPr>
          <w:b/>
          <w:bCs/>
          <w:u w:val="single"/>
        </w:rPr>
        <w:t>Evaluation by entities</w:t>
      </w:r>
    </w:p>
    <w:p w14:paraId="20B3ACE8" w14:textId="77777777" w:rsidR="004E7B8B" w:rsidRPr="004E7B8B" w:rsidRDefault="004E7B8B" w:rsidP="0060581C">
      <w:pPr>
        <w:spacing w:line="240" w:lineRule="auto"/>
        <w:ind w:left="720"/>
      </w:pPr>
      <w:r w:rsidRPr="004E7B8B">
        <w:t>Entities are encouraged to put in place procedures by which they will systematically review or otherwise evaluate their handling of disclosures with the aim of continuous improvement.</w:t>
      </w:r>
    </w:p>
    <w:p w14:paraId="27FD1151" w14:textId="77777777" w:rsidR="004E7B8B" w:rsidRPr="004E7B8B" w:rsidRDefault="004E7B8B" w:rsidP="0060581C">
      <w:pPr>
        <w:spacing w:line="240" w:lineRule="auto"/>
        <w:ind w:left="720"/>
        <w:rPr>
          <w:b/>
          <w:bCs/>
        </w:rPr>
      </w:pPr>
      <w:r w:rsidRPr="004E7B8B">
        <w:rPr>
          <w:b/>
          <w:bCs/>
          <w:u w:val="single"/>
        </w:rPr>
        <w:t xml:space="preserve">Oversight by the </w:t>
      </w:r>
      <w:r w:rsidR="00CC1B04">
        <w:rPr>
          <w:b/>
          <w:bCs/>
          <w:u w:val="single"/>
        </w:rPr>
        <w:t xml:space="preserve">Public Sector Standards </w:t>
      </w:r>
      <w:r w:rsidRPr="004E7B8B">
        <w:rPr>
          <w:b/>
          <w:bCs/>
          <w:u w:val="single"/>
        </w:rPr>
        <w:t>Commissioner</w:t>
      </w:r>
    </w:p>
    <w:p w14:paraId="328E2821" w14:textId="4C60D722" w:rsidR="004E7B8B" w:rsidRPr="004E7B8B" w:rsidRDefault="004E7B8B" w:rsidP="0060581C">
      <w:pPr>
        <w:spacing w:line="240" w:lineRule="auto"/>
        <w:ind w:left="720"/>
      </w:pPr>
      <w:r w:rsidRPr="004E7B8B">
        <w:t xml:space="preserve">The </w:t>
      </w:r>
      <w:r w:rsidR="00CC1B04">
        <w:t xml:space="preserve">Public Sector Standards </w:t>
      </w:r>
      <w:r w:rsidRPr="004E7B8B">
        <w:t xml:space="preserve">Commissioner has a role in overseeing the action taken once a PID has been made, </w:t>
      </w:r>
      <w:r w:rsidR="00981EAE">
        <w:t xml:space="preserve">and will take steps to </w:t>
      </w:r>
      <w:r w:rsidR="00B518EA">
        <w:t>consider</w:t>
      </w:r>
      <w:r w:rsidRPr="004E7B8B">
        <w:t xml:space="preserve"> </w:t>
      </w:r>
      <w:r w:rsidR="00B518EA">
        <w:t xml:space="preserve">whether </w:t>
      </w:r>
      <w:r w:rsidRPr="004E7B8B">
        <w:t>all</w:t>
      </w:r>
      <w:r w:rsidR="00B518EA">
        <w:t xml:space="preserve"> significant</w:t>
      </w:r>
      <w:r w:rsidRPr="004E7B8B">
        <w:t xml:space="preserve"> matters are handled</w:t>
      </w:r>
      <w:r w:rsidR="00B518EA">
        <w:t xml:space="preserve"> </w:t>
      </w:r>
      <w:r w:rsidR="006F4696">
        <w:t xml:space="preserve">appropriately, consistent with legislative </w:t>
      </w:r>
      <w:r w:rsidR="00BC7CB2">
        <w:t>requirements</w:t>
      </w:r>
      <w:r w:rsidR="00BC7CB2" w:rsidRPr="004E7B8B">
        <w:t>.</w:t>
      </w:r>
    </w:p>
    <w:p w14:paraId="12A65810" w14:textId="77777777" w:rsidR="004E7B8B" w:rsidRPr="004E7B8B" w:rsidRDefault="004E7B8B" w:rsidP="0060581C">
      <w:pPr>
        <w:spacing w:line="240" w:lineRule="auto"/>
        <w:ind w:left="720"/>
      </w:pPr>
      <w:r w:rsidRPr="004E7B8B">
        <w:t>This includes:</w:t>
      </w:r>
    </w:p>
    <w:p w14:paraId="128D2662" w14:textId="77777777" w:rsidR="004E7B8B" w:rsidRPr="004E7B8B" w:rsidRDefault="004E7B8B" w:rsidP="00AA5B1C">
      <w:pPr>
        <w:numPr>
          <w:ilvl w:val="0"/>
          <w:numId w:val="7"/>
        </w:numPr>
        <w:spacing w:line="240" w:lineRule="auto"/>
        <w:ind w:left="1829"/>
      </w:pPr>
      <w:r w:rsidRPr="004E7B8B">
        <w:t>reviewing a decision by an investigating entity to refuse to investigate a PID or to end an investigation; and</w:t>
      </w:r>
    </w:p>
    <w:p w14:paraId="4C064126" w14:textId="1B5424EB" w:rsidR="004E7B8B" w:rsidRPr="004E7B8B" w:rsidRDefault="0005665F" w:rsidP="00AA5B1C">
      <w:pPr>
        <w:numPr>
          <w:ilvl w:val="0"/>
          <w:numId w:val="7"/>
        </w:numPr>
        <w:spacing w:line="240" w:lineRule="auto"/>
        <w:ind w:left="1829"/>
      </w:pPr>
      <w:r>
        <w:t>significant</w:t>
      </w:r>
      <w:r w:rsidR="004E7B8B" w:rsidRPr="004E7B8B">
        <w:t xml:space="preserve"> action</w:t>
      </w:r>
      <w:r>
        <w:t>s</w:t>
      </w:r>
      <w:r w:rsidR="004E7B8B" w:rsidRPr="004E7B8B">
        <w:t xml:space="preserve"> taken, or proposed to be taken</w:t>
      </w:r>
      <w:r w:rsidR="00C12C4B">
        <w:t>,</w:t>
      </w:r>
      <w:r w:rsidR="004E7B8B" w:rsidRPr="004E7B8B">
        <w:t xml:space="preserve"> in relation to a PID.</w:t>
      </w:r>
    </w:p>
    <w:p w14:paraId="26FE3233" w14:textId="77777777" w:rsidR="004E7B8B" w:rsidRPr="004E7B8B" w:rsidRDefault="004E7B8B" w:rsidP="0060581C">
      <w:pPr>
        <w:spacing w:line="240" w:lineRule="auto"/>
      </w:pPr>
    </w:p>
    <w:p w14:paraId="00D8932A" w14:textId="5745B1C2" w:rsidR="004E7B8B" w:rsidRPr="00D80700" w:rsidRDefault="003B2C73" w:rsidP="0060581C">
      <w:pPr>
        <w:spacing w:line="240" w:lineRule="auto"/>
        <w:rPr>
          <w:b/>
          <w:bCs/>
          <w:u w:val="single"/>
        </w:rPr>
      </w:pPr>
      <w:bookmarkStart w:id="29" w:name="_bookmark34"/>
      <w:bookmarkStart w:id="30" w:name="_bookmark35"/>
      <w:bookmarkEnd w:id="29"/>
      <w:bookmarkEnd w:id="30"/>
      <w:r>
        <w:rPr>
          <w:b/>
          <w:bCs/>
        </w:rPr>
        <w:t xml:space="preserve">9. </w:t>
      </w:r>
      <w:r w:rsidR="004E7B8B" w:rsidRPr="00D80700">
        <w:rPr>
          <w:b/>
          <w:bCs/>
          <w:u w:val="single"/>
        </w:rPr>
        <w:t xml:space="preserve">Role of the </w:t>
      </w:r>
      <w:r w:rsidR="00CC1B04" w:rsidRPr="00D80700">
        <w:rPr>
          <w:b/>
          <w:bCs/>
          <w:u w:val="single"/>
        </w:rPr>
        <w:t xml:space="preserve">Public Sector Standards </w:t>
      </w:r>
      <w:r w:rsidR="004E7B8B" w:rsidRPr="00D80700">
        <w:rPr>
          <w:b/>
          <w:bCs/>
          <w:u w:val="single"/>
        </w:rPr>
        <w:t>Commissioner</w:t>
      </w:r>
    </w:p>
    <w:p w14:paraId="48D3EE3D" w14:textId="77777777" w:rsidR="005727D9" w:rsidRDefault="004E7B8B" w:rsidP="005727D9">
      <w:pPr>
        <w:spacing w:line="240" w:lineRule="auto"/>
      </w:pPr>
      <w:bookmarkStart w:id="31" w:name="_bookmark36"/>
      <w:bookmarkEnd w:id="31"/>
      <w:r w:rsidRPr="004E7B8B">
        <w:t xml:space="preserve">Under Part 6 of the Act, the </w:t>
      </w:r>
      <w:r w:rsidR="00C6695C">
        <w:t xml:space="preserve">Public Sector Standards </w:t>
      </w:r>
      <w:r w:rsidRPr="004E7B8B">
        <w:t>Commissioner is given a broad oversig</w:t>
      </w:r>
      <w:r w:rsidR="00470C3E">
        <w:t>ht role in relation to the ACT Public S</w:t>
      </w:r>
      <w:r w:rsidRPr="004E7B8B">
        <w:t xml:space="preserve">ector’s management of PIDs. The </w:t>
      </w:r>
      <w:r w:rsidR="00C6695C" w:rsidRPr="00C6695C">
        <w:t xml:space="preserve">Public Sector Standards </w:t>
      </w:r>
      <w:r w:rsidRPr="004E7B8B">
        <w:t>Commissioner</w:t>
      </w:r>
      <w:r w:rsidR="00C12C4B">
        <w:t>’s functions</w:t>
      </w:r>
      <w:r w:rsidR="003B3BA1">
        <w:t xml:space="preserve"> include</w:t>
      </w:r>
      <w:r w:rsidRPr="004E7B8B">
        <w:t xml:space="preserve"> provid</w:t>
      </w:r>
      <w:r w:rsidR="003B3BA1">
        <w:t>ing</w:t>
      </w:r>
      <w:r w:rsidRPr="004E7B8B">
        <w:t xml:space="preserve"> advice about PIDs to entities, review</w:t>
      </w:r>
      <w:r w:rsidR="003B3BA1">
        <w:t>ing</w:t>
      </w:r>
      <w:r w:rsidRPr="004E7B8B">
        <w:t xml:space="preserve"> the way</w:t>
      </w:r>
      <w:r w:rsidR="00BE4C12">
        <w:t xml:space="preserve"> entities</w:t>
      </w:r>
      <w:r w:rsidRPr="004E7B8B">
        <w:t xml:space="preserve"> investigate and deal with PIDs, ensur</w:t>
      </w:r>
      <w:r w:rsidR="00FA4A20">
        <w:t>ing</w:t>
      </w:r>
      <w:r w:rsidRPr="004E7B8B">
        <w:t xml:space="preserve"> just outcomes for people who make PIDs including preventing and remedying the effect of detrimental action against people</w:t>
      </w:r>
      <w:bookmarkStart w:id="32" w:name="_bookmark37"/>
      <w:bookmarkEnd w:id="32"/>
      <w:r w:rsidRPr="004E7B8B">
        <w:t xml:space="preserve"> because of disclosures; and </w:t>
      </w:r>
      <w:r w:rsidR="009B07E0">
        <w:t>undertaking</w:t>
      </w:r>
      <w:r w:rsidRPr="004E7B8B">
        <w:t xml:space="preserve"> education and training about PIDs.</w:t>
      </w:r>
    </w:p>
    <w:p w14:paraId="008915A0" w14:textId="0567847D" w:rsidR="00375617" w:rsidRDefault="004E7B8B" w:rsidP="005727D9">
      <w:pPr>
        <w:spacing w:line="240" w:lineRule="auto"/>
      </w:pPr>
      <w:r w:rsidRPr="004E7B8B">
        <w:lastRenderedPageBreak/>
        <w:t xml:space="preserve">The </w:t>
      </w:r>
      <w:r w:rsidR="00C6695C" w:rsidRPr="00C6695C">
        <w:t xml:space="preserve">Public Sector Standards </w:t>
      </w:r>
      <w:r w:rsidRPr="004E7B8B">
        <w:t xml:space="preserve">Commissioner may notify the ACT Ombudsman about a PID if the </w:t>
      </w:r>
      <w:r w:rsidR="00C6695C" w:rsidRPr="00C6695C">
        <w:t xml:space="preserve">Public Sector Standards </w:t>
      </w:r>
      <w:r w:rsidRPr="004E7B8B">
        <w:t>Commissioner believes it is appropriate for the ACT Ombudsma</w:t>
      </w:r>
      <w:r w:rsidR="00375617">
        <w:t>n to know about the disclosure.</w:t>
      </w:r>
      <w:bookmarkStart w:id="33" w:name="_bookmark40"/>
      <w:bookmarkEnd w:id="33"/>
    </w:p>
    <w:p w14:paraId="5FBD6CF4" w14:textId="77777777" w:rsidR="00F14DE4" w:rsidRDefault="00F14DE4" w:rsidP="008B0684">
      <w:pPr>
        <w:spacing w:after="0" w:line="240" w:lineRule="auto"/>
        <w:rPr>
          <w:b/>
          <w:bCs/>
          <w:iCs/>
        </w:rPr>
      </w:pPr>
    </w:p>
    <w:p w14:paraId="359EBC2A" w14:textId="27C13559" w:rsidR="004E7B8B" w:rsidRDefault="003B2C73" w:rsidP="008B0684">
      <w:pPr>
        <w:spacing w:after="0" w:line="240" w:lineRule="auto"/>
        <w:rPr>
          <w:b/>
          <w:bCs/>
          <w:iCs/>
          <w:u w:val="single"/>
        </w:rPr>
      </w:pPr>
      <w:r>
        <w:rPr>
          <w:b/>
          <w:bCs/>
          <w:iCs/>
        </w:rPr>
        <w:t xml:space="preserve">9.1 </w:t>
      </w:r>
      <w:r w:rsidR="00C6695C" w:rsidRPr="00C6695C">
        <w:rPr>
          <w:b/>
          <w:bCs/>
          <w:iCs/>
          <w:u w:val="single"/>
        </w:rPr>
        <w:t xml:space="preserve">Public Sector Standards </w:t>
      </w:r>
      <w:r w:rsidR="004E7B8B" w:rsidRPr="00851F46">
        <w:rPr>
          <w:b/>
          <w:bCs/>
          <w:iCs/>
          <w:u w:val="single"/>
        </w:rPr>
        <w:t xml:space="preserve">Commissioner may review </w:t>
      </w:r>
      <w:r w:rsidR="0021781F" w:rsidRPr="00851F46">
        <w:rPr>
          <w:b/>
          <w:bCs/>
          <w:iCs/>
          <w:u w:val="single"/>
        </w:rPr>
        <w:t>an entit</w:t>
      </w:r>
      <w:r w:rsidR="0053649F">
        <w:rPr>
          <w:b/>
          <w:bCs/>
          <w:iCs/>
          <w:u w:val="single"/>
        </w:rPr>
        <w:t>y’s</w:t>
      </w:r>
      <w:r w:rsidR="0021781F" w:rsidRPr="00851F46">
        <w:rPr>
          <w:b/>
          <w:bCs/>
          <w:iCs/>
          <w:u w:val="single"/>
        </w:rPr>
        <w:t xml:space="preserve"> </w:t>
      </w:r>
      <w:r w:rsidR="004E7B8B" w:rsidRPr="00851F46">
        <w:rPr>
          <w:b/>
          <w:bCs/>
          <w:iCs/>
          <w:u w:val="single"/>
        </w:rPr>
        <w:t>decisions</w:t>
      </w:r>
      <w:r w:rsidR="0021781F" w:rsidRPr="00851F46">
        <w:rPr>
          <w:b/>
          <w:bCs/>
          <w:iCs/>
          <w:u w:val="single"/>
        </w:rPr>
        <w:t xml:space="preserve"> and actions</w:t>
      </w:r>
    </w:p>
    <w:p w14:paraId="25A56F3A" w14:textId="77777777" w:rsidR="00935E5B" w:rsidRPr="00851F46" w:rsidRDefault="00935E5B" w:rsidP="008B0684">
      <w:pPr>
        <w:spacing w:after="0" w:line="240" w:lineRule="auto"/>
        <w:rPr>
          <w:b/>
          <w:bCs/>
          <w:iCs/>
          <w:u w:val="single"/>
        </w:rPr>
      </w:pPr>
    </w:p>
    <w:p w14:paraId="56A8C0FC" w14:textId="5A8831ED" w:rsidR="00E959A4" w:rsidRDefault="004E7B8B" w:rsidP="008B0684">
      <w:pPr>
        <w:spacing w:line="240" w:lineRule="auto"/>
      </w:pPr>
      <w:r w:rsidRPr="004E7B8B">
        <w:t xml:space="preserve">The </w:t>
      </w:r>
      <w:r w:rsidR="00C6695C" w:rsidRPr="00C6695C">
        <w:t xml:space="preserve">Public Sector Standards </w:t>
      </w:r>
      <w:r w:rsidRPr="004E7B8B">
        <w:t xml:space="preserve">Commissioner has strong powers </w:t>
      </w:r>
      <w:r w:rsidR="00821DA1">
        <w:t>in relation to oversighting</w:t>
      </w:r>
      <w:r w:rsidR="00631A67">
        <w:t xml:space="preserve"> an entity’s decisions and actions </w:t>
      </w:r>
      <w:r w:rsidR="00BF62B4">
        <w:t>in relation to</w:t>
      </w:r>
      <w:r w:rsidRPr="004E7B8B">
        <w:t xml:space="preserve"> PIDs. Under Section 29, the Commissioner has the power to review decisions </w:t>
      </w:r>
      <w:r w:rsidR="00533B05">
        <w:t>and actions</w:t>
      </w:r>
      <w:r w:rsidRPr="004E7B8B">
        <w:t xml:space="preserve"> by entities in relation to disclosures and the way they are handled. </w:t>
      </w:r>
    </w:p>
    <w:p w14:paraId="2300773D" w14:textId="77777777" w:rsidR="004E7B8B" w:rsidRDefault="004E7B8B" w:rsidP="008B0684">
      <w:pPr>
        <w:spacing w:line="240" w:lineRule="auto"/>
      </w:pPr>
      <w:r w:rsidRPr="004E7B8B">
        <w:t>Where an entity declines to investigate a disclosure</w:t>
      </w:r>
      <w:r w:rsidR="00C6695C">
        <w:t>, or deems a disclosure not to qualify as a PID</w:t>
      </w:r>
      <w:r w:rsidR="00D77AA0">
        <w:t>, the</w:t>
      </w:r>
      <w:r w:rsidRPr="004E7B8B">
        <w:t xml:space="preserve"> </w:t>
      </w:r>
      <w:r w:rsidR="00C6695C" w:rsidRPr="00C6695C">
        <w:t xml:space="preserve">Public Sector Standards </w:t>
      </w:r>
      <w:r w:rsidRPr="004E7B8B">
        <w:t>Commissi</w:t>
      </w:r>
      <w:r w:rsidR="00A05C79">
        <w:t xml:space="preserve">oner may review and remake the </w:t>
      </w:r>
      <w:r w:rsidRPr="004E7B8B">
        <w:t xml:space="preserve">decision. Likewise, the </w:t>
      </w:r>
      <w:r w:rsidR="00C6695C" w:rsidRPr="00C6695C">
        <w:t xml:space="preserve">Public Sector Standards </w:t>
      </w:r>
      <w:r w:rsidRPr="004E7B8B">
        <w:t>Commissioner may review and remake decisions made by entities to end the investigation of a disclosure as well as any action taken by an entity in response to disclosable conduct being found.</w:t>
      </w:r>
    </w:p>
    <w:p w14:paraId="63EB2404" w14:textId="77777777" w:rsidR="004E7B8B" w:rsidRPr="00F574A1" w:rsidRDefault="004E7B8B" w:rsidP="008B0684">
      <w:pPr>
        <w:spacing w:line="240" w:lineRule="auto"/>
        <w:rPr>
          <w:bCs/>
        </w:rPr>
      </w:pPr>
      <w:r w:rsidRPr="00F574A1">
        <w:rPr>
          <w:bCs/>
        </w:rPr>
        <w:t xml:space="preserve">The </w:t>
      </w:r>
      <w:r w:rsidR="00C6695C" w:rsidRPr="00F574A1">
        <w:rPr>
          <w:bCs/>
        </w:rPr>
        <w:t xml:space="preserve">Public Sector Standards </w:t>
      </w:r>
      <w:r w:rsidRPr="00F574A1">
        <w:rPr>
          <w:bCs/>
        </w:rPr>
        <w:t>Commissioner may ask</w:t>
      </w:r>
      <w:r w:rsidR="00981EAE" w:rsidRPr="00F574A1">
        <w:rPr>
          <w:bCs/>
        </w:rPr>
        <w:t xml:space="preserve"> anyone to give him/her</w:t>
      </w:r>
      <w:r w:rsidRPr="00F574A1">
        <w:rPr>
          <w:bCs/>
        </w:rPr>
        <w:t xml:space="preserve"> information, including protected information, relevant to the investigation of the disclosure.</w:t>
      </w:r>
    </w:p>
    <w:p w14:paraId="4ED1AAE2" w14:textId="56B9497F" w:rsidR="004E7B8B" w:rsidRPr="004E7B8B" w:rsidRDefault="004E7B8B" w:rsidP="008B0684">
      <w:pPr>
        <w:spacing w:line="240" w:lineRule="auto"/>
      </w:pPr>
      <w:r w:rsidRPr="004E7B8B">
        <w:t xml:space="preserve">An entity or public official must comply with a request made to the entity or official. Under Section 29(4) of the Act, after review </w:t>
      </w:r>
      <w:r w:rsidR="009D4C17">
        <w:t xml:space="preserve">of </w:t>
      </w:r>
      <w:r w:rsidRPr="004E7B8B">
        <w:t>a decision, the Commissioner may:</w:t>
      </w:r>
    </w:p>
    <w:p w14:paraId="5C957C7D" w14:textId="77777777" w:rsidR="004E7B8B" w:rsidRPr="004E7B8B" w:rsidRDefault="004E7B8B" w:rsidP="008B0684">
      <w:pPr>
        <w:numPr>
          <w:ilvl w:val="0"/>
          <w:numId w:val="7"/>
        </w:numPr>
        <w:spacing w:line="240" w:lineRule="auto"/>
      </w:pPr>
      <w:r w:rsidRPr="004E7B8B">
        <w:t>amend the decision; or</w:t>
      </w:r>
    </w:p>
    <w:p w14:paraId="6DD59FD3" w14:textId="77777777" w:rsidR="004E7B8B" w:rsidRPr="004E7B8B" w:rsidRDefault="004E7B8B" w:rsidP="008B0684">
      <w:pPr>
        <w:numPr>
          <w:ilvl w:val="0"/>
          <w:numId w:val="7"/>
        </w:numPr>
        <w:spacing w:line="240" w:lineRule="auto"/>
      </w:pPr>
      <w:r w:rsidRPr="004E7B8B">
        <w:t>set aside the decision and substitute a new decision; or</w:t>
      </w:r>
    </w:p>
    <w:p w14:paraId="37614861" w14:textId="77777777" w:rsidR="004E7B8B" w:rsidRPr="004E7B8B" w:rsidRDefault="004E7B8B" w:rsidP="008B0684">
      <w:pPr>
        <w:numPr>
          <w:ilvl w:val="0"/>
          <w:numId w:val="7"/>
        </w:numPr>
        <w:spacing w:line="240" w:lineRule="auto"/>
      </w:pPr>
      <w:r w:rsidRPr="004E7B8B">
        <w:t>take no action.</w:t>
      </w:r>
    </w:p>
    <w:p w14:paraId="2A228C47" w14:textId="77777777" w:rsidR="004E7B8B" w:rsidRPr="00F574A1" w:rsidRDefault="004E7B8B" w:rsidP="008B0684">
      <w:pPr>
        <w:spacing w:after="0" w:line="240" w:lineRule="auto"/>
        <w:rPr>
          <w:bCs/>
        </w:rPr>
      </w:pPr>
      <w:r w:rsidRPr="00F574A1">
        <w:rPr>
          <w:bCs/>
        </w:rPr>
        <w:t xml:space="preserve">After reviewing an action, or proposed action, the </w:t>
      </w:r>
      <w:r w:rsidR="00C6695C" w:rsidRPr="00F574A1">
        <w:rPr>
          <w:bCs/>
        </w:rPr>
        <w:t xml:space="preserve">Public Sector Standards </w:t>
      </w:r>
      <w:r w:rsidRPr="00F574A1">
        <w:rPr>
          <w:bCs/>
        </w:rPr>
        <w:t>Commissioner may direct an entity or public official to take action (or cease an action) in relation to the disclosable conduct.</w:t>
      </w:r>
    </w:p>
    <w:p w14:paraId="0A6C4DDF" w14:textId="77777777" w:rsidR="004E7B8B" w:rsidRPr="004E7B8B" w:rsidRDefault="004E7B8B" w:rsidP="008B0684">
      <w:pPr>
        <w:spacing w:after="0" w:line="240" w:lineRule="auto"/>
        <w:rPr>
          <w:b/>
          <w:bCs/>
        </w:rPr>
      </w:pPr>
    </w:p>
    <w:p w14:paraId="77F421D3" w14:textId="3A2850F4" w:rsidR="004E7B8B" w:rsidRDefault="003B2C73" w:rsidP="008B0684">
      <w:pPr>
        <w:spacing w:after="0" w:line="240" w:lineRule="auto"/>
        <w:rPr>
          <w:b/>
          <w:bCs/>
          <w:iCs/>
          <w:u w:val="single"/>
        </w:rPr>
      </w:pPr>
      <w:bookmarkStart w:id="34" w:name="_bookmark38"/>
      <w:bookmarkEnd w:id="34"/>
      <w:r>
        <w:rPr>
          <w:b/>
          <w:bCs/>
          <w:iCs/>
        </w:rPr>
        <w:t xml:space="preserve">9.2 </w:t>
      </w:r>
      <w:r w:rsidR="004E7B8B" w:rsidRPr="00851F46">
        <w:rPr>
          <w:b/>
          <w:bCs/>
          <w:iCs/>
          <w:u w:val="single"/>
        </w:rPr>
        <w:t xml:space="preserve">Report by </w:t>
      </w:r>
      <w:r w:rsidR="00A16064" w:rsidRPr="00851F46">
        <w:rPr>
          <w:b/>
          <w:bCs/>
          <w:iCs/>
          <w:u w:val="single"/>
        </w:rPr>
        <w:t xml:space="preserve">the </w:t>
      </w:r>
      <w:r w:rsidR="00C6695C" w:rsidRPr="00C6695C">
        <w:rPr>
          <w:b/>
          <w:bCs/>
          <w:iCs/>
          <w:u w:val="single"/>
        </w:rPr>
        <w:t xml:space="preserve">Public Sector Standards </w:t>
      </w:r>
      <w:r w:rsidR="004E7B8B" w:rsidRPr="00851F46">
        <w:rPr>
          <w:b/>
          <w:bCs/>
          <w:iCs/>
          <w:u w:val="single"/>
        </w:rPr>
        <w:t>Commissioner</w:t>
      </w:r>
    </w:p>
    <w:p w14:paraId="6BC2963C" w14:textId="77777777" w:rsidR="00935E5B" w:rsidRPr="00851F46" w:rsidRDefault="00935E5B" w:rsidP="008B0684">
      <w:pPr>
        <w:spacing w:after="0" w:line="240" w:lineRule="auto"/>
        <w:rPr>
          <w:b/>
          <w:bCs/>
          <w:iCs/>
          <w:u w:val="single"/>
        </w:rPr>
      </w:pPr>
    </w:p>
    <w:p w14:paraId="1B566B50" w14:textId="0D1CB715" w:rsidR="00146BD9" w:rsidRDefault="00146BD9" w:rsidP="008B0684">
      <w:pPr>
        <w:spacing w:line="240" w:lineRule="auto"/>
      </w:pPr>
      <w:r w:rsidRPr="00146BD9">
        <w:t>Under Section 30 of the Act, the Public Sector Standards Commissioner may give a report to the Chief Minister about an entity’s PID procedures or how a PID is dealt with by an entity.</w:t>
      </w:r>
    </w:p>
    <w:p w14:paraId="5F759519" w14:textId="77777777" w:rsidR="004E7B8B" w:rsidRPr="004E7B8B" w:rsidRDefault="004E7B8B" w:rsidP="008B0684">
      <w:pPr>
        <w:spacing w:line="240" w:lineRule="auto"/>
      </w:pPr>
      <w:r w:rsidRPr="004E7B8B">
        <w:t xml:space="preserve">However, the principles of natural justice apply to these reports. Namely, the Commissioner must not include information that may be critical of a person unless the </w:t>
      </w:r>
      <w:r w:rsidR="00C6695C" w:rsidRPr="00C6695C">
        <w:t xml:space="preserve">Public Sector Standards </w:t>
      </w:r>
      <w:r w:rsidRPr="004E7B8B">
        <w:t xml:space="preserve">Commissioner has given the person an opportunity to be heard. Likewise, the </w:t>
      </w:r>
      <w:r w:rsidR="00C6695C" w:rsidRPr="00C6695C">
        <w:t xml:space="preserve">Public Sector Standards </w:t>
      </w:r>
      <w:r w:rsidRPr="004E7B8B">
        <w:t>Commissioner must not include information that is likely to endanger a person’s safety or jeopardise an investigation relating to the disclosure.</w:t>
      </w:r>
    </w:p>
    <w:p w14:paraId="3CE5BF8B" w14:textId="77777777" w:rsidR="004E7B8B" w:rsidRPr="004E7B8B" w:rsidRDefault="004E7B8B" w:rsidP="008B0684">
      <w:pPr>
        <w:spacing w:after="0" w:line="240" w:lineRule="auto"/>
        <w:rPr>
          <w:b/>
          <w:bCs/>
        </w:rPr>
      </w:pPr>
      <w:r w:rsidRPr="004E7B8B">
        <w:rPr>
          <w:b/>
          <w:bCs/>
        </w:rPr>
        <w:t>Under Section 30 (3), the Minister must present the report to the Legislative Assembly within nine sitting days after the day the report is given to the Minister.</w:t>
      </w:r>
    </w:p>
    <w:p w14:paraId="54F1FAB5" w14:textId="77777777" w:rsidR="004E7B8B" w:rsidRPr="004E7B8B" w:rsidRDefault="004E7B8B" w:rsidP="008B0684">
      <w:pPr>
        <w:spacing w:after="0" w:line="240" w:lineRule="auto"/>
        <w:rPr>
          <w:b/>
          <w:bCs/>
        </w:rPr>
      </w:pPr>
    </w:p>
    <w:p w14:paraId="622BC8F8" w14:textId="37B66E44" w:rsidR="004E7B8B" w:rsidRPr="00851F46" w:rsidRDefault="003B2C73" w:rsidP="008B0684">
      <w:pPr>
        <w:spacing w:after="0" w:line="240" w:lineRule="auto"/>
        <w:rPr>
          <w:b/>
          <w:bCs/>
          <w:iCs/>
          <w:u w:val="single"/>
        </w:rPr>
      </w:pPr>
      <w:bookmarkStart w:id="35" w:name="_bookmark39"/>
      <w:bookmarkEnd w:id="35"/>
      <w:r>
        <w:rPr>
          <w:b/>
          <w:bCs/>
          <w:iCs/>
        </w:rPr>
        <w:t xml:space="preserve">9.3 </w:t>
      </w:r>
      <w:r w:rsidR="00C6695C" w:rsidRPr="00C6695C">
        <w:rPr>
          <w:b/>
          <w:bCs/>
          <w:iCs/>
          <w:u w:val="single"/>
        </w:rPr>
        <w:t xml:space="preserve">Public Sector Standards </w:t>
      </w:r>
      <w:r w:rsidR="004E7B8B" w:rsidRPr="00851F46">
        <w:rPr>
          <w:b/>
          <w:bCs/>
          <w:iCs/>
          <w:u w:val="single"/>
        </w:rPr>
        <w:t>Commissioner must keep discloser informed</w:t>
      </w:r>
    </w:p>
    <w:p w14:paraId="44C9BC6B" w14:textId="77777777" w:rsidR="00935E5B" w:rsidRPr="00851F46" w:rsidRDefault="00935E5B" w:rsidP="008B0684">
      <w:pPr>
        <w:spacing w:after="0" w:line="240" w:lineRule="auto"/>
        <w:rPr>
          <w:b/>
          <w:bCs/>
          <w:i/>
          <w:iCs/>
          <w:u w:val="single"/>
        </w:rPr>
      </w:pPr>
    </w:p>
    <w:p w14:paraId="0A4E250C" w14:textId="57A6A6F8" w:rsidR="004E7B8B" w:rsidRDefault="004E7B8B" w:rsidP="008B0684">
      <w:pPr>
        <w:spacing w:line="240" w:lineRule="auto"/>
      </w:pPr>
      <w:r w:rsidRPr="004E7B8B">
        <w:t xml:space="preserve">The </w:t>
      </w:r>
      <w:r w:rsidR="00C6695C" w:rsidRPr="00C6695C">
        <w:t xml:space="preserve">Public Sector Standards </w:t>
      </w:r>
      <w:r w:rsidRPr="004E7B8B">
        <w:t xml:space="preserve">Commissioner is not immune to the requirement to keep the relevant parties informed about what is happening with a disclosure. If the </w:t>
      </w:r>
      <w:r w:rsidR="00C6695C" w:rsidRPr="00C6695C">
        <w:t xml:space="preserve">Public Sector Standards </w:t>
      </w:r>
      <w:r w:rsidRPr="004E7B8B">
        <w:t>Commissioner calls on the powers of review contained in Part 6 of the Act and substitutes or otherwise makes a decision about the way a disclosure is being handled or acted upon, the</w:t>
      </w:r>
      <w:r w:rsidR="00C6695C" w:rsidRPr="00C6695C">
        <w:t xml:space="preserve"> Public Sector Standards</w:t>
      </w:r>
      <w:r w:rsidRPr="004E7B8B">
        <w:t xml:space="preserve"> Commissioner must tell the discloser about the decision and what led to that conclusion (unless the disclosure was made anonymously or the discloser has otherwise made it clear that they do not wish to be kept informed).</w:t>
      </w:r>
    </w:p>
    <w:p w14:paraId="7C023BE0" w14:textId="170F4E1C" w:rsidR="00A84683" w:rsidRPr="007F7A18" w:rsidRDefault="00577F27" w:rsidP="00D678C6">
      <w:pPr>
        <w:rPr>
          <w:b/>
          <w:bCs/>
        </w:rPr>
      </w:pPr>
      <w:r>
        <w:rPr>
          <w:sz w:val="28"/>
          <w:szCs w:val="28"/>
        </w:rPr>
        <w:br w:type="page"/>
      </w:r>
      <w:r w:rsidR="00A84683" w:rsidRPr="007F7A18">
        <w:rPr>
          <w:b/>
          <w:bCs/>
          <w:sz w:val="28"/>
          <w:szCs w:val="28"/>
        </w:rPr>
        <w:lastRenderedPageBreak/>
        <w:t>Part Three:  Disclosures made to Members of the ACT Legislative Assembly</w:t>
      </w:r>
    </w:p>
    <w:p w14:paraId="44369B28" w14:textId="41D5EB57" w:rsidR="00146BD9" w:rsidRDefault="00146BD9" w:rsidP="00A84683">
      <w:pPr>
        <w:spacing w:line="240" w:lineRule="auto"/>
        <w:rPr>
          <w:bCs/>
        </w:rPr>
      </w:pPr>
      <w:r w:rsidRPr="00146BD9">
        <w:rPr>
          <w:bCs/>
        </w:rPr>
        <w:t>Members of the ACT Legislative Assembly may receive information fro</w:t>
      </w:r>
      <w:r w:rsidR="00470C3E">
        <w:rPr>
          <w:bCs/>
        </w:rPr>
        <w:t>m members of the public or ACT Public S</w:t>
      </w:r>
      <w:r w:rsidRPr="00146BD9">
        <w:rPr>
          <w:bCs/>
        </w:rPr>
        <w:t>ector employees, which may satisfy the definition of a PID.</w:t>
      </w:r>
    </w:p>
    <w:p w14:paraId="69A724C2" w14:textId="77777777" w:rsidR="00A84683" w:rsidRDefault="00A84683" w:rsidP="00A84683">
      <w:pPr>
        <w:spacing w:line="240" w:lineRule="auto"/>
        <w:rPr>
          <w:bCs/>
        </w:rPr>
      </w:pPr>
      <w:r>
        <w:rPr>
          <w:bCs/>
        </w:rPr>
        <w:t>In these cases, the action taken by the Members will depend on the circumstances under which the disclosure was made.</w:t>
      </w:r>
    </w:p>
    <w:p w14:paraId="5B2C12FF" w14:textId="664C675D" w:rsidR="00146BD9" w:rsidRPr="00146BD9" w:rsidRDefault="00146BD9" w:rsidP="00146BD9">
      <w:pPr>
        <w:spacing w:line="240" w:lineRule="auto"/>
        <w:rPr>
          <w:bCs/>
        </w:rPr>
      </w:pPr>
      <w:r w:rsidRPr="00146BD9">
        <w:rPr>
          <w:bCs/>
        </w:rPr>
        <w:t xml:space="preserve">The circumstances under which a Member becomes a recipient of a PID are varied.  However, the PID Act clearly envisages five specific circumstances where a Member could become a recipient of a PID.  </w:t>
      </w:r>
    </w:p>
    <w:p w14:paraId="21C43FE5" w14:textId="79F77776" w:rsidR="00146BD9" w:rsidRPr="00146BD9" w:rsidRDefault="00146BD9" w:rsidP="00146BD9">
      <w:pPr>
        <w:spacing w:line="240" w:lineRule="auto"/>
        <w:rPr>
          <w:bCs/>
        </w:rPr>
      </w:pPr>
      <w:r w:rsidRPr="00146BD9">
        <w:rPr>
          <w:bCs/>
        </w:rPr>
        <w:t xml:space="preserve">The </w:t>
      </w:r>
      <w:r>
        <w:rPr>
          <w:bCs/>
        </w:rPr>
        <w:t xml:space="preserve">five specific circumstances </w:t>
      </w:r>
      <w:r w:rsidRPr="00146BD9">
        <w:rPr>
          <w:bCs/>
        </w:rPr>
        <w:t xml:space="preserve">set out in section </w:t>
      </w:r>
      <w:r>
        <w:rPr>
          <w:bCs/>
        </w:rPr>
        <w:t xml:space="preserve">27 of the PID Act, </w:t>
      </w:r>
      <w:r w:rsidRPr="00146BD9">
        <w:rPr>
          <w:bCs/>
        </w:rPr>
        <w:t>are summarised as follows:</w:t>
      </w:r>
    </w:p>
    <w:p w14:paraId="00D3F562" w14:textId="17C8452F" w:rsidR="00146BD9" w:rsidRPr="00146BD9" w:rsidRDefault="00146BD9" w:rsidP="00F574A1">
      <w:pPr>
        <w:spacing w:line="240" w:lineRule="auto"/>
        <w:ind w:left="720"/>
        <w:rPr>
          <w:bCs/>
        </w:rPr>
      </w:pPr>
      <w:r w:rsidRPr="00146BD9">
        <w:rPr>
          <w:bCs/>
        </w:rPr>
        <w:t xml:space="preserve">Where the discloser has already made a PID to one of those persons specified in section 15 </w:t>
      </w:r>
      <w:r>
        <w:rPr>
          <w:bCs/>
        </w:rPr>
        <w:t xml:space="preserve">of the Act </w:t>
      </w:r>
      <w:r w:rsidRPr="00146BD9">
        <w:rPr>
          <w:bCs/>
        </w:rPr>
        <w:t>and –</w:t>
      </w:r>
    </w:p>
    <w:p w14:paraId="5E796520" w14:textId="77777777" w:rsidR="00146BD9" w:rsidRPr="00146BD9" w:rsidRDefault="00146BD9" w:rsidP="00146BD9">
      <w:pPr>
        <w:numPr>
          <w:ilvl w:val="1"/>
          <w:numId w:val="29"/>
        </w:numPr>
        <w:spacing w:line="240" w:lineRule="auto"/>
        <w:rPr>
          <w:bCs/>
        </w:rPr>
      </w:pPr>
      <w:r w:rsidRPr="00146BD9">
        <w:rPr>
          <w:bCs/>
        </w:rPr>
        <w:t>the investigating entity has refused or failed to investigate the disclosure;</w:t>
      </w:r>
    </w:p>
    <w:p w14:paraId="72296320" w14:textId="77777777" w:rsidR="00146BD9" w:rsidRPr="00146BD9" w:rsidRDefault="00146BD9" w:rsidP="00146BD9">
      <w:pPr>
        <w:numPr>
          <w:ilvl w:val="1"/>
          <w:numId w:val="29"/>
        </w:numPr>
        <w:spacing w:line="240" w:lineRule="auto"/>
        <w:rPr>
          <w:bCs/>
        </w:rPr>
      </w:pPr>
      <w:r w:rsidRPr="00146BD9">
        <w:rPr>
          <w:bCs/>
        </w:rPr>
        <w:t>the discloser has not been told within three months after the day the PID is made whether or not the PID will be investigated or dealt with;</w:t>
      </w:r>
    </w:p>
    <w:p w14:paraId="38CCBA83" w14:textId="77777777" w:rsidR="00146BD9" w:rsidRPr="00146BD9" w:rsidRDefault="00146BD9" w:rsidP="00146BD9">
      <w:pPr>
        <w:numPr>
          <w:ilvl w:val="1"/>
          <w:numId w:val="29"/>
        </w:numPr>
        <w:spacing w:line="240" w:lineRule="auto"/>
        <w:rPr>
          <w:bCs/>
        </w:rPr>
      </w:pPr>
      <w:r w:rsidRPr="00146BD9">
        <w:rPr>
          <w:bCs/>
        </w:rPr>
        <w:t>the discloser has been told the disclosure will be investigated but has not been told about the progress of the investigation for more than three months;</w:t>
      </w:r>
    </w:p>
    <w:p w14:paraId="211BFF0B" w14:textId="77777777" w:rsidR="00146BD9" w:rsidRPr="00146BD9" w:rsidRDefault="00146BD9" w:rsidP="00146BD9">
      <w:pPr>
        <w:numPr>
          <w:ilvl w:val="1"/>
          <w:numId w:val="29"/>
        </w:numPr>
        <w:spacing w:line="240" w:lineRule="auto"/>
        <w:rPr>
          <w:bCs/>
        </w:rPr>
      </w:pPr>
      <w:r w:rsidRPr="00146BD9">
        <w:rPr>
          <w:bCs/>
        </w:rPr>
        <w:t>the disclosure has been investigated, there is clear evidence that one or more instances of disclosable conduct mentioned in the disclosure has occurred or likely to have occurred and the investigating entity told the discloser that no action will be taken in relation to the disclosable conduct;</w:t>
      </w:r>
    </w:p>
    <w:p w14:paraId="4A141F77" w14:textId="77777777" w:rsidR="00146BD9" w:rsidRPr="00146BD9" w:rsidRDefault="00146BD9" w:rsidP="00146BD9">
      <w:pPr>
        <w:numPr>
          <w:ilvl w:val="1"/>
          <w:numId w:val="29"/>
        </w:numPr>
        <w:spacing w:line="240" w:lineRule="auto"/>
        <w:rPr>
          <w:bCs/>
        </w:rPr>
      </w:pPr>
      <w:r w:rsidRPr="00146BD9">
        <w:rPr>
          <w:bCs/>
        </w:rPr>
        <w:t>the discloser honestly believes on reasonable grounds that:</w:t>
      </w:r>
    </w:p>
    <w:p w14:paraId="0107E33D" w14:textId="77777777" w:rsidR="00146BD9" w:rsidRPr="00146BD9" w:rsidRDefault="00146BD9" w:rsidP="00146BD9">
      <w:pPr>
        <w:numPr>
          <w:ilvl w:val="2"/>
          <w:numId w:val="29"/>
        </w:numPr>
        <w:spacing w:line="240" w:lineRule="auto"/>
        <w:rPr>
          <w:bCs/>
        </w:rPr>
      </w:pPr>
      <w:r w:rsidRPr="00146BD9">
        <w:rPr>
          <w:bCs/>
        </w:rPr>
        <w:t>he/she has information that tends to show disclosable conduct; and</w:t>
      </w:r>
    </w:p>
    <w:p w14:paraId="26A547D2" w14:textId="77777777" w:rsidR="00146BD9" w:rsidRPr="00146BD9" w:rsidRDefault="00146BD9" w:rsidP="00146BD9">
      <w:pPr>
        <w:numPr>
          <w:ilvl w:val="2"/>
          <w:numId w:val="29"/>
        </w:numPr>
        <w:spacing w:line="240" w:lineRule="auto"/>
        <w:rPr>
          <w:bCs/>
        </w:rPr>
      </w:pPr>
      <w:r w:rsidRPr="00146BD9">
        <w:rPr>
          <w:bCs/>
        </w:rPr>
        <w:t xml:space="preserve">there is significant risk of detrimental action to the discloser or someone else to make a disclosure to a person mentioned in section 15; and </w:t>
      </w:r>
    </w:p>
    <w:p w14:paraId="69AECC66" w14:textId="3235C8FC" w:rsidR="00146BD9" w:rsidRPr="00146BD9" w:rsidRDefault="00146BD9" w:rsidP="00F574A1">
      <w:pPr>
        <w:numPr>
          <w:ilvl w:val="2"/>
          <w:numId w:val="29"/>
        </w:numPr>
        <w:spacing w:line="240" w:lineRule="auto"/>
        <w:rPr>
          <w:bCs/>
        </w:rPr>
      </w:pPr>
      <w:r w:rsidRPr="00146BD9">
        <w:rPr>
          <w:bCs/>
        </w:rPr>
        <w:t>it would be unreasonable in all the circumstances for the discloser to make a disclosure to a person mentioned in section 15.</w:t>
      </w:r>
    </w:p>
    <w:p w14:paraId="75B756DA" w14:textId="231476CC" w:rsidR="00E41837" w:rsidRPr="00E41837" w:rsidRDefault="00E41837" w:rsidP="00E41837">
      <w:pPr>
        <w:spacing w:line="240" w:lineRule="auto"/>
        <w:rPr>
          <w:bCs/>
        </w:rPr>
      </w:pPr>
      <w:r w:rsidRPr="00E41837">
        <w:rPr>
          <w:bCs/>
        </w:rPr>
        <w:t xml:space="preserve">In addition, there may be instances where the above circumstances do not </w:t>
      </w:r>
      <w:r w:rsidR="009D4C17" w:rsidRPr="00E41837">
        <w:rPr>
          <w:bCs/>
        </w:rPr>
        <w:t>apply,</w:t>
      </w:r>
      <w:r w:rsidRPr="00E41837">
        <w:rPr>
          <w:bCs/>
        </w:rPr>
        <w:t xml:space="preserve"> and the discloser simply prefers to make the</w:t>
      </w:r>
      <w:r w:rsidR="007304FB">
        <w:rPr>
          <w:bCs/>
        </w:rPr>
        <w:t xml:space="preserve"> disclosure directly to </w:t>
      </w:r>
      <w:r w:rsidRPr="00E41837">
        <w:rPr>
          <w:bCs/>
        </w:rPr>
        <w:t xml:space="preserve">a Member of the Legislative Assembly. </w:t>
      </w:r>
    </w:p>
    <w:p w14:paraId="31C833C6" w14:textId="1ECCEC02" w:rsidR="00E41837" w:rsidRPr="00E41837" w:rsidRDefault="00E41837" w:rsidP="00E41837">
      <w:pPr>
        <w:spacing w:line="240" w:lineRule="auto"/>
        <w:rPr>
          <w:bCs/>
        </w:rPr>
      </w:pPr>
      <w:r w:rsidRPr="00E41837">
        <w:rPr>
          <w:bCs/>
        </w:rPr>
        <w:t>The PID Act does not provide specific guidance as to how a PID is to be managed from the time a Member becomes a recipient of the disclosure.  How the PID should be managed from there onwards would depend on the particular circumstances under which the discloser made the PID.  Members, of course retain the prerogative to use information they receive from any person within the proceedings of the Assembly.</w:t>
      </w:r>
    </w:p>
    <w:p w14:paraId="381DEB2A" w14:textId="4B5AD3B5" w:rsidR="00E41837" w:rsidRPr="00E41837" w:rsidRDefault="00E41837" w:rsidP="00E41837">
      <w:pPr>
        <w:spacing w:line="240" w:lineRule="auto"/>
        <w:rPr>
          <w:bCs/>
        </w:rPr>
      </w:pPr>
      <w:r w:rsidRPr="00E41837">
        <w:rPr>
          <w:bCs/>
        </w:rPr>
        <w:t>If the disclosure received under circumstances listed in s</w:t>
      </w:r>
      <w:r w:rsidR="00146BD9">
        <w:rPr>
          <w:bCs/>
        </w:rPr>
        <w:t xml:space="preserve">ection </w:t>
      </w:r>
      <w:r w:rsidRPr="00E41837">
        <w:rPr>
          <w:bCs/>
        </w:rPr>
        <w:t>27 of the PID Act, then the following options are also available.</w:t>
      </w:r>
    </w:p>
    <w:p w14:paraId="788D5B56" w14:textId="3E9E9346" w:rsidR="00E41837" w:rsidRPr="00E41837" w:rsidRDefault="00E41837" w:rsidP="00E41837">
      <w:pPr>
        <w:spacing w:line="240" w:lineRule="auto"/>
        <w:rPr>
          <w:bCs/>
        </w:rPr>
      </w:pPr>
      <w:r w:rsidRPr="00E41837">
        <w:rPr>
          <w:bCs/>
        </w:rPr>
        <w:t>If the disclosure is received under paragraphs (a) or (d) above, where the investigating entity has refused or faile</w:t>
      </w:r>
      <w:r w:rsidR="007304FB">
        <w:rPr>
          <w:bCs/>
        </w:rPr>
        <w:t xml:space="preserve">d to investigate the disclosure, </w:t>
      </w:r>
      <w:r w:rsidRPr="00E41837">
        <w:rPr>
          <w:bCs/>
        </w:rPr>
        <w:t>or failed to take action in relation to the disclosable conduct, then the mat</w:t>
      </w:r>
      <w:r>
        <w:rPr>
          <w:bCs/>
        </w:rPr>
        <w:t>ter may be referred to Public Sector Standards Commissioner</w:t>
      </w:r>
      <w:r w:rsidRPr="00E41837">
        <w:rPr>
          <w:bCs/>
        </w:rPr>
        <w:t xml:space="preserve">. </w:t>
      </w:r>
      <w:r>
        <w:rPr>
          <w:bCs/>
        </w:rPr>
        <w:t xml:space="preserve"> </w:t>
      </w:r>
      <w:r w:rsidRPr="00E41837">
        <w:rPr>
          <w:bCs/>
        </w:rPr>
        <w:t>Under the section 29 o</w:t>
      </w:r>
      <w:r>
        <w:rPr>
          <w:bCs/>
        </w:rPr>
        <w:t xml:space="preserve">f the PID Act, the Commissioner has </w:t>
      </w:r>
      <w:r w:rsidRPr="00E41837">
        <w:rPr>
          <w:bCs/>
        </w:rPr>
        <w:t>the function of reviewing a decision of an investigating entity</w:t>
      </w:r>
      <w:r>
        <w:rPr>
          <w:bCs/>
        </w:rPr>
        <w:t>.</w:t>
      </w:r>
    </w:p>
    <w:p w14:paraId="3473E4F3" w14:textId="76789B7F" w:rsidR="00E41837" w:rsidRPr="00E41837" w:rsidRDefault="00E41837" w:rsidP="00E41837">
      <w:pPr>
        <w:spacing w:line="240" w:lineRule="auto"/>
        <w:rPr>
          <w:bCs/>
        </w:rPr>
      </w:pPr>
      <w:r w:rsidRPr="00E41837">
        <w:rPr>
          <w:bCs/>
        </w:rPr>
        <w:t xml:space="preserve">In circumstances where the investigating entity has failed to keep the discloser informed of the progress of the investigation, paragraphs (b) and (c) above, </w:t>
      </w:r>
      <w:r>
        <w:rPr>
          <w:bCs/>
        </w:rPr>
        <w:t>the Public Sector Standards Commissioner also has</w:t>
      </w:r>
      <w:r w:rsidRPr="00E41837">
        <w:rPr>
          <w:bCs/>
        </w:rPr>
        <w:t xml:space="preserve"> the </w:t>
      </w:r>
      <w:r w:rsidRPr="00E41837">
        <w:rPr>
          <w:bCs/>
        </w:rPr>
        <w:lastRenderedPageBreak/>
        <w:t>function of monitoring the management of public interest disclosures by public</w:t>
      </w:r>
      <w:r>
        <w:rPr>
          <w:bCs/>
        </w:rPr>
        <w:t xml:space="preserve"> sector entities, so again referral to the </w:t>
      </w:r>
      <w:r w:rsidR="00146BD9">
        <w:rPr>
          <w:bCs/>
        </w:rPr>
        <w:t xml:space="preserve">Public Sector Standards </w:t>
      </w:r>
      <w:r>
        <w:rPr>
          <w:bCs/>
        </w:rPr>
        <w:t xml:space="preserve">Commissioner </w:t>
      </w:r>
      <w:r w:rsidRPr="00E41837">
        <w:rPr>
          <w:bCs/>
        </w:rPr>
        <w:t>is an option that is available.</w:t>
      </w:r>
    </w:p>
    <w:p w14:paraId="5D231DBC" w14:textId="0BF241B0" w:rsidR="00E41837" w:rsidRPr="00E41837" w:rsidRDefault="00E41837" w:rsidP="00E41837">
      <w:pPr>
        <w:spacing w:line="240" w:lineRule="auto"/>
        <w:rPr>
          <w:bCs/>
        </w:rPr>
      </w:pPr>
      <w:r w:rsidRPr="00E41837">
        <w:rPr>
          <w:bCs/>
        </w:rPr>
        <w:t>If the discloser made the PID under the circumstances set out in</w:t>
      </w:r>
      <w:r w:rsidR="00146BD9">
        <w:rPr>
          <w:bCs/>
        </w:rPr>
        <w:t xml:space="preserve"> </w:t>
      </w:r>
      <w:r w:rsidRPr="00E41837">
        <w:rPr>
          <w:bCs/>
        </w:rPr>
        <w:t>paragraph (e) above, where the disclosure is honestly and reasonably concerned about detrimental action from the entity to which the PID relates, the Member would want to ensure that any action taken by the Member to progress the investigation of the PID would not cause any detrimental harm to the discloser or anyone else.  Accordingly, a tailored approach might have to be undertak</w:t>
      </w:r>
      <w:r>
        <w:rPr>
          <w:bCs/>
        </w:rPr>
        <w:t xml:space="preserve">en.  In this context, the Public Sector Standards Commissioner </w:t>
      </w:r>
      <w:r w:rsidRPr="00E41837">
        <w:rPr>
          <w:bCs/>
        </w:rPr>
        <w:t>is available for consultation, and should be informed of steps taken in dealing with the disclosure.</w:t>
      </w:r>
    </w:p>
    <w:p w14:paraId="27389EDF" w14:textId="77777777" w:rsidR="00E41837" w:rsidRPr="00E41837" w:rsidRDefault="00E41837" w:rsidP="00E41837">
      <w:pPr>
        <w:spacing w:line="240" w:lineRule="auto"/>
        <w:rPr>
          <w:bCs/>
        </w:rPr>
      </w:pPr>
      <w:r w:rsidRPr="00E41837">
        <w:rPr>
          <w:bCs/>
        </w:rPr>
        <w:t>In the normal course where none of the specific circumstances listed in s.27 apply, Members of the Assembly who receive correspondence intended as PIDs, or information considered to be possible disclosures under the PID Act, should comply with provisions of the Act specific to receiving officers and provide that correspondence to a disclosure officer within the entity for which the matter relates.</w:t>
      </w:r>
    </w:p>
    <w:p w14:paraId="710026FB" w14:textId="52C9A365" w:rsidR="00E41837" w:rsidRDefault="00E41837" w:rsidP="00E41837">
      <w:pPr>
        <w:spacing w:line="240" w:lineRule="auto"/>
        <w:rPr>
          <w:bCs/>
        </w:rPr>
      </w:pPr>
      <w:r w:rsidRPr="00E41837">
        <w:rPr>
          <w:bCs/>
        </w:rPr>
        <w:t>If there is doubt whether the disclosure qualifies as a PID, the Member should assume that the disclosure is protected by the PID Act and manage the disclosure accordingly.</w:t>
      </w:r>
    </w:p>
    <w:p w14:paraId="2DE46D56" w14:textId="77777777" w:rsidR="00E41837" w:rsidRDefault="00E41837" w:rsidP="00A84683">
      <w:pPr>
        <w:spacing w:line="240" w:lineRule="auto"/>
        <w:rPr>
          <w:bCs/>
        </w:rPr>
      </w:pPr>
    </w:p>
    <w:p w14:paraId="2F43435A" w14:textId="77777777" w:rsidR="00E41837" w:rsidRDefault="00E41837" w:rsidP="00A84683">
      <w:pPr>
        <w:spacing w:line="240" w:lineRule="auto"/>
        <w:rPr>
          <w:bCs/>
        </w:rPr>
      </w:pPr>
    </w:p>
    <w:p w14:paraId="427B95A2" w14:textId="77777777" w:rsidR="00E41837" w:rsidRDefault="00E41837" w:rsidP="00A84683">
      <w:pPr>
        <w:spacing w:line="240" w:lineRule="auto"/>
        <w:rPr>
          <w:bCs/>
        </w:rPr>
      </w:pPr>
    </w:p>
    <w:p w14:paraId="1A283BB3" w14:textId="77777777" w:rsidR="00E41837" w:rsidRDefault="00E41837" w:rsidP="00A84683">
      <w:pPr>
        <w:spacing w:line="240" w:lineRule="auto"/>
        <w:rPr>
          <w:bCs/>
        </w:rPr>
      </w:pPr>
    </w:p>
    <w:p w14:paraId="1486FF52" w14:textId="77777777" w:rsidR="00E41837" w:rsidRPr="00A447BB" w:rsidRDefault="00E41837" w:rsidP="00A84683">
      <w:pPr>
        <w:spacing w:line="240" w:lineRule="auto"/>
        <w:rPr>
          <w:bCs/>
        </w:rPr>
      </w:pPr>
    </w:p>
    <w:p w14:paraId="65579394" w14:textId="77777777" w:rsidR="00A92FE5" w:rsidRDefault="00A92FE5" w:rsidP="0060581C">
      <w:pPr>
        <w:spacing w:line="240" w:lineRule="auto"/>
        <w:rPr>
          <w:sz w:val="28"/>
          <w:szCs w:val="28"/>
        </w:rPr>
      </w:pPr>
    </w:p>
    <w:p w14:paraId="6BC5805C" w14:textId="77777777" w:rsidR="00A92FE5" w:rsidRDefault="00A92FE5" w:rsidP="0060581C">
      <w:pPr>
        <w:spacing w:line="240" w:lineRule="auto"/>
        <w:rPr>
          <w:sz w:val="28"/>
          <w:szCs w:val="28"/>
        </w:rPr>
      </w:pPr>
    </w:p>
    <w:p w14:paraId="12DA4355" w14:textId="77777777" w:rsidR="00A92FE5" w:rsidRDefault="00A92FE5" w:rsidP="0060581C">
      <w:pPr>
        <w:spacing w:line="240" w:lineRule="auto"/>
        <w:rPr>
          <w:sz w:val="28"/>
          <w:szCs w:val="28"/>
        </w:rPr>
      </w:pPr>
    </w:p>
    <w:p w14:paraId="5A55DBBC" w14:textId="77777777" w:rsidR="00A92FE5" w:rsidRPr="00851F46" w:rsidRDefault="00A92FE5" w:rsidP="0060581C">
      <w:pPr>
        <w:spacing w:line="240" w:lineRule="auto"/>
        <w:rPr>
          <w:sz w:val="28"/>
          <w:szCs w:val="28"/>
        </w:rPr>
      </w:pPr>
    </w:p>
    <w:p w14:paraId="2ADB9C8E" w14:textId="77777777" w:rsidR="00A92FE5" w:rsidRPr="004E7B8B" w:rsidRDefault="00A92FE5" w:rsidP="0060581C">
      <w:pPr>
        <w:spacing w:line="240" w:lineRule="auto"/>
      </w:pPr>
    </w:p>
    <w:p w14:paraId="4611C495" w14:textId="77777777" w:rsidR="004E7B8B" w:rsidRPr="004E7B8B" w:rsidRDefault="004E7B8B" w:rsidP="0060581C">
      <w:pPr>
        <w:spacing w:line="240" w:lineRule="auto"/>
        <w:sectPr w:rsidR="004E7B8B" w:rsidRPr="004E7B8B" w:rsidSect="00E87862">
          <w:footerReference w:type="default" r:id="rId16"/>
          <w:pgSz w:w="11910" w:h="16840"/>
          <w:pgMar w:top="1440" w:right="1080" w:bottom="1440" w:left="1080" w:header="0" w:footer="1076" w:gutter="0"/>
          <w:cols w:space="720"/>
          <w:noEndnote/>
        </w:sectPr>
      </w:pPr>
    </w:p>
    <w:p w14:paraId="32AF6F88" w14:textId="77777777" w:rsidR="004E7B8B" w:rsidRPr="007F7A18" w:rsidRDefault="004E7B8B" w:rsidP="0060581C">
      <w:pPr>
        <w:spacing w:line="240" w:lineRule="auto"/>
        <w:rPr>
          <w:b/>
          <w:bCs/>
          <w:sz w:val="28"/>
          <w:szCs w:val="28"/>
        </w:rPr>
      </w:pPr>
      <w:bookmarkStart w:id="36" w:name="_bookmark41"/>
      <w:bookmarkEnd w:id="36"/>
      <w:r w:rsidRPr="007F7A18">
        <w:rPr>
          <w:b/>
          <w:bCs/>
          <w:sz w:val="28"/>
          <w:szCs w:val="28"/>
        </w:rPr>
        <w:lastRenderedPageBreak/>
        <w:t>Glossary</w:t>
      </w:r>
    </w:p>
    <w:p w14:paraId="0F56815C" w14:textId="77777777" w:rsidR="004E7B8B" w:rsidRPr="004E7B8B" w:rsidRDefault="004E7B8B" w:rsidP="0060581C">
      <w:pPr>
        <w:spacing w:line="240" w:lineRule="auto"/>
        <w:rPr>
          <w:b/>
          <w:bCs/>
        </w:rPr>
      </w:pPr>
    </w:p>
    <w:tbl>
      <w:tblPr>
        <w:tblW w:w="0" w:type="auto"/>
        <w:tblInd w:w="-5" w:type="dxa"/>
        <w:tblLayout w:type="fixed"/>
        <w:tblCellMar>
          <w:left w:w="0" w:type="dxa"/>
          <w:right w:w="0" w:type="dxa"/>
        </w:tblCellMar>
        <w:tblLook w:val="0000" w:firstRow="0" w:lastRow="0" w:firstColumn="0" w:lastColumn="0" w:noHBand="0" w:noVBand="0"/>
      </w:tblPr>
      <w:tblGrid>
        <w:gridCol w:w="2110"/>
        <w:gridCol w:w="7574"/>
      </w:tblGrid>
      <w:tr w:rsidR="004E7B8B" w:rsidRPr="004E7B8B" w14:paraId="3CA657F5" w14:textId="77777777" w:rsidTr="00F574A1">
        <w:trPr>
          <w:trHeight w:val="461"/>
        </w:trPr>
        <w:tc>
          <w:tcPr>
            <w:tcW w:w="2110" w:type="dxa"/>
            <w:tcBorders>
              <w:top w:val="single" w:sz="4" w:space="0" w:color="000000"/>
              <w:left w:val="single" w:sz="4" w:space="0" w:color="000000"/>
              <w:bottom w:val="single" w:sz="4" w:space="0" w:color="000000"/>
              <w:right w:val="single" w:sz="4" w:space="0" w:color="000000"/>
            </w:tcBorders>
          </w:tcPr>
          <w:p w14:paraId="04AD6ECE" w14:textId="77777777" w:rsidR="004E7B8B" w:rsidRPr="004E7B8B" w:rsidRDefault="004E7B8B" w:rsidP="0060581C">
            <w:pPr>
              <w:spacing w:line="240" w:lineRule="auto"/>
            </w:pPr>
            <w:r w:rsidRPr="004E7B8B">
              <w:t>Act</w:t>
            </w:r>
          </w:p>
        </w:tc>
        <w:tc>
          <w:tcPr>
            <w:tcW w:w="7574" w:type="dxa"/>
            <w:tcBorders>
              <w:top w:val="single" w:sz="4" w:space="0" w:color="000000"/>
              <w:left w:val="single" w:sz="4" w:space="0" w:color="000000"/>
              <w:bottom w:val="single" w:sz="4" w:space="0" w:color="000000"/>
              <w:right w:val="single" w:sz="4" w:space="0" w:color="000000"/>
            </w:tcBorders>
          </w:tcPr>
          <w:p w14:paraId="0C809A26" w14:textId="77777777" w:rsidR="004E7B8B" w:rsidRPr="004E7B8B" w:rsidRDefault="004E7B8B" w:rsidP="0060581C">
            <w:pPr>
              <w:spacing w:line="240" w:lineRule="auto"/>
              <w:rPr>
                <w:i/>
                <w:iCs/>
              </w:rPr>
            </w:pPr>
            <w:r w:rsidRPr="004E7B8B">
              <w:rPr>
                <w:i/>
                <w:iCs/>
              </w:rPr>
              <w:t>Public Interest Disclosure Act 2012</w:t>
            </w:r>
          </w:p>
        </w:tc>
      </w:tr>
      <w:tr w:rsidR="004E7B8B" w:rsidRPr="004E7B8B" w14:paraId="67A401D4" w14:textId="77777777" w:rsidTr="00F574A1">
        <w:trPr>
          <w:trHeight w:val="1022"/>
        </w:trPr>
        <w:tc>
          <w:tcPr>
            <w:tcW w:w="2110" w:type="dxa"/>
            <w:tcBorders>
              <w:top w:val="single" w:sz="4" w:space="0" w:color="000000"/>
              <w:left w:val="single" w:sz="4" w:space="0" w:color="000000"/>
              <w:bottom w:val="single" w:sz="4" w:space="0" w:color="000000"/>
              <w:right w:val="single" w:sz="4" w:space="0" w:color="000000"/>
            </w:tcBorders>
          </w:tcPr>
          <w:p w14:paraId="548915AA" w14:textId="77777777" w:rsidR="004E7B8B" w:rsidRPr="004E7B8B" w:rsidRDefault="004E7B8B" w:rsidP="0060581C">
            <w:pPr>
              <w:spacing w:line="240" w:lineRule="auto"/>
            </w:pPr>
            <w:r w:rsidRPr="004E7B8B">
              <w:t>ACT Public Service (ACTPS)</w:t>
            </w:r>
          </w:p>
        </w:tc>
        <w:tc>
          <w:tcPr>
            <w:tcW w:w="7574" w:type="dxa"/>
            <w:tcBorders>
              <w:top w:val="single" w:sz="4" w:space="0" w:color="000000"/>
              <w:left w:val="single" w:sz="4" w:space="0" w:color="000000"/>
              <w:bottom w:val="single" w:sz="4" w:space="0" w:color="000000"/>
              <w:right w:val="single" w:sz="4" w:space="0" w:color="000000"/>
            </w:tcBorders>
          </w:tcPr>
          <w:p w14:paraId="2A10F56C" w14:textId="77777777" w:rsidR="004E7B8B" w:rsidRPr="004E7B8B" w:rsidRDefault="004E7B8B" w:rsidP="0060581C">
            <w:pPr>
              <w:spacing w:line="240" w:lineRule="auto"/>
            </w:pPr>
            <w:r w:rsidRPr="004E7B8B">
              <w:t xml:space="preserve">the ACT Public Service is established under section 12(1) of the </w:t>
            </w:r>
            <w:r w:rsidRPr="004E7B8B">
              <w:rPr>
                <w:i/>
                <w:iCs/>
              </w:rPr>
              <w:t>Public Sector Management Act 1994</w:t>
            </w:r>
            <w:r w:rsidRPr="004E7B8B">
              <w:t>. The ACTPS is made up of the administrative units declared under the Administrative Arrangements.</w:t>
            </w:r>
          </w:p>
        </w:tc>
      </w:tr>
      <w:tr w:rsidR="004E7B8B" w:rsidRPr="004E7B8B" w14:paraId="5A65649C" w14:textId="77777777" w:rsidTr="00F574A1">
        <w:trPr>
          <w:trHeight w:val="5954"/>
        </w:trPr>
        <w:tc>
          <w:tcPr>
            <w:tcW w:w="2110" w:type="dxa"/>
            <w:tcBorders>
              <w:top w:val="single" w:sz="4" w:space="0" w:color="000000"/>
              <w:left w:val="single" w:sz="4" w:space="0" w:color="000000"/>
              <w:bottom w:val="single" w:sz="4" w:space="0" w:color="000000"/>
              <w:right w:val="single" w:sz="4" w:space="0" w:color="000000"/>
            </w:tcBorders>
          </w:tcPr>
          <w:p w14:paraId="19E71ACD" w14:textId="7F7E2C76" w:rsidR="004E7B8B" w:rsidRPr="004E7B8B" w:rsidRDefault="00470C3E" w:rsidP="0060581C">
            <w:pPr>
              <w:spacing w:line="240" w:lineRule="auto"/>
              <w:rPr>
                <w:vertAlign w:val="superscript"/>
              </w:rPr>
            </w:pPr>
            <w:r>
              <w:t>ACT Public S</w:t>
            </w:r>
            <w:r w:rsidR="004E7B8B" w:rsidRPr="004E7B8B">
              <w:t>ector entity (entity)</w:t>
            </w:r>
          </w:p>
        </w:tc>
        <w:tc>
          <w:tcPr>
            <w:tcW w:w="7574" w:type="dxa"/>
            <w:tcBorders>
              <w:top w:val="single" w:sz="4" w:space="0" w:color="000000"/>
              <w:left w:val="single" w:sz="4" w:space="0" w:color="000000"/>
              <w:bottom w:val="single" w:sz="4" w:space="0" w:color="000000"/>
              <w:right w:val="single" w:sz="4" w:space="0" w:color="000000"/>
            </w:tcBorders>
          </w:tcPr>
          <w:p w14:paraId="4B1ECFAB" w14:textId="52191411" w:rsidR="004E7B8B" w:rsidRPr="004E7B8B" w:rsidRDefault="004E7B8B" w:rsidP="0060581C">
            <w:pPr>
              <w:spacing w:line="240" w:lineRule="auto"/>
            </w:pPr>
            <w:r w:rsidRPr="004E7B8B">
              <w:rPr>
                <w:i/>
                <w:iCs/>
              </w:rPr>
              <w:t xml:space="preserve">administrative units </w:t>
            </w:r>
            <w:r w:rsidRPr="004E7B8B">
              <w:t>(</w:t>
            </w:r>
            <w:proofErr w:type="spellStart"/>
            <w:r w:rsidRPr="004E7B8B">
              <w:t>eg.</w:t>
            </w:r>
            <w:proofErr w:type="spellEnd"/>
            <w:r w:rsidRPr="004E7B8B">
              <w:t xml:space="preserve"> Chief Minister, Treasury and Economic Development Directorate, Justice and Community Safety Directorate, ACT Health</w:t>
            </w:r>
            <w:r w:rsidR="00A85B03">
              <w:t xml:space="preserve"> Directorate</w:t>
            </w:r>
            <w:r w:rsidRPr="004E7B8B">
              <w:t>, etc.);</w:t>
            </w:r>
          </w:p>
          <w:p w14:paraId="7811A29E" w14:textId="77777777" w:rsidR="004E7B8B" w:rsidRPr="004E7B8B" w:rsidRDefault="004E7B8B" w:rsidP="0060581C">
            <w:pPr>
              <w:spacing w:line="240" w:lineRule="auto"/>
            </w:pPr>
            <w:r w:rsidRPr="004E7B8B">
              <w:rPr>
                <w:i/>
                <w:iCs/>
              </w:rPr>
              <w:t xml:space="preserve">territory authorities </w:t>
            </w:r>
            <w:r w:rsidRPr="004E7B8B">
              <w:t xml:space="preserve">(bodies established for a public purpose under an Act, </w:t>
            </w:r>
            <w:proofErr w:type="spellStart"/>
            <w:r w:rsidRPr="004E7B8B">
              <w:t>eg.</w:t>
            </w:r>
            <w:proofErr w:type="spellEnd"/>
            <w:r w:rsidRPr="004E7B8B">
              <w:t xml:space="preserve"> Canberra Institute of Technolo</w:t>
            </w:r>
            <w:r w:rsidR="00A05C79">
              <w:t xml:space="preserve">gy, </w:t>
            </w:r>
            <w:r w:rsidRPr="004E7B8B">
              <w:t xml:space="preserve"> ACT Insurance Authority, Teacher Quality Institute, Cemeteries Authority, etc);</w:t>
            </w:r>
          </w:p>
          <w:p w14:paraId="57987CE3" w14:textId="77777777" w:rsidR="004E7B8B" w:rsidRPr="004E7B8B" w:rsidRDefault="004E7B8B" w:rsidP="0060581C">
            <w:pPr>
              <w:spacing w:line="240" w:lineRule="auto"/>
            </w:pPr>
            <w:r w:rsidRPr="004E7B8B">
              <w:rPr>
                <w:i/>
                <w:iCs/>
              </w:rPr>
              <w:t xml:space="preserve">territory‐owned corporations </w:t>
            </w:r>
            <w:r w:rsidRPr="004E7B8B">
              <w:t>or their subsidiaries (corporations established under the</w:t>
            </w:r>
            <w:r w:rsidR="00A05C79">
              <w:t xml:space="preserve"> </w:t>
            </w:r>
            <w:r w:rsidRPr="004E7B8B">
              <w:rPr>
                <w:i/>
                <w:iCs/>
              </w:rPr>
              <w:t xml:space="preserve">Territory‐Owned Corporations Act 1990 </w:t>
            </w:r>
            <w:proofErr w:type="spellStart"/>
            <w:r w:rsidRPr="004E7B8B">
              <w:t>eg.</w:t>
            </w:r>
            <w:proofErr w:type="spellEnd"/>
            <w:r w:rsidRPr="004E7B8B">
              <w:t xml:space="preserve"> </w:t>
            </w:r>
            <w:r w:rsidR="00A05C79">
              <w:t>Icon Water Limited)</w:t>
            </w:r>
            <w:r w:rsidRPr="004E7B8B">
              <w:t>;</w:t>
            </w:r>
          </w:p>
          <w:p w14:paraId="0FFBE31D" w14:textId="66C531E7" w:rsidR="004E7B8B" w:rsidRPr="004E7B8B" w:rsidRDefault="004E7B8B" w:rsidP="0060581C">
            <w:pPr>
              <w:spacing w:line="240" w:lineRule="auto"/>
            </w:pPr>
            <w:r w:rsidRPr="004E7B8B">
              <w:rPr>
                <w:i/>
                <w:iCs/>
              </w:rPr>
              <w:t xml:space="preserve">territory instrumentalities </w:t>
            </w:r>
            <w:r w:rsidRPr="004E7B8B">
              <w:t xml:space="preserve">(corporations established under the </w:t>
            </w:r>
            <w:r w:rsidRPr="004E7B8B">
              <w:rPr>
                <w:i/>
                <w:iCs/>
              </w:rPr>
              <w:t xml:space="preserve">Corporations Act </w:t>
            </w:r>
            <w:r w:rsidRPr="004E7B8B">
              <w:t xml:space="preserve">or another Act or statutory instrument </w:t>
            </w:r>
            <w:r w:rsidR="005610D3">
              <w:t xml:space="preserve">that are subject to control or direction by a Minister; or composed of people </w:t>
            </w:r>
            <w:r w:rsidRPr="004E7B8B">
              <w:t xml:space="preserve">whose majority </w:t>
            </w:r>
            <w:r w:rsidR="005610D3">
              <w:t xml:space="preserve"> </w:t>
            </w:r>
            <w:r w:rsidRPr="004E7B8B">
              <w:t xml:space="preserve">are </w:t>
            </w:r>
            <w:r w:rsidR="005610D3">
              <w:t xml:space="preserve">appointed by a Minister or the Head of Service or a director-general or a statutory office-holder </w:t>
            </w:r>
            <w:proofErr w:type="spellStart"/>
            <w:r w:rsidRPr="004E7B8B">
              <w:t>eg.</w:t>
            </w:r>
            <w:proofErr w:type="spellEnd"/>
            <w:r w:rsidRPr="004E7B8B">
              <w:t xml:space="preserve"> Board of Senior Secondary Studies);</w:t>
            </w:r>
          </w:p>
          <w:p w14:paraId="4D44906C" w14:textId="2723A8BE" w:rsidR="004E7B8B" w:rsidRPr="004E7B8B" w:rsidRDefault="004E7B8B" w:rsidP="003E0320">
            <w:pPr>
              <w:spacing w:line="240" w:lineRule="auto"/>
            </w:pPr>
            <w:r w:rsidRPr="004E7B8B">
              <w:rPr>
                <w:i/>
                <w:iCs/>
              </w:rPr>
              <w:t xml:space="preserve">statutory office holders </w:t>
            </w:r>
            <w:r w:rsidRPr="004E7B8B">
              <w:t>(</w:t>
            </w:r>
            <w:proofErr w:type="spellStart"/>
            <w:r w:rsidRPr="004E7B8B">
              <w:t>eg.</w:t>
            </w:r>
            <w:proofErr w:type="spellEnd"/>
            <w:r w:rsidRPr="004E7B8B">
              <w:t xml:space="preserve"> ACT Ombudsman, Auditor‐General, Commissioner for Revenue, Director of Public Prosecutions, Registrar‐General, Human Rights Commissioner, Public Trustee</w:t>
            </w:r>
            <w:r w:rsidR="00A85B03">
              <w:t xml:space="preserve"> and Guardian</w:t>
            </w:r>
            <w:r w:rsidRPr="004E7B8B">
              <w:t>, Electoral Commissioner, Work Safety Commissioner, Conservator of Flora and Fauna</w:t>
            </w:r>
            <w:r w:rsidR="003E0320">
              <w:t>,</w:t>
            </w:r>
            <w:r w:rsidRPr="004E7B8B">
              <w:t xml:space="preserve"> </w:t>
            </w:r>
            <w:r w:rsidR="003E0320">
              <w:t>the Clerk of the</w:t>
            </w:r>
            <w:r w:rsidR="003E0320" w:rsidRPr="004E7B8B">
              <w:t xml:space="preserve"> Legislative Assembly </w:t>
            </w:r>
            <w:r w:rsidRPr="004E7B8B">
              <w:t>etc.</w:t>
            </w:r>
          </w:p>
        </w:tc>
      </w:tr>
      <w:tr w:rsidR="004E7B8B" w:rsidRPr="004E7B8B" w14:paraId="12501046" w14:textId="77777777" w:rsidTr="00F574A1">
        <w:trPr>
          <w:trHeight w:val="741"/>
        </w:trPr>
        <w:tc>
          <w:tcPr>
            <w:tcW w:w="2110" w:type="dxa"/>
            <w:tcBorders>
              <w:top w:val="single" w:sz="4" w:space="0" w:color="000000"/>
              <w:left w:val="single" w:sz="4" w:space="0" w:color="000000"/>
              <w:bottom w:val="single" w:sz="4" w:space="0" w:color="000000"/>
              <w:right w:val="single" w:sz="4" w:space="0" w:color="000000"/>
            </w:tcBorders>
          </w:tcPr>
          <w:p w14:paraId="7ED1ABA8" w14:textId="77777777" w:rsidR="004E7B8B" w:rsidRPr="004E7B8B" w:rsidRDefault="004E7B8B" w:rsidP="0060581C">
            <w:pPr>
              <w:spacing w:line="240" w:lineRule="auto"/>
            </w:pPr>
            <w:r w:rsidRPr="004E7B8B">
              <w:t>Commissioner</w:t>
            </w:r>
          </w:p>
        </w:tc>
        <w:tc>
          <w:tcPr>
            <w:tcW w:w="7574" w:type="dxa"/>
            <w:tcBorders>
              <w:top w:val="single" w:sz="4" w:space="0" w:color="000000"/>
              <w:left w:val="single" w:sz="4" w:space="0" w:color="000000"/>
              <w:bottom w:val="single" w:sz="4" w:space="0" w:color="000000"/>
              <w:right w:val="single" w:sz="4" w:space="0" w:color="000000"/>
            </w:tcBorders>
          </w:tcPr>
          <w:p w14:paraId="4CB336F4" w14:textId="77777777" w:rsidR="004E7B8B" w:rsidRPr="004E7B8B" w:rsidRDefault="004E7B8B" w:rsidP="0060581C">
            <w:pPr>
              <w:spacing w:line="240" w:lineRule="auto"/>
              <w:rPr>
                <w:i/>
                <w:iCs/>
              </w:rPr>
            </w:pPr>
            <w:r w:rsidRPr="004E7B8B">
              <w:t xml:space="preserve">Public Sector Standards Commissioner established under the </w:t>
            </w:r>
            <w:r w:rsidRPr="004E7B8B">
              <w:rPr>
                <w:i/>
                <w:iCs/>
              </w:rPr>
              <w:t>Public Sector Management Act 1994.</w:t>
            </w:r>
          </w:p>
        </w:tc>
      </w:tr>
      <w:tr w:rsidR="004E7B8B" w:rsidRPr="004E7B8B" w14:paraId="50BF1317" w14:textId="77777777" w:rsidTr="00F574A1">
        <w:trPr>
          <w:trHeight w:val="460"/>
        </w:trPr>
        <w:tc>
          <w:tcPr>
            <w:tcW w:w="2110" w:type="dxa"/>
            <w:tcBorders>
              <w:top w:val="single" w:sz="4" w:space="0" w:color="000000"/>
              <w:left w:val="single" w:sz="4" w:space="0" w:color="000000"/>
              <w:bottom w:val="single" w:sz="4" w:space="0" w:color="000000"/>
              <w:right w:val="single" w:sz="4" w:space="0" w:color="000000"/>
            </w:tcBorders>
          </w:tcPr>
          <w:p w14:paraId="248D1AE8" w14:textId="77777777" w:rsidR="004E7B8B" w:rsidRPr="004E7B8B" w:rsidRDefault="004E7B8B" w:rsidP="0060581C">
            <w:pPr>
              <w:spacing w:line="240" w:lineRule="auto"/>
            </w:pPr>
            <w:r w:rsidRPr="004E7B8B">
              <w:t>Disclosure officer</w:t>
            </w:r>
          </w:p>
        </w:tc>
        <w:tc>
          <w:tcPr>
            <w:tcW w:w="7574" w:type="dxa"/>
            <w:tcBorders>
              <w:top w:val="single" w:sz="4" w:space="0" w:color="000000"/>
              <w:left w:val="single" w:sz="4" w:space="0" w:color="000000"/>
              <w:bottom w:val="single" w:sz="4" w:space="0" w:color="000000"/>
              <w:right w:val="single" w:sz="4" w:space="0" w:color="000000"/>
            </w:tcBorders>
          </w:tcPr>
          <w:p w14:paraId="544E0913" w14:textId="77777777" w:rsidR="004E7B8B" w:rsidRPr="004E7B8B" w:rsidRDefault="004E7B8B" w:rsidP="0060581C">
            <w:pPr>
              <w:spacing w:line="240" w:lineRule="auto"/>
            </w:pPr>
            <w:r w:rsidRPr="004E7B8B">
              <w:t>officer designated by respective head of entity to be a decision‐maker in relation to PIDs</w:t>
            </w:r>
          </w:p>
        </w:tc>
      </w:tr>
      <w:tr w:rsidR="004E7B8B" w:rsidRPr="004E7B8B" w14:paraId="68DCDC52" w14:textId="77777777" w:rsidTr="00F574A1">
        <w:trPr>
          <w:trHeight w:val="1032"/>
        </w:trPr>
        <w:tc>
          <w:tcPr>
            <w:tcW w:w="2110" w:type="dxa"/>
            <w:tcBorders>
              <w:top w:val="single" w:sz="4" w:space="0" w:color="000000"/>
              <w:left w:val="single" w:sz="4" w:space="0" w:color="000000"/>
              <w:bottom w:val="single" w:sz="4" w:space="0" w:color="000000"/>
              <w:right w:val="single" w:sz="4" w:space="0" w:color="000000"/>
            </w:tcBorders>
          </w:tcPr>
          <w:p w14:paraId="4D4C367E" w14:textId="77777777" w:rsidR="004E7B8B" w:rsidRPr="004E7B8B" w:rsidRDefault="004E7B8B" w:rsidP="0060581C">
            <w:pPr>
              <w:spacing w:line="240" w:lineRule="auto"/>
            </w:pPr>
            <w:r w:rsidRPr="004E7B8B">
              <w:t>Detrimental action</w:t>
            </w:r>
          </w:p>
        </w:tc>
        <w:tc>
          <w:tcPr>
            <w:tcW w:w="7574" w:type="dxa"/>
            <w:tcBorders>
              <w:top w:val="single" w:sz="4" w:space="0" w:color="000000"/>
              <w:left w:val="single" w:sz="4" w:space="0" w:color="000000"/>
              <w:bottom w:val="single" w:sz="4" w:space="0" w:color="000000"/>
              <w:right w:val="single" w:sz="4" w:space="0" w:color="000000"/>
            </w:tcBorders>
          </w:tcPr>
          <w:p w14:paraId="7FD35124" w14:textId="77777777" w:rsidR="004E7B8B" w:rsidRPr="004E7B8B" w:rsidRDefault="004E7B8B" w:rsidP="0060581C">
            <w:pPr>
              <w:spacing w:after="0" w:line="240" w:lineRule="auto"/>
            </w:pPr>
            <w:r w:rsidRPr="004E7B8B">
              <w:t>discriminating against a person (including threats) by treating the person unfavourably in relation to reputation, career, profession, employment or trade; or</w:t>
            </w:r>
            <w:r w:rsidR="00F305D9">
              <w:t xml:space="preserve"> </w:t>
            </w:r>
            <w:r w:rsidRPr="004E7B8B">
              <w:t>harassing or intimidating a person; or injuring a person; or damaging a person’s property.</w:t>
            </w:r>
          </w:p>
        </w:tc>
      </w:tr>
    </w:tbl>
    <w:p w14:paraId="7BFD1492" w14:textId="77777777" w:rsidR="004E7B8B" w:rsidRPr="00375617" w:rsidRDefault="004E7B8B" w:rsidP="0060581C">
      <w:pPr>
        <w:spacing w:line="240" w:lineRule="auto"/>
        <w:rPr>
          <w:b/>
          <w:bCs/>
        </w:rPr>
        <w:sectPr w:rsidR="004E7B8B" w:rsidRPr="00375617" w:rsidSect="00FF3403">
          <w:pgSz w:w="11910" w:h="16840"/>
          <w:pgMar w:top="1440" w:right="1080" w:bottom="1440" w:left="1080" w:header="0" w:footer="1352" w:gutter="0"/>
          <w:cols w:space="720"/>
          <w:noEndnote/>
        </w:sectPr>
      </w:pPr>
    </w:p>
    <w:tbl>
      <w:tblPr>
        <w:tblW w:w="0" w:type="auto"/>
        <w:tblInd w:w="-5" w:type="dxa"/>
        <w:tblLayout w:type="fixed"/>
        <w:tblCellMar>
          <w:left w:w="0" w:type="dxa"/>
          <w:right w:w="0" w:type="dxa"/>
        </w:tblCellMar>
        <w:tblLook w:val="0000" w:firstRow="0" w:lastRow="0" w:firstColumn="0" w:lastColumn="0" w:noHBand="0" w:noVBand="0"/>
      </w:tblPr>
      <w:tblGrid>
        <w:gridCol w:w="2110"/>
        <w:gridCol w:w="7574"/>
      </w:tblGrid>
      <w:tr w:rsidR="004E7B8B" w:rsidRPr="004E7B8B" w14:paraId="574E6FA2" w14:textId="77777777" w:rsidTr="00F574A1">
        <w:trPr>
          <w:trHeight w:val="2867"/>
        </w:trPr>
        <w:tc>
          <w:tcPr>
            <w:tcW w:w="2110" w:type="dxa"/>
            <w:tcBorders>
              <w:top w:val="single" w:sz="4" w:space="0" w:color="000000"/>
              <w:left w:val="single" w:sz="4" w:space="0" w:color="000000"/>
              <w:bottom w:val="single" w:sz="4" w:space="0" w:color="000000"/>
              <w:right w:val="single" w:sz="4" w:space="0" w:color="000000"/>
            </w:tcBorders>
          </w:tcPr>
          <w:p w14:paraId="370B1CA0" w14:textId="77777777" w:rsidR="004E7B8B" w:rsidRPr="004E7B8B" w:rsidRDefault="00375617" w:rsidP="0060581C">
            <w:pPr>
              <w:spacing w:line="240" w:lineRule="auto"/>
            </w:pPr>
            <w:r>
              <w:lastRenderedPageBreak/>
              <w:t>Disclosable Conduct</w:t>
            </w:r>
          </w:p>
        </w:tc>
        <w:tc>
          <w:tcPr>
            <w:tcW w:w="7574" w:type="dxa"/>
            <w:tcBorders>
              <w:top w:val="single" w:sz="4" w:space="0" w:color="000000"/>
              <w:left w:val="single" w:sz="4" w:space="0" w:color="000000"/>
              <w:bottom w:val="single" w:sz="4" w:space="0" w:color="000000"/>
              <w:right w:val="single" w:sz="4" w:space="0" w:color="000000"/>
            </w:tcBorders>
          </w:tcPr>
          <w:p w14:paraId="4055FC11" w14:textId="77777777" w:rsidR="00BB5D25" w:rsidRDefault="0085090D" w:rsidP="0060581C">
            <w:pPr>
              <w:spacing w:line="240" w:lineRule="auto"/>
            </w:pPr>
            <w:r>
              <w:t xml:space="preserve">Per section 8 of the Act, </w:t>
            </w:r>
          </w:p>
          <w:p w14:paraId="3DB3FF21" w14:textId="77777777" w:rsidR="0085090D" w:rsidRDefault="00BB5D25" w:rsidP="0060581C">
            <w:pPr>
              <w:spacing w:line="240" w:lineRule="auto"/>
            </w:pPr>
            <w:r>
              <w:t xml:space="preserve">a) </w:t>
            </w:r>
            <w:r w:rsidR="0085090D">
              <w:t>conduct of a person that could, if proved—</w:t>
            </w:r>
          </w:p>
          <w:p w14:paraId="3D4F5E7E" w14:textId="77777777" w:rsidR="00BB5D25" w:rsidRDefault="0085090D" w:rsidP="0060581C">
            <w:pPr>
              <w:spacing w:line="240" w:lineRule="auto"/>
              <w:ind w:left="720"/>
            </w:pPr>
            <w:r>
              <w:t>(</w:t>
            </w:r>
            <w:proofErr w:type="spellStart"/>
            <w:r>
              <w:t>i</w:t>
            </w:r>
            <w:proofErr w:type="spellEnd"/>
            <w:r>
              <w:t>) be a criminal offence against a law in force in the ACT;</w:t>
            </w:r>
            <w:r w:rsidR="00A05C79">
              <w:t xml:space="preserve"> </w:t>
            </w:r>
            <w:r>
              <w:t>or</w:t>
            </w:r>
          </w:p>
          <w:p w14:paraId="28E8E8E2" w14:textId="1A40317C" w:rsidR="0085090D" w:rsidRDefault="0085090D" w:rsidP="0060581C">
            <w:pPr>
              <w:spacing w:line="240" w:lineRule="auto"/>
              <w:ind w:left="720"/>
            </w:pPr>
            <w:r>
              <w:t xml:space="preserve">(ii) give reasonable grounds for disciplinary action </w:t>
            </w:r>
            <w:r w:rsidR="004025A5">
              <w:t>(</w:t>
            </w:r>
            <w:proofErr w:type="spellStart"/>
            <w:r w:rsidR="004025A5">
              <w:t>ie</w:t>
            </w:r>
            <w:proofErr w:type="spellEnd"/>
            <w:r w:rsidR="004025A5">
              <w:t xml:space="preserve"> that will result in terminating a person’s employment</w:t>
            </w:r>
            <w:r w:rsidR="0034460E">
              <w:t>,</w:t>
            </w:r>
            <w:r w:rsidR="004025A5">
              <w:t xml:space="preserve"> appointment or contract for services) </w:t>
            </w:r>
            <w:r>
              <w:t>against the person;</w:t>
            </w:r>
          </w:p>
          <w:p w14:paraId="0A3AE92A" w14:textId="77777777" w:rsidR="0085090D" w:rsidRDefault="0085090D" w:rsidP="0060581C">
            <w:pPr>
              <w:spacing w:line="240" w:lineRule="auto"/>
            </w:pPr>
            <w:r>
              <w:t>(b) action of a public sector entity or public official for a public sector entity that is any of the following:</w:t>
            </w:r>
          </w:p>
          <w:p w14:paraId="110FB98A" w14:textId="77777777" w:rsidR="0085090D" w:rsidRDefault="0085090D" w:rsidP="0060581C">
            <w:pPr>
              <w:spacing w:line="240" w:lineRule="auto"/>
              <w:ind w:left="720"/>
            </w:pPr>
            <w:r>
              <w:t>(</w:t>
            </w:r>
            <w:proofErr w:type="spellStart"/>
            <w:r>
              <w:t>i</w:t>
            </w:r>
            <w:proofErr w:type="spellEnd"/>
            <w:r>
              <w:t xml:space="preserve">) maladministration </w:t>
            </w:r>
            <w:r w:rsidR="004025A5">
              <w:t>(</w:t>
            </w:r>
            <w:proofErr w:type="spellStart"/>
            <w:r w:rsidR="004025A5">
              <w:t>ie</w:t>
            </w:r>
            <w:proofErr w:type="spellEnd"/>
            <w:r w:rsidR="004025A5">
              <w:t xml:space="preserve"> illegal, unreasonable, unjust, oppressive, improperly discriminatory, negligent or improper motives) </w:t>
            </w:r>
            <w:r>
              <w:t>that adversely affects a person’s interests in a substantial and specific way;</w:t>
            </w:r>
          </w:p>
          <w:p w14:paraId="234DAF56" w14:textId="77777777" w:rsidR="0085090D" w:rsidRDefault="0085090D" w:rsidP="0060581C">
            <w:pPr>
              <w:spacing w:line="240" w:lineRule="auto"/>
              <w:ind w:left="720"/>
            </w:pPr>
            <w:r>
              <w:t>(ii) a substantial misuse of public funds;</w:t>
            </w:r>
          </w:p>
          <w:p w14:paraId="764C45AA" w14:textId="77777777" w:rsidR="0085090D" w:rsidRDefault="0085090D" w:rsidP="0060581C">
            <w:pPr>
              <w:spacing w:line="240" w:lineRule="auto"/>
              <w:ind w:left="720"/>
            </w:pPr>
            <w:r>
              <w:t>(iii) a substantial and specific danger to public health or</w:t>
            </w:r>
            <w:r w:rsidR="00BB5D25">
              <w:t xml:space="preserve"> </w:t>
            </w:r>
            <w:r>
              <w:t>safety;</w:t>
            </w:r>
          </w:p>
          <w:p w14:paraId="67197946" w14:textId="77777777" w:rsidR="004E7B8B" w:rsidRPr="004E7B8B" w:rsidRDefault="0085090D" w:rsidP="0060581C">
            <w:pPr>
              <w:spacing w:line="240" w:lineRule="auto"/>
              <w:ind w:left="720"/>
            </w:pPr>
            <w:r>
              <w:t>(iv) a substantial and specific danger to the environment.</w:t>
            </w:r>
          </w:p>
        </w:tc>
      </w:tr>
      <w:tr w:rsidR="004E7B8B" w:rsidRPr="004E7B8B" w14:paraId="63DD80BA" w14:textId="77777777" w:rsidTr="00F574A1">
        <w:trPr>
          <w:trHeight w:val="741"/>
        </w:trPr>
        <w:tc>
          <w:tcPr>
            <w:tcW w:w="2110" w:type="dxa"/>
            <w:tcBorders>
              <w:top w:val="single" w:sz="4" w:space="0" w:color="000000"/>
              <w:left w:val="single" w:sz="4" w:space="0" w:color="000000"/>
              <w:bottom w:val="single" w:sz="4" w:space="0" w:color="000000"/>
              <w:right w:val="single" w:sz="4" w:space="0" w:color="000000"/>
            </w:tcBorders>
          </w:tcPr>
          <w:p w14:paraId="771D87B2" w14:textId="77777777" w:rsidR="004E7B8B" w:rsidRPr="004E7B8B" w:rsidRDefault="004E7B8B" w:rsidP="0060581C">
            <w:pPr>
              <w:spacing w:line="240" w:lineRule="auto"/>
            </w:pPr>
            <w:r w:rsidRPr="004E7B8B">
              <w:t>Discloser</w:t>
            </w:r>
          </w:p>
        </w:tc>
        <w:tc>
          <w:tcPr>
            <w:tcW w:w="7574" w:type="dxa"/>
            <w:tcBorders>
              <w:top w:val="single" w:sz="4" w:space="0" w:color="000000"/>
              <w:left w:val="single" w:sz="4" w:space="0" w:color="000000"/>
              <w:bottom w:val="single" w:sz="4" w:space="0" w:color="000000"/>
              <w:right w:val="single" w:sz="4" w:space="0" w:color="000000"/>
            </w:tcBorders>
          </w:tcPr>
          <w:p w14:paraId="42EB9C71" w14:textId="77777777" w:rsidR="004E7B8B" w:rsidRPr="004E7B8B" w:rsidRDefault="004E7B8B" w:rsidP="0060581C">
            <w:pPr>
              <w:spacing w:line="240" w:lineRule="auto"/>
            </w:pPr>
            <w:r w:rsidRPr="004E7B8B">
              <w:t>a person who makes a PID by providing information about wrongdoing or suspected wrongdoing</w:t>
            </w:r>
          </w:p>
        </w:tc>
      </w:tr>
      <w:tr w:rsidR="004E7B8B" w:rsidRPr="004E7B8B" w14:paraId="5DD82417" w14:textId="77777777" w:rsidTr="00F574A1">
        <w:trPr>
          <w:trHeight w:val="1023"/>
        </w:trPr>
        <w:tc>
          <w:tcPr>
            <w:tcW w:w="2110" w:type="dxa"/>
            <w:tcBorders>
              <w:top w:val="single" w:sz="4" w:space="0" w:color="000000"/>
              <w:left w:val="single" w:sz="4" w:space="0" w:color="000000"/>
              <w:bottom w:val="single" w:sz="4" w:space="0" w:color="000000"/>
              <w:right w:val="single" w:sz="4" w:space="0" w:color="000000"/>
            </w:tcBorders>
          </w:tcPr>
          <w:p w14:paraId="43A04C11" w14:textId="77777777" w:rsidR="004E7B8B" w:rsidRPr="004E7B8B" w:rsidRDefault="004E7B8B" w:rsidP="0060581C">
            <w:pPr>
              <w:spacing w:line="240" w:lineRule="auto"/>
            </w:pPr>
            <w:r w:rsidRPr="004E7B8B">
              <w:t>Investigating entity</w:t>
            </w:r>
          </w:p>
        </w:tc>
        <w:tc>
          <w:tcPr>
            <w:tcW w:w="7574" w:type="dxa"/>
            <w:tcBorders>
              <w:top w:val="single" w:sz="4" w:space="0" w:color="000000"/>
              <w:left w:val="single" w:sz="4" w:space="0" w:color="000000"/>
              <w:bottom w:val="single" w:sz="4" w:space="0" w:color="000000"/>
              <w:right w:val="single" w:sz="4" w:space="0" w:color="000000"/>
            </w:tcBorders>
          </w:tcPr>
          <w:p w14:paraId="7793029C" w14:textId="77777777" w:rsidR="004E7B8B" w:rsidRPr="004E7B8B" w:rsidRDefault="004E7B8B" w:rsidP="0060581C">
            <w:pPr>
              <w:spacing w:line="240" w:lineRule="auto"/>
            </w:pPr>
            <w:r w:rsidRPr="004E7B8B">
              <w:t>means the Head of an entity. Generally, the function of investigating a disclosure will be delegated, but it is important to recognise that ultimately, the head of an entity is responsible for the way a PID is handled.</w:t>
            </w:r>
          </w:p>
        </w:tc>
      </w:tr>
      <w:tr w:rsidR="004E7B8B" w:rsidRPr="004E7B8B" w14:paraId="193C1EB3" w14:textId="77777777" w:rsidTr="00F574A1">
        <w:trPr>
          <w:trHeight w:val="1022"/>
        </w:trPr>
        <w:tc>
          <w:tcPr>
            <w:tcW w:w="2110" w:type="dxa"/>
            <w:tcBorders>
              <w:top w:val="single" w:sz="4" w:space="0" w:color="000000"/>
              <w:left w:val="single" w:sz="4" w:space="0" w:color="000000"/>
              <w:bottom w:val="single" w:sz="4" w:space="0" w:color="000000"/>
              <w:right w:val="single" w:sz="4" w:space="0" w:color="000000"/>
            </w:tcBorders>
          </w:tcPr>
          <w:p w14:paraId="47ED654A" w14:textId="77777777" w:rsidR="004E7B8B" w:rsidRPr="004E7B8B" w:rsidRDefault="004E7B8B" w:rsidP="0060581C">
            <w:pPr>
              <w:spacing w:line="240" w:lineRule="auto"/>
            </w:pPr>
            <w:r w:rsidRPr="004E7B8B">
              <w:t>Protected information</w:t>
            </w:r>
          </w:p>
        </w:tc>
        <w:tc>
          <w:tcPr>
            <w:tcW w:w="7574" w:type="dxa"/>
            <w:tcBorders>
              <w:top w:val="single" w:sz="4" w:space="0" w:color="000000"/>
              <w:left w:val="single" w:sz="4" w:space="0" w:color="000000"/>
              <w:bottom w:val="single" w:sz="4" w:space="0" w:color="000000"/>
              <w:right w:val="single" w:sz="4" w:space="0" w:color="000000"/>
            </w:tcBorders>
          </w:tcPr>
          <w:p w14:paraId="7953A70A" w14:textId="2BB71C7E" w:rsidR="004E7B8B" w:rsidRPr="004E7B8B" w:rsidRDefault="004E7B8B" w:rsidP="0060581C">
            <w:pPr>
              <w:spacing w:line="240" w:lineRule="auto"/>
            </w:pPr>
            <w:r w:rsidRPr="004E7B8B">
              <w:t>Means information about a person that is disclosed to, or obtained by, a person to whom section 44 of the Act applies because of the exercise of a function under the Act by the person or someone else</w:t>
            </w:r>
            <w:r w:rsidR="00A85B03">
              <w:t>.</w:t>
            </w:r>
          </w:p>
        </w:tc>
      </w:tr>
      <w:tr w:rsidR="004E7B8B" w:rsidRPr="004E7B8B" w14:paraId="042EEAD4" w14:textId="77777777" w:rsidTr="00F574A1">
        <w:trPr>
          <w:trHeight w:val="741"/>
        </w:trPr>
        <w:tc>
          <w:tcPr>
            <w:tcW w:w="2110" w:type="dxa"/>
            <w:tcBorders>
              <w:top w:val="single" w:sz="4" w:space="0" w:color="000000"/>
              <w:left w:val="single" w:sz="4" w:space="0" w:color="000000"/>
              <w:bottom w:val="single" w:sz="4" w:space="0" w:color="000000"/>
              <w:right w:val="single" w:sz="4" w:space="0" w:color="000000"/>
            </w:tcBorders>
          </w:tcPr>
          <w:p w14:paraId="32727A71" w14:textId="77777777" w:rsidR="004E7B8B" w:rsidRPr="004E7B8B" w:rsidRDefault="004E7B8B" w:rsidP="0060581C">
            <w:pPr>
              <w:spacing w:line="240" w:lineRule="auto"/>
            </w:pPr>
            <w:r w:rsidRPr="004E7B8B">
              <w:t>Public Interest Disclosure (PID)</w:t>
            </w:r>
          </w:p>
        </w:tc>
        <w:tc>
          <w:tcPr>
            <w:tcW w:w="7574" w:type="dxa"/>
            <w:tcBorders>
              <w:top w:val="single" w:sz="4" w:space="0" w:color="000000"/>
              <w:left w:val="single" w:sz="4" w:space="0" w:color="000000"/>
              <w:bottom w:val="single" w:sz="4" w:space="0" w:color="000000"/>
              <w:right w:val="single" w:sz="4" w:space="0" w:color="000000"/>
            </w:tcBorders>
          </w:tcPr>
          <w:p w14:paraId="6CD00A7A" w14:textId="77777777" w:rsidR="004E7B8B" w:rsidRPr="004E7B8B" w:rsidRDefault="004E7B8B" w:rsidP="0060581C">
            <w:pPr>
              <w:spacing w:line="240" w:lineRule="auto"/>
            </w:pPr>
            <w:r w:rsidRPr="004E7B8B">
              <w:t>means a disclosure of information about disclosable conduct (wrongdoing or suspected wrongdoing in the public sector)</w:t>
            </w:r>
          </w:p>
        </w:tc>
      </w:tr>
      <w:tr w:rsidR="004025A5" w:rsidRPr="004E7B8B" w14:paraId="223A2AEC" w14:textId="77777777" w:rsidTr="00F574A1">
        <w:trPr>
          <w:trHeight w:val="741"/>
        </w:trPr>
        <w:tc>
          <w:tcPr>
            <w:tcW w:w="2110" w:type="dxa"/>
            <w:tcBorders>
              <w:top w:val="single" w:sz="4" w:space="0" w:color="000000"/>
              <w:left w:val="single" w:sz="4" w:space="0" w:color="000000"/>
              <w:bottom w:val="single" w:sz="4" w:space="0" w:color="000000"/>
              <w:right w:val="single" w:sz="4" w:space="0" w:color="000000"/>
            </w:tcBorders>
          </w:tcPr>
          <w:p w14:paraId="16F367E9" w14:textId="77777777" w:rsidR="004025A5" w:rsidRPr="004E7B8B" w:rsidRDefault="004025A5" w:rsidP="0060581C">
            <w:pPr>
              <w:spacing w:line="240" w:lineRule="auto"/>
            </w:pPr>
            <w:r>
              <w:t xml:space="preserve">Public official </w:t>
            </w:r>
          </w:p>
        </w:tc>
        <w:tc>
          <w:tcPr>
            <w:tcW w:w="7574" w:type="dxa"/>
            <w:tcBorders>
              <w:top w:val="single" w:sz="4" w:space="0" w:color="000000"/>
              <w:left w:val="single" w:sz="4" w:space="0" w:color="000000"/>
              <w:bottom w:val="single" w:sz="4" w:space="0" w:color="000000"/>
              <w:right w:val="single" w:sz="4" w:space="0" w:color="000000"/>
            </w:tcBorders>
          </w:tcPr>
          <w:p w14:paraId="12E62585" w14:textId="77777777" w:rsidR="004025A5" w:rsidRPr="004E7B8B" w:rsidRDefault="004025A5" w:rsidP="0060581C">
            <w:pPr>
              <w:spacing w:line="240" w:lineRule="auto"/>
            </w:pPr>
            <w:r>
              <w:t>means a person who is or has been an employee of a public sector entity; or a contractor, employee of a contractor or volunteer exercising a function of the public sector entity.</w:t>
            </w:r>
          </w:p>
        </w:tc>
      </w:tr>
      <w:tr w:rsidR="004E7B8B" w:rsidRPr="004E7B8B" w14:paraId="074C12DC" w14:textId="77777777" w:rsidTr="00F574A1">
        <w:trPr>
          <w:trHeight w:val="741"/>
        </w:trPr>
        <w:tc>
          <w:tcPr>
            <w:tcW w:w="2110" w:type="dxa"/>
            <w:tcBorders>
              <w:top w:val="single" w:sz="4" w:space="0" w:color="000000"/>
              <w:left w:val="single" w:sz="4" w:space="0" w:color="000000"/>
              <w:bottom w:val="single" w:sz="4" w:space="0" w:color="000000"/>
              <w:right w:val="single" w:sz="4" w:space="0" w:color="000000"/>
            </w:tcBorders>
          </w:tcPr>
          <w:p w14:paraId="2C8D5DC7" w14:textId="77777777" w:rsidR="004E7B8B" w:rsidRPr="004E7B8B" w:rsidRDefault="004E7B8B" w:rsidP="0060581C">
            <w:pPr>
              <w:spacing w:line="240" w:lineRule="auto"/>
            </w:pPr>
            <w:r w:rsidRPr="004E7B8B">
              <w:t>Receiving officer</w:t>
            </w:r>
          </w:p>
        </w:tc>
        <w:tc>
          <w:tcPr>
            <w:tcW w:w="7574" w:type="dxa"/>
            <w:tcBorders>
              <w:top w:val="single" w:sz="4" w:space="0" w:color="000000"/>
              <w:left w:val="single" w:sz="4" w:space="0" w:color="000000"/>
              <w:bottom w:val="single" w:sz="4" w:space="0" w:color="000000"/>
              <w:right w:val="single" w:sz="4" w:space="0" w:color="000000"/>
            </w:tcBorders>
          </w:tcPr>
          <w:p w14:paraId="46535E0E" w14:textId="77777777" w:rsidR="004E7B8B" w:rsidRPr="004E7B8B" w:rsidRDefault="004E7B8B" w:rsidP="0060581C">
            <w:pPr>
              <w:spacing w:line="240" w:lineRule="auto"/>
            </w:pPr>
            <w:r w:rsidRPr="004E7B8B">
              <w:t>means a person (</w:t>
            </w:r>
            <w:proofErr w:type="spellStart"/>
            <w:r w:rsidRPr="004E7B8B">
              <w:t>eg.</w:t>
            </w:r>
            <w:proofErr w:type="spellEnd"/>
            <w:r w:rsidRPr="004E7B8B">
              <w:t xml:space="preserve"> supervisor or manager) who receives a PID, but is not n</w:t>
            </w:r>
            <w:r w:rsidR="00A05C79">
              <w:t xml:space="preserve">ecessarily a disclosure officer. </w:t>
            </w:r>
            <w:r w:rsidRPr="004E7B8B">
              <w:t xml:space="preserve">Note that receiving officers are </w:t>
            </w:r>
            <w:r w:rsidRPr="004E7B8B">
              <w:rPr>
                <w:i/>
                <w:iCs/>
              </w:rPr>
              <w:t xml:space="preserve">not </w:t>
            </w:r>
            <w:r w:rsidRPr="004E7B8B">
              <w:t>decision makers in relation to PIDs</w:t>
            </w:r>
          </w:p>
        </w:tc>
      </w:tr>
      <w:tr w:rsidR="004E7B8B" w:rsidRPr="004E7B8B" w14:paraId="0A547FCF" w14:textId="77777777" w:rsidTr="00F574A1">
        <w:trPr>
          <w:trHeight w:val="1584"/>
        </w:trPr>
        <w:tc>
          <w:tcPr>
            <w:tcW w:w="2110" w:type="dxa"/>
            <w:tcBorders>
              <w:top w:val="single" w:sz="4" w:space="0" w:color="000000"/>
              <w:left w:val="single" w:sz="4" w:space="0" w:color="000000"/>
              <w:bottom w:val="single" w:sz="4" w:space="0" w:color="000000"/>
              <w:right w:val="single" w:sz="4" w:space="0" w:color="000000"/>
            </w:tcBorders>
          </w:tcPr>
          <w:p w14:paraId="0C7C3840" w14:textId="77777777" w:rsidR="004E7B8B" w:rsidRPr="004E7B8B" w:rsidRDefault="004E7B8B" w:rsidP="0060581C">
            <w:pPr>
              <w:spacing w:line="240" w:lineRule="auto"/>
            </w:pPr>
            <w:r w:rsidRPr="004E7B8B">
              <w:t>Senior Executives with Responsibility for Business Integrity and Risk (SERBIR)</w:t>
            </w:r>
          </w:p>
        </w:tc>
        <w:tc>
          <w:tcPr>
            <w:tcW w:w="7574" w:type="dxa"/>
            <w:tcBorders>
              <w:top w:val="single" w:sz="4" w:space="0" w:color="000000"/>
              <w:left w:val="single" w:sz="4" w:space="0" w:color="000000"/>
              <w:bottom w:val="single" w:sz="4" w:space="0" w:color="000000"/>
              <w:right w:val="single" w:sz="4" w:space="0" w:color="000000"/>
            </w:tcBorders>
          </w:tcPr>
          <w:p w14:paraId="148696D1" w14:textId="77777777" w:rsidR="004E7B8B" w:rsidRPr="004E7B8B" w:rsidRDefault="004E7B8B" w:rsidP="0060581C">
            <w:pPr>
              <w:spacing w:line="240" w:lineRule="auto"/>
            </w:pPr>
            <w:r w:rsidRPr="004E7B8B">
              <w:t xml:space="preserve">senior executives </w:t>
            </w:r>
            <w:r w:rsidR="00A05C79">
              <w:t>who are</w:t>
            </w:r>
            <w:r w:rsidRPr="004E7B8B">
              <w:t xml:space="preserve"> tasked with upholding and managing risks to public sector integrity</w:t>
            </w:r>
            <w:r w:rsidR="00A05C79">
              <w:t>.</w:t>
            </w:r>
          </w:p>
        </w:tc>
      </w:tr>
    </w:tbl>
    <w:p w14:paraId="66B7DE4C" w14:textId="77777777" w:rsidR="004E7B8B" w:rsidRPr="004E7B8B" w:rsidRDefault="004E7B8B" w:rsidP="0060581C">
      <w:pPr>
        <w:spacing w:line="240" w:lineRule="auto"/>
        <w:sectPr w:rsidR="004E7B8B" w:rsidRPr="004E7B8B" w:rsidSect="00FF3403">
          <w:pgSz w:w="11910" w:h="16840"/>
          <w:pgMar w:top="1440" w:right="1080" w:bottom="1440" w:left="1080" w:header="0" w:footer="1352" w:gutter="0"/>
          <w:cols w:space="720"/>
          <w:noEndnote/>
        </w:sectPr>
      </w:pPr>
    </w:p>
    <w:p w14:paraId="36D7E8FE" w14:textId="77777777" w:rsidR="004E7B8B" w:rsidRPr="007F7A18" w:rsidRDefault="004E7B8B" w:rsidP="0060581C">
      <w:pPr>
        <w:spacing w:line="240" w:lineRule="auto"/>
        <w:rPr>
          <w:b/>
          <w:bCs/>
          <w:sz w:val="28"/>
          <w:szCs w:val="28"/>
        </w:rPr>
      </w:pPr>
      <w:bookmarkStart w:id="37" w:name="_bookmark42"/>
      <w:bookmarkEnd w:id="37"/>
      <w:r w:rsidRPr="007F7A18">
        <w:rPr>
          <w:b/>
          <w:bCs/>
          <w:sz w:val="28"/>
          <w:szCs w:val="28"/>
        </w:rPr>
        <w:lastRenderedPageBreak/>
        <w:t>References</w:t>
      </w:r>
    </w:p>
    <w:p w14:paraId="107AAC27" w14:textId="77777777" w:rsidR="00A85B03" w:rsidRPr="00F574A1" w:rsidRDefault="00D85ECD" w:rsidP="00A85B03">
      <w:pPr>
        <w:spacing w:line="240" w:lineRule="auto"/>
        <w:rPr>
          <w:iCs/>
        </w:rPr>
      </w:pPr>
      <w:hyperlink r:id="rId17" w:history="1">
        <w:r w:rsidR="00A85B03" w:rsidRPr="00851F46">
          <w:rPr>
            <w:rStyle w:val="Hyperlink"/>
            <w:i/>
            <w:iCs/>
            <w:color w:val="auto"/>
            <w:u w:val="none"/>
          </w:rPr>
          <w:t>Better practice guide to complaint handling</w:t>
        </w:r>
      </w:hyperlink>
      <w:r w:rsidR="00A85B03">
        <w:rPr>
          <w:rStyle w:val="Hyperlink"/>
          <w:i/>
          <w:iCs/>
          <w:color w:val="auto"/>
          <w:u w:val="none"/>
        </w:rPr>
        <w:t xml:space="preserve">, </w:t>
      </w:r>
      <w:r w:rsidR="00A85B03" w:rsidRPr="004E7B8B">
        <w:t>Commonwealth Ombudsman</w:t>
      </w:r>
      <w:r w:rsidR="00A85B03">
        <w:t xml:space="preserve">, </w:t>
      </w:r>
      <w:hyperlink r:id="rId18" w:history="1">
        <w:r w:rsidR="00A85B03" w:rsidRPr="00F574A1">
          <w:rPr>
            <w:rStyle w:val="Hyperlink"/>
            <w:iCs/>
            <w:color w:val="000000" w:themeColor="text1"/>
          </w:rPr>
          <w:t>http://www.ombudsman.gov.au/better-practice-guide</w:t>
        </w:r>
      </w:hyperlink>
    </w:p>
    <w:p w14:paraId="4D2B1894" w14:textId="77777777" w:rsidR="00A85B03" w:rsidRDefault="00A85B03" w:rsidP="00A85B03">
      <w:pPr>
        <w:spacing w:line="240" w:lineRule="auto"/>
      </w:pPr>
      <w:r w:rsidRPr="00851F46">
        <w:rPr>
          <w:i/>
        </w:rPr>
        <w:t>Whistling While They Work -</w:t>
      </w:r>
      <w:r>
        <w:t xml:space="preserve"> </w:t>
      </w:r>
      <w:r w:rsidRPr="0058303E">
        <w:t>A good-practice guide for managing internal reporting of wrongdoing in public sector organisations</w:t>
      </w:r>
      <w:r>
        <w:t xml:space="preserve">, </w:t>
      </w:r>
      <w:r w:rsidRPr="004E7B8B">
        <w:t>Australia and New Zealand School of Government</w:t>
      </w:r>
      <w:r>
        <w:t xml:space="preserve">, </w:t>
      </w:r>
      <w:r w:rsidRPr="00BB6654">
        <w:t>https://press.anu.edu.au/publications/series/anzsog/whistling-while-they-work</w:t>
      </w:r>
    </w:p>
    <w:p w14:paraId="7227F7FA" w14:textId="59977616" w:rsidR="00533B05" w:rsidRDefault="00533B05" w:rsidP="0060581C">
      <w:pPr>
        <w:spacing w:line="240" w:lineRule="auto"/>
        <w:rPr>
          <w:b/>
          <w:bCs/>
        </w:rPr>
      </w:pPr>
      <w:bookmarkStart w:id="38" w:name="_bookmark43"/>
      <w:bookmarkEnd w:id="38"/>
    </w:p>
    <w:p w14:paraId="5FA4E07F" w14:textId="095AB964" w:rsidR="00A85B03" w:rsidRDefault="00A85B03">
      <w:pPr>
        <w:rPr>
          <w:b/>
          <w:bCs/>
        </w:rPr>
      </w:pPr>
      <w:r>
        <w:rPr>
          <w:b/>
          <w:bCs/>
        </w:rPr>
        <w:br w:type="page"/>
      </w:r>
    </w:p>
    <w:p w14:paraId="0261134E" w14:textId="08AEBE45" w:rsidR="00DE11B1" w:rsidRDefault="00DE11B1" w:rsidP="0060581C">
      <w:pPr>
        <w:spacing w:line="240" w:lineRule="auto"/>
        <w:rPr>
          <w:b/>
          <w:bCs/>
        </w:rPr>
      </w:pPr>
      <w:r>
        <w:rPr>
          <w:b/>
          <w:bCs/>
        </w:rPr>
        <w:lastRenderedPageBreak/>
        <w:t>Appen</w:t>
      </w:r>
      <w:r w:rsidR="00D80700">
        <w:rPr>
          <w:b/>
          <w:bCs/>
        </w:rPr>
        <w:t>dix A</w:t>
      </w:r>
      <w:r w:rsidR="00450D8F">
        <w:rPr>
          <w:b/>
          <w:bCs/>
        </w:rPr>
        <w:t xml:space="preserve"> - </w:t>
      </w:r>
      <w:r w:rsidR="00D80700">
        <w:rPr>
          <w:b/>
          <w:bCs/>
        </w:rPr>
        <w:t>Steps in managing a disclosure</w:t>
      </w:r>
    </w:p>
    <w:p w14:paraId="612E56F3" w14:textId="77777777" w:rsidR="00DE11B1" w:rsidRDefault="00DE11B1" w:rsidP="0060581C">
      <w:pPr>
        <w:spacing w:line="240" w:lineRule="auto"/>
        <w:rPr>
          <w:b/>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9"/>
        <w:gridCol w:w="4677"/>
      </w:tblGrid>
      <w:tr w:rsidR="00DE11B1" w:rsidRPr="00DE11B1" w14:paraId="497258CC" w14:textId="77777777" w:rsidTr="00AD3A49">
        <w:tc>
          <w:tcPr>
            <w:tcW w:w="1985" w:type="dxa"/>
          </w:tcPr>
          <w:p w14:paraId="49CA8A49" w14:textId="77777777" w:rsidR="00DE11B1" w:rsidRPr="00DE11B1" w:rsidRDefault="00DE11B1" w:rsidP="0060581C">
            <w:pPr>
              <w:spacing w:before="120" w:after="60" w:line="240" w:lineRule="auto"/>
              <w:jc w:val="center"/>
              <w:rPr>
                <w:rFonts w:ascii="Arial" w:eastAsia="Times New Roman" w:hAnsi="Arial" w:cs="Arial"/>
                <w:b/>
                <w:sz w:val="24"/>
                <w:szCs w:val="24"/>
              </w:rPr>
            </w:pPr>
            <w:r w:rsidRPr="00DE11B1">
              <w:rPr>
                <w:rFonts w:ascii="Arial" w:eastAsia="Times New Roman" w:hAnsi="Arial" w:cs="Arial"/>
                <w:b/>
                <w:sz w:val="24"/>
                <w:szCs w:val="24"/>
              </w:rPr>
              <w:t>Step</w:t>
            </w:r>
          </w:p>
        </w:tc>
        <w:tc>
          <w:tcPr>
            <w:tcW w:w="3119" w:type="dxa"/>
          </w:tcPr>
          <w:p w14:paraId="7A27F379" w14:textId="77777777" w:rsidR="00DE11B1" w:rsidRPr="00DE11B1" w:rsidRDefault="00DE11B1" w:rsidP="0060581C">
            <w:pPr>
              <w:spacing w:before="120" w:after="60" w:line="240" w:lineRule="auto"/>
              <w:jc w:val="center"/>
              <w:rPr>
                <w:rFonts w:ascii="Arial" w:eastAsia="Times New Roman" w:hAnsi="Arial" w:cs="Arial"/>
                <w:b/>
                <w:sz w:val="24"/>
                <w:szCs w:val="24"/>
              </w:rPr>
            </w:pPr>
            <w:r w:rsidRPr="00DE11B1">
              <w:rPr>
                <w:rFonts w:ascii="Arial" w:eastAsia="Times New Roman" w:hAnsi="Arial" w:cs="Arial"/>
                <w:b/>
                <w:sz w:val="24"/>
                <w:szCs w:val="24"/>
              </w:rPr>
              <w:t>Information</w:t>
            </w:r>
          </w:p>
        </w:tc>
        <w:tc>
          <w:tcPr>
            <w:tcW w:w="4677" w:type="dxa"/>
          </w:tcPr>
          <w:p w14:paraId="69B46ACE" w14:textId="77777777" w:rsidR="00DE11B1" w:rsidRPr="00DE11B1" w:rsidRDefault="00DE11B1" w:rsidP="0060581C">
            <w:pPr>
              <w:spacing w:before="120" w:after="60" w:line="240" w:lineRule="auto"/>
              <w:jc w:val="center"/>
              <w:rPr>
                <w:rFonts w:ascii="Arial" w:eastAsia="Times New Roman" w:hAnsi="Arial" w:cs="Arial"/>
                <w:b/>
                <w:sz w:val="24"/>
                <w:szCs w:val="24"/>
              </w:rPr>
            </w:pPr>
            <w:r w:rsidRPr="00DE11B1">
              <w:rPr>
                <w:rFonts w:ascii="Arial" w:eastAsia="Times New Roman" w:hAnsi="Arial" w:cs="Arial"/>
                <w:b/>
                <w:sz w:val="24"/>
                <w:szCs w:val="24"/>
              </w:rPr>
              <w:t>Action</w:t>
            </w:r>
          </w:p>
        </w:tc>
      </w:tr>
      <w:tr w:rsidR="00DE11B1" w:rsidRPr="00DE11B1" w14:paraId="5D74EC36" w14:textId="77777777" w:rsidTr="00156A47">
        <w:tc>
          <w:tcPr>
            <w:tcW w:w="1985" w:type="dxa"/>
            <w:shd w:val="clear" w:color="auto" w:fill="DEEAF6" w:themeFill="accent1" w:themeFillTint="33"/>
          </w:tcPr>
          <w:p w14:paraId="0D13D67C" w14:textId="77777777" w:rsidR="00DE11B1" w:rsidRDefault="00DE11B1" w:rsidP="0060581C">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t>1: RECEIVE</w:t>
            </w:r>
          </w:p>
          <w:p w14:paraId="4D181462" w14:textId="77777777" w:rsidR="008575F1" w:rsidRDefault="008575F1" w:rsidP="0060581C">
            <w:pPr>
              <w:spacing w:before="120" w:after="60" w:line="240" w:lineRule="auto"/>
              <w:rPr>
                <w:rFonts w:ascii="Calibri" w:eastAsia="Times New Roman" w:hAnsi="Calibri" w:cs="Times New Roman"/>
                <w:b/>
                <w:sz w:val="18"/>
                <w:szCs w:val="18"/>
              </w:rPr>
            </w:pPr>
          </w:p>
          <w:p w14:paraId="42C55C88" w14:textId="275601BB" w:rsidR="008575F1" w:rsidRPr="00F574A1" w:rsidRDefault="008575F1" w:rsidP="0060581C">
            <w:pPr>
              <w:spacing w:before="120" w:after="60" w:line="240" w:lineRule="auto"/>
              <w:rPr>
                <w:rFonts w:ascii="Calibri" w:eastAsia="Times New Roman" w:hAnsi="Calibri" w:cs="Times New Roman"/>
                <w:b/>
                <w:i/>
                <w:sz w:val="18"/>
                <w:szCs w:val="18"/>
              </w:rPr>
            </w:pPr>
            <w:r w:rsidRPr="00F574A1">
              <w:rPr>
                <w:rFonts w:ascii="Calibri" w:eastAsia="Times New Roman" w:hAnsi="Calibri" w:cs="Times New Roman"/>
                <w:b/>
                <w:i/>
                <w:sz w:val="18"/>
                <w:szCs w:val="18"/>
              </w:rPr>
              <w:t>(Disclosure Officer)</w:t>
            </w:r>
          </w:p>
        </w:tc>
        <w:tc>
          <w:tcPr>
            <w:tcW w:w="3119" w:type="dxa"/>
            <w:shd w:val="clear" w:color="auto" w:fill="DEEAF6" w:themeFill="accent1" w:themeFillTint="33"/>
          </w:tcPr>
          <w:p w14:paraId="287B9FC1" w14:textId="77777777"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Discloser makes a disclosure to a disclosure officer or receiving officer</w:t>
            </w:r>
          </w:p>
          <w:p w14:paraId="29AC7A7E" w14:textId="77777777"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or</w:t>
            </w:r>
          </w:p>
          <w:p w14:paraId="58E40345" w14:textId="77777777"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color w:val="000000"/>
                <w:sz w:val="18"/>
                <w:szCs w:val="18"/>
                <w:lang w:eastAsia="en-AU"/>
              </w:rPr>
              <w:t>Disclosure officer receives a disclosure passed to them from a receiving officer.</w:t>
            </w:r>
            <w:r w:rsidRPr="00DE11B1">
              <w:rPr>
                <w:rFonts w:ascii="Calibri" w:eastAsia="Times New Roman" w:hAnsi="Calibri" w:cs="Times New Roman"/>
                <w:sz w:val="18"/>
                <w:szCs w:val="18"/>
              </w:rPr>
              <w:t xml:space="preserve"> </w:t>
            </w:r>
          </w:p>
          <w:p w14:paraId="3E5E638E" w14:textId="77777777" w:rsidR="00DE11B1" w:rsidRPr="00DE11B1" w:rsidRDefault="00DE11B1" w:rsidP="0060581C">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sz w:val="18"/>
                <w:szCs w:val="18"/>
              </w:rPr>
              <w:t xml:space="preserve">(A receiving officer must provide the disclosure to the disclosure officer </w:t>
            </w:r>
            <w:r w:rsidRPr="00DE11B1">
              <w:rPr>
                <w:rFonts w:ascii="Calibri" w:eastAsia="Times New Roman" w:hAnsi="Calibri" w:cs="Times New Roman"/>
                <w:b/>
                <w:sz w:val="18"/>
                <w:szCs w:val="18"/>
              </w:rPr>
              <w:t>as soon as possible.)</w:t>
            </w:r>
          </w:p>
        </w:tc>
        <w:tc>
          <w:tcPr>
            <w:tcW w:w="4677" w:type="dxa"/>
            <w:shd w:val="clear" w:color="auto" w:fill="DEEAF6" w:themeFill="accent1" w:themeFillTint="33"/>
          </w:tcPr>
          <w:p w14:paraId="0A87EBB0" w14:textId="42167CDD"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Make written no</w:t>
            </w:r>
            <w:r w:rsidR="00156A47">
              <w:rPr>
                <w:rFonts w:ascii="Calibri" w:eastAsia="Times New Roman" w:hAnsi="Calibri" w:cs="Times New Roman"/>
                <w:color w:val="000000"/>
                <w:sz w:val="18"/>
                <w:szCs w:val="18"/>
                <w:lang w:eastAsia="en-AU"/>
              </w:rPr>
              <w:t>tes if matter is orally raised.</w:t>
            </w:r>
          </w:p>
          <w:p w14:paraId="1B697DF4" w14:textId="77777777"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Manage expectations and respect promises of confidentiality where applicable.</w:t>
            </w:r>
          </w:p>
          <w:p w14:paraId="3911CA44" w14:textId="77777777"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Handle all required processes in a timely manner</w:t>
            </w:r>
          </w:p>
          <w:p w14:paraId="7A895742" w14:textId="77777777" w:rsidR="00DE11B1" w:rsidRPr="00DE11B1" w:rsidRDefault="00DE11B1" w:rsidP="0060581C">
            <w:pPr>
              <w:spacing w:before="120" w:after="60" w:line="240" w:lineRule="auto"/>
              <w:rPr>
                <w:rFonts w:ascii="Calibri" w:eastAsia="Times New Roman" w:hAnsi="Calibri" w:cs="Times New Roman"/>
                <w:i/>
                <w:color w:val="000000"/>
                <w:sz w:val="18"/>
                <w:szCs w:val="18"/>
                <w:lang w:eastAsia="en-AU"/>
              </w:rPr>
            </w:pPr>
          </w:p>
          <w:p w14:paraId="01E586E7" w14:textId="4DE21BA4"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 xml:space="preserve">Move to Step 2 </w:t>
            </w:r>
            <w:r w:rsidR="00156A47">
              <w:rPr>
                <w:rFonts w:ascii="Calibri" w:eastAsia="Times New Roman" w:hAnsi="Calibri" w:cs="Times New Roman"/>
                <w:color w:val="000000"/>
                <w:sz w:val="18"/>
                <w:szCs w:val="18"/>
                <w:lang w:eastAsia="en-AU"/>
              </w:rPr>
              <w:t>–</w:t>
            </w:r>
            <w:r w:rsidRPr="00DE11B1">
              <w:rPr>
                <w:rFonts w:ascii="Calibri" w:eastAsia="Times New Roman" w:hAnsi="Calibri" w:cs="Times New Roman"/>
                <w:color w:val="000000"/>
                <w:sz w:val="18"/>
                <w:szCs w:val="18"/>
                <w:lang w:eastAsia="en-AU"/>
              </w:rPr>
              <w:t xml:space="preserve"> Acknowledge</w:t>
            </w:r>
          </w:p>
        </w:tc>
      </w:tr>
      <w:tr w:rsidR="00DE11B1" w:rsidRPr="00DE11B1" w14:paraId="71F9E6AD" w14:textId="77777777" w:rsidTr="00156A47">
        <w:trPr>
          <w:trHeight w:val="1995"/>
        </w:trPr>
        <w:tc>
          <w:tcPr>
            <w:tcW w:w="1985" w:type="dxa"/>
            <w:shd w:val="clear" w:color="auto" w:fill="BDD6EE" w:themeFill="accent1" w:themeFillTint="66"/>
          </w:tcPr>
          <w:p w14:paraId="298D2F5D" w14:textId="77777777" w:rsidR="00DE11B1" w:rsidRDefault="00DE11B1" w:rsidP="0060581C">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t>2: ACKNOWLEDGE</w:t>
            </w:r>
          </w:p>
          <w:p w14:paraId="285EC0C1" w14:textId="77777777" w:rsidR="008575F1" w:rsidRDefault="008575F1" w:rsidP="0060581C">
            <w:pPr>
              <w:spacing w:before="120" w:after="60" w:line="240" w:lineRule="auto"/>
              <w:rPr>
                <w:rFonts w:ascii="Calibri" w:eastAsia="Times New Roman" w:hAnsi="Calibri" w:cs="Times New Roman"/>
                <w:b/>
                <w:sz w:val="18"/>
                <w:szCs w:val="18"/>
              </w:rPr>
            </w:pPr>
          </w:p>
          <w:p w14:paraId="6996B879" w14:textId="561567E8" w:rsidR="008575F1" w:rsidRPr="00DE11B1" w:rsidRDefault="008575F1" w:rsidP="0060581C">
            <w:pPr>
              <w:spacing w:before="120" w:after="60" w:line="240" w:lineRule="auto"/>
              <w:rPr>
                <w:rFonts w:ascii="Calibri" w:eastAsia="Times New Roman" w:hAnsi="Calibri" w:cs="Times New Roman"/>
                <w:b/>
                <w:sz w:val="18"/>
                <w:szCs w:val="18"/>
              </w:rPr>
            </w:pPr>
            <w:r w:rsidRPr="00F574A1">
              <w:rPr>
                <w:rFonts w:ascii="Calibri" w:eastAsia="Times New Roman" w:hAnsi="Calibri" w:cs="Times New Roman"/>
                <w:b/>
                <w:i/>
                <w:sz w:val="18"/>
                <w:szCs w:val="18"/>
              </w:rPr>
              <w:t>(Disclosure Officer</w:t>
            </w:r>
            <w:r>
              <w:rPr>
                <w:rFonts w:ascii="Calibri" w:eastAsia="Times New Roman" w:hAnsi="Calibri" w:cs="Times New Roman"/>
                <w:b/>
                <w:sz w:val="18"/>
                <w:szCs w:val="18"/>
              </w:rPr>
              <w:t>)</w:t>
            </w:r>
          </w:p>
        </w:tc>
        <w:tc>
          <w:tcPr>
            <w:tcW w:w="3119" w:type="dxa"/>
            <w:shd w:val="clear" w:color="auto" w:fill="BDD6EE" w:themeFill="accent1" w:themeFillTint="66"/>
          </w:tcPr>
          <w:p w14:paraId="045E64F7" w14:textId="42B7FFBF"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It generally takes courage to raise a disclosure, therefore the discloser should be af</w:t>
            </w:r>
            <w:r w:rsidR="00156A47">
              <w:rPr>
                <w:rFonts w:ascii="Calibri" w:eastAsia="Times New Roman" w:hAnsi="Calibri" w:cs="Times New Roman"/>
                <w:sz w:val="18"/>
                <w:szCs w:val="18"/>
              </w:rPr>
              <w:t>forded appropriate recognition.</w:t>
            </w:r>
          </w:p>
          <w:p w14:paraId="34541120" w14:textId="77777777"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The discloser should be reassured that their complaint is receiving attention.</w:t>
            </w:r>
          </w:p>
          <w:p w14:paraId="1821D7B6" w14:textId="77777777" w:rsidR="00DE11B1" w:rsidRPr="00DE11B1" w:rsidRDefault="00DE11B1" w:rsidP="0060581C">
            <w:pPr>
              <w:spacing w:before="120" w:after="60" w:line="240" w:lineRule="auto"/>
              <w:rPr>
                <w:rFonts w:ascii="Calibri" w:eastAsia="Times New Roman" w:hAnsi="Calibri" w:cs="Times New Roman"/>
                <w:sz w:val="18"/>
                <w:szCs w:val="18"/>
              </w:rPr>
            </w:pPr>
          </w:p>
        </w:tc>
        <w:tc>
          <w:tcPr>
            <w:tcW w:w="4677" w:type="dxa"/>
            <w:shd w:val="clear" w:color="auto" w:fill="BDD6EE" w:themeFill="accent1" w:themeFillTint="66"/>
          </w:tcPr>
          <w:p w14:paraId="655D27D9" w14:textId="77777777"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bCs/>
                <w:sz w:val="18"/>
                <w:szCs w:val="18"/>
              </w:rPr>
              <w:t>Thank the discloser for making the disclosure</w:t>
            </w:r>
            <w:r w:rsidRPr="00DE11B1">
              <w:rPr>
                <w:rFonts w:ascii="Calibri" w:eastAsia="Times New Roman" w:hAnsi="Calibri" w:cs="Times New Roman"/>
                <w:color w:val="000000"/>
                <w:sz w:val="18"/>
                <w:szCs w:val="18"/>
                <w:lang w:eastAsia="en-AU"/>
              </w:rPr>
              <w:t>.</w:t>
            </w:r>
          </w:p>
          <w:p w14:paraId="41CE9BA7" w14:textId="77777777"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It is suggested the disclosure officer provides an acknowledgement letter at this stage</w:t>
            </w:r>
            <w:r w:rsidRPr="00DE11B1">
              <w:rPr>
                <w:rFonts w:ascii="Calibri" w:eastAsia="Times New Roman" w:hAnsi="Calibri" w:cs="Times New Roman"/>
                <w:b/>
                <w:color w:val="000000"/>
                <w:sz w:val="18"/>
                <w:szCs w:val="18"/>
                <w:lang w:eastAsia="en-AU"/>
              </w:rPr>
              <w:t xml:space="preserve"> </w:t>
            </w:r>
            <w:r w:rsidRPr="00DE11B1">
              <w:rPr>
                <w:rFonts w:ascii="Calibri" w:eastAsia="Times New Roman" w:hAnsi="Calibri" w:cs="Times New Roman"/>
                <w:color w:val="000000"/>
                <w:sz w:val="18"/>
                <w:szCs w:val="18"/>
                <w:lang w:eastAsia="en-AU"/>
              </w:rPr>
              <w:t>- the letter should also outline the process the disclosure officer will undertake in handling the disclosure.  A copy of the letter should be provided to the Commissioner.</w:t>
            </w:r>
          </w:p>
          <w:p w14:paraId="2E363E1F" w14:textId="77777777" w:rsidR="00DE11B1" w:rsidRPr="00DE11B1" w:rsidRDefault="00DE11B1" w:rsidP="0060581C">
            <w:pPr>
              <w:spacing w:before="120" w:after="60" w:line="240" w:lineRule="auto"/>
              <w:rPr>
                <w:rFonts w:ascii="Calibri" w:eastAsia="Times New Roman" w:hAnsi="Calibri" w:cs="Times New Roman"/>
                <w:color w:val="000000"/>
                <w:sz w:val="18"/>
                <w:szCs w:val="18"/>
                <w:lang w:eastAsia="en-AU"/>
              </w:rPr>
            </w:pPr>
            <w:r w:rsidRPr="00DE11B1">
              <w:rPr>
                <w:rFonts w:ascii="Calibri" w:eastAsia="Times New Roman" w:hAnsi="Calibri" w:cs="Times New Roman"/>
                <w:color w:val="000000"/>
                <w:sz w:val="18"/>
                <w:szCs w:val="18"/>
                <w:lang w:eastAsia="en-AU"/>
              </w:rPr>
              <w:t xml:space="preserve">Move to Step 3 </w:t>
            </w:r>
            <w:r>
              <w:rPr>
                <w:rFonts w:ascii="Calibri" w:eastAsia="Times New Roman" w:hAnsi="Calibri" w:cs="Times New Roman"/>
                <w:color w:val="000000"/>
                <w:sz w:val="18"/>
                <w:szCs w:val="18"/>
                <w:lang w:eastAsia="en-AU"/>
              </w:rPr>
              <w:t>–</w:t>
            </w:r>
            <w:r w:rsidRPr="00DE11B1">
              <w:rPr>
                <w:rFonts w:ascii="Calibri" w:eastAsia="Times New Roman" w:hAnsi="Calibri" w:cs="Times New Roman"/>
                <w:color w:val="000000"/>
                <w:sz w:val="18"/>
                <w:szCs w:val="18"/>
                <w:lang w:eastAsia="en-AU"/>
              </w:rPr>
              <w:t xml:space="preserve"> Assess</w:t>
            </w:r>
            <w:r>
              <w:rPr>
                <w:rFonts w:ascii="Calibri" w:eastAsia="Times New Roman" w:hAnsi="Calibri" w:cs="Times New Roman"/>
                <w:color w:val="000000"/>
                <w:sz w:val="18"/>
                <w:szCs w:val="18"/>
                <w:lang w:eastAsia="en-AU"/>
              </w:rPr>
              <w:t>.</w:t>
            </w:r>
          </w:p>
        </w:tc>
      </w:tr>
      <w:tr w:rsidR="00DE11B1" w:rsidRPr="00DE11B1" w14:paraId="5EF548C3" w14:textId="77777777" w:rsidTr="00156A47">
        <w:trPr>
          <w:trHeight w:val="1124"/>
        </w:trPr>
        <w:tc>
          <w:tcPr>
            <w:tcW w:w="1985" w:type="dxa"/>
            <w:vMerge w:val="restart"/>
            <w:shd w:val="clear" w:color="auto" w:fill="DEEAF6" w:themeFill="accent1" w:themeFillTint="33"/>
          </w:tcPr>
          <w:p w14:paraId="1B137CA0" w14:textId="01ABCED2" w:rsidR="00DE11B1" w:rsidRPr="00DE11B1" w:rsidRDefault="00DE11B1" w:rsidP="0060581C">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t xml:space="preserve">3: ASSESS </w:t>
            </w:r>
          </w:p>
          <w:p w14:paraId="55A0D0AD" w14:textId="32C622C0" w:rsidR="00DE11B1" w:rsidRPr="00DF6396" w:rsidRDefault="00BD04A8" w:rsidP="0060581C">
            <w:pPr>
              <w:spacing w:before="120" w:after="60" w:line="240" w:lineRule="auto"/>
              <w:rPr>
                <w:rFonts w:ascii="Calibri" w:eastAsia="Times New Roman" w:hAnsi="Calibri" w:cs="Times New Roman"/>
                <w:b/>
                <w:i/>
                <w:sz w:val="18"/>
                <w:szCs w:val="18"/>
              </w:rPr>
            </w:pPr>
            <w:r>
              <w:rPr>
                <w:rFonts w:ascii="Calibri" w:eastAsia="Times New Roman" w:hAnsi="Calibri" w:cs="Times New Roman"/>
                <w:b/>
                <w:i/>
                <w:sz w:val="18"/>
                <w:szCs w:val="18"/>
              </w:rPr>
              <w:t>(Disclosure Officer)</w:t>
            </w:r>
          </w:p>
          <w:p w14:paraId="157272CA" w14:textId="77777777" w:rsidR="00DE11B1" w:rsidRPr="00DE11B1" w:rsidRDefault="00DE11B1" w:rsidP="0060581C">
            <w:pPr>
              <w:spacing w:before="120" w:after="60" w:line="240" w:lineRule="auto"/>
              <w:rPr>
                <w:rFonts w:ascii="Calibri" w:eastAsia="Times New Roman" w:hAnsi="Calibri" w:cs="Times New Roman"/>
                <w:b/>
                <w:i/>
                <w:sz w:val="18"/>
                <w:szCs w:val="18"/>
              </w:rPr>
            </w:pPr>
          </w:p>
          <w:p w14:paraId="15C34219" w14:textId="77777777" w:rsidR="00DE11B1" w:rsidRDefault="00DE11B1" w:rsidP="0060581C">
            <w:pPr>
              <w:spacing w:before="120" w:after="60" w:line="240" w:lineRule="auto"/>
              <w:rPr>
                <w:rFonts w:ascii="Calibri" w:eastAsia="Times New Roman" w:hAnsi="Calibri" w:cs="Times New Roman"/>
                <w:b/>
                <w:sz w:val="18"/>
                <w:szCs w:val="18"/>
              </w:rPr>
            </w:pPr>
          </w:p>
          <w:p w14:paraId="7ECB6FED" w14:textId="77777777" w:rsidR="008575F1" w:rsidRDefault="008575F1" w:rsidP="0060581C">
            <w:pPr>
              <w:spacing w:before="120" w:after="60" w:line="240" w:lineRule="auto"/>
              <w:rPr>
                <w:rFonts w:ascii="Calibri" w:eastAsia="Times New Roman" w:hAnsi="Calibri" w:cs="Times New Roman"/>
                <w:b/>
                <w:sz w:val="18"/>
                <w:szCs w:val="18"/>
              </w:rPr>
            </w:pPr>
          </w:p>
          <w:p w14:paraId="5D91D5CD" w14:textId="77777777" w:rsidR="008575F1" w:rsidRDefault="008575F1" w:rsidP="0060581C">
            <w:pPr>
              <w:spacing w:before="120" w:after="60" w:line="240" w:lineRule="auto"/>
              <w:rPr>
                <w:rFonts w:ascii="Calibri" w:eastAsia="Times New Roman" w:hAnsi="Calibri" w:cs="Times New Roman"/>
                <w:b/>
                <w:sz w:val="18"/>
                <w:szCs w:val="18"/>
              </w:rPr>
            </w:pPr>
          </w:p>
          <w:p w14:paraId="3EC3F94E" w14:textId="77777777" w:rsidR="008575F1" w:rsidRDefault="008575F1" w:rsidP="0060581C">
            <w:pPr>
              <w:spacing w:before="120" w:after="60" w:line="240" w:lineRule="auto"/>
              <w:rPr>
                <w:rFonts w:ascii="Calibri" w:eastAsia="Times New Roman" w:hAnsi="Calibri" w:cs="Times New Roman"/>
                <w:b/>
                <w:sz w:val="18"/>
                <w:szCs w:val="18"/>
              </w:rPr>
            </w:pPr>
          </w:p>
          <w:p w14:paraId="7F400B62" w14:textId="77777777" w:rsidR="008575F1" w:rsidRDefault="008575F1" w:rsidP="0060581C">
            <w:pPr>
              <w:spacing w:before="120" w:after="60" w:line="240" w:lineRule="auto"/>
              <w:rPr>
                <w:rFonts w:ascii="Calibri" w:eastAsia="Times New Roman" w:hAnsi="Calibri" w:cs="Times New Roman"/>
                <w:b/>
                <w:sz w:val="18"/>
                <w:szCs w:val="18"/>
              </w:rPr>
            </w:pPr>
          </w:p>
          <w:p w14:paraId="5701BDF0" w14:textId="77777777" w:rsidR="008575F1" w:rsidRDefault="008575F1" w:rsidP="0060581C">
            <w:pPr>
              <w:spacing w:before="120" w:after="60" w:line="240" w:lineRule="auto"/>
              <w:rPr>
                <w:rFonts w:ascii="Calibri" w:eastAsia="Times New Roman" w:hAnsi="Calibri" w:cs="Times New Roman"/>
                <w:b/>
                <w:sz w:val="18"/>
                <w:szCs w:val="18"/>
              </w:rPr>
            </w:pPr>
          </w:p>
          <w:p w14:paraId="78E08C75" w14:textId="77777777" w:rsidR="008575F1" w:rsidRDefault="008575F1" w:rsidP="0060581C">
            <w:pPr>
              <w:spacing w:before="120" w:after="60" w:line="240" w:lineRule="auto"/>
              <w:rPr>
                <w:rFonts w:ascii="Calibri" w:eastAsia="Times New Roman" w:hAnsi="Calibri" w:cs="Times New Roman"/>
                <w:b/>
                <w:sz w:val="18"/>
                <w:szCs w:val="18"/>
              </w:rPr>
            </w:pPr>
          </w:p>
          <w:p w14:paraId="43F18F0B" w14:textId="77777777" w:rsidR="008575F1" w:rsidRPr="00F574A1" w:rsidRDefault="008575F1" w:rsidP="0060581C">
            <w:pPr>
              <w:spacing w:before="120" w:after="60" w:line="240" w:lineRule="auto"/>
              <w:rPr>
                <w:rFonts w:ascii="Calibri" w:eastAsia="Times New Roman" w:hAnsi="Calibri" w:cs="Times New Roman"/>
                <w:b/>
                <w:i/>
                <w:sz w:val="18"/>
                <w:szCs w:val="18"/>
              </w:rPr>
            </w:pPr>
            <w:r w:rsidRPr="00F574A1">
              <w:rPr>
                <w:rFonts w:ascii="Calibri" w:eastAsia="Times New Roman" w:hAnsi="Calibri" w:cs="Times New Roman"/>
                <w:b/>
                <w:i/>
                <w:sz w:val="18"/>
                <w:szCs w:val="18"/>
              </w:rPr>
              <w:t>(Disclosure Officer)</w:t>
            </w:r>
          </w:p>
          <w:p w14:paraId="25098438" w14:textId="77777777" w:rsidR="008575F1" w:rsidRDefault="008575F1" w:rsidP="0060581C">
            <w:pPr>
              <w:spacing w:before="120" w:after="60" w:line="240" w:lineRule="auto"/>
              <w:rPr>
                <w:rFonts w:ascii="Calibri" w:eastAsia="Times New Roman" w:hAnsi="Calibri" w:cs="Times New Roman"/>
                <w:b/>
                <w:sz w:val="18"/>
                <w:szCs w:val="18"/>
              </w:rPr>
            </w:pPr>
          </w:p>
          <w:p w14:paraId="79222F68" w14:textId="77777777" w:rsidR="008575F1" w:rsidRDefault="008575F1" w:rsidP="0060581C">
            <w:pPr>
              <w:spacing w:before="120" w:after="60" w:line="240" w:lineRule="auto"/>
              <w:rPr>
                <w:rFonts w:ascii="Calibri" w:eastAsia="Times New Roman" w:hAnsi="Calibri" w:cs="Times New Roman"/>
                <w:b/>
                <w:sz w:val="18"/>
                <w:szCs w:val="18"/>
              </w:rPr>
            </w:pPr>
          </w:p>
          <w:p w14:paraId="2F81AB88" w14:textId="77777777" w:rsidR="008575F1" w:rsidRDefault="008575F1" w:rsidP="0060581C">
            <w:pPr>
              <w:spacing w:before="120" w:after="60" w:line="240" w:lineRule="auto"/>
              <w:rPr>
                <w:rFonts w:ascii="Calibri" w:eastAsia="Times New Roman" w:hAnsi="Calibri" w:cs="Times New Roman"/>
                <w:b/>
                <w:sz w:val="18"/>
                <w:szCs w:val="18"/>
              </w:rPr>
            </w:pPr>
          </w:p>
          <w:p w14:paraId="1C9E58E6" w14:textId="77777777" w:rsidR="008575F1" w:rsidRDefault="008575F1" w:rsidP="0060581C">
            <w:pPr>
              <w:spacing w:before="120" w:after="60" w:line="240" w:lineRule="auto"/>
              <w:rPr>
                <w:rFonts w:ascii="Calibri" w:eastAsia="Times New Roman" w:hAnsi="Calibri" w:cs="Times New Roman"/>
                <w:b/>
                <w:sz w:val="18"/>
                <w:szCs w:val="18"/>
              </w:rPr>
            </w:pPr>
          </w:p>
          <w:p w14:paraId="01C536E4" w14:textId="77777777" w:rsidR="008575F1" w:rsidRDefault="008575F1" w:rsidP="0060581C">
            <w:pPr>
              <w:spacing w:before="120" w:after="60" w:line="240" w:lineRule="auto"/>
              <w:rPr>
                <w:rFonts w:ascii="Calibri" w:eastAsia="Times New Roman" w:hAnsi="Calibri" w:cs="Times New Roman"/>
                <w:b/>
                <w:sz w:val="18"/>
                <w:szCs w:val="18"/>
              </w:rPr>
            </w:pPr>
          </w:p>
          <w:p w14:paraId="05D77950" w14:textId="77777777" w:rsidR="008575F1" w:rsidRDefault="008575F1" w:rsidP="0060581C">
            <w:pPr>
              <w:spacing w:before="120" w:after="60" w:line="240" w:lineRule="auto"/>
              <w:rPr>
                <w:rFonts w:ascii="Calibri" w:eastAsia="Times New Roman" w:hAnsi="Calibri" w:cs="Times New Roman"/>
                <w:b/>
                <w:sz w:val="18"/>
                <w:szCs w:val="18"/>
              </w:rPr>
            </w:pPr>
          </w:p>
          <w:p w14:paraId="3655932F" w14:textId="77777777" w:rsidR="008575F1" w:rsidRDefault="008575F1" w:rsidP="0060581C">
            <w:pPr>
              <w:spacing w:before="120" w:after="60" w:line="240" w:lineRule="auto"/>
              <w:rPr>
                <w:rFonts w:ascii="Calibri" w:eastAsia="Times New Roman" w:hAnsi="Calibri" w:cs="Times New Roman"/>
                <w:b/>
                <w:sz w:val="18"/>
                <w:szCs w:val="18"/>
              </w:rPr>
            </w:pPr>
          </w:p>
          <w:p w14:paraId="0BFC477D" w14:textId="77777777" w:rsidR="008575F1" w:rsidRDefault="008575F1" w:rsidP="0060581C">
            <w:pPr>
              <w:spacing w:before="120" w:after="60" w:line="240" w:lineRule="auto"/>
              <w:rPr>
                <w:rFonts w:ascii="Calibri" w:eastAsia="Times New Roman" w:hAnsi="Calibri" w:cs="Times New Roman"/>
                <w:b/>
                <w:sz w:val="18"/>
                <w:szCs w:val="18"/>
              </w:rPr>
            </w:pPr>
          </w:p>
          <w:p w14:paraId="684F2D4C" w14:textId="77777777" w:rsidR="008575F1" w:rsidRDefault="008575F1" w:rsidP="0060581C">
            <w:pPr>
              <w:spacing w:before="120" w:after="60" w:line="240" w:lineRule="auto"/>
              <w:rPr>
                <w:rFonts w:ascii="Calibri" w:eastAsia="Times New Roman" w:hAnsi="Calibri" w:cs="Times New Roman"/>
                <w:b/>
                <w:sz w:val="18"/>
                <w:szCs w:val="18"/>
              </w:rPr>
            </w:pPr>
          </w:p>
          <w:p w14:paraId="4089A0DD" w14:textId="77777777" w:rsidR="008575F1" w:rsidRDefault="008575F1" w:rsidP="0060581C">
            <w:pPr>
              <w:spacing w:before="120" w:after="60" w:line="240" w:lineRule="auto"/>
              <w:rPr>
                <w:rFonts w:ascii="Calibri" w:eastAsia="Times New Roman" w:hAnsi="Calibri" w:cs="Times New Roman"/>
                <w:b/>
                <w:sz w:val="18"/>
                <w:szCs w:val="18"/>
              </w:rPr>
            </w:pPr>
          </w:p>
          <w:p w14:paraId="7AED1978" w14:textId="77777777" w:rsidR="008575F1" w:rsidRDefault="008575F1" w:rsidP="0060581C">
            <w:pPr>
              <w:spacing w:before="120" w:after="60" w:line="240" w:lineRule="auto"/>
              <w:rPr>
                <w:rFonts w:ascii="Calibri" w:eastAsia="Times New Roman" w:hAnsi="Calibri" w:cs="Times New Roman"/>
                <w:b/>
                <w:sz w:val="18"/>
                <w:szCs w:val="18"/>
              </w:rPr>
            </w:pPr>
          </w:p>
          <w:p w14:paraId="62AA5F1C" w14:textId="14DF2873" w:rsidR="008575F1" w:rsidRPr="00DE11B1" w:rsidRDefault="00156A47" w:rsidP="006C256C">
            <w:pPr>
              <w:tabs>
                <w:tab w:val="center" w:pos="884"/>
              </w:tabs>
              <w:spacing w:before="120" w:after="60" w:line="240" w:lineRule="auto"/>
              <w:rPr>
                <w:rFonts w:ascii="Calibri" w:eastAsia="Times New Roman" w:hAnsi="Calibri" w:cs="Times New Roman"/>
                <w:b/>
                <w:sz w:val="18"/>
                <w:szCs w:val="18"/>
              </w:rPr>
            </w:pPr>
            <w:r>
              <w:rPr>
                <w:rFonts w:ascii="Calibri" w:eastAsia="Times New Roman" w:hAnsi="Calibri" w:cs="Times New Roman"/>
                <w:b/>
                <w:sz w:val="18"/>
                <w:szCs w:val="18"/>
              </w:rPr>
              <w:tab/>
            </w:r>
          </w:p>
        </w:tc>
        <w:tc>
          <w:tcPr>
            <w:tcW w:w="3119" w:type="dxa"/>
            <w:shd w:val="clear" w:color="auto" w:fill="DEEAF6" w:themeFill="accent1" w:themeFillTint="33"/>
          </w:tcPr>
          <w:p w14:paraId="3D0FAA0F" w14:textId="1A7DBE44" w:rsidR="00DE11B1" w:rsidRPr="00DE11B1" w:rsidRDefault="00156A47" w:rsidP="0060581C">
            <w:pPr>
              <w:spacing w:before="120" w:after="60" w:line="240" w:lineRule="auto"/>
              <w:rPr>
                <w:rFonts w:ascii="Calibri" w:eastAsia="Times New Roman" w:hAnsi="Calibri" w:cs="Times New Roman"/>
                <w:b/>
                <w:sz w:val="18"/>
                <w:szCs w:val="18"/>
              </w:rPr>
            </w:pPr>
            <w:r>
              <w:rPr>
                <w:rFonts w:ascii="Calibri" w:eastAsia="Times New Roman" w:hAnsi="Calibri" w:cs="Times New Roman"/>
                <w:b/>
                <w:sz w:val="18"/>
                <w:szCs w:val="18"/>
              </w:rPr>
              <w:t>(a</w:t>
            </w:r>
            <w:r w:rsidR="00DE11B1" w:rsidRPr="00DE11B1">
              <w:rPr>
                <w:rFonts w:ascii="Calibri" w:eastAsia="Times New Roman" w:hAnsi="Calibri" w:cs="Times New Roman"/>
                <w:b/>
                <w:sz w:val="18"/>
                <w:szCs w:val="18"/>
              </w:rPr>
              <w:t xml:space="preserve">)  </w:t>
            </w:r>
            <w:r w:rsidR="00DE11B1" w:rsidRPr="00DE11B1">
              <w:rPr>
                <w:rFonts w:ascii="Calibri" w:eastAsia="Times New Roman" w:hAnsi="Calibri" w:cs="Times New Roman"/>
                <w:b/>
                <w:sz w:val="18"/>
                <w:szCs w:val="18"/>
                <w:u w:val="single"/>
              </w:rPr>
              <w:t>Is the disclosure in the appropriate entity?</w:t>
            </w:r>
          </w:p>
          <w:p w14:paraId="1CFBE914" w14:textId="3C5C15E3"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The disclosure officer must consider whether the disclosure would be better handled by another entity</w:t>
            </w:r>
          </w:p>
          <w:p w14:paraId="07295FC3" w14:textId="77777777"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Does it relate to another entity’s staff or resources?</w:t>
            </w:r>
          </w:p>
          <w:p w14:paraId="594B77DB" w14:textId="77777777" w:rsidR="00DE11B1" w:rsidRPr="00DE11B1" w:rsidRDefault="00DE11B1" w:rsidP="0060581C">
            <w:pPr>
              <w:spacing w:before="120" w:after="60" w:line="240" w:lineRule="auto"/>
              <w:rPr>
                <w:rFonts w:ascii="Calibri" w:eastAsia="Times New Roman" w:hAnsi="Calibri" w:cs="Times New Roman"/>
                <w:sz w:val="18"/>
                <w:szCs w:val="18"/>
              </w:rPr>
            </w:pPr>
          </w:p>
        </w:tc>
        <w:tc>
          <w:tcPr>
            <w:tcW w:w="4677" w:type="dxa"/>
            <w:shd w:val="clear" w:color="auto" w:fill="DEEAF6" w:themeFill="accent1" w:themeFillTint="33"/>
          </w:tcPr>
          <w:p w14:paraId="3F41F95B" w14:textId="068D38CA"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b/>
                <w:sz w:val="18"/>
                <w:szCs w:val="18"/>
              </w:rPr>
              <w:t xml:space="preserve">If not in appropriate entity → </w:t>
            </w:r>
            <w:r w:rsidR="00171175">
              <w:rPr>
                <w:rFonts w:ascii="Calibri" w:eastAsia="Times New Roman" w:hAnsi="Calibri" w:cs="Times New Roman"/>
                <w:b/>
                <w:sz w:val="18"/>
                <w:szCs w:val="18"/>
              </w:rPr>
              <w:t xml:space="preserve">have </w:t>
            </w:r>
            <w:r w:rsidRPr="00DE11B1">
              <w:rPr>
                <w:rFonts w:ascii="Calibri" w:eastAsia="Times New Roman" w:hAnsi="Calibri" w:cs="Times New Roman"/>
                <w:b/>
                <w:sz w:val="18"/>
                <w:szCs w:val="18"/>
              </w:rPr>
              <w:t>refer</w:t>
            </w:r>
            <w:r w:rsidR="00171175">
              <w:rPr>
                <w:rFonts w:ascii="Calibri" w:eastAsia="Times New Roman" w:hAnsi="Calibri" w:cs="Times New Roman"/>
                <w:b/>
                <w:sz w:val="18"/>
                <w:szCs w:val="18"/>
              </w:rPr>
              <w:t>red</w:t>
            </w:r>
            <w:r w:rsidRPr="00DE11B1">
              <w:rPr>
                <w:rFonts w:ascii="Calibri" w:eastAsia="Times New Roman" w:hAnsi="Calibri" w:cs="Times New Roman"/>
                <w:b/>
                <w:sz w:val="18"/>
                <w:szCs w:val="18"/>
              </w:rPr>
              <w:t>.</w:t>
            </w:r>
          </w:p>
          <w:p w14:paraId="6107E801" w14:textId="762FF6BD" w:rsidR="00DE11B1" w:rsidRPr="00DE11B1" w:rsidRDefault="00DE11B1" w:rsidP="00AA5B1C">
            <w:pPr>
              <w:numPr>
                <w:ilvl w:val="0"/>
                <w:numId w:val="19"/>
              </w:numPr>
              <w:spacing w:before="120" w:after="60" w:line="240" w:lineRule="auto"/>
              <w:ind w:left="175" w:hanging="175"/>
              <w:rPr>
                <w:rFonts w:ascii="Calibri" w:eastAsia="Times New Roman" w:hAnsi="Calibri" w:cs="Times New Roman"/>
                <w:sz w:val="18"/>
                <w:szCs w:val="18"/>
              </w:rPr>
            </w:pPr>
            <w:r w:rsidRPr="00DE11B1">
              <w:rPr>
                <w:rFonts w:ascii="Calibri" w:eastAsia="Times New Roman" w:hAnsi="Calibri" w:cs="Times New Roman"/>
                <w:sz w:val="18"/>
                <w:szCs w:val="18"/>
              </w:rPr>
              <w:t>Provide a referral form to notify the other entity of the decision; and</w:t>
            </w:r>
          </w:p>
          <w:p w14:paraId="075C674D" w14:textId="77777777" w:rsidR="00DE11B1" w:rsidRPr="00DE11B1" w:rsidRDefault="00DE11B1" w:rsidP="00AA5B1C">
            <w:pPr>
              <w:numPr>
                <w:ilvl w:val="0"/>
                <w:numId w:val="19"/>
              </w:numPr>
              <w:spacing w:before="120" w:after="60" w:line="240" w:lineRule="auto"/>
              <w:ind w:left="175" w:hanging="175"/>
              <w:rPr>
                <w:rFonts w:ascii="Calibri" w:eastAsia="Times New Roman" w:hAnsi="Calibri" w:cs="Times New Roman"/>
                <w:sz w:val="18"/>
                <w:szCs w:val="18"/>
              </w:rPr>
            </w:pPr>
            <w:r w:rsidRPr="00DE11B1">
              <w:rPr>
                <w:rFonts w:ascii="Calibri" w:eastAsia="Times New Roman" w:hAnsi="Calibri" w:cs="Times New Roman"/>
                <w:sz w:val="18"/>
                <w:szCs w:val="18"/>
              </w:rPr>
              <w:t>notify the discloser and Commissioner of the decision to refer the matter to another entity.</w:t>
            </w:r>
          </w:p>
          <w:p w14:paraId="7EF3AEE4" w14:textId="77777777" w:rsidR="00DE11B1" w:rsidRPr="00DE11B1" w:rsidRDefault="00DE11B1" w:rsidP="0060581C">
            <w:pPr>
              <w:spacing w:before="120" w:after="60" w:line="240" w:lineRule="auto"/>
              <w:rPr>
                <w:rFonts w:ascii="Calibri" w:eastAsia="Times New Roman" w:hAnsi="Calibri" w:cs="Times New Roman"/>
                <w:bCs/>
                <w:color w:val="000000" w:themeColor="text1"/>
                <w:sz w:val="18"/>
                <w:szCs w:val="18"/>
              </w:rPr>
            </w:pPr>
            <w:r w:rsidRPr="00DE11B1">
              <w:rPr>
                <w:rFonts w:ascii="Calibri" w:eastAsia="Times New Roman" w:hAnsi="Calibri" w:cs="Times New Roman"/>
                <w:bCs/>
                <w:color w:val="000000" w:themeColor="text1"/>
                <w:sz w:val="18"/>
                <w:szCs w:val="18"/>
              </w:rPr>
              <w:t xml:space="preserve">This closes the process from the receiving entity’s perspective; however, the disclosure officer will be kept informed as they have now become the </w:t>
            </w:r>
            <w:r w:rsidRPr="00DE11B1">
              <w:rPr>
                <w:rFonts w:ascii="Calibri" w:eastAsia="Times New Roman" w:hAnsi="Calibri" w:cs="Times New Roman"/>
                <w:bCs/>
                <w:i/>
                <w:color w:val="000000" w:themeColor="text1"/>
                <w:sz w:val="18"/>
                <w:szCs w:val="18"/>
              </w:rPr>
              <w:t>referring entity</w:t>
            </w:r>
            <w:r w:rsidRPr="00DE11B1">
              <w:rPr>
                <w:rFonts w:ascii="Calibri" w:eastAsia="Times New Roman" w:hAnsi="Calibri" w:cs="Times New Roman"/>
                <w:bCs/>
                <w:color w:val="000000" w:themeColor="text1"/>
                <w:sz w:val="18"/>
                <w:szCs w:val="18"/>
              </w:rPr>
              <w:t xml:space="preserve"> (Section 22).</w:t>
            </w:r>
          </w:p>
          <w:p w14:paraId="65894A53" w14:textId="0D8D0400" w:rsidR="00DE11B1" w:rsidRPr="00DE11B1" w:rsidRDefault="00DE11B1" w:rsidP="0060581C">
            <w:pPr>
              <w:spacing w:before="120" w:after="60" w:line="240" w:lineRule="auto"/>
              <w:rPr>
                <w:rFonts w:ascii="Calibri" w:eastAsia="Times New Roman" w:hAnsi="Calibri" w:cs="Times New Roman"/>
                <w:bCs/>
                <w:sz w:val="18"/>
                <w:szCs w:val="18"/>
              </w:rPr>
            </w:pPr>
            <w:r w:rsidRPr="00DE11B1">
              <w:rPr>
                <w:rFonts w:ascii="Calibri" w:eastAsia="Times New Roman" w:hAnsi="Calibri" w:cs="Times New Roman"/>
                <w:sz w:val="18"/>
                <w:szCs w:val="18"/>
              </w:rPr>
              <w:t>If the disclosure is within the appropriate e</w:t>
            </w:r>
            <w:r w:rsidR="006C0540">
              <w:rPr>
                <w:rFonts w:ascii="Calibri" w:eastAsia="Times New Roman" w:hAnsi="Calibri" w:cs="Times New Roman"/>
                <w:sz w:val="18"/>
                <w:szCs w:val="18"/>
              </w:rPr>
              <w:t>ntity, move to assessment step 3(b)</w:t>
            </w:r>
            <w:r w:rsidRPr="00DE11B1">
              <w:rPr>
                <w:rFonts w:ascii="Calibri" w:eastAsia="Times New Roman" w:hAnsi="Calibri" w:cs="Times New Roman"/>
                <w:sz w:val="18"/>
                <w:szCs w:val="18"/>
              </w:rPr>
              <w:t>.</w:t>
            </w:r>
          </w:p>
        </w:tc>
      </w:tr>
      <w:tr w:rsidR="00DE11B1" w:rsidRPr="00DE11B1" w14:paraId="29F89106" w14:textId="77777777" w:rsidTr="00156A47">
        <w:tc>
          <w:tcPr>
            <w:tcW w:w="1985" w:type="dxa"/>
            <w:vMerge/>
            <w:shd w:val="clear" w:color="auto" w:fill="DEEAF6" w:themeFill="accent1" w:themeFillTint="33"/>
          </w:tcPr>
          <w:p w14:paraId="02F54F4A" w14:textId="77777777" w:rsidR="00DE11B1" w:rsidRPr="00DE11B1" w:rsidRDefault="00DE11B1" w:rsidP="0060581C">
            <w:pPr>
              <w:spacing w:before="120" w:after="60" w:line="240" w:lineRule="auto"/>
              <w:rPr>
                <w:rFonts w:ascii="Calibri" w:eastAsia="Times New Roman" w:hAnsi="Calibri" w:cs="Times New Roman"/>
                <w:sz w:val="18"/>
                <w:szCs w:val="18"/>
              </w:rPr>
            </w:pPr>
          </w:p>
        </w:tc>
        <w:tc>
          <w:tcPr>
            <w:tcW w:w="3119" w:type="dxa"/>
            <w:shd w:val="clear" w:color="auto" w:fill="DEEAF6" w:themeFill="accent1" w:themeFillTint="33"/>
          </w:tcPr>
          <w:p w14:paraId="17EF7352" w14:textId="3B8A8067" w:rsidR="00DE11B1" w:rsidRPr="00DE11B1" w:rsidRDefault="00156A47" w:rsidP="0060581C">
            <w:pPr>
              <w:spacing w:before="120" w:after="60" w:line="240" w:lineRule="auto"/>
              <w:rPr>
                <w:rFonts w:ascii="Calibri" w:eastAsia="Times New Roman" w:hAnsi="Calibri" w:cs="Times New Roman"/>
                <w:b/>
                <w:sz w:val="18"/>
                <w:szCs w:val="18"/>
                <w:u w:val="single"/>
              </w:rPr>
            </w:pPr>
            <w:r>
              <w:rPr>
                <w:rFonts w:ascii="Calibri" w:eastAsia="Times New Roman" w:hAnsi="Calibri" w:cs="Times New Roman"/>
                <w:b/>
                <w:sz w:val="18"/>
                <w:szCs w:val="18"/>
              </w:rPr>
              <w:t>(b</w:t>
            </w:r>
            <w:r w:rsidR="00DE11B1" w:rsidRPr="00DE11B1">
              <w:rPr>
                <w:rFonts w:ascii="Calibri" w:eastAsia="Times New Roman" w:hAnsi="Calibri" w:cs="Times New Roman"/>
                <w:b/>
                <w:sz w:val="18"/>
                <w:szCs w:val="18"/>
              </w:rPr>
              <w:t xml:space="preserve">) </w:t>
            </w:r>
            <w:r w:rsidR="00DE11B1" w:rsidRPr="00DE11B1">
              <w:rPr>
                <w:rFonts w:ascii="Calibri" w:eastAsia="Times New Roman" w:hAnsi="Calibri" w:cs="Times New Roman"/>
                <w:b/>
                <w:sz w:val="18"/>
                <w:szCs w:val="18"/>
                <w:u w:val="single"/>
              </w:rPr>
              <w:t xml:space="preserve"> Is the disclosure about </w:t>
            </w:r>
            <w:r w:rsidR="00DE11B1" w:rsidRPr="00DE11B1">
              <w:rPr>
                <w:rFonts w:ascii="Calibri" w:eastAsia="Times New Roman" w:hAnsi="Calibri" w:cs="Times New Roman"/>
                <w:b/>
                <w:i/>
                <w:sz w:val="18"/>
                <w:szCs w:val="18"/>
                <w:u w:val="single"/>
              </w:rPr>
              <w:t>disclosable conduct</w:t>
            </w:r>
            <w:r w:rsidR="00DE11B1" w:rsidRPr="00DE11B1">
              <w:rPr>
                <w:rFonts w:ascii="Calibri" w:eastAsia="Times New Roman" w:hAnsi="Calibri" w:cs="Times New Roman"/>
                <w:b/>
                <w:sz w:val="18"/>
                <w:szCs w:val="18"/>
                <w:u w:val="single"/>
              </w:rPr>
              <w:t>?</w:t>
            </w:r>
          </w:p>
          <w:p w14:paraId="5827D56D" w14:textId="58F94796"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It is </w:t>
            </w:r>
            <w:r w:rsidR="000D4019">
              <w:rPr>
                <w:rFonts w:ascii="Calibri" w:eastAsia="Times New Roman" w:hAnsi="Calibri" w:cs="Times New Roman"/>
                <w:b/>
                <w:sz w:val="18"/>
                <w:szCs w:val="18"/>
              </w:rPr>
              <w:t>critical</w:t>
            </w:r>
            <w:r w:rsidRPr="00DE11B1">
              <w:rPr>
                <w:rFonts w:ascii="Calibri" w:eastAsia="Times New Roman" w:hAnsi="Calibri" w:cs="Times New Roman"/>
                <w:sz w:val="18"/>
                <w:szCs w:val="18"/>
              </w:rPr>
              <w:t xml:space="preserve"> for the disclosure officer to make a decision as to whether the disclosure is in-fact a PID and subject to requirements of the Act.</w:t>
            </w:r>
          </w:p>
          <w:p w14:paraId="0B338FC4" w14:textId="77777777" w:rsidR="00DE11B1" w:rsidRPr="00DE11B1" w:rsidRDefault="00DE11B1" w:rsidP="0060581C">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t>If in doubt, consult with the office of the Commissioner or seek legal advice from GSO.</w:t>
            </w:r>
          </w:p>
          <w:p w14:paraId="541F0B86" w14:textId="77777777" w:rsidR="00DE11B1" w:rsidRPr="00DE11B1" w:rsidRDefault="00DE11B1" w:rsidP="0060581C">
            <w:pPr>
              <w:spacing w:before="120" w:after="60" w:line="240" w:lineRule="auto"/>
              <w:rPr>
                <w:rFonts w:ascii="Calibri" w:eastAsia="Times New Roman" w:hAnsi="Calibri" w:cs="Times New Roman"/>
                <w:b/>
                <w:sz w:val="18"/>
                <w:szCs w:val="18"/>
              </w:rPr>
            </w:pPr>
          </w:p>
          <w:p w14:paraId="4609EBCC" w14:textId="77777777" w:rsidR="00DE11B1" w:rsidRPr="00DE11B1" w:rsidRDefault="00DE11B1" w:rsidP="0060581C">
            <w:pPr>
              <w:spacing w:before="120" w:after="60" w:line="240" w:lineRule="auto"/>
              <w:rPr>
                <w:rFonts w:ascii="Calibri" w:eastAsia="Times New Roman" w:hAnsi="Calibri" w:cs="Times New Roman"/>
                <w:b/>
                <w:sz w:val="18"/>
                <w:szCs w:val="18"/>
              </w:rPr>
            </w:pPr>
          </w:p>
        </w:tc>
        <w:tc>
          <w:tcPr>
            <w:tcW w:w="4677" w:type="dxa"/>
            <w:shd w:val="clear" w:color="auto" w:fill="DEEAF6" w:themeFill="accent1" w:themeFillTint="33"/>
          </w:tcPr>
          <w:p w14:paraId="05A7BBF7" w14:textId="77777777"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bCs/>
                <w:sz w:val="18"/>
                <w:szCs w:val="18"/>
              </w:rPr>
              <w:t xml:space="preserve"> </w:t>
            </w:r>
            <w:r w:rsidRPr="00DE11B1">
              <w:rPr>
                <w:rFonts w:ascii="Calibri" w:eastAsia="Times New Roman" w:hAnsi="Calibri" w:cs="Times New Roman"/>
                <w:b/>
                <w:sz w:val="18"/>
                <w:szCs w:val="18"/>
              </w:rPr>
              <w:t>If yes</w:t>
            </w:r>
            <w:r w:rsidRPr="00DE11B1">
              <w:rPr>
                <w:rFonts w:ascii="Calibri" w:eastAsia="Times New Roman" w:hAnsi="Calibri" w:cs="Times New Roman"/>
                <w:sz w:val="18"/>
                <w:szCs w:val="18"/>
              </w:rPr>
              <w:t>:</w:t>
            </w:r>
          </w:p>
          <w:p w14:paraId="0EE2B7D1" w14:textId="77777777" w:rsidR="00DE11B1" w:rsidRPr="00DE11B1" w:rsidRDefault="00DE11B1" w:rsidP="0060581C">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Disclosure officer must provide a copy of the PID to:</w:t>
            </w:r>
          </w:p>
          <w:p w14:paraId="2AB29289" w14:textId="77777777" w:rsidR="00DE11B1" w:rsidRPr="00DE11B1" w:rsidRDefault="00DE11B1" w:rsidP="00AA5B1C">
            <w:pPr>
              <w:numPr>
                <w:ilvl w:val="0"/>
                <w:numId w:val="17"/>
              </w:numPr>
              <w:spacing w:before="120" w:after="60" w:line="240" w:lineRule="auto"/>
              <w:ind w:left="176" w:hanging="142"/>
              <w:rPr>
                <w:rFonts w:ascii="Calibri" w:eastAsia="Times New Roman" w:hAnsi="Calibri" w:cs="Times New Roman"/>
                <w:sz w:val="18"/>
                <w:szCs w:val="18"/>
              </w:rPr>
            </w:pPr>
            <w:r w:rsidRPr="00DE11B1">
              <w:rPr>
                <w:rFonts w:ascii="Calibri" w:eastAsia="Times New Roman" w:hAnsi="Calibri" w:cs="Times New Roman"/>
                <w:sz w:val="18"/>
                <w:szCs w:val="18"/>
              </w:rPr>
              <w:t>The head of each entity to which the PID relates; and</w:t>
            </w:r>
          </w:p>
          <w:p w14:paraId="670306AE" w14:textId="7638E18D" w:rsidR="00DE11B1" w:rsidRPr="006C256C" w:rsidRDefault="00DE11B1" w:rsidP="006C256C">
            <w:pPr>
              <w:numPr>
                <w:ilvl w:val="0"/>
                <w:numId w:val="17"/>
              </w:numPr>
              <w:spacing w:before="120" w:after="60" w:line="240" w:lineRule="auto"/>
              <w:ind w:left="176" w:hanging="142"/>
              <w:rPr>
                <w:rFonts w:ascii="Calibri" w:eastAsia="Times New Roman" w:hAnsi="Calibri" w:cs="Times New Roman"/>
                <w:sz w:val="18"/>
                <w:szCs w:val="18"/>
              </w:rPr>
            </w:pPr>
            <w:r w:rsidRPr="00DE11B1">
              <w:rPr>
                <w:rFonts w:ascii="Calibri" w:eastAsia="Times New Roman" w:hAnsi="Calibri" w:cs="Times New Roman"/>
                <w:sz w:val="18"/>
                <w:szCs w:val="18"/>
              </w:rPr>
              <w:t>The Commissioner.</w:t>
            </w:r>
          </w:p>
          <w:p w14:paraId="7A242B15" w14:textId="17C122CF" w:rsidR="00DE11B1" w:rsidRPr="00DE11B1" w:rsidRDefault="00DE11B1" w:rsidP="0060581C">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t xml:space="preserve">If </w:t>
            </w:r>
            <w:r w:rsidR="006C256C">
              <w:rPr>
                <w:rFonts w:ascii="Calibri" w:eastAsia="Times New Roman" w:hAnsi="Calibri" w:cs="Times New Roman"/>
                <w:b/>
                <w:sz w:val="18"/>
                <w:szCs w:val="18"/>
              </w:rPr>
              <w:t xml:space="preserve">assessed as </w:t>
            </w:r>
            <w:r w:rsidRPr="00DE11B1">
              <w:rPr>
                <w:rFonts w:ascii="Calibri" w:eastAsia="Times New Roman" w:hAnsi="Calibri" w:cs="Times New Roman"/>
                <w:b/>
                <w:sz w:val="18"/>
                <w:szCs w:val="18"/>
              </w:rPr>
              <w:t xml:space="preserve">not </w:t>
            </w:r>
            <w:r w:rsidR="006C256C">
              <w:rPr>
                <w:rFonts w:ascii="Calibri" w:eastAsia="Times New Roman" w:hAnsi="Calibri" w:cs="Times New Roman"/>
                <w:b/>
                <w:sz w:val="18"/>
                <w:szCs w:val="18"/>
              </w:rPr>
              <w:t xml:space="preserve">being </w:t>
            </w:r>
            <w:r w:rsidRPr="00DE11B1">
              <w:rPr>
                <w:rFonts w:ascii="Calibri" w:eastAsia="Times New Roman" w:hAnsi="Calibri" w:cs="Times New Roman"/>
                <w:b/>
                <w:sz w:val="18"/>
                <w:szCs w:val="18"/>
              </w:rPr>
              <w:t>a PID:</w:t>
            </w:r>
          </w:p>
          <w:p w14:paraId="5895B7B8" w14:textId="77777777" w:rsidR="00DE11B1" w:rsidRPr="00DE11B1" w:rsidRDefault="00DE11B1" w:rsidP="0060581C">
            <w:pPr>
              <w:spacing w:before="120" w:after="60" w:line="240" w:lineRule="auto"/>
              <w:rPr>
                <w:rFonts w:ascii="Calibri" w:eastAsia="Times New Roman" w:hAnsi="Calibri" w:cs="Times New Roman"/>
                <w:bCs/>
                <w:sz w:val="18"/>
                <w:szCs w:val="18"/>
              </w:rPr>
            </w:pPr>
            <w:r w:rsidRPr="00DE11B1">
              <w:rPr>
                <w:rFonts w:ascii="Calibri" w:eastAsia="Times New Roman" w:hAnsi="Calibri" w:cs="Times New Roman"/>
                <w:sz w:val="18"/>
                <w:szCs w:val="18"/>
              </w:rPr>
              <w:t xml:space="preserve">The disclosure officer must </w:t>
            </w:r>
            <w:r w:rsidRPr="00DE11B1">
              <w:rPr>
                <w:rFonts w:ascii="Calibri" w:eastAsia="Times New Roman" w:hAnsi="Calibri" w:cs="Times New Roman"/>
                <w:bCs/>
                <w:sz w:val="18"/>
                <w:szCs w:val="18"/>
              </w:rPr>
              <w:t xml:space="preserve">write to the discloser explaining why their disclosure is not a PID and advise the discloser of other avenues for their complaint to be examined </w:t>
            </w:r>
            <w:proofErr w:type="spellStart"/>
            <w:r w:rsidRPr="00DE11B1">
              <w:rPr>
                <w:rFonts w:ascii="Calibri" w:eastAsia="Times New Roman" w:hAnsi="Calibri" w:cs="Times New Roman"/>
                <w:bCs/>
                <w:sz w:val="18"/>
                <w:szCs w:val="18"/>
              </w:rPr>
              <w:t>eg.</w:t>
            </w:r>
            <w:proofErr w:type="spellEnd"/>
            <w:r w:rsidRPr="00DE11B1">
              <w:rPr>
                <w:rFonts w:ascii="Calibri" w:eastAsia="Times New Roman" w:hAnsi="Calibri" w:cs="Times New Roman"/>
                <w:bCs/>
                <w:sz w:val="18"/>
                <w:szCs w:val="18"/>
              </w:rPr>
              <w:t xml:space="preserve"> Internal review, WorkSafe ACT, misconduct process, etc .  A copy of the letter should be provided to the Commissioner.     </w:t>
            </w:r>
          </w:p>
          <w:p w14:paraId="02B5E7B0" w14:textId="77777777" w:rsidR="0026406B" w:rsidRDefault="0026406B" w:rsidP="0060581C">
            <w:pPr>
              <w:spacing w:before="120" w:after="60" w:line="240" w:lineRule="auto"/>
              <w:rPr>
                <w:rFonts w:ascii="Calibri" w:eastAsia="Times New Roman" w:hAnsi="Calibri" w:cs="Times New Roman"/>
                <w:b/>
                <w:bCs/>
                <w:sz w:val="18"/>
                <w:szCs w:val="18"/>
              </w:rPr>
            </w:pPr>
            <w:r>
              <w:rPr>
                <w:rFonts w:ascii="Calibri" w:eastAsia="Times New Roman" w:hAnsi="Calibri" w:cs="Times New Roman"/>
                <w:b/>
                <w:bCs/>
                <w:sz w:val="18"/>
                <w:szCs w:val="18"/>
              </w:rPr>
              <w:t>The disclosure officer must consider whether the allegations require inves</w:t>
            </w:r>
            <w:r w:rsidR="00D6174D">
              <w:rPr>
                <w:rFonts w:ascii="Calibri" w:eastAsia="Times New Roman" w:hAnsi="Calibri" w:cs="Times New Roman"/>
                <w:b/>
                <w:bCs/>
                <w:sz w:val="18"/>
                <w:szCs w:val="18"/>
              </w:rPr>
              <w:t>tigation as a misconduct matter or through other means.</w:t>
            </w:r>
          </w:p>
          <w:p w14:paraId="0944A848" w14:textId="67612541" w:rsidR="00DE11B1" w:rsidRPr="00DE11B1" w:rsidRDefault="0026406B" w:rsidP="006C256C">
            <w:pPr>
              <w:spacing w:before="120" w:after="60" w:line="240" w:lineRule="auto"/>
              <w:rPr>
                <w:rFonts w:ascii="Calibri" w:eastAsia="Times New Roman" w:hAnsi="Calibri" w:cs="Times New Roman"/>
                <w:b/>
                <w:bCs/>
                <w:color w:val="7030A0"/>
                <w:sz w:val="18"/>
                <w:szCs w:val="18"/>
              </w:rPr>
            </w:pPr>
            <w:r w:rsidRPr="0026406B">
              <w:rPr>
                <w:rFonts w:ascii="Calibri" w:eastAsia="Times New Roman" w:hAnsi="Calibri" w:cs="Times New Roman"/>
                <w:b/>
                <w:bCs/>
                <w:sz w:val="18"/>
                <w:szCs w:val="18"/>
              </w:rPr>
              <w:t>Note:  The discloser must be notified within three months after the day the disclosure is made whether or not their disclosure will be investigated or dealt with under the Public Interest Disclosure A</w:t>
            </w:r>
            <w:r>
              <w:rPr>
                <w:rFonts w:ascii="Calibri" w:eastAsia="Times New Roman" w:hAnsi="Calibri" w:cs="Times New Roman"/>
                <w:b/>
                <w:bCs/>
                <w:sz w:val="18"/>
                <w:szCs w:val="18"/>
              </w:rPr>
              <w:t>ct 2012.</w:t>
            </w:r>
          </w:p>
        </w:tc>
      </w:tr>
      <w:tr w:rsidR="00156A47" w:rsidRPr="00DE11B1" w14:paraId="62441217" w14:textId="77777777" w:rsidTr="00156A47">
        <w:trPr>
          <w:trHeight w:val="620"/>
        </w:trPr>
        <w:tc>
          <w:tcPr>
            <w:tcW w:w="1985" w:type="dxa"/>
            <w:vMerge w:val="restart"/>
            <w:shd w:val="clear" w:color="auto" w:fill="BDD6EE" w:themeFill="accent1" w:themeFillTint="66"/>
          </w:tcPr>
          <w:p w14:paraId="74FFEFDA" w14:textId="28CCB559" w:rsidR="00156A47" w:rsidRPr="004638D2" w:rsidRDefault="00156A47" w:rsidP="00156A47">
            <w:pPr>
              <w:spacing w:before="120" w:after="60" w:line="240" w:lineRule="auto"/>
              <w:rPr>
                <w:rFonts w:ascii="Calibri" w:eastAsia="Times New Roman" w:hAnsi="Calibri" w:cs="Times New Roman"/>
                <w:b/>
                <w:sz w:val="18"/>
                <w:szCs w:val="18"/>
              </w:rPr>
            </w:pPr>
            <w:r w:rsidRPr="004638D2">
              <w:rPr>
                <w:rFonts w:ascii="Calibri" w:eastAsia="Times New Roman" w:hAnsi="Calibri" w:cs="Times New Roman"/>
                <w:b/>
                <w:sz w:val="18"/>
                <w:szCs w:val="18"/>
              </w:rPr>
              <w:lastRenderedPageBreak/>
              <w:t>4</w:t>
            </w:r>
            <w:r>
              <w:rPr>
                <w:rFonts w:ascii="Calibri" w:eastAsia="Times New Roman" w:hAnsi="Calibri" w:cs="Times New Roman"/>
                <w:b/>
                <w:sz w:val="18"/>
                <w:szCs w:val="18"/>
              </w:rPr>
              <w:t xml:space="preserve">: </w:t>
            </w:r>
            <w:r w:rsidR="00CE73FE">
              <w:rPr>
                <w:rFonts w:ascii="Calibri" w:eastAsia="Times New Roman" w:hAnsi="Calibri" w:cs="Times New Roman"/>
                <w:b/>
                <w:sz w:val="18"/>
                <w:szCs w:val="18"/>
              </w:rPr>
              <w:t>DETERMINE IF INVESTIGATION IS REQUIRED</w:t>
            </w:r>
            <w:r>
              <w:rPr>
                <w:rFonts w:ascii="Calibri" w:eastAsia="Times New Roman" w:hAnsi="Calibri" w:cs="Times New Roman"/>
                <w:b/>
                <w:sz w:val="18"/>
                <w:szCs w:val="18"/>
              </w:rPr>
              <w:t>.</w:t>
            </w:r>
          </w:p>
          <w:p w14:paraId="19A16C7E" w14:textId="77777777" w:rsidR="00156A47" w:rsidRDefault="00156A47" w:rsidP="00156A47">
            <w:pPr>
              <w:spacing w:before="120" w:after="60" w:line="240" w:lineRule="auto"/>
              <w:rPr>
                <w:rFonts w:ascii="Calibri" w:eastAsia="Times New Roman" w:hAnsi="Calibri" w:cs="Times New Roman"/>
                <w:b/>
                <w:i/>
                <w:sz w:val="18"/>
                <w:szCs w:val="18"/>
              </w:rPr>
            </w:pPr>
          </w:p>
          <w:p w14:paraId="60CBDFA2" w14:textId="77777777" w:rsidR="00156A47" w:rsidRPr="00F574A1" w:rsidRDefault="00156A47" w:rsidP="00156A47">
            <w:pPr>
              <w:spacing w:before="120" w:after="60" w:line="240" w:lineRule="auto"/>
              <w:rPr>
                <w:rFonts w:ascii="Calibri" w:eastAsia="Times New Roman" w:hAnsi="Calibri" w:cs="Times New Roman"/>
                <w:b/>
                <w:i/>
                <w:sz w:val="18"/>
                <w:szCs w:val="18"/>
              </w:rPr>
            </w:pPr>
            <w:r w:rsidRPr="00F574A1">
              <w:rPr>
                <w:rFonts w:ascii="Calibri" w:eastAsia="Times New Roman" w:hAnsi="Calibri" w:cs="Times New Roman"/>
                <w:b/>
                <w:i/>
                <w:sz w:val="18"/>
                <w:szCs w:val="18"/>
              </w:rPr>
              <w:t>(Investigating Entity)</w:t>
            </w:r>
          </w:p>
          <w:p w14:paraId="6558982C" w14:textId="77777777" w:rsidR="00156A47" w:rsidRPr="00DE11B1" w:rsidRDefault="00156A47" w:rsidP="00156A47">
            <w:pPr>
              <w:spacing w:before="120" w:after="60" w:line="240" w:lineRule="auto"/>
              <w:rPr>
                <w:rFonts w:ascii="Calibri" w:eastAsia="Times New Roman" w:hAnsi="Calibri" w:cs="Times New Roman"/>
                <w:b/>
                <w:sz w:val="18"/>
                <w:szCs w:val="18"/>
              </w:rPr>
            </w:pPr>
          </w:p>
        </w:tc>
        <w:tc>
          <w:tcPr>
            <w:tcW w:w="3119" w:type="dxa"/>
            <w:shd w:val="clear" w:color="auto" w:fill="BDD6EE" w:themeFill="accent1" w:themeFillTint="66"/>
          </w:tcPr>
          <w:p w14:paraId="4B507646" w14:textId="77777777" w:rsidR="00156A47" w:rsidRPr="00DE11B1" w:rsidRDefault="00156A47" w:rsidP="00156A47">
            <w:pPr>
              <w:spacing w:before="120" w:after="60" w:line="240" w:lineRule="auto"/>
              <w:rPr>
                <w:rFonts w:ascii="Calibri" w:eastAsia="Times New Roman" w:hAnsi="Calibri" w:cs="Times New Roman"/>
                <w:b/>
                <w:sz w:val="18"/>
                <w:szCs w:val="18"/>
                <w:u w:val="single"/>
              </w:rPr>
            </w:pPr>
            <w:r w:rsidRPr="00DE11B1">
              <w:rPr>
                <w:rFonts w:ascii="Calibri" w:eastAsia="Times New Roman" w:hAnsi="Calibri" w:cs="Times New Roman"/>
                <w:b/>
                <w:sz w:val="18"/>
                <w:szCs w:val="18"/>
              </w:rPr>
              <w:t xml:space="preserve">(3) </w:t>
            </w:r>
            <w:r w:rsidRPr="00DE11B1">
              <w:rPr>
                <w:rFonts w:ascii="Calibri" w:eastAsia="Times New Roman" w:hAnsi="Calibri" w:cs="Times New Roman"/>
                <w:b/>
                <w:sz w:val="18"/>
                <w:szCs w:val="18"/>
                <w:u w:val="single"/>
              </w:rPr>
              <w:t xml:space="preserve"> Is an investigation required?</w:t>
            </w:r>
          </w:p>
          <w:p w14:paraId="7F229F2D" w14:textId="77777777" w:rsidR="00156A47" w:rsidRDefault="00156A47" w:rsidP="00156A47">
            <w:pPr>
              <w:spacing w:before="120" w:after="60" w:line="240" w:lineRule="auto"/>
              <w:rPr>
                <w:rFonts w:ascii="Calibri" w:eastAsia="Times New Roman" w:hAnsi="Calibri" w:cs="Times New Roman"/>
                <w:sz w:val="18"/>
                <w:szCs w:val="18"/>
              </w:rPr>
            </w:pPr>
          </w:p>
          <w:p w14:paraId="6E417C61" w14:textId="77777777" w:rsidR="00156A47" w:rsidRDefault="00156A47" w:rsidP="00156A47">
            <w:pPr>
              <w:spacing w:before="120" w:after="60" w:line="240" w:lineRule="auto"/>
              <w:rPr>
                <w:rFonts w:ascii="Calibri" w:eastAsia="Times New Roman" w:hAnsi="Calibri" w:cs="Times New Roman"/>
                <w:sz w:val="18"/>
                <w:szCs w:val="18"/>
              </w:rPr>
            </w:pPr>
          </w:p>
          <w:p w14:paraId="12D2AE3F" w14:textId="77777777" w:rsidR="00156A47" w:rsidRPr="00DE11B1" w:rsidRDefault="00156A47" w:rsidP="00156A47">
            <w:pPr>
              <w:spacing w:before="120" w:after="60" w:line="240" w:lineRule="auto"/>
              <w:rPr>
                <w:rFonts w:ascii="Calibri" w:eastAsia="Times New Roman" w:hAnsi="Calibri" w:cs="Times New Roman"/>
                <w:sz w:val="18"/>
                <w:szCs w:val="18"/>
              </w:rPr>
            </w:pPr>
          </w:p>
        </w:tc>
        <w:tc>
          <w:tcPr>
            <w:tcW w:w="4677" w:type="dxa"/>
            <w:shd w:val="clear" w:color="auto" w:fill="BDD6EE" w:themeFill="accent1" w:themeFillTint="66"/>
          </w:tcPr>
          <w:p w14:paraId="37736DB2" w14:textId="5A93CBCC"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Assess allegations and determine if an investigation is required or if no investigation required for reasons listed under section 2</w:t>
            </w:r>
            <w:r>
              <w:rPr>
                <w:rFonts w:ascii="Calibri" w:eastAsia="Times New Roman" w:hAnsi="Calibri" w:cs="Times New Roman"/>
                <w:sz w:val="18"/>
                <w:szCs w:val="18"/>
              </w:rPr>
              <w:t>0 of the Act.</w:t>
            </w:r>
          </w:p>
        </w:tc>
      </w:tr>
      <w:tr w:rsidR="00156A47" w:rsidRPr="00DE11B1" w14:paraId="22A6B8CE" w14:textId="77777777" w:rsidTr="00156A47">
        <w:trPr>
          <w:trHeight w:val="620"/>
        </w:trPr>
        <w:tc>
          <w:tcPr>
            <w:tcW w:w="1985" w:type="dxa"/>
            <w:vMerge/>
            <w:shd w:val="clear" w:color="auto" w:fill="BDD6EE" w:themeFill="accent1" w:themeFillTint="66"/>
          </w:tcPr>
          <w:p w14:paraId="31A7C966" w14:textId="77777777" w:rsidR="00156A47" w:rsidRPr="004638D2" w:rsidRDefault="00156A47" w:rsidP="00156A47">
            <w:pPr>
              <w:spacing w:before="120" w:after="60" w:line="240" w:lineRule="auto"/>
              <w:rPr>
                <w:rFonts w:ascii="Calibri" w:eastAsia="Times New Roman" w:hAnsi="Calibri" w:cs="Times New Roman"/>
                <w:b/>
                <w:sz w:val="18"/>
                <w:szCs w:val="18"/>
              </w:rPr>
            </w:pPr>
          </w:p>
        </w:tc>
        <w:tc>
          <w:tcPr>
            <w:tcW w:w="3119" w:type="dxa"/>
            <w:shd w:val="clear" w:color="auto" w:fill="BDD6EE" w:themeFill="accent1" w:themeFillTint="66"/>
          </w:tcPr>
          <w:p w14:paraId="1DCC13E8" w14:textId="77777777" w:rsidR="00156A47" w:rsidRPr="00DE11B1" w:rsidRDefault="00156A47" w:rsidP="00156A47">
            <w:pPr>
              <w:spacing w:before="120" w:after="60" w:line="240" w:lineRule="auto"/>
              <w:rPr>
                <w:rFonts w:ascii="Calibri" w:eastAsia="Times New Roman" w:hAnsi="Calibri" w:cs="Times New Roman"/>
                <w:sz w:val="18"/>
                <w:szCs w:val="18"/>
                <w:u w:val="single"/>
              </w:rPr>
            </w:pPr>
            <w:r w:rsidRPr="00DE11B1">
              <w:rPr>
                <w:rFonts w:ascii="Calibri" w:eastAsia="Times New Roman" w:hAnsi="Calibri" w:cs="Times New Roman"/>
                <w:sz w:val="18"/>
                <w:szCs w:val="18"/>
              </w:rPr>
              <w:t xml:space="preserve">a) </w:t>
            </w:r>
            <w:r w:rsidRPr="00DE11B1">
              <w:rPr>
                <w:rFonts w:ascii="Calibri" w:eastAsia="Times New Roman" w:hAnsi="Calibri" w:cs="Times New Roman"/>
                <w:sz w:val="18"/>
                <w:szCs w:val="18"/>
                <w:u w:val="single"/>
              </w:rPr>
              <w:t xml:space="preserve"> Investigate</w:t>
            </w:r>
          </w:p>
          <w:p w14:paraId="39247C0E" w14:textId="4DF258B3" w:rsidR="00156A47" w:rsidRPr="00DE11B1" w:rsidRDefault="0008591C" w:rsidP="00156A47">
            <w:pPr>
              <w:spacing w:before="120" w:after="60" w:line="240" w:lineRule="auto"/>
              <w:rPr>
                <w:rFonts w:ascii="Calibri" w:eastAsia="Times New Roman" w:hAnsi="Calibri" w:cs="Times New Roman"/>
                <w:sz w:val="18"/>
                <w:szCs w:val="18"/>
              </w:rPr>
            </w:pPr>
            <w:r>
              <w:rPr>
                <w:rFonts w:ascii="Calibri" w:eastAsia="Times New Roman" w:hAnsi="Calibri" w:cs="Times New Roman"/>
                <w:sz w:val="18"/>
                <w:szCs w:val="18"/>
              </w:rPr>
              <w:t>Upon receipt of a PID, the investigating entity must investigate the allegations, or refer to another entity, as provided in the Act.</w:t>
            </w:r>
          </w:p>
          <w:p w14:paraId="47B7F795" w14:textId="77777777" w:rsidR="00156A47" w:rsidRPr="00DE11B1" w:rsidRDefault="00156A47" w:rsidP="00156A47">
            <w:pPr>
              <w:spacing w:before="120" w:after="60" w:line="240" w:lineRule="auto"/>
              <w:rPr>
                <w:rFonts w:ascii="Calibri" w:eastAsia="Times New Roman" w:hAnsi="Calibri" w:cs="Times New Roman"/>
                <w:sz w:val="18"/>
                <w:szCs w:val="18"/>
              </w:rPr>
            </w:pPr>
          </w:p>
          <w:p w14:paraId="0CE62D4B" w14:textId="77777777" w:rsidR="00156A47" w:rsidRPr="00DE11B1" w:rsidRDefault="00156A47" w:rsidP="00156A47">
            <w:pPr>
              <w:spacing w:before="120" w:after="60" w:line="240" w:lineRule="auto"/>
              <w:rPr>
                <w:rFonts w:ascii="Calibri" w:eastAsia="Times New Roman" w:hAnsi="Calibri" w:cs="Times New Roman"/>
                <w:b/>
                <w:sz w:val="18"/>
                <w:szCs w:val="18"/>
              </w:rPr>
            </w:pPr>
          </w:p>
        </w:tc>
        <w:tc>
          <w:tcPr>
            <w:tcW w:w="4677" w:type="dxa"/>
            <w:shd w:val="clear" w:color="auto" w:fill="BDD6EE" w:themeFill="accent1" w:themeFillTint="66"/>
          </w:tcPr>
          <w:p w14:paraId="2B73AEB4"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The </w:t>
            </w:r>
            <w:r>
              <w:rPr>
                <w:rFonts w:ascii="Calibri" w:eastAsia="Times New Roman" w:hAnsi="Calibri" w:cs="Times New Roman"/>
                <w:sz w:val="18"/>
                <w:szCs w:val="18"/>
              </w:rPr>
              <w:t>investigating entity</w:t>
            </w:r>
            <w:r w:rsidRPr="00DE11B1">
              <w:rPr>
                <w:rFonts w:ascii="Calibri" w:eastAsia="Times New Roman" w:hAnsi="Calibri" w:cs="Times New Roman"/>
                <w:sz w:val="18"/>
                <w:szCs w:val="18"/>
              </w:rPr>
              <w:t xml:space="preserve"> determines: </w:t>
            </w:r>
          </w:p>
          <w:p w14:paraId="1001F12E" w14:textId="77777777" w:rsidR="00156A47" w:rsidRPr="00DE11B1" w:rsidRDefault="00156A47" w:rsidP="00156A47">
            <w:pPr>
              <w:numPr>
                <w:ilvl w:val="0"/>
                <w:numId w:val="20"/>
              </w:numPr>
              <w:spacing w:before="120" w:after="60" w:line="240" w:lineRule="auto"/>
              <w:ind w:left="176" w:hanging="176"/>
              <w:rPr>
                <w:rFonts w:ascii="Calibri" w:eastAsia="Times New Roman" w:hAnsi="Calibri" w:cs="Times New Roman"/>
                <w:sz w:val="18"/>
                <w:szCs w:val="18"/>
              </w:rPr>
            </w:pPr>
            <w:r w:rsidRPr="00DE11B1">
              <w:rPr>
                <w:rFonts w:ascii="Calibri" w:eastAsia="Times New Roman" w:hAnsi="Calibri" w:cs="Times New Roman"/>
                <w:sz w:val="18"/>
                <w:szCs w:val="18"/>
              </w:rPr>
              <w:t xml:space="preserve">the matters to be resolved, </w:t>
            </w:r>
          </w:p>
          <w:p w14:paraId="358E379F" w14:textId="77777777" w:rsidR="00156A47" w:rsidRPr="00DE11B1" w:rsidRDefault="00156A47" w:rsidP="00156A47">
            <w:pPr>
              <w:numPr>
                <w:ilvl w:val="0"/>
                <w:numId w:val="20"/>
              </w:numPr>
              <w:spacing w:before="120" w:after="60" w:line="240" w:lineRule="auto"/>
              <w:ind w:left="176" w:hanging="176"/>
              <w:rPr>
                <w:rFonts w:ascii="Calibri" w:eastAsia="Times New Roman" w:hAnsi="Calibri" w:cs="Times New Roman"/>
                <w:sz w:val="18"/>
                <w:szCs w:val="18"/>
              </w:rPr>
            </w:pPr>
            <w:r w:rsidRPr="00DE11B1">
              <w:rPr>
                <w:rFonts w:ascii="Calibri" w:eastAsia="Times New Roman" w:hAnsi="Calibri" w:cs="Times New Roman"/>
                <w:sz w:val="18"/>
                <w:szCs w:val="18"/>
              </w:rPr>
              <w:t>terms of reference for the investigation (the office of the Commissioner may be consult</w:t>
            </w:r>
            <w:r>
              <w:rPr>
                <w:rFonts w:ascii="Calibri" w:eastAsia="Times New Roman" w:hAnsi="Calibri" w:cs="Times New Roman"/>
                <w:sz w:val="18"/>
                <w:szCs w:val="18"/>
              </w:rPr>
              <w:t>ed</w:t>
            </w:r>
            <w:r w:rsidRPr="00DE11B1">
              <w:rPr>
                <w:rFonts w:ascii="Calibri" w:eastAsia="Times New Roman" w:hAnsi="Calibri" w:cs="Times New Roman"/>
                <w:sz w:val="18"/>
                <w:szCs w:val="18"/>
              </w:rPr>
              <w:t>)</w:t>
            </w:r>
          </w:p>
          <w:p w14:paraId="2BF8944C" w14:textId="77777777" w:rsidR="00156A47" w:rsidRPr="00DE11B1" w:rsidRDefault="00156A47" w:rsidP="00156A47">
            <w:pPr>
              <w:numPr>
                <w:ilvl w:val="0"/>
                <w:numId w:val="20"/>
              </w:numPr>
              <w:spacing w:before="120" w:after="60" w:line="240" w:lineRule="auto"/>
              <w:ind w:left="176" w:hanging="176"/>
              <w:rPr>
                <w:rFonts w:ascii="Calibri" w:eastAsia="Times New Roman" w:hAnsi="Calibri" w:cs="Times New Roman"/>
                <w:sz w:val="18"/>
                <w:szCs w:val="18"/>
              </w:rPr>
            </w:pPr>
            <w:r w:rsidRPr="00DE11B1">
              <w:rPr>
                <w:rFonts w:ascii="Calibri" w:eastAsia="Times New Roman" w:hAnsi="Calibri" w:cs="Times New Roman"/>
                <w:sz w:val="18"/>
                <w:szCs w:val="18"/>
              </w:rPr>
              <w:t>resources required,</w:t>
            </w:r>
          </w:p>
          <w:p w14:paraId="7A5DF0A9" w14:textId="77777777" w:rsidR="00156A47" w:rsidRPr="00DE11B1" w:rsidRDefault="00156A47" w:rsidP="00156A47">
            <w:pPr>
              <w:numPr>
                <w:ilvl w:val="0"/>
                <w:numId w:val="20"/>
              </w:numPr>
              <w:spacing w:before="120" w:after="60" w:line="240" w:lineRule="auto"/>
              <w:ind w:left="176" w:hanging="176"/>
              <w:rPr>
                <w:rFonts w:ascii="Calibri" w:eastAsia="Times New Roman" w:hAnsi="Calibri" w:cs="Times New Roman"/>
                <w:sz w:val="18"/>
                <w:szCs w:val="18"/>
              </w:rPr>
            </w:pPr>
            <w:r w:rsidRPr="00DE11B1">
              <w:rPr>
                <w:rFonts w:ascii="Calibri" w:eastAsia="Times New Roman" w:hAnsi="Calibri" w:cs="Times New Roman"/>
                <w:sz w:val="18"/>
                <w:szCs w:val="18"/>
              </w:rPr>
              <w:t>who will conduct the investigation (internal vs external)</w:t>
            </w:r>
          </w:p>
          <w:p w14:paraId="7564448D" w14:textId="01D50F8E" w:rsidR="00156A47" w:rsidRPr="00DE11B1" w:rsidRDefault="00CE73FE" w:rsidP="00156A47">
            <w:pPr>
              <w:spacing w:before="120" w:after="60" w:line="240" w:lineRule="auto"/>
              <w:rPr>
                <w:rFonts w:ascii="Calibri" w:eastAsia="Times New Roman" w:hAnsi="Calibri" w:cs="Times New Roman"/>
                <w:sz w:val="18"/>
                <w:szCs w:val="18"/>
              </w:rPr>
            </w:pPr>
            <w:r>
              <w:rPr>
                <w:rFonts w:ascii="Calibri" w:eastAsia="Times New Roman" w:hAnsi="Calibri" w:cs="Times New Roman"/>
                <w:i/>
                <w:sz w:val="18"/>
                <w:szCs w:val="18"/>
              </w:rPr>
              <w:t>Move to step 5</w:t>
            </w:r>
            <w:r w:rsidR="00156A47" w:rsidRPr="00DE11B1">
              <w:rPr>
                <w:rFonts w:ascii="Calibri" w:eastAsia="Times New Roman" w:hAnsi="Calibri" w:cs="Times New Roman"/>
                <w:i/>
                <w:sz w:val="18"/>
                <w:szCs w:val="18"/>
              </w:rPr>
              <w:t xml:space="preserve"> </w:t>
            </w:r>
            <w:r w:rsidR="00156A47" w:rsidRPr="00DE11B1">
              <w:rPr>
                <w:rFonts w:ascii="Calibri" w:eastAsia="Times New Roman" w:hAnsi="Calibri" w:cs="Times New Roman"/>
                <w:b/>
                <w:i/>
                <w:sz w:val="18"/>
                <w:szCs w:val="18"/>
              </w:rPr>
              <w:t xml:space="preserve">– </w:t>
            </w:r>
            <w:r w:rsidR="00156A47" w:rsidRPr="00DE11B1">
              <w:rPr>
                <w:rFonts w:ascii="Calibri" w:eastAsia="Times New Roman" w:hAnsi="Calibri" w:cs="Times New Roman"/>
                <w:i/>
                <w:sz w:val="18"/>
                <w:szCs w:val="18"/>
              </w:rPr>
              <w:t>Investigate &amp; Update</w:t>
            </w:r>
          </w:p>
        </w:tc>
      </w:tr>
      <w:tr w:rsidR="00156A47" w:rsidRPr="00DE11B1" w14:paraId="45D258EF" w14:textId="77777777" w:rsidTr="00156A47">
        <w:trPr>
          <w:trHeight w:val="620"/>
        </w:trPr>
        <w:tc>
          <w:tcPr>
            <w:tcW w:w="1985" w:type="dxa"/>
            <w:vMerge/>
            <w:shd w:val="clear" w:color="auto" w:fill="BDD6EE" w:themeFill="accent1" w:themeFillTint="66"/>
          </w:tcPr>
          <w:p w14:paraId="710C79BF" w14:textId="77777777" w:rsidR="00156A47" w:rsidRPr="004638D2" w:rsidRDefault="00156A47" w:rsidP="00156A47">
            <w:pPr>
              <w:spacing w:before="120" w:after="60" w:line="240" w:lineRule="auto"/>
              <w:rPr>
                <w:rFonts w:ascii="Calibri" w:eastAsia="Times New Roman" w:hAnsi="Calibri" w:cs="Times New Roman"/>
                <w:b/>
                <w:sz w:val="18"/>
                <w:szCs w:val="18"/>
              </w:rPr>
            </w:pPr>
          </w:p>
        </w:tc>
        <w:tc>
          <w:tcPr>
            <w:tcW w:w="3119" w:type="dxa"/>
            <w:shd w:val="clear" w:color="auto" w:fill="BDD6EE" w:themeFill="accent1" w:themeFillTint="66"/>
          </w:tcPr>
          <w:p w14:paraId="0D751206" w14:textId="79A576F0" w:rsidR="00156A47" w:rsidRPr="00DE11B1" w:rsidRDefault="00156A47" w:rsidP="00156A47">
            <w:pPr>
              <w:spacing w:before="120" w:after="60" w:line="240" w:lineRule="auto"/>
              <w:rPr>
                <w:rFonts w:ascii="Calibri" w:eastAsia="Times New Roman" w:hAnsi="Calibri" w:cs="Times New Roman"/>
                <w:sz w:val="18"/>
                <w:szCs w:val="18"/>
                <w:u w:val="single"/>
              </w:rPr>
            </w:pPr>
            <w:r w:rsidRPr="00DE11B1">
              <w:rPr>
                <w:rFonts w:ascii="Calibri" w:eastAsia="Times New Roman" w:hAnsi="Calibri" w:cs="Times New Roman"/>
                <w:sz w:val="18"/>
                <w:szCs w:val="18"/>
              </w:rPr>
              <w:t xml:space="preserve">b) </w:t>
            </w:r>
            <w:r w:rsidR="00CE73FE">
              <w:rPr>
                <w:rFonts w:ascii="Calibri" w:eastAsia="Times New Roman" w:hAnsi="Calibri" w:cs="Times New Roman"/>
                <w:sz w:val="18"/>
                <w:szCs w:val="18"/>
                <w:u w:val="single"/>
              </w:rPr>
              <w:t xml:space="preserve"> No </w:t>
            </w:r>
            <w:r w:rsidRPr="00DE11B1">
              <w:rPr>
                <w:rFonts w:ascii="Calibri" w:eastAsia="Times New Roman" w:hAnsi="Calibri" w:cs="Times New Roman"/>
                <w:sz w:val="18"/>
                <w:szCs w:val="18"/>
                <w:u w:val="single"/>
              </w:rPr>
              <w:t>i</w:t>
            </w:r>
            <w:r w:rsidR="00CE73FE">
              <w:rPr>
                <w:rFonts w:ascii="Calibri" w:eastAsia="Times New Roman" w:hAnsi="Calibri" w:cs="Times New Roman"/>
                <w:sz w:val="18"/>
                <w:szCs w:val="18"/>
                <w:u w:val="single"/>
              </w:rPr>
              <w:t>nvestigation required</w:t>
            </w:r>
          </w:p>
          <w:p w14:paraId="5F4116C4"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In certain circumstances the </w:t>
            </w:r>
            <w:r>
              <w:rPr>
                <w:rFonts w:ascii="Calibri" w:eastAsia="Times New Roman" w:hAnsi="Calibri" w:cs="Times New Roman"/>
                <w:sz w:val="18"/>
                <w:szCs w:val="18"/>
              </w:rPr>
              <w:t>investigating entity</w:t>
            </w:r>
            <w:r w:rsidRPr="00DE11B1">
              <w:rPr>
                <w:rFonts w:ascii="Calibri" w:eastAsia="Times New Roman" w:hAnsi="Calibri" w:cs="Times New Roman"/>
                <w:sz w:val="18"/>
                <w:szCs w:val="18"/>
              </w:rPr>
              <w:t xml:space="preserve"> may make a decision not to investigate allegations made in a PID. </w:t>
            </w:r>
          </w:p>
          <w:p w14:paraId="06A77619" w14:textId="77777777" w:rsidR="00156A47" w:rsidRPr="00DE11B1" w:rsidRDefault="00156A47" w:rsidP="00156A47">
            <w:pPr>
              <w:spacing w:before="120" w:after="60" w:line="240" w:lineRule="auto"/>
              <w:rPr>
                <w:rFonts w:ascii="Calibri" w:eastAsia="Times New Roman" w:hAnsi="Calibri" w:cs="Times New Roman"/>
                <w:b/>
                <w:sz w:val="18"/>
                <w:szCs w:val="18"/>
              </w:rPr>
            </w:pPr>
          </w:p>
        </w:tc>
        <w:tc>
          <w:tcPr>
            <w:tcW w:w="4677" w:type="dxa"/>
            <w:shd w:val="clear" w:color="auto" w:fill="BDD6EE" w:themeFill="accent1" w:themeFillTint="66"/>
          </w:tcPr>
          <w:p w14:paraId="1DF16162"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An investigating entity may decide not to investigate allegations made in a PID for reasons listed in Section 20 of the Act.  </w:t>
            </w:r>
          </w:p>
          <w:p w14:paraId="5031BFD9"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The </w:t>
            </w:r>
            <w:r>
              <w:rPr>
                <w:rFonts w:ascii="Calibri" w:eastAsia="Times New Roman" w:hAnsi="Calibri" w:cs="Times New Roman"/>
                <w:sz w:val="18"/>
                <w:szCs w:val="18"/>
              </w:rPr>
              <w:t>entity</w:t>
            </w:r>
            <w:r w:rsidRPr="00DE11B1">
              <w:rPr>
                <w:rFonts w:ascii="Calibri" w:eastAsia="Times New Roman" w:hAnsi="Calibri" w:cs="Times New Roman"/>
                <w:sz w:val="18"/>
                <w:szCs w:val="18"/>
              </w:rPr>
              <w:t xml:space="preserve"> must provide reasons and inform the</w:t>
            </w:r>
            <w:r w:rsidRPr="00DE11B1">
              <w:rPr>
                <w:rFonts w:ascii="Calibri" w:eastAsia="Times New Roman" w:hAnsi="Calibri" w:cs="Times New Roman"/>
                <w:b/>
                <w:sz w:val="18"/>
                <w:szCs w:val="18"/>
              </w:rPr>
              <w:t xml:space="preserve"> </w:t>
            </w:r>
            <w:r w:rsidRPr="00DE11B1">
              <w:rPr>
                <w:rFonts w:ascii="Calibri" w:eastAsia="Times New Roman" w:hAnsi="Calibri" w:cs="Times New Roman"/>
                <w:sz w:val="18"/>
                <w:szCs w:val="18"/>
              </w:rPr>
              <w:t>discloser, head of the entity and Commissioner.</w:t>
            </w:r>
          </w:p>
          <w:p w14:paraId="616A4B29" w14:textId="1F99BA1B"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b/>
                <w:bCs/>
                <w:sz w:val="18"/>
                <w:szCs w:val="18"/>
              </w:rPr>
              <w:t>This letter closes the process, subject to a request to review the decision.</w:t>
            </w:r>
          </w:p>
        </w:tc>
      </w:tr>
      <w:tr w:rsidR="00156A47" w:rsidRPr="00DE11B1" w14:paraId="2E470D9B" w14:textId="77777777" w:rsidTr="00156A47">
        <w:tc>
          <w:tcPr>
            <w:tcW w:w="1985" w:type="dxa"/>
            <w:shd w:val="clear" w:color="auto" w:fill="DEEAF6" w:themeFill="accent1" w:themeFillTint="33"/>
          </w:tcPr>
          <w:p w14:paraId="79D6C5B4" w14:textId="68D4B601" w:rsidR="00156A47" w:rsidRDefault="00CE73FE" w:rsidP="00156A47">
            <w:pPr>
              <w:spacing w:before="120" w:after="60" w:line="240" w:lineRule="auto"/>
              <w:rPr>
                <w:rFonts w:ascii="Calibri" w:eastAsia="Times New Roman" w:hAnsi="Calibri" w:cs="Times New Roman"/>
                <w:b/>
                <w:sz w:val="18"/>
                <w:szCs w:val="18"/>
              </w:rPr>
            </w:pPr>
            <w:r>
              <w:rPr>
                <w:rFonts w:ascii="Calibri" w:eastAsia="Times New Roman" w:hAnsi="Calibri" w:cs="Times New Roman"/>
                <w:b/>
                <w:sz w:val="18"/>
                <w:szCs w:val="18"/>
              </w:rPr>
              <w:t>5</w:t>
            </w:r>
            <w:r w:rsidR="00156A47" w:rsidRPr="00DE11B1">
              <w:rPr>
                <w:rFonts w:ascii="Calibri" w:eastAsia="Times New Roman" w:hAnsi="Calibri" w:cs="Times New Roman"/>
                <w:b/>
                <w:sz w:val="18"/>
                <w:szCs w:val="18"/>
              </w:rPr>
              <w:t>: INVESTIGATE &amp; UPDATE</w:t>
            </w:r>
          </w:p>
          <w:p w14:paraId="22378EE1" w14:textId="3F6B8D37" w:rsidR="00156A47" w:rsidRPr="00F574A1" w:rsidRDefault="00156A47" w:rsidP="00156A47">
            <w:pPr>
              <w:spacing w:before="120" w:after="60" w:line="240" w:lineRule="auto"/>
              <w:rPr>
                <w:rFonts w:ascii="Calibri" w:eastAsia="Times New Roman" w:hAnsi="Calibri" w:cs="Times New Roman"/>
                <w:b/>
                <w:i/>
                <w:sz w:val="18"/>
                <w:szCs w:val="18"/>
              </w:rPr>
            </w:pPr>
            <w:r w:rsidRPr="00F574A1">
              <w:rPr>
                <w:rFonts w:ascii="Calibri" w:eastAsia="Times New Roman" w:hAnsi="Calibri" w:cs="Times New Roman"/>
                <w:b/>
                <w:i/>
                <w:sz w:val="18"/>
                <w:szCs w:val="18"/>
              </w:rPr>
              <w:t>(Investigating Entity)</w:t>
            </w:r>
          </w:p>
        </w:tc>
        <w:tc>
          <w:tcPr>
            <w:tcW w:w="3119" w:type="dxa"/>
            <w:shd w:val="clear" w:color="auto" w:fill="DEEAF6" w:themeFill="accent1" w:themeFillTint="33"/>
          </w:tcPr>
          <w:p w14:paraId="48711BE3"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Manage the investigation and provide the required updates to the discloser and Commissioner.</w:t>
            </w:r>
          </w:p>
          <w:p w14:paraId="3647BE9D" w14:textId="77777777" w:rsidR="00156A47" w:rsidRPr="00DE11B1" w:rsidRDefault="00156A47" w:rsidP="00156A47">
            <w:pPr>
              <w:spacing w:before="120" w:after="60" w:line="240" w:lineRule="auto"/>
              <w:rPr>
                <w:rFonts w:ascii="Calibri" w:eastAsia="Times New Roman" w:hAnsi="Calibri" w:cs="Times New Roman"/>
                <w:sz w:val="18"/>
                <w:szCs w:val="18"/>
              </w:rPr>
            </w:pPr>
          </w:p>
        </w:tc>
        <w:tc>
          <w:tcPr>
            <w:tcW w:w="4677" w:type="dxa"/>
            <w:shd w:val="clear" w:color="auto" w:fill="DEEAF6" w:themeFill="accent1" w:themeFillTint="33"/>
          </w:tcPr>
          <w:p w14:paraId="79685D21"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Monitor progress.</w:t>
            </w:r>
          </w:p>
          <w:p w14:paraId="33C9C1DC" w14:textId="77777777" w:rsidR="00156A47" w:rsidRPr="00DE11B1" w:rsidRDefault="00156A47" w:rsidP="00156A47">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t>The discloser and Commissioner must be advised of the decision to investigate and provided updates at least once every 90 days.</w:t>
            </w:r>
          </w:p>
          <w:p w14:paraId="5E1EECF6" w14:textId="77777777" w:rsidR="00156A47" w:rsidRPr="00DE11B1" w:rsidRDefault="00156A47" w:rsidP="00156A47">
            <w:pPr>
              <w:spacing w:before="120" w:after="60" w:line="240" w:lineRule="auto"/>
              <w:rPr>
                <w:rFonts w:ascii="Calibri" w:eastAsia="Times New Roman" w:hAnsi="Calibri" w:cs="Times New Roman"/>
                <w:sz w:val="18"/>
                <w:szCs w:val="18"/>
              </w:rPr>
            </w:pPr>
          </w:p>
          <w:p w14:paraId="6375839D" w14:textId="7027806C" w:rsidR="00156A47" w:rsidRPr="00DE11B1" w:rsidRDefault="00CE73FE" w:rsidP="00156A47">
            <w:pPr>
              <w:spacing w:before="120" w:after="60" w:line="240" w:lineRule="auto"/>
              <w:rPr>
                <w:rFonts w:ascii="Calibri" w:eastAsia="Times New Roman" w:hAnsi="Calibri" w:cs="Times New Roman"/>
                <w:sz w:val="18"/>
                <w:szCs w:val="18"/>
              </w:rPr>
            </w:pPr>
            <w:r>
              <w:rPr>
                <w:rFonts w:ascii="Calibri" w:eastAsia="Times New Roman" w:hAnsi="Calibri" w:cs="Times New Roman"/>
                <w:sz w:val="18"/>
                <w:szCs w:val="18"/>
              </w:rPr>
              <w:t>Move to Step 6</w:t>
            </w:r>
            <w:r w:rsidR="00156A47" w:rsidRPr="00DE11B1">
              <w:rPr>
                <w:rFonts w:ascii="Calibri" w:eastAsia="Times New Roman" w:hAnsi="Calibri" w:cs="Times New Roman"/>
                <w:sz w:val="18"/>
                <w:szCs w:val="18"/>
              </w:rPr>
              <w:t xml:space="preserve"> – Determination, Recommendation, Report.</w:t>
            </w:r>
          </w:p>
        </w:tc>
      </w:tr>
      <w:tr w:rsidR="00156A47" w:rsidRPr="00DE11B1" w14:paraId="3C401336" w14:textId="77777777" w:rsidTr="00CE73FE">
        <w:tc>
          <w:tcPr>
            <w:tcW w:w="1985" w:type="dxa"/>
            <w:shd w:val="clear" w:color="auto" w:fill="BDD6EE" w:themeFill="accent1" w:themeFillTint="66"/>
          </w:tcPr>
          <w:p w14:paraId="1C155684" w14:textId="06D47617" w:rsidR="00156A47" w:rsidRDefault="00CE73FE" w:rsidP="00156A47">
            <w:pPr>
              <w:spacing w:before="120" w:after="60" w:line="240" w:lineRule="auto"/>
              <w:rPr>
                <w:rFonts w:ascii="Calibri" w:eastAsia="Times New Roman" w:hAnsi="Calibri" w:cs="Times New Roman"/>
                <w:b/>
                <w:sz w:val="18"/>
                <w:szCs w:val="18"/>
              </w:rPr>
            </w:pPr>
            <w:r>
              <w:rPr>
                <w:rFonts w:ascii="Calibri" w:eastAsia="Times New Roman" w:hAnsi="Calibri" w:cs="Times New Roman"/>
                <w:b/>
                <w:sz w:val="18"/>
                <w:szCs w:val="18"/>
              </w:rPr>
              <w:t>6: DETERMINATION, RECOMMENDATON and ACTION.</w:t>
            </w:r>
          </w:p>
          <w:p w14:paraId="79A4D021" w14:textId="77777777" w:rsidR="00156A47" w:rsidRDefault="00156A47" w:rsidP="00156A47">
            <w:pPr>
              <w:spacing w:before="120" w:after="60" w:line="240" w:lineRule="auto"/>
              <w:rPr>
                <w:rFonts w:ascii="Calibri" w:eastAsia="Times New Roman" w:hAnsi="Calibri" w:cs="Times New Roman"/>
                <w:b/>
                <w:sz w:val="18"/>
                <w:szCs w:val="18"/>
              </w:rPr>
            </w:pPr>
          </w:p>
          <w:p w14:paraId="76E1B88A" w14:textId="7979AF2F" w:rsidR="00156A47" w:rsidRPr="00F574A1" w:rsidRDefault="00156A47" w:rsidP="00156A47">
            <w:pPr>
              <w:spacing w:before="120" w:after="60" w:line="240" w:lineRule="auto"/>
              <w:rPr>
                <w:rFonts w:ascii="Calibri" w:eastAsia="Times New Roman" w:hAnsi="Calibri" w:cs="Times New Roman"/>
                <w:i/>
                <w:sz w:val="18"/>
                <w:szCs w:val="18"/>
              </w:rPr>
            </w:pPr>
            <w:r w:rsidRPr="00F574A1">
              <w:rPr>
                <w:rFonts w:ascii="Calibri" w:eastAsia="Times New Roman" w:hAnsi="Calibri" w:cs="Times New Roman"/>
                <w:b/>
                <w:i/>
                <w:sz w:val="18"/>
                <w:szCs w:val="18"/>
              </w:rPr>
              <w:t>(Head of the ACTPS Entity)</w:t>
            </w:r>
          </w:p>
        </w:tc>
        <w:tc>
          <w:tcPr>
            <w:tcW w:w="3119" w:type="dxa"/>
            <w:shd w:val="clear" w:color="auto" w:fill="BDD6EE" w:themeFill="accent1" w:themeFillTint="66"/>
          </w:tcPr>
          <w:p w14:paraId="4C71800A" w14:textId="30CF585A" w:rsidR="00156A47"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The </w:t>
            </w:r>
            <w:r>
              <w:rPr>
                <w:rFonts w:ascii="Calibri" w:eastAsia="Times New Roman" w:hAnsi="Calibri" w:cs="Times New Roman"/>
                <w:sz w:val="18"/>
                <w:szCs w:val="18"/>
              </w:rPr>
              <w:t>h</w:t>
            </w:r>
            <w:r w:rsidRPr="00DE11B1">
              <w:rPr>
                <w:rFonts w:ascii="Calibri" w:eastAsia="Times New Roman" w:hAnsi="Calibri" w:cs="Times New Roman"/>
                <w:sz w:val="18"/>
                <w:szCs w:val="18"/>
              </w:rPr>
              <w:t>ead of the entity (or their delegate</w:t>
            </w:r>
            <w:r>
              <w:rPr>
                <w:rFonts w:ascii="Calibri" w:eastAsia="Times New Roman" w:hAnsi="Calibri" w:cs="Times New Roman"/>
                <w:sz w:val="18"/>
                <w:szCs w:val="18"/>
              </w:rPr>
              <w:t>)</w:t>
            </w:r>
            <w:r w:rsidRPr="00DE11B1">
              <w:rPr>
                <w:rFonts w:ascii="Calibri" w:eastAsia="Times New Roman" w:hAnsi="Calibri" w:cs="Times New Roman"/>
                <w:sz w:val="18"/>
                <w:szCs w:val="18"/>
              </w:rPr>
              <w:t xml:space="preserve"> makes a decision based on the findings/recommendations arising from the investigation.  </w:t>
            </w:r>
          </w:p>
          <w:p w14:paraId="3949EDDA" w14:textId="77777777" w:rsidR="00156A47" w:rsidRPr="00DE11B1" w:rsidRDefault="00156A47" w:rsidP="00156A47">
            <w:pPr>
              <w:spacing w:before="120" w:after="60" w:line="240" w:lineRule="auto"/>
              <w:rPr>
                <w:rFonts w:ascii="Calibri" w:eastAsia="Times New Roman" w:hAnsi="Calibri" w:cs="Times New Roman"/>
                <w:sz w:val="18"/>
                <w:szCs w:val="18"/>
              </w:rPr>
            </w:pPr>
          </w:p>
          <w:p w14:paraId="6436A573" w14:textId="77777777" w:rsidR="00156A47" w:rsidRPr="00DE11B1" w:rsidRDefault="00156A47" w:rsidP="00156A47">
            <w:pPr>
              <w:spacing w:before="120" w:after="60" w:line="240" w:lineRule="auto"/>
              <w:rPr>
                <w:rFonts w:ascii="Calibri" w:eastAsia="Times New Roman" w:hAnsi="Calibri" w:cs="Times New Roman"/>
                <w:sz w:val="18"/>
                <w:szCs w:val="18"/>
              </w:rPr>
            </w:pPr>
          </w:p>
        </w:tc>
        <w:tc>
          <w:tcPr>
            <w:tcW w:w="4677" w:type="dxa"/>
            <w:shd w:val="clear" w:color="auto" w:fill="BDD6EE" w:themeFill="accent1" w:themeFillTint="66"/>
          </w:tcPr>
          <w:p w14:paraId="1F762424" w14:textId="67F07555"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The </w:t>
            </w:r>
            <w:r>
              <w:rPr>
                <w:rFonts w:ascii="Calibri" w:eastAsia="Times New Roman" w:hAnsi="Calibri" w:cs="Times New Roman"/>
                <w:sz w:val="18"/>
                <w:szCs w:val="18"/>
              </w:rPr>
              <w:t>h</w:t>
            </w:r>
            <w:r w:rsidRPr="00DE11B1">
              <w:rPr>
                <w:rFonts w:ascii="Calibri" w:eastAsia="Times New Roman" w:hAnsi="Calibri" w:cs="Times New Roman"/>
                <w:sz w:val="18"/>
                <w:szCs w:val="18"/>
              </w:rPr>
              <w:t xml:space="preserve">ead of the entity must decide if there is reasonable grounds to believe that disclosable conduct has occurred, is likely to have occurred, or is likely to occur.  If so, the </w:t>
            </w:r>
            <w:r>
              <w:rPr>
                <w:rFonts w:ascii="Calibri" w:eastAsia="Times New Roman" w:hAnsi="Calibri" w:cs="Times New Roman"/>
                <w:sz w:val="18"/>
                <w:szCs w:val="18"/>
              </w:rPr>
              <w:t>h</w:t>
            </w:r>
            <w:r w:rsidRPr="00DE11B1">
              <w:rPr>
                <w:rFonts w:ascii="Calibri" w:eastAsia="Times New Roman" w:hAnsi="Calibri" w:cs="Times New Roman"/>
                <w:sz w:val="18"/>
                <w:szCs w:val="18"/>
              </w:rPr>
              <w:t>ead of the entity</w:t>
            </w:r>
            <w:r>
              <w:rPr>
                <w:rFonts w:ascii="Calibri" w:eastAsia="Times New Roman" w:hAnsi="Calibri" w:cs="Times New Roman"/>
                <w:sz w:val="18"/>
                <w:szCs w:val="18"/>
              </w:rPr>
              <w:t xml:space="preserve"> (or delegate)</w:t>
            </w:r>
            <w:r w:rsidRPr="00DE11B1">
              <w:rPr>
                <w:rFonts w:ascii="Calibri" w:eastAsia="Times New Roman" w:hAnsi="Calibri" w:cs="Times New Roman"/>
                <w:sz w:val="18"/>
                <w:szCs w:val="18"/>
              </w:rPr>
              <w:t xml:space="preserve"> must take action necessary and reasonable to—</w:t>
            </w:r>
          </w:p>
          <w:p w14:paraId="12553A1E" w14:textId="77777777" w:rsidR="00156A47" w:rsidRDefault="00156A47" w:rsidP="00156A47">
            <w:pPr>
              <w:spacing w:after="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(a) prevent the disclosable conduct continuing or occurring in the future; and</w:t>
            </w:r>
          </w:p>
          <w:p w14:paraId="6AA35DD9" w14:textId="77777777" w:rsidR="00156A47" w:rsidRPr="00DE11B1" w:rsidRDefault="00156A47" w:rsidP="00156A47">
            <w:pPr>
              <w:spacing w:after="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(b) discipline any person responsible for the disclosable conduct.</w:t>
            </w:r>
          </w:p>
          <w:p w14:paraId="3AC1EA23" w14:textId="77777777" w:rsidR="00156A47" w:rsidRPr="00DE11B1" w:rsidRDefault="00156A47" w:rsidP="00CE73FE">
            <w:pPr>
              <w:spacing w:before="120" w:after="60" w:line="240" w:lineRule="auto"/>
              <w:rPr>
                <w:rFonts w:ascii="Calibri" w:eastAsia="Times New Roman" w:hAnsi="Calibri" w:cs="Times New Roman"/>
                <w:b/>
                <w:bCs/>
                <w:color w:val="7030A0"/>
                <w:sz w:val="18"/>
                <w:szCs w:val="18"/>
              </w:rPr>
            </w:pPr>
          </w:p>
        </w:tc>
      </w:tr>
      <w:tr w:rsidR="00156A47" w:rsidRPr="00DE11B1" w14:paraId="7A86B7ED" w14:textId="77777777" w:rsidTr="00CE73FE">
        <w:trPr>
          <w:trHeight w:val="698"/>
        </w:trPr>
        <w:tc>
          <w:tcPr>
            <w:tcW w:w="1985" w:type="dxa"/>
            <w:shd w:val="clear" w:color="auto" w:fill="DEEAF6" w:themeFill="accent1" w:themeFillTint="33"/>
          </w:tcPr>
          <w:p w14:paraId="562026D0" w14:textId="77777777" w:rsidR="00156A47" w:rsidRDefault="00CE73FE" w:rsidP="00156A47">
            <w:pPr>
              <w:spacing w:before="120" w:after="60" w:line="240" w:lineRule="auto"/>
              <w:rPr>
                <w:rFonts w:ascii="Calibri" w:eastAsia="Times New Roman" w:hAnsi="Calibri" w:cs="Times New Roman"/>
                <w:b/>
                <w:sz w:val="18"/>
                <w:szCs w:val="18"/>
              </w:rPr>
            </w:pPr>
            <w:r>
              <w:rPr>
                <w:rFonts w:ascii="Calibri" w:eastAsia="Times New Roman" w:hAnsi="Calibri" w:cs="Times New Roman"/>
                <w:b/>
                <w:sz w:val="18"/>
                <w:szCs w:val="18"/>
              </w:rPr>
              <w:t>7. REPORT</w:t>
            </w:r>
          </w:p>
          <w:p w14:paraId="53FFB443" w14:textId="62B65DEC" w:rsidR="00CE73FE" w:rsidRPr="00CE73FE" w:rsidRDefault="00CE73FE" w:rsidP="00156A47">
            <w:pPr>
              <w:spacing w:before="120" w:after="60" w:line="240" w:lineRule="auto"/>
              <w:rPr>
                <w:rFonts w:ascii="Calibri" w:eastAsia="Times New Roman" w:hAnsi="Calibri" w:cs="Times New Roman"/>
                <w:b/>
                <w:i/>
                <w:sz w:val="18"/>
                <w:szCs w:val="18"/>
              </w:rPr>
            </w:pPr>
            <w:r w:rsidRPr="00CE73FE">
              <w:rPr>
                <w:rFonts w:ascii="Calibri" w:eastAsia="Times New Roman" w:hAnsi="Calibri" w:cs="Times New Roman"/>
                <w:b/>
                <w:i/>
                <w:sz w:val="18"/>
                <w:szCs w:val="18"/>
              </w:rPr>
              <w:t>(Head of the ACTPS Entity)</w:t>
            </w:r>
          </w:p>
          <w:p w14:paraId="2A7DD3B4" w14:textId="77777777" w:rsidR="00CE73FE" w:rsidRDefault="00CE73FE" w:rsidP="00156A47">
            <w:pPr>
              <w:spacing w:before="120" w:after="60" w:line="240" w:lineRule="auto"/>
              <w:rPr>
                <w:rFonts w:ascii="Calibri" w:eastAsia="Times New Roman" w:hAnsi="Calibri" w:cs="Times New Roman"/>
                <w:b/>
                <w:sz w:val="18"/>
                <w:szCs w:val="18"/>
              </w:rPr>
            </w:pPr>
          </w:p>
          <w:p w14:paraId="382F6793" w14:textId="77777777" w:rsidR="00CE73FE" w:rsidRDefault="00CE73FE" w:rsidP="00156A47">
            <w:pPr>
              <w:spacing w:before="120" w:after="60" w:line="240" w:lineRule="auto"/>
              <w:rPr>
                <w:rFonts w:ascii="Calibri" w:eastAsia="Times New Roman" w:hAnsi="Calibri" w:cs="Times New Roman"/>
                <w:b/>
                <w:sz w:val="18"/>
                <w:szCs w:val="18"/>
              </w:rPr>
            </w:pPr>
          </w:p>
          <w:p w14:paraId="0DA53B50" w14:textId="77777777" w:rsidR="00CE73FE" w:rsidRDefault="00CE73FE" w:rsidP="00156A47">
            <w:pPr>
              <w:spacing w:before="120" w:after="60" w:line="240" w:lineRule="auto"/>
              <w:rPr>
                <w:rFonts w:ascii="Calibri" w:eastAsia="Times New Roman" w:hAnsi="Calibri" w:cs="Times New Roman"/>
                <w:b/>
                <w:sz w:val="18"/>
                <w:szCs w:val="18"/>
              </w:rPr>
            </w:pPr>
          </w:p>
          <w:p w14:paraId="16E1156D" w14:textId="77777777" w:rsidR="00CE73FE" w:rsidRDefault="00CE73FE" w:rsidP="00156A47">
            <w:pPr>
              <w:spacing w:before="120" w:after="60" w:line="240" w:lineRule="auto"/>
              <w:rPr>
                <w:rFonts w:ascii="Calibri" w:eastAsia="Times New Roman" w:hAnsi="Calibri" w:cs="Times New Roman"/>
                <w:b/>
                <w:sz w:val="18"/>
                <w:szCs w:val="18"/>
              </w:rPr>
            </w:pPr>
          </w:p>
          <w:p w14:paraId="012DD7F0" w14:textId="77777777" w:rsidR="00CE73FE" w:rsidRPr="00DE11B1" w:rsidRDefault="00CE73FE" w:rsidP="00156A47">
            <w:pPr>
              <w:spacing w:before="120" w:after="60" w:line="240" w:lineRule="auto"/>
              <w:rPr>
                <w:rFonts w:ascii="Calibri" w:eastAsia="Times New Roman" w:hAnsi="Calibri" w:cs="Times New Roman"/>
                <w:b/>
                <w:sz w:val="18"/>
                <w:szCs w:val="18"/>
              </w:rPr>
            </w:pPr>
          </w:p>
        </w:tc>
        <w:tc>
          <w:tcPr>
            <w:tcW w:w="3119" w:type="dxa"/>
            <w:shd w:val="clear" w:color="auto" w:fill="DEEAF6" w:themeFill="accent1" w:themeFillTint="33"/>
          </w:tcPr>
          <w:p w14:paraId="56C1B314" w14:textId="26B7F9C5" w:rsidR="00156A47" w:rsidRPr="00DE11B1" w:rsidRDefault="00CE73FE" w:rsidP="00156A47">
            <w:pPr>
              <w:spacing w:before="120" w:after="60" w:line="240" w:lineRule="auto"/>
              <w:ind w:left="176"/>
              <w:rPr>
                <w:rFonts w:ascii="Calibri" w:eastAsia="Times New Roman" w:hAnsi="Calibri" w:cs="Times New Roman"/>
                <w:sz w:val="18"/>
                <w:szCs w:val="18"/>
              </w:rPr>
            </w:pPr>
            <w:r w:rsidRPr="00CE73FE">
              <w:rPr>
                <w:rFonts w:ascii="Calibri" w:eastAsia="Times New Roman" w:hAnsi="Calibri" w:cs="Times New Roman"/>
                <w:sz w:val="18"/>
                <w:szCs w:val="18"/>
              </w:rPr>
              <w:t>The disclose</w:t>
            </w:r>
            <w:r>
              <w:rPr>
                <w:rFonts w:ascii="Calibri" w:eastAsia="Times New Roman" w:hAnsi="Calibri" w:cs="Times New Roman"/>
                <w:sz w:val="18"/>
                <w:szCs w:val="18"/>
              </w:rPr>
              <w:t xml:space="preserve">r, PSSC and referring entity must be </w:t>
            </w:r>
            <w:r w:rsidRPr="00CE73FE">
              <w:rPr>
                <w:rFonts w:ascii="Calibri" w:eastAsia="Times New Roman" w:hAnsi="Calibri" w:cs="Times New Roman"/>
                <w:sz w:val="18"/>
                <w:szCs w:val="18"/>
              </w:rPr>
              <w:t>informed of outcomes.</w:t>
            </w:r>
          </w:p>
        </w:tc>
        <w:tc>
          <w:tcPr>
            <w:tcW w:w="4677" w:type="dxa"/>
            <w:shd w:val="clear" w:color="auto" w:fill="DEEAF6" w:themeFill="accent1" w:themeFillTint="33"/>
          </w:tcPr>
          <w:p w14:paraId="4F4D3013" w14:textId="779E2B03" w:rsidR="00CE73FE" w:rsidRPr="00DE11B1" w:rsidRDefault="00CE73FE" w:rsidP="00CE73FE">
            <w:pPr>
              <w:spacing w:before="120" w:after="60" w:line="240" w:lineRule="auto"/>
              <w:rPr>
                <w:rFonts w:ascii="Calibri" w:eastAsia="Times New Roman" w:hAnsi="Calibri" w:cs="Times New Roman"/>
                <w:sz w:val="18"/>
                <w:szCs w:val="18"/>
              </w:rPr>
            </w:pPr>
            <w:r>
              <w:rPr>
                <w:rFonts w:ascii="Calibri" w:eastAsia="Times New Roman" w:hAnsi="Calibri" w:cs="Times New Roman"/>
                <w:b/>
                <w:sz w:val="18"/>
                <w:szCs w:val="18"/>
              </w:rPr>
              <w:t>Prepare a report d</w:t>
            </w:r>
            <w:r w:rsidRPr="00DE11B1">
              <w:rPr>
                <w:rFonts w:ascii="Calibri" w:eastAsia="Times New Roman" w:hAnsi="Calibri" w:cs="Times New Roman"/>
                <w:b/>
                <w:sz w:val="18"/>
                <w:szCs w:val="18"/>
              </w:rPr>
              <w:t>ocument</w:t>
            </w:r>
            <w:r>
              <w:rPr>
                <w:rFonts w:ascii="Calibri" w:eastAsia="Times New Roman" w:hAnsi="Calibri" w:cs="Times New Roman"/>
                <w:b/>
                <w:sz w:val="18"/>
                <w:szCs w:val="18"/>
              </w:rPr>
              <w:t>ing decision and actions taken.</w:t>
            </w:r>
          </w:p>
          <w:p w14:paraId="5F3A3612" w14:textId="77777777" w:rsidR="00CE73FE" w:rsidRPr="00DE11B1" w:rsidRDefault="00CE73FE" w:rsidP="00CE73FE">
            <w:pPr>
              <w:spacing w:before="120" w:after="60" w:line="240" w:lineRule="auto"/>
              <w:rPr>
                <w:rFonts w:ascii="Calibri" w:eastAsia="Times New Roman" w:hAnsi="Calibri" w:cs="Times New Roman"/>
                <w:sz w:val="18"/>
                <w:szCs w:val="18"/>
                <w:lang w:val="en-GB"/>
              </w:rPr>
            </w:pPr>
            <w:r w:rsidRPr="00DE11B1">
              <w:rPr>
                <w:rFonts w:ascii="Calibri" w:eastAsia="Times New Roman" w:hAnsi="Calibri" w:cs="Times New Roman"/>
                <w:sz w:val="18"/>
                <w:szCs w:val="18"/>
                <w:lang w:val="en-GB"/>
              </w:rPr>
              <w:t>Following completion of the investigation, the discloser</w:t>
            </w:r>
            <w:r>
              <w:rPr>
                <w:rFonts w:ascii="Calibri" w:eastAsia="Times New Roman" w:hAnsi="Calibri" w:cs="Times New Roman"/>
                <w:sz w:val="18"/>
                <w:szCs w:val="18"/>
                <w:lang w:val="en-GB"/>
              </w:rPr>
              <w:t>, PSSC,</w:t>
            </w:r>
            <w:r w:rsidRPr="00DE11B1">
              <w:rPr>
                <w:rFonts w:ascii="Calibri" w:eastAsia="Times New Roman" w:hAnsi="Calibri" w:cs="Times New Roman"/>
                <w:sz w:val="18"/>
                <w:szCs w:val="18"/>
                <w:lang w:val="en-GB"/>
              </w:rPr>
              <w:t xml:space="preserve"> and referring entity must be informed of the outcome of the investigation, determination, recommendations, actions taken or to be taken.</w:t>
            </w:r>
          </w:p>
          <w:p w14:paraId="57394354" w14:textId="77777777" w:rsidR="00CE73FE" w:rsidRPr="00DE11B1" w:rsidRDefault="00CE73FE" w:rsidP="00CE73FE">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The discloser is not entitled to all the information obtained during the course of investigating the PID. </w:t>
            </w:r>
          </w:p>
          <w:p w14:paraId="4AD8D1D8" w14:textId="77777777" w:rsidR="00CE73FE" w:rsidRPr="00DE11B1" w:rsidRDefault="00CE73FE" w:rsidP="00CE73FE">
            <w:pPr>
              <w:spacing w:before="120" w:after="6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There are </w:t>
            </w:r>
            <w:r w:rsidRPr="00DE11B1">
              <w:rPr>
                <w:rFonts w:ascii="Calibri" w:eastAsia="Times New Roman" w:hAnsi="Calibri" w:cs="Times New Roman"/>
                <w:sz w:val="18"/>
                <w:szCs w:val="18"/>
              </w:rPr>
              <w:t>limitations on obligations to keep people informed detailed in section 20 of the Act.</w:t>
            </w:r>
          </w:p>
          <w:p w14:paraId="7AF72D9F" w14:textId="77777777" w:rsidR="00CE73FE" w:rsidRDefault="00CE73FE" w:rsidP="00CE73FE">
            <w:pPr>
              <w:spacing w:before="120" w:after="60" w:line="240" w:lineRule="auto"/>
              <w:rPr>
                <w:rFonts w:ascii="Calibri" w:eastAsia="Times New Roman" w:hAnsi="Calibri" w:cs="Times New Roman"/>
                <w:b/>
                <w:bCs/>
                <w:sz w:val="18"/>
                <w:szCs w:val="18"/>
              </w:rPr>
            </w:pPr>
            <w:r w:rsidRPr="00DE11B1">
              <w:rPr>
                <w:rFonts w:ascii="Calibri" w:eastAsia="Times New Roman" w:hAnsi="Calibri" w:cs="Times New Roman"/>
                <w:b/>
                <w:bCs/>
                <w:sz w:val="18"/>
                <w:szCs w:val="18"/>
              </w:rPr>
              <w:t xml:space="preserve">This report closes the process, subject to a request to review the decision. </w:t>
            </w:r>
          </w:p>
          <w:p w14:paraId="5FFFFC81" w14:textId="77777777" w:rsidR="00156A47" w:rsidRPr="00DE11B1" w:rsidRDefault="00156A47" w:rsidP="00156A47">
            <w:pPr>
              <w:spacing w:before="120" w:after="60" w:line="240" w:lineRule="auto"/>
              <w:rPr>
                <w:rFonts w:ascii="Calibri" w:eastAsia="Times New Roman" w:hAnsi="Calibri" w:cs="Times New Roman"/>
                <w:sz w:val="18"/>
                <w:szCs w:val="18"/>
              </w:rPr>
            </w:pPr>
          </w:p>
        </w:tc>
      </w:tr>
      <w:tr w:rsidR="00156A47" w:rsidRPr="00DE11B1" w14:paraId="624D63B2" w14:textId="77777777" w:rsidTr="00AD3A49">
        <w:trPr>
          <w:trHeight w:val="698"/>
        </w:trPr>
        <w:tc>
          <w:tcPr>
            <w:tcW w:w="1985" w:type="dxa"/>
            <w:shd w:val="clear" w:color="auto" w:fill="E2EFD9" w:themeFill="accent6" w:themeFillTint="33"/>
          </w:tcPr>
          <w:p w14:paraId="1D4B01DA" w14:textId="77777777" w:rsidR="00156A47" w:rsidRPr="00DE11B1" w:rsidRDefault="00156A47" w:rsidP="00156A47">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lastRenderedPageBreak/>
              <w:t>ANNUAL REPORTING</w:t>
            </w:r>
          </w:p>
          <w:p w14:paraId="6192BA52" w14:textId="77777777" w:rsidR="00156A47" w:rsidRPr="00DE11B1" w:rsidRDefault="00156A47" w:rsidP="00156A47">
            <w:pPr>
              <w:spacing w:before="120" w:after="60" w:line="240" w:lineRule="auto"/>
              <w:rPr>
                <w:rFonts w:ascii="Calibri" w:eastAsia="Times New Roman" w:hAnsi="Calibri" w:cs="Times New Roman"/>
                <w:b/>
                <w:sz w:val="18"/>
                <w:szCs w:val="18"/>
              </w:rPr>
            </w:pPr>
          </w:p>
          <w:p w14:paraId="5502C97C" w14:textId="77777777" w:rsidR="00156A47" w:rsidRPr="00DE11B1" w:rsidRDefault="00156A47" w:rsidP="00156A47">
            <w:pPr>
              <w:spacing w:before="120" w:after="60" w:line="240" w:lineRule="auto"/>
              <w:rPr>
                <w:rFonts w:ascii="Calibri" w:eastAsia="Times New Roman" w:hAnsi="Calibri" w:cs="Times New Roman"/>
                <w:b/>
                <w:sz w:val="18"/>
                <w:szCs w:val="18"/>
              </w:rPr>
            </w:pPr>
          </w:p>
          <w:p w14:paraId="66F870E3" w14:textId="77777777" w:rsidR="00156A47" w:rsidRPr="00DE11B1" w:rsidRDefault="00156A47" w:rsidP="00156A47">
            <w:pPr>
              <w:spacing w:before="120" w:after="60" w:line="240" w:lineRule="auto"/>
              <w:rPr>
                <w:rFonts w:ascii="Calibri" w:eastAsia="Times New Roman" w:hAnsi="Calibri" w:cs="Times New Roman"/>
                <w:b/>
                <w:sz w:val="18"/>
                <w:szCs w:val="18"/>
              </w:rPr>
            </w:pPr>
          </w:p>
          <w:p w14:paraId="640FA24F" w14:textId="77777777" w:rsidR="00156A47" w:rsidRPr="00DE11B1" w:rsidRDefault="00156A47" w:rsidP="00156A47">
            <w:pPr>
              <w:spacing w:before="120" w:after="60" w:line="240" w:lineRule="auto"/>
              <w:rPr>
                <w:rFonts w:ascii="Calibri" w:eastAsia="Times New Roman" w:hAnsi="Calibri" w:cs="Times New Roman"/>
                <w:b/>
                <w:sz w:val="18"/>
                <w:szCs w:val="18"/>
              </w:rPr>
            </w:pPr>
          </w:p>
        </w:tc>
        <w:tc>
          <w:tcPr>
            <w:tcW w:w="3119" w:type="dxa"/>
            <w:shd w:val="clear" w:color="auto" w:fill="E2EFD9" w:themeFill="accent6" w:themeFillTint="33"/>
          </w:tcPr>
          <w:p w14:paraId="46D2957A" w14:textId="297BD29E" w:rsidR="00156A47" w:rsidRPr="00DE11B1" w:rsidRDefault="00156A47" w:rsidP="00156A47">
            <w:pPr>
              <w:spacing w:before="120" w:after="60" w:line="240" w:lineRule="auto"/>
              <w:rPr>
                <w:rFonts w:ascii="Calibri" w:eastAsia="Times New Roman" w:hAnsi="Calibri" w:cs="Times New Roman"/>
                <w:sz w:val="18"/>
                <w:szCs w:val="18"/>
              </w:rPr>
            </w:pPr>
            <w:r w:rsidRPr="00450D8F">
              <w:rPr>
                <w:rFonts w:ascii="Calibri" w:eastAsia="Times New Roman" w:hAnsi="Calibri" w:cs="Times New Roman"/>
                <w:sz w:val="18"/>
                <w:szCs w:val="18"/>
              </w:rPr>
              <w:t>Report summary information concerning PIDs</w:t>
            </w:r>
            <w:r w:rsidR="006C0540">
              <w:rPr>
                <w:rFonts w:ascii="Calibri" w:eastAsia="Times New Roman" w:hAnsi="Calibri" w:cs="Times New Roman"/>
                <w:sz w:val="18"/>
                <w:szCs w:val="18"/>
              </w:rPr>
              <w:t xml:space="preserve"> to the Head of Service for inclusion</w:t>
            </w:r>
            <w:r w:rsidRPr="00450D8F">
              <w:rPr>
                <w:rFonts w:ascii="Calibri" w:eastAsia="Times New Roman" w:hAnsi="Calibri" w:cs="Times New Roman"/>
                <w:sz w:val="18"/>
                <w:szCs w:val="18"/>
              </w:rPr>
              <w:t xml:space="preserve"> in the state of the service report</w:t>
            </w:r>
            <w:r w:rsidRPr="00450D8F" w:rsidDel="00450D8F">
              <w:rPr>
                <w:rFonts w:ascii="Calibri" w:eastAsia="Times New Roman" w:hAnsi="Calibri" w:cs="Times New Roman"/>
                <w:sz w:val="18"/>
                <w:szCs w:val="18"/>
              </w:rPr>
              <w:t xml:space="preserve"> </w:t>
            </w:r>
          </w:p>
        </w:tc>
        <w:tc>
          <w:tcPr>
            <w:tcW w:w="4677" w:type="dxa"/>
            <w:shd w:val="clear" w:color="auto" w:fill="E2EFD9" w:themeFill="accent6" w:themeFillTint="33"/>
          </w:tcPr>
          <w:p w14:paraId="64F378B4" w14:textId="77777777" w:rsidR="00156A47" w:rsidRDefault="00156A47" w:rsidP="00156A47">
            <w:pPr>
              <w:spacing w:after="0" w:line="240" w:lineRule="auto"/>
              <w:contextualSpacing/>
              <w:rPr>
                <w:rFonts w:ascii="Calibri" w:eastAsia="Times New Roman" w:hAnsi="Calibri" w:cs="Times New Roman"/>
                <w:sz w:val="18"/>
                <w:szCs w:val="18"/>
              </w:rPr>
            </w:pPr>
          </w:p>
          <w:p w14:paraId="19C02E4D" w14:textId="6B6A81A2" w:rsidR="00156A47" w:rsidRPr="00450D8F" w:rsidRDefault="00156A47" w:rsidP="00156A47">
            <w:pPr>
              <w:spacing w:after="0" w:line="240" w:lineRule="auto"/>
              <w:contextualSpacing/>
              <w:rPr>
                <w:rFonts w:ascii="Calibri" w:eastAsia="Times New Roman" w:hAnsi="Calibri" w:cs="Times New Roman"/>
                <w:sz w:val="18"/>
                <w:szCs w:val="18"/>
              </w:rPr>
            </w:pPr>
            <w:r>
              <w:rPr>
                <w:rFonts w:ascii="Calibri" w:eastAsia="Times New Roman" w:hAnsi="Calibri" w:cs="Times New Roman"/>
                <w:sz w:val="18"/>
                <w:szCs w:val="18"/>
              </w:rPr>
              <w:t>E</w:t>
            </w:r>
            <w:r w:rsidRPr="00450D8F">
              <w:rPr>
                <w:rFonts w:ascii="Calibri" w:eastAsia="Times New Roman" w:hAnsi="Calibri" w:cs="Times New Roman"/>
                <w:sz w:val="18"/>
                <w:szCs w:val="18"/>
              </w:rPr>
              <w:t xml:space="preserve">ntities must provide  the following information to the Head of Service for inclusion in the state of the service report: </w:t>
            </w:r>
          </w:p>
          <w:p w14:paraId="7CBCF1CC" w14:textId="77777777" w:rsidR="00156A47" w:rsidRPr="00450D8F" w:rsidRDefault="00156A47" w:rsidP="00156A47">
            <w:pPr>
              <w:numPr>
                <w:ilvl w:val="0"/>
                <w:numId w:val="21"/>
              </w:numPr>
              <w:spacing w:before="120" w:after="60" w:line="240" w:lineRule="auto"/>
              <w:contextualSpacing/>
              <w:rPr>
                <w:rFonts w:ascii="Calibri" w:eastAsia="Times New Roman" w:hAnsi="Calibri" w:cs="Times New Roman"/>
                <w:sz w:val="18"/>
                <w:szCs w:val="18"/>
              </w:rPr>
            </w:pPr>
            <w:r w:rsidRPr="00450D8F">
              <w:rPr>
                <w:rFonts w:ascii="Calibri" w:eastAsia="Times New Roman" w:hAnsi="Calibri" w:cs="Times New Roman"/>
                <w:sz w:val="18"/>
                <w:szCs w:val="18"/>
              </w:rPr>
              <w:t>number of claimed PIDs received during the reporting year;</w:t>
            </w:r>
          </w:p>
          <w:p w14:paraId="7795174B" w14:textId="6777BE13" w:rsidR="00156A47" w:rsidRPr="00450D8F" w:rsidRDefault="00156A47" w:rsidP="00156A47">
            <w:pPr>
              <w:numPr>
                <w:ilvl w:val="0"/>
                <w:numId w:val="21"/>
              </w:numPr>
              <w:spacing w:before="120" w:after="60" w:line="240" w:lineRule="auto"/>
              <w:contextualSpacing/>
              <w:rPr>
                <w:rFonts w:ascii="Calibri" w:eastAsia="Times New Roman" w:hAnsi="Calibri" w:cs="Times New Roman"/>
                <w:sz w:val="18"/>
                <w:szCs w:val="18"/>
              </w:rPr>
            </w:pPr>
            <w:r w:rsidRPr="00450D8F">
              <w:rPr>
                <w:rFonts w:ascii="Calibri" w:eastAsia="Times New Roman" w:hAnsi="Calibri" w:cs="Times New Roman"/>
                <w:sz w:val="18"/>
                <w:szCs w:val="18"/>
              </w:rPr>
              <w:t xml:space="preserve">number of claims assessed by relevant entity as meeting </w:t>
            </w:r>
            <w:r w:rsidR="00461730">
              <w:rPr>
                <w:rFonts w:ascii="Calibri" w:eastAsia="Times New Roman" w:hAnsi="Calibri" w:cs="Times New Roman"/>
                <w:sz w:val="18"/>
                <w:szCs w:val="18"/>
              </w:rPr>
              <w:t xml:space="preserve">the </w:t>
            </w:r>
            <w:r w:rsidRPr="00450D8F">
              <w:rPr>
                <w:rFonts w:ascii="Calibri" w:eastAsia="Times New Roman" w:hAnsi="Calibri" w:cs="Times New Roman"/>
                <w:sz w:val="18"/>
                <w:szCs w:val="18"/>
              </w:rPr>
              <w:t>definition of disclosable conduct under the PID Act;</w:t>
            </w:r>
          </w:p>
          <w:p w14:paraId="2DAB7F93" w14:textId="77777777" w:rsidR="00156A47" w:rsidRPr="00450D8F" w:rsidRDefault="00156A47" w:rsidP="00156A47">
            <w:pPr>
              <w:numPr>
                <w:ilvl w:val="0"/>
                <w:numId w:val="21"/>
              </w:numPr>
              <w:spacing w:before="120" w:after="60" w:line="240" w:lineRule="auto"/>
              <w:contextualSpacing/>
              <w:rPr>
                <w:rFonts w:ascii="Calibri" w:eastAsia="Times New Roman" w:hAnsi="Calibri" w:cs="Times New Roman"/>
                <w:sz w:val="18"/>
                <w:szCs w:val="18"/>
              </w:rPr>
            </w:pPr>
            <w:r w:rsidRPr="00450D8F">
              <w:rPr>
                <w:rFonts w:ascii="Calibri" w:eastAsia="Times New Roman" w:hAnsi="Calibri" w:cs="Times New Roman"/>
                <w:sz w:val="18"/>
                <w:szCs w:val="18"/>
              </w:rPr>
              <w:t>number of investigations completed;</w:t>
            </w:r>
          </w:p>
          <w:p w14:paraId="028EAE99" w14:textId="42AEF89A" w:rsidR="00156A47" w:rsidRPr="00CF371B" w:rsidRDefault="00156A47" w:rsidP="00156A47">
            <w:pPr>
              <w:numPr>
                <w:ilvl w:val="0"/>
                <w:numId w:val="21"/>
              </w:numPr>
              <w:spacing w:before="120" w:after="60" w:line="240" w:lineRule="auto"/>
              <w:contextualSpacing/>
              <w:rPr>
                <w:rFonts w:ascii="Calibri" w:eastAsia="Times New Roman" w:hAnsi="Calibri" w:cs="Times New Roman"/>
                <w:sz w:val="18"/>
                <w:szCs w:val="18"/>
              </w:rPr>
            </w:pPr>
            <w:r w:rsidRPr="00CF371B">
              <w:rPr>
                <w:rFonts w:ascii="Calibri" w:eastAsia="Times New Roman" w:hAnsi="Calibri" w:cs="Times New Roman"/>
                <w:sz w:val="18"/>
                <w:szCs w:val="18"/>
              </w:rPr>
              <w:t>number of claims not investigated by virtue of Section 20 of the PID Act.</w:t>
            </w:r>
          </w:p>
          <w:p w14:paraId="4FE6BF80" w14:textId="77777777" w:rsidR="00156A47" w:rsidRPr="00DE11B1" w:rsidRDefault="00156A47" w:rsidP="00156A47">
            <w:pPr>
              <w:spacing w:before="120" w:after="60" w:line="240" w:lineRule="auto"/>
              <w:ind w:left="720"/>
              <w:contextualSpacing/>
              <w:rPr>
                <w:rFonts w:ascii="Calibri" w:eastAsia="Times New Roman" w:hAnsi="Calibri" w:cs="Times New Roman"/>
                <w:sz w:val="18"/>
                <w:szCs w:val="18"/>
              </w:rPr>
            </w:pPr>
          </w:p>
        </w:tc>
      </w:tr>
      <w:tr w:rsidR="00156A47" w:rsidRPr="00DE11B1" w14:paraId="40C50980" w14:textId="77777777" w:rsidTr="00AD3A49">
        <w:tc>
          <w:tcPr>
            <w:tcW w:w="1985" w:type="dxa"/>
            <w:vMerge w:val="restart"/>
            <w:shd w:val="clear" w:color="auto" w:fill="C5E0B3" w:themeFill="accent6" w:themeFillTint="66"/>
          </w:tcPr>
          <w:p w14:paraId="4DF68778" w14:textId="77777777" w:rsidR="00156A47" w:rsidRPr="00DE11B1" w:rsidRDefault="00156A47" w:rsidP="00156A47">
            <w:pPr>
              <w:spacing w:before="120" w:after="60" w:line="240" w:lineRule="auto"/>
              <w:rPr>
                <w:rFonts w:ascii="Calibri" w:eastAsia="Times New Roman" w:hAnsi="Calibri" w:cs="Times New Roman"/>
                <w:b/>
                <w:sz w:val="18"/>
                <w:szCs w:val="18"/>
              </w:rPr>
            </w:pPr>
            <w:r w:rsidRPr="00DE11B1">
              <w:rPr>
                <w:rFonts w:ascii="Calibri" w:eastAsia="Times New Roman" w:hAnsi="Calibri" w:cs="Times New Roman"/>
                <w:b/>
                <w:sz w:val="18"/>
                <w:szCs w:val="18"/>
              </w:rPr>
              <w:t>REVIEW</w:t>
            </w:r>
          </w:p>
          <w:p w14:paraId="05B7DE57"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Best practice</w:t>
            </w:r>
          </w:p>
          <w:p w14:paraId="79D9579D" w14:textId="77777777" w:rsidR="00156A47" w:rsidRPr="00DE11B1" w:rsidRDefault="00156A47" w:rsidP="00156A47">
            <w:pPr>
              <w:spacing w:before="120" w:after="60" w:line="240" w:lineRule="auto"/>
              <w:rPr>
                <w:rFonts w:ascii="Calibri" w:eastAsia="Times New Roman" w:hAnsi="Calibri" w:cs="Times New Roman"/>
                <w:b/>
                <w:sz w:val="18"/>
                <w:szCs w:val="18"/>
              </w:rPr>
            </w:pPr>
          </w:p>
          <w:p w14:paraId="22032217" w14:textId="77777777" w:rsidR="00156A47" w:rsidRPr="00DE11B1" w:rsidRDefault="00156A47" w:rsidP="00156A47">
            <w:pPr>
              <w:spacing w:before="120" w:after="60" w:line="240" w:lineRule="auto"/>
              <w:rPr>
                <w:rFonts w:ascii="Calibri" w:eastAsia="Times New Roman" w:hAnsi="Calibri" w:cs="Times New Roman"/>
                <w:sz w:val="18"/>
                <w:szCs w:val="18"/>
              </w:rPr>
            </w:pPr>
          </w:p>
          <w:p w14:paraId="6D3F902A"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Commissioner</w:t>
            </w:r>
          </w:p>
          <w:p w14:paraId="3A8A83DC" w14:textId="77777777" w:rsidR="00156A47" w:rsidRPr="00DE11B1" w:rsidRDefault="00156A47" w:rsidP="00156A47">
            <w:pPr>
              <w:spacing w:before="120" w:after="60" w:line="240" w:lineRule="auto"/>
              <w:rPr>
                <w:rFonts w:ascii="Calibri" w:eastAsia="Times New Roman" w:hAnsi="Calibri" w:cs="Times New Roman"/>
                <w:b/>
                <w:sz w:val="18"/>
                <w:szCs w:val="18"/>
              </w:rPr>
            </w:pPr>
          </w:p>
        </w:tc>
        <w:tc>
          <w:tcPr>
            <w:tcW w:w="3119" w:type="dxa"/>
            <w:shd w:val="clear" w:color="auto" w:fill="C5E0B3" w:themeFill="accent6" w:themeFillTint="66"/>
          </w:tcPr>
          <w:p w14:paraId="6EF15846"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 xml:space="preserve">Entities should periodically evaluate the effectiveness of their PID procedures and whether the outcomes are meeting the objective of the Act. </w:t>
            </w:r>
          </w:p>
        </w:tc>
        <w:tc>
          <w:tcPr>
            <w:tcW w:w="4677" w:type="dxa"/>
            <w:shd w:val="clear" w:color="auto" w:fill="C5E0B3" w:themeFill="accent6" w:themeFillTint="66"/>
          </w:tcPr>
          <w:p w14:paraId="3BD46EF7"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Entities should monitor and evaluate the effectiveness of their PID procedures.</w:t>
            </w:r>
          </w:p>
          <w:p w14:paraId="5FB1C52F" w14:textId="77777777" w:rsidR="00156A47" w:rsidRPr="00DE11B1" w:rsidRDefault="00156A47" w:rsidP="00156A47">
            <w:pPr>
              <w:spacing w:before="120" w:after="60" w:line="240" w:lineRule="auto"/>
              <w:rPr>
                <w:rFonts w:ascii="Calibri" w:eastAsia="Times New Roman" w:hAnsi="Calibri" w:cs="Times New Roman"/>
                <w:sz w:val="18"/>
                <w:szCs w:val="18"/>
              </w:rPr>
            </w:pPr>
          </w:p>
          <w:p w14:paraId="41E6728B" w14:textId="77777777" w:rsidR="00156A47" w:rsidRPr="00DE11B1" w:rsidRDefault="00156A47" w:rsidP="00156A47">
            <w:pPr>
              <w:spacing w:before="120" w:after="60" w:line="240" w:lineRule="auto"/>
              <w:rPr>
                <w:rFonts w:ascii="Calibri" w:eastAsia="Times New Roman" w:hAnsi="Calibri" w:cs="Times New Roman"/>
                <w:sz w:val="18"/>
                <w:szCs w:val="18"/>
              </w:rPr>
            </w:pPr>
          </w:p>
        </w:tc>
      </w:tr>
      <w:tr w:rsidR="00156A47" w:rsidRPr="00DE11B1" w14:paraId="5F7DF7C2" w14:textId="77777777" w:rsidTr="00AD3A49">
        <w:tc>
          <w:tcPr>
            <w:tcW w:w="1985" w:type="dxa"/>
            <w:vMerge/>
            <w:shd w:val="clear" w:color="auto" w:fill="C5E0B3" w:themeFill="accent6" w:themeFillTint="66"/>
          </w:tcPr>
          <w:p w14:paraId="620A4685" w14:textId="77777777" w:rsidR="00156A47" w:rsidRPr="00DE11B1" w:rsidRDefault="00156A47" w:rsidP="00156A47">
            <w:pPr>
              <w:spacing w:before="120" w:after="60" w:line="240" w:lineRule="auto"/>
              <w:rPr>
                <w:rFonts w:ascii="Calibri" w:eastAsia="Times New Roman" w:hAnsi="Calibri" w:cs="Times New Roman"/>
                <w:b/>
                <w:sz w:val="18"/>
                <w:szCs w:val="18"/>
              </w:rPr>
            </w:pPr>
          </w:p>
        </w:tc>
        <w:tc>
          <w:tcPr>
            <w:tcW w:w="3119" w:type="dxa"/>
            <w:shd w:val="clear" w:color="auto" w:fill="C5E0B3" w:themeFill="accent6" w:themeFillTint="66"/>
          </w:tcPr>
          <w:p w14:paraId="3F40400C" w14:textId="77777777"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The Commissioner has a role in overseeing the actions taken by entities and will ensure all matters are handled fairly and properly. This includes:</w:t>
            </w:r>
          </w:p>
          <w:p w14:paraId="1EE5DD22" w14:textId="77777777" w:rsidR="00156A47" w:rsidRPr="00DE11B1" w:rsidRDefault="00156A47" w:rsidP="00156A47">
            <w:pPr>
              <w:numPr>
                <w:ilvl w:val="0"/>
                <w:numId w:val="18"/>
              </w:numPr>
              <w:spacing w:before="120" w:after="60" w:line="240" w:lineRule="auto"/>
              <w:ind w:left="176" w:hanging="142"/>
              <w:rPr>
                <w:rFonts w:ascii="Calibri" w:eastAsia="Times New Roman" w:hAnsi="Calibri" w:cs="Times New Roman"/>
                <w:sz w:val="18"/>
                <w:szCs w:val="18"/>
              </w:rPr>
            </w:pPr>
            <w:r w:rsidRPr="00DE11B1">
              <w:rPr>
                <w:rFonts w:ascii="Calibri" w:eastAsia="Times New Roman" w:hAnsi="Calibri" w:cs="Times New Roman"/>
                <w:sz w:val="18"/>
                <w:szCs w:val="18"/>
              </w:rPr>
              <w:t>reviewing a decision by an investigating entity to refuse to investigate a PID or to end an investigation; and</w:t>
            </w:r>
          </w:p>
          <w:p w14:paraId="736133D8" w14:textId="13CCF2C1" w:rsidR="00156A47" w:rsidRPr="00DE11B1" w:rsidRDefault="00156A47" w:rsidP="00156A47">
            <w:pPr>
              <w:numPr>
                <w:ilvl w:val="0"/>
                <w:numId w:val="18"/>
              </w:numPr>
              <w:spacing w:before="120" w:after="60" w:line="240" w:lineRule="auto"/>
              <w:ind w:left="176" w:hanging="142"/>
              <w:rPr>
                <w:rFonts w:ascii="Calibri" w:eastAsia="Times New Roman" w:hAnsi="Calibri" w:cs="Times New Roman"/>
                <w:sz w:val="18"/>
                <w:szCs w:val="18"/>
              </w:rPr>
            </w:pPr>
            <w:r w:rsidRPr="00DE11B1">
              <w:rPr>
                <w:rFonts w:ascii="Calibri" w:eastAsia="Times New Roman" w:hAnsi="Calibri" w:cs="Times New Roman"/>
                <w:sz w:val="18"/>
                <w:szCs w:val="18"/>
              </w:rPr>
              <w:t>any action taken, or proposed to be taken</w:t>
            </w:r>
            <w:r w:rsidR="003B51F6">
              <w:rPr>
                <w:rFonts w:ascii="Calibri" w:eastAsia="Times New Roman" w:hAnsi="Calibri" w:cs="Times New Roman"/>
                <w:sz w:val="18"/>
                <w:szCs w:val="18"/>
              </w:rPr>
              <w:t>,</w:t>
            </w:r>
            <w:r w:rsidRPr="00DE11B1">
              <w:rPr>
                <w:rFonts w:ascii="Calibri" w:eastAsia="Times New Roman" w:hAnsi="Calibri" w:cs="Times New Roman"/>
                <w:sz w:val="18"/>
                <w:szCs w:val="18"/>
              </w:rPr>
              <w:t xml:space="preserve"> in relation to a PID.</w:t>
            </w:r>
          </w:p>
        </w:tc>
        <w:tc>
          <w:tcPr>
            <w:tcW w:w="4677" w:type="dxa"/>
            <w:shd w:val="clear" w:color="auto" w:fill="C5E0B3" w:themeFill="accent6" w:themeFillTint="66"/>
          </w:tcPr>
          <w:p w14:paraId="730EE525" w14:textId="38899BDF" w:rsidR="00156A47" w:rsidRPr="00DE11B1" w:rsidRDefault="00156A47" w:rsidP="00156A47">
            <w:pPr>
              <w:spacing w:before="120" w:after="60" w:line="240" w:lineRule="auto"/>
              <w:rPr>
                <w:rFonts w:ascii="Calibri" w:eastAsia="Times New Roman" w:hAnsi="Calibri" w:cs="Times New Roman"/>
                <w:sz w:val="18"/>
                <w:szCs w:val="18"/>
              </w:rPr>
            </w:pPr>
            <w:r w:rsidRPr="00DE11B1">
              <w:rPr>
                <w:rFonts w:ascii="Calibri" w:eastAsia="Times New Roman" w:hAnsi="Calibri" w:cs="Times New Roman"/>
                <w:sz w:val="18"/>
                <w:szCs w:val="18"/>
              </w:rPr>
              <w:t>Entities must be aware that the Commissioner is informed at each significant stage in the process of handling a disclosure.  Where irregularities occur</w:t>
            </w:r>
            <w:r w:rsidR="003B51F6">
              <w:rPr>
                <w:rFonts w:ascii="Calibri" w:eastAsia="Times New Roman" w:hAnsi="Calibri" w:cs="Times New Roman"/>
                <w:sz w:val="18"/>
                <w:szCs w:val="18"/>
              </w:rPr>
              <w:t>,</w:t>
            </w:r>
            <w:r w:rsidRPr="00DE11B1">
              <w:rPr>
                <w:rFonts w:ascii="Calibri" w:eastAsia="Times New Roman" w:hAnsi="Calibri" w:cs="Times New Roman"/>
                <w:sz w:val="18"/>
                <w:szCs w:val="18"/>
              </w:rPr>
              <w:t xml:space="preserve"> or potentially insufficient actions are taken, the Commissioner</w:t>
            </w:r>
            <w:r>
              <w:rPr>
                <w:rFonts w:ascii="Calibri" w:eastAsia="Times New Roman" w:hAnsi="Calibri" w:cs="Times New Roman"/>
                <w:sz w:val="18"/>
                <w:szCs w:val="18"/>
              </w:rPr>
              <w:t xml:space="preserve"> may</w:t>
            </w:r>
            <w:r w:rsidRPr="00DE11B1">
              <w:rPr>
                <w:rFonts w:ascii="Calibri" w:eastAsia="Times New Roman" w:hAnsi="Calibri" w:cs="Times New Roman"/>
                <w:sz w:val="18"/>
                <w:szCs w:val="18"/>
              </w:rPr>
              <w:t xml:space="preserve"> intervene in the handling of a disclosure.</w:t>
            </w:r>
          </w:p>
          <w:p w14:paraId="1D79AA10" w14:textId="77777777" w:rsidR="00156A47" w:rsidRPr="00DE11B1" w:rsidRDefault="00156A47" w:rsidP="00156A47">
            <w:pPr>
              <w:spacing w:before="120" w:after="60" w:line="240" w:lineRule="auto"/>
              <w:rPr>
                <w:rFonts w:ascii="Calibri" w:eastAsia="Times New Roman" w:hAnsi="Calibri" w:cs="Times New Roman"/>
                <w:sz w:val="18"/>
                <w:szCs w:val="18"/>
              </w:rPr>
            </w:pPr>
          </w:p>
        </w:tc>
      </w:tr>
    </w:tbl>
    <w:p w14:paraId="7E96C668" w14:textId="77777777" w:rsidR="00533B05" w:rsidRDefault="00533B05" w:rsidP="0060581C">
      <w:pPr>
        <w:spacing w:line="240" w:lineRule="auto"/>
        <w:rPr>
          <w:b/>
          <w:bCs/>
        </w:rPr>
      </w:pPr>
      <w:r>
        <w:rPr>
          <w:b/>
          <w:bCs/>
        </w:rPr>
        <w:br w:type="page"/>
      </w:r>
    </w:p>
    <w:p w14:paraId="26EE7E07" w14:textId="711A7CE4" w:rsidR="004E7B8B" w:rsidRPr="00F574A1" w:rsidRDefault="00121305" w:rsidP="0060581C">
      <w:pPr>
        <w:spacing w:line="240" w:lineRule="auto"/>
        <w:rPr>
          <w:b/>
          <w:bCs/>
          <w:iCs/>
        </w:rPr>
      </w:pPr>
      <w:bookmarkStart w:id="39" w:name="_bookmark45"/>
      <w:bookmarkEnd w:id="39"/>
      <w:r w:rsidRPr="00CF371B">
        <w:rPr>
          <w:b/>
          <w:bCs/>
        </w:rPr>
        <w:lastRenderedPageBreak/>
        <w:t>Appendix</w:t>
      </w:r>
      <w:r w:rsidR="0062218C" w:rsidRPr="00CF371B">
        <w:rPr>
          <w:b/>
          <w:bCs/>
        </w:rPr>
        <w:t xml:space="preserve"> </w:t>
      </w:r>
      <w:r w:rsidR="003D0942" w:rsidRPr="00CF371B">
        <w:rPr>
          <w:b/>
          <w:bCs/>
        </w:rPr>
        <w:t>B</w:t>
      </w:r>
      <w:bookmarkStart w:id="40" w:name="_bookmark46"/>
      <w:bookmarkEnd w:id="40"/>
      <w:r w:rsidR="0062218C" w:rsidRPr="00CF371B">
        <w:rPr>
          <w:b/>
          <w:bCs/>
        </w:rPr>
        <w:t xml:space="preserve"> - </w:t>
      </w:r>
      <w:r w:rsidR="004E7B8B" w:rsidRPr="00F574A1">
        <w:rPr>
          <w:b/>
          <w:bCs/>
          <w:iCs/>
        </w:rPr>
        <w:t>Acknowledgement letter – suggested template for use on receipt of a disclosure</w:t>
      </w:r>
    </w:p>
    <w:p w14:paraId="266588F1" w14:textId="77777777" w:rsidR="004E7B8B" w:rsidRPr="004E7B8B" w:rsidRDefault="004E7B8B" w:rsidP="0060581C">
      <w:pPr>
        <w:spacing w:line="240" w:lineRule="auto"/>
        <w:rPr>
          <w:b/>
          <w:bCs/>
          <w:i/>
          <w:iCs/>
        </w:rPr>
      </w:pPr>
    </w:p>
    <w:p w14:paraId="20435A72" w14:textId="6F39DD3D" w:rsidR="004E7B8B" w:rsidRPr="004E7B8B" w:rsidRDefault="001A6112" w:rsidP="0060581C">
      <w:pPr>
        <w:spacing w:line="240" w:lineRule="auto"/>
        <w:rPr>
          <w:i/>
          <w:iCs/>
        </w:rPr>
      </w:pPr>
      <w:r>
        <w:rPr>
          <w:i/>
          <w:iCs/>
        </w:rPr>
        <w:t>&lt;Insert Letterhead</w:t>
      </w:r>
      <w:r w:rsidR="004E7B8B" w:rsidRPr="004E7B8B">
        <w:rPr>
          <w:i/>
          <w:iCs/>
        </w:rPr>
        <w:t>&gt;</w:t>
      </w:r>
    </w:p>
    <w:p w14:paraId="52F19989" w14:textId="77777777" w:rsidR="004E7B8B" w:rsidRPr="004E7B8B" w:rsidRDefault="004E7B8B" w:rsidP="0060581C">
      <w:pPr>
        <w:spacing w:line="240" w:lineRule="auto"/>
        <w:rPr>
          <w:i/>
          <w:iCs/>
        </w:rPr>
      </w:pPr>
    </w:p>
    <w:p w14:paraId="0FC38B2D" w14:textId="36B3D76A" w:rsidR="0062218C" w:rsidRPr="00AC2664" w:rsidRDefault="00AC2664" w:rsidP="0060581C">
      <w:pPr>
        <w:spacing w:line="240" w:lineRule="auto"/>
        <w:rPr>
          <w:i/>
        </w:rPr>
      </w:pPr>
      <w:r>
        <w:rPr>
          <w:i/>
        </w:rPr>
        <w:t>&lt;</w:t>
      </w:r>
      <w:r w:rsidR="004E7B8B" w:rsidRPr="00AC2664">
        <w:rPr>
          <w:i/>
        </w:rPr>
        <w:t>Name</w:t>
      </w:r>
      <w:r w:rsidRPr="00AC2664">
        <w:rPr>
          <w:i/>
        </w:rPr>
        <w:t xml:space="preserve"> of discloser</w:t>
      </w:r>
      <w:r>
        <w:rPr>
          <w:i/>
        </w:rPr>
        <w:t>&gt;</w:t>
      </w:r>
      <w:r w:rsidR="004E7B8B" w:rsidRPr="00AC2664">
        <w:rPr>
          <w:i/>
        </w:rPr>
        <w:t xml:space="preserve"> </w:t>
      </w:r>
    </w:p>
    <w:p w14:paraId="5BBEE4FC" w14:textId="0F539AD8" w:rsidR="004E7B8B" w:rsidRPr="00AC2664" w:rsidRDefault="00AC2664" w:rsidP="0060581C">
      <w:pPr>
        <w:spacing w:line="240" w:lineRule="auto"/>
        <w:rPr>
          <w:i/>
        </w:rPr>
      </w:pPr>
      <w:r>
        <w:rPr>
          <w:i/>
        </w:rPr>
        <w:t>&lt;</w:t>
      </w:r>
      <w:r w:rsidR="004E7B8B" w:rsidRPr="00AC2664">
        <w:rPr>
          <w:i/>
        </w:rPr>
        <w:t>Address</w:t>
      </w:r>
      <w:r>
        <w:rPr>
          <w:i/>
        </w:rPr>
        <w:t xml:space="preserve"> of discloser&gt;</w:t>
      </w:r>
    </w:p>
    <w:p w14:paraId="456374C2" w14:textId="77777777" w:rsidR="004E7B8B" w:rsidRPr="004E7B8B" w:rsidRDefault="004E7B8B" w:rsidP="0060581C">
      <w:pPr>
        <w:spacing w:line="240" w:lineRule="auto"/>
      </w:pPr>
    </w:p>
    <w:p w14:paraId="13830ED2" w14:textId="77777777" w:rsidR="004E7B8B" w:rsidRPr="00AC2664" w:rsidRDefault="004E7B8B" w:rsidP="0060581C">
      <w:pPr>
        <w:spacing w:line="240" w:lineRule="auto"/>
        <w:rPr>
          <w:i/>
          <w:iCs/>
        </w:rPr>
      </w:pPr>
      <w:r w:rsidRPr="004E7B8B">
        <w:t xml:space="preserve">Dear </w:t>
      </w:r>
      <w:r w:rsidRPr="00AC2664">
        <w:rPr>
          <w:i/>
        </w:rPr>
        <w:t>&lt;n</w:t>
      </w:r>
      <w:r w:rsidRPr="00AC2664">
        <w:rPr>
          <w:i/>
          <w:iCs/>
        </w:rPr>
        <w:t>ame of discloser&gt;</w:t>
      </w:r>
    </w:p>
    <w:p w14:paraId="0EB6E3A9" w14:textId="77777777" w:rsidR="004E7B8B" w:rsidRPr="004E7B8B" w:rsidRDefault="004E7B8B" w:rsidP="0060581C">
      <w:pPr>
        <w:spacing w:line="240" w:lineRule="auto"/>
        <w:rPr>
          <w:i/>
          <w:iCs/>
        </w:rPr>
      </w:pPr>
    </w:p>
    <w:p w14:paraId="19489121" w14:textId="77777777" w:rsidR="004E7B8B" w:rsidRPr="004E7B8B" w:rsidRDefault="004E7B8B" w:rsidP="0060581C">
      <w:pPr>
        <w:spacing w:line="240" w:lineRule="auto"/>
        <w:rPr>
          <w:i/>
          <w:iCs/>
        </w:rPr>
      </w:pPr>
      <w:r w:rsidRPr="004E7B8B">
        <w:t xml:space="preserve">Thank you for your letter/email/phone call of </w:t>
      </w:r>
      <w:r w:rsidRPr="004E7B8B">
        <w:rPr>
          <w:i/>
          <w:iCs/>
        </w:rPr>
        <w:t xml:space="preserve">&lt;date&gt; </w:t>
      </w:r>
      <w:r w:rsidRPr="004E7B8B">
        <w:t>about &lt;</w:t>
      </w:r>
      <w:r w:rsidRPr="004E7B8B">
        <w:rPr>
          <w:i/>
          <w:iCs/>
        </w:rPr>
        <w:t>insert details of disclosure&gt;.</w:t>
      </w:r>
    </w:p>
    <w:p w14:paraId="0FF46473" w14:textId="77777777" w:rsidR="004E7B8B" w:rsidRPr="004E7B8B" w:rsidRDefault="004E7B8B" w:rsidP="0060581C">
      <w:pPr>
        <w:spacing w:line="240" w:lineRule="auto"/>
      </w:pPr>
      <w:r w:rsidRPr="004E7B8B">
        <w:t>I am writing to thank you for bringing this matter to my attention.</w:t>
      </w:r>
    </w:p>
    <w:p w14:paraId="2DBE51DE" w14:textId="6FB9A132" w:rsidR="004E7B8B" w:rsidRPr="004E7B8B" w:rsidRDefault="004E7B8B" w:rsidP="0060581C">
      <w:pPr>
        <w:spacing w:line="240" w:lineRule="auto"/>
      </w:pPr>
      <w:r w:rsidRPr="004E7B8B">
        <w:t xml:space="preserve">I am currently assessing </w:t>
      </w:r>
      <w:r w:rsidR="00BD17FC">
        <w:t>your</w:t>
      </w:r>
      <w:r w:rsidR="0004056C">
        <w:t xml:space="preserve"> disclosure in terms of</w:t>
      </w:r>
      <w:r w:rsidRPr="004E7B8B">
        <w:t xml:space="preserve"> the </w:t>
      </w:r>
      <w:r w:rsidRPr="004E7B8B">
        <w:rPr>
          <w:i/>
          <w:iCs/>
        </w:rPr>
        <w:t>Public Interest Disclosure Act 2012</w:t>
      </w:r>
      <w:r w:rsidRPr="004E7B8B">
        <w:t>.</w:t>
      </w:r>
    </w:p>
    <w:p w14:paraId="79576D10" w14:textId="504EB05D" w:rsidR="004E7B8B" w:rsidRPr="004E7B8B" w:rsidRDefault="00107D2D" w:rsidP="0060581C">
      <w:pPr>
        <w:spacing w:line="240" w:lineRule="auto"/>
      </w:pPr>
      <w:r>
        <w:t>I will write a</w:t>
      </w:r>
      <w:r w:rsidR="00963568">
        <w:t>gain</w:t>
      </w:r>
      <w:r w:rsidR="004E7B8B" w:rsidRPr="004E7B8B">
        <w:t xml:space="preserve"> within three months from the date of this letter</w:t>
      </w:r>
      <w:r w:rsidR="00AB0295">
        <w:t xml:space="preserve"> to notify you how this </w:t>
      </w:r>
      <w:r w:rsidR="00C71283">
        <w:t xml:space="preserve">matter is being handled, consistent with the </w:t>
      </w:r>
      <w:r w:rsidR="004B5A81">
        <w:t>provisions of section 23 of the Act</w:t>
      </w:r>
      <w:r w:rsidR="004E7B8B" w:rsidRPr="004E7B8B">
        <w:t>.</w:t>
      </w:r>
    </w:p>
    <w:p w14:paraId="2A000097" w14:textId="77777777" w:rsidR="004E7B8B" w:rsidRPr="004E7B8B" w:rsidRDefault="004E7B8B" w:rsidP="0060581C">
      <w:pPr>
        <w:spacing w:line="240" w:lineRule="auto"/>
      </w:pPr>
      <w:r w:rsidRPr="004E7B8B">
        <w:t>If you require any further information or assistance, please do not hesitate to contact me.</w:t>
      </w:r>
    </w:p>
    <w:p w14:paraId="5D236B68" w14:textId="77777777" w:rsidR="004E7B8B" w:rsidRPr="004E7B8B" w:rsidRDefault="004E7B8B" w:rsidP="0060581C">
      <w:pPr>
        <w:spacing w:line="240" w:lineRule="auto"/>
      </w:pPr>
    </w:p>
    <w:p w14:paraId="32DC6AB8" w14:textId="77777777" w:rsidR="004E7B8B" w:rsidRPr="004E7B8B" w:rsidRDefault="004E7B8B" w:rsidP="0060581C">
      <w:pPr>
        <w:spacing w:line="240" w:lineRule="auto"/>
      </w:pPr>
    </w:p>
    <w:p w14:paraId="4CF6EAF0" w14:textId="77777777" w:rsidR="004E7B8B" w:rsidRPr="004E7B8B" w:rsidRDefault="004E7B8B" w:rsidP="0060581C">
      <w:pPr>
        <w:spacing w:line="240" w:lineRule="auto"/>
      </w:pPr>
      <w:r w:rsidRPr="004E7B8B">
        <w:t>Yours sincerely</w:t>
      </w:r>
    </w:p>
    <w:p w14:paraId="379FC7B7" w14:textId="77777777" w:rsidR="004E7B8B" w:rsidRPr="004E7B8B" w:rsidRDefault="004E7B8B" w:rsidP="0060581C">
      <w:pPr>
        <w:spacing w:line="240" w:lineRule="auto"/>
      </w:pPr>
    </w:p>
    <w:p w14:paraId="07BD78BF" w14:textId="5277C312" w:rsidR="004E7B8B" w:rsidRPr="00AC2664" w:rsidRDefault="00AC2664" w:rsidP="0060581C">
      <w:pPr>
        <w:spacing w:line="240" w:lineRule="auto"/>
        <w:rPr>
          <w:i/>
        </w:rPr>
      </w:pPr>
      <w:r w:rsidRPr="00AC2664">
        <w:rPr>
          <w:i/>
        </w:rPr>
        <w:t>&lt;</w:t>
      </w:r>
      <w:r w:rsidR="0062218C" w:rsidRPr="00AC2664">
        <w:rPr>
          <w:i/>
        </w:rPr>
        <w:t xml:space="preserve">Name of </w:t>
      </w:r>
      <w:r w:rsidR="004E7B8B" w:rsidRPr="00AC2664">
        <w:rPr>
          <w:i/>
        </w:rPr>
        <w:t>Disclosure Officer</w:t>
      </w:r>
      <w:r w:rsidRPr="00AC2664">
        <w:rPr>
          <w:i/>
        </w:rPr>
        <w:t>&gt;</w:t>
      </w:r>
    </w:p>
    <w:p w14:paraId="0ACDF2E2" w14:textId="68629C92" w:rsidR="004E7B8B" w:rsidRPr="004E7B8B" w:rsidRDefault="00AC2664" w:rsidP="0060581C">
      <w:pPr>
        <w:spacing w:line="240" w:lineRule="auto"/>
        <w:rPr>
          <w:i/>
          <w:iCs/>
        </w:rPr>
      </w:pPr>
      <w:r>
        <w:rPr>
          <w:i/>
          <w:iCs/>
        </w:rPr>
        <w:t>&lt;N</w:t>
      </w:r>
      <w:r w:rsidR="004E7B8B" w:rsidRPr="004E7B8B">
        <w:rPr>
          <w:i/>
          <w:iCs/>
        </w:rPr>
        <w:t>ame of entity&gt;</w:t>
      </w:r>
    </w:p>
    <w:p w14:paraId="19EB841F" w14:textId="77777777" w:rsidR="004E7B8B" w:rsidRPr="004E7B8B" w:rsidRDefault="004E7B8B" w:rsidP="0060581C">
      <w:pPr>
        <w:spacing w:line="240" w:lineRule="auto"/>
        <w:rPr>
          <w:i/>
          <w:iCs/>
        </w:rPr>
      </w:pPr>
    </w:p>
    <w:p w14:paraId="7B385FB1" w14:textId="77777777" w:rsidR="004E7B8B" w:rsidRPr="004E7B8B" w:rsidRDefault="004E7B8B" w:rsidP="0060581C">
      <w:pPr>
        <w:spacing w:line="240" w:lineRule="auto"/>
        <w:rPr>
          <w:i/>
          <w:iCs/>
        </w:rPr>
      </w:pPr>
    </w:p>
    <w:p w14:paraId="3CBBFF9D" w14:textId="66761DE0" w:rsidR="0062218C" w:rsidRDefault="004E7B8B" w:rsidP="0060581C">
      <w:pPr>
        <w:spacing w:line="240" w:lineRule="auto"/>
      </w:pPr>
      <w:r w:rsidRPr="004E7B8B">
        <w:t>CC</w:t>
      </w:r>
      <w:r w:rsidR="00450D8F">
        <w:t xml:space="preserve">:  </w:t>
      </w:r>
      <w:r w:rsidRPr="004E7B8B">
        <w:t>Public Sector Standards Commissioner</w:t>
      </w:r>
    </w:p>
    <w:p w14:paraId="1349FCAF" w14:textId="77777777" w:rsidR="0062218C" w:rsidRDefault="0062218C" w:rsidP="0060581C">
      <w:pPr>
        <w:spacing w:line="240" w:lineRule="auto"/>
      </w:pPr>
      <w:r>
        <w:br w:type="page"/>
      </w:r>
    </w:p>
    <w:p w14:paraId="186F8677" w14:textId="77777777" w:rsidR="0062218C" w:rsidRDefault="004E7B8B" w:rsidP="0060581C">
      <w:pPr>
        <w:spacing w:line="240" w:lineRule="auto"/>
      </w:pPr>
      <w:r w:rsidRPr="004E7B8B">
        <w:lastRenderedPageBreak/>
        <w:tab/>
      </w:r>
    </w:p>
    <w:p w14:paraId="09864240" w14:textId="5C6519FA" w:rsidR="004E7B8B" w:rsidRPr="00F574A1" w:rsidRDefault="00121305" w:rsidP="0060581C">
      <w:pPr>
        <w:spacing w:line="240" w:lineRule="auto"/>
        <w:rPr>
          <w:b/>
          <w:bCs/>
          <w:iCs/>
        </w:rPr>
      </w:pPr>
      <w:bookmarkStart w:id="41" w:name="_bookmark47"/>
      <w:bookmarkEnd w:id="41"/>
      <w:r w:rsidRPr="00CF371B">
        <w:rPr>
          <w:b/>
          <w:bCs/>
        </w:rPr>
        <w:t>Appendix</w:t>
      </w:r>
      <w:r w:rsidR="0062218C" w:rsidRPr="00CF371B">
        <w:rPr>
          <w:b/>
          <w:bCs/>
        </w:rPr>
        <w:t xml:space="preserve"> </w:t>
      </w:r>
      <w:r w:rsidR="003D0942" w:rsidRPr="00CF371B">
        <w:rPr>
          <w:b/>
          <w:bCs/>
        </w:rPr>
        <w:t>C</w:t>
      </w:r>
      <w:r w:rsidR="0062218C" w:rsidRPr="00CF371B">
        <w:rPr>
          <w:b/>
          <w:bCs/>
        </w:rPr>
        <w:t xml:space="preserve"> - </w:t>
      </w:r>
      <w:bookmarkStart w:id="42" w:name="_bookmark48"/>
      <w:bookmarkEnd w:id="42"/>
      <w:r w:rsidR="004E7B8B" w:rsidRPr="00F574A1">
        <w:rPr>
          <w:b/>
          <w:bCs/>
          <w:iCs/>
        </w:rPr>
        <w:t>Referral letter – suggested template for use in providing a</w:t>
      </w:r>
      <w:r w:rsidR="00D0533F">
        <w:rPr>
          <w:b/>
          <w:bCs/>
          <w:iCs/>
        </w:rPr>
        <w:t xml:space="preserve"> public interest</w:t>
      </w:r>
      <w:r w:rsidR="004E7B8B" w:rsidRPr="00F574A1">
        <w:rPr>
          <w:b/>
          <w:bCs/>
          <w:iCs/>
        </w:rPr>
        <w:t xml:space="preserve"> disclosure to </w:t>
      </w:r>
      <w:r w:rsidR="00CF371B">
        <w:rPr>
          <w:b/>
          <w:bCs/>
          <w:iCs/>
        </w:rPr>
        <w:t>an</w:t>
      </w:r>
      <w:r w:rsidR="004E7B8B" w:rsidRPr="00F574A1">
        <w:rPr>
          <w:b/>
          <w:bCs/>
          <w:iCs/>
        </w:rPr>
        <w:t>other entity</w:t>
      </w:r>
    </w:p>
    <w:p w14:paraId="7EA83B82" w14:textId="77777777" w:rsidR="004E7B8B" w:rsidRPr="004E7B8B" w:rsidRDefault="004E7B8B" w:rsidP="0060581C">
      <w:pPr>
        <w:spacing w:line="240" w:lineRule="auto"/>
        <w:rPr>
          <w:b/>
          <w:bCs/>
          <w:i/>
          <w:iCs/>
        </w:rPr>
      </w:pPr>
    </w:p>
    <w:p w14:paraId="0B26313B" w14:textId="11047772" w:rsidR="00404718" w:rsidRDefault="001A6112" w:rsidP="0060581C">
      <w:pPr>
        <w:spacing w:line="240" w:lineRule="auto"/>
        <w:rPr>
          <w:i/>
          <w:iCs/>
        </w:rPr>
      </w:pPr>
      <w:r>
        <w:rPr>
          <w:i/>
          <w:iCs/>
        </w:rPr>
        <w:t>&lt;Insert Letterhead</w:t>
      </w:r>
      <w:r w:rsidR="004E7B8B" w:rsidRPr="004E7B8B">
        <w:rPr>
          <w:i/>
          <w:iCs/>
        </w:rPr>
        <w:t>&gt;</w:t>
      </w:r>
    </w:p>
    <w:p w14:paraId="24B8DA55" w14:textId="77777777" w:rsidR="00404718" w:rsidRPr="004E7B8B" w:rsidRDefault="00404718" w:rsidP="0060581C">
      <w:pPr>
        <w:spacing w:line="240" w:lineRule="auto"/>
        <w:rPr>
          <w:i/>
          <w:iCs/>
        </w:rPr>
      </w:pPr>
    </w:p>
    <w:p w14:paraId="6FA0F46F" w14:textId="3F996599" w:rsidR="004E7B8B" w:rsidRDefault="008C4948" w:rsidP="0060581C">
      <w:pPr>
        <w:spacing w:line="240" w:lineRule="auto"/>
        <w:rPr>
          <w:i/>
          <w:iCs/>
        </w:rPr>
      </w:pPr>
      <w:r>
        <w:rPr>
          <w:i/>
          <w:iCs/>
        </w:rPr>
        <w:t>&lt;</w:t>
      </w:r>
      <w:r w:rsidR="00404718" w:rsidRPr="00404718">
        <w:rPr>
          <w:i/>
          <w:iCs/>
        </w:rPr>
        <w:t>recipient/address&gt;</w:t>
      </w:r>
    </w:p>
    <w:p w14:paraId="7ADB7C8A" w14:textId="77777777" w:rsidR="008C4948" w:rsidRDefault="008C4948" w:rsidP="0060581C">
      <w:pPr>
        <w:spacing w:line="240" w:lineRule="auto"/>
        <w:rPr>
          <w:i/>
          <w:iCs/>
        </w:rPr>
      </w:pPr>
    </w:p>
    <w:p w14:paraId="4E38F329" w14:textId="73671366" w:rsidR="004E7B8B" w:rsidRDefault="004E7B8B" w:rsidP="008C4948">
      <w:pPr>
        <w:spacing w:after="0" w:line="240" w:lineRule="auto"/>
        <w:rPr>
          <w:i/>
          <w:iCs/>
        </w:rPr>
      </w:pPr>
      <w:r w:rsidRPr="004E7B8B">
        <w:t xml:space="preserve">Dear </w:t>
      </w:r>
      <w:r w:rsidRPr="004E7B8B">
        <w:rPr>
          <w:i/>
          <w:iCs/>
        </w:rPr>
        <w:t xml:space="preserve">&lt;insert </w:t>
      </w:r>
      <w:r w:rsidR="001A6112">
        <w:rPr>
          <w:i/>
          <w:iCs/>
        </w:rPr>
        <w:t xml:space="preserve">name of </w:t>
      </w:r>
      <w:r w:rsidRPr="004E7B8B">
        <w:rPr>
          <w:i/>
          <w:iCs/>
        </w:rPr>
        <w:t>head of entity&gt;</w:t>
      </w:r>
    </w:p>
    <w:p w14:paraId="12E48BB0" w14:textId="77777777" w:rsidR="008C4948" w:rsidRDefault="008C4948" w:rsidP="008C4948">
      <w:pPr>
        <w:spacing w:after="0" w:line="240" w:lineRule="auto"/>
        <w:rPr>
          <w:i/>
          <w:iCs/>
        </w:rPr>
      </w:pPr>
    </w:p>
    <w:p w14:paraId="393FD7A2" w14:textId="39A3C2DB" w:rsidR="00404718" w:rsidRDefault="00404718" w:rsidP="008C4948">
      <w:pPr>
        <w:spacing w:after="0" w:line="240" w:lineRule="auto"/>
        <w:rPr>
          <w:b/>
          <w:iCs/>
        </w:rPr>
      </w:pPr>
      <w:r w:rsidRPr="00F574A1">
        <w:rPr>
          <w:b/>
          <w:iCs/>
        </w:rPr>
        <w:t>Referral of a public interest disclosure</w:t>
      </w:r>
    </w:p>
    <w:p w14:paraId="64CF9329" w14:textId="77777777" w:rsidR="008C4948" w:rsidRPr="00F574A1" w:rsidRDefault="008C4948" w:rsidP="008C4948">
      <w:pPr>
        <w:spacing w:after="0" w:line="240" w:lineRule="auto"/>
        <w:rPr>
          <w:b/>
          <w:iCs/>
        </w:rPr>
      </w:pPr>
    </w:p>
    <w:p w14:paraId="062EAB7B" w14:textId="0CA69108" w:rsidR="004E7B8B" w:rsidRPr="004E7B8B" w:rsidRDefault="004E7B8B" w:rsidP="0060581C">
      <w:pPr>
        <w:spacing w:line="240" w:lineRule="auto"/>
      </w:pPr>
      <w:r w:rsidRPr="004E7B8B">
        <w:t xml:space="preserve">On </w:t>
      </w:r>
      <w:r w:rsidRPr="004E7B8B">
        <w:rPr>
          <w:i/>
          <w:iCs/>
        </w:rPr>
        <w:t xml:space="preserve">&lt;insert date&gt;, &lt;insert name of entity that received the disclosure&gt; </w:t>
      </w:r>
      <w:r w:rsidRPr="004E7B8B">
        <w:t>received a disclosure from</w:t>
      </w:r>
      <w:r w:rsidR="00404718">
        <w:rPr>
          <w:i/>
          <w:iCs/>
        </w:rPr>
        <w:t xml:space="preserve"> </w:t>
      </w:r>
      <w:r w:rsidRPr="004E7B8B">
        <w:rPr>
          <w:i/>
          <w:iCs/>
        </w:rPr>
        <w:t xml:space="preserve">&lt;insert name of discloser&gt;. </w:t>
      </w:r>
      <w:r w:rsidRPr="004E7B8B">
        <w:t xml:space="preserve">The disclosure was about </w:t>
      </w:r>
      <w:r w:rsidRPr="004E7B8B">
        <w:rPr>
          <w:i/>
          <w:iCs/>
        </w:rPr>
        <w:t xml:space="preserve">&lt;insert details of disclosure&gt;. </w:t>
      </w:r>
      <w:r w:rsidRPr="004E7B8B">
        <w:t>I have attached the disclosure for your information.</w:t>
      </w:r>
    </w:p>
    <w:p w14:paraId="4775449B" w14:textId="3EEA98A9" w:rsidR="004E7B8B" w:rsidRPr="004E7B8B" w:rsidRDefault="004E7B8B" w:rsidP="0060581C">
      <w:pPr>
        <w:spacing w:line="240" w:lineRule="auto"/>
        <w:rPr>
          <w:i/>
          <w:iCs/>
        </w:rPr>
      </w:pPr>
      <w:r w:rsidRPr="004E7B8B">
        <w:t xml:space="preserve">Under section 19 of the </w:t>
      </w:r>
      <w:r w:rsidRPr="004E7B8B">
        <w:rPr>
          <w:i/>
          <w:iCs/>
        </w:rPr>
        <w:t xml:space="preserve">Public Interest Disclosure Act 2012 </w:t>
      </w:r>
      <w:r w:rsidRPr="004E7B8B">
        <w:t>(the Act)</w:t>
      </w:r>
      <w:r w:rsidR="005E0572">
        <w:t>,</w:t>
      </w:r>
      <w:r w:rsidRPr="004E7B8B">
        <w:t xml:space="preserve"> it is my opinion that this matter falls within the portfolio responsibilities of your entity as it involves staff in your entity </w:t>
      </w:r>
      <w:r w:rsidRPr="004E7B8B">
        <w:rPr>
          <w:i/>
          <w:iCs/>
        </w:rPr>
        <w:t xml:space="preserve">&lt;or&gt; </w:t>
      </w:r>
      <w:r w:rsidRPr="004E7B8B">
        <w:t xml:space="preserve">involves a program under your control </w:t>
      </w:r>
      <w:r w:rsidRPr="004E7B8B">
        <w:rPr>
          <w:i/>
          <w:iCs/>
        </w:rPr>
        <w:t xml:space="preserve">&lt;or&gt; </w:t>
      </w:r>
      <w:r w:rsidRPr="004E7B8B">
        <w:t>involves funds under your control &lt;</w:t>
      </w:r>
      <w:r w:rsidRPr="004E7B8B">
        <w:rPr>
          <w:i/>
          <w:iCs/>
        </w:rPr>
        <w:t>delete as appropriate&gt;.</w:t>
      </w:r>
    </w:p>
    <w:p w14:paraId="78D5CD9D" w14:textId="77777777" w:rsidR="004E7B8B" w:rsidRPr="004E7B8B" w:rsidRDefault="004E7B8B" w:rsidP="0060581C">
      <w:pPr>
        <w:spacing w:line="240" w:lineRule="auto"/>
      </w:pPr>
      <w:r w:rsidRPr="004E7B8B">
        <w:t>Under the Act, you should note that you have an obligation to keep the discloser, myself (as the referring entity) and the Public Sector Standards Commissioner informed about any actions or decisions you make about this matter at least once every three months or at significant points should you decide to investigate the matter.</w:t>
      </w:r>
    </w:p>
    <w:p w14:paraId="3D3E0209" w14:textId="6D16A716" w:rsidR="004E7B8B" w:rsidRPr="004E7B8B" w:rsidRDefault="004E7B8B" w:rsidP="0060581C">
      <w:pPr>
        <w:spacing w:line="240" w:lineRule="auto"/>
      </w:pPr>
      <w:r w:rsidRPr="004E7B8B">
        <w:t xml:space="preserve">Thank you for your consideration of this referral. </w:t>
      </w:r>
    </w:p>
    <w:p w14:paraId="4AC2A755" w14:textId="77777777" w:rsidR="008C4948" w:rsidRDefault="008C4948" w:rsidP="0060581C">
      <w:pPr>
        <w:spacing w:line="240" w:lineRule="auto"/>
        <w:rPr>
          <w:i/>
          <w:iCs/>
        </w:rPr>
      </w:pPr>
    </w:p>
    <w:p w14:paraId="59BCE701" w14:textId="3CD7CAF1" w:rsidR="008C4948" w:rsidRPr="008C4948" w:rsidRDefault="008C4948" w:rsidP="0060581C">
      <w:pPr>
        <w:spacing w:line="240" w:lineRule="auto"/>
        <w:rPr>
          <w:iCs/>
        </w:rPr>
      </w:pPr>
      <w:r w:rsidRPr="008C4948">
        <w:rPr>
          <w:iCs/>
        </w:rPr>
        <w:t xml:space="preserve">Yours </w:t>
      </w:r>
      <w:r w:rsidR="00152E72">
        <w:rPr>
          <w:iCs/>
        </w:rPr>
        <w:t>s</w:t>
      </w:r>
      <w:r w:rsidRPr="008C4948">
        <w:rPr>
          <w:iCs/>
        </w:rPr>
        <w:t>incerely,</w:t>
      </w:r>
    </w:p>
    <w:p w14:paraId="0EE0F2CE" w14:textId="77777777" w:rsidR="004E7B8B" w:rsidRPr="004E7B8B" w:rsidRDefault="004E7B8B" w:rsidP="0060581C">
      <w:pPr>
        <w:spacing w:line="240" w:lineRule="auto"/>
        <w:rPr>
          <w:i/>
          <w:iCs/>
        </w:rPr>
      </w:pPr>
      <w:r w:rsidRPr="004E7B8B">
        <w:rPr>
          <w:i/>
          <w:iCs/>
        </w:rPr>
        <w:t>&lt;insert head of entity name ‐ referring entity ‐ date&gt;</w:t>
      </w:r>
    </w:p>
    <w:p w14:paraId="0A4D7CE4" w14:textId="77777777" w:rsidR="008C4948" w:rsidRDefault="008C4948" w:rsidP="0060581C">
      <w:pPr>
        <w:spacing w:line="240" w:lineRule="auto"/>
      </w:pPr>
    </w:p>
    <w:p w14:paraId="66CF9303" w14:textId="1914E643" w:rsidR="004E7B8B" w:rsidRPr="004E7B8B" w:rsidRDefault="004E7B8B" w:rsidP="0060581C">
      <w:pPr>
        <w:spacing w:line="240" w:lineRule="auto"/>
      </w:pPr>
      <w:r w:rsidRPr="004E7B8B">
        <w:t>CC</w:t>
      </w:r>
      <w:r w:rsidR="00450D8F">
        <w:t xml:space="preserve">:  </w:t>
      </w:r>
      <w:r w:rsidRPr="004E7B8B">
        <w:t>Public Sector Standards Commissioner</w:t>
      </w:r>
    </w:p>
    <w:p w14:paraId="4447D38C" w14:textId="77777777" w:rsidR="004E7B8B" w:rsidRPr="004E7B8B" w:rsidRDefault="004E7B8B" w:rsidP="0060581C">
      <w:pPr>
        <w:spacing w:line="240" w:lineRule="auto"/>
      </w:pPr>
    </w:p>
    <w:p w14:paraId="0E9C169B" w14:textId="1C64684D" w:rsidR="004E7B8B" w:rsidRPr="004E7B8B" w:rsidRDefault="004E7B8B" w:rsidP="0060581C">
      <w:pPr>
        <w:spacing w:line="240" w:lineRule="auto"/>
        <w:sectPr w:rsidR="004E7B8B" w:rsidRPr="004E7B8B" w:rsidSect="00E87862">
          <w:pgSz w:w="11910" w:h="16840"/>
          <w:pgMar w:top="1440" w:right="1080" w:bottom="1440" w:left="1080" w:header="0" w:footer="942" w:gutter="0"/>
          <w:cols w:space="720"/>
          <w:noEndnote/>
        </w:sectPr>
      </w:pPr>
      <w:r w:rsidRPr="004E7B8B">
        <w:rPr>
          <w:noProof/>
          <w:lang w:eastAsia="en-AU"/>
        </w:rPr>
        <mc:AlternateContent>
          <mc:Choice Requires="wps">
            <w:drawing>
              <wp:anchor distT="0" distB="0" distL="0" distR="0" simplePos="0" relativeHeight="251689984" behindDoc="0" locked="0" layoutInCell="0" allowOverlap="1" wp14:anchorId="19AB0CC6" wp14:editId="1FC4263C">
                <wp:simplePos x="0" y="0"/>
                <wp:positionH relativeFrom="page">
                  <wp:posOffset>838200</wp:posOffset>
                </wp:positionH>
                <wp:positionV relativeFrom="paragraph">
                  <wp:posOffset>226060</wp:posOffset>
                </wp:positionV>
                <wp:extent cx="5876925" cy="1638300"/>
                <wp:effectExtent l="0" t="0" r="15875" b="127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383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E3771" w14:textId="77777777" w:rsidR="00D85ECD" w:rsidRDefault="00D85ECD" w:rsidP="004E7B8B">
                            <w:pPr>
                              <w:pStyle w:val="BodyText"/>
                              <w:kinsoku w:val="0"/>
                              <w:overflowPunct w:val="0"/>
                            </w:pPr>
                          </w:p>
                          <w:p w14:paraId="41A4E40E" w14:textId="70A4C3D4" w:rsidR="00D85ECD" w:rsidRDefault="00D85ECD" w:rsidP="00F574A1">
                            <w:pPr>
                              <w:pStyle w:val="BodyText"/>
                              <w:kinsoku w:val="0"/>
                              <w:overflowPunct w:val="0"/>
                              <w:spacing w:before="180"/>
                              <w:ind w:left="109"/>
                            </w:pPr>
                            <w:r>
                              <w:t>This section to be completed by the head of the entity to which the disclosure has been referred:</w:t>
                            </w:r>
                          </w:p>
                          <w:p w14:paraId="6DCDBCE2" w14:textId="77777777" w:rsidR="00D85ECD" w:rsidRDefault="00D85ECD" w:rsidP="004E7B8B">
                            <w:pPr>
                              <w:pStyle w:val="BodyText"/>
                              <w:kinsoku w:val="0"/>
                              <w:overflowPunct w:val="0"/>
                              <w:spacing w:before="3"/>
                              <w:rPr>
                                <w:sz w:val="26"/>
                                <w:szCs w:val="26"/>
                              </w:rPr>
                            </w:pPr>
                          </w:p>
                          <w:p w14:paraId="0B984088" w14:textId="6B9773C2" w:rsidR="00D85ECD" w:rsidRDefault="00D85ECD" w:rsidP="004E7B8B">
                            <w:pPr>
                              <w:pStyle w:val="BodyText"/>
                              <w:tabs>
                                <w:tab w:val="left" w:pos="1904"/>
                                <w:tab w:val="left" w:pos="7989"/>
                              </w:tabs>
                              <w:kinsoku w:val="0"/>
                              <w:overflowPunct w:val="0"/>
                              <w:ind w:left="109"/>
                            </w:pPr>
                            <w:r>
                              <w:t>Agree /</w:t>
                            </w:r>
                            <w:r>
                              <w:rPr>
                                <w:spacing w:val="-4"/>
                              </w:rPr>
                              <w:t xml:space="preserve"> </w:t>
                            </w:r>
                            <w:r>
                              <w:t>Not</w:t>
                            </w:r>
                            <w:r>
                              <w:rPr>
                                <w:spacing w:val="-2"/>
                              </w:rPr>
                              <w:t xml:space="preserve"> </w:t>
                            </w:r>
                            <w:r>
                              <w:t>Agree</w:t>
                            </w:r>
                            <w:r>
                              <w:tab/>
                            </w:r>
                          </w:p>
                          <w:p w14:paraId="4259941B" w14:textId="77777777" w:rsidR="00D85ECD" w:rsidRDefault="00D85ECD" w:rsidP="004E7B8B">
                            <w:pPr>
                              <w:pStyle w:val="BodyText"/>
                              <w:tabs>
                                <w:tab w:val="left" w:pos="1904"/>
                                <w:tab w:val="left" w:pos="7989"/>
                              </w:tabs>
                              <w:kinsoku w:val="0"/>
                              <w:overflowPunct w:val="0"/>
                              <w:ind w:left="109"/>
                            </w:pPr>
                          </w:p>
                          <w:p w14:paraId="08D4151A" w14:textId="2C40BBC9" w:rsidR="00D85ECD" w:rsidRDefault="00D85ECD" w:rsidP="004E7B8B">
                            <w:pPr>
                              <w:pStyle w:val="BodyText"/>
                              <w:tabs>
                                <w:tab w:val="left" w:pos="1904"/>
                                <w:tab w:val="left" w:pos="7989"/>
                              </w:tabs>
                              <w:kinsoku w:val="0"/>
                              <w:overflowPunct w:val="0"/>
                              <w:ind w:left="109"/>
                            </w:pPr>
                            <w:r>
                              <w:t>Signed............................................................................................../</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0CC6" id="Text Box 4" o:spid="_x0000_s1043" type="#_x0000_t202" style="position:absolute;margin-left:66pt;margin-top:17.8pt;width:462.75pt;height:129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" o:allowincell="f" filled="f" strokeweight=".48pt">
                <v:textbox inset="0,0,0,0">
                  <w:txbxContent>
                    <w:p w14:paraId="22AE3771" w14:textId="77777777" w:rsidR="00D85ECD" w:rsidRDefault="00D85ECD" w:rsidP="004E7B8B">
                      <w:pPr>
                        <w:pStyle w:val="BodyText"/>
                        <w:kinsoku w:val="0"/>
                        <w:overflowPunct w:val="0"/>
                      </w:pPr>
                    </w:p>
                    <w:p w14:paraId="41A4E40E" w14:textId="70A4C3D4" w:rsidR="00D85ECD" w:rsidRDefault="00D85ECD" w:rsidP="00F574A1">
                      <w:pPr>
                        <w:pStyle w:val="BodyText"/>
                        <w:kinsoku w:val="0"/>
                        <w:overflowPunct w:val="0"/>
                        <w:spacing w:before="180"/>
                        <w:ind w:left="109"/>
                      </w:pPr>
                      <w:r>
                        <w:t>This section to be completed by the head of the entity to which the disclosure has been referred:</w:t>
                      </w:r>
                    </w:p>
                    <w:p w14:paraId="6DCDBCE2" w14:textId="77777777" w:rsidR="00D85ECD" w:rsidRDefault="00D85ECD" w:rsidP="004E7B8B">
                      <w:pPr>
                        <w:pStyle w:val="BodyText"/>
                        <w:kinsoku w:val="0"/>
                        <w:overflowPunct w:val="0"/>
                        <w:spacing w:before="3"/>
                        <w:rPr>
                          <w:sz w:val="26"/>
                          <w:szCs w:val="26"/>
                        </w:rPr>
                      </w:pPr>
                    </w:p>
                    <w:p w14:paraId="0B984088" w14:textId="6B9773C2" w:rsidR="00D85ECD" w:rsidRDefault="00D85ECD" w:rsidP="004E7B8B">
                      <w:pPr>
                        <w:pStyle w:val="BodyText"/>
                        <w:tabs>
                          <w:tab w:val="left" w:pos="1904"/>
                          <w:tab w:val="left" w:pos="7989"/>
                        </w:tabs>
                        <w:kinsoku w:val="0"/>
                        <w:overflowPunct w:val="0"/>
                        <w:ind w:left="109"/>
                      </w:pPr>
                      <w:r>
                        <w:t>Agree /</w:t>
                      </w:r>
                      <w:r>
                        <w:rPr>
                          <w:spacing w:val="-4"/>
                        </w:rPr>
                        <w:t xml:space="preserve"> </w:t>
                      </w:r>
                      <w:r>
                        <w:t>Not</w:t>
                      </w:r>
                      <w:r>
                        <w:rPr>
                          <w:spacing w:val="-2"/>
                        </w:rPr>
                        <w:t xml:space="preserve"> </w:t>
                      </w:r>
                      <w:r>
                        <w:t>Agree</w:t>
                      </w:r>
                      <w:r>
                        <w:tab/>
                      </w:r>
                    </w:p>
                    <w:p w14:paraId="4259941B" w14:textId="77777777" w:rsidR="00D85ECD" w:rsidRDefault="00D85ECD" w:rsidP="004E7B8B">
                      <w:pPr>
                        <w:pStyle w:val="BodyText"/>
                        <w:tabs>
                          <w:tab w:val="left" w:pos="1904"/>
                          <w:tab w:val="left" w:pos="7989"/>
                        </w:tabs>
                        <w:kinsoku w:val="0"/>
                        <w:overflowPunct w:val="0"/>
                        <w:ind w:left="109"/>
                      </w:pPr>
                    </w:p>
                    <w:p w14:paraId="08D4151A" w14:textId="2C40BBC9" w:rsidR="00D85ECD" w:rsidRDefault="00D85ECD" w:rsidP="004E7B8B">
                      <w:pPr>
                        <w:pStyle w:val="BodyText"/>
                        <w:tabs>
                          <w:tab w:val="left" w:pos="1904"/>
                          <w:tab w:val="left" w:pos="7989"/>
                        </w:tabs>
                        <w:kinsoku w:val="0"/>
                        <w:overflowPunct w:val="0"/>
                        <w:ind w:left="109"/>
                      </w:pPr>
                      <w:r>
                        <w:t>Signed............................................................................................../</w:t>
                      </w:r>
                      <w:r>
                        <w:tab/>
                        <w:t>/</w:t>
                      </w:r>
                    </w:p>
                  </w:txbxContent>
                </v:textbox>
                <w10:wrap type="topAndBottom" anchorx="page"/>
              </v:shape>
            </w:pict>
          </mc:Fallback>
        </mc:AlternateContent>
      </w:r>
    </w:p>
    <w:p w14:paraId="151BE4D2" w14:textId="4FD2BBA4" w:rsidR="00AF7E67" w:rsidRPr="004E7B8B" w:rsidRDefault="00AF7E67" w:rsidP="0060581C">
      <w:pPr>
        <w:spacing w:line="240" w:lineRule="auto"/>
        <w:rPr>
          <w:b/>
          <w:bCs/>
          <w:i/>
          <w:iCs/>
        </w:rPr>
      </w:pPr>
      <w:bookmarkStart w:id="43" w:name="_bookmark49"/>
      <w:bookmarkEnd w:id="43"/>
      <w:r w:rsidRPr="004E7B8B">
        <w:rPr>
          <w:b/>
          <w:bCs/>
        </w:rPr>
        <w:lastRenderedPageBreak/>
        <w:t xml:space="preserve">Appendix </w:t>
      </w:r>
      <w:r w:rsidR="00EB04D4">
        <w:rPr>
          <w:b/>
          <w:bCs/>
        </w:rPr>
        <w:t>D</w:t>
      </w:r>
      <w:r w:rsidR="0062218C">
        <w:rPr>
          <w:b/>
          <w:bCs/>
        </w:rPr>
        <w:t xml:space="preserve"> - </w:t>
      </w:r>
      <w:bookmarkStart w:id="44" w:name="_bookmark51"/>
      <w:bookmarkEnd w:id="44"/>
      <w:r w:rsidR="0062218C">
        <w:rPr>
          <w:b/>
          <w:bCs/>
        </w:rPr>
        <w:t xml:space="preserve"> </w:t>
      </w:r>
      <w:r w:rsidR="0062218C">
        <w:rPr>
          <w:b/>
          <w:bCs/>
          <w:i/>
          <w:iCs/>
        </w:rPr>
        <w:t>PID r</w:t>
      </w:r>
      <w:r>
        <w:rPr>
          <w:b/>
          <w:bCs/>
          <w:i/>
          <w:iCs/>
        </w:rPr>
        <w:t>eport template – to be provided to the PSSC.</w:t>
      </w:r>
    </w:p>
    <w:p w14:paraId="488F21CA" w14:textId="77777777" w:rsidR="00B83947" w:rsidRDefault="00B83947" w:rsidP="0060581C">
      <w:pPr>
        <w:spacing w:line="240" w:lineRule="auto"/>
        <w:rPr>
          <w:b/>
          <w:bCs/>
        </w:rPr>
      </w:pPr>
    </w:p>
    <w:p w14:paraId="4E369ADC" w14:textId="77777777" w:rsidR="00AF7E67" w:rsidRPr="004E7B8B" w:rsidRDefault="00AF7E67" w:rsidP="0060581C">
      <w:pPr>
        <w:spacing w:line="240" w:lineRule="auto"/>
        <w:rPr>
          <w:b/>
          <w:bCs/>
        </w:rPr>
      </w:pPr>
      <w:r w:rsidRPr="004E7B8B">
        <w:rPr>
          <w:b/>
          <w:bCs/>
        </w:rPr>
        <w:t>PUB</w:t>
      </w:r>
      <w:r>
        <w:rPr>
          <w:b/>
          <w:bCs/>
        </w:rPr>
        <w:t>LIC INTEREST DISCLOSURE – Final Report</w:t>
      </w:r>
    </w:p>
    <w:p w14:paraId="1FDFBBAC" w14:textId="77777777" w:rsidR="00AF7E67" w:rsidRPr="004E7B8B" w:rsidRDefault="00AF7E67" w:rsidP="0060581C">
      <w:pPr>
        <w:spacing w:line="240" w:lineRule="auto"/>
        <w:rPr>
          <w:b/>
          <w:bCs/>
        </w:rPr>
      </w:pPr>
    </w:p>
    <w:tbl>
      <w:tblPr>
        <w:tblW w:w="0" w:type="auto"/>
        <w:tblInd w:w="437" w:type="dxa"/>
        <w:tblLayout w:type="fixed"/>
        <w:tblCellMar>
          <w:left w:w="0" w:type="dxa"/>
          <w:right w:w="0" w:type="dxa"/>
        </w:tblCellMar>
        <w:tblLook w:val="0000" w:firstRow="0" w:lastRow="0" w:firstColumn="0" w:lastColumn="0" w:noHBand="0" w:noVBand="0"/>
      </w:tblPr>
      <w:tblGrid>
        <w:gridCol w:w="9242"/>
      </w:tblGrid>
      <w:tr w:rsidR="00AF7E67" w:rsidRPr="004E7B8B" w14:paraId="67D48BC9" w14:textId="77777777" w:rsidTr="00AF7E67">
        <w:trPr>
          <w:trHeight w:val="837"/>
        </w:trPr>
        <w:tc>
          <w:tcPr>
            <w:tcW w:w="9242" w:type="dxa"/>
            <w:tcBorders>
              <w:top w:val="single" w:sz="4" w:space="0" w:color="000000"/>
              <w:left w:val="single" w:sz="4" w:space="0" w:color="000000"/>
              <w:bottom w:val="single" w:sz="4" w:space="0" w:color="000000"/>
              <w:right w:val="single" w:sz="4" w:space="0" w:color="000000"/>
            </w:tcBorders>
          </w:tcPr>
          <w:p w14:paraId="652F6F7A" w14:textId="77777777" w:rsidR="00AF7E67" w:rsidRPr="004E7B8B" w:rsidRDefault="00AF7E67" w:rsidP="0060581C">
            <w:pPr>
              <w:spacing w:line="240" w:lineRule="auto"/>
            </w:pPr>
            <w:r>
              <w:t>ACTPS e</w:t>
            </w:r>
            <w:r w:rsidRPr="004E7B8B">
              <w:t>ntity</w:t>
            </w:r>
            <w:r>
              <w:t xml:space="preserve"> responsible for investigating PID</w:t>
            </w:r>
            <w:r w:rsidRPr="004E7B8B">
              <w:t>:</w:t>
            </w:r>
          </w:p>
        </w:tc>
      </w:tr>
      <w:tr w:rsidR="00AF7E67" w:rsidRPr="004E7B8B" w14:paraId="03CBBA0D" w14:textId="77777777" w:rsidTr="00AF7E67">
        <w:trPr>
          <w:trHeight w:val="837"/>
        </w:trPr>
        <w:tc>
          <w:tcPr>
            <w:tcW w:w="9242" w:type="dxa"/>
            <w:tcBorders>
              <w:top w:val="single" w:sz="4" w:space="0" w:color="000000"/>
              <w:left w:val="single" w:sz="4" w:space="0" w:color="000000"/>
              <w:bottom w:val="single" w:sz="4" w:space="0" w:color="000000"/>
              <w:right w:val="single" w:sz="4" w:space="0" w:color="000000"/>
            </w:tcBorders>
          </w:tcPr>
          <w:p w14:paraId="60039082" w14:textId="77777777" w:rsidR="00AF7E67" w:rsidRPr="004E7B8B" w:rsidRDefault="00AF7E67" w:rsidP="0060581C">
            <w:pPr>
              <w:spacing w:line="240" w:lineRule="auto"/>
            </w:pPr>
            <w:r>
              <w:t>Date d</w:t>
            </w:r>
            <w:r w:rsidRPr="004E7B8B">
              <w:t>isclosure received:</w:t>
            </w:r>
          </w:p>
        </w:tc>
      </w:tr>
      <w:tr w:rsidR="00AF7E67" w:rsidRPr="004E7B8B" w14:paraId="769775B4" w14:textId="77777777" w:rsidTr="00AF7E67">
        <w:trPr>
          <w:trHeight w:val="1145"/>
        </w:trPr>
        <w:tc>
          <w:tcPr>
            <w:tcW w:w="9242" w:type="dxa"/>
            <w:tcBorders>
              <w:top w:val="single" w:sz="4" w:space="0" w:color="000000"/>
              <w:left w:val="single" w:sz="4" w:space="0" w:color="000000"/>
              <w:bottom w:val="single" w:sz="4" w:space="0" w:color="000000"/>
              <w:right w:val="single" w:sz="4" w:space="0" w:color="000000"/>
            </w:tcBorders>
          </w:tcPr>
          <w:p w14:paraId="39AD2AA3" w14:textId="77777777" w:rsidR="00AF7E67" w:rsidRDefault="00AF7E67" w:rsidP="0060581C">
            <w:pPr>
              <w:spacing w:line="240" w:lineRule="auto"/>
            </w:pPr>
            <w:r w:rsidRPr="004E7B8B">
              <w:t>Da</w:t>
            </w:r>
            <w:r>
              <w:t>te disclosure assessed as a PID:</w:t>
            </w:r>
          </w:p>
          <w:p w14:paraId="4349859B" w14:textId="77777777" w:rsidR="00AF7E67" w:rsidRPr="004E7B8B" w:rsidRDefault="00AF7E67" w:rsidP="0060581C">
            <w:pPr>
              <w:spacing w:line="240" w:lineRule="auto"/>
            </w:pPr>
            <w:r>
              <w:t>Disclosure officer assessing:</w:t>
            </w:r>
          </w:p>
        </w:tc>
      </w:tr>
      <w:tr w:rsidR="00AF7E67" w:rsidRPr="004E7B8B" w14:paraId="20836FA0" w14:textId="77777777" w:rsidTr="00AF7E67">
        <w:trPr>
          <w:trHeight w:val="566"/>
        </w:trPr>
        <w:tc>
          <w:tcPr>
            <w:tcW w:w="9242" w:type="dxa"/>
            <w:tcBorders>
              <w:top w:val="single" w:sz="4" w:space="0" w:color="000000"/>
              <w:left w:val="single" w:sz="4" w:space="0" w:color="000000"/>
              <w:bottom w:val="single" w:sz="4" w:space="0" w:color="000000"/>
              <w:right w:val="single" w:sz="4" w:space="0" w:color="000000"/>
            </w:tcBorders>
          </w:tcPr>
          <w:p w14:paraId="2B8B77E6" w14:textId="77777777" w:rsidR="00AF7E67" w:rsidRPr="004E7B8B" w:rsidRDefault="00AF7E67" w:rsidP="0060581C">
            <w:pPr>
              <w:spacing w:line="240" w:lineRule="auto"/>
            </w:pPr>
            <w:r>
              <w:t>Date discloser notified of decision</w:t>
            </w:r>
            <w:r w:rsidR="00B21BB4">
              <w:t xml:space="preserve"> to investigate</w:t>
            </w:r>
            <w:r>
              <w:t>:</w:t>
            </w:r>
          </w:p>
        </w:tc>
      </w:tr>
      <w:tr w:rsidR="00AF7E67" w:rsidRPr="004E7B8B" w14:paraId="4A808329" w14:textId="77777777" w:rsidTr="00AF7E67">
        <w:trPr>
          <w:trHeight w:val="566"/>
        </w:trPr>
        <w:tc>
          <w:tcPr>
            <w:tcW w:w="9242" w:type="dxa"/>
            <w:tcBorders>
              <w:top w:val="single" w:sz="4" w:space="0" w:color="000000"/>
              <w:left w:val="single" w:sz="4" w:space="0" w:color="000000"/>
              <w:bottom w:val="single" w:sz="4" w:space="0" w:color="000000"/>
              <w:right w:val="single" w:sz="4" w:space="0" w:color="000000"/>
            </w:tcBorders>
          </w:tcPr>
          <w:p w14:paraId="6D5E0206" w14:textId="77777777" w:rsidR="00AF7E67" w:rsidRPr="004E7B8B" w:rsidRDefault="00AF7E67" w:rsidP="0060581C">
            <w:pPr>
              <w:spacing w:line="240" w:lineRule="auto"/>
            </w:pPr>
            <w:r w:rsidRPr="004E7B8B">
              <w:t>Date Public</w:t>
            </w:r>
            <w:r>
              <w:t xml:space="preserve"> Sector Standards Commissioner n</w:t>
            </w:r>
            <w:r w:rsidRPr="004E7B8B">
              <w:t>otified:</w:t>
            </w:r>
          </w:p>
        </w:tc>
      </w:tr>
      <w:tr w:rsidR="00AF7E67" w:rsidRPr="004E7B8B" w14:paraId="5F166254" w14:textId="77777777" w:rsidTr="00AF7E67">
        <w:trPr>
          <w:trHeight w:val="837"/>
        </w:trPr>
        <w:tc>
          <w:tcPr>
            <w:tcW w:w="9242" w:type="dxa"/>
            <w:tcBorders>
              <w:top w:val="single" w:sz="4" w:space="0" w:color="000000"/>
              <w:left w:val="single" w:sz="4" w:space="0" w:color="000000"/>
              <w:bottom w:val="single" w:sz="4" w:space="0" w:color="000000"/>
              <w:right w:val="single" w:sz="4" w:space="0" w:color="000000"/>
            </w:tcBorders>
          </w:tcPr>
          <w:p w14:paraId="3F3493C9" w14:textId="77777777" w:rsidR="00AF7E67" w:rsidRPr="004E7B8B" w:rsidRDefault="00AF7E67" w:rsidP="0060581C">
            <w:pPr>
              <w:spacing w:line="240" w:lineRule="auto"/>
            </w:pPr>
            <w:r w:rsidRPr="004E7B8B">
              <w:t>Date investigation commenced</w:t>
            </w:r>
            <w:r>
              <w:t xml:space="preserve"> or closed under section 20</w:t>
            </w:r>
            <w:r w:rsidRPr="004E7B8B">
              <w:t>:</w:t>
            </w:r>
          </w:p>
        </w:tc>
      </w:tr>
      <w:tr w:rsidR="00AF7E67" w:rsidRPr="004E7B8B" w14:paraId="0B62E301" w14:textId="77777777" w:rsidTr="00AF7E67">
        <w:trPr>
          <w:trHeight w:val="836"/>
        </w:trPr>
        <w:tc>
          <w:tcPr>
            <w:tcW w:w="9242" w:type="dxa"/>
            <w:tcBorders>
              <w:top w:val="single" w:sz="4" w:space="0" w:color="000000"/>
              <w:left w:val="single" w:sz="4" w:space="0" w:color="000000"/>
              <w:bottom w:val="single" w:sz="4" w:space="0" w:color="000000"/>
              <w:right w:val="single" w:sz="4" w:space="0" w:color="000000"/>
            </w:tcBorders>
          </w:tcPr>
          <w:p w14:paraId="78C72853" w14:textId="77777777" w:rsidR="00AF7E67" w:rsidRPr="004E7B8B" w:rsidRDefault="00AF7E67" w:rsidP="0060581C">
            <w:pPr>
              <w:spacing w:line="240" w:lineRule="auto"/>
            </w:pPr>
            <w:r w:rsidRPr="004E7B8B">
              <w:t>Date investigation completed:</w:t>
            </w:r>
          </w:p>
        </w:tc>
      </w:tr>
      <w:tr w:rsidR="00AF7E67" w:rsidRPr="004E7B8B" w14:paraId="266B983A" w14:textId="77777777" w:rsidTr="00F574A1">
        <w:trPr>
          <w:trHeight w:val="1513"/>
        </w:trPr>
        <w:tc>
          <w:tcPr>
            <w:tcW w:w="9242" w:type="dxa"/>
            <w:tcBorders>
              <w:top w:val="single" w:sz="4" w:space="0" w:color="000000"/>
              <w:left w:val="single" w:sz="4" w:space="0" w:color="000000"/>
              <w:bottom w:val="single" w:sz="4" w:space="0" w:color="000000"/>
              <w:right w:val="single" w:sz="4" w:space="0" w:color="000000"/>
            </w:tcBorders>
          </w:tcPr>
          <w:p w14:paraId="6BAB51BC" w14:textId="77777777" w:rsidR="00AF7E67" w:rsidRPr="004E7B8B" w:rsidRDefault="00AF7E67" w:rsidP="0060581C">
            <w:pPr>
              <w:spacing w:line="240" w:lineRule="auto"/>
            </w:pPr>
            <w:r w:rsidRPr="004E7B8B">
              <w:t>Decision (including reason for decision):</w:t>
            </w:r>
          </w:p>
        </w:tc>
      </w:tr>
      <w:tr w:rsidR="00AF7E67" w:rsidRPr="004E7B8B" w14:paraId="072A4DD6" w14:textId="77777777" w:rsidTr="00AF7E67">
        <w:trPr>
          <w:trHeight w:val="1613"/>
        </w:trPr>
        <w:tc>
          <w:tcPr>
            <w:tcW w:w="9242" w:type="dxa"/>
            <w:tcBorders>
              <w:top w:val="single" w:sz="4" w:space="0" w:color="000000"/>
              <w:left w:val="single" w:sz="4" w:space="0" w:color="000000"/>
              <w:bottom w:val="single" w:sz="4" w:space="0" w:color="000000"/>
              <w:right w:val="single" w:sz="4" w:space="0" w:color="000000"/>
            </w:tcBorders>
          </w:tcPr>
          <w:p w14:paraId="08BBB786" w14:textId="77777777" w:rsidR="00AF7E67" w:rsidRDefault="00AF7E67" w:rsidP="0060581C">
            <w:pPr>
              <w:spacing w:line="240" w:lineRule="auto"/>
            </w:pPr>
            <w:r w:rsidRPr="004E7B8B">
              <w:t>Action taken</w:t>
            </w:r>
            <w:r>
              <w:t>:</w:t>
            </w:r>
          </w:p>
          <w:p w14:paraId="247C49FA" w14:textId="77777777" w:rsidR="00AF7E67" w:rsidRDefault="00AF7E67" w:rsidP="0060581C">
            <w:pPr>
              <w:spacing w:line="240" w:lineRule="auto"/>
            </w:pPr>
          </w:p>
          <w:p w14:paraId="4F2EBB6F" w14:textId="77777777" w:rsidR="00AF7E67" w:rsidRDefault="00AF7E67" w:rsidP="0060581C">
            <w:pPr>
              <w:spacing w:line="240" w:lineRule="auto"/>
            </w:pPr>
          </w:p>
          <w:p w14:paraId="4ED97354" w14:textId="77777777" w:rsidR="00AF7E67" w:rsidRPr="004E7B8B" w:rsidRDefault="00AF7E67" w:rsidP="0060581C">
            <w:pPr>
              <w:spacing w:line="240" w:lineRule="auto"/>
            </w:pPr>
          </w:p>
        </w:tc>
      </w:tr>
      <w:tr w:rsidR="00AF7E67" w:rsidRPr="004E7B8B" w14:paraId="6F414985" w14:textId="77777777" w:rsidTr="00AF7E67">
        <w:trPr>
          <w:trHeight w:val="454"/>
        </w:trPr>
        <w:tc>
          <w:tcPr>
            <w:tcW w:w="9242" w:type="dxa"/>
            <w:tcBorders>
              <w:top w:val="single" w:sz="4" w:space="0" w:color="000000"/>
              <w:left w:val="single" w:sz="4" w:space="0" w:color="000000"/>
              <w:bottom w:val="single" w:sz="4" w:space="0" w:color="000000"/>
              <w:right w:val="single" w:sz="4" w:space="0" w:color="000000"/>
            </w:tcBorders>
          </w:tcPr>
          <w:p w14:paraId="7CF8C8EE" w14:textId="77777777" w:rsidR="00AF7E67" w:rsidRPr="004E7B8B" w:rsidRDefault="00AF7E67" w:rsidP="0060581C">
            <w:pPr>
              <w:spacing w:line="240" w:lineRule="auto"/>
            </w:pPr>
            <w:r>
              <w:t>Date discloser notified of outcome:</w:t>
            </w:r>
          </w:p>
        </w:tc>
      </w:tr>
    </w:tbl>
    <w:p w14:paraId="3B778817" w14:textId="77777777" w:rsidR="003D0942" w:rsidRPr="004E7B8B" w:rsidRDefault="003D0942" w:rsidP="0060581C">
      <w:pPr>
        <w:spacing w:line="240" w:lineRule="auto"/>
        <w:rPr>
          <w:b/>
          <w:bCs/>
        </w:rPr>
      </w:pPr>
    </w:p>
    <w:p w14:paraId="2B962335" w14:textId="5ED0A219" w:rsidR="00D25313" w:rsidRPr="007B3A1B" w:rsidRDefault="00AF7E67">
      <w:pPr>
        <w:spacing w:line="240" w:lineRule="auto"/>
        <w:rPr>
          <w:b/>
          <w:bCs/>
        </w:rPr>
      </w:pPr>
      <w:r w:rsidRPr="004E7B8B">
        <w:rPr>
          <w:noProof/>
          <w:lang w:eastAsia="en-AU"/>
        </w:rPr>
        <mc:AlternateContent>
          <mc:Choice Requires="wps">
            <w:drawing>
              <wp:anchor distT="0" distB="0" distL="0" distR="0" simplePos="0" relativeHeight="251703296" behindDoc="0" locked="0" layoutInCell="0" allowOverlap="1" wp14:anchorId="2A1BEFEA" wp14:editId="0CCFBCF3">
                <wp:simplePos x="0" y="0"/>
                <wp:positionH relativeFrom="page">
                  <wp:posOffset>845820</wp:posOffset>
                </wp:positionH>
                <wp:positionV relativeFrom="paragraph">
                  <wp:posOffset>158750</wp:posOffset>
                </wp:positionV>
                <wp:extent cx="5869305" cy="784860"/>
                <wp:effectExtent l="7620" t="13970" r="9525" b="1079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784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04B10" w14:textId="77777777" w:rsidR="00D85ECD" w:rsidRDefault="00D85ECD" w:rsidP="00AF7E67">
                            <w:pPr>
                              <w:pStyle w:val="BodyText"/>
                              <w:kinsoku w:val="0"/>
                              <w:overflowPunct w:val="0"/>
                              <w:rPr>
                                <w:b/>
                                <w:bCs/>
                              </w:rPr>
                            </w:pPr>
                          </w:p>
                          <w:p w14:paraId="244C55BE" w14:textId="77777777" w:rsidR="00D85ECD" w:rsidRDefault="00D85ECD" w:rsidP="00AF7E67">
                            <w:pPr>
                              <w:pStyle w:val="BodyText"/>
                              <w:kinsoku w:val="0"/>
                              <w:overflowPunct w:val="0"/>
                              <w:spacing w:before="7"/>
                              <w:rPr>
                                <w:b/>
                                <w:bCs/>
                                <w:sz w:val="19"/>
                                <w:szCs w:val="19"/>
                              </w:rPr>
                            </w:pPr>
                          </w:p>
                          <w:p w14:paraId="1F8224F4" w14:textId="77777777" w:rsidR="00D85ECD" w:rsidRDefault="00D85ECD" w:rsidP="00AF7E67">
                            <w:pPr>
                              <w:pStyle w:val="BodyText"/>
                              <w:kinsoku w:val="0"/>
                              <w:overflowPunct w:val="0"/>
                              <w:ind w:left="103"/>
                            </w:pPr>
                            <w:r>
                              <w:t>Signed..............</w:t>
                            </w:r>
                            <w:r w:rsidRPr="00AF7E67">
                              <w:t xml:space="preserve"> &lt;</w:t>
                            </w:r>
                            <w:r w:rsidRPr="00AF7E67">
                              <w:rPr>
                                <w:i/>
                                <w:iCs/>
                              </w:rPr>
                              <w:t>disclosure officer&gt;</w:t>
                            </w:r>
                            <w:r>
                              <w:t>.................................  Date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EFEA" id="Text Box 3" o:spid="_x0000_s1044" type="#_x0000_t202" style="position:absolute;margin-left:66.6pt;margin-top:12.5pt;width:462.15pt;height:61.8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" o:allowincell="f" filled="f" strokeweight=".48pt">
                <v:textbox inset="0,0,0,0">
                  <w:txbxContent>
                    <w:p w14:paraId="16004B10" w14:textId="77777777" w:rsidR="00D85ECD" w:rsidRDefault="00D85ECD" w:rsidP="00AF7E67">
                      <w:pPr>
                        <w:pStyle w:val="BodyText"/>
                        <w:kinsoku w:val="0"/>
                        <w:overflowPunct w:val="0"/>
                        <w:rPr>
                          <w:b/>
                          <w:bCs/>
                        </w:rPr>
                      </w:pPr>
                    </w:p>
                    <w:p w14:paraId="244C55BE" w14:textId="77777777" w:rsidR="00D85ECD" w:rsidRDefault="00D85ECD" w:rsidP="00AF7E67">
                      <w:pPr>
                        <w:pStyle w:val="BodyText"/>
                        <w:kinsoku w:val="0"/>
                        <w:overflowPunct w:val="0"/>
                        <w:spacing w:before="7"/>
                        <w:rPr>
                          <w:b/>
                          <w:bCs/>
                          <w:sz w:val="19"/>
                          <w:szCs w:val="19"/>
                        </w:rPr>
                      </w:pPr>
                    </w:p>
                    <w:p w14:paraId="1F8224F4" w14:textId="77777777" w:rsidR="00D85ECD" w:rsidRDefault="00D85ECD" w:rsidP="00AF7E67">
                      <w:pPr>
                        <w:pStyle w:val="BodyText"/>
                        <w:kinsoku w:val="0"/>
                        <w:overflowPunct w:val="0"/>
                        <w:ind w:left="103"/>
                      </w:pPr>
                      <w:r>
                        <w:t>Signed..............</w:t>
                      </w:r>
                      <w:r w:rsidRPr="00AF7E67">
                        <w:t xml:space="preserve"> &lt;</w:t>
                      </w:r>
                      <w:r w:rsidRPr="00AF7E67">
                        <w:rPr>
                          <w:i/>
                          <w:iCs/>
                        </w:rPr>
                        <w:t>disclosure officer&gt;</w:t>
                      </w:r>
                      <w:r>
                        <w:t>.................................  Date .... /.... /....</w:t>
                      </w:r>
                    </w:p>
                  </w:txbxContent>
                </v:textbox>
                <w10:wrap type="topAndBottom" anchorx="page"/>
              </v:shape>
            </w:pict>
          </mc:Fallback>
        </mc:AlternateContent>
      </w:r>
      <w:bookmarkStart w:id="45" w:name="_bookmark50"/>
      <w:bookmarkEnd w:id="45"/>
    </w:p>
    <w:sectPr w:rsidR="00D25313" w:rsidRPr="007B3A1B" w:rsidSect="00FF3403">
      <w:pgSz w:w="11910" w:h="16840"/>
      <w:pgMar w:top="1440" w:right="1080" w:bottom="1440" w:left="1080" w:header="0" w:footer="13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8BF3" w14:textId="77777777" w:rsidR="00D85ECD" w:rsidRDefault="00D85ECD" w:rsidP="00375617">
      <w:pPr>
        <w:spacing w:after="0" w:line="240" w:lineRule="auto"/>
      </w:pPr>
      <w:r>
        <w:separator/>
      </w:r>
    </w:p>
  </w:endnote>
  <w:endnote w:type="continuationSeparator" w:id="0">
    <w:p w14:paraId="24774059" w14:textId="77777777" w:rsidR="00D85ECD" w:rsidRDefault="00D85ECD" w:rsidP="0037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557F" w14:textId="5EF3BB4E" w:rsidR="00D85ECD" w:rsidRPr="00971AA4" w:rsidRDefault="00D85ECD" w:rsidP="00971AA4">
    <w:pPr>
      <w:pStyle w:val="Footer"/>
      <w:jc w:val="center"/>
      <w:rPr>
        <w:rFonts w:ascii="Arial" w:hAnsi="Arial" w:cs="Arial"/>
        <w:sz w:val="14"/>
      </w:rPr>
    </w:pPr>
    <w:r w:rsidRPr="00971AA4">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075208"/>
      <w:docPartObj>
        <w:docPartGallery w:val="Page Numbers (Bottom of Page)"/>
        <w:docPartUnique/>
      </w:docPartObj>
    </w:sdtPr>
    <w:sdtEndPr>
      <w:rPr>
        <w:rFonts w:ascii="Arial" w:hAnsi="Arial" w:cs="Arial"/>
        <w:noProof/>
        <w:sz w:val="14"/>
      </w:rPr>
    </w:sdtEndPr>
    <w:sdtContent>
      <w:p w14:paraId="531966D1" w14:textId="77777777" w:rsidR="00D85ECD" w:rsidRDefault="00D85ECD">
        <w:pPr>
          <w:pStyle w:val="Footer"/>
          <w:jc w:val="right"/>
          <w:rPr>
            <w:noProof/>
          </w:rPr>
        </w:pPr>
        <w:r>
          <w:fldChar w:fldCharType="begin"/>
        </w:r>
        <w:r>
          <w:instrText xml:space="preserve"> PAGE   \* MERGEFORMAT </w:instrText>
        </w:r>
        <w:r>
          <w:fldChar w:fldCharType="separate"/>
        </w:r>
        <w:r>
          <w:rPr>
            <w:noProof/>
          </w:rPr>
          <w:t>11</w:t>
        </w:r>
        <w:r>
          <w:rPr>
            <w:noProof/>
          </w:rPr>
          <w:fldChar w:fldCharType="end"/>
        </w:r>
      </w:p>
      <w:p w14:paraId="23A84C63" w14:textId="47C1063E" w:rsidR="00D85ECD" w:rsidRPr="009C181F" w:rsidRDefault="00D85ECD" w:rsidP="009C181F">
        <w:pPr>
          <w:pStyle w:val="Footer"/>
          <w:jc w:val="center"/>
          <w:rPr>
            <w:rFonts w:ascii="Arial" w:hAnsi="Arial" w:cs="Arial"/>
            <w:sz w:val="14"/>
          </w:rPr>
        </w:pPr>
      </w:p>
    </w:sdtContent>
  </w:sdt>
  <w:p w14:paraId="0A872AEA" w14:textId="47658E28" w:rsidR="00D85ECD" w:rsidRPr="00D85ECD" w:rsidRDefault="00D85ECD" w:rsidP="00D85ECD">
    <w:pPr>
      <w:spacing w:after="0" w:line="240" w:lineRule="auto"/>
      <w:jc w:val="center"/>
      <w:rPr>
        <w:rFonts w:ascii="Arial" w:hAnsi="Arial" w:cs="Arial"/>
        <w:sz w:val="14"/>
        <w:szCs w:val="14"/>
      </w:rPr>
    </w:pPr>
    <w:r w:rsidRPr="00D85ECD">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955866"/>
      <w:docPartObj>
        <w:docPartGallery w:val="Page Numbers (Bottom of Page)"/>
        <w:docPartUnique/>
      </w:docPartObj>
    </w:sdtPr>
    <w:sdtEndPr>
      <w:rPr>
        <w:rFonts w:ascii="Arial" w:hAnsi="Arial" w:cs="Arial"/>
        <w:noProof/>
        <w:sz w:val="14"/>
      </w:rPr>
    </w:sdtEndPr>
    <w:sdtContent>
      <w:p w14:paraId="71B277E4" w14:textId="77777777" w:rsidR="00D85ECD" w:rsidRDefault="00D85ECD">
        <w:pPr>
          <w:pStyle w:val="Footer"/>
          <w:jc w:val="right"/>
          <w:rPr>
            <w:noProof/>
          </w:rPr>
        </w:pPr>
        <w:r>
          <w:fldChar w:fldCharType="begin"/>
        </w:r>
        <w:r>
          <w:instrText xml:space="preserve"> PAGE   \* MERGEFORMAT </w:instrText>
        </w:r>
        <w:r>
          <w:fldChar w:fldCharType="separate"/>
        </w:r>
        <w:r>
          <w:rPr>
            <w:noProof/>
          </w:rPr>
          <w:t>37</w:t>
        </w:r>
        <w:r>
          <w:rPr>
            <w:noProof/>
          </w:rPr>
          <w:fldChar w:fldCharType="end"/>
        </w:r>
      </w:p>
      <w:p w14:paraId="679DB425" w14:textId="58E559CA" w:rsidR="00D85ECD" w:rsidRPr="00D40145" w:rsidRDefault="00D85ECD">
        <w:pPr>
          <w:pStyle w:val="Footer"/>
          <w:jc w:val="right"/>
          <w:rPr>
            <w:rFonts w:ascii="Arial" w:hAnsi="Arial" w:cs="Arial"/>
            <w:sz w:val="14"/>
          </w:rPr>
        </w:pPr>
      </w:p>
    </w:sdtContent>
  </w:sdt>
  <w:p w14:paraId="2814ED53" w14:textId="73F58D4F" w:rsidR="00D85ECD" w:rsidRPr="00D85ECD" w:rsidRDefault="00D85ECD" w:rsidP="00D85ECD">
    <w:pPr>
      <w:spacing w:after="0" w:line="240" w:lineRule="auto"/>
      <w:jc w:val="center"/>
      <w:rPr>
        <w:rFonts w:ascii="Arial" w:hAnsi="Arial" w:cs="Arial"/>
        <w:sz w:val="14"/>
        <w:szCs w:val="14"/>
      </w:rPr>
    </w:pPr>
    <w:r w:rsidRPr="00D85ECD">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253F9" w14:textId="77777777" w:rsidR="00D85ECD" w:rsidRDefault="00D85ECD" w:rsidP="00375617">
      <w:pPr>
        <w:spacing w:after="0" w:line="240" w:lineRule="auto"/>
      </w:pPr>
      <w:r>
        <w:separator/>
      </w:r>
    </w:p>
  </w:footnote>
  <w:footnote w:type="continuationSeparator" w:id="0">
    <w:p w14:paraId="059824D1" w14:textId="77777777" w:rsidR="00D85ECD" w:rsidRDefault="00D85ECD" w:rsidP="00375617">
      <w:pPr>
        <w:spacing w:after="0" w:line="240" w:lineRule="auto"/>
      </w:pPr>
      <w:r>
        <w:continuationSeparator/>
      </w:r>
    </w:p>
  </w:footnote>
  <w:footnote w:id="1">
    <w:p w14:paraId="13021FBD" w14:textId="49CE8204" w:rsidR="00D85ECD" w:rsidRDefault="00D85ECD">
      <w:pPr>
        <w:pStyle w:val="FootnoteText"/>
      </w:pPr>
      <w:r>
        <w:rPr>
          <w:rStyle w:val="FootnoteReference"/>
        </w:rPr>
        <w:footnoteRef/>
      </w:r>
      <w:r>
        <w:t xml:space="preserve"> Please refer to the glossary (attached) or section 8 of PID Act for the definition of </w:t>
      </w:r>
      <w:r w:rsidRPr="00226158">
        <w:rPr>
          <w:b/>
          <w:i/>
        </w:rPr>
        <w:t>disclosable conduct</w:t>
      </w:r>
      <w:r w:rsidRPr="00226158">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CDA0" w14:textId="77777777" w:rsidR="00D85ECD" w:rsidRDefault="00D85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8"/>
      <w:numFmt w:val="decimal"/>
      <w:lvlText w:val="%1"/>
      <w:lvlJc w:val="left"/>
      <w:pPr>
        <w:ind w:left="1200" w:hanging="441"/>
      </w:pPr>
      <w:rPr>
        <w:rFonts w:cs="Times New Roman"/>
      </w:rPr>
    </w:lvl>
    <w:lvl w:ilvl="1">
      <w:numFmt w:val="decimal"/>
      <w:lvlText w:val="%1.%2"/>
      <w:lvlJc w:val="left"/>
      <w:pPr>
        <w:ind w:left="1200" w:hanging="441"/>
      </w:pPr>
      <w:rPr>
        <w:rFonts w:ascii="Arial Black" w:hAnsi="Arial Black" w:cs="Arial Black"/>
        <w:b/>
        <w:bCs/>
        <w:i/>
        <w:iCs/>
        <w:w w:val="95"/>
        <w:sz w:val="23"/>
        <w:szCs w:val="23"/>
      </w:rPr>
    </w:lvl>
    <w:lvl w:ilvl="2">
      <w:numFmt w:val="bullet"/>
      <w:lvlText w:val=""/>
      <w:lvlJc w:val="left"/>
      <w:pPr>
        <w:ind w:left="1259" w:hanging="360"/>
      </w:pPr>
      <w:rPr>
        <w:rFonts w:ascii="Symbol" w:hAnsi="Symbol"/>
        <w:b w:val="0"/>
        <w:w w:val="99"/>
        <w:sz w:val="22"/>
      </w:rPr>
    </w:lvl>
    <w:lvl w:ilvl="3">
      <w:numFmt w:val="bullet"/>
      <w:lvlText w:val="•"/>
      <w:lvlJc w:val="left"/>
      <w:pPr>
        <w:ind w:left="3269" w:hanging="360"/>
      </w:pPr>
    </w:lvl>
    <w:lvl w:ilvl="4">
      <w:numFmt w:val="bullet"/>
      <w:lvlText w:val="•"/>
      <w:lvlJc w:val="left"/>
      <w:pPr>
        <w:ind w:left="4274" w:hanging="360"/>
      </w:pPr>
    </w:lvl>
    <w:lvl w:ilvl="5">
      <w:numFmt w:val="bullet"/>
      <w:lvlText w:val="•"/>
      <w:lvlJc w:val="left"/>
      <w:pPr>
        <w:ind w:left="5279" w:hanging="360"/>
      </w:pPr>
    </w:lvl>
    <w:lvl w:ilvl="6">
      <w:numFmt w:val="bullet"/>
      <w:lvlText w:val="•"/>
      <w:lvlJc w:val="left"/>
      <w:pPr>
        <w:ind w:left="6284" w:hanging="360"/>
      </w:pPr>
    </w:lvl>
    <w:lvl w:ilvl="7">
      <w:numFmt w:val="bullet"/>
      <w:lvlText w:val="•"/>
      <w:lvlJc w:val="left"/>
      <w:pPr>
        <w:ind w:left="7289" w:hanging="360"/>
      </w:pPr>
    </w:lvl>
    <w:lvl w:ilvl="8">
      <w:numFmt w:val="bullet"/>
      <w:lvlText w:val="•"/>
      <w:lvlJc w:val="left"/>
      <w:pPr>
        <w:ind w:left="8294" w:hanging="360"/>
      </w:pPr>
    </w:lvl>
  </w:abstractNum>
  <w:abstractNum w:abstractNumId="1" w15:restartNumberingAfterBreak="0">
    <w:nsid w:val="00000405"/>
    <w:multiLevelType w:val="multilevel"/>
    <w:tmpl w:val="00000888"/>
    <w:lvl w:ilvl="0">
      <w:numFmt w:val="bullet"/>
      <w:lvlText w:val=""/>
      <w:lvlJc w:val="left"/>
      <w:pPr>
        <w:ind w:left="1109" w:hanging="285"/>
      </w:pPr>
      <w:rPr>
        <w:rFonts w:ascii="Symbol" w:hAnsi="Symbol"/>
        <w:b w:val="0"/>
        <w:w w:val="99"/>
        <w:sz w:val="22"/>
      </w:rPr>
    </w:lvl>
    <w:lvl w:ilvl="1">
      <w:numFmt w:val="bullet"/>
      <w:lvlText w:val=""/>
      <w:lvlJc w:val="left"/>
      <w:pPr>
        <w:ind w:left="1583" w:hanging="360"/>
      </w:pPr>
      <w:rPr>
        <w:rFonts w:ascii="Symbol" w:hAnsi="Symbol"/>
        <w:b w:val="0"/>
        <w:w w:val="99"/>
        <w:sz w:val="22"/>
      </w:rPr>
    </w:lvl>
    <w:lvl w:ilvl="2">
      <w:numFmt w:val="bullet"/>
      <w:lvlText w:val="•"/>
      <w:lvlJc w:val="left"/>
      <w:pPr>
        <w:ind w:left="2204" w:hanging="360"/>
      </w:pPr>
    </w:lvl>
    <w:lvl w:ilvl="3">
      <w:numFmt w:val="bullet"/>
      <w:lvlText w:val="•"/>
      <w:lvlJc w:val="left"/>
      <w:pPr>
        <w:ind w:left="3585" w:hanging="360"/>
      </w:pPr>
    </w:lvl>
    <w:lvl w:ilvl="4">
      <w:numFmt w:val="bullet"/>
      <w:lvlText w:val="•"/>
      <w:lvlJc w:val="left"/>
      <w:pPr>
        <w:ind w:left="4586" w:hanging="360"/>
      </w:pPr>
    </w:lvl>
    <w:lvl w:ilvl="5">
      <w:numFmt w:val="bullet"/>
      <w:lvlText w:val="•"/>
      <w:lvlJc w:val="left"/>
      <w:pPr>
        <w:ind w:left="5586" w:hanging="360"/>
      </w:pPr>
    </w:lvl>
    <w:lvl w:ilvl="6">
      <w:numFmt w:val="bullet"/>
      <w:lvlText w:val="•"/>
      <w:lvlJc w:val="left"/>
      <w:pPr>
        <w:ind w:left="6587" w:hanging="360"/>
      </w:pPr>
    </w:lvl>
    <w:lvl w:ilvl="7">
      <w:numFmt w:val="bullet"/>
      <w:lvlText w:val="•"/>
      <w:lvlJc w:val="left"/>
      <w:pPr>
        <w:ind w:left="7587" w:hanging="360"/>
      </w:pPr>
    </w:lvl>
    <w:lvl w:ilvl="8">
      <w:numFmt w:val="bullet"/>
      <w:lvlText w:val="•"/>
      <w:lvlJc w:val="left"/>
      <w:pPr>
        <w:ind w:left="8588" w:hanging="360"/>
      </w:pPr>
    </w:lvl>
  </w:abstractNum>
  <w:abstractNum w:abstractNumId="2" w15:restartNumberingAfterBreak="0">
    <w:nsid w:val="00000406"/>
    <w:multiLevelType w:val="multilevel"/>
    <w:tmpl w:val="00000889"/>
    <w:lvl w:ilvl="0">
      <w:numFmt w:val="bullet"/>
      <w:lvlText w:val=""/>
      <w:lvlJc w:val="left"/>
      <w:pPr>
        <w:ind w:left="587" w:hanging="360"/>
      </w:pPr>
      <w:rPr>
        <w:rFonts w:ascii="Symbol" w:hAnsi="Symbol"/>
        <w:b w:val="0"/>
        <w:w w:val="100"/>
        <w:sz w:val="20"/>
      </w:rPr>
    </w:lvl>
    <w:lvl w:ilvl="1">
      <w:numFmt w:val="bullet"/>
      <w:lvlText w:val="o"/>
      <w:lvlJc w:val="left"/>
      <w:pPr>
        <w:ind w:left="958" w:hanging="361"/>
      </w:pPr>
      <w:rPr>
        <w:rFonts w:ascii="Courier New" w:hAnsi="Courier New"/>
        <w:b w:val="0"/>
        <w:w w:val="100"/>
        <w:sz w:val="20"/>
      </w:rPr>
    </w:lvl>
    <w:lvl w:ilvl="2">
      <w:numFmt w:val="bullet"/>
      <w:lvlText w:val="•"/>
      <w:lvlJc w:val="left"/>
      <w:pPr>
        <w:ind w:left="1686" w:hanging="361"/>
      </w:pPr>
    </w:lvl>
    <w:lvl w:ilvl="3">
      <w:numFmt w:val="bullet"/>
      <w:lvlText w:val="•"/>
      <w:lvlJc w:val="left"/>
      <w:pPr>
        <w:ind w:left="2412" w:hanging="361"/>
      </w:pPr>
    </w:lvl>
    <w:lvl w:ilvl="4">
      <w:numFmt w:val="bullet"/>
      <w:lvlText w:val="•"/>
      <w:lvlJc w:val="left"/>
      <w:pPr>
        <w:ind w:left="3138" w:hanging="361"/>
      </w:pPr>
    </w:lvl>
    <w:lvl w:ilvl="5">
      <w:numFmt w:val="bullet"/>
      <w:lvlText w:val="•"/>
      <w:lvlJc w:val="left"/>
      <w:pPr>
        <w:ind w:left="3865" w:hanging="361"/>
      </w:pPr>
    </w:lvl>
    <w:lvl w:ilvl="6">
      <w:numFmt w:val="bullet"/>
      <w:lvlText w:val="•"/>
      <w:lvlJc w:val="left"/>
      <w:pPr>
        <w:ind w:left="4591" w:hanging="361"/>
      </w:pPr>
    </w:lvl>
    <w:lvl w:ilvl="7">
      <w:numFmt w:val="bullet"/>
      <w:lvlText w:val="•"/>
      <w:lvlJc w:val="left"/>
      <w:pPr>
        <w:ind w:left="5317" w:hanging="361"/>
      </w:pPr>
    </w:lvl>
    <w:lvl w:ilvl="8">
      <w:numFmt w:val="bullet"/>
      <w:lvlText w:val="•"/>
      <w:lvlJc w:val="left"/>
      <w:pPr>
        <w:ind w:left="6043" w:hanging="361"/>
      </w:pPr>
    </w:lvl>
  </w:abstractNum>
  <w:abstractNum w:abstractNumId="3" w15:restartNumberingAfterBreak="0">
    <w:nsid w:val="00000409"/>
    <w:multiLevelType w:val="multilevel"/>
    <w:tmpl w:val="0000088C"/>
    <w:lvl w:ilvl="0">
      <w:numFmt w:val="bullet"/>
      <w:lvlText w:val=""/>
      <w:lvlJc w:val="left"/>
      <w:pPr>
        <w:ind w:left="587" w:hanging="360"/>
      </w:pPr>
      <w:rPr>
        <w:rFonts w:ascii="Symbol" w:hAnsi="Symbol"/>
        <w:b w:val="0"/>
        <w:w w:val="100"/>
        <w:sz w:val="20"/>
      </w:rPr>
    </w:lvl>
    <w:lvl w:ilvl="1">
      <w:numFmt w:val="bullet"/>
      <w:lvlText w:val="•"/>
      <w:lvlJc w:val="left"/>
      <w:pPr>
        <w:ind w:left="1271" w:hanging="360"/>
      </w:pPr>
    </w:lvl>
    <w:lvl w:ilvl="2">
      <w:numFmt w:val="bullet"/>
      <w:lvlText w:val="•"/>
      <w:lvlJc w:val="left"/>
      <w:pPr>
        <w:ind w:left="1963" w:hanging="360"/>
      </w:pPr>
    </w:lvl>
    <w:lvl w:ilvl="3">
      <w:numFmt w:val="bullet"/>
      <w:lvlText w:val="•"/>
      <w:lvlJc w:val="left"/>
      <w:pPr>
        <w:ind w:left="2654" w:hanging="360"/>
      </w:pPr>
    </w:lvl>
    <w:lvl w:ilvl="4">
      <w:numFmt w:val="bullet"/>
      <w:lvlText w:val="•"/>
      <w:lvlJc w:val="left"/>
      <w:pPr>
        <w:ind w:left="3346" w:hanging="360"/>
      </w:pPr>
    </w:lvl>
    <w:lvl w:ilvl="5">
      <w:numFmt w:val="bullet"/>
      <w:lvlText w:val="•"/>
      <w:lvlJc w:val="left"/>
      <w:pPr>
        <w:ind w:left="4038" w:hanging="360"/>
      </w:pPr>
    </w:lvl>
    <w:lvl w:ilvl="6">
      <w:numFmt w:val="bullet"/>
      <w:lvlText w:val="•"/>
      <w:lvlJc w:val="left"/>
      <w:pPr>
        <w:ind w:left="4729" w:hanging="360"/>
      </w:pPr>
    </w:lvl>
    <w:lvl w:ilvl="7">
      <w:numFmt w:val="bullet"/>
      <w:lvlText w:val="•"/>
      <w:lvlJc w:val="left"/>
      <w:pPr>
        <w:ind w:left="5421" w:hanging="360"/>
      </w:pPr>
    </w:lvl>
    <w:lvl w:ilvl="8">
      <w:numFmt w:val="bullet"/>
      <w:lvlText w:val="•"/>
      <w:lvlJc w:val="left"/>
      <w:pPr>
        <w:ind w:left="6113" w:hanging="360"/>
      </w:pPr>
    </w:lvl>
  </w:abstractNum>
  <w:abstractNum w:abstractNumId="4" w15:restartNumberingAfterBreak="0">
    <w:nsid w:val="0000040A"/>
    <w:multiLevelType w:val="multilevel"/>
    <w:tmpl w:val="0000088D"/>
    <w:lvl w:ilvl="0">
      <w:start w:val="1"/>
      <w:numFmt w:val="decimal"/>
      <w:lvlText w:val="%1."/>
      <w:lvlJc w:val="left"/>
      <w:pPr>
        <w:ind w:left="1208" w:hanging="361"/>
      </w:pPr>
      <w:rPr>
        <w:rFonts w:ascii="Calibri" w:hAnsi="Calibri" w:cs="Calibri"/>
        <w:b w:val="0"/>
        <w:bCs w:val="0"/>
        <w:w w:val="99"/>
        <w:sz w:val="22"/>
        <w:szCs w:val="22"/>
      </w:rPr>
    </w:lvl>
    <w:lvl w:ilvl="1">
      <w:start w:val="1"/>
      <w:numFmt w:val="lowerLetter"/>
      <w:lvlText w:val="%2."/>
      <w:lvlJc w:val="left"/>
      <w:pPr>
        <w:ind w:left="1533" w:hanging="360"/>
      </w:pPr>
      <w:rPr>
        <w:rFonts w:ascii="Calibri" w:hAnsi="Calibri" w:cs="Calibri"/>
        <w:b w:val="0"/>
        <w:bCs w:val="0"/>
        <w:w w:val="99"/>
        <w:sz w:val="22"/>
        <w:szCs w:val="22"/>
      </w:rPr>
    </w:lvl>
    <w:lvl w:ilvl="2">
      <w:numFmt w:val="bullet"/>
      <w:lvlText w:val="•"/>
      <w:lvlJc w:val="left"/>
      <w:pPr>
        <w:ind w:left="2513" w:hanging="360"/>
      </w:pPr>
    </w:lvl>
    <w:lvl w:ilvl="3">
      <w:numFmt w:val="bullet"/>
      <w:lvlText w:val="•"/>
      <w:lvlJc w:val="left"/>
      <w:pPr>
        <w:ind w:left="3487" w:hanging="360"/>
      </w:pPr>
    </w:lvl>
    <w:lvl w:ilvl="4">
      <w:numFmt w:val="bullet"/>
      <w:lvlText w:val="•"/>
      <w:lvlJc w:val="left"/>
      <w:pPr>
        <w:ind w:left="4461" w:hanging="360"/>
      </w:pPr>
    </w:lvl>
    <w:lvl w:ilvl="5">
      <w:numFmt w:val="bullet"/>
      <w:lvlText w:val="•"/>
      <w:lvlJc w:val="left"/>
      <w:pPr>
        <w:ind w:left="5435" w:hanging="360"/>
      </w:pPr>
    </w:lvl>
    <w:lvl w:ilvl="6">
      <w:numFmt w:val="bullet"/>
      <w:lvlText w:val="•"/>
      <w:lvlJc w:val="left"/>
      <w:pPr>
        <w:ind w:left="6409" w:hanging="360"/>
      </w:pPr>
    </w:lvl>
    <w:lvl w:ilvl="7">
      <w:numFmt w:val="bullet"/>
      <w:lvlText w:val="•"/>
      <w:lvlJc w:val="left"/>
      <w:pPr>
        <w:ind w:left="7382" w:hanging="360"/>
      </w:pPr>
    </w:lvl>
    <w:lvl w:ilvl="8">
      <w:numFmt w:val="bullet"/>
      <w:lvlText w:val="•"/>
      <w:lvlJc w:val="left"/>
      <w:pPr>
        <w:ind w:left="8356" w:hanging="360"/>
      </w:pPr>
    </w:lvl>
  </w:abstractNum>
  <w:abstractNum w:abstractNumId="5" w15:restartNumberingAfterBreak="0">
    <w:nsid w:val="0000040D"/>
    <w:multiLevelType w:val="multilevel"/>
    <w:tmpl w:val="00000890"/>
    <w:lvl w:ilvl="0">
      <w:numFmt w:val="bullet"/>
      <w:lvlText w:val=""/>
      <w:lvlJc w:val="left"/>
      <w:pPr>
        <w:ind w:left="965" w:hanging="360"/>
      </w:pPr>
      <w:rPr>
        <w:rFonts w:ascii="Symbol" w:hAnsi="Symbol"/>
        <w:b w:val="0"/>
        <w:w w:val="99"/>
        <w:sz w:val="22"/>
      </w:rPr>
    </w:lvl>
    <w:lvl w:ilvl="1">
      <w:numFmt w:val="bullet"/>
      <w:lvlText w:val="•"/>
      <w:lvlJc w:val="left"/>
      <w:pPr>
        <w:ind w:left="1894" w:hanging="360"/>
      </w:pPr>
    </w:lvl>
    <w:lvl w:ilvl="2">
      <w:numFmt w:val="bullet"/>
      <w:lvlText w:val="•"/>
      <w:lvlJc w:val="left"/>
      <w:pPr>
        <w:ind w:left="2828" w:hanging="360"/>
      </w:pPr>
    </w:lvl>
    <w:lvl w:ilvl="3">
      <w:numFmt w:val="bullet"/>
      <w:lvlText w:val="•"/>
      <w:lvlJc w:val="left"/>
      <w:pPr>
        <w:ind w:left="3763" w:hanging="360"/>
      </w:pPr>
    </w:lvl>
    <w:lvl w:ilvl="4">
      <w:numFmt w:val="bullet"/>
      <w:lvlText w:val="•"/>
      <w:lvlJc w:val="left"/>
      <w:pPr>
        <w:ind w:left="4697" w:hanging="360"/>
      </w:pPr>
    </w:lvl>
    <w:lvl w:ilvl="5">
      <w:numFmt w:val="bullet"/>
      <w:lvlText w:val="•"/>
      <w:lvlJc w:val="left"/>
      <w:pPr>
        <w:ind w:left="5632" w:hanging="360"/>
      </w:pPr>
    </w:lvl>
    <w:lvl w:ilvl="6">
      <w:numFmt w:val="bullet"/>
      <w:lvlText w:val="•"/>
      <w:lvlJc w:val="left"/>
      <w:pPr>
        <w:ind w:left="6566" w:hanging="360"/>
      </w:pPr>
    </w:lvl>
    <w:lvl w:ilvl="7">
      <w:numFmt w:val="bullet"/>
      <w:lvlText w:val="•"/>
      <w:lvlJc w:val="left"/>
      <w:pPr>
        <w:ind w:left="7501" w:hanging="360"/>
      </w:pPr>
    </w:lvl>
    <w:lvl w:ilvl="8">
      <w:numFmt w:val="bullet"/>
      <w:lvlText w:val="•"/>
      <w:lvlJc w:val="left"/>
      <w:pPr>
        <w:ind w:left="8435" w:hanging="360"/>
      </w:pPr>
    </w:lvl>
  </w:abstractNum>
  <w:abstractNum w:abstractNumId="6" w15:restartNumberingAfterBreak="0">
    <w:nsid w:val="0000040F"/>
    <w:multiLevelType w:val="multilevel"/>
    <w:tmpl w:val="00000892"/>
    <w:lvl w:ilvl="0">
      <w:numFmt w:val="bullet"/>
      <w:lvlText w:val=""/>
      <w:lvlJc w:val="left"/>
      <w:pPr>
        <w:ind w:left="966" w:hanging="360"/>
      </w:pPr>
      <w:rPr>
        <w:rFonts w:ascii="Symbol" w:hAnsi="Symbol"/>
        <w:b w:val="0"/>
        <w:w w:val="99"/>
        <w:sz w:val="22"/>
      </w:rPr>
    </w:lvl>
    <w:lvl w:ilvl="1">
      <w:numFmt w:val="bullet"/>
      <w:lvlText w:val="•"/>
      <w:lvlJc w:val="left"/>
      <w:pPr>
        <w:ind w:left="1894" w:hanging="360"/>
      </w:pPr>
    </w:lvl>
    <w:lvl w:ilvl="2">
      <w:numFmt w:val="bullet"/>
      <w:lvlText w:val="•"/>
      <w:lvlJc w:val="left"/>
      <w:pPr>
        <w:ind w:left="2828" w:hanging="360"/>
      </w:pPr>
    </w:lvl>
    <w:lvl w:ilvl="3">
      <w:numFmt w:val="bullet"/>
      <w:lvlText w:val="•"/>
      <w:lvlJc w:val="left"/>
      <w:pPr>
        <w:ind w:left="3763" w:hanging="360"/>
      </w:pPr>
    </w:lvl>
    <w:lvl w:ilvl="4">
      <w:numFmt w:val="bullet"/>
      <w:lvlText w:val="•"/>
      <w:lvlJc w:val="left"/>
      <w:pPr>
        <w:ind w:left="4697" w:hanging="360"/>
      </w:pPr>
    </w:lvl>
    <w:lvl w:ilvl="5">
      <w:numFmt w:val="bullet"/>
      <w:lvlText w:val="•"/>
      <w:lvlJc w:val="left"/>
      <w:pPr>
        <w:ind w:left="5632" w:hanging="360"/>
      </w:pPr>
    </w:lvl>
    <w:lvl w:ilvl="6">
      <w:numFmt w:val="bullet"/>
      <w:lvlText w:val="•"/>
      <w:lvlJc w:val="left"/>
      <w:pPr>
        <w:ind w:left="6566" w:hanging="360"/>
      </w:pPr>
    </w:lvl>
    <w:lvl w:ilvl="7">
      <w:numFmt w:val="bullet"/>
      <w:lvlText w:val="•"/>
      <w:lvlJc w:val="left"/>
      <w:pPr>
        <w:ind w:left="7501" w:hanging="360"/>
      </w:pPr>
    </w:lvl>
    <w:lvl w:ilvl="8">
      <w:numFmt w:val="bullet"/>
      <w:lvlText w:val="•"/>
      <w:lvlJc w:val="left"/>
      <w:pPr>
        <w:ind w:left="8435" w:hanging="360"/>
      </w:pPr>
    </w:lvl>
  </w:abstractNum>
  <w:abstractNum w:abstractNumId="7" w15:restartNumberingAfterBreak="0">
    <w:nsid w:val="0000041B"/>
    <w:multiLevelType w:val="multilevel"/>
    <w:tmpl w:val="0000089E"/>
    <w:lvl w:ilvl="0">
      <w:numFmt w:val="bullet"/>
      <w:lvlText w:val=""/>
      <w:lvlJc w:val="left"/>
      <w:pPr>
        <w:ind w:left="1254" w:hanging="357"/>
      </w:pPr>
      <w:rPr>
        <w:rFonts w:ascii="Symbol" w:hAnsi="Symbol"/>
        <w:b w:val="0"/>
        <w:w w:val="99"/>
        <w:sz w:val="22"/>
      </w:rPr>
    </w:lvl>
    <w:lvl w:ilvl="1">
      <w:numFmt w:val="bullet"/>
      <w:lvlText w:val="•"/>
      <w:lvlJc w:val="left"/>
      <w:pPr>
        <w:ind w:left="2164" w:hanging="357"/>
      </w:pPr>
    </w:lvl>
    <w:lvl w:ilvl="2">
      <w:numFmt w:val="bullet"/>
      <w:lvlText w:val="•"/>
      <w:lvlJc w:val="left"/>
      <w:pPr>
        <w:ind w:left="3068" w:hanging="357"/>
      </w:pPr>
    </w:lvl>
    <w:lvl w:ilvl="3">
      <w:numFmt w:val="bullet"/>
      <w:lvlText w:val="•"/>
      <w:lvlJc w:val="left"/>
      <w:pPr>
        <w:ind w:left="3973" w:hanging="357"/>
      </w:pPr>
    </w:lvl>
    <w:lvl w:ilvl="4">
      <w:numFmt w:val="bullet"/>
      <w:lvlText w:val="•"/>
      <w:lvlJc w:val="left"/>
      <w:pPr>
        <w:ind w:left="4877" w:hanging="357"/>
      </w:pPr>
    </w:lvl>
    <w:lvl w:ilvl="5">
      <w:numFmt w:val="bullet"/>
      <w:lvlText w:val="•"/>
      <w:lvlJc w:val="left"/>
      <w:pPr>
        <w:ind w:left="5782" w:hanging="357"/>
      </w:pPr>
    </w:lvl>
    <w:lvl w:ilvl="6">
      <w:numFmt w:val="bullet"/>
      <w:lvlText w:val="•"/>
      <w:lvlJc w:val="left"/>
      <w:pPr>
        <w:ind w:left="6686" w:hanging="357"/>
      </w:pPr>
    </w:lvl>
    <w:lvl w:ilvl="7">
      <w:numFmt w:val="bullet"/>
      <w:lvlText w:val="•"/>
      <w:lvlJc w:val="left"/>
      <w:pPr>
        <w:ind w:left="7591" w:hanging="357"/>
      </w:pPr>
    </w:lvl>
    <w:lvl w:ilvl="8">
      <w:numFmt w:val="bullet"/>
      <w:lvlText w:val="•"/>
      <w:lvlJc w:val="left"/>
      <w:pPr>
        <w:ind w:left="8495" w:hanging="357"/>
      </w:pPr>
    </w:lvl>
  </w:abstractNum>
  <w:abstractNum w:abstractNumId="8" w15:restartNumberingAfterBreak="0">
    <w:nsid w:val="0BC65190"/>
    <w:multiLevelType w:val="hybridMultilevel"/>
    <w:tmpl w:val="90768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F3DA1"/>
    <w:multiLevelType w:val="hybridMultilevel"/>
    <w:tmpl w:val="241A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424EF"/>
    <w:multiLevelType w:val="hybridMultilevel"/>
    <w:tmpl w:val="2480A2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ACC408D"/>
    <w:multiLevelType w:val="hybridMultilevel"/>
    <w:tmpl w:val="48041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E6249"/>
    <w:multiLevelType w:val="hybridMultilevel"/>
    <w:tmpl w:val="95FC5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F15CB"/>
    <w:multiLevelType w:val="hybridMultilevel"/>
    <w:tmpl w:val="EC24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FD6433"/>
    <w:multiLevelType w:val="hybridMultilevel"/>
    <w:tmpl w:val="69E28148"/>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15" w15:restartNumberingAfterBreak="0">
    <w:nsid w:val="36482426"/>
    <w:multiLevelType w:val="hybridMultilevel"/>
    <w:tmpl w:val="D7B0F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A2432"/>
    <w:multiLevelType w:val="hybridMultilevel"/>
    <w:tmpl w:val="53484C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B64ACC"/>
    <w:multiLevelType w:val="hybridMultilevel"/>
    <w:tmpl w:val="897C0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D32527"/>
    <w:multiLevelType w:val="hybridMultilevel"/>
    <w:tmpl w:val="0D82782E"/>
    <w:lvl w:ilvl="0" w:tplc="0C090001">
      <w:start w:val="1"/>
      <w:numFmt w:val="bullet"/>
      <w:lvlText w:val=""/>
      <w:lvlJc w:val="left"/>
      <w:pPr>
        <w:ind w:left="1365" w:hanging="360"/>
      </w:pPr>
      <w:rPr>
        <w:rFonts w:ascii="Symbol" w:hAnsi="Symbo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19" w15:restartNumberingAfterBreak="0">
    <w:nsid w:val="539D03F9"/>
    <w:multiLevelType w:val="hybridMultilevel"/>
    <w:tmpl w:val="16A6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5868D5"/>
    <w:multiLevelType w:val="hybridMultilevel"/>
    <w:tmpl w:val="4808D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584B0E"/>
    <w:multiLevelType w:val="hybridMultilevel"/>
    <w:tmpl w:val="175EB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B02F5C"/>
    <w:multiLevelType w:val="hybridMultilevel"/>
    <w:tmpl w:val="31947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816FE8"/>
    <w:multiLevelType w:val="hybridMultilevel"/>
    <w:tmpl w:val="DC66A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685750"/>
    <w:multiLevelType w:val="hybridMultilevel"/>
    <w:tmpl w:val="9AE0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8955E5"/>
    <w:multiLevelType w:val="multilevel"/>
    <w:tmpl w:val="00000891"/>
    <w:lvl w:ilvl="0">
      <w:numFmt w:val="bullet"/>
      <w:lvlText w:val=""/>
      <w:lvlJc w:val="left"/>
      <w:pPr>
        <w:ind w:left="387" w:hanging="285"/>
      </w:pPr>
      <w:rPr>
        <w:rFonts w:ascii="Symbol" w:hAnsi="Symbol"/>
        <w:b w:val="0"/>
        <w:w w:val="99"/>
        <w:sz w:val="22"/>
      </w:rPr>
    </w:lvl>
    <w:lvl w:ilvl="1">
      <w:numFmt w:val="bullet"/>
      <w:lvlText w:val="•"/>
      <w:lvlJc w:val="left"/>
      <w:pPr>
        <w:ind w:left="1265" w:hanging="285"/>
      </w:pPr>
    </w:lvl>
    <w:lvl w:ilvl="2">
      <w:numFmt w:val="bullet"/>
      <w:lvlText w:val="•"/>
      <w:lvlJc w:val="left"/>
      <w:pPr>
        <w:ind w:left="2150" w:hanging="285"/>
      </w:pPr>
    </w:lvl>
    <w:lvl w:ilvl="3">
      <w:numFmt w:val="bullet"/>
      <w:lvlText w:val="•"/>
      <w:lvlJc w:val="left"/>
      <w:pPr>
        <w:ind w:left="3035" w:hanging="285"/>
      </w:pPr>
    </w:lvl>
    <w:lvl w:ilvl="4">
      <w:numFmt w:val="bullet"/>
      <w:lvlText w:val="•"/>
      <w:lvlJc w:val="left"/>
      <w:pPr>
        <w:ind w:left="3921" w:hanging="285"/>
      </w:pPr>
    </w:lvl>
    <w:lvl w:ilvl="5">
      <w:numFmt w:val="bullet"/>
      <w:lvlText w:val="•"/>
      <w:lvlJc w:val="left"/>
      <w:pPr>
        <w:ind w:left="4806" w:hanging="285"/>
      </w:pPr>
    </w:lvl>
    <w:lvl w:ilvl="6">
      <w:numFmt w:val="bullet"/>
      <w:lvlText w:val="•"/>
      <w:lvlJc w:val="left"/>
      <w:pPr>
        <w:ind w:left="5691" w:hanging="285"/>
      </w:pPr>
    </w:lvl>
    <w:lvl w:ilvl="7">
      <w:numFmt w:val="bullet"/>
      <w:lvlText w:val="•"/>
      <w:lvlJc w:val="left"/>
      <w:pPr>
        <w:ind w:left="6576" w:hanging="285"/>
      </w:pPr>
    </w:lvl>
    <w:lvl w:ilvl="8">
      <w:numFmt w:val="bullet"/>
      <w:lvlText w:val="•"/>
      <w:lvlJc w:val="left"/>
      <w:pPr>
        <w:ind w:left="7462" w:hanging="285"/>
      </w:pPr>
    </w:lvl>
  </w:abstractNum>
  <w:abstractNum w:abstractNumId="26" w15:restartNumberingAfterBreak="0">
    <w:nsid w:val="717D21A9"/>
    <w:multiLevelType w:val="hybridMultilevel"/>
    <w:tmpl w:val="1BE202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1F80B7B"/>
    <w:multiLevelType w:val="hybridMultilevel"/>
    <w:tmpl w:val="5B4C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6726B8"/>
    <w:multiLevelType w:val="hybridMultilevel"/>
    <w:tmpl w:val="17CC57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5"/>
  </w:num>
  <w:num w:numId="10">
    <w:abstractNumId w:val="25"/>
  </w:num>
  <w:num w:numId="11">
    <w:abstractNumId w:val="28"/>
  </w:num>
  <w:num w:numId="12">
    <w:abstractNumId w:val="14"/>
  </w:num>
  <w:num w:numId="13">
    <w:abstractNumId w:val="9"/>
  </w:num>
  <w:num w:numId="14">
    <w:abstractNumId w:val="23"/>
  </w:num>
  <w:num w:numId="15">
    <w:abstractNumId w:val="12"/>
  </w:num>
  <w:num w:numId="16">
    <w:abstractNumId w:val="24"/>
  </w:num>
  <w:num w:numId="17">
    <w:abstractNumId w:val="13"/>
  </w:num>
  <w:num w:numId="18">
    <w:abstractNumId w:val="21"/>
  </w:num>
  <w:num w:numId="19">
    <w:abstractNumId w:val="19"/>
  </w:num>
  <w:num w:numId="20">
    <w:abstractNumId w:val="11"/>
  </w:num>
  <w:num w:numId="21">
    <w:abstractNumId w:val="20"/>
  </w:num>
  <w:num w:numId="22">
    <w:abstractNumId w:val="22"/>
  </w:num>
  <w:num w:numId="23">
    <w:abstractNumId w:val="18"/>
  </w:num>
  <w:num w:numId="24">
    <w:abstractNumId w:val="17"/>
  </w:num>
  <w:num w:numId="25">
    <w:abstractNumId w:val="8"/>
  </w:num>
  <w:num w:numId="26">
    <w:abstractNumId w:val="10"/>
  </w:num>
  <w:num w:numId="27">
    <w:abstractNumId w:val="26"/>
  </w:num>
  <w:num w:numId="28">
    <w:abstractNumId w:val="27"/>
  </w:num>
  <w:num w:numId="2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8B"/>
    <w:rsid w:val="00000084"/>
    <w:rsid w:val="00001556"/>
    <w:rsid w:val="000129D0"/>
    <w:rsid w:val="000154E9"/>
    <w:rsid w:val="00015650"/>
    <w:rsid w:val="00022371"/>
    <w:rsid w:val="00022B0A"/>
    <w:rsid w:val="00034307"/>
    <w:rsid w:val="00035441"/>
    <w:rsid w:val="0004056C"/>
    <w:rsid w:val="00040DBB"/>
    <w:rsid w:val="0004214F"/>
    <w:rsid w:val="000554F8"/>
    <w:rsid w:val="0005665F"/>
    <w:rsid w:val="000577F8"/>
    <w:rsid w:val="00057F38"/>
    <w:rsid w:val="00060DB5"/>
    <w:rsid w:val="00062C64"/>
    <w:rsid w:val="00067F31"/>
    <w:rsid w:val="000700FD"/>
    <w:rsid w:val="00082567"/>
    <w:rsid w:val="0008591C"/>
    <w:rsid w:val="00087998"/>
    <w:rsid w:val="000901A2"/>
    <w:rsid w:val="00091403"/>
    <w:rsid w:val="000B085C"/>
    <w:rsid w:val="000B5F2A"/>
    <w:rsid w:val="000B795C"/>
    <w:rsid w:val="000C052B"/>
    <w:rsid w:val="000C6714"/>
    <w:rsid w:val="000C67B6"/>
    <w:rsid w:val="000D14F2"/>
    <w:rsid w:val="000D3754"/>
    <w:rsid w:val="000D4019"/>
    <w:rsid w:val="000D40D6"/>
    <w:rsid w:val="000D6E33"/>
    <w:rsid w:val="000E0EB2"/>
    <w:rsid w:val="000E4987"/>
    <w:rsid w:val="000F2F01"/>
    <w:rsid w:val="000F6BAE"/>
    <w:rsid w:val="000F748E"/>
    <w:rsid w:val="00107D2D"/>
    <w:rsid w:val="0011093D"/>
    <w:rsid w:val="0011583C"/>
    <w:rsid w:val="00121305"/>
    <w:rsid w:val="001233CE"/>
    <w:rsid w:val="00126D47"/>
    <w:rsid w:val="001319E9"/>
    <w:rsid w:val="00133ED0"/>
    <w:rsid w:val="001405C1"/>
    <w:rsid w:val="001435ED"/>
    <w:rsid w:val="0014555D"/>
    <w:rsid w:val="00146085"/>
    <w:rsid w:val="00146BD9"/>
    <w:rsid w:val="00152E72"/>
    <w:rsid w:val="00156A47"/>
    <w:rsid w:val="00157055"/>
    <w:rsid w:val="00160B1F"/>
    <w:rsid w:val="00164239"/>
    <w:rsid w:val="001651E1"/>
    <w:rsid w:val="001651E5"/>
    <w:rsid w:val="001652B6"/>
    <w:rsid w:val="001652EE"/>
    <w:rsid w:val="00171175"/>
    <w:rsid w:val="00171FA0"/>
    <w:rsid w:val="00172513"/>
    <w:rsid w:val="00180968"/>
    <w:rsid w:val="001854C6"/>
    <w:rsid w:val="00185595"/>
    <w:rsid w:val="00190CDE"/>
    <w:rsid w:val="00190D87"/>
    <w:rsid w:val="00191C50"/>
    <w:rsid w:val="00192D12"/>
    <w:rsid w:val="00194A8B"/>
    <w:rsid w:val="001A137C"/>
    <w:rsid w:val="001A6112"/>
    <w:rsid w:val="001B0EAA"/>
    <w:rsid w:val="001B1FB0"/>
    <w:rsid w:val="001B3497"/>
    <w:rsid w:val="001B7B76"/>
    <w:rsid w:val="001C0B10"/>
    <w:rsid w:val="001C5480"/>
    <w:rsid w:val="001C6EF4"/>
    <w:rsid w:val="001C753D"/>
    <w:rsid w:val="001D065E"/>
    <w:rsid w:val="001D1E80"/>
    <w:rsid w:val="001D2AE8"/>
    <w:rsid w:val="001E25CB"/>
    <w:rsid w:val="001E70B5"/>
    <w:rsid w:val="001F16DF"/>
    <w:rsid w:val="001F76EA"/>
    <w:rsid w:val="001F7B91"/>
    <w:rsid w:val="00210333"/>
    <w:rsid w:val="00214CD9"/>
    <w:rsid w:val="00214E16"/>
    <w:rsid w:val="0021781F"/>
    <w:rsid w:val="00217C23"/>
    <w:rsid w:val="00226158"/>
    <w:rsid w:val="00226AD2"/>
    <w:rsid w:val="002330DD"/>
    <w:rsid w:val="002346AD"/>
    <w:rsid w:val="00235377"/>
    <w:rsid w:val="00253E37"/>
    <w:rsid w:val="0025587A"/>
    <w:rsid w:val="00261D2B"/>
    <w:rsid w:val="0026406B"/>
    <w:rsid w:val="002646A0"/>
    <w:rsid w:val="002679AF"/>
    <w:rsid w:val="002749DC"/>
    <w:rsid w:val="00275234"/>
    <w:rsid w:val="002813DC"/>
    <w:rsid w:val="00283EEA"/>
    <w:rsid w:val="002866FE"/>
    <w:rsid w:val="002909B7"/>
    <w:rsid w:val="00291241"/>
    <w:rsid w:val="002B0A11"/>
    <w:rsid w:val="002B2888"/>
    <w:rsid w:val="002B7B51"/>
    <w:rsid w:val="002C1C8E"/>
    <w:rsid w:val="002C2EE8"/>
    <w:rsid w:val="002C5332"/>
    <w:rsid w:val="002E0234"/>
    <w:rsid w:val="002E032F"/>
    <w:rsid w:val="002E2B6E"/>
    <w:rsid w:val="002E79B2"/>
    <w:rsid w:val="002F036B"/>
    <w:rsid w:val="002F1230"/>
    <w:rsid w:val="002F2119"/>
    <w:rsid w:val="002F29D0"/>
    <w:rsid w:val="002F552C"/>
    <w:rsid w:val="003001A2"/>
    <w:rsid w:val="003007FE"/>
    <w:rsid w:val="003053EA"/>
    <w:rsid w:val="0031236D"/>
    <w:rsid w:val="00313E3B"/>
    <w:rsid w:val="00314464"/>
    <w:rsid w:val="00317643"/>
    <w:rsid w:val="00317913"/>
    <w:rsid w:val="00322301"/>
    <w:rsid w:val="00322829"/>
    <w:rsid w:val="00326917"/>
    <w:rsid w:val="0033235F"/>
    <w:rsid w:val="0033286B"/>
    <w:rsid w:val="00334A76"/>
    <w:rsid w:val="003363F0"/>
    <w:rsid w:val="00336EC5"/>
    <w:rsid w:val="00342FC9"/>
    <w:rsid w:val="0034460E"/>
    <w:rsid w:val="00345563"/>
    <w:rsid w:val="00351EA3"/>
    <w:rsid w:val="00360E14"/>
    <w:rsid w:val="00365597"/>
    <w:rsid w:val="00375617"/>
    <w:rsid w:val="003778B6"/>
    <w:rsid w:val="00381439"/>
    <w:rsid w:val="00385376"/>
    <w:rsid w:val="003964EC"/>
    <w:rsid w:val="003A0EFB"/>
    <w:rsid w:val="003B0AA9"/>
    <w:rsid w:val="003B2C73"/>
    <w:rsid w:val="003B380C"/>
    <w:rsid w:val="003B3B84"/>
    <w:rsid w:val="003B3BA1"/>
    <w:rsid w:val="003B42DE"/>
    <w:rsid w:val="003B51F6"/>
    <w:rsid w:val="003B7507"/>
    <w:rsid w:val="003C1608"/>
    <w:rsid w:val="003C1C12"/>
    <w:rsid w:val="003C6266"/>
    <w:rsid w:val="003D0942"/>
    <w:rsid w:val="003D2719"/>
    <w:rsid w:val="003D76DE"/>
    <w:rsid w:val="003D7EB3"/>
    <w:rsid w:val="003E0320"/>
    <w:rsid w:val="003E084C"/>
    <w:rsid w:val="003F0A92"/>
    <w:rsid w:val="003F7CEA"/>
    <w:rsid w:val="004006E9"/>
    <w:rsid w:val="0040127E"/>
    <w:rsid w:val="004025A5"/>
    <w:rsid w:val="004032ED"/>
    <w:rsid w:val="00404718"/>
    <w:rsid w:val="004059A9"/>
    <w:rsid w:val="0041489B"/>
    <w:rsid w:val="00422EC3"/>
    <w:rsid w:val="004253F6"/>
    <w:rsid w:val="0042561E"/>
    <w:rsid w:val="0042614C"/>
    <w:rsid w:val="00431874"/>
    <w:rsid w:val="0043245A"/>
    <w:rsid w:val="00435384"/>
    <w:rsid w:val="00435912"/>
    <w:rsid w:val="00437146"/>
    <w:rsid w:val="004415CF"/>
    <w:rsid w:val="00442291"/>
    <w:rsid w:val="00442AF4"/>
    <w:rsid w:val="00442E4F"/>
    <w:rsid w:val="00445CBD"/>
    <w:rsid w:val="00450D8F"/>
    <w:rsid w:val="00461730"/>
    <w:rsid w:val="004638D2"/>
    <w:rsid w:val="00465B06"/>
    <w:rsid w:val="00467710"/>
    <w:rsid w:val="00470C3E"/>
    <w:rsid w:val="00476D86"/>
    <w:rsid w:val="00482B42"/>
    <w:rsid w:val="00483D9E"/>
    <w:rsid w:val="00492B06"/>
    <w:rsid w:val="00494182"/>
    <w:rsid w:val="00497668"/>
    <w:rsid w:val="004A1692"/>
    <w:rsid w:val="004A577C"/>
    <w:rsid w:val="004B0AAD"/>
    <w:rsid w:val="004B5A81"/>
    <w:rsid w:val="004C0B9F"/>
    <w:rsid w:val="004C28B3"/>
    <w:rsid w:val="004C52D7"/>
    <w:rsid w:val="004D3D9D"/>
    <w:rsid w:val="004D69A6"/>
    <w:rsid w:val="004E1D4B"/>
    <w:rsid w:val="004E7B8B"/>
    <w:rsid w:val="004F2C35"/>
    <w:rsid w:val="004F5953"/>
    <w:rsid w:val="004F62B3"/>
    <w:rsid w:val="00501426"/>
    <w:rsid w:val="00502191"/>
    <w:rsid w:val="00503A85"/>
    <w:rsid w:val="0050721E"/>
    <w:rsid w:val="00514535"/>
    <w:rsid w:val="00521ACA"/>
    <w:rsid w:val="00527F77"/>
    <w:rsid w:val="00533B05"/>
    <w:rsid w:val="0053649F"/>
    <w:rsid w:val="00547C57"/>
    <w:rsid w:val="0055383C"/>
    <w:rsid w:val="005610D3"/>
    <w:rsid w:val="00561DD3"/>
    <w:rsid w:val="00562B15"/>
    <w:rsid w:val="00564CAC"/>
    <w:rsid w:val="00567605"/>
    <w:rsid w:val="00570403"/>
    <w:rsid w:val="005723A0"/>
    <w:rsid w:val="005727D9"/>
    <w:rsid w:val="005733DA"/>
    <w:rsid w:val="00577583"/>
    <w:rsid w:val="00577F27"/>
    <w:rsid w:val="00581302"/>
    <w:rsid w:val="005826F0"/>
    <w:rsid w:val="0058303E"/>
    <w:rsid w:val="00590A3D"/>
    <w:rsid w:val="0059587A"/>
    <w:rsid w:val="005B216E"/>
    <w:rsid w:val="005B3A7B"/>
    <w:rsid w:val="005B4580"/>
    <w:rsid w:val="005E0572"/>
    <w:rsid w:val="005E362D"/>
    <w:rsid w:val="005E37A7"/>
    <w:rsid w:val="005E4A26"/>
    <w:rsid w:val="005E74C9"/>
    <w:rsid w:val="005F0B90"/>
    <w:rsid w:val="005F171B"/>
    <w:rsid w:val="005F4F57"/>
    <w:rsid w:val="005F78FE"/>
    <w:rsid w:val="00602A39"/>
    <w:rsid w:val="0060581C"/>
    <w:rsid w:val="00607553"/>
    <w:rsid w:val="00612252"/>
    <w:rsid w:val="00617BB7"/>
    <w:rsid w:val="0062218C"/>
    <w:rsid w:val="006232D9"/>
    <w:rsid w:val="00625CEB"/>
    <w:rsid w:val="00631A67"/>
    <w:rsid w:val="00634C90"/>
    <w:rsid w:val="00635802"/>
    <w:rsid w:val="00643927"/>
    <w:rsid w:val="00644847"/>
    <w:rsid w:val="006450D4"/>
    <w:rsid w:val="00647663"/>
    <w:rsid w:val="00651897"/>
    <w:rsid w:val="00662F1B"/>
    <w:rsid w:val="00664051"/>
    <w:rsid w:val="006673C4"/>
    <w:rsid w:val="00670A35"/>
    <w:rsid w:val="00670A82"/>
    <w:rsid w:val="006744C2"/>
    <w:rsid w:val="006762D7"/>
    <w:rsid w:val="00680FBD"/>
    <w:rsid w:val="006815C4"/>
    <w:rsid w:val="00684630"/>
    <w:rsid w:val="00692B68"/>
    <w:rsid w:val="00694237"/>
    <w:rsid w:val="00697EDD"/>
    <w:rsid w:val="006A0B5A"/>
    <w:rsid w:val="006A2F32"/>
    <w:rsid w:val="006A7BFC"/>
    <w:rsid w:val="006B106E"/>
    <w:rsid w:val="006B5123"/>
    <w:rsid w:val="006C0540"/>
    <w:rsid w:val="006C24AD"/>
    <w:rsid w:val="006C256C"/>
    <w:rsid w:val="006C684E"/>
    <w:rsid w:val="006C6E3B"/>
    <w:rsid w:val="006D55A4"/>
    <w:rsid w:val="006D6B18"/>
    <w:rsid w:val="006E11B2"/>
    <w:rsid w:val="006E291B"/>
    <w:rsid w:val="006E77CD"/>
    <w:rsid w:val="006E7E45"/>
    <w:rsid w:val="006F2516"/>
    <w:rsid w:val="006F4065"/>
    <w:rsid w:val="006F4696"/>
    <w:rsid w:val="007001B7"/>
    <w:rsid w:val="00702CCE"/>
    <w:rsid w:val="00705CE9"/>
    <w:rsid w:val="00712A10"/>
    <w:rsid w:val="007214C6"/>
    <w:rsid w:val="00725D17"/>
    <w:rsid w:val="00726C41"/>
    <w:rsid w:val="007304FB"/>
    <w:rsid w:val="007313CE"/>
    <w:rsid w:val="00731E83"/>
    <w:rsid w:val="00732D38"/>
    <w:rsid w:val="0073493C"/>
    <w:rsid w:val="00737B2F"/>
    <w:rsid w:val="0075134C"/>
    <w:rsid w:val="0075401B"/>
    <w:rsid w:val="00755042"/>
    <w:rsid w:val="00757570"/>
    <w:rsid w:val="00760A17"/>
    <w:rsid w:val="00770AA8"/>
    <w:rsid w:val="007740FA"/>
    <w:rsid w:val="0077564A"/>
    <w:rsid w:val="0077594A"/>
    <w:rsid w:val="0078023F"/>
    <w:rsid w:val="00783118"/>
    <w:rsid w:val="00785CD7"/>
    <w:rsid w:val="007944CD"/>
    <w:rsid w:val="007959E9"/>
    <w:rsid w:val="007A454C"/>
    <w:rsid w:val="007A66A5"/>
    <w:rsid w:val="007B35EF"/>
    <w:rsid w:val="007B3A1B"/>
    <w:rsid w:val="007B665E"/>
    <w:rsid w:val="007B7937"/>
    <w:rsid w:val="007C257E"/>
    <w:rsid w:val="007C74C4"/>
    <w:rsid w:val="007D4741"/>
    <w:rsid w:val="007D5974"/>
    <w:rsid w:val="007D59AB"/>
    <w:rsid w:val="007D6EC8"/>
    <w:rsid w:val="007D7335"/>
    <w:rsid w:val="007E3769"/>
    <w:rsid w:val="007E3E80"/>
    <w:rsid w:val="007F28EA"/>
    <w:rsid w:val="007F39B6"/>
    <w:rsid w:val="007F6591"/>
    <w:rsid w:val="007F7A18"/>
    <w:rsid w:val="008003EB"/>
    <w:rsid w:val="0081539C"/>
    <w:rsid w:val="00816AA7"/>
    <w:rsid w:val="008218C9"/>
    <w:rsid w:val="00821DA1"/>
    <w:rsid w:val="00822158"/>
    <w:rsid w:val="008228C4"/>
    <w:rsid w:val="008238BC"/>
    <w:rsid w:val="00825495"/>
    <w:rsid w:val="00825F6F"/>
    <w:rsid w:val="00831CAD"/>
    <w:rsid w:val="00832431"/>
    <w:rsid w:val="00832C3F"/>
    <w:rsid w:val="008442E9"/>
    <w:rsid w:val="00844ADA"/>
    <w:rsid w:val="008459FD"/>
    <w:rsid w:val="00845C94"/>
    <w:rsid w:val="00847303"/>
    <w:rsid w:val="0085090D"/>
    <w:rsid w:val="00850973"/>
    <w:rsid w:val="00851F46"/>
    <w:rsid w:val="008575F1"/>
    <w:rsid w:val="008576D7"/>
    <w:rsid w:val="008607CC"/>
    <w:rsid w:val="0086657D"/>
    <w:rsid w:val="00870F05"/>
    <w:rsid w:val="00872C53"/>
    <w:rsid w:val="008772A7"/>
    <w:rsid w:val="008819A4"/>
    <w:rsid w:val="0088765C"/>
    <w:rsid w:val="00891598"/>
    <w:rsid w:val="008927D9"/>
    <w:rsid w:val="00896ADC"/>
    <w:rsid w:val="0089774D"/>
    <w:rsid w:val="008A0304"/>
    <w:rsid w:val="008A2577"/>
    <w:rsid w:val="008B0684"/>
    <w:rsid w:val="008B213C"/>
    <w:rsid w:val="008B7668"/>
    <w:rsid w:val="008C07CD"/>
    <w:rsid w:val="008C2938"/>
    <w:rsid w:val="008C34DE"/>
    <w:rsid w:val="008C4948"/>
    <w:rsid w:val="008C7D84"/>
    <w:rsid w:val="008D1E51"/>
    <w:rsid w:val="008E0FCA"/>
    <w:rsid w:val="008E39D4"/>
    <w:rsid w:val="008E6CF9"/>
    <w:rsid w:val="008E7571"/>
    <w:rsid w:val="008F107B"/>
    <w:rsid w:val="008F1EE4"/>
    <w:rsid w:val="00903F07"/>
    <w:rsid w:val="0090451A"/>
    <w:rsid w:val="009114EC"/>
    <w:rsid w:val="00921BBD"/>
    <w:rsid w:val="00925B6C"/>
    <w:rsid w:val="00935E5B"/>
    <w:rsid w:val="00946B98"/>
    <w:rsid w:val="00960AF0"/>
    <w:rsid w:val="00963568"/>
    <w:rsid w:val="0096492F"/>
    <w:rsid w:val="00971AA4"/>
    <w:rsid w:val="00973563"/>
    <w:rsid w:val="00981EAE"/>
    <w:rsid w:val="00982CD3"/>
    <w:rsid w:val="00983536"/>
    <w:rsid w:val="009906DC"/>
    <w:rsid w:val="009960AA"/>
    <w:rsid w:val="00996EB5"/>
    <w:rsid w:val="009A332A"/>
    <w:rsid w:val="009A3F4A"/>
    <w:rsid w:val="009B07E0"/>
    <w:rsid w:val="009B30F2"/>
    <w:rsid w:val="009C1085"/>
    <w:rsid w:val="009C17C9"/>
    <w:rsid w:val="009C181F"/>
    <w:rsid w:val="009D12F0"/>
    <w:rsid w:val="009D14C3"/>
    <w:rsid w:val="009D4C17"/>
    <w:rsid w:val="009D550D"/>
    <w:rsid w:val="009D79A1"/>
    <w:rsid w:val="009E5D49"/>
    <w:rsid w:val="009F55B7"/>
    <w:rsid w:val="00A02174"/>
    <w:rsid w:val="00A05C79"/>
    <w:rsid w:val="00A14319"/>
    <w:rsid w:val="00A15729"/>
    <w:rsid w:val="00A16064"/>
    <w:rsid w:val="00A17D7C"/>
    <w:rsid w:val="00A24225"/>
    <w:rsid w:val="00A2454C"/>
    <w:rsid w:val="00A27681"/>
    <w:rsid w:val="00A35759"/>
    <w:rsid w:val="00A36AEC"/>
    <w:rsid w:val="00A41207"/>
    <w:rsid w:val="00A41C7D"/>
    <w:rsid w:val="00A447BB"/>
    <w:rsid w:val="00A46C4D"/>
    <w:rsid w:val="00A474C2"/>
    <w:rsid w:val="00A47CDA"/>
    <w:rsid w:val="00A53602"/>
    <w:rsid w:val="00A571A2"/>
    <w:rsid w:val="00A64B26"/>
    <w:rsid w:val="00A705C7"/>
    <w:rsid w:val="00A72134"/>
    <w:rsid w:val="00A72630"/>
    <w:rsid w:val="00A7488B"/>
    <w:rsid w:val="00A74F2C"/>
    <w:rsid w:val="00A811A5"/>
    <w:rsid w:val="00A84683"/>
    <w:rsid w:val="00A85B03"/>
    <w:rsid w:val="00A925D1"/>
    <w:rsid w:val="00A92FE5"/>
    <w:rsid w:val="00A938F8"/>
    <w:rsid w:val="00A95971"/>
    <w:rsid w:val="00A97533"/>
    <w:rsid w:val="00AA05FF"/>
    <w:rsid w:val="00AA29FF"/>
    <w:rsid w:val="00AA5B1C"/>
    <w:rsid w:val="00AA6DAD"/>
    <w:rsid w:val="00AB0295"/>
    <w:rsid w:val="00AB3138"/>
    <w:rsid w:val="00AB6A74"/>
    <w:rsid w:val="00AC00D5"/>
    <w:rsid w:val="00AC183D"/>
    <w:rsid w:val="00AC2664"/>
    <w:rsid w:val="00AC356C"/>
    <w:rsid w:val="00AC41C2"/>
    <w:rsid w:val="00AD1F7F"/>
    <w:rsid w:val="00AD3A49"/>
    <w:rsid w:val="00AD43F2"/>
    <w:rsid w:val="00AD5E82"/>
    <w:rsid w:val="00AE0373"/>
    <w:rsid w:val="00AF0746"/>
    <w:rsid w:val="00AF1BA2"/>
    <w:rsid w:val="00AF61C2"/>
    <w:rsid w:val="00AF79A4"/>
    <w:rsid w:val="00AF7E67"/>
    <w:rsid w:val="00B019BD"/>
    <w:rsid w:val="00B02578"/>
    <w:rsid w:val="00B10685"/>
    <w:rsid w:val="00B120AB"/>
    <w:rsid w:val="00B160E4"/>
    <w:rsid w:val="00B21BB4"/>
    <w:rsid w:val="00B2319B"/>
    <w:rsid w:val="00B26E54"/>
    <w:rsid w:val="00B26EB8"/>
    <w:rsid w:val="00B319E7"/>
    <w:rsid w:val="00B33409"/>
    <w:rsid w:val="00B33444"/>
    <w:rsid w:val="00B46D7D"/>
    <w:rsid w:val="00B50396"/>
    <w:rsid w:val="00B50524"/>
    <w:rsid w:val="00B51353"/>
    <w:rsid w:val="00B5160A"/>
    <w:rsid w:val="00B518EA"/>
    <w:rsid w:val="00B52C04"/>
    <w:rsid w:val="00B5431D"/>
    <w:rsid w:val="00B548F8"/>
    <w:rsid w:val="00B57AE0"/>
    <w:rsid w:val="00B57B1D"/>
    <w:rsid w:val="00B6068C"/>
    <w:rsid w:val="00B622E6"/>
    <w:rsid w:val="00B66762"/>
    <w:rsid w:val="00B71735"/>
    <w:rsid w:val="00B73311"/>
    <w:rsid w:val="00B77512"/>
    <w:rsid w:val="00B83947"/>
    <w:rsid w:val="00B84187"/>
    <w:rsid w:val="00B8573A"/>
    <w:rsid w:val="00B86B84"/>
    <w:rsid w:val="00B87246"/>
    <w:rsid w:val="00BA19BC"/>
    <w:rsid w:val="00BA5835"/>
    <w:rsid w:val="00BB2823"/>
    <w:rsid w:val="00BB2FF3"/>
    <w:rsid w:val="00BB3797"/>
    <w:rsid w:val="00BB3ADF"/>
    <w:rsid w:val="00BB3D49"/>
    <w:rsid w:val="00BB3E35"/>
    <w:rsid w:val="00BB5D25"/>
    <w:rsid w:val="00BB6D32"/>
    <w:rsid w:val="00BC4F07"/>
    <w:rsid w:val="00BC6269"/>
    <w:rsid w:val="00BC7CB2"/>
    <w:rsid w:val="00BD04A8"/>
    <w:rsid w:val="00BD17FC"/>
    <w:rsid w:val="00BD3674"/>
    <w:rsid w:val="00BE3BB5"/>
    <w:rsid w:val="00BE4C12"/>
    <w:rsid w:val="00BE5DDE"/>
    <w:rsid w:val="00BE7961"/>
    <w:rsid w:val="00BF2C88"/>
    <w:rsid w:val="00BF2F61"/>
    <w:rsid w:val="00BF62B4"/>
    <w:rsid w:val="00C022B5"/>
    <w:rsid w:val="00C02659"/>
    <w:rsid w:val="00C0596E"/>
    <w:rsid w:val="00C077F6"/>
    <w:rsid w:val="00C1207A"/>
    <w:rsid w:val="00C12C4B"/>
    <w:rsid w:val="00C144FA"/>
    <w:rsid w:val="00C1534D"/>
    <w:rsid w:val="00C1706E"/>
    <w:rsid w:val="00C17819"/>
    <w:rsid w:val="00C17B0B"/>
    <w:rsid w:val="00C21BBF"/>
    <w:rsid w:val="00C314A0"/>
    <w:rsid w:val="00C329A8"/>
    <w:rsid w:val="00C347D4"/>
    <w:rsid w:val="00C419CF"/>
    <w:rsid w:val="00C43917"/>
    <w:rsid w:val="00C44B22"/>
    <w:rsid w:val="00C51707"/>
    <w:rsid w:val="00C6695C"/>
    <w:rsid w:val="00C7079A"/>
    <w:rsid w:val="00C70C48"/>
    <w:rsid w:val="00C71283"/>
    <w:rsid w:val="00C728BD"/>
    <w:rsid w:val="00C85D6D"/>
    <w:rsid w:val="00C864C3"/>
    <w:rsid w:val="00C87F17"/>
    <w:rsid w:val="00C9009C"/>
    <w:rsid w:val="00C924C5"/>
    <w:rsid w:val="00C94EF8"/>
    <w:rsid w:val="00CA0C4F"/>
    <w:rsid w:val="00CA458D"/>
    <w:rsid w:val="00CA7980"/>
    <w:rsid w:val="00CB2AE7"/>
    <w:rsid w:val="00CB6BED"/>
    <w:rsid w:val="00CB750B"/>
    <w:rsid w:val="00CC1969"/>
    <w:rsid w:val="00CC1B04"/>
    <w:rsid w:val="00CC4268"/>
    <w:rsid w:val="00CC6786"/>
    <w:rsid w:val="00CE0180"/>
    <w:rsid w:val="00CE6C1C"/>
    <w:rsid w:val="00CE70C2"/>
    <w:rsid w:val="00CE73FE"/>
    <w:rsid w:val="00CE7A1F"/>
    <w:rsid w:val="00CF1E31"/>
    <w:rsid w:val="00CF371B"/>
    <w:rsid w:val="00CF4226"/>
    <w:rsid w:val="00CF4BB0"/>
    <w:rsid w:val="00CF4CCB"/>
    <w:rsid w:val="00CF6B61"/>
    <w:rsid w:val="00CF786F"/>
    <w:rsid w:val="00D002EA"/>
    <w:rsid w:val="00D03610"/>
    <w:rsid w:val="00D0533F"/>
    <w:rsid w:val="00D10AC7"/>
    <w:rsid w:val="00D13010"/>
    <w:rsid w:val="00D14BE2"/>
    <w:rsid w:val="00D14C74"/>
    <w:rsid w:val="00D16D27"/>
    <w:rsid w:val="00D25313"/>
    <w:rsid w:val="00D2572E"/>
    <w:rsid w:val="00D267B8"/>
    <w:rsid w:val="00D312AA"/>
    <w:rsid w:val="00D3260A"/>
    <w:rsid w:val="00D32684"/>
    <w:rsid w:val="00D349AA"/>
    <w:rsid w:val="00D35512"/>
    <w:rsid w:val="00D40145"/>
    <w:rsid w:val="00D402F8"/>
    <w:rsid w:val="00D42B83"/>
    <w:rsid w:val="00D43503"/>
    <w:rsid w:val="00D451EC"/>
    <w:rsid w:val="00D45E79"/>
    <w:rsid w:val="00D502C6"/>
    <w:rsid w:val="00D51D79"/>
    <w:rsid w:val="00D52312"/>
    <w:rsid w:val="00D6174D"/>
    <w:rsid w:val="00D67594"/>
    <w:rsid w:val="00D678C6"/>
    <w:rsid w:val="00D6795D"/>
    <w:rsid w:val="00D73A31"/>
    <w:rsid w:val="00D73C6A"/>
    <w:rsid w:val="00D7760A"/>
    <w:rsid w:val="00D77AA0"/>
    <w:rsid w:val="00D80700"/>
    <w:rsid w:val="00D810E2"/>
    <w:rsid w:val="00D85ECD"/>
    <w:rsid w:val="00D922DC"/>
    <w:rsid w:val="00D93376"/>
    <w:rsid w:val="00D93CA1"/>
    <w:rsid w:val="00D947B3"/>
    <w:rsid w:val="00DA1DC8"/>
    <w:rsid w:val="00DA5284"/>
    <w:rsid w:val="00DA5EF0"/>
    <w:rsid w:val="00DB03E6"/>
    <w:rsid w:val="00DB0C61"/>
    <w:rsid w:val="00DC3B21"/>
    <w:rsid w:val="00DD1DD2"/>
    <w:rsid w:val="00DD2AEA"/>
    <w:rsid w:val="00DD73B0"/>
    <w:rsid w:val="00DE05E3"/>
    <w:rsid w:val="00DE0E0B"/>
    <w:rsid w:val="00DE11B1"/>
    <w:rsid w:val="00DE146C"/>
    <w:rsid w:val="00DE33A6"/>
    <w:rsid w:val="00DE68CA"/>
    <w:rsid w:val="00DF06EC"/>
    <w:rsid w:val="00DF6396"/>
    <w:rsid w:val="00E15278"/>
    <w:rsid w:val="00E21BA1"/>
    <w:rsid w:val="00E259E6"/>
    <w:rsid w:val="00E322D0"/>
    <w:rsid w:val="00E33CA6"/>
    <w:rsid w:val="00E376D1"/>
    <w:rsid w:val="00E4064E"/>
    <w:rsid w:val="00E410E3"/>
    <w:rsid w:val="00E41837"/>
    <w:rsid w:val="00E44FB7"/>
    <w:rsid w:val="00E50486"/>
    <w:rsid w:val="00E51575"/>
    <w:rsid w:val="00E5594B"/>
    <w:rsid w:val="00E56A96"/>
    <w:rsid w:val="00E600FB"/>
    <w:rsid w:val="00E62D77"/>
    <w:rsid w:val="00E74B34"/>
    <w:rsid w:val="00E74BE3"/>
    <w:rsid w:val="00E8252B"/>
    <w:rsid w:val="00E844E7"/>
    <w:rsid w:val="00E87862"/>
    <w:rsid w:val="00E87866"/>
    <w:rsid w:val="00E9061B"/>
    <w:rsid w:val="00E91930"/>
    <w:rsid w:val="00E959A4"/>
    <w:rsid w:val="00EA6F7E"/>
    <w:rsid w:val="00EB04D4"/>
    <w:rsid w:val="00EB3271"/>
    <w:rsid w:val="00EB32E8"/>
    <w:rsid w:val="00EC02C7"/>
    <w:rsid w:val="00EC5894"/>
    <w:rsid w:val="00ED0BD2"/>
    <w:rsid w:val="00ED541F"/>
    <w:rsid w:val="00ED756D"/>
    <w:rsid w:val="00ED7994"/>
    <w:rsid w:val="00EE506F"/>
    <w:rsid w:val="00EE5614"/>
    <w:rsid w:val="00EE77E7"/>
    <w:rsid w:val="00EF12A1"/>
    <w:rsid w:val="00EF3589"/>
    <w:rsid w:val="00EF5A4C"/>
    <w:rsid w:val="00F10E91"/>
    <w:rsid w:val="00F12784"/>
    <w:rsid w:val="00F14DE4"/>
    <w:rsid w:val="00F1629B"/>
    <w:rsid w:val="00F20190"/>
    <w:rsid w:val="00F2188F"/>
    <w:rsid w:val="00F23BC6"/>
    <w:rsid w:val="00F2527C"/>
    <w:rsid w:val="00F26F56"/>
    <w:rsid w:val="00F279D6"/>
    <w:rsid w:val="00F305D9"/>
    <w:rsid w:val="00F34216"/>
    <w:rsid w:val="00F34A90"/>
    <w:rsid w:val="00F3648F"/>
    <w:rsid w:val="00F371E3"/>
    <w:rsid w:val="00F460B1"/>
    <w:rsid w:val="00F47A25"/>
    <w:rsid w:val="00F51F2F"/>
    <w:rsid w:val="00F53307"/>
    <w:rsid w:val="00F53FAF"/>
    <w:rsid w:val="00F54578"/>
    <w:rsid w:val="00F5586C"/>
    <w:rsid w:val="00F56179"/>
    <w:rsid w:val="00F574A1"/>
    <w:rsid w:val="00F57883"/>
    <w:rsid w:val="00F60288"/>
    <w:rsid w:val="00F7020A"/>
    <w:rsid w:val="00F816BC"/>
    <w:rsid w:val="00F90AF1"/>
    <w:rsid w:val="00FA4A20"/>
    <w:rsid w:val="00FA61AD"/>
    <w:rsid w:val="00FA6E54"/>
    <w:rsid w:val="00FB0A35"/>
    <w:rsid w:val="00FC13CC"/>
    <w:rsid w:val="00FC5363"/>
    <w:rsid w:val="00FD4085"/>
    <w:rsid w:val="00FF1294"/>
    <w:rsid w:val="00FF3403"/>
    <w:rsid w:val="00FF46F6"/>
    <w:rsid w:val="00FF7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7972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E7B8B"/>
    <w:pPr>
      <w:widowControl w:val="0"/>
      <w:autoSpaceDE w:val="0"/>
      <w:autoSpaceDN w:val="0"/>
      <w:adjustRightInd w:val="0"/>
      <w:spacing w:before="73" w:after="0" w:line="240" w:lineRule="auto"/>
      <w:ind w:left="540"/>
      <w:outlineLvl w:val="0"/>
    </w:pPr>
    <w:rPr>
      <w:rFonts w:ascii="Arial Black" w:eastAsia="Times New Roman" w:hAnsi="Arial Black" w:cs="Arial Black"/>
      <w:b/>
      <w:bCs/>
      <w:sz w:val="32"/>
      <w:szCs w:val="32"/>
      <w:lang w:eastAsia="en-AU"/>
    </w:rPr>
  </w:style>
  <w:style w:type="paragraph" w:styleId="Heading2">
    <w:name w:val="heading 2"/>
    <w:basedOn w:val="Normal"/>
    <w:next w:val="Normal"/>
    <w:link w:val="Heading2Char"/>
    <w:uiPriority w:val="1"/>
    <w:qFormat/>
    <w:rsid w:val="004E7B8B"/>
    <w:pPr>
      <w:widowControl w:val="0"/>
      <w:autoSpaceDE w:val="0"/>
      <w:autoSpaceDN w:val="0"/>
      <w:adjustRightInd w:val="0"/>
      <w:spacing w:after="0" w:line="240" w:lineRule="auto"/>
      <w:ind w:left="1007" w:hanging="467"/>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1"/>
    <w:qFormat/>
    <w:rsid w:val="004E7B8B"/>
    <w:pPr>
      <w:widowControl w:val="0"/>
      <w:autoSpaceDE w:val="0"/>
      <w:autoSpaceDN w:val="0"/>
      <w:adjustRightInd w:val="0"/>
      <w:spacing w:before="120" w:after="0" w:line="240" w:lineRule="auto"/>
      <w:ind w:left="540"/>
      <w:outlineLvl w:val="2"/>
    </w:pPr>
    <w:rPr>
      <w:rFonts w:ascii="Calibri" w:eastAsia="Times New Roman" w:hAnsi="Calibri" w:cs="Calibri"/>
      <w:b/>
      <w:bCs/>
      <w:lang w:eastAsia="en-AU"/>
    </w:rPr>
  </w:style>
  <w:style w:type="paragraph" w:styleId="Heading4">
    <w:name w:val="heading 4"/>
    <w:basedOn w:val="Normal"/>
    <w:next w:val="Normal"/>
    <w:link w:val="Heading4Char"/>
    <w:uiPriority w:val="1"/>
    <w:qFormat/>
    <w:rsid w:val="004E7B8B"/>
    <w:pPr>
      <w:widowControl w:val="0"/>
      <w:autoSpaceDE w:val="0"/>
      <w:autoSpaceDN w:val="0"/>
      <w:adjustRightInd w:val="0"/>
      <w:spacing w:before="158" w:after="0" w:line="240" w:lineRule="auto"/>
      <w:ind w:left="1126" w:hanging="367"/>
      <w:outlineLvl w:val="3"/>
    </w:pPr>
    <w:rPr>
      <w:rFonts w:ascii="Calibri" w:eastAsia="Times New Roman" w:hAnsi="Calibri" w:cs="Calibri"/>
      <w:b/>
      <w:bCs/>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7B8B"/>
    <w:rPr>
      <w:rFonts w:ascii="Arial Black" w:eastAsia="Times New Roman" w:hAnsi="Arial Black" w:cs="Arial Black"/>
      <w:b/>
      <w:bCs/>
      <w:sz w:val="32"/>
      <w:szCs w:val="32"/>
      <w:lang w:eastAsia="en-AU"/>
    </w:rPr>
  </w:style>
  <w:style w:type="character" w:customStyle="1" w:styleId="Heading2Char">
    <w:name w:val="Heading 2 Char"/>
    <w:basedOn w:val="DefaultParagraphFont"/>
    <w:link w:val="Heading2"/>
    <w:uiPriority w:val="1"/>
    <w:rsid w:val="004E7B8B"/>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uiPriority w:val="1"/>
    <w:rsid w:val="004E7B8B"/>
    <w:rPr>
      <w:rFonts w:ascii="Calibri" w:eastAsia="Times New Roman" w:hAnsi="Calibri" w:cs="Calibri"/>
      <w:b/>
      <w:bCs/>
      <w:lang w:eastAsia="en-AU"/>
    </w:rPr>
  </w:style>
  <w:style w:type="character" w:customStyle="1" w:styleId="Heading4Char">
    <w:name w:val="Heading 4 Char"/>
    <w:basedOn w:val="DefaultParagraphFont"/>
    <w:link w:val="Heading4"/>
    <w:uiPriority w:val="1"/>
    <w:rsid w:val="004E7B8B"/>
    <w:rPr>
      <w:rFonts w:ascii="Calibri" w:eastAsia="Times New Roman" w:hAnsi="Calibri" w:cs="Calibri"/>
      <w:b/>
      <w:bCs/>
      <w:i/>
      <w:iCs/>
      <w:lang w:eastAsia="en-AU"/>
    </w:rPr>
  </w:style>
  <w:style w:type="paragraph" w:styleId="BodyText">
    <w:name w:val="Body Text"/>
    <w:basedOn w:val="Normal"/>
    <w:link w:val="BodyTextChar"/>
    <w:uiPriority w:val="1"/>
    <w:qFormat/>
    <w:rsid w:val="004E7B8B"/>
    <w:pPr>
      <w:widowControl w:val="0"/>
      <w:autoSpaceDE w:val="0"/>
      <w:autoSpaceDN w:val="0"/>
      <w:adjustRightInd w:val="0"/>
      <w:spacing w:after="0" w:line="240" w:lineRule="auto"/>
    </w:pPr>
    <w:rPr>
      <w:rFonts w:ascii="Calibri" w:eastAsia="Times New Roman" w:hAnsi="Calibri" w:cs="Calibri"/>
      <w:lang w:eastAsia="en-AU"/>
    </w:rPr>
  </w:style>
  <w:style w:type="character" w:customStyle="1" w:styleId="BodyTextChar">
    <w:name w:val="Body Text Char"/>
    <w:basedOn w:val="DefaultParagraphFont"/>
    <w:link w:val="BodyText"/>
    <w:uiPriority w:val="1"/>
    <w:rsid w:val="004E7B8B"/>
    <w:rPr>
      <w:rFonts w:ascii="Calibri" w:eastAsia="Times New Roman" w:hAnsi="Calibri" w:cs="Calibri"/>
      <w:lang w:eastAsia="en-AU"/>
    </w:rPr>
  </w:style>
  <w:style w:type="paragraph" w:styleId="ListParagraph">
    <w:name w:val="List Paragraph"/>
    <w:basedOn w:val="Normal"/>
    <w:uiPriority w:val="1"/>
    <w:qFormat/>
    <w:rsid w:val="004E7B8B"/>
    <w:pPr>
      <w:widowControl w:val="0"/>
      <w:autoSpaceDE w:val="0"/>
      <w:autoSpaceDN w:val="0"/>
      <w:adjustRightInd w:val="0"/>
      <w:spacing w:after="0" w:line="240" w:lineRule="auto"/>
      <w:ind w:left="824" w:hanging="284"/>
    </w:pPr>
    <w:rPr>
      <w:rFonts w:ascii="Calibri" w:eastAsia="Times New Roman" w:hAnsi="Calibri" w:cs="Calibri"/>
      <w:sz w:val="24"/>
      <w:szCs w:val="24"/>
      <w:lang w:eastAsia="en-AU"/>
    </w:rPr>
  </w:style>
  <w:style w:type="paragraph" w:customStyle="1" w:styleId="TableParagraph">
    <w:name w:val="Table Paragraph"/>
    <w:basedOn w:val="Normal"/>
    <w:uiPriority w:val="1"/>
    <w:qFormat/>
    <w:rsid w:val="004E7B8B"/>
    <w:pPr>
      <w:widowControl w:val="0"/>
      <w:autoSpaceDE w:val="0"/>
      <w:autoSpaceDN w:val="0"/>
      <w:adjustRightInd w:val="0"/>
      <w:spacing w:after="0" w:line="240" w:lineRule="auto"/>
      <w:ind w:left="107"/>
    </w:pPr>
    <w:rPr>
      <w:rFonts w:ascii="Calibri" w:eastAsia="Times New Roman" w:hAnsi="Calibri" w:cs="Calibri"/>
      <w:sz w:val="24"/>
      <w:szCs w:val="24"/>
      <w:lang w:eastAsia="en-AU"/>
    </w:rPr>
  </w:style>
  <w:style w:type="paragraph" w:styleId="BalloonText">
    <w:name w:val="Balloon Text"/>
    <w:basedOn w:val="Normal"/>
    <w:link w:val="BalloonTextChar"/>
    <w:uiPriority w:val="99"/>
    <w:semiHidden/>
    <w:unhideWhenUsed/>
    <w:rsid w:val="004E7B8B"/>
    <w:pPr>
      <w:widowControl w:val="0"/>
      <w:autoSpaceDE w:val="0"/>
      <w:autoSpaceDN w:val="0"/>
      <w:adjustRightInd w:val="0"/>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E7B8B"/>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4E7B8B"/>
    <w:rPr>
      <w:sz w:val="16"/>
    </w:rPr>
  </w:style>
  <w:style w:type="paragraph" w:styleId="CommentText">
    <w:name w:val="annotation text"/>
    <w:basedOn w:val="Normal"/>
    <w:link w:val="CommentTextChar"/>
    <w:uiPriority w:val="99"/>
    <w:semiHidden/>
    <w:unhideWhenUsed/>
    <w:rsid w:val="004E7B8B"/>
    <w:pPr>
      <w:widowControl w:val="0"/>
      <w:autoSpaceDE w:val="0"/>
      <w:autoSpaceDN w:val="0"/>
      <w:adjustRightInd w:val="0"/>
      <w:spacing w:after="0" w:line="240" w:lineRule="auto"/>
    </w:pPr>
    <w:rPr>
      <w:rFonts w:ascii="Calibri" w:eastAsia="Times New Roman" w:hAnsi="Calibri" w:cs="Calibri"/>
      <w:sz w:val="20"/>
      <w:szCs w:val="20"/>
      <w:lang w:eastAsia="en-AU"/>
    </w:rPr>
  </w:style>
  <w:style w:type="character" w:customStyle="1" w:styleId="CommentTextChar">
    <w:name w:val="Comment Text Char"/>
    <w:basedOn w:val="DefaultParagraphFont"/>
    <w:link w:val="CommentText"/>
    <w:uiPriority w:val="99"/>
    <w:semiHidden/>
    <w:rsid w:val="004E7B8B"/>
    <w:rPr>
      <w:rFonts w:ascii="Calibri" w:eastAsia="Times New Roman" w:hAnsi="Calibri" w:cs="Calibri"/>
      <w:sz w:val="20"/>
      <w:szCs w:val="20"/>
      <w:lang w:eastAsia="en-AU"/>
    </w:rPr>
  </w:style>
  <w:style w:type="character" w:customStyle="1" w:styleId="CommentSubjectChar">
    <w:name w:val="Comment Subject Char"/>
    <w:basedOn w:val="CommentTextChar"/>
    <w:link w:val="CommentSubject"/>
    <w:uiPriority w:val="99"/>
    <w:semiHidden/>
    <w:rsid w:val="004E7B8B"/>
    <w:rPr>
      <w:rFonts w:ascii="Calibri" w:eastAsia="Times New Roman" w:hAnsi="Calibri" w:cs="Calibri"/>
      <w:b/>
      <w:bCs/>
      <w:sz w:val="20"/>
      <w:szCs w:val="20"/>
      <w:lang w:eastAsia="en-AU"/>
    </w:rPr>
  </w:style>
  <w:style w:type="paragraph" w:styleId="CommentSubject">
    <w:name w:val="annotation subject"/>
    <w:basedOn w:val="CommentText"/>
    <w:next w:val="CommentText"/>
    <w:link w:val="CommentSubjectChar"/>
    <w:uiPriority w:val="99"/>
    <w:semiHidden/>
    <w:unhideWhenUsed/>
    <w:rsid w:val="004E7B8B"/>
    <w:rPr>
      <w:b/>
      <w:bCs/>
    </w:rPr>
  </w:style>
  <w:style w:type="character" w:styleId="Hyperlink">
    <w:name w:val="Hyperlink"/>
    <w:basedOn w:val="DefaultParagraphFont"/>
    <w:uiPriority w:val="99"/>
    <w:unhideWhenUsed/>
    <w:rsid w:val="004E7B8B"/>
    <w:rPr>
      <w:color w:val="0563C1" w:themeColor="hyperlink"/>
      <w:u w:val="single"/>
    </w:rPr>
  </w:style>
  <w:style w:type="paragraph" w:styleId="Header">
    <w:name w:val="header"/>
    <w:basedOn w:val="Normal"/>
    <w:link w:val="HeaderChar"/>
    <w:uiPriority w:val="99"/>
    <w:unhideWhenUsed/>
    <w:rsid w:val="00375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617"/>
  </w:style>
  <w:style w:type="paragraph" w:styleId="Footer">
    <w:name w:val="footer"/>
    <w:basedOn w:val="Normal"/>
    <w:link w:val="FooterChar"/>
    <w:uiPriority w:val="99"/>
    <w:unhideWhenUsed/>
    <w:rsid w:val="00375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617"/>
  </w:style>
  <w:style w:type="character" w:styleId="FollowedHyperlink">
    <w:name w:val="FollowedHyperlink"/>
    <w:basedOn w:val="DefaultParagraphFont"/>
    <w:uiPriority w:val="99"/>
    <w:semiHidden/>
    <w:unhideWhenUsed/>
    <w:rsid w:val="0058303E"/>
    <w:rPr>
      <w:color w:val="954F72" w:themeColor="followedHyperlink"/>
      <w:u w:val="single"/>
    </w:rPr>
  </w:style>
  <w:style w:type="paragraph" w:styleId="Revision">
    <w:name w:val="Revision"/>
    <w:hidden/>
    <w:uiPriority w:val="99"/>
    <w:semiHidden/>
    <w:rsid w:val="007F6591"/>
    <w:pPr>
      <w:spacing w:after="0" w:line="240" w:lineRule="auto"/>
    </w:pPr>
  </w:style>
  <w:style w:type="paragraph" w:styleId="NormalWeb">
    <w:name w:val="Normal (Web)"/>
    <w:basedOn w:val="Normal"/>
    <w:uiPriority w:val="99"/>
    <w:semiHidden/>
    <w:unhideWhenUsed/>
    <w:rsid w:val="00217C23"/>
    <w:pPr>
      <w:spacing w:before="100" w:beforeAutospacing="1" w:after="100" w:afterAutospacing="1" w:line="240" w:lineRule="auto"/>
    </w:pPr>
    <w:rPr>
      <w:rFonts w:ascii="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451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1EC"/>
    <w:rPr>
      <w:sz w:val="20"/>
      <w:szCs w:val="20"/>
    </w:rPr>
  </w:style>
  <w:style w:type="character" w:styleId="FootnoteReference">
    <w:name w:val="footnote reference"/>
    <w:basedOn w:val="DefaultParagraphFont"/>
    <w:uiPriority w:val="99"/>
    <w:semiHidden/>
    <w:unhideWhenUsed/>
    <w:rsid w:val="00D45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75271">
      <w:bodyDiv w:val="1"/>
      <w:marLeft w:val="0"/>
      <w:marRight w:val="0"/>
      <w:marTop w:val="0"/>
      <w:marBottom w:val="0"/>
      <w:divBdr>
        <w:top w:val="none" w:sz="0" w:space="0" w:color="auto"/>
        <w:left w:val="none" w:sz="0" w:space="0" w:color="auto"/>
        <w:bottom w:val="none" w:sz="0" w:space="0" w:color="auto"/>
        <w:right w:val="none" w:sz="0" w:space="0" w:color="auto"/>
      </w:divBdr>
    </w:div>
    <w:div w:id="76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act.gov.au/a/2018-52/" TargetMode="External"/><Relationship Id="rId18" Type="http://schemas.openxmlformats.org/officeDocument/2006/relationships/hyperlink" Target="http://www.ombudsman.gov.au/better-practice-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mbudsman.gov.au/pages/publications-and-media/better-practice-guides/complaint-handling.ph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act.gov.au/a/2012-43/"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egislation.act.gov.au/a/20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E005-3BE8-4C37-96E8-F2EA4E8F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12831</Words>
  <Characters>70996</Characters>
  <Application>Microsoft Office Word</Application>
  <DocSecurity>0</DocSecurity>
  <Lines>1543</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2019-05-13T00:26:00Z</dcterms:created>
  <dcterms:modified xsi:type="dcterms:W3CDTF">2019-05-13T00:37:00Z</dcterms:modified>
</cp:coreProperties>
</file>