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C52" w:rsidRPr="00B23200" w:rsidRDefault="00674C52" w:rsidP="00674C52">
      <w:pPr>
        <w:spacing w:before="120" w:after="0" w:line="240" w:lineRule="auto"/>
        <w:rPr>
          <w:rFonts w:ascii="Arial" w:hAnsi="Arial" w:cs="Arial"/>
          <w:sz w:val="24"/>
          <w:szCs w:val="20"/>
        </w:rPr>
      </w:pPr>
      <w:bookmarkStart w:id="0" w:name="_GoBack"/>
      <w:bookmarkEnd w:id="0"/>
      <w:r w:rsidRPr="00B23200">
        <w:rPr>
          <w:rFonts w:ascii="Arial" w:hAnsi="Arial" w:cs="Arial"/>
          <w:sz w:val="24"/>
          <w:szCs w:val="20"/>
        </w:rPr>
        <w:t>Australian Capital Territory</w:t>
      </w:r>
    </w:p>
    <w:p w:rsidR="00674C52" w:rsidRPr="003B3D08" w:rsidRDefault="00674C52" w:rsidP="00674C52">
      <w:pPr>
        <w:tabs>
          <w:tab w:val="left" w:pos="2400"/>
          <w:tab w:val="left" w:pos="2880"/>
        </w:tabs>
        <w:spacing w:before="700" w:after="100" w:line="240" w:lineRule="auto"/>
        <w:rPr>
          <w:rFonts w:ascii="Arial" w:hAnsi="Arial" w:cs="Arial"/>
          <w:b/>
          <w:sz w:val="40"/>
          <w:szCs w:val="20"/>
        </w:rPr>
      </w:pPr>
      <w:r w:rsidRPr="003B3D08">
        <w:rPr>
          <w:rFonts w:ascii="Arial" w:hAnsi="Arial" w:cs="Arial"/>
          <w:b/>
          <w:sz w:val="40"/>
          <w:szCs w:val="20"/>
        </w:rPr>
        <w:t xml:space="preserve">Gambling and Racing Control (Code of Practice) </w:t>
      </w:r>
      <w:r w:rsidR="00113B5A">
        <w:rPr>
          <w:rFonts w:ascii="Arial" w:hAnsi="Arial" w:cs="Arial"/>
          <w:b/>
          <w:sz w:val="40"/>
          <w:szCs w:val="20"/>
        </w:rPr>
        <w:t>(</w:t>
      </w:r>
      <w:r w:rsidR="002C0D4F">
        <w:rPr>
          <w:rFonts w:ascii="Arial" w:hAnsi="Arial" w:cs="Arial"/>
          <w:b/>
          <w:sz w:val="40"/>
          <w:szCs w:val="20"/>
        </w:rPr>
        <w:t>Betting Account</w:t>
      </w:r>
      <w:r w:rsidR="0032795D">
        <w:rPr>
          <w:rFonts w:ascii="Arial" w:hAnsi="Arial" w:cs="Arial"/>
          <w:b/>
          <w:sz w:val="40"/>
          <w:szCs w:val="20"/>
        </w:rPr>
        <w:t>s</w:t>
      </w:r>
      <w:r w:rsidR="00113B5A">
        <w:rPr>
          <w:rFonts w:ascii="Arial" w:hAnsi="Arial" w:cs="Arial"/>
          <w:b/>
          <w:sz w:val="40"/>
          <w:szCs w:val="20"/>
        </w:rPr>
        <w:t>)</w:t>
      </w:r>
      <w:r w:rsidR="002C0D4F">
        <w:rPr>
          <w:rFonts w:ascii="Arial" w:hAnsi="Arial" w:cs="Arial"/>
          <w:b/>
          <w:sz w:val="40"/>
          <w:szCs w:val="20"/>
        </w:rPr>
        <w:t xml:space="preserve"> </w:t>
      </w:r>
      <w:r w:rsidR="00877B80">
        <w:rPr>
          <w:rFonts w:ascii="Arial" w:hAnsi="Arial" w:cs="Arial"/>
          <w:b/>
          <w:sz w:val="40"/>
          <w:szCs w:val="20"/>
        </w:rPr>
        <w:t xml:space="preserve">Guidelines </w:t>
      </w:r>
      <w:r w:rsidRPr="003B3D08">
        <w:rPr>
          <w:rFonts w:ascii="Arial" w:hAnsi="Arial" w:cs="Arial"/>
          <w:b/>
          <w:sz w:val="40"/>
          <w:szCs w:val="20"/>
        </w:rPr>
        <w:t>2019</w:t>
      </w:r>
    </w:p>
    <w:p w:rsidR="00674C52" w:rsidRPr="003B3D08" w:rsidRDefault="00674C52" w:rsidP="00674C52">
      <w:pPr>
        <w:spacing w:before="320" w:after="0" w:line="240" w:lineRule="auto"/>
        <w:rPr>
          <w:rFonts w:ascii="Arial" w:hAnsi="Arial" w:cs="Arial"/>
          <w:b/>
          <w:bCs/>
          <w:sz w:val="24"/>
          <w:szCs w:val="20"/>
          <w:vertAlign w:val="superscript"/>
        </w:rPr>
      </w:pPr>
      <w:r w:rsidRPr="003B3D08">
        <w:rPr>
          <w:rFonts w:ascii="Arial" w:hAnsi="Arial" w:cs="Arial"/>
          <w:b/>
          <w:bCs/>
          <w:sz w:val="24"/>
          <w:szCs w:val="20"/>
        </w:rPr>
        <w:t>Notifiable instrument NI</w:t>
      </w:r>
      <w:r>
        <w:rPr>
          <w:rFonts w:ascii="Arial" w:hAnsi="Arial" w:cs="Arial"/>
          <w:b/>
          <w:bCs/>
          <w:sz w:val="24"/>
          <w:szCs w:val="20"/>
        </w:rPr>
        <w:t>2019-</w:t>
      </w:r>
      <w:r w:rsidR="00F41E02">
        <w:rPr>
          <w:rFonts w:ascii="Arial" w:hAnsi="Arial" w:cs="Arial"/>
          <w:b/>
          <w:bCs/>
          <w:sz w:val="24"/>
          <w:szCs w:val="20"/>
        </w:rPr>
        <w:t>325</w:t>
      </w:r>
    </w:p>
    <w:p w:rsidR="00674C52" w:rsidRPr="003B3D08" w:rsidRDefault="00674C52" w:rsidP="00674C52">
      <w:pPr>
        <w:spacing w:before="320" w:after="0" w:line="240" w:lineRule="auto"/>
        <w:jc w:val="both"/>
        <w:rPr>
          <w:rFonts w:ascii="Arial" w:hAnsi="Arial" w:cs="Arial"/>
          <w:sz w:val="24"/>
          <w:szCs w:val="20"/>
        </w:rPr>
      </w:pPr>
      <w:r w:rsidRPr="003B3D08">
        <w:rPr>
          <w:rFonts w:ascii="Arial" w:hAnsi="Arial" w:cs="Arial"/>
          <w:sz w:val="24"/>
          <w:szCs w:val="20"/>
        </w:rPr>
        <w:t>made under the</w:t>
      </w:r>
    </w:p>
    <w:p w:rsidR="00674C52" w:rsidRPr="00B8679D" w:rsidRDefault="00674C52" w:rsidP="00674C52">
      <w:pPr>
        <w:spacing w:before="3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679D">
        <w:rPr>
          <w:rFonts w:ascii="Arial" w:hAnsi="Arial" w:cs="Arial"/>
          <w:b/>
          <w:sz w:val="20"/>
          <w:szCs w:val="20"/>
        </w:rPr>
        <w:t>Gambling and Racing Control (Code of Practice) Regulation 2002</w:t>
      </w:r>
      <w:r w:rsidR="002C0D4F" w:rsidRPr="00B8679D">
        <w:rPr>
          <w:rFonts w:ascii="Arial" w:hAnsi="Arial" w:cs="Arial"/>
          <w:b/>
          <w:sz w:val="20"/>
          <w:szCs w:val="20"/>
        </w:rPr>
        <w:t>, schedule 1, section 1.20G</w:t>
      </w:r>
      <w:r w:rsidRPr="00B8679D">
        <w:rPr>
          <w:rFonts w:ascii="Arial" w:hAnsi="Arial" w:cs="Arial"/>
          <w:b/>
          <w:sz w:val="20"/>
          <w:szCs w:val="20"/>
        </w:rPr>
        <w:t xml:space="preserve"> (</w:t>
      </w:r>
      <w:r w:rsidR="00D66C55" w:rsidRPr="00B8679D">
        <w:rPr>
          <w:rFonts w:ascii="Arial" w:hAnsi="Arial" w:cs="Arial"/>
          <w:b/>
          <w:sz w:val="20"/>
          <w:szCs w:val="20"/>
        </w:rPr>
        <w:t>Betting Accounts Guidelines</w:t>
      </w:r>
      <w:r w:rsidRPr="00B8679D">
        <w:rPr>
          <w:rFonts w:ascii="Arial" w:hAnsi="Arial" w:cs="Arial"/>
          <w:b/>
          <w:sz w:val="20"/>
          <w:szCs w:val="20"/>
        </w:rPr>
        <w:t>)</w:t>
      </w:r>
    </w:p>
    <w:p w:rsidR="00674C52" w:rsidRPr="003B3D08" w:rsidRDefault="00674C52" w:rsidP="00674C52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674C52" w:rsidRPr="003B3D08" w:rsidRDefault="00674C52" w:rsidP="00674C52">
      <w:pPr>
        <w:pBdr>
          <w:top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674C52" w:rsidRPr="003B3D08" w:rsidRDefault="00674C52" w:rsidP="00674C52">
      <w:pPr>
        <w:keepNext/>
        <w:spacing w:after="0" w:line="240" w:lineRule="auto"/>
        <w:ind w:left="709" w:hanging="709"/>
        <w:outlineLvl w:val="0"/>
        <w:rPr>
          <w:rFonts w:ascii="Arial" w:hAnsi="Arial" w:cs="Arial"/>
          <w:b/>
          <w:bCs/>
          <w:sz w:val="24"/>
          <w:szCs w:val="20"/>
        </w:rPr>
      </w:pPr>
      <w:r w:rsidRPr="003B3D08">
        <w:rPr>
          <w:rFonts w:ascii="Arial" w:hAnsi="Arial" w:cs="Arial"/>
          <w:b/>
          <w:bCs/>
          <w:sz w:val="24"/>
          <w:szCs w:val="20"/>
        </w:rPr>
        <w:t>1</w:t>
      </w:r>
      <w:r w:rsidRPr="003B3D08">
        <w:rPr>
          <w:rFonts w:ascii="Arial" w:hAnsi="Arial" w:cs="Arial"/>
          <w:b/>
          <w:bCs/>
          <w:sz w:val="24"/>
          <w:szCs w:val="20"/>
        </w:rPr>
        <w:tab/>
        <w:t>Name of instrument</w:t>
      </w:r>
    </w:p>
    <w:p w:rsidR="00674C52" w:rsidRPr="003B3D08" w:rsidRDefault="00674C52" w:rsidP="00674C52">
      <w:pPr>
        <w:spacing w:after="0" w:line="240" w:lineRule="auto"/>
        <w:ind w:left="720"/>
        <w:rPr>
          <w:rFonts w:ascii="Arial" w:hAnsi="Arial" w:cs="Arial"/>
          <w:sz w:val="24"/>
          <w:szCs w:val="20"/>
        </w:rPr>
      </w:pPr>
    </w:p>
    <w:p w:rsidR="00674C52" w:rsidRPr="003B3D08" w:rsidRDefault="00674C52" w:rsidP="00674C52">
      <w:pPr>
        <w:spacing w:after="0" w:line="240" w:lineRule="auto"/>
        <w:ind w:left="720"/>
        <w:rPr>
          <w:rFonts w:ascii="Times New Roman" w:hAnsi="Times New Roman"/>
          <w:i/>
          <w:iCs/>
          <w:sz w:val="24"/>
          <w:szCs w:val="20"/>
        </w:rPr>
      </w:pPr>
      <w:r w:rsidRPr="003B3D08">
        <w:rPr>
          <w:rFonts w:ascii="Times New Roman" w:hAnsi="Times New Roman"/>
          <w:sz w:val="24"/>
          <w:szCs w:val="20"/>
        </w:rPr>
        <w:t xml:space="preserve">This instrument is the </w:t>
      </w:r>
      <w:r w:rsidRPr="003B3D08">
        <w:rPr>
          <w:rFonts w:ascii="Times New Roman" w:hAnsi="Times New Roman"/>
          <w:i/>
          <w:iCs/>
          <w:sz w:val="24"/>
          <w:szCs w:val="20"/>
        </w:rPr>
        <w:t xml:space="preserve">Gambling and Racing Control (Code of Practice) </w:t>
      </w:r>
      <w:r w:rsidR="007109A1">
        <w:rPr>
          <w:rFonts w:ascii="Times New Roman" w:hAnsi="Times New Roman"/>
          <w:i/>
          <w:iCs/>
          <w:sz w:val="24"/>
          <w:szCs w:val="20"/>
        </w:rPr>
        <w:t>(</w:t>
      </w:r>
      <w:r w:rsidR="0032795D">
        <w:rPr>
          <w:rFonts w:ascii="Times New Roman" w:hAnsi="Times New Roman"/>
          <w:i/>
          <w:iCs/>
          <w:sz w:val="24"/>
          <w:szCs w:val="20"/>
        </w:rPr>
        <w:t>Betting A</w:t>
      </w:r>
      <w:r w:rsidR="002C0D4F" w:rsidRPr="002C0D4F">
        <w:rPr>
          <w:rFonts w:ascii="Times New Roman" w:hAnsi="Times New Roman"/>
          <w:i/>
          <w:iCs/>
          <w:sz w:val="24"/>
          <w:szCs w:val="20"/>
        </w:rPr>
        <w:t>ccounts</w:t>
      </w:r>
      <w:r w:rsidR="007109A1">
        <w:rPr>
          <w:rFonts w:ascii="Times New Roman" w:hAnsi="Times New Roman"/>
          <w:i/>
          <w:iCs/>
          <w:sz w:val="24"/>
          <w:szCs w:val="20"/>
        </w:rPr>
        <w:t>)</w:t>
      </w:r>
      <w:r w:rsidR="002C0D4F">
        <w:rPr>
          <w:rFonts w:ascii="Times New Roman" w:hAnsi="Times New Roman"/>
          <w:i/>
          <w:iCs/>
          <w:sz w:val="24"/>
          <w:szCs w:val="20"/>
        </w:rPr>
        <w:t xml:space="preserve"> </w:t>
      </w:r>
      <w:r w:rsidR="00877B80">
        <w:rPr>
          <w:rFonts w:ascii="Times New Roman" w:hAnsi="Times New Roman"/>
          <w:i/>
          <w:iCs/>
          <w:sz w:val="24"/>
          <w:szCs w:val="20"/>
        </w:rPr>
        <w:t xml:space="preserve">Guidelines </w:t>
      </w:r>
      <w:r w:rsidRPr="003B3D08">
        <w:rPr>
          <w:rFonts w:ascii="Times New Roman" w:hAnsi="Times New Roman"/>
          <w:i/>
          <w:iCs/>
          <w:sz w:val="24"/>
          <w:szCs w:val="20"/>
        </w:rPr>
        <w:t>2019.</w:t>
      </w:r>
    </w:p>
    <w:p w:rsidR="00674C52" w:rsidRPr="003B3D08" w:rsidRDefault="00674C52" w:rsidP="00674C52">
      <w:pPr>
        <w:spacing w:after="0" w:line="240" w:lineRule="auto"/>
        <w:rPr>
          <w:rFonts w:ascii="Arial" w:hAnsi="Arial" w:cs="Arial"/>
          <w:i/>
          <w:iCs/>
          <w:sz w:val="24"/>
          <w:szCs w:val="20"/>
        </w:rPr>
      </w:pPr>
    </w:p>
    <w:p w:rsidR="00674C52" w:rsidRPr="003B3D08" w:rsidRDefault="00674C52" w:rsidP="00674C52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0"/>
        </w:rPr>
      </w:pPr>
      <w:r w:rsidRPr="003B3D08">
        <w:rPr>
          <w:rFonts w:ascii="Arial" w:hAnsi="Arial" w:cs="Arial"/>
          <w:b/>
          <w:bCs/>
          <w:sz w:val="24"/>
          <w:szCs w:val="20"/>
        </w:rPr>
        <w:t>2</w:t>
      </w:r>
      <w:r w:rsidRPr="003B3D08">
        <w:rPr>
          <w:rFonts w:ascii="Arial" w:hAnsi="Arial" w:cs="Arial"/>
          <w:b/>
          <w:bCs/>
          <w:sz w:val="24"/>
          <w:szCs w:val="20"/>
        </w:rPr>
        <w:tab/>
        <w:t xml:space="preserve">Commencement </w:t>
      </w:r>
    </w:p>
    <w:p w:rsidR="00674C52" w:rsidRPr="003B3D08" w:rsidRDefault="00674C52" w:rsidP="00674C52">
      <w:pPr>
        <w:spacing w:after="0" w:line="240" w:lineRule="auto"/>
        <w:ind w:firstLine="720"/>
        <w:rPr>
          <w:rFonts w:ascii="Arial" w:hAnsi="Arial" w:cs="Arial"/>
          <w:sz w:val="24"/>
          <w:szCs w:val="20"/>
        </w:rPr>
      </w:pPr>
    </w:p>
    <w:p w:rsidR="00674C52" w:rsidRPr="003B3D08" w:rsidRDefault="00674C52" w:rsidP="00674C52">
      <w:pPr>
        <w:spacing w:after="0" w:line="240" w:lineRule="auto"/>
        <w:ind w:left="720"/>
        <w:rPr>
          <w:rFonts w:ascii="Times New Roman" w:hAnsi="Times New Roman"/>
          <w:sz w:val="24"/>
          <w:szCs w:val="20"/>
        </w:rPr>
      </w:pPr>
      <w:r w:rsidRPr="003B3D08">
        <w:rPr>
          <w:rFonts w:ascii="Times New Roman" w:hAnsi="Times New Roman"/>
          <w:sz w:val="24"/>
          <w:szCs w:val="20"/>
        </w:rPr>
        <w:t xml:space="preserve">This instrument commences on </w:t>
      </w:r>
      <w:r w:rsidR="002C0D4F">
        <w:rPr>
          <w:rFonts w:ascii="Times New Roman" w:hAnsi="Times New Roman"/>
          <w:sz w:val="24"/>
          <w:szCs w:val="20"/>
        </w:rPr>
        <w:t>26 May 2019</w:t>
      </w:r>
      <w:r w:rsidRPr="003B3D08">
        <w:rPr>
          <w:rFonts w:ascii="Times New Roman" w:hAnsi="Times New Roman"/>
          <w:sz w:val="24"/>
          <w:szCs w:val="20"/>
        </w:rPr>
        <w:t>.</w:t>
      </w:r>
    </w:p>
    <w:p w:rsidR="00674C52" w:rsidRPr="003B3D08" w:rsidRDefault="00674C52" w:rsidP="00674C52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674C52" w:rsidRPr="003B3D08" w:rsidRDefault="004877A8" w:rsidP="00674C52">
      <w:pPr>
        <w:numPr>
          <w:ilvl w:val="0"/>
          <w:numId w:val="1"/>
        </w:numPr>
        <w:spacing w:after="0" w:line="240" w:lineRule="auto"/>
        <w:ind w:hanging="720"/>
        <w:jc w:val="both"/>
        <w:outlineLvl w:val="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Guidelines</w:t>
      </w:r>
    </w:p>
    <w:p w:rsidR="00674C52" w:rsidRPr="003B3D08" w:rsidRDefault="00674C52" w:rsidP="00674C52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n-GB"/>
        </w:rPr>
      </w:pPr>
    </w:p>
    <w:p w:rsidR="004877A8" w:rsidRPr="003B3D08" w:rsidRDefault="004877A8" w:rsidP="004877A8">
      <w:pPr>
        <w:spacing w:after="0" w:line="240" w:lineRule="auto"/>
        <w:ind w:left="7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I make the guidelines about betting accounts as set out in Schedule 1 to this instrument</w:t>
      </w:r>
      <w:r w:rsidRPr="003B3D08">
        <w:rPr>
          <w:rFonts w:ascii="Times New Roman" w:hAnsi="Times New Roman"/>
          <w:sz w:val="24"/>
          <w:szCs w:val="20"/>
        </w:rPr>
        <w:t>.</w:t>
      </w:r>
    </w:p>
    <w:p w:rsidR="00674C52" w:rsidRDefault="00674C52" w:rsidP="00674C5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113B5A" w:rsidRDefault="00113B5A" w:rsidP="00674C5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C3A1A" w:rsidRPr="003B3D08" w:rsidRDefault="006C3A1A" w:rsidP="00674C5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74C52" w:rsidRPr="003B3D08" w:rsidRDefault="00674C52" w:rsidP="00674C52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674C52" w:rsidRPr="003B3D08" w:rsidRDefault="00674C52" w:rsidP="00674C52">
      <w:pPr>
        <w:tabs>
          <w:tab w:val="left" w:pos="5160"/>
        </w:tabs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3B3D08">
        <w:rPr>
          <w:rFonts w:ascii="Times New Roman" w:hAnsi="Times New Roman"/>
          <w:bCs/>
          <w:sz w:val="24"/>
          <w:szCs w:val="20"/>
        </w:rPr>
        <w:t>Gordon Ramsay MLA</w:t>
      </w:r>
    </w:p>
    <w:p w:rsidR="00674C52" w:rsidRDefault="00674C52" w:rsidP="00674C52">
      <w:pPr>
        <w:tabs>
          <w:tab w:val="left" w:pos="5160"/>
        </w:tabs>
        <w:spacing w:after="0" w:line="240" w:lineRule="auto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Attorney-</w:t>
      </w:r>
      <w:r w:rsidRPr="003B3D08">
        <w:rPr>
          <w:rFonts w:ascii="Times New Roman" w:hAnsi="Times New Roman"/>
          <w:bCs/>
          <w:sz w:val="24"/>
          <w:szCs w:val="20"/>
        </w:rPr>
        <w:t>General</w:t>
      </w:r>
    </w:p>
    <w:p w:rsidR="00674C52" w:rsidRPr="00B23200" w:rsidRDefault="00F41E02" w:rsidP="00B23200">
      <w:pPr>
        <w:tabs>
          <w:tab w:val="left" w:pos="5160"/>
        </w:tabs>
        <w:spacing w:after="0" w:line="240" w:lineRule="auto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2</w:t>
      </w:r>
      <w:r w:rsidR="00691187">
        <w:rPr>
          <w:rFonts w:ascii="Times New Roman" w:hAnsi="Times New Roman"/>
          <w:bCs/>
          <w:sz w:val="24"/>
          <w:szCs w:val="20"/>
        </w:rPr>
        <w:t>4</w:t>
      </w:r>
      <w:r w:rsidR="00113B5A" w:rsidRPr="00B23200">
        <w:rPr>
          <w:rFonts w:ascii="Times New Roman" w:hAnsi="Times New Roman"/>
          <w:bCs/>
          <w:sz w:val="24"/>
          <w:szCs w:val="20"/>
        </w:rPr>
        <w:t xml:space="preserve"> May 2019</w:t>
      </w:r>
    </w:p>
    <w:p w:rsidR="00674C52" w:rsidRDefault="00674C52" w:rsidP="00674C52">
      <w:pPr>
        <w:pStyle w:val="NoSpacing"/>
      </w:pPr>
    </w:p>
    <w:p w:rsidR="00674C52" w:rsidRDefault="00674C52" w:rsidP="00674C52">
      <w:pPr>
        <w:pStyle w:val="NoSpacing"/>
      </w:pPr>
    </w:p>
    <w:p w:rsidR="00674C52" w:rsidRDefault="00674C52" w:rsidP="00674C52">
      <w:pPr>
        <w:pStyle w:val="NoSpacing"/>
      </w:pPr>
    </w:p>
    <w:p w:rsidR="00674C52" w:rsidRDefault="00674C52" w:rsidP="00674C52">
      <w:pPr>
        <w:pStyle w:val="NoSpacing"/>
      </w:pPr>
    </w:p>
    <w:p w:rsidR="00674C52" w:rsidRPr="00763DCD" w:rsidRDefault="00674C52" w:rsidP="00674C52">
      <w:pPr>
        <w:tabs>
          <w:tab w:val="left" w:pos="5160"/>
        </w:tabs>
        <w:spacing w:before="200" w:after="60" w:line="240" w:lineRule="auto"/>
        <w:rPr>
          <w:rFonts w:cs="Calibri"/>
          <w:bCs/>
          <w:sz w:val="24"/>
          <w:szCs w:val="20"/>
        </w:rPr>
        <w:sectPr w:rsidR="00674C52" w:rsidRPr="00763DCD" w:rsidSect="006F03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077" w:right="1797" w:bottom="851" w:left="1797" w:header="720" w:footer="720" w:gutter="0"/>
          <w:cols w:space="720"/>
        </w:sectPr>
      </w:pPr>
    </w:p>
    <w:p w:rsidR="00674C52" w:rsidRPr="000B0382" w:rsidRDefault="00674C52" w:rsidP="00674C52">
      <w:pPr>
        <w:tabs>
          <w:tab w:val="left" w:pos="1470"/>
        </w:tabs>
        <w:rPr>
          <w:b/>
          <w:sz w:val="24"/>
          <w:szCs w:val="24"/>
          <w:u w:val="single"/>
        </w:rPr>
      </w:pPr>
      <w:r w:rsidRPr="000B0382">
        <w:rPr>
          <w:b/>
          <w:sz w:val="24"/>
          <w:szCs w:val="24"/>
          <w:u w:val="single"/>
        </w:rPr>
        <w:lastRenderedPageBreak/>
        <w:t>Schedule 1</w:t>
      </w:r>
    </w:p>
    <w:p w:rsidR="00D66C55" w:rsidRPr="000B0382" w:rsidRDefault="0032795D" w:rsidP="00D66C55">
      <w:pPr>
        <w:tabs>
          <w:tab w:val="left" w:pos="1470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Guidelines about </w:t>
      </w:r>
      <w:r w:rsidR="00895268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etting </w:t>
      </w:r>
      <w:r w:rsidR="00895268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ccount</w:t>
      </w:r>
      <w:r w:rsidR="00713F14">
        <w:rPr>
          <w:b/>
          <w:sz w:val="24"/>
          <w:szCs w:val="24"/>
        </w:rPr>
        <w:t>s</w:t>
      </w:r>
    </w:p>
    <w:p w:rsidR="0032795D" w:rsidRPr="0032795D" w:rsidRDefault="0032795D" w:rsidP="0032795D">
      <w:pPr>
        <w:tabs>
          <w:tab w:val="left" w:pos="1470"/>
        </w:tabs>
        <w:spacing w:after="120" w:line="240" w:lineRule="auto"/>
        <w:rPr>
          <w:sz w:val="24"/>
          <w:szCs w:val="24"/>
        </w:rPr>
      </w:pPr>
      <w:r w:rsidRPr="0032795D">
        <w:rPr>
          <w:sz w:val="24"/>
          <w:szCs w:val="24"/>
        </w:rPr>
        <w:t xml:space="preserve">Schedule 1, Section 1.20G of the </w:t>
      </w:r>
      <w:r w:rsidRPr="0032795D">
        <w:rPr>
          <w:i/>
          <w:sz w:val="24"/>
          <w:szCs w:val="24"/>
        </w:rPr>
        <w:t>Gambling and Racing Control (Code of Practice) Regulation 2002</w:t>
      </w:r>
      <w:r w:rsidRPr="0032795D">
        <w:rPr>
          <w:sz w:val="24"/>
          <w:szCs w:val="24"/>
        </w:rPr>
        <w:t xml:space="preserve"> (the Regulation) provides that the Minister may make guidelines </w:t>
      </w:r>
      <w:r w:rsidR="006D3DD9">
        <w:rPr>
          <w:sz w:val="24"/>
          <w:szCs w:val="24"/>
        </w:rPr>
        <w:t xml:space="preserve">about deposit limits and closing </w:t>
      </w:r>
      <w:r w:rsidRPr="0032795D">
        <w:rPr>
          <w:sz w:val="24"/>
          <w:szCs w:val="24"/>
        </w:rPr>
        <w:t>betting accounts. These guidelines are made under Schedule 1, Section 1.20G for that purpos</w:t>
      </w:r>
      <w:r w:rsidR="00C561D9">
        <w:rPr>
          <w:sz w:val="24"/>
          <w:szCs w:val="24"/>
        </w:rPr>
        <w:t>e, and must be read in conjunction with the Regulation.</w:t>
      </w:r>
    </w:p>
    <w:p w:rsidR="0032795D" w:rsidRPr="0032795D" w:rsidRDefault="00D66C55" w:rsidP="0032795D">
      <w:pPr>
        <w:tabs>
          <w:tab w:val="left" w:pos="1470"/>
        </w:tabs>
        <w:spacing w:after="120" w:line="240" w:lineRule="auto"/>
        <w:rPr>
          <w:sz w:val="24"/>
          <w:szCs w:val="24"/>
        </w:rPr>
      </w:pPr>
      <w:r w:rsidRPr="0032795D">
        <w:rPr>
          <w:sz w:val="24"/>
          <w:szCs w:val="24"/>
        </w:rPr>
        <w:t>A totalisator</w:t>
      </w:r>
      <w:r w:rsidR="006D3DD9">
        <w:rPr>
          <w:sz w:val="24"/>
          <w:szCs w:val="24"/>
        </w:rPr>
        <w:t xml:space="preserve"> licensee</w:t>
      </w:r>
      <w:r w:rsidRPr="0032795D">
        <w:rPr>
          <w:sz w:val="24"/>
          <w:szCs w:val="24"/>
        </w:rPr>
        <w:t xml:space="preserve"> or sports bookmaking licensee must </w:t>
      </w:r>
      <w:r w:rsidR="0032795D" w:rsidRPr="0032795D">
        <w:rPr>
          <w:sz w:val="24"/>
          <w:szCs w:val="24"/>
        </w:rPr>
        <w:t>operate in accordance with the following requirements</w:t>
      </w:r>
      <w:r w:rsidR="00D45834">
        <w:rPr>
          <w:sz w:val="24"/>
          <w:szCs w:val="24"/>
        </w:rPr>
        <w:t>.</w:t>
      </w:r>
      <w:r w:rsidR="0032795D" w:rsidRPr="0032795D">
        <w:rPr>
          <w:sz w:val="24"/>
          <w:szCs w:val="24"/>
        </w:rPr>
        <w:t xml:space="preserve"> </w:t>
      </w:r>
    </w:p>
    <w:p w:rsidR="0032795D" w:rsidRPr="0032795D" w:rsidRDefault="0032795D" w:rsidP="005A1887">
      <w:pPr>
        <w:tabs>
          <w:tab w:val="left" w:pos="1470"/>
        </w:tabs>
        <w:spacing w:after="120" w:line="240" w:lineRule="auto"/>
        <w:rPr>
          <w:sz w:val="24"/>
          <w:szCs w:val="24"/>
          <w:u w:val="single"/>
        </w:rPr>
      </w:pPr>
      <w:r w:rsidRPr="0032795D">
        <w:rPr>
          <w:sz w:val="24"/>
          <w:szCs w:val="24"/>
          <w:u w:val="single"/>
        </w:rPr>
        <w:t xml:space="preserve">Deposit </w:t>
      </w:r>
      <w:r w:rsidR="00895268">
        <w:rPr>
          <w:sz w:val="24"/>
          <w:szCs w:val="24"/>
          <w:u w:val="single"/>
        </w:rPr>
        <w:t>l</w:t>
      </w:r>
      <w:r w:rsidRPr="0032795D">
        <w:rPr>
          <w:sz w:val="24"/>
          <w:szCs w:val="24"/>
          <w:u w:val="single"/>
        </w:rPr>
        <w:t>imits</w:t>
      </w:r>
    </w:p>
    <w:p w:rsidR="000F28CA" w:rsidRDefault="00F47D2C" w:rsidP="00B232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</w:t>
      </w:r>
      <w:r w:rsidR="000F50AD" w:rsidRPr="00B23200">
        <w:rPr>
          <w:sz w:val="24"/>
          <w:szCs w:val="24"/>
        </w:rPr>
        <w:t xml:space="preserve">he </w:t>
      </w:r>
      <w:r w:rsidR="006D3DD9" w:rsidRPr="00B23200">
        <w:rPr>
          <w:sz w:val="24"/>
          <w:szCs w:val="24"/>
        </w:rPr>
        <w:t xml:space="preserve">ability </w:t>
      </w:r>
      <w:r w:rsidR="000F50AD" w:rsidRPr="00B23200">
        <w:rPr>
          <w:sz w:val="24"/>
          <w:szCs w:val="24"/>
        </w:rPr>
        <w:t>to set</w:t>
      </w:r>
      <w:r w:rsidR="000F28CA" w:rsidRPr="00B23200">
        <w:rPr>
          <w:sz w:val="24"/>
          <w:szCs w:val="24"/>
        </w:rPr>
        <w:t xml:space="preserve"> and change</w:t>
      </w:r>
      <w:r w:rsidR="000F50AD" w:rsidRPr="00B23200">
        <w:rPr>
          <w:sz w:val="24"/>
          <w:szCs w:val="24"/>
        </w:rPr>
        <w:t xml:space="preserve"> a deposit limit must b</w:t>
      </w:r>
      <w:r w:rsidR="000F28CA" w:rsidRPr="00B23200">
        <w:rPr>
          <w:sz w:val="24"/>
          <w:szCs w:val="24"/>
        </w:rPr>
        <w:t>e:</w:t>
      </w:r>
    </w:p>
    <w:p w:rsidR="000F28CA" w:rsidRDefault="008F21FA" w:rsidP="00B2320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120" w:line="240" w:lineRule="auto"/>
        <w:ind w:left="1701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easily accessible; and</w:t>
      </w:r>
    </w:p>
    <w:p w:rsidR="008F21FA" w:rsidRPr="00DB0B83" w:rsidRDefault="008F21FA" w:rsidP="00B23200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120" w:line="240" w:lineRule="auto"/>
        <w:ind w:left="1701" w:hanging="567"/>
        <w:contextualSpacing w:val="0"/>
        <w:rPr>
          <w:sz w:val="24"/>
          <w:szCs w:val="24"/>
        </w:rPr>
      </w:pPr>
      <w:r w:rsidRPr="00D1585A">
        <w:rPr>
          <w:sz w:val="24"/>
          <w:szCs w:val="24"/>
        </w:rPr>
        <w:t>promoted beyond initial account sign-up</w:t>
      </w:r>
      <w:r w:rsidR="00F47D2C">
        <w:rPr>
          <w:sz w:val="24"/>
          <w:szCs w:val="24"/>
        </w:rPr>
        <w:t>.</w:t>
      </w:r>
    </w:p>
    <w:p w:rsidR="00F47D2C" w:rsidRDefault="000B4AD1" w:rsidP="00B232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On or before</w:t>
      </w:r>
      <w:r w:rsidR="00F47D2C">
        <w:rPr>
          <w:sz w:val="24"/>
          <w:szCs w:val="24"/>
        </w:rPr>
        <w:t xml:space="preserve"> the time of a customer’s next bet following each anniversary of the customer’s first bet, t</w:t>
      </w:r>
      <w:r w:rsidR="008F21FA">
        <w:rPr>
          <w:sz w:val="24"/>
          <w:szCs w:val="24"/>
        </w:rPr>
        <w:t xml:space="preserve">he </w:t>
      </w:r>
      <w:r w:rsidR="005A0600">
        <w:rPr>
          <w:sz w:val="24"/>
          <w:szCs w:val="24"/>
        </w:rPr>
        <w:t xml:space="preserve">licensee </w:t>
      </w:r>
      <w:r w:rsidR="00345ECD">
        <w:rPr>
          <w:sz w:val="24"/>
          <w:szCs w:val="24"/>
        </w:rPr>
        <w:t>must tell a person</w:t>
      </w:r>
      <w:r w:rsidR="00DC4581">
        <w:rPr>
          <w:sz w:val="24"/>
          <w:szCs w:val="24"/>
        </w:rPr>
        <w:t xml:space="preserve"> </w:t>
      </w:r>
      <w:r w:rsidR="00345ECD">
        <w:rPr>
          <w:sz w:val="24"/>
          <w:szCs w:val="24"/>
        </w:rPr>
        <w:t xml:space="preserve">that the person can set or </w:t>
      </w:r>
      <w:r w:rsidR="008F21FA">
        <w:rPr>
          <w:sz w:val="24"/>
          <w:szCs w:val="24"/>
        </w:rPr>
        <w:t>change</w:t>
      </w:r>
      <w:r w:rsidR="00345ECD">
        <w:rPr>
          <w:sz w:val="24"/>
          <w:szCs w:val="24"/>
        </w:rPr>
        <w:t xml:space="preserve"> their deposit limit</w:t>
      </w:r>
      <w:r w:rsidR="00F47D2C">
        <w:rPr>
          <w:sz w:val="24"/>
          <w:szCs w:val="24"/>
        </w:rPr>
        <w:t xml:space="preserve"> </w:t>
      </w:r>
      <w:r w:rsidR="005A0600" w:rsidRPr="00B23200">
        <w:rPr>
          <w:sz w:val="24"/>
          <w:szCs w:val="24"/>
        </w:rPr>
        <w:t>through</w:t>
      </w:r>
      <w:r w:rsidR="00F45CCF" w:rsidRPr="00B23200">
        <w:rPr>
          <w:sz w:val="24"/>
          <w:szCs w:val="24"/>
        </w:rPr>
        <w:t xml:space="preserve"> the same communication channel used by the person for placing their bet</w:t>
      </w:r>
      <w:r w:rsidR="00F47D2C">
        <w:rPr>
          <w:sz w:val="24"/>
          <w:szCs w:val="24"/>
        </w:rPr>
        <w:t>.</w:t>
      </w:r>
    </w:p>
    <w:p w:rsidR="00345ECD" w:rsidRPr="00F13E89" w:rsidRDefault="00F47D2C" w:rsidP="00B232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sz w:val="24"/>
          <w:szCs w:val="24"/>
        </w:rPr>
      </w:pPr>
      <w:r w:rsidRPr="00DB0B83">
        <w:rPr>
          <w:sz w:val="24"/>
          <w:szCs w:val="24"/>
        </w:rPr>
        <w:t>When</w:t>
      </w:r>
      <w:r>
        <w:rPr>
          <w:sz w:val="24"/>
          <w:szCs w:val="24"/>
        </w:rPr>
        <w:t xml:space="preserve"> </w:t>
      </w:r>
      <w:r w:rsidR="008F21FA" w:rsidRPr="00DB0B83">
        <w:rPr>
          <w:sz w:val="24"/>
          <w:szCs w:val="24"/>
        </w:rPr>
        <w:t>asking whether a person want</w:t>
      </w:r>
      <w:r>
        <w:rPr>
          <w:sz w:val="24"/>
          <w:szCs w:val="24"/>
        </w:rPr>
        <w:t>s</w:t>
      </w:r>
      <w:r w:rsidR="008F21FA" w:rsidRPr="00DB0B83">
        <w:rPr>
          <w:sz w:val="24"/>
          <w:szCs w:val="24"/>
        </w:rPr>
        <w:t xml:space="preserve"> to change the deposit limit, </w:t>
      </w:r>
      <w:r>
        <w:rPr>
          <w:sz w:val="24"/>
          <w:szCs w:val="24"/>
        </w:rPr>
        <w:t>the</w:t>
      </w:r>
      <w:r w:rsidR="008F21FA" w:rsidRPr="00DB0B83">
        <w:rPr>
          <w:sz w:val="24"/>
          <w:szCs w:val="24"/>
        </w:rPr>
        <w:t xml:space="preserve"> licensee must ensure that the person is </w:t>
      </w:r>
      <w:r w:rsidR="001B3B1C">
        <w:rPr>
          <w:sz w:val="24"/>
          <w:szCs w:val="24"/>
        </w:rPr>
        <w:t>not prompted to increase the deposit limit.</w:t>
      </w:r>
    </w:p>
    <w:p w:rsidR="000B4AD1" w:rsidRDefault="00F47D2C" w:rsidP="000B4A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</w:t>
      </w:r>
      <w:r w:rsidR="001B3B1C">
        <w:rPr>
          <w:sz w:val="24"/>
          <w:szCs w:val="24"/>
        </w:rPr>
        <w:t xml:space="preserve"> licensee must ensure that the process</w:t>
      </w:r>
      <w:r>
        <w:rPr>
          <w:sz w:val="24"/>
          <w:szCs w:val="24"/>
        </w:rPr>
        <w:t xml:space="preserve"> for setting or chang</w:t>
      </w:r>
      <w:r w:rsidR="00BC7EC2">
        <w:rPr>
          <w:sz w:val="24"/>
          <w:szCs w:val="24"/>
        </w:rPr>
        <w:t>ing</w:t>
      </w:r>
      <w:r>
        <w:rPr>
          <w:sz w:val="24"/>
          <w:szCs w:val="24"/>
        </w:rPr>
        <w:t xml:space="preserve"> a </w:t>
      </w:r>
      <w:r w:rsidR="00295F79">
        <w:rPr>
          <w:sz w:val="24"/>
          <w:szCs w:val="24"/>
        </w:rPr>
        <w:t xml:space="preserve">deposit </w:t>
      </w:r>
      <w:r>
        <w:rPr>
          <w:sz w:val="24"/>
          <w:szCs w:val="24"/>
        </w:rPr>
        <w:t>limit</w:t>
      </w:r>
      <w:r w:rsidR="001B3B1C">
        <w:rPr>
          <w:sz w:val="24"/>
          <w:szCs w:val="24"/>
        </w:rPr>
        <w:t xml:space="preserve"> allows </w:t>
      </w:r>
      <w:r w:rsidR="00D45834">
        <w:rPr>
          <w:sz w:val="24"/>
          <w:szCs w:val="24"/>
        </w:rPr>
        <w:t>a</w:t>
      </w:r>
      <w:r w:rsidR="001B3B1C">
        <w:rPr>
          <w:sz w:val="24"/>
          <w:szCs w:val="24"/>
        </w:rPr>
        <w:t xml:space="preserve"> person to set or change the</w:t>
      </w:r>
      <w:r w:rsidR="00D45834">
        <w:rPr>
          <w:sz w:val="24"/>
          <w:szCs w:val="24"/>
        </w:rPr>
        <w:t xml:space="preserve"> </w:t>
      </w:r>
      <w:r w:rsidR="001B3B1C">
        <w:rPr>
          <w:sz w:val="24"/>
          <w:szCs w:val="24"/>
        </w:rPr>
        <w:t xml:space="preserve">limit through </w:t>
      </w:r>
      <w:r w:rsidR="00D45834">
        <w:rPr>
          <w:sz w:val="24"/>
          <w:szCs w:val="24"/>
        </w:rPr>
        <w:t>any</w:t>
      </w:r>
      <w:r w:rsidR="00345ECD">
        <w:rPr>
          <w:sz w:val="24"/>
          <w:szCs w:val="24"/>
        </w:rPr>
        <w:t xml:space="preserve"> communication channel </w:t>
      </w:r>
      <w:r w:rsidR="00295F79">
        <w:rPr>
          <w:sz w:val="24"/>
          <w:szCs w:val="24"/>
        </w:rPr>
        <w:t xml:space="preserve">the person can use to place a bet </w:t>
      </w:r>
      <w:r w:rsidR="000B4AD1">
        <w:rPr>
          <w:sz w:val="24"/>
          <w:szCs w:val="24"/>
        </w:rPr>
        <w:t xml:space="preserve">(other than a licensee’s betting terminal physically located at a sports bookmaking venue approved under section 21 of the </w:t>
      </w:r>
      <w:r w:rsidR="000B4AD1" w:rsidRPr="000B4AD1">
        <w:rPr>
          <w:i/>
          <w:sz w:val="24"/>
          <w:szCs w:val="24"/>
        </w:rPr>
        <w:t>Race and Sports Bookmaking Act 2001</w:t>
      </w:r>
      <w:r w:rsidR="000B4AD1">
        <w:rPr>
          <w:sz w:val="24"/>
          <w:szCs w:val="24"/>
        </w:rPr>
        <w:t>)</w:t>
      </w:r>
      <w:r w:rsidR="00D45834">
        <w:rPr>
          <w:sz w:val="24"/>
          <w:szCs w:val="24"/>
        </w:rPr>
        <w:t>, in addition to being able to set or change the limit in writing.</w:t>
      </w:r>
    </w:p>
    <w:p w:rsidR="000B4AD1" w:rsidRPr="00B23200" w:rsidRDefault="000B4AD1" w:rsidP="000B4A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licensee’s website and promotional material must include information that educates and increases</w:t>
      </w:r>
      <w:r w:rsidRPr="00877B80">
        <w:rPr>
          <w:sz w:val="24"/>
          <w:szCs w:val="24"/>
        </w:rPr>
        <w:t xml:space="preserve"> awareness of the</w:t>
      </w:r>
      <w:r>
        <w:rPr>
          <w:sz w:val="24"/>
          <w:szCs w:val="24"/>
        </w:rPr>
        <w:t xml:space="preserve"> ability to set or change</w:t>
      </w:r>
      <w:r w:rsidRPr="00877B80">
        <w:rPr>
          <w:sz w:val="24"/>
          <w:szCs w:val="24"/>
        </w:rPr>
        <w:t xml:space="preserve"> </w:t>
      </w:r>
      <w:r>
        <w:rPr>
          <w:sz w:val="24"/>
          <w:szCs w:val="24"/>
        </w:rPr>
        <w:t>deposit limits</w:t>
      </w:r>
      <w:r w:rsidRPr="00877B80">
        <w:rPr>
          <w:sz w:val="24"/>
          <w:szCs w:val="24"/>
        </w:rPr>
        <w:t xml:space="preserve">. </w:t>
      </w:r>
      <w:r>
        <w:rPr>
          <w:sz w:val="24"/>
          <w:szCs w:val="24"/>
        </w:rPr>
        <w:t>From 26 November 2019, a</w:t>
      </w:r>
      <w:r w:rsidRPr="00877B80">
        <w:rPr>
          <w:sz w:val="24"/>
          <w:szCs w:val="24"/>
        </w:rPr>
        <w:t>t a minimum</w:t>
      </w:r>
      <w:r>
        <w:rPr>
          <w:sz w:val="24"/>
          <w:szCs w:val="24"/>
        </w:rPr>
        <w:t>,</w:t>
      </w:r>
      <w:r w:rsidRPr="00877B80">
        <w:rPr>
          <w:sz w:val="24"/>
          <w:szCs w:val="24"/>
        </w:rPr>
        <w:t xml:space="preserve"> </w:t>
      </w:r>
      <w:r>
        <w:rPr>
          <w:sz w:val="24"/>
          <w:szCs w:val="24"/>
        </w:rPr>
        <w:t>information on</w:t>
      </w:r>
      <w:r w:rsidRPr="00877B80">
        <w:rPr>
          <w:sz w:val="24"/>
          <w:szCs w:val="24"/>
        </w:rPr>
        <w:t xml:space="preserve"> deposit limits must be included:</w:t>
      </w:r>
    </w:p>
    <w:p w:rsidR="000B4AD1" w:rsidRPr="00B23200" w:rsidRDefault="000B4AD1" w:rsidP="000B4AD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701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i</w:t>
      </w:r>
      <w:r w:rsidRPr="00877B80">
        <w:rPr>
          <w:sz w:val="24"/>
          <w:szCs w:val="24"/>
        </w:rPr>
        <w:t>n any brochures, pamphlets or marketing information (</w:t>
      </w:r>
      <w:r w:rsidRPr="00DB0B83">
        <w:rPr>
          <w:sz w:val="24"/>
          <w:szCs w:val="24"/>
        </w:rPr>
        <w:t xml:space="preserve">other than </w:t>
      </w:r>
      <w:r w:rsidRPr="00F47D2C">
        <w:rPr>
          <w:sz w:val="24"/>
          <w:szCs w:val="24"/>
        </w:rPr>
        <w:t>advertising</w:t>
      </w:r>
      <w:r w:rsidRPr="00877B80">
        <w:rPr>
          <w:sz w:val="24"/>
          <w:szCs w:val="24"/>
        </w:rPr>
        <w:t xml:space="preserve">) that provides information on how a </w:t>
      </w:r>
      <w:r>
        <w:rPr>
          <w:sz w:val="24"/>
          <w:szCs w:val="24"/>
        </w:rPr>
        <w:t>betting</w:t>
      </w:r>
      <w:r w:rsidRPr="00877B80">
        <w:rPr>
          <w:sz w:val="24"/>
          <w:szCs w:val="24"/>
        </w:rPr>
        <w:t xml:space="preserve"> account may be established;</w:t>
      </w:r>
    </w:p>
    <w:p w:rsidR="000B4AD1" w:rsidRPr="00B23200" w:rsidRDefault="000B4AD1" w:rsidP="000B4AD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701" w:hanging="567"/>
        <w:contextualSpacing w:val="0"/>
        <w:rPr>
          <w:sz w:val="24"/>
          <w:szCs w:val="24"/>
        </w:rPr>
      </w:pPr>
      <w:r w:rsidRPr="00877B80">
        <w:rPr>
          <w:sz w:val="24"/>
          <w:szCs w:val="24"/>
        </w:rPr>
        <w:t xml:space="preserve">as part of the welcome pack (however described) provided to </w:t>
      </w:r>
      <w:r>
        <w:rPr>
          <w:sz w:val="24"/>
          <w:szCs w:val="24"/>
        </w:rPr>
        <w:t>a person on</w:t>
      </w:r>
      <w:r w:rsidRPr="00877B80">
        <w:rPr>
          <w:sz w:val="24"/>
          <w:szCs w:val="24"/>
        </w:rPr>
        <w:t xml:space="preserve"> account establishment;</w:t>
      </w:r>
    </w:p>
    <w:p w:rsidR="000B4AD1" w:rsidRPr="00B23200" w:rsidRDefault="000B4AD1" w:rsidP="000B4AD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701" w:hanging="567"/>
        <w:contextualSpacing w:val="0"/>
        <w:rPr>
          <w:sz w:val="24"/>
          <w:szCs w:val="24"/>
        </w:rPr>
      </w:pPr>
      <w:r w:rsidRPr="00877B80">
        <w:rPr>
          <w:sz w:val="24"/>
          <w:szCs w:val="24"/>
        </w:rPr>
        <w:t xml:space="preserve">on the </w:t>
      </w:r>
      <w:r>
        <w:rPr>
          <w:sz w:val="24"/>
          <w:szCs w:val="24"/>
        </w:rPr>
        <w:t>licensee’s</w:t>
      </w:r>
      <w:r w:rsidRPr="00877B80">
        <w:rPr>
          <w:sz w:val="24"/>
          <w:szCs w:val="24"/>
        </w:rPr>
        <w:t xml:space="preserve"> website—both on the homepage and on any point of sale page; and</w:t>
      </w:r>
    </w:p>
    <w:p w:rsidR="00345ECD" w:rsidRPr="000B4AD1" w:rsidRDefault="000B4AD1" w:rsidP="000B4AD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701" w:hanging="567"/>
        <w:contextualSpacing w:val="0"/>
        <w:rPr>
          <w:sz w:val="24"/>
          <w:szCs w:val="24"/>
        </w:rPr>
      </w:pPr>
      <w:r w:rsidRPr="00877B80">
        <w:rPr>
          <w:sz w:val="24"/>
          <w:szCs w:val="24"/>
        </w:rPr>
        <w:t>on account balances (when provided in writing) and activity statements (where provided).</w:t>
      </w:r>
    </w:p>
    <w:p w:rsidR="002D66E4" w:rsidRPr="00622C16" w:rsidRDefault="0032795D" w:rsidP="00B23200">
      <w:pPr>
        <w:keepNext/>
        <w:tabs>
          <w:tab w:val="left" w:pos="1470"/>
        </w:tabs>
        <w:spacing w:after="120" w:line="240" w:lineRule="auto"/>
        <w:rPr>
          <w:sz w:val="24"/>
          <w:szCs w:val="24"/>
          <w:u w:val="single"/>
        </w:rPr>
      </w:pPr>
      <w:r w:rsidRPr="00622C16">
        <w:rPr>
          <w:sz w:val="24"/>
          <w:szCs w:val="24"/>
          <w:u w:val="single"/>
        </w:rPr>
        <w:t>Clos</w:t>
      </w:r>
      <w:r w:rsidR="006D3DD9">
        <w:rPr>
          <w:sz w:val="24"/>
          <w:szCs w:val="24"/>
          <w:u w:val="single"/>
        </w:rPr>
        <w:t xml:space="preserve">ing </w:t>
      </w:r>
      <w:r w:rsidR="00895268">
        <w:rPr>
          <w:sz w:val="24"/>
          <w:szCs w:val="24"/>
          <w:u w:val="single"/>
        </w:rPr>
        <w:t>be</w:t>
      </w:r>
      <w:r w:rsidR="006D3DD9">
        <w:rPr>
          <w:sz w:val="24"/>
          <w:szCs w:val="24"/>
          <w:u w:val="single"/>
        </w:rPr>
        <w:t xml:space="preserve">tting </w:t>
      </w:r>
      <w:r w:rsidR="00895268">
        <w:rPr>
          <w:sz w:val="24"/>
          <w:szCs w:val="24"/>
          <w:u w:val="single"/>
        </w:rPr>
        <w:t>a</w:t>
      </w:r>
      <w:r w:rsidR="006D3DD9">
        <w:rPr>
          <w:sz w:val="24"/>
          <w:szCs w:val="24"/>
          <w:u w:val="single"/>
        </w:rPr>
        <w:t>ccounts</w:t>
      </w:r>
    </w:p>
    <w:p w:rsidR="00476E4C" w:rsidRDefault="00F47D2C" w:rsidP="008B3520">
      <w:pPr>
        <w:pStyle w:val="ListParagraph"/>
        <w:numPr>
          <w:ilvl w:val="0"/>
          <w:numId w:val="18"/>
        </w:numPr>
        <w:tabs>
          <w:tab w:val="left" w:pos="1470"/>
        </w:tabs>
        <w:autoSpaceDE w:val="0"/>
        <w:autoSpaceDN w:val="0"/>
        <w:adjustRightInd w:val="0"/>
        <w:spacing w:after="160" w:line="259" w:lineRule="auto"/>
        <w:contextualSpacing w:val="0"/>
      </w:pPr>
      <w:r w:rsidRPr="00D326BE">
        <w:rPr>
          <w:sz w:val="24"/>
          <w:szCs w:val="24"/>
        </w:rPr>
        <w:t>Th</w:t>
      </w:r>
      <w:r w:rsidR="0032795D" w:rsidRPr="00D326BE">
        <w:rPr>
          <w:sz w:val="24"/>
          <w:szCs w:val="24"/>
        </w:rPr>
        <w:t xml:space="preserve">e process </w:t>
      </w:r>
      <w:r w:rsidR="00D45834" w:rsidRPr="00D326BE">
        <w:rPr>
          <w:sz w:val="24"/>
          <w:szCs w:val="24"/>
        </w:rPr>
        <w:t>for a person to close their betting account must be prominently and clearly communicated</w:t>
      </w:r>
      <w:r w:rsidR="0032795D" w:rsidRPr="00D326BE">
        <w:rPr>
          <w:sz w:val="24"/>
          <w:szCs w:val="24"/>
        </w:rPr>
        <w:t xml:space="preserve"> within each </w:t>
      </w:r>
      <w:r w:rsidR="00622C16" w:rsidRPr="00D326BE">
        <w:rPr>
          <w:sz w:val="24"/>
          <w:szCs w:val="24"/>
        </w:rPr>
        <w:t>person</w:t>
      </w:r>
      <w:r w:rsidR="0032795D" w:rsidRPr="00D326BE">
        <w:rPr>
          <w:sz w:val="24"/>
          <w:szCs w:val="24"/>
        </w:rPr>
        <w:t xml:space="preserve">’s ‘My Account’ </w:t>
      </w:r>
      <w:r w:rsidR="00D45834" w:rsidRPr="00D326BE">
        <w:rPr>
          <w:sz w:val="24"/>
          <w:szCs w:val="24"/>
        </w:rPr>
        <w:t>window (or equivalent account management or account information display)</w:t>
      </w:r>
      <w:r w:rsidR="0032795D" w:rsidRPr="00D326BE">
        <w:rPr>
          <w:sz w:val="24"/>
          <w:szCs w:val="24"/>
        </w:rPr>
        <w:t>.</w:t>
      </w:r>
    </w:p>
    <w:sectPr w:rsidR="00476E4C" w:rsidSect="00D326BE">
      <w:footerReference w:type="defaul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F78" w:rsidRDefault="00523F78">
      <w:pPr>
        <w:spacing w:after="0" w:line="240" w:lineRule="auto"/>
      </w:pPr>
      <w:r>
        <w:separator/>
      </w:r>
    </w:p>
  </w:endnote>
  <w:endnote w:type="continuationSeparator" w:id="0">
    <w:p w:rsidR="00523F78" w:rsidRDefault="0052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518" w:rsidRDefault="000B1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D86" w:rsidRPr="0054054C" w:rsidRDefault="0054054C" w:rsidP="0054054C">
    <w:pPr>
      <w:pStyle w:val="Footer"/>
      <w:jc w:val="center"/>
      <w:rPr>
        <w:rFonts w:ascii="Arial" w:hAnsi="Arial" w:cs="Arial"/>
        <w:b w:val="0"/>
        <w:color w:val="auto"/>
        <w:sz w:val="14"/>
      </w:rPr>
    </w:pPr>
    <w:r w:rsidRPr="0054054C">
      <w:rPr>
        <w:rFonts w:ascii="Arial" w:hAnsi="Arial" w:cs="Arial"/>
        <w:b w:val="0"/>
        <w:color w:val="auto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518" w:rsidRDefault="000B151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E4C" w:rsidRPr="0054054C" w:rsidRDefault="0054054C" w:rsidP="0054054C">
    <w:pPr>
      <w:pStyle w:val="Footer"/>
      <w:jc w:val="center"/>
      <w:rPr>
        <w:rFonts w:ascii="Arial" w:hAnsi="Arial" w:cs="Arial"/>
        <w:b w:val="0"/>
        <w:color w:val="auto"/>
        <w:sz w:val="14"/>
      </w:rPr>
    </w:pPr>
    <w:r w:rsidRPr="0054054C">
      <w:rPr>
        <w:rFonts w:ascii="Arial" w:hAnsi="Arial" w:cs="Arial"/>
        <w:b w:val="0"/>
        <w:color w:val="auto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F78" w:rsidRDefault="00523F78">
      <w:pPr>
        <w:spacing w:after="0" w:line="240" w:lineRule="auto"/>
      </w:pPr>
      <w:r>
        <w:separator/>
      </w:r>
    </w:p>
  </w:footnote>
  <w:footnote w:type="continuationSeparator" w:id="0">
    <w:p w:rsidR="00523F78" w:rsidRDefault="00523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518" w:rsidRDefault="000B1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518" w:rsidRDefault="000B15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518" w:rsidRDefault="000B1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7509"/>
    <w:multiLevelType w:val="hybridMultilevel"/>
    <w:tmpl w:val="28BAD4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3712"/>
    <w:multiLevelType w:val="hybridMultilevel"/>
    <w:tmpl w:val="D6CA99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574C1"/>
    <w:multiLevelType w:val="hybridMultilevel"/>
    <w:tmpl w:val="28BAD4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3C5D"/>
    <w:multiLevelType w:val="hybridMultilevel"/>
    <w:tmpl w:val="7B3AF13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0AB4"/>
    <w:multiLevelType w:val="hybridMultilevel"/>
    <w:tmpl w:val="BB66C7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D3F1D"/>
    <w:multiLevelType w:val="hybridMultilevel"/>
    <w:tmpl w:val="3F4E0C66"/>
    <w:lvl w:ilvl="0" w:tplc="66BCC4B8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color w:val="auto"/>
        <w:sz w:val="24"/>
      </w:rPr>
    </w:lvl>
    <w:lvl w:ilvl="1" w:tplc="0C09001B">
      <w:start w:val="1"/>
      <w:numFmt w:val="lowerRoman"/>
      <w:lvlText w:val="%2."/>
      <w:lvlJc w:val="right"/>
      <w:pPr>
        <w:ind w:left="2280" w:hanging="360"/>
      </w:pPr>
    </w:lvl>
    <w:lvl w:ilvl="2" w:tplc="0C09001B" w:tentative="1">
      <w:start w:val="1"/>
      <w:numFmt w:val="lowerRoman"/>
      <w:lvlText w:val="%3."/>
      <w:lvlJc w:val="right"/>
      <w:pPr>
        <w:ind w:left="3000" w:hanging="180"/>
      </w:pPr>
    </w:lvl>
    <w:lvl w:ilvl="3" w:tplc="0C09000F" w:tentative="1">
      <w:start w:val="1"/>
      <w:numFmt w:val="decimal"/>
      <w:lvlText w:val="%4."/>
      <w:lvlJc w:val="left"/>
      <w:pPr>
        <w:ind w:left="3720" w:hanging="360"/>
      </w:pPr>
    </w:lvl>
    <w:lvl w:ilvl="4" w:tplc="0C090019" w:tentative="1">
      <w:start w:val="1"/>
      <w:numFmt w:val="lowerLetter"/>
      <w:lvlText w:val="%5."/>
      <w:lvlJc w:val="left"/>
      <w:pPr>
        <w:ind w:left="4440" w:hanging="360"/>
      </w:pPr>
    </w:lvl>
    <w:lvl w:ilvl="5" w:tplc="0C09001B" w:tentative="1">
      <w:start w:val="1"/>
      <w:numFmt w:val="lowerRoman"/>
      <w:lvlText w:val="%6."/>
      <w:lvlJc w:val="right"/>
      <w:pPr>
        <w:ind w:left="5160" w:hanging="180"/>
      </w:pPr>
    </w:lvl>
    <w:lvl w:ilvl="6" w:tplc="0C09000F" w:tentative="1">
      <w:start w:val="1"/>
      <w:numFmt w:val="decimal"/>
      <w:lvlText w:val="%7."/>
      <w:lvlJc w:val="left"/>
      <w:pPr>
        <w:ind w:left="5880" w:hanging="360"/>
      </w:pPr>
    </w:lvl>
    <w:lvl w:ilvl="7" w:tplc="0C090019" w:tentative="1">
      <w:start w:val="1"/>
      <w:numFmt w:val="lowerLetter"/>
      <w:lvlText w:val="%8."/>
      <w:lvlJc w:val="left"/>
      <w:pPr>
        <w:ind w:left="6600" w:hanging="360"/>
      </w:pPr>
    </w:lvl>
    <w:lvl w:ilvl="8" w:tplc="0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2D387E9C"/>
    <w:multiLevelType w:val="hybridMultilevel"/>
    <w:tmpl w:val="DFC401B4"/>
    <w:lvl w:ilvl="0" w:tplc="66BCC4B8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color w:val="auto"/>
        <w:sz w:val="24"/>
      </w:rPr>
    </w:lvl>
    <w:lvl w:ilvl="1" w:tplc="B97ED0E4">
      <w:start w:val="1"/>
      <w:numFmt w:val="lowerLetter"/>
      <w:lvlText w:val="(%2)"/>
      <w:lvlJc w:val="left"/>
      <w:pPr>
        <w:ind w:left="22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00" w:hanging="180"/>
      </w:pPr>
    </w:lvl>
    <w:lvl w:ilvl="3" w:tplc="0C09000F" w:tentative="1">
      <w:start w:val="1"/>
      <w:numFmt w:val="decimal"/>
      <w:lvlText w:val="%4."/>
      <w:lvlJc w:val="left"/>
      <w:pPr>
        <w:ind w:left="3720" w:hanging="360"/>
      </w:pPr>
    </w:lvl>
    <w:lvl w:ilvl="4" w:tplc="0C090019" w:tentative="1">
      <w:start w:val="1"/>
      <w:numFmt w:val="lowerLetter"/>
      <w:lvlText w:val="%5."/>
      <w:lvlJc w:val="left"/>
      <w:pPr>
        <w:ind w:left="4440" w:hanging="360"/>
      </w:pPr>
    </w:lvl>
    <w:lvl w:ilvl="5" w:tplc="0C09001B" w:tentative="1">
      <w:start w:val="1"/>
      <w:numFmt w:val="lowerRoman"/>
      <w:lvlText w:val="%6."/>
      <w:lvlJc w:val="right"/>
      <w:pPr>
        <w:ind w:left="5160" w:hanging="180"/>
      </w:pPr>
    </w:lvl>
    <w:lvl w:ilvl="6" w:tplc="0C09000F" w:tentative="1">
      <w:start w:val="1"/>
      <w:numFmt w:val="decimal"/>
      <w:lvlText w:val="%7."/>
      <w:lvlJc w:val="left"/>
      <w:pPr>
        <w:ind w:left="5880" w:hanging="360"/>
      </w:pPr>
    </w:lvl>
    <w:lvl w:ilvl="7" w:tplc="0C090019" w:tentative="1">
      <w:start w:val="1"/>
      <w:numFmt w:val="lowerLetter"/>
      <w:lvlText w:val="%8."/>
      <w:lvlJc w:val="left"/>
      <w:pPr>
        <w:ind w:left="6600" w:hanging="360"/>
      </w:pPr>
    </w:lvl>
    <w:lvl w:ilvl="8" w:tplc="0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31193E61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5F5292"/>
    <w:multiLevelType w:val="hybridMultilevel"/>
    <w:tmpl w:val="F4B68EA2"/>
    <w:lvl w:ilvl="0" w:tplc="B97ED0E4">
      <w:start w:val="1"/>
      <w:numFmt w:val="lowerLetter"/>
      <w:lvlText w:val="(%1)"/>
      <w:lvlJc w:val="left"/>
      <w:pPr>
        <w:ind w:left="22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4CF6461A"/>
    <w:multiLevelType w:val="hybridMultilevel"/>
    <w:tmpl w:val="3F4E0C66"/>
    <w:lvl w:ilvl="0" w:tplc="66BCC4B8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color w:val="auto"/>
        <w:sz w:val="24"/>
      </w:rPr>
    </w:lvl>
    <w:lvl w:ilvl="1" w:tplc="0C09001B">
      <w:start w:val="1"/>
      <w:numFmt w:val="lowerRoman"/>
      <w:lvlText w:val="%2."/>
      <w:lvlJc w:val="right"/>
      <w:pPr>
        <w:ind w:left="2280" w:hanging="360"/>
      </w:pPr>
    </w:lvl>
    <w:lvl w:ilvl="2" w:tplc="0C09001B" w:tentative="1">
      <w:start w:val="1"/>
      <w:numFmt w:val="lowerRoman"/>
      <w:lvlText w:val="%3."/>
      <w:lvlJc w:val="right"/>
      <w:pPr>
        <w:ind w:left="3000" w:hanging="180"/>
      </w:pPr>
    </w:lvl>
    <w:lvl w:ilvl="3" w:tplc="0C09000F" w:tentative="1">
      <w:start w:val="1"/>
      <w:numFmt w:val="decimal"/>
      <w:lvlText w:val="%4."/>
      <w:lvlJc w:val="left"/>
      <w:pPr>
        <w:ind w:left="3720" w:hanging="360"/>
      </w:pPr>
    </w:lvl>
    <w:lvl w:ilvl="4" w:tplc="0C090019" w:tentative="1">
      <w:start w:val="1"/>
      <w:numFmt w:val="lowerLetter"/>
      <w:lvlText w:val="%5."/>
      <w:lvlJc w:val="left"/>
      <w:pPr>
        <w:ind w:left="4440" w:hanging="360"/>
      </w:pPr>
    </w:lvl>
    <w:lvl w:ilvl="5" w:tplc="0C09001B" w:tentative="1">
      <w:start w:val="1"/>
      <w:numFmt w:val="lowerRoman"/>
      <w:lvlText w:val="%6."/>
      <w:lvlJc w:val="right"/>
      <w:pPr>
        <w:ind w:left="5160" w:hanging="180"/>
      </w:pPr>
    </w:lvl>
    <w:lvl w:ilvl="6" w:tplc="0C09000F" w:tentative="1">
      <w:start w:val="1"/>
      <w:numFmt w:val="decimal"/>
      <w:lvlText w:val="%7."/>
      <w:lvlJc w:val="left"/>
      <w:pPr>
        <w:ind w:left="5880" w:hanging="360"/>
      </w:pPr>
    </w:lvl>
    <w:lvl w:ilvl="7" w:tplc="0C090019" w:tentative="1">
      <w:start w:val="1"/>
      <w:numFmt w:val="lowerLetter"/>
      <w:lvlText w:val="%8."/>
      <w:lvlJc w:val="left"/>
      <w:pPr>
        <w:ind w:left="6600" w:hanging="360"/>
      </w:pPr>
    </w:lvl>
    <w:lvl w:ilvl="8" w:tplc="0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523624E9"/>
    <w:multiLevelType w:val="hybridMultilevel"/>
    <w:tmpl w:val="69124A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47B0E"/>
    <w:multiLevelType w:val="hybridMultilevel"/>
    <w:tmpl w:val="C4FEF0D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84277"/>
    <w:multiLevelType w:val="hybridMultilevel"/>
    <w:tmpl w:val="28BAD4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DC2333"/>
    <w:multiLevelType w:val="hybridMultilevel"/>
    <w:tmpl w:val="6B6CACEE"/>
    <w:lvl w:ilvl="0" w:tplc="B97ED0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8B75B5"/>
    <w:multiLevelType w:val="hybridMultilevel"/>
    <w:tmpl w:val="E3C0E6DA"/>
    <w:lvl w:ilvl="0" w:tplc="21F4C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D229C"/>
    <w:multiLevelType w:val="multilevel"/>
    <w:tmpl w:val="0C09001D"/>
    <w:lvl w:ilvl="0">
      <w:start w:val="1"/>
      <w:numFmt w:val="decimal"/>
      <w:lvlText w:val="%1)"/>
      <w:lvlJc w:val="left"/>
      <w:pPr>
        <w:ind w:left="-32" w:hanging="360"/>
      </w:pPr>
      <w:rPr>
        <w:rFonts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328" w:hanging="360"/>
      </w:pPr>
    </w:lvl>
    <w:lvl w:ilvl="2">
      <w:start w:val="1"/>
      <w:numFmt w:val="lowerRoman"/>
      <w:lvlText w:val="%3)"/>
      <w:lvlJc w:val="left"/>
      <w:pPr>
        <w:ind w:left="688" w:hanging="360"/>
      </w:pPr>
    </w:lvl>
    <w:lvl w:ilvl="3">
      <w:start w:val="1"/>
      <w:numFmt w:val="decimal"/>
      <w:lvlText w:val="(%4)"/>
      <w:lvlJc w:val="left"/>
      <w:pPr>
        <w:ind w:left="1048" w:hanging="360"/>
      </w:pPr>
    </w:lvl>
    <w:lvl w:ilvl="4">
      <w:start w:val="1"/>
      <w:numFmt w:val="lowerLetter"/>
      <w:lvlText w:val="(%5)"/>
      <w:lvlJc w:val="left"/>
      <w:pPr>
        <w:ind w:left="1408" w:hanging="360"/>
      </w:pPr>
    </w:lvl>
    <w:lvl w:ilvl="5">
      <w:start w:val="1"/>
      <w:numFmt w:val="lowerRoman"/>
      <w:lvlText w:val="(%6)"/>
      <w:lvlJc w:val="left"/>
      <w:pPr>
        <w:ind w:left="1768" w:hanging="360"/>
      </w:pPr>
    </w:lvl>
    <w:lvl w:ilvl="6">
      <w:start w:val="1"/>
      <w:numFmt w:val="decimal"/>
      <w:lvlText w:val="%7."/>
      <w:lvlJc w:val="left"/>
      <w:pPr>
        <w:ind w:left="2128" w:hanging="360"/>
      </w:pPr>
    </w:lvl>
    <w:lvl w:ilvl="7">
      <w:start w:val="1"/>
      <w:numFmt w:val="lowerLetter"/>
      <w:lvlText w:val="%8."/>
      <w:lvlJc w:val="left"/>
      <w:pPr>
        <w:ind w:left="2488" w:hanging="360"/>
      </w:pPr>
    </w:lvl>
    <w:lvl w:ilvl="8">
      <w:start w:val="1"/>
      <w:numFmt w:val="lowerRoman"/>
      <w:lvlText w:val="%9."/>
      <w:lvlJc w:val="left"/>
      <w:pPr>
        <w:ind w:left="2848" w:hanging="360"/>
      </w:pPr>
    </w:lvl>
  </w:abstractNum>
  <w:abstractNum w:abstractNumId="17" w15:restartNumberingAfterBreak="0">
    <w:nsid w:val="729C24C8"/>
    <w:multiLevelType w:val="hybridMultilevel"/>
    <w:tmpl w:val="F7ECA218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6D1D"/>
    <w:multiLevelType w:val="hybridMultilevel"/>
    <w:tmpl w:val="28BAD4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F666A"/>
    <w:multiLevelType w:val="hybridMultilevel"/>
    <w:tmpl w:val="6B6CACEE"/>
    <w:lvl w:ilvl="0" w:tplc="B97ED0E4">
      <w:start w:val="1"/>
      <w:numFmt w:val="lowerLetter"/>
      <w:lvlText w:val="(%1)"/>
      <w:lvlJc w:val="left"/>
      <w:pPr>
        <w:ind w:left="12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96" w:hanging="360"/>
      </w:pPr>
    </w:lvl>
    <w:lvl w:ilvl="2" w:tplc="0C09001B" w:tentative="1">
      <w:start w:val="1"/>
      <w:numFmt w:val="lowerRoman"/>
      <w:lvlText w:val="%3."/>
      <w:lvlJc w:val="right"/>
      <w:pPr>
        <w:ind w:left="2716" w:hanging="180"/>
      </w:pPr>
    </w:lvl>
    <w:lvl w:ilvl="3" w:tplc="0C09000F" w:tentative="1">
      <w:start w:val="1"/>
      <w:numFmt w:val="decimal"/>
      <w:lvlText w:val="%4."/>
      <w:lvlJc w:val="left"/>
      <w:pPr>
        <w:ind w:left="3436" w:hanging="360"/>
      </w:pPr>
    </w:lvl>
    <w:lvl w:ilvl="4" w:tplc="0C090019" w:tentative="1">
      <w:start w:val="1"/>
      <w:numFmt w:val="lowerLetter"/>
      <w:lvlText w:val="%5."/>
      <w:lvlJc w:val="left"/>
      <w:pPr>
        <w:ind w:left="4156" w:hanging="360"/>
      </w:pPr>
    </w:lvl>
    <w:lvl w:ilvl="5" w:tplc="0C09001B" w:tentative="1">
      <w:start w:val="1"/>
      <w:numFmt w:val="lowerRoman"/>
      <w:lvlText w:val="%6."/>
      <w:lvlJc w:val="right"/>
      <w:pPr>
        <w:ind w:left="4876" w:hanging="180"/>
      </w:pPr>
    </w:lvl>
    <w:lvl w:ilvl="6" w:tplc="0C09000F" w:tentative="1">
      <w:start w:val="1"/>
      <w:numFmt w:val="decimal"/>
      <w:lvlText w:val="%7."/>
      <w:lvlJc w:val="left"/>
      <w:pPr>
        <w:ind w:left="5596" w:hanging="360"/>
      </w:pPr>
    </w:lvl>
    <w:lvl w:ilvl="7" w:tplc="0C090019" w:tentative="1">
      <w:start w:val="1"/>
      <w:numFmt w:val="lowerLetter"/>
      <w:lvlText w:val="%8."/>
      <w:lvlJc w:val="left"/>
      <w:pPr>
        <w:ind w:left="6316" w:hanging="360"/>
      </w:pPr>
    </w:lvl>
    <w:lvl w:ilvl="8" w:tplc="0C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0" w15:restartNumberingAfterBreak="0">
    <w:nsid w:val="7F843B33"/>
    <w:multiLevelType w:val="hybridMultilevel"/>
    <w:tmpl w:val="7C9002C0"/>
    <w:lvl w:ilvl="0" w:tplc="328229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1"/>
  </w:num>
  <w:num w:numId="5">
    <w:abstractNumId w:val="18"/>
  </w:num>
  <w:num w:numId="6">
    <w:abstractNumId w:val="17"/>
  </w:num>
  <w:num w:numId="7">
    <w:abstractNumId w:val="15"/>
  </w:num>
  <w:num w:numId="8">
    <w:abstractNumId w:val="3"/>
  </w:num>
  <w:num w:numId="9">
    <w:abstractNumId w:val="10"/>
  </w:num>
  <w:num w:numId="10">
    <w:abstractNumId w:val="14"/>
  </w:num>
  <w:num w:numId="11">
    <w:abstractNumId w:val="16"/>
  </w:num>
  <w:num w:numId="12">
    <w:abstractNumId w:val="19"/>
  </w:num>
  <w:num w:numId="13">
    <w:abstractNumId w:val="5"/>
  </w:num>
  <w:num w:numId="14">
    <w:abstractNumId w:val="20"/>
  </w:num>
  <w:num w:numId="15">
    <w:abstractNumId w:val="9"/>
  </w:num>
  <w:num w:numId="16">
    <w:abstractNumId w:val="6"/>
  </w:num>
  <w:num w:numId="17">
    <w:abstractNumId w:val="8"/>
  </w:num>
  <w:num w:numId="18">
    <w:abstractNumId w:val="2"/>
  </w:num>
  <w:num w:numId="19">
    <w:abstractNumId w:val="12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52"/>
    <w:rsid w:val="000B1518"/>
    <w:rsid w:val="000B4AD1"/>
    <w:rsid w:val="000F28CA"/>
    <w:rsid w:val="000F50AD"/>
    <w:rsid w:val="00113B5A"/>
    <w:rsid w:val="0014599C"/>
    <w:rsid w:val="001B3B1C"/>
    <w:rsid w:val="002553DF"/>
    <w:rsid w:val="00295F79"/>
    <w:rsid w:val="002C0D4F"/>
    <w:rsid w:val="002D66E4"/>
    <w:rsid w:val="00324E4E"/>
    <w:rsid w:val="0032795D"/>
    <w:rsid w:val="00345ECD"/>
    <w:rsid w:val="003A7AC0"/>
    <w:rsid w:val="003F03A9"/>
    <w:rsid w:val="00476E4C"/>
    <w:rsid w:val="004877A8"/>
    <w:rsid w:val="004D315B"/>
    <w:rsid w:val="00523F78"/>
    <w:rsid w:val="0054054C"/>
    <w:rsid w:val="00587814"/>
    <w:rsid w:val="005A0600"/>
    <w:rsid w:val="005A1887"/>
    <w:rsid w:val="00622C16"/>
    <w:rsid w:val="00674C52"/>
    <w:rsid w:val="00691187"/>
    <w:rsid w:val="006C3A1A"/>
    <w:rsid w:val="006D3DD9"/>
    <w:rsid w:val="007109A1"/>
    <w:rsid w:val="00713F14"/>
    <w:rsid w:val="007218D3"/>
    <w:rsid w:val="007A2638"/>
    <w:rsid w:val="00834FC2"/>
    <w:rsid w:val="00877B80"/>
    <w:rsid w:val="00883017"/>
    <w:rsid w:val="00895268"/>
    <w:rsid w:val="008F21FA"/>
    <w:rsid w:val="008F6EB8"/>
    <w:rsid w:val="00907760"/>
    <w:rsid w:val="009A01B7"/>
    <w:rsid w:val="00A4015B"/>
    <w:rsid w:val="00A62E0D"/>
    <w:rsid w:val="00B23200"/>
    <w:rsid w:val="00B5622A"/>
    <w:rsid w:val="00B8679D"/>
    <w:rsid w:val="00BC4A1B"/>
    <w:rsid w:val="00BC7EC2"/>
    <w:rsid w:val="00BF0418"/>
    <w:rsid w:val="00C561D9"/>
    <w:rsid w:val="00C755A2"/>
    <w:rsid w:val="00C769A2"/>
    <w:rsid w:val="00C859D3"/>
    <w:rsid w:val="00D23347"/>
    <w:rsid w:val="00D326BE"/>
    <w:rsid w:val="00D45834"/>
    <w:rsid w:val="00D66C55"/>
    <w:rsid w:val="00DB0B83"/>
    <w:rsid w:val="00DB44F2"/>
    <w:rsid w:val="00DC4581"/>
    <w:rsid w:val="00DD0438"/>
    <w:rsid w:val="00DD0CA9"/>
    <w:rsid w:val="00DF695C"/>
    <w:rsid w:val="00E07A6B"/>
    <w:rsid w:val="00E43FA8"/>
    <w:rsid w:val="00EB04F4"/>
    <w:rsid w:val="00F13E89"/>
    <w:rsid w:val="00F41E02"/>
    <w:rsid w:val="00F45CCF"/>
    <w:rsid w:val="00F47498"/>
    <w:rsid w:val="00F47D2C"/>
    <w:rsid w:val="00FB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E62FC"/>
  <w15:chartTrackingRefBased/>
  <w15:docId w15:val="{5ACD4D26-40E6-49CA-830C-08009F10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C52"/>
    <w:pPr>
      <w:spacing w:after="200" w:line="250" w:lineRule="exact"/>
    </w:pPr>
    <w:rPr>
      <w:rFonts w:cs="Times New Roman"/>
      <w:sz w:val="21"/>
      <w:szCs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4C52"/>
    <w:pPr>
      <w:tabs>
        <w:tab w:val="center" w:pos="4513"/>
        <w:tab w:val="right" w:pos="9026"/>
      </w:tabs>
      <w:spacing w:after="0" w:line="240" w:lineRule="auto"/>
    </w:pPr>
    <w:rPr>
      <w:b/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674C52"/>
    <w:rPr>
      <w:rFonts w:cs="Times New Roman"/>
      <w:b/>
      <w:color w:val="FFFFFF" w:themeColor="background1"/>
      <w:sz w:val="21"/>
      <w:szCs w:val="21"/>
      <w:lang w:eastAsia="en-AU"/>
    </w:rPr>
  </w:style>
  <w:style w:type="paragraph" w:styleId="NoSpacing">
    <w:name w:val="No Spacing"/>
    <w:link w:val="NoSpacingChar"/>
    <w:uiPriority w:val="1"/>
    <w:qFormat/>
    <w:rsid w:val="00674C5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4C52"/>
    <w:rPr>
      <w:rFonts w:eastAsiaTheme="minorEastAsia"/>
      <w:lang w:val="en-US"/>
    </w:rPr>
  </w:style>
  <w:style w:type="paragraph" w:styleId="ListParagraph">
    <w:name w:val="List Paragraph"/>
    <w:aliases w:val="List Paragraph1,Recommendation,List Paragraph11,List Paragraph111,L,F5 List Paragraph,Dot pt,CV text,Medium Grid 1 - Accent 21,Numbered Paragraph,List Paragraph2,NFP GP Bulleted List,FooterText,numbered,Paragraphe de liste1,列出段,Table text"/>
    <w:basedOn w:val="Normal"/>
    <w:link w:val="ListParagraphChar"/>
    <w:uiPriority w:val="34"/>
    <w:qFormat/>
    <w:rsid w:val="00674C52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32795D"/>
    <w:rPr>
      <w:rFonts w:cs="Times New Roman"/>
      <w:sz w:val="21"/>
      <w:szCs w:val="21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A1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887"/>
    <w:rPr>
      <w:rFonts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887"/>
    <w:rPr>
      <w:rFonts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87"/>
    <w:rPr>
      <w:rFonts w:ascii="Segoe UI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10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9A1"/>
    <w:rPr>
      <w:rFonts w:cs="Times New Roman"/>
      <w:sz w:val="21"/>
      <w:szCs w:val="2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2520</Characters>
  <Application>Microsoft Office Word</Application>
  <DocSecurity>0</DocSecurity>
  <Lines>76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Ingham, Alexander</dc:creator>
  <cp:keywords/>
  <dc:description/>
  <cp:lastModifiedBy>Moxon, KarenL</cp:lastModifiedBy>
  <cp:revision>5</cp:revision>
  <dcterms:created xsi:type="dcterms:W3CDTF">2019-05-24T06:41:00Z</dcterms:created>
  <dcterms:modified xsi:type="dcterms:W3CDTF">2019-05-24T06:47:00Z</dcterms:modified>
</cp:coreProperties>
</file>