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3961BB">
        <w:t>9</w:t>
      </w:r>
      <w:r w:rsidR="007229E9">
        <w:t xml:space="preserve"> </w:t>
      </w:r>
      <w:r w:rsidR="008B7AD6">
        <w:t>(No </w:t>
      </w:r>
      <w:r w:rsidR="007B34BC">
        <w:t>1</w:t>
      </w:r>
      <w:r>
        <w:t>)</w:t>
      </w:r>
      <w:r w:rsidR="007B34BC">
        <w:t>*</w:t>
      </w:r>
    </w:p>
    <w:p w:rsidR="00AA3FA7" w:rsidRDefault="00B67F0C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NI201</w:t>
      </w:r>
      <w:r w:rsidR="003961BB">
        <w:t>9</w:t>
      </w:r>
      <w:r w:rsidR="008108AE">
        <w:t>-39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3961BB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Independent Advisors </w:t>
      </w:r>
      <w:r w:rsidR="00324684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Working with Vulnerable People (Background Checking) Act 2011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8108AE">
        <w:rPr>
          <w:rFonts w:ascii="Times New Roman" w:hAnsi="Times New Roman"/>
          <w:b w:val="0"/>
        </w:rPr>
        <w:t xml:space="preserve">23 </w:t>
      </w:r>
      <w:r w:rsidR="00324684">
        <w:rPr>
          <w:rFonts w:ascii="Times New Roman" w:hAnsi="Times New Roman"/>
          <w:b w:val="0"/>
        </w:rPr>
        <w:t>January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766F9A">
        <w:rPr>
          <w:rFonts w:ascii="Times New Roman" w:hAnsi="Times New Roman"/>
          <w:b w:val="0"/>
        </w:rPr>
        <w:t>1</w:t>
      </w:r>
      <w:r w:rsidR="003961BB">
        <w:rPr>
          <w:rFonts w:ascii="Times New Roman" w:hAnsi="Times New Roman"/>
          <w:b w:val="0"/>
        </w:rPr>
        <w:t>9</w:t>
      </w:r>
    </w:p>
    <w:sectPr w:rsidR="00AA3FA7" w:rsidSect="007B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1701" w:left="2300" w:header="2480" w:footer="1248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6" w:rsidRDefault="00770246">
      <w:r>
        <w:separator/>
      </w:r>
    </w:p>
  </w:endnote>
  <w:endnote w:type="continuationSeparator" w:id="0">
    <w:p w:rsidR="00770246" w:rsidRDefault="007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C4" w:rsidRPr="00A868C4" w:rsidRDefault="00A868C4" w:rsidP="00A868C4">
    <w:pPr>
      <w:pStyle w:val="Footer"/>
      <w:jc w:val="center"/>
      <w:rPr>
        <w:rFonts w:cs="Arial"/>
        <w:sz w:val="14"/>
      </w:rPr>
    </w:pPr>
    <w:r w:rsidRPr="00A868C4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C4" w:rsidRPr="00A868C4" w:rsidRDefault="00A868C4" w:rsidP="00A868C4">
    <w:pPr>
      <w:pStyle w:val="Footer"/>
      <w:jc w:val="center"/>
      <w:rPr>
        <w:rFonts w:cs="Arial"/>
        <w:sz w:val="14"/>
      </w:rPr>
    </w:pPr>
    <w:r w:rsidRPr="00A868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C6" w:rsidRDefault="007B34BC" w:rsidP="007B34BC">
    <w:pPr>
      <w:pStyle w:val="Footer"/>
      <w:rPr>
        <w:rFonts w:cs="Arial"/>
      </w:rPr>
    </w:pPr>
    <w:r w:rsidRPr="007B34BC">
      <w:rPr>
        <w:rFonts w:cs="Arial"/>
      </w:rPr>
      <w:t>*Name amended under Legislation Act, s 60</w:t>
    </w:r>
  </w:p>
  <w:p w:rsidR="007B34BC" w:rsidRPr="00A868C4" w:rsidRDefault="00A868C4" w:rsidP="00A868C4">
    <w:pPr>
      <w:pStyle w:val="Footer"/>
      <w:jc w:val="center"/>
      <w:rPr>
        <w:rFonts w:cs="Arial"/>
        <w:sz w:val="14"/>
      </w:rPr>
    </w:pPr>
    <w:r w:rsidRPr="00A868C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6" w:rsidRDefault="00770246">
      <w:r>
        <w:separator/>
      </w:r>
    </w:p>
  </w:footnote>
  <w:footnote w:type="continuationSeparator" w:id="0">
    <w:p w:rsidR="00770246" w:rsidRDefault="0077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C4" w:rsidRDefault="00A86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C4" w:rsidRDefault="00A86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C4" w:rsidRDefault="00A86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378"/>
    <w:rsid w:val="000102E2"/>
    <w:rsid w:val="0006630A"/>
    <w:rsid w:val="000B18D4"/>
    <w:rsid w:val="000B5378"/>
    <w:rsid w:val="001B3BAA"/>
    <w:rsid w:val="001C0B99"/>
    <w:rsid w:val="001F544F"/>
    <w:rsid w:val="002915DD"/>
    <w:rsid w:val="00311AF5"/>
    <w:rsid w:val="00324684"/>
    <w:rsid w:val="00343059"/>
    <w:rsid w:val="00383930"/>
    <w:rsid w:val="003961BB"/>
    <w:rsid w:val="003D0CC8"/>
    <w:rsid w:val="00460F27"/>
    <w:rsid w:val="004A1435"/>
    <w:rsid w:val="0068711C"/>
    <w:rsid w:val="00690347"/>
    <w:rsid w:val="006D13EB"/>
    <w:rsid w:val="007229E9"/>
    <w:rsid w:val="00756775"/>
    <w:rsid w:val="00766F9A"/>
    <w:rsid w:val="00770246"/>
    <w:rsid w:val="007B34BC"/>
    <w:rsid w:val="008108AE"/>
    <w:rsid w:val="008B7AD6"/>
    <w:rsid w:val="00905216"/>
    <w:rsid w:val="00935CEF"/>
    <w:rsid w:val="00963D96"/>
    <w:rsid w:val="00966C7C"/>
    <w:rsid w:val="00981B3E"/>
    <w:rsid w:val="009940BC"/>
    <w:rsid w:val="009B4BF5"/>
    <w:rsid w:val="009D1D4C"/>
    <w:rsid w:val="009F033A"/>
    <w:rsid w:val="00A77F35"/>
    <w:rsid w:val="00A868C4"/>
    <w:rsid w:val="00A9490B"/>
    <w:rsid w:val="00AA3FA7"/>
    <w:rsid w:val="00AD059F"/>
    <w:rsid w:val="00B233A8"/>
    <w:rsid w:val="00B32F6C"/>
    <w:rsid w:val="00B67F0C"/>
    <w:rsid w:val="00BB5396"/>
    <w:rsid w:val="00C227D9"/>
    <w:rsid w:val="00C22F07"/>
    <w:rsid w:val="00C75241"/>
    <w:rsid w:val="00CA7672"/>
    <w:rsid w:val="00CB25C6"/>
    <w:rsid w:val="00D04FF9"/>
    <w:rsid w:val="00D25177"/>
    <w:rsid w:val="00DD27B7"/>
    <w:rsid w:val="00E049CA"/>
    <w:rsid w:val="00E95538"/>
    <w:rsid w:val="00EE7607"/>
    <w:rsid w:val="00F635CC"/>
    <w:rsid w:val="00F94BD4"/>
    <w:rsid w:val="00FB426B"/>
    <w:rsid w:val="00FB535E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2ABA21-0DF2-4989-BC36-6E00DDC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365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PCODCS</cp:lastModifiedBy>
  <cp:revision>4</cp:revision>
  <cp:lastPrinted>2005-04-20T03:49:00Z</cp:lastPrinted>
  <dcterms:created xsi:type="dcterms:W3CDTF">2019-01-23T22:31:00Z</dcterms:created>
  <dcterms:modified xsi:type="dcterms:W3CDTF">2019-01-23T22:32:00Z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A16068517</vt:lpwstr>
  </property>
  <property fmtid="{D5CDD505-2E9C-101B-9397-08002B2CF9AE}" pid="6" name="Objective-Title">
    <vt:lpwstr>Attachment B - Notifiable Instrument</vt:lpwstr>
  </property>
  <property fmtid="{D5CDD505-2E9C-101B-9397-08002B2CF9AE}" pid="7" name="Objective-Comment">
    <vt:lpwstr/>
  </property>
  <property fmtid="{D5CDD505-2E9C-101B-9397-08002B2CF9AE}" pid="8" name="Objective-CreationStamp">
    <vt:filetime>2018-05-02T01:21:13Z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2018-05-04T02:21:18Z</vt:filetime>
  </property>
  <property fmtid="{D5CDD505-2E9C-101B-9397-08002B2CF9AE}" pid="12" name="Objective-ModificationStamp">
    <vt:filetime>2018-05-04T02:21:18Z</vt:filetime>
  </property>
  <property fmtid="{D5CDD505-2E9C-101B-9397-08002B2CF9AE}" pid="13" name="Objective-Owner">
    <vt:lpwstr>Ashleigh McInnes</vt:lpwstr>
  </property>
  <property fmtid="{D5CDD505-2E9C-101B-9397-08002B2CF9AE}" pid="14" name="Objective-Path">
    <vt:lpwstr>Whole of ACT Government:AC - Access Canberra:06. Access Canberra - Government Business Coordination (Ministerials, Cabinet, QON, Hot issues, Ombudsman, etc):01. Ministerials:2018:Customer Coordination:Briefs:18/11651 - AC - Ministerial Brief Ramsay (MIN: </vt:lpwstr>
  </property>
  <property fmtid="{D5CDD505-2E9C-101B-9397-08002B2CF9AE}" pid="15" name="Objective-Parent">
    <vt:lpwstr>18/11651 - AC - Ministerial Brief Ramsay (MIN: 2018/002007) - Independent Advisor Appointment Remuneration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1-2018/11651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DMSID">
    <vt:lpwstr>1004190</vt:lpwstr>
  </property>
  <property fmtid="{D5CDD505-2E9C-101B-9397-08002B2CF9AE}" pid="35" name="CHECKEDOUTFROMJMS">
    <vt:lpwstr/>
  </property>
  <property fmtid="{D5CDD505-2E9C-101B-9397-08002B2CF9AE}" pid="36" name="JMSREQUIREDCHECKIN">
    <vt:lpwstr/>
  </property>
</Properties>
</file>