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5CF" w:rsidRPr="00E525CF" w:rsidRDefault="00E525CF" w:rsidP="00E525CF">
      <w:pPr>
        <w:spacing w:after="0" w:line="240" w:lineRule="auto"/>
        <w:rPr>
          <w:rFonts w:ascii="Arial" w:eastAsia="Times New Roman" w:hAnsi="Arial" w:cs="Arial"/>
          <w:sz w:val="24"/>
          <w:szCs w:val="20"/>
        </w:rPr>
      </w:pPr>
      <w:bookmarkStart w:id="0" w:name="_Toc44738651"/>
      <w:bookmarkStart w:id="1" w:name="_GoBack"/>
      <w:bookmarkEnd w:id="1"/>
      <w:smartTag w:uri="urn:schemas-microsoft-com:office:smarttags" w:element="place">
        <w:smartTag w:uri="urn:schemas-microsoft-com:office:smarttags" w:element="State">
          <w:r w:rsidRPr="00E525CF">
            <w:rPr>
              <w:rFonts w:ascii="Arial" w:eastAsia="Times New Roman" w:hAnsi="Arial" w:cs="Arial"/>
              <w:sz w:val="24"/>
              <w:szCs w:val="20"/>
            </w:rPr>
            <w:t>Australian Capital Territory</w:t>
          </w:r>
        </w:smartTag>
      </w:smartTag>
    </w:p>
    <w:p w:rsidR="00E525CF" w:rsidRPr="00E525CF" w:rsidRDefault="00E525CF" w:rsidP="00E525CF">
      <w:pPr>
        <w:tabs>
          <w:tab w:val="left" w:pos="2400"/>
          <w:tab w:val="left" w:pos="2880"/>
        </w:tabs>
        <w:spacing w:before="500" w:after="100" w:line="240" w:lineRule="auto"/>
        <w:rPr>
          <w:rFonts w:ascii="Arial" w:eastAsia="Times New Roman" w:hAnsi="Arial" w:cs="Arial"/>
          <w:b/>
          <w:bCs/>
          <w:sz w:val="40"/>
          <w:szCs w:val="40"/>
        </w:rPr>
      </w:pPr>
      <w:r w:rsidRPr="00E525CF">
        <w:rPr>
          <w:rFonts w:ascii="Arial" w:eastAsia="Times New Roman" w:hAnsi="Arial" w:cs="Arial"/>
          <w:b/>
          <w:bCs/>
          <w:sz w:val="40"/>
          <w:szCs w:val="40"/>
        </w:rPr>
        <w:t>Corrections Management (Induction) Operating Procedure 2019 (No 2)</w:t>
      </w:r>
    </w:p>
    <w:p w:rsidR="00E525CF" w:rsidRPr="00E525CF" w:rsidRDefault="00E525CF" w:rsidP="00E525CF">
      <w:pPr>
        <w:spacing w:before="240" w:after="60" w:line="240" w:lineRule="auto"/>
        <w:rPr>
          <w:rFonts w:ascii="Arial" w:eastAsia="Times New Roman" w:hAnsi="Arial" w:cs="Arial"/>
          <w:b/>
          <w:bCs/>
          <w:sz w:val="24"/>
          <w:szCs w:val="20"/>
          <w:vertAlign w:val="superscript"/>
        </w:rPr>
      </w:pPr>
      <w:r w:rsidRPr="00E525CF">
        <w:rPr>
          <w:rFonts w:ascii="Arial" w:eastAsia="Times New Roman" w:hAnsi="Arial" w:cs="Arial"/>
          <w:b/>
          <w:bCs/>
          <w:sz w:val="24"/>
          <w:szCs w:val="20"/>
        </w:rPr>
        <w:t>Notifiable instrument NI2019-416</w:t>
      </w:r>
    </w:p>
    <w:p w:rsidR="00E525CF" w:rsidRPr="00E525CF" w:rsidRDefault="00E525CF" w:rsidP="00E525CF">
      <w:pPr>
        <w:spacing w:before="240" w:after="120" w:line="240" w:lineRule="auto"/>
        <w:jc w:val="both"/>
        <w:rPr>
          <w:rFonts w:ascii="Times New Roman" w:eastAsia="Times New Roman" w:hAnsi="Times New Roman" w:cs="Times New Roman"/>
          <w:sz w:val="24"/>
          <w:szCs w:val="24"/>
        </w:rPr>
      </w:pPr>
      <w:r w:rsidRPr="00E525CF">
        <w:rPr>
          <w:rFonts w:ascii="Times New Roman" w:eastAsia="Times New Roman" w:hAnsi="Times New Roman" w:cs="Times New Roman"/>
          <w:sz w:val="24"/>
          <w:szCs w:val="24"/>
        </w:rPr>
        <w:t xml:space="preserve">made under the  </w:t>
      </w:r>
    </w:p>
    <w:p w:rsidR="00E525CF" w:rsidRPr="00E525CF" w:rsidRDefault="00E525CF" w:rsidP="00E525CF">
      <w:pPr>
        <w:tabs>
          <w:tab w:val="left" w:pos="2600"/>
        </w:tabs>
        <w:spacing w:before="200" w:after="0" w:line="240" w:lineRule="auto"/>
        <w:jc w:val="both"/>
        <w:rPr>
          <w:rFonts w:ascii="Arial" w:eastAsia="Times New Roman" w:hAnsi="Arial" w:cs="Arial"/>
          <w:b/>
          <w:bCs/>
          <w:sz w:val="20"/>
          <w:szCs w:val="20"/>
        </w:rPr>
      </w:pPr>
      <w:r w:rsidRPr="00E525CF">
        <w:rPr>
          <w:rFonts w:ascii="Arial" w:eastAsia="Times New Roman" w:hAnsi="Arial" w:cs="Arial"/>
          <w:b/>
          <w:bCs/>
          <w:iCs/>
          <w:sz w:val="20"/>
          <w:szCs w:val="20"/>
        </w:rPr>
        <w:t>Corrections Management Act 2007</w:t>
      </w:r>
      <w:r w:rsidRPr="00E525CF">
        <w:rPr>
          <w:rFonts w:ascii="Arial" w:eastAsia="Times New Roman" w:hAnsi="Arial" w:cs="Arial"/>
          <w:b/>
          <w:bCs/>
          <w:sz w:val="20"/>
          <w:szCs w:val="20"/>
        </w:rPr>
        <w:t>, s14 (Corrections policies and operating procedures)</w:t>
      </w:r>
    </w:p>
    <w:p w:rsidR="00E525CF" w:rsidRPr="00E525CF" w:rsidRDefault="00E525CF" w:rsidP="00E525CF">
      <w:pPr>
        <w:tabs>
          <w:tab w:val="left" w:pos="2600"/>
        </w:tabs>
        <w:spacing w:after="0" w:line="240" w:lineRule="auto"/>
        <w:jc w:val="both"/>
        <w:rPr>
          <w:rFonts w:ascii="Arial" w:eastAsia="Times New Roman" w:hAnsi="Arial" w:cs="Arial"/>
          <w:b/>
          <w:bCs/>
          <w:sz w:val="20"/>
          <w:szCs w:val="20"/>
        </w:rPr>
      </w:pPr>
    </w:p>
    <w:p w:rsidR="00E525CF" w:rsidRPr="00E525CF" w:rsidRDefault="00E525CF" w:rsidP="00E525CF">
      <w:pPr>
        <w:pBdr>
          <w:top w:val="single" w:sz="12" w:space="1" w:color="auto"/>
        </w:pBdr>
        <w:spacing w:after="0" w:line="240" w:lineRule="auto"/>
        <w:jc w:val="both"/>
        <w:rPr>
          <w:rFonts w:ascii="Times New Roman" w:eastAsia="Times New Roman" w:hAnsi="Times New Roman" w:cs="Times New Roman"/>
          <w:sz w:val="24"/>
          <w:szCs w:val="24"/>
        </w:rPr>
      </w:pPr>
    </w:p>
    <w:p w:rsidR="00E525CF" w:rsidRPr="00E525CF" w:rsidRDefault="00E525CF" w:rsidP="00E525CF">
      <w:pPr>
        <w:spacing w:after="60" w:line="240" w:lineRule="auto"/>
        <w:ind w:left="720" w:hanging="720"/>
        <w:rPr>
          <w:rFonts w:ascii="Arial" w:eastAsia="Times New Roman" w:hAnsi="Arial" w:cs="Arial"/>
          <w:b/>
          <w:bCs/>
          <w:sz w:val="24"/>
          <w:szCs w:val="20"/>
        </w:rPr>
      </w:pPr>
      <w:r w:rsidRPr="00E525CF">
        <w:rPr>
          <w:rFonts w:ascii="Arial" w:eastAsia="Times New Roman" w:hAnsi="Arial" w:cs="Arial"/>
          <w:b/>
          <w:bCs/>
          <w:sz w:val="24"/>
          <w:szCs w:val="20"/>
        </w:rPr>
        <w:t>1</w:t>
      </w:r>
      <w:r w:rsidRPr="00E525CF">
        <w:rPr>
          <w:rFonts w:ascii="Arial" w:eastAsia="Times New Roman" w:hAnsi="Arial" w:cs="Arial"/>
          <w:b/>
          <w:bCs/>
          <w:sz w:val="24"/>
          <w:szCs w:val="20"/>
        </w:rPr>
        <w:tab/>
        <w:t>Name of instrument</w:t>
      </w:r>
    </w:p>
    <w:p w:rsidR="00E525CF" w:rsidRPr="00E525CF" w:rsidRDefault="00E525CF" w:rsidP="00E525CF">
      <w:pPr>
        <w:spacing w:before="80" w:after="60" w:line="240" w:lineRule="auto"/>
        <w:ind w:left="720"/>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 xml:space="preserve">This instrument is the </w:t>
      </w:r>
      <w:r w:rsidRPr="00E525CF">
        <w:rPr>
          <w:rFonts w:ascii="Times New Roman" w:eastAsia="Times New Roman" w:hAnsi="Times New Roman" w:cs="Times New Roman"/>
          <w:i/>
          <w:sz w:val="24"/>
          <w:szCs w:val="20"/>
        </w:rPr>
        <w:t>Corrections Management</w:t>
      </w:r>
      <w:r w:rsidRPr="00E525CF">
        <w:rPr>
          <w:rFonts w:ascii="Times New Roman" w:eastAsia="Times New Roman" w:hAnsi="Times New Roman" w:cs="Times New Roman"/>
          <w:sz w:val="24"/>
          <w:szCs w:val="20"/>
        </w:rPr>
        <w:t xml:space="preserve"> (</w:t>
      </w:r>
      <w:r w:rsidRPr="00E525CF">
        <w:rPr>
          <w:rFonts w:ascii="Times New Roman" w:eastAsia="Times New Roman" w:hAnsi="Times New Roman" w:cs="Times New Roman"/>
          <w:i/>
          <w:sz w:val="24"/>
          <w:szCs w:val="20"/>
        </w:rPr>
        <w:t>Induction) Operating Procedure 2019 (No 2).</w:t>
      </w:r>
    </w:p>
    <w:p w:rsidR="00E525CF" w:rsidRPr="00E525CF" w:rsidRDefault="00E525CF" w:rsidP="00E525CF">
      <w:pPr>
        <w:spacing w:before="240" w:after="60" w:line="240" w:lineRule="auto"/>
        <w:outlineLvl w:val="6"/>
        <w:rPr>
          <w:rFonts w:ascii="Times New Roman" w:eastAsia="Times New Roman" w:hAnsi="Times New Roman" w:cs="Times New Roman"/>
          <w:sz w:val="24"/>
          <w:szCs w:val="24"/>
          <w:lang w:val="x-none" w:eastAsia="x-none"/>
        </w:rPr>
      </w:pPr>
      <w:r w:rsidRPr="00E525CF">
        <w:rPr>
          <w:rFonts w:ascii="Arial" w:eastAsia="Times New Roman" w:hAnsi="Arial" w:cs="Arial"/>
          <w:b/>
          <w:sz w:val="24"/>
          <w:szCs w:val="24"/>
          <w:lang w:val="x-none" w:eastAsia="x-none"/>
        </w:rPr>
        <w:t>2</w:t>
      </w:r>
      <w:r w:rsidRPr="00E525CF">
        <w:rPr>
          <w:rFonts w:ascii="Times New Roman" w:eastAsia="Times New Roman" w:hAnsi="Times New Roman" w:cs="Times New Roman"/>
          <w:sz w:val="24"/>
          <w:szCs w:val="24"/>
          <w:lang w:val="x-none" w:eastAsia="x-none"/>
        </w:rPr>
        <w:tab/>
      </w:r>
      <w:r w:rsidRPr="00E525CF">
        <w:rPr>
          <w:rFonts w:ascii="Arial" w:eastAsia="Times New Roman" w:hAnsi="Arial" w:cs="Arial"/>
          <w:b/>
          <w:sz w:val="24"/>
          <w:szCs w:val="24"/>
          <w:lang w:val="x-none" w:eastAsia="x-none"/>
        </w:rPr>
        <w:t>Commencement</w:t>
      </w:r>
    </w:p>
    <w:p w:rsidR="00E525CF" w:rsidRPr="00E525CF" w:rsidRDefault="00E525CF" w:rsidP="00E525CF">
      <w:pPr>
        <w:spacing w:before="80" w:after="60" w:line="240" w:lineRule="auto"/>
        <w:ind w:left="720"/>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This instrument commences on the day after its notification day.</w:t>
      </w:r>
    </w:p>
    <w:p w:rsidR="00E525CF" w:rsidRPr="00E525CF" w:rsidRDefault="00E525CF" w:rsidP="00E525CF">
      <w:pPr>
        <w:spacing w:before="240" w:after="60" w:line="240" w:lineRule="auto"/>
        <w:ind w:left="720" w:hanging="720"/>
        <w:rPr>
          <w:rFonts w:ascii="Arial" w:eastAsia="Times New Roman" w:hAnsi="Arial" w:cs="Arial"/>
          <w:b/>
          <w:bCs/>
          <w:sz w:val="24"/>
          <w:szCs w:val="20"/>
        </w:rPr>
      </w:pPr>
      <w:r w:rsidRPr="00E525CF">
        <w:rPr>
          <w:rFonts w:ascii="Arial" w:eastAsia="Times New Roman" w:hAnsi="Arial" w:cs="Arial"/>
          <w:b/>
          <w:bCs/>
          <w:sz w:val="24"/>
          <w:szCs w:val="20"/>
        </w:rPr>
        <w:t>3</w:t>
      </w:r>
      <w:r w:rsidRPr="00E525CF">
        <w:rPr>
          <w:rFonts w:ascii="Arial" w:eastAsia="Times New Roman" w:hAnsi="Arial" w:cs="Arial"/>
          <w:b/>
          <w:bCs/>
          <w:sz w:val="24"/>
          <w:szCs w:val="20"/>
        </w:rPr>
        <w:tab/>
        <w:t>Operating Procedure</w:t>
      </w:r>
    </w:p>
    <w:p w:rsidR="00E525CF" w:rsidRPr="00E525CF" w:rsidRDefault="00E525CF" w:rsidP="00E525CF">
      <w:pPr>
        <w:spacing w:before="80" w:after="60" w:line="240" w:lineRule="auto"/>
        <w:ind w:left="720"/>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I make this operating procedure to facilitate the effective and efficient management of correctional services.</w:t>
      </w:r>
    </w:p>
    <w:p w:rsidR="00E525CF" w:rsidRPr="00E525CF" w:rsidRDefault="00E525CF" w:rsidP="00E525CF">
      <w:pPr>
        <w:spacing w:before="240" w:after="60" w:line="240" w:lineRule="auto"/>
        <w:ind w:left="720" w:hanging="720"/>
        <w:rPr>
          <w:rFonts w:ascii="Arial" w:eastAsia="Times New Roman" w:hAnsi="Arial" w:cs="Arial"/>
          <w:b/>
          <w:bCs/>
          <w:sz w:val="24"/>
          <w:szCs w:val="20"/>
        </w:rPr>
      </w:pPr>
      <w:r w:rsidRPr="00E525CF">
        <w:rPr>
          <w:rFonts w:ascii="Arial" w:eastAsia="Times New Roman" w:hAnsi="Arial" w:cs="Arial"/>
          <w:b/>
          <w:bCs/>
          <w:sz w:val="24"/>
          <w:szCs w:val="20"/>
        </w:rPr>
        <w:t>4</w:t>
      </w:r>
      <w:r w:rsidRPr="00E525CF">
        <w:rPr>
          <w:rFonts w:ascii="Arial" w:eastAsia="Times New Roman" w:hAnsi="Arial" w:cs="Arial"/>
          <w:b/>
          <w:bCs/>
          <w:sz w:val="24"/>
          <w:szCs w:val="20"/>
        </w:rPr>
        <w:tab/>
        <w:t>Revocation</w:t>
      </w:r>
    </w:p>
    <w:p w:rsidR="00E525CF" w:rsidRPr="00E525CF" w:rsidRDefault="00E525CF" w:rsidP="00E525CF">
      <w:pPr>
        <w:spacing w:before="80" w:after="60" w:line="240" w:lineRule="auto"/>
        <w:ind w:left="720"/>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 xml:space="preserve">This instrument revokes the </w:t>
      </w:r>
      <w:r w:rsidRPr="00E525CF">
        <w:rPr>
          <w:rFonts w:ascii="Times New Roman" w:eastAsia="Times New Roman" w:hAnsi="Times New Roman" w:cs="Times New Roman"/>
          <w:i/>
          <w:sz w:val="24"/>
          <w:szCs w:val="20"/>
        </w:rPr>
        <w:t>Corrections Management</w:t>
      </w:r>
      <w:r w:rsidRPr="00E525CF">
        <w:rPr>
          <w:rFonts w:ascii="Times New Roman" w:eastAsia="Times New Roman" w:hAnsi="Times New Roman" w:cs="Times New Roman"/>
          <w:sz w:val="24"/>
          <w:szCs w:val="20"/>
        </w:rPr>
        <w:t xml:space="preserve"> (</w:t>
      </w:r>
      <w:r w:rsidRPr="00E525CF">
        <w:rPr>
          <w:rFonts w:ascii="Times New Roman" w:eastAsia="Times New Roman" w:hAnsi="Times New Roman" w:cs="Times New Roman"/>
          <w:i/>
          <w:sz w:val="24"/>
          <w:szCs w:val="20"/>
        </w:rPr>
        <w:t xml:space="preserve">Induction) Operating Procedure 2019 </w:t>
      </w:r>
      <w:r w:rsidRPr="00E525CF">
        <w:rPr>
          <w:rFonts w:ascii="Times New Roman" w:eastAsia="Times New Roman" w:hAnsi="Times New Roman" w:cs="Times New Roman"/>
          <w:sz w:val="24"/>
          <w:szCs w:val="20"/>
        </w:rPr>
        <w:t>[NI2019-388]</w:t>
      </w:r>
      <w:r w:rsidRPr="00E525CF">
        <w:rPr>
          <w:rFonts w:ascii="Times New Roman" w:eastAsia="Times New Roman" w:hAnsi="Times New Roman" w:cs="Times New Roman"/>
          <w:i/>
          <w:sz w:val="24"/>
          <w:szCs w:val="20"/>
        </w:rPr>
        <w:t>.</w:t>
      </w:r>
    </w:p>
    <w:p w:rsidR="00E525CF" w:rsidRPr="00E525CF" w:rsidRDefault="00E525CF" w:rsidP="00E525CF">
      <w:pPr>
        <w:spacing w:after="0" w:line="240" w:lineRule="auto"/>
        <w:rPr>
          <w:rFonts w:ascii="Times New Roman" w:eastAsia="Times New Roman" w:hAnsi="Times New Roman" w:cs="Times New Roman"/>
          <w:sz w:val="24"/>
          <w:szCs w:val="20"/>
        </w:rPr>
      </w:pPr>
    </w:p>
    <w:p w:rsidR="00E525CF" w:rsidRPr="00E525CF" w:rsidRDefault="00E525CF" w:rsidP="00E525CF">
      <w:pPr>
        <w:spacing w:after="0" w:line="240" w:lineRule="auto"/>
        <w:rPr>
          <w:rFonts w:ascii="Times New Roman" w:eastAsia="Times New Roman" w:hAnsi="Times New Roman" w:cs="Times New Roman"/>
          <w:sz w:val="24"/>
          <w:szCs w:val="20"/>
        </w:rPr>
      </w:pPr>
    </w:p>
    <w:p w:rsidR="00E525CF" w:rsidRPr="00E525CF" w:rsidRDefault="00E525CF" w:rsidP="00E525CF">
      <w:pPr>
        <w:spacing w:after="0" w:line="240" w:lineRule="auto"/>
        <w:rPr>
          <w:rFonts w:ascii="Times New Roman" w:eastAsia="Times New Roman" w:hAnsi="Times New Roman" w:cs="Times New Roman"/>
          <w:sz w:val="24"/>
          <w:szCs w:val="20"/>
        </w:rPr>
      </w:pPr>
    </w:p>
    <w:p w:rsidR="00E525CF" w:rsidRPr="00E525CF" w:rsidRDefault="00E525CF" w:rsidP="00E525CF">
      <w:pPr>
        <w:spacing w:after="0" w:line="240" w:lineRule="auto"/>
        <w:rPr>
          <w:rFonts w:ascii="Times New Roman" w:eastAsia="Times New Roman" w:hAnsi="Times New Roman" w:cs="Times New Roman"/>
          <w:sz w:val="24"/>
          <w:szCs w:val="20"/>
        </w:rPr>
      </w:pPr>
    </w:p>
    <w:p w:rsidR="00E525CF" w:rsidRPr="00E525CF" w:rsidRDefault="00E525CF" w:rsidP="00E525CF">
      <w:pPr>
        <w:spacing w:after="0" w:line="240" w:lineRule="auto"/>
        <w:rPr>
          <w:rFonts w:ascii="Times New Roman" w:eastAsia="Times New Roman" w:hAnsi="Times New Roman" w:cs="Times New Roman"/>
          <w:sz w:val="24"/>
          <w:szCs w:val="20"/>
        </w:rPr>
      </w:pPr>
      <w:r w:rsidRPr="00E525CF">
        <w:rPr>
          <w:rFonts w:ascii="Times New Roman" w:eastAsia="Times New Roman" w:hAnsi="Times New Roman" w:cs="Times New Roman"/>
          <w:noProof/>
          <w:sz w:val="24"/>
          <w:szCs w:val="20"/>
          <w:lang w:eastAsia="en-AU"/>
        </w:rPr>
        <w:drawing>
          <wp:inline distT="0" distB="0" distL="0" distR="0">
            <wp:extent cx="1990725" cy="704850"/>
            <wp:effectExtent l="0" t="0" r="9525" b="0"/>
            <wp:docPr id="5" name="Picture 5" descr="Jon's Signa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s Signature (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rsidR="00E525CF" w:rsidRPr="00E525CF" w:rsidRDefault="00E525CF" w:rsidP="00E525CF">
      <w:pPr>
        <w:spacing w:after="0" w:line="240" w:lineRule="auto"/>
        <w:rPr>
          <w:rFonts w:ascii="Times New Roman" w:eastAsia="Times New Roman" w:hAnsi="Times New Roman" w:cs="Times New Roman"/>
          <w:sz w:val="24"/>
          <w:szCs w:val="20"/>
        </w:rPr>
      </w:pPr>
    </w:p>
    <w:bookmarkEnd w:id="0"/>
    <w:p w:rsidR="00E525CF" w:rsidRPr="00E525CF" w:rsidRDefault="00E525CF" w:rsidP="00E525CF">
      <w:pPr>
        <w:tabs>
          <w:tab w:val="left" w:pos="4320"/>
        </w:tabs>
        <w:spacing w:after="0" w:line="240" w:lineRule="auto"/>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Jon Peach</w:t>
      </w:r>
    </w:p>
    <w:p w:rsidR="00E525CF" w:rsidRPr="00E525CF" w:rsidRDefault="00E525CF" w:rsidP="00E525CF">
      <w:pPr>
        <w:tabs>
          <w:tab w:val="left" w:pos="4320"/>
        </w:tabs>
        <w:spacing w:after="0" w:line="240" w:lineRule="auto"/>
        <w:rPr>
          <w:rFonts w:ascii="Times New Roman" w:eastAsia="Times New Roman" w:hAnsi="Times New Roman" w:cs="Times New Roman"/>
          <w:sz w:val="24"/>
          <w:szCs w:val="24"/>
          <w:lang w:val="x-none" w:eastAsia="x-none"/>
        </w:rPr>
      </w:pPr>
      <w:r w:rsidRPr="00E525CF">
        <w:rPr>
          <w:rFonts w:ascii="Times New Roman" w:eastAsia="Times New Roman" w:hAnsi="Times New Roman" w:cs="Times New Roman"/>
          <w:sz w:val="24"/>
          <w:szCs w:val="24"/>
          <w:lang w:val="x-none" w:eastAsia="x-none"/>
        </w:rPr>
        <w:t xml:space="preserve">Executive Director </w:t>
      </w:r>
    </w:p>
    <w:p w:rsidR="00E525CF" w:rsidRPr="00E525CF" w:rsidRDefault="00E525CF" w:rsidP="00E525CF">
      <w:pPr>
        <w:tabs>
          <w:tab w:val="left" w:pos="4320"/>
        </w:tabs>
        <w:spacing w:after="0" w:line="240" w:lineRule="auto"/>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ACT Corrective Services</w:t>
      </w:r>
    </w:p>
    <w:p w:rsidR="00E525CF" w:rsidRPr="00E525CF" w:rsidRDefault="00E525CF" w:rsidP="00E525CF">
      <w:pPr>
        <w:tabs>
          <w:tab w:val="left" w:pos="4320"/>
        </w:tabs>
        <w:spacing w:after="0" w:line="240" w:lineRule="auto"/>
        <w:rPr>
          <w:rFonts w:ascii="Times New Roman" w:eastAsia="Times New Roman" w:hAnsi="Times New Roman" w:cs="Times New Roman"/>
          <w:sz w:val="24"/>
          <w:szCs w:val="20"/>
        </w:rPr>
      </w:pPr>
      <w:r w:rsidRPr="00E525CF">
        <w:rPr>
          <w:rFonts w:ascii="Times New Roman" w:eastAsia="Times New Roman" w:hAnsi="Times New Roman" w:cs="Times New Roman"/>
          <w:sz w:val="24"/>
          <w:szCs w:val="20"/>
        </w:rPr>
        <w:t>27 June 2019</w:t>
      </w:r>
    </w:p>
    <w:p w:rsidR="00E525CF" w:rsidRPr="00E525CF" w:rsidRDefault="00E525CF" w:rsidP="00E525CF">
      <w:pPr>
        <w:spacing w:after="0" w:line="240" w:lineRule="auto"/>
        <w:rPr>
          <w:rFonts w:ascii="Times New Roman" w:eastAsia="Times New Roman" w:hAnsi="Times New Roman" w:cs="Times New Roman"/>
          <w:sz w:val="24"/>
          <w:szCs w:val="20"/>
        </w:rPr>
      </w:pPr>
    </w:p>
    <w:p w:rsidR="00E525CF" w:rsidRDefault="00E525CF" w:rsidP="004D1932">
      <w:pPr>
        <w:spacing w:before="120" w:after="120"/>
        <w:rPr>
          <w:rFonts w:cs="Arial"/>
          <w:b/>
        </w:rPr>
        <w:sectPr w:rsidR="00E525CF" w:rsidSect="00E525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8" w:footer="709"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586F66" w:rsidTr="00D14599">
        <w:tc>
          <w:tcPr>
            <w:tcW w:w="3085" w:type="dxa"/>
            <w:shd w:val="clear" w:color="auto" w:fill="8DB3E2" w:themeFill="text2" w:themeFillTint="66"/>
          </w:tcPr>
          <w:p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6157" w:type="dxa"/>
            <w:shd w:val="clear" w:color="auto" w:fill="8DB3E2" w:themeFill="text2" w:themeFillTint="66"/>
          </w:tcPr>
          <w:p w:rsidR="007B3718" w:rsidRPr="00202B3A" w:rsidRDefault="00F37ADB" w:rsidP="00BE6374">
            <w:pPr>
              <w:spacing w:before="120" w:after="120"/>
              <w:rPr>
                <w:rFonts w:cs="Arial"/>
                <w:b/>
              </w:rPr>
            </w:pPr>
            <w:r>
              <w:rPr>
                <w:rFonts w:cs="Arial"/>
                <w:b/>
              </w:rPr>
              <w:t xml:space="preserve">Induction </w:t>
            </w:r>
          </w:p>
        </w:tc>
      </w:tr>
      <w:tr w:rsidR="003A3CF7" w:rsidRPr="00586F66" w:rsidTr="00586F66">
        <w:tc>
          <w:tcPr>
            <w:tcW w:w="3085" w:type="dxa"/>
          </w:tcPr>
          <w:p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6157" w:type="dxa"/>
          </w:tcPr>
          <w:p w:rsidR="003A3CF7" w:rsidRPr="00586F66" w:rsidRDefault="0045757A" w:rsidP="00CF03FA">
            <w:pPr>
              <w:spacing w:before="120" w:after="120"/>
              <w:rPr>
                <w:rFonts w:cs="Arial"/>
                <w:b/>
              </w:rPr>
            </w:pPr>
            <w:r>
              <w:rPr>
                <w:rFonts w:cs="Arial"/>
                <w:b/>
              </w:rPr>
              <w:t>D4.1</w:t>
            </w:r>
          </w:p>
        </w:tc>
      </w:tr>
      <w:tr w:rsidR="00510017" w:rsidRPr="00586F66" w:rsidTr="008C1D7D">
        <w:tc>
          <w:tcPr>
            <w:tcW w:w="3085" w:type="dxa"/>
          </w:tcPr>
          <w:p w:rsidR="00510017" w:rsidRPr="00586F66" w:rsidRDefault="00586F66" w:rsidP="00510017">
            <w:pPr>
              <w:spacing w:before="120" w:after="120"/>
              <w:rPr>
                <w:rFonts w:cs="Arial"/>
                <w:b/>
              </w:rPr>
            </w:pPr>
            <w:r>
              <w:rPr>
                <w:rFonts w:cs="Arial"/>
                <w:b/>
              </w:rPr>
              <w:t>SCOPE</w:t>
            </w:r>
          </w:p>
        </w:tc>
        <w:tc>
          <w:tcPr>
            <w:tcW w:w="6157" w:type="dxa"/>
            <w:shd w:val="clear" w:color="auto" w:fill="auto"/>
          </w:tcPr>
          <w:p w:rsidR="00510017" w:rsidRPr="00202B3A" w:rsidRDefault="001B186D" w:rsidP="00443F33">
            <w:pPr>
              <w:spacing w:before="120" w:after="120"/>
              <w:rPr>
                <w:rFonts w:cs="Arial"/>
                <w:b/>
                <w:color w:val="FF0000"/>
                <w:highlight w:val="lightGray"/>
              </w:rPr>
            </w:pPr>
            <w:r w:rsidRPr="0045757A">
              <w:rPr>
                <w:rFonts w:cs="Arial"/>
                <w:b/>
              </w:rPr>
              <w:t>Alexander Maconochie Centre</w:t>
            </w:r>
          </w:p>
        </w:tc>
      </w:tr>
    </w:tbl>
    <w:p w:rsidR="008C1D7D" w:rsidRDefault="00E62FBC" w:rsidP="005E011D">
      <w:pPr>
        <w:spacing w:before="240"/>
        <w:rPr>
          <w:rFonts w:cs="Arial"/>
          <w:b/>
        </w:rPr>
      </w:pPr>
      <w:r w:rsidRPr="00586F66">
        <w:rPr>
          <w:rFonts w:cs="Arial"/>
          <w:b/>
        </w:rPr>
        <w:t>STATEMENT OF PURPOSE</w:t>
      </w:r>
    </w:p>
    <w:p w:rsidR="00057B04" w:rsidRDefault="00952F03" w:rsidP="005E011D">
      <w:pPr>
        <w:spacing w:before="240"/>
        <w:rPr>
          <w:rFonts w:cs="Arial"/>
        </w:rPr>
      </w:pPr>
      <w:r>
        <w:rPr>
          <w:rFonts w:cs="Arial"/>
        </w:rPr>
        <w:t>T</w:t>
      </w:r>
      <w:r w:rsidR="00CD6D77">
        <w:rPr>
          <w:rFonts w:cs="Arial"/>
        </w:rPr>
        <w:t xml:space="preserve">o provide instruction to staff </w:t>
      </w:r>
      <w:r w:rsidR="00F8514C">
        <w:rPr>
          <w:rFonts w:cs="Arial"/>
        </w:rPr>
        <w:t xml:space="preserve">members responsible for the management of detainees </w:t>
      </w:r>
      <w:r w:rsidR="00AC6BA8">
        <w:rPr>
          <w:rFonts w:cs="Arial"/>
        </w:rPr>
        <w:t xml:space="preserve">through the </w:t>
      </w:r>
      <w:r w:rsidR="00F8514C">
        <w:rPr>
          <w:rFonts w:cs="Arial"/>
        </w:rPr>
        <w:t>induction process</w:t>
      </w:r>
      <w:r w:rsidR="00D94FE5">
        <w:rPr>
          <w:rFonts w:cs="Arial"/>
        </w:rPr>
        <w:t>.</w:t>
      </w:r>
    </w:p>
    <w:p w:rsidR="001B186D" w:rsidRPr="00057B04" w:rsidRDefault="00C8051F" w:rsidP="005E011D">
      <w:pPr>
        <w:spacing w:before="240"/>
        <w:rPr>
          <w:rFonts w:cs="Arial"/>
        </w:rPr>
      </w:pPr>
      <w:r>
        <w:rPr>
          <w:rFonts w:cs="Arial"/>
        </w:rPr>
        <w:t>F</w:t>
      </w:r>
      <w:r w:rsidR="001B186D">
        <w:rPr>
          <w:rFonts w:cs="Arial"/>
        </w:rPr>
        <w:t>emale detainees will complete the induction process</w:t>
      </w:r>
      <w:r w:rsidR="00CA460E">
        <w:rPr>
          <w:rFonts w:cs="Arial"/>
        </w:rPr>
        <w:t xml:space="preserve"> in a</w:t>
      </w:r>
      <w:r w:rsidR="00551622">
        <w:rPr>
          <w:rFonts w:cs="Arial"/>
        </w:rPr>
        <w:t xml:space="preserve"> designated </w:t>
      </w:r>
      <w:r w:rsidR="007F35D2">
        <w:rPr>
          <w:rFonts w:cs="Arial"/>
        </w:rPr>
        <w:t>location separate to the general</w:t>
      </w:r>
      <w:r w:rsidR="00E069F1">
        <w:rPr>
          <w:rFonts w:cs="Arial"/>
        </w:rPr>
        <w:t xml:space="preserve"> female</w:t>
      </w:r>
      <w:r w:rsidR="007F35D2">
        <w:rPr>
          <w:rFonts w:cs="Arial"/>
        </w:rPr>
        <w:t xml:space="preserve"> population unless otherwise authorised by the Area Manager or above.</w:t>
      </w:r>
      <w:r w:rsidR="00E069F1">
        <w:rPr>
          <w:rFonts w:cs="Arial"/>
        </w:rPr>
        <w:t xml:space="preserve"> The Induction Coordinator will be supported by the Women and Children Services Coordinator to ensure </w:t>
      </w:r>
      <w:r w:rsidR="00DD0D6C">
        <w:rPr>
          <w:rFonts w:cs="Arial"/>
        </w:rPr>
        <w:t>female detainees</w:t>
      </w:r>
      <w:r w:rsidR="00E069F1">
        <w:rPr>
          <w:rFonts w:cs="Arial"/>
        </w:rPr>
        <w:t xml:space="preserve"> are provided with adequate access and opportunities to complete the induction tasks and process.</w:t>
      </w:r>
      <w:r w:rsidR="00003AAC">
        <w:rPr>
          <w:rFonts w:cs="Arial"/>
        </w:rPr>
        <w:t xml:space="preserve"> Information specific to female detainees will be outlined in the </w:t>
      </w:r>
      <w:r w:rsidR="00003AAC" w:rsidRPr="00003AAC">
        <w:rPr>
          <w:rFonts w:cs="Arial"/>
          <w:i/>
          <w:u w:val="single"/>
        </w:rPr>
        <w:t>Female Induction Handbook</w:t>
      </w:r>
      <w:r w:rsidR="00003AAC">
        <w:rPr>
          <w:rFonts w:cs="Arial"/>
        </w:rPr>
        <w:t>.</w:t>
      </w:r>
    </w:p>
    <w:p w:rsidR="00152D5E" w:rsidRDefault="004D1932" w:rsidP="005E011D">
      <w:pPr>
        <w:spacing w:before="240"/>
        <w:rPr>
          <w:rFonts w:cs="Arial"/>
          <w:b/>
        </w:rPr>
      </w:pPr>
      <w:r>
        <w:rPr>
          <w:rFonts w:cs="Arial"/>
          <w:b/>
        </w:rPr>
        <w:t>PROCEDURE</w:t>
      </w:r>
      <w:r w:rsidR="007B3718" w:rsidRPr="00586F66">
        <w:rPr>
          <w:rFonts w:cs="Arial"/>
          <w:b/>
        </w:rPr>
        <w:t>S</w:t>
      </w:r>
    </w:p>
    <w:p w:rsidR="00C80B5D" w:rsidRPr="00C80B5D" w:rsidRDefault="00C80B5D" w:rsidP="0014632E">
      <w:pPr>
        <w:pStyle w:val="ListParagraph"/>
        <w:numPr>
          <w:ilvl w:val="0"/>
          <w:numId w:val="42"/>
        </w:numPr>
        <w:ind w:left="567" w:hanging="567"/>
        <w:rPr>
          <w:rFonts w:cs="Arial"/>
          <w:b/>
        </w:rPr>
      </w:pPr>
      <w:r w:rsidRPr="00C80B5D">
        <w:rPr>
          <w:rFonts w:cs="Arial"/>
          <w:b/>
        </w:rPr>
        <w:t>Initial Induction</w:t>
      </w:r>
    </w:p>
    <w:p w:rsidR="007C57D2" w:rsidRDefault="00402B4B" w:rsidP="0014632E">
      <w:pPr>
        <w:pStyle w:val="ListParagraph"/>
        <w:numPr>
          <w:ilvl w:val="1"/>
          <w:numId w:val="42"/>
        </w:numPr>
        <w:ind w:left="567" w:hanging="567"/>
        <w:rPr>
          <w:rFonts w:cs="Arial"/>
        </w:rPr>
      </w:pPr>
      <w:r w:rsidRPr="00C80B5D">
        <w:rPr>
          <w:rFonts w:cs="Arial"/>
        </w:rPr>
        <w:t xml:space="preserve">After admission to custody, a </w:t>
      </w:r>
      <w:r w:rsidR="006F4713">
        <w:rPr>
          <w:rFonts w:cs="Arial"/>
        </w:rPr>
        <w:t xml:space="preserve">male </w:t>
      </w:r>
      <w:r w:rsidRPr="00C80B5D">
        <w:rPr>
          <w:rFonts w:cs="Arial"/>
        </w:rPr>
        <w:t>detainee must be accommodated in the Induction Unit unless otherwise authorised by the Area Manager or above.</w:t>
      </w:r>
      <w:r w:rsidR="009E2DF6" w:rsidRPr="00C80B5D">
        <w:rPr>
          <w:rFonts w:cs="Arial"/>
        </w:rPr>
        <w:t xml:space="preserve"> </w:t>
      </w:r>
    </w:p>
    <w:p w:rsidR="00402B4B" w:rsidRDefault="0048203A" w:rsidP="0014632E">
      <w:pPr>
        <w:pStyle w:val="ListParagraph"/>
        <w:numPr>
          <w:ilvl w:val="1"/>
          <w:numId w:val="42"/>
        </w:numPr>
        <w:ind w:left="567" w:hanging="567"/>
        <w:rPr>
          <w:rFonts w:cs="Arial"/>
        </w:rPr>
      </w:pPr>
      <w:r w:rsidRPr="00C80B5D">
        <w:rPr>
          <w:rFonts w:cs="Arial"/>
        </w:rPr>
        <w:t>The Induction Coordinator must ensure d</w:t>
      </w:r>
      <w:r w:rsidR="009E2DF6" w:rsidRPr="00C80B5D">
        <w:rPr>
          <w:rFonts w:cs="Arial"/>
        </w:rPr>
        <w:t>etainees located in areas oth</w:t>
      </w:r>
      <w:r w:rsidRPr="00C80B5D">
        <w:rPr>
          <w:rFonts w:cs="Arial"/>
        </w:rPr>
        <w:t>er than the Induction Unit</w:t>
      </w:r>
      <w:r w:rsidR="0073267F">
        <w:rPr>
          <w:rFonts w:cs="Arial"/>
        </w:rPr>
        <w:t>,</w:t>
      </w:r>
      <w:r w:rsidRPr="00C80B5D">
        <w:rPr>
          <w:rFonts w:cs="Arial"/>
        </w:rPr>
        <w:t xml:space="preserve"> </w:t>
      </w:r>
      <w:r w:rsidR="009E2DF6" w:rsidRPr="00C80B5D">
        <w:rPr>
          <w:rFonts w:cs="Arial"/>
        </w:rPr>
        <w:t xml:space="preserve">still have </w:t>
      </w:r>
      <w:r w:rsidR="00A80D5E">
        <w:rPr>
          <w:rFonts w:cs="Arial"/>
        </w:rPr>
        <w:t xml:space="preserve">the required </w:t>
      </w:r>
      <w:r w:rsidR="009E2DF6" w:rsidRPr="00C80B5D">
        <w:rPr>
          <w:rFonts w:cs="Arial"/>
        </w:rPr>
        <w:t>access to</w:t>
      </w:r>
      <w:r w:rsidR="00A80D5E">
        <w:rPr>
          <w:rFonts w:cs="Arial"/>
        </w:rPr>
        <w:t xml:space="preserve"> complete the</w:t>
      </w:r>
      <w:r w:rsidR="009E2DF6" w:rsidRPr="00C80B5D">
        <w:rPr>
          <w:rFonts w:cs="Arial"/>
        </w:rPr>
        <w:t xml:space="preserve"> </w:t>
      </w:r>
      <w:r w:rsidRPr="00C80B5D">
        <w:rPr>
          <w:rFonts w:cs="Arial"/>
        </w:rPr>
        <w:t>induction process.</w:t>
      </w:r>
    </w:p>
    <w:p w:rsidR="001432EA" w:rsidRDefault="00FB4271" w:rsidP="0014632E">
      <w:pPr>
        <w:pStyle w:val="ListParagraph"/>
        <w:numPr>
          <w:ilvl w:val="1"/>
          <w:numId w:val="42"/>
        </w:numPr>
        <w:ind w:left="567" w:hanging="567"/>
        <w:rPr>
          <w:rFonts w:cs="Arial"/>
        </w:rPr>
      </w:pPr>
      <w:r>
        <w:rPr>
          <w:rFonts w:cs="Arial"/>
        </w:rPr>
        <w:t>Detainees must be placed on a 60x24 written observation regime for the first 24 hours in custody</w:t>
      </w:r>
      <w:r w:rsidR="00B33160">
        <w:rPr>
          <w:rFonts w:cs="Arial"/>
        </w:rPr>
        <w:t xml:space="preserve"> to observe adjustment to custody</w:t>
      </w:r>
      <w:r>
        <w:rPr>
          <w:rFonts w:cs="Arial"/>
        </w:rPr>
        <w:t>.</w:t>
      </w:r>
      <w:r w:rsidR="00952F03">
        <w:rPr>
          <w:rFonts w:cs="Arial"/>
        </w:rPr>
        <w:t xml:space="preserve"> </w:t>
      </w:r>
    </w:p>
    <w:p w:rsidR="003F136F" w:rsidRPr="00FB4271" w:rsidRDefault="003F136F" w:rsidP="0014632E">
      <w:pPr>
        <w:pStyle w:val="ListParagraph"/>
        <w:numPr>
          <w:ilvl w:val="1"/>
          <w:numId w:val="42"/>
        </w:numPr>
        <w:ind w:left="567" w:hanging="567"/>
        <w:rPr>
          <w:rFonts w:cs="Arial"/>
        </w:rPr>
      </w:pPr>
      <w:r>
        <w:rPr>
          <w:rFonts w:cs="Arial"/>
        </w:rPr>
        <w:t>The Induction Officer will notify an Area Manager once the observation period has been completed.</w:t>
      </w:r>
    </w:p>
    <w:p w:rsidR="00C80B5D" w:rsidRDefault="001E7C98" w:rsidP="0014632E">
      <w:pPr>
        <w:pStyle w:val="ListParagraph"/>
        <w:numPr>
          <w:ilvl w:val="1"/>
          <w:numId w:val="42"/>
        </w:numPr>
        <w:ind w:left="567" w:hanging="567"/>
        <w:rPr>
          <w:rFonts w:cs="Arial"/>
        </w:rPr>
      </w:pPr>
      <w:r w:rsidRPr="00C80B5D">
        <w:rPr>
          <w:rFonts w:cs="Arial"/>
        </w:rPr>
        <w:t>On entering the unit, or as soon as practicable within 24 hours</w:t>
      </w:r>
      <w:r w:rsidR="00E616C4">
        <w:rPr>
          <w:rFonts w:cs="Arial"/>
        </w:rPr>
        <w:t>, the Induction Officer</w:t>
      </w:r>
      <w:r w:rsidRPr="00C80B5D">
        <w:rPr>
          <w:rFonts w:cs="Arial"/>
        </w:rPr>
        <w:t xml:space="preserve"> </w:t>
      </w:r>
      <w:r w:rsidR="006F33B3">
        <w:rPr>
          <w:rFonts w:cs="Arial"/>
        </w:rPr>
        <w:t>must</w:t>
      </w:r>
      <w:r w:rsidRPr="00C80B5D">
        <w:rPr>
          <w:rFonts w:cs="Arial"/>
        </w:rPr>
        <w:t xml:space="preserve"> issue</w:t>
      </w:r>
      <w:r w:rsidR="00E616C4">
        <w:rPr>
          <w:rFonts w:cs="Arial"/>
        </w:rPr>
        <w:t xml:space="preserve"> the detainee</w:t>
      </w:r>
      <w:r w:rsidRPr="00C80B5D">
        <w:rPr>
          <w:rFonts w:cs="Arial"/>
        </w:rPr>
        <w:t xml:space="preserve"> with the </w:t>
      </w:r>
      <w:r w:rsidR="00DA6366" w:rsidRPr="00DA6366">
        <w:rPr>
          <w:rFonts w:cs="Arial"/>
          <w:i/>
          <w:u w:val="single"/>
        </w:rPr>
        <w:t>I</w:t>
      </w:r>
      <w:r w:rsidRPr="00DA6366">
        <w:rPr>
          <w:rFonts w:cs="Arial"/>
          <w:i/>
          <w:u w:val="single"/>
        </w:rPr>
        <w:t xml:space="preserve">nduction </w:t>
      </w:r>
      <w:r w:rsidR="00DA6366" w:rsidRPr="00DA6366">
        <w:rPr>
          <w:rFonts w:cs="Arial"/>
          <w:i/>
          <w:u w:val="single"/>
        </w:rPr>
        <w:t>H</w:t>
      </w:r>
      <w:r w:rsidRPr="00DA6366">
        <w:rPr>
          <w:rFonts w:cs="Arial"/>
          <w:i/>
          <w:u w:val="single"/>
        </w:rPr>
        <w:t>andbook</w:t>
      </w:r>
      <w:r w:rsidR="00F37ADB" w:rsidRPr="00C80B5D">
        <w:rPr>
          <w:rFonts w:cs="Arial"/>
        </w:rPr>
        <w:t>, structured day timetable</w:t>
      </w:r>
      <w:r w:rsidRPr="00C80B5D">
        <w:rPr>
          <w:rFonts w:cs="Arial"/>
        </w:rPr>
        <w:t xml:space="preserve"> and </w:t>
      </w:r>
      <w:r w:rsidR="00A10BC9">
        <w:rPr>
          <w:rFonts w:cs="Arial"/>
        </w:rPr>
        <w:t>phone and email forms</w:t>
      </w:r>
      <w:r w:rsidR="00E616C4">
        <w:rPr>
          <w:rFonts w:cs="Arial"/>
        </w:rPr>
        <w:t>.</w:t>
      </w:r>
    </w:p>
    <w:p w:rsidR="0048203A" w:rsidRDefault="00E616C4" w:rsidP="0014632E">
      <w:pPr>
        <w:pStyle w:val="ListParagraph"/>
        <w:numPr>
          <w:ilvl w:val="1"/>
          <w:numId w:val="42"/>
        </w:numPr>
        <w:ind w:left="567" w:hanging="567"/>
        <w:rPr>
          <w:rFonts w:cs="Arial"/>
        </w:rPr>
      </w:pPr>
      <w:r>
        <w:rPr>
          <w:rFonts w:cs="Arial"/>
        </w:rPr>
        <w:t xml:space="preserve">The Induction Officer </w:t>
      </w:r>
      <w:r w:rsidR="00A80D5E">
        <w:rPr>
          <w:rFonts w:cs="Arial"/>
        </w:rPr>
        <w:t>will</w:t>
      </w:r>
      <w:r>
        <w:rPr>
          <w:rFonts w:cs="Arial"/>
        </w:rPr>
        <w:t xml:space="preserve"> ensure a detainee is</w:t>
      </w:r>
      <w:r w:rsidR="0048203A" w:rsidRPr="00C80B5D">
        <w:rPr>
          <w:rFonts w:cs="Arial"/>
        </w:rPr>
        <w:t xml:space="preserve"> seen by a peer support worker within the first 48 hours of admission to custody.</w:t>
      </w:r>
    </w:p>
    <w:p w:rsidR="0073267F" w:rsidRDefault="0073267F" w:rsidP="0014632E">
      <w:pPr>
        <w:pStyle w:val="ListParagraph"/>
        <w:ind w:left="567" w:hanging="567"/>
        <w:rPr>
          <w:rFonts w:cs="Arial"/>
        </w:rPr>
      </w:pPr>
    </w:p>
    <w:p w:rsidR="00E91A3D" w:rsidRPr="00F43A1E" w:rsidRDefault="0073267F" w:rsidP="0014632E">
      <w:pPr>
        <w:pStyle w:val="ListParagraph"/>
        <w:numPr>
          <w:ilvl w:val="0"/>
          <w:numId w:val="42"/>
        </w:numPr>
        <w:ind w:left="567" w:hanging="567"/>
        <w:rPr>
          <w:rFonts w:cs="Arial"/>
          <w:b/>
        </w:rPr>
      </w:pPr>
      <w:r w:rsidRPr="00923D5D">
        <w:rPr>
          <w:rFonts w:cs="Arial"/>
          <w:b/>
        </w:rPr>
        <w:t>Induction Process</w:t>
      </w:r>
      <w:r w:rsidR="005F5A14" w:rsidRPr="00923D5D">
        <w:rPr>
          <w:rFonts w:cs="Arial"/>
          <w:b/>
        </w:rPr>
        <w:t xml:space="preserve"> </w:t>
      </w:r>
    </w:p>
    <w:p w:rsidR="00F43A1E" w:rsidRDefault="00F43A1E" w:rsidP="0014632E">
      <w:pPr>
        <w:pStyle w:val="ListParagraph"/>
        <w:numPr>
          <w:ilvl w:val="1"/>
          <w:numId w:val="42"/>
        </w:numPr>
        <w:ind w:left="567" w:hanging="567"/>
        <w:rPr>
          <w:rFonts w:cs="Arial"/>
        </w:rPr>
      </w:pPr>
      <w:r w:rsidRPr="00F43A1E">
        <w:rPr>
          <w:rFonts w:cs="Arial"/>
        </w:rPr>
        <w:t xml:space="preserve">The Induction Coordinator is responsible for the coordination of services and ensuring detainees have the required access to the induction tasks and assessments below. The Induction Officer supports the Coordinator in this and manages detainees to comply with the unit’s regime and behaviour expectations as stipulated in the </w:t>
      </w:r>
      <w:r w:rsidR="00227943" w:rsidRPr="00227943">
        <w:rPr>
          <w:rFonts w:cs="Arial"/>
          <w:i/>
          <w:u w:val="single"/>
        </w:rPr>
        <w:t>D</w:t>
      </w:r>
      <w:r w:rsidRPr="00227943">
        <w:rPr>
          <w:rFonts w:cs="Arial"/>
          <w:i/>
          <w:u w:val="single"/>
        </w:rPr>
        <w:t xml:space="preserve">etainee </w:t>
      </w:r>
      <w:r w:rsidR="00227943" w:rsidRPr="00227943">
        <w:rPr>
          <w:rFonts w:cs="Arial"/>
          <w:i/>
          <w:u w:val="single"/>
        </w:rPr>
        <w:t>H</w:t>
      </w:r>
      <w:r w:rsidRPr="00227943">
        <w:rPr>
          <w:rFonts w:cs="Arial"/>
          <w:i/>
          <w:u w:val="single"/>
        </w:rPr>
        <w:t>andbook</w:t>
      </w:r>
      <w:r w:rsidRPr="00F43A1E">
        <w:rPr>
          <w:rFonts w:cs="Arial"/>
        </w:rPr>
        <w:t>.</w:t>
      </w:r>
    </w:p>
    <w:p w:rsidR="008E09E9" w:rsidRDefault="008E09E9" w:rsidP="0014632E">
      <w:pPr>
        <w:pStyle w:val="ListParagraph"/>
        <w:numPr>
          <w:ilvl w:val="1"/>
          <w:numId w:val="42"/>
        </w:numPr>
        <w:ind w:left="567" w:hanging="567"/>
        <w:rPr>
          <w:rFonts w:cs="Arial"/>
        </w:rPr>
      </w:pPr>
      <w:r>
        <w:rPr>
          <w:rFonts w:cs="Arial"/>
        </w:rPr>
        <w:t xml:space="preserve">The Induction Coordinator will generate an </w:t>
      </w:r>
      <w:r w:rsidR="00227943">
        <w:rPr>
          <w:rFonts w:cs="Arial"/>
          <w:i/>
          <w:u w:val="single"/>
        </w:rPr>
        <w:t>I</w:t>
      </w:r>
      <w:r w:rsidRPr="008E09E9">
        <w:rPr>
          <w:rFonts w:cs="Arial"/>
          <w:i/>
          <w:u w:val="single"/>
        </w:rPr>
        <w:t xml:space="preserve">nduction </w:t>
      </w:r>
      <w:r w:rsidR="00676C06">
        <w:rPr>
          <w:rFonts w:cs="Arial"/>
          <w:i/>
          <w:u w:val="single"/>
        </w:rPr>
        <w:t>C</w:t>
      </w:r>
      <w:r w:rsidRPr="008E09E9">
        <w:rPr>
          <w:rFonts w:cs="Arial"/>
          <w:i/>
          <w:u w:val="single"/>
        </w:rPr>
        <w:t>hecklist</w:t>
      </w:r>
      <w:r>
        <w:rPr>
          <w:rFonts w:cs="Arial"/>
        </w:rPr>
        <w:t xml:space="preserve"> for </w:t>
      </w:r>
      <w:r w:rsidR="00A80D5E">
        <w:rPr>
          <w:rFonts w:cs="Arial"/>
        </w:rPr>
        <w:t>a</w:t>
      </w:r>
      <w:r>
        <w:rPr>
          <w:rFonts w:cs="Arial"/>
        </w:rPr>
        <w:t xml:space="preserve"> detainee that details each task and assessment required to complete the induction process. The Induction Coordinator is responsible for ensuring the </w:t>
      </w:r>
      <w:r w:rsidR="00B33160">
        <w:rPr>
          <w:rFonts w:cs="Arial"/>
        </w:rPr>
        <w:t>form is completed</w:t>
      </w:r>
      <w:r>
        <w:rPr>
          <w:rFonts w:cs="Arial"/>
        </w:rPr>
        <w:t>.</w:t>
      </w:r>
    </w:p>
    <w:p w:rsidR="00413F5E" w:rsidRDefault="00A80D5E" w:rsidP="00E525CF">
      <w:pPr>
        <w:pStyle w:val="ListParagraph"/>
        <w:keepNext/>
        <w:keepLines/>
        <w:numPr>
          <w:ilvl w:val="1"/>
          <w:numId w:val="42"/>
        </w:numPr>
        <w:ind w:left="567" w:hanging="567"/>
        <w:rPr>
          <w:rFonts w:cs="Arial"/>
        </w:rPr>
      </w:pPr>
      <w:r>
        <w:rPr>
          <w:rFonts w:cs="Arial"/>
        </w:rPr>
        <w:lastRenderedPageBreak/>
        <w:t>A detainee should</w:t>
      </w:r>
      <w:r w:rsidR="0073267F" w:rsidRPr="00923D5D">
        <w:rPr>
          <w:rFonts w:cs="Arial"/>
        </w:rPr>
        <w:t xml:space="preserve"> complete the induction process as soon as practicable, within </w:t>
      </w:r>
      <w:r w:rsidR="00BD5304">
        <w:rPr>
          <w:rFonts w:cs="Arial"/>
        </w:rPr>
        <w:t>five (5)</w:t>
      </w:r>
      <w:r w:rsidR="0073267F" w:rsidRPr="00923D5D">
        <w:rPr>
          <w:rFonts w:cs="Arial"/>
        </w:rPr>
        <w:t xml:space="preserve"> </w:t>
      </w:r>
      <w:r w:rsidR="00C8051F">
        <w:rPr>
          <w:rFonts w:cs="Arial"/>
        </w:rPr>
        <w:t>business</w:t>
      </w:r>
      <w:r w:rsidR="00E616C4">
        <w:rPr>
          <w:rFonts w:cs="Arial"/>
        </w:rPr>
        <w:t xml:space="preserve"> </w:t>
      </w:r>
      <w:r w:rsidR="0073267F" w:rsidRPr="00923D5D">
        <w:rPr>
          <w:rFonts w:cs="Arial"/>
        </w:rPr>
        <w:t>days.</w:t>
      </w:r>
      <w:r w:rsidR="00554A08" w:rsidRPr="00923D5D">
        <w:rPr>
          <w:rFonts w:cs="Arial"/>
        </w:rPr>
        <w:t xml:space="preserve"> The </w:t>
      </w:r>
      <w:r w:rsidR="007E62BB" w:rsidRPr="00923D5D">
        <w:rPr>
          <w:rFonts w:cs="Arial"/>
        </w:rPr>
        <w:t xml:space="preserve">induction </w:t>
      </w:r>
      <w:r>
        <w:rPr>
          <w:rFonts w:cs="Arial"/>
        </w:rPr>
        <w:t xml:space="preserve">structured day </w:t>
      </w:r>
      <w:r w:rsidR="00554A08" w:rsidRPr="00923D5D">
        <w:rPr>
          <w:rFonts w:cs="Arial"/>
        </w:rPr>
        <w:t xml:space="preserve">timetable will ensure a detainee has access to </w:t>
      </w:r>
      <w:r w:rsidR="007E62BB" w:rsidRPr="00923D5D">
        <w:rPr>
          <w:rFonts w:cs="Arial"/>
        </w:rPr>
        <w:t>the relevant services and activities required to undertake assessments and testing</w:t>
      </w:r>
      <w:r w:rsidR="007C57D2">
        <w:rPr>
          <w:rFonts w:cs="Arial"/>
        </w:rPr>
        <w:t xml:space="preserve"> prior to</w:t>
      </w:r>
      <w:r w:rsidR="00C93F86">
        <w:rPr>
          <w:rFonts w:cs="Arial"/>
        </w:rPr>
        <w:t xml:space="preserve"> security classification and accommodation</w:t>
      </w:r>
      <w:r w:rsidR="007C57D2">
        <w:rPr>
          <w:rFonts w:cs="Arial"/>
        </w:rPr>
        <w:t xml:space="preserve"> placement</w:t>
      </w:r>
      <w:r w:rsidR="007E62BB" w:rsidRPr="00923D5D">
        <w:rPr>
          <w:rFonts w:cs="Arial"/>
        </w:rPr>
        <w:t>.</w:t>
      </w:r>
    </w:p>
    <w:p w:rsidR="00923D5D" w:rsidRDefault="00554A08" w:rsidP="0014632E">
      <w:pPr>
        <w:pStyle w:val="ListParagraph"/>
        <w:numPr>
          <w:ilvl w:val="1"/>
          <w:numId w:val="42"/>
        </w:numPr>
        <w:ind w:left="567" w:hanging="567"/>
        <w:rPr>
          <w:rFonts w:cs="Arial"/>
        </w:rPr>
      </w:pPr>
      <w:r w:rsidRPr="00923D5D">
        <w:rPr>
          <w:rFonts w:cs="Arial"/>
        </w:rPr>
        <w:t xml:space="preserve">Culturally and </w:t>
      </w:r>
      <w:r w:rsidR="00280260">
        <w:rPr>
          <w:rFonts w:cs="Arial"/>
        </w:rPr>
        <w:t>L</w:t>
      </w:r>
      <w:r w:rsidRPr="00923D5D">
        <w:rPr>
          <w:rFonts w:cs="Arial"/>
        </w:rPr>
        <w:t xml:space="preserve">inguistically </w:t>
      </w:r>
      <w:r w:rsidR="00280260">
        <w:rPr>
          <w:rFonts w:cs="Arial"/>
        </w:rPr>
        <w:t>D</w:t>
      </w:r>
      <w:r w:rsidRPr="00923D5D">
        <w:rPr>
          <w:rFonts w:cs="Arial"/>
        </w:rPr>
        <w:t xml:space="preserve">iverse detainees must be afforded the services of an interpreter, as appropriate, and if required </w:t>
      </w:r>
      <w:r w:rsidR="00CB799C" w:rsidRPr="00923D5D">
        <w:rPr>
          <w:rFonts w:cs="Arial"/>
        </w:rPr>
        <w:t>to</w:t>
      </w:r>
      <w:r w:rsidRPr="00923D5D">
        <w:rPr>
          <w:rFonts w:cs="Arial"/>
        </w:rPr>
        <w:t xml:space="preserve"> complete the induction process.</w:t>
      </w:r>
      <w:r w:rsidR="00BA6A6F" w:rsidRPr="00BA6A6F">
        <w:rPr>
          <w:rFonts w:cs="Arial"/>
        </w:rPr>
        <w:t xml:space="preserve"> </w:t>
      </w:r>
      <w:r w:rsidR="00BA6A6F" w:rsidRPr="00BA6A6F">
        <w:rPr>
          <w:rStyle w:val="ms-rtethemeforecolor-2-0"/>
          <w:rFonts w:cs="Segoe UI"/>
        </w:rPr>
        <w:t>The interpreting service can be contacted on 131450 and quote agency number C081402.</w:t>
      </w:r>
    </w:p>
    <w:p w:rsidR="00725429" w:rsidRDefault="00725429" w:rsidP="0014632E">
      <w:pPr>
        <w:pStyle w:val="ListParagraph"/>
        <w:numPr>
          <w:ilvl w:val="1"/>
          <w:numId w:val="42"/>
        </w:numPr>
        <w:ind w:left="567" w:hanging="567"/>
        <w:rPr>
          <w:rFonts w:cs="Arial"/>
        </w:rPr>
      </w:pPr>
      <w:r>
        <w:rPr>
          <w:rFonts w:cs="Arial"/>
        </w:rPr>
        <w:t>The Induction Coordinator must notify the catering section of any dietary requirements identified through the admission process.</w:t>
      </w:r>
    </w:p>
    <w:p w:rsidR="00923D5D" w:rsidRDefault="00025FB8" w:rsidP="0014632E">
      <w:pPr>
        <w:pStyle w:val="ListParagraph"/>
        <w:numPr>
          <w:ilvl w:val="1"/>
          <w:numId w:val="42"/>
        </w:numPr>
        <w:ind w:left="567" w:hanging="567"/>
        <w:rPr>
          <w:rFonts w:cs="Arial"/>
        </w:rPr>
      </w:pPr>
      <w:r>
        <w:rPr>
          <w:rFonts w:cs="Arial"/>
        </w:rPr>
        <w:t xml:space="preserve">The Induction Officer </w:t>
      </w:r>
      <w:r w:rsidR="00A80D5E">
        <w:rPr>
          <w:rFonts w:cs="Arial"/>
        </w:rPr>
        <w:t>must</w:t>
      </w:r>
      <w:r>
        <w:rPr>
          <w:rFonts w:cs="Arial"/>
        </w:rPr>
        <w:t xml:space="preserve"> ensure that a</w:t>
      </w:r>
      <w:r w:rsidR="0073267F" w:rsidRPr="00923D5D">
        <w:rPr>
          <w:rFonts w:cs="Arial"/>
        </w:rPr>
        <w:t xml:space="preserve"> detainee undertake</w:t>
      </w:r>
      <w:r>
        <w:rPr>
          <w:rFonts w:cs="Arial"/>
        </w:rPr>
        <w:t>s</w:t>
      </w:r>
      <w:r w:rsidR="0073267F" w:rsidRPr="00923D5D">
        <w:rPr>
          <w:rFonts w:cs="Arial"/>
        </w:rPr>
        <w:t xml:space="preserve"> a drug screening test within the first 72 hours of admission.</w:t>
      </w:r>
    </w:p>
    <w:p w:rsidR="00B957C8" w:rsidRPr="00B957C8" w:rsidRDefault="00B957C8" w:rsidP="0014632E">
      <w:pPr>
        <w:pStyle w:val="ListParagraph"/>
        <w:numPr>
          <w:ilvl w:val="1"/>
          <w:numId w:val="42"/>
        </w:numPr>
        <w:ind w:left="567" w:hanging="567"/>
        <w:rPr>
          <w:rFonts w:cs="Arial"/>
        </w:rPr>
      </w:pPr>
      <w:r>
        <w:rPr>
          <w:rFonts w:cs="Arial"/>
        </w:rPr>
        <w:t xml:space="preserve">The Induction Coordinator will scan </w:t>
      </w:r>
      <w:r w:rsidR="00214EF1">
        <w:rPr>
          <w:rFonts w:cs="Arial"/>
        </w:rPr>
        <w:t xml:space="preserve">completed phone and email forms for newly inducted detainees by close of business each day to </w:t>
      </w:r>
      <w:hyperlink r:id="rId14" w:history="1">
        <w:r w:rsidR="00214EF1" w:rsidRPr="00732F3C">
          <w:rPr>
            <w:rStyle w:val="Hyperlink"/>
            <w:rFonts w:cs="Arial"/>
          </w:rPr>
          <w:t>prisonpc@act.gov.au</w:t>
        </w:r>
      </w:hyperlink>
      <w:r w:rsidR="00214EF1">
        <w:rPr>
          <w:rFonts w:cs="Arial"/>
        </w:rPr>
        <w:t xml:space="preserve">. A detainee will receive the details of their phone and email accounts as soon as practicable, within </w:t>
      </w:r>
      <w:r w:rsidR="00BD5304">
        <w:rPr>
          <w:rFonts w:cs="Arial"/>
        </w:rPr>
        <w:t>five (5)</w:t>
      </w:r>
      <w:r w:rsidR="00214EF1">
        <w:rPr>
          <w:rFonts w:cs="Arial"/>
        </w:rPr>
        <w:t xml:space="preserve"> </w:t>
      </w:r>
      <w:r w:rsidR="006F33B3">
        <w:rPr>
          <w:rFonts w:cs="Arial"/>
        </w:rPr>
        <w:t>business</w:t>
      </w:r>
      <w:r w:rsidR="00214EF1">
        <w:rPr>
          <w:rFonts w:cs="Arial"/>
        </w:rPr>
        <w:t xml:space="preserve"> days.</w:t>
      </w:r>
    </w:p>
    <w:p w:rsidR="00923D5D" w:rsidRDefault="004F52D9" w:rsidP="0014632E">
      <w:pPr>
        <w:pStyle w:val="ListParagraph"/>
        <w:numPr>
          <w:ilvl w:val="1"/>
          <w:numId w:val="42"/>
        </w:numPr>
        <w:ind w:left="567" w:hanging="567"/>
        <w:rPr>
          <w:rFonts w:cs="Arial"/>
        </w:rPr>
      </w:pPr>
      <w:r>
        <w:rPr>
          <w:rFonts w:cs="Arial"/>
        </w:rPr>
        <w:t xml:space="preserve">The Induction Coordinator will ensure that detainees </w:t>
      </w:r>
      <w:r w:rsidR="00E410C8" w:rsidRPr="00923D5D">
        <w:rPr>
          <w:rFonts w:cs="Arial"/>
        </w:rPr>
        <w:t>have contact with a Welfare Officer within</w:t>
      </w:r>
      <w:r w:rsidR="00EC55FE">
        <w:rPr>
          <w:rFonts w:cs="Arial"/>
        </w:rPr>
        <w:t xml:space="preserve"> </w:t>
      </w:r>
      <w:r w:rsidR="00BD5304">
        <w:rPr>
          <w:rFonts w:cs="Arial"/>
        </w:rPr>
        <w:t>five (5)</w:t>
      </w:r>
      <w:r w:rsidR="00E410C8" w:rsidRPr="00923D5D">
        <w:rPr>
          <w:rFonts w:cs="Arial"/>
        </w:rPr>
        <w:t xml:space="preserve"> </w:t>
      </w:r>
      <w:r w:rsidR="003F136F">
        <w:rPr>
          <w:rFonts w:cs="Arial"/>
        </w:rPr>
        <w:t xml:space="preserve">business </w:t>
      </w:r>
      <w:r w:rsidR="00E410C8" w:rsidRPr="00923D5D">
        <w:rPr>
          <w:rFonts w:cs="Arial"/>
        </w:rPr>
        <w:t>days of admission.</w:t>
      </w:r>
    </w:p>
    <w:p w:rsidR="00923D5D" w:rsidRDefault="00BB5BC3" w:rsidP="0014632E">
      <w:pPr>
        <w:pStyle w:val="ListParagraph"/>
        <w:numPr>
          <w:ilvl w:val="1"/>
          <w:numId w:val="42"/>
        </w:numPr>
        <w:ind w:left="567" w:hanging="567"/>
        <w:rPr>
          <w:rFonts w:cs="Arial"/>
        </w:rPr>
      </w:pPr>
      <w:r>
        <w:rPr>
          <w:rFonts w:cs="Arial"/>
        </w:rPr>
        <w:t>The Induction Coordinator will ensure that</w:t>
      </w:r>
      <w:r w:rsidRPr="00923D5D">
        <w:rPr>
          <w:rFonts w:cs="Arial"/>
        </w:rPr>
        <w:t xml:space="preserve"> </w:t>
      </w:r>
      <w:r w:rsidR="00E410C8" w:rsidRPr="00923D5D">
        <w:rPr>
          <w:rFonts w:cs="Arial"/>
        </w:rPr>
        <w:t xml:space="preserve">detainees </w:t>
      </w:r>
      <w:r>
        <w:rPr>
          <w:rFonts w:cs="Arial"/>
        </w:rPr>
        <w:t>are</w:t>
      </w:r>
      <w:r w:rsidR="00E410C8" w:rsidRPr="00923D5D">
        <w:rPr>
          <w:rFonts w:cs="Arial"/>
        </w:rPr>
        <w:t xml:space="preserve"> allocated a Sentence Management Officer</w:t>
      </w:r>
      <w:r w:rsidR="00B33160">
        <w:rPr>
          <w:rFonts w:cs="Arial"/>
        </w:rPr>
        <w:t xml:space="preserve"> by the Sentence Management </w:t>
      </w:r>
      <w:r w:rsidR="006F33B3">
        <w:rPr>
          <w:rFonts w:cs="Arial"/>
        </w:rPr>
        <w:t>Team Leader</w:t>
      </w:r>
      <w:r w:rsidR="00E410C8" w:rsidRPr="00923D5D">
        <w:rPr>
          <w:rFonts w:cs="Arial"/>
        </w:rPr>
        <w:t xml:space="preserve"> within </w:t>
      </w:r>
      <w:r w:rsidR="00BD5304">
        <w:rPr>
          <w:rFonts w:cs="Arial"/>
        </w:rPr>
        <w:t>five (5)</w:t>
      </w:r>
      <w:r w:rsidR="00BD5304" w:rsidRPr="00923D5D">
        <w:rPr>
          <w:rFonts w:cs="Arial"/>
        </w:rPr>
        <w:t xml:space="preserve"> </w:t>
      </w:r>
      <w:r w:rsidR="00DD0D6C">
        <w:rPr>
          <w:rFonts w:cs="Arial"/>
        </w:rPr>
        <w:t xml:space="preserve">business </w:t>
      </w:r>
      <w:r w:rsidR="00E410C8" w:rsidRPr="00923D5D">
        <w:rPr>
          <w:rFonts w:cs="Arial"/>
        </w:rPr>
        <w:t xml:space="preserve">days of admission. </w:t>
      </w:r>
    </w:p>
    <w:p w:rsidR="00923D5D" w:rsidRDefault="00BB5BC3" w:rsidP="0014632E">
      <w:pPr>
        <w:pStyle w:val="ListParagraph"/>
        <w:numPr>
          <w:ilvl w:val="1"/>
          <w:numId w:val="42"/>
        </w:numPr>
        <w:ind w:left="567" w:hanging="567"/>
        <w:rPr>
          <w:rFonts w:cs="Arial"/>
        </w:rPr>
      </w:pPr>
      <w:r>
        <w:rPr>
          <w:rFonts w:cs="Arial"/>
        </w:rPr>
        <w:t xml:space="preserve">The Induction Coordinator will </w:t>
      </w:r>
      <w:r w:rsidR="00DD0D6C">
        <w:rPr>
          <w:rFonts w:cs="Arial"/>
        </w:rPr>
        <w:t>advise the Indigenous Services Team of any new detainees who identify as</w:t>
      </w:r>
      <w:r w:rsidRPr="00923D5D">
        <w:rPr>
          <w:rFonts w:cs="Arial"/>
        </w:rPr>
        <w:t xml:space="preserve"> </w:t>
      </w:r>
      <w:r w:rsidR="00E410C8" w:rsidRPr="00923D5D">
        <w:rPr>
          <w:rFonts w:cs="Arial"/>
        </w:rPr>
        <w:t>Aboriginal and Torres Strait Islander</w:t>
      </w:r>
      <w:r w:rsidR="00DD0D6C">
        <w:rPr>
          <w:rFonts w:cs="Arial"/>
        </w:rPr>
        <w:t xml:space="preserve"> within </w:t>
      </w:r>
      <w:r w:rsidR="002A347F">
        <w:rPr>
          <w:rFonts w:cs="Arial"/>
        </w:rPr>
        <w:t>two (</w:t>
      </w:r>
      <w:r w:rsidR="00DD0D6C">
        <w:rPr>
          <w:rFonts w:cs="Arial"/>
        </w:rPr>
        <w:t>2</w:t>
      </w:r>
      <w:r w:rsidR="002A347F">
        <w:rPr>
          <w:rFonts w:cs="Arial"/>
        </w:rPr>
        <w:t>)</w:t>
      </w:r>
      <w:r w:rsidR="00DD0D6C">
        <w:rPr>
          <w:rFonts w:cs="Arial"/>
        </w:rPr>
        <w:t xml:space="preserve"> business days. The Indigenous Liaison Officer will engage with the detainee and complete the </w:t>
      </w:r>
      <w:r w:rsidR="00DD0D6C" w:rsidRPr="008F7709">
        <w:rPr>
          <w:rFonts w:cs="Arial"/>
          <w:i/>
          <w:u w:val="single"/>
        </w:rPr>
        <w:t>Indigenous Induction Checklist</w:t>
      </w:r>
      <w:r w:rsidR="00DD0D6C">
        <w:rPr>
          <w:rFonts w:cs="Arial"/>
        </w:rPr>
        <w:t xml:space="preserve"> within </w:t>
      </w:r>
      <w:r w:rsidR="00BD5304">
        <w:rPr>
          <w:rFonts w:cs="Arial"/>
        </w:rPr>
        <w:t>five (5)</w:t>
      </w:r>
      <w:r w:rsidR="00BD5304" w:rsidRPr="00923D5D">
        <w:rPr>
          <w:rFonts w:cs="Arial"/>
        </w:rPr>
        <w:t xml:space="preserve"> </w:t>
      </w:r>
      <w:r w:rsidR="00DD0D6C">
        <w:rPr>
          <w:rFonts w:cs="Arial"/>
        </w:rPr>
        <w:t xml:space="preserve">business days of notice. </w:t>
      </w:r>
    </w:p>
    <w:p w:rsidR="00923D5D" w:rsidRDefault="00725429" w:rsidP="0014632E">
      <w:pPr>
        <w:pStyle w:val="ListParagraph"/>
        <w:numPr>
          <w:ilvl w:val="1"/>
          <w:numId w:val="42"/>
        </w:numPr>
        <w:ind w:left="567" w:hanging="567"/>
        <w:rPr>
          <w:rFonts w:cs="Arial"/>
        </w:rPr>
      </w:pPr>
      <w:r>
        <w:rPr>
          <w:rFonts w:cs="Arial"/>
        </w:rPr>
        <w:t xml:space="preserve">The Induction Coordinator </w:t>
      </w:r>
      <w:r w:rsidR="00A80D5E">
        <w:rPr>
          <w:rFonts w:cs="Arial"/>
        </w:rPr>
        <w:t>will</w:t>
      </w:r>
      <w:r>
        <w:rPr>
          <w:rFonts w:cs="Arial"/>
        </w:rPr>
        <w:t xml:space="preserve"> record on the detainee’s electronic file any identified religious status and advise the Chaplaincy section. </w:t>
      </w:r>
      <w:r w:rsidR="00554A08" w:rsidRPr="00923D5D">
        <w:rPr>
          <w:rFonts w:cs="Arial"/>
        </w:rPr>
        <w:t>A detainee must be offered the opportunity to meet or contact the Chaplain.</w:t>
      </w:r>
    </w:p>
    <w:p w:rsidR="00923D5D" w:rsidRDefault="00BB5BC3" w:rsidP="0014632E">
      <w:pPr>
        <w:pStyle w:val="ListParagraph"/>
        <w:numPr>
          <w:ilvl w:val="1"/>
          <w:numId w:val="42"/>
        </w:numPr>
        <w:ind w:left="567" w:hanging="567"/>
        <w:rPr>
          <w:rFonts w:cs="Arial"/>
        </w:rPr>
      </w:pPr>
      <w:r>
        <w:rPr>
          <w:rFonts w:cs="Arial"/>
        </w:rPr>
        <w:t>The Induction Coordinator will ensure that a</w:t>
      </w:r>
      <w:r w:rsidR="00554A08" w:rsidRPr="00923D5D">
        <w:rPr>
          <w:rFonts w:cs="Arial"/>
        </w:rPr>
        <w:t xml:space="preserve"> detainee undertake</w:t>
      </w:r>
      <w:r>
        <w:rPr>
          <w:rFonts w:cs="Arial"/>
        </w:rPr>
        <w:t>s</w:t>
      </w:r>
      <w:r w:rsidR="00554A08" w:rsidRPr="00923D5D">
        <w:rPr>
          <w:rFonts w:cs="Arial"/>
        </w:rPr>
        <w:t xml:space="preserve"> literacy, numeracy and educational needs testing within </w:t>
      </w:r>
      <w:r w:rsidR="00BD5304">
        <w:rPr>
          <w:rFonts w:cs="Arial"/>
        </w:rPr>
        <w:t>five (5)</w:t>
      </w:r>
      <w:r w:rsidR="00BD5304" w:rsidRPr="00923D5D">
        <w:rPr>
          <w:rFonts w:cs="Arial"/>
        </w:rPr>
        <w:t xml:space="preserve"> </w:t>
      </w:r>
      <w:r w:rsidR="00DD0D6C">
        <w:rPr>
          <w:rFonts w:cs="Arial"/>
        </w:rPr>
        <w:t xml:space="preserve">business </w:t>
      </w:r>
      <w:r w:rsidR="00554A08" w:rsidRPr="00923D5D">
        <w:rPr>
          <w:rFonts w:cs="Arial"/>
        </w:rPr>
        <w:t>days of admission</w:t>
      </w:r>
      <w:r w:rsidR="007E03F2">
        <w:rPr>
          <w:rFonts w:cs="Arial"/>
        </w:rPr>
        <w:t xml:space="preserve"> (through the education provider)</w:t>
      </w:r>
      <w:r w:rsidR="00554A08" w:rsidRPr="00923D5D">
        <w:rPr>
          <w:rFonts w:cs="Arial"/>
        </w:rPr>
        <w:t xml:space="preserve">. </w:t>
      </w:r>
    </w:p>
    <w:p w:rsidR="00923D5D" w:rsidRDefault="00BB5BC3" w:rsidP="0014632E">
      <w:pPr>
        <w:pStyle w:val="ListParagraph"/>
        <w:numPr>
          <w:ilvl w:val="1"/>
          <w:numId w:val="42"/>
        </w:numPr>
        <w:ind w:left="567" w:hanging="567"/>
        <w:rPr>
          <w:rFonts w:cs="Arial"/>
        </w:rPr>
      </w:pPr>
      <w:r>
        <w:rPr>
          <w:rFonts w:cs="Arial"/>
        </w:rPr>
        <w:t>The Induction Coordinator will ensure that</w:t>
      </w:r>
      <w:r w:rsidRPr="00923D5D">
        <w:rPr>
          <w:rFonts w:cs="Arial"/>
        </w:rPr>
        <w:t xml:space="preserve"> </w:t>
      </w:r>
      <w:r>
        <w:rPr>
          <w:rFonts w:cs="Arial"/>
        </w:rPr>
        <w:t>a detainee is</w:t>
      </w:r>
      <w:r w:rsidR="00554A08" w:rsidRPr="00923D5D">
        <w:rPr>
          <w:rFonts w:cs="Arial"/>
        </w:rPr>
        <w:t xml:space="preserve"> offered the opportu</w:t>
      </w:r>
      <w:r w:rsidR="00923D5D">
        <w:rPr>
          <w:rFonts w:cs="Arial"/>
        </w:rPr>
        <w:t xml:space="preserve">nity to complete a ‘White Card’ </w:t>
      </w:r>
      <w:r w:rsidR="00554A08" w:rsidRPr="00923D5D">
        <w:rPr>
          <w:rFonts w:cs="Arial"/>
        </w:rPr>
        <w:t>accreditation during the induction process</w:t>
      </w:r>
      <w:r w:rsidR="00C93F86">
        <w:rPr>
          <w:rFonts w:cs="Arial"/>
        </w:rPr>
        <w:t xml:space="preserve"> (through the education provider)</w:t>
      </w:r>
      <w:r w:rsidR="00554A08" w:rsidRPr="00923D5D">
        <w:rPr>
          <w:rFonts w:cs="Arial"/>
        </w:rPr>
        <w:t>.</w:t>
      </w:r>
    </w:p>
    <w:p w:rsidR="00CD6D77" w:rsidRDefault="00CD6D77" w:rsidP="0014632E">
      <w:pPr>
        <w:pStyle w:val="ListParagraph"/>
        <w:numPr>
          <w:ilvl w:val="1"/>
          <w:numId w:val="42"/>
        </w:numPr>
        <w:ind w:left="567" w:hanging="567"/>
        <w:rPr>
          <w:rFonts w:cs="Arial"/>
        </w:rPr>
      </w:pPr>
      <w:r>
        <w:rPr>
          <w:rFonts w:cs="Arial"/>
        </w:rPr>
        <w:t xml:space="preserve">The Induction Coordinator will assign a detainee </w:t>
      </w:r>
      <w:r w:rsidR="009D4536">
        <w:rPr>
          <w:rFonts w:cs="Arial"/>
        </w:rPr>
        <w:t>to the</w:t>
      </w:r>
      <w:r>
        <w:rPr>
          <w:rFonts w:cs="Arial"/>
        </w:rPr>
        <w:t xml:space="preserve"> Incentive and Earned Privileges (IEP) </w:t>
      </w:r>
      <w:r w:rsidR="00B3770C">
        <w:rPr>
          <w:rFonts w:cs="Arial"/>
        </w:rPr>
        <w:t>S</w:t>
      </w:r>
      <w:r w:rsidR="006F33B3">
        <w:rPr>
          <w:rFonts w:cs="Arial"/>
        </w:rPr>
        <w:t xml:space="preserve">tandard </w:t>
      </w:r>
      <w:r>
        <w:rPr>
          <w:rFonts w:cs="Arial"/>
        </w:rPr>
        <w:t>level</w:t>
      </w:r>
      <w:r w:rsidR="006F33B3">
        <w:rPr>
          <w:rFonts w:cs="Arial"/>
        </w:rPr>
        <w:t>, unless otherwise authorised by the Head of Accommodation</w:t>
      </w:r>
      <w:r w:rsidR="00A87325">
        <w:rPr>
          <w:rFonts w:cs="Arial"/>
        </w:rPr>
        <w:t xml:space="preserve"> for detainees who have been in custody in the past 30 days.</w:t>
      </w:r>
    </w:p>
    <w:p w:rsidR="00CD6D77" w:rsidRPr="00CD6D77" w:rsidRDefault="00325DBA" w:rsidP="0014632E">
      <w:pPr>
        <w:pStyle w:val="ListParagraph"/>
        <w:numPr>
          <w:ilvl w:val="1"/>
          <w:numId w:val="42"/>
        </w:numPr>
        <w:ind w:left="567" w:hanging="567"/>
        <w:rPr>
          <w:rFonts w:cs="Arial"/>
        </w:rPr>
      </w:pPr>
      <w:r w:rsidRPr="00923D5D">
        <w:rPr>
          <w:rFonts w:cs="Arial"/>
        </w:rPr>
        <w:t xml:space="preserve">The </w:t>
      </w:r>
      <w:r w:rsidRPr="008F7709">
        <w:rPr>
          <w:rFonts w:cs="Arial"/>
          <w:i/>
          <w:u w:val="single"/>
        </w:rPr>
        <w:t>Induction C</w:t>
      </w:r>
      <w:r w:rsidR="00F20F56" w:rsidRPr="008F7709">
        <w:rPr>
          <w:rFonts w:cs="Arial"/>
          <w:i/>
          <w:u w:val="single"/>
        </w:rPr>
        <w:t>hecklist</w:t>
      </w:r>
      <w:r w:rsidR="00F20F56">
        <w:rPr>
          <w:rFonts w:cs="Arial"/>
        </w:rPr>
        <w:t xml:space="preserve"> must be completed up</w:t>
      </w:r>
      <w:r w:rsidRPr="00923D5D">
        <w:rPr>
          <w:rFonts w:cs="Arial"/>
        </w:rPr>
        <w:t xml:space="preserve"> to </w:t>
      </w:r>
      <w:r w:rsidR="001D033A" w:rsidRPr="00923D5D">
        <w:rPr>
          <w:rFonts w:cs="Arial"/>
        </w:rPr>
        <w:t>the</w:t>
      </w:r>
      <w:r w:rsidR="00A95521">
        <w:rPr>
          <w:rFonts w:cs="Arial"/>
        </w:rPr>
        <w:t xml:space="preserve"> </w:t>
      </w:r>
      <w:r w:rsidR="009038CF">
        <w:rPr>
          <w:rFonts w:cs="Arial"/>
        </w:rPr>
        <w:t>classification and placement section</w:t>
      </w:r>
      <w:r w:rsidR="00F20F56">
        <w:rPr>
          <w:rFonts w:cs="Arial"/>
        </w:rPr>
        <w:t xml:space="preserve"> for the</w:t>
      </w:r>
      <w:r w:rsidR="00DB2342">
        <w:rPr>
          <w:rFonts w:cs="Arial"/>
        </w:rPr>
        <w:t xml:space="preserve"> induction</w:t>
      </w:r>
      <w:r w:rsidR="00F20F56">
        <w:rPr>
          <w:rFonts w:cs="Arial"/>
        </w:rPr>
        <w:t xml:space="preserve"> pro</w:t>
      </w:r>
      <w:r w:rsidR="00C93F86">
        <w:rPr>
          <w:rFonts w:cs="Arial"/>
        </w:rPr>
        <w:t>cess</w:t>
      </w:r>
      <w:r w:rsidR="00F20F56">
        <w:rPr>
          <w:rFonts w:cs="Arial"/>
        </w:rPr>
        <w:t xml:space="preserve"> to be considered complete</w:t>
      </w:r>
      <w:r w:rsidR="00A95521">
        <w:rPr>
          <w:rFonts w:cs="Arial"/>
        </w:rPr>
        <w:t xml:space="preserve">. </w:t>
      </w:r>
    </w:p>
    <w:p w:rsidR="00281974" w:rsidRPr="00F20F56" w:rsidRDefault="00281974" w:rsidP="0014632E">
      <w:pPr>
        <w:pStyle w:val="ListParagraph"/>
        <w:ind w:left="567" w:hanging="567"/>
        <w:rPr>
          <w:rFonts w:cs="Arial"/>
        </w:rPr>
      </w:pPr>
    </w:p>
    <w:p w:rsidR="00F30F62" w:rsidRPr="00EA4449" w:rsidRDefault="00866A1A" w:rsidP="0014632E">
      <w:pPr>
        <w:pStyle w:val="ListParagraph"/>
        <w:numPr>
          <w:ilvl w:val="0"/>
          <w:numId w:val="42"/>
        </w:numPr>
        <w:ind w:left="567" w:hanging="567"/>
        <w:rPr>
          <w:rFonts w:cs="Arial"/>
          <w:b/>
        </w:rPr>
      </w:pPr>
      <w:r w:rsidRPr="00EA4449">
        <w:rPr>
          <w:rFonts w:cs="Arial"/>
          <w:b/>
        </w:rPr>
        <w:t>Placement</w:t>
      </w:r>
    </w:p>
    <w:p w:rsidR="00EA4449" w:rsidRDefault="00EA4449" w:rsidP="0014632E">
      <w:pPr>
        <w:pStyle w:val="ListParagraph"/>
        <w:numPr>
          <w:ilvl w:val="1"/>
          <w:numId w:val="42"/>
        </w:numPr>
        <w:ind w:left="567" w:hanging="567"/>
        <w:rPr>
          <w:rFonts w:cs="Arial"/>
        </w:rPr>
      </w:pPr>
      <w:r>
        <w:rPr>
          <w:rFonts w:cs="Arial"/>
        </w:rPr>
        <w:t xml:space="preserve">An Area Supervisor must complete the </w:t>
      </w:r>
      <w:r w:rsidRPr="007C57D2">
        <w:rPr>
          <w:rFonts w:cs="Arial"/>
          <w:i/>
          <w:u w:val="single"/>
        </w:rPr>
        <w:t>Initial Classification and Placement – Part 3</w:t>
      </w:r>
      <w:r>
        <w:rPr>
          <w:rFonts w:cs="Arial"/>
        </w:rPr>
        <w:t xml:space="preserve"> </w:t>
      </w:r>
      <w:r w:rsidR="00943A6D">
        <w:rPr>
          <w:rFonts w:cs="Arial"/>
        </w:rPr>
        <w:t xml:space="preserve">form </w:t>
      </w:r>
      <w:r>
        <w:rPr>
          <w:rFonts w:cs="Arial"/>
        </w:rPr>
        <w:t xml:space="preserve">once a detainee has completed the induction process and has been assigned a security classification. </w:t>
      </w:r>
    </w:p>
    <w:p w:rsidR="00EA4449" w:rsidRDefault="00EA4449" w:rsidP="0014632E">
      <w:pPr>
        <w:pStyle w:val="ListParagraph"/>
        <w:numPr>
          <w:ilvl w:val="1"/>
          <w:numId w:val="42"/>
        </w:numPr>
        <w:ind w:left="567" w:hanging="567"/>
        <w:rPr>
          <w:rFonts w:cs="Arial"/>
        </w:rPr>
      </w:pPr>
      <w:r>
        <w:rPr>
          <w:rFonts w:cs="Arial"/>
        </w:rPr>
        <w:t xml:space="preserve">An Area Manager must endorse the </w:t>
      </w:r>
      <w:r w:rsidRPr="007C57D2">
        <w:rPr>
          <w:rFonts w:cs="Arial"/>
          <w:i/>
          <w:u w:val="single"/>
        </w:rPr>
        <w:t>Initial Classification and Placement – Part 3</w:t>
      </w:r>
      <w:r w:rsidRPr="00EA4449">
        <w:rPr>
          <w:rFonts w:cs="Arial"/>
          <w:i/>
        </w:rPr>
        <w:t xml:space="preserve"> </w:t>
      </w:r>
      <w:r w:rsidR="00943A6D" w:rsidRPr="00943A6D">
        <w:rPr>
          <w:rFonts w:cs="Arial"/>
        </w:rPr>
        <w:t xml:space="preserve">form </w:t>
      </w:r>
      <w:r>
        <w:rPr>
          <w:rFonts w:cs="Arial"/>
        </w:rPr>
        <w:t>and confirm accommodation placement prior to the detainee’s relocation from the Induction Unit (or alternative).</w:t>
      </w:r>
      <w:r w:rsidR="00F53846">
        <w:rPr>
          <w:rFonts w:cs="Arial"/>
        </w:rPr>
        <w:t xml:space="preserve"> This must be confirmed on the </w:t>
      </w:r>
      <w:r w:rsidR="00DC6028" w:rsidRPr="00DC6028">
        <w:rPr>
          <w:rFonts w:cs="Arial"/>
          <w:i/>
          <w:u w:val="single"/>
        </w:rPr>
        <w:t>I</w:t>
      </w:r>
      <w:r w:rsidR="00F53846" w:rsidRPr="00DC6028">
        <w:rPr>
          <w:rFonts w:cs="Arial"/>
          <w:i/>
          <w:u w:val="single"/>
        </w:rPr>
        <w:t xml:space="preserve">nduction </w:t>
      </w:r>
      <w:r w:rsidR="00DC6028" w:rsidRPr="00DC6028">
        <w:rPr>
          <w:rFonts w:cs="Arial"/>
          <w:i/>
          <w:u w:val="single"/>
        </w:rPr>
        <w:t>C</w:t>
      </w:r>
      <w:r w:rsidR="00F53846" w:rsidRPr="00DC6028">
        <w:rPr>
          <w:rFonts w:cs="Arial"/>
          <w:i/>
          <w:u w:val="single"/>
        </w:rPr>
        <w:t>hecklist</w:t>
      </w:r>
      <w:r w:rsidR="00F53846">
        <w:rPr>
          <w:rFonts w:cs="Arial"/>
        </w:rPr>
        <w:t xml:space="preserve">. </w:t>
      </w:r>
    </w:p>
    <w:p w:rsidR="00DB2342" w:rsidRDefault="00DB2342" w:rsidP="0014632E">
      <w:pPr>
        <w:pStyle w:val="ListParagraph"/>
        <w:numPr>
          <w:ilvl w:val="1"/>
          <w:numId w:val="42"/>
        </w:numPr>
        <w:ind w:left="567" w:hanging="567"/>
        <w:rPr>
          <w:rFonts w:cs="Arial"/>
        </w:rPr>
      </w:pPr>
      <w:r>
        <w:rPr>
          <w:rFonts w:cs="Arial"/>
        </w:rPr>
        <w:t xml:space="preserve">The </w:t>
      </w:r>
      <w:r w:rsidRPr="00AD3A55">
        <w:rPr>
          <w:rFonts w:cs="Arial"/>
          <w:i/>
          <w:u w:val="single"/>
        </w:rPr>
        <w:t>Induction Checklist</w:t>
      </w:r>
      <w:r>
        <w:rPr>
          <w:rFonts w:cs="Arial"/>
        </w:rPr>
        <w:t xml:space="preserve"> must be</w:t>
      </w:r>
      <w:r w:rsidR="00716EE8">
        <w:rPr>
          <w:rFonts w:cs="Arial"/>
        </w:rPr>
        <w:t xml:space="preserve"> signed off as completed by the Induction Coordinator.</w:t>
      </w:r>
    </w:p>
    <w:p w:rsidR="00EA4449" w:rsidRDefault="007F64DD" w:rsidP="0014632E">
      <w:pPr>
        <w:pStyle w:val="ListParagraph"/>
        <w:numPr>
          <w:ilvl w:val="1"/>
          <w:numId w:val="42"/>
        </w:numPr>
        <w:ind w:left="567" w:hanging="567"/>
        <w:rPr>
          <w:rFonts w:cs="Arial"/>
        </w:rPr>
      </w:pPr>
      <w:r>
        <w:rPr>
          <w:rFonts w:cs="Arial"/>
        </w:rPr>
        <w:lastRenderedPageBreak/>
        <w:t xml:space="preserve">The Induction Coordinator is responsible for ensuring that all classifications and alerts on a detainee’s electronic </w:t>
      </w:r>
      <w:r w:rsidR="003F136F">
        <w:rPr>
          <w:rFonts w:cs="Arial"/>
        </w:rPr>
        <w:t xml:space="preserve">record </w:t>
      </w:r>
      <w:r>
        <w:rPr>
          <w:rFonts w:cs="Arial"/>
        </w:rPr>
        <w:t>are correct at completion of the induction process</w:t>
      </w:r>
      <w:r w:rsidR="00F20F56">
        <w:rPr>
          <w:rFonts w:cs="Arial"/>
        </w:rPr>
        <w:t>.</w:t>
      </w:r>
    </w:p>
    <w:p w:rsidR="00F37ADB" w:rsidRDefault="007F64DD" w:rsidP="0014632E">
      <w:pPr>
        <w:pStyle w:val="ListParagraph"/>
        <w:numPr>
          <w:ilvl w:val="1"/>
          <w:numId w:val="42"/>
        </w:numPr>
        <w:ind w:left="567" w:hanging="567"/>
        <w:rPr>
          <w:rFonts w:cs="Arial"/>
        </w:rPr>
      </w:pPr>
      <w:r>
        <w:rPr>
          <w:rFonts w:cs="Arial"/>
        </w:rPr>
        <w:t xml:space="preserve">The Induction Coordinator will file all documentation </w:t>
      </w:r>
      <w:r w:rsidR="00F20F56">
        <w:rPr>
          <w:rFonts w:cs="Arial"/>
        </w:rPr>
        <w:t>in the detainee’s</w:t>
      </w:r>
      <w:r w:rsidR="00735DDB">
        <w:rPr>
          <w:rFonts w:cs="Arial"/>
        </w:rPr>
        <w:t xml:space="preserve"> electronic record system and</w:t>
      </w:r>
      <w:r w:rsidR="00F20F56">
        <w:rPr>
          <w:rFonts w:cs="Arial"/>
        </w:rPr>
        <w:t xml:space="preserve"> </w:t>
      </w:r>
      <w:r w:rsidR="00AD0852">
        <w:rPr>
          <w:rFonts w:cs="Arial"/>
        </w:rPr>
        <w:t>custody</w:t>
      </w:r>
      <w:r w:rsidR="00F20F56">
        <w:rPr>
          <w:rFonts w:cs="Arial"/>
        </w:rPr>
        <w:t xml:space="preserve"> file. </w:t>
      </w:r>
    </w:p>
    <w:p w:rsidR="003575A1" w:rsidRPr="0003635E" w:rsidRDefault="00AB4CEA" w:rsidP="0014632E">
      <w:pPr>
        <w:pStyle w:val="ListParagraph"/>
        <w:numPr>
          <w:ilvl w:val="1"/>
          <w:numId w:val="42"/>
        </w:numPr>
        <w:ind w:left="567" w:hanging="567"/>
        <w:rPr>
          <w:rFonts w:cs="Arial"/>
        </w:rPr>
      </w:pPr>
      <w:r>
        <w:rPr>
          <w:rFonts w:cs="Arial"/>
        </w:rPr>
        <w:t>The Induction Coordinator will maintain a database</w:t>
      </w:r>
      <w:r w:rsidR="003B5A50">
        <w:rPr>
          <w:rFonts w:cs="Arial"/>
        </w:rPr>
        <w:t xml:space="preserve"> of the time to complete the induction process for statistical purposes.</w:t>
      </w:r>
    </w:p>
    <w:p w:rsidR="001E7C98" w:rsidRPr="00402B4B" w:rsidRDefault="001E7C98" w:rsidP="005E011D">
      <w:pPr>
        <w:rPr>
          <w:rFonts w:cs="Arial"/>
        </w:rPr>
      </w:pPr>
    </w:p>
    <w:p w:rsidR="00CF03FA" w:rsidRDefault="007B3718" w:rsidP="005E011D">
      <w:pPr>
        <w:rPr>
          <w:rFonts w:cs="Arial"/>
          <w:b/>
        </w:rPr>
      </w:pPr>
      <w:r w:rsidRPr="00F81FF3">
        <w:rPr>
          <w:rFonts w:cs="Arial"/>
          <w:b/>
        </w:rPr>
        <w:t xml:space="preserve">RELATED DOCUMENTS </w:t>
      </w:r>
      <w:r w:rsidR="0029670B">
        <w:rPr>
          <w:rFonts w:cs="Arial"/>
          <w:b/>
        </w:rPr>
        <w:t>AND FORMS</w:t>
      </w:r>
    </w:p>
    <w:p w:rsidR="00402B4B" w:rsidRPr="0029670B" w:rsidRDefault="00402B4B" w:rsidP="0029670B">
      <w:pPr>
        <w:pStyle w:val="ListParagraph"/>
        <w:numPr>
          <w:ilvl w:val="0"/>
          <w:numId w:val="46"/>
        </w:numPr>
        <w:spacing w:after="0"/>
        <w:rPr>
          <w:rFonts w:cs="Arial"/>
        </w:rPr>
      </w:pPr>
      <w:r w:rsidRPr="0029670B">
        <w:rPr>
          <w:rFonts w:cs="Arial"/>
        </w:rPr>
        <w:t>Induction Policy</w:t>
      </w:r>
    </w:p>
    <w:p w:rsidR="00402B4B" w:rsidRPr="0029670B" w:rsidRDefault="00402B4B" w:rsidP="0029670B">
      <w:pPr>
        <w:pStyle w:val="ListParagraph"/>
        <w:numPr>
          <w:ilvl w:val="0"/>
          <w:numId w:val="46"/>
        </w:numPr>
        <w:spacing w:after="0"/>
        <w:rPr>
          <w:rFonts w:cs="Arial"/>
        </w:rPr>
      </w:pPr>
      <w:r w:rsidRPr="0029670B">
        <w:rPr>
          <w:rFonts w:cs="Arial"/>
        </w:rPr>
        <w:t>Admission Policy</w:t>
      </w:r>
    </w:p>
    <w:p w:rsidR="00DD0D6C" w:rsidRPr="0029670B" w:rsidRDefault="00C50DE7" w:rsidP="0029670B">
      <w:pPr>
        <w:pStyle w:val="ListParagraph"/>
        <w:numPr>
          <w:ilvl w:val="0"/>
          <w:numId w:val="46"/>
        </w:numPr>
        <w:spacing w:after="0"/>
        <w:rPr>
          <w:rFonts w:cs="Arial"/>
        </w:rPr>
      </w:pPr>
      <w:r>
        <w:rPr>
          <w:rFonts w:cs="Arial"/>
        </w:rPr>
        <w:t xml:space="preserve">Detainee </w:t>
      </w:r>
      <w:r w:rsidR="00DD0D6C" w:rsidRPr="0029670B">
        <w:rPr>
          <w:rFonts w:cs="Arial"/>
        </w:rPr>
        <w:t>Classification Policy</w:t>
      </w:r>
    </w:p>
    <w:p w:rsidR="00CD6D77" w:rsidRPr="0029670B" w:rsidRDefault="00CD6D77" w:rsidP="0029670B">
      <w:pPr>
        <w:pStyle w:val="ListParagraph"/>
        <w:numPr>
          <w:ilvl w:val="0"/>
          <w:numId w:val="46"/>
        </w:numPr>
        <w:spacing w:after="0"/>
        <w:rPr>
          <w:rFonts w:cs="Arial"/>
        </w:rPr>
      </w:pPr>
      <w:r w:rsidRPr="0029670B">
        <w:rPr>
          <w:rFonts w:cs="Arial"/>
        </w:rPr>
        <w:t>Incentive</w:t>
      </w:r>
      <w:r w:rsidR="00C50DE7">
        <w:rPr>
          <w:rFonts w:cs="Arial"/>
        </w:rPr>
        <w:t>s</w:t>
      </w:r>
      <w:r w:rsidRPr="0029670B">
        <w:rPr>
          <w:rFonts w:cs="Arial"/>
        </w:rPr>
        <w:t xml:space="preserve"> and Earned Privileges Policy</w:t>
      </w:r>
    </w:p>
    <w:p w:rsidR="0029670B" w:rsidRDefault="00402B4B" w:rsidP="00B84A5B">
      <w:pPr>
        <w:pStyle w:val="ListParagraph"/>
        <w:numPr>
          <w:ilvl w:val="0"/>
          <w:numId w:val="46"/>
        </w:numPr>
        <w:spacing w:after="0"/>
        <w:rPr>
          <w:rFonts w:cs="Arial"/>
        </w:rPr>
      </w:pPr>
      <w:r w:rsidRPr="0029670B">
        <w:rPr>
          <w:rFonts w:cs="Arial"/>
        </w:rPr>
        <w:t>Induction Checklist</w:t>
      </w:r>
    </w:p>
    <w:p w:rsidR="0029670B" w:rsidRDefault="00DD0D6C" w:rsidP="00B84A5B">
      <w:pPr>
        <w:pStyle w:val="ListParagraph"/>
        <w:numPr>
          <w:ilvl w:val="0"/>
          <w:numId w:val="46"/>
        </w:numPr>
        <w:spacing w:after="0"/>
        <w:rPr>
          <w:rFonts w:cs="Arial"/>
        </w:rPr>
      </w:pPr>
      <w:r w:rsidRPr="0029670B">
        <w:rPr>
          <w:rFonts w:cs="Arial"/>
        </w:rPr>
        <w:t>Indigenous Induction Checklist (Indigenous Services)</w:t>
      </w:r>
    </w:p>
    <w:p w:rsidR="00402B4B" w:rsidRDefault="0003635E" w:rsidP="00B84A5B">
      <w:pPr>
        <w:pStyle w:val="ListParagraph"/>
        <w:numPr>
          <w:ilvl w:val="0"/>
          <w:numId w:val="46"/>
        </w:numPr>
        <w:spacing w:after="0"/>
        <w:rPr>
          <w:rFonts w:cs="Arial"/>
        </w:rPr>
      </w:pPr>
      <w:r w:rsidRPr="0029670B">
        <w:rPr>
          <w:rFonts w:cs="Arial"/>
        </w:rPr>
        <w:t>Initial Classification and Placement</w:t>
      </w:r>
      <w:r w:rsidR="008E09E9" w:rsidRPr="0029670B">
        <w:rPr>
          <w:rFonts w:cs="Arial"/>
        </w:rPr>
        <w:t xml:space="preserve"> Part 3</w:t>
      </w:r>
    </w:p>
    <w:p w:rsidR="008A2101" w:rsidRDefault="008A2101" w:rsidP="00B84A5B">
      <w:pPr>
        <w:pStyle w:val="ListParagraph"/>
        <w:numPr>
          <w:ilvl w:val="0"/>
          <w:numId w:val="46"/>
        </w:numPr>
        <w:spacing w:after="0"/>
        <w:rPr>
          <w:rFonts w:cs="Arial"/>
        </w:rPr>
      </w:pPr>
      <w:r>
        <w:rPr>
          <w:rFonts w:cs="Arial"/>
        </w:rPr>
        <w:t>Induction Handbook</w:t>
      </w:r>
    </w:p>
    <w:p w:rsidR="00BD5304" w:rsidRDefault="00BD5304" w:rsidP="00B84A5B">
      <w:pPr>
        <w:pStyle w:val="ListParagraph"/>
        <w:numPr>
          <w:ilvl w:val="0"/>
          <w:numId w:val="46"/>
        </w:numPr>
        <w:spacing w:after="0"/>
        <w:rPr>
          <w:rFonts w:cs="Arial"/>
        </w:rPr>
      </w:pPr>
      <w:r>
        <w:rPr>
          <w:rFonts w:cs="Arial"/>
        </w:rPr>
        <w:t>Female Induction Handbook</w:t>
      </w:r>
    </w:p>
    <w:p w:rsidR="008A2101" w:rsidRPr="0029670B" w:rsidRDefault="008A2101" w:rsidP="00B84A5B">
      <w:pPr>
        <w:pStyle w:val="ListParagraph"/>
        <w:numPr>
          <w:ilvl w:val="0"/>
          <w:numId w:val="46"/>
        </w:numPr>
        <w:spacing w:after="0"/>
        <w:rPr>
          <w:rFonts w:cs="Arial"/>
        </w:rPr>
      </w:pPr>
      <w:r>
        <w:rPr>
          <w:rFonts w:cs="Arial"/>
        </w:rPr>
        <w:t>Detainee Handbook</w:t>
      </w:r>
    </w:p>
    <w:p w:rsidR="002F1340" w:rsidRDefault="002F1340" w:rsidP="00925989">
      <w:pPr>
        <w:pStyle w:val="NoSpacing"/>
      </w:pPr>
    </w:p>
    <w:p w:rsidR="00FF28FA" w:rsidRDefault="00FF28FA" w:rsidP="00925989">
      <w:pPr>
        <w:pStyle w:val="NoSpacing"/>
      </w:pPr>
    </w:p>
    <w:p w:rsidR="0042736F" w:rsidRDefault="00695E1B" w:rsidP="00925989">
      <w:pPr>
        <w:pStyle w:val="NoSpacing"/>
      </w:pPr>
      <w:r>
        <w:rPr>
          <w:noProof/>
          <w:lang w:eastAsia="en-AU"/>
        </w:rPr>
        <w:drawing>
          <wp:inline distT="0" distB="0" distL="0" distR="0">
            <wp:extent cx="1990725" cy="704850"/>
            <wp:effectExtent l="0" t="0" r="9525" b="0"/>
            <wp:docPr id="1" name="Picture 1" descr="Jon's Signa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s Signature (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rsidR="0042736F" w:rsidRDefault="0042736F" w:rsidP="00925989">
      <w:pPr>
        <w:pStyle w:val="NoSpacing"/>
      </w:pPr>
    </w:p>
    <w:p w:rsidR="0001683E" w:rsidRDefault="0029670B" w:rsidP="00925989">
      <w:pPr>
        <w:pStyle w:val="NoSpacing"/>
      </w:pPr>
      <w:r>
        <w:t>Jon Peach</w:t>
      </w:r>
    </w:p>
    <w:p w:rsidR="0029670B" w:rsidRDefault="0029670B" w:rsidP="00925989">
      <w:pPr>
        <w:pStyle w:val="NoSpacing"/>
      </w:pPr>
      <w:r>
        <w:t>Executive Director</w:t>
      </w:r>
    </w:p>
    <w:p w:rsidR="0001683E" w:rsidRDefault="0001683E" w:rsidP="00925989">
      <w:pPr>
        <w:pStyle w:val="NoSpacing"/>
      </w:pPr>
      <w:r>
        <w:t>ACT Corrective Services</w:t>
      </w:r>
    </w:p>
    <w:p w:rsidR="0001683E" w:rsidRDefault="000E3869" w:rsidP="00925989">
      <w:pPr>
        <w:pStyle w:val="NoSpacing"/>
      </w:pPr>
      <w:r>
        <w:t xml:space="preserve"> </w:t>
      </w:r>
    </w:p>
    <w:p w:rsidR="0001683E" w:rsidRDefault="00695E1B" w:rsidP="00925989">
      <w:pPr>
        <w:pStyle w:val="NoSpacing"/>
      </w:pPr>
      <w:r>
        <w:t xml:space="preserve">27 </w:t>
      </w:r>
      <w:r w:rsidR="0029670B">
        <w:t>Ju</w:t>
      </w:r>
      <w:r w:rsidR="00DD08A1">
        <w:t>ne</w:t>
      </w:r>
      <w:r w:rsidR="0001683E">
        <w:t xml:space="preserve"> </w:t>
      </w:r>
      <w:r w:rsidR="006F33B3">
        <w:t>2019</w:t>
      </w:r>
    </w:p>
    <w:p w:rsidR="008618F9" w:rsidRDefault="008618F9" w:rsidP="00E525CF">
      <w:pPr>
        <w:spacing w:after="120"/>
        <w:rPr>
          <w:rFonts w:cs="Arial"/>
        </w:rPr>
      </w:pPr>
    </w:p>
    <w:p w:rsidR="005E011D" w:rsidRPr="00586F66" w:rsidRDefault="005E011D" w:rsidP="005E011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05"/>
        <w:gridCol w:w="5870"/>
      </w:tblGrid>
      <w:tr w:rsidR="0029670B" w:rsidRPr="00586F66" w:rsidTr="00BE23A6">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rsidR="0029670B" w:rsidRPr="00586F66" w:rsidRDefault="0029670B" w:rsidP="00BE23A6">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rsidR="0029670B" w:rsidRPr="00586F66" w:rsidRDefault="0029670B" w:rsidP="00BE23A6">
            <w:pPr>
              <w:pStyle w:val="TableHeader"/>
              <w:rPr>
                <w:rFonts w:ascii="Calibri" w:hAnsi="Calibri"/>
              </w:rPr>
            </w:pPr>
            <w:r w:rsidRPr="00586F66">
              <w:rPr>
                <w:rFonts w:ascii="Calibri" w:hAnsi="Calibri"/>
              </w:rPr>
              <w:t>Details</w:t>
            </w:r>
          </w:p>
        </w:tc>
      </w:tr>
      <w:tr w:rsidR="0029670B" w:rsidRPr="00586F66" w:rsidTr="00BE23A6">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BE23A6">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rsidR="00FF28FA" w:rsidRPr="00FF28FA" w:rsidRDefault="0029670B" w:rsidP="00FF28FA">
            <w:pPr>
              <w:pStyle w:val="TableText"/>
              <w:rPr>
                <w:rFonts w:ascii="Calibri" w:hAnsi="Calibri"/>
                <w:sz w:val="20"/>
                <w:szCs w:val="20"/>
              </w:rPr>
            </w:pPr>
            <w:r>
              <w:rPr>
                <w:rFonts w:ascii="Calibri" w:hAnsi="Calibri"/>
                <w:sz w:val="20"/>
                <w:szCs w:val="20"/>
              </w:rPr>
              <w:t>Corrections Management (Induction) Operating Procedure 2019</w:t>
            </w:r>
            <w:r w:rsidR="000E3869">
              <w:rPr>
                <w:rFonts w:ascii="Calibri" w:hAnsi="Calibri"/>
                <w:sz w:val="20"/>
                <w:szCs w:val="20"/>
              </w:rPr>
              <w:t xml:space="preserve"> (No 2)</w:t>
            </w:r>
          </w:p>
        </w:tc>
      </w:tr>
      <w:tr w:rsidR="0029670B" w:rsidRPr="00586F66" w:rsidTr="00BE23A6">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BE23A6">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rsidR="00FF28FA" w:rsidRPr="00FF28FA" w:rsidRDefault="0029670B" w:rsidP="00FF28FA">
            <w:pPr>
              <w:pStyle w:val="TableText"/>
              <w:rPr>
                <w:rFonts w:ascii="Calibri" w:hAnsi="Calibri"/>
                <w:sz w:val="20"/>
                <w:szCs w:val="20"/>
              </w:rPr>
            </w:pPr>
            <w:r w:rsidRPr="00586F66">
              <w:rPr>
                <w:rFonts w:ascii="Calibri" w:hAnsi="Calibri"/>
                <w:sz w:val="20"/>
                <w:szCs w:val="20"/>
              </w:rPr>
              <w:t>Executive Director, ACT Corrective Services</w:t>
            </w:r>
          </w:p>
        </w:tc>
      </w:tr>
      <w:tr w:rsidR="0029670B" w:rsidRPr="00586F66" w:rsidTr="00BE23A6">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BE23A6">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rsidR="00FF28FA" w:rsidRPr="00FF28FA" w:rsidRDefault="0029670B" w:rsidP="00FF28FA">
            <w:pPr>
              <w:pStyle w:val="TableText"/>
              <w:rPr>
                <w:rFonts w:ascii="Calibri" w:hAnsi="Calibri"/>
                <w:sz w:val="20"/>
                <w:szCs w:val="20"/>
              </w:rPr>
            </w:pPr>
            <w:r>
              <w:rPr>
                <w:rFonts w:ascii="Calibri" w:hAnsi="Calibri"/>
                <w:sz w:val="20"/>
                <w:szCs w:val="20"/>
              </w:rPr>
              <w:t>The day after the notification date</w:t>
            </w:r>
          </w:p>
        </w:tc>
      </w:tr>
      <w:tr w:rsidR="0029670B" w:rsidRPr="00586F66" w:rsidTr="00BE23A6">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BE23A6">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rsidR="00FF28FA" w:rsidRPr="00FF28FA" w:rsidRDefault="0029670B" w:rsidP="00FF28FA">
            <w:pPr>
              <w:pStyle w:val="TableText"/>
              <w:rPr>
                <w:rFonts w:ascii="Calibri" w:hAnsi="Calibri"/>
                <w:sz w:val="20"/>
                <w:szCs w:val="20"/>
              </w:rPr>
            </w:pPr>
            <w:r>
              <w:rPr>
                <w:rFonts w:ascii="Calibri" w:hAnsi="Calibri"/>
                <w:sz w:val="20"/>
                <w:szCs w:val="20"/>
              </w:rPr>
              <w:t>3</w:t>
            </w:r>
            <w:r w:rsidRPr="00586F66">
              <w:rPr>
                <w:rFonts w:ascii="Calibri" w:hAnsi="Calibri"/>
                <w:sz w:val="20"/>
                <w:szCs w:val="20"/>
              </w:rPr>
              <w:t xml:space="preserve"> years after </w:t>
            </w:r>
            <w:r>
              <w:rPr>
                <w:rFonts w:ascii="Calibri" w:hAnsi="Calibri"/>
                <w:sz w:val="20"/>
                <w:szCs w:val="20"/>
              </w:rPr>
              <w:t>the notification date</w:t>
            </w:r>
          </w:p>
        </w:tc>
      </w:tr>
      <w:tr w:rsidR="0029670B" w:rsidRPr="00586F66" w:rsidTr="00BE23A6">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FF28FA">
            <w:pPr>
              <w:pStyle w:val="TableText"/>
              <w:keepNext/>
              <w:rPr>
                <w:rFonts w:ascii="Calibri" w:hAnsi="Calibri"/>
                <w:sz w:val="20"/>
                <w:szCs w:val="20"/>
              </w:rPr>
            </w:pPr>
            <w:r w:rsidRPr="00586F66">
              <w:rPr>
                <w:rFonts w:ascii="Calibri" w:hAnsi="Calibri"/>
                <w:sz w:val="20"/>
                <w:szCs w:val="20"/>
              </w:rPr>
              <w:lastRenderedPageBreak/>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rsidR="00E525CF" w:rsidRPr="00E525CF" w:rsidRDefault="0029670B" w:rsidP="00FF28FA">
            <w:pPr>
              <w:pStyle w:val="TableText"/>
              <w:keepNext/>
              <w:rPr>
                <w:rFonts w:ascii="Calibri" w:hAnsi="Calibri"/>
                <w:sz w:val="20"/>
                <w:szCs w:val="20"/>
              </w:rPr>
            </w:pPr>
            <w:r>
              <w:rPr>
                <w:rFonts w:ascii="Calibri" w:hAnsi="Calibri"/>
                <w:sz w:val="20"/>
                <w:szCs w:val="20"/>
              </w:rPr>
              <w:t>General Manager Custodial Operations</w:t>
            </w:r>
          </w:p>
        </w:tc>
      </w:tr>
      <w:tr w:rsidR="0029670B" w:rsidRPr="00586F66" w:rsidTr="00BE23A6">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FF28FA">
            <w:pPr>
              <w:pStyle w:val="TableText"/>
              <w:keepNext/>
              <w:rPr>
                <w:rFonts w:ascii="Calibri" w:hAnsi="Calibri"/>
                <w:sz w:val="20"/>
                <w:szCs w:val="20"/>
              </w:rPr>
            </w:pPr>
            <w:r>
              <w:rPr>
                <w:rFonts w:ascii="Calibri" w:hAnsi="Calibri"/>
                <w:sz w:val="20"/>
                <w:szCs w:val="20"/>
              </w:rPr>
              <w:t>Compliance</w:t>
            </w:r>
            <w:r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rsidR="0029670B" w:rsidRPr="00586F66" w:rsidRDefault="0029670B" w:rsidP="00FF28FA">
            <w:pPr>
              <w:pStyle w:val="TableText"/>
              <w:keepNext/>
              <w:rPr>
                <w:rFonts w:asciiTheme="minorHAnsi" w:hAnsiTheme="minorHAnsi"/>
                <w:sz w:val="20"/>
                <w:szCs w:val="20"/>
              </w:rPr>
            </w:pPr>
            <w:r w:rsidRPr="00586F66">
              <w:rPr>
                <w:rFonts w:asciiTheme="minorHAnsi" w:hAnsiTheme="minorHAnsi"/>
                <w:sz w:val="20"/>
                <w:szCs w:val="20"/>
              </w:rPr>
              <w:t xml:space="preserve">This </w:t>
            </w:r>
            <w:r>
              <w:rPr>
                <w:rFonts w:asciiTheme="minorHAnsi" w:hAnsiTheme="minorHAnsi"/>
                <w:sz w:val="20"/>
                <w:szCs w:val="20"/>
              </w:rPr>
              <w:t>operating procedure</w:t>
            </w:r>
            <w:r w:rsidRPr="00586F66">
              <w:rPr>
                <w:rFonts w:asciiTheme="minorHAnsi" w:hAnsiTheme="minorHAnsi"/>
                <w:sz w:val="20"/>
                <w:szCs w:val="20"/>
              </w:rPr>
              <w:t xml:space="preserve"> reflects the requirements of the </w:t>
            </w:r>
            <w:r w:rsidRPr="00780A2D">
              <w:rPr>
                <w:rFonts w:asciiTheme="minorHAnsi" w:hAnsiTheme="minorHAnsi"/>
                <w:i/>
                <w:iCs/>
                <w:sz w:val="20"/>
                <w:szCs w:val="20"/>
              </w:rPr>
              <w:t xml:space="preserve">Corrections Management (Policy </w:t>
            </w:r>
            <w:r>
              <w:rPr>
                <w:rFonts w:asciiTheme="minorHAnsi" w:hAnsiTheme="minorHAnsi"/>
                <w:i/>
                <w:iCs/>
                <w:sz w:val="20"/>
                <w:szCs w:val="20"/>
              </w:rPr>
              <w:t>Framework) Policy</w:t>
            </w:r>
            <w:r w:rsidRPr="00780A2D">
              <w:rPr>
                <w:rFonts w:asciiTheme="minorHAnsi" w:hAnsiTheme="minorHAnsi"/>
                <w:i/>
                <w:iCs/>
                <w:sz w:val="20"/>
                <w:szCs w:val="20"/>
              </w:rPr>
              <w:t xml:space="preserve"> 201</w:t>
            </w:r>
            <w:r>
              <w:rPr>
                <w:rFonts w:asciiTheme="minorHAnsi" w:hAnsiTheme="minorHAnsi"/>
                <w:i/>
                <w:iCs/>
                <w:sz w:val="20"/>
                <w:szCs w:val="20"/>
              </w:rPr>
              <w:t>9</w:t>
            </w:r>
          </w:p>
        </w:tc>
      </w:tr>
    </w:tbl>
    <w:p w:rsidR="0029670B" w:rsidRDefault="0029670B" w:rsidP="0029670B">
      <w:pPr>
        <w:rPr>
          <w:rFonts w:ascii="Arial" w:hAnsi="Arial" w:cs="Arial"/>
          <w:sz w:val="24"/>
          <w:szCs w:val="24"/>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26"/>
        <w:gridCol w:w="1634"/>
        <w:gridCol w:w="2556"/>
        <w:gridCol w:w="2140"/>
      </w:tblGrid>
      <w:tr w:rsidR="0029670B" w:rsidRPr="00B11C0C" w:rsidTr="00BE23A6">
        <w:trPr>
          <w:trHeight w:val="395"/>
        </w:trPr>
        <w:tc>
          <w:tcPr>
            <w:tcW w:w="0" w:type="auto"/>
            <w:gridSpan w:val="4"/>
            <w:shd w:val="clear" w:color="auto" w:fill="F2F2F2" w:themeFill="background1" w:themeFillShade="F2"/>
          </w:tcPr>
          <w:p w:rsidR="0029670B" w:rsidRPr="00B11C0C" w:rsidRDefault="0029670B" w:rsidP="00BE23A6">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29670B" w:rsidRPr="00B11C0C" w:rsidTr="00BE23A6">
        <w:trPr>
          <w:trHeight w:val="395"/>
        </w:trPr>
        <w:tc>
          <w:tcPr>
            <w:tcW w:w="0" w:type="auto"/>
          </w:tcPr>
          <w:p w:rsidR="0029670B" w:rsidRPr="00B11C0C" w:rsidRDefault="0029670B" w:rsidP="00BE23A6">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0" w:type="auto"/>
          </w:tcPr>
          <w:p w:rsidR="0029670B" w:rsidRPr="00B11C0C" w:rsidRDefault="0029670B" w:rsidP="00BE23A6">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0" w:type="auto"/>
          </w:tcPr>
          <w:p w:rsidR="0029670B" w:rsidRPr="00B11C0C" w:rsidRDefault="0029670B" w:rsidP="00BE23A6">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rsidR="0029670B" w:rsidRPr="00B11C0C" w:rsidRDefault="0029670B" w:rsidP="00BE23A6">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0E3869" w:rsidRPr="000E3869" w:rsidTr="00BE23A6">
        <w:trPr>
          <w:trHeight w:val="395"/>
        </w:trPr>
        <w:tc>
          <w:tcPr>
            <w:tcW w:w="0" w:type="auto"/>
          </w:tcPr>
          <w:p w:rsidR="000E3869" w:rsidRPr="000E3869" w:rsidRDefault="000E3869" w:rsidP="00BE23A6">
            <w:pPr>
              <w:spacing w:line="360" w:lineRule="auto"/>
              <w:outlineLvl w:val="1"/>
              <w:rPr>
                <w:rFonts w:eastAsia="Calibri" w:cs="Times New Roman"/>
                <w:sz w:val="20"/>
                <w:szCs w:val="24"/>
              </w:rPr>
            </w:pPr>
            <w:r w:rsidRPr="000E3869">
              <w:rPr>
                <w:rFonts w:eastAsia="Calibri" w:cs="Times New Roman"/>
                <w:sz w:val="20"/>
                <w:szCs w:val="24"/>
              </w:rPr>
              <w:t>V2</w:t>
            </w:r>
          </w:p>
        </w:tc>
        <w:tc>
          <w:tcPr>
            <w:tcW w:w="0" w:type="auto"/>
          </w:tcPr>
          <w:p w:rsidR="000E3869" w:rsidRPr="000E3869" w:rsidRDefault="000E3869" w:rsidP="00BE23A6">
            <w:pPr>
              <w:spacing w:line="360" w:lineRule="auto"/>
              <w:outlineLvl w:val="1"/>
              <w:rPr>
                <w:rFonts w:eastAsia="Calibri" w:cs="Times New Roman"/>
                <w:sz w:val="20"/>
                <w:szCs w:val="24"/>
              </w:rPr>
            </w:pPr>
            <w:r>
              <w:rPr>
                <w:rFonts w:eastAsia="Calibri" w:cs="Times New Roman"/>
                <w:sz w:val="20"/>
                <w:szCs w:val="24"/>
              </w:rPr>
              <w:t>June-19</w:t>
            </w:r>
          </w:p>
        </w:tc>
        <w:tc>
          <w:tcPr>
            <w:tcW w:w="0" w:type="auto"/>
          </w:tcPr>
          <w:p w:rsidR="000E3869" w:rsidRPr="000E3869" w:rsidRDefault="000E3869" w:rsidP="00BE23A6">
            <w:pPr>
              <w:spacing w:line="360" w:lineRule="auto"/>
              <w:outlineLvl w:val="1"/>
              <w:rPr>
                <w:rFonts w:eastAsia="Calibri" w:cs="Times New Roman"/>
                <w:sz w:val="20"/>
                <w:szCs w:val="24"/>
              </w:rPr>
            </w:pPr>
            <w:r>
              <w:rPr>
                <w:rFonts w:eastAsia="Calibri" w:cs="Times New Roman"/>
                <w:sz w:val="20"/>
                <w:szCs w:val="24"/>
              </w:rPr>
              <w:t xml:space="preserve">Minor </w:t>
            </w:r>
            <w:r w:rsidR="00DD08A1">
              <w:rPr>
                <w:rFonts w:eastAsia="Calibri" w:cs="Times New Roman"/>
                <w:sz w:val="20"/>
                <w:szCs w:val="24"/>
              </w:rPr>
              <w:t>update</w:t>
            </w:r>
          </w:p>
        </w:tc>
        <w:tc>
          <w:tcPr>
            <w:tcW w:w="0" w:type="auto"/>
          </w:tcPr>
          <w:p w:rsidR="000E3869" w:rsidRPr="000E3869" w:rsidRDefault="000E3869" w:rsidP="00BE23A6">
            <w:pPr>
              <w:spacing w:line="360" w:lineRule="auto"/>
              <w:outlineLvl w:val="1"/>
              <w:rPr>
                <w:rFonts w:eastAsia="Calibri" w:cs="Times New Roman"/>
                <w:sz w:val="20"/>
                <w:szCs w:val="24"/>
              </w:rPr>
            </w:pPr>
            <w:r>
              <w:rPr>
                <w:rFonts w:eastAsia="Calibri" w:cs="Times New Roman"/>
                <w:sz w:val="20"/>
                <w:szCs w:val="24"/>
              </w:rPr>
              <w:t>L Kazak</w:t>
            </w:r>
          </w:p>
        </w:tc>
      </w:tr>
      <w:tr w:rsidR="0029670B" w:rsidRPr="00B11C0C" w:rsidTr="00BE23A6">
        <w:trPr>
          <w:trHeight w:val="395"/>
        </w:trPr>
        <w:tc>
          <w:tcPr>
            <w:tcW w:w="0" w:type="auto"/>
          </w:tcPr>
          <w:p w:rsidR="0029670B" w:rsidRPr="00B11C0C" w:rsidRDefault="0029670B" w:rsidP="00BE23A6">
            <w:pPr>
              <w:spacing w:line="360" w:lineRule="auto"/>
              <w:outlineLvl w:val="1"/>
              <w:rPr>
                <w:rFonts w:eastAsia="Calibri" w:cs="Times New Roman"/>
                <w:sz w:val="20"/>
                <w:szCs w:val="24"/>
              </w:rPr>
            </w:pPr>
            <w:r w:rsidRPr="00B11C0C">
              <w:rPr>
                <w:rFonts w:eastAsia="Calibri" w:cs="Times New Roman"/>
                <w:sz w:val="20"/>
                <w:szCs w:val="24"/>
              </w:rPr>
              <w:t>V1</w:t>
            </w:r>
          </w:p>
        </w:tc>
        <w:tc>
          <w:tcPr>
            <w:tcW w:w="0" w:type="auto"/>
          </w:tcPr>
          <w:p w:rsidR="0029670B" w:rsidRPr="00B11C0C" w:rsidRDefault="0029670B" w:rsidP="00BE23A6">
            <w:pPr>
              <w:spacing w:line="360" w:lineRule="auto"/>
              <w:outlineLvl w:val="1"/>
              <w:rPr>
                <w:rFonts w:eastAsia="Calibri" w:cs="Times New Roman"/>
                <w:sz w:val="20"/>
                <w:szCs w:val="24"/>
              </w:rPr>
            </w:pPr>
            <w:r w:rsidRPr="00B11C0C">
              <w:rPr>
                <w:rFonts w:eastAsia="Calibri" w:cs="Times New Roman"/>
                <w:sz w:val="20"/>
                <w:szCs w:val="24"/>
              </w:rPr>
              <w:t>M</w:t>
            </w:r>
            <w:r>
              <w:rPr>
                <w:rFonts w:eastAsia="Calibri" w:cs="Times New Roman"/>
                <w:sz w:val="20"/>
                <w:szCs w:val="24"/>
              </w:rPr>
              <w:t>ay-19</w:t>
            </w:r>
          </w:p>
        </w:tc>
        <w:tc>
          <w:tcPr>
            <w:tcW w:w="0" w:type="auto"/>
          </w:tcPr>
          <w:p w:rsidR="0029670B" w:rsidRPr="00B11C0C" w:rsidRDefault="0029670B" w:rsidP="00BE23A6">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0" w:type="auto"/>
          </w:tcPr>
          <w:p w:rsidR="0029670B" w:rsidRPr="00B11C0C" w:rsidRDefault="0029670B" w:rsidP="00BE23A6">
            <w:pPr>
              <w:spacing w:line="360" w:lineRule="auto"/>
              <w:outlineLvl w:val="1"/>
              <w:rPr>
                <w:rFonts w:eastAsia="Calibri" w:cs="Times New Roman"/>
                <w:sz w:val="20"/>
                <w:szCs w:val="24"/>
              </w:rPr>
            </w:pPr>
            <w:r>
              <w:rPr>
                <w:rFonts w:eastAsia="Calibri" w:cs="Times New Roman"/>
                <w:sz w:val="20"/>
                <w:szCs w:val="24"/>
              </w:rPr>
              <w:t>N Veenstra</w:t>
            </w:r>
          </w:p>
        </w:tc>
      </w:tr>
    </w:tbl>
    <w:p w:rsidR="0029670B" w:rsidRDefault="0029670B" w:rsidP="0029670B">
      <w:pPr>
        <w:rPr>
          <w:rFonts w:ascii="Arial" w:hAnsi="Arial" w:cs="Arial"/>
          <w:sz w:val="24"/>
          <w:szCs w:val="24"/>
        </w:rPr>
      </w:pPr>
    </w:p>
    <w:p w:rsidR="005E011D" w:rsidRDefault="005E011D" w:rsidP="001404AB">
      <w:pPr>
        <w:rPr>
          <w:rFonts w:ascii="Arial" w:hAnsi="Arial" w:cs="Arial"/>
          <w:sz w:val="24"/>
          <w:szCs w:val="24"/>
        </w:rPr>
      </w:pPr>
    </w:p>
    <w:sectPr w:rsidR="005E011D" w:rsidSect="00E525CF">
      <w:headerReference w:type="first" r:id="rId15"/>
      <w:footerReference w:type="first" r:id="rId16"/>
      <w:pgSz w:w="11906" w:h="16838"/>
      <w:pgMar w:top="1440" w:right="1440" w:bottom="1276"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9B0" w:rsidRDefault="001919B0" w:rsidP="00152D5E">
      <w:pPr>
        <w:spacing w:after="0" w:line="240" w:lineRule="auto"/>
      </w:pPr>
      <w:r>
        <w:separator/>
      </w:r>
    </w:p>
  </w:endnote>
  <w:endnote w:type="continuationSeparator" w:id="0">
    <w:p w:rsidR="001919B0" w:rsidRDefault="001919B0"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E4" w:rsidRDefault="001F0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rPr>
      <w:id w:val="-1171249494"/>
      <w:docPartObj>
        <w:docPartGallery w:val="Page Numbers (Bottom of Page)"/>
        <w:docPartUnique/>
      </w:docPartObj>
    </w:sdtPr>
    <w:sdtEndPr/>
    <w:sdtContent>
      <w:sdt>
        <w:sdtPr>
          <w:rPr>
            <w:rFonts w:ascii="Calibri" w:hAnsi="Calibri"/>
          </w:rPr>
          <w:id w:val="-1459258628"/>
          <w:docPartObj>
            <w:docPartGallery w:val="Page Numbers (Top of Page)"/>
            <w:docPartUnique/>
          </w:docPartObj>
        </w:sdtPr>
        <w:sdtEndPr/>
        <w:sdtContent>
          <w:p w:rsidR="002C7846" w:rsidRDefault="00FB2C79" w:rsidP="005E011D">
            <w:pPr>
              <w:pStyle w:val="Footer"/>
              <w:rPr>
                <w:rFonts w:ascii="Calibri" w:hAnsi="Calibri"/>
              </w:rPr>
            </w:pPr>
            <w:r>
              <w:rPr>
                <w:rFonts w:ascii="Calibri" w:hAnsi="Calibri"/>
              </w:rPr>
              <w:t xml:space="preserve">__________________________________________________________________________________ </w:t>
            </w:r>
          </w:p>
          <w:p w:rsidR="00E525CF" w:rsidRDefault="002C7846" w:rsidP="005E011D">
            <w:pPr>
              <w:pStyle w:val="Footer"/>
              <w:rPr>
                <w:rFonts w:ascii="Calibri" w:hAnsi="Calibri"/>
                <w:szCs w:val="18"/>
              </w:rPr>
            </w:pPr>
            <w:r>
              <w:rPr>
                <w:rFonts w:ascii="Calibri" w:hAnsi="Calibri"/>
              </w:rPr>
              <w:t xml:space="preserve">                                                                                                           </w:t>
            </w:r>
            <w:r w:rsidR="00FB2C79">
              <w:rPr>
                <w:rFonts w:ascii="Calibri" w:hAnsi="Calibri"/>
              </w:rPr>
              <w:t xml:space="preserve">                   </w:t>
            </w:r>
            <w:r w:rsidR="00FB2C79" w:rsidRPr="005E011D">
              <w:rPr>
                <w:rFonts w:ascii="Calibri" w:hAnsi="Calibri"/>
              </w:rPr>
              <w:t xml:space="preserve">     </w:t>
            </w:r>
            <w:r>
              <w:rPr>
                <w:rFonts w:ascii="Calibri" w:hAnsi="Calibri"/>
              </w:rPr>
              <w:t xml:space="preserve">                           </w:t>
            </w:r>
            <w:r w:rsidR="00FB2C79" w:rsidRPr="005E011D">
              <w:rPr>
                <w:rFonts w:ascii="Calibri" w:hAnsi="Calibri"/>
                <w:szCs w:val="18"/>
              </w:rPr>
              <w:t xml:space="preserve">Page </w:t>
            </w:r>
            <w:r w:rsidR="003C6EB2" w:rsidRPr="005E011D">
              <w:rPr>
                <w:rFonts w:ascii="Calibri" w:hAnsi="Calibri"/>
                <w:szCs w:val="18"/>
              </w:rPr>
              <w:fldChar w:fldCharType="begin"/>
            </w:r>
            <w:r w:rsidR="00FB2C79" w:rsidRPr="005E011D">
              <w:rPr>
                <w:rFonts w:ascii="Calibri" w:hAnsi="Calibri"/>
                <w:szCs w:val="18"/>
              </w:rPr>
              <w:instrText xml:space="preserve"> PAGE </w:instrText>
            </w:r>
            <w:r w:rsidR="003C6EB2" w:rsidRPr="005E011D">
              <w:rPr>
                <w:rFonts w:ascii="Calibri" w:hAnsi="Calibri"/>
                <w:szCs w:val="18"/>
              </w:rPr>
              <w:fldChar w:fldCharType="separate"/>
            </w:r>
            <w:r w:rsidR="008618F9">
              <w:rPr>
                <w:rFonts w:ascii="Calibri" w:hAnsi="Calibri"/>
                <w:noProof/>
                <w:szCs w:val="18"/>
              </w:rPr>
              <w:t>4</w:t>
            </w:r>
            <w:r w:rsidR="003C6EB2" w:rsidRPr="005E011D">
              <w:rPr>
                <w:rFonts w:ascii="Calibri" w:hAnsi="Calibri"/>
                <w:szCs w:val="18"/>
              </w:rPr>
              <w:fldChar w:fldCharType="end"/>
            </w:r>
            <w:r w:rsidR="00FB2C79" w:rsidRPr="005E011D">
              <w:rPr>
                <w:rFonts w:ascii="Calibri" w:hAnsi="Calibri"/>
                <w:szCs w:val="18"/>
              </w:rPr>
              <w:t xml:space="preserve"> of </w:t>
            </w:r>
            <w:r w:rsidR="003C6EB2" w:rsidRPr="005E011D">
              <w:rPr>
                <w:rFonts w:ascii="Calibri" w:hAnsi="Calibri"/>
                <w:szCs w:val="18"/>
              </w:rPr>
              <w:fldChar w:fldCharType="begin"/>
            </w:r>
            <w:r w:rsidR="00FB2C79" w:rsidRPr="005E011D">
              <w:rPr>
                <w:rFonts w:ascii="Calibri" w:hAnsi="Calibri"/>
                <w:szCs w:val="18"/>
              </w:rPr>
              <w:instrText xml:space="preserve"> NUMPAGES  </w:instrText>
            </w:r>
            <w:r w:rsidR="003C6EB2" w:rsidRPr="005E011D">
              <w:rPr>
                <w:rFonts w:ascii="Calibri" w:hAnsi="Calibri"/>
                <w:szCs w:val="18"/>
              </w:rPr>
              <w:fldChar w:fldCharType="separate"/>
            </w:r>
            <w:r w:rsidR="008618F9">
              <w:rPr>
                <w:rFonts w:ascii="Calibri" w:hAnsi="Calibri"/>
                <w:noProof/>
                <w:szCs w:val="18"/>
              </w:rPr>
              <w:t>4</w:t>
            </w:r>
            <w:r w:rsidR="003C6EB2" w:rsidRPr="005E011D">
              <w:rPr>
                <w:rFonts w:ascii="Calibri" w:hAnsi="Calibri"/>
                <w:szCs w:val="18"/>
              </w:rPr>
              <w:fldChar w:fldCharType="end"/>
            </w:r>
            <w:r w:rsidR="00FB2C79">
              <w:rPr>
                <w:rFonts w:ascii="Calibri" w:hAnsi="Calibri"/>
                <w:szCs w:val="18"/>
              </w:rPr>
              <w:t xml:space="preserve">    </w:t>
            </w:r>
          </w:p>
          <w:p w:rsidR="001F08E4" w:rsidRDefault="001F08E4" w:rsidP="00E525CF">
            <w:pPr>
              <w:pStyle w:val="Footer"/>
              <w:jc w:val="center"/>
              <w:rPr>
                <w:rFonts w:ascii="Calibri" w:hAnsi="Calibri"/>
              </w:rPr>
            </w:pPr>
          </w:p>
        </w:sdtContent>
      </w:sdt>
    </w:sdtContent>
  </w:sdt>
  <w:p w:rsidR="00FB2C79" w:rsidRPr="001F08E4" w:rsidRDefault="001F08E4" w:rsidP="001F08E4">
    <w:pPr>
      <w:pStyle w:val="Footer"/>
      <w:jc w:val="center"/>
      <w:rPr>
        <w:rFonts w:ascii="Arial" w:hAnsi="Arial" w:cs="Arial"/>
        <w:sz w:val="14"/>
      </w:rPr>
    </w:pPr>
    <w:r w:rsidRPr="001F08E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E4" w:rsidRPr="001F08E4" w:rsidRDefault="001F08E4" w:rsidP="001F08E4">
    <w:pPr>
      <w:pStyle w:val="Footer"/>
      <w:jc w:val="center"/>
      <w:rPr>
        <w:rFonts w:ascii="Arial" w:hAnsi="Arial" w:cs="Arial"/>
        <w:sz w:val="14"/>
      </w:rPr>
    </w:pPr>
    <w:r w:rsidRPr="001F08E4">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5CF" w:rsidRPr="001F08E4" w:rsidRDefault="001F08E4" w:rsidP="001F08E4">
    <w:pPr>
      <w:pStyle w:val="Footer"/>
      <w:jc w:val="center"/>
      <w:rPr>
        <w:rFonts w:ascii="Arial" w:hAnsi="Arial" w:cs="Arial"/>
        <w:sz w:val="14"/>
      </w:rPr>
    </w:pPr>
    <w:r w:rsidRPr="001F08E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9B0" w:rsidRDefault="001919B0" w:rsidP="00152D5E">
      <w:pPr>
        <w:spacing w:after="0" w:line="240" w:lineRule="auto"/>
      </w:pPr>
      <w:r>
        <w:separator/>
      </w:r>
    </w:p>
  </w:footnote>
  <w:footnote w:type="continuationSeparator" w:id="0">
    <w:p w:rsidR="001919B0" w:rsidRDefault="001919B0"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E4" w:rsidRDefault="001F0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C79" w:rsidRPr="00B13060" w:rsidRDefault="00FB2C79" w:rsidP="00BD5304">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E4" w:rsidRDefault="001F08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5CF" w:rsidRDefault="00E525CF">
    <w:pPr>
      <w:pStyle w:val="Header"/>
      <w:rPr>
        <w:b/>
        <w:bCs/>
        <w:color w:val="808080"/>
        <w:spacing w:val="24"/>
        <w:sz w:val="20"/>
        <w:szCs w:val="20"/>
      </w:rPr>
    </w:pPr>
    <w:r w:rsidRPr="00D94114">
      <w:rPr>
        <w:noProof/>
        <w:lang w:eastAsia="en-AU"/>
      </w:rPr>
      <w:drawing>
        <wp:inline distT="0" distB="0" distL="0" distR="0" wp14:anchorId="46F2C53C" wp14:editId="6A855A66">
          <wp:extent cx="2190750" cy="676275"/>
          <wp:effectExtent l="19050" t="0" r="0" b="0"/>
          <wp:docPr id="21"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r>
      <w:rPr>
        <w:noProof/>
        <w:lang w:eastAsia="en-AU"/>
      </w:rPr>
      <w:t xml:space="preserve"> </w:t>
    </w:r>
    <w:r>
      <w:rPr>
        <w:b/>
        <w:bCs/>
        <w:color w:val="808080"/>
        <w:spacing w:val="24"/>
        <w:sz w:val="20"/>
        <w:szCs w:val="20"/>
      </w:rPr>
      <w:t> </w:t>
    </w:r>
  </w:p>
  <w:p w:rsidR="00E525CF" w:rsidRDefault="00E52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C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A6FD6"/>
    <w:multiLevelType w:val="multilevel"/>
    <w:tmpl w:val="15D00F4A"/>
    <w:lvl w:ilvl="0">
      <w:start w:val="20"/>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 w15:restartNumberingAfterBreak="0">
    <w:nsid w:val="05356A30"/>
    <w:multiLevelType w:val="hybridMultilevel"/>
    <w:tmpl w:val="0DCA77BE"/>
    <w:lvl w:ilvl="0" w:tplc="388CBF14">
      <w:start w:val="6"/>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1345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D07C5"/>
    <w:multiLevelType w:val="multilevel"/>
    <w:tmpl w:val="9230A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5B7283"/>
    <w:multiLevelType w:val="hybridMultilevel"/>
    <w:tmpl w:val="DCF2E892"/>
    <w:lvl w:ilvl="0" w:tplc="D2A8FE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836D70"/>
    <w:multiLevelType w:val="multilevel"/>
    <w:tmpl w:val="4202AE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7564E"/>
    <w:multiLevelType w:val="multilevel"/>
    <w:tmpl w:val="E73451B2"/>
    <w:lvl w:ilvl="0">
      <w:start w:val="1"/>
      <w:numFmt w:val="decimal"/>
      <w:lvlText w:val="%1."/>
      <w:lvlJc w:val="left"/>
      <w:pPr>
        <w:ind w:left="431" w:hanging="431"/>
      </w:pPr>
      <w:rPr>
        <w:rFonts w:hint="default"/>
      </w:rPr>
    </w:lvl>
    <w:lvl w:ilvl="1">
      <w:start w:val="1"/>
      <w:numFmt w:val="decimal"/>
      <w:isLgl/>
      <w:lvlText w:val="%1.%2"/>
      <w:lvlJc w:val="left"/>
      <w:pPr>
        <w:ind w:left="567" w:hanging="567"/>
      </w:pPr>
      <w:rPr>
        <w:rFonts w:hint="default"/>
        <w:b w:val="0"/>
      </w:rPr>
    </w:lvl>
    <w:lvl w:ilvl="2">
      <w:start w:val="1"/>
      <w:numFmt w:val="decimal"/>
      <w:isLgl/>
      <w:lvlText w:val="%1.%2.%3"/>
      <w:lvlJc w:val="left"/>
      <w:pPr>
        <w:ind w:left="624" w:hanging="62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5CA1834"/>
    <w:multiLevelType w:val="hybridMultilevel"/>
    <w:tmpl w:val="3ABA7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917A27"/>
    <w:multiLevelType w:val="hybridMultilevel"/>
    <w:tmpl w:val="1A28E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9569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218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9C1E90"/>
    <w:multiLevelType w:val="hybridMultilevel"/>
    <w:tmpl w:val="3F2C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C70365"/>
    <w:multiLevelType w:val="multilevel"/>
    <w:tmpl w:val="99E6B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3605AF"/>
    <w:multiLevelType w:val="multilevel"/>
    <w:tmpl w:val="DEA4CBF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5" w15:restartNumberingAfterBreak="0">
    <w:nsid w:val="2F2F5CB3"/>
    <w:multiLevelType w:val="hybridMultilevel"/>
    <w:tmpl w:val="D7E856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CC2A9E"/>
    <w:multiLevelType w:val="hybridMultilevel"/>
    <w:tmpl w:val="4D960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941366"/>
    <w:multiLevelType w:val="hybridMultilevel"/>
    <w:tmpl w:val="A59E35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3C5091"/>
    <w:multiLevelType w:val="hybridMultilevel"/>
    <w:tmpl w:val="17CEC3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9731C3"/>
    <w:multiLevelType w:val="hybridMultilevel"/>
    <w:tmpl w:val="86CCB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0772ED"/>
    <w:multiLevelType w:val="multilevel"/>
    <w:tmpl w:val="887205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690F68"/>
    <w:multiLevelType w:val="hybridMultilevel"/>
    <w:tmpl w:val="D786ACEE"/>
    <w:lvl w:ilvl="0" w:tplc="51DE29EE">
      <w:start w:val="2"/>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2" w15:restartNumberingAfterBreak="0">
    <w:nsid w:val="46335212"/>
    <w:multiLevelType w:val="multilevel"/>
    <w:tmpl w:val="1652CB2E"/>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776A9F"/>
    <w:multiLevelType w:val="multilevel"/>
    <w:tmpl w:val="6C72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7479C5"/>
    <w:multiLevelType w:val="multilevel"/>
    <w:tmpl w:val="61080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D87221"/>
    <w:multiLevelType w:val="multilevel"/>
    <w:tmpl w:val="5626595A"/>
    <w:lvl w:ilvl="0">
      <w:start w:val="1"/>
      <w:numFmt w:val="decimal"/>
      <w:lvlText w:val="%1."/>
      <w:lvlJc w:val="left"/>
      <w:pPr>
        <w:ind w:left="720" w:hanging="363"/>
      </w:pPr>
      <w:rPr>
        <w:rFonts w:hint="default"/>
      </w:rPr>
    </w:lvl>
    <w:lvl w:ilvl="1">
      <w:start w:val="1"/>
      <w:numFmt w:val="decimal"/>
      <w:isLgl/>
      <w:lvlText w:val="%1.%2"/>
      <w:lvlJc w:val="left"/>
      <w:pPr>
        <w:ind w:left="720" w:hanging="436"/>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6" w15:restartNumberingAfterBreak="0">
    <w:nsid w:val="56CF1D9A"/>
    <w:multiLevelType w:val="multilevel"/>
    <w:tmpl w:val="D9B21142"/>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1A6CB9"/>
    <w:multiLevelType w:val="hybridMultilevel"/>
    <w:tmpl w:val="A1828390"/>
    <w:lvl w:ilvl="0" w:tplc="B8425CA6">
      <w:start w:val="1"/>
      <w:numFmt w:val="bullet"/>
      <w:lvlText w:val=""/>
      <w:lvlJc w:val="left"/>
      <w:pPr>
        <w:ind w:left="907" w:hanging="1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401D8D"/>
    <w:multiLevelType w:val="hybridMultilevel"/>
    <w:tmpl w:val="BA108DF0"/>
    <w:lvl w:ilvl="0" w:tplc="90D019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9A6E0F"/>
    <w:multiLevelType w:val="multilevel"/>
    <w:tmpl w:val="15862F56"/>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0" w15:restartNumberingAfterBreak="0">
    <w:nsid w:val="6B945369"/>
    <w:multiLevelType w:val="multilevel"/>
    <w:tmpl w:val="5058CB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C479E9"/>
    <w:multiLevelType w:val="hybridMultilevel"/>
    <w:tmpl w:val="498CE47A"/>
    <w:lvl w:ilvl="0" w:tplc="F250A77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C66D4"/>
    <w:multiLevelType w:val="hybridMultilevel"/>
    <w:tmpl w:val="366E9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F91F15"/>
    <w:multiLevelType w:val="multilevel"/>
    <w:tmpl w:val="CB481F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E5684"/>
    <w:multiLevelType w:val="multilevel"/>
    <w:tmpl w:val="8F064854"/>
    <w:lvl w:ilvl="0">
      <w:start w:val="6"/>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D70C13"/>
    <w:multiLevelType w:val="multilevel"/>
    <w:tmpl w:val="780002E0"/>
    <w:lvl w:ilvl="0">
      <w:start w:val="3"/>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7C93228"/>
    <w:multiLevelType w:val="hybridMultilevel"/>
    <w:tmpl w:val="B032E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20796F"/>
    <w:multiLevelType w:val="hybridMultilevel"/>
    <w:tmpl w:val="11DC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7F2400"/>
    <w:multiLevelType w:val="multilevel"/>
    <w:tmpl w:val="74125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AC77E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931DB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4FFD"/>
    <w:multiLevelType w:val="multilevel"/>
    <w:tmpl w:val="CB481F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0F25F4"/>
    <w:multiLevelType w:val="multilevel"/>
    <w:tmpl w:val="8AB494B6"/>
    <w:lvl w:ilvl="0">
      <w:start w:val="1"/>
      <w:numFmt w:val="decimal"/>
      <w:lvlText w:val="%1."/>
      <w:lvlJc w:val="left"/>
      <w:pPr>
        <w:ind w:left="431" w:hanging="431"/>
      </w:pPr>
      <w:rPr>
        <w:rFonts w:hint="default"/>
      </w:rPr>
    </w:lvl>
    <w:lvl w:ilvl="1">
      <w:start w:val="1"/>
      <w:numFmt w:val="decimal"/>
      <w:isLgl/>
      <w:lvlText w:val="%1.%2"/>
      <w:lvlJc w:val="left"/>
      <w:pPr>
        <w:ind w:left="567" w:hanging="567"/>
      </w:pPr>
      <w:rPr>
        <w:rFonts w:hint="default"/>
        <w:b w:val="0"/>
      </w:rPr>
    </w:lvl>
    <w:lvl w:ilvl="2">
      <w:start w:val="1"/>
      <w:numFmt w:val="bullet"/>
      <w:lvlText w:val=""/>
      <w:lvlJc w:val="left"/>
      <w:pPr>
        <w:ind w:left="624" w:hanging="624"/>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19"/>
  </w:num>
  <w:num w:numId="3">
    <w:abstractNumId w:val="32"/>
  </w:num>
  <w:num w:numId="4">
    <w:abstractNumId w:val="12"/>
  </w:num>
  <w:num w:numId="5">
    <w:abstractNumId w:val="16"/>
  </w:num>
  <w:num w:numId="6">
    <w:abstractNumId w:val="23"/>
  </w:num>
  <w:num w:numId="7">
    <w:abstractNumId w:val="38"/>
  </w:num>
  <w:num w:numId="8">
    <w:abstractNumId w:val="17"/>
  </w:num>
  <w:num w:numId="9">
    <w:abstractNumId w:val="28"/>
  </w:num>
  <w:num w:numId="10">
    <w:abstractNumId w:val="5"/>
  </w:num>
  <w:num w:numId="11">
    <w:abstractNumId w:val="33"/>
  </w:num>
  <w:num w:numId="12">
    <w:abstractNumId w:val="41"/>
  </w:num>
  <w:num w:numId="13">
    <w:abstractNumId w:val="31"/>
  </w:num>
  <w:num w:numId="14">
    <w:abstractNumId w:val="40"/>
  </w:num>
  <w:num w:numId="15">
    <w:abstractNumId w:val="3"/>
  </w:num>
  <w:num w:numId="16">
    <w:abstractNumId w:val="13"/>
  </w:num>
  <w:num w:numId="17">
    <w:abstractNumId w:val="11"/>
  </w:num>
  <w:num w:numId="18">
    <w:abstractNumId w:val="0"/>
  </w:num>
  <w:num w:numId="19">
    <w:abstractNumId w:val="8"/>
  </w:num>
  <w:num w:numId="20">
    <w:abstractNumId w:val="4"/>
  </w:num>
  <w:num w:numId="21">
    <w:abstractNumId w:val="20"/>
  </w:num>
  <w:num w:numId="22">
    <w:abstractNumId w:val="10"/>
  </w:num>
  <w:num w:numId="23">
    <w:abstractNumId w:val="6"/>
  </w:num>
  <w:num w:numId="24">
    <w:abstractNumId w:val="30"/>
  </w:num>
  <w:num w:numId="25">
    <w:abstractNumId w:val="24"/>
  </w:num>
  <w:num w:numId="26">
    <w:abstractNumId w:val="18"/>
  </w:num>
  <w:num w:numId="27">
    <w:abstractNumId w:val="37"/>
  </w:num>
  <w:num w:numId="28">
    <w:abstractNumId w:val="7"/>
  </w:num>
  <w:num w:numId="29">
    <w:abstractNumId w:val="2"/>
  </w:num>
  <w:num w:numId="30">
    <w:abstractNumId w:val="26"/>
  </w:num>
  <w:num w:numId="31">
    <w:abstractNumId w:val="22"/>
  </w:num>
  <w:num w:numId="32">
    <w:abstractNumId w:val="35"/>
  </w:num>
  <w:num w:numId="33">
    <w:abstractNumId w:val="27"/>
  </w:num>
  <w:num w:numId="34">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abstractNumId w:val="34"/>
  </w:num>
  <w:num w:numId="36">
    <w:abstractNumId w:val="39"/>
  </w:num>
  <w:num w:numId="37">
    <w:abstractNumId w:val="42"/>
  </w:num>
  <w:num w:numId="38">
    <w:abstractNumId w:val="7"/>
    <w:lvlOverride w:ilvl="0">
      <w:lvl w:ilvl="0">
        <w:start w:val="1"/>
        <w:numFmt w:val="decimal"/>
        <w:lvlText w:val="%1."/>
        <w:lvlJc w:val="left"/>
        <w:pPr>
          <w:ind w:left="454" w:hanging="454"/>
        </w:pPr>
        <w:rPr>
          <w:rFonts w:hint="default"/>
        </w:rPr>
      </w:lvl>
    </w:lvlOverride>
    <w:lvlOverride w:ilvl="1">
      <w:lvl w:ilvl="1">
        <w:start w:val="1"/>
        <w:numFmt w:val="decimal"/>
        <w:isLgl/>
        <w:lvlText w:val="%1.%2"/>
        <w:lvlJc w:val="left"/>
        <w:pPr>
          <w:ind w:left="567" w:hanging="567"/>
        </w:pPr>
        <w:rPr>
          <w:rFonts w:hint="default"/>
          <w:b w:val="0"/>
        </w:rPr>
      </w:lvl>
    </w:lvlOverride>
    <w:lvlOverride w:ilvl="2">
      <w:lvl w:ilvl="2">
        <w:start w:val="1"/>
        <w:numFmt w:val="decimal"/>
        <w:isLgl/>
        <w:lvlText w:val="%1.%2.%3"/>
        <w:lvlJc w:val="left"/>
        <w:pPr>
          <w:ind w:left="624" w:hanging="624"/>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39">
    <w:abstractNumId w:val="7"/>
    <w:lvlOverride w:ilvl="0">
      <w:lvl w:ilvl="0">
        <w:start w:val="1"/>
        <w:numFmt w:val="decimal"/>
        <w:lvlText w:val="%1."/>
        <w:lvlJc w:val="left"/>
        <w:pPr>
          <w:ind w:left="567" w:hanging="567"/>
        </w:pPr>
        <w:rPr>
          <w:rFonts w:hint="default"/>
        </w:rPr>
      </w:lvl>
    </w:lvlOverride>
    <w:lvlOverride w:ilvl="1">
      <w:lvl w:ilvl="1">
        <w:start w:val="1"/>
        <w:numFmt w:val="decimal"/>
        <w:isLgl/>
        <w:lvlText w:val="%1.%2"/>
        <w:lvlJc w:val="left"/>
        <w:pPr>
          <w:ind w:left="567" w:hanging="567"/>
        </w:pPr>
        <w:rPr>
          <w:rFonts w:hint="default"/>
          <w:b w:val="0"/>
        </w:rPr>
      </w:lvl>
    </w:lvlOverride>
    <w:lvlOverride w:ilvl="2">
      <w:lvl w:ilvl="2">
        <w:start w:val="1"/>
        <w:numFmt w:val="decimal"/>
        <w:isLgl/>
        <w:lvlText w:val="%1.%2.%3"/>
        <w:lvlJc w:val="left"/>
        <w:pPr>
          <w:ind w:left="624" w:hanging="624"/>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40">
    <w:abstractNumId w:val="14"/>
  </w:num>
  <w:num w:numId="41">
    <w:abstractNumId w:val="15"/>
  </w:num>
  <w:num w:numId="42">
    <w:abstractNumId w:val="25"/>
  </w:num>
  <w:num w:numId="43">
    <w:abstractNumId w:val="1"/>
  </w:num>
  <w:num w:numId="44">
    <w:abstractNumId w:val="29"/>
  </w:num>
  <w:num w:numId="45">
    <w:abstractNumId w:val="2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33"/>
    <w:rsid w:val="00003AAC"/>
    <w:rsid w:val="000100D2"/>
    <w:rsid w:val="00012A69"/>
    <w:rsid w:val="0001683E"/>
    <w:rsid w:val="000201CE"/>
    <w:rsid w:val="00025FB8"/>
    <w:rsid w:val="00031A8B"/>
    <w:rsid w:val="0003635E"/>
    <w:rsid w:val="000458C7"/>
    <w:rsid w:val="0004691B"/>
    <w:rsid w:val="000517D4"/>
    <w:rsid w:val="00057B04"/>
    <w:rsid w:val="0006604B"/>
    <w:rsid w:val="0008365F"/>
    <w:rsid w:val="0008768A"/>
    <w:rsid w:val="000A4061"/>
    <w:rsid w:val="000B7E7B"/>
    <w:rsid w:val="000C15FB"/>
    <w:rsid w:val="000C428F"/>
    <w:rsid w:val="000D07AB"/>
    <w:rsid w:val="000E287F"/>
    <w:rsid w:val="000E3869"/>
    <w:rsid w:val="000F4339"/>
    <w:rsid w:val="001127C2"/>
    <w:rsid w:val="00135D4A"/>
    <w:rsid w:val="001404AB"/>
    <w:rsid w:val="00141E42"/>
    <w:rsid w:val="001432EA"/>
    <w:rsid w:val="0014632E"/>
    <w:rsid w:val="001504B0"/>
    <w:rsid w:val="00152066"/>
    <w:rsid w:val="00152D5E"/>
    <w:rsid w:val="00162B50"/>
    <w:rsid w:val="001902E2"/>
    <w:rsid w:val="001919B0"/>
    <w:rsid w:val="001A0943"/>
    <w:rsid w:val="001A677B"/>
    <w:rsid w:val="001B186D"/>
    <w:rsid w:val="001B543C"/>
    <w:rsid w:val="001D033A"/>
    <w:rsid w:val="001E7C98"/>
    <w:rsid w:val="001F08E4"/>
    <w:rsid w:val="001F501D"/>
    <w:rsid w:val="00201DA9"/>
    <w:rsid w:val="00202B3A"/>
    <w:rsid w:val="0021108E"/>
    <w:rsid w:val="00214EF1"/>
    <w:rsid w:val="00214F82"/>
    <w:rsid w:val="00215BD6"/>
    <w:rsid w:val="00221FA3"/>
    <w:rsid w:val="00227943"/>
    <w:rsid w:val="00252E13"/>
    <w:rsid w:val="00270C33"/>
    <w:rsid w:val="00272CE7"/>
    <w:rsid w:val="00280260"/>
    <w:rsid w:val="00281974"/>
    <w:rsid w:val="00283EE0"/>
    <w:rsid w:val="00287266"/>
    <w:rsid w:val="00295F7C"/>
    <w:rsid w:val="0029670B"/>
    <w:rsid w:val="002A2DE1"/>
    <w:rsid w:val="002A347F"/>
    <w:rsid w:val="002C7846"/>
    <w:rsid w:val="002F1340"/>
    <w:rsid w:val="00302B09"/>
    <w:rsid w:val="00306B35"/>
    <w:rsid w:val="00314A6D"/>
    <w:rsid w:val="00325DBA"/>
    <w:rsid w:val="00340868"/>
    <w:rsid w:val="00344546"/>
    <w:rsid w:val="003449F8"/>
    <w:rsid w:val="00346B09"/>
    <w:rsid w:val="00353E50"/>
    <w:rsid w:val="003575A1"/>
    <w:rsid w:val="00397232"/>
    <w:rsid w:val="003A2E5D"/>
    <w:rsid w:val="003A3CF7"/>
    <w:rsid w:val="003A4CB9"/>
    <w:rsid w:val="003A7DC3"/>
    <w:rsid w:val="003B0384"/>
    <w:rsid w:val="003B5A50"/>
    <w:rsid w:val="003C5E5F"/>
    <w:rsid w:val="003C6EB2"/>
    <w:rsid w:val="003F136F"/>
    <w:rsid w:val="003F5C7D"/>
    <w:rsid w:val="00400FA6"/>
    <w:rsid w:val="00402430"/>
    <w:rsid w:val="00402B4B"/>
    <w:rsid w:val="00404F71"/>
    <w:rsid w:val="00405E0B"/>
    <w:rsid w:val="004135BE"/>
    <w:rsid w:val="00413F5E"/>
    <w:rsid w:val="0041603D"/>
    <w:rsid w:val="004175E0"/>
    <w:rsid w:val="0042736F"/>
    <w:rsid w:val="00443F33"/>
    <w:rsid w:val="0044701C"/>
    <w:rsid w:val="0045757A"/>
    <w:rsid w:val="00461C8B"/>
    <w:rsid w:val="00462414"/>
    <w:rsid w:val="00462E51"/>
    <w:rsid w:val="00463B86"/>
    <w:rsid w:val="0048203A"/>
    <w:rsid w:val="004B121B"/>
    <w:rsid w:val="004B28BE"/>
    <w:rsid w:val="004D1932"/>
    <w:rsid w:val="004D622D"/>
    <w:rsid w:val="004E2B2A"/>
    <w:rsid w:val="004F52D9"/>
    <w:rsid w:val="00500EAE"/>
    <w:rsid w:val="00510017"/>
    <w:rsid w:val="005167F7"/>
    <w:rsid w:val="00516FDD"/>
    <w:rsid w:val="00532730"/>
    <w:rsid w:val="005359F3"/>
    <w:rsid w:val="00551585"/>
    <w:rsid w:val="00551622"/>
    <w:rsid w:val="00554A08"/>
    <w:rsid w:val="00563752"/>
    <w:rsid w:val="00582DD2"/>
    <w:rsid w:val="00586F66"/>
    <w:rsid w:val="005907AF"/>
    <w:rsid w:val="005A4376"/>
    <w:rsid w:val="005A794E"/>
    <w:rsid w:val="005D2BB7"/>
    <w:rsid w:val="005E011D"/>
    <w:rsid w:val="005F0334"/>
    <w:rsid w:val="005F5A14"/>
    <w:rsid w:val="005F70A8"/>
    <w:rsid w:val="00610DF9"/>
    <w:rsid w:val="00622D3C"/>
    <w:rsid w:val="00632895"/>
    <w:rsid w:val="00634849"/>
    <w:rsid w:val="00641860"/>
    <w:rsid w:val="00643EFC"/>
    <w:rsid w:val="00644A0C"/>
    <w:rsid w:val="0065439B"/>
    <w:rsid w:val="00657BA9"/>
    <w:rsid w:val="00657E8F"/>
    <w:rsid w:val="00676C06"/>
    <w:rsid w:val="00685F05"/>
    <w:rsid w:val="00693752"/>
    <w:rsid w:val="00695E1B"/>
    <w:rsid w:val="006B0E4E"/>
    <w:rsid w:val="006E5690"/>
    <w:rsid w:val="006F301F"/>
    <w:rsid w:val="006F33B3"/>
    <w:rsid w:val="006F4713"/>
    <w:rsid w:val="00707A71"/>
    <w:rsid w:val="007104EA"/>
    <w:rsid w:val="007122C1"/>
    <w:rsid w:val="00716EE8"/>
    <w:rsid w:val="00725429"/>
    <w:rsid w:val="00727556"/>
    <w:rsid w:val="0073267F"/>
    <w:rsid w:val="00735DDB"/>
    <w:rsid w:val="00741C56"/>
    <w:rsid w:val="0075699B"/>
    <w:rsid w:val="00757C3A"/>
    <w:rsid w:val="00780A2D"/>
    <w:rsid w:val="00791154"/>
    <w:rsid w:val="007A321A"/>
    <w:rsid w:val="007B3718"/>
    <w:rsid w:val="007C4FCB"/>
    <w:rsid w:val="007C57D2"/>
    <w:rsid w:val="007D15B0"/>
    <w:rsid w:val="007D1D59"/>
    <w:rsid w:val="007D2B42"/>
    <w:rsid w:val="007D6F72"/>
    <w:rsid w:val="007E03F2"/>
    <w:rsid w:val="007E62BB"/>
    <w:rsid w:val="007F35D2"/>
    <w:rsid w:val="007F64DD"/>
    <w:rsid w:val="00820C1B"/>
    <w:rsid w:val="00822096"/>
    <w:rsid w:val="00840B46"/>
    <w:rsid w:val="00841640"/>
    <w:rsid w:val="00847F90"/>
    <w:rsid w:val="00853BE2"/>
    <w:rsid w:val="008618F9"/>
    <w:rsid w:val="00865278"/>
    <w:rsid w:val="00866A1A"/>
    <w:rsid w:val="00881556"/>
    <w:rsid w:val="00887315"/>
    <w:rsid w:val="00894C05"/>
    <w:rsid w:val="00895F9F"/>
    <w:rsid w:val="008A2101"/>
    <w:rsid w:val="008B3ABC"/>
    <w:rsid w:val="008C07D5"/>
    <w:rsid w:val="008C1D7D"/>
    <w:rsid w:val="008C7B48"/>
    <w:rsid w:val="008D3FC7"/>
    <w:rsid w:val="008E09E9"/>
    <w:rsid w:val="008E2F14"/>
    <w:rsid w:val="008F204A"/>
    <w:rsid w:val="008F7709"/>
    <w:rsid w:val="009016F5"/>
    <w:rsid w:val="009038CF"/>
    <w:rsid w:val="009227D3"/>
    <w:rsid w:val="00923D5D"/>
    <w:rsid w:val="00925989"/>
    <w:rsid w:val="00943A6D"/>
    <w:rsid w:val="00947E61"/>
    <w:rsid w:val="00951D8F"/>
    <w:rsid w:val="00952F03"/>
    <w:rsid w:val="0095393D"/>
    <w:rsid w:val="009545D4"/>
    <w:rsid w:val="00970387"/>
    <w:rsid w:val="00974E7D"/>
    <w:rsid w:val="009839B3"/>
    <w:rsid w:val="00984C6A"/>
    <w:rsid w:val="009A1FBC"/>
    <w:rsid w:val="009A2B22"/>
    <w:rsid w:val="009A7D43"/>
    <w:rsid w:val="009B3EAC"/>
    <w:rsid w:val="009D4536"/>
    <w:rsid w:val="009E2DF6"/>
    <w:rsid w:val="00A066C7"/>
    <w:rsid w:val="00A06847"/>
    <w:rsid w:val="00A10BC9"/>
    <w:rsid w:val="00A17E7E"/>
    <w:rsid w:val="00A31228"/>
    <w:rsid w:val="00A31B9C"/>
    <w:rsid w:val="00A3462F"/>
    <w:rsid w:val="00A80D5E"/>
    <w:rsid w:val="00A87325"/>
    <w:rsid w:val="00A93ED3"/>
    <w:rsid w:val="00A94A9E"/>
    <w:rsid w:val="00A95521"/>
    <w:rsid w:val="00A95B39"/>
    <w:rsid w:val="00AA2958"/>
    <w:rsid w:val="00AB0381"/>
    <w:rsid w:val="00AB4CEA"/>
    <w:rsid w:val="00AC0BF3"/>
    <w:rsid w:val="00AC23A8"/>
    <w:rsid w:val="00AC3A57"/>
    <w:rsid w:val="00AC6BA8"/>
    <w:rsid w:val="00AD0852"/>
    <w:rsid w:val="00AD3A55"/>
    <w:rsid w:val="00B0453C"/>
    <w:rsid w:val="00B13060"/>
    <w:rsid w:val="00B22D96"/>
    <w:rsid w:val="00B25AA3"/>
    <w:rsid w:val="00B33160"/>
    <w:rsid w:val="00B3770C"/>
    <w:rsid w:val="00B73389"/>
    <w:rsid w:val="00B75AF5"/>
    <w:rsid w:val="00B76FA9"/>
    <w:rsid w:val="00B77CE5"/>
    <w:rsid w:val="00B84A5B"/>
    <w:rsid w:val="00B957C8"/>
    <w:rsid w:val="00BA4FED"/>
    <w:rsid w:val="00BA6A6F"/>
    <w:rsid w:val="00BA7D8F"/>
    <w:rsid w:val="00BB5BC3"/>
    <w:rsid w:val="00BC01DA"/>
    <w:rsid w:val="00BD5304"/>
    <w:rsid w:val="00BE6374"/>
    <w:rsid w:val="00BF5695"/>
    <w:rsid w:val="00C20E72"/>
    <w:rsid w:val="00C446AD"/>
    <w:rsid w:val="00C46EA3"/>
    <w:rsid w:val="00C50DE7"/>
    <w:rsid w:val="00C5686C"/>
    <w:rsid w:val="00C57898"/>
    <w:rsid w:val="00C618E2"/>
    <w:rsid w:val="00C64BD0"/>
    <w:rsid w:val="00C66D0F"/>
    <w:rsid w:val="00C8051F"/>
    <w:rsid w:val="00C80B5D"/>
    <w:rsid w:val="00C93E7E"/>
    <w:rsid w:val="00C93F86"/>
    <w:rsid w:val="00C95B2E"/>
    <w:rsid w:val="00CA460E"/>
    <w:rsid w:val="00CA5293"/>
    <w:rsid w:val="00CB799C"/>
    <w:rsid w:val="00CD0D17"/>
    <w:rsid w:val="00CD497E"/>
    <w:rsid w:val="00CD581E"/>
    <w:rsid w:val="00CD6D77"/>
    <w:rsid w:val="00CE129E"/>
    <w:rsid w:val="00CF03FA"/>
    <w:rsid w:val="00CF3FF5"/>
    <w:rsid w:val="00D06C79"/>
    <w:rsid w:val="00D124A1"/>
    <w:rsid w:val="00D14599"/>
    <w:rsid w:val="00D442D9"/>
    <w:rsid w:val="00D600B5"/>
    <w:rsid w:val="00D8029B"/>
    <w:rsid w:val="00D94114"/>
    <w:rsid w:val="00D94FE5"/>
    <w:rsid w:val="00D95E71"/>
    <w:rsid w:val="00DA6366"/>
    <w:rsid w:val="00DB2342"/>
    <w:rsid w:val="00DC6028"/>
    <w:rsid w:val="00DD08A1"/>
    <w:rsid w:val="00DD0D6C"/>
    <w:rsid w:val="00DD3D4A"/>
    <w:rsid w:val="00E069F1"/>
    <w:rsid w:val="00E152FC"/>
    <w:rsid w:val="00E17BC8"/>
    <w:rsid w:val="00E3576D"/>
    <w:rsid w:val="00E410C8"/>
    <w:rsid w:val="00E51219"/>
    <w:rsid w:val="00E525CF"/>
    <w:rsid w:val="00E616C4"/>
    <w:rsid w:val="00E62FBC"/>
    <w:rsid w:val="00E76F61"/>
    <w:rsid w:val="00E91A3D"/>
    <w:rsid w:val="00E936FE"/>
    <w:rsid w:val="00EA4449"/>
    <w:rsid w:val="00EB7056"/>
    <w:rsid w:val="00EC55FE"/>
    <w:rsid w:val="00F20F56"/>
    <w:rsid w:val="00F30F62"/>
    <w:rsid w:val="00F31050"/>
    <w:rsid w:val="00F35DEF"/>
    <w:rsid w:val="00F37ADB"/>
    <w:rsid w:val="00F43A1E"/>
    <w:rsid w:val="00F53846"/>
    <w:rsid w:val="00F622EA"/>
    <w:rsid w:val="00F8131E"/>
    <w:rsid w:val="00F81FF3"/>
    <w:rsid w:val="00F8514C"/>
    <w:rsid w:val="00F85168"/>
    <w:rsid w:val="00FA0A60"/>
    <w:rsid w:val="00FB2C79"/>
    <w:rsid w:val="00FB4271"/>
    <w:rsid w:val="00FD22D4"/>
    <w:rsid w:val="00FF0408"/>
    <w:rsid w:val="00FF28FA"/>
    <w:rsid w:val="00FF3BC0"/>
    <w:rsid w:val="00FF406E"/>
    <w:rsid w:val="00FF6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5:docId w15:val="{687019FD-5FFA-4930-B9F3-6546EBDD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semiHidden/>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semiHidden/>
    <w:rsid w:val="00FD22D4"/>
    <w:rPr>
      <w:sz w:val="20"/>
      <w:szCs w:val="20"/>
    </w:rPr>
  </w:style>
  <w:style w:type="character" w:styleId="Hyperlink">
    <w:name w:val="Hyperlink"/>
    <w:basedOn w:val="DefaultParagraphFont"/>
    <w:uiPriority w:val="99"/>
    <w:unhideWhenUsed/>
    <w:rsid w:val="00DD3D4A"/>
    <w:rPr>
      <w:color w:val="0000FF" w:themeColor="hyperlink"/>
      <w:u w:val="single"/>
    </w:rPr>
  </w:style>
  <w:style w:type="character" w:customStyle="1" w:styleId="ms-rtethemeforecolor-2-0">
    <w:name w:val="ms-rtethemeforecolor-2-0"/>
    <w:basedOn w:val="DefaultParagraphFont"/>
    <w:rsid w:val="00BA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isonpc@act.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6566</Characters>
  <Application>Microsoft Office Word</Application>
  <DocSecurity>0</DocSecurity>
  <Lines>174</Lines>
  <Paragraphs>100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veenstra</dc:creator>
  <cp:keywords/>
  <dc:description/>
  <cp:lastModifiedBy>PCODCS</cp:lastModifiedBy>
  <cp:revision>4</cp:revision>
  <cp:lastPrinted>2017-12-18T21:49:00Z</cp:lastPrinted>
  <dcterms:created xsi:type="dcterms:W3CDTF">2019-07-01T06:07:00Z</dcterms:created>
  <dcterms:modified xsi:type="dcterms:W3CDTF">2019-07-01T06:07:00Z</dcterms:modified>
</cp:coreProperties>
</file>