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06CF" w14:textId="77777777" w:rsidR="001D21AA" w:rsidRPr="001D21AA" w:rsidRDefault="001D21AA" w:rsidP="001D21AA">
      <w:pPr>
        <w:spacing w:before="120"/>
        <w:rPr>
          <w:rFonts w:ascii="Arial" w:hAnsi="Arial" w:cs="Arial"/>
          <w:color w:val="auto"/>
        </w:rPr>
      </w:pPr>
      <w:bookmarkStart w:id="0" w:name="_Toc44738651"/>
      <w:bookmarkStart w:id="1" w:name="_GoBack"/>
      <w:bookmarkEnd w:id="1"/>
      <w:r w:rsidRPr="001D21AA">
        <w:rPr>
          <w:rFonts w:ascii="Arial" w:hAnsi="Arial" w:cs="Arial"/>
          <w:color w:val="auto"/>
        </w:rPr>
        <w:t>Australian Capital Territory</w:t>
      </w:r>
    </w:p>
    <w:p w14:paraId="4B976D28" w14:textId="0B437831" w:rsidR="00FB634E" w:rsidRDefault="00FB634E" w:rsidP="001D21AA">
      <w:pPr>
        <w:spacing w:before="340"/>
        <w:rPr>
          <w:rFonts w:ascii="Arial" w:eastAsia="Times New Roman" w:hAnsi="Arial" w:cs="Times New Roman"/>
          <w:b/>
          <w:color w:val="auto"/>
          <w:sz w:val="40"/>
          <w:szCs w:val="20"/>
        </w:rPr>
      </w:pPr>
      <w:r w:rsidRPr="00FB634E">
        <w:rPr>
          <w:rFonts w:ascii="Arial" w:eastAsia="Times New Roman" w:hAnsi="Arial" w:cs="Times New Roman"/>
          <w:b/>
          <w:color w:val="auto"/>
          <w:sz w:val="40"/>
          <w:szCs w:val="20"/>
        </w:rPr>
        <w:t>Integrity Commission Complaint Investigation Guidelines 2019</w:t>
      </w:r>
      <w:r>
        <w:rPr>
          <w:rFonts w:ascii="Arial" w:eastAsia="Times New Roman" w:hAnsi="Arial" w:cs="Times New Roman"/>
          <w:b/>
          <w:color w:val="auto"/>
          <w:sz w:val="40"/>
          <w:szCs w:val="20"/>
        </w:rPr>
        <w:t>*</w:t>
      </w:r>
    </w:p>
    <w:p w14:paraId="3DBF934E" w14:textId="4BC12439" w:rsidR="001D21AA" w:rsidRPr="001D21AA" w:rsidRDefault="001D21AA" w:rsidP="001D21AA">
      <w:pPr>
        <w:spacing w:before="340"/>
        <w:rPr>
          <w:rFonts w:ascii="Arial" w:hAnsi="Arial" w:cs="Arial"/>
          <w:b/>
          <w:bCs/>
          <w:color w:val="auto"/>
        </w:rPr>
      </w:pPr>
      <w:r w:rsidRPr="001D21AA">
        <w:rPr>
          <w:rFonts w:ascii="Arial" w:hAnsi="Arial" w:cs="Arial"/>
          <w:b/>
          <w:bCs/>
          <w:color w:val="auto"/>
        </w:rPr>
        <w:t>Notifiable instrument NI2019–</w:t>
      </w:r>
      <w:r w:rsidR="001272FB">
        <w:rPr>
          <w:rFonts w:ascii="Arial" w:hAnsi="Arial" w:cs="Arial"/>
          <w:b/>
          <w:bCs/>
          <w:color w:val="auto"/>
        </w:rPr>
        <w:t>437</w:t>
      </w:r>
    </w:p>
    <w:p w14:paraId="7982F5E4" w14:textId="63438C62" w:rsidR="001D21AA" w:rsidRPr="001D21AA" w:rsidRDefault="001D21AA" w:rsidP="001D21AA">
      <w:pPr>
        <w:pStyle w:val="madeunder"/>
        <w:spacing w:before="300" w:after="0"/>
      </w:pPr>
      <w:r w:rsidRPr="001D21AA">
        <w:t>made under the</w:t>
      </w:r>
    </w:p>
    <w:p w14:paraId="302034E0" w14:textId="21EC1A00" w:rsidR="001D21AA" w:rsidRPr="001D21AA" w:rsidRDefault="001D21AA" w:rsidP="001D21AA">
      <w:pPr>
        <w:pStyle w:val="CoverActName"/>
        <w:spacing w:before="320" w:after="0"/>
        <w:rPr>
          <w:rFonts w:cs="Arial"/>
          <w:sz w:val="20"/>
        </w:rPr>
      </w:pPr>
      <w:r w:rsidRPr="001D21AA">
        <w:rPr>
          <w:rFonts w:cs="Arial"/>
          <w:sz w:val="20"/>
        </w:rPr>
        <w:t>Integrity Commission Act 2018, section 2</w:t>
      </w:r>
      <w:r>
        <w:rPr>
          <w:rFonts w:cs="Arial"/>
          <w:sz w:val="20"/>
        </w:rPr>
        <w:t>64</w:t>
      </w:r>
      <w:r w:rsidRPr="001D21AA">
        <w:rPr>
          <w:rFonts w:cs="Arial"/>
          <w:sz w:val="20"/>
        </w:rPr>
        <w:t xml:space="preserve"> (Inspector’s </w:t>
      </w:r>
      <w:r>
        <w:rPr>
          <w:rFonts w:cs="Arial"/>
          <w:sz w:val="20"/>
        </w:rPr>
        <w:t>Complaint Investigation G</w:t>
      </w:r>
      <w:r w:rsidRPr="001D21AA">
        <w:rPr>
          <w:rFonts w:cs="Arial"/>
          <w:sz w:val="20"/>
        </w:rPr>
        <w:t>uidelines)</w:t>
      </w:r>
    </w:p>
    <w:p w14:paraId="5E993164" w14:textId="77777777" w:rsidR="001D21AA" w:rsidRPr="001D21AA" w:rsidRDefault="001D21AA" w:rsidP="001D21AA">
      <w:pPr>
        <w:pStyle w:val="N-line3"/>
        <w:pBdr>
          <w:bottom w:val="none" w:sz="0" w:space="0" w:color="auto"/>
        </w:pBdr>
        <w:spacing w:before="60"/>
      </w:pPr>
    </w:p>
    <w:p w14:paraId="3608B620" w14:textId="77777777" w:rsidR="001D21AA" w:rsidRPr="001D21AA" w:rsidRDefault="001D21AA" w:rsidP="001D21AA">
      <w:pPr>
        <w:pStyle w:val="N-line3"/>
        <w:pBdr>
          <w:top w:val="single" w:sz="12" w:space="1" w:color="auto"/>
          <w:bottom w:val="none" w:sz="0" w:space="0" w:color="auto"/>
        </w:pBdr>
      </w:pPr>
    </w:p>
    <w:p w14:paraId="073FB994" w14:textId="77777777" w:rsidR="001D21AA" w:rsidRPr="001D21AA" w:rsidRDefault="001D21AA" w:rsidP="001D21AA">
      <w:pPr>
        <w:spacing w:before="60" w:after="60"/>
        <w:ind w:left="720" w:hanging="720"/>
        <w:rPr>
          <w:rFonts w:ascii="Arial" w:hAnsi="Arial" w:cs="Arial"/>
          <w:b/>
          <w:bCs/>
          <w:color w:val="auto"/>
        </w:rPr>
      </w:pPr>
      <w:r w:rsidRPr="001D21AA">
        <w:rPr>
          <w:rFonts w:ascii="Arial" w:hAnsi="Arial" w:cs="Arial"/>
          <w:b/>
          <w:bCs/>
          <w:color w:val="auto"/>
        </w:rPr>
        <w:t>1</w:t>
      </w:r>
      <w:r w:rsidRPr="001D21AA">
        <w:rPr>
          <w:rFonts w:ascii="Arial" w:hAnsi="Arial" w:cs="Arial"/>
          <w:b/>
          <w:bCs/>
          <w:color w:val="auto"/>
        </w:rPr>
        <w:tab/>
        <w:t>Name of instrument</w:t>
      </w:r>
    </w:p>
    <w:p w14:paraId="32BF0EF9" w14:textId="68B9823A" w:rsidR="001D21AA" w:rsidRPr="001D21AA" w:rsidRDefault="001D21AA" w:rsidP="001D21AA">
      <w:pPr>
        <w:spacing w:before="140"/>
        <w:ind w:left="720"/>
        <w:rPr>
          <w:color w:val="auto"/>
        </w:rPr>
      </w:pPr>
      <w:r w:rsidRPr="001D21AA">
        <w:rPr>
          <w:color w:val="auto"/>
        </w:rPr>
        <w:t xml:space="preserve">This instrument is the </w:t>
      </w:r>
      <w:r w:rsidR="00356069" w:rsidRPr="00356069">
        <w:rPr>
          <w:i/>
          <w:color w:val="auto"/>
        </w:rPr>
        <w:t>Integrity Commission Complaint Investigation Guidelines 2019</w:t>
      </w:r>
      <w:r w:rsidRPr="00B11833">
        <w:rPr>
          <w:i/>
          <w:color w:val="auto"/>
        </w:rPr>
        <w:t>.</w:t>
      </w:r>
    </w:p>
    <w:p w14:paraId="66AE46BD" w14:textId="77777777" w:rsidR="001D21AA" w:rsidRPr="001D21AA" w:rsidRDefault="001D21AA" w:rsidP="001D21AA">
      <w:pPr>
        <w:spacing w:before="300"/>
        <w:ind w:left="720" w:hanging="720"/>
        <w:rPr>
          <w:rFonts w:ascii="Arial" w:hAnsi="Arial" w:cs="Arial"/>
          <w:b/>
          <w:bCs/>
          <w:color w:val="auto"/>
        </w:rPr>
      </w:pPr>
      <w:r w:rsidRPr="001D21AA">
        <w:rPr>
          <w:rFonts w:ascii="Arial" w:hAnsi="Arial" w:cs="Arial"/>
          <w:b/>
          <w:bCs/>
          <w:color w:val="auto"/>
        </w:rPr>
        <w:t>2</w:t>
      </w:r>
      <w:r w:rsidRPr="001D21AA">
        <w:rPr>
          <w:rFonts w:ascii="Arial" w:hAnsi="Arial" w:cs="Arial"/>
          <w:b/>
          <w:bCs/>
          <w:color w:val="auto"/>
        </w:rPr>
        <w:tab/>
        <w:t xml:space="preserve">Commencement </w:t>
      </w:r>
    </w:p>
    <w:p w14:paraId="46DCAA29" w14:textId="15FC38CF" w:rsidR="001D21AA" w:rsidRPr="001D21AA" w:rsidRDefault="001D21AA" w:rsidP="001D21AA">
      <w:pPr>
        <w:spacing w:before="140"/>
        <w:ind w:left="720"/>
        <w:rPr>
          <w:color w:val="auto"/>
        </w:rPr>
      </w:pPr>
      <w:r w:rsidRPr="001D21AA">
        <w:rPr>
          <w:color w:val="auto"/>
        </w:rPr>
        <w:t xml:space="preserve">This instrument commences on the day after notification. </w:t>
      </w:r>
    </w:p>
    <w:p w14:paraId="1A78B725" w14:textId="77777777" w:rsidR="001D21AA" w:rsidRPr="001D21AA" w:rsidRDefault="001D21AA" w:rsidP="001D21AA">
      <w:pPr>
        <w:spacing w:before="300"/>
        <w:ind w:left="720" w:hanging="720"/>
        <w:rPr>
          <w:rFonts w:ascii="Arial" w:hAnsi="Arial" w:cs="Arial"/>
          <w:b/>
          <w:bCs/>
          <w:color w:val="auto"/>
        </w:rPr>
      </w:pPr>
      <w:r w:rsidRPr="001D21AA">
        <w:rPr>
          <w:rFonts w:ascii="Arial" w:hAnsi="Arial" w:cs="Arial"/>
          <w:b/>
          <w:bCs/>
          <w:color w:val="auto"/>
        </w:rPr>
        <w:t>3</w:t>
      </w:r>
      <w:r w:rsidRPr="001D21AA">
        <w:rPr>
          <w:rFonts w:ascii="Arial" w:hAnsi="Arial" w:cs="Arial"/>
          <w:b/>
          <w:bCs/>
          <w:color w:val="auto"/>
        </w:rPr>
        <w:tab/>
        <w:t>Inspector’s Guidelines</w:t>
      </w:r>
    </w:p>
    <w:p w14:paraId="2416CE86" w14:textId="7F132F44" w:rsidR="001D21AA" w:rsidRPr="001D21AA" w:rsidRDefault="001D21AA" w:rsidP="001D21AA">
      <w:pPr>
        <w:spacing w:before="140"/>
        <w:ind w:left="720"/>
        <w:rPr>
          <w:color w:val="auto"/>
        </w:rPr>
      </w:pPr>
      <w:r w:rsidRPr="001D21AA">
        <w:rPr>
          <w:color w:val="auto"/>
        </w:rPr>
        <w:t xml:space="preserve">I make the Inspector’s </w:t>
      </w:r>
      <w:r w:rsidR="00F61C0F">
        <w:rPr>
          <w:color w:val="auto"/>
        </w:rPr>
        <w:t xml:space="preserve">Complaint Investigation </w:t>
      </w:r>
      <w:r w:rsidRPr="001D21AA">
        <w:rPr>
          <w:color w:val="auto"/>
        </w:rPr>
        <w:t>Guidelines as set out at schedule 1 to this instrument.</w:t>
      </w:r>
    </w:p>
    <w:p w14:paraId="19FDBA7B" w14:textId="77777777" w:rsidR="001D21AA" w:rsidRPr="001D21AA" w:rsidRDefault="001D21AA" w:rsidP="001D21AA">
      <w:pPr>
        <w:tabs>
          <w:tab w:val="left" w:pos="4320"/>
        </w:tabs>
        <w:spacing w:before="720"/>
        <w:rPr>
          <w:color w:val="auto"/>
        </w:rPr>
      </w:pPr>
      <w:r w:rsidRPr="001D21AA">
        <w:rPr>
          <w:color w:val="auto"/>
        </w:rPr>
        <w:t>Michael Manthorpe</w:t>
      </w:r>
    </w:p>
    <w:p w14:paraId="1556FF08" w14:textId="00EFB19A" w:rsidR="001D21AA" w:rsidRPr="001D21AA" w:rsidRDefault="001D21AA" w:rsidP="001D21AA">
      <w:pPr>
        <w:tabs>
          <w:tab w:val="left" w:pos="4320"/>
        </w:tabs>
        <w:rPr>
          <w:color w:val="auto"/>
        </w:rPr>
      </w:pPr>
      <w:r w:rsidRPr="001D21AA">
        <w:rPr>
          <w:color w:val="auto"/>
        </w:rPr>
        <w:t>Inspector of the ACT Integrity Commission</w:t>
      </w:r>
    </w:p>
    <w:bookmarkEnd w:id="0"/>
    <w:p w14:paraId="458286D6" w14:textId="70DC1FC3" w:rsidR="001D21AA" w:rsidRPr="001D21AA" w:rsidRDefault="00616047" w:rsidP="001D21AA">
      <w:pPr>
        <w:tabs>
          <w:tab w:val="left" w:pos="4320"/>
        </w:tabs>
        <w:rPr>
          <w:color w:val="auto"/>
        </w:rPr>
      </w:pPr>
      <w:r>
        <w:rPr>
          <w:color w:val="auto"/>
        </w:rPr>
        <w:t xml:space="preserve">1 </w:t>
      </w:r>
      <w:r w:rsidR="00E94D8C">
        <w:rPr>
          <w:color w:val="auto"/>
        </w:rPr>
        <w:t xml:space="preserve">July </w:t>
      </w:r>
      <w:r w:rsidR="00BA1621">
        <w:rPr>
          <w:color w:val="auto"/>
        </w:rPr>
        <w:t>2019</w:t>
      </w:r>
    </w:p>
    <w:p w14:paraId="5BFDED21" w14:textId="77777777" w:rsidR="001D21AA" w:rsidRPr="001D21AA" w:rsidRDefault="001D21AA" w:rsidP="00045A23">
      <w:pPr>
        <w:spacing w:before="1560"/>
        <w:jc w:val="right"/>
        <w:rPr>
          <w:color w:val="auto"/>
        </w:rPr>
      </w:pPr>
    </w:p>
    <w:p w14:paraId="19AD4FBC" w14:textId="77777777" w:rsidR="001D21AA" w:rsidRDefault="001D21AA">
      <w:pPr>
        <w:spacing w:after="0" w:line="240" w:lineRule="auto"/>
      </w:pPr>
      <w:r>
        <w:br w:type="page"/>
      </w:r>
    </w:p>
    <w:p w14:paraId="4BA20EAA" w14:textId="661BA629" w:rsidR="00CC700E" w:rsidRDefault="006B6ECC" w:rsidP="00045A23">
      <w:pPr>
        <w:spacing w:before="1560"/>
        <w:jc w:val="right"/>
      </w:pPr>
      <w:r>
        <w:rPr>
          <w:noProof/>
          <w:color w:val="808080" w:themeColor="background1" w:themeShade="80"/>
          <w:sz w:val="58"/>
          <w:szCs w:val="58"/>
          <w:lang w:eastAsia="en-AU"/>
        </w:rPr>
        <w:lastRenderedPageBreak/>
        <w:drawing>
          <wp:inline distT="0" distB="0" distL="0" distR="0" wp14:anchorId="1697B422" wp14:editId="54E6464E">
            <wp:extent cx="2802156"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61948" cy="1099292"/>
                    </a:xfrm>
                    <a:prstGeom prst="rect">
                      <a:avLst/>
                    </a:prstGeom>
                  </pic:spPr>
                </pic:pic>
              </a:graphicData>
            </a:graphic>
          </wp:inline>
        </w:drawing>
      </w:r>
    </w:p>
    <w:p w14:paraId="23196AF3" w14:textId="77777777" w:rsidR="00CC700E" w:rsidRDefault="00CC700E" w:rsidP="00B4367E">
      <w:pPr>
        <w:spacing w:before="3720"/>
      </w:pPr>
    </w:p>
    <w:p w14:paraId="2128A1EE" w14:textId="45DE8A61" w:rsidR="00CC700E" w:rsidRPr="00E94D8C" w:rsidRDefault="007A0B91" w:rsidP="00B4367E">
      <w:pPr>
        <w:pStyle w:val="Title"/>
        <w:rPr>
          <w:color w:val="auto"/>
        </w:rPr>
      </w:pPr>
      <w:r w:rsidRPr="00E94D8C">
        <w:rPr>
          <w:color w:val="auto"/>
        </w:rPr>
        <w:t>Inspector of the ACT Integrity Commission</w:t>
      </w:r>
    </w:p>
    <w:p w14:paraId="2ED8DD09" w14:textId="77777777" w:rsidR="00CC700E" w:rsidRDefault="00CC700E" w:rsidP="00B4367E">
      <w:pPr>
        <w:spacing w:after="120"/>
      </w:pPr>
    </w:p>
    <w:p w14:paraId="50A4773D" w14:textId="4DC272DF" w:rsidR="00CC700E" w:rsidRDefault="007A0B91">
      <w:pPr>
        <w:pStyle w:val="Heading6"/>
        <w:jc w:val="right"/>
        <w:rPr>
          <w:rFonts w:ascii="Arial Narrow" w:hAnsi="Arial Narrow"/>
          <w:color w:val="999999"/>
          <w:sz w:val="32"/>
        </w:rPr>
      </w:pPr>
      <w:r>
        <w:rPr>
          <w:rStyle w:val="SubtitleChar"/>
          <w:b/>
        </w:rPr>
        <w:t>Complaint</w:t>
      </w:r>
      <w:r w:rsidR="004F3676">
        <w:rPr>
          <w:rStyle w:val="SubtitleChar"/>
          <w:b/>
        </w:rPr>
        <w:t>-</w:t>
      </w:r>
      <w:r>
        <w:rPr>
          <w:rStyle w:val="SubtitleChar"/>
          <w:b/>
        </w:rPr>
        <w:t xml:space="preserve">HandLing </w:t>
      </w:r>
      <w:r w:rsidR="00EE1188">
        <w:rPr>
          <w:rStyle w:val="SubtitleChar"/>
          <w:b/>
        </w:rPr>
        <w:t>POLICY</w:t>
      </w:r>
      <w:r>
        <w:rPr>
          <w:rStyle w:val="SubtitleChar"/>
          <w:b/>
        </w:rPr>
        <w:t xml:space="preserve"> </w:t>
      </w:r>
    </w:p>
    <w:p w14:paraId="507F3840" w14:textId="5556DE25" w:rsidR="00CC700E" w:rsidRPr="00480033" w:rsidRDefault="001F0E96" w:rsidP="00B4367E">
      <w:pPr>
        <w:pStyle w:val="Subtitle"/>
        <w:rPr>
          <w:color w:val="A6A6A6"/>
        </w:rPr>
      </w:pPr>
      <w:r>
        <w:rPr>
          <w:color w:val="A6A6A6"/>
        </w:rPr>
        <w:t>JULY</w:t>
      </w:r>
      <w:r w:rsidR="007D54B8">
        <w:rPr>
          <w:color w:val="A6A6A6"/>
        </w:rPr>
        <w:t xml:space="preserve"> 2019</w:t>
      </w:r>
    </w:p>
    <w:p w14:paraId="3B9DC7F7" w14:textId="77777777" w:rsidR="00CC700E" w:rsidRDefault="00CC700E">
      <w:pPr>
        <w:ind w:left="720"/>
        <w:jc w:val="right"/>
        <w:rPr>
          <w:rFonts w:cs="Arial"/>
          <w:b/>
          <w:color w:val="999999"/>
        </w:rPr>
      </w:pPr>
    </w:p>
    <w:p w14:paraId="2F0D2AF8" w14:textId="134F4968" w:rsidR="00CC700E" w:rsidRPr="00480033" w:rsidRDefault="00CC700E" w:rsidP="00045A23">
      <w:pPr>
        <w:pStyle w:val="Title"/>
        <w:spacing w:before="2040" w:after="0"/>
        <w:rPr>
          <w:color w:val="808080"/>
        </w:rPr>
      </w:pPr>
      <w:r w:rsidRPr="00480033">
        <w:rPr>
          <w:b w:val="0"/>
          <w:bCs/>
          <w:color w:val="808080"/>
          <w:sz w:val="28"/>
          <w:szCs w:val="28"/>
        </w:rPr>
        <w:t>POLICY NO</w:t>
      </w:r>
      <w:r w:rsidRPr="00480033">
        <w:rPr>
          <w:bCs/>
          <w:color w:val="808080"/>
          <w:sz w:val="20"/>
        </w:rPr>
        <w:t>.</w:t>
      </w:r>
      <w:r>
        <w:rPr>
          <w:sz w:val="28"/>
        </w:rPr>
        <w:t xml:space="preserve"> </w:t>
      </w:r>
      <w:r w:rsidR="007B23B3">
        <w:rPr>
          <w:sz w:val="40"/>
          <w:szCs w:val="40"/>
        </w:rPr>
        <w:t>2</w:t>
      </w:r>
      <w:r w:rsidR="0040416B">
        <w:rPr>
          <w:sz w:val="40"/>
          <w:szCs w:val="40"/>
        </w:rPr>
        <w:t xml:space="preserve"> 2019</w:t>
      </w:r>
    </w:p>
    <w:p w14:paraId="27363693" w14:textId="77777777" w:rsidR="00B4367E" w:rsidRPr="00B4367E" w:rsidRDefault="00B4367E" w:rsidP="00B4367E"/>
    <w:p w14:paraId="65D86E02" w14:textId="77777777" w:rsidR="00B4367E" w:rsidRDefault="00B4367E">
      <w:pPr>
        <w:ind w:left="720"/>
        <w:jc w:val="right"/>
        <w:rPr>
          <w:rFonts w:cs="Arial"/>
          <w:b/>
          <w:sz w:val="28"/>
        </w:rPr>
        <w:sectPr w:rsidR="00B4367E">
          <w:headerReference w:type="even" r:id="rId10"/>
          <w:headerReference w:type="default" r:id="rId11"/>
          <w:footerReference w:type="even" r:id="rId12"/>
          <w:footerReference w:type="default" r:id="rId13"/>
          <w:headerReference w:type="first" r:id="rId14"/>
          <w:footerReference w:type="first" r:id="rId15"/>
          <w:type w:val="continuous"/>
          <w:pgSz w:w="11894" w:h="16834" w:code="9"/>
          <w:pgMar w:top="1440" w:right="1580" w:bottom="1140" w:left="1580" w:header="706" w:footer="706" w:gutter="0"/>
          <w:cols w:space="709"/>
          <w:titlePg/>
        </w:sectPr>
      </w:pPr>
    </w:p>
    <w:p w14:paraId="3B011CF1" w14:textId="2BDE47B8" w:rsidR="00CC700E" w:rsidRPr="00E94D8C" w:rsidRDefault="007E53C5" w:rsidP="00E94D8C">
      <w:pPr>
        <w:pStyle w:val="Contentsheading"/>
        <w:tabs>
          <w:tab w:val="left" w:pos="3045"/>
          <w:tab w:val="center" w:pos="4367"/>
        </w:tabs>
        <w:jc w:val="left"/>
        <w:rPr>
          <w:color w:val="auto"/>
          <w:szCs w:val="24"/>
        </w:rPr>
      </w:pPr>
      <w:r>
        <w:lastRenderedPageBreak/>
        <w:tab/>
      </w:r>
      <w:r>
        <w:tab/>
      </w:r>
      <w:r w:rsidR="00B4367E" w:rsidRPr="00E94D8C">
        <w:rPr>
          <w:color w:val="auto"/>
        </w:rPr>
        <w:t>C</w:t>
      </w:r>
      <w:r w:rsidR="00CC700E" w:rsidRPr="00E94D8C">
        <w:rPr>
          <w:color w:val="auto"/>
        </w:rPr>
        <w:t>ontents</w:t>
      </w:r>
    </w:p>
    <w:p w14:paraId="041DA003" w14:textId="5C4AFD6E" w:rsidR="002B16F6" w:rsidRDefault="00B3455F">
      <w:pPr>
        <w:pStyle w:val="TOC1"/>
        <w:rPr>
          <w:rFonts w:asciiTheme="minorHAnsi" w:eastAsiaTheme="minorEastAsia" w:hAnsiTheme="minorHAnsi" w:cstheme="minorBidi"/>
          <w:b w:val="0"/>
          <w:bCs w:val="0"/>
          <w:color w:val="auto"/>
          <w:sz w:val="22"/>
          <w:szCs w:val="22"/>
          <w:lang w:eastAsia="en-AU"/>
        </w:rPr>
      </w:pPr>
      <w:r>
        <w:rPr>
          <w:color w:val="auto"/>
        </w:rPr>
        <w:fldChar w:fldCharType="begin"/>
      </w:r>
      <w:r>
        <w:rPr>
          <w:color w:val="auto"/>
        </w:rPr>
        <w:instrText xml:space="preserve"> TOC \h \z \t "Heading 1,1" </w:instrText>
      </w:r>
      <w:r>
        <w:rPr>
          <w:color w:val="auto"/>
        </w:rPr>
        <w:fldChar w:fldCharType="separate"/>
      </w:r>
      <w:hyperlink w:anchor="_Toc12463340" w:history="1">
        <w:r w:rsidR="002B16F6" w:rsidRPr="00F360BD">
          <w:rPr>
            <w:rStyle w:val="Hyperlink"/>
          </w:rPr>
          <w:t>Introduction</w:t>
        </w:r>
        <w:r w:rsidR="002B16F6">
          <w:rPr>
            <w:webHidden/>
          </w:rPr>
          <w:tab/>
        </w:r>
        <w:r w:rsidR="002B16F6">
          <w:rPr>
            <w:webHidden/>
          </w:rPr>
          <w:fldChar w:fldCharType="begin"/>
        </w:r>
        <w:r w:rsidR="002B16F6">
          <w:rPr>
            <w:webHidden/>
          </w:rPr>
          <w:instrText xml:space="preserve"> PAGEREF _Toc12463340 \h </w:instrText>
        </w:r>
        <w:r w:rsidR="002B16F6">
          <w:rPr>
            <w:webHidden/>
          </w:rPr>
        </w:r>
        <w:r w:rsidR="002B16F6">
          <w:rPr>
            <w:webHidden/>
          </w:rPr>
          <w:fldChar w:fldCharType="separate"/>
        </w:r>
        <w:r w:rsidR="00766D32">
          <w:rPr>
            <w:webHidden/>
          </w:rPr>
          <w:t>4</w:t>
        </w:r>
        <w:r w:rsidR="002B16F6">
          <w:rPr>
            <w:webHidden/>
          </w:rPr>
          <w:fldChar w:fldCharType="end"/>
        </w:r>
      </w:hyperlink>
    </w:p>
    <w:p w14:paraId="7F90559F" w14:textId="1F5C7E1B"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1" w:history="1">
        <w:r w:rsidR="002B16F6" w:rsidRPr="00F360BD">
          <w:rPr>
            <w:rStyle w:val="Hyperlink"/>
          </w:rPr>
          <w:t>Purpose</w:t>
        </w:r>
        <w:r w:rsidR="002B16F6">
          <w:rPr>
            <w:webHidden/>
          </w:rPr>
          <w:tab/>
        </w:r>
        <w:r w:rsidR="002B16F6">
          <w:rPr>
            <w:webHidden/>
          </w:rPr>
          <w:fldChar w:fldCharType="begin"/>
        </w:r>
        <w:r w:rsidR="002B16F6">
          <w:rPr>
            <w:webHidden/>
          </w:rPr>
          <w:instrText xml:space="preserve"> PAGEREF _Toc12463341 \h </w:instrText>
        </w:r>
        <w:r w:rsidR="002B16F6">
          <w:rPr>
            <w:webHidden/>
          </w:rPr>
        </w:r>
        <w:r w:rsidR="002B16F6">
          <w:rPr>
            <w:webHidden/>
          </w:rPr>
          <w:fldChar w:fldCharType="separate"/>
        </w:r>
        <w:r w:rsidR="00766D32">
          <w:rPr>
            <w:webHidden/>
          </w:rPr>
          <w:t>4</w:t>
        </w:r>
        <w:r w:rsidR="002B16F6">
          <w:rPr>
            <w:webHidden/>
          </w:rPr>
          <w:fldChar w:fldCharType="end"/>
        </w:r>
      </w:hyperlink>
    </w:p>
    <w:p w14:paraId="5F31C05A" w14:textId="07DDA17B"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2" w:history="1">
        <w:r w:rsidR="002B16F6" w:rsidRPr="00F360BD">
          <w:rPr>
            <w:rStyle w:val="Hyperlink"/>
          </w:rPr>
          <w:t>Who can make a complaint?</w:t>
        </w:r>
        <w:r w:rsidR="002B16F6">
          <w:rPr>
            <w:webHidden/>
          </w:rPr>
          <w:tab/>
        </w:r>
        <w:r w:rsidR="002B16F6">
          <w:rPr>
            <w:webHidden/>
          </w:rPr>
          <w:fldChar w:fldCharType="begin"/>
        </w:r>
        <w:r w:rsidR="002B16F6">
          <w:rPr>
            <w:webHidden/>
          </w:rPr>
          <w:instrText xml:space="preserve"> PAGEREF _Toc12463342 \h </w:instrText>
        </w:r>
        <w:r w:rsidR="002B16F6">
          <w:rPr>
            <w:webHidden/>
          </w:rPr>
        </w:r>
        <w:r w:rsidR="002B16F6">
          <w:rPr>
            <w:webHidden/>
          </w:rPr>
          <w:fldChar w:fldCharType="separate"/>
        </w:r>
        <w:r w:rsidR="00766D32">
          <w:rPr>
            <w:webHidden/>
          </w:rPr>
          <w:t>4</w:t>
        </w:r>
        <w:r w:rsidR="002B16F6">
          <w:rPr>
            <w:webHidden/>
          </w:rPr>
          <w:fldChar w:fldCharType="end"/>
        </w:r>
      </w:hyperlink>
    </w:p>
    <w:p w14:paraId="12AD25D3" w14:textId="2882926B"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3" w:history="1">
        <w:r w:rsidR="002B16F6" w:rsidRPr="00F360BD">
          <w:rPr>
            <w:rStyle w:val="Hyperlink"/>
          </w:rPr>
          <w:t>What can they complain about?</w:t>
        </w:r>
        <w:r w:rsidR="002B16F6">
          <w:rPr>
            <w:webHidden/>
          </w:rPr>
          <w:tab/>
        </w:r>
        <w:r w:rsidR="002B16F6">
          <w:rPr>
            <w:webHidden/>
          </w:rPr>
          <w:fldChar w:fldCharType="begin"/>
        </w:r>
        <w:r w:rsidR="002B16F6">
          <w:rPr>
            <w:webHidden/>
          </w:rPr>
          <w:instrText xml:space="preserve"> PAGEREF _Toc12463343 \h </w:instrText>
        </w:r>
        <w:r w:rsidR="002B16F6">
          <w:rPr>
            <w:webHidden/>
          </w:rPr>
        </w:r>
        <w:r w:rsidR="002B16F6">
          <w:rPr>
            <w:webHidden/>
          </w:rPr>
          <w:fldChar w:fldCharType="separate"/>
        </w:r>
        <w:r w:rsidR="00766D32">
          <w:rPr>
            <w:webHidden/>
          </w:rPr>
          <w:t>5</w:t>
        </w:r>
        <w:r w:rsidR="002B16F6">
          <w:rPr>
            <w:webHidden/>
          </w:rPr>
          <w:fldChar w:fldCharType="end"/>
        </w:r>
      </w:hyperlink>
    </w:p>
    <w:p w14:paraId="1790BD10" w14:textId="64E32785"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4" w:history="1">
        <w:r w:rsidR="002B16F6" w:rsidRPr="00F360BD">
          <w:rPr>
            <w:rStyle w:val="Hyperlink"/>
          </w:rPr>
          <w:t>How is a complaint made to the Inspector?</w:t>
        </w:r>
        <w:r w:rsidR="002B16F6">
          <w:rPr>
            <w:webHidden/>
          </w:rPr>
          <w:tab/>
        </w:r>
        <w:r w:rsidR="002B16F6">
          <w:rPr>
            <w:webHidden/>
          </w:rPr>
          <w:fldChar w:fldCharType="begin"/>
        </w:r>
        <w:r w:rsidR="002B16F6">
          <w:rPr>
            <w:webHidden/>
          </w:rPr>
          <w:instrText xml:space="preserve"> PAGEREF _Toc12463344 \h </w:instrText>
        </w:r>
        <w:r w:rsidR="002B16F6">
          <w:rPr>
            <w:webHidden/>
          </w:rPr>
        </w:r>
        <w:r w:rsidR="002B16F6">
          <w:rPr>
            <w:webHidden/>
          </w:rPr>
          <w:fldChar w:fldCharType="separate"/>
        </w:r>
        <w:r w:rsidR="00766D32">
          <w:rPr>
            <w:webHidden/>
          </w:rPr>
          <w:t>5</w:t>
        </w:r>
        <w:r w:rsidR="002B16F6">
          <w:rPr>
            <w:webHidden/>
          </w:rPr>
          <w:fldChar w:fldCharType="end"/>
        </w:r>
      </w:hyperlink>
    </w:p>
    <w:p w14:paraId="26B1C523" w14:textId="5A479311"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5" w:history="1">
        <w:r w:rsidR="002B16F6" w:rsidRPr="00F360BD">
          <w:rPr>
            <w:rStyle w:val="Hyperlink"/>
          </w:rPr>
          <w:t>Managing Commission complaints</w:t>
        </w:r>
        <w:r w:rsidR="002B16F6">
          <w:rPr>
            <w:webHidden/>
          </w:rPr>
          <w:tab/>
        </w:r>
        <w:r w:rsidR="002B16F6">
          <w:rPr>
            <w:webHidden/>
          </w:rPr>
          <w:fldChar w:fldCharType="begin"/>
        </w:r>
        <w:r w:rsidR="002B16F6">
          <w:rPr>
            <w:webHidden/>
          </w:rPr>
          <w:instrText xml:space="preserve"> PAGEREF _Toc12463345 \h </w:instrText>
        </w:r>
        <w:r w:rsidR="002B16F6">
          <w:rPr>
            <w:webHidden/>
          </w:rPr>
        </w:r>
        <w:r w:rsidR="002B16F6">
          <w:rPr>
            <w:webHidden/>
          </w:rPr>
          <w:fldChar w:fldCharType="separate"/>
        </w:r>
        <w:r w:rsidR="00766D32">
          <w:rPr>
            <w:webHidden/>
          </w:rPr>
          <w:t>6</w:t>
        </w:r>
        <w:r w:rsidR="002B16F6">
          <w:rPr>
            <w:webHidden/>
          </w:rPr>
          <w:fldChar w:fldCharType="end"/>
        </w:r>
      </w:hyperlink>
    </w:p>
    <w:p w14:paraId="0CE49DA5" w14:textId="47B42653"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6" w:history="1">
        <w:r w:rsidR="002B16F6" w:rsidRPr="00F360BD">
          <w:rPr>
            <w:rStyle w:val="Hyperlink"/>
          </w:rPr>
          <w:t>Non-disclosure notices</w:t>
        </w:r>
        <w:r w:rsidR="002B16F6">
          <w:rPr>
            <w:webHidden/>
          </w:rPr>
          <w:tab/>
        </w:r>
        <w:r w:rsidR="002B16F6">
          <w:rPr>
            <w:webHidden/>
          </w:rPr>
          <w:fldChar w:fldCharType="begin"/>
        </w:r>
        <w:r w:rsidR="002B16F6">
          <w:rPr>
            <w:webHidden/>
          </w:rPr>
          <w:instrText xml:space="preserve"> PAGEREF _Toc12463346 \h </w:instrText>
        </w:r>
        <w:r w:rsidR="002B16F6">
          <w:rPr>
            <w:webHidden/>
          </w:rPr>
        </w:r>
        <w:r w:rsidR="002B16F6">
          <w:rPr>
            <w:webHidden/>
          </w:rPr>
          <w:fldChar w:fldCharType="separate"/>
        </w:r>
        <w:r w:rsidR="00766D32">
          <w:rPr>
            <w:webHidden/>
          </w:rPr>
          <w:t>9</w:t>
        </w:r>
        <w:r w:rsidR="002B16F6">
          <w:rPr>
            <w:webHidden/>
          </w:rPr>
          <w:fldChar w:fldCharType="end"/>
        </w:r>
      </w:hyperlink>
    </w:p>
    <w:p w14:paraId="398072D2" w14:textId="7B1DD6BB"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7" w:history="1">
        <w:r w:rsidR="002B16F6" w:rsidRPr="00F360BD">
          <w:rPr>
            <w:rStyle w:val="Hyperlink"/>
          </w:rPr>
          <w:t>Referrals to other entities</w:t>
        </w:r>
        <w:r w:rsidR="002B16F6">
          <w:rPr>
            <w:webHidden/>
          </w:rPr>
          <w:tab/>
        </w:r>
        <w:r w:rsidR="002B16F6">
          <w:rPr>
            <w:webHidden/>
          </w:rPr>
          <w:fldChar w:fldCharType="begin"/>
        </w:r>
        <w:r w:rsidR="002B16F6">
          <w:rPr>
            <w:webHidden/>
          </w:rPr>
          <w:instrText xml:space="preserve"> PAGEREF _Toc12463347 \h </w:instrText>
        </w:r>
        <w:r w:rsidR="002B16F6">
          <w:rPr>
            <w:webHidden/>
          </w:rPr>
        </w:r>
        <w:r w:rsidR="002B16F6">
          <w:rPr>
            <w:webHidden/>
          </w:rPr>
          <w:fldChar w:fldCharType="separate"/>
        </w:r>
        <w:r w:rsidR="00766D32">
          <w:rPr>
            <w:webHidden/>
          </w:rPr>
          <w:t>10</w:t>
        </w:r>
        <w:r w:rsidR="002B16F6">
          <w:rPr>
            <w:webHidden/>
          </w:rPr>
          <w:fldChar w:fldCharType="end"/>
        </w:r>
      </w:hyperlink>
    </w:p>
    <w:p w14:paraId="0FC1BEC1" w14:textId="7DEC797D"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8" w:history="1">
        <w:r w:rsidR="002B16F6" w:rsidRPr="00F360BD">
          <w:rPr>
            <w:rStyle w:val="Hyperlink"/>
          </w:rPr>
          <w:t>Internal review</w:t>
        </w:r>
        <w:r w:rsidR="002B16F6">
          <w:rPr>
            <w:webHidden/>
          </w:rPr>
          <w:tab/>
        </w:r>
        <w:r w:rsidR="002B16F6">
          <w:rPr>
            <w:webHidden/>
          </w:rPr>
          <w:fldChar w:fldCharType="begin"/>
        </w:r>
        <w:r w:rsidR="002B16F6">
          <w:rPr>
            <w:webHidden/>
          </w:rPr>
          <w:instrText xml:space="preserve"> PAGEREF _Toc12463348 \h </w:instrText>
        </w:r>
        <w:r w:rsidR="002B16F6">
          <w:rPr>
            <w:webHidden/>
          </w:rPr>
        </w:r>
        <w:r w:rsidR="002B16F6">
          <w:rPr>
            <w:webHidden/>
          </w:rPr>
          <w:fldChar w:fldCharType="separate"/>
        </w:r>
        <w:r w:rsidR="00766D32">
          <w:rPr>
            <w:webHidden/>
          </w:rPr>
          <w:t>10</w:t>
        </w:r>
        <w:r w:rsidR="002B16F6">
          <w:rPr>
            <w:webHidden/>
          </w:rPr>
          <w:fldChar w:fldCharType="end"/>
        </w:r>
      </w:hyperlink>
    </w:p>
    <w:p w14:paraId="16BFAB23" w14:textId="3F181ABD"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49" w:history="1">
        <w:r w:rsidR="002B16F6" w:rsidRPr="00F360BD">
          <w:rPr>
            <w:rStyle w:val="Hyperlink"/>
          </w:rPr>
          <w:t>Records</w:t>
        </w:r>
        <w:r w:rsidR="002B16F6">
          <w:rPr>
            <w:webHidden/>
          </w:rPr>
          <w:tab/>
        </w:r>
        <w:r w:rsidR="002B16F6">
          <w:rPr>
            <w:webHidden/>
          </w:rPr>
          <w:fldChar w:fldCharType="begin"/>
        </w:r>
        <w:r w:rsidR="002B16F6">
          <w:rPr>
            <w:webHidden/>
          </w:rPr>
          <w:instrText xml:space="preserve"> PAGEREF _Toc12463349 \h </w:instrText>
        </w:r>
        <w:r w:rsidR="002B16F6">
          <w:rPr>
            <w:webHidden/>
          </w:rPr>
        </w:r>
        <w:r w:rsidR="002B16F6">
          <w:rPr>
            <w:webHidden/>
          </w:rPr>
          <w:fldChar w:fldCharType="separate"/>
        </w:r>
        <w:r w:rsidR="00766D32">
          <w:rPr>
            <w:webHidden/>
          </w:rPr>
          <w:t>11</w:t>
        </w:r>
        <w:r w:rsidR="002B16F6">
          <w:rPr>
            <w:webHidden/>
          </w:rPr>
          <w:fldChar w:fldCharType="end"/>
        </w:r>
      </w:hyperlink>
    </w:p>
    <w:p w14:paraId="521519F5" w14:textId="7F772A72" w:rsidR="002B16F6" w:rsidRDefault="00421318">
      <w:pPr>
        <w:pStyle w:val="TOC1"/>
        <w:rPr>
          <w:rFonts w:asciiTheme="minorHAnsi" w:eastAsiaTheme="minorEastAsia" w:hAnsiTheme="minorHAnsi" w:cstheme="minorBidi"/>
          <w:b w:val="0"/>
          <w:bCs w:val="0"/>
          <w:color w:val="auto"/>
          <w:sz w:val="22"/>
          <w:szCs w:val="22"/>
          <w:lang w:eastAsia="en-AU"/>
        </w:rPr>
      </w:pPr>
      <w:hyperlink w:anchor="_Toc12463350" w:history="1">
        <w:r w:rsidR="002B16F6" w:rsidRPr="00F360BD">
          <w:rPr>
            <w:rStyle w:val="Hyperlink"/>
          </w:rPr>
          <w:t>Review of policy</w:t>
        </w:r>
        <w:r w:rsidR="002B16F6">
          <w:rPr>
            <w:webHidden/>
          </w:rPr>
          <w:tab/>
        </w:r>
        <w:r w:rsidR="002B16F6">
          <w:rPr>
            <w:webHidden/>
          </w:rPr>
          <w:fldChar w:fldCharType="begin"/>
        </w:r>
        <w:r w:rsidR="002B16F6">
          <w:rPr>
            <w:webHidden/>
          </w:rPr>
          <w:instrText xml:space="preserve"> PAGEREF _Toc12463350 \h </w:instrText>
        </w:r>
        <w:r w:rsidR="002B16F6">
          <w:rPr>
            <w:webHidden/>
          </w:rPr>
        </w:r>
        <w:r w:rsidR="002B16F6">
          <w:rPr>
            <w:webHidden/>
          </w:rPr>
          <w:fldChar w:fldCharType="separate"/>
        </w:r>
        <w:r w:rsidR="00766D32">
          <w:rPr>
            <w:webHidden/>
          </w:rPr>
          <w:t>11</w:t>
        </w:r>
        <w:r w:rsidR="002B16F6">
          <w:rPr>
            <w:webHidden/>
          </w:rPr>
          <w:fldChar w:fldCharType="end"/>
        </w:r>
      </w:hyperlink>
    </w:p>
    <w:p w14:paraId="4C0D6015" w14:textId="39B5878B" w:rsidR="00045A23" w:rsidRDefault="00B3455F" w:rsidP="00B4367E">
      <w:r>
        <w:rPr>
          <w:rFonts w:eastAsia="Times" w:cs="Arial"/>
          <w:noProof/>
          <w:color w:val="auto"/>
          <w:sz w:val="24"/>
          <w:szCs w:val="20"/>
        </w:rPr>
        <w:fldChar w:fldCharType="end"/>
      </w:r>
    </w:p>
    <w:p w14:paraId="382BF114" w14:textId="77777777" w:rsidR="00480033" w:rsidRDefault="00480033" w:rsidP="00B4367E"/>
    <w:p w14:paraId="08CC51E1" w14:textId="77777777" w:rsidR="00480033" w:rsidRDefault="00480033" w:rsidP="00B4367E">
      <w:pPr>
        <w:sectPr w:rsidR="00480033" w:rsidSect="00A5683C">
          <w:footerReference w:type="default" r:id="rId16"/>
          <w:footerReference w:type="first" r:id="rId17"/>
          <w:pgSz w:w="11894" w:h="16834" w:code="9"/>
          <w:pgMar w:top="1440" w:right="1580" w:bottom="1140" w:left="1580" w:header="706" w:footer="706" w:gutter="0"/>
          <w:cols w:space="709"/>
          <w:titlePg/>
          <w:docGrid w:linePitch="299"/>
        </w:sectPr>
      </w:pPr>
    </w:p>
    <w:p w14:paraId="47D905A8" w14:textId="77777777" w:rsidR="007A0B91" w:rsidRPr="007A0B91" w:rsidRDefault="007A0B91" w:rsidP="007A0B91">
      <w:pPr>
        <w:pStyle w:val="Heading1"/>
        <w:rPr>
          <w:color w:val="5B9BD5" w:themeColor="accent1"/>
        </w:rPr>
      </w:pPr>
      <w:bookmarkStart w:id="2" w:name="_Toc12463340"/>
      <w:r w:rsidRPr="007A0B91">
        <w:rPr>
          <w:color w:val="5B9BD5" w:themeColor="accent1"/>
        </w:rPr>
        <w:lastRenderedPageBreak/>
        <w:t>Introduction</w:t>
      </w:r>
      <w:bookmarkEnd w:id="2"/>
    </w:p>
    <w:p w14:paraId="04EC342B" w14:textId="53CFB341" w:rsidR="007A0B91" w:rsidRDefault="007A0B91" w:rsidP="00E94D8C">
      <w:pPr>
        <w:ind w:right="-197"/>
        <w:rPr>
          <w:color w:val="auto"/>
        </w:rPr>
      </w:pPr>
      <w:r>
        <w:rPr>
          <w:color w:val="auto"/>
        </w:rPr>
        <w:t xml:space="preserve">The ACT Integrity Commission (the Commission) is empowered to investigate corruption in public administration under the </w:t>
      </w:r>
      <w:r w:rsidRPr="007A0B91">
        <w:rPr>
          <w:i/>
          <w:color w:val="auto"/>
        </w:rPr>
        <w:t xml:space="preserve">Integrity Commission Act 2018 </w:t>
      </w:r>
      <w:r>
        <w:rPr>
          <w:color w:val="auto"/>
        </w:rPr>
        <w:t>(the Act)</w:t>
      </w:r>
      <w:r w:rsidR="004F3676">
        <w:rPr>
          <w:color w:val="auto"/>
        </w:rPr>
        <w:t>.</w:t>
      </w:r>
      <w:r>
        <w:rPr>
          <w:rStyle w:val="FootnoteReference"/>
          <w:color w:val="auto"/>
        </w:rPr>
        <w:footnoteReference w:id="1"/>
      </w:r>
      <w:r>
        <w:rPr>
          <w:color w:val="auto"/>
        </w:rPr>
        <w:t xml:space="preserve"> This could include </w:t>
      </w:r>
      <w:r w:rsidRPr="002225AF">
        <w:rPr>
          <w:color w:val="auto"/>
        </w:rPr>
        <w:t xml:space="preserve">complaints about </w:t>
      </w:r>
      <w:r w:rsidR="004542B7">
        <w:rPr>
          <w:color w:val="auto"/>
        </w:rPr>
        <w:t xml:space="preserve">the conduct of </w:t>
      </w:r>
      <w:r w:rsidRPr="002225AF">
        <w:rPr>
          <w:color w:val="auto"/>
        </w:rPr>
        <w:t xml:space="preserve">public </w:t>
      </w:r>
      <w:r>
        <w:rPr>
          <w:color w:val="auto"/>
        </w:rPr>
        <w:t>servants</w:t>
      </w:r>
      <w:r w:rsidRPr="002225AF">
        <w:rPr>
          <w:color w:val="auto"/>
        </w:rPr>
        <w:t xml:space="preserve">, Members of </w:t>
      </w:r>
      <w:r w:rsidR="004542B7">
        <w:rPr>
          <w:color w:val="auto"/>
        </w:rPr>
        <w:t>the Legislative Assembly (MLAs) or their staff, judicial officers and statutory office holders</w:t>
      </w:r>
      <w:r>
        <w:rPr>
          <w:color w:val="auto"/>
        </w:rPr>
        <w:t>, both current and former</w:t>
      </w:r>
      <w:r w:rsidRPr="002225AF">
        <w:rPr>
          <w:color w:val="auto"/>
        </w:rPr>
        <w:t>.</w:t>
      </w:r>
      <w:r w:rsidR="004542B7">
        <w:rPr>
          <w:rStyle w:val="FootnoteReference"/>
          <w:color w:val="auto"/>
        </w:rPr>
        <w:footnoteReference w:id="2"/>
      </w:r>
      <w:r w:rsidRPr="002225AF">
        <w:rPr>
          <w:color w:val="auto"/>
        </w:rPr>
        <w:t xml:space="preserve"> The Commission </w:t>
      </w:r>
      <w:r>
        <w:rPr>
          <w:color w:val="auto"/>
        </w:rPr>
        <w:t xml:space="preserve">can </w:t>
      </w:r>
      <w:r w:rsidRPr="002225AF">
        <w:rPr>
          <w:color w:val="auto"/>
        </w:rPr>
        <w:t>also proactively educate the public, or implement strategies to prevent corruption in the public service.</w:t>
      </w:r>
      <w:r>
        <w:rPr>
          <w:rStyle w:val="FootnoteReference"/>
          <w:color w:val="auto"/>
        </w:rPr>
        <w:footnoteReference w:id="3"/>
      </w:r>
      <w:r w:rsidRPr="002225AF">
        <w:rPr>
          <w:color w:val="auto"/>
        </w:rPr>
        <w:t xml:space="preserve"> </w:t>
      </w:r>
    </w:p>
    <w:p w14:paraId="789F6733" w14:textId="200B8521" w:rsidR="007A0B91" w:rsidRPr="00F42596" w:rsidRDefault="007A0B91" w:rsidP="009F098E">
      <w:pPr>
        <w:ind w:right="-905"/>
        <w:rPr>
          <w:color w:val="auto"/>
        </w:rPr>
      </w:pPr>
      <w:r>
        <w:rPr>
          <w:color w:val="auto"/>
        </w:rPr>
        <w:t>T</w:t>
      </w:r>
      <w:r w:rsidRPr="00F42596">
        <w:rPr>
          <w:color w:val="auto"/>
        </w:rPr>
        <w:t xml:space="preserve">he ACT Ombudsman is </w:t>
      </w:r>
      <w:r>
        <w:rPr>
          <w:color w:val="auto"/>
        </w:rPr>
        <w:t xml:space="preserve">currently </w:t>
      </w:r>
      <w:r w:rsidRPr="00F42596">
        <w:rPr>
          <w:color w:val="auto"/>
        </w:rPr>
        <w:t>the Inspector of the Integrity Commission</w:t>
      </w:r>
      <w:r w:rsidR="009F098E">
        <w:rPr>
          <w:color w:val="auto"/>
        </w:rPr>
        <w:t xml:space="preserve"> </w:t>
      </w:r>
      <w:r w:rsidRPr="00F42596">
        <w:rPr>
          <w:color w:val="auto"/>
        </w:rPr>
        <w:t>(the</w:t>
      </w:r>
      <w:r w:rsidR="009F098E">
        <w:rPr>
          <w:color w:val="auto"/>
        </w:rPr>
        <w:t> </w:t>
      </w:r>
      <w:r w:rsidRPr="00F42596">
        <w:rPr>
          <w:color w:val="auto"/>
        </w:rPr>
        <w:t>Inspector)</w:t>
      </w:r>
      <w:r>
        <w:rPr>
          <w:color w:val="auto"/>
        </w:rPr>
        <w:t>.</w:t>
      </w:r>
      <w:r w:rsidR="009F098E">
        <w:rPr>
          <w:color w:val="auto"/>
        </w:rPr>
        <w:br/>
      </w:r>
      <w:r>
        <w:rPr>
          <w:color w:val="auto"/>
        </w:rPr>
        <w:t>The functions of the Inspector, as outlined in the Act include r</w:t>
      </w:r>
      <w:r w:rsidRPr="00F42596">
        <w:rPr>
          <w:color w:val="auto"/>
        </w:rPr>
        <w:t>eceiving, assessing and investigating complaints about the Commission</w:t>
      </w:r>
      <w:r w:rsidR="009F098E">
        <w:rPr>
          <w:color w:val="auto"/>
        </w:rPr>
        <w:t>,</w:t>
      </w:r>
      <w:r w:rsidRPr="00F42596">
        <w:rPr>
          <w:color w:val="auto"/>
        </w:rPr>
        <w:t xml:space="preserve"> or its members of staff</w:t>
      </w:r>
      <w:r>
        <w:rPr>
          <w:color w:val="auto"/>
        </w:rPr>
        <w:t xml:space="preserve">, both </w:t>
      </w:r>
      <w:r w:rsidRPr="00F42596">
        <w:rPr>
          <w:color w:val="auto"/>
        </w:rPr>
        <w:t>current and former</w:t>
      </w:r>
      <w:r w:rsidR="00E53295">
        <w:rPr>
          <w:color w:val="auto"/>
        </w:rPr>
        <w:t>.</w:t>
      </w:r>
      <w:r w:rsidRPr="00F42596">
        <w:rPr>
          <w:rStyle w:val="FootnoteReference"/>
          <w:color w:val="auto"/>
        </w:rPr>
        <w:footnoteReference w:id="4"/>
      </w:r>
      <w:r w:rsidRPr="00F42596">
        <w:rPr>
          <w:color w:val="auto"/>
        </w:rPr>
        <w:t xml:space="preserve"> </w:t>
      </w:r>
    </w:p>
    <w:p w14:paraId="16470B3D" w14:textId="103B5FB4" w:rsidR="007A0B91" w:rsidRPr="007A0B91" w:rsidRDefault="007A0B91" w:rsidP="0096677E">
      <w:pPr>
        <w:pStyle w:val="Heading1"/>
        <w:ind w:right="-55"/>
        <w:rPr>
          <w:color w:val="5B9BD5" w:themeColor="accent1"/>
        </w:rPr>
      </w:pPr>
      <w:bookmarkStart w:id="3" w:name="_Toc7613431"/>
      <w:bookmarkStart w:id="4" w:name="_Toc8209245"/>
      <w:bookmarkStart w:id="5" w:name="_Toc12463341"/>
      <w:r w:rsidRPr="007A0B91">
        <w:rPr>
          <w:color w:val="5B9BD5" w:themeColor="accent1"/>
        </w:rPr>
        <w:t>Purpose</w:t>
      </w:r>
      <w:bookmarkEnd w:id="3"/>
      <w:bookmarkEnd w:id="4"/>
      <w:bookmarkEnd w:id="5"/>
    </w:p>
    <w:p w14:paraId="22F6ACD1" w14:textId="1097358A" w:rsidR="00EE1188" w:rsidRDefault="007A0B91" w:rsidP="00E94D8C">
      <w:pPr>
        <w:ind w:right="-197"/>
        <w:rPr>
          <w:color w:val="auto"/>
        </w:rPr>
      </w:pPr>
      <w:r>
        <w:rPr>
          <w:color w:val="auto"/>
        </w:rPr>
        <w:t>The purpose of this policy is to outline</w:t>
      </w:r>
      <w:r w:rsidR="008E1EB0">
        <w:rPr>
          <w:color w:val="auto"/>
        </w:rPr>
        <w:t>,</w:t>
      </w:r>
      <w:r>
        <w:rPr>
          <w:color w:val="auto"/>
        </w:rPr>
        <w:t xml:space="preserve"> at a high level</w:t>
      </w:r>
      <w:r w:rsidR="008E1EB0">
        <w:rPr>
          <w:color w:val="auto"/>
        </w:rPr>
        <w:t>,</w:t>
      </w:r>
      <w:r>
        <w:rPr>
          <w:color w:val="auto"/>
        </w:rPr>
        <w:t xml:space="preserve"> how the Inspector will receive and manage complaints about the Commission. </w:t>
      </w:r>
      <w:r w:rsidR="004542B7">
        <w:rPr>
          <w:color w:val="auto"/>
        </w:rPr>
        <w:t>It is designed to ensure that complaints are handled fairly, efficiently and effectively.</w:t>
      </w:r>
    </w:p>
    <w:p w14:paraId="74808A11" w14:textId="41F0A817" w:rsidR="0096677E" w:rsidRDefault="008E1EB0" w:rsidP="0096677E">
      <w:pPr>
        <w:pBdr>
          <w:top w:val="single" w:sz="4" w:space="1" w:color="auto"/>
          <w:left w:val="single" w:sz="4" w:space="4" w:color="auto"/>
          <w:bottom w:val="single" w:sz="4" w:space="1" w:color="auto"/>
          <w:right w:val="single" w:sz="4" w:space="4" w:color="auto"/>
        </w:pBdr>
        <w:spacing w:after="0"/>
        <w:ind w:right="-197"/>
        <w:rPr>
          <w:color w:val="auto"/>
        </w:rPr>
      </w:pPr>
      <w:r>
        <w:rPr>
          <w:b/>
          <w:color w:val="auto"/>
        </w:rPr>
        <w:t>Note</w:t>
      </w:r>
      <w:r w:rsidR="0096677E" w:rsidRPr="0096677E">
        <w:rPr>
          <w:b/>
          <w:color w:val="auto"/>
        </w:rPr>
        <w:t>:</w:t>
      </w:r>
      <w:r w:rsidR="0096677E">
        <w:rPr>
          <w:color w:val="auto"/>
        </w:rPr>
        <w:t xml:space="preserve"> </w:t>
      </w:r>
    </w:p>
    <w:p w14:paraId="612606EB" w14:textId="1480D3A4" w:rsidR="00EE1188" w:rsidRPr="0096677E" w:rsidRDefault="00EE1188" w:rsidP="0096677E">
      <w:pPr>
        <w:pStyle w:val="ListParagraph"/>
        <w:numPr>
          <w:ilvl w:val="0"/>
          <w:numId w:val="16"/>
        </w:numPr>
        <w:pBdr>
          <w:top w:val="single" w:sz="4" w:space="1" w:color="auto"/>
          <w:left w:val="single" w:sz="4" w:space="4" w:color="auto"/>
          <w:bottom w:val="single" w:sz="4" w:space="1" w:color="auto"/>
          <w:right w:val="single" w:sz="4" w:space="4" w:color="auto"/>
        </w:pBdr>
        <w:spacing w:after="0"/>
        <w:ind w:right="-197"/>
        <w:rPr>
          <w:color w:val="auto"/>
        </w:rPr>
      </w:pPr>
      <w:r w:rsidRPr="0096677E">
        <w:rPr>
          <w:color w:val="auto"/>
        </w:rPr>
        <w:t xml:space="preserve">This policy is the </w:t>
      </w:r>
      <w:r w:rsidR="004F3676">
        <w:rPr>
          <w:i/>
          <w:color w:val="auto"/>
        </w:rPr>
        <w:t>C</w:t>
      </w:r>
      <w:r w:rsidRPr="0096677E">
        <w:rPr>
          <w:i/>
          <w:color w:val="auto"/>
        </w:rPr>
        <w:t xml:space="preserve">omplaint </w:t>
      </w:r>
      <w:r w:rsidR="004F3676">
        <w:rPr>
          <w:i/>
          <w:color w:val="auto"/>
        </w:rPr>
        <w:t>I</w:t>
      </w:r>
      <w:r w:rsidRPr="0096677E">
        <w:rPr>
          <w:i/>
          <w:color w:val="auto"/>
        </w:rPr>
        <w:t xml:space="preserve">nvestigation </w:t>
      </w:r>
      <w:r w:rsidR="004F3676">
        <w:rPr>
          <w:i/>
          <w:color w:val="auto"/>
        </w:rPr>
        <w:t>G</w:t>
      </w:r>
      <w:r w:rsidRPr="0096677E">
        <w:rPr>
          <w:i/>
          <w:color w:val="auto"/>
        </w:rPr>
        <w:t>uidelines</w:t>
      </w:r>
      <w:r w:rsidRPr="0096677E">
        <w:rPr>
          <w:color w:val="auto"/>
        </w:rPr>
        <w:t xml:space="preserve"> which the Act enables the Inspector to publish under </w:t>
      </w:r>
      <w:r w:rsidRPr="00491C60">
        <w:rPr>
          <w:color w:val="auto"/>
        </w:rPr>
        <w:t>s</w:t>
      </w:r>
      <w:r w:rsidR="005F7DC8">
        <w:rPr>
          <w:color w:val="auto"/>
        </w:rPr>
        <w:t xml:space="preserve"> </w:t>
      </w:r>
      <w:r w:rsidRPr="00491C60">
        <w:rPr>
          <w:color w:val="auto"/>
        </w:rPr>
        <w:t>264(4).</w:t>
      </w:r>
      <w:r w:rsidRPr="0096677E">
        <w:rPr>
          <w:color w:val="auto"/>
        </w:rPr>
        <w:t xml:space="preserve"> </w:t>
      </w:r>
      <w:r w:rsidR="007A0B91" w:rsidRPr="0096677E">
        <w:rPr>
          <w:color w:val="auto"/>
        </w:rPr>
        <w:t>More d</w:t>
      </w:r>
      <w:r w:rsidRPr="0096677E">
        <w:rPr>
          <w:color w:val="auto"/>
        </w:rPr>
        <w:t xml:space="preserve">etailed procedural instructions </w:t>
      </w:r>
      <w:r w:rsidR="007A0B91" w:rsidRPr="0096677E">
        <w:rPr>
          <w:color w:val="auto"/>
        </w:rPr>
        <w:t>will be made available to support staff managing the complaints function.</w:t>
      </w:r>
    </w:p>
    <w:p w14:paraId="569B4959" w14:textId="3CD71C9A" w:rsidR="007A0B91" w:rsidRPr="007A0B91" w:rsidRDefault="007A0B91" w:rsidP="007A0B91">
      <w:pPr>
        <w:pStyle w:val="Heading1"/>
        <w:rPr>
          <w:color w:val="5B9BD5" w:themeColor="accent1"/>
        </w:rPr>
      </w:pPr>
      <w:bookmarkStart w:id="6" w:name="_Toc12463342"/>
      <w:bookmarkStart w:id="7" w:name="_Toc7613432"/>
      <w:bookmarkStart w:id="8" w:name="_Toc8209246"/>
      <w:r>
        <w:rPr>
          <w:color w:val="5B9BD5" w:themeColor="accent1"/>
        </w:rPr>
        <w:t>Who can make a complaint</w:t>
      </w:r>
      <w:r w:rsidR="005F7DC8">
        <w:rPr>
          <w:color w:val="5B9BD5" w:themeColor="accent1"/>
        </w:rPr>
        <w:t>?</w:t>
      </w:r>
      <w:bookmarkEnd w:id="6"/>
    </w:p>
    <w:bookmarkEnd w:id="7"/>
    <w:bookmarkEnd w:id="8"/>
    <w:p w14:paraId="2F877DD4" w14:textId="0EF436C4" w:rsidR="007A0B91" w:rsidRDefault="007A0B91" w:rsidP="007A0B91">
      <w:pPr>
        <w:rPr>
          <w:color w:val="auto"/>
        </w:rPr>
      </w:pPr>
      <w:r>
        <w:rPr>
          <w:color w:val="auto"/>
        </w:rPr>
        <w:t>Any person can make a complaint</w:t>
      </w:r>
      <w:r w:rsidR="004542B7">
        <w:rPr>
          <w:color w:val="auto"/>
        </w:rPr>
        <w:t xml:space="preserve"> to the Inspector.</w:t>
      </w:r>
      <w:r>
        <w:rPr>
          <w:rStyle w:val="FootnoteReference"/>
          <w:color w:val="auto"/>
        </w:rPr>
        <w:footnoteReference w:id="5"/>
      </w:r>
      <w:r>
        <w:rPr>
          <w:color w:val="auto"/>
        </w:rPr>
        <w:t xml:space="preserve"> It is</w:t>
      </w:r>
      <w:r w:rsidR="008E1EB0">
        <w:rPr>
          <w:color w:val="auto"/>
        </w:rPr>
        <w:t xml:space="preserve"> </w:t>
      </w:r>
      <w:r>
        <w:rPr>
          <w:color w:val="auto"/>
        </w:rPr>
        <w:t>anticipated the Inspector is</w:t>
      </w:r>
      <w:r w:rsidR="004542B7">
        <w:rPr>
          <w:color w:val="auto"/>
        </w:rPr>
        <w:t xml:space="preserve"> </w:t>
      </w:r>
      <w:r>
        <w:rPr>
          <w:color w:val="auto"/>
        </w:rPr>
        <w:t>likely to</w:t>
      </w:r>
      <w:r w:rsidRPr="002225AF">
        <w:rPr>
          <w:color w:val="auto"/>
        </w:rPr>
        <w:t xml:space="preserve"> </w:t>
      </w:r>
      <w:r>
        <w:rPr>
          <w:color w:val="auto"/>
        </w:rPr>
        <w:t>receive</w:t>
      </w:r>
      <w:r w:rsidRPr="002225AF">
        <w:rPr>
          <w:color w:val="auto"/>
        </w:rPr>
        <w:t xml:space="preserve"> complaints </w:t>
      </w:r>
      <w:r>
        <w:rPr>
          <w:color w:val="auto"/>
        </w:rPr>
        <w:t>from:</w:t>
      </w:r>
    </w:p>
    <w:p w14:paraId="518EDED7" w14:textId="535D84D1" w:rsidR="007A0B91" w:rsidRDefault="009F098E" w:rsidP="00EE1188">
      <w:pPr>
        <w:pStyle w:val="ListParagraph"/>
        <w:numPr>
          <w:ilvl w:val="0"/>
          <w:numId w:val="8"/>
        </w:numPr>
        <w:rPr>
          <w:color w:val="auto"/>
        </w:rPr>
      </w:pPr>
      <w:r>
        <w:rPr>
          <w:color w:val="auto"/>
        </w:rPr>
        <w:t>p</w:t>
      </w:r>
      <w:r w:rsidR="007A0B91" w:rsidRPr="007A0B91">
        <w:rPr>
          <w:color w:val="auto"/>
        </w:rPr>
        <w:t>eople who have been the direct subject of investigations by the Commission</w:t>
      </w:r>
    </w:p>
    <w:p w14:paraId="4DB6C346" w14:textId="47F5A05B" w:rsidR="007A0B91" w:rsidRDefault="009F098E" w:rsidP="00EE1188">
      <w:pPr>
        <w:pStyle w:val="ListParagraph"/>
        <w:numPr>
          <w:ilvl w:val="0"/>
          <w:numId w:val="8"/>
        </w:numPr>
        <w:rPr>
          <w:color w:val="auto"/>
        </w:rPr>
      </w:pPr>
      <w:r>
        <w:rPr>
          <w:color w:val="auto"/>
        </w:rPr>
        <w:t>t</w:t>
      </w:r>
      <w:r w:rsidR="007A0B91" w:rsidRPr="007A0B91">
        <w:rPr>
          <w:color w:val="auto"/>
        </w:rPr>
        <w:t xml:space="preserve">he families and staff of those </w:t>
      </w:r>
      <w:r w:rsidR="007A0B91">
        <w:rPr>
          <w:color w:val="auto"/>
        </w:rPr>
        <w:t>people</w:t>
      </w:r>
    </w:p>
    <w:p w14:paraId="3A26396E" w14:textId="4DA1CD98" w:rsidR="007A0B91" w:rsidRDefault="009F098E" w:rsidP="00EE1188">
      <w:pPr>
        <w:pStyle w:val="ListParagraph"/>
        <w:numPr>
          <w:ilvl w:val="0"/>
          <w:numId w:val="8"/>
        </w:numPr>
        <w:rPr>
          <w:color w:val="auto"/>
        </w:rPr>
      </w:pPr>
      <w:r>
        <w:rPr>
          <w:color w:val="auto"/>
        </w:rPr>
        <w:t>c</w:t>
      </w:r>
      <w:r w:rsidR="007A0B91" w:rsidRPr="007A0B91">
        <w:rPr>
          <w:color w:val="auto"/>
        </w:rPr>
        <w:t>omplain</w:t>
      </w:r>
      <w:r w:rsidR="00EE1188">
        <w:rPr>
          <w:color w:val="auto"/>
        </w:rPr>
        <w:t>a</w:t>
      </w:r>
      <w:r w:rsidR="007A0B91" w:rsidRPr="007A0B91">
        <w:rPr>
          <w:color w:val="auto"/>
        </w:rPr>
        <w:t xml:space="preserve">nts who are dissatisfied with </w:t>
      </w:r>
      <w:r w:rsidR="007A0B91">
        <w:rPr>
          <w:color w:val="auto"/>
        </w:rPr>
        <w:t xml:space="preserve">the Commission’s </w:t>
      </w:r>
      <w:r w:rsidR="007A0B91" w:rsidRPr="007A0B91">
        <w:rPr>
          <w:color w:val="auto"/>
        </w:rPr>
        <w:t xml:space="preserve">decision not to investigate their particular complaint or allegation. </w:t>
      </w:r>
    </w:p>
    <w:p w14:paraId="3F07041B" w14:textId="3F477E4F" w:rsidR="0096677E" w:rsidRPr="00E94D8C" w:rsidRDefault="0096677E" w:rsidP="00E94D8C">
      <w:pPr>
        <w:rPr>
          <w:color w:val="auto"/>
        </w:rPr>
      </w:pPr>
      <w:r>
        <w:rPr>
          <w:color w:val="auto"/>
        </w:rPr>
        <w:t>People making complaints will be provided with information about the complaint</w:t>
      </w:r>
      <w:r w:rsidR="005F7DC8">
        <w:rPr>
          <w:color w:val="auto"/>
        </w:rPr>
        <w:t>-</w:t>
      </w:r>
      <w:r>
        <w:rPr>
          <w:color w:val="auto"/>
        </w:rPr>
        <w:t>handling process</w:t>
      </w:r>
      <w:r w:rsidR="009F098E">
        <w:rPr>
          <w:color w:val="auto"/>
        </w:rPr>
        <w:t>,</w:t>
      </w:r>
      <w:r>
        <w:rPr>
          <w:color w:val="auto"/>
        </w:rPr>
        <w:t xml:space="preserve"> and listened to and treated with respect by staff.</w:t>
      </w:r>
    </w:p>
    <w:p w14:paraId="58761CAB" w14:textId="5A1A53A0" w:rsidR="0096677E" w:rsidRPr="007A0B91" w:rsidRDefault="0096677E" w:rsidP="00E94D8C">
      <w:pPr>
        <w:pBdr>
          <w:top w:val="single" w:sz="4" w:space="1" w:color="auto"/>
          <w:left w:val="single" w:sz="4" w:space="4" w:color="auto"/>
          <w:bottom w:val="single" w:sz="4" w:space="1" w:color="auto"/>
          <w:right w:val="single" w:sz="4" w:space="4" w:color="auto"/>
        </w:pBdr>
        <w:ind w:right="-197"/>
        <w:rPr>
          <w:b/>
          <w:color w:val="auto"/>
        </w:rPr>
      </w:pPr>
      <w:r w:rsidRPr="007A0B91">
        <w:rPr>
          <w:b/>
          <w:color w:val="auto"/>
        </w:rPr>
        <w:t xml:space="preserve">Note: </w:t>
      </w:r>
    </w:p>
    <w:p w14:paraId="72CF07FF" w14:textId="77777777" w:rsidR="009F098E" w:rsidRDefault="0096677E" w:rsidP="00E94D8C">
      <w:pPr>
        <w:pStyle w:val="ListParagraph"/>
        <w:numPr>
          <w:ilvl w:val="0"/>
          <w:numId w:val="10"/>
        </w:numPr>
        <w:pBdr>
          <w:top w:val="single" w:sz="4" w:space="1" w:color="auto"/>
          <w:left w:val="single" w:sz="4" w:space="4" w:color="auto"/>
          <w:bottom w:val="single" w:sz="4" w:space="1" w:color="auto"/>
          <w:right w:val="single" w:sz="4" w:space="4" w:color="auto"/>
        </w:pBdr>
        <w:ind w:right="-197"/>
        <w:rPr>
          <w:color w:val="auto"/>
        </w:rPr>
      </w:pPr>
      <w:r>
        <w:rPr>
          <w:color w:val="auto"/>
        </w:rPr>
        <w:t xml:space="preserve">There is no requirement for complainants to identify themselves. Anonymous complaints are specifically provided for under the Act. </w:t>
      </w:r>
    </w:p>
    <w:p w14:paraId="3DC26F6A" w14:textId="18042A14" w:rsidR="0096677E" w:rsidRDefault="0096677E" w:rsidP="00E94D8C">
      <w:pPr>
        <w:pStyle w:val="ListParagraph"/>
        <w:numPr>
          <w:ilvl w:val="0"/>
          <w:numId w:val="10"/>
        </w:numPr>
        <w:pBdr>
          <w:top w:val="single" w:sz="4" w:space="1" w:color="auto"/>
          <w:left w:val="single" w:sz="4" w:space="4" w:color="auto"/>
          <w:bottom w:val="single" w:sz="4" w:space="1" w:color="auto"/>
          <w:right w:val="single" w:sz="4" w:space="4" w:color="auto"/>
        </w:pBdr>
        <w:ind w:right="-197"/>
        <w:rPr>
          <w:color w:val="auto"/>
        </w:rPr>
      </w:pPr>
      <w:r w:rsidRPr="007A0B91">
        <w:rPr>
          <w:color w:val="auto"/>
        </w:rPr>
        <w:t xml:space="preserve">If </w:t>
      </w:r>
      <w:r>
        <w:rPr>
          <w:color w:val="auto"/>
        </w:rPr>
        <w:t xml:space="preserve">a </w:t>
      </w:r>
      <w:r w:rsidRPr="007A0B91">
        <w:rPr>
          <w:color w:val="auto"/>
        </w:rPr>
        <w:t xml:space="preserve">complaint is made anonymously, </w:t>
      </w:r>
      <w:r>
        <w:rPr>
          <w:color w:val="auto"/>
        </w:rPr>
        <w:t>there is</w:t>
      </w:r>
      <w:r w:rsidR="00E94D8C">
        <w:rPr>
          <w:color w:val="auto"/>
        </w:rPr>
        <w:t>, however,</w:t>
      </w:r>
      <w:r>
        <w:rPr>
          <w:color w:val="auto"/>
        </w:rPr>
        <w:t xml:space="preserve"> </w:t>
      </w:r>
      <w:r w:rsidR="008E1EB0">
        <w:rPr>
          <w:color w:val="auto"/>
        </w:rPr>
        <w:t>no</w:t>
      </w:r>
      <w:r w:rsidRPr="007A0B91">
        <w:rPr>
          <w:color w:val="auto"/>
        </w:rPr>
        <w:t xml:space="preserve"> obligation </w:t>
      </w:r>
      <w:r w:rsidR="008E1EB0">
        <w:rPr>
          <w:color w:val="auto"/>
        </w:rPr>
        <w:t xml:space="preserve">for the Inspector </w:t>
      </w:r>
      <w:r w:rsidRPr="007A0B91">
        <w:rPr>
          <w:color w:val="auto"/>
        </w:rPr>
        <w:t xml:space="preserve">to keep the complainant informed of </w:t>
      </w:r>
      <w:r>
        <w:rPr>
          <w:color w:val="auto"/>
        </w:rPr>
        <w:t xml:space="preserve">the </w:t>
      </w:r>
      <w:r w:rsidRPr="007A0B91">
        <w:rPr>
          <w:color w:val="auto"/>
        </w:rPr>
        <w:t>progress of the complaint or about any investigation.</w:t>
      </w:r>
      <w:r w:rsidRPr="002225AF">
        <w:rPr>
          <w:rStyle w:val="FootnoteReference"/>
          <w:color w:val="auto"/>
        </w:rPr>
        <w:footnoteReference w:id="6"/>
      </w:r>
      <w:r w:rsidRPr="007A0B91">
        <w:rPr>
          <w:color w:val="auto"/>
        </w:rPr>
        <w:t xml:space="preserve"> </w:t>
      </w:r>
    </w:p>
    <w:p w14:paraId="10BE75A6" w14:textId="38250272" w:rsidR="0096677E" w:rsidRPr="0096677E" w:rsidRDefault="0096677E" w:rsidP="0096677E">
      <w:pPr>
        <w:pStyle w:val="ListParagraph"/>
        <w:numPr>
          <w:ilvl w:val="0"/>
          <w:numId w:val="10"/>
        </w:numPr>
        <w:pBdr>
          <w:top w:val="single" w:sz="4" w:space="1" w:color="auto"/>
          <w:left w:val="single" w:sz="4" w:space="4" w:color="auto"/>
          <w:bottom w:val="single" w:sz="4" w:space="1" w:color="auto"/>
          <w:right w:val="single" w:sz="4" w:space="4" w:color="auto"/>
        </w:pBdr>
        <w:rPr>
          <w:color w:val="auto"/>
        </w:rPr>
      </w:pPr>
      <w:r>
        <w:rPr>
          <w:color w:val="auto"/>
        </w:rPr>
        <w:lastRenderedPageBreak/>
        <w:t>Where complaints are not anonymous, we will protect the identity of people making complaints where practical to do so</w:t>
      </w:r>
      <w:r w:rsidR="009F098E">
        <w:rPr>
          <w:color w:val="auto"/>
        </w:rPr>
        <w:t>,</w:t>
      </w:r>
      <w:r>
        <w:rPr>
          <w:color w:val="auto"/>
        </w:rPr>
        <w:t xml:space="preserve"> and consistent with our obligations under relevant privacy laws, secrecy provisions and/or confidentiality obligations.</w:t>
      </w:r>
    </w:p>
    <w:p w14:paraId="2E70E960" w14:textId="0936BBD7" w:rsidR="007A0B91" w:rsidRDefault="007A0B91" w:rsidP="007A0B91">
      <w:pPr>
        <w:pStyle w:val="Heading1"/>
        <w:rPr>
          <w:color w:val="5B9BD5" w:themeColor="accent1"/>
        </w:rPr>
      </w:pPr>
      <w:bookmarkStart w:id="9" w:name="_Toc12463343"/>
      <w:bookmarkStart w:id="10" w:name="_Toc7613433"/>
      <w:bookmarkStart w:id="11" w:name="_Toc8209247"/>
      <w:r>
        <w:rPr>
          <w:color w:val="5B9BD5" w:themeColor="accent1"/>
        </w:rPr>
        <w:t>What can they complain about?</w:t>
      </w:r>
      <w:bookmarkEnd w:id="9"/>
    </w:p>
    <w:p w14:paraId="13D0EE84" w14:textId="41B3C614" w:rsidR="007A0B91" w:rsidRPr="007A0B91" w:rsidRDefault="007A0B91" w:rsidP="007A0B91">
      <w:pPr>
        <w:rPr>
          <w:color w:val="auto"/>
        </w:rPr>
      </w:pPr>
      <w:r w:rsidRPr="007A0B91">
        <w:rPr>
          <w:color w:val="auto"/>
        </w:rPr>
        <w:t>Complaints can be made about the exercise</w:t>
      </w:r>
      <w:r w:rsidR="005F7DC8">
        <w:rPr>
          <w:color w:val="auto"/>
        </w:rPr>
        <w:t xml:space="preserve"> of</w:t>
      </w:r>
      <w:r w:rsidRPr="007A0B91">
        <w:rPr>
          <w:color w:val="auto"/>
        </w:rPr>
        <w:t>, or the failure to exercise, a power under the Act</w:t>
      </w:r>
      <w:r w:rsidR="004542B7">
        <w:rPr>
          <w:color w:val="auto"/>
        </w:rPr>
        <w:t xml:space="preserve"> by the Commission or </w:t>
      </w:r>
      <w:r w:rsidR="004542B7" w:rsidRPr="00E94D8C">
        <w:rPr>
          <w:color w:val="auto"/>
        </w:rPr>
        <w:t>Commission personnel</w:t>
      </w:r>
      <w:r w:rsidR="004542B7">
        <w:rPr>
          <w:color w:val="auto"/>
        </w:rPr>
        <w:t xml:space="preserve">, </w:t>
      </w:r>
      <w:r w:rsidRPr="007A0B91">
        <w:rPr>
          <w:color w:val="auto"/>
        </w:rPr>
        <w:t xml:space="preserve">including because </w:t>
      </w:r>
      <w:r w:rsidR="004542B7">
        <w:rPr>
          <w:color w:val="auto"/>
        </w:rPr>
        <w:t>their conduct was</w:t>
      </w:r>
      <w:r w:rsidRPr="007A0B91">
        <w:rPr>
          <w:color w:val="auto"/>
        </w:rPr>
        <w:t>:</w:t>
      </w:r>
    </w:p>
    <w:p w14:paraId="6983399F" w14:textId="565ABE9B" w:rsidR="007A0B91" w:rsidRDefault="007A0B91" w:rsidP="00EE1188">
      <w:pPr>
        <w:pStyle w:val="ListParagraph"/>
        <w:numPr>
          <w:ilvl w:val="0"/>
          <w:numId w:val="8"/>
        </w:numPr>
        <w:rPr>
          <w:color w:val="auto"/>
        </w:rPr>
      </w:pPr>
      <w:r>
        <w:rPr>
          <w:color w:val="auto"/>
        </w:rPr>
        <w:t>contrary to the law</w:t>
      </w:r>
    </w:p>
    <w:p w14:paraId="6A466945" w14:textId="3E442A33" w:rsidR="007A0B91" w:rsidRDefault="007A0B91" w:rsidP="00EE1188">
      <w:pPr>
        <w:pStyle w:val="ListParagraph"/>
        <w:numPr>
          <w:ilvl w:val="0"/>
          <w:numId w:val="8"/>
        </w:numPr>
        <w:rPr>
          <w:color w:val="auto"/>
        </w:rPr>
      </w:pPr>
      <w:r>
        <w:rPr>
          <w:color w:val="auto"/>
        </w:rPr>
        <w:t>unreasonable, unjust, oppressive or improperly discriminatory</w:t>
      </w:r>
    </w:p>
    <w:p w14:paraId="5813B979" w14:textId="0AE890B0" w:rsidR="007A0B91" w:rsidRDefault="007A0B91" w:rsidP="00EE1188">
      <w:pPr>
        <w:pStyle w:val="ListParagraph"/>
        <w:numPr>
          <w:ilvl w:val="0"/>
          <w:numId w:val="8"/>
        </w:numPr>
        <w:rPr>
          <w:color w:val="auto"/>
        </w:rPr>
      </w:pPr>
      <w:r>
        <w:rPr>
          <w:color w:val="auto"/>
        </w:rPr>
        <w:t>based on improper motives</w:t>
      </w:r>
    </w:p>
    <w:p w14:paraId="4BE070DB" w14:textId="28C2BAE5" w:rsidR="007A0B91" w:rsidRDefault="007A0B91" w:rsidP="00EE1188">
      <w:pPr>
        <w:pStyle w:val="ListParagraph"/>
        <w:numPr>
          <w:ilvl w:val="0"/>
          <w:numId w:val="8"/>
        </w:numPr>
        <w:rPr>
          <w:color w:val="auto"/>
        </w:rPr>
      </w:pPr>
      <w:r>
        <w:rPr>
          <w:color w:val="auto"/>
        </w:rPr>
        <w:t>an abuse of power</w:t>
      </w:r>
    </w:p>
    <w:p w14:paraId="035043DB" w14:textId="77225047" w:rsidR="007A0B91" w:rsidRDefault="007A0B91" w:rsidP="00EE1188">
      <w:pPr>
        <w:pStyle w:val="ListParagraph"/>
        <w:numPr>
          <w:ilvl w:val="0"/>
          <w:numId w:val="8"/>
        </w:numPr>
        <w:rPr>
          <w:color w:val="auto"/>
        </w:rPr>
      </w:pPr>
      <w:r>
        <w:rPr>
          <w:color w:val="auto"/>
        </w:rPr>
        <w:t>otherwise improper.</w:t>
      </w:r>
      <w:r>
        <w:rPr>
          <w:rStyle w:val="FootnoteReference"/>
          <w:color w:val="auto"/>
        </w:rPr>
        <w:footnoteReference w:id="7"/>
      </w:r>
    </w:p>
    <w:p w14:paraId="7A6EB365" w14:textId="13322614" w:rsidR="007A0B91" w:rsidRDefault="004542B7" w:rsidP="007A0B91">
      <w:pPr>
        <w:rPr>
          <w:color w:val="auto"/>
        </w:rPr>
      </w:pPr>
      <w:r>
        <w:rPr>
          <w:color w:val="auto"/>
        </w:rPr>
        <w:t xml:space="preserve">Commission personnel includes </w:t>
      </w:r>
      <w:r w:rsidR="007A0B91">
        <w:rPr>
          <w:color w:val="auto"/>
        </w:rPr>
        <w:t xml:space="preserve">the Commissioner, a </w:t>
      </w:r>
      <w:r w:rsidR="005F7DC8">
        <w:rPr>
          <w:color w:val="auto"/>
        </w:rPr>
        <w:t>former</w:t>
      </w:r>
      <w:r w:rsidR="007A0B91">
        <w:rPr>
          <w:color w:val="auto"/>
        </w:rPr>
        <w:t xml:space="preserve"> </w:t>
      </w:r>
      <w:r w:rsidR="005F7DC8">
        <w:rPr>
          <w:color w:val="auto"/>
        </w:rPr>
        <w:t>c</w:t>
      </w:r>
      <w:r w:rsidR="007A0B91">
        <w:rPr>
          <w:color w:val="auto"/>
        </w:rPr>
        <w:t>ommissioner, a staff member of the Commission</w:t>
      </w:r>
      <w:r w:rsidR="008E1EB0">
        <w:rPr>
          <w:color w:val="auto"/>
        </w:rPr>
        <w:t xml:space="preserve"> (including contractors)</w:t>
      </w:r>
      <w:r w:rsidR="007A0B91">
        <w:rPr>
          <w:color w:val="auto"/>
        </w:rPr>
        <w:t xml:space="preserve">, </w:t>
      </w:r>
      <w:r w:rsidR="008E1EB0">
        <w:rPr>
          <w:color w:val="auto"/>
        </w:rPr>
        <w:t xml:space="preserve">or </w:t>
      </w:r>
      <w:r w:rsidR="007A0B91">
        <w:rPr>
          <w:color w:val="auto"/>
        </w:rPr>
        <w:t xml:space="preserve">a </w:t>
      </w:r>
      <w:r w:rsidR="005F7DC8">
        <w:rPr>
          <w:color w:val="auto"/>
        </w:rPr>
        <w:t>former</w:t>
      </w:r>
      <w:r w:rsidR="007A0B91">
        <w:rPr>
          <w:color w:val="auto"/>
        </w:rPr>
        <w:t xml:space="preserve"> staff member.</w:t>
      </w:r>
      <w:r w:rsidR="007A0B91">
        <w:rPr>
          <w:rStyle w:val="FootnoteReference"/>
          <w:color w:val="auto"/>
        </w:rPr>
        <w:footnoteReference w:id="8"/>
      </w:r>
    </w:p>
    <w:p w14:paraId="353BBB26" w14:textId="7E8603BF" w:rsidR="007A0B91" w:rsidRPr="007A0B91" w:rsidRDefault="007A0B91" w:rsidP="007A0B91">
      <w:pPr>
        <w:pStyle w:val="Heading1"/>
        <w:rPr>
          <w:color w:val="5B9BD5" w:themeColor="accent1"/>
        </w:rPr>
      </w:pPr>
      <w:bookmarkStart w:id="12" w:name="_Toc12463344"/>
      <w:r>
        <w:rPr>
          <w:color w:val="5B9BD5" w:themeColor="accent1"/>
        </w:rPr>
        <w:t>H</w:t>
      </w:r>
      <w:r w:rsidRPr="007A0B91">
        <w:rPr>
          <w:color w:val="5B9BD5" w:themeColor="accent1"/>
        </w:rPr>
        <w:t>ow is a complaint made to the Inspector?</w:t>
      </w:r>
      <w:bookmarkEnd w:id="10"/>
      <w:bookmarkEnd w:id="11"/>
      <w:bookmarkEnd w:id="12"/>
    </w:p>
    <w:p w14:paraId="4949F332" w14:textId="77777777" w:rsidR="009F098E" w:rsidRDefault="007A0B91" w:rsidP="00E94D8C">
      <w:pPr>
        <w:ind w:right="-764"/>
        <w:rPr>
          <w:color w:val="auto"/>
        </w:rPr>
      </w:pPr>
      <w:bookmarkStart w:id="13" w:name="_Toc6392254"/>
      <w:bookmarkStart w:id="14" w:name="_Toc6392796"/>
      <w:bookmarkStart w:id="15" w:name="_Toc7613284"/>
      <w:bookmarkStart w:id="16" w:name="_Toc7613434"/>
      <w:bookmarkStart w:id="17" w:name="_Toc8209248"/>
      <w:r>
        <w:rPr>
          <w:color w:val="auto"/>
        </w:rPr>
        <w:t xml:space="preserve">The Inspector’s preference is that complaints be made in writing and by email given the potential complexity of the complaint subject matter. </w:t>
      </w:r>
    </w:p>
    <w:p w14:paraId="21C90237" w14:textId="7EDB9757" w:rsidR="007A0B91" w:rsidRDefault="007A0B91" w:rsidP="00E94D8C">
      <w:pPr>
        <w:ind w:right="-764"/>
        <w:rPr>
          <w:color w:val="auto"/>
        </w:rPr>
      </w:pPr>
      <w:r>
        <w:rPr>
          <w:color w:val="auto"/>
        </w:rPr>
        <w:t xml:space="preserve">This is consistent with </w:t>
      </w:r>
      <w:r w:rsidR="00E53295">
        <w:rPr>
          <w:color w:val="auto"/>
        </w:rPr>
        <w:t>s</w:t>
      </w:r>
      <w:r w:rsidR="005F7DC8">
        <w:rPr>
          <w:color w:val="auto"/>
        </w:rPr>
        <w:t xml:space="preserve"> </w:t>
      </w:r>
      <w:r w:rsidRPr="00491C60">
        <w:rPr>
          <w:color w:val="auto"/>
        </w:rPr>
        <w:t>258</w:t>
      </w:r>
      <w:r>
        <w:rPr>
          <w:color w:val="auto"/>
        </w:rPr>
        <w:t xml:space="preserve"> of the Act which provides for:</w:t>
      </w:r>
    </w:p>
    <w:p w14:paraId="102995DC" w14:textId="12398EB5" w:rsidR="007A0B91" w:rsidRDefault="005F7DC8" w:rsidP="00EE1188">
      <w:pPr>
        <w:pStyle w:val="ListParagraph"/>
        <w:numPr>
          <w:ilvl w:val="0"/>
          <w:numId w:val="9"/>
        </w:numPr>
        <w:rPr>
          <w:color w:val="auto"/>
        </w:rPr>
      </w:pPr>
      <w:r>
        <w:rPr>
          <w:color w:val="auto"/>
        </w:rPr>
        <w:t>C</w:t>
      </w:r>
      <w:r w:rsidR="007A0B91" w:rsidRPr="007A0B91">
        <w:rPr>
          <w:color w:val="auto"/>
        </w:rPr>
        <w:t xml:space="preserve">omplaints to be made </w:t>
      </w:r>
      <w:r>
        <w:rPr>
          <w:color w:val="auto"/>
        </w:rPr>
        <w:t>verbally</w:t>
      </w:r>
      <w:r w:rsidRPr="007A0B91">
        <w:rPr>
          <w:color w:val="auto"/>
        </w:rPr>
        <w:t xml:space="preserve"> </w:t>
      </w:r>
      <w:r w:rsidR="007A0B91" w:rsidRPr="007A0B91">
        <w:rPr>
          <w:color w:val="auto"/>
        </w:rPr>
        <w:t xml:space="preserve">or in writing, using any form of </w:t>
      </w:r>
      <w:r w:rsidR="007A0B91">
        <w:rPr>
          <w:color w:val="auto"/>
        </w:rPr>
        <w:t xml:space="preserve">electronic </w:t>
      </w:r>
      <w:r w:rsidR="007A0B91" w:rsidRPr="007A0B91">
        <w:rPr>
          <w:color w:val="auto"/>
        </w:rPr>
        <w:t>communication</w:t>
      </w:r>
      <w:r w:rsidR="007A0B91">
        <w:rPr>
          <w:color w:val="auto"/>
        </w:rPr>
        <w:t xml:space="preserve"> (</w:t>
      </w:r>
      <w:r>
        <w:rPr>
          <w:color w:val="auto"/>
        </w:rPr>
        <w:t>such as</w:t>
      </w:r>
      <w:r w:rsidR="007A0B91">
        <w:rPr>
          <w:color w:val="auto"/>
        </w:rPr>
        <w:t xml:space="preserve"> telephone, email, fax or other electronic means)</w:t>
      </w:r>
      <w:r>
        <w:rPr>
          <w:color w:val="auto"/>
        </w:rPr>
        <w:t>.</w:t>
      </w:r>
      <w:r w:rsidR="00EE1188">
        <w:rPr>
          <w:rStyle w:val="FootnoteReference"/>
          <w:color w:val="auto"/>
        </w:rPr>
        <w:footnoteReference w:id="9"/>
      </w:r>
    </w:p>
    <w:p w14:paraId="438760E7" w14:textId="77777777" w:rsidR="00E94D8C" w:rsidRDefault="005F7DC8" w:rsidP="00E94D8C">
      <w:pPr>
        <w:pStyle w:val="ListParagraph"/>
        <w:numPr>
          <w:ilvl w:val="0"/>
          <w:numId w:val="9"/>
        </w:numPr>
        <w:ind w:right="-622"/>
        <w:rPr>
          <w:color w:val="auto"/>
        </w:rPr>
      </w:pPr>
      <w:r>
        <w:rPr>
          <w:color w:val="auto"/>
        </w:rPr>
        <w:t>T</w:t>
      </w:r>
      <w:r w:rsidR="004542B7">
        <w:rPr>
          <w:color w:val="auto"/>
        </w:rPr>
        <w:t>he Inspector to</w:t>
      </w:r>
      <w:r w:rsidR="00E94D8C">
        <w:rPr>
          <w:color w:val="auto"/>
        </w:rPr>
        <w:t>:</w:t>
      </w:r>
    </w:p>
    <w:p w14:paraId="03E57282" w14:textId="77777777" w:rsidR="00E94D8C" w:rsidRDefault="005F7DC8" w:rsidP="00E94D8C">
      <w:pPr>
        <w:pStyle w:val="ListParagraph"/>
        <w:numPr>
          <w:ilvl w:val="1"/>
          <w:numId w:val="9"/>
        </w:numPr>
        <w:ind w:left="851" w:right="-622" w:hanging="425"/>
        <w:rPr>
          <w:color w:val="auto"/>
        </w:rPr>
      </w:pPr>
      <w:r>
        <w:rPr>
          <w:color w:val="auto"/>
        </w:rPr>
        <w:t>put a complaint made verbally</w:t>
      </w:r>
      <w:r w:rsidR="00E94D8C">
        <w:rPr>
          <w:color w:val="auto"/>
        </w:rPr>
        <w:t xml:space="preserve"> in writing</w:t>
      </w:r>
      <w:r>
        <w:rPr>
          <w:color w:val="auto"/>
        </w:rPr>
        <w:t xml:space="preserve">, or </w:t>
      </w:r>
    </w:p>
    <w:p w14:paraId="7E7AE46E" w14:textId="08140A8D" w:rsidR="004542B7" w:rsidRDefault="005F7DC8" w:rsidP="00E94D8C">
      <w:pPr>
        <w:pStyle w:val="ListParagraph"/>
        <w:numPr>
          <w:ilvl w:val="1"/>
          <w:numId w:val="9"/>
        </w:numPr>
        <w:ind w:left="851" w:right="-622" w:hanging="425"/>
        <w:rPr>
          <w:color w:val="auto"/>
        </w:rPr>
      </w:pPr>
      <w:r>
        <w:rPr>
          <w:color w:val="auto"/>
        </w:rPr>
        <w:t>require a complainant to do so before proceeding with an investigation.</w:t>
      </w:r>
    </w:p>
    <w:p w14:paraId="7AEDBA01" w14:textId="23A754AA" w:rsidR="007A0B91" w:rsidRPr="007A0B91" w:rsidRDefault="007A0B91" w:rsidP="00E94D8C">
      <w:pPr>
        <w:pBdr>
          <w:top w:val="single" w:sz="4" w:space="1" w:color="auto"/>
          <w:left w:val="single" w:sz="4" w:space="4" w:color="auto"/>
          <w:bottom w:val="single" w:sz="4" w:space="1" w:color="auto"/>
          <w:right w:val="single" w:sz="4" w:space="4" w:color="auto"/>
        </w:pBdr>
        <w:ind w:right="-622"/>
        <w:rPr>
          <w:b/>
          <w:color w:val="auto"/>
        </w:rPr>
      </w:pPr>
      <w:r w:rsidRPr="007A0B91">
        <w:rPr>
          <w:b/>
          <w:color w:val="auto"/>
        </w:rPr>
        <w:t xml:space="preserve">Note: </w:t>
      </w:r>
    </w:p>
    <w:p w14:paraId="30B00067" w14:textId="5460A32A" w:rsidR="0096677E" w:rsidRDefault="007A0B91" w:rsidP="00E94D8C">
      <w:pPr>
        <w:pStyle w:val="ListParagraph"/>
        <w:numPr>
          <w:ilvl w:val="0"/>
          <w:numId w:val="10"/>
        </w:numPr>
        <w:pBdr>
          <w:top w:val="single" w:sz="4" w:space="1" w:color="auto"/>
          <w:left w:val="single" w:sz="4" w:space="4" w:color="auto"/>
          <w:bottom w:val="single" w:sz="4" w:space="1" w:color="auto"/>
          <w:right w:val="single" w:sz="4" w:space="4" w:color="auto"/>
        </w:pBdr>
        <w:ind w:right="-622"/>
        <w:rPr>
          <w:color w:val="auto"/>
        </w:rPr>
      </w:pPr>
      <w:r w:rsidRPr="007A0B91">
        <w:rPr>
          <w:color w:val="auto"/>
        </w:rPr>
        <w:t>The complaints procedures will outline s</w:t>
      </w:r>
      <w:r>
        <w:rPr>
          <w:color w:val="auto"/>
        </w:rPr>
        <w:t>ituations where a</w:t>
      </w:r>
      <w:r w:rsidR="005F7DC8">
        <w:rPr>
          <w:color w:val="auto"/>
        </w:rPr>
        <w:t xml:space="preserve"> verbal</w:t>
      </w:r>
      <w:r>
        <w:rPr>
          <w:color w:val="auto"/>
        </w:rPr>
        <w:t xml:space="preserve"> c</w:t>
      </w:r>
      <w:r w:rsidR="004542B7">
        <w:rPr>
          <w:color w:val="auto"/>
        </w:rPr>
        <w:t xml:space="preserve">omplaint will be accepted by the Inspector </w:t>
      </w:r>
      <w:r>
        <w:rPr>
          <w:color w:val="auto"/>
        </w:rPr>
        <w:t>to ensure our service</w:t>
      </w:r>
      <w:r w:rsidR="004542B7">
        <w:rPr>
          <w:color w:val="auto"/>
        </w:rPr>
        <w:t>s</w:t>
      </w:r>
      <w:r>
        <w:rPr>
          <w:color w:val="auto"/>
        </w:rPr>
        <w:t xml:space="preserve"> are accessible to vulnerable members</w:t>
      </w:r>
      <w:r w:rsidR="004542B7">
        <w:rPr>
          <w:color w:val="auto"/>
        </w:rPr>
        <w:t xml:space="preserve"> of the ACT </w:t>
      </w:r>
      <w:bookmarkEnd w:id="13"/>
      <w:bookmarkEnd w:id="14"/>
      <w:bookmarkEnd w:id="15"/>
      <w:bookmarkEnd w:id="16"/>
      <w:bookmarkEnd w:id="17"/>
      <w:r w:rsidR="008E1EB0">
        <w:rPr>
          <w:color w:val="auto"/>
        </w:rPr>
        <w:t>community.</w:t>
      </w:r>
    </w:p>
    <w:p w14:paraId="2D681585" w14:textId="7AECE4E8" w:rsidR="007A0B91" w:rsidRPr="004542B7" w:rsidRDefault="004542B7" w:rsidP="00E94D8C">
      <w:pPr>
        <w:pStyle w:val="ListParagraph"/>
        <w:numPr>
          <w:ilvl w:val="0"/>
          <w:numId w:val="10"/>
        </w:numPr>
        <w:pBdr>
          <w:top w:val="single" w:sz="4" w:space="1" w:color="auto"/>
          <w:left w:val="single" w:sz="4" w:space="4" w:color="auto"/>
          <w:bottom w:val="single" w:sz="4" w:space="1" w:color="auto"/>
          <w:right w:val="single" w:sz="4" w:space="4" w:color="auto"/>
        </w:pBdr>
        <w:ind w:right="-622"/>
        <w:rPr>
          <w:color w:val="auto"/>
        </w:rPr>
      </w:pPr>
      <w:r w:rsidRPr="004542B7">
        <w:rPr>
          <w:color w:val="auto"/>
        </w:rPr>
        <w:t>Complaints can subsequent</w:t>
      </w:r>
      <w:r w:rsidR="008E1EB0">
        <w:rPr>
          <w:color w:val="auto"/>
        </w:rPr>
        <w:t>ly</w:t>
      </w:r>
      <w:r w:rsidRPr="004542B7">
        <w:rPr>
          <w:color w:val="auto"/>
        </w:rPr>
        <w:t xml:space="preserve"> be withdrawn under </w:t>
      </w:r>
      <w:r w:rsidR="00E53295">
        <w:rPr>
          <w:color w:val="auto"/>
        </w:rPr>
        <w:t>s</w:t>
      </w:r>
      <w:r w:rsidR="005F7DC8">
        <w:rPr>
          <w:color w:val="auto"/>
        </w:rPr>
        <w:t xml:space="preserve"> </w:t>
      </w:r>
      <w:r w:rsidRPr="00491C60">
        <w:rPr>
          <w:color w:val="auto"/>
        </w:rPr>
        <w:t>268</w:t>
      </w:r>
      <w:r w:rsidRPr="004542B7">
        <w:rPr>
          <w:color w:val="auto"/>
        </w:rPr>
        <w:t xml:space="preserve"> of the Act. </w:t>
      </w:r>
    </w:p>
    <w:p w14:paraId="65095147" w14:textId="77777777" w:rsidR="009F098E" w:rsidRDefault="009F098E">
      <w:pPr>
        <w:spacing w:after="0" w:line="240" w:lineRule="auto"/>
        <w:rPr>
          <w:rFonts w:eastAsia="Times"/>
          <w:b/>
          <w:color w:val="5B9BD5" w:themeColor="accent1"/>
          <w:sz w:val="32"/>
          <w:szCs w:val="20"/>
        </w:rPr>
      </w:pPr>
      <w:bookmarkStart w:id="18" w:name="_Toc7613439"/>
      <w:bookmarkStart w:id="19" w:name="_Toc8209253"/>
      <w:r>
        <w:rPr>
          <w:color w:val="5B9BD5" w:themeColor="accent1"/>
        </w:rPr>
        <w:br w:type="page"/>
      </w:r>
    </w:p>
    <w:p w14:paraId="736D6EAF" w14:textId="3503921E" w:rsidR="007A0B91" w:rsidRPr="007A0B91" w:rsidRDefault="007A0B91" w:rsidP="007A0B91">
      <w:pPr>
        <w:pStyle w:val="Heading1"/>
        <w:rPr>
          <w:color w:val="5B9BD5" w:themeColor="accent1"/>
        </w:rPr>
      </w:pPr>
      <w:bookmarkStart w:id="20" w:name="_Toc12463345"/>
      <w:r>
        <w:rPr>
          <w:color w:val="5B9BD5" w:themeColor="accent1"/>
        </w:rPr>
        <w:lastRenderedPageBreak/>
        <w:t>Managing Commission complaints</w:t>
      </w:r>
      <w:bookmarkEnd w:id="20"/>
      <w:r>
        <w:rPr>
          <w:color w:val="5B9BD5" w:themeColor="accent1"/>
        </w:rPr>
        <w:t xml:space="preserve"> </w:t>
      </w:r>
      <w:bookmarkEnd w:id="18"/>
      <w:bookmarkEnd w:id="19"/>
    </w:p>
    <w:p w14:paraId="483C28E2" w14:textId="344F789C" w:rsidR="007A0B91" w:rsidRPr="002A62D5" w:rsidRDefault="007A0B91" w:rsidP="007A0B91">
      <w:pPr>
        <w:ind w:right="-764"/>
        <w:rPr>
          <w:color w:val="auto"/>
        </w:rPr>
      </w:pPr>
      <w:bookmarkStart w:id="21" w:name="_Toc7613290"/>
      <w:bookmarkStart w:id="22" w:name="_Toc7613440"/>
      <w:bookmarkStart w:id="23" w:name="_Toc8209254"/>
      <w:bookmarkStart w:id="24" w:name="_Toc6392260"/>
      <w:bookmarkStart w:id="25" w:name="_Toc6392802"/>
      <w:r>
        <w:rPr>
          <w:color w:val="auto"/>
        </w:rPr>
        <w:t>The steps for managing a complaint to the Inspector about the Commission or its staff are as follows</w:t>
      </w:r>
      <w:r w:rsidR="008E1EB0">
        <w:rPr>
          <w:color w:val="auto"/>
        </w:rPr>
        <w:t>:</w:t>
      </w:r>
      <w:r>
        <w:rPr>
          <w:color w:val="auto"/>
        </w:rPr>
        <w:t xml:space="preserve"> </w:t>
      </w:r>
    </w:p>
    <w:p w14:paraId="075C79EC" w14:textId="317FFC77" w:rsidR="007A0B91" w:rsidRDefault="004542B7" w:rsidP="00EE1188">
      <w:pPr>
        <w:pStyle w:val="ListParagraph"/>
        <w:numPr>
          <w:ilvl w:val="0"/>
          <w:numId w:val="7"/>
        </w:numPr>
        <w:rPr>
          <w:color w:val="auto"/>
        </w:rPr>
      </w:pPr>
      <w:r>
        <w:rPr>
          <w:color w:val="auto"/>
        </w:rPr>
        <w:t>Acknowledge receipt and record complaint details</w:t>
      </w:r>
    </w:p>
    <w:p w14:paraId="46F942F0" w14:textId="16053BBF" w:rsidR="007A0B91" w:rsidRPr="006812DD" w:rsidRDefault="007A0B91" w:rsidP="00EE1188">
      <w:pPr>
        <w:pStyle w:val="ListParagraph"/>
        <w:numPr>
          <w:ilvl w:val="0"/>
          <w:numId w:val="7"/>
        </w:numPr>
        <w:rPr>
          <w:color w:val="auto"/>
        </w:rPr>
      </w:pPr>
      <w:r w:rsidRPr="006812DD">
        <w:rPr>
          <w:color w:val="auto"/>
        </w:rPr>
        <w:t xml:space="preserve">Establish </w:t>
      </w:r>
      <w:r>
        <w:rPr>
          <w:color w:val="auto"/>
        </w:rPr>
        <w:t xml:space="preserve">that we have </w:t>
      </w:r>
      <w:r w:rsidRPr="006812DD">
        <w:rPr>
          <w:color w:val="auto"/>
        </w:rPr>
        <w:t>jurisdiction</w:t>
      </w:r>
      <w:r>
        <w:rPr>
          <w:color w:val="auto"/>
        </w:rPr>
        <w:t xml:space="preserve"> to accept the complaint</w:t>
      </w:r>
    </w:p>
    <w:p w14:paraId="388C39B9" w14:textId="4973F106" w:rsidR="007A0B91" w:rsidRDefault="004542B7" w:rsidP="00EE1188">
      <w:pPr>
        <w:pStyle w:val="ListParagraph"/>
        <w:numPr>
          <w:ilvl w:val="0"/>
          <w:numId w:val="7"/>
        </w:numPr>
        <w:rPr>
          <w:color w:val="auto"/>
        </w:rPr>
      </w:pPr>
      <w:r>
        <w:rPr>
          <w:color w:val="auto"/>
        </w:rPr>
        <w:t>Complete an in</w:t>
      </w:r>
      <w:r w:rsidR="00EE1188">
        <w:rPr>
          <w:color w:val="auto"/>
        </w:rPr>
        <w:t>itial assessment of in jurisdiction complaints</w:t>
      </w:r>
    </w:p>
    <w:p w14:paraId="19FDFD9F" w14:textId="7FF244C6" w:rsidR="00EE1188" w:rsidRDefault="00EE1188" w:rsidP="00EE1188">
      <w:pPr>
        <w:pStyle w:val="ListParagraph"/>
        <w:numPr>
          <w:ilvl w:val="0"/>
          <w:numId w:val="7"/>
        </w:numPr>
        <w:rPr>
          <w:color w:val="auto"/>
        </w:rPr>
      </w:pPr>
      <w:r>
        <w:rPr>
          <w:color w:val="auto"/>
        </w:rPr>
        <w:t>Advise complainant of initial assessment outcome</w:t>
      </w:r>
    </w:p>
    <w:p w14:paraId="515A19DC" w14:textId="0C4558B8" w:rsidR="007A0B91" w:rsidRPr="005F7DC8" w:rsidRDefault="007A0B91" w:rsidP="00EE1188">
      <w:pPr>
        <w:pStyle w:val="ListParagraph"/>
        <w:numPr>
          <w:ilvl w:val="0"/>
          <w:numId w:val="7"/>
        </w:numPr>
        <w:rPr>
          <w:color w:val="auto"/>
        </w:rPr>
      </w:pPr>
      <w:r>
        <w:rPr>
          <w:color w:val="auto"/>
        </w:rPr>
        <w:t>Notif</w:t>
      </w:r>
      <w:r w:rsidRPr="006812DD">
        <w:rPr>
          <w:color w:val="auto"/>
        </w:rPr>
        <w:t xml:space="preserve">y the Commission </w:t>
      </w:r>
      <w:r w:rsidRPr="00E94D8C">
        <w:rPr>
          <w:color w:val="auto"/>
        </w:rPr>
        <w:t>(if appropriate)</w:t>
      </w:r>
    </w:p>
    <w:p w14:paraId="089EF500" w14:textId="5B6936D3" w:rsidR="007A0B91" w:rsidRPr="006812DD" w:rsidRDefault="007A0B91" w:rsidP="00EE1188">
      <w:pPr>
        <w:pStyle w:val="ListParagraph"/>
        <w:numPr>
          <w:ilvl w:val="0"/>
          <w:numId w:val="7"/>
        </w:numPr>
        <w:rPr>
          <w:color w:val="auto"/>
        </w:rPr>
      </w:pPr>
      <w:r w:rsidRPr="006812DD">
        <w:rPr>
          <w:color w:val="auto"/>
        </w:rPr>
        <w:t xml:space="preserve">Investigate the matter </w:t>
      </w:r>
      <w:r w:rsidRPr="00E94D8C">
        <w:rPr>
          <w:color w:val="auto"/>
        </w:rPr>
        <w:t>(if appropriate)</w:t>
      </w:r>
    </w:p>
    <w:p w14:paraId="5529BFF0" w14:textId="6E692E64" w:rsidR="007A0B91" w:rsidRPr="005F7DC8" w:rsidRDefault="007A0B91" w:rsidP="00EE1188">
      <w:pPr>
        <w:pStyle w:val="ListParagraph"/>
        <w:numPr>
          <w:ilvl w:val="0"/>
          <w:numId w:val="7"/>
        </w:numPr>
        <w:rPr>
          <w:color w:val="auto"/>
        </w:rPr>
      </w:pPr>
      <w:r w:rsidRPr="006812DD">
        <w:rPr>
          <w:color w:val="auto"/>
        </w:rPr>
        <w:t>Consider available</w:t>
      </w:r>
      <w:r w:rsidR="00A52222">
        <w:rPr>
          <w:color w:val="auto"/>
        </w:rPr>
        <w:t xml:space="preserve"> outcomes</w:t>
      </w:r>
      <w:r w:rsidRPr="006812DD">
        <w:rPr>
          <w:color w:val="auto"/>
        </w:rPr>
        <w:t xml:space="preserve"> </w:t>
      </w:r>
      <w:r w:rsidRPr="00E94D8C">
        <w:rPr>
          <w:color w:val="auto"/>
        </w:rPr>
        <w:t>(if appropriate)</w:t>
      </w:r>
    </w:p>
    <w:p w14:paraId="51F4F811" w14:textId="5425A830" w:rsidR="00B853D1" w:rsidRDefault="00B853D1" w:rsidP="00EE1188">
      <w:pPr>
        <w:pStyle w:val="ListParagraph"/>
        <w:numPr>
          <w:ilvl w:val="0"/>
          <w:numId w:val="7"/>
        </w:numPr>
        <w:rPr>
          <w:color w:val="auto"/>
        </w:rPr>
      </w:pPr>
      <w:r>
        <w:rPr>
          <w:color w:val="auto"/>
        </w:rPr>
        <w:t>Advise complainant of outcome</w:t>
      </w:r>
    </w:p>
    <w:p w14:paraId="7687C45F" w14:textId="25C1EC9E" w:rsidR="00B853D1" w:rsidRPr="00B853D1" w:rsidRDefault="00B853D1" w:rsidP="00B853D1">
      <w:pPr>
        <w:pStyle w:val="ListParagraph"/>
        <w:numPr>
          <w:ilvl w:val="0"/>
          <w:numId w:val="7"/>
        </w:numPr>
        <w:rPr>
          <w:color w:val="auto"/>
        </w:rPr>
      </w:pPr>
      <w:r w:rsidRPr="00B853D1">
        <w:rPr>
          <w:color w:val="auto"/>
        </w:rPr>
        <w:t>Advise Commission of outcome and make recommendations where appropriate</w:t>
      </w:r>
      <w:r w:rsidR="009F098E">
        <w:rPr>
          <w:color w:val="auto"/>
        </w:rPr>
        <w:t>.</w:t>
      </w:r>
    </w:p>
    <w:p w14:paraId="06270103" w14:textId="4387FF03" w:rsidR="007A0B91" w:rsidRPr="007A0B91" w:rsidRDefault="007A0B91" w:rsidP="007A0B91">
      <w:pPr>
        <w:ind w:right="-338"/>
        <w:rPr>
          <w:color w:val="auto"/>
        </w:rPr>
      </w:pPr>
      <w:r>
        <w:rPr>
          <w:color w:val="auto"/>
        </w:rPr>
        <w:t>More detail</w:t>
      </w:r>
      <w:r w:rsidR="005F7DC8">
        <w:rPr>
          <w:color w:val="auto"/>
        </w:rPr>
        <w:t>s</w:t>
      </w:r>
      <w:r>
        <w:rPr>
          <w:color w:val="auto"/>
        </w:rPr>
        <w:t xml:space="preserve"> about each step </w:t>
      </w:r>
      <w:r w:rsidR="005F7DC8">
        <w:rPr>
          <w:color w:val="auto"/>
        </w:rPr>
        <w:t>are</w:t>
      </w:r>
      <w:r>
        <w:rPr>
          <w:color w:val="auto"/>
        </w:rPr>
        <w:t xml:space="preserve"> provided below. </w:t>
      </w:r>
      <w:bookmarkEnd w:id="21"/>
      <w:bookmarkEnd w:id="22"/>
      <w:bookmarkEnd w:id="23"/>
      <w:r w:rsidR="004542B7">
        <w:rPr>
          <w:color w:val="auto"/>
        </w:rPr>
        <w:t>Additional practical guidance for investigations, as well as the d</w:t>
      </w:r>
      <w:r>
        <w:rPr>
          <w:color w:val="auto"/>
        </w:rPr>
        <w:t xml:space="preserve">etails of administration processes and templates for communication </w:t>
      </w:r>
      <w:r w:rsidR="00E94D8C">
        <w:rPr>
          <w:color w:val="auto"/>
        </w:rPr>
        <w:t>will</w:t>
      </w:r>
      <w:r w:rsidR="00EE1188">
        <w:rPr>
          <w:color w:val="auto"/>
        </w:rPr>
        <w:t xml:space="preserve">, however, </w:t>
      </w:r>
      <w:r w:rsidR="00E94D8C">
        <w:rPr>
          <w:color w:val="auto"/>
        </w:rPr>
        <w:t>be</w:t>
      </w:r>
      <w:r w:rsidR="009F098E">
        <w:rPr>
          <w:color w:val="auto"/>
        </w:rPr>
        <w:t> </w:t>
      </w:r>
      <w:r>
        <w:rPr>
          <w:color w:val="auto"/>
        </w:rPr>
        <w:t>provided in related procedural instructions.</w:t>
      </w:r>
    </w:p>
    <w:p w14:paraId="432229F2" w14:textId="7E844CEE" w:rsidR="007A0B91" w:rsidRDefault="007A0B91" w:rsidP="00E94D8C">
      <w:pPr>
        <w:pStyle w:val="Heading2"/>
      </w:pPr>
      <w:bookmarkStart w:id="26" w:name="_Toc8209255"/>
      <w:bookmarkStart w:id="27" w:name="_Toc7613441"/>
      <w:bookmarkEnd w:id="24"/>
      <w:bookmarkEnd w:id="25"/>
      <w:r>
        <w:t xml:space="preserve">Step 1: </w:t>
      </w:r>
      <w:r w:rsidR="00E94D8C">
        <w:t>A</w:t>
      </w:r>
      <w:r>
        <w:t>cknowledge receipt of the email</w:t>
      </w:r>
      <w:r w:rsidR="004542B7">
        <w:t xml:space="preserve"> and record complaint details</w:t>
      </w:r>
    </w:p>
    <w:p w14:paraId="401140E1" w14:textId="021AB0A1" w:rsidR="007A0B91" w:rsidRPr="007A0B91" w:rsidRDefault="007A0B91" w:rsidP="007A0B91">
      <w:pPr>
        <w:ind w:right="-338"/>
        <w:rPr>
          <w:color w:val="auto"/>
        </w:rPr>
      </w:pPr>
      <w:r w:rsidRPr="007A0B91">
        <w:rPr>
          <w:color w:val="auto"/>
        </w:rPr>
        <w:t xml:space="preserve">The Inspector </w:t>
      </w:r>
      <w:r w:rsidR="004542B7">
        <w:rPr>
          <w:color w:val="auto"/>
        </w:rPr>
        <w:t xml:space="preserve">or delegate </w:t>
      </w:r>
      <w:r w:rsidRPr="007A0B91">
        <w:rPr>
          <w:color w:val="auto"/>
        </w:rPr>
        <w:t>will acknowledge receipt of email commun</w:t>
      </w:r>
      <w:r w:rsidR="004542B7">
        <w:rPr>
          <w:color w:val="auto"/>
        </w:rPr>
        <w:t xml:space="preserve">ication within </w:t>
      </w:r>
      <w:r w:rsidR="004542B7" w:rsidRPr="005E7184">
        <w:rPr>
          <w:b/>
          <w:color w:val="auto"/>
        </w:rPr>
        <w:t>two working days</w:t>
      </w:r>
      <w:r w:rsidR="004542B7">
        <w:rPr>
          <w:color w:val="auto"/>
        </w:rPr>
        <w:t xml:space="preserve"> and record the details of the complaint, providing a unique identifying number.</w:t>
      </w:r>
    </w:p>
    <w:p w14:paraId="1130F09B" w14:textId="090A3617" w:rsidR="007A0B91" w:rsidRPr="007A0B91" w:rsidRDefault="007A0B91" w:rsidP="00E94D8C">
      <w:pPr>
        <w:pStyle w:val="Heading2"/>
      </w:pPr>
      <w:r w:rsidRPr="007A0B91">
        <w:t xml:space="preserve">Step 2: </w:t>
      </w:r>
      <w:bookmarkEnd w:id="26"/>
      <w:bookmarkEnd w:id="27"/>
      <w:r w:rsidR="00E94D8C">
        <w:t>E</w:t>
      </w:r>
      <w:r w:rsidRPr="007A0B91">
        <w:t>stablish that we have jurisdiction to accept the complaint</w:t>
      </w:r>
    </w:p>
    <w:p w14:paraId="1745A442" w14:textId="534EE331" w:rsidR="004542B7" w:rsidRDefault="004542B7" w:rsidP="007A0B91">
      <w:pPr>
        <w:ind w:right="-338"/>
        <w:rPr>
          <w:color w:val="auto"/>
        </w:rPr>
      </w:pPr>
      <w:r>
        <w:rPr>
          <w:color w:val="auto"/>
        </w:rPr>
        <w:t>The Inspector or delegate will then consider whether or not the complaint received is within jurisdiction</w:t>
      </w:r>
      <w:r w:rsidR="009F098E">
        <w:rPr>
          <w:color w:val="auto"/>
        </w:rPr>
        <w:t>,</w:t>
      </w:r>
      <w:r>
        <w:rPr>
          <w:color w:val="auto"/>
        </w:rPr>
        <w:t xml:space="preserve"> and whether the complaint contains issues that n</w:t>
      </w:r>
      <w:r w:rsidR="00C03BDC">
        <w:rPr>
          <w:color w:val="auto"/>
        </w:rPr>
        <w:t xml:space="preserve">eed to be </w:t>
      </w:r>
      <w:r w:rsidR="005F7DC8">
        <w:rPr>
          <w:color w:val="auto"/>
        </w:rPr>
        <w:t xml:space="preserve">addressed </w:t>
      </w:r>
      <w:r w:rsidR="00C03BDC">
        <w:rPr>
          <w:color w:val="auto"/>
        </w:rPr>
        <w:t>separately</w:t>
      </w:r>
      <w:r w:rsidR="005F7DC8">
        <w:rPr>
          <w:color w:val="auto"/>
        </w:rPr>
        <w:t>.</w:t>
      </w:r>
    </w:p>
    <w:p w14:paraId="2EF28D40" w14:textId="2F83A817" w:rsidR="007A0B91" w:rsidRDefault="007A0B91" w:rsidP="007A0B91">
      <w:pPr>
        <w:ind w:right="-338"/>
        <w:rPr>
          <w:color w:val="auto"/>
        </w:rPr>
      </w:pPr>
      <w:r>
        <w:rPr>
          <w:color w:val="auto"/>
        </w:rPr>
        <w:t>Complaints will be considered in jurisdiction if</w:t>
      </w:r>
      <w:r w:rsidR="00EE1188">
        <w:rPr>
          <w:color w:val="auto"/>
        </w:rPr>
        <w:t xml:space="preserve"> they</w:t>
      </w:r>
      <w:r>
        <w:rPr>
          <w:color w:val="auto"/>
        </w:rPr>
        <w:t>:</w:t>
      </w:r>
    </w:p>
    <w:p w14:paraId="47860056" w14:textId="73C15353" w:rsidR="00EE1188" w:rsidRDefault="009F098E" w:rsidP="00EE1188">
      <w:pPr>
        <w:pStyle w:val="ListParagraph"/>
        <w:numPr>
          <w:ilvl w:val="0"/>
          <w:numId w:val="11"/>
        </w:numPr>
        <w:ind w:right="-338"/>
        <w:rPr>
          <w:color w:val="auto"/>
        </w:rPr>
      </w:pPr>
      <w:r>
        <w:rPr>
          <w:color w:val="auto"/>
        </w:rPr>
        <w:t>a</w:t>
      </w:r>
      <w:r w:rsidR="007A0B91" w:rsidRPr="007A0B91">
        <w:rPr>
          <w:color w:val="auto"/>
        </w:rPr>
        <w:t>re about one of the following</w:t>
      </w:r>
      <w:r w:rsidR="00EE1188">
        <w:rPr>
          <w:color w:val="auto"/>
        </w:rPr>
        <w:t>:</w:t>
      </w:r>
    </w:p>
    <w:p w14:paraId="605CC803" w14:textId="77777777" w:rsidR="00EE1188" w:rsidRPr="007A0B91" w:rsidRDefault="00EE1188" w:rsidP="00EE1188">
      <w:pPr>
        <w:pStyle w:val="ListParagraph"/>
        <w:numPr>
          <w:ilvl w:val="1"/>
          <w:numId w:val="11"/>
        </w:numPr>
        <w:rPr>
          <w:color w:val="auto"/>
        </w:rPr>
      </w:pPr>
      <w:r>
        <w:rPr>
          <w:color w:val="auto"/>
        </w:rPr>
        <w:t>a</w:t>
      </w:r>
      <w:r w:rsidRPr="007A0B91">
        <w:rPr>
          <w:color w:val="auto"/>
        </w:rPr>
        <w:t xml:space="preserve"> Commissioner (current or former)</w:t>
      </w:r>
    </w:p>
    <w:p w14:paraId="5BB84ADA" w14:textId="4855D1FC" w:rsidR="007A0B91" w:rsidRDefault="00EE1188" w:rsidP="00E94D8C">
      <w:pPr>
        <w:pStyle w:val="ListParagraph"/>
        <w:numPr>
          <w:ilvl w:val="1"/>
          <w:numId w:val="11"/>
        </w:numPr>
        <w:spacing w:before="100" w:beforeAutospacing="1" w:after="120"/>
        <w:ind w:left="1434" w:hanging="357"/>
        <w:rPr>
          <w:color w:val="auto"/>
        </w:rPr>
      </w:pPr>
      <w:r>
        <w:rPr>
          <w:color w:val="auto"/>
        </w:rPr>
        <w:t>a</w:t>
      </w:r>
      <w:r w:rsidRPr="007A0B91">
        <w:rPr>
          <w:color w:val="auto"/>
        </w:rPr>
        <w:t xml:space="preserve"> Commission employee, consultant or contractor (current or former)</w:t>
      </w:r>
      <w:r w:rsidR="005F7DC8">
        <w:rPr>
          <w:color w:val="auto"/>
        </w:rPr>
        <w:t>.</w:t>
      </w:r>
      <w:r w:rsidR="007A0B91" w:rsidRPr="007A0B91">
        <w:rPr>
          <w:rStyle w:val="FootnoteReference"/>
          <w:color w:val="auto"/>
        </w:rPr>
        <w:footnoteReference w:id="10"/>
      </w:r>
    </w:p>
    <w:p w14:paraId="5F91117B" w14:textId="443FED6C" w:rsidR="007A0B91" w:rsidRPr="00EE1188" w:rsidRDefault="009F098E" w:rsidP="00E94D8C">
      <w:pPr>
        <w:pStyle w:val="ListParagraph"/>
        <w:numPr>
          <w:ilvl w:val="0"/>
          <w:numId w:val="11"/>
        </w:numPr>
        <w:spacing w:before="100" w:beforeAutospacing="1"/>
        <w:ind w:right="-338"/>
        <w:rPr>
          <w:color w:val="auto"/>
        </w:rPr>
      </w:pPr>
      <w:r>
        <w:rPr>
          <w:color w:val="auto"/>
        </w:rPr>
        <w:t>r</w:t>
      </w:r>
      <w:r w:rsidR="00EE1188" w:rsidRPr="00EE1188">
        <w:rPr>
          <w:color w:val="auto"/>
        </w:rPr>
        <w:t xml:space="preserve">elate to the </w:t>
      </w:r>
      <w:r w:rsidR="007A0B91" w:rsidRPr="00EE1188">
        <w:rPr>
          <w:color w:val="auto"/>
        </w:rPr>
        <w:t xml:space="preserve">exercise </w:t>
      </w:r>
      <w:r w:rsidR="00EE1188" w:rsidRPr="00EE1188">
        <w:rPr>
          <w:color w:val="auto"/>
        </w:rPr>
        <w:t>of</w:t>
      </w:r>
      <w:r w:rsidR="005F7DC8">
        <w:rPr>
          <w:color w:val="auto"/>
        </w:rPr>
        <w:t>,</w:t>
      </w:r>
      <w:r w:rsidR="00EE1188" w:rsidRPr="00EE1188">
        <w:rPr>
          <w:color w:val="auto"/>
        </w:rPr>
        <w:t xml:space="preserve"> or</w:t>
      </w:r>
      <w:r w:rsidR="005F7DC8">
        <w:rPr>
          <w:color w:val="auto"/>
        </w:rPr>
        <w:t xml:space="preserve"> the</w:t>
      </w:r>
      <w:r w:rsidR="00EE1188" w:rsidRPr="00EE1188">
        <w:rPr>
          <w:color w:val="auto"/>
        </w:rPr>
        <w:t xml:space="preserve"> failure to exercise</w:t>
      </w:r>
      <w:r w:rsidR="005F7DC8">
        <w:rPr>
          <w:color w:val="auto"/>
        </w:rPr>
        <w:t>,</w:t>
      </w:r>
      <w:r w:rsidR="00EE1188" w:rsidRPr="00EE1188">
        <w:rPr>
          <w:color w:val="auto"/>
        </w:rPr>
        <w:t xml:space="preserve"> a legal </w:t>
      </w:r>
      <w:r w:rsidR="007A0B91" w:rsidRPr="00EE1188">
        <w:rPr>
          <w:color w:val="auto"/>
        </w:rPr>
        <w:t>function under the</w:t>
      </w:r>
      <w:r w:rsidR="00EE1188">
        <w:rPr>
          <w:color w:val="auto"/>
        </w:rPr>
        <w:t xml:space="preserve"> Act or </w:t>
      </w:r>
      <w:r w:rsidR="00EE1188" w:rsidRPr="00EE1188">
        <w:rPr>
          <w:color w:val="auto"/>
        </w:rPr>
        <w:t>under another law in force in the ACT.</w:t>
      </w:r>
    </w:p>
    <w:p w14:paraId="6CAC57C3" w14:textId="0089ED2D" w:rsidR="00EE1188" w:rsidRDefault="00EE1188" w:rsidP="00EE1188">
      <w:pPr>
        <w:ind w:right="-338"/>
        <w:rPr>
          <w:color w:val="auto"/>
        </w:rPr>
      </w:pPr>
      <w:r>
        <w:rPr>
          <w:color w:val="auto"/>
        </w:rPr>
        <w:t xml:space="preserve">This </w:t>
      </w:r>
      <w:r w:rsidRPr="00E94D8C">
        <w:rPr>
          <w:color w:val="auto"/>
        </w:rPr>
        <w:t>may</w:t>
      </w:r>
      <w:r>
        <w:rPr>
          <w:color w:val="auto"/>
        </w:rPr>
        <w:t xml:space="preserve"> include complaints that the action(s) of the Commission or its staff</w:t>
      </w:r>
      <w:r w:rsidR="005F7DC8">
        <w:rPr>
          <w:color w:val="auto"/>
        </w:rPr>
        <w:t xml:space="preserve"> were</w:t>
      </w:r>
      <w:r>
        <w:rPr>
          <w:color w:val="auto"/>
        </w:rPr>
        <w:t>:</w:t>
      </w:r>
    </w:p>
    <w:p w14:paraId="0758D975" w14:textId="53961CB8" w:rsidR="00EE1188" w:rsidRDefault="00EE1188" w:rsidP="00EE1188">
      <w:pPr>
        <w:pStyle w:val="ListParagraph"/>
        <w:numPr>
          <w:ilvl w:val="0"/>
          <w:numId w:val="11"/>
        </w:numPr>
        <w:ind w:right="-338"/>
        <w:rPr>
          <w:color w:val="auto"/>
        </w:rPr>
      </w:pPr>
      <w:r>
        <w:rPr>
          <w:color w:val="auto"/>
        </w:rPr>
        <w:t xml:space="preserve">contrary to law </w:t>
      </w:r>
    </w:p>
    <w:p w14:paraId="52CE8239" w14:textId="3368ABB6" w:rsidR="00EE1188" w:rsidRDefault="00EE1188" w:rsidP="00EE1188">
      <w:pPr>
        <w:pStyle w:val="ListParagraph"/>
        <w:numPr>
          <w:ilvl w:val="0"/>
          <w:numId w:val="11"/>
        </w:numPr>
        <w:ind w:right="-338"/>
        <w:rPr>
          <w:color w:val="auto"/>
        </w:rPr>
      </w:pPr>
      <w:r>
        <w:rPr>
          <w:color w:val="auto"/>
        </w:rPr>
        <w:t>unreasonable, unjust, oppressive or improperly discriminatory</w:t>
      </w:r>
    </w:p>
    <w:p w14:paraId="51902A80" w14:textId="49F64D23" w:rsidR="00EE1188" w:rsidRDefault="00EE1188" w:rsidP="00EE1188">
      <w:pPr>
        <w:pStyle w:val="ListParagraph"/>
        <w:numPr>
          <w:ilvl w:val="0"/>
          <w:numId w:val="11"/>
        </w:numPr>
        <w:ind w:right="-338"/>
        <w:rPr>
          <w:color w:val="auto"/>
        </w:rPr>
      </w:pPr>
      <w:r>
        <w:rPr>
          <w:color w:val="auto"/>
        </w:rPr>
        <w:t>based on improper motives</w:t>
      </w:r>
    </w:p>
    <w:p w14:paraId="08FA23EA" w14:textId="465C92B1" w:rsidR="00EE1188" w:rsidRDefault="00EE1188" w:rsidP="00EE1188">
      <w:pPr>
        <w:pStyle w:val="ListParagraph"/>
        <w:numPr>
          <w:ilvl w:val="0"/>
          <w:numId w:val="11"/>
        </w:numPr>
        <w:ind w:right="-338"/>
        <w:rPr>
          <w:color w:val="auto"/>
        </w:rPr>
      </w:pPr>
      <w:r>
        <w:rPr>
          <w:color w:val="auto"/>
        </w:rPr>
        <w:t>an abuse o</w:t>
      </w:r>
      <w:r w:rsidR="004542B7">
        <w:rPr>
          <w:color w:val="auto"/>
        </w:rPr>
        <w:t>f</w:t>
      </w:r>
      <w:r>
        <w:rPr>
          <w:color w:val="auto"/>
        </w:rPr>
        <w:t xml:space="preserve"> power</w:t>
      </w:r>
    </w:p>
    <w:p w14:paraId="03C74F24" w14:textId="1E23A6C3" w:rsidR="00EE1188" w:rsidRDefault="00EE1188" w:rsidP="00EE1188">
      <w:pPr>
        <w:pStyle w:val="ListParagraph"/>
        <w:numPr>
          <w:ilvl w:val="0"/>
          <w:numId w:val="11"/>
        </w:numPr>
        <w:ind w:right="-338"/>
        <w:rPr>
          <w:color w:val="auto"/>
        </w:rPr>
      </w:pPr>
      <w:r>
        <w:rPr>
          <w:color w:val="auto"/>
        </w:rPr>
        <w:t>otherwise improper.</w:t>
      </w:r>
    </w:p>
    <w:p w14:paraId="58C15BE2" w14:textId="539B4EFD" w:rsidR="00EE1188" w:rsidRDefault="00EE1188" w:rsidP="00EE1188">
      <w:pPr>
        <w:ind w:right="-338"/>
        <w:rPr>
          <w:color w:val="auto"/>
        </w:rPr>
      </w:pPr>
      <w:r>
        <w:rPr>
          <w:color w:val="auto"/>
        </w:rPr>
        <w:t>This list is not exclusive</w:t>
      </w:r>
      <w:r w:rsidR="005F7DC8">
        <w:rPr>
          <w:color w:val="auto"/>
        </w:rPr>
        <w:t>,</w:t>
      </w:r>
      <w:r>
        <w:rPr>
          <w:color w:val="auto"/>
        </w:rPr>
        <w:t xml:space="preserve"> so other matters can also be considered.</w:t>
      </w:r>
      <w:r>
        <w:rPr>
          <w:rStyle w:val="FootnoteReference"/>
          <w:color w:val="auto"/>
        </w:rPr>
        <w:footnoteReference w:id="11"/>
      </w:r>
    </w:p>
    <w:p w14:paraId="6345739F" w14:textId="60E51002" w:rsidR="00EE1188" w:rsidRPr="00EE1188" w:rsidRDefault="00EE1188" w:rsidP="00EE1188">
      <w:pPr>
        <w:ind w:right="-338"/>
        <w:rPr>
          <w:color w:val="auto"/>
        </w:rPr>
      </w:pPr>
      <w:r>
        <w:rPr>
          <w:color w:val="auto"/>
        </w:rPr>
        <w:t xml:space="preserve">If a complaint is considered to be out of jurisdiction, the complainant should be advised within </w:t>
      </w:r>
      <w:r w:rsidRPr="005E7184">
        <w:rPr>
          <w:b/>
          <w:color w:val="auto"/>
        </w:rPr>
        <w:t>five</w:t>
      </w:r>
      <w:r w:rsidR="009F098E" w:rsidRPr="005E7184">
        <w:rPr>
          <w:b/>
          <w:color w:val="auto"/>
        </w:rPr>
        <w:t> </w:t>
      </w:r>
      <w:r w:rsidRPr="005E7184">
        <w:rPr>
          <w:b/>
          <w:color w:val="auto"/>
        </w:rPr>
        <w:t>working days</w:t>
      </w:r>
      <w:r>
        <w:rPr>
          <w:color w:val="auto"/>
        </w:rPr>
        <w:t xml:space="preserve"> that the complaint has not been accepted and </w:t>
      </w:r>
      <w:r w:rsidR="005F7DC8">
        <w:rPr>
          <w:color w:val="auto"/>
        </w:rPr>
        <w:t xml:space="preserve">the reason </w:t>
      </w:r>
      <w:r>
        <w:rPr>
          <w:color w:val="auto"/>
        </w:rPr>
        <w:t>why.</w:t>
      </w:r>
    </w:p>
    <w:p w14:paraId="56E91A8F" w14:textId="2801947C" w:rsidR="007A0B91" w:rsidRPr="007A0B91" w:rsidRDefault="00EE1188" w:rsidP="00E94D8C">
      <w:pPr>
        <w:pStyle w:val="Heading2"/>
      </w:pPr>
      <w:bookmarkStart w:id="28" w:name="_Toc6392264"/>
      <w:bookmarkStart w:id="29" w:name="_Toc6392806"/>
      <w:bookmarkEnd w:id="28"/>
      <w:bookmarkEnd w:id="29"/>
      <w:r>
        <w:lastRenderedPageBreak/>
        <w:t xml:space="preserve">Step 3: </w:t>
      </w:r>
      <w:r w:rsidR="00E94D8C">
        <w:t>C</w:t>
      </w:r>
      <w:r w:rsidR="004542B7">
        <w:t>omplete an i</w:t>
      </w:r>
      <w:r>
        <w:t xml:space="preserve">nitial </w:t>
      </w:r>
      <w:r w:rsidR="004542B7">
        <w:t>a</w:t>
      </w:r>
      <w:r>
        <w:t>ssessment of in jurisdiction complaints</w:t>
      </w:r>
    </w:p>
    <w:p w14:paraId="7E630572" w14:textId="3B5A0E53" w:rsidR="00EE1188" w:rsidRDefault="00EE1188" w:rsidP="009F098E">
      <w:pPr>
        <w:ind w:right="-197"/>
        <w:rPr>
          <w:color w:val="auto"/>
        </w:rPr>
      </w:pPr>
      <w:r>
        <w:rPr>
          <w:color w:val="auto"/>
        </w:rPr>
        <w:t>As</w:t>
      </w:r>
      <w:r w:rsidR="009F098E">
        <w:rPr>
          <w:color w:val="auto"/>
        </w:rPr>
        <w:t xml:space="preserve"> will be </w:t>
      </w:r>
      <w:r>
        <w:rPr>
          <w:color w:val="auto"/>
        </w:rPr>
        <w:t xml:space="preserve">outlined in detail in the procedural instructions, in jurisdiction complaints will be assessed to determine whether or not the complaint will be investigated. </w:t>
      </w:r>
      <w:r w:rsidR="004542B7">
        <w:rPr>
          <w:color w:val="auto"/>
        </w:rPr>
        <w:t>This will include consideration of:</w:t>
      </w:r>
    </w:p>
    <w:p w14:paraId="699B68BD" w14:textId="79955284" w:rsidR="004542B7" w:rsidRDefault="009F098E" w:rsidP="004542B7">
      <w:pPr>
        <w:pStyle w:val="ListParagraph"/>
        <w:numPr>
          <w:ilvl w:val="0"/>
          <w:numId w:val="11"/>
        </w:numPr>
        <w:ind w:right="-338"/>
        <w:rPr>
          <w:color w:val="auto"/>
        </w:rPr>
      </w:pPr>
      <w:r>
        <w:rPr>
          <w:color w:val="auto"/>
        </w:rPr>
        <w:t>t</w:t>
      </w:r>
      <w:r w:rsidR="004542B7">
        <w:rPr>
          <w:color w:val="auto"/>
        </w:rPr>
        <w:t>he seriousness of the complaint and the risks involved</w:t>
      </w:r>
    </w:p>
    <w:p w14:paraId="568BBEAB" w14:textId="2A336A7C" w:rsidR="004542B7" w:rsidRDefault="009F098E" w:rsidP="0096677E">
      <w:pPr>
        <w:pStyle w:val="ListParagraph"/>
        <w:numPr>
          <w:ilvl w:val="0"/>
          <w:numId w:val="11"/>
        </w:numPr>
        <w:ind w:right="-764"/>
        <w:rPr>
          <w:color w:val="auto"/>
        </w:rPr>
      </w:pPr>
      <w:r>
        <w:rPr>
          <w:color w:val="auto"/>
        </w:rPr>
        <w:t>h</w:t>
      </w:r>
      <w:r w:rsidR="004542B7">
        <w:rPr>
          <w:color w:val="auto"/>
        </w:rPr>
        <w:t>ow the complainant is being impacted and any broader public health or safety concerns</w:t>
      </w:r>
    </w:p>
    <w:p w14:paraId="51395B58" w14:textId="168C94C1" w:rsidR="004542B7" w:rsidRDefault="009F098E" w:rsidP="004542B7">
      <w:pPr>
        <w:pStyle w:val="ListParagraph"/>
        <w:numPr>
          <w:ilvl w:val="0"/>
          <w:numId w:val="11"/>
        </w:numPr>
        <w:ind w:right="-338"/>
        <w:rPr>
          <w:color w:val="auto"/>
        </w:rPr>
      </w:pPr>
      <w:r>
        <w:rPr>
          <w:color w:val="auto"/>
        </w:rPr>
        <w:t>w</w:t>
      </w:r>
      <w:r w:rsidR="004542B7">
        <w:rPr>
          <w:color w:val="auto"/>
        </w:rPr>
        <w:t>hether a resolution requires the involvement of other organisations</w:t>
      </w:r>
      <w:r w:rsidR="005F7DC8">
        <w:rPr>
          <w:color w:val="auto"/>
        </w:rPr>
        <w:t>.</w:t>
      </w:r>
    </w:p>
    <w:p w14:paraId="2B21CBFE" w14:textId="22DEBCD5" w:rsidR="00EE1188" w:rsidRDefault="004542B7" w:rsidP="00EE1188">
      <w:pPr>
        <w:rPr>
          <w:color w:val="auto"/>
        </w:rPr>
      </w:pPr>
      <w:r>
        <w:rPr>
          <w:color w:val="auto"/>
        </w:rPr>
        <w:t xml:space="preserve">It will also involve an </w:t>
      </w:r>
      <w:r w:rsidR="00EE1188">
        <w:rPr>
          <w:color w:val="auto"/>
        </w:rPr>
        <w:t>assessment of whether a referral to another entity is appropriate, together with relevant information as appropriate and necessary.</w:t>
      </w:r>
      <w:bookmarkStart w:id="30" w:name="_Toc6392266"/>
      <w:bookmarkStart w:id="31" w:name="_Toc6392808"/>
      <w:bookmarkStart w:id="32" w:name="_Toc7613295"/>
      <w:bookmarkStart w:id="33" w:name="_Toc7613445"/>
      <w:bookmarkStart w:id="34" w:name="_Toc8209259"/>
      <w:r w:rsidR="00EE1188" w:rsidRPr="00B46383">
        <w:rPr>
          <w:rStyle w:val="FootnoteReference"/>
          <w:color w:val="auto"/>
        </w:rPr>
        <w:footnoteReference w:id="12"/>
      </w:r>
      <w:bookmarkEnd w:id="30"/>
      <w:bookmarkEnd w:id="31"/>
      <w:bookmarkEnd w:id="32"/>
      <w:bookmarkEnd w:id="33"/>
      <w:bookmarkEnd w:id="34"/>
      <w:r>
        <w:rPr>
          <w:color w:val="auto"/>
        </w:rPr>
        <w:t xml:space="preserve"> – see </w:t>
      </w:r>
      <w:hyperlink w:anchor="_Referrals_to_other" w:history="1">
        <w:r w:rsidRPr="009F098E">
          <w:rPr>
            <w:rStyle w:val="Hyperlink"/>
          </w:rPr>
          <w:t>Referrals to other entitie</w:t>
        </w:r>
        <w:r w:rsidRPr="009F098E">
          <w:rPr>
            <w:rStyle w:val="Hyperlink"/>
            <w:i/>
          </w:rPr>
          <w:t>s</w:t>
        </w:r>
      </w:hyperlink>
      <w:r w:rsidRPr="005F7DC8">
        <w:rPr>
          <w:color w:val="auto"/>
        </w:rPr>
        <w:t xml:space="preserve"> </w:t>
      </w:r>
      <w:r>
        <w:rPr>
          <w:color w:val="auto"/>
        </w:rPr>
        <w:t>below.</w:t>
      </w:r>
    </w:p>
    <w:p w14:paraId="07F2D41F" w14:textId="19C435D5" w:rsidR="0096677E" w:rsidRPr="0091375D" w:rsidRDefault="0096677E" w:rsidP="00EE1188">
      <w:r>
        <w:rPr>
          <w:color w:val="auto"/>
        </w:rPr>
        <w:t xml:space="preserve">We will address each complaint individually, in an equitable, objective and unbiased manner. </w:t>
      </w:r>
    </w:p>
    <w:p w14:paraId="40FC4A2F" w14:textId="19CE5EE5" w:rsidR="00EE1188" w:rsidRPr="005F7DC8" w:rsidRDefault="00EE1188" w:rsidP="00E94D8C">
      <w:pPr>
        <w:pStyle w:val="Heading2"/>
      </w:pPr>
      <w:r w:rsidRPr="005F7DC8">
        <w:t xml:space="preserve">Step 4: </w:t>
      </w:r>
      <w:r w:rsidR="00E94D8C">
        <w:t>A</w:t>
      </w:r>
      <w:r w:rsidRPr="005F7DC8">
        <w:t>dvise complainant of initial assessment outcome</w:t>
      </w:r>
    </w:p>
    <w:p w14:paraId="6C4CAAB6" w14:textId="72DDA0DE" w:rsidR="00EE1188" w:rsidRDefault="00EE1188" w:rsidP="007A0B91">
      <w:pPr>
        <w:rPr>
          <w:color w:val="auto"/>
        </w:rPr>
      </w:pPr>
      <w:r w:rsidRPr="00E94D8C">
        <w:rPr>
          <w:color w:val="auto"/>
        </w:rPr>
        <w:t>Within two weeks of receipt of the complaint</w:t>
      </w:r>
      <w:r>
        <w:rPr>
          <w:color w:val="auto"/>
        </w:rPr>
        <w:t>, the complain</w:t>
      </w:r>
      <w:r w:rsidR="008E1EB0">
        <w:rPr>
          <w:color w:val="auto"/>
        </w:rPr>
        <w:t>an</w:t>
      </w:r>
      <w:r>
        <w:rPr>
          <w:color w:val="auto"/>
        </w:rPr>
        <w:t xml:space="preserve">t should be advised in writing </w:t>
      </w:r>
      <w:r w:rsidR="005F7DC8">
        <w:rPr>
          <w:color w:val="auto"/>
        </w:rPr>
        <w:t xml:space="preserve">about </w:t>
      </w:r>
      <w:r>
        <w:rPr>
          <w:color w:val="auto"/>
        </w:rPr>
        <w:t>whether the Inspector has decided:</w:t>
      </w:r>
    </w:p>
    <w:p w14:paraId="3C9002B6" w14:textId="022A6111" w:rsidR="00EE1188" w:rsidRDefault="009F098E" w:rsidP="00EE1188">
      <w:pPr>
        <w:pStyle w:val="ListParagraph"/>
        <w:numPr>
          <w:ilvl w:val="0"/>
          <w:numId w:val="11"/>
        </w:numPr>
        <w:ind w:right="-622"/>
        <w:rPr>
          <w:color w:val="auto"/>
        </w:rPr>
      </w:pPr>
      <w:r>
        <w:rPr>
          <w:color w:val="auto"/>
        </w:rPr>
        <w:t>n</w:t>
      </w:r>
      <w:r w:rsidR="00EE1188">
        <w:rPr>
          <w:color w:val="auto"/>
        </w:rPr>
        <w:t>ot to investigate</w:t>
      </w:r>
      <w:r w:rsidR="004542B7">
        <w:rPr>
          <w:color w:val="auto"/>
        </w:rPr>
        <w:t xml:space="preserve"> the complaint</w:t>
      </w:r>
      <w:r w:rsidR="005F7DC8">
        <w:rPr>
          <w:color w:val="auto"/>
        </w:rPr>
        <w:t>,</w:t>
      </w:r>
      <w:r w:rsidR="004542B7">
        <w:rPr>
          <w:color w:val="auto"/>
        </w:rPr>
        <w:t xml:space="preserve"> </w:t>
      </w:r>
      <w:r w:rsidR="00EE1188">
        <w:rPr>
          <w:color w:val="auto"/>
        </w:rPr>
        <w:t>with reasons required to be provided</w:t>
      </w:r>
      <w:r w:rsidR="00EE1188">
        <w:rPr>
          <w:rStyle w:val="FootnoteReference"/>
          <w:color w:val="auto"/>
        </w:rPr>
        <w:footnoteReference w:id="13"/>
      </w:r>
    </w:p>
    <w:p w14:paraId="3AC042CF" w14:textId="2EDA7F80" w:rsidR="00EE1188" w:rsidRDefault="009F098E" w:rsidP="00EE1188">
      <w:pPr>
        <w:pStyle w:val="ListParagraph"/>
        <w:numPr>
          <w:ilvl w:val="0"/>
          <w:numId w:val="11"/>
        </w:numPr>
        <w:ind w:right="-338"/>
        <w:rPr>
          <w:color w:val="auto"/>
        </w:rPr>
      </w:pPr>
      <w:r>
        <w:rPr>
          <w:color w:val="auto"/>
        </w:rPr>
        <w:t>t</w:t>
      </w:r>
      <w:r w:rsidR="00EE1188">
        <w:rPr>
          <w:color w:val="auto"/>
        </w:rPr>
        <w:t>o investigate</w:t>
      </w:r>
      <w:r w:rsidR="005F7DC8">
        <w:rPr>
          <w:color w:val="auto"/>
        </w:rPr>
        <w:t>,</w:t>
      </w:r>
      <w:r w:rsidR="00EE1188">
        <w:rPr>
          <w:rStyle w:val="FootnoteReference"/>
          <w:color w:val="auto"/>
        </w:rPr>
        <w:footnoteReference w:id="14"/>
      </w:r>
      <w:r w:rsidR="00EE1188">
        <w:rPr>
          <w:color w:val="auto"/>
        </w:rPr>
        <w:t xml:space="preserve"> with next steps and timeframes for progress update</w:t>
      </w:r>
      <w:r w:rsidR="004542B7">
        <w:rPr>
          <w:color w:val="auto"/>
        </w:rPr>
        <w:t>s</w:t>
      </w:r>
    </w:p>
    <w:p w14:paraId="5D2CC53E" w14:textId="0F7485D9" w:rsidR="00E94D8C" w:rsidRPr="00E94D8C" w:rsidRDefault="009F098E" w:rsidP="00E94D8C">
      <w:pPr>
        <w:pStyle w:val="ListParagraph"/>
        <w:numPr>
          <w:ilvl w:val="0"/>
          <w:numId w:val="11"/>
        </w:numPr>
        <w:ind w:right="-338"/>
        <w:rPr>
          <w:color w:val="auto"/>
        </w:rPr>
      </w:pPr>
      <w:r>
        <w:rPr>
          <w:color w:val="auto"/>
        </w:rPr>
        <w:t>t</w:t>
      </w:r>
      <w:r w:rsidR="00EE1188">
        <w:rPr>
          <w:color w:val="auto"/>
        </w:rPr>
        <w:t>o refer the matter to another entity</w:t>
      </w:r>
      <w:r w:rsidR="005F7DC8">
        <w:rPr>
          <w:color w:val="auto"/>
        </w:rPr>
        <w:t>.</w:t>
      </w:r>
      <w:r w:rsidR="00EE1188">
        <w:rPr>
          <w:rStyle w:val="FootnoteReference"/>
          <w:color w:val="auto"/>
        </w:rPr>
        <w:footnoteReference w:id="15"/>
      </w:r>
      <w:r w:rsidR="00EE1188">
        <w:rPr>
          <w:color w:val="auto"/>
        </w:rPr>
        <w:t xml:space="preserve"> </w:t>
      </w:r>
    </w:p>
    <w:tbl>
      <w:tblPr>
        <w:tblStyle w:val="TableGrid"/>
        <w:tblW w:w="9209" w:type="dxa"/>
        <w:tblLook w:val="04A0" w:firstRow="1" w:lastRow="0" w:firstColumn="1" w:lastColumn="0" w:noHBand="0" w:noVBand="1"/>
      </w:tblPr>
      <w:tblGrid>
        <w:gridCol w:w="9209"/>
      </w:tblGrid>
      <w:tr w:rsidR="005F7DC8" w14:paraId="466A7379" w14:textId="77777777" w:rsidTr="00E94D8C">
        <w:trPr>
          <w:trHeight w:val="4194"/>
        </w:trPr>
        <w:tc>
          <w:tcPr>
            <w:tcW w:w="9209" w:type="dxa"/>
          </w:tcPr>
          <w:p w14:paraId="5697A379" w14:textId="2856FD2A" w:rsidR="005F7DC8" w:rsidRPr="003254E0" w:rsidRDefault="005F7DC8" w:rsidP="00E94D8C">
            <w:pPr>
              <w:pStyle w:val="Heading3"/>
              <w:ind w:right="36"/>
              <w:outlineLvl w:val="2"/>
            </w:pPr>
            <w:r w:rsidRPr="003254E0">
              <w:t>Restrictions on notification</w:t>
            </w:r>
          </w:p>
          <w:p w14:paraId="12673319" w14:textId="77777777" w:rsidR="005F7DC8" w:rsidRPr="005F7DC8" w:rsidRDefault="005F7DC8" w:rsidP="00E94D8C">
            <w:pPr>
              <w:ind w:right="36"/>
              <w:rPr>
                <w:color w:val="auto"/>
              </w:rPr>
            </w:pPr>
            <w:r w:rsidRPr="005F7DC8">
              <w:rPr>
                <w:color w:val="auto"/>
              </w:rPr>
              <w:t>The above does not apply if:</w:t>
            </w:r>
          </w:p>
          <w:p w14:paraId="1C200D44" w14:textId="05601C4F" w:rsidR="005F7DC8" w:rsidRPr="003254E0" w:rsidRDefault="009F098E" w:rsidP="00E94D8C">
            <w:pPr>
              <w:pStyle w:val="ListParagraph"/>
              <w:numPr>
                <w:ilvl w:val="0"/>
                <w:numId w:val="17"/>
              </w:numPr>
              <w:ind w:right="36"/>
              <w:rPr>
                <w:color w:val="auto"/>
              </w:rPr>
            </w:pPr>
            <w:r>
              <w:rPr>
                <w:color w:val="auto"/>
              </w:rPr>
              <w:t>t</w:t>
            </w:r>
            <w:r w:rsidR="005F7DC8" w:rsidRPr="003254E0">
              <w:rPr>
                <w:color w:val="auto"/>
              </w:rPr>
              <w:t>he complaint was made anonymously</w:t>
            </w:r>
          </w:p>
          <w:p w14:paraId="14A9B29C" w14:textId="055B9D31" w:rsidR="005F7DC8" w:rsidRPr="003254E0" w:rsidRDefault="009F098E" w:rsidP="00E94D8C">
            <w:pPr>
              <w:pStyle w:val="ListParagraph"/>
              <w:numPr>
                <w:ilvl w:val="0"/>
                <w:numId w:val="17"/>
              </w:numPr>
              <w:ind w:right="36"/>
              <w:rPr>
                <w:color w:val="auto"/>
              </w:rPr>
            </w:pPr>
            <w:r>
              <w:rPr>
                <w:color w:val="auto"/>
              </w:rPr>
              <w:t>t</w:t>
            </w:r>
            <w:r w:rsidR="005F7DC8" w:rsidRPr="003254E0">
              <w:rPr>
                <w:color w:val="auto"/>
              </w:rPr>
              <w:t xml:space="preserve">he complainant has asked in </w:t>
            </w:r>
            <w:r w:rsidR="005F7DC8" w:rsidRPr="005F7DC8">
              <w:rPr>
                <w:color w:val="auto"/>
              </w:rPr>
              <w:t>writing not to be kept informed</w:t>
            </w:r>
          </w:p>
          <w:p w14:paraId="4D35DA65" w14:textId="65C1BA7F" w:rsidR="005F7DC8" w:rsidRPr="003254E0" w:rsidRDefault="009F098E" w:rsidP="00E94D8C">
            <w:pPr>
              <w:pStyle w:val="ListParagraph"/>
              <w:numPr>
                <w:ilvl w:val="0"/>
                <w:numId w:val="17"/>
              </w:numPr>
              <w:ind w:right="36"/>
              <w:rPr>
                <w:color w:val="auto"/>
              </w:rPr>
            </w:pPr>
            <w:r>
              <w:rPr>
                <w:color w:val="auto"/>
              </w:rPr>
              <w:t>i</w:t>
            </w:r>
            <w:r w:rsidR="005F7DC8" w:rsidRPr="003254E0">
              <w:rPr>
                <w:color w:val="auto"/>
              </w:rPr>
              <w:t xml:space="preserve">f keeping a complainant informed: </w:t>
            </w:r>
          </w:p>
          <w:p w14:paraId="260838B9" w14:textId="77777777" w:rsidR="005F7DC8" w:rsidRPr="003254E0" w:rsidRDefault="005F7DC8" w:rsidP="00E94D8C">
            <w:pPr>
              <w:pStyle w:val="ListParagraph"/>
              <w:numPr>
                <w:ilvl w:val="1"/>
                <w:numId w:val="9"/>
              </w:numPr>
              <w:ind w:left="1021" w:right="-622" w:hanging="283"/>
              <w:rPr>
                <w:color w:val="auto"/>
              </w:rPr>
            </w:pPr>
            <w:r w:rsidRPr="003254E0">
              <w:rPr>
                <w:color w:val="auto"/>
              </w:rPr>
              <w:t>is likely to endanger a person</w:t>
            </w:r>
          </w:p>
          <w:p w14:paraId="2474D77E" w14:textId="77777777" w:rsidR="005F7DC8" w:rsidRPr="003254E0" w:rsidRDefault="005F7DC8" w:rsidP="00E94D8C">
            <w:pPr>
              <w:pStyle w:val="ListParagraph"/>
              <w:numPr>
                <w:ilvl w:val="1"/>
                <w:numId w:val="9"/>
              </w:numPr>
              <w:ind w:left="1021" w:right="-622" w:hanging="283"/>
              <w:rPr>
                <w:color w:val="auto"/>
              </w:rPr>
            </w:pPr>
            <w:r w:rsidRPr="003254E0">
              <w:rPr>
                <w:color w:val="auto"/>
              </w:rPr>
              <w:t>is likely to adversely affect an investigation by the Commission or by our Office</w:t>
            </w:r>
          </w:p>
          <w:p w14:paraId="317BBEC9" w14:textId="77777777" w:rsidR="005F7DC8" w:rsidRPr="003254E0" w:rsidRDefault="005F7DC8" w:rsidP="00E94D8C">
            <w:pPr>
              <w:pStyle w:val="ListParagraph"/>
              <w:numPr>
                <w:ilvl w:val="1"/>
                <w:numId w:val="9"/>
              </w:numPr>
              <w:ind w:left="1021" w:right="-622" w:hanging="283"/>
              <w:rPr>
                <w:color w:val="auto"/>
              </w:rPr>
            </w:pPr>
            <w:r w:rsidRPr="003254E0">
              <w:rPr>
                <w:color w:val="auto"/>
              </w:rPr>
              <w:t>would identify someone who has given information about the matter</w:t>
            </w:r>
          </w:p>
          <w:p w14:paraId="7352FFD4" w14:textId="77777777" w:rsidR="005F7DC8" w:rsidRPr="003254E0" w:rsidRDefault="005F7DC8" w:rsidP="00E94D8C">
            <w:pPr>
              <w:pStyle w:val="ListParagraph"/>
              <w:numPr>
                <w:ilvl w:val="1"/>
                <w:numId w:val="9"/>
              </w:numPr>
              <w:ind w:left="1021" w:right="-622" w:hanging="283"/>
              <w:rPr>
                <w:color w:val="auto"/>
              </w:rPr>
            </w:pPr>
            <w:r w:rsidRPr="003254E0">
              <w:rPr>
                <w:color w:val="auto"/>
              </w:rPr>
              <w:t>could enable someone else to identify someone who gave information about the matter</w:t>
            </w:r>
          </w:p>
          <w:p w14:paraId="522D6DE9" w14:textId="77777777" w:rsidR="005F7DC8" w:rsidRPr="003254E0" w:rsidRDefault="005F7DC8" w:rsidP="00E94D8C">
            <w:pPr>
              <w:pStyle w:val="ListParagraph"/>
              <w:numPr>
                <w:ilvl w:val="1"/>
                <w:numId w:val="9"/>
              </w:numPr>
              <w:ind w:left="1021" w:right="-622" w:hanging="283"/>
              <w:rPr>
                <w:color w:val="auto"/>
              </w:rPr>
            </w:pPr>
            <w:r w:rsidRPr="003254E0">
              <w:rPr>
                <w:color w:val="auto"/>
              </w:rPr>
              <w:t>would be contrary to a law in force.</w:t>
            </w:r>
          </w:p>
          <w:p w14:paraId="5613888D" w14:textId="55FEFF3C" w:rsidR="005F7DC8" w:rsidRPr="005F7DC8" w:rsidRDefault="005F7DC8" w:rsidP="009F098E">
            <w:pPr>
              <w:ind w:right="36"/>
              <w:rPr>
                <w:color w:val="auto"/>
              </w:rPr>
            </w:pPr>
            <w:r w:rsidRPr="005F7DC8">
              <w:rPr>
                <w:color w:val="auto"/>
              </w:rPr>
              <w:t>Any written communications with the complainant must include a non-disclosure notice and a statement of permitted disclosure</w:t>
            </w:r>
            <w:r w:rsidR="00E94D8C">
              <w:rPr>
                <w:color w:val="auto"/>
              </w:rPr>
              <w:t xml:space="preserve"> - </w:t>
            </w:r>
            <w:r w:rsidR="00E94D8C" w:rsidRPr="00E94D8C">
              <w:rPr>
                <w:color w:val="auto"/>
              </w:rPr>
              <w:t xml:space="preserve">see </w:t>
            </w:r>
            <w:hyperlink w:anchor="_Non-disclosure_notices" w:history="1">
              <w:r w:rsidR="00E94D8C" w:rsidRPr="003507FB">
                <w:rPr>
                  <w:rStyle w:val="Hyperlink"/>
                </w:rPr>
                <w:t>Non-disclosure notices</w:t>
              </w:r>
            </w:hyperlink>
            <w:r w:rsidR="00E94D8C" w:rsidRPr="00E94D8C">
              <w:rPr>
                <w:color w:val="auto"/>
              </w:rPr>
              <w:t xml:space="preserve"> below.</w:t>
            </w:r>
          </w:p>
        </w:tc>
      </w:tr>
    </w:tbl>
    <w:p w14:paraId="68AB2E31" w14:textId="1629A387" w:rsidR="007A0B91" w:rsidRPr="00E94D8C" w:rsidRDefault="00EE1188" w:rsidP="00E94D8C">
      <w:pPr>
        <w:pStyle w:val="Heading2"/>
      </w:pPr>
      <w:bookmarkStart w:id="35" w:name="_Toc8209264"/>
      <w:r w:rsidRPr="00E94D8C">
        <w:t xml:space="preserve">Step 5: </w:t>
      </w:r>
      <w:r w:rsidR="00E94D8C">
        <w:t>N</w:t>
      </w:r>
      <w:r w:rsidRPr="00E94D8C">
        <w:t xml:space="preserve">otify the </w:t>
      </w:r>
      <w:r w:rsidR="00C03BDC" w:rsidRPr="00E94D8C">
        <w:t>C</w:t>
      </w:r>
      <w:r w:rsidRPr="00E94D8C">
        <w:t>ommission</w:t>
      </w:r>
      <w:bookmarkEnd w:id="35"/>
      <w:r w:rsidR="007A0B91" w:rsidRPr="00E94D8C">
        <w:t xml:space="preserve"> </w:t>
      </w:r>
    </w:p>
    <w:p w14:paraId="0A1807B6" w14:textId="556D4F4A" w:rsidR="007A0B91" w:rsidRDefault="007A0B91" w:rsidP="007A0B91">
      <w:pPr>
        <w:rPr>
          <w:color w:val="auto"/>
        </w:rPr>
      </w:pPr>
      <w:r>
        <w:rPr>
          <w:color w:val="auto"/>
        </w:rPr>
        <w:t>As a general rule, we will notify the Commission</w:t>
      </w:r>
      <w:r w:rsidR="005F7DC8">
        <w:rPr>
          <w:color w:val="auto"/>
        </w:rPr>
        <w:t xml:space="preserve"> that</w:t>
      </w:r>
      <w:r>
        <w:rPr>
          <w:color w:val="auto"/>
        </w:rPr>
        <w:t xml:space="preserve"> we are investigating a complaint</w:t>
      </w:r>
      <w:r w:rsidR="005F7DC8">
        <w:rPr>
          <w:color w:val="auto"/>
        </w:rPr>
        <w:t xml:space="preserve"> within </w:t>
      </w:r>
      <w:r w:rsidR="005F7DC8" w:rsidRPr="005E7184">
        <w:rPr>
          <w:b/>
          <w:color w:val="auto"/>
        </w:rPr>
        <w:t>three working days</w:t>
      </w:r>
      <w:r w:rsidR="005F7DC8">
        <w:rPr>
          <w:color w:val="auto"/>
        </w:rPr>
        <w:t xml:space="preserve"> of the decision to investigate</w:t>
      </w:r>
      <w:r>
        <w:rPr>
          <w:color w:val="auto"/>
        </w:rPr>
        <w:t xml:space="preserve">, </w:t>
      </w:r>
      <w:r w:rsidRPr="00E94D8C">
        <w:rPr>
          <w:color w:val="auto"/>
        </w:rPr>
        <w:t>unless</w:t>
      </w:r>
      <w:r w:rsidRPr="00EE1188">
        <w:rPr>
          <w:color w:val="auto"/>
        </w:rPr>
        <w:t xml:space="preserve"> </w:t>
      </w:r>
      <w:r>
        <w:rPr>
          <w:color w:val="auto"/>
        </w:rPr>
        <w:t>the investigation is likely to be prejudiced by informing the Commission.</w:t>
      </w:r>
      <w:r w:rsidR="00315916" w:rsidRPr="00315916">
        <w:rPr>
          <w:rStyle w:val="FootnoteReference"/>
          <w:color w:val="auto"/>
        </w:rPr>
        <w:t xml:space="preserve"> </w:t>
      </w:r>
      <w:r w:rsidR="00315916">
        <w:rPr>
          <w:rStyle w:val="FootnoteReference"/>
          <w:color w:val="auto"/>
        </w:rPr>
        <w:footnoteReference w:id="16"/>
      </w:r>
      <w:r w:rsidR="00315916">
        <w:rPr>
          <w:color w:val="auto"/>
        </w:rPr>
        <w:t xml:space="preserve"> </w:t>
      </w:r>
    </w:p>
    <w:p w14:paraId="671D2DEB" w14:textId="64DB0787" w:rsidR="007A0B91" w:rsidRPr="007A0B91" w:rsidRDefault="00EE1188" w:rsidP="00E94D8C">
      <w:pPr>
        <w:pStyle w:val="Heading2"/>
      </w:pPr>
      <w:bookmarkStart w:id="36" w:name="_Toc8209265"/>
      <w:r>
        <w:lastRenderedPageBreak/>
        <w:t xml:space="preserve">Step 6: </w:t>
      </w:r>
      <w:r w:rsidR="00E94D8C">
        <w:t>I</w:t>
      </w:r>
      <w:r>
        <w:t>nvestigat</w:t>
      </w:r>
      <w:r w:rsidR="00B853D1">
        <w:t>e the matter</w:t>
      </w:r>
      <w:r>
        <w:t xml:space="preserve"> </w:t>
      </w:r>
      <w:bookmarkEnd w:id="36"/>
    </w:p>
    <w:p w14:paraId="1DD4DD65" w14:textId="6A1F5A8D" w:rsidR="00EE1188" w:rsidRDefault="00EE1188" w:rsidP="007A0B91">
      <w:pPr>
        <w:rPr>
          <w:color w:val="auto"/>
        </w:rPr>
      </w:pPr>
      <w:r w:rsidRPr="00B853D1">
        <w:rPr>
          <w:color w:val="auto"/>
        </w:rPr>
        <w:t xml:space="preserve">Under </w:t>
      </w:r>
      <w:r w:rsidR="00E53295">
        <w:rPr>
          <w:color w:val="auto"/>
        </w:rPr>
        <w:t>s</w:t>
      </w:r>
      <w:r w:rsidR="00315916">
        <w:rPr>
          <w:color w:val="auto"/>
        </w:rPr>
        <w:t xml:space="preserve"> </w:t>
      </w:r>
      <w:r w:rsidRPr="00B853D1">
        <w:rPr>
          <w:color w:val="auto"/>
        </w:rPr>
        <w:t>264 of the Act, the Inspector or delegated officer may investigate a complaint</w:t>
      </w:r>
      <w:r w:rsidR="00315916">
        <w:rPr>
          <w:color w:val="auto"/>
        </w:rPr>
        <w:t xml:space="preserve"> in order</w:t>
      </w:r>
      <w:r w:rsidRPr="00B853D1">
        <w:rPr>
          <w:color w:val="auto"/>
        </w:rPr>
        <w:t xml:space="preserve"> to assess the conduct raised in the complaint</w:t>
      </w:r>
      <w:r w:rsidR="004542B7" w:rsidRPr="00B853D1">
        <w:rPr>
          <w:color w:val="auto"/>
        </w:rPr>
        <w:t>, or any other relevant conduct</w:t>
      </w:r>
      <w:r w:rsidRPr="00B853D1">
        <w:rPr>
          <w:color w:val="auto"/>
        </w:rPr>
        <w:t xml:space="preserve">. The Act also provides for the </w:t>
      </w:r>
      <w:r w:rsidR="00C03BDC" w:rsidRPr="00B853D1">
        <w:rPr>
          <w:color w:val="auto"/>
        </w:rPr>
        <w:t>I</w:t>
      </w:r>
      <w:r w:rsidRPr="00B853D1">
        <w:rPr>
          <w:color w:val="auto"/>
        </w:rPr>
        <w:t>nspector</w:t>
      </w:r>
      <w:r>
        <w:rPr>
          <w:color w:val="auto"/>
        </w:rPr>
        <w:t xml:space="preserve"> to do ‘anything necessary and reasonable to investigate a complaint’.</w:t>
      </w:r>
      <w:r>
        <w:rPr>
          <w:rStyle w:val="FootnoteReference"/>
          <w:color w:val="auto"/>
        </w:rPr>
        <w:footnoteReference w:id="17"/>
      </w:r>
      <w:r>
        <w:rPr>
          <w:color w:val="auto"/>
        </w:rPr>
        <w:t xml:space="preserve"> </w:t>
      </w:r>
    </w:p>
    <w:p w14:paraId="5A6A33AA" w14:textId="389B074D" w:rsidR="00EE1188" w:rsidRDefault="00EE1188" w:rsidP="007A0B91">
      <w:pPr>
        <w:rPr>
          <w:color w:val="auto"/>
        </w:rPr>
      </w:pPr>
      <w:r>
        <w:rPr>
          <w:color w:val="auto"/>
        </w:rPr>
        <w:t xml:space="preserve">Investigations will proceed as outlined in </w:t>
      </w:r>
      <w:r w:rsidR="00315916">
        <w:rPr>
          <w:color w:val="auto"/>
        </w:rPr>
        <w:t>the</w:t>
      </w:r>
      <w:r>
        <w:rPr>
          <w:color w:val="auto"/>
        </w:rPr>
        <w:t xml:space="preserve"> procedural instructions, which</w:t>
      </w:r>
      <w:r w:rsidR="004542B7">
        <w:rPr>
          <w:color w:val="auto"/>
        </w:rPr>
        <w:t> </w:t>
      </w:r>
      <w:r w:rsidR="00315916">
        <w:rPr>
          <w:color w:val="auto"/>
        </w:rPr>
        <w:t xml:space="preserve">are </w:t>
      </w:r>
      <w:r>
        <w:rPr>
          <w:color w:val="auto"/>
        </w:rPr>
        <w:t xml:space="preserve">consistent with </w:t>
      </w:r>
      <w:r w:rsidR="004542B7">
        <w:rPr>
          <w:color w:val="auto"/>
        </w:rPr>
        <w:t xml:space="preserve">best practice principles, privacy legislation and </w:t>
      </w:r>
      <w:r>
        <w:rPr>
          <w:color w:val="auto"/>
        </w:rPr>
        <w:t xml:space="preserve">the provisions of the Act including: </w:t>
      </w:r>
    </w:p>
    <w:p w14:paraId="30A71CF2" w14:textId="6C8D8856" w:rsidR="00EE1188" w:rsidRPr="00491C60" w:rsidRDefault="005E7184" w:rsidP="004542B7">
      <w:pPr>
        <w:pStyle w:val="ListParagraph"/>
        <w:numPr>
          <w:ilvl w:val="0"/>
          <w:numId w:val="6"/>
        </w:numPr>
        <w:ind w:right="-338"/>
        <w:rPr>
          <w:color w:val="auto"/>
        </w:rPr>
      </w:pPr>
      <w:r>
        <w:rPr>
          <w:color w:val="auto"/>
        </w:rPr>
        <w:t>s</w:t>
      </w:r>
      <w:r w:rsidR="00315916">
        <w:rPr>
          <w:color w:val="auto"/>
        </w:rPr>
        <w:t xml:space="preserve">ection </w:t>
      </w:r>
      <w:r w:rsidR="00EE1188" w:rsidRPr="00491C60">
        <w:rPr>
          <w:color w:val="auto"/>
        </w:rPr>
        <w:t xml:space="preserve">266 requirements </w:t>
      </w:r>
      <w:r w:rsidR="004542B7" w:rsidRPr="00491C60">
        <w:rPr>
          <w:color w:val="auto"/>
        </w:rPr>
        <w:t xml:space="preserve">regarding </w:t>
      </w:r>
      <w:r w:rsidR="00EE1188" w:rsidRPr="00491C60">
        <w:rPr>
          <w:color w:val="auto"/>
        </w:rPr>
        <w:t>the conduct of the investigation and access to records</w:t>
      </w:r>
    </w:p>
    <w:p w14:paraId="758C6BDE" w14:textId="6492BDF0" w:rsidR="00EE1188" w:rsidRPr="00491C60" w:rsidRDefault="005E7184" w:rsidP="00EE1188">
      <w:pPr>
        <w:pStyle w:val="ListParagraph"/>
        <w:numPr>
          <w:ilvl w:val="0"/>
          <w:numId w:val="6"/>
        </w:numPr>
        <w:rPr>
          <w:color w:val="auto"/>
        </w:rPr>
      </w:pPr>
      <w:r>
        <w:rPr>
          <w:color w:val="auto"/>
        </w:rPr>
        <w:t>s</w:t>
      </w:r>
      <w:r w:rsidR="00315916">
        <w:rPr>
          <w:color w:val="auto"/>
        </w:rPr>
        <w:t xml:space="preserve">ection </w:t>
      </w:r>
      <w:r w:rsidR="00EE1188" w:rsidRPr="00491C60">
        <w:rPr>
          <w:color w:val="auto"/>
        </w:rPr>
        <w:t>269 powers to ask for information, documents and other things.</w:t>
      </w:r>
    </w:p>
    <w:p w14:paraId="143A7A50" w14:textId="1A386850" w:rsidR="004542B7" w:rsidRPr="004542B7" w:rsidRDefault="004542B7" w:rsidP="004542B7">
      <w:pPr>
        <w:ind w:right="-338"/>
        <w:rPr>
          <w:color w:val="auto"/>
        </w:rPr>
      </w:pPr>
      <w:r w:rsidRPr="004542B7">
        <w:rPr>
          <w:color w:val="auto"/>
        </w:rPr>
        <w:t xml:space="preserve">The Commission and its personnel are expected to give the </w:t>
      </w:r>
      <w:r w:rsidR="00C03BDC">
        <w:rPr>
          <w:color w:val="auto"/>
        </w:rPr>
        <w:t>I</w:t>
      </w:r>
      <w:r w:rsidRPr="004542B7">
        <w:rPr>
          <w:color w:val="auto"/>
        </w:rPr>
        <w:t>nspector any assistance reasonably required to carry on an investigation.</w:t>
      </w:r>
      <w:r>
        <w:rPr>
          <w:rStyle w:val="FootnoteReference"/>
          <w:color w:val="auto"/>
        </w:rPr>
        <w:footnoteReference w:id="18"/>
      </w:r>
    </w:p>
    <w:p w14:paraId="329E3B85" w14:textId="190E0B9B" w:rsidR="00EE1188" w:rsidRPr="00EE1188" w:rsidRDefault="00EE1188" w:rsidP="00EE1188">
      <w:pPr>
        <w:pBdr>
          <w:top w:val="single" w:sz="4" w:space="1" w:color="auto"/>
          <w:left w:val="single" w:sz="4" w:space="4" w:color="auto"/>
          <w:bottom w:val="single" w:sz="4" w:space="1" w:color="auto"/>
          <w:right w:val="single" w:sz="4" w:space="4" w:color="auto"/>
        </w:pBdr>
        <w:ind w:right="-338"/>
        <w:rPr>
          <w:b/>
          <w:color w:val="auto"/>
        </w:rPr>
      </w:pPr>
      <w:r>
        <w:rPr>
          <w:b/>
          <w:color w:val="auto"/>
        </w:rPr>
        <w:t>Important</w:t>
      </w:r>
      <w:r w:rsidRPr="00EE1188">
        <w:rPr>
          <w:b/>
          <w:color w:val="auto"/>
        </w:rPr>
        <w:t xml:space="preserve">: </w:t>
      </w:r>
    </w:p>
    <w:p w14:paraId="3F8D5174" w14:textId="78F86B23" w:rsidR="00EE1188" w:rsidRPr="00EE1188" w:rsidRDefault="00EE1188" w:rsidP="00EE1188">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Pr>
          <w:color w:val="auto"/>
        </w:rPr>
        <w:t xml:space="preserve">Under </w:t>
      </w:r>
      <w:r w:rsidRPr="00491C60">
        <w:rPr>
          <w:color w:val="auto"/>
        </w:rPr>
        <w:t>s259(1)(b),</w:t>
      </w:r>
      <w:r w:rsidR="004542B7">
        <w:rPr>
          <w:color w:val="auto"/>
        </w:rPr>
        <w:t xml:space="preserve"> c</w:t>
      </w:r>
      <w:r>
        <w:rPr>
          <w:color w:val="auto"/>
        </w:rPr>
        <w:t>omplainant</w:t>
      </w:r>
      <w:r w:rsidR="004542B7">
        <w:rPr>
          <w:color w:val="auto"/>
        </w:rPr>
        <w:t xml:space="preserve">s must be kept </w:t>
      </w:r>
      <w:r>
        <w:rPr>
          <w:color w:val="auto"/>
        </w:rPr>
        <w:t xml:space="preserve">informed of progress </w:t>
      </w:r>
      <w:r w:rsidR="004542B7">
        <w:rPr>
          <w:color w:val="auto"/>
        </w:rPr>
        <w:t xml:space="preserve">with the investigation of their complaint </w:t>
      </w:r>
      <w:r w:rsidR="004542B7" w:rsidRPr="00E94D8C">
        <w:rPr>
          <w:b/>
          <w:color w:val="auto"/>
        </w:rPr>
        <w:t>at</w:t>
      </w:r>
      <w:r w:rsidR="004542B7" w:rsidRPr="00315916">
        <w:rPr>
          <w:color w:val="auto"/>
        </w:rPr>
        <w:t xml:space="preserve"> </w:t>
      </w:r>
      <w:r w:rsidR="004542B7" w:rsidRPr="00E94D8C">
        <w:rPr>
          <w:b/>
          <w:color w:val="auto"/>
        </w:rPr>
        <w:t>least once every three months</w:t>
      </w:r>
      <w:r>
        <w:rPr>
          <w:color w:val="auto"/>
        </w:rPr>
        <w:t xml:space="preserve">, unless the </w:t>
      </w:r>
      <w:r w:rsidRPr="00E94D8C">
        <w:rPr>
          <w:color w:val="auto"/>
        </w:rPr>
        <w:t>restrictions on notification</w:t>
      </w:r>
      <w:r>
        <w:rPr>
          <w:color w:val="auto"/>
        </w:rPr>
        <w:t xml:space="preserve"> outlined above apply. </w:t>
      </w:r>
    </w:p>
    <w:p w14:paraId="28060429" w14:textId="69BB5768" w:rsidR="00EE1188" w:rsidRDefault="00EE1188" w:rsidP="00EE1188">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Pr>
          <w:color w:val="auto"/>
        </w:rPr>
        <w:t xml:space="preserve">If an investigation is discontinued at any stage, subject to above, the complainant must also be notified and </w:t>
      </w:r>
      <w:r w:rsidR="00315916">
        <w:rPr>
          <w:color w:val="auto"/>
        </w:rPr>
        <w:t>given</w:t>
      </w:r>
      <w:r>
        <w:rPr>
          <w:color w:val="auto"/>
        </w:rPr>
        <w:t xml:space="preserve"> reasons for the decision.</w:t>
      </w:r>
      <w:r>
        <w:rPr>
          <w:rStyle w:val="FootnoteReference"/>
          <w:color w:val="auto"/>
        </w:rPr>
        <w:footnoteReference w:id="19"/>
      </w:r>
    </w:p>
    <w:p w14:paraId="5E20D587" w14:textId="6D332243" w:rsidR="00EE1188" w:rsidRDefault="00EE1188" w:rsidP="00EE1188">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sidRPr="00EE1188">
        <w:rPr>
          <w:color w:val="auto"/>
        </w:rPr>
        <w:t xml:space="preserve">Any written communications with the complainant </w:t>
      </w:r>
      <w:r w:rsidRPr="00E94D8C">
        <w:rPr>
          <w:b/>
          <w:color w:val="auto"/>
        </w:rPr>
        <w:t>must</w:t>
      </w:r>
      <w:r w:rsidRPr="00EE1188">
        <w:rPr>
          <w:b/>
          <w:color w:val="auto"/>
        </w:rPr>
        <w:t xml:space="preserve"> </w:t>
      </w:r>
      <w:r w:rsidRPr="004542B7">
        <w:rPr>
          <w:color w:val="auto"/>
        </w:rPr>
        <w:t>in</w:t>
      </w:r>
      <w:r w:rsidRPr="00EE1188">
        <w:rPr>
          <w:color w:val="auto"/>
        </w:rPr>
        <w:t xml:space="preserve">clude a non-disclosure notice and a statement of permitted disclosure – see </w:t>
      </w:r>
      <w:r w:rsidRPr="00EE1188">
        <w:rPr>
          <w:i/>
          <w:color w:val="auto"/>
        </w:rPr>
        <w:t>Non</w:t>
      </w:r>
      <w:r>
        <w:rPr>
          <w:i/>
          <w:color w:val="auto"/>
        </w:rPr>
        <w:t>-</w:t>
      </w:r>
      <w:r w:rsidRPr="00EE1188">
        <w:rPr>
          <w:i/>
          <w:color w:val="auto"/>
        </w:rPr>
        <w:t>disclosure notices</w:t>
      </w:r>
      <w:r w:rsidRPr="00EE1188">
        <w:rPr>
          <w:color w:val="auto"/>
        </w:rPr>
        <w:t xml:space="preserve"> and </w:t>
      </w:r>
      <w:r w:rsidRPr="00EE1188">
        <w:rPr>
          <w:i/>
          <w:color w:val="auto"/>
        </w:rPr>
        <w:t>Statement of permitted disclosures</w:t>
      </w:r>
      <w:r w:rsidRPr="00EE1188">
        <w:rPr>
          <w:color w:val="auto"/>
        </w:rPr>
        <w:t xml:space="preserve"> below</w:t>
      </w:r>
      <w:r w:rsidR="004542B7">
        <w:rPr>
          <w:color w:val="auto"/>
        </w:rPr>
        <w:t>.</w:t>
      </w:r>
    </w:p>
    <w:p w14:paraId="5723CF51" w14:textId="21908F4E" w:rsidR="0096677E" w:rsidRPr="0096677E" w:rsidRDefault="008E1EB0" w:rsidP="0096677E">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sidRPr="00491C60">
        <w:rPr>
          <w:color w:val="auto"/>
        </w:rPr>
        <w:t>Under s</w:t>
      </w:r>
      <w:r w:rsidR="00161BDA">
        <w:rPr>
          <w:color w:val="auto"/>
        </w:rPr>
        <w:t xml:space="preserve"> </w:t>
      </w:r>
      <w:r w:rsidRPr="00491C60">
        <w:rPr>
          <w:color w:val="auto"/>
        </w:rPr>
        <w:t>265</w:t>
      </w:r>
      <w:r>
        <w:rPr>
          <w:color w:val="auto"/>
        </w:rPr>
        <w:t xml:space="preserve"> of the Act, t</w:t>
      </w:r>
      <w:r w:rsidR="004542B7">
        <w:rPr>
          <w:color w:val="auto"/>
        </w:rPr>
        <w:t>he Inspector can conduct an own motion investigation, even if</w:t>
      </w:r>
      <w:r w:rsidR="00315916">
        <w:rPr>
          <w:color w:val="auto"/>
        </w:rPr>
        <w:t xml:space="preserve"> no complaint has been made.</w:t>
      </w:r>
    </w:p>
    <w:p w14:paraId="12E5A19F" w14:textId="146F0B7C" w:rsidR="007A0B91" w:rsidRPr="007A0B91" w:rsidRDefault="00EE1188" w:rsidP="00E94D8C">
      <w:pPr>
        <w:pStyle w:val="Heading2"/>
      </w:pPr>
      <w:r>
        <w:t xml:space="preserve">Step 7: </w:t>
      </w:r>
      <w:r w:rsidR="00E94D8C">
        <w:t>C</w:t>
      </w:r>
      <w:r w:rsidR="00B853D1">
        <w:t>onsider available outcomes</w:t>
      </w:r>
    </w:p>
    <w:p w14:paraId="5FF510AF" w14:textId="2E37D28C" w:rsidR="007A0B91" w:rsidRPr="00EE1188" w:rsidRDefault="00EE1188" w:rsidP="00EE1188">
      <w:pPr>
        <w:rPr>
          <w:color w:val="auto"/>
        </w:rPr>
      </w:pPr>
      <w:r w:rsidRPr="00EE1188">
        <w:rPr>
          <w:color w:val="auto"/>
        </w:rPr>
        <w:t xml:space="preserve">Following an investigation, </w:t>
      </w:r>
      <w:r>
        <w:rPr>
          <w:color w:val="auto"/>
        </w:rPr>
        <w:t xml:space="preserve">the Inspector or a delegated officer </w:t>
      </w:r>
      <w:r w:rsidRPr="00EE1188">
        <w:rPr>
          <w:color w:val="auto"/>
        </w:rPr>
        <w:t xml:space="preserve">will consider the available </w:t>
      </w:r>
      <w:r w:rsidR="00A52222">
        <w:rPr>
          <w:color w:val="auto"/>
        </w:rPr>
        <w:t>outcomes</w:t>
      </w:r>
      <w:r w:rsidRPr="00EE1188">
        <w:rPr>
          <w:color w:val="auto"/>
        </w:rPr>
        <w:t xml:space="preserve"> and make a final assessment</w:t>
      </w:r>
      <w:r w:rsidR="004542B7">
        <w:rPr>
          <w:color w:val="auto"/>
        </w:rPr>
        <w:t xml:space="preserve"> as outlined in detail in the procedural instructions. </w:t>
      </w:r>
    </w:p>
    <w:p w14:paraId="2B2502DE" w14:textId="2BFDE12E" w:rsidR="00EE1188" w:rsidRDefault="00EE1188" w:rsidP="00E94D8C">
      <w:pPr>
        <w:pStyle w:val="Heading2"/>
      </w:pPr>
      <w:bookmarkStart w:id="37" w:name="_Toc8209268"/>
      <w:r>
        <w:t xml:space="preserve">Step 8: </w:t>
      </w:r>
      <w:r w:rsidR="00E94D8C">
        <w:t>A</w:t>
      </w:r>
      <w:r>
        <w:t>dvise complainant of outcome</w:t>
      </w:r>
    </w:p>
    <w:p w14:paraId="585BC9F2" w14:textId="3292820E" w:rsidR="00EE1188" w:rsidRDefault="00EE1188" w:rsidP="00EE1188">
      <w:pPr>
        <w:rPr>
          <w:color w:val="auto"/>
        </w:rPr>
      </w:pPr>
      <w:r>
        <w:rPr>
          <w:color w:val="auto"/>
        </w:rPr>
        <w:t xml:space="preserve">Unless the </w:t>
      </w:r>
      <w:r w:rsidRPr="00E94D8C">
        <w:rPr>
          <w:color w:val="auto"/>
        </w:rPr>
        <w:t>restrictions on notification</w:t>
      </w:r>
      <w:r>
        <w:rPr>
          <w:color w:val="auto"/>
        </w:rPr>
        <w:t xml:space="preserve"> apply,</w:t>
      </w:r>
      <w:r w:rsidRPr="00EE1188">
        <w:rPr>
          <w:color w:val="auto"/>
        </w:rPr>
        <w:t xml:space="preserve"> </w:t>
      </w:r>
      <w:r>
        <w:rPr>
          <w:color w:val="auto"/>
        </w:rPr>
        <w:t>t</w:t>
      </w:r>
      <w:r w:rsidRPr="00EE1188">
        <w:rPr>
          <w:color w:val="auto"/>
        </w:rPr>
        <w:t>he complainant must be advised that an investigation ha</w:t>
      </w:r>
      <w:r w:rsidR="00C03BDC">
        <w:rPr>
          <w:color w:val="auto"/>
        </w:rPr>
        <w:t>s</w:t>
      </w:r>
      <w:r w:rsidRPr="00EE1188">
        <w:rPr>
          <w:color w:val="auto"/>
        </w:rPr>
        <w:t xml:space="preserve"> been completed and </w:t>
      </w:r>
      <w:r w:rsidR="008E1EB0">
        <w:rPr>
          <w:color w:val="auto"/>
        </w:rPr>
        <w:t xml:space="preserve">notified of </w:t>
      </w:r>
      <w:r w:rsidRPr="00EE1188">
        <w:rPr>
          <w:color w:val="auto"/>
        </w:rPr>
        <w:t>the outcome.</w:t>
      </w:r>
      <w:r>
        <w:rPr>
          <w:rStyle w:val="FootnoteReference"/>
          <w:color w:val="auto"/>
        </w:rPr>
        <w:footnoteReference w:id="20"/>
      </w:r>
      <w:r w:rsidR="004542B7">
        <w:rPr>
          <w:color w:val="auto"/>
        </w:rPr>
        <w:t xml:space="preserve"> At this time, the complainant will also be advised of their internal review options – see </w:t>
      </w:r>
      <w:hyperlink w:anchor="_Internal_review" w:history="1">
        <w:r w:rsidR="004542B7" w:rsidRPr="005E7184">
          <w:rPr>
            <w:rStyle w:val="Hyperlink"/>
          </w:rPr>
          <w:t>Internal review</w:t>
        </w:r>
      </w:hyperlink>
      <w:r w:rsidR="004542B7">
        <w:rPr>
          <w:color w:val="auto"/>
        </w:rPr>
        <w:t xml:space="preserve"> below, and any alternative avenues for them to seek further action.</w:t>
      </w:r>
    </w:p>
    <w:p w14:paraId="41F4EBF4" w14:textId="77777777" w:rsidR="00E94D8C" w:rsidRPr="00EE1188" w:rsidRDefault="00E94D8C" w:rsidP="00E94D8C">
      <w:pPr>
        <w:pBdr>
          <w:top w:val="single" w:sz="4" w:space="1" w:color="auto"/>
          <w:left w:val="single" w:sz="4" w:space="4" w:color="auto"/>
          <w:bottom w:val="single" w:sz="4" w:space="1" w:color="auto"/>
          <w:right w:val="single" w:sz="4" w:space="4" w:color="auto"/>
        </w:pBdr>
        <w:ind w:right="-338"/>
        <w:rPr>
          <w:b/>
          <w:color w:val="auto"/>
        </w:rPr>
      </w:pPr>
      <w:r>
        <w:rPr>
          <w:b/>
          <w:color w:val="auto"/>
        </w:rPr>
        <w:t>Important</w:t>
      </w:r>
      <w:r w:rsidRPr="00EE1188">
        <w:rPr>
          <w:b/>
          <w:color w:val="auto"/>
        </w:rPr>
        <w:t xml:space="preserve">: </w:t>
      </w:r>
    </w:p>
    <w:p w14:paraId="13C771B8" w14:textId="39942416" w:rsidR="00E94D8C" w:rsidRDefault="00E94D8C" w:rsidP="00E94D8C">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sidRPr="00EE1188">
        <w:rPr>
          <w:color w:val="auto"/>
        </w:rPr>
        <w:t xml:space="preserve">Any written communications with the complainant </w:t>
      </w:r>
      <w:r w:rsidRPr="00E94D8C">
        <w:rPr>
          <w:b/>
          <w:color w:val="auto"/>
        </w:rPr>
        <w:t>must</w:t>
      </w:r>
      <w:r w:rsidRPr="00EE1188">
        <w:rPr>
          <w:b/>
          <w:color w:val="auto"/>
        </w:rPr>
        <w:t xml:space="preserve"> </w:t>
      </w:r>
      <w:r w:rsidRPr="004542B7">
        <w:rPr>
          <w:color w:val="auto"/>
        </w:rPr>
        <w:t>in</w:t>
      </w:r>
      <w:r w:rsidRPr="00EE1188">
        <w:rPr>
          <w:color w:val="auto"/>
        </w:rPr>
        <w:t xml:space="preserve">clude a non-disclosure notice and a statement of permitted disclosure – see </w:t>
      </w:r>
      <w:hyperlink w:anchor="_Non-disclosure_notices" w:history="1">
        <w:r w:rsidRPr="005E7184">
          <w:rPr>
            <w:rStyle w:val="Hyperlink"/>
          </w:rPr>
          <w:t>Non-disclosure notices</w:t>
        </w:r>
      </w:hyperlink>
      <w:r w:rsidRPr="00EE1188">
        <w:rPr>
          <w:color w:val="auto"/>
        </w:rPr>
        <w:t xml:space="preserve"> below</w:t>
      </w:r>
      <w:r>
        <w:rPr>
          <w:color w:val="auto"/>
        </w:rPr>
        <w:t>.</w:t>
      </w:r>
    </w:p>
    <w:p w14:paraId="578DFD90" w14:textId="3B16E7E9" w:rsidR="007A0B91" w:rsidRPr="00E94D8C" w:rsidRDefault="00EE1188" w:rsidP="00E94D8C">
      <w:pPr>
        <w:pStyle w:val="Heading2"/>
      </w:pPr>
      <w:r w:rsidRPr="00E94D8C">
        <w:lastRenderedPageBreak/>
        <w:t xml:space="preserve">Step 9: </w:t>
      </w:r>
      <w:r w:rsidR="00E94D8C">
        <w:t>A</w:t>
      </w:r>
      <w:r w:rsidRPr="00E94D8C">
        <w:t>dvise Commission of outcome and make recommendations where appropriate</w:t>
      </w:r>
      <w:bookmarkEnd w:id="37"/>
      <w:r w:rsidR="007A0B91" w:rsidRPr="00E94D8C">
        <w:t xml:space="preserve"> </w:t>
      </w:r>
    </w:p>
    <w:p w14:paraId="7870E77E" w14:textId="7021B9E1" w:rsidR="00EE1188" w:rsidRDefault="00EE1188" w:rsidP="007A0B91">
      <w:pPr>
        <w:rPr>
          <w:color w:val="auto"/>
        </w:rPr>
      </w:pPr>
      <w:r>
        <w:rPr>
          <w:color w:val="auto"/>
        </w:rPr>
        <w:t>There is no legislative requirement</w:t>
      </w:r>
      <w:r w:rsidR="004542B7">
        <w:rPr>
          <w:color w:val="auto"/>
        </w:rPr>
        <w:t xml:space="preserve"> for </w:t>
      </w:r>
      <w:r>
        <w:rPr>
          <w:color w:val="auto"/>
        </w:rPr>
        <w:t>the Inspector to advise the Commission of the outcome of a complaints investigation. This will, however, be done under policy unless the Inspector considers there are good reasons</w:t>
      </w:r>
      <w:r w:rsidRPr="00EE1188">
        <w:rPr>
          <w:b/>
          <w:color w:val="auto"/>
        </w:rPr>
        <w:t xml:space="preserve"> </w:t>
      </w:r>
      <w:r w:rsidRPr="00E94D8C">
        <w:rPr>
          <w:b/>
          <w:color w:val="auto"/>
        </w:rPr>
        <w:t>not</w:t>
      </w:r>
      <w:r>
        <w:rPr>
          <w:color w:val="auto"/>
        </w:rPr>
        <w:t xml:space="preserve"> to do so. </w:t>
      </w:r>
    </w:p>
    <w:p w14:paraId="6253994F" w14:textId="1F5C9C4F" w:rsidR="00EE1188" w:rsidRDefault="00EE1188" w:rsidP="004542B7">
      <w:pPr>
        <w:ind w:right="-338"/>
        <w:rPr>
          <w:color w:val="auto"/>
        </w:rPr>
      </w:pPr>
      <w:r>
        <w:rPr>
          <w:color w:val="auto"/>
        </w:rPr>
        <w:t xml:space="preserve">The Inspector </w:t>
      </w:r>
      <w:r w:rsidRPr="00E94D8C">
        <w:rPr>
          <w:color w:val="auto"/>
        </w:rPr>
        <w:t>may</w:t>
      </w:r>
      <w:r>
        <w:rPr>
          <w:color w:val="auto"/>
        </w:rPr>
        <w:t xml:space="preserve"> also at this time make a recommendation to the Commission under </w:t>
      </w:r>
      <w:r w:rsidRPr="00491C60">
        <w:rPr>
          <w:color w:val="auto"/>
        </w:rPr>
        <w:t>s 272</w:t>
      </w:r>
      <w:r>
        <w:rPr>
          <w:color w:val="auto"/>
        </w:rPr>
        <w:t xml:space="preserve"> of the Act about</w:t>
      </w:r>
      <w:r w:rsidR="004542B7">
        <w:rPr>
          <w:color w:val="auto"/>
        </w:rPr>
        <w:t xml:space="preserve"> its</w:t>
      </w:r>
      <w:r>
        <w:rPr>
          <w:color w:val="auto"/>
        </w:rPr>
        <w:t xml:space="preserve"> practices or procedures in relation to its exercise of functions under the Act. </w:t>
      </w:r>
    </w:p>
    <w:p w14:paraId="3BA82298" w14:textId="0AE9B5FD" w:rsidR="00EE1188" w:rsidRPr="00EE1188" w:rsidRDefault="00EE1188" w:rsidP="00EE1188">
      <w:pPr>
        <w:pBdr>
          <w:top w:val="single" w:sz="4" w:space="1" w:color="auto"/>
          <w:left w:val="single" w:sz="4" w:space="4" w:color="auto"/>
          <w:bottom w:val="single" w:sz="4" w:space="1" w:color="auto"/>
          <w:right w:val="single" w:sz="4" w:space="4" w:color="auto"/>
        </w:pBdr>
        <w:ind w:right="-338"/>
        <w:rPr>
          <w:b/>
          <w:color w:val="auto"/>
        </w:rPr>
      </w:pPr>
      <w:r>
        <w:rPr>
          <w:b/>
          <w:color w:val="auto"/>
        </w:rPr>
        <w:t>Note</w:t>
      </w:r>
      <w:r w:rsidRPr="00EE1188">
        <w:rPr>
          <w:b/>
          <w:color w:val="auto"/>
        </w:rPr>
        <w:t xml:space="preserve">: </w:t>
      </w:r>
    </w:p>
    <w:p w14:paraId="3C43F7D6" w14:textId="7FDFA273" w:rsidR="00EE1188" w:rsidRDefault="00EE1188" w:rsidP="00EE1188">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Pr>
          <w:color w:val="auto"/>
        </w:rPr>
        <w:t>The Inspector has power to make recommendations to the head of a public sector entity or the relevant Assembly committee about practice or procedures at any time.</w:t>
      </w:r>
      <w:r>
        <w:rPr>
          <w:rStyle w:val="FootnoteReference"/>
          <w:color w:val="auto"/>
        </w:rPr>
        <w:footnoteReference w:id="21"/>
      </w:r>
    </w:p>
    <w:p w14:paraId="3298F7AB" w14:textId="3CFA01FD" w:rsidR="00EE1188" w:rsidRPr="00EE1188" w:rsidRDefault="00EE1188" w:rsidP="00EE1188">
      <w:pPr>
        <w:pStyle w:val="ListParagraph"/>
        <w:numPr>
          <w:ilvl w:val="0"/>
          <w:numId w:val="12"/>
        </w:numPr>
        <w:pBdr>
          <w:top w:val="single" w:sz="4" w:space="1" w:color="auto"/>
          <w:left w:val="single" w:sz="4" w:space="4" w:color="auto"/>
          <w:bottom w:val="single" w:sz="4" w:space="1" w:color="auto"/>
          <w:right w:val="single" w:sz="4" w:space="4" w:color="auto"/>
        </w:pBdr>
        <w:ind w:right="-338"/>
        <w:rPr>
          <w:color w:val="auto"/>
        </w:rPr>
      </w:pPr>
      <w:r w:rsidRPr="00EE1188">
        <w:rPr>
          <w:color w:val="auto"/>
        </w:rPr>
        <w:t xml:space="preserve">The Inspector can also make a recommendation to the Speaker that a special investigator be appointed to investigate the </w:t>
      </w:r>
      <w:r w:rsidR="00C03BDC">
        <w:rPr>
          <w:color w:val="auto"/>
        </w:rPr>
        <w:t>C</w:t>
      </w:r>
      <w:r w:rsidRPr="00EE1188">
        <w:rPr>
          <w:color w:val="auto"/>
        </w:rPr>
        <w:t>ommissioner or a member of staff of the Commission if information is available which, if true, tends to show corrupt conduct by one of these individuals.</w:t>
      </w:r>
      <w:r>
        <w:rPr>
          <w:rStyle w:val="FootnoteReference"/>
          <w:color w:val="auto"/>
        </w:rPr>
        <w:footnoteReference w:id="22"/>
      </w:r>
    </w:p>
    <w:p w14:paraId="27A34A54" w14:textId="2C8422E7" w:rsidR="00EE1188" w:rsidRPr="00EE1188" w:rsidRDefault="00EE1188" w:rsidP="00EE1188">
      <w:pPr>
        <w:pStyle w:val="Heading1"/>
        <w:rPr>
          <w:color w:val="5B9BD5" w:themeColor="accent1"/>
        </w:rPr>
      </w:pPr>
      <w:bookmarkStart w:id="38" w:name="_Non-disclosure_notices"/>
      <w:bookmarkStart w:id="39" w:name="_Toc8209262"/>
      <w:bookmarkStart w:id="40" w:name="_Toc12463346"/>
      <w:bookmarkEnd w:id="38"/>
      <w:r w:rsidRPr="00EE1188">
        <w:rPr>
          <w:color w:val="5B9BD5" w:themeColor="accent1"/>
        </w:rPr>
        <w:t>Non</w:t>
      </w:r>
      <w:r>
        <w:rPr>
          <w:color w:val="5B9BD5" w:themeColor="accent1"/>
        </w:rPr>
        <w:t>-</w:t>
      </w:r>
      <w:r w:rsidRPr="00EE1188">
        <w:rPr>
          <w:color w:val="5B9BD5" w:themeColor="accent1"/>
        </w:rPr>
        <w:t>disclosure notice</w:t>
      </w:r>
      <w:bookmarkEnd w:id="39"/>
      <w:r>
        <w:rPr>
          <w:color w:val="5B9BD5" w:themeColor="accent1"/>
        </w:rPr>
        <w:t>s</w:t>
      </w:r>
      <w:bookmarkEnd w:id="40"/>
    </w:p>
    <w:p w14:paraId="20A400B1" w14:textId="27B6B5BF" w:rsidR="00EE1188" w:rsidRDefault="00EE1188" w:rsidP="00EE1188">
      <w:pPr>
        <w:rPr>
          <w:color w:val="auto"/>
        </w:rPr>
      </w:pPr>
      <w:r w:rsidRPr="00E53295">
        <w:rPr>
          <w:color w:val="auto"/>
        </w:rPr>
        <w:t>Section 260</w:t>
      </w:r>
      <w:r>
        <w:rPr>
          <w:color w:val="auto"/>
        </w:rPr>
        <w:t xml:space="preserve"> of the Act requires the Inspector to provide a non-disclosure notice when giving information to </w:t>
      </w:r>
      <w:r w:rsidR="002A04EE">
        <w:rPr>
          <w:color w:val="auto"/>
        </w:rPr>
        <w:t xml:space="preserve">a </w:t>
      </w:r>
      <w:r>
        <w:rPr>
          <w:color w:val="auto"/>
        </w:rPr>
        <w:t>complainant</w:t>
      </w:r>
      <w:r w:rsidR="004542B7">
        <w:rPr>
          <w:color w:val="auto"/>
        </w:rPr>
        <w:t xml:space="preserve">, including under </w:t>
      </w:r>
      <w:r w:rsidR="004542B7" w:rsidRPr="00491C60">
        <w:rPr>
          <w:color w:val="auto"/>
        </w:rPr>
        <w:t>s 259</w:t>
      </w:r>
      <w:r w:rsidR="004542B7">
        <w:rPr>
          <w:color w:val="auto"/>
        </w:rPr>
        <w:t xml:space="preserve"> regarding progress with complaints investigations</w:t>
      </w:r>
      <w:r>
        <w:rPr>
          <w:color w:val="auto"/>
        </w:rPr>
        <w:t>. This notice must:</w:t>
      </w:r>
    </w:p>
    <w:p w14:paraId="1793BB00" w14:textId="35C5B463" w:rsidR="00EE1188" w:rsidRPr="00EE1188" w:rsidRDefault="005E7184" w:rsidP="00EE1188">
      <w:pPr>
        <w:pStyle w:val="ListParagraph"/>
        <w:numPr>
          <w:ilvl w:val="0"/>
          <w:numId w:val="4"/>
        </w:numPr>
        <w:ind w:left="360"/>
        <w:rPr>
          <w:color w:val="auto"/>
        </w:rPr>
      </w:pPr>
      <w:r>
        <w:rPr>
          <w:color w:val="auto"/>
        </w:rPr>
        <w:t>m</w:t>
      </w:r>
      <w:r w:rsidR="00EE1188" w:rsidRPr="00EE1188">
        <w:rPr>
          <w:color w:val="auto"/>
        </w:rPr>
        <w:t xml:space="preserve">ake the recipient aware that disclosing information from the Inspector </w:t>
      </w:r>
      <w:r w:rsidR="00EE1188" w:rsidRPr="00E94D8C">
        <w:rPr>
          <w:color w:val="auto"/>
        </w:rPr>
        <w:t>may be an offence</w:t>
      </w:r>
      <w:r w:rsidR="00EE1188" w:rsidRPr="00EE1188">
        <w:rPr>
          <w:color w:val="auto"/>
        </w:rPr>
        <w:t xml:space="preserve"> under the Act and penalties may apply</w:t>
      </w:r>
      <w:r w:rsidR="002A04EE">
        <w:rPr>
          <w:color w:val="auto"/>
        </w:rPr>
        <w:t>.</w:t>
      </w:r>
      <w:r w:rsidR="00EE1188">
        <w:rPr>
          <w:rStyle w:val="FootnoteReference"/>
          <w:color w:val="auto"/>
        </w:rPr>
        <w:footnoteReference w:id="23"/>
      </w:r>
    </w:p>
    <w:p w14:paraId="46A7EBEA" w14:textId="0741DAD1" w:rsidR="00EE1188" w:rsidRDefault="005E7184" w:rsidP="00EE1188">
      <w:pPr>
        <w:pStyle w:val="ListParagraph"/>
        <w:numPr>
          <w:ilvl w:val="0"/>
          <w:numId w:val="4"/>
        </w:numPr>
        <w:ind w:left="360"/>
        <w:rPr>
          <w:color w:val="auto"/>
        </w:rPr>
      </w:pPr>
      <w:r>
        <w:rPr>
          <w:color w:val="auto"/>
        </w:rPr>
        <w:t>i</w:t>
      </w:r>
      <w:r w:rsidR="00EE1188">
        <w:rPr>
          <w:color w:val="auto"/>
        </w:rPr>
        <w:t xml:space="preserve">nclude a </w:t>
      </w:r>
      <w:r w:rsidR="00EE1188" w:rsidRPr="00EE1188">
        <w:rPr>
          <w:color w:val="auto"/>
        </w:rPr>
        <w:t xml:space="preserve">statement </w:t>
      </w:r>
      <w:r w:rsidR="00EE1188">
        <w:rPr>
          <w:color w:val="auto"/>
        </w:rPr>
        <w:t xml:space="preserve">outlining any </w:t>
      </w:r>
      <w:r w:rsidR="00EE1188" w:rsidRPr="00E94D8C">
        <w:rPr>
          <w:color w:val="auto"/>
        </w:rPr>
        <w:t>permitted</w:t>
      </w:r>
      <w:r w:rsidR="00EE1188" w:rsidRPr="00EE1188">
        <w:rPr>
          <w:b/>
          <w:color w:val="auto"/>
        </w:rPr>
        <w:t xml:space="preserve"> </w:t>
      </w:r>
      <w:r w:rsidR="00EE1188">
        <w:rPr>
          <w:color w:val="auto"/>
        </w:rPr>
        <w:t xml:space="preserve">and any </w:t>
      </w:r>
      <w:r w:rsidR="00EE1188" w:rsidRPr="00E94D8C">
        <w:rPr>
          <w:color w:val="auto"/>
        </w:rPr>
        <w:t>prohibited</w:t>
      </w:r>
      <w:r w:rsidR="00EE1188">
        <w:rPr>
          <w:color w:val="auto"/>
        </w:rPr>
        <w:t xml:space="preserve"> disclosures</w:t>
      </w:r>
      <w:r w:rsidR="002A04EE">
        <w:rPr>
          <w:color w:val="auto"/>
        </w:rPr>
        <w:t>.</w:t>
      </w:r>
      <w:r w:rsidR="00EE1188">
        <w:rPr>
          <w:rStyle w:val="FootnoteReference"/>
          <w:color w:val="auto"/>
        </w:rPr>
        <w:footnoteReference w:id="24"/>
      </w:r>
      <w:r w:rsidR="00EE1188">
        <w:rPr>
          <w:color w:val="auto"/>
        </w:rPr>
        <w:t xml:space="preserve"> </w:t>
      </w:r>
    </w:p>
    <w:p w14:paraId="5D32C25C" w14:textId="7B4FE723" w:rsidR="00EE1188" w:rsidRPr="00EE1188" w:rsidRDefault="005E7184" w:rsidP="00EE1188">
      <w:pPr>
        <w:pStyle w:val="ListParagraph"/>
        <w:numPr>
          <w:ilvl w:val="0"/>
          <w:numId w:val="4"/>
        </w:numPr>
        <w:ind w:left="360"/>
        <w:rPr>
          <w:color w:val="auto"/>
        </w:rPr>
      </w:pPr>
      <w:r>
        <w:rPr>
          <w:color w:val="auto"/>
        </w:rPr>
        <w:t>e</w:t>
      </w:r>
      <w:r w:rsidR="00EE1188" w:rsidRPr="00EE1188">
        <w:rPr>
          <w:color w:val="auto"/>
        </w:rPr>
        <w:t xml:space="preserve">xplain that the notice will expire when revoked or </w:t>
      </w:r>
      <w:r w:rsidR="002A04EE">
        <w:rPr>
          <w:color w:val="auto"/>
        </w:rPr>
        <w:t>three</w:t>
      </w:r>
      <w:r w:rsidR="00EE1188" w:rsidRPr="00EE1188">
        <w:rPr>
          <w:color w:val="auto"/>
        </w:rPr>
        <w:t xml:space="preserve"> years after the day it is issued</w:t>
      </w:r>
      <w:r w:rsidR="00E53295">
        <w:rPr>
          <w:color w:val="auto"/>
        </w:rPr>
        <w:t>.</w:t>
      </w:r>
      <w:r w:rsidR="00EE1188">
        <w:rPr>
          <w:rStyle w:val="FootnoteReference"/>
          <w:color w:val="auto"/>
        </w:rPr>
        <w:footnoteReference w:id="25"/>
      </w:r>
    </w:p>
    <w:p w14:paraId="797F8090" w14:textId="7B7F32A4" w:rsidR="00EE1188" w:rsidRDefault="00EE1188" w:rsidP="00E94D8C">
      <w:pPr>
        <w:pStyle w:val="Heading3"/>
      </w:pPr>
      <w:bookmarkStart w:id="41" w:name="_Toc8209263"/>
      <w:r>
        <w:t xml:space="preserve">Prohibited disclosures </w:t>
      </w:r>
    </w:p>
    <w:p w14:paraId="59C6A49A" w14:textId="0ABE39A8" w:rsidR="00EE1188" w:rsidRPr="00EE1188" w:rsidRDefault="00EE1188" w:rsidP="00EE1188">
      <w:pPr>
        <w:rPr>
          <w:color w:val="auto"/>
        </w:rPr>
      </w:pPr>
      <w:r w:rsidRPr="00EE1188">
        <w:rPr>
          <w:color w:val="auto"/>
        </w:rPr>
        <w:t xml:space="preserve">Consistent with the Act, the Inspector may indicate that disclosure of information is prohibited because it would be likely to prejudice: </w:t>
      </w:r>
    </w:p>
    <w:p w14:paraId="3A318BA8" w14:textId="3B7821EC" w:rsidR="00EE1188" w:rsidRPr="009859C0" w:rsidRDefault="00EE1188" w:rsidP="00EE1188">
      <w:pPr>
        <w:pStyle w:val="ListParagraph"/>
        <w:numPr>
          <w:ilvl w:val="0"/>
          <w:numId w:val="4"/>
        </w:numPr>
        <w:ind w:left="360"/>
        <w:rPr>
          <w:color w:val="auto"/>
        </w:rPr>
      </w:pPr>
      <w:r>
        <w:rPr>
          <w:color w:val="auto"/>
        </w:rPr>
        <w:t>a</w:t>
      </w:r>
      <w:r w:rsidRPr="009859C0">
        <w:rPr>
          <w:color w:val="auto"/>
        </w:rPr>
        <w:t>n investigation</w:t>
      </w:r>
    </w:p>
    <w:p w14:paraId="19C782CD" w14:textId="60D1077D" w:rsidR="00EE1188" w:rsidRPr="009859C0" w:rsidRDefault="00EE1188" w:rsidP="00EE1188">
      <w:pPr>
        <w:pStyle w:val="ListParagraph"/>
        <w:numPr>
          <w:ilvl w:val="0"/>
          <w:numId w:val="4"/>
        </w:numPr>
        <w:ind w:left="360"/>
        <w:rPr>
          <w:color w:val="auto"/>
        </w:rPr>
      </w:pPr>
      <w:r>
        <w:rPr>
          <w:color w:val="auto"/>
        </w:rPr>
        <w:t>a</w:t>
      </w:r>
      <w:r w:rsidRPr="009859C0">
        <w:rPr>
          <w:color w:val="auto"/>
        </w:rPr>
        <w:t xml:space="preserve"> person’s safety or reputation</w:t>
      </w:r>
    </w:p>
    <w:p w14:paraId="15F1B2FD" w14:textId="69031FDE" w:rsidR="00EE1188" w:rsidRPr="009859C0" w:rsidRDefault="00EE1188" w:rsidP="00EE1188">
      <w:pPr>
        <w:pStyle w:val="ListParagraph"/>
        <w:numPr>
          <w:ilvl w:val="0"/>
          <w:numId w:val="4"/>
        </w:numPr>
        <w:ind w:left="360"/>
        <w:rPr>
          <w:color w:val="auto"/>
        </w:rPr>
      </w:pPr>
      <w:r>
        <w:rPr>
          <w:color w:val="auto"/>
        </w:rPr>
        <w:t>t</w:t>
      </w:r>
      <w:r w:rsidRPr="009859C0">
        <w:rPr>
          <w:color w:val="auto"/>
        </w:rPr>
        <w:t>he fair trial of someone who may be charged with an offence</w:t>
      </w:r>
      <w:r>
        <w:rPr>
          <w:color w:val="auto"/>
        </w:rPr>
        <w:t>.</w:t>
      </w:r>
    </w:p>
    <w:p w14:paraId="7D7F5A8C" w14:textId="77777777" w:rsidR="005E7184" w:rsidRDefault="005E7184">
      <w:pPr>
        <w:spacing w:after="0" w:line="240" w:lineRule="auto"/>
        <w:rPr>
          <w:rFonts w:eastAsia="Times"/>
          <w:b/>
          <w:i/>
          <w:szCs w:val="20"/>
        </w:rPr>
      </w:pPr>
      <w:r>
        <w:br w:type="page"/>
      </w:r>
    </w:p>
    <w:p w14:paraId="242F8072" w14:textId="2FC396DD" w:rsidR="00EE1188" w:rsidRPr="00EE1188" w:rsidRDefault="00EE1188" w:rsidP="00E94D8C">
      <w:pPr>
        <w:pStyle w:val="Heading3"/>
        <w:ind w:right="-55"/>
      </w:pPr>
      <w:r w:rsidRPr="00EE1188">
        <w:lastRenderedPageBreak/>
        <w:t>Permitted disclosures statement</w:t>
      </w:r>
      <w:bookmarkEnd w:id="41"/>
    </w:p>
    <w:p w14:paraId="4D5F6C68" w14:textId="4B743B43" w:rsidR="00EE1188" w:rsidRDefault="00EE1188" w:rsidP="00EE1188">
      <w:pPr>
        <w:rPr>
          <w:color w:val="auto"/>
        </w:rPr>
      </w:pPr>
      <w:r w:rsidRPr="00491C60">
        <w:rPr>
          <w:color w:val="auto"/>
        </w:rPr>
        <w:t xml:space="preserve">Under </w:t>
      </w:r>
      <w:r w:rsidR="00E53295">
        <w:rPr>
          <w:color w:val="auto"/>
        </w:rPr>
        <w:t>s</w:t>
      </w:r>
      <w:r w:rsidR="00485950">
        <w:rPr>
          <w:color w:val="auto"/>
        </w:rPr>
        <w:t xml:space="preserve"> </w:t>
      </w:r>
      <w:r w:rsidRPr="00491C60">
        <w:rPr>
          <w:color w:val="auto"/>
        </w:rPr>
        <w:t>261 of</w:t>
      </w:r>
      <w:r>
        <w:rPr>
          <w:color w:val="auto"/>
        </w:rPr>
        <w:t xml:space="preserve"> the Act, disclosures are generally permitted in the following circumstances</w:t>
      </w:r>
      <w:r w:rsidR="00485950">
        <w:rPr>
          <w:color w:val="auto"/>
        </w:rPr>
        <w:t>.</w:t>
      </w:r>
      <w:r>
        <w:rPr>
          <w:color w:val="auto"/>
        </w:rPr>
        <w:t xml:space="preserve"> </w:t>
      </w:r>
    </w:p>
    <w:tbl>
      <w:tblPr>
        <w:tblStyle w:val="GridTable4-Accent5"/>
        <w:tblW w:w="0" w:type="auto"/>
        <w:tblLook w:val="04A0" w:firstRow="1" w:lastRow="0" w:firstColumn="1" w:lastColumn="0" w:noHBand="0" w:noVBand="1"/>
      </w:tblPr>
      <w:tblGrid>
        <w:gridCol w:w="4673"/>
        <w:gridCol w:w="4051"/>
      </w:tblGrid>
      <w:tr w:rsidR="00EE1188" w:rsidRPr="009859C0" w14:paraId="1613C8CF" w14:textId="77777777" w:rsidTr="00E94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BEAE999" w14:textId="582879D4" w:rsidR="00EE1188" w:rsidRPr="00485950" w:rsidRDefault="00EE1188" w:rsidP="00E94D8C">
            <w:pPr>
              <w:rPr>
                <w:b w:val="0"/>
                <w:color w:val="FFFFFF" w:themeColor="background1"/>
              </w:rPr>
            </w:pPr>
            <w:r w:rsidRPr="00485950">
              <w:rPr>
                <w:color w:val="FFFFFF" w:themeColor="background1"/>
              </w:rPr>
              <w:t>If the person receiving the notice</w:t>
            </w:r>
            <w:r w:rsidR="00485950" w:rsidRPr="00485950">
              <w:rPr>
                <w:color w:val="FFFFFF" w:themeColor="background1"/>
              </w:rPr>
              <w:t>:</w:t>
            </w:r>
          </w:p>
        </w:tc>
        <w:tc>
          <w:tcPr>
            <w:tcW w:w="4051" w:type="dxa"/>
          </w:tcPr>
          <w:p w14:paraId="3E106587" w14:textId="2B47F1EB" w:rsidR="00EE1188" w:rsidRPr="00485950" w:rsidRDefault="00EE1188" w:rsidP="00E94D8C">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485950">
              <w:rPr>
                <w:color w:val="FFFFFF" w:themeColor="background1"/>
              </w:rPr>
              <w:t>Disclosure may be made to</w:t>
            </w:r>
            <w:r w:rsidR="00485950" w:rsidRPr="00485950">
              <w:rPr>
                <w:color w:val="FFFFFF" w:themeColor="background1"/>
              </w:rPr>
              <w:t>:</w:t>
            </w:r>
          </w:p>
        </w:tc>
      </w:tr>
      <w:tr w:rsidR="00EE1188" w:rsidRPr="009859C0" w14:paraId="690EE0EB" w14:textId="77777777" w:rsidTr="00E9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00B5BBC" w14:textId="0430A87D" w:rsidR="00EE1188" w:rsidRPr="00EE1188" w:rsidRDefault="004542B7" w:rsidP="004542B7">
            <w:pPr>
              <w:rPr>
                <w:b w:val="0"/>
                <w:color w:val="auto"/>
              </w:rPr>
            </w:pPr>
            <w:r>
              <w:rPr>
                <w:b w:val="0"/>
                <w:color w:val="auto"/>
              </w:rPr>
              <w:t>d</w:t>
            </w:r>
            <w:r w:rsidR="00EE1188" w:rsidRPr="00EE1188">
              <w:rPr>
                <w:b w:val="0"/>
                <w:color w:val="auto"/>
              </w:rPr>
              <w:t>oes not speak or understand English</w:t>
            </w:r>
          </w:p>
        </w:tc>
        <w:tc>
          <w:tcPr>
            <w:tcW w:w="4051" w:type="dxa"/>
          </w:tcPr>
          <w:p w14:paraId="1ECAE70F" w14:textId="6E3F51BC" w:rsidR="00EE1188" w:rsidRPr="009859C0" w:rsidRDefault="004542B7" w:rsidP="004542B7">
            <w:pPr>
              <w:cnfStyle w:val="000000100000" w:firstRow="0" w:lastRow="0" w:firstColumn="0" w:lastColumn="0" w:oddVBand="0" w:evenVBand="0" w:oddHBand="1" w:evenHBand="0" w:firstRowFirstColumn="0" w:firstRowLastColumn="0" w:lastRowFirstColumn="0" w:lastRowLastColumn="0"/>
              <w:rPr>
                <w:color w:val="auto"/>
              </w:rPr>
            </w:pPr>
            <w:r>
              <w:rPr>
                <w:color w:val="auto"/>
              </w:rPr>
              <w:t>a</w:t>
            </w:r>
            <w:r w:rsidR="00EE1188">
              <w:rPr>
                <w:color w:val="auto"/>
              </w:rPr>
              <w:t>n interpreter for translation purposes</w:t>
            </w:r>
          </w:p>
        </w:tc>
      </w:tr>
      <w:tr w:rsidR="00EE1188" w:rsidRPr="009859C0" w14:paraId="0B1C416B" w14:textId="77777777" w:rsidTr="00E94D8C">
        <w:tc>
          <w:tcPr>
            <w:cnfStyle w:val="001000000000" w:firstRow="0" w:lastRow="0" w:firstColumn="1" w:lastColumn="0" w:oddVBand="0" w:evenVBand="0" w:oddHBand="0" w:evenHBand="0" w:firstRowFirstColumn="0" w:firstRowLastColumn="0" w:lastRowFirstColumn="0" w:lastRowLastColumn="0"/>
            <w:tcW w:w="4673" w:type="dxa"/>
          </w:tcPr>
          <w:p w14:paraId="7AD79998" w14:textId="7A0752A3" w:rsidR="00EE1188" w:rsidRPr="00EE1188" w:rsidRDefault="00C71DF5" w:rsidP="004542B7">
            <w:pPr>
              <w:rPr>
                <w:b w:val="0"/>
                <w:color w:val="auto"/>
              </w:rPr>
            </w:pPr>
            <w:r>
              <w:rPr>
                <w:b w:val="0"/>
                <w:color w:val="auto"/>
              </w:rPr>
              <w:t xml:space="preserve">has </w:t>
            </w:r>
            <w:r w:rsidR="00C03BDC">
              <w:rPr>
                <w:b w:val="0"/>
                <w:color w:val="auto"/>
              </w:rPr>
              <w:t>lows levels of literacy</w:t>
            </w:r>
          </w:p>
        </w:tc>
        <w:tc>
          <w:tcPr>
            <w:tcW w:w="4051" w:type="dxa"/>
          </w:tcPr>
          <w:p w14:paraId="3C2C5095" w14:textId="3F2E06E2" w:rsidR="00EE1188" w:rsidRPr="009859C0" w:rsidRDefault="004542B7" w:rsidP="004542B7">
            <w:pPr>
              <w:cnfStyle w:val="000000000000" w:firstRow="0" w:lastRow="0" w:firstColumn="0" w:lastColumn="0" w:oddVBand="0" w:evenVBand="0" w:oddHBand="0" w:evenHBand="0" w:firstRowFirstColumn="0" w:firstRowLastColumn="0" w:lastRowFirstColumn="0" w:lastRowLastColumn="0"/>
              <w:rPr>
                <w:color w:val="auto"/>
              </w:rPr>
            </w:pPr>
            <w:r>
              <w:rPr>
                <w:color w:val="auto"/>
              </w:rPr>
              <w:t>a</w:t>
            </w:r>
            <w:r w:rsidR="00EE1188">
              <w:rPr>
                <w:color w:val="auto"/>
              </w:rPr>
              <w:t>n independent person to assist</w:t>
            </w:r>
          </w:p>
        </w:tc>
      </w:tr>
      <w:tr w:rsidR="00EE1188" w:rsidRPr="009859C0" w14:paraId="69429AC5" w14:textId="77777777" w:rsidTr="00E9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6065ED1" w14:textId="6C6023F9" w:rsidR="00EE1188" w:rsidRPr="00EE1188" w:rsidRDefault="00C71DF5" w:rsidP="00374BAE">
            <w:pPr>
              <w:rPr>
                <w:b w:val="0"/>
                <w:color w:val="auto"/>
              </w:rPr>
            </w:pPr>
            <w:r w:rsidRPr="00EE1188">
              <w:rPr>
                <w:b w:val="0"/>
                <w:color w:val="auto"/>
              </w:rPr>
              <w:t xml:space="preserve">has </w:t>
            </w:r>
            <w:r w:rsidR="00EE1188" w:rsidRPr="00EE1188">
              <w:rPr>
                <w:b w:val="0"/>
                <w:color w:val="auto"/>
              </w:rPr>
              <w:t>a mental, physical or other impairment that prevents them from understanding the notice</w:t>
            </w:r>
          </w:p>
        </w:tc>
        <w:tc>
          <w:tcPr>
            <w:tcW w:w="4051" w:type="dxa"/>
          </w:tcPr>
          <w:p w14:paraId="4D705390" w14:textId="4D22F5B1" w:rsidR="00EE1188" w:rsidRPr="009859C0" w:rsidRDefault="00C71DF5" w:rsidP="00374BAE">
            <w:pPr>
              <w:cnfStyle w:val="000000100000" w:firstRow="0" w:lastRow="0" w:firstColumn="0" w:lastColumn="0" w:oddVBand="0" w:evenVBand="0" w:oddHBand="1" w:evenHBand="0" w:firstRowFirstColumn="0" w:firstRowLastColumn="0" w:lastRowFirstColumn="0" w:lastRowLastColumn="0"/>
              <w:rPr>
                <w:color w:val="auto"/>
              </w:rPr>
            </w:pPr>
            <w:r>
              <w:rPr>
                <w:color w:val="auto"/>
              </w:rPr>
              <w:t>a</w:t>
            </w:r>
            <w:r w:rsidRPr="00127AEA">
              <w:rPr>
                <w:color w:val="auto"/>
              </w:rPr>
              <w:t xml:space="preserve">n </w:t>
            </w:r>
            <w:r w:rsidR="00EE1188" w:rsidRPr="00127AEA">
              <w:rPr>
                <w:color w:val="auto"/>
              </w:rPr>
              <w:t>independent person to assist</w:t>
            </w:r>
          </w:p>
        </w:tc>
      </w:tr>
      <w:tr w:rsidR="00EE1188" w:rsidRPr="009859C0" w14:paraId="23811C92" w14:textId="77777777" w:rsidTr="00E94D8C">
        <w:tc>
          <w:tcPr>
            <w:cnfStyle w:val="001000000000" w:firstRow="0" w:lastRow="0" w:firstColumn="1" w:lastColumn="0" w:oddVBand="0" w:evenVBand="0" w:oddHBand="0" w:evenHBand="0" w:firstRowFirstColumn="0" w:firstRowLastColumn="0" w:lastRowFirstColumn="0" w:lastRowLastColumn="0"/>
            <w:tcW w:w="4673" w:type="dxa"/>
          </w:tcPr>
          <w:p w14:paraId="3B386124" w14:textId="39AADFFB" w:rsidR="00EE1188" w:rsidRPr="00EE1188" w:rsidRDefault="00C71DF5" w:rsidP="00374BAE">
            <w:pPr>
              <w:rPr>
                <w:b w:val="0"/>
                <w:color w:val="auto"/>
              </w:rPr>
            </w:pPr>
            <w:r w:rsidRPr="00EE1188">
              <w:rPr>
                <w:b w:val="0"/>
                <w:color w:val="auto"/>
              </w:rPr>
              <w:t xml:space="preserve">is </w:t>
            </w:r>
            <w:r w:rsidR="00EE1188" w:rsidRPr="00EE1188">
              <w:rPr>
                <w:b w:val="0"/>
                <w:color w:val="auto"/>
              </w:rPr>
              <w:t>under the age of 18 years</w:t>
            </w:r>
          </w:p>
        </w:tc>
        <w:tc>
          <w:tcPr>
            <w:tcW w:w="4051" w:type="dxa"/>
          </w:tcPr>
          <w:p w14:paraId="7CF3794B" w14:textId="5B0FBE26" w:rsidR="00EE1188" w:rsidRPr="009859C0" w:rsidRDefault="00C71DF5" w:rsidP="00374BAE">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a </w:t>
            </w:r>
            <w:r w:rsidR="00EE1188">
              <w:rPr>
                <w:color w:val="auto"/>
              </w:rPr>
              <w:t>parent, guardian or independent person</w:t>
            </w:r>
          </w:p>
        </w:tc>
      </w:tr>
      <w:tr w:rsidR="00EE1188" w:rsidRPr="009859C0" w14:paraId="1B20FE88" w14:textId="77777777" w:rsidTr="00E9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B31DD4A" w14:textId="7387179D" w:rsidR="00EE1188" w:rsidRPr="00EE1188" w:rsidRDefault="00C71DF5" w:rsidP="00374BAE">
            <w:pPr>
              <w:rPr>
                <w:b w:val="0"/>
                <w:color w:val="auto"/>
              </w:rPr>
            </w:pPr>
            <w:r w:rsidRPr="00EE1188">
              <w:rPr>
                <w:b w:val="0"/>
                <w:color w:val="auto"/>
              </w:rPr>
              <w:t xml:space="preserve">wishes </w:t>
            </w:r>
            <w:r w:rsidR="00EE1188" w:rsidRPr="00EE1188">
              <w:rPr>
                <w:b w:val="0"/>
                <w:color w:val="auto"/>
              </w:rPr>
              <w:t>to obtain legal advice or representation about the complaint, the notice or any obligations arising under the Act</w:t>
            </w:r>
          </w:p>
        </w:tc>
        <w:tc>
          <w:tcPr>
            <w:tcW w:w="4051" w:type="dxa"/>
          </w:tcPr>
          <w:p w14:paraId="330327F7" w14:textId="0A606FF3" w:rsidR="00EE1188" w:rsidRDefault="00C71DF5" w:rsidP="00374BAE">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 </w:t>
            </w:r>
            <w:r w:rsidR="00EE1188">
              <w:rPr>
                <w:color w:val="auto"/>
              </w:rPr>
              <w:t>lawyer for the purpose of receiving legal advice or representation</w:t>
            </w:r>
          </w:p>
        </w:tc>
      </w:tr>
    </w:tbl>
    <w:p w14:paraId="51EF6A9B" w14:textId="53116378" w:rsidR="00EE1188" w:rsidRPr="00EE1188" w:rsidRDefault="00485950" w:rsidP="00EE1188">
      <w:pPr>
        <w:spacing w:before="240"/>
        <w:rPr>
          <w:color w:val="auto"/>
        </w:rPr>
      </w:pPr>
      <w:r>
        <w:rPr>
          <w:color w:val="auto"/>
        </w:rPr>
        <w:t>D</w:t>
      </w:r>
      <w:r w:rsidR="004542B7">
        <w:rPr>
          <w:color w:val="auto"/>
        </w:rPr>
        <w:t>isclosures are</w:t>
      </w:r>
      <w:r>
        <w:rPr>
          <w:color w:val="auto"/>
        </w:rPr>
        <w:t xml:space="preserve"> also</w:t>
      </w:r>
      <w:r w:rsidR="004542B7">
        <w:rPr>
          <w:color w:val="auto"/>
        </w:rPr>
        <w:t xml:space="preserve"> permitted if the information:</w:t>
      </w:r>
    </w:p>
    <w:p w14:paraId="6C257C44" w14:textId="2A0C648E" w:rsidR="004542B7" w:rsidRDefault="005E7184" w:rsidP="00EE1188">
      <w:pPr>
        <w:pStyle w:val="ListParagraph"/>
        <w:numPr>
          <w:ilvl w:val="0"/>
          <w:numId w:val="4"/>
        </w:numPr>
        <w:ind w:left="360"/>
        <w:rPr>
          <w:color w:val="auto"/>
        </w:rPr>
      </w:pPr>
      <w:r>
        <w:rPr>
          <w:color w:val="auto"/>
        </w:rPr>
        <w:t>w</w:t>
      </w:r>
      <w:r w:rsidR="004542B7">
        <w:rPr>
          <w:color w:val="auto"/>
        </w:rPr>
        <w:t xml:space="preserve">as </w:t>
      </w:r>
      <w:r w:rsidR="00EE1188">
        <w:rPr>
          <w:color w:val="auto"/>
        </w:rPr>
        <w:t>disclosed to a lawyer in order to receive legal advice or representation</w:t>
      </w:r>
    </w:p>
    <w:p w14:paraId="0CFFCBDC" w14:textId="35842857" w:rsidR="00EE1188" w:rsidRDefault="005E7184" w:rsidP="00EE1188">
      <w:pPr>
        <w:pStyle w:val="ListParagraph"/>
        <w:numPr>
          <w:ilvl w:val="0"/>
          <w:numId w:val="4"/>
        </w:numPr>
        <w:ind w:left="360"/>
        <w:rPr>
          <w:color w:val="auto"/>
        </w:rPr>
      </w:pPr>
      <w:r>
        <w:rPr>
          <w:color w:val="auto"/>
        </w:rPr>
        <w:t>w</w:t>
      </w:r>
      <w:r w:rsidR="004542B7">
        <w:rPr>
          <w:color w:val="auto"/>
        </w:rPr>
        <w:t>as disclosed by such a lawyer in order to comply with their professional obligations</w:t>
      </w:r>
    </w:p>
    <w:p w14:paraId="3ABF0A71" w14:textId="387A51FC" w:rsidR="004542B7" w:rsidRDefault="005E7184" w:rsidP="00EE1188">
      <w:pPr>
        <w:pStyle w:val="ListParagraph"/>
        <w:numPr>
          <w:ilvl w:val="0"/>
          <w:numId w:val="4"/>
        </w:numPr>
        <w:ind w:left="360"/>
        <w:rPr>
          <w:color w:val="auto"/>
        </w:rPr>
      </w:pPr>
      <w:r>
        <w:rPr>
          <w:color w:val="auto"/>
        </w:rPr>
        <w:t>h</w:t>
      </w:r>
      <w:r w:rsidR="00EE1188" w:rsidRPr="00EE1188">
        <w:rPr>
          <w:color w:val="auto"/>
        </w:rPr>
        <w:t>as already been published by the Inspector</w:t>
      </w:r>
    </w:p>
    <w:p w14:paraId="23CE5073" w14:textId="68E7FF57" w:rsidR="004542B7" w:rsidRDefault="005E7184" w:rsidP="00EE1188">
      <w:pPr>
        <w:pStyle w:val="ListParagraph"/>
        <w:numPr>
          <w:ilvl w:val="0"/>
          <w:numId w:val="4"/>
        </w:numPr>
        <w:ind w:left="360"/>
        <w:rPr>
          <w:color w:val="auto"/>
        </w:rPr>
      </w:pPr>
      <w:r>
        <w:rPr>
          <w:color w:val="auto"/>
        </w:rPr>
        <w:t>i</w:t>
      </w:r>
      <w:r w:rsidR="00EE1188" w:rsidRPr="00EE1188">
        <w:rPr>
          <w:color w:val="auto"/>
        </w:rPr>
        <w:t xml:space="preserve">s otherwise authorised or required </w:t>
      </w:r>
      <w:r w:rsidR="004542B7">
        <w:rPr>
          <w:color w:val="auto"/>
        </w:rPr>
        <w:t xml:space="preserve">to be disclosed </w:t>
      </w:r>
      <w:r w:rsidR="00EE1188" w:rsidRPr="00EE1188">
        <w:rPr>
          <w:color w:val="auto"/>
        </w:rPr>
        <w:t>by the Act</w:t>
      </w:r>
      <w:r w:rsidR="00EE1188">
        <w:rPr>
          <w:color w:val="auto"/>
        </w:rPr>
        <w:t>.</w:t>
      </w:r>
    </w:p>
    <w:p w14:paraId="7EBE3EDF" w14:textId="00B59972" w:rsidR="004542B7" w:rsidRPr="00EE1188" w:rsidRDefault="004542B7" w:rsidP="004542B7">
      <w:pPr>
        <w:pStyle w:val="Heading1"/>
        <w:rPr>
          <w:color w:val="5B9BD5" w:themeColor="accent1"/>
        </w:rPr>
      </w:pPr>
      <w:bookmarkStart w:id="42" w:name="_Referrals_to_other"/>
      <w:bookmarkStart w:id="43" w:name="_Toc12463347"/>
      <w:bookmarkEnd w:id="42"/>
      <w:r>
        <w:rPr>
          <w:color w:val="5B9BD5" w:themeColor="accent1"/>
        </w:rPr>
        <w:t>Referrals to other entities</w:t>
      </w:r>
      <w:bookmarkEnd w:id="43"/>
    </w:p>
    <w:p w14:paraId="4611C1EE" w14:textId="77777777" w:rsidR="004542B7" w:rsidRDefault="004542B7" w:rsidP="004542B7">
      <w:pPr>
        <w:rPr>
          <w:color w:val="auto"/>
        </w:rPr>
      </w:pPr>
      <w:r>
        <w:rPr>
          <w:color w:val="auto"/>
        </w:rPr>
        <w:t>The Inspector or delegate can refer a complaint to any of the following bodies (referral entities):</w:t>
      </w:r>
    </w:p>
    <w:p w14:paraId="3249AB1E" w14:textId="77777777" w:rsidR="004542B7" w:rsidRDefault="004542B7" w:rsidP="0096677E">
      <w:pPr>
        <w:pStyle w:val="ListParagraph"/>
        <w:numPr>
          <w:ilvl w:val="0"/>
          <w:numId w:val="4"/>
        </w:numPr>
        <w:ind w:left="360"/>
        <w:rPr>
          <w:color w:val="auto"/>
        </w:rPr>
      </w:pPr>
      <w:r>
        <w:rPr>
          <w:color w:val="auto"/>
        </w:rPr>
        <w:t>the Commission</w:t>
      </w:r>
    </w:p>
    <w:p w14:paraId="4F3667B4" w14:textId="48BF00F6" w:rsidR="004542B7" w:rsidRDefault="004542B7" w:rsidP="0096677E">
      <w:pPr>
        <w:pStyle w:val="ListParagraph"/>
        <w:numPr>
          <w:ilvl w:val="0"/>
          <w:numId w:val="4"/>
        </w:numPr>
        <w:ind w:left="360"/>
        <w:rPr>
          <w:color w:val="auto"/>
        </w:rPr>
      </w:pPr>
      <w:r>
        <w:rPr>
          <w:color w:val="auto"/>
        </w:rPr>
        <w:t>the Public Sector Standards Commissioner</w:t>
      </w:r>
    </w:p>
    <w:p w14:paraId="75353B01" w14:textId="77777777" w:rsidR="004542B7" w:rsidRDefault="004542B7" w:rsidP="0096677E">
      <w:pPr>
        <w:pStyle w:val="ListParagraph"/>
        <w:numPr>
          <w:ilvl w:val="0"/>
          <w:numId w:val="4"/>
        </w:numPr>
        <w:ind w:left="360"/>
        <w:rPr>
          <w:color w:val="auto"/>
        </w:rPr>
      </w:pPr>
      <w:r>
        <w:rPr>
          <w:color w:val="auto"/>
        </w:rPr>
        <w:t>the Legislative Assembly Commissioner for standards.</w:t>
      </w:r>
    </w:p>
    <w:p w14:paraId="162594AB" w14:textId="77777777" w:rsidR="004542B7" w:rsidRDefault="004542B7" w:rsidP="004542B7">
      <w:pPr>
        <w:ind w:right="-338"/>
        <w:rPr>
          <w:color w:val="auto"/>
        </w:rPr>
      </w:pPr>
      <w:r>
        <w:rPr>
          <w:color w:val="auto"/>
        </w:rPr>
        <w:t xml:space="preserve">If a complaint indicates or alleges criminal conduct, a referral can also be made to a: </w:t>
      </w:r>
    </w:p>
    <w:p w14:paraId="3AC52EFA" w14:textId="6294C969" w:rsidR="004542B7" w:rsidRPr="002E7DB1" w:rsidRDefault="004542B7" w:rsidP="0096677E">
      <w:pPr>
        <w:pStyle w:val="ListParagraph"/>
        <w:numPr>
          <w:ilvl w:val="0"/>
          <w:numId w:val="4"/>
        </w:numPr>
        <w:ind w:left="360"/>
        <w:rPr>
          <w:color w:val="auto"/>
        </w:rPr>
      </w:pPr>
      <w:r>
        <w:rPr>
          <w:color w:val="auto"/>
        </w:rPr>
        <w:t>l</w:t>
      </w:r>
      <w:r w:rsidRPr="002E7DB1">
        <w:rPr>
          <w:color w:val="auto"/>
        </w:rPr>
        <w:t xml:space="preserve">aw enforcement agency </w:t>
      </w:r>
    </w:p>
    <w:p w14:paraId="39A7F1E8" w14:textId="7CB35939" w:rsidR="004542B7" w:rsidRDefault="004542B7" w:rsidP="0096677E">
      <w:pPr>
        <w:pStyle w:val="ListParagraph"/>
        <w:numPr>
          <w:ilvl w:val="0"/>
          <w:numId w:val="4"/>
        </w:numPr>
        <w:ind w:left="360"/>
        <w:rPr>
          <w:color w:val="auto"/>
        </w:rPr>
      </w:pPr>
      <w:r>
        <w:rPr>
          <w:color w:val="auto"/>
        </w:rPr>
        <w:t>p</w:t>
      </w:r>
      <w:r w:rsidRPr="002E7DB1">
        <w:rPr>
          <w:color w:val="auto"/>
        </w:rPr>
        <w:t>rosecutorial body.</w:t>
      </w:r>
    </w:p>
    <w:p w14:paraId="21DE55EC" w14:textId="00FFBE81" w:rsidR="004542B7" w:rsidRPr="00E94D8C" w:rsidRDefault="004542B7">
      <w:pPr>
        <w:pStyle w:val="Heading1"/>
        <w:rPr>
          <w:color w:val="5B9BD5" w:themeColor="accent1"/>
        </w:rPr>
      </w:pPr>
      <w:bookmarkStart w:id="44" w:name="_Internal_review"/>
      <w:bookmarkStart w:id="45" w:name="_Toc12463348"/>
      <w:bookmarkEnd w:id="44"/>
      <w:r w:rsidRPr="00E94D8C">
        <w:rPr>
          <w:color w:val="5B9BD5" w:themeColor="accent1"/>
        </w:rPr>
        <w:t>Internal review</w:t>
      </w:r>
      <w:bookmarkEnd w:id="45"/>
    </w:p>
    <w:p w14:paraId="782C9005" w14:textId="13025132" w:rsidR="00EC4866" w:rsidRDefault="00EC4866" w:rsidP="004542B7">
      <w:pPr>
        <w:spacing w:before="24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If a complainant disagrees with our final decision</w:t>
      </w:r>
      <w:r w:rsidR="009C0754">
        <w:rPr>
          <w:rFonts w:asciiTheme="minorHAnsi" w:eastAsia="Times New Roman" w:hAnsiTheme="minorHAnsi" w:cstheme="minorHAnsi"/>
          <w:color w:val="000000"/>
          <w:lang w:eastAsia="en-AU"/>
        </w:rPr>
        <w:t xml:space="preserve">, they can ask us to review it. Such requests must be made in writing within three months of </w:t>
      </w:r>
      <w:r w:rsidR="005D4AB6">
        <w:rPr>
          <w:rFonts w:asciiTheme="minorHAnsi" w:eastAsia="Times New Roman" w:hAnsiTheme="minorHAnsi" w:cstheme="minorHAnsi"/>
          <w:color w:val="000000"/>
          <w:lang w:eastAsia="en-AU"/>
        </w:rPr>
        <w:t xml:space="preserve">the </w:t>
      </w:r>
      <w:r w:rsidR="009C0754">
        <w:rPr>
          <w:rFonts w:asciiTheme="minorHAnsi" w:eastAsia="Times New Roman" w:hAnsiTheme="minorHAnsi" w:cstheme="minorHAnsi"/>
          <w:color w:val="000000"/>
          <w:lang w:eastAsia="en-AU"/>
        </w:rPr>
        <w:t>decision</w:t>
      </w:r>
      <w:r w:rsidR="005D4AB6">
        <w:rPr>
          <w:rFonts w:asciiTheme="minorHAnsi" w:eastAsia="Times New Roman" w:hAnsiTheme="minorHAnsi" w:cstheme="minorHAnsi"/>
          <w:color w:val="000000"/>
          <w:lang w:eastAsia="en-AU"/>
        </w:rPr>
        <w:t>.</w:t>
      </w:r>
    </w:p>
    <w:p w14:paraId="3A062A25" w14:textId="47A80571" w:rsidR="004542B7" w:rsidRDefault="004542B7" w:rsidP="004542B7">
      <w:pPr>
        <w:spacing w:before="24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Matters will only be reviewed once</w:t>
      </w:r>
      <w:r w:rsidR="005E7184">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and the complainant will need to explain </w:t>
      </w:r>
      <w:r w:rsidR="005D4AB6">
        <w:rPr>
          <w:rFonts w:asciiTheme="minorHAnsi" w:eastAsia="Times New Roman" w:hAnsiTheme="minorHAnsi" w:cstheme="minorHAnsi"/>
          <w:color w:val="000000"/>
          <w:lang w:eastAsia="en-AU"/>
        </w:rPr>
        <w:t xml:space="preserve">in their written request </w:t>
      </w:r>
      <w:r>
        <w:rPr>
          <w:rFonts w:asciiTheme="minorHAnsi" w:eastAsia="Times New Roman" w:hAnsiTheme="minorHAnsi" w:cstheme="minorHAnsi"/>
          <w:color w:val="000000"/>
          <w:lang w:eastAsia="en-AU"/>
        </w:rPr>
        <w:t xml:space="preserve">how or why </w:t>
      </w:r>
      <w:r w:rsidR="00C03BDC">
        <w:rPr>
          <w:rFonts w:asciiTheme="minorHAnsi" w:eastAsia="Times New Roman" w:hAnsiTheme="minorHAnsi" w:cstheme="minorHAnsi"/>
          <w:color w:val="000000"/>
          <w:lang w:eastAsia="en-AU"/>
        </w:rPr>
        <w:t xml:space="preserve">they </w:t>
      </w:r>
      <w:r w:rsidR="009C0754">
        <w:rPr>
          <w:rFonts w:asciiTheme="minorHAnsi" w:eastAsia="Times New Roman" w:hAnsiTheme="minorHAnsi" w:cstheme="minorHAnsi"/>
          <w:color w:val="000000"/>
          <w:lang w:eastAsia="en-AU"/>
        </w:rPr>
        <w:t>b</w:t>
      </w:r>
      <w:r>
        <w:rPr>
          <w:rFonts w:asciiTheme="minorHAnsi" w:eastAsia="Times New Roman" w:hAnsiTheme="minorHAnsi" w:cstheme="minorHAnsi"/>
          <w:color w:val="000000"/>
          <w:lang w:eastAsia="en-AU"/>
        </w:rPr>
        <w:t>elieve the Inspector reached the wrong decision</w:t>
      </w:r>
      <w:r w:rsidR="005D4AB6">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w:t>
      </w:r>
    </w:p>
    <w:p w14:paraId="5C767BE2" w14:textId="77777777" w:rsidR="009C0754" w:rsidRDefault="009C0754" w:rsidP="009C0754">
      <w:pPr>
        <w:spacing w:before="24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The procedural instructions will outline the processing steps for such internal reviews.</w:t>
      </w:r>
    </w:p>
    <w:p w14:paraId="28A4CEAF" w14:textId="3D18A238" w:rsidR="004542B7" w:rsidRPr="00EE1188" w:rsidRDefault="004542B7" w:rsidP="004542B7">
      <w:pPr>
        <w:pStyle w:val="Heading1"/>
        <w:rPr>
          <w:color w:val="5B9BD5" w:themeColor="accent1"/>
        </w:rPr>
      </w:pPr>
      <w:bookmarkStart w:id="46" w:name="_Toc12463349"/>
      <w:r>
        <w:rPr>
          <w:color w:val="5B9BD5" w:themeColor="accent1"/>
        </w:rPr>
        <w:lastRenderedPageBreak/>
        <w:t>Records</w:t>
      </w:r>
      <w:bookmarkEnd w:id="46"/>
    </w:p>
    <w:p w14:paraId="4DFD6037" w14:textId="2B42437F" w:rsidR="004542B7" w:rsidRDefault="004542B7" w:rsidP="004542B7">
      <w:pPr>
        <w:spacing w:before="24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The Inspector will keep comprehensive records of how we manage complaints</w:t>
      </w:r>
      <w:r w:rsidR="005D4AB6">
        <w:rPr>
          <w:rFonts w:asciiTheme="minorHAnsi" w:eastAsia="Times New Roman" w:hAnsiTheme="minorHAnsi" w:cstheme="minorHAnsi"/>
          <w:color w:val="000000"/>
          <w:lang w:eastAsia="en-AU"/>
        </w:rPr>
        <w:t>,</w:t>
      </w:r>
      <w:r>
        <w:rPr>
          <w:rFonts w:asciiTheme="minorHAnsi" w:eastAsia="Times New Roman" w:hAnsiTheme="minorHAnsi" w:cstheme="minorHAnsi"/>
          <w:color w:val="000000"/>
          <w:lang w:eastAsia="en-AU"/>
        </w:rPr>
        <w:t xml:space="preserve"> to </w:t>
      </w:r>
      <w:r w:rsidR="005D4AB6">
        <w:rPr>
          <w:rFonts w:asciiTheme="minorHAnsi" w:eastAsia="Times New Roman" w:hAnsiTheme="minorHAnsi" w:cstheme="minorHAnsi"/>
          <w:color w:val="000000"/>
          <w:lang w:eastAsia="en-AU"/>
        </w:rPr>
        <w:t>help</w:t>
      </w:r>
      <w:r>
        <w:rPr>
          <w:rFonts w:asciiTheme="minorHAnsi" w:eastAsia="Times New Roman" w:hAnsiTheme="minorHAnsi" w:cstheme="minorHAnsi"/>
          <w:color w:val="000000"/>
          <w:lang w:eastAsia="en-AU"/>
        </w:rPr>
        <w:t xml:space="preserve"> with any internal review practices and ensure that outcomes are properly implemented, monitored and reported. </w:t>
      </w:r>
    </w:p>
    <w:p w14:paraId="1CF3D14B" w14:textId="2434C573" w:rsidR="0096677E" w:rsidRPr="00EE1188" w:rsidRDefault="0096677E" w:rsidP="0096677E">
      <w:pPr>
        <w:pStyle w:val="Heading1"/>
        <w:rPr>
          <w:color w:val="5B9BD5" w:themeColor="accent1"/>
        </w:rPr>
      </w:pPr>
      <w:bookmarkStart w:id="47" w:name="_Toc12463350"/>
      <w:r>
        <w:rPr>
          <w:color w:val="5B9BD5" w:themeColor="accent1"/>
        </w:rPr>
        <w:t>Review of policy</w:t>
      </w:r>
      <w:bookmarkEnd w:id="47"/>
      <w:r>
        <w:rPr>
          <w:color w:val="5B9BD5" w:themeColor="accent1"/>
        </w:rPr>
        <w:t xml:space="preserve"> </w:t>
      </w:r>
    </w:p>
    <w:p w14:paraId="50B0EE0E" w14:textId="69257ED1" w:rsidR="0096677E" w:rsidRPr="004542B7" w:rsidRDefault="0096677E" w:rsidP="0096677E">
      <w:pPr>
        <w:spacing w:before="240"/>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This policy will be reviewed six months after the commencement of the operation of the Inspector and then on an annual basis to ensure the effectiveness and efficiency of our complaint management system. These reviews will take into account feedback received from staff, the</w:t>
      </w:r>
      <w:r w:rsidR="005E7184">
        <w:rPr>
          <w:rFonts w:asciiTheme="minorHAnsi" w:eastAsia="Times New Roman" w:hAnsiTheme="minorHAnsi" w:cstheme="minorHAnsi"/>
          <w:color w:val="000000"/>
          <w:lang w:eastAsia="en-AU"/>
        </w:rPr>
        <w:t> </w:t>
      </w:r>
      <w:r>
        <w:rPr>
          <w:rFonts w:asciiTheme="minorHAnsi" w:eastAsia="Times New Roman" w:hAnsiTheme="minorHAnsi" w:cstheme="minorHAnsi"/>
          <w:color w:val="000000"/>
          <w:lang w:eastAsia="en-AU"/>
        </w:rPr>
        <w:t>Commission and complainants.</w:t>
      </w:r>
    </w:p>
    <w:sectPr w:rsidR="0096677E" w:rsidRPr="004542B7" w:rsidSect="00DC6FA7">
      <w:headerReference w:type="first" r:id="rId18"/>
      <w:pgSz w:w="11894" w:h="16834" w:code="9"/>
      <w:pgMar w:top="1440" w:right="1580" w:bottom="1140" w:left="1580" w:header="706" w:footer="706"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572A5" w14:textId="77777777" w:rsidR="006B6ECC" w:rsidRDefault="006B6ECC">
      <w:r>
        <w:separator/>
      </w:r>
    </w:p>
  </w:endnote>
  <w:endnote w:type="continuationSeparator" w:id="0">
    <w:p w14:paraId="1AEC9528" w14:textId="77777777" w:rsidR="006B6ECC" w:rsidRDefault="006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F94D" w14:textId="77777777" w:rsidR="00480033" w:rsidRDefault="00480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3DC029" w14:textId="77777777" w:rsidR="00480033" w:rsidRDefault="00480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06DA" w14:textId="4539136E" w:rsidR="00FB634E" w:rsidRPr="00045A23" w:rsidRDefault="00FB634E" w:rsidP="00FB634E">
    <w:pPr>
      <w:pStyle w:val="Footer"/>
      <w:spacing w:after="0"/>
      <w:jc w:val="center"/>
    </w:pPr>
    <w:r>
      <w:fldChar w:fldCharType="begin"/>
    </w:r>
    <w:r>
      <w:instrText xml:space="preserve"> PAGE   \* MERGEFORMAT </w:instrText>
    </w:r>
    <w:r>
      <w:fldChar w:fldCharType="separate"/>
    </w:r>
    <w:r>
      <w:t>4</w:t>
    </w:r>
    <w:r>
      <w:rPr>
        <w:noProof/>
      </w:rPr>
      <w:fldChar w:fldCharType="end"/>
    </w:r>
  </w:p>
  <w:p w14:paraId="77E07E57" w14:textId="7323F555" w:rsidR="00480033" w:rsidRPr="00005BEF" w:rsidRDefault="00005BEF" w:rsidP="00005BEF">
    <w:pPr>
      <w:pStyle w:val="Footer"/>
      <w:spacing w:after="0"/>
      <w:jc w:val="center"/>
      <w:rPr>
        <w:rFonts w:ascii="Arial" w:hAnsi="Arial" w:cs="Arial"/>
        <w:color w:val="auto"/>
        <w:sz w:val="14"/>
      </w:rPr>
    </w:pPr>
    <w:r w:rsidRPr="00005BEF">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1E24" w14:textId="77777777" w:rsidR="00FB634E" w:rsidRPr="00BC767C" w:rsidRDefault="00FB634E" w:rsidP="00FB634E">
    <w:pPr>
      <w:pStyle w:val="Footer"/>
      <w:rPr>
        <w:rFonts w:ascii="Arial" w:hAnsi="Arial" w:cs="Arial"/>
        <w:color w:val="auto"/>
        <w:sz w:val="18"/>
        <w:szCs w:val="18"/>
      </w:rPr>
    </w:pPr>
    <w:r w:rsidRPr="00BC767C">
      <w:rPr>
        <w:rFonts w:ascii="Arial" w:hAnsi="Arial" w:cs="Arial"/>
        <w:color w:val="auto"/>
        <w:sz w:val="18"/>
        <w:szCs w:val="18"/>
      </w:rPr>
      <w:t>*Name amended under Legislation Act, s 60</w:t>
    </w:r>
  </w:p>
  <w:p w14:paraId="70A3E2E3" w14:textId="5BD0C50A" w:rsidR="00FB634E" w:rsidRPr="00005BEF" w:rsidRDefault="00005BEF" w:rsidP="00005BEF">
    <w:pPr>
      <w:pStyle w:val="Footer"/>
      <w:jc w:val="center"/>
      <w:rPr>
        <w:rFonts w:ascii="Arial" w:hAnsi="Arial" w:cs="Arial"/>
        <w:color w:val="auto"/>
        <w:sz w:val="14"/>
      </w:rPr>
    </w:pPr>
    <w:r w:rsidRPr="00005BEF">
      <w:rPr>
        <w:rFonts w:ascii="Arial" w:hAnsi="Arial" w:cs="Arial"/>
        <w:color w:val="auto"/>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E4B" w14:textId="77777777" w:rsidR="001915DD" w:rsidRPr="00045A23" w:rsidRDefault="001915DD" w:rsidP="00FB634E">
    <w:pPr>
      <w:pStyle w:val="Footer"/>
      <w:spacing w:after="0"/>
      <w:jc w:val="center"/>
    </w:pPr>
    <w:r>
      <w:fldChar w:fldCharType="begin"/>
    </w:r>
    <w:r>
      <w:instrText xml:space="preserve"> PAGE   \* MERGEFORMAT </w:instrText>
    </w:r>
    <w:r>
      <w:fldChar w:fldCharType="separate"/>
    </w:r>
    <w:r>
      <w:t>4</w:t>
    </w:r>
    <w:r>
      <w:rPr>
        <w:noProof/>
      </w:rPr>
      <w:fldChar w:fldCharType="end"/>
    </w:r>
  </w:p>
  <w:p w14:paraId="6C8DF194" w14:textId="044BF51A" w:rsidR="001915DD" w:rsidRPr="00005BEF" w:rsidRDefault="00005BEF" w:rsidP="00005BEF">
    <w:pPr>
      <w:pStyle w:val="Footer"/>
      <w:spacing w:after="0"/>
      <w:jc w:val="center"/>
      <w:rPr>
        <w:rFonts w:ascii="Arial" w:hAnsi="Arial" w:cs="Arial"/>
        <w:color w:val="auto"/>
        <w:sz w:val="14"/>
      </w:rPr>
    </w:pPr>
    <w:r w:rsidRPr="00005BEF">
      <w:rPr>
        <w:rFonts w:ascii="Arial" w:hAnsi="Arial" w:cs="Arial"/>
        <w:color w:val="auto"/>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1553" w14:textId="79AEC0E3" w:rsidR="00045A23" w:rsidRDefault="00045A23" w:rsidP="003803E3">
    <w:pPr>
      <w:pStyle w:val="Footer"/>
      <w:spacing w:after="0"/>
      <w:jc w:val="center"/>
      <w:rPr>
        <w:noProof/>
      </w:rPr>
    </w:pPr>
    <w:r>
      <w:fldChar w:fldCharType="begin"/>
    </w:r>
    <w:r>
      <w:instrText xml:space="preserve"> PAGE   \* MERGEFORMAT </w:instrText>
    </w:r>
    <w:r>
      <w:fldChar w:fldCharType="separate"/>
    </w:r>
    <w:r w:rsidR="00616047">
      <w:rPr>
        <w:noProof/>
      </w:rPr>
      <w:t>4</w:t>
    </w:r>
    <w:r>
      <w:rPr>
        <w:noProof/>
      </w:rPr>
      <w:fldChar w:fldCharType="end"/>
    </w:r>
  </w:p>
  <w:p w14:paraId="402AB8C1" w14:textId="4587C2E0" w:rsidR="003803E3" w:rsidRPr="00005BEF" w:rsidRDefault="00005BEF" w:rsidP="00005BEF">
    <w:pPr>
      <w:pStyle w:val="Footer"/>
      <w:spacing w:after="0"/>
      <w:jc w:val="center"/>
      <w:rPr>
        <w:rFonts w:ascii="Arial" w:hAnsi="Arial" w:cs="Arial"/>
        <w:color w:val="auto"/>
        <w:sz w:val="14"/>
      </w:rPr>
    </w:pPr>
    <w:r w:rsidRPr="00005BEF">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59F1" w14:textId="77777777" w:rsidR="006B6ECC" w:rsidRDefault="006B6ECC">
      <w:r>
        <w:separator/>
      </w:r>
    </w:p>
  </w:footnote>
  <w:footnote w:type="continuationSeparator" w:id="0">
    <w:p w14:paraId="5CD6989D" w14:textId="77777777" w:rsidR="006B6ECC" w:rsidRDefault="006B6ECC">
      <w:r>
        <w:continuationSeparator/>
      </w:r>
    </w:p>
  </w:footnote>
  <w:footnote w:id="1">
    <w:p w14:paraId="59702ED9" w14:textId="2AB732DA" w:rsidR="007A0B91" w:rsidRPr="00491C60" w:rsidRDefault="007A0B91">
      <w:pPr>
        <w:pStyle w:val="FootnoteText"/>
      </w:pPr>
      <w:r w:rsidRPr="00E94D8C">
        <w:rPr>
          <w:rStyle w:val="FootnoteReference"/>
          <w:i/>
          <w:color w:val="auto"/>
        </w:rPr>
        <w:footnoteRef/>
      </w:r>
      <w:r w:rsidRPr="00E94D8C">
        <w:rPr>
          <w:i/>
          <w:color w:val="auto"/>
        </w:rPr>
        <w:t xml:space="preserve"> </w:t>
      </w:r>
      <w:r w:rsidR="00E94D8C" w:rsidRPr="00E94D8C">
        <w:rPr>
          <w:color w:val="auto"/>
        </w:rPr>
        <w:t>See s 23(1)(a) of the</w:t>
      </w:r>
      <w:r w:rsidR="00E94D8C">
        <w:rPr>
          <w:i/>
          <w:color w:val="auto"/>
        </w:rPr>
        <w:t xml:space="preserve"> </w:t>
      </w:r>
      <w:r w:rsidR="005F7DC8" w:rsidRPr="00E94D8C">
        <w:rPr>
          <w:i/>
          <w:color w:val="auto"/>
        </w:rPr>
        <w:t>Integrity Commission Act 2018</w:t>
      </w:r>
      <w:r w:rsidR="005F7DC8">
        <w:rPr>
          <w:color w:val="auto"/>
        </w:rPr>
        <w:t xml:space="preserve"> (ACT).</w:t>
      </w:r>
    </w:p>
  </w:footnote>
  <w:footnote w:id="2">
    <w:p w14:paraId="09508F80" w14:textId="6F978E7C" w:rsidR="004542B7" w:rsidRPr="00491C60" w:rsidRDefault="004542B7">
      <w:pPr>
        <w:pStyle w:val="FootnoteText"/>
      </w:pPr>
      <w:r w:rsidRPr="00491C60">
        <w:rPr>
          <w:rStyle w:val="FootnoteReference"/>
          <w:color w:val="auto"/>
        </w:rPr>
        <w:footnoteRef/>
      </w:r>
      <w:r w:rsidRPr="00491C60">
        <w:rPr>
          <w:color w:val="auto"/>
        </w:rPr>
        <w:t xml:space="preserve"> </w:t>
      </w:r>
      <w:r w:rsidR="005F7DC8">
        <w:rPr>
          <w:color w:val="auto"/>
        </w:rPr>
        <w:t>Ibid</w:t>
      </w:r>
      <w:r w:rsidRPr="00491C60">
        <w:rPr>
          <w:color w:val="auto"/>
        </w:rPr>
        <w:t xml:space="preserve"> ss</w:t>
      </w:r>
      <w:r w:rsidR="005F7DC8">
        <w:rPr>
          <w:color w:val="auto"/>
        </w:rPr>
        <w:t xml:space="preserve"> </w:t>
      </w:r>
      <w:r w:rsidRPr="00491C60">
        <w:rPr>
          <w:color w:val="auto"/>
        </w:rPr>
        <w:t>9,</w:t>
      </w:r>
      <w:r w:rsidR="005F7DC8">
        <w:rPr>
          <w:color w:val="auto"/>
        </w:rPr>
        <w:t xml:space="preserve"> </w:t>
      </w:r>
      <w:r w:rsidRPr="00491C60">
        <w:rPr>
          <w:color w:val="auto"/>
        </w:rPr>
        <w:t>12 and 57</w:t>
      </w:r>
      <w:r w:rsidR="005F7DC8">
        <w:rPr>
          <w:color w:val="auto"/>
        </w:rPr>
        <w:t>.</w:t>
      </w:r>
    </w:p>
  </w:footnote>
  <w:footnote w:id="3">
    <w:p w14:paraId="2F99AA70" w14:textId="1651ACBA" w:rsidR="007A0B91" w:rsidRPr="00491C60" w:rsidRDefault="007A0B91">
      <w:pPr>
        <w:pStyle w:val="FootnoteText"/>
      </w:pPr>
      <w:r w:rsidRPr="00491C60">
        <w:rPr>
          <w:rStyle w:val="FootnoteReference"/>
          <w:color w:val="auto"/>
        </w:rPr>
        <w:footnoteRef/>
      </w:r>
      <w:r w:rsidRPr="00491C60">
        <w:rPr>
          <w:color w:val="auto"/>
        </w:rPr>
        <w:t xml:space="preserve"> </w:t>
      </w:r>
      <w:r w:rsidR="005F7DC8">
        <w:rPr>
          <w:color w:val="auto"/>
        </w:rPr>
        <w:t>Ibid</w:t>
      </w:r>
      <w:r w:rsidRPr="00491C60">
        <w:rPr>
          <w:color w:val="auto"/>
        </w:rPr>
        <w:t xml:space="preserve"> s</w:t>
      </w:r>
      <w:r w:rsidR="005F7DC8">
        <w:rPr>
          <w:color w:val="auto"/>
        </w:rPr>
        <w:t xml:space="preserve"> </w:t>
      </w:r>
      <w:r w:rsidRPr="00491C60">
        <w:rPr>
          <w:color w:val="auto"/>
        </w:rPr>
        <w:t>3(1)(e)</w:t>
      </w:r>
      <w:r w:rsidR="005F7DC8">
        <w:rPr>
          <w:color w:val="auto"/>
        </w:rPr>
        <w:t>.</w:t>
      </w:r>
    </w:p>
  </w:footnote>
  <w:footnote w:id="4">
    <w:p w14:paraId="64B799D7" w14:textId="289F8428" w:rsidR="007A0B91" w:rsidRPr="00491C60" w:rsidRDefault="007A0B91" w:rsidP="007A0B91">
      <w:pPr>
        <w:pStyle w:val="FootnoteText"/>
        <w:rPr>
          <w:color w:val="auto"/>
        </w:rPr>
      </w:pPr>
      <w:r w:rsidRPr="00491C60">
        <w:rPr>
          <w:rStyle w:val="FootnoteReference"/>
          <w:color w:val="auto"/>
        </w:rPr>
        <w:footnoteRef/>
      </w:r>
      <w:r w:rsidRPr="00491C60">
        <w:rPr>
          <w:color w:val="auto"/>
        </w:rPr>
        <w:t xml:space="preserve"> </w:t>
      </w:r>
      <w:r w:rsidR="005F7DC8">
        <w:rPr>
          <w:color w:val="auto"/>
        </w:rPr>
        <w:t>Ibid</w:t>
      </w:r>
      <w:r w:rsidRPr="00491C60">
        <w:rPr>
          <w:color w:val="auto"/>
        </w:rPr>
        <w:t xml:space="preserve"> s</w:t>
      </w:r>
      <w:r w:rsidR="005F7DC8">
        <w:rPr>
          <w:color w:val="auto"/>
        </w:rPr>
        <w:t xml:space="preserve"> </w:t>
      </w:r>
      <w:r w:rsidRPr="00491C60">
        <w:rPr>
          <w:color w:val="auto"/>
        </w:rPr>
        <w:t>256(1)(b)</w:t>
      </w:r>
      <w:r w:rsidR="005F7DC8">
        <w:rPr>
          <w:color w:val="auto"/>
        </w:rPr>
        <w:t>.</w:t>
      </w:r>
      <w:r w:rsidRPr="00491C60">
        <w:rPr>
          <w:color w:val="auto"/>
        </w:rPr>
        <w:t xml:space="preserve"> </w:t>
      </w:r>
    </w:p>
  </w:footnote>
  <w:footnote w:id="5">
    <w:p w14:paraId="3E59F641" w14:textId="2F0E588A" w:rsidR="007A0B91" w:rsidRDefault="007A0B91">
      <w:pPr>
        <w:pStyle w:val="FootnoteText"/>
      </w:pPr>
      <w:r w:rsidRPr="00491C60">
        <w:rPr>
          <w:rStyle w:val="FootnoteReference"/>
          <w:color w:val="auto"/>
        </w:rPr>
        <w:footnoteRef/>
      </w:r>
      <w:r w:rsidRPr="00491C60">
        <w:rPr>
          <w:color w:val="auto"/>
        </w:rPr>
        <w:t xml:space="preserve"> </w:t>
      </w:r>
      <w:r w:rsidR="005F7DC8">
        <w:rPr>
          <w:color w:val="auto"/>
        </w:rPr>
        <w:t>Ibid</w:t>
      </w:r>
      <w:r w:rsidRPr="00491C60">
        <w:rPr>
          <w:color w:val="auto"/>
        </w:rPr>
        <w:t xml:space="preserve"> s</w:t>
      </w:r>
      <w:r w:rsidR="005F7DC8">
        <w:rPr>
          <w:color w:val="auto"/>
        </w:rPr>
        <w:t xml:space="preserve"> </w:t>
      </w:r>
      <w:r w:rsidRPr="00491C60">
        <w:rPr>
          <w:color w:val="auto"/>
        </w:rPr>
        <w:t>257(1)</w:t>
      </w:r>
      <w:r w:rsidR="005F7DC8">
        <w:rPr>
          <w:color w:val="auto"/>
        </w:rPr>
        <w:t>.</w:t>
      </w:r>
    </w:p>
  </w:footnote>
  <w:footnote w:id="6">
    <w:p w14:paraId="75B41946" w14:textId="1408304F" w:rsidR="0096677E" w:rsidRPr="00491C60" w:rsidRDefault="0096677E" w:rsidP="0096677E">
      <w:pPr>
        <w:pStyle w:val="FootnoteText"/>
      </w:pPr>
      <w:r w:rsidRPr="00491C60">
        <w:rPr>
          <w:rStyle w:val="FootnoteReference"/>
          <w:color w:val="auto"/>
        </w:rPr>
        <w:footnoteRef/>
      </w:r>
      <w:r w:rsidRPr="00491C60">
        <w:rPr>
          <w:color w:val="auto"/>
        </w:rPr>
        <w:t xml:space="preserve"> </w:t>
      </w:r>
      <w:r w:rsidR="00E94D8C">
        <w:rPr>
          <w:color w:val="auto"/>
        </w:rPr>
        <w:t>Ibid s</w:t>
      </w:r>
      <w:r w:rsidR="005F7DC8">
        <w:rPr>
          <w:color w:val="auto"/>
        </w:rPr>
        <w:t xml:space="preserve"> </w:t>
      </w:r>
      <w:r w:rsidRPr="00491C60">
        <w:rPr>
          <w:color w:val="auto"/>
        </w:rPr>
        <w:t>259(3)(a)</w:t>
      </w:r>
      <w:r w:rsidR="005F7DC8">
        <w:rPr>
          <w:color w:val="auto"/>
        </w:rPr>
        <w:t>.</w:t>
      </w:r>
    </w:p>
  </w:footnote>
  <w:footnote w:id="7">
    <w:p w14:paraId="46CFF4C6" w14:textId="2CD607D7" w:rsidR="007A0B91" w:rsidRPr="00491C60" w:rsidRDefault="007A0B91">
      <w:pPr>
        <w:pStyle w:val="FootnoteText"/>
      </w:pPr>
      <w:r w:rsidRPr="00491C60">
        <w:rPr>
          <w:rStyle w:val="FootnoteReference"/>
          <w:color w:val="auto"/>
        </w:rPr>
        <w:footnoteRef/>
      </w:r>
      <w:r w:rsidRPr="00491C60">
        <w:rPr>
          <w:color w:val="auto"/>
        </w:rPr>
        <w:t xml:space="preserve"> </w:t>
      </w:r>
      <w:r w:rsidR="005F7DC8">
        <w:rPr>
          <w:color w:val="auto"/>
        </w:rPr>
        <w:t>Ibid</w:t>
      </w:r>
      <w:r w:rsidRPr="00491C60">
        <w:rPr>
          <w:color w:val="auto"/>
        </w:rPr>
        <w:t xml:space="preserve"> s</w:t>
      </w:r>
      <w:r w:rsidR="005F7DC8">
        <w:rPr>
          <w:color w:val="auto"/>
        </w:rPr>
        <w:t xml:space="preserve"> </w:t>
      </w:r>
      <w:r w:rsidRPr="00491C60">
        <w:rPr>
          <w:color w:val="auto"/>
        </w:rPr>
        <w:t>257</w:t>
      </w:r>
      <w:r w:rsidR="005F7DC8">
        <w:rPr>
          <w:color w:val="auto"/>
        </w:rPr>
        <w:t>.</w:t>
      </w:r>
    </w:p>
  </w:footnote>
  <w:footnote w:id="8">
    <w:p w14:paraId="75918774" w14:textId="1A472D5B" w:rsidR="007A0B91" w:rsidRPr="00491C60" w:rsidRDefault="007A0B91">
      <w:pPr>
        <w:pStyle w:val="FootnoteText"/>
      </w:pPr>
      <w:r w:rsidRPr="00491C60">
        <w:rPr>
          <w:rStyle w:val="FootnoteReference"/>
          <w:color w:val="auto"/>
        </w:rPr>
        <w:footnoteRef/>
      </w:r>
      <w:r w:rsidRPr="00491C60">
        <w:rPr>
          <w:color w:val="auto"/>
        </w:rPr>
        <w:t xml:space="preserve"> </w:t>
      </w:r>
      <w:r w:rsidR="005F7DC8">
        <w:rPr>
          <w:color w:val="auto"/>
        </w:rPr>
        <w:t xml:space="preserve">Ibid </w:t>
      </w:r>
      <w:r w:rsidRPr="00491C60">
        <w:rPr>
          <w:color w:val="auto"/>
        </w:rPr>
        <w:t>s</w:t>
      </w:r>
      <w:r w:rsidR="008E1EB0" w:rsidRPr="00491C60">
        <w:rPr>
          <w:color w:val="auto"/>
        </w:rPr>
        <w:t>s</w:t>
      </w:r>
      <w:r w:rsidR="005F7DC8">
        <w:rPr>
          <w:color w:val="auto"/>
        </w:rPr>
        <w:t xml:space="preserve"> </w:t>
      </w:r>
      <w:r w:rsidR="008E1EB0" w:rsidRPr="00491C60">
        <w:rPr>
          <w:color w:val="auto"/>
        </w:rPr>
        <w:t xml:space="preserve">47 and </w:t>
      </w:r>
      <w:r w:rsidRPr="00491C60">
        <w:rPr>
          <w:color w:val="auto"/>
        </w:rPr>
        <w:t>256</w:t>
      </w:r>
      <w:r w:rsidR="005F7DC8">
        <w:rPr>
          <w:color w:val="auto"/>
        </w:rPr>
        <w:t>.</w:t>
      </w:r>
    </w:p>
  </w:footnote>
  <w:footnote w:id="9">
    <w:p w14:paraId="272BC879" w14:textId="21F5D9E1" w:rsidR="00EE1188" w:rsidRDefault="00EE1188">
      <w:pPr>
        <w:pStyle w:val="FootnoteText"/>
      </w:pPr>
      <w:r w:rsidRPr="00491C60">
        <w:rPr>
          <w:rStyle w:val="FootnoteReference"/>
          <w:color w:val="auto"/>
        </w:rPr>
        <w:footnoteRef/>
      </w:r>
      <w:r w:rsidRPr="00491C60">
        <w:rPr>
          <w:color w:val="auto"/>
        </w:rPr>
        <w:t xml:space="preserve"> </w:t>
      </w:r>
      <w:r w:rsidR="005F7DC8">
        <w:rPr>
          <w:color w:val="auto"/>
        </w:rPr>
        <w:t>Ibid</w:t>
      </w:r>
      <w:r w:rsidRPr="00491C60">
        <w:rPr>
          <w:color w:val="auto"/>
        </w:rPr>
        <w:t xml:space="preserve"> s</w:t>
      </w:r>
      <w:r w:rsidR="005F7DC8">
        <w:rPr>
          <w:color w:val="auto"/>
        </w:rPr>
        <w:t xml:space="preserve"> </w:t>
      </w:r>
      <w:r w:rsidRPr="00491C60">
        <w:rPr>
          <w:color w:val="auto"/>
        </w:rPr>
        <w:t>258(1)</w:t>
      </w:r>
      <w:r w:rsidR="005F7DC8">
        <w:rPr>
          <w:color w:val="auto"/>
        </w:rPr>
        <w:t>.</w:t>
      </w:r>
    </w:p>
  </w:footnote>
  <w:footnote w:id="10">
    <w:p w14:paraId="43C8EA4F" w14:textId="2CC56015" w:rsidR="007A0B91" w:rsidRPr="007A0B91" w:rsidRDefault="007A0B91" w:rsidP="007A0B91">
      <w:pPr>
        <w:pStyle w:val="FootnoteText"/>
      </w:pPr>
      <w:r w:rsidRPr="007A0B91">
        <w:rPr>
          <w:rStyle w:val="FootnoteReference"/>
          <w:color w:val="auto"/>
        </w:rPr>
        <w:footnoteRef/>
      </w:r>
      <w:r w:rsidRPr="007A0B91">
        <w:rPr>
          <w:color w:val="auto"/>
        </w:rPr>
        <w:t xml:space="preserve"> </w:t>
      </w:r>
      <w:r w:rsidR="00E94D8C" w:rsidRPr="00E94D8C">
        <w:rPr>
          <w:color w:val="auto"/>
        </w:rPr>
        <w:t>Ibid</w:t>
      </w:r>
      <w:r w:rsidRPr="007A0B91">
        <w:rPr>
          <w:color w:val="auto"/>
        </w:rPr>
        <w:t xml:space="preserve"> </w:t>
      </w:r>
      <w:r w:rsidRPr="007548C4">
        <w:rPr>
          <w:color w:val="auto"/>
        </w:rPr>
        <w:t>s</w:t>
      </w:r>
      <w:r w:rsidR="00EE1188" w:rsidRPr="007548C4">
        <w:rPr>
          <w:color w:val="auto"/>
        </w:rPr>
        <w:t>s</w:t>
      </w:r>
      <w:r w:rsidR="005F7DC8">
        <w:rPr>
          <w:color w:val="auto"/>
        </w:rPr>
        <w:t xml:space="preserve"> </w:t>
      </w:r>
      <w:r w:rsidRPr="007548C4">
        <w:rPr>
          <w:color w:val="auto"/>
        </w:rPr>
        <w:t>257(1) and 256</w:t>
      </w:r>
      <w:r w:rsidR="005F7DC8">
        <w:rPr>
          <w:color w:val="auto"/>
        </w:rPr>
        <w:t>.</w:t>
      </w:r>
    </w:p>
  </w:footnote>
  <w:footnote w:id="11">
    <w:p w14:paraId="1FF38D8E" w14:textId="4E4D7404" w:rsidR="00EE1188" w:rsidRPr="00491C60" w:rsidRDefault="00EE1188">
      <w:pPr>
        <w:pStyle w:val="FootnoteText"/>
      </w:pPr>
      <w:r w:rsidRPr="00491C60">
        <w:rPr>
          <w:rStyle w:val="FootnoteReference"/>
          <w:color w:val="auto"/>
        </w:rPr>
        <w:footnoteRef/>
      </w:r>
      <w:r w:rsidRPr="00491C60">
        <w:rPr>
          <w:color w:val="auto"/>
        </w:rPr>
        <w:t xml:space="preserve"> </w:t>
      </w:r>
      <w:r w:rsidR="005F7DC8">
        <w:rPr>
          <w:color w:val="auto"/>
        </w:rPr>
        <w:t xml:space="preserve">Ibid </w:t>
      </w:r>
      <w:r w:rsidRPr="00491C60">
        <w:rPr>
          <w:color w:val="auto"/>
        </w:rPr>
        <w:t>s</w:t>
      </w:r>
      <w:r w:rsidR="005F7DC8">
        <w:rPr>
          <w:color w:val="auto"/>
        </w:rPr>
        <w:t xml:space="preserve"> </w:t>
      </w:r>
      <w:r w:rsidRPr="00491C60">
        <w:rPr>
          <w:color w:val="auto"/>
        </w:rPr>
        <w:t>257(2).</w:t>
      </w:r>
    </w:p>
  </w:footnote>
  <w:footnote w:id="12">
    <w:p w14:paraId="0FAD4C16" w14:textId="23B6D877" w:rsidR="00EE1188" w:rsidRPr="00491C60" w:rsidRDefault="00EE1188" w:rsidP="00EE1188">
      <w:pPr>
        <w:pStyle w:val="FootnoteText"/>
      </w:pPr>
      <w:r w:rsidRPr="00491C60">
        <w:rPr>
          <w:rStyle w:val="FootnoteReference"/>
          <w:color w:val="auto"/>
        </w:rPr>
        <w:footnoteRef/>
      </w:r>
      <w:r w:rsidRPr="00491C60">
        <w:rPr>
          <w:color w:val="auto"/>
        </w:rPr>
        <w:t xml:space="preserve"> </w:t>
      </w:r>
      <w:r w:rsidR="00E94D8C">
        <w:rPr>
          <w:color w:val="auto"/>
        </w:rPr>
        <w:t xml:space="preserve">Ibid </w:t>
      </w:r>
      <w:r w:rsidRPr="00491C60">
        <w:rPr>
          <w:color w:val="auto"/>
        </w:rPr>
        <w:t>s</w:t>
      </w:r>
      <w:r w:rsidR="005F7DC8">
        <w:rPr>
          <w:color w:val="auto"/>
        </w:rPr>
        <w:t xml:space="preserve"> </w:t>
      </w:r>
      <w:r w:rsidRPr="00491C60">
        <w:rPr>
          <w:color w:val="auto"/>
        </w:rPr>
        <w:t>271</w:t>
      </w:r>
      <w:r w:rsidR="005F7DC8">
        <w:rPr>
          <w:color w:val="auto"/>
        </w:rPr>
        <w:t>.</w:t>
      </w:r>
    </w:p>
  </w:footnote>
  <w:footnote w:id="13">
    <w:p w14:paraId="4F995568" w14:textId="616F17B4" w:rsidR="00EE1188" w:rsidRPr="00491C60" w:rsidRDefault="00EE1188">
      <w:pPr>
        <w:pStyle w:val="FootnoteText"/>
      </w:pPr>
      <w:r w:rsidRPr="00491C60">
        <w:rPr>
          <w:rStyle w:val="FootnoteReference"/>
          <w:color w:val="auto"/>
        </w:rPr>
        <w:footnoteRef/>
      </w:r>
      <w:r w:rsidRPr="00491C60">
        <w:rPr>
          <w:color w:val="auto"/>
        </w:rPr>
        <w:t xml:space="preserve"> </w:t>
      </w:r>
      <w:r w:rsidR="005F7DC8">
        <w:rPr>
          <w:color w:val="auto"/>
        </w:rPr>
        <w:t xml:space="preserve">Ibid </w:t>
      </w:r>
      <w:r w:rsidRPr="00491C60">
        <w:rPr>
          <w:color w:val="auto"/>
        </w:rPr>
        <w:t>s</w:t>
      </w:r>
      <w:r w:rsidR="005F7DC8">
        <w:rPr>
          <w:color w:val="auto"/>
        </w:rPr>
        <w:t xml:space="preserve"> </w:t>
      </w:r>
      <w:r w:rsidRPr="00491C60">
        <w:rPr>
          <w:color w:val="auto"/>
        </w:rPr>
        <w:t>259(1)(a)</w:t>
      </w:r>
      <w:r w:rsidR="005F7DC8">
        <w:rPr>
          <w:color w:val="auto"/>
        </w:rPr>
        <w:t>.</w:t>
      </w:r>
      <w:r w:rsidRPr="00491C60">
        <w:rPr>
          <w:color w:val="auto"/>
        </w:rPr>
        <w:t xml:space="preserve"> </w:t>
      </w:r>
    </w:p>
  </w:footnote>
  <w:footnote w:id="14">
    <w:p w14:paraId="78D9D438" w14:textId="3E01A4D9" w:rsidR="00EE1188" w:rsidRPr="00491C60" w:rsidRDefault="00EE1188">
      <w:pPr>
        <w:pStyle w:val="FootnoteText"/>
      </w:pPr>
      <w:r w:rsidRPr="00491C60">
        <w:rPr>
          <w:rStyle w:val="FootnoteReference"/>
          <w:color w:val="auto"/>
        </w:rPr>
        <w:footnoteRef/>
      </w:r>
      <w:r w:rsidRPr="00491C60">
        <w:rPr>
          <w:color w:val="auto"/>
        </w:rPr>
        <w:t xml:space="preserve"> </w:t>
      </w:r>
      <w:r w:rsidR="005F7DC8">
        <w:rPr>
          <w:color w:val="auto"/>
        </w:rPr>
        <w:t>Ibid</w:t>
      </w:r>
      <w:r w:rsidR="005F7DC8" w:rsidRPr="00491C60">
        <w:rPr>
          <w:color w:val="auto"/>
        </w:rPr>
        <w:t xml:space="preserve"> </w:t>
      </w:r>
      <w:r w:rsidRPr="00491C60">
        <w:rPr>
          <w:color w:val="auto"/>
        </w:rPr>
        <w:t>s</w:t>
      </w:r>
      <w:r w:rsidR="00161BDA">
        <w:rPr>
          <w:color w:val="auto"/>
        </w:rPr>
        <w:t xml:space="preserve"> </w:t>
      </w:r>
      <w:r w:rsidRPr="00491C60">
        <w:rPr>
          <w:color w:val="auto"/>
        </w:rPr>
        <w:t>259(1)(b)</w:t>
      </w:r>
      <w:r w:rsidR="005F7DC8">
        <w:rPr>
          <w:color w:val="auto"/>
        </w:rPr>
        <w:t>.</w:t>
      </w:r>
    </w:p>
  </w:footnote>
  <w:footnote w:id="15">
    <w:p w14:paraId="54B0C4A5" w14:textId="260D2FB1" w:rsidR="00EE1188" w:rsidRDefault="00EE1188">
      <w:pPr>
        <w:pStyle w:val="FootnoteText"/>
      </w:pPr>
      <w:r w:rsidRPr="00491C60">
        <w:rPr>
          <w:rStyle w:val="FootnoteReference"/>
          <w:color w:val="auto"/>
        </w:rPr>
        <w:footnoteRef/>
      </w:r>
      <w:r w:rsidRPr="00491C60">
        <w:rPr>
          <w:color w:val="auto"/>
        </w:rPr>
        <w:t xml:space="preserve"> </w:t>
      </w:r>
      <w:r w:rsidR="005F7DC8">
        <w:rPr>
          <w:color w:val="auto"/>
        </w:rPr>
        <w:t>Ibid</w:t>
      </w:r>
      <w:r w:rsidR="005F7DC8" w:rsidRPr="00491C60">
        <w:rPr>
          <w:color w:val="auto"/>
        </w:rPr>
        <w:t xml:space="preserve"> </w:t>
      </w:r>
      <w:r w:rsidRPr="00491C60">
        <w:rPr>
          <w:color w:val="auto"/>
        </w:rPr>
        <w:t>s</w:t>
      </w:r>
      <w:r w:rsidR="00161BDA">
        <w:rPr>
          <w:color w:val="auto"/>
        </w:rPr>
        <w:t xml:space="preserve"> </w:t>
      </w:r>
      <w:r w:rsidRPr="00491C60">
        <w:rPr>
          <w:color w:val="auto"/>
        </w:rPr>
        <w:t>259(1</w:t>
      </w:r>
      <w:r w:rsidR="008E1EB0" w:rsidRPr="00491C60">
        <w:rPr>
          <w:color w:val="auto"/>
        </w:rPr>
        <w:t>)(c)</w:t>
      </w:r>
      <w:r w:rsidR="005F7DC8">
        <w:rPr>
          <w:color w:val="auto"/>
        </w:rPr>
        <w:t>.</w:t>
      </w:r>
    </w:p>
  </w:footnote>
  <w:footnote w:id="16">
    <w:p w14:paraId="0154B344" w14:textId="11C4E182" w:rsidR="00315916" w:rsidRPr="00491C60" w:rsidRDefault="00315916" w:rsidP="00315916">
      <w:pPr>
        <w:pStyle w:val="FootnoteText"/>
        <w:rPr>
          <w:color w:val="auto"/>
        </w:rPr>
      </w:pPr>
      <w:r w:rsidRPr="00491C60">
        <w:rPr>
          <w:vertAlign w:val="superscript"/>
        </w:rPr>
        <w:footnoteRef/>
      </w:r>
      <w:r w:rsidRPr="00491C60">
        <w:rPr>
          <w:color w:val="auto"/>
          <w:vertAlign w:val="superscript"/>
        </w:rPr>
        <w:t xml:space="preserve"> </w:t>
      </w:r>
      <w:r w:rsidRPr="00315916">
        <w:rPr>
          <w:color w:val="auto"/>
        </w:rPr>
        <w:t xml:space="preserve">Ibid </w:t>
      </w:r>
      <w:r w:rsidRPr="00491C60">
        <w:rPr>
          <w:color w:val="auto"/>
        </w:rPr>
        <w:t>s</w:t>
      </w:r>
      <w:r>
        <w:rPr>
          <w:color w:val="auto"/>
        </w:rPr>
        <w:t xml:space="preserve"> </w:t>
      </w:r>
      <w:r w:rsidRPr="00491C60">
        <w:rPr>
          <w:color w:val="auto"/>
        </w:rPr>
        <w:t>264(2)</w:t>
      </w:r>
      <w:r>
        <w:rPr>
          <w:color w:val="auto"/>
        </w:rPr>
        <w:t>.</w:t>
      </w:r>
    </w:p>
  </w:footnote>
  <w:footnote w:id="17">
    <w:p w14:paraId="46968C9B" w14:textId="3FE4EC06" w:rsidR="00EE1188" w:rsidRPr="00491C60" w:rsidRDefault="00EE1188">
      <w:pPr>
        <w:pStyle w:val="FootnoteText"/>
      </w:pPr>
      <w:r w:rsidRPr="00491C60">
        <w:rPr>
          <w:rStyle w:val="FootnoteReference"/>
          <w:color w:val="auto"/>
        </w:rPr>
        <w:footnoteRef/>
      </w:r>
      <w:r w:rsidRPr="00491C60">
        <w:rPr>
          <w:color w:val="auto"/>
        </w:rPr>
        <w:t xml:space="preserve"> </w:t>
      </w:r>
      <w:r w:rsidR="00E94D8C" w:rsidRPr="00E94D8C">
        <w:rPr>
          <w:color w:val="auto"/>
        </w:rPr>
        <w:t xml:space="preserve">Ibid </w:t>
      </w:r>
      <w:r w:rsidRPr="00491C60">
        <w:rPr>
          <w:color w:val="auto"/>
        </w:rPr>
        <w:t>s</w:t>
      </w:r>
      <w:r w:rsidR="00161BDA">
        <w:rPr>
          <w:color w:val="auto"/>
        </w:rPr>
        <w:t xml:space="preserve"> </w:t>
      </w:r>
      <w:r w:rsidRPr="00491C60">
        <w:rPr>
          <w:color w:val="auto"/>
        </w:rPr>
        <w:t>264(3)</w:t>
      </w:r>
      <w:r w:rsidR="00161BDA">
        <w:rPr>
          <w:color w:val="auto"/>
        </w:rPr>
        <w:t>.</w:t>
      </w:r>
    </w:p>
  </w:footnote>
  <w:footnote w:id="18">
    <w:p w14:paraId="227315A6" w14:textId="38357821" w:rsidR="004542B7" w:rsidRPr="00491C60" w:rsidRDefault="004542B7" w:rsidP="004542B7">
      <w:pPr>
        <w:pStyle w:val="FootnoteText"/>
      </w:pPr>
      <w:r w:rsidRPr="00491C60">
        <w:rPr>
          <w:rStyle w:val="FootnoteReference"/>
          <w:color w:val="auto"/>
        </w:rPr>
        <w:footnoteRef/>
      </w:r>
      <w:r w:rsidRPr="00491C60">
        <w:rPr>
          <w:color w:val="auto"/>
        </w:rPr>
        <w:t xml:space="preserve"> </w:t>
      </w:r>
      <w:r w:rsidR="00161BDA">
        <w:rPr>
          <w:color w:val="auto"/>
        </w:rPr>
        <w:t xml:space="preserve">Ibid </w:t>
      </w:r>
      <w:r w:rsidRPr="00491C60">
        <w:rPr>
          <w:color w:val="auto"/>
        </w:rPr>
        <w:t>s267</w:t>
      </w:r>
      <w:r w:rsidR="00161BDA">
        <w:rPr>
          <w:color w:val="auto"/>
        </w:rPr>
        <w:t>.</w:t>
      </w:r>
    </w:p>
  </w:footnote>
  <w:footnote w:id="19">
    <w:p w14:paraId="35904238" w14:textId="390505EE" w:rsidR="00EE1188" w:rsidRDefault="00EE1188">
      <w:pPr>
        <w:pStyle w:val="FootnoteText"/>
      </w:pPr>
      <w:r w:rsidRPr="00491C60">
        <w:rPr>
          <w:rStyle w:val="FootnoteReference"/>
          <w:color w:val="auto"/>
        </w:rPr>
        <w:footnoteRef/>
      </w:r>
      <w:r w:rsidRPr="00491C60">
        <w:rPr>
          <w:color w:val="auto"/>
        </w:rPr>
        <w:t xml:space="preserve"> </w:t>
      </w:r>
      <w:r w:rsidR="00161BDA">
        <w:rPr>
          <w:color w:val="auto"/>
        </w:rPr>
        <w:t>Ibid</w:t>
      </w:r>
      <w:r w:rsidRPr="00491C60">
        <w:rPr>
          <w:color w:val="auto"/>
        </w:rPr>
        <w:t xml:space="preserve"> s</w:t>
      </w:r>
      <w:r w:rsidR="00161BDA">
        <w:rPr>
          <w:color w:val="auto"/>
        </w:rPr>
        <w:t xml:space="preserve"> </w:t>
      </w:r>
      <w:r w:rsidRPr="00491C60">
        <w:rPr>
          <w:color w:val="auto"/>
        </w:rPr>
        <w:t>259(1)(d)</w:t>
      </w:r>
      <w:r w:rsidR="00161BDA">
        <w:rPr>
          <w:color w:val="auto"/>
        </w:rPr>
        <w:t>.</w:t>
      </w:r>
    </w:p>
  </w:footnote>
  <w:footnote w:id="20">
    <w:p w14:paraId="182F25A4" w14:textId="10C143EB" w:rsidR="00EE1188" w:rsidRPr="00491C60" w:rsidRDefault="00EE1188">
      <w:pPr>
        <w:pStyle w:val="FootnoteText"/>
        <w:rPr>
          <w:color w:val="auto"/>
        </w:rPr>
      </w:pPr>
      <w:r w:rsidRPr="00491C60">
        <w:rPr>
          <w:rStyle w:val="FootnoteReference"/>
          <w:color w:val="auto"/>
        </w:rPr>
        <w:footnoteRef/>
      </w:r>
      <w:r w:rsidRPr="00491C60">
        <w:rPr>
          <w:color w:val="auto"/>
        </w:rPr>
        <w:t xml:space="preserve"> </w:t>
      </w:r>
      <w:r w:rsidR="00315916">
        <w:rPr>
          <w:color w:val="auto"/>
        </w:rPr>
        <w:t>Ibid s</w:t>
      </w:r>
      <w:r w:rsidR="005F7DC8">
        <w:rPr>
          <w:color w:val="auto"/>
        </w:rPr>
        <w:t xml:space="preserve"> </w:t>
      </w:r>
      <w:r w:rsidRPr="00491C60">
        <w:rPr>
          <w:color w:val="auto"/>
        </w:rPr>
        <w:t>259(1)(e)</w:t>
      </w:r>
      <w:r w:rsidR="00315916">
        <w:rPr>
          <w:color w:val="auto"/>
        </w:rPr>
        <w:t>.</w:t>
      </w:r>
      <w:r w:rsidRPr="00491C60">
        <w:rPr>
          <w:color w:val="auto"/>
        </w:rPr>
        <w:t xml:space="preserve"> </w:t>
      </w:r>
    </w:p>
  </w:footnote>
  <w:footnote w:id="21">
    <w:p w14:paraId="6EE78588" w14:textId="4EFC7C10" w:rsidR="00EE1188" w:rsidRPr="00491C60" w:rsidRDefault="00EE1188">
      <w:pPr>
        <w:pStyle w:val="FootnoteText"/>
        <w:rPr>
          <w:color w:val="auto"/>
        </w:rPr>
      </w:pPr>
      <w:r w:rsidRPr="00491C60">
        <w:rPr>
          <w:rStyle w:val="FootnoteReference"/>
          <w:color w:val="auto"/>
        </w:rPr>
        <w:footnoteRef/>
      </w:r>
      <w:r w:rsidRPr="00491C60">
        <w:rPr>
          <w:color w:val="auto"/>
        </w:rPr>
        <w:t xml:space="preserve"> </w:t>
      </w:r>
      <w:r w:rsidR="00E94D8C" w:rsidRPr="00E94D8C">
        <w:rPr>
          <w:color w:val="auto"/>
        </w:rPr>
        <w:t>Ibid</w:t>
      </w:r>
      <w:r w:rsidR="00485950">
        <w:rPr>
          <w:color w:val="auto"/>
        </w:rPr>
        <w:t xml:space="preserve"> s</w:t>
      </w:r>
      <w:r w:rsidR="005F7DC8">
        <w:rPr>
          <w:color w:val="auto"/>
        </w:rPr>
        <w:t xml:space="preserve"> </w:t>
      </w:r>
      <w:r w:rsidRPr="00491C60">
        <w:rPr>
          <w:color w:val="auto"/>
        </w:rPr>
        <w:t>272</w:t>
      </w:r>
      <w:r w:rsidR="00485950">
        <w:rPr>
          <w:color w:val="auto"/>
        </w:rPr>
        <w:t>.</w:t>
      </w:r>
      <w:r w:rsidRPr="00491C60">
        <w:rPr>
          <w:color w:val="auto"/>
        </w:rPr>
        <w:t xml:space="preserve"> </w:t>
      </w:r>
    </w:p>
  </w:footnote>
  <w:footnote w:id="22">
    <w:p w14:paraId="03C0FC60" w14:textId="7B5BA207" w:rsidR="00EE1188" w:rsidRPr="00491C60" w:rsidRDefault="00EE1188">
      <w:pPr>
        <w:pStyle w:val="FootnoteText"/>
        <w:rPr>
          <w:color w:val="auto"/>
        </w:rPr>
      </w:pPr>
      <w:r w:rsidRPr="00491C60">
        <w:rPr>
          <w:rStyle w:val="FootnoteReference"/>
          <w:color w:val="auto"/>
        </w:rPr>
        <w:footnoteRef/>
      </w:r>
      <w:r w:rsidRPr="00491C60">
        <w:rPr>
          <w:color w:val="auto"/>
        </w:rPr>
        <w:t xml:space="preserve"> </w:t>
      </w:r>
      <w:r w:rsidR="00485950">
        <w:rPr>
          <w:color w:val="auto"/>
        </w:rPr>
        <w:t>Ibid s</w:t>
      </w:r>
      <w:r w:rsidR="005F7DC8">
        <w:rPr>
          <w:color w:val="auto"/>
        </w:rPr>
        <w:t xml:space="preserve"> </w:t>
      </w:r>
      <w:r w:rsidRPr="00491C60">
        <w:rPr>
          <w:color w:val="auto"/>
        </w:rPr>
        <w:t>273</w:t>
      </w:r>
      <w:r w:rsidR="00485950">
        <w:rPr>
          <w:color w:val="auto"/>
        </w:rPr>
        <w:t>.</w:t>
      </w:r>
    </w:p>
  </w:footnote>
  <w:footnote w:id="23">
    <w:p w14:paraId="308F140A" w14:textId="2EDBDA95" w:rsidR="00EE1188" w:rsidRPr="00491C60" w:rsidRDefault="00EE1188" w:rsidP="00EE1188">
      <w:pPr>
        <w:pStyle w:val="FootnoteText"/>
        <w:rPr>
          <w:color w:val="auto"/>
        </w:rPr>
      </w:pPr>
      <w:r w:rsidRPr="00491C60">
        <w:rPr>
          <w:rStyle w:val="FootnoteReference"/>
          <w:color w:val="auto"/>
        </w:rPr>
        <w:footnoteRef/>
      </w:r>
      <w:r w:rsidRPr="00491C60">
        <w:rPr>
          <w:color w:val="auto"/>
        </w:rPr>
        <w:t xml:space="preserve"> </w:t>
      </w:r>
      <w:r w:rsidR="00485950">
        <w:rPr>
          <w:color w:val="auto"/>
        </w:rPr>
        <w:t>Ibid s</w:t>
      </w:r>
      <w:r w:rsidR="005F7DC8">
        <w:rPr>
          <w:color w:val="auto"/>
        </w:rPr>
        <w:t xml:space="preserve"> </w:t>
      </w:r>
      <w:r w:rsidRPr="00491C60">
        <w:rPr>
          <w:color w:val="auto"/>
        </w:rPr>
        <w:t>263</w:t>
      </w:r>
      <w:r w:rsidR="00485950">
        <w:rPr>
          <w:color w:val="auto"/>
        </w:rPr>
        <w:t>.</w:t>
      </w:r>
    </w:p>
  </w:footnote>
  <w:footnote w:id="24">
    <w:p w14:paraId="40610186" w14:textId="6B8AFDAC" w:rsidR="00EE1188" w:rsidRPr="00491C60" w:rsidRDefault="00EE1188">
      <w:pPr>
        <w:pStyle w:val="FootnoteText"/>
      </w:pPr>
      <w:r w:rsidRPr="00491C60">
        <w:rPr>
          <w:rStyle w:val="FootnoteReference"/>
          <w:color w:val="auto"/>
        </w:rPr>
        <w:footnoteRef/>
      </w:r>
      <w:r w:rsidRPr="00491C60">
        <w:rPr>
          <w:color w:val="auto"/>
        </w:rPr>
        <w:t xml:space="preserve"> </w:t>
      </w:r>
      <w:r w:rsidR="00485950">
        <w:rPr>
          <w:color w:val="auto"/>
        </w:rPr>
        <w:t>Ibid ss</w:t>
      </w:r>
      <w:r w:rsidR="005F7DC8">
        <w:rPr>
          <w:color w:val="auto"/>
        </w:rPr>
        <w:t xml:space="preserve"> </w:t>
      </w:r>
      <w:r w:rsidRPr="00491C60">
        <w:rPr>
          <w:color w:val="auto"/>
        </w:rPr>
        <w:t xml:space="preserve">260(1)(b) and </w:t>
      </w:r>
      <w:r w:rsidR="0096677E" w:rsidRPr="00491C60">
        <w:rPr>
          <w:color w:val="auto"/>
        </w:rPr>
        <w:t>260(1)</w:t>
      </w:r>
      <w:r w:rsidRPr="00491C60">
        <w:rPr>
          <w:color w:val="auto"/>
        </w:rPr>
        <w:t>(c)</w:t>
      </w:r>
      <w:r w:rsidR="00485950">
        <w:rPr>
          <w:color w:val="auto"/>
        </w:rPr>
        <w:t>.</w:t>
      </w:r>
    </w:p>
  </w:footnote>
  <w:footnote w:id="25">
    <w:p w14:paraId="2E066402" w14:textId="0D1AD8D4" w:rsidR="00EE1188" w:rsidRPr="00EE1188" w:rsidRDefault="00EE1188" w:rsidP="00EE1188">
      <w:pPr>
        <w:pStyle w:val="FootnoteText"/>
        <w:rPr>
          <w:color w:val="auto"/>
        </w:rPr>
      </w:pPr>
      <w:r w:rsidRPr="00491C60">
        <w:rPr>
          <w:rStyle w:val="FootnoteReference"/>
          <w:color w:val="auto"/>
        </w:rPr>
        <w:footnoteRef/>
      </w:r>
      <w:r w:rsidRPr="00491C60">
        <w:rPr>
          <w:color w:val="auto"/>
        </w:rPr>
        <w:t xml:space="preserve"> </w:t>
      </w:r>
      <w:r w:rsidR="00485950">
        <w:rPr>
          <w:color w:val="auto"/>
        </w:rPr>
        <w:t xml:space="preserve">Ibid s </w:t>
      </w:r>
      <w:r w:rsidRPr="00491C60">
        <w:rPr>
          <w:color w:val="auto"/>
        </w:rPr>
        <w:t>262</w:t>
      </w:r>
      <w:r w:rsidR="00485950">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952F" w14:textId="77777777" w:rsidR="00005BEF" w:rsidRDefault="0000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2BEC" w14:textId="77777777" w:rsidR="00005BEF" w:rsidRDefault="00005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FCC3" w14:textId="77777777" w:rsidR="00FB634E" w:rsidRPr="00FB634E" w:rsidRDefault="00FB634E" w:rsidP="00FB634E">
    <w:pPr>
      <w:tabs>
        <w:tab w:val="center" w:pos="4320"/>
        <w:tab w:val="right" w:pos="8640"/>
      </w:tabs>
      <w:rPr>
        <w:rFonts w:eastAsia="Times"/>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379" w14:textId="02DEA9DF" w:rsidR="00360D87" w:rsidRPr="0096677E" w:rsidRDefault="00360D87" w:rsidP="0096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E0A"/>
    <w:multiLevelType w:val="hybridMultilevel"/>
    <w:tmpl w:val="2DEC15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C76E9"/>
    <w:multiLevelType w:val="hybridMultilevel"/>
    <w:tmpl w:val="221AB3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3D425D"/>
    <w:multiLevelType w:val="hybridMultilevel"/>
    <w:tmpl w:val="61A44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136194"/>
    <w:multiLevelType w:val="hybridMultilevel"/>
    <w:tmpl w:val="C966D992"/>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392593"/>
    <w:multiLevelType w:val="hybridMultilevel"/>
    <w:tmpl w:val="76C8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4207A"/>
    <w:multiLevelType w:val="hybridMultilevel"/>
    <w:tmpl w:val="5816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54572"/>
    <w:multiLevelType w:val="hybridMultilevel"/>
    <w:tmpl w:val="DA824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5B1867"/>
    <w:multiLevelType w:val="hybridMultilevel"/>
    <w:tmpl w:val="CA9C55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290154"/>
    <w:multiLevelType w:val="hybridMultilevel"/>
    <w:tmpl w:val="2BCEE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4B75FD"/>
    <w:multiLevelType w:val="hybridMultilevel"/>
    <w:tmpl w:val="84402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036E3"/>
    <w:multiLevelType w:val="hybridMultilevel"/>
    <w:tmpl w:val="AD38C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8F136F"/>
    <w:multiLevelType w:val="hybridMultilevel"/>
    <w:tmpl w:val="8782E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73791A"/>
    <w:multiLevelType w:val="hybridMultilevel"/>
    <w:tmpl w:val="59FEF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8B37AC"/>
    <w:multiLevelType w:val="hybridMultilevel"/>
    <w:tmpl w:val="F600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AC32F9"/>
    <w:multiLevelType w:val="hybridMultilevel"/>
    <w:tmpl w:val="64E4E6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6B60B0"/>
    <w:multiLevelType w:val="hybridMultilevel"/>
    <w:tmpl w:val="C4A45A26"/>
    <w:lvl w:ilvl="0" w:tplc="A524CF1A">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55329E"/>
    <w:multiLevelType w:val="hybridMultilevel"/>
    <w:tmpl w:val="DCE004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F148D5"/>
    <w:multiLevelType w:val="hybridMultilevel"/>
    <w:tmpl w:val="93F0096C"/>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5"/>
  </w:num>
  <w:num w:numId="5">
    <w:abstractNumId w:val="2"/>
  </w:num>
  <w:num w:numId="6">
    <w:abstractNumId w:val="12"/>
  </w:num>
  <w:num w:numId="7">
    <w:abstractNumId w:val="16"/>
  </w:num>
  <w:num w:numId="8">
    <w:abstractNumId w:val="8"/>
  </w:num>
  <w:num w:numId="9">
    <w:abstractNumId w:val="1"/>
  </w:num>
  <w:num w:numId="10">
    <w:abstractNumId w:val="10"/>
  </w:num>
  <w:num w:numId="11">
    <w:abstractNumId w:val="17"/>
  </w:num>
  <w:num w:numId="12">
    <w:abstractNumId w:val="7"/>
  </w:num>
  <w:num w:numId="13">
    <w:abstractNumId w:val="3"/>
  </w:num>
  <w:num w:numId="14">
    <w:abstractNumId w:val="15"/>
  </w:num>
  <w:num w:numId="15">
    <w:abstractNumId w:val="6"/>
  </w:num>
  <w:num w:numId="16">
    <w:abstractNumId w:val="11"/>
  </w:num>
  <w:num w:numId="17">
    <w:abstractNumId w:val="9"/>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CC"/>
    <w:rsid w:val="00005BEF"/>
    <w:rsid w:val="00036246"/>
    <w:rsid w:val="00043376"/>
    <w:rsid w:val="00045A23"/>
    <w:rsid w:val="00050425"/>
    <w:rsid w:val="000A29D1"/>
    <w:rsid w:val="000B1749"/>
    <w:rsid w:val="000C0E22"/>
    <w:rsid w:val="000C5217"/>
    <w:rsid w:val="000D5542"/>
    <w:rsid w:val="000F057C"/>
    <w:rsid w:val="000F3EFB"/>
    <w:rsid w:val="00100B13"/>
    <w:rsid w:val="00103E73"/>
    <w:rsid w:val="00107D68"/>
    <w:rsid w:val="00115CB9"/>
    <w:rsid w:val="001272FB"/>
    <w:rsid w:val="00161BDA"/>
    <w:rsid w:val="0017508D"/>
    <w:rsid w:val="00175282"/>
    <w:rsid w:val="00183196"/>
    <w:rsid w:val="00183D24"/>
    <w:rsid w:val="001915DD"/>
    <w:rsid w:val="00197203"/>
    <w:rsid w:val="0019779F"/>
    <w:rsid w:val="001A0CA0"/>
    <w:rsid w:val="001C0BC5"/>
    <w:rsid w:val="001C59C9"/>
    <w:rsid w:val="001C768A"/>
    <w:rsid w:val="001D21AA"/>
    <w:rsid w:val="001E2803"/>
    <w:rsid w:val="001E3A41"/>
    <w:rsid w:val="001F0E96"/>
    <w:rsid w:val="002158A2"/>
    <w:rsid w:val="002224B8"/>
    <w:rsid w:val="00233F9B"/>
    <w:rsid w:val="0026215E"/>
    <w:rsid w:val="002A04EE"/>
    <w:rsid w:val="002B16F6"/>
    <w:rsid w:val="00302B40"/>
    <w:rsid w:val="00315916"/>
    <w:rsid w:val="00343D8C"/>
    <w:rsid w:val="00344B07"/>
    <w:rsid w:val="00344C44"/>
    <w:rsid w:val="003507FB"/>
    <w:rsid w:val="00356069"/>
    <w:rsid w:val="0036074C"/>
    <w:rsid w:val="00360D87"/>
    <w:rsid w:val="00364194"/>
    <w:rsid w:val="00364D40"/>
    <w:rsid w:val="003711E1"/>
    <w:rsid w:val="003803E3"/>
    <w:rsid w:val="00384D01"/>
    <w:rsid w:val="00387047"/>
    <w:rsid w:val="003C366A"/>
    <w:rsid w:val="003C50A6"/>
    <w:rsid w:val="0040416B"/>
    <w:rsid w:val="004151E5"/>
    <w:rsid w:val="00421318"/>
    <w:rsid w:val="004249EC"/>
    <w:rsid w:val="00432BEE"/>
    <w:rsid w:val="004542B7"/>
    <w:rsid w:val="00480033"/>
    <w:rsid w:val="00482765"/>
    <w:rsid w:val="00485950"/>
    <w:rsid w:val="00491C60"/>
    <w:rsid w:val="0049396C"/>
    <w:rsid w:val="004A7214"/>
    <w:rsid w:val="004C6ADC"/>
    <w:rsid w:val="004D01E9"/>
    <w:rsid w:val="004D4C12"/>
    <w:rsid w:val="004F1B5F"/>
    <w:rsid w:val="004F3676"/>
    <w:rsid w:val="00556F90"/>
    <w:rsid w:val="00577197"/>
    <w:rsid w:val="005B272A"/>
    <w:rsid w:val="005B738C"/>
    <w:rsid w:val="005C7CED"/>
    <w:rsid w:val="005D4AB6"/>
    <w:rsid w:val="005E7184"/>
    <w:rsid w:val="005F7DC8"/>
    <w:rsid w:val="006043FF"/>
    <w:rsid w:val="006144A1"/>
    <w:rsid w:val="00616047"/>
    <w:rsid w:val="00673C4C"/>
    <w:rsid w:val="00674905"/>
    <w:rsid w:val="00681E76"/>
    <w:rsid w:val="0068686E"/>
    <w:rsid w:val="006964EB"/>
    <w:rsid w:val="006B6ECC"/>
    <w:rsid w:val="006D327B"/>
    <w:rsid w:val="006F2AEC"/>
    <w:rsid w:val="00707D4C"/>
    <w:rsid w:val="00710040"/>
    <w:rsid w:val="007301D5"/>
    <w:rsid w:val="00733902"/>
    <w:rsid w:val="00750AFF"/>
    <w:rsid w:val="007548C4"/>
    <w:rsid w:val="00766D32"/>
    <w:rsid w:val="007712C4"/>
    <w:rsid w:val="007839AE"/>
    <w:rsid w:val="007A0B91"/>
    <w:rsid w:val="007B23B3"/>
    <w:rsid w:val="007C7D83"/>
    <w:rsid w:val="007D54B8"/>
    <w:rsid w:val="007E53C5"/>
    <w:rsid w:val="00820540"/>
    <w:rsid w:val="00825539"/>
    <w:rsid w:val="00835587"/>
    <w:rsid w:val="0085484A"/>
    <w:rsid w:val="00854E30"/>
    <w:rsid w:val="008559A3"/>
    <w:rsid w:val="00871A56"/>
    <w:rsid w:val="00895025"/>
    <w:rsid w:val="008B44DB"/>
    <w:rsid w:val="008C7B07"/>
    <w:rsid w:val="008D46ED"/>
    <w:rsid w:val="008D4C92"/>
    <w:rsid w:val="008E1EB0"/>
    <w:rsid w:val="0090316A"/>
    <w:rsid w:val="00930749"/>
    <w:rsid w:val="0093692A"/>
    <w:rsid w:val="00960143"/>
    <w:rsid w:val="00961ACE"/>
    <w:rsid w:val="0096677E"/>
    <w:rsid w:val="00974160"/>
    <w:rsid w:val="009C0754"/>
    <w:rsid w:val="009D01A0"/>
    <w:rsid w:val="009E1304"/>
    <w:rsid w:val="009F01E8"/>
    <w:rsid w:val="009F098E"/>
    <w:rsid w:val="00A308D0"/>
    <w:rsid w:val="00A42FA2"/>
    <w:rsid w:val="00A52222"/>
    <w:rsid w:val="00A5683C"/>
    <w:rsid w:val="00AA4342"/>
    <w:rsid w:val="00AB7DB0"/>
    <w:rsid w:val="00B11833"/>
    <w:rsid w:val="00B133E0"/>
    <w:rsid w:val="00B3455F"/>
    <w:rsid w:val="00B4367E"/>
    <w:rsid w:val="00B77EE6"/>
    <w:rsid w:val="00B853D1"/>
    <w:rsid w:val="00BA1621"/>
    <w:rsid w:val="00BC6CCF"/>
    <w:rsid w:val="00BC7028"/>
    <w:rsid w:val="00BC767C"/>
    <w:rsid w:val="00BD70F2"/>
    <w:rsid w:val="00BF18C5"/>
    <w:rsid w:val="00C03BDC"/>
    <w:rsid w:val="00C077A9"/>
    <w:rsid w:val="00C3468C"/>
    <w:rsid w:val="00C56F2C"/>
    <w:rsid w:val="00C6710F"/>
    <w:rsid w:val="00C71DF5"/>
    <w:rsid w:val="00C7487B"/>
    <w:rsid w:val="00CB47A6"/>
    <w:rsid w:val="00CC2DDC"/>
    <w:rsid w:val="00CC3764"/>
    <w:rsid w:val="00CC700E"/>
    <w:rsid w:val="00CD190E"/>
    <w:rsid w:val="00CE0314"/>
    <w:rsid w:val="00CE5A83"/>
    <w:rsid w:val="00D152E5"/>
    <w:rsid w:val="00D561D9"/>
    <w:rsid w:val="00D738AC"/>
    <w:rsid w:val="00DC6FA7"/>
    <w:rsid w:val="00DC739A"/>
    <w:rsid w:val="00DE6B57"/>
    <w:rsid w:val="00DF5409"/>
    <w:rsid w:val="00E26B4B"/>
    <w:rsid w:val="00E46302"/>
    <w:rsid w:val="00E53295"/>
    <w:rsid w:val="00E71C81"/>
    <w:rsid w:val="00E807F3"/>
    <w:rsid w:val="00E94D8C"/>
    <w:rsid w:val="00EA6A80"/>
    <w:rsid w:val="00EC4866"/>
    <w:rsid w:val="00EE1188"/>
    <w:rsid w:val="00F33036"/>
    <w:rsid w:val="00F4110E"/>
    <w:rsid w:val="00F61C0F"/>
    <w:rsid w:val="00FA08BE"/>
    <w:rsid w:val="00FB1571"/>
    <w:rsid w:val="00FB634E"/>
    <w:rsid w:val="00FD57C0"/>
    <w:rsid w:val="00FD5BF2"/>
    <w:rsid w:val="00FE6FA4"/>
    <w:rsid w:val="00FF3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C943FD"/>
  <w15:chartTrackingRefBased/>
  <w15:docId w15:val="{00C3DF3B-5BBF-474B-9B51-80306CE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A"/>
    <w:pPr>
      <w:spacing w:after="160" w:line="259" w:lineRule="auto"/>
    </w:pPr>
    <w:rPr>
      <w:rFonts w:ascii="Calibri" w:eastAsiaTheme="minorHAnsi" w:hAnsi="Calibri" w:cstheme="majorBidi"/>
      <w:color w:val="44546A" w:themeColor="text2"/>
      <w:sz w:val="22"/>
      <w:szCs w:val="22"/>
      <w:lang w:eastAsia="en-US"/>
    </w:rPr>
  </w:style>
  <w:style w:type="paragraph" w:styleId="Heading1">
    <w:name w:val="heading 1"/>
    <w:basedOn w:val="Normal"/>
    <w:next w:val="Normal"/>
    <w:qFormat/>
    <w:rsid w:val="00B4367E"/>
    <w:pPr>
      <w:keepNext/>
      <w:spacing w:before="300"/>
      <w:outlineLvl w:val="0"/>
    </w:pPr>
    <w:rPr>
      <w:rFonts w:eastAsia="Times"/>
      <w:b/>
      <w:sz w:val="32"/>
      <w:szCs w:val="20"/>
    </w:rPr>
  </w:style>
  <w:style w:type="paragraph" w:styleId="Heading2">
    <w:name w:val="heading 2"/>
    <w:basedOn w:val="Normal"/>
    <w:next w:val="Normal"/>
    <w:qFormat/>
    <w:rsid w:val="00B4367E"/>
    <w:pPr>
      <w:keepNext/>
      <w:spacing w:before="240" w:after="180"/>
      <w:outlineLvl w:val="1"/>
    </w:pPr>
    <w:rPr>
      <w:rFonts w:cs="Arial"/>
      <w:b/>
      <w:bCs/>
      <w:iCs/>
      <w:sz w:val="26"/>
      <w:szCs w:val="28"/>
    </w:rPr>
  </w:style>
  <w:style w:type="paragraph" w:styleId="Heading3">
    <w:name w:val="heading 3"/>
    <w:basedOn w:val="Normal"/>
    <w:next w:val="Normal"/>
    <w:qFormat/>
    <w:rsid w:val="00B4367E"/>
    <w:pPr>
      <w:keepNext/>
      <w:spacing w:before="240" w:after="120"/>
      <w:outlineLvl w:val="2"/>
    </w:pPr>
    <w:rPr>
      <w:rFonts w:eastAsia="Times"/>
      <w:b/>
      <w:i/>
      <w:szCs w:val="20"/>
    </w:rPr>
  </w:style>
  <w:style w:type="paragraph" w:styleId="Heading4">
    <w:name w:val="heading 4"/>
    <w:basedOn w:val="Normal"/>
    <w:next w:val="Normal"/>
    <w:qFormat/>
    <w:rsid w:val="00B4367E"/>
    <w:pPr>
      <w:keepNext/>
      <w:spacing w:before="240" w:after="120"/>
      <w:outlineLvl w:val="3"/>
    </w:pPr>
    <w:rPr>
      <w:bCs/>
      <w:i/>
      <w:szCs w:val="28"/>
    </w:rPr>
  </w:style>
  <w:style w:type="paragraph" w:styleId="Heading5">
    <w:name w:val="heading 5"/>
    <w:basedOn w:val="Normal"/>
    <w:next w:val="Normal"/>
    <w:qFormat/>
    <w:rsid w:val="00B4367E"/>
    <w:pPr>
      <w:spacing w:before="240" w:after="120"/>
      <w:outlineLvl w:val="4"/>
    </w:pPr>
    <w:rPr>
      <w:b/>
      <w:bCs/>
      <w:iCs/>
      <w:sz w:val="20"/>
      <w:szCs w:val="26"/>
    </w:rPr>
  </w:style>
  <w:style w:type="paragraph" w:styleId="Heading6">
    <w:name w:val="heading 6"/>
    <w:basedOn w:val="Normal"/>
    <w:next w:val="Normal"/>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183196"/>
    <w:pPr>
      <w:pBdr>
        <w:bottom w:val="single" w:sz="2" w:space="1" w:color="D9D9D9" w:themeColor="background1" w:themeShade="D9"/>
      </w:pBdr>
      <w:tabs>
        <w:tab w:val="center" w:pos="4320"/>
        <w:tab w:val="right" w:pos="8640"/>
      </w:tabs>
      <w:spacing w:after="0"/>
      <w:jc w:val="right"/>
    </w:pPr>
    <w:rPr>
      <w:rFonts w:eastAsia="Times"/>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B4367E"/>
    <w:pPr>
      <w:jc w:val="right"/>
    </w:pPr>
    <w:rPr>
      <w:rFonts w:ascii="Calibri" w:hAnsi="Calibri"/>
      <w:caps/>
      <w:color w:val="808080"/>
      <w:sz w:val="32"/>
    </w:rPr>
  </w:style>
  <w:style w:type="character" w:customStyle="1" w:styleId="SubtitleChar">
    <w:name w:val="Subtitle Char"/>
    <w:link w:val="Subtitle"/>
    <w:uiPriority w:val="11"/>
    <w:rsid w:val="00B4367E"/>
    <w:rPr>
      <w:rFonts w:ascii="Calibri" w:hAnsi="Calibri"/>
      <w:b/>
      <w:caps/>
      <w:color w:val="808080"/>
      <w:sz w:val="32"/>
      <w:lang w:eastAsia="en-US"/>
    </w:rPr>
  </w:style>
  <w:style w:type="paragraph" w:customStyle="1" w:styleId="Contentsheading">
    <w:name w:val="Contents heading"/>
    <w:basedOn w:val="Heading2"/>
    <w:unhideWhenUsed/>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styleId="ListParagraph">
    <w:name w:val="List Paragraph"/>
    <w:basedOn w:val="Normal"/>
    <w:uiPriority w:val="34"/>
    <w:qFormat/>
    <w:rsid w:val="00974160"/>
    <w:pPr>
      <w:ind w:left="720"/>
      <w:contextualSpacing/>
    </w:pPr>
  </w:style>
  <w:style w:type="paragraph" w:customStyle="1" w:styleId="Casestudy">
    <w:name w:val="Case study"/>
    <w:basedOn w:val="Normal"/>
    <w:qFormat/>
    <w:rsid w:val="00673C4C"/>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pPr>
    <w:rPr>
      <w:color w:val="000000" w:themeColor="text1"/>
    </w:rPr>
  </w:style>
  <w:style w:type="character" w:styleId="CommentReference">
    <w:name w:val="annotation reference"/>
    <w:basedOn w:val="DefaultParagraphFont"/>
    <w:uiPriority w:val="99"/>
    <w:semiHidden/>
    <w:unhideWhenUsed/>
    <w:rsid w:val="00B133E0"/>
    <w:rPr>
      <w:sz w:val="16"/>
      <w:szCs w:val="16"/>
    </w:rPr>
  </w:style>
  <w:style w:type="paragraph" w:styleId="CommentText">
    <w:name w:val="annotation text"/>
    <w:basedOn w:val="Normal"/>
    <w:link w:val="CommentTextChar"/>
    <w:uiPriority w:val="99"/>
    <w:semiHidden/>
    <w:unhideWhenUsed/>
    <w:rsid w:val="00B133E0"/>
    <w:pPr>
      <w:spacing w:line="240" w:lineRule="auto"/>
    </w:pPr>
    <w:rPr>
      <w:sz w:val="20"/>
      <w:szCs w:val="20"/>
    </w:rPr>
  </w:style>
  <w:style w:type="character" w:customStyle="1" w:styleId="CommentTextChar">
    <w:name w:val="Comment Text Char"/>
    <w:basedOn w:val="DefaultParagraphFont"/>
    <w:link w:val="CommentText"/>
    <w:uiPriority w:val="99"/>
    <w:semiHidden/>
    <w:rsid w:val="00B133E0"/>
    <w:rPr>
      <w:rFonts w:ascii="Calibri" w:eastAsiaTheme="minorHAnsi" w:hAnsi="Calibri" w:cstheme="majorBidi"/>
      <w:color w:val="44546A" w:themeColor="text2"/>
      <w:lang w:eastAsia="en-US"/>
    </w:rPr>
  </w:style>
  <w:style w:type="paragraph" w:styleId="CommentSubject">
    <w:name w:val="annotation subject"/>
    <w:basedOn w:val="CommentText"/>
    <w:next w:val="CommentText"/>
    <w:link w:val="CommentSubjectChar"/>
    <w:uiPriority w:val="99"/>
    <w:semiHidden/>
    <w:unhideWhenUsed/>
    <w:rsid w:val="00B133E0"/>
    <w:rPr>
      <w:b/>
      <w:bCs/>
    </w:rPr>
  </w:style>
  <w:style w:type="character" w:customStyle="1" w:styleId="CommentSubjectChar">
    <w:name w:val="Comment Subject Char"/>
    <w:basedOn w:val="CommentTextChar"/>
    <w:link w:val="CommentSubject"/>
    <w:uiPriority w:val="99"/>
    <w:semiHidden/>
    <w:rsid w:val="00B133E0"/>
    <w:rPr>
      <w:rFonts w:ascii="Calibri" w:eastAsiaTheme="minorHAnsi" w:hAnsi="Calibri" w:cstheme="majorBidi"/>
      <w:b/>
      <w:bCs/>
      <w:color w:val="44546A" w:themeColor="text2"/>
      <w:lang w:eastAsia="en-US"/>
    </w:rPr>
  </w:style>
  <w:style w:type="paragraph" w:styleId="BalloonText">
    <w:name w:val="Balloon Text"/>
    <w:basedOn w:val="Normal"/>
    <w:link w:val="BalloonTextChar"/>
    <w:uiPriority w:val="99"/>
    <w:semiHidden/>
    <w:unhideWhenUsed/>
    <w:rsid w:val="00B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E0"/>
    <w:rPr>
      <w:rFonts w:ascii="Segoe UI" w:eastAsiaTheme="minorHAnsi" w:hAnsi="Segoe UI" w:cs="Segoe UI"/>
      <w:color w:val="44546A" w:themeColor="text2"/>
      <w:sz w:val="18"/>
      <w:szCs w:val="18"/>
      <w:lang w:eastAsia="en-US"/>
    </w:rPr>
  </w:style>
  <w:style w:type="paragraph" w:styleId="FootnoteText">
    <w:name w:val="footnote text"/>
    <w:basedOn w:val="Normal"/>
    <w:link w:val="FootnoteTextChar"/>
    <w:uiPriority w:val="99"/>
    <w:semiHidden/>
    <w:unhideWhenUsed/>
    <w:rsid w:val="00AA4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42"/>
    <w:rPr>
      <w:rFonts w:ascii="Calibri" w:eastAsiaTheme="minorHAnsi" w:hAnsi="Calibri" w:cstheme="majorBidi"/>
      <w:color w:val="44546A" w:themeColor="text2"/>
      <w:lang w:eastAsia="en-US"/>
    </w:rPr>
  </w:style>
  <w:style w:type="character" w:styleId="FootnoteReference">
    <w:name w:val="footnote reference"/>
    <w:basedOn w:val="DefaultParagraphFont"/>
    <w:uiPriority w:val="99"/>
    <w:semiHidden/>
    <w:unhideWhenUsed/>
    <w:rsid w:val="00AA4342"/>
    <w:rPr>
      <w:vertAlign w:val="superscript"/>
    </w:rPr>
  </w:style>
  <w:style w:type="table" w:styleId="TableGrid">
    <w:name w:val="Table Grid"/>
    <w:basedOn w:val="TableNormal"/>
    <w:uiPriority w:val="39"/>
    <w:rsid w:val="007A0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E118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491C60"/>
    <w:rPr>
      <w:rFonts w:ascii="Calibri" w:eastAsiaTheme="minorHAnsi" w:hAnsi="Calibri" w:cstheme="majorBidi"/>
      <w:color w:val="44546A" w:themeColor="text2"/>
      <w:sz w:val="22"/>
      <w:szCs w:val="22"/>
      <w:lang w:eastAsia="en-US"/>
    </w:rPr>
  </w:style>
  <w:style w:type="paragraph" w:customStyle="1" w:styleId="Billname">
    <w:name w:val="Billname"/>
    <w:basedOn w:val="Normal"/>
    <w:rsid w:val="001D21AA"/>
    <w:pPr>
      <w:tabs>
        <w:tab w:val="left" w:pos="2400"/>
        <w:tab w:val="left" w:pos="2880"/>
      </w:tabs>
      <w:spacing w:before="1220" w:after="100" w:line="240" w:lineRule="auto"/>
    </w:pPr>
    <w:rPr>
      <w:rFonts w:ascii="Arial" w:eastAsia="Times New Roman" w:hAnsi="Arial" w:cs="Times New Roman"/>
      <w:b/>
      <w:color w:val="auto"/>
      <w:sz w:val="40"/>
      <w:szCs w:val="20"/>
    </w:rPr>
  </w:style>
  <w:style w:type="paragraph" w:customStyle="1" w:styleId="N-line3">
    <w:name w:val="N-line3"/>
    <w:basedOn w:val="Normal"/>
    <w:next w:val="Normal"/>
    <w:rsid w:val="001D21AA"/>
    <w:pPr>
      <w:pBdr>
        <w:bottom w:val="single" w:sz="12" w:space="1" w:color="auto"/>
      </w:pBdr>
      <w:spacing w:after="0" w:line="240" w:lineRule="auto"/>
      <w:jc w:val="both"/>
    </w:pPr>
    <w:rPr>
      <w:rFonts w:ascii="Times New Roman" w:eastAsia="Times New Roman" w:hAnsi="Times New Roman" w:cs="Times New Roman"/>
      <w:color w:val="auto"/>
      <w:sz w:val="24"/>
      <w:szCs w:val="20"/>
    </w:rPr>
  </w:style>
  <w:style w:type="paragraph" w:customStyle="1" w:styleId="madeunder">
    <w:name w:val="made under"/>
    <w:basedOn w:val="Normal"/>
    <w:rsid w:val="001D21AA"/>
    <w:pPr>
      <w:spacing w:before="180" w:after="60" w:line="240" w:lineRule="auto"/>
      <w:jc w:val="both"/>
    </w:pPr>
    <w:rPr>
      <w:rFonts w:ascii="Times New Roman" w:eastAsia="Times New Roman" w:hAnsi="Times New Roman" w:cs="Times New Roman"/>
      <w:color w:val="auto"/>
      <w:sz w:val="24"/>
      <w:szCs w:val="20"/>
    </w:rPr>
  </w:style>
  <w:style w:type="paragraph" w:customStyle="1" w:styleId="CoverActName">
    <w:name w:val="CoverActName"/>
    <w:basedOn w:val="Normal"/>
    <w:rsid w:val="001D21AA"/>
    <w:pPr>
      <w:tabs>
        <w:tab w:val="left" w:pos="2600"/>
      </w:tabs>
      <w:spacing w:before="200" w:after="60" w:line="240" w:lineRule="auto"/>
      <w:jc w:val="both"/>
    </w:pPr>
    <w:rPr>
      <w:rFonts w:ascii="Arial" w:eastAsia="Times New Roman" w:hAnsi="Arial" w:cs="Times New Roman"/>
      <w:b/>
      <w:color w:val="auto"/>
      <w:sz w:val="24"/>
      <w:szCs w:val="20"/>
    </w:rPr>
  </w:style>
  <w:style w:type="paragraph" w:styleId="EndnoteText">
    <w:name w:val="endnote text"/>
    <w:basedOn w:val="Normal"/>
    <w:link w:val="EndnoteTextChar"/>
    <w:uiPriority w:val="99"/>
    <w:semiHidden/>
    <w:unhideWhenUsed/>
    <w:rsid w:val="003159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916"/>
    <w:rPr>
      <w:rFonts w:ascii="Calibri" w:eastAsiaTheme="minorHAnsi" w:hAnsi="Calibri" w:cstheme="majorBidi"/>
      <w:color w:val="44546A" w:themeColor="text2"/>
      <w:lang w:eastAsia="en-US"/>
    </w:rPr>
  </w:style>
  <w:style w:type="character" w:styleId="EndnoteReference">
    <w:name w:val="endnote reference"/>
    <w:basedOn w:val="DefaultParagraphFont"/>
    <w:uiPriority w:val="99"/>
    <w:semiHidden/>
    <w:unhideWhenUsed/>
    <w:rsid w:val="00315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61100">
      <w:bodyDiv w:val="1"/>
      <w:marLeft w:val="0"/>
      <w:marRight w:val="0"/>
      <w:marTop w:val="0"/>
      <w:marBottom w:val="0"/>
      <w:divBdr>
        <w:top w:val="none" w:sz="0" w:space="0" w:color="auto"/>
        <w:left w:val="none" w:sz="0" w:space="0" w:color="auto"/>
        <w:bottom w:val="none" w:sz="0" w:space="0" w:color="auto"/>
        <w:right w:val="none" w:sz="0" w:space="0" w:color="auto"/>
      </w:divBdr>
    </w:div>
    <w:div w:id="753283757">
      <w:bodyDiv w:val="1"/>
      <w:marLeft w:val="0"/>
      <w:marRight w:val="0"/>
      <w:marTop w:val="0"/>
      <w:marBottom w:val="0"/>
      <w:divBdr>
        <w:top w:val="none" w:sz="0" w:space="0" w:color="auto"/>
        <w:left w:val="none" w:sz="0" w:space="0" w:color="auto"/>
        <w:bottom w:val="none" w:sz="0" w:space="0" w:color="auto"/>
        <w:right w:val="none" w:sz="0" w:space="0" w:color="auto"/>
      </w:divBdr>
    </w:div>
    <w:div w:id="987787038">
      <w:bodyDiv w:val="1"/>
      <w:marLeft w:val="0"/>
      <w:marRight w:val="0"/>
      <w:marTop w:val="0"/>
      <w:marBottom w:val="0"/>
      <w:divBdr>
        <w:top w:val="none" w:sz="0" w:space="0" w:color="auto"/>
        <w:left w:val="none" w:sz="0" w:space="0" w:color="auto"/>
        <w:bottom w:val="none" w:sz="0" w:space="0" w:color="auto"/>
        <w:right w:val="none" w:sz="0" w:space="0" w:color="auto"/>
      </w:divBdr>
    </w:div>
    <w:div w:id="1677079044">
      <w:bodyDiv w:val="1"/>
      <w:marLeft w:val="0"/>
      <w:marRight w:val="0"/>
      <w:marTop w:val="0"/>
      <w:marBottom w:val="0"/>
      <w:divBdr>
        <w:top w:val="none" w:sz="0" w:space="0" w:color="auto"/>
        <w:left w:val="none" w:sz="0" w:space="0" w:color="auto"/>
        <w:bottom w:val="none" w:sz="0" w:space="0" w:color="auto"/>
        <w:right w:val="none" w:sz="0" w:space="0" w:color="auto"/>
      </w:divBdr>
      <w:divsChild>
        <w:div w:id="815103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A1788480</value>
    </field>
    <field name="Objective-Title">
      <value order="0">Notifiable Instrument_Inspector of the Integrity Commission_Complaint Handling Policy</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00F44AE3-B9B1-428C-A5C0-5F479500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2313</Words>
  <Characters>12913</Characters>
  <Application>Microsoft Office Word</Application>
  <DocSecurity>0</DocSecurity>
  <Lines>276</Lines>
  <Paragraphs>187</Paragraphs>
  <ScaleCrop>false</ScaleCrop>
  <HeadingPairs>
    <vt:vector size="2" baseType="variant">
      <vt:variant>
        <vt:lpstr>Title</vt:lpstr>
      </vt:variant>
      <vt:variant>
        <vt:i4>1</vt:i4>
      </vt:variant>
    </vt:vector>
  </HeadingPairs>
  <TitlesOfParts>
    <vt:vector size="1" baseType="lpstr">
      <vt:lpstr>Policy title</vt:lpstr>
    </vt:vector>
  </TitlesOfParts>
  <Company>Commonwealth Ombudsman</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[Subject]</dc:subject>
  <dc:creator>ACT Government</dc:creator>
  <cp:keywords>2</cp:keywords>
  <cp:lastModifiedBy>PCODCS</cp:lastModifiedBy>
  <cp:revision>5</cp:revision>
  <cp:lastPrinted>2019-06-26T07:23:00Z</cp:lastPrinted>
  <dcterms:created xsi:type="dcterms:W3CDTF">2019-07-03T00:50:00Z</dcterms:created>
  <dcterms:modified xsi:type="dcterms:W3CDTF">2019-07-03T00:50:00Z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A1788480</vt:lpwstr>
  </property>
  <property fmtid="{D5CDD505-2E9C-101B-9397-08002B2CF9AE}" pid="3" name="Objective-Title">
    <vt:lpwstr>Notifiable Instrument_Inspector of the Integrity Commission_Complaint Handling Policy</vt:lpwstr>
  </property>
  <property fmtid="{D5CDD505-2E9C-101B-9397-08002B2CF9AE}" pid="4" name="Objective-Author - Internal [system]">
    <vt:lpwstr>Monda Scoltock</vt:lpwstr>
  </property>
  <property fmtid="{D5CDD505-2E9C-101B-9397-08002B2CF9AE}" pid="5" name="Objective-Agency [system]">
    <vt:lpwstr>ACTCS</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Monda Scoltock</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Outgoing</vt:lpwstr>
  </property>
  <property fmtid="{D5CDD505-2E9C-101B-9397-08002B2CF9AE}" pid="15" name="Objective-Addressee">
    <vt:lpwstr/>
  </property>
  <property fmtid="{D5CDD505-2E9C-101B-9397-08002B2CF9AE}" pid="16" name="Objective-Date Sent">
    <vt:lpwstr/>
  </property>
  <property fmtid="{D5CDD505-2E9C-101B-9397-08002B2CF9AE}" pid="17" name="Objective-Detailed Description">
    <vt:lpwstr/>
  </property>
  <property fmtid="{D5CDD505-2E9C-101B-9397-08002B2CF9AE}" pid="18" name="CHECKEDOUTFROMJMS">
    <vt:lpwstr/>
  </property>
  <property fmtid="{D5CDD505-2E9C-101B-9397-08002B2CF9AE}" pid="19" name="DMSID">
    <vt:lpwstr>1064366</vt:lpwstr>
  </property>
  <property fmtid="{D5CDD505-2E9C-101B-9397-08002B2CF9AE}" pid="20" name="JMSREQUIREDCHECKIN">
    <vt:lpwstr/>
  </property>
</Properties>
</file>