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46" w:rsidRPr="00FC04E4" w:rsidRDefault="00B55B46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 w:rsidRPr="00FC04E4">
            <w:rPr>
              <w:rFonts w:ascii="Arial" w:hAnsi="Arial" w:cs="Arial"/>
            </w:rPr>
            <w:t>Australian Capital Territory</w:t>
          </w:r>
        </w:smartTag>
      </w:smartTag>
    </w:p>
    <w:p w:rsidR="00B55B46" w:rsidRPr="00FC04E4" w:rsidRDefault="00CF2B53">
      <w:pPr>
        <w:pStyle w:val="Billname"/>
        <w:spacing w:before="700"/>
      </w:pPr>
      <w:r w:rsidRPr="00CF2B53">
        <w:t>Work Health and Safety (Hazardous Chemicals at Public Events) Exemption 2019 (No 1)</w:t>
      </w:r>
      <w:r>
        <w:t>*</w:t>
      </w:r>
    </w:p>
    <w:p w:rsidR="00B55B46" w:rsidRPr="00FC04E4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FC04E4">
        <w:rPr>
          <w:rFonts w:ascii="Arial" w:hAnsi="Arial" w:cs="Arial"/>
          <w:b/>
          <w:bCs/>
        </w:rPr>
        <w:t>Notifiable instrument NI201</w:t>
      </w:r>
      <w:r w:rsidR="00FC04E4">
        <w:rPr>
          <w:rFonts w:ascii="Arial" w:hAnsi="Arial" w:cs="Arial"/>
          <w:b/>
          <w:bCs/>
        </w:rPr>
        <w:t>9</w:t>
      </w:r>
      <w:r w:rsidR="00B55B46" w:rsidRPr="00FC04E4">
        <w:rPr>
          <w:rFonts w:ascii="Arial" w:hAnsi="Arial" w:cs="Arial"/>
          <w:b/>
          <w:bCs/>
        </w:rPr>
        <w:t>–</w:t>
      </w:r>
      <w:r w:rsidR="00096232">
        <w:rPr>
          <w:rFonts w:ascii="Arial" w:hAnsi="Arial" w:cs="Arial"/>
          <w:b/>
          <w:bCs/>
        </w:rPr>
        <w:t>604</w:t>
      </w:r>
    </w:p>
    <w:p w:rsidR="00B55B46" w:rsidRPr="00212316" w:rsidRDefault="00B55B46">
      <w:pPr>
        <w:pStyle w:val="madeunder"/>
        <w:spacing w:before="240" w:after="120"/>
      </w:pPr>
      <w:r w:rsidRPr="00212316">
        <w:t xml:space="preserve">made under the  </w:t>
      </w:r>
    </w:p>
    <w:p w:rsidR="00B55B46" w:rsidRPr="00FC04E4" w:rsidRDefault="00FC04E4">
      <w:pPr>
        <w:pStyle w:val="CoverActName"/>
      </w:pPr>
      <w:r w:rsidRPr="00FC04E4">
        <w:rPr>
          <w:rFonts w:cs="Arial"/>
          <w:sz w:val="20"/>
        </w:rPr>
        <w:t>Work Health and Safety Regulation 2011</w:t>
      </w:r>
      <w:r w:rsidR="00AA0E31" w:rsidRPr="00FC04E4">
        <w:rPr>
          <w:rFonts w:cs="Arial"/>
          <w:sz w:val="20"/>
        </w:rPr>
        <w:t xml:space="preserve"> </w:t>
      </w:r>
      <w:r w:rsidR="00F56433" w:rsidRPr="00FC04E4">
        <w:rPr>
          <w:rFonts w:cs="Arial"/>
          <w:sz w:val="20"/>
        </w:rPr>
        <w:t xml:space="preserve">Section </w:t>
      </w:r>
      <w:r w:rsidRPr="00FC04E4">
        <w:rPr>
          <w:rFonts w:cs="Arial"/>
          <w:sz w:val="20"/>
        </w:rPr>
        <w:t>684</w:t>
      </w:r>
      <w:r w:rsidR="00F56433" w:rsidRPr="00FC04E4">
        <w:rPr>
          <w:rFonts w:cs="Arial"/>
          <w:sz w:val="20"/>
        </w:rPr>
        <w:t xml:space="preserve"> (2)</w:t>
      </w:r>
      <w:r w:rsidR="002C08F5" w:rsidRPr="00FC04E4">
        <w:rPr>
          <w:rFonts w:cs="Arial"/>
          <w:sz w:val="20"/>
        </w:rPr>
        <w:t xml:space="preserve"> </w:t>
      </w:r>
      <w:r w:rsidRPr="00FC04E4">
        <w:rPr>
          <w:rFonts w:cs="Arial"/>
          <w:sz w:val="20"/>
        </w:rPr>
        <w:t>General</w:t>
      </w:r>
      <w:r w:rsidR="001D564F" w:rsidRPr="00FC04E4">
        <w:rPr>
          <w:rFonts w:cs="Arial"/>
          <w:sz w:val="20"/>
        </w:rPr>
        <w:t xml:space="preserve"> </w:t>
      </w:r>
      <w:r w:rsidRPr="00FC04E4">
        <w:rPr>
          <w:rFonts w:cs="Arial"/>
          <w:sz w:val="20"/>
        </w:rPr>
        <w:t>power</w:t>
      </w:r>
      <w:r w:rsidR="001D564F" w:rsidRPr="00FC04E4">
        <w:rPr>
          <w:rFonts w:cs="Arial"/>
          <w:sz w:val="20"/>
        </w:rPr>
        <w:t xml:space="preserve"> </w:t>
      </w:r>
      <w:r w:rsidRPr="00FC04E4">
        <w:rPr>
          <w:rFonts w:cs="Arial"/>
          <w:sz w:val="20"/>
        </w:rPr>
        <w:t>to grant exemptions</w:t>
      </w:r>
    </w:p>
    <w:p w:rsidR="00B55B46" w:rsidRPr="00212316" w:rsidRDefault="00B55B46">
      <w:pPr>
        <w:pStyle w:val="N-line3"/>
        <w:pBdr>
          <w:bottom w:val="none" w:sz="0" w:space="0" w:color="auto"/>
        </w:pBdr>
        <w:rPr>
          <w:highlight w:val="yellow"/>
        </w:rPr>
      </w:pPr>
    </w:p>
    <w:p w:rsidR="00B55B46" w:rsidRPr="00212316" w:rsidRDefault="00B55B46">
      <w:pPr>
        <w:pStyle w:val="N-line3"/>
        <w:pBdr>
          <w:top w:val="single" w:sz="12" w:space="1" w:color="auto"/>
          <w:bottom w:val="none" w:sz="0" w:space="0" w:color="auto"/>
        </w:pBdr>
        <w:rPr>
          <w:highlight w:val="yellow"/>
        </w:rPr>
      </w:pPr>
    </w:p>
    <w:p w:rsidR="00B55B46" w:rsidRPr="00FC04E4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C04E4">
        <w:rPr>
          <w:rFonts w:ascii="Arial" w:hAnsi="Arial" w:cs="Arial"/>
          <w:b/>
          <w:bCs/>
        </w:rPr>
        <w:t>Name of instrument</w:t>
      </w:r>
    </w:p>
    <w:p w:rsidR="002C08F5" w:rsidRPr="00FC04E4" w:rsidRDefault="00D470A0" w:rsidP="002C08F5">
      <w:pPr>
        <w:spacing w:before="80" w:after="60"/>
        <w:ind w:left="720"/>
        <w:rPr>
          <w:b/>
          <w:bCs/>
          <w:i/>
          <w:iCs/>
        </w:rPr>
      </w:pPr>
      <w:r w:rsidRPr="00FC04E4">
        <w:t xml:space="preserve">This instrument is the </w:t>
      </w:r>
      <w:r w:rsidR="00CF2B53" w:rsidRPr="00CF2B53">
        <w:rPr>
          <w:i/>
          <w:iCs/>
        </w:rPr>
        <w:t>Work Health and Safety (Hazardous Chemicals at Public Events) Exemption 2019 (No 1)</w:t>
      </w:r>
      <w:r w:rsidRPr="00FC04E4">
        <w:rPr>
          <w:b/>
          <w:bCs/>
          <w:i/>
          <w:iCs/>
        </w:rPr>
        <w:t>.</w:t>
      </w:r>
    </w:p>
    <w:p w:rsidR="00B55B46" w:rsidRPr="00212316" w:rsidRDefault="0042490D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212316">
        <w:rPr>
          <w:rFonts w:ascii="Arial" w:hAnsi="Arial" w:cs="Arial"/>
          <w:b/>
          <w:bCs/>
        </w:rPr>
        <w:t>2</w:t>
      </w:r>
      <w:r w:rsidR="00B55B46" w:rsidRPr="00212316">
        <w:rPr>
          <w:rFonts w:ascii="Arial" w:hAnsi="Arial" w:cs="Arial"/>
          <w:b/>
          <w:bCs/>
        </w:rPr>
        <w:tab/>
        <w:t xml:space="preserve">Commencement </w:t>
      </w:r>
    </w:p>
    <w:p w:rsidR="00B55B46" w:rsidRPr="00212316" w:rsidRDefault="00B55B46">
      <w:pPr>
        <w:spacing w:before="80" w:after="60"/>
        <w:ind w:left="720"/>
      </w:pPr>
      <w:r w:rsidRPr="00212316">
        <w:t xml:space="preserve">This instrument commences on </w:t>
      </w:r>
      <w:r w:rsidR="00212316" w:rsidRPr="00212316">
        <w:t>1 January 2020</w:t>
      </w:r>
      <w:r w:rsidRPr="00212316">
        <w:t xml:space="preserve">. </w:t>
      </w:r>
    </w:p>
    <w:p w:rsidR="00504A54" w:rsidRPr="00212316" w:rsidRDefault="0042490D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212316">
        <w:rPr>
          <w:rFonts w:ascii="Arial" w:hAnsi="Arial" w:cs="Arial"/>
          <w:b/>
          <w:bCs/>
        </w:rPr>
        <w:t>3</w:t>
      </w:r>
      <w:r w:rsidR="00B55B46" w:rsidRPr="00212316">
        <w:rPr>
          <w:rFonts w:ascii="Arial" w:hAnsi="Arial" w:cs="Arial"/>
          <w:b/>
          <w:bCs/>
        </w:rPr>
        <w:tab/>
      </w:r>
      <w:r w:rsidR="00212316" w:rsidRPr="00212316">
        <w:rPr>
          <w:rFonts w:ascii="Arial" w:hAnsi="Arial" w:cs="Arial"/>
          <w:b/>
          <w:bCs/>
        </w:rPr>
        <w:t>Duration</w:t>
      </w:r>
    </w:p>
    <w:p w:rsidR="00504A54" w:rsidRPr="00212316" w:rsidRDefault="00504A54" w:rsidP="00504A54">
      <w:pPr>
        <w:spacing w:before="240" w:after="60"/>
        <w:ind w:left="720"/>
        <w:rPr>
          <w:bCs/>
        </w:rPr>
      </w:pPr>
      <w:r w:rsidRPr="00212316">
        <w:rPr>
          <w:bCs/>
        </w:rPr>
        <w:t xml:space="preserve">This </w:t>
      </w:r>
      <w:r w:rsidR="00CB3667" w:rsidRPr="00212316">
        <w:rPr>
          <w:bCs/>
        </w:rPr>
        <w:t>instrument</w:t>
      </w:r>
      <w:r w:rsidRPr="00212316">
        <w:rPr>
          <w:bCs/>
        </w:rPr>
        <w:t xml:space="preserve"> </w:t>
      </w:r>
      <w:r w:rsidR="00212316" w:rsidRPr="00212316">
        <w:rPr>
          <w:bCs/>
        </w:rPr>
        <w:t xml:space="preserve">remains in effect until it is amended or cancelled under Section 697 of the </w:t>
      </w:r>
      <w:r w:rsidR="00212316" w:rsidRPr="00212316">
        <w:rPr>
          <w:bCs/>
          <w:i/>
        </w:rPr>
        <w:t>Work Health and Safety Regulation 2011</w:t>
      </w:r>
      <w:r w:rsidR="00EE520D" w:rsidRPr="00212316">
        <w:rPr>
          <w:bCs/>
        </w:rPr>
        <w:t>.</w:t>
      </w:r>
    </w:p>
    <w:p w:rsidR="00212316" w:rsidRPr="00212316" w:rsidRDefault="00212316" w:rsidP="00212316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21231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Class of persons to whom the exemption applies</w:t>
      </w:r>
    </w:p>
    <w:p w:rsidR="00212316" w:rsidRPr="00212316" w:rsidRDefault="00212316" w:rsidP="00212316">
      <w:pPr>
        <w:spacing w:before="240" w:after="60"/>
        <w:ind w:left="720"/>
        <w:rPr>
          <w:bCs/>
        </w:rPr>
      </w:pPr>
      <w:r w:rsidRPr="00212316">
        <w:rPr>
          <w:bCs/>
        </w:rPr>
        <w:t xml:space="preserve">This instrument </w:t>
      </w:r>
      <w:r>
        <w:rPr>
          <w:bCs/>
        </w:rPr>
        <w:t xml:space="preserve">applies to any person conducting a business or undertaking </w:t>
      </w:r>
      <w:r w:rsidR="0046462D">
        <w:rPr>
          <w:bCs/>
        </w:rPr>
        <w:t xml:space="preserve">(PCBU) </w:t>
      </w:r>
      <w:r>
        <w:rPr>
          <w:bCs/>
        </w:rPr>
        <w:t>whose workers will use, handle or store Schedule 11 hazardous chemicals in excess of a manifest quantity under the</w:t>
      </w:r>
      <w:r w:rsidRPr="00212316">
        <w:rPr>
          <w:bCs/>
        </w:rPr>
        <w:t xml:space="preserve"> </w:t>
      </w:r>
      <w:r w:rsidRPr="00212316">
        <w:rPr>
          <w:bCs/>
          <w:i/>
        </w:rPr>
        <w:t>Work Health and Safety Regulation 2011</w:t>
      </w:r>
      <w:r>
        <w:rPr>
          <w:bCs/>
        </w:rPr>
        <w:t xml:space="preserve"> during an event </w:t>
      </w:r>
      <w:r w:rsidR="002622E1">
        <w:rPr>
          <w:bCs/>
        </w:rPr>
        <w:t xml:space="preserve">to be </w:t>
      </w:r>
      <w:r>
        <w:rPr>
          <w:bCs/>
        </w:rPr>
        <w:t>held at a location where hazardous chemicals would not otherwise be present in excess of a manifest quantity.</w:t>
      </w:r>
    </w:p>
    <w:p w:rsidR="00B55B46" w:rsidRPr="0046462D" w:rsidRDefault="0046462D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46462D">
        <w:rPr>
          <w:rFonts w:ascii="Arial" w:hAnsi="Arial" w:cs="Arial"/>
          <w:b/>
          <w:bCs/>
        </w:rPr>
        <w:t>5</w:t>
      </w:r>
      <w:r w:rsidR="00B55B46" w:rsidRPr="0046462D">
        <w:rPr>
          <w:rFonts w:ascii="Arial" w:hAnsi="Arial" w:cs="Arial"/>
          <w:b/>
          <w:bCs/>
        </w:rPr>
        <w:tab/>
      </w:r>
      <w:r w:rsidRPr="0046462D">
        <w:rPr>
          <w:rFonts w:ascii="Arial" w:hAnsi="Arial" w:cs="Arial"/>
          <w:b/>
          <w:bCs/>
        </w:rPr>
        <w:t>Exempted provisions</w:t>
      </w:r>
      <w:r w:rsidR="000325C8" w:rsidRPr="0046462D">
        <w:rPr>
          <w:rFonts w:ascii="Arial" w:hAnsi="Arial" w:cs="Arial"/>
          <w:b/>
          <w:bCs/>
        </w:rPr>
        <w:t xml:space="preserve"> </w:t>
      </w:r>
    </w:p>
    <w:p w:rsidR="00EB1C5F" w:rsidRDefault="00EB1C5F" w:rsidP="005C62A7">
      <w:pPr>
        <w:spacing w:before="80" w:after="60"/>
        <w:ind w:left="720"/>
        <w:rPr>
          <w:bCs/>
        </w:rPr>
      </w:pPr>
      <w:r>
        <w:rPr>
          <w:bCs/>
        </w:rPr>
        <w:t>Subject to the conditions set out in this instrument, a person to whom this exemption applies</w:t>
      </w:r>
      <w:r w:rsidR="00D61742">
        <w:rPr>
          <w:bCs/>
        </w:rPr>
        <w:t xml:space="preserve"> </w:t>
      </w:r>
      <w:r>
        <w:rPr>
          <w:bCs/>
        </w:rPr>
        <w:t xml:space="preserve">is not required to comply with Section 347 (Manifest of hazardous chemicals) or Section 348 (Regulator must be notified if manifest quantities to be exceeded) of the </w:t>
      </w:r>
      <w:r w:rsidRPr="00EB1C5F">
        <w:rPr>
          <w:bCs/>
          <w:i/>
        </w:rPr>
        <w:t>Work Health and Safety Regulation 2011.</w:t>
      </w:r>
    </w:p>
    <w:p w:rsidR="00EB1C5F" w:rsidRPr="00EB1C5F" w:rsidRDefault="00EB1C5F" w:rsidP="005C62A7">
      <w:pPr>
        <w:spacing w:before="80" w:after="60"/>
        <w:ind w:left="720"/>
        <w:rPr>
          <w:bCs/>
        </w:rPr>
      </w:pPr>
      <w:r>
        <w:rPr>
          <w:bCs/>
        </w:rPr>
        <w:t xml:space="preserve">A person to whom this exemption applies </w:t>
      </w:r>
      <w:r w:rsidR="00D61742">
        <w:rPr>
          <w:bCs/>
        </w:rPr>
        <w:t>is required to comply with</w:t>
      </w:r>
      <w:r>
        <w:rPr>
          <w:bCs/>
        </w:rPr>
        <w:t xml:space="preserve"> Section 361 (Emergency plans) of the </w:t>
      </w:r>
      <w:r>
        <w:rPr>
          <w:bCs/>
          <w:i/>
        </w:rPr>
        <w:t>Work Health and Safety Regulation 2011</w:t>
      </w:r>
      <w:r w:rsidR="00D61742">
        <w:rPr>
          <w:bCs/>
        </w:rPr>
        <w:t xml:space="preserve"> </w:t>
      </w:r>
      <w:r w:rsidR="00F121D1">
        <w:rPr>
          <w:bCs/>
        </w:rPr>
        <w:t xml:space="preserve">only to the extent that </w:t>
      </w:r>
      <w:r w:rsidR="00D61742">
        <w:rPr>
          <w:bCs/>
        </w:rPr>
        <w:t xml:space="preserve">any reference in Section 361 </w:t>
      </w:r>
      <w:r w:rsidR="00F121D1">
        <w:rPr>
          <w:bCs/>
        </w:rPr>
        <w:t xml:space="preserve">to </w:t>
      </w:r>
      <w:r w:rsidR="002622E1">
        <w:rPr>
          <w:bCs/>
        </w:rPr>
        <w:t xml:space="preserve">an </w:t>
      </w:r>
      <w:r w:rsidR="00F121D1">
        <w:rPr>
          <w:bCs/>
        </w:rPr>
        <w:t>emergency plan</w:t>
      </w:r>
      <w:r w:rsidR="00D61742">
        <w:rPr>
          <w:bCs/>
        </w:rPr>
        <w:t xml:space="preserve"> </w:t>
      </w:r>
      <w:r w:rsidR="00F121D1">
        <w:rPr>
          <w:bCs/>
        </w:rPr>
        <w:t xml:space="preserve">shall be </w:t>
      </w:r>
      <w:r w:rsidR="00D61742">
        <w:rPr>
          <w:bCs/>
        </w:rPr>
        <w:t xml:space="preserve">read as applying to </w:t>
      </w:r>
      <w:r w:rsidR="002622E1">
        <w:rPr>
          <w:bCs/>
        </w:rPr>
        <w:t xml:space="preserve">an </w:t>
      </w:r>
      <w:r w:rsidR="00D61742">
        <w:rPr>
          <w:bCs/>
        </w:rPr>
        <w:t>emergency plan for the event.</w:t>
      </w:r>
    </w:p>
    <w:p w:rsidR="0042490D" w:rsidRPr="00212316" w:rsidRDefault="0042490D" w:rsidP="0042490D">
      <w:pPr>
        <w:rPr>
          <w:bCs/>
          <w:highlight w:val="yellow"/>
        </w:rPr>
      </w:pPr>
    </w:p>
    <w:p w:rsidR="0042490D" w:rsidRPr="00B60B0F" w:rsidRDefault="00B60B0F" w:rsidP="0042490D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B60B0F">
        <w:rPr>
          <w:rFonts w:ascii="Arial" w:hAnsi="Arial" w:cs="Arial"/>
          <w:b/>
          <w:bCs/>
        </w:rPr>
        <w:t>6</w:t>
      </w:r>
      <w:r w:rsidR="0042490D" w:rsidRPr="00B60B0F">
        <w:rPr>
          <w:rFonts w:ascii="Arial" w:hAnsi="Arial" w:cs="Arial"/>
          <w:b/>
          <w:bCs/>
        </w:rPr>
        <w:tab/>
        <w:t xml:space="preserve">Conditions </w:t>
      </w:r>
    </w:p>
    <w:p w:rsidR="0042490D" w:rsidRPr="00212316" w:rsidRDefault="0042490D" w:rsidP="0042490D">
      <w:pPr>
        <w:ind w:left="720"/>
        <w:rPr>
          <w:bCs/>
          <w:highlight w:val="yellow"/>
        </w:rPr>
      </w:pPr>
    </w:p>
    <w:p w:rsidR="00B20D02" w:rsidRPr="009477F8" w:rsidRDefault="00B20D02" w:rsidP="00B20D02">
      <w:pPr>
        <w:numPr>
          <w:ilvl w:val="0"/>
          <w:numId w:val="16"/>
        </w:numPr>
        <w:rPr>
          <w:bCs/>
        </w:rPr>
      </w:pPr>
      <w:r w:rsidRPr="009477F8">
        <w:rPr>
          <w:bCs/>
        </w:rPr>
        <w:t xml:space="preserve">The Schedule 11 hazardous chemicals must not include any chemical which is listed in Schedule 10 of the </w:t>
      </w:r>
      <w:r w:rsidRPr="009477F8">
        <w:rPr>
          <w:bCs/>
          <w:i/>
        </w:rPr>
        <w:t>Work Health and Safety Regulation 2011</w:t>
      </w:r>
      <w:r w:rsidRPr="009477F8">
        <w:rPr>
          <w:bCs/>
        </w:rPr>
        <w:t xml:space="preserve"> as a prohibited carcinogen or restricted carcinogen.</w:t>
      </w:r>
    </w:p>
    <w:p w:rsidR="00B20D02" w:rsidRPr="00212316" w:rsidRDefault="00B20D02" w:rsidP="00B20D02">
      <w:pPr>
        <w:rPr>
          <w:bCs/>
          <w:highlight w:val="yellow"/>
        </w:rPr>
      </w:pPr>
    </w:p>
    <w:p w:rsidR="00F14C13" w:rsidRDefault="00F14C13" w:rsidP="00030588">
      <w:pPr>
        <w:numPr>
          <w:ilvl w:val="0"/>
          <w:numId w:val="16"/>
        </w:numPr>
        <w:rPr>
          <w:bCs/>
        </w:rPr>
      </w:pPr>
      <w:r>
        <w:rPr>
          <w:bCs/>
        </w:rPr>
        <w:t xml:space="preserve">The Schedule 11 hazardous chemicals must not </w:t>
      </w:r>
      <w:r w:rsidR="00B20D02">
        <w:rPr>
          <w:bCs/>
        </w:rPr>
        <w:t>remain at the site</w:t>
      </w:r>
      <w:r>
        <w:rPr>
          <w:bCs/>
        </w:rPr>
        <w:t xml:space="preserve"> in </w:t>
      </w:r>
      <w:r w:rsidR="00B20D02">
        <w:rPr>
          <w:bCs/>
        </w:rPr>
        <w:t xml:space="preserve">quantities exceeding </w:t>
      </w:r>
      <w:r>
        <w:rPr>
          <w:bCs/>
        </w:rPr>
        <w:t xml:space="preserve">a manifest quantity for more than nine calendar days or </w:t>
      </w:r>
      <w:r w:rsidR="00B20D02">
        <w:rPr>
          <w:bCs/>
        </w:rPr>
        <w:t xml:space="preserve">for </w:t>
      </w:r>
      <w:r>
        <w:rPr>
          <w:bCs/>
        </w:rPr>
        <w:t>more than 24 hours after the end of the event, whichever is the shorter period.</w:t>
      </w:r>
    </w:p>
    <w:p w:rsidR="00F14C13" w:rsidRDefault="00F14C13" w:rsidP="00F14C13">
      <w:pPr>
        <w:rPr>
          <w:bCs/>
        </w:rPr>
      </w:pPr>
    </w:p>
    <w:p w:rsidR="00030588" w:rsidRDefault="00030588" w:rsidP="00030588">
      <w:pPr>
        <w:numPr>
          <w:ilvl w:val="0"/>
          <w:numId w:val="16"/>
        </w:numPr>
        <w:rPr>
          <w:bCs/>
        </w:rPr>
      </w:pPr>
      <w:r w:rsidRPr="004F0374">
        <w:rPr>
          <w:bCs/>
        </w:rPr>
        <w:t xml:space="preserve">The PCBU must ensure that ACT Fire &amp; Rescue and WorkSafe ACT have been given the following information about the </w:t>
      </w:r>
      <w:r w:rsidR="001E32D9">
        <w:rPr>
          <w:bCs/>
        </w:rPr>
        <w:t>event</w:t>
      </w:r>
      <w:r w:rsidRPr="004F0374">
        <w:rPr>
          <w:bCs/>
        </w:rPr>
        <w:t xml:space="preserve"> a</w:t>
      </w:r>
      <w:r w:rsidR="001E32D9">
        <w:rPr>
          <w:bCs/>
        </w:rPr>
        <w:t>t least three months in advance, or as soon as practicable within that period</w:t>
      </w:r>
      <w:r w:rsidRPr="004F0374">
        <w:rPr>
          <w:bCs/>
        </w:rPr>
        <w:t>:</w:t>
      </w:r>
    </w:p>
    <w:p w:rsidR="00030588" w:rsidRDefault="00030588" w:rsidP="00030588">
      <w:pPr>
        <w:pStyle w:val="ListParagraph"/>
        <w:rPr>
          <w:bCs/>
        </w:rPr>
      </w:pPr>
    </w:p>
    <w:p w:rsidR="00030588" w:rsidRDefault="00030588" w:rsidP="00030588">
      <w:pPr>
        <w:numPr>
          <w:ilvl w:val="1"/>
          <w:numId w:val="16"/>
        </w:numPr>
        <w:rPr>
          <w:bCs/>
        </w:rPr>
      </w:pPr>
      <w:r>
        <w:rPr>
          <w:bCs/>
        </w:rPr>
        <w:t>The name, location and date(s) of the event;</w:t>
      </w:r>
    </w:p>
    <w:p w:rsidR="00030588" w:rsidRDefault="00030588" w:rsidP="00030588">
      <w:pPr>
        <w:numPr>
          <w:ilvl w:val="1"/>
          <w:numId w:val="16"/>
        </w:numPr>
        <w:rPr>
          <w:bCs/>
        </w:rPr>
      </w:pPr>
      <w:r>
        <w:rPr>
          <w:bCs/>
        </w:rPr>
        <w:t>The name and contact details of the event organiser; and</w:t>
      </w:r>
    </w:p>
    <w:p w:rsidR="00030588" w:rsidRDefault="00030588" w:rsidP="00030588">
      <w:pPr>
        <w:numPr>
          <w:ilvl w:val="1"/>
          <w:numId w:val="16"/>
        </w:numPr>
        <w:rPr>
          <w:bCs/>
        </w:rPr>
      </w:pPr>
      <w:r>
        <w:rPr>
          <w:bCs/>
        </w:rPr>
        <w:t>The event activities which will involve the use or handling of Schedule 11 hazardous chemicals in excess of a manifest quantity.</w:t>
      </w:r>
    </w:p>
    <w:p w:rsidR="00030588" w:rsidRDefault="00030588" w:rsidP="00030588">
      <w:pPr>
        <w:pStyle w:val="ListParagraph"/>
        <w:rPr>
          <w:bCs/>
          <w:highlight w:val="yellow"/>
        </w:rPr>
      </w:pPr>
    </w:p>
    <w:p w:rsidR="001E32D9" w:rsidRDefault="001E32D9" w:rsidP="001E32D9">
      <w:pPr>
        <w:numPr>
          <w:ilvl w:val="0"/>
          <w:numId w:val="16"/>
        </w:numPr>
        <w:rPr>
          <w:bCs/>
        </w:rPr>
      </w:pPr>
      <w:r w:rsidRPr="004F0374">
        <w:rPr>
          <w:bCs/>
        </w:rPr>
        <w:t xml:space="preserve">The PCBU must </w:t>
      </w:r>
      <w:r w:rsidR="00B20D02">
        <w:rPr>
          <w:bCs/>
        </w:rPr>
        <w:t>ensure that</w:t>
      </w:r>
      <w:r w:rsidRPr="004F0374">
        <w:rPr>
          <w:bCs/>
        </w:rPr>
        <w:t xml:space="preserve"> ACT</w:t>
      </w:r>
      <w:r>
        <w:rPr>
          <w:bCs/>
        </w:rPr>
        <w:t xml:space="preserve"> Fire &amp; Rescue and WorkSafe ACT </w:t>
      </w:r>
      <w:r w:rsidR="00B20D02">
        <w:rPr>
          <w:bCs/>
        </w:rPr>
        <w:t>have been given the</w:t>
      </w:r>
      <w:r>
        <w:rPr>
          <w:bCs/>
        </w:rPr>
        <w:t xml:space="preserve"> following information about the Schedule 11 hazardous chemicals which </w:t>
      </w:r>
      <w:r w:rsidRPr="004F0374">
        <w:rPr>
          <w:bCs/>
        </w:rPr>
        <w:t>their workers will use</w:t>
      </w:r>
      <w:r>
        <w:rPr>
          <w:bCs/>
        </w:rPr>
        <w:t>, handle or store for the event</w:t>
      </w:r>
      <w:r w:rsidRPr="004F0374">
        <w:rPr>
          <w:bCs/>
        </w:rPr>
        <w:t xml:space="preserve"> at least three months in advance</w:t>
      </w:r>
      <w:r>
        <w:rPr>
          <w:bCs/>
        </w:rPr>
        <w:t>,</w:t>
      </w:r>
      <w:r w:rsidRPr="004F0374">
        <w:rPr>
          <w:bCs/>
        </w:rPr>
        <w:t xml:space="preserve"> or a</w:t>
      </w:r>
      <w:r>
        <w:rPr>
          <w:bCs/>
        </w:rPr>
        <w:t>s soon as practicable within that period</w:t>
      </w:r>
      <w:r w:rsidRPr="004F0374">
        <w:rPr>
          <w:bCs/>
        </w:rPr>
        <w:t>:</w:t>
      </w:r>
    </w:p>
    <w:p w:rsidR="001E32D9" w:rsidRDefault="001E32D9" w:rsidP="001E32D9">
      <w:pPr>
        <w:rPr>
          <w:bCs/>
        </w:rPr>
      </w:pPr>
    </w:p>
    <w:p w:rsidR="001E32D9" w:rsidRDefault="001E32D9" w:rsidP="001E32D9">
      <w:pPr>
        <w:numPr>
          <w:ilvl w:val="1"/>
          <w:numId w:val="16"/>
        </w:numPr>
        <w:rPr>
          <w:bCs/>
        </w:rPr>
      </w:pPr>
      <w:r>
        <w:rPr>
          <w:bCs/>
        </w:rPr>
        <w:t xml:space="preserve">A list of the Schedule 11 hazardous chemicals </w:t>
      </w:r>
      <w:r w:rsidR="00B20D02">
        <w:rPr>
          <w:bCs/>
        </w:rPr>
        <w:t xml:space="preserve">and the </w:t>
      </w:r>
      <w:r>
        <w:rPr>
          <w:bCs/>
        </w:rPr>
        <w:t xml:space="preserve">maximum quantity </w:t>
      </w:r>
      <w:r w:rsidR="00B20D02">
        <w:rPr>
          <w:bCs/>
        </w:rPr>
        <w:t xml:space="preserve">of each </w:t>
      </w:r>
      <w:r>
        <w:rPr>
          <w:bCs/>
        </w:rPr>
        <w:t>which will be present during the event; and</w:t>
      </w:r>
    </w:p>
    <w:p w:rsidR="001E32D9" w:rsidRPr="004F0374" w:rsidRDefault="00B20D02" w:rsidP="00B20D02">
      <w:pPr>
        <w:numPr>
          <w:ilvl w:val="1"/>
          <w:numId w:val="16"/>
        </w:numPr>
        <w:rPr>
          <w:bCs/>
        </w:rPr>
      </w:pPr>
      <w:r>
        <w:rPr>
          <w:bCs/>
        </w:rPr>
        <w:t>A document setting out how</w:t>
      </w:r>
      <w:r w:rsidR="001E32D9" w:rsidRPr="004F0374">
        <w:rPr>
          <w:bCs/>
        </w:rPr>
        <w:t xml:space="preserve"> the Schedule 11 hazardous chemicals will be stored</w:t>
      </w:r>
      <w:r>
        <w:rPr>
          <w:bCs/>
        </w:rPr>
        <w:t xml:space="preserve"> and secured whilst on site</w:t>
      </w:r>
      <w:r w:rsidR="001E32D9" w:rsidRPr="004F0374">
        <w:rPr>
          <w:bCs/>
        </w:rPr>
        <w:t xml:space="preserve"> and how the </w:t>
      </w:r>
      <w:r>
        <w:rPr>
          <w:bCs/>
        </w:rPr>
        <w:t xml:space="preserve">health and safety </w:t>
      </w:r>
      <w:r w:rsidR="001E32D9" w:rsidRPr="004F0374">
        <w:rPr>
          <w:bCs/>
        </w:rPr>
        <w:t>risks of the hazardous chemicals will be managed</w:t>
      </w:r>
      <w:r>
        <w:rPr>
          <w:bCs/>
        </w:rPr>
        <w:t>.</w:t>
      </w:r>
    </w:p>
    <w:p w:rsidR="00992A45" w:rsidRDefault="00992A45" w:rsidP="00992A45">
      <w:pPr>
        <w:rPr>
          <w:bCs/>
        </w:rPr>
      </w:pPr>
    </w:p>
    <w:p w:rsidR="00992A45" w:rsidRPr="00B60B0F" w:rsidRDefault="004234FC" w:rsidP="00992A4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992A45" w:rsidRPr="00B60B0F">
        <w:rPr>
          <w:rFonts w:ascii="Arial" w:hAnsi="Arial" w:cs="Arial"/>
          <w:b/>
          <w:bCs/>
        </w:rPr>
        <w:tab/>
      </w:r>
      <w:r w:rsidR="00992A45">
        <w:rPr>
          <w:rFonts w:ascii="Arial" w:hAnsi="Arial" w:cs="Arial"/>
          <w:b/>
          <w:bCs/>
        </w:rPr>
        <w:t>Exemption does not affect other obligations</w:t>
      </w:r>
      <w:r w:rsidR="00992A45" w:rsidRPr="00B60B0F">
        <w:rPr>
          <w:rFonts w:ascii="Arial" w:hAnsi="Arial" w:cs="Arial"/>
          <w:b/>
          <w:bCs/>
        </w:rPr>
        <w:t xml:space="preserve"> </w:t>
      </w:r>
    </w:p>
    <w:p w:rsidR="00992A45" w:rsidRPr="00212316" w:rsidRDefault="00992A45" w:rsidP="00992A45">
      <w:pPr>
        <w:ind w:left="720"/>
        <w:rPr>
          <w:bCs/>
          <w:highlight w:val="yellow"/>
        </w:rPr>
      </w:pPr>
    </w:p>
    <w:p w:rsidR="00992A45" w:rsidRDefault="00992A45" w:rsidP="00992A45">
      <w:pPr>
        <w:ind w:left="720"/>
        <w:rPr>
          <w:bCs/>
        </w:rPr>
      </w:pPr>
      <w:r>
        <w:rPr>
          <w:bCs/>
        </w:rPr>
        <w:t xml:space="preserve">This instrument does not affect </w:t>
      </w:r>
      <w:r w:rsidR="00FC04E4">
        <w:rPr>
          <w:bCs/>
        </w:rPr>
        <w:t xml:space="preserve">any other obligations which the PCBU has under the laws of the ACT, including the obligation to consult, coordinate and cooperate with other duty-holders under Section 46 of the </w:t>
      </w:r>
      <w:r w:rsidR="00FC04E4" w:rsidRPr="00FC04E4">
        <w:rPr>
          <w:bCs/>
          <w:i/>
        </w:rPr>
        <w:t>Work Health and Safety Act 2011.</w:t>
      </w:r>
    </w:p>
    <w:p w:rsidR="008F0026" w:rsidRPr="00212316" w:rsidRDefault="008F0026" w:rsidP="00375A8C">
      <w:pPr>
        <w:spacing w:before="240" w:after="60"/>
        <w:ind w:left="1080"/>
        <w:rPr>
          <w:bCs/>
          <w:highlight w:val="yellow"/>
        </w:rPr>
      </w:pPr>
    </w:p>
    <w:p w:rsidR="00D21C15" w:rsidRPr="00212316" w:rsidRDefault="00D21C15" w:rsidP="00375A8C">
      <w:pPr>
        <w:spacing w:before="240" w:after="60"/>
        <w:ind w:left="1080"/>
        <w:rPr>
          <w:bCs/>
          <w:highlight w:val="yellow"/>
        </w:rPr>
      </w:pPr>
    </w:p>
    <w:p w:rsidR="008F0026" w:rsidRPr="00212316" w:rsidRDefault="008F0026" w:rsidP="00375A8C">
      <w:pPr>
        <w:spacing w:before="240" w:after="60"/>
        <w:ind w:left="1080"/>
        <w:rPr>
          <w:bCs/>
          <w:highlight w:val="yellow"/>
        </w:rPr>
      </w:pPr>
    </w:p>
    <w:p w:rsidR="00D21C15" w:rsidRPr="00CB04C0" w:rsidRDefault="00FC04E4" w:rsidP="004632DA">
      <w:pPr>
        <w:tabs>
          <w:tab w:val="left" w:pos="4320"/>
        </w:tabs>
      </w:pPr>
      <w:r w:rsidRPr="00CB04C0">
        <w:t>Greg Jones</w:t>
      </w:r>
    </w:p>
    <w:p w:rsidR="004632DA" w:rsidRPr="00CB04C0" w:rsidRDefault="00CB04C0" w:rsidP="004632DA">
      <w:pPr>
        <w:tabs>
          <w:tab w:val="left" w:pos="4320"/>
        </w:tabs>
      </w:pPr>
      <w:r w:rsidRPr="00CB04C0">
        <w:t>Delegate of the regulator</w:t>
      </w:r>
    </w:p>
    <w:bookmarkEnd w:id="0"/>
    <w:p w:rsidR="00D21C15" w:rsidRPr="00CB04C0" w:rsidRDefault="00D21C15" w:rsidP="004632DA">
      <w:pPr>
        <w:tabs>
          <w:tab w:val="left" w:pos="4320"/>
        </w:tabs>
      </w:pPr>
    </w:p>
    <w:p w:rsidR="005C0880" w:rsidRPr="00CB04C0" w:rsidRDefault="00096232" w:rsidP="004632DA">
      <w:pPr>
        <w:tabs>
          <w:tab w:val="left" w:pos="4320"/>
        </w:tabs>
      </w:pPr>
      <w:r>
        <w:t xml:space="preserve">11 </w:t>
      </w:r>
      <w:r w:rsidR="00CB04C0" w:rsidRPr="00CB04C0">
        <w:t>September 2019</w:t>
      </w:r>
    </w:p>
    <w:sectPr w:rsidR="005C0880" w:rsidRPr="00CB04C0" w:rsidSect="00CF2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26E" w:rsidRDefault="001D426E">
      <w:r>
        <w:separator/>
      </w:r>
    </w:p>
  </w:endnote>
  <w:endnote w:type="continuationSeparator" w:id="0">
    <w:p w:rsidR="001D426E" w:rsidRDefault="001D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8D5" w:rsidRDefault="00306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8D5" w:rsidRPr="003068D5" w:rsidRDefault="003068D5" w:rsidP="003068D5">
    <w:pPr>
      <w:pStyle w:val="Footer"/>
      <w:jc w:val="center"/>
      <w:rPr>
        <w:rFonts w:cs="Arial"/>
        <w:sz w:val="14"/>
      </w:rPr>
    </w:pPr>
    <w:r w:rsidRPr="003068D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008" w:rsidRDefault="00CF2B53" w:rsidP="00CF2B53">
    <w:pPr>
      <w:pStyle w:val="Footer"/>
      <w:spacing w:before="0" w:after="0"/>
      <w:rPr>
        <w:rFonts w:cs="Arial"/>
      </w:rPr>
    </w:pPr>
    <w:r w:rsidRPr="00CF2B53">
      <w:rPr>
        <w:rFonts w:cs="Arial"/>
      </w:rPr>
      <w:t>*Name amended under Legislation Act, s 60</w:t>
    </w:r>
  </w:p>
  <w:p w:rsidR="00CF2B53" w:rsidRPr="003068D5" w:rsidRDefault="003068D5" w:rsidP="003068D5">
    <w:pPr>
      <w:pStyle w:val="Footer"/>
      <w:spacing w:before="0" w:after="0"/>
      <w:jc w:val="center"/>
      <w:rPr>
        <w:rFonts w:cs="Arial"/>
        <w:sz w:val="14"/>
      </w:rPr>
    </w:pPr>
    <w:r w:rsidRPr="003068D5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26E" w:rsidRDefault="001D426E">
      <w:r>
        <w:separator/>
      </w:r>
    </w:p>
  </w:footnote>
  <w:footnote w:type="continuationSeparator" w:id="0">
    <w:p w:rsidR="001D426E" w:rsidRDefault="001D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8D5" w:rsidRDefault="00306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8D5" w:rsidRDefault="00306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8D5" w:rsidRDefault="00306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C6AD2"/>
    <w:multiLevelType w:val="hybridMultilevel"/>
    <w:tmpl w:val="C9647F9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147F7"/>
    <w:multiLevelType w:val="hybridMultilevel"/>
    <w:tmpl w:val="9E40AE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23F34"/>
    <w:multiLevelType w:val="multilevel"/>
    <w:tmpl w:val="C96C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45856A6"/>
    <w:multiLevelType w:val="hybridMultilevel"/>
    <w:tmpl w:val="C9647F9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2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3" w15:restartNumberingAfterBreak="0">
    <w:nsid w:val="49C84969"/>
    <w:multiLevelType w:val="hybridMultilevel"/>
    <w:tmpl w:val="D2243E72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2"/>
  </w:num>
  <w:num w:numId="5">
    <w:abstractNumId w:val="17"/>
  </w:num>
  <w:num w:numId="6">
    <w:abstractNumId w:val="3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1"/>
  </w:num>
  <w:num w:numId="15">
    <w:abstractNumId w:val="8"/>
  </w:num>
  <w:num w:numId="16">
    <w:abstractNumId w:val="1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46"/>
    <w:rsid w:val="00030588"/>
    <w:rsid w:val="000325C8"/>
    <w:rsid w:val="0006759B"/>
    <w:rsid w:val="00067BD5"/>
    <w:rsid w:val="00074134"/>
    <w:rsid w:val="00087982"/>
    <w:rsid w:val="00087A37"/>
    <w:rsid w:val="00096232"/>
    <w:rsid w:val="000D2486"/>
    <w:rsid w:val="000D5FCC"/>
    <w:rsid w:val="0011139B"/>
    <w:rsid w:val="00113265"/>
    <w:rsid w:val="0011681E"/>
    <w:rsid w:val="00117228"/>
    <w:rsid w:val="00156533"/>
    <w:rsid w:val="00156F85"/>
    <w:rsid w:val="0016306E"/>
    <w:rsid w:val="00182593"/>
    <w:rsid w:val="001B00BE"/>
    <w:rsid w:val="001D426E"/>
    <w:rsid w:val="001D564F"/>
    <w:rsid w:val="001E32D9"/>
    <w:rsid w:val="002034BF"/>
    <w:rsid w:val="00212316"/>
    <w:rsid w:val="002622E1"/>
    <w:rsid w:val="002A0ABA"/>
    <w:rsid w:val="002C08F5"/>
    <w:rsid w:val="003068D5"/>
    <w:rsid w:val="00370008"/>
    <w:rsid w:val="00375A8C"/>
    <w:rsid w:val="00387E9C"/>
    <w:rsid w:val="00392BE9"/>
    <w:rsid w:val="003A38E1"/>
    <w:rsid w:val="003D4CA8"/>
    <w:rsid w:val="004234FC"/>
    <w:rsid w:val="0042490D"/>
    <w:rsid w:val="004250B7"/>
    <w:rsid w:val="004632DA"/>
    <w:rsid w:val="0046462D"/>
    <w:rsid w:val="00476675"/>
    <w:rsid w:val="00483EB9"/>
    <w:rsid w:val="004F0374"/>
    <w:rsid w:val="004F121C"/>
    <w:rsid w:val="00504A54"/>
    <w:rsid w:val="005C0880"/>
    <w:rsid w:val="005C0EC4"/>
    <w:rsid w:val="005C62A7"/>
    <w:rsid w:val="005D2009"/>
    <w:rsid w:val="006067CB"/>
    <w:rsid w:val="006232F5"/>
    <w:rsid w:val="00652B74"/>
    <w:rsid w:val="00656861"/>
    <w:rsid w:val="006649FE"/>
    <w:rsid w:val="00675153"/>
    <w:rsid w:val="006844C6"/>
    <w:rsid w:val="0069030C"/>
    <w:rsid w:val="006A72B5"/>
    <w:rsid w:val="006C3C7F"/>
    <w:rsid w:val="006C5F00"/>
    <w:rsid w:val="00703943"/>
    <w:rsid w:val="0075049E"/>
    <w:rsid w:val="007660C3"/>
    <w:rsid w:val="00797134"/>
    <w:rsid w:val="007A3CD4"/>
    <w:rsid w:val="007B26D7"/>
    <w:rsid w:val="0085520D"/>
    <w:rsid w:val="008C7816"/>
    <w:rsid w:val="008E55CC"/>
    <w:rsid w:val="008F0026"/>
    <w:rsid w:val="009008DB"/>
    <w:rsid w:val="009477F8"/>
    <w:rsid w:val="00977789"/>
    <w:rsid w:val="00982A63"/>
    <w:rsid w:val="00992A45"/>
    <w:rsid w:val="009A15E9"/>
    <w:rsid w:val="009A5CB6"/>
    <w:rsid w:val="009D69B2"/>
    <w:rsid w:val="00A033AF"/>
    <w:rsid w:val="00A304BF"/>
    <w:rsid w:val="00A82687"/>
    <w:rsid w:val="00A84A2C"/>
    <w:rsid w:val="00A91046"/>
    <w:rsid w:val="00AA0E31"/>
    <w:rsid w:val="00B1135D"/>
    <w:rsid w:val="00B20D02"/>
    <w:rsid w:val="00B55B46"/>
    <w:rsid w:val="00B60B0F"/>
    <w:rsid w:val="00B93082"/>
    <w:rsid w:val="00BB19CB"/>
    <w:rsid w:val="00BD64FF"/>
    <w:rsid w:val="00C44672"/>
    <w:rsid w:val="00C51BFD"/>
    <w:rsid w:val="00CB04C0"/>
    <w:rsid w:val="00CB3667"/>
    <w:rsid w:val="00CB3DD4"/>
    <w:rsid w:val="00CB411F"/>
    <w:rsid w:val="00CB499C"/>
    <w:rsid w:val="00CF23E9"/>
    <w:rsid w:val="00CF2B53"/>
    <w:rsid w:val="00D0609E"/>
    <w:rsid w:val="00D06324"/>
    <w:rsid w:val="00D1228D"/>
    <w:rsid w:val="00D164A8"/>
    <w:rsid w:val="00D21C15"/>
    <w:rsid w:val="00D470A0"/>
    <w:rsid w:val="00D54056"/>
    <w:rsid w:val="00D550A5"/>
    <w:rsid w:val="00D61742"/>
    <w:rsid w:val="00D72169"/>
    <w:rsid w:val="00D863BD"/>
    <w:rsid w:val="00D92737"/>
    <w:rsid w:val="00DB5814"/>
    <w:rsid w:val="00DC6B4B"/>
    <w:rsid w:val="00DE3FB7"/>
    <w:rsid w:val="00E158FB"/>
    <w:rsid w:val="00E4226E"/>
    <w:rsid w:val="00E969FC"/>
    <w:rsid w:val="00EA0DFA"/>
    <w:rsid w:val="00EB1C5F"/>
    <w:rsid w:val="00EE2022"/>
    <w:rsid w:val="00EE520D"/>
    <w:rsid w:val="00F121D1"/>
    <w:rsid w:val="00F14C13"/>
    <w:rsid w:val="00F16AAE"/>
    <w:rsid w:val="00F5343B"/>
    <w:rsid w:val="00F56433"/>
    <w:rsid w:val="00FA6607"/>
    <w:rsid w:val="00FB3EEC"/>
    <w:rsid w:val="00FC04E4"/>
    <w:rsid w:val="00FC4B03"/>
    <w:rsid w:val="00FD232B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06324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324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6324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6324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D0632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32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32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32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32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D0632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D0632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D0632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6324"/>
    <w:rPr>
      <w:sz w:val="24"/>
      <w:lang w:eastAsia="en-US"/>
    </w:rPr>
  </w:style>
  <w:style w:type="paragraph" w:customStyle="1" w:styleId="Billname">
    <w:name w:val="Billname"/>
    <w:basedOn w:val="Normal"/>
    <w:rsid w:val="00D0632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0632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0632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06324"/>
    <w:pPr>
      <w:spacing w:before="180" w:after="60"/>
      <w:jc w:val="both"/>
    </w:pPr>
  </w:style>
  <w:style w:type="paragraph" w:customStyle="1" w:styleId="CoverActName">
    <w:name w:val="CoverActName"/>
    <w:basedOn w:val="Normal"/>
    <w:rsid w:val="00D0632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06324"/>
    <w:pPr>
      <w:tabs>
        <w:tab w:val="left" w:pos="2880"/>
      </w:tabs>
    </w:pPr>
  </w:style>
  <w:style w:type="paragraph" w:customStyle="1" w:styleId="Apara">
    <w:name w:val="A para"/>
    <w:basedOn w:val="Normal"/>
    <w:rsid w:val="00D06324"/>
    <w:pPr>
      <w:numPr>
        <w:ilvl w:val="6"/>
        <w:numId w:val="15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06324"/>
    <w:pPr>
      <w:numPr>
        <w:ilvl w:val="7"/>
        <w:numId w:val="15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06324"/>
    <w:pPr>
      <w:numPr>
        <w:ilvl w:val="8"/>
        <w:numId w:val="15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0632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D06324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324"/>
    <w:rPr>
      <w:sz w:val="24"/>
      <w:lang w:eastAsia="en-US"/>
    </w:rPr>
  </w:style>
  <w:style w:type="paragraph" w:customStyle="1" w:styleId="ref">
    <w:name w:val="ref"/>
    <w:basedOn w:val="Normal"/>
    <w:next w:val="Normal"/>
    <w:rsid w:val="00D0632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06324"/>
    <w:rPr>
      <w:rFonts w:cs="Times New Roman"/>
    </w:rPr>
  </w:style>
  <w:style w:type="paragraph" w:customStyle="1" w:styleId="CoverInForce">
    <w:name w:val="CoverInForce"/>
    <w:basedOn w:val="Normal"/>
    <w:rsid w:val="00D0632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0632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0632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D06324"/>
    <w:rPr>
      <w:rFonts w:cs="Times New Roman"/>
    </w:rPr>
  </w:style>
  <w:style w:type="paragraph" w:customStyle="1" w:styleId="Aparabullet">
    <w:name w:val="A para bullet"/>
    <w:basedOn w:val="Normal"/>
    <w:rsid w:val="00D06324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D06324"/>
  </w:style>
  <w:style w:type="paragraph" w:styleId="TOC2">
    <w:name w:val="toc 2"/>
    <w:basedOn w:val="Normal"/>
    <w:next w:val="Normal"/>
    <w:autoRedefine/>
    <w:uiPriority w:val="39"/>
    <w:semiHidden/>
    <w:rsid w:val="00D06324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D06324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D06324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D06324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D06324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D06324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D0632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D06324"/>
    <w:pPr>
      <w:ind w:left="1920"/>
    </w:pPr>
  </w:style>
  <w:style w:type="character" w:styleId="Hyperlink">
    <w:name w:val="Hyperlink"/>
    <w:basedOn w:val="DefaultParagraphFont"/>
    <w:uiPriority w:val="99"/>
    <w:rsid w:val="00D0632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06324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6324"/>
    <w:rPr>
      <w:sz w:val="24"/>
      <w:lang w:eastAsia="en-US"/>
    </w:rPr>
  </w:style>
  <w:style w:type="paragraph" w:customStyle="1" w:styleId="Minister">
    <w:name w:val="Minister"/>
    <w:basedOn w:val="Normal"/>
    <w:rsid w:val="00D0632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0632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0632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D06324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D0632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06324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324"/>
    <w:rPr>
      <w:lang w:eastAsia="en-US"/>
    </w:rPr>
  </w:style>
  <w:style w:type="paragraph" w:customStyle="1" w:styleId="ShadedSchClause">
    <w:name w:val="Shaded Sch Clause"/>
    <w:basedOn w:val="Normal"/>
    <w:next w:val="Normal"/>
    <w:rsid w:val="00D0632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063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2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F03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22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2856</Characters>
  <Application>Microsoft Office Word</Application>
  <DocSecurity>0</DocSecurity>
  <Lines>78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2019-10-18T03:30:00Z</dcterms:created>
  <dcterms:modified xsi:type="dcterms:W3CDTF">2019-10-18T03:30:00Z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A21315134</vt:lpwstr>
  </property>
  <property fmtid="{D5CDD505-2E9C-101B-9397-08002B2CF9AE}" pid="4" name="Objective-Title">
    <vt:lpwstr>2019-09-05 (05) - DSR 0301 - Exemption Instrument - Hazardous Chemicals at Public Events Exemption 2019 (No 1) - unsigned</vt:lpwstr>
  </property>
  <property fmtid="{D5CDD505-2E9C-101B-9397-08002B2CF9AE}" pid="5" name="Objective-Comment">
    <vt:lpwstr/>
  </property>
  <property fmtid="{D5CDD505-2E9C-101B-9397-08002B2CF9AE}" pid="6" name="Objective-CreationStamp">
    <vt:filetime>2019-09-13T04:15:23Z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2019-09-13T04:15:23Z</vt:filetime>
  </property>
  <property fmtid="{D5CDD505-2E9C-101B-9397-08002B2CF9AE}" pid="10" name="Objective-ModificationStamp">
    <vt:filetime>2019-09-13T04:15:27Z</vt:filetime>
  </property>
  <property fmtid="{D5CDD505-2E9C-101B-9397-08002B2CF9AE}" pid="11" name="Objective-Owner">
    <vt:lpwstr>Cody Morgan</vt:lpwstr>
  </property>
  <property fmtid="{D5CDD505-2E9C-101B-9397-08002B2CF9AE}" pid="12" name="Objective-Path">
    <vt:lpwstr>Whole of ACT Government:JACSD - Justice and Community Safety Directorate:Office of Regulatory Services:Work Health and Safety Act 2011:Work Health and Safety Act - Licensing, Registration, Compliance and Enforcement:UNIT - Compliance - Workplace Health an</vt:lpwstr>
  </property>
  <property fmtid="{D5CDD505-2E9C-101B-9397-08002B2CF9AE}" pid="13" name="Objective-Parent">
    <vt:lpwstr>Post March 2018 - Risk Change Notice - Canberra Home Show 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1-2010/04281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1096541</vt:lpwstr>
  </property>
  <property fmtid="{D5CDD505-2E9C-101B-9397-08002B2CF9AE}" pid="34" name="JMSREQUIREDCHECKIN">
    <vt:lpwstr/>
  </property>
</Properties>
</file>