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6A" w:rsidRDefault="00FC576A" w:rsidP="00FC576A">
      <w:bookmarkStart w:id="0" w:name="_GoBack"/>
      <w:bookmarkEnd w:id="0"/>
    </w:p>
    <w:p w:rsidR="00FC576A" w:rsidRDefault="00FC576A" w:rsidP="00FC576A"/>
    <w:p w:rsidR="00FC576A" w:rsidRDefault="00FC576A" w:rsidP="00FC576A"/>
    <w:p w:rsidR="00844C31" w:rsidRPr="00FC576A" w:rsidRDefault="00844C31" w:rsidP="00FC576A">
      <w:pPr>
        <w:rPr>
          <w:sz w:val="20"/>
        </w:rPr>
      </w:pPr>
      <w:r w:rsidRPr="00464E2C">
        <w:t>Australian Capital Territory</w:t>
      </w:r>
    </w:p>
    <w:p w:rsidR="00FC576A" w:rsidRDefault="00844C31">
      <w:pPr>
        <w:pStyle w:val="Billname"/>
        <w:spacing w:before="700"/>
        <w:rPr>
          <w:rFonts w:ascii="Times New Roman" w:hAnsi="Times New Roman"/>
        </w:rPr>
      </w:pPr>
      <w:r w:rsidRPr="00464E2C">
        <w:rPr>
          <w:rFonts w:ascii="Times New Roman" w:hAnsi="Times New Roman"/>
        </w:rPr>
        <w:t>Association</w:t>
      </w:r>
      <w:r w:rsidR="00FC576A">
        <w:rPr>
          <w:rFonts w:ascii="Times New Roman" w:hAnsi="Times New Roman"/>
        </w:rPr>
        <w:t>s</w:t>
      </w:r>
      <w:r w:rsidRPr="00464E2C">
        <w:rPr>
          <w:rFonts w:ascii="Times New Roman" w:hAnsi="Times New Roman"/>
        </w:rPr>
        <w:t xml:space="preserve"> </w:t>
      </w:r>
      <w:r w:rsidR="00FC576A">
        <w:rPr>
          <w:rFonts w:ascii="Times New Roman" w:hAnsi="Times New Roman"/>
        </w:rPr>
        <w:t xml:space="preserve">Incorporation </w:t>
      </w:r>
    </w:p>
    <w:p w:rsidR="00844C31" w:rsidRPr="00464E2C" w:rsidRDefault="00FC576A" w:rsidP="00FC576A">
      <w:pPr>
        <w:pStyle w:val="Billnam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64E2C">
        <w:rPr>
          <w:rFonts w:ascii="Times New Roman" w:hAnsi="Times New Roman"/>
        </w:rPr>
        <w:t>Cancellation</w:t>
      </w:r>
      <w:r>
        <w:rPr>
          <w:rFonts w:ascii="Times New Roman" w:hAnsi="Times New Roman"/>
        </w:rPr>
        <w:t xml:space="preserve">) </w:t>
      </w:r>
      <w:r w:rsidRPr="00464E2C">
        <w:rPr>
          <w:rFonts w:ascii="Times New Roman" w:hAnsi="Times New Roman"/>
        </w:rPr>
        <w:t xml:space="preserve">Notice </w:t>
      </w:r>
      <w:r w:rsidR="00844C31" w:rsidRPr="00464E2C">
        <w:rPr>
          <w:rFonts w:ascii="Times New Roman" w:hAnsi="Times New Roman"/>
        </w:rPr>
        <w:t>20</w:t>
      </w:r>
      <w:r w:rsidR="0014467B">
        <w:rPr>
          <w:rFonts w:ascii="Times New Roman" w:hAnsi="Times New Roman"/>
        </w:rPr>
        <w:t>19</w:t>
      </w:r>
      <w:r w:rsidR="00844C31" w:rsidRPr="00464E2C">
        <w:rPr>
          <w:rFonts w:ascii="Times New Roman" w:hAnsi="Times New Roman"/>
        </w:rPr>
        <w:t xml:space="preserve"> (No</w:t>
      </w:r>
      <w:r w:rsidR="005F3580">
        <w:rPr>
          <w:rFonts w:ascii="Times New Roman" w:hAnsi="Times New Roman"/>
        </w:rPr>
        <w:t xml:space="preserve"> 1</w:t>
      </w:r>
      <w:r w:rsidR="00844C31" w:rsidRPr="00464E2C">
        <w:rPr>
          <w:rFonts w:ascii="Times New Roman" w:hAnsi="Times New Roman"/>
        </w:rPr>
        <w:t>)</w:t>
      </w:r>
    </w:p>
    <w:p w:rsidR="00844C31" w:rsidRPr="00464E2C" w:rsidRDefault="00CF14EA">
      <w:pPr>
        <w:spacing w:before="240" w:after="60"/>
        <w:rPr>
          <w:b/>
          <w:vertAlign w:val="superscript"/>
        </w:rPr>
      </w:pPr>
      <w:bookmarkStart w:id="1" w:name="Citation"/>
      <w:r>
        <w:rPr>
          <w:b/>
        </w:rPr>
        <w:t>Notifiable instrument NI</w:t>
      </w:r>
      <w:r w:rsidR="0014467B">
        <w:rPr>
          <w:b/>
        </w:rPr>
        <w:t>2019</w:t>
      </w:r>
      <w:r w:rsidR="00844C31" w:rsidRPr="00464E2C">
        <w:rPr>
          <w:b/>
        </w:rPr>
        <w:t>—</w:t>
      </w:r>
      <w:r w:rsidR="004A5800">
        <w:rPr>
          <w:b/>
        </w:rPr>
        <w:t>698</w:t>
      </w:r>
    </w:p>
    <w:p w:rsidR="00844C31" w:rsidRPr="00464E2C" w:rsidRDefault="00844C31">
      <w:pPr>
        <w:pStyle w:val="madeunder"/>
      </w:pPr>
      <w:r w:rsidRPr="00464E2C">
        <w:t>made under the</w:t>
      </w:r>
    </w:p>
    <w:p w:rsidR="00844C31" w:rsidRPr="00464E2C" w:rsidRDefault="00844C31">
      <w:pPr>
        <w:pStyle w:val="CoverActName"/>
        <w:rPr>
          <w:rFonts w:ascii="Times New Roman" w:hAnsi="Times New Roman"/>
          <w:vertAlign w:val="superscript"/>
        </w:rPr>
      </w:pPr>
      <w:r w:rsidRPr="00464E2C">
        <w:rPr>
          <w:rFonts w:ascii="Times New Roman" w:hAnsi="Times New Roman"/>
          <w:i/>
        </w:rPr>
        <w:t>Associations Incorporation Act 1991</w:t>
      </w:r>
      <w:r w:rsidRPr="00464E2C">
        <w:rPr>
          <w:rFonts w:ascii="Times New Roman" w:hAnsi="Times New Roman"/>
        </w:rPr>
        <w:t>, s93(3) Cancellation of Incorporation</w:t>
      </w:r>
    </w:p>
    <w:bookmarkEnd w:id="1"/>
    <w:p w:rsidR="00844C31" w:rsidRPr="00464E2C" w:rsidRDefault="00844C31" w:rsidP="00FC576A">
      <w:pPr>
        <w:pStyle w:val="N-line3"/>
        <w:pBdr>
          <w:bottom w:val="none" w:sz="0" w:space="0" w:color="auto"/>
        </w:pBdr>
        <w:ind w:right="-32"/>
      </w:pPr>
    </w:p>
    <w:p w:rsidR="00844C31" w:rsidRDefault="00844C31">
      <w:pPr>
        <w:pStyle w:val="N-line3"/>
        <w:pBdr>
          <w:top w:val="single" w:sz="12" w:space="1" w:color="auto"/>
          <w:bottom w:val="none" w:sz="0" w:space="0" w:color="auto"/>
        </w:pBdr>
      </w:pPr>
    </w:p>
    <w:p w:rsidR="00FC576A" w:rsidRPr="00FC576A" w:rsidRDefault="00FC576A" w:rsidP="00FC576A">
      <w:pPr>
        <w:pStyle w:val="BillBasic"/>
        <w:tabs>
          <w:tab w:val="left" w:pos="284"/>
        </w:tabs>
        <w:rPr>
          <w:b/>
        </w:rPr>
      </w:pPr>
      <w:r>
        <w:rPr>
          <w:b/>
        </w:rPr>
        <w:t>1   Name of Instrument</w:t>
      </w:r>
    </w:p>
    <w:p w:rsidR="00AD7A60" w:rsidRDefault="00FC576A" w:rsidP="00FC576A">
      <w:pPr>
        <w:pStyle w:val="BillBasic"/>
        <w:rPr>
          <w:i/>
        </w:rPr>
      </w:pPr>
      <w:r>
        <w:t xml:space="preserve">This instrument is the </w:t>
      </w:r>
      <w:r w:rsidRPr="00FC576A">
        <w:rPr>
          <w:i/>
        </w:rPr>
        <w:t>Association</w:t>
      </w:r>
      <w:r>
        <w:rPr>
          <w:i/>
        </w:rPr>
        <w:t>s</w:t>
      </w:r>
      <w:r w:rsidRPr="00FC576A">
        <w:rPr>
          <w:i/>
        </w:rPr>
        <w:t xml:space="preserve"> Incorpor</w:t>
      </w:r>
      <w:r w:rsidR="0014467B">
        <w:rPr>
          <w:i/>
        </w:rPr>
        <w:t>ation (Cancellation) Notice 2019</w:t>
      </w:r>
      <w:r w:rsidR="005F3580">
        <w:rPr>
          <w:i/>
        </w:rPr>
        <w:t xml:space="preserve"> </w:t>
      </w:r>
    </w:p>
    <w:p w:rsidR="00FC576A" w:rsidRDefault="005F3580" w:rsidP="00FC576A">
      <w:pPr>
        <w:pStyle w:val="BillBasic"/>
      </w:pPr>
      <w:r>
        <w:rPr>
          <w:i/>
        </w:rPr>
        <w:t>(No 1</w:t>
      </w:r>
      <w:r w:rsidR="00FC576A" w:rsidRPr="00FC576A">
        <w:rPr>
          <w:i/>
        </w:rPr>
        <w:t>).</w:t>
      </w:r>
    </w:p>
    <w:p w:rsidR="00FC576A" w:rsidRDefault="00FC576A" w:rsidP="00FC576A">
      <w:pPr>
        <w:pStyle w:val="BillBasic"/>
      </w:pPr>
    </w:p>
    <w:p w:rsidR="00FC576A" w:rsidRPr="00FC576A" w:rsidRDefault="00FC576A" w:rsidP="00FC576A">
      <w:pPr>
        <w:pStyle w:val="BillBasic"/>
        <w:rPr>
          <w:b/>
        </w:rPr>
      </w:pPr>
      <w:r>
        <w:rPr>
          <w:b/>
        </w:rPr>
        <w:t>2   Cancellation of Associations Incorporation</w:t>
      </w:r>
    </w:p>
    <w:p w:rsidR="00844C31" w:rsidRPr="00FC576A" w:rsidRDefault="00844C31">
      <w:pPr>
        <w:pStyle w:val="Amain"/>
        <w:tabs>
          <w:tab w:val="clear" w:pos="700"/>
          <w:tab w:val="left" w:pos="0"/>
        </w:tabs>
        <w:ind w:left="0" w:firstLine="0"/>
      </w:pPr>
      <w:r w:rsidRPr="00464E2C">
        <w:t>I notify that the incorporated associations below have been cancelled.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‘Ayudemos A Otros’ / Lets Help Others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“Tumladden” Medium Term Youth Accommodation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A.C.T. Budgerigar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A.C.T. Touch Referees Association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A.C.T. Video Camera Club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Aboriginal and Torres Strait Islander Library, Information and Resource Network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Academy Graduates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ACT Community of Moana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ACT Firefighters WPFG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ACT Fofo’Anga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ACT Indoor Cricket Federation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ACT Iranian Women’s Association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ACT Outdoor Education Association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ACT Park &amp; Village Occupants Association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ACT Rock ‘n’ Roll Club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Advance Personnel (Canberra)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African Australian Association of the A.C.T.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African River Nile Organization (ARNO)</w:t>
      </w:r>
    </w:p>
    <w:p w:rsidR="0014467B" w:rsidRPr="002022F3" w:rsidRDefault="0014467B" w:rsidP="002022F3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AGLIN</w:t>
      </w:r>
      <w:r w:rsidRPr="002022F3">
        <w:rPr>
          <w:rFonts w:ascii="Calibri" w:hAnsi="Calibri"/>
          <w:szCs w:val="24"/>
        </w:rPr>
        <w:tab/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lastRenderedPageBreak/>
        <w:t>Air-Conditioning &amp; Refrigeration Equipment Manufacturers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Alfred Deakin High School Parents and Citizens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Amateur Anglers Association Australian Capital Territory and Far South Coast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Amputee Support Group</w:t>
      </w:r>
    </w:p>
    <w:p w:rsidR="0014467B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AMUNC 2011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Animal Justice Party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Arawang Ladies Probus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 xml:space="preserve">Association of Patriotic War Volunteers and Veterans, </w:t>
      </w:r>
      <w:r>
        <w:rPr>
          <w:rFonts w:ascii="Calibri" w:hAnsi="Calibri"/>
          <w:szCs w:val="24"/>
        </w:rPr>
        <w:t>Republic of Croatia. (UDVDR – RH)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Astros Gridiron Football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Aussies United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</w:t>
      </w:r>
      <w:r>
        <w:rPr>
          <w:rFonts w:ascii="Calibri" w:hAnsi="Calibri"/>
          <w:szCs w:val="24"/>
        </w:rPr>
        <w:t>r</w:t>
      </w:r>
      <w:r w:rsidRPr="005A442C">
        <w:rPr>
          <w:rFonts w:ascii="Calibri" w:hAnsi="Calibri"/>
          <w:szCs w:val="24"/>
        </w:rPr>
        <w:t>alian Pakistan Forum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Australasian Casino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 Poland Business Council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Australia’s Helping Hand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Australia-Bangladesh Dhakaiya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Alliance for Native Animal Survival (AAFNAS)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Army Training Team Vietnam Association-ACT Chapter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Association of Campus Activities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Capital Territory Gaelic Football &amp; Hurling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Capital Territory Muscular Dystrophy Association – ACTMDA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Australian Capital Territory Safety House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Clay Minerals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College of Psychologists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Australian Council of Agricultural Societies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Democrats Australian Capital Territory Division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Fut/sal Federation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Health Promoting Schools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Independent Music Association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Australian Institute of Biology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Iraqi Friendship Society (AIFS)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Australian Medieval Combat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National University Football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Pacific Islands Development Strategic Taskforce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Society for Vision Research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</w:t>
      </w:r>
      <w:r w:rsidR="005A4BF7">
        <w:rPr>
          <w:rFonts w:ascii="Calibri" w:hAnsi="Calibri"/>
          <w:szCs w:val="24"/>
        </w:rPr>
        <w:t>tralian South</w:t>
      </w:r>
      <w:r w:rsidRPr="005A442C">
        <w:rPr>
          <w:rFonts w:ascii="Calibri" w:hAnsi="Calibri"/>
          <w:szCs w:val="24"/>
        </w:rPr>
        <w:t xml:space="preserve"> Sudan Family Group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Student Welfare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Australian Women’s Coalition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Australian Wound Management Association (Australian Capital Territory)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Baba Moyo Charity</w:t>
      </w:r>
    </w:p>
    <w:p w:rsidR="0014467B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</w:rPr>
      </w:pPr>
      <w:r w:rsidRPr="00B82FA3">
        <w:rPr>
          <w:rFonts w:ascii="Calibri" w:hAnsi="Calibri"/>
          <w:szCs w:val="24"/>
        </w:rPr>
        <w:t>Bakbakan Canberra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Baptist Mid-Missions of Australia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Belconnen Scottish Country Dancers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lastRenderedPageBreak/>
        <w:t>Bosnian United Society of ACT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Boule Dogs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British Commonwealth Occupation Force Executive Council of Australia ACT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Bushfire Institute of Australia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Calwell Softball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&amp; District Bocce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&amp; District Petanque Club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Canberra Central Combined Probus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Community Churches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Canberra Dutch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Happy Church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International Electric Vehicle Festival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Kings Car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Korean Community Radio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Modified Sprint Car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Region Tourism Operators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Salrim Church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South Bowling &amp; Recreation Club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Canberra South Bowling Club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Canberra Taxi Alliance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Canthetram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Capital Cycling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Capital Region School to Industry Association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Catamaran at the Southcoast Syndicate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Central Canberra Softball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Chev Bowtie Club of Canberra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Civil Contractors Federation (ACT)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CompCon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Computer Education Group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Concerned Citizens of Canberra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Confederazione Calabrese – Australia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Connections ACT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Cotter Road Landcare Group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Dancing Goddesses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Deakin Combined Probus Club</w:t>
      </w:r>
    </w:p>
    <w:p w:rsidR="0014467B" w:rsidRPr="00B82FA3" w:rsidRDefault="0014467B" w:rsidP="0014467B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Deakin Pre-School Parent Association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Dice &amp; Card Collective</w:t>
      </w:r>
    </w:p>
    <w:p w:rsidR="0014467B" w:rsidRPr="005A442C" w:rsidRDefault="0014467B" w:rsidP="0014467B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Disabled Photographers Association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Dobermann Club (ACT)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Eagles Sports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East African Community Association (EACA)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Encouragement Enterprises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English Speaking Union – National Capital Region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Environmental Management Systems Association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lastRenderedPageBreak/>
        <w:t>Family Inclusion Network ACT (FINACT)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Filipino-Australian Society of Canberra (FASCan)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Film Networking Industry (Australia)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For You &amp; Me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Friends of Wildlife (ACT)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Gaby’s Dance Studio Club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Giralang Community Centre Association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Global Care Network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Grandparent and Kinship Carers (ACT)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Gungahlin Australian Football Club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Gungahlin Softball Club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Hall RLFC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Hall Sports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Harold ‘Crow’ Williams Memorial Rugby League Knockout</w:t>
      </w:r>
      <w:r>
        <w:rPr>
          <w:rFonts w:ascii="Calibri" w:hAnsi="Calibri"/>
          <w:szCs w:val="24"/>
        </w:rPr>
        <w:t xml:space="preserve"> Association (HCWMRLKA)</w:t>
      </w:r>
      <w:r w:rsidRPr="005A442C">
        <w:rPr>
          <w:rFonts w:ascii="Calibri" w:hAnsi="Calibri"/>
          <w:szCs w:val="24"/>
        </w:rPr>
        <w:t xml:space="preserve"> 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Health Consumers of Rural and Remote Australia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HL7 Australia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Honest History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Hospitality Association ACT &amp; Region</w:t>
      </w:r>
    </w:p>
    <w:p w:rsidR="0014467B" w:rsidRPr="00C37AC6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Imam Ali Association of Canberra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Independent Disabled Tenpin Bowlers of the A.C.T.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Indigenous Business Chamber of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ISMMN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Istra Bocce Association Canberra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Journey of Healing (ACT)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Kalamias Association of Australia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Kitaid Australia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Law Enforcement Against Prohibition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Learning Ways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Legendary Science Communication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Little Taks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Loki Odins Rugby Club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Los Urbanos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Mafutaga Sataoa – Canberra ACT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MD Action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Merkos L’inyonei Chinuch (ACT)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Mikvah Chaya Moushka Canberra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Multicultural Business Chamber of Australia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Multicultural Women’s Advocacy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National Council of Agricultural Societies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National Seafood Industry Alliance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National Service and Combined Forces Association of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National TAFE Automotive Network (NTAN)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National Youth Opera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Noah’s Ark Foundation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lastRenderedPageBreak/>
        <w:t>Northern Bridging Support Services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Northern Phoenix Touch Football Club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Northside Football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Nucleus 92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Old Calendar Orthodox Church of Greece Diocese for Australia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Olive Branch Association for International Peace &amp; Harmony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Organisation Serbian Chetniks ‘Ravna Gora’ Australian Capital Territory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OZPOS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Pak Arab Australian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Pass Sports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Pinoy Football Aid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Pure Focus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Renewable Fuels Australia (RFA)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Replacing the ALP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Retail Traders Association of the ACT &amp; Region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Returned and Services League of Australia, Australian Capital Territory Branch, Barton-Capit</w:t>
      </w:r>
      <w:r w:rsidR="00A81E99">
        <w:rPr>
          <w:rFonts w:ascii="Calibri" w:hAnsi="Calibri"/>
          <w:szCs w:val="24"/>
        </w:rPr>
        <w:t>al Sub-</w:t>
      </w:r>
      <w:r w:rsidRPr="00B82FA3">
        <w:rPr>
          <w:rFonts w:ascii="Calibri" w:hAnsi="Calibri"/>
          <w:szCs w:val="24"/>
        </w:rPr>
        <w:t>Branch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Richmond Fellowship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Robert Falconer Ministry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Sahaya Charity Foundation, Canberra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Saltskip Canberra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Samoa Ala Mai 91.1 Samoan Community Radio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Sardinian Cultural &amp; Social Association of Canberra ‘Quattro Mori’</w:t>
      </w:r>
    </w:p>
    <w:p w:rsidR="0014467B" w:rsidRPr="00C37AC6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Save Kosci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Seongil Presbyterian Church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Serbian Orthodox Church St. Knez Lazar</w:t>
      </w:r>
      <w:r>
        <w:rPr>
          <w:rFonts w:ascii="Calibri" w:hAnsi="Calibri"/>
          <w:szCs w:val="24"/>
        </w:rPr>
        <w:t xml:space="preserve">    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Shining Love (Australia) Ministries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Sistema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Skylark Theatre Company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Solomon Waters Aquaponic Rehabilitation &amp; Mentoring (S.W.A.R.M.)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Somali Council of Australia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 xml:space="preserve">South Tuggeranong Softball </w:t>
      </w:r>
      <w:r w:rsidR="00E15242">
        <w:rPr>
          <w:rFonts w:ascii="Calibri" w:hAnsi="Calibri"/>
          <w:szCs w:val="24"/>
        </w:rPr>
        <w:t>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Southern-Sudanese Community Association-ACT (SSCA)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left" w:pos="2552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Standardbreds Unharnessed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Steel for Life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Strike Zone Softball Club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Superannuated Commonwealth Officers’ Association (Federal Council)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S</w:t>
      </w:r>
      <w:r w:rsidR="005B22B9">
        <w:rPr>
          <w:rFonts w:ascii="Calibri" w:hAnsi="Calibri"/>
          <w:szCs w:val="24"/>
        </w:rPr>
        <w:t>WAREE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Tasman Transparency Group</w:t>
      </w:r>
    </w:p>
    <w:p w:rsidR="0014467B" w:rsidRPr="00786E96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A.N.U. Club for Women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left" w:pos="2552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ACT Singers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The Allan Key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Attorney-General’s Social Club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Canberra Academy of Cantonese Opera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The Friends of Oolong Association</w:t>
      </w:r>
    </w:p>
    <w:p w:rsidR="0014467B" w:rsidRPr="003B2615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The Good News Church – Spirit Embassy</w:t>
      </w:r>
    </w:p>
    <w:p w:rsidR="0014467B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The Loft Jazz Association</w:t>
      </w:r>
    </w:p>
    <w:p w:rsidR="0014467B" w:rsidRPr="00892B45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ind w:left="993" w:hanging="633"/>
        <w:rPr>
          <w:rFonts w:ascii="Calibri" w:hAnsi="Calibri"/>
          <w:szCs w:val="24"/>
        </w:rPr>
      </w:pPr>
      <w:r w:rsidRPr="00892B45">
        <w:rPr>
          <w:rFonts w:ascii="Calibri" w:hAnsi="Calibri"/>
          <w:szCs w:val="24"/>
        </w:rPr>
        <w:t xml:space="preserve">The National Coalition of Aboriginal and Torres Strait Islander Social Workers </w:t>
      </w:r>
      <w:r>
        <w:rPr>
          <w:rFonts w:ascii="Calibri" w:hAnsi="Calibri"/>
          <w:szCs w:val="24"/>
        </w:rPr>
        <w:t xml:space="preserve"> </w:t>
      </w:r>
      <w:r w:rsidRPr="00892B45">
        <w:rPr>
          <w:rFonts w:ascii="Calibri" w:hAnsi="Calibri"/>
          <w:szCs w:val="24"/>
        </w:rPr>
        <w:t>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Orana School Sophia Group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Phoenix Balloon Club – NSW &amp; ACT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Progressive Movement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Progressive Party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The Third Battalion Royal New South Wales Regiment Association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The Weston Pre-School Parents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The Youth Vegetarian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Total Fabrication: Canberra Doll Artists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Touch Africa International Centre (Australia)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Tourism Industry Council (ACT &amp; Region)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Traditional Owners Aboriginal Organisation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Turner Preschool Parent Association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United Australia Fiji Community Association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Upside Events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Vietnam Veterans Association of Australia A.C.T. Branch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Vision Impaired Sport ACT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Visual Art Network of Educators ACT</w:t>
      </w:r>
    </w:p>
    <w:p w:rsidR="0014467B" w:rsidRPr="005A442C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Viva Haiti </w:t>
      </w:r>
    </w:p>
    <w:p w:rsidR="0014467B" w:rsidRPr="00B82FA3" w:rsidRDefault="0014467B" w:rsidP="00AD7A60">
      <w:pPr>
        <w:numPr>
          <w:ilvl w:val="0"/>
          <w:numId w:val="7"/>
        </w:numPr>
        <w:tabs>
          <w:tab w:val="clear" w:pos="2880"/>
          <w:tab w:val="left" w:pos="993"/>
        </w:tabs>
        <w:rPr>
          <w:rFonts w:ascii="Calibri" w:hAnsi="Calibri"/>
          <w:szCs w:val="24"/>
        </w:rPr>
      </w:pPr>
      <w:r w:rsidRPr="00B82FA3">
        <w:rPr>
          <w:rFonts w:ascii="Calibri" w:hAnsi="Calibri"/>
          <w:szCs w:val="24"/>
        </w:rPr>
        <w:t>Volunteers for Isolated Students Education</w:t>
      </w:r>
    </w:p>
    <w:p w:rsidR="0014467B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Wildlife Carers Group</w:t>
      </w:r>
    </w:p>
    <w:p w:rsidR="00AD7A60" w:rsidRPr="005A442C" w:rsidRDefault="00AD7A60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ind w:left="993" w:hanging="63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Winnunga Nimmityjah Aboriginal Health Clinic/Health Service (ACT)</w:t>
      </w:r>
    </w:p>
    <w:p w:rsidR="00AD7A60" w:rsidRPr="005A442C" w:rsidRDefault="00AD7A60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5A442C">
        <w:rPr>
          <w:rFonts w:ascii="Calibri" w:hAnsi="Calibri"/>
          <w:szCs w:val="24"/>
        </w:rPr>
        <w:t>Woden Valley American Football Club</w:t>
      </w:r>
    </w:p>
    <w:p w:rsidR="00F24B0D" w:rsidRPr="00AD7A60" w:rsidRDefault="0014467B" w:rsidP="00AD7A60">
      <w:pPr>
        <w:pStyle w:val="Header"/>
        <w:numPr>
          <w:ilvl w:val="0"/>
          <w:numId w:val="7"/>
        </w:numPr>
        <w:tabs>
          <w:tab w:val="clear" w:pos="2880"/>
          <w:tab w:val="clear" w:pos="4153"/>
          <w:tab w:val="clear" w:pos="8306"/>
          <w:tab w:val="left" w:pos="993"/>
          <w:tab w:val="center" w:pos="4252"/>
          <w:tab w:val="right" w:pos="8504"/>
        </w:tabs>
        <w:rPr>
          <w:rFonts w:ascii="Calibri" w:hAnsi="Calibri"/>
          <w:szCs w:val="24"/>
        </w:rPr>
      </w:pPr>
      <w:r w:rsidRPr="00AD7A60">
        <w:rPr>
          <w:rFonts w:ascii="Calibri" w:hAnsi="Calibri"/>
          <w:szCs w:val="24"/>
        </w:rPr>
        <w:t>Yemeni Australian Friendship Association</w:t>
      </w:r>
      <w:r w:rsidR="00F24B0D" w:rsidRPr="00AD7A60">
        <w:rPr>
          <w:szCs w:val="24"/>
        </w:rPr>
        <w:tab/>
      </w:r>
    </w:p>
    <w:p w:rsidR="00A0594F" w:rsidRDefault="00A0594F" w:rsidP="00885F15">
      <w:pPr>
        <w:pStyle w:val="Header"/>
        <w:tabs>
          <w:tab w:val="left" w:pos="1134"/>
          <w:tab w:val="center" w:pos="4815"/>
          <w:tab w:val="left" w:pos="6616"/>
        </w:tabs>
        <w:ind w:left="-142"/>
        <w:rPr>
          <w:szCs w:val="24"/>
        </w:rPr>
      </w:pPr>
    </w:p>
    <w:p w:rsidR="00844C31" w:rsidRDefault="00F24B0D" w:rsidP="00885F15">
      <w:pPr>
        <w:pStyle w:val="Header"/>
        <w:tabs>
          <w:tab w:val="left" w:pos="1134"/>
          <w:tab w:val="center" w:pos="4815"/>
          <w:tab w:val="left" w:pos="6616"/>
        </w:tabs>
        <w:ind w:left="-142"/>
        <w:rPr>
          <w:szCs w:val="24"/>
        </w:rPr>
      </w:pPr>
      <w:r w:rsidRPr="006E4E1E">
        <w:rPr>
          <w:szCs w:val="24"/>
        </w:rPr>
        <w:tab/>
      </w:r>
    </w:p>
    <w:p w:rsidR="003F24D0" w:rsidRDefault="003F24D0" w:rsidP="00885F15">
      <w:pPr>
        <w:pStyle w:val="Header"/>
        <w:tabs>
          <w:tab w:val="left" w:pos="1134"/>
          <w:tab w:val="center" w:pos="4815"/>
          <w:tab w:val="left" w:pos="6616"/>
        </w:tabs>
        <w:ind w:left="-142"/>
        <w:rPr>
          <w:szCs w:val="24"/>
        </w:rPr>
      </w:pPr>
    </w:p>
    <w:p w:rsidR="003F24D0" w:rsidRDefault="003F24D0" w:rsidP="00885F15">
      <w:pPr>
        <w:pStyle w:val="Header"/>
        <w:tabs>
          <w:tab w:val="left" w:pos="1134"/>
          <w:tab w:val="center" w:pos="4815"/>
          <w:tab w:val="left" w:pos="6616"/>
        </w:tabs>
        <w:ind w:left="-142"/>
        <w:rPr>
          <w:szCs w:val="24"/>
        </w:rPr>
      </w:pPr>
    </w:p>
    <w:p w:rsidR="003F24D0" w:rsidRPr="00464E2C" w:rsidRDefault="003F24D0" w:rsidP="00885F15">
      <w:pPr>
        <w:pStyle w:val="Header"/>
        <w:tabs>
          <w:tab w:val="left" w:pos="1134"/>
          <w:tab w:val="center" w:pos="4815"/>
          <w:tab w:val="left" w:pos="6616"/>
        </w:tabs>
        <w:ind w:left="-142"/>
        <w:rPr>
          <w:szCs w:val="24"/>
        </w:rPr>
      </w:pPr>
    </w:p>
    <w:p w:rsidR="00E55707" w:rsidRPr="00464E2C" w:rsidRDefault="00AD7A60">
      <w:pPr>
        <w:pStyle w:val="Amain"/>
        <w:tabs>
          <w:tab w:val="clear" w:pos="700"/>
          <w:tab w:val="left" w:pos="0"/>
        </w:tabs>
        <w:ind w:left="0" w:firstLine="0"/>
        <w:jc w:val="left"/>
        <w:rPr>
          <w:szCs w:val="24"/>
        </w:rPr>
      </w:pPr>
      <w:r>
        <w:rPr>
          <w:szCs w:val="24"/>
        </w:rPr>
        <w:t>David Pryce</w:t>
      </w:r>
    </w:p>
    <w:p w:rsidR="00BB7466" w:rsidRDefault="00844C31" w:rsidP="00464E2C">
      <w:pPr>
        <w:pStyle w:val="Amain"/>
        <w:tabs>
          <w:tab w:val="clear" w:pos="700"/>
          <w:tab w:val="left" w:pos="0"/>
        </w:tabs>
        <w:ind w:left="0" w:firstLine="0"/>
        <w:jc w:val="left"/>
        <w:rPr>
          <w:szCs w:val="24"/>
        </w:rPr>
      </w:pPr>
      <w:r w:rsidRPr="00464E2C">
        <w:rPr>
          <w:szCs w:val="24"/>
        </w:rPr>
        <w:t>Registrar-General</w:t>
      </w:r>
    </w:p>
    <w:p w:rsidR="00844C31" w:rsidRPr="00464E2C" w:rsidRDefault="00961DCC" w:rsidP="00464E2C">
      <w:pPr>
        <w:pStyle w:val="Amain"/>
        <w:tabs>
          <w:tab w:val="clear" w:pos="700"/>
          <w:tab w:val="left" w:pos="0"/>
        </w:tabs>
        <w:ind w:left="0" w:firstLine="0"/>
        <w:jc w:val="left"/>
        <w:rPr>
          <w:szCs w:val="24"/>
        </w:rPr>
      </w:pPr>
      <w:r>
        <w:rPr>
          <w:szCs w:val="24"/>
        </w:rPr>
        <w:t>14</w:t>
      </w:r>
      <w:r w:rsidR="003F24D0">
        <w:rPr>
          <w:szCs w:val="24"/>
        </w:rPr>
        <w:t xml:space="preserve"> </w:t>
      </w:r>
      <w:r w:rsidR="002022F3">
        <w:rPr>
          <w:szCs w:val="24"/>
        </w:rPr>
        <w:t>October</w:t>
      </w:r>
      <w:r w:rsidR="00AD7A60">
        <w:rPr>
          <w:szCs w:val="24"/>
        </w:rPr>
        <w:t xml:space="preserve"> 2019</w:t>
      </w:r>
    </w:p>
    <w:sectPr w:rsidR="00844C31" w:rsidRPr="00464E2C" w:rsidSect="00617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531" w:right="1559" w:bottom="1560" w:left="2300" w:header="1050" w:footer="3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69" w:rsidRDefault="00E94969">
      <w:r>
        <w:separator/>
      </w:r>
    </w:p>
  </w:endnote>
  <w:endnote w:type="continuationSeparator" w:id="0">
    <w:p w:rsidR="00E94969" w:rsidRDefault="00E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DB" w:rsidRPr="00B50DDB" w:rsidRDefault="00B50DDB" w:rsidP="00B50DDB">
    <w:pPr>
      <w:pStyle w:val="Footer"/>
      <w:jc w:val="center"/>
      <w:rPr>
        <w:rFonts w:cs="Arial"/>
        <w:sz w:val="14"/>
      </w:rPr>
    </w:pPr>
    <w:r w:rsidRPr="00B50DDB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DB" w:rsidRPr="00B50DDB" w:rsidRDefault="00B50DDB" w:rsidP="00B50DDB">
    <w:pPr>
      <w:pStyle w:val="Footer"/>
      <w:jc w:val="center"/>
      <w:rPr>
        <w:rFonts w:cs="Arial"/>
        <w:sz w:val="14"/>
      </w:rPr>
    </w:pPr>
    <w:r w:rsidRPr="00B50D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DB" w:rsidRPr="00B50DDB" w:rsidRDefault="00B50DDB" w:rsidP="00B50DDB">
    <w:pPr>
      <w:pStyle w:val="Footer"/>
      <w:jc w:val="center"/>
      <w:rPr>
        <w:rFonts w:cs="Arial"/>
        <w:sz w:val="14"/>
      </w:rPr>
    </w:pPr>
    <w:r w:rsidRPr="00B50DD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69" w:rsidRDefault="00E94969">
      <w:r>
        <w:separator/>
      </w:r>
    </w:p>
  </w:footnote>
  <w:footnote w:type="continuationSeparator" w:id="0">
    <w:p w:rsidR="00E94969" w:rsidRDefault="00E9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DB" w:rsidRDefault="00B50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DB" w:rsidRDefault="00B50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DB" w:rsidRDefault="00B50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6295FE7"/>
    <w:multiLevelType w:val="hybridMultilevel"/>
    <w:tmpl w:val="527CB3E4"/>
    <w:lvl w:ilvl="0" w:tplc="A4FC06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916796"/>
    <w:multiLevelType w:val="hybridMultilevel"/>
    <w:tmpl w:val="6A768FCA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3DA2709"/>
    <w:multiLevelType w:val="hybridMultilevel"/>
    <w:tmpl w:val="8F1A57B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52B4060"/>
    <w:multiLevelType w:val="hybridMultilevel"/>
    <w:tmpl w:val="A7B44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52C1347"/>
    <w:multiLevelType w:val="hybridMultilevel"/>
    <w:tmpl w:val="844CC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411B8"/>
    <w:multiLevelType w:val="hybridMultilevel"/>
    <w:tmpl w:val="330CC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6"/>
  </w:num>
  <w:num w:numId="5">
    <w:abstractNumId w:val="10"/>
  </w:num>
  <w:num w:numId="6">
    <w:abstractNumId w:val="7"/>
  </w:num>
  <w:num w:numId="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F6"/>
    <w:rsid w:val="00023E0A"/>
    <w:rsid w:val="00034627"/>
    <w:rsid w:val="000467D3"/>
    <w:rsid w:val="00077CF0"/>
    <w:rsid w:val="000859F7"/>
    <w:rsid w:val="000B6EAD"/>
    <w:rsid w:val="000E11C8"/>
    <w:rsid w:val="000E1F83"/>
    <w:rsid w:val="000E35B1"/>
    <w:rsid w:val="000F4F61"/>
    <w:rsid w:val="00134255"/>
    <w:rsid w:val="0014467B"/>
    <w:rsid w:val="001466F4"/>
    <w:rsid w:val="0017367D"/>
    <w:rsid w:val="0017578A"/>
    <w:rsid w:val="001A5723"/>
    <w:rsid w:val="001E73A3"/>
    <w:rsid w:val="002022F3"/>
    <w:rsid w:val="00253413"/>
    <w:rsid w:val="00265008"/>
    <w:rsid w:val="0027692E"/>
    <w:rsid w:val="002C214A"/>
    <w:rsid w:val="002D32F6"/>
    <w:rsid w:val="002F580F"/>
    <w:rsid w:val="00313520"/>
    <w:rsid w:val="00322E0C"/>
    <w:rsid w:val="003849EC"/>
    <w:rsid w:val="0038756C"/>
    <w:rsid w:val="003D2DDE"/>
    <w:rsid w:val="003E16CE"/>
    <w:rsid w:val="003F24D0"/>
    <w:rsid w:val="00431E35"/>
    <w:rsid w:val="00440B80"/>
    <w:rsid w:val="004512F5"/>
    <w:rsid w:val="00464E2C"/>
    <w:rsid w:val="00465860"/>
    <w:rsid w:val="004A5800"/>
    <w:rsid w:val="004E10DF"/>
    <w:rsid w:val="0053126E"/>
    <w:rsid w:val="005A4BF7"/>
    <w:rsid w:val="005B22B9"/>
    <w:rsid w:val="005B53B5"/>
    <w:rsid w:val="005E6D06"/>
    <w:rsid w:val="005F0272"/>
    <w:rsid w:val="005F3580"/>
    <w:rsid w:val="00610D98"/>
    <w:rsid w:val="006130FF"/>
    <w:rsid w:val="00617F6E"/>
    <w:rsid w:val="00625CA6"/>
    <w:rsid w:val="0063129A"/>
    <w:rsid w:val="00635D67"/>
    <w:rsid w:val="0064683C"/>
    <w:rsid w:val="00681056"/>
    <w:rsid w:val="006910BF"/>
    <w:rsid w:val="00691E36"/>
    <w:rsid w:val="00693052"/>
    <w:rsid w:val="006944EB"/>
    <w:rsid w:val="006D6442"/>
    <w:rsid w:val="006E18AE"/>
    <w:rsid w:val="006E2D0A"/>
    <w:rsid w:val="007745D7"/>
    <w:rsid w:val="007B0D4E"/>
    <w:rsid w:val="007B7433"/>
    <w:rsid w:val="007C146F"/>
    <w:rsid w:val="007E58B5"/>
    <w:rsid w:val="008165AE"/>
    <w:rsid w:val="00844C31"/>
    <w:rsid w:val="00847C4E"/>
    <w:rsid w:val="00863BBA"/>
    <w:rsid w:val="008718CB"/>
    <w:rsid w:val="008818BE"/>
    <w:rsid w:val="00885F15"/>
    <w:rsid w:val="008F4941"/>
    <w:rsid w:val="00961DCC"/>
    <w:rsid w:val="009A1EEC"/>
    <w:rsid w:val="009C351A"/>
    <w:rsid w:val="009D72C8"/>
    <w:rsid w:val="009F00D9"/>
    <w:rsid w:val="00A0594F"/>
    <w:rsid w:val="00A64E4C"/>
    <w:rsid w:val="00A7189A"/>
    <w:rsid w:val="00A81E99"/>
    <w:rsid w:val="00AB5E53"/>
    <w:rsid w:val="00AC6C59"/>
    <w:rsid w:val="00AD7A60"/>
    <w:rsid w:val="00AF2FB0"/>
    <w:rsid w:val="00B14AC7"/>
    <w:rsid w:val="00B50DDB"/>
    <w:rsid w:val="00BA1E6C"/>
    <w:rsid w:val="00BA6485"/>
    <w:rsid w:val="00BB7466"/>
    <w:rsid w:val="00BE736D"/>
    <w:rsid w:val="00BF707F"/>
    <w:rsid w:val="00C84DE0"/>
    <w:rsid w:val="00C97776"/>
    <w:rsid w:val="00CA1041"/>
    <w:rsid w:val="00CA71DA"/>
    <w:rsid w:val="00CF14EA"/>
    <w:rsid w:val="00D0223D"/>
    <w:rsid w:val="00D148AC"/>
    <w:rsid w:val="00DA561E"/>
    <w:rsid w:val="00DE472F"/>
    <w:rsid w:val="00E136B1"/>
    <w:rsid w:val="00E15242"/>
    <w:rsid w:val="00E55707"/>
    <w:rsid w:val="00E631BB"/>
    <w:rsid w:val="00E6441B"/>
    <w:rsid w:val="00E820B5"/>
    <w:rsid w:val="00E94969"/>
    <w:rsid w:val="00E95C6E"/>
    <w:rsid w:val="00EC4FF8"/>
    <w:rsid w:val="00EE6491"/>
    <w:rsid w:val="00F24B0D"/>
    <w:rsid w:val="00F2616C"/>
    <w:rsid w:val="00F71130"/>
    <w:rsid w:val="00FA348C"/>
    <w:rsid w:val="00FB2BC4"/>
    <w:rsid w:val="00FC576A"/>
    <w:rsid w:val="00FD6C4A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31BF3-C19C-4247-873F-6CA43B8D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semiHidden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character" w:customStyle="1" w:styleId="HeaderChar">
    <w:name w:val="Header Char"/>
    <w:link w:val="Header"/>
    <w:uiPriority w:val="99"/>
    <w:rsid w:val="00F24B0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1DCE-B3DF-4E8F-8DB5-E3987C62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1018</Words>
  <Characters>7288</Characters>
  <Application>Microsoft Office Word</Application>
  <DocSecurity>0</DocSecurity>
  <Lines>252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cp:lastModifiedBy>PCODCS</cp:lastModifiedBy>
  <cp:revision>5</cp:revision>
  <cp:lastPrinted>2016-03-23T03:59:00Z</cp:lastPrinted>
  <dcterms:created xsi:type="dcterms:W3CDTF">2019-11-03T23:14:00Z</dcterms:created>
  <dcterms:modified xsi:type="dcterms:W3CDTF">2019-11-03T23:14:00Z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A2556265</vt:lpwstr>
  </property>
  <property fmtid="{D5CDD505-2E9C-101B-9397-08002B2CF9AE}" pid="6" name="Objective-Title">
    <vt:lpwstr>Notifiable Instrument Template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2006-07-25T04:29:56Z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2006-07-25T04:29:57Z</vt:filetime>
  </property>
  <property fmtid="{D5CDD505-2E9C-101B-9397-08002B2CF9AE}" pid="12" name="Objective-ModificationStamp">
    <vt:filetime>2011-11-30T01:18:56Z</vt:filetime>
  </property>
  <property fmtid="{D5CDD505-2E9C-101B-9397-08002B2CF9AE}" pid="13" name="Objective-Owner">
    <vt:lpwstr>Kate Shore</vt:lpwstr>
  </property>
  <property fmtid="{D5CDD505-2E9C-101B-9397-08002B2CF9AE}" pid="14" name="Objective-Path">
    <vt:lpwstr>Whole of ACT Government:Justice and Community Safety Directorate:Office of Regulatory Services:Associations Incorporation Act 1991:Associations Incorporation Act - Licensing, Registration, Compliance and Enforcement:Associations Incorporation Act - Cancel</vt:lpwstr>
  </property>
  <property fmtid="{D5CDD505-2E9C-101B-9397-08002B2CF9AE}" pid="15" name="Objective-Parent">
    <vt:lpwstr>Notifiable Instrument Notices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i4>1</vt:i4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 </vt:lpwstr>
  </property>
  <property fmtid="{D5CDD505-2E9C-101B-9397-08002B2CF9AE}" pid="21" name="Objective-Classification">
    <vt:lpwstr>Not classified</vt:lpwstr>
  </property>
  <property fmtid="{D5CDD505-2E9C-101B-9397-08002B2CF9AE}" pid="22" name="Objective-Caveats">
    <vt:lpwstr> </vt:lpwstr>
  </property>
  <property fmtid="{D5CDD505-2E9C-101B-9397-08002B2CF9AE}" pid="23" name="Objective-Owner Agency [system]">
    <vt:lpwstr> </vt:lpwstr>
  </property>
  <property fmtid="{D5CDD505-2E9C-101B-9397-08002B2CF9AE}" pid="24" name="Objective-Document Type [system]">
    <vt:lpwstr> </vt:lpwstr>
  </property>
  <property fmtid="{D5CDD505-2E9C-101B-9397-08002B2CF9AE}" pid="25" name="Objective-Language [system]">
    <vt:lpwstr> </vt:lpwstr>
  </property>
  <property fmtid="{D5CDD505-2E9C-101B-9397-08002B2CF9AE}" pid="26" name="Objective-Jurisdiction [system]">
    <vt:lpwstr> </vt:lpwstr>
  </property>
  <property fmtid="{D5CDD505-2E9C-101B-9397-08002B2CF9AE}" pid="27" name="Objective-Customers [system]">
    <vt:lpwstr> </vt:lpwstr>
  </property>
  <property fmtid="{D5CDD505-2E9C-101B-9397-08002B2CF9AE}" pid="28" name="Objective-Add Place [system]">
    <vt:lpwstr> </vt:lpwstr>
  </property>
  <property fmtid="{D5CDD505-2E9C-101B-9397-08002B2CF9AE}" pid="29" name="Objective-Places [system]">
    <vt:lpwstr> </vt:lpwstr>
  </property>
  <property fmtid="{D5CDD505-2E9C-101B-9397-08002B2CF9AE}" pid="30" name="Objective-Transaction Reference [system]">
    <vt:lpwstr> </vt:lpwstr>
  </property>
  <property fmtid="{D5CDD505-2E9C-101B-9397-08002B2CF9AE}" pid="31" name="Objective-Document Created By [system]">
    <vt:lpwstr> </vt:lpwstr>
  </property>
  <property fmtid="{D5CDD505-2E9C-101B-9397-08002B2CF9AE}" pid="32" name="Objective-Document Created On [system]">
    <vt:lpwstr> </vt:lpwstr>
  </property>
  <property fmtid="{D5CDD505-2E9C-101B-9397-08002B2CF9AE}" pid="33" name="Objective-Covers Period From [system]">
    <vt:lpwstr> </vt:lpwstr>
  </property>
  <property fmtid="{D5CDD505-2E9C-101B-9397-08002B2CF9AE}" pid="34" name="Objective-Covers Period To [system]">
    <vt:lpwstr> </vt:lpwstr>
  </property>
</Properties>
</file>