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082F2A" w:rsidRPr="00635905">
        <w:rPr>
          <w:rFonts w:cs="Arial"/>
          <w:szCs w:val="36"/>
        </w:rPr>
        <w:t>No</w:t>
      </w:r>
      <w:r w:rsidR="00017880" w:rsidRPr="00635905">
        <w:rPr>
          <w:rFonts w:cs="Arial"/>
          <w:szCs w:val="36"/>
        </w:rPr>
        <w:t> </w:t>
      </w:r>
      <w:r w:rsidR="0060127F">
        <w:rPr>
          <w:rFonts w:cs="Arial"/>
          <w:szCs w:val="36"/>
        </w:rPr>
        <w:t>366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60127F">
        <w:rPr>
          <w:rFonts w:cs="Arial"/>
          <w:szCs w:val="36"/>
        </w:rPr>
        <w:t>20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1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</w:t>
      </w:r>
      <w:r w:rsidR="00CE6378" w:rsidRPr="004F2AC5">
        <w:rPr>
          <w:rFonts w:cs="Arial"/>
          <w:caps w:val="0"/>
          <w:lang w:val="en-AU"/>
        </w:rPr>
        <w:t>0</w:t>
      </w:r>
      <w:r w:rsidR="0060127F">
        <w:rPr>
          <w:rFonts w:cs="Arial"/>
          <w:caps w:val="0"/>
          <w:lang w:val="en-AU"/>
        </w:rPr>
        <w:t>20</w:t>
      </w:r>
      <w:r w:rsidR="004463FD">
        <w:rPr>
          <w:rFonts w:cs="Arial"/>
          <w:caps w:val="0"/>
          <w:lang w:val="en-AU"/>
        </w:rPr>
        <w:t>—</w:t>
      </w:r>
      <w:r w:rsidR="0010198B">
        <w:rPr>
          <w:rFonts w:cs="Arial"/>
          <w:caps w:val="0"/>
          <w:lang w:val="en-AU"/>
        </w:rPr>
        <w:t>148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1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8847E4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20671E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 xml:space="preserve">Planning and Development (Draft Variation </w:t>
      </w:r>
      <w:r w:rsidRPr="004F2AC5">
        <w:rPr>
          <w:rFonts w:ascii="Times New Roman" w:hAnsi="Times New Roman"/>
          <w:i/>
          <w:szCs w:val="24"/>
          <w:lang w:eastAsia="en-AU"/>
        </w:rPr>
        <w:t>No </w:t>
      </w:r>
      <w:r w:rsidR="0060127F">
        <w:rPr>
          <w:rFonts w:ascii="Times New Roman" w:hAnsi="Times New Roman"/>
          <w:i/>
          <w:szCs w:val="24"/>
          <w:lang w:eastAsia="en-AU"/>
        </w:rPr>
        <w:t>366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60127F">
        <w:rPr>
          <w:rFonts w:ascii="Times New Roman" w:hAnsi="Times New Roman"/>
          <w:i/>
          <w:szCs w:val="24"/>
          <w:lang w:eastAsia="en-AU"/>
        </w:rPr>
        <w:t>20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545C30" w:rsidRDefault="00545C30" w:rsidP="0020671E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545C30" w:rsidRDefault="00545C30" w:rsidP="0020671E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545C30" w:rsidRPr="0020671E" w:rsidRDefault="00CD2808" w:rsidP="0020671E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20671E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Pr="004F2AC5">
        <w:rPr>
          <w:rFonts w:ascii="Times New Roman" w:hAnsi="Times New Roman"/>
          <w:szCs w:val="24"/>
          <w:lang w:eastAsia="en-AU"/>
        </w:rPr>
        <w:t>No </w:t>
      </w:r>
      <w:r w:rsidR="0060127F">
        <w:rPr>
          <w:rFonts w:ascii="Times New Roman" w:hAnsi="Times New Roman"/>
          <w:szCs w:val="24"/>
          <w:lang w:eastAsia="en-AU"/>
        </w:rPr>
        <w:t>366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Authority, the Heritage Council</w:t>
      </w:r>
      <w:r w:rsidRPr="006A5BD5">
        <w:rPr>
          <w:rFonts w:ascii="Times New Roman" w:hAnsi="Times New Roman"/>
          <w:szCs w:val="24"/>
          <w:lang w:eastAsia="en-AU"/>
        </w:rPr>
        <w:t xml:space="preserve">; and the </w:t>
      </w:r>
      <w:r w:rsidR="006A5BD5" w:rsidRPr="006A5BD5">
        <w:rPr>
          <w:rFonts w:ascii="Times New Roman" w:hAnsi="Times New Roman"/>
          <w:szCs w:val="24"/>
          <w:lang w:eastAsia="en-AU"/>
        </w:rPr>
        <w:t xml:space="preserve">land </w:t>
      </w:r>
      <w:r w:rsidRPr="006A5BD5">
        <w:rPr>
          <w:rFonts w:ascii="Times New Roman" w:hAnsi="Times New Roman"/>
          <w:szCs w:val="24"/>
          <w:lang w:eastAsia="en-AU"/>
        </w:rPr>
        <w:t>custodian</w:t>
      </w:r>
      <w:r w:rsidR="006A5BD5" w:rsidRPr="006A5BD5">
        <w:rPr>
          <w:rFonts w:ascii="Times New Roman" w:hAnsi="Times New Roman"/>
          <w:szCs w:val="24"/>
          <w:lang w:eastAsia="en-AU"/>
        </w:rPr>
        <w:t xml:space="preserve"> – </w:t>
      </w:r>
      <w:r w:rsidR="00F51EA1">
        <w:rPr>
          <w:rFonts w:ascii="Times New Roman" w:hAnsi="Times New Roman"/>
          <w:szCs w:val="24"/>
          <w:lang w:eastAsia="en-AU"/>
        </w:rPr>
        <w:t>Suburban Land Agency</w:t>
      </w:r>
      <w:r w:rsidRPr="006A5BD5">
        <w:rPr>
          <w:rFonts w:ascii="Times New Roman" w:hAnsi="Times New Roman"/>
          <w:szCs w:val="24"/>
          <w:lang w:eastAsia="en-AU"/>
        </w:rPr>
        <w:t>;</w:t>
      </w:r>
      <w:r w:rsidRPr="00DE7E26">
        <w:rPr>
          <w:rFonts w:ascii="Times New Roman" w:hAnsi="Times New Roman"/>
          <w:szCs w:val="24"/>
          <w:lang w:eastAsia="en-AU"/>
        </w:rPr>
        <w:t xml:space="preserve"> and</w:t>
      </w:r>
    </w:p>
    <w:p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 of the Act; and</w:t>
      </w:r>
    </w:p>
    <w:p w:rsidR="00C75085" w:rsidRP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20671E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Printed copies of the documents mentioned in section </w:t>
      </w:r>
      <w:r w:rsidR="0020671E">
        <w:rPr>
          <w:rFonts w:ascii="Times New Roman" w:hAnsi="Times New Roman"/>
          <w:szCs w:val="24"/>
          <w:lang w:eastAsia="en-AU"/>
        </w:rPr>
        <w:t>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>(1) are available for inspection at Access Canberra</w:t>
      </w:r>
      <w:r w:rsid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Shopfront, Ground Floor South, Dame Pattie Menzies House, 16 Challis Street, Dickson, Monday to Friday (except public </w:t>
      </w:r>
      <w:r w:rsidRPr="00DE7E26">
        <w:rPr>
          <w:rFonts w:ascii="Times New Roman" w:hAnsi="Times New Roman"/>
          <w:szCs w:val="24"/>
          <w:lang w:eastAsia="en-AU"/>
        </w:rPr>
        <w:lastRenderedPageBreak/>
        <w:t xml:space="preserve">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20671E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60127F" w:rsidRDefault="0060127F" w:rsidP="0060127F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 w:rsidRPr="00BA7646">
        <w:rPr>
          <w:rFonts w:ascii="Times New Roman" w:hAnsi="Times New Roman"/>
          <w:szCs w:val="24"/>
          <w:lang w:eastAsia="en-AU"/>
        </w:rPr>
        <w:t xml:space="preserve">(the </w:t>
      </w:r>
      <w:r w:rsidRPr="00BA7646">
        <w:rPr>
          <w:rFonts w:ascii="Times New Roman" w:hAnsi="Times New Roman"/>
          <w:b/>
          <w:bCs/>
          <w:szCs w:val="24"/>
          <w:lang w:eastAsia="en-AU"/>
        </w:rPr>
        <w:t>Act</w:t>
      </w:r>
      <w:r w:rsidRPr="00BA7646">
        <w:rPr>
          <w:rFonts w:ascii="Times New Roman" w:hAnsi="Times New Roman"/>
          <w:szCs w:val="24"/>
          <w:lang w:eastAsia="en-AU"/>
        </w:rPr>
        <w:t xml:space="preserve">)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>to the Draft Variation</w:t>
      </w:r>
      <w:r>
        <w:rPr>
          <w:rFonts w:ascii="Times New Roman" w:hAnsi="Times New Roman"/>
          <w:szCs w:val="24"/>
          <w:lang w:eastAsia="en-AU"/>
        </w:rPr>
        <w:t xml:space="preserve"> and therefore the Draft Variation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 The current Territory Plan will continue to apply while the Draft Variation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DE7E26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 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CD2808" w:rsidRPr="00DE7E26" w:rsidRDefault="00CD2808" w:rsidP="006B3BAB">
      <w:pPr>
        <w:spacing w:before="140"/>
        <w:rPr>
          <w:rStyle w:val="BodyText2Char"/>
          <w:rFonts w:ascii="Times New Roman" w:hAnsi="Times New Roman"/>
          <w:b w:val="0"/>
          <w:sz w:val="20"/>
        </w:rPr>
      </w:pPr>
    </w:p>
    <w:p w:rsidR="00CD2808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szCs w:val="24"/>
        </w:rPr>
      </w:pPr>
    </w:p>
    <w:p w:rsidR="00CD2808" w:rsidRPr="006B3BAB" w:rsidRDefault="0060127F" w:rsidP="00CD28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Lesley Cameron</w:t>
      </w:r>
    </w:p>
    <w:p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:rsidR="004463FD" w:rsidRPr="006B3BAB" w:rsidRDefault="0010198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CD2808" w:rsidRPr="006B3BAB">
        <w:rPr>
          <w:rFonts w:ascii="Times New Roman" w:hAnsi="Times New Roman"/>
          <w:sz w:val="22"/>
          <w:szCs w:val="22"/>
        </w:rPr>
        <w:t xml:space="preserve"> </w:t>
      </w:r>
      <w:r w:rsidR="0060127F">
        <w:rPr>
          <w:rFonts w:ascii="Times New Roman" w:hAnsi="Times New Roman"/>
          <w:sz w:val="22"/>
          <w:szCs w:val="22"/>
        </w:rPr>
        <w:t>March 2020</w:t>
      </w:r>
    </w:p>
    <w:sectPr w:rsidR="004463FD" w:rsidRPr="006B3BAB" w:rsidSect="00DE7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F3" w:rsidRDefault="00692BF3">
      <w:r>
        <w:separator/>
      </w:r>
    </w:p>
  </w:endnote>
  <w:endnote w:type="continuationSeparator" w:id="0">
    <w:p w:rsidR="00692BF3" w:rsidRDefault="006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E8" w:rsidRDefault="0053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Pr="005300E8" w:rsidRDefault="005300E8" w:rsidP="005300E8">
    <w:pPr>
      <w:pStyle w:val="Footer"/>
      <w:jc w:val="center"/>
      <w:rPr>
        <w:rFonts w:cs="Arial"/>
        <w:sz w:val="14"/>
      </w:rPr>
    </w:pPr>
    <w:r w:rsidRPr="005300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5300E8" w:rsidRDefault="005300E8" w:rsidP="005300E8">
    <w:pPr>
      <w:pStyle w:val="Footer"/>
      <w:jc w:val="center"/>
      <w:rPr>
        <w:rFonts w:cs="Arial"/>
        <w:sz w:val="14"/>
      </w:rPr>
    </w:pPr>
    <w:r w:rsidRPr="005300E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F3" w:rsidRDefault="00692BF3">
      <w:r>
        <w:separator/>
      </w:r>
    </w:p>
  </w:footnote>
  <w:footnote w:type="continuationSeparator" w:id="0">
    <w:p w:rsidR="00692BF3" w:rsidRDefault="0069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E8" w:rsidRDefault="0053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E8" w:rsidRDefault="0053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73BBC"/>
    <w:rsid w:val="000763CF"/>
    <w:rsid w:val="00082F2A"/>
    <w:rsid w:val="000A2DC4"/>
    <w:rsid w:val="000A5A0E"/>
    <w:rsid w:val="000A7244"/>
    <w:rsid w:val="000E14E8"/>
    <w:rsid w:val="000E186B"/>
    <w:rsid w:val="0010198B"/>
    <w:rsid w:val="001A5AE3"/>
    <w:rsid w:val="0020671E"/>
    <w:rsid w:val="002167F8"/>
    <w:rsid w:val="00254419"/>
    <w:rsid w:val="002873AC"/>
    <w:rsid w:val="002945A1"/>
    <w:rsid w:val="00307976"/>
    <w:rsid w:val="00332F63"/>
    <w:rsid w:val="003512EB"/>
    <w:rsid w:val="003775DC"/>
    <w:rsid w:val="00394001"/>
    <w:rsid w:val="003B07DB"/>
    <w:rsid w:val="003C57E2"/>
    <w:rsid w:val="003D2589"/>
    <w:rsid w:val="003E582E"/>
    <w:rsid w:val="0040603C"/>
    <w:rsid w:val="004117BC"/>
    <w:rsid w:val="004463FD"/>
    <w:rsid w:val="004A5F2A"/>
    <w:rsid w:val="004B7C88"/>
    <w:rsid w:val="004D27FA"/>
    <w:rsid w:val="004F2AC5"/>
    <w:rsid w:val="00500556"/>
    <w:rsid w:val="0050376D"/>
    <w:rsid w:val="005300E8"/>
    <w:rsid w:val="00545C30"/>
    <w:rsid w:val="00563648"/>
    <w:rsid w:val="00576475"/>
    <w:rsid w:val="0060127F"/>
    <w:rsid w:val="00635905"/>
    <w:rsid w:val="00671F42"/>
    <w:rsid w:val="00671F8C"/>
    <w:rsid w:val="00692BF3"/>
    <w:rsid w:val="00695818"/>
    <w:rsid w:val="006A5BD5"/>
    <w:rsid w:val="006B3BAB"/>
    <w:rsid w:val="006D15A6"/>
    <w:rsid w:val="006D52FB"/>
    <w:rsid w:val="006F0FAF"/>
    <w:rsid w:val="007367F5"/>
    <w:rsid w:val="00752F58"/>
    <w:rsid w:val="007B25E0"/>
    <w:rsid w:val="007B357B"/>
    <w:rsid w:val="007C50E0"/>
    <w:rsid w:val="007F5EB9"/>
    <w:rsid w:val="0082360E"/>
    <w:rsid w:val="00860E78"/>
    <w:rsid w:val="008847E4"/>
    <w:rsid w:val="00884879"/>
    <w:rsid w:val="00895C6A"/>
    <w:rsid w:val="008E31AB"/>
    <w:rsid w:val="008E4A15"/>
    <w:rsid w:val="00923AF8"/>
    <w:rsid w:val="009316D4"/>
    <w:rsid w:val="00957761"/>
    <w:rsid w:val="00A201D8"/>
    <w:rsid w:val="00A6198F"/>
    <w:rsid w:val="00A705AF"/>
    <w:rsid w:val="00A7401D"/>
    <w:rsid w:val="00AB26B5"/>
    <w:rsid w:val="00AF221E"/>
    <w:rsid w:val="00B00FB5"/>
    <w:rsid w:val="00B16309"/>
    <w:rsid w:val="00B415DA"/>
    <w:rsid w:val="00B52D11"/>
    <w:rsid w:val="00B8021D"/>
    <w:rsid w:val="00B80C71"/>
    <w:rsid w:val="00BA77AD"/>
    <w:rsid w:val="00BB24B9"/>
    <w:rsid w:val="00BD7931"/>
    <w:rsid w:val="00BD7A7C"/>
    <w:rsid w:val="00BE2E0B"/>
    <w:rsid w:val="00BF230C"/>
    <w:rsid w:val="00C201BF"/>
    <w:rsid w:val="00C721AE"/>
    <w:rsid w:val="00C75085"/>
    <w:rsid w:val="00C91DC6"/>
    <w:rsid w:val="00C93C08"/>
    <w:rsid w:val="00CB4C4F"/>
    <w:rsid w:val="00CC0330"/>
    <w:rsid w:val="00CD2808"/>
    <w:rsid w:val="00CE6378"/>
    <w:rsid w:val="00D10080"/>
    <w:rsid w:val="00D40CA0"/>
    <w:rsid w:val="00D53685"/>
    <w:rsid w:val="00D63839"/>
    <w:rsid w:val="00D87265"/>
    <w:rsid w:val="00DD3002"/>
    <w:rsid w:val="00DE4E96"/>
    <w:rsid w:val="00DE7CA8"/>
    <w:rsid w:val="00DE7E26"/>
    <w:rsid w:val="00DF74B3"/>
    <w:rsid w:val="00E227DE"/>
    <w:rsid w:val="00E40FA5"/>
    <w:rsid w:val="00E7655B"/>
    <w:rsid w:val="00EA173C"/>
    <w:rsid w:val="00EB040F"/>
    <w:rsid w:val="00EB4873"/>
    <w:rsid w:val="00EC2FE6"/>
    <w:rsid w:val="00EE686D"/>
    <w:rsid w:val="00EF2B71"/>
    <w:rsid w:val="00F51EA1"/>
    <w:rsid w:val="00FC24E6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19E0B8-5FA9-4659-B67B-5035D006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4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74D0-4608-47E1-9F53-466C9792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2134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2503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2019-12-16T23:42:00Z</cp:lastPrinted>
  <dcterms:created xsi:type="dcterms:W3CDTF">2020-03-11T01:21:00Z</dcterms:created>
  <dcterms:modified xsi:type="dcterms:W3CDTF">2020-03-11T01:21:00Z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A24960265</vt:lpwstr>
  </property>
  <property fmtid="{D5CDD505-2E9C-101B-9397-08002B2CF9AE}" pid="7" name="Objective-Comment">
    <vt:lpwstr/>
  </property>
  <property fmtid="{D5CDD505-2E9C-101B-9397-08002B2CF9AE}" pid="8" name="Objective-CreationStamp">
    <vt:filetime>2020-03-06T01:37:47Z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2020-03-10T00:24:35Z</vt:filetime>
  </property>
  <property fmtid="{D5CDD505-2E9C-101B-9397-08002B2CF9AE}" pid="12" name="Objective-ModificationStamp">
    <vt:filetime>2020-03-10T00:24:35Z</vt:filetime>
  </property>
  <property fmtid="{D5CDD505-2E9C-101B-9397-08002B2CF9AE}" pid="13" name="Objective-Owner">
    <vt:lpwstr>Janine Ridsdale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(Full):DV366 - Franklin Grasslands EPBC offset site:5. Recommended Draf</vt:lpwstr>
  </property>
  <property fmtid="{D5CDD505-2E9C-101B-9397-08002B2CF9AE}" pid="15" name="Objective-Parent">
    <vt:lpwstr>2. PAN and public notice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DV366 - NI - PAN</vt:lpwstr>
  </property>
  <property fmtid="{D5CDD505-2E9C-101B-9397-08002B2CF9AE}" pid="18" name="Objective-Version">
    <vt:lpwstr>6.0</vt:lpwstr>
  </property>
  <property fmtid="{D5CDD505-2E9C-101B-9397-08002B2CF9AE}" pid="19" name="Objective-VersionComment">
    <vt:lpwstr/>
  </property>
  <property fmtid="{D5CDD505-2E9C-101B-9397-08002B2CF9AE}" pid="20" name="Objective-VersionNumber">
    <vt:r8>6</vt:r8>
  </property>
  <property fmtid="{D5CDD505-2E9C-101B-9397-08002B2CF9AE}" pid="21" name="Objective-FileNumber">
    <vt:lpwstr>1-2019/12926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