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7F1C0" w14:textId="77777777" w:rsidR="001440B3" w:rsidRDefault="001440B3">
      <w:pPr>
        <w:spacing w:before="120"/>
        <w:rPr>
          <w:rFonts w:ascii="Arial" w:hAnsi="Arial" w:cs="Arial"/>
        </w:rPr>
      </w:pPr>
      <w:bookmarkStart w:id="0" w:name="_Toc44738651"/>
      <w:bookmarkStart w:id="1" w:name="_GoBack"/>
      <w:bookmarkEnd w:id="1"/>
      <w:r>
        <w:rPr>
          <w:rFonts w:ascii="Arial" w:hAnsi="Arial" w:cs="Arial"/>
        </w:rPr>
        <w:t>Australian Capital Territory</w:t>
      </w:r>
    </w:p>
    <w:p w14:paraId="23789AD3" w14:textId="0A0F4A2A" w:rsidR="000F715B" w:rsidRDefault="0032238E">
      <w:pPr>
        <w:pStyle w:val="Billname"/>
        <w:spacing w:before="700"/>
      </w:pPr>
      <w:r>
        <w:t xml:space="preserve">Rail Safety National Law (ACT) </w:t>
      </w:r>
      <w:r w:rsidR="000F715B">
        <w:t xml:space="preserve">(Exemption) </w:t>
      </w:r>
      <w:r w:rsidR="006B0E70">
        <w:t xml:space="preserve">Notice </w:t>
      </w:r>
      <w:r w:rsidR="000F715B">
        <w:t>2020 (No</w:t>
      </w:r>
      <w:r w:rsidR="00C914C5">
        <w:t xml:space="preserve"> </w:t>
      </w:r>
      <w:r w:rsidR="000F715B">
        <w:t>1)</w:t>
      </w:r>
    </w:p>
    <w:p w14:paraId="5851DC5D" w14:textId="47BE2DDC" w:rsidR="001440B3" w:rsidRDefault="001440B3" w:rsidP="0042011A">
      <w:pPr>
        <w:spacing w:before="340"/>
        <w:rPr>
          <w:rFonts w:ascii="Arial" w:hAnsi="Arial" w:cs="Arial"/>
          <w:b/>
          <w:bCs/>
        </w:rPr>
      </w:pPr>
      <w:r>
        <w:rPr>
          <w:rFonts w:ascii="Arial" w:hAnsi="Arial" w:cs="Arial"/>
          <w:b/>
          <w:bCs/>
        </w:rPr>
        <w:t>Notifiable instrument NI</w:t>
      </w:r>
      <w:r w:rsidR="0032238E">
        <w:rPr>
          <w:rFonts w:ascii="Arial" w:hAnsi="Arial" w:cs="Arial"/>
          <w:b/>
          <w:bCs/>
        </w:rPr>
        <w:t>2020</w:t>
      </w:r>
      <w:r w:rsidR="006B0E70">
        <w:rPr>
          <w:rFonts w:ascii="Arial" w:hAnsi="Arial" w:cs="Arial"/>
          <w:b/>
          <w:bCs/>
        </w:rPr>
        <w:t>–</w:t>
      </w:r>
      <w:r w:rsidR="00DD5975">
        <w:rPr>
          <w:rFonts w:ascii="Arial" w:hAnsi="Arial" w:cs="Arial"/>
          <w:b/>
          <w:bCs/>
        </w:rPr>
        <w:t>222</w:t>
      </w:r>
    </w:p>
    <w:p w14:paraId="577FC821" w14:textId="77777777" w:rsidR="001440B3" w:rsidRDefault="001440B3" w:rsidP="0042011A">
      <w:pPr>
        <w:pStyle w:val="madeunder"/>
        <w:spacing w:before="300" w:after="0"/>
      </w:pPr>
      <w:r>
        <w:t xml:space="preserve">made under the  </w:t>
      </w:r>
    </w:p>
    <w:p w14:paraId="5C2D8CDA" w14:textId="5CF8D03D" w:rsidR="001440B3" w:rsidRDefault="0032238E" w:rsidP="0042011A">
      <w:pPr>
        <w:pStyle w:val="CoverActName"/>
        <w:spacing w:before="320" w:after="0"/>
        <w:rPr>
          <w:rFonts w:cs="Arial"/>
          <w:i/>
          <w:iCs/>
          <w:sz w:val="20"/>
        </w:rPr>
      </w:pPr>
      <w:r>
        <w:rPr>
          <w:rFonts w:cs="Arial"/>
          <w:sz w:val="20"/>
        </w:rPr>
        <w:t>Rail Safety National Law</w:t>
      </w:r>
      <w:r w:rsidR="006B0E70">
        <w:rPr>
          <w:rFonts w:cs="Arial"/>
          <w:sz w:val="20"/>
        </w:rPr>
        <w:t xml:space="preserve"> (ACT), section 203 (Ministerial exemptions)</w:t>
      </w:r>
    </w:p>
    <w:p w14:paraId="5A97EB09" w14:textId="4C6D12CC" w:rsidR="00362B0A" w:rsidRDefault="00362B0A" w:rsidP="00362B0A">
      <w:pPr>
        <w:pStyle w:val="CoverActName"/>
        <w:spacing w:before="320"/>
        <w:rPr>
          <w:rFonts w:cs="Arial"/>
          <w:sz w:val="20"/>
        </w:rPr>
      </w:pPr>
      <w:r>
        <w:rPr>
          <w:rFonts w:cs="Arial"/>
          <w:sz w:val="20"/>
        </w:rPr>
        <w:t xml:space="preserve">Rail Safety National Law (ACT) </w:t>
      </w:r>
      <w:r w:rsidRPr="00586E0F">
        <w:rPr>
          <w:rFonts w:cs="Arial"/>
          <w:sz w:val="20"/>
        </w:rPr>
        <w:t>Act 2017,</w:t>
      </w:r>
      <w:r>
        <w:rPr>
          <w:rFonts w:cs="Arial"/>
          <w:sz w:val="20"/>
        </w:rPr>
        <w:t xml:space="preserve"> section 9 (</w:t>
      </w:r>
      <w:r w:rsidRPr="00362B0A">
        <w:rPr>
          <w:rFonts w:cs="Arial"/>
          <w:sz w:val="20"/>
        </w:rPr>
        <w:t>Meaning of generic terms for Rail Safety National</w:t>
      </w:r>
      <w:r>
        <w:rPr>
          <w:rFonts w:cs="Arial"/>
          <w:sz w:val="20"/>
        </w:rPr>
        <w:t xml:space="preserve"> </w:t>
      </w:r>
      <w:r w:rsidRPr="00362B0A">
        <w:rPr>
          <w:rFonts w:cs="Arial"/>
          <w:sz w:val="20"/>
        </w:rPr>
        <w:t>Law (ACT)</w:t>
      </w:r>
      <w:r>
        <w:rPr>
          <w:rFonts w:cs="Arial"/>
          <w:sz w:val="20"/>
        </w:rPr>
        <w:t>)</w:t>
      </w:r>
    </w:p>
    <w:p w14:paraId="5A81727E" w14:textId="370107A6" w:rsidR="001440B3" w:rsidRDefault="001440B3" w:rsidP="0042011A">
      <w:pPr>
        <w:pStyle w:val="N-line3"/>
        <w:pBdr>
          <w:bottom w:val="none" w:sz="0" w:space="0" w:color="auto"/>
        </w:pBdr>
        <w:spacing w:before="60"/>
      </w:pPr>
    </w:p>
    <w:p w14:paraId="331229CF" w14:textId="77777777" w:rsidR="001440B3" w:rsidRDefault="001440B3">
      <w:pPr>
        <w:pStyle w:val="N-line3"/>
        <w:pBdr>
          <w:top w:val="single" w:sz="12" w:space="1" w:color="auto"/>
          <w:bottom w:val="none" w:sz="0" w:space="0" w:color="auto"/>
        </w:pBdr>
      </w:pPr>
    </w:p>
    <w:p w14:paraId="5ADAC277" w14:textId="77777777" w:rsidR="001440B3" w:rsidRDefault="001440B3">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15632806" w14:textId="17E4B034" w:rsidR="001440B3" w:rsidRDefault="001440B3" w:rsidP="0042011A">
      <w:pPr>
        <w:spacing w:before="140"/>
        <w:ind w:left="720"/>
      </w:pPr>
      <w:r>
        <w:t xml:space="preserve">This instrument is the </w:t>
      </w:r>
      <w:r w:rsidR="00FB0D83" w:rsidRPr="00622EBE">
        <w:rPr>
          <w:i/>
          <w:iCs/>
        </w:rPr>
        <w:t>Rail Safety National Law (ACT) (Exemption) 2020 (No</w:t>
      </w:r>
      <w:r w:rsidR="00622EBE">
        <w:rPr>
          <w:i/>
          <w:iCs/>
        </w:rPr>
        <w:t> </w:t>
      </w:r>
      <w:r w:rsidR="00FB0D83" w:rsidRPr="00622EBE">
        <w:rPr>
          <w:i/>
          <w:iCs/>
        </w:rPr>
        <w:t>1)</w:t>
      </w:r>
      <w:r w:rsidR="00FB0D83">
        <w:t xml:space="preserve">. </w:t>
      </w:r>
    </w:p>
    <w:p w14:paraId="18032B06" w14:textId="77777777" w:rsidR="001440B3" w:rsidRDefault="001440B3" w:rsidP="0042011A">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4C964B89" w14:textId="29780AAF" w:rsidR="001440B3" w:rsidRDefault="001440B3" w:rsidP="0042011A">
      <w:pPr>
        <w:spacing w:before="140"/>
        <w:ind w:left="720"/>
      </w:pPr>
      <w:r>
        <w:t xml:space="preserve">This instrument commences </w:t>
      </w:r>
      <w:r w:rsidRPr="00B65C91">
        <w:t xml:space="preserve">on </w:t>
      </w:r>
      <w:r w:rsidR="008A5B0D" w:rsidRPr="00B65C91">
        <w:t>the day</w:t>
      </w:r>
      <w:r w:rsidR="00B65C91" w:rsidRPr="00B65C91">
        <w:t xml:space="preserve"> after</w:t>
      </w:r>
      <w:r w:rsidR="008A5B0D" w:rsidRPr="00B65C91">
        <w:t xml:space="preserve"> it is notified</w:t>
      </w:r>
      <w:r>
        <w:t xml:space="preserve">. </w:t>
      </w:r>
    </w:p>
    <w:p w14:paraId="3CDCB61D" w14:textId="2EC541A6" w:rsidR="001440B3" w:rsidRDefault="001440B3" w:rsidP="0042011A">
      <w:pPr>
        <w:spacing w:before="300"/>
        <w:ind w:left="720" w:hanging="720"/>
        <w:rPr>
          <w:rFonts w:ascii="Arial" w:hAnsi="Arial" w:cs="Arial"/>
          <w:b/>
          <w:bCs/>
        </w:rPr>
      </w:pPr>
      <w:r>
        <w:rPr>
          <w:rFonts w:ascii="Arial" w:hAnsi="Arial" w:cs="Arial"/>
          <w:b/>
          <w:bCs/>
        </w:rPr>
        <w:t>3</w:t>
      </w:r>
      <w:r>
        <w:rPr>
          <w:rFonts w:ascii="Arial" w:hAnsi="Arial" w:cs="Arial"/>
          <w:b/>
          <w:bCs/>
        </w:rPr>
        <w:tab/>
      </w:r>
      <w:r w:rsidR="00F53986">
        <w:rPr>
          <w:rFonts w:ascii="Arial" w:hAnsi="Arial" w:cs="Arial"/>
          <w:b/>
          <w:bCs/>
        </w:rPr>
        <w:t>Exemption</w:t>
      </w:r>
    </w:p>
    <w:p w14:paraId="5602107A" w14:textId="78BEFB3A" w:rsidR="00F53986" w:rsidRPr="00F53986" w:rsidRDefault="00F53986" w:rsidP="00F53986">
      <w:pPr>
        <w:spacing w:before="140"/>
        <w:ind w:left="720"/>
      </w:pPr>
      <w:r>
        <w:t>I e</w:t>
      </w:r>
      <w:r w:rsidRPr="00F53986">
        <w:t xml:space="preserve">xempt the rail transport operators prescribed below from the requirement to comply with section 114 of the Rail Safety National Law (as it applies in this jurisdiction). </w:t>
      </w:r>
    </w:p>
    <w:p w14:paraId="72784656" w14:textId="0F237C46" w:rsidR="00F53986" w:rsidRPr="00F53986" w:rsidRDefault="00C3153B" w:rsidP="00F53986">
      <w:pPr>
        <w:spacing w:before="140"/>
        <w:ind w:left="720"/>
      </w:pPr>
      <w:r>
        <w:t>T</w:t>
      </w:r>
      <w:r w:rsidR="00F53986" w:rsidRPr="00F53986">
        <w:t>his exemption is subject to the following conditions:</w:t>
      </w:r>
    </w:p>
    <w:p w14:paraId="0B2F43D0" w14:textId="4567FD57" w:rsidR="00F53986" w:rsidRPr="00F53986" w:rsidRDefault="00F53986" w:rsidP="00F53986">
      <w:pPr>
        <w:pStyle w:val="ListParagraph"/>
        <w:numPr>
          <w:ilvl w:val="0"/>
          <w:numId w:val="12"/>
        </w:numPr>
        <w:spacing w:before="140"/>
        <w:ind w:left="1418" w:hanging="698"/>
        <w:rPr>
          <w:rFonts w:ascii="Times New Roman" w:eastAsia="Times New Roman" w:hAnsi="Times New Roman" w:cs="Times New Roman"/>
          <w:sz w:val="24"/>
          <w:szCs w:val="20"/>
        </w:rPr>
      </w:pPr>
      <w:r w:rsidRPr="00F53986">
        <w:rPr>
          <w:rFonts w:ascii="Times New Roman" w:eastAsia="Times New Roman" w:hAnsi="Times New Roman" w:cs="Times New Roman"/>
          <w:sz w:val="24"/>
          <w:szCs w:val="20"/>
        </w:rPr>
        <w:t>The rail transport operator must comply with the provisions of section</w:t>
      </w:r>
      <w:r w:rsidR="00E40448">
        <w:rPr>
          <w:rFonts w:ascii="Times New Roman" w:eastAsia="Times New Roman" w:hAnsi="Times New Roman" w:cs="Times New Roman"/>
          <w:sz w:val="24"/>
          <w:szCs w:val="20"/>
        </w:rPr>
        <w:t> </w:t>
      </w:r>
      <w:r w:rsidRPr="00F53986">
        <w:rPr>
          <w:rFonts w:ascii="Times New Roman" w:eastAsia="Times New Roman" w:hAnsi="Times New Roman" w:cs="Times New Roman"/>
          <w:sz w:val="24"/>
          <w:szCs w:val="20"/>
        </w:rPr>
        <w:t>114 so far as is reasonably practicable to do so.</w:t>
      </w:r>
    </w:p>
    <w:p w14:paraId="2F492BB3" w14:textId="77777777" w:rsidR="00F53986" w:rsidRPr="00F53986" w:rsidRDefault="00F53986" w:rsidP="00F53986">
      <w:pPr>
        <w:pStyle w:val="ListParagraph"/>
        <w:numPr>
          <w:ilvl w:val="0"/>
          <w:numId w:val="12"/>
        </w:numPr>
        <w:spacing w:before="140"/>
        <w:ind w:left="1418" w:hanging="698"/>
        <w:rPr>
          <w:rFonts w:ascii="Times New Roman" w:eastAsia="Times New Roman" w:hAnsi="Times New Roman" w:cs="Times New Roman"/>
          <w:sz w:val="24"/>
          <w:szCs w:val="20"/>
        </w:rPr>
      </w:pPr>
      <w:r w:rsidRPr="00F53986">
        <w:rPr>
          <w:rFonts w:ascii="Times New Roman" w:eastAsia="Times New Roman" w:hAnsi="Times New Roman" w:cs="Times New Roman"/>
          <w:sz w:val="24"/>
          <w:szCs w:val="20"/>
        </w:rPr>
        <w:t>This exemption only applies to periodic health assessments only. It does not include triggered health assessments, pre-placement or change of risk category health assessments.</w:t>
      </w:r>
    </w:p>
    <w:p w14:paraId="251E4127" w14:textId="77777777" w:rsidR="00F53986" w:rsidRPr="00F53986" w:rsidRDefault="00F53986" w:rsidP="00F53986">
      <w:pPr>
        <w:pStyle w:val="ListParagraph"/>
        <w:numPr>
          <w:ilvl w:val="0"/>
          <w:numId w:val="12"/>
        </w:numPr>
        <w:spacing w:before="140"/>
        <w:ind w:left="1418" w:hanging="698"/>
        <w:rPr>
          <w:rFonts w:ascii="Times New Roman" w:eastAsia="Times New Roman" w:hAnsi="Times New Roman" w:cs="Times New Roman"/>
          <w:sz w:val="24"/>
          <w:szCs w:val="20"/>
        </w:rPr>
      </w:pPr>
      <w:r w:rsidRPr="00F53986">
        <w:rPr>
          <w:rFonts w:ascii="Times New Roman" w:eastAsia="Times New Roman" w:hAnsi="Times New Roman" w:cs="Times New Roman"/>
          <w:sz w:val="24"/>
          <w:szCs w:val="20"/>
        </w:rPr>
        <w:t xml:space="preserve">Where there are issues accessing authorised health professions as a result of impacts from the global pandemic COVID-19 (as declared by the World Health Organisation in March 2020), the rail transport operator must undertake a risk assessment for the affected rail safety workers and determine, based on their most recent health assessment, whether it is low risk to postpone the periodic health assessment and allow them to continue undertaking rail safety work until such time as the assessment can be scheduled; </w:t>
      </w:r>
    </w:p>
    <w:p w14:paraId="14B647D1" w14:textId="77777777" w:rsidR="00F53986" w:rsidRPr="00F53986" w:rsidRDefault="00F53986" w:rsidP="00F53986">
      <w:pPr>
        <w:pStyle w:val="ListParagraph"/>
        <w:numPr>
          <w:ilvl w:val="0"/>
          <w:numId w:val="12"/>
        </w:numPr>
        <w:spacing w:before="140"/>
        <w:ind w:left="1418" w:hanging="698"/>
        <w:rPr>
          <w:rFonts w:ascii="Times New Roman" w:eastAsia="Times New Roman" w:hAnsi="Times New Roman" w:cs="Times New Roman"/>
          <w:sz w:val="24"/>
          <w:szCs w:val="20"/>
        </w:rPr>
      </w:pPr>
      <w:r w:rsidRPr="00F53986">
        <w:rPr>
          <w:rFonts w:ascii="Times New Roman" w:eastAsia="Times New Roman" w:hAnsi="Times New Roman" w:cs="Times New Roman"/>
          <w:sz w:val="24"/>
          <w:szCs w:val="20"/>
        </w:rPr>
        <w:t>Rail transport operators must document any change management and consultation processes in relation to operating under this exemption.</w:t>
      </w:r>
    </w:p>
    <w:p w14:paraId="2FEDDDD1" w14:textId="77777777" w:rsidR="00F53986" w:rsidRPr="00F53986" w:rsidRDefault="00F53986" w:rsidP="00F53986">
      <w:pPr>
        <w:pStyle w:val="ListParagraph"/>
        <w:numPr>
          <w:ilvl w:val="0"/>
          <w:numId w:val="12"/>
        </w:numPr>
        <w:spacing w:before="140"/>
        <w:ind w:left="1418" w:hanging="698"/>
        <w:rPr>
          <w:rFonts w:ascii="Times New Roman" w:eastAsia="Times New Roman" w:hAnsi="Times New Roman" w:cs="Times New Roman"/>
          <w:sz w:val="24"/>
          <w:szCs w:val="20"/>
        </w:rPr>
      </w:pPr>
      <w:r w:rsidRPr="00F53986">
        <w:rPr>
          <w:rFonts w:ascii="Times New Roman" w:eastAsia="Times New Roman" w:hAnsi="Times New Roman" w:cs="Times New Roman"/>
          <w:sz w:val="24"/>
          <w:szCs w:val="20"/>
        </w:rPr>
        <w:lastRenderedPageBreak/>
        <w:t>Rail transport operators cannot transfer or assign the exemption conferred by this Notice.</w:t>
      </w:r>
    </w:p>
    <w:p w14:paraId="536359F1" w14:textId="0B2749DE" w:rsidR="00F53986" w:rsidRPr="00F53986" w:rsidRDefault="00E40448" w:rsidP="00F53986">
      <w:pPr>
        <w:spacing w:before="140"/>
        <w:ind w:left="720"/>
      </w:pPr>
      <w:r>
        <w:t xml:space="preserve">The following </w:t>
      </w:r>
      <w:r w:rsidR="00F53986" w:rsidRPr="00F53986">
        <w:t>rail transport operators are exempt pursuant to this Notifiable Instrument:</w:t>
      </w:r>
    </w:p>
    <w:p w14:paraId="257E432D" w14:textId="77777777" w:rsidR="00F53986" w:rsidRPr="00F53986" w:rsidRDefault="00F53986" w:rsidP="006E0483">
      <w:pPr>
        <w:pStyle w:val="ListParagraph"/>
        <w:numPr>
          <w:ilvl w:val="0"/>
          <w:numId w:val="13"/>
        </w:numPr>
        <w:spacing w:before="140" w:after="0"/>
        <w:ind w:left="1417" w:hanging="697"/>
        <w:contextualSpacing w:val="0"/>
        <w:rPr>
          <w:rFonts w:ascii="Times New Roman" w:eastAsia="Times New Roman" w:hAnsi="Times New Roman" w:cs="Times New Roman"/>
          <w:sz w:val="24"/>
          <w:szCs w:val="20"/>
        </w:rPr>
      </w:pPr>
      <w:r w:rsidRPr="00F53986">
        <w:rPr>
          <w:rFonts w:ascii="Times New Roman" w:eastAsia="Times New Roman" w:hAnsi="Times New Roman" w:cs="Times New Roman"/>
          <w:sz w:val="24"/>
          <w:szCs w:val="20"/>
        </w:rPr>
        <w:t>Canberra Metro Operations Pty Ltd</w:t>
      </w:r>
    </w:p>
    <w:p w14:paraId="77E3D9E7" w14:textId="77777777" w:rsidR="00F53986" w:rsidRPr="00F53986" w:rsidRDefault="00F53986" w:rsidP="006E0483">
      <w:pPr>
        <w:pStyle w:val="ListParagraph"/>
        <w:numPr>
          <w:ilvl w:val="0"/>
          <w:numId w:val="13"/>
        </w:numPr>
        <w:spacing w:before="140" w:after="0"/>
        <w:ind w:left="1417" w:hanging="697"/>
        <w:contextualSpacing w:val="0"/>
        <w:rPr>
          <w:rFonts w:ascii="Times New Roman" w:eastAsia="Times New Roman" w:hAnsi="Times New Roman" w:cs="Times New Roman"/>
          <w:sz w:val="24"/>
          <w:szCs w:val="20"/>
        </w:rPr>
      </w:pPr>
      <w:r w:rsidRPr="00F53986">
        <w:rPr>
          <w:rFonts w:ascii="Times New Roman" w:eastAsia="Times New Roman" w:hAnsi="Times New Roman" w:cs="Times New Roman"/>
          <w:sz w:val="24"/>
          <w:szCs w:val="20"/>
        </w:rPr>
        <w:t>CF Asia Pacific Group Pty Ltd</w:t>
      </w:r>
    </w:p>
    <w:p w14:paraId="7B2B7AD6" w14:textId="77777777" w:rsidR="00F53986" w:rsidRPr="00F53986" w:rsidRDefault="00F53986" w:rsidP="006E0483">
      <w:pPr>
        <w:pStyle w:val="ListParagraph"/>
        <w:numPr>
          <w:ilvl w:val="0"/>
          <w:numId w:val="13"/>
        </w:numPr>
        <w:spacing w:before="140" w:after="0"/>
        <w:ind w:left="1417" w:hanging="697"/>
        <w:contextualSpacing w:val="0"/>
        <w:rPr>
          <w:rFonts w:ascii="Times New Roman" w:eastAsia="Times New Roman" w:hAnsi="Times New Roman" w:cs="Times New Roman"/>
          <w:sz w:val="24"/>
          <w:szCs w:val="20"/>
        </w:rPr>
      </w:pPr>
      <w:r w:rsidRPr="00F53986">
        <w:rPr>
          <w:rFonts w:ascii="Times New Roman" w:eastAsia="Times New Roman" w:hAnsi="Times New Roman" w:cs="Times New Roman"/>
          <w:sz w:val="24"/>
          <w:szCs w:val="20"/>
        </w:rPr>
        <w:t>Downer EDI Works Pty Ltd</w:t>
      </w:r>
    </w:p>
    <w:p w14:paraId="4E1450C3" w14:textId="77777777" w:rsidR="00F53986" w:rsidRPr="00F53986" w:rsidRDefault="00F53986" w:rsidP="006E0483">
      <w:pPr>
        <w:pStyle w:val="ListParagraph"/>
        <w:numPr>
          <w:ilvl w:val="0"/>
          <w:numId w:val="13"/>
        </w:numPr>
        <w:spacing w:before="140" w:after="0"/>
        <w:ind w:left="1417" w:hanging="697"/>
        <w:contextualSpacing w:val="0"/>
        <w:rPr>
          <w:rFonts w:ascii="Times New Roman" w:eastAsia="Times New Roman" w:hAnsi="Times New Roman" w:cs="Times New Roman"/>
          <w:sz w:val="24"/>
          <w:szCs w:val="20"/>
        </w:rPr>
      </w:pPr>
      <w:r w:rsidRPr="00F53986">
        <w:rPr>
          <w:rFonts w:ascii="Times New Roman" w:eastAsia="Times New Roman" w:hAnsi="Times New Roman" w:cs="Times New Roman"/>
          <w:sz w:val="24"/>
          <w:szCs w:val="20"/>
        </w:rPr>
        <w:t>Holdco Holdings Pty Ltd</w:t>
      </w:r>
    </w:p>
    <w:p w14:paraId="7C6B2DC4" w14:textId="77777777" w:rsidR="00F53986" w:rsidRPr="00F53986" w:rsidRDefault="00F53986" w:rsidP="006E0483">
      <w:pPr>
        <w:pStyle w:val="ListParagraph"/>
        <w:numPr>
          <w:ilvl w:val="0"/>
          <w:numId w:val="13"/>
        </w:numPr>
        <w:spacing w:before="140" w:after="0"/>
        <w:ind w:left="1417" w:hanging="697"/>
        <w:contextualSpacing w:val="0"/>
        <w:rPr>
          <w:rFonts w:ascii="Times New Roman" w:eastAsia="Times New Roman" w:hAnsi="Times New Roman" w:cs="Times New Roman"/>
          <w:sz w:val="24"/>
          <w:szCs w:val="20"/>
        </w:rPr>
      </w:pPr>
      <w:r w:rsidRPr="00F53986">
        <w:rPr>
          <w:rFonts w:ascii="Times New Roman" w:eastAsia="Times New Roman" w:hAnsi="Times New Roman" w:cs="Times New Roman"/>
          <w:sz w:val="24"/>
          <w:szCs w:val="20"/>
        </w:rPr>
        <w:t>John Holland Pty Ltd</w:t>
      </w:r>
    </w:p>
    <w:p w14:paraId="36C7ABBE" w14:textId="77777777" w:rsidR="00F53986" w:rsidRPr="00F53986" w:rsidRDefault="00F53986" w:rsidP="006E0483">
      <w:pPr>
        <w:pStyle w:val="ListParagraph"/>
        <w:numPr>
          <w:ilvl w:val="0"/>
          <w:numId w:val="13"/>
        </w:numPr>
        <w:spacing w:before="140" w:after="0"/>
        <w:ind w:left="1417" w:hanging="697"/>
        <w:contextualSpacing w:val="0"/>
        <w:rPr>
          <w:rFonts w:ascii="Times New Roman" w:eastAsia="Times New Roman" w:hAnsi="Times New Roman" w:cs="Times New Roman"/>
          <w:sz w:val="24"/>
          <w:szCs w:val="20"/>
        </w:rPr>
      </w:pPr>
      <w:r w:rsidRPr="00F53986">
        <w:rPr>
          <w:rFonts w:ascii="Times New Roman" w:eastAsia="Times New Roman" w:hAnsi="Times New Roman" w:cs="Times New Roman"/>
          <w:sz w:val="24"/>
          <w:szCs w:val="20"/>
        </w:rPr>
        <w:t>John Holland Rail Pty Ltd</w:t>
      </w:r>
    </w:p>
    <w:p w14:paraId="25147576" w14:textId="77777777" w:rsidR="00F53986" w:rsidRPr="00F53986" w:rsidRDefault="00F53986" w:rsidP="006E0483">
      <w:pPr>
        <w:pStyle w:val="ListParagraph"/>
        <w:numPr>
          <w:ilvl w:val="0"/>
          <w:numId w:val="13"/>
        </w:numPr>
        <w:spacing w:before="140" w:after="0"/>
        <w:ind w:left="1417" w:hanging="697"/>
        <w:contextualSpacing w:val="0"/>
        <w:rPr>
          <w:rFonts w:ascii="Times New Roman" w:eastAsia="Times New Roman" w:hAnsi="Times New Roman" w:cs="Times New Roman"/>
          <w:sz w:val="24"/>
          <w:szCs w:val="20"/>
        </w:rPr>
      </w:pPr>
      <w:r w:rsidRPr="00F53986">
        <w:rPr>
          <w:rFonts w:ascii="Times New Roman" w:eastAsia="Times New Roman" w:hAnsi="Times New Roman" w:cs="Times New Roman"/>
          <w:sz w:val="24"/>
          <w:szCs w:val="20"/>
        </w:rPr>
        <w:t>NSW Trains</w:t>
      </w:r>
    </w:p>
    <w:p w14:paraId="1CEAF6C0" w14:textId="5FDCE4DB" w:rsidR="00F53986" w:rsidRPr="00F53986" w:rsidRDefault="00F53986" w:rsidP="006E0483">
      <w:pPr>
        <w:pStyle w:val="ListParagraph"/>
        <w:numPr>
          <w:ilvl w:val="0"/>
          <w:numId w:val="13"/>
        </w:numPr>
        <w:spacing w:before="140" w:after="0"/>
        <w:ind w:left="1417" w:hanging="697"/>
        <w:contextualSpacing w:val="0"/>
        <w:rPr>
          <w:rFonts w:ascii="Times New Roman" w:eastAsia="Times New Roman" w:hAnsi="Times New Roman" w:cs="Times New Roman"/>
          <w:sz w:val="24"/>
          <w:szCs w:val="20"/>
        </w:rPr>
      </w:pPr>
      <w:r w:rsidRPr="00F53986">
        <w:rPr>
          <w:rFonts w:ascii="Times New Roman" w:eastAsia="Times New Roman" w:hAnsi="Times New Roman" w:cs="Times New Roman"/>
          <w:sz w:val="24"/>
          <w:szCs w:val="20"/>
        </w:rPr>
        <w:t>Sydney Trains</w:t>
      </w:r>
    </w:p>
    <w:p w14:paraId="7D08F724" w14:textId="77777777" w:rsidR="00F53986" w:rsidRPr="00F53986" w:rsidRDefault="00F53986" w:rsidP="006E0483">
      <w:pPr>
        <w:pStyle w:val="ListParagraph"/>
        <w:numPr>
          <w:ilvl w:val="0"/>
          <w:numId w:val="13"/>
        </w:numPr>
        <w:spacing w:before="140" w:after="0"/>
        <w:ind w:left="1417" w:hanging="697"/>
        <w:contextualSpacing w:val="0"/>
        <w:rPr>
          <w:rFonts w:ascii="Times New Roman" w:eastAsia="Times New Roman" w:hAnsi="Times New Roman" w:cs="Times New Roman"/>
          <w:sz w:val="24"/>
          <w:szCs w:val="20"/>
        </w:rPr>
      </w:pPr>
      <w:r w:rsidRPr="00F53986">
        <w:rPr>
          <w:rFonts w:ascii="Times New Roman" w:eastAsia="Times New Roman" w:hAnsi="Times New Roman" w:cs="Times New Roman"/>
          <w:sz w:val="24"/>
          <w:szCs w:val="20"/>
        </w:rPr>
        <w:t>The Rail Motor Society Inc</w:t>
      </w:r>
    </w:p>
    <w:p w14:paraId="5BFE26A6" w14:textId="36CE51CA" w:rsidR="00F53986" w:rsidRPr="00F53986" w:rsidRDefault="00F53986" w:rsidP="006E0483">
      <w:pPr>
        <w:pStyle w:val="ListParagraph"/>
        <w:numPr>
          <w:ilvl w:val="0"/>
          <w:numId w:val="13"/>
        </w:numPr>
        <w:spacing w:before="140" w:after="0"/>
        <w:ind w:left="1417" w:hanging="697"/>
        <w:contextualSpacing w:val="0"/>
        <w:rPr>
          <w:rFonts w:ascii="Times New Roman" w:eastAsia="Times New Roman" w:hAnsi="Times New Roman" w:cs="Times New Roman"/>
          <w:sz w:val="24"/>
          <w:szCs w:val="20"/>
        </w:rPr>
      </w:pPr>
      <w:r w:rsidRPr="00F53986">
        <w:rPr>
          <w:rFonts w:ascii="Times New Roman" w:eastAsia="Times New Roman" w:hAnsi="Times New Roman" w:cs="Times New Roman"/>
          <w:sz w:val="24"/>
          <w:szCs w:val="20"/>
        </w:rPr>
        <w:t>Transport Heritage NSW Ltd</w:t>
      </w:r>
      <w:r w:rsidR="00F80AA0">
        <w:rPr>
          <w:rFonts w:ascii="Times New Roman" w:eastAsia="Times New Roman" w:hAnsi="Times New Roman" w:cs="Times New Roman"/>
          <w:sz w:val="24"/>
          <w:szCs w:val="20"/>
        </w:rPr>
        <w:t xml:space="preserve">. </w:t>
      </w:r>
    </w:p>
    <w:p w14:paraId="04E3A4F7" w14:textId="315FF9FC" w:rsidR="001440B3" w:rsidRDefault="00F53986" w:rsidP="0042011A">
      <w:pPr>
        <w:spacing w:before="300"/>
        <w:ind w:left="720" w:hanging="720"/>
        <w:rPr>
          <w:rFonts w:ascii="Arial" w:hAnsi="Arial" w:cs="Arial"/>
          <w:b/>
          <w:bCs/>
        </w:rPr>
      </w:pPr>
      <w:r>
        <w:rPr>
          <w:rFonts w:ascii="Arial" w:hAnsi="Arial" w:cs="Arial"/>
          <w:b/>
          <w:bCs/>
        </w:rPr>
        <w:t>4</w:t>
      </w:r>
      <w:r>
        <w:rPr>
          <w:rFonts w:ascii="Arial" w:hAnsi="Arial" w:cs="Arial"/>
          <w:b/>
          <w:bCs/>
        </w:rPr>
        <w:tab/>
        <w:t>Expiry</w:t>
      </w:r>
    </w:p>
    <w:p w14:paraId="4490C61A" w14:textId="3A49842D" w:rsidR="0091178D" w:rsidRDefault="0091178D" w:rsidP="00F53986">
      <w:pPr>
        <w:spacing w:before="140"/>
        <w:ind w:left="720"/>
      </w:pPr>
      <w:r>
        <w:t xml:space="preserve">This instrument expires 3 </w:t>
      </w:r>
      <w:r w:rsidR="001A51E6">
        <w:t xml:space="preserve">calendar </w:t>
      </w:r>
      <w:r>
        <w:t>months after it is notified.</w:t>
      </w:r>
    </w:p>
    <w:p w14:paraId="437F6AFE" w14:textId="3B30CE23" w:rsidR="006E0483" w:rsidRPr="000C57B6" w:rsidRDefault="006E0483" w:rsidP="006E0483">
      <w:pPr>
        <w:pStyle w:val="aNote"/>
        <w:ind w:left="1560"/>
      </w:pPr>
      <w:r w:rsidRPr="000C57B6">
        <w:rPr>
          <w:rStyle w:val="charItals"/>
        </w:rPr>
        <w:t>Note</w:t>
      </w:r>
      <w:r w:rsidRPr="000C57B6">
        <w:rPr>
          <w:rStyle w:val="charItals"/>
        </w:rPr>
        <w:tab/>
      </w:r>
      <w:r w:rsidRPr="00F53986">
        <w:t>This exemption can be varied or cancelled at any time by further notice in the ACT Legislation Register.</w:t>
      </w:r>
    </w:p>
    <w:p w14:paraId="5724C3C6" w14:textId="77777777" w:rsidR="00540F28" w:rsidRDefault="00540F28" w:rsidP="0042011A">
      <w:pPr>
        <w:tabs>
          <w:tab w:val="left" w:pos="4320"/>
        </w:tabs>
        <w:spacing w:before="720"/>
      </w:pPr>
    </w:p>
    <w:p w14:paraId="209F5C1C" w14:textId="1C8C8DB3" w:rsidR="0042011A" w:rsidRDefault="004569AB" w:rsidP="0042011A">
      <w:pPr>
        <w:tabs>
          <w:tab w:val="left" w:pos="4320"/>
        </w:tabs>
        <w:spacing w:before="720"/>
      </w:pPr>
      <w:r>
        <w:t xml:space="preserve">Chris Steel </w:t>
      </w:r>
    </w:p>
    <w:p w14:paraId="1C9D5792" w14:textId="006A8440" w:rsidR="001440B3" w:rsidRDefault="004569AB" w:rsidP="0042011A">
      <w:pPr>
        <w:tabs>
          <w:tab w:val="left" w:pos="4320"/>
        </w:tabs>
      </w:pPr>
      <w:r>
        <w:t xml:space="preserve">Minister for Transport </w:t>
      </w:r>
    </w:p>
    <w:bookmarkEnd w:id="0"/>
    <w:p w14:paraId="5B3534C2" w14:textId="01C42642" w:rsidR="001440B3" w:rsidRDefault="00A246E2">
      <w:pPr>
        <w:tabs>
          <w:tab w:val="left" w:pos="4320"/>
        </w:tabs>
      </w:pPr>
      <w:r>
        <w:t xml:space="preserve">14 </w:t>
      </w:r>
      <w:r w:rsidR="004569AB">
        <w:t xml:space="preserve">April 2020 </w:t>
      </w:r>
    </w:p>
    <w:sectPr w:rsidR="001440B3" w:rsidSect="00AA35F7">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C2DBB" w14:textId="77777777" w:rsidR="001440B3" w:rsidRDefault="001440B3" w:rsidP="001440B3">
      <w:r>
        <w:separator/>
      </w:r>
    </w:p>
  </w:endnote>
  <w:endnote w:type="continuationSeparator" w:id="0">
    <w:p w14:paraId="198681BF" w14:textId="77777777" w:rsidR="001440B3" w:rsidRDefault="001440B3" w:rsidP="0014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6CDD0" w14:textId="77777777" w:rsidR="0042011A" w:rsidRDefault="004201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3E7FE" w14:textId="3D1AB400" w:rsidR="0042011A" w:rsidRPr="00CE1712" w:rsidRDefault="00CE1712" w:rsidP="00CE1712">
    <w:pPr>
      <w:pStyle w:val="Footer"/>
      <w:jc w:val="center"/>
      <w:rPr>
        <w:rFonts w:cs="Arial"/>
        <w:sz w:val="14"/>
      </w:rPr>
    </w:pPr>
    <w:r w:rsidRPr="00CE171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4CA04" w14:textId="77777777" w:rsidR="0042011A" w:rsidRDefault="00420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5E393" w14:textId="77777777" w:rsidR="001440B3" w:rsidRDefault="001440B3" w:rsidP="001440B3">
      <w:r>
        <w:separator/>
      </w:r>
    </w:p>
  </w:footnote>
  <w:footnote w:type="continuationSeparator" w:id="0">
    <w:p w14:paraId="6C00375F" w14:textId="77777777" w:rsidR="001440B3" w:rsidRDefault="001440B3" w:rsidP="00144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3A8C7" w14:textId="77777777" w:rsidR="0042011A" w:rsidRDefault="004201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BB9CB" w14:textId="77777777" w:rsidR="0042011A" w:rsidRDefault="004201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8FA31" w14:textId="77777777" w:rsidR="0042011A" w:rsidRDefault="00420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9EE2DDD"/>
    <w:multiLevelType w:val="hybridMultilevel"/>
    <w:tmpl w:val="84C01B7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4" w15:restartNumberingAfterBreak="0">
    <w:nsid w:val="0A382EAC"/>
    <w:multiLevelType w:val="hybridMultilevel"/>
    <w:tmpl w:val="C61E1670"/>
    <w:lvl w:ilvl="0" w:tplc="B03EED9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28E05A9"/>
    <w:multiLevelType w:val="hybridMultilevel"/>
    <w:tmpl w:val="D4647F4C"/>
    <w:lvl w:ilvl="0" w:tplc="B03EED9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8" w15:restartNumberingAfterBreak="0">
    <w:nsid w:val="35647182"/>
    <w:multiLevelType w:val="hybridMultilevel"/>
    <w:tmpl w:val="C61E1670"/>
    <w:lvl w:ilvl="0" w:tplc="B03EED9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10"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1"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72DD68D3"/>
    <w:multiLevelType w:val="multilevel"/>
    <w:tmpl w:val="59A81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abstractNumId w:val="3"/>
  </w:num>
  <w:num w:numId="2">
    <w:abstractNumId w:val="0"/>
  </w:num>
  <w:num w:numId="3">
    <w:abstractNumId w:val="5"/>
  </w:num>
  <w:num w:numId="4">
    <w:abstractNumId w:val="10"/>
  </w:num>
  <w:num w:numId="5">
    <w:abstractNumId w:val="11"/>
  </w:num>
  <w:num w:numId="6">
    <w:abstractNumId w:val="1"/>
  </w:num>
  <w:num w:numId="7">
    <w:abstractNumId w:val="7"/>
  </w:num>
  <w:num w:numId="8">
    <w:abstractNumId w:val="9"/>
  </w:num>
  <w:num w:numId="9">
    <w:abstractNumId w:val="12"/>
  </w:num>
  <w:num w:numId="10">
    <w:abstractNumId w:val="6"/>
  </w:num>
  <w:num w:numId="11">
    <w:abstractNumId w:val="2"/>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19"/>
    <w:rsid w:val="00003BFD"/>
    <w:rsid w:val="000F715B"/>
    <w:rsid w:val="001440B3"/>
    <w:rsid w:val="001A51E6"/>
    <w:rsid w:val="00222933"/>
    <w:rsid w:val="00235EF7"/>
    <w:rsid w:val="00283719"/>
    <w:rsid w:val="002A39C8"/>
    <w:rsid w:val="0032238E"/>
    <w:rsid w:val="00362B0A"/>
    <w:rsid w:val="00387E6B"/>
    <w:rsid w:val="003C1552"/>
    <w:rsid w:val="003D4243"/>
    <w:rsid w:val="004022BC"/>
    <w:rsid w:val="0042011A"/>
    <w:rsid w:val="004569AB"/>
    <w:rsid w:val="005218BC"/>
    <w:rsid w:val="00525963"/>
    <w:rsid w:val="00540F28"/>
    <w:rsid w:val="005555D4"/>
    <w:rsid w:val="00586E0F"/>
    <w:rsid w:val="00622EBE"/>
    <w:rsid w:val="00640A28"/>
    <w:rsid w:val="006B0E70"/>
    <w:rsid w:val="006E0483"/>
    <w:rsid w:val="006E3125"/>
    <w:rsid w:val="00702DCB"/>
    <w:rsid w:val="00747C6B"/>
    <w:rsid w:val="008A5B0D"/>
    <w:rsid w:val="0091178D"/>
    <w:rsid w:val="00990145"/>
    <w:rsid w:val="009F1C0D"/>
    <w:rsid w:val="00A12654"/>
    <w:rsid w:val="00A246E2"/>
    <w:rsid w:val="00AA35F7"/>
    <w:rsid w:val="00B65C91"/>
    <w:rsid w:val="00BA1FA7"/>
    <w:rsid w:val="00C3153B"/>
    <w:rsid w:val="00C67751"/>
    <w:rsid w:val="00C914C5"/>
    <w:rsid w:val="00CE1712"/>
    <w:rsid w:val="00DD5975"/>
    <w:rsid w:val="00E17DC3"/>
    <w:rsid w:val="00E40448"/>
    <w:rsid w:val="00E55AB8"/>
    <w:rsid w:val="00F53986"/>
    <w:rsid w:val="00F80AA0"/>
    <w:rsid w:val="00FB0D83"/>
    <w:rsid w:val="00FC7B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C9EDD8"/>
  <w15:docId w15:val="{A3F90559-4C1D-4F0C-9091-0A48F864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5F7"/>
    <w:rPr>
      <w:sz w:val="24"/>
      <w:lang w:eastAsia="en-US"/>
    </w:rPr>
  </w:style>
  <w:style w:type="paragraph" w:styleId="Heading1">
    <w:name w:val="heading 1"/>
    <w:basedOn w:val="Normal"/>
    <w:next w:val="Normal"/>
    <w:qFormat/>
    <w:rsid w:val="00AA35F7"/>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AA35F7"/>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AA35F7"/>
    <w:pPr>
      <w:keepNext/>
      <w:pBdr>
        <w:right w:val="single" w:sz="4" w:space="4" w:color="auto"/>
      </w:pBdr>
      <w:outlineLvl w:val="2"/>
    </w:pPr>
    <w:rPr>
      <w:i/>
      <w:iCs/>
      <w:sz w:val="22"/>
      <w:szCs w:val="22"/>
    </w:rPr>
  </w:style>
  <w:style w:type="paragraph" w:styleId="Heading4">
    <w:name w:val="heading 4"/>
    <w:basedOn w:val="Normal"/>
    <w:next w:val="Normal"/>
    <w:qFormat/>
    <w:rsid w:val="00AA35F7"/>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A35F7"/>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AA35F7"/>
    <w:pPr>
      <w:tabs>
        <w:tab w:val="left" w:pos="2880"/>
      </w:tabs>
      <w:spacing w:before="120" w:after="60" w:line="240" w:lineRule="exact"/>
    </w:pPr>
    <w:rPr>
      <w:rFonts w:ascii="Arial" w:hAnsi="Arial"/>
      <w:sz w:val="18"/>
    </w:rPr>
  </w:style>
  <w:style w:type="paragraph" w:customStyle="1" w:styleId="Billname">
    <w:name w:val="Billname"/>
    <w:basedOn w:val="Normal"/>
    <w:rsid w:val="00AA35F7"/>
    <w:pPr>
      <w:tabs>
        <w:tab w:val="left" w:pos="2400"/>
        <w:tab w:val="left" w:pos="2880"/>
      </w:tabs>
      <w:spacing w:before="1220" w:after="100"/>
    </w:pPr>
    <w:rPr>
      <w:rFonts w:ascii="Arial" w:hAnsi="Arial"/>
      <w:b/>
      <w:sz w:val="40"/>
    </w:rPr>
  </w:style>
  <w:style w:type="paragraph" w:customStyle="1" w:styleId="Amain">
    <w:name w:val="A main"/>
    <w:basedOn w:val="Normal"/>
    <w:rsid w:val="00AA35F7"/>
    <w:pPr>
      <w:tabs>
        <w:tab w:val="right" w:pos="500"/>
        <w:tab w:val="left" w:pos="700"/>
      </w:tabs>
      <w:spacing w:before="80" w:after="60"/>
      <w:ind w:left="700" w:hanging="700"/>
      <w:jc w:val="both"/>
      <w:outlineLvl w:val="5"/>
    </w:pPr>
  </w:style>
  <w:style w:type="paragraph" w:customStyle="1" w:styleId="N-line3">
    <w:name w:val="N-line3"/>
    <w:basedOn w:val="Normal"/>
    <w:next w:val="Normal"/>
    <w:rsid w:val="00AA35F7"/>
    <w:pPr>
      <w:pBdr>
        <w:bottom w:val="single" w:sz="12" w:space="1" w:color="auto"/>
      </w:pBdr>
      <w:jc w:val="both"/>
    </w:pPr>
  </w:style>
  <w:style w:type="paragraph" w:customStyle="1" w:styleId="madeunder">
    <w:name w:val="made under"/>
    <w:basedOn w:val="Normal"/>
    <w:rsid w:val="00AA35F7"/>
    <w:pPr>
      <w:spacing w:before="180" w:after="60"/>
      <w:jc w:val="both"/>
    </w:pPr>
  </w:style>
  <w:style w:type="paragraph" w:customStyle="1" w:styleId="CoverActName">
    <w:name w:val="CoverActName"/>
    <w:basedOn w:val="Normal"/>
    <w:rsid w:val="00AA35F7"/>
    <w:pPr>
      <w:tabs>
        <w:tab w:val="left" w:pos="2600"/>
      </w:tabs>
      <w:spacing w:before="200" w:after="60"/>
      <w:jc w:val="both"/>
    </w:pPr>
    <w:rPr>
      <w:rFonts w:ascii="Arial" w:hAnsi="Arial"/>
      <w:b/>
    </w:rPr>
  </w:style>
  <w:style w:type="paragraph" w:customStyle="1" w:styleId="06Copyright">
    <w:name w:val="06Copyright"/>
    <w:basedOn w:val="Normal"/>
    <w:rsid w:val="00AA35F7"/>
    <w:pPr>
      <w:tabs>
        <w:tab w:val="left" w:pos="2880"/>
      </w:tabs>
    </w:pPr>
  </w:style>
  <w:style w:type="paragraph" w:customStyle="1" w:styleId="Apara">
    <w:name w:val="A para"/>
    <w:basedOn w:val="Normal"/>
    <w:rsid w:val="00AA35F7"/>
    <w:pPr>
      <w:numPr>
        <w:ilvl w:val="6"/>
        <w:numId w:val="9"/>
      </w:numPr>
      <w:spacing w:before="80" w:after="60"/>
      <w:jc w:val="both"/>
      <w:outlineLvl w:val="6"/>
    </w:pPr>
  </w:style>
  <w:style w:type="paragraph" w:customStyle="1" w:styleId="Asubpara">
    <w:name w:val="A subpara"/>
    <w:basedOn w:val="Normal"/>
    <w:rsid w:val="00AA35F7"/>
    <w:pPr>
      <w:numPr>
        <w:ilvl w:val="7"/>
        <w:numId w:val="9"/>
      </w:numPr>
      <w:spacing w:before="80" w:after="60"/>
      <w:jc w:val="both"/>
      <w:outlineLvl w:val="7"/>
    </w:pPr>
  </w:style>
  <w:style w:type="paragraph" w:customStyle="1" w:styleId="Asubsubpara">
    <w:name w:val="A subsubpara"/>
    <w:basedOn w:val="Normal"/>
    <w:rsid w:val="00AA35F7"/>
    <w:pPr>
      <w:numPr>
        <w:ilvl w:val="8"/>
        <w:numId w:val="9"/>
      </w:numPr>
      <w:spacing w:before="80" w:after="60"/>
      <w:jc w:val="both"/>
      <w:outlineLvl w:val="8"/>
    </w:pPr>
  </w:style>
  <w:style w:type="paragraph" w:customStyle="1" w:styleId="AH5Sec">
    <w:name w:val="A H5 Sec"/>
    <w:basedOn w:val="Normal"/>
    <w:next w:val="Amain"/>
    <w:rsid w:val="00AA35F7"/>
    <w:pPr>
      <w:keepNext/>
      <w:numPr>
        <w:ilvl w:val="4"/>
        <w:numId w:val="1"/>
      </w:numPr>
      <w:spacing w:before="180" w:after="60"/>
      <w:outlineLvl w:val="4"/>
    </w:pPr>
    <w:rPr>
      <w:rFonts w:ascii="Arial" w:hAnsi="Arial"/>
      <w:b/>
    </w:rPr>
  </w:style>
  <w:style w:type="paragraph" w:styleId="Header">
    <w:name w:val="header"/>
    <w:basedOn w:val="Normal"/>
    <w:semiHidden/>
    <w:rsid w:val="00AA35F7"/>
    <w:pPr>
      <w:tabs>
        <w:tab w:val="left" w:pos="2880"/>
        <w:tab w:val="center" w:pos="4153"/>
        <w:tab w:val="right" w:pos="8306"/>
      </w:tabs>
    </w:pPr>
  </w:style>
  <w:style w:type="paragraph" w:customStyle="1" w:styleId="ref">
    <w:name w:val="ref"/>
    <w:basedOn w:val="Normal"/>
    <w:next w:val="Normal"/>
    <w:rsid w:val="00AA35F7"/>
    <w:pPr>
      <w:spacing w:after="60"/>
      <w:jc w:val="both"/>
    </w:pPr>
    <w:rPr>
      <w:sz w:val="18"/>
    </w:rPr>
  </w:style>
  <w:style w:type="character" w:customStyle="1" w:styleId="CharDivText">
    <w:name w:val="CharDivText"/>
    <w:basedOn w:val="DefaultParagraphFont"/>
    <w:rsid w:val="00AA35F7"/>
  </w:style>
  <w:style w:type="paragraph" w:customStyle="1" w:styleId="CoverInForce">
    <w:name w:val="CoverInForce"/>
    <w:basedOn w:val="Normal"/>
    <w:rsid w:val="00AA35F7"/>
    <w:pPr>
      <w:tabs>
        <w:tab w:val="left" w:pos="2600"/>
      </w:tabs>
      <w:spacing w:before="200" w:after="60"/>
      <w:jc w:val="both"/>
    </w:pPr>
    <w:rPr>
      <w:rFonts w:ascii="Arial" w:hAnsi="Arial"/>
    </w:rPr>
  </w:style>
  <w:style w:type="paragraph" w:customStyle="1" w:styleId="AFHdg">
    <w:name w:val="AFHdg"/>
    <w:basedOn w:val="Normal"/>
    <w:rsid w:val="00AA35F7"/>
    <w:pPr>
      <w:tabs>
        <w:tab w:val="left" w:pos="2600"/>
      </w:tabs>
      <w:spacing w:before="80" w:after="60"/>
      <w:jc w:val="both"/>
    </w:pPr>
    <w:rPr>
      <w:rFonts w:ascii="Arial" w:hAnsi="Arial"/>
      <w:b/>
      <w:sz w:val="32"/>
    </w:rPr>
  </w:style>
  <w:style w:type="paragraph" w:customStyle="1" w:styleId="ApprFormHd">
    <w:name w:val="ApprFormHd"/>
    <w:basedOn w:val="Normal"/>
    <w:rsid w:val="00AA35F7"/>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AA35F7"/>
  </w:style>
  <w:style w:type="paragraph" w:customStyle="1" w:styleId="Aparabullet">
    <w:name w:val="A para bullet"/>
    <w:basedOn w:val="Normal"/>
    <w:rsid w:val="00AA35F7"/>
    <w:pPr>
      <w:numPr>
        <w:numId w:val="4"/>
      </w:numPr>
    </w:pPr>
  </w:style>
  <w:style w:type="paragraph" w:styleId="TOC1">
    <w:name w:val="toc 1"/>
    <w:basedOn w:val="Normal"/>
    <w:next w:val="Normal"/>
    <w:autoRedefine/>
    <w:semiHidden/>
    <w:rsid w:val="00AA35F7"/>
  </w:style>
  <w:style w:type="paragraph" w:styleId="TOC2">
    <w:name w:val="toc 2"/>
    <w:basedOn w:val="Normal"/>
    <w:next w:val="Normal"/>
    <w:autoRedefine/>
    <w:semiHidden/>
    <w:rsid w:val="00AA35F7"/>
    <w:pPr>
      <w:ind w:left="240"/>
    </w:pPr>
  </w:style>
  <w:style w:type="paragraph" w:styleId="TOC3">
    <w:name w:val="toc 3"/>
    <w:basedOn w:val="Normal"/>
    <w:next w:val="Normal"/>
    <w:autoRedefine/>
    <w:semiHidden/>
    <w:rsid w:val="00AA35F7"/>
    <w:pPr>
      <w:ind w:left="480"/>
    </w:pPr>
  </w:style>
  <w:style w:type="paragraph" w:styleId="TOC4">
    <w:name w:val="toc 4"/>
    <w:basedOn w:val="Normal"/>
    <w:next w:val="Normal"/>
    <w:autoRedefine/>
    <w:semiHidden/>
    <w:rsid w:val="00AA35F7"/>
    <w:pPr>
      <w:ind w:left="720"/>
    </w:pPr>
  </w:style>
  <w:style w:type="paragraph" w:styleId="TOC5">
    <w:name w:val="toc 5"/>
    <w:basedOn w:val="Normal"/>
    <w:next w:val="Normal"/>
    <w:autoRedefine/>
    <w:semiHidden/>
    <w:rsid w:val="00AA35F7"/>
    <w:pPr>
      <w:ind w:left="960"/>
    </w:pPr>
  </w:style>
  <w:style w:type="paragraph" w:styleId="TOC6">
    <w:name w:val="toc 6"/>
    <w:basedOn w:val="Normal"/>
    <w:next w:val="Normal"/>
    <w:autoRedefine/>
    <w:semiHidden/>
    <w:rsid w:val="00AA35F7"/>
    <w:pPr>
      <w:ind w:left="1200"/>
    </w:pPr>
  </w:style>
  <w:style w:type="paragraph" w:styleId="TOC7">
    <w:name w:val="toc 7"/>
    <w:basedOn w:val="Normal"/>
    <w:next w:val="Normal"/>
    <w:autoRedefine/>
    <w:semiHidden/>
    <w:rsid w:val="00AA35F7"/>
    <w:pPr>
      <w:ind w:left="1440"/>
    </w:pPr>
  </w:style>
  <w:style w:type="paragraph" w:styleId="TOC8">
    <w:name w:val="toc 8"/>
    <w:basedOn w:val="Normal"/>
    <w:next w:val="Normal"/>
    <w:autoRedefine/>
    <w:semiHidden/>
    <w:rsid w:val="00AA35F7"/>
    <w:pPr>
      <w:ind w:left="1680"/>
    </w:pPr>
  </w:style>
  <w:style w:type="paragraph" w:styleId="TOC9">
    <w:name w:val="toc 9"/>
    <w:basedOn w:val="Normal"/>
    <w:next w:val="Normal"/>
    <w:autoRedefine/>
    <w:semiHidden/>
    <w:rsid w:val="00AA35F7"/>
    <w:pPr>
      <w:ind w:left="1920"/>
    </w:pPr>
  </w:style>
  <w:style w:type="character" w:styleId="Hyperlink">
    <w:name w:val="Hyperlink"/>
    <w:basedOn w:val="DefaultParagraphFont"/>
    <w:semiHidden/>
    <w:rsid w:val="00AA35F7"/>
    <w:rPr>
      <w:color w:val="0000FF"/>
      <w:u w:val="single"/>
    </w:rPr>
  </w:style>
  <w:style w:type="paragraph" w:styleId="BodyTextIndent">
    <w:name w:val="Body Text Indent"/>
    <w:basedOn w:val="Normal"/>
    <w:semiHidden/>
    <w:rsid w:val="00AA35F7"/>
    <w:pPr>
      <w:spacing w:before="120" w:after="60"/>
      <w:ind w:left="709"/>
    </w:pPr>
  </w:style>
  <w:style w:type="paragraph" w:customStyle="1" w:styleId="Minister">
    <w:name w:val="Minister"/>
    <w:basedOn w:val="Normal"/>
    <w:rsid w:val="00AA35F7"/>
    <w:pPr>
      <w:spacing w:before="880" w:after="60"/>
      <w:jc w:val="right"/>
    </w:pPr>
    <w:rPr>
      <w:caps/>
      <w:szCs w:val="24"/>
    </w:rPr>
  </w:style>
  <w:style w:type="paragraph" w:customStyle="1" w:styleId="DateLine">
    <w:name w:val="DateLine"/>
    <w:basedOn w:val="Normal"/>
    <w:rsid w:val="00AA35F7"/>
    <w:pPr>
      <w:tabs>
        <w:tab w:val="left" w:pos="4320"/>
      </w:tabs>
      <w:spacing w:before="80" w:after="60"/>
      <w:jc w:val="both"/>
    </w:pPr>
    <w:rPr>
      <w:szCs w:val="24"/>
    </w:rPr>
  </w:style>
  <w:style w:type="paragraph" w:customStyle="1" w:styleId="MinisterWord">
    <w:name w:val="MinisterWord"/>
    <w:basedOn w:val="Normal"/>
    <w:rsid w:val="00AA35F7"/>
    <w:pPr>
      <w:tabs>
        <w:tab w:val="left" w:pos="2880"/>
      </w:tabs>
      <w:jc w:val="right"/>
    </w:pPr>
    <w:rPr>
      <w:szCs w:val="24"/>
    </w:rPr>
  </w:style>
  <w:style w:type="character" w:styleId="FollowedHyperlink">
    <w:name w:val="FollowedHyperlink"/>
    <w:basedOn w:val="DefaultParagraphFont"/>
    <w:semiHidden/>
    <w:rsid w:val="00AA35F7"/>
    <w:rPr>
      <w:color w:val="800080"/>
      <w:u w:val="single"/>
    </w:rPr>
  </w:style>
  <w:style w:type="character" w:styleId="FootnoteReference">
    <w:name w:val="footnote reference"/>
    <w:basedOn w:val="DefaultParagraphFont"/>
    <w:semiHidden/>
    <w:rsid w:val="00AA35F7"/>
    <w:rPr>
      <w:rFonts w:ascii="Times New Roman" w:hAnsi="Times New Roman" w:cs="Times New Roman"/>
      <w:sz w:val="24"/>
      <w:szCs w:val="24"/>
      <w:vertAlign w:val="superscript"/>
    </w:rPr>
  </w:style>
  <w:style w:type="paragraph" w:styleId="FootnoteText">
    <w:name w:val="footnote text"/>
    <w:basedOn w:val="Normal"/>
    <w:semiHidden/>
    <w:rsid w:val="00AA35F7"/>
    <w:pPr>
      <w:spacing w:before="80" w:after="60"/>
      <w:jc w:val="both"/>
    </w:pPr>
    <w:rPr>
      <w:szCs w:val="24"/>
    </w:rPr>
  </w:style>
  <w:style w:type="paragraph" w:customStyle="1" w:styleId="ShadedSchClause">
    <w:name w:val="Shaded Sch Clause"/>
    <w:basedOn w:val="Normal"/>
    <w:next w:val="Normal"/>
    <w:rsid w:val="00AA35F7"/>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AA35F7"/>
  </w:style>
  <w:style w:type="paragraph" w:styleId="BalloonText">
    <w:name w:val="Balloon Text"/>
    <w:basedOn w:val="Normal"/>
    <w:link w:val="BalloonTextChar"/>
    <w:uiPriority w:val="99"/>
    <w:semiHidden/>
    <w:unhideWhenUsed/>
    <w:rsid w:val="00F53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986"/>
    <w:rPr>
      <w:rFonts w:ascii="Segoe UI" w:hAnsi="Segoe UI" w:cs="Segoe UI"/>
      <w:sz w:val="18"/>
      <w:szCs w:val="18"/>
      <w:lang w:eastAsia="en-US"/>
    </w:rPr>
  </w:style>
  <w:style w:type="paragraph" w:styleId="ListParagraph">
    <w:name w:val="List Paragraph"/>
    <w:basedOn w:val="Normal"/>
    <w:uiPriority w:val="34"/>
    <w:qFormat/>
    <w:rsid w:val="00F53986"/>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F53986"/>
    <w:rPr>
      <w:sz w:val="16"/>
      <w:szCs w:val="16"/>
    </w:rPr>
  </w:style>
  <w:style w:type="paragraph" w:styleId="CommentText">
    <w:name w:val="annotation text"/>
    <w:basedOn w:val="Normal"/>
    <w:link w:val="CommentTextChar"/>
    <w:uiPriority w:val="99"/>
    <w:semiHidden/>
    <w:unhideWhenUsed/>
    <w:rsid w:val="00F53986"/>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F53986"/>
    <w:rPr>
      <w:rFonts w:asciiTheme="minorHAnsi" w:eastAsiaTheme="minorHAnsi" w:hAnsiTheme="minorHAnsi" w:cstheme="minorBidi"/>
      <w:lang w:eastAsia="en-US"/>
    </w:rPr>
  </w:style>
  <w:style w:type="paragraph" w:customStyle="1" w:styleId="aNote">
    <w:name w:val="aNote"/>
    <w:basedOn w:val="Normal"/>
    <w:link w:val="aNoteChar"/>
    <w:rsid w:val="006E0483"/>
    <w:pPr>
      <w:spacing w:before="140"/>
      <w:ind w:left="1900" w:hanging="800"/>
      <w:jc w:val="both"/>
    </w:pPr>
    <w:rPr>
      <w:sz w:val="20"/>
    </w:rPr>
  </w:style>
  <w:style w:type="character" w:customStyle="1" w:styleId="charItals">
    <w:name w:val="charItals"/>
    <w:basedOn w:val="DefaultParagraphFont"/>
    <w:rsid w:val="006E0483"/>
    <w:rPr>
      <w:rFonts w:cs="Times New Roman"/>
      <w:i/>
    </w:rPr>
  </w:style>
  <w:style w:type="character" w:customStyle="1" w:styleId="aNoteChar">
    <w:name w:val="aNote Char"/>
    <w:basedOn w:val="DefaultParagraphFont"/>
    <w:link w:val="aNote"/>
    <w:locked/>
    <w:rsid w:val="006E0483"/>
    <w:rPr>
      <w:lang w:eastAsia="en-US"/>
    </w:rPr>
  </w:style>
  <w:style w:type="character" w:customStyle="1" w:styleId="charCitHyperlinkAbbrev">
    <w:name w:val="charCitHyperlinkAbbrev"/>
    <w:basedOn w:val="Hyperlink"/>
    <w:uiPriority w:val="1"/>
    <w:rsid w:val="006E0483"/>
    <w:rPr>
      <w:rFonts w:cs="Times New Roman"/>
      <w:color w:val="0000FF" w:themeColor="hyperlink"/>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2017</Characters>
  <Application>Microsoft Office Word</Application>
  <DocSecurity>0</DocSecurity>
  <Lines>57</Lines>
  <Paragraphs>35</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4</cp:revision>
  <cp:lastPrinted>2004-04-05T00:37:00Z</cp:lastPrinted>
  <dcterms:created xsi:type="dcterms:W3CDTF">2020-04-15T04:28:00Z</dcterms:created>
  <dcterms:modified xsi:type="dcterms:W3CDTF">2020-04-15T04:28:00Z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A25363545</vt:lpwstr>
  </property>
  <property fmtid="{D5CDD505-2E9C-101B-9397-08002B2CF9AE}" pid="4" name="Objective-Title">
    <vt:lpwstr>Attachment B - Notifiable instrument</vt:lpwstr>
  </property>
  <property fmtid="{D5CDD505-2E9C-101B-9397-08002B2CF9AE}" pid="5" name="Objective-Comment">
    <vt:lpwstr/>
  </property>
  <property fmtid="{D5CDD505-2E9C-101B-9397-08002B2CF9AE}" pid="6" name="Objective-CreationStamp">
    <vt:filetime>2020-04-06T00:06:01Z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2020-04-07T07:14:16Z</vt:filetime>
  </property>
  <property fmtid="{D5CDD505-2E9C-101B-9397-08002B2CF9AE}" pid="10" name="Objective-ModificationStamp">
    <vt:filetime>2020-04-08T02:25:55Z</vt:filetime>
  </property>
  <property fmtid="{D5CDD505-2E9C-101B-9397-08002B2CF9AE}" pid="11" name="Objective-Owner">
    <vt:lpwstr>Kirra Cox</vt:lpwstr>
  </property>
  <property fmtid="{D5CDD505-2E9C-101B-9397-08002B2CF9AE}" pid="12" name="Objective-Path">
    <vt:lpwstr>Whole of ACT Government:TCCS STRUCTURE - Content Restriction Hierarchy:01. Assembly, Cabinet, Ministerial:03. Ministerials:03. Complete:Information Brief (Minister):2020 Information Brief (Minister):TCBS - MIN S2020/3766 - National Rail Safety Law - Light</vt:lpwstr>
  </property>
  <property fmtid="{D5CDD505-2E9C-101B-9397-08002B2CF9AE}" pid="13" name="Objective-Parent">
    <vt:lpwstr>TCBS - MIN S2020/3766 - National Rail Safety Law - Light Rail</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3</vt:r8>
  </property>
  <property fmtid="{D5CDD505-2E9C-101B-9397-08002B2CF9AE}" pid="17" name="Objective-VersionComment">
    <vt:lpwstr>Review by EO to DDG. </vt:lpwstr>
  </property>
  <property fmtid="{D5CDD505-2E9C-101B-9397-08002B2CF9AE}" pid="18" name="Objective-FileNumber">
    <vt:lpwstr>1-2020/07193</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M Author [system]">
    <vt:lpwstr/>
  </property>
  <property fmtid="{D5CDD505-2E9C-101B-9397-08002B2CF9AE}" pid="22" name="Objective-OM Author Organisation [system]">
    <vt:lpwstr/>
  </property>
  <property fmtid="{D5CDD505-2E9C-101B-9397-08002B2CF9AE}" pid="23" name="Objective-OM Author Type [system]">
    <vt:lpwstr/>
  </property>
  <property fmtid="{D5CDD505-2E9C-101B-9397-08002B2CF9AE}" pid="24" name="Objective-OM Date Received [system]">
    <vt:lpwstr/>
  </property>
  <property fmtid="{D5CDD505-2E9C-101B-9397-08002B2CF9AE}" pid="25" name="Objective-OM Date of Document [system]">
    <vt:lpwstr/>
  </property>
  <property fmtid="{D5CDD505-2E9C-101B-9397-08002B2CF9AE}" pid="26" name="Objective-OM External Reference [system]">
    <vt:lpwstr/>
  </property>
  <property fmtid="{D5CDD505-2E9C-101B-9397-08002B2CF9AE}" pid="27" name="Objective-OM Reference [system]">
    <vt:lpwstr/>
  </property>
  <property fmtid="{D5CDD505-2E9C-101B-9397-08002B2CF9AE}" pid="28" name="Objective-OM Topic [system]">
    <vt:lpwstr/>
  </property>
  <property fmtid="{D5CDD505-2E9C-101B-9397-08002B2CF9AE}" pid="29" name="Objective-Suburb [system]">
    <vt:lpwstr/>
  </property>
</Properties>
</file>