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A0C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299491" w14:textId="7EAC8CCD" w:rsidR="008936B5" w:rsidRPr="0059678C" w:rsidRDefault="00604B7C" w:rsidP="0059678C">
      <w:pPr>
        <w:pStyle w:val="Heading1"/>
      </w:pPr>
      <w:r>
        <w:t>Nature Conservation</w:t>
      </w:r>
      <w:r w:rsidR="008936B5" w:rsidRPr="0059678C">
        <w:t xml:space="preserve"> </w:t>
      </w:r>
      <w:r>
        <w:t xml:space="preserve">Threatened </w:t>
      </w:r>
      <w:r w:rsidR="005940FC">
        <w:t>Ecological Communities</w:t>
      </w:r>
      <w:r>
        <w:t xml:space="preserve"> List</w:t>
      </w:r>
      <w:r w:rsidR="008936B5" w:rsidRPr="0059678C">
        <w:t xml:space="preserve"> </w:t>
      </w:r>
      <w:r w:rsidR="005C3F4D">
        <w:t>20</w:t>
      </w:r>
      <w:r w:rsidR="00F21988">
        <w:t>20</w:t>
      </w:r>
      <w:r w:rsidR="00163B9A">
        <w:t>*</w:t>
      </w:r>
    </w:p>
    <w:p w14:paraId="01354C3B" w14:textId="2AE29D3D" w:rsidR="008936B5" w:rsidRPr="0059678C" w:rsidRDefault="008A0470" w:rsidP="00DD4CC4">
      <w:pPr>
        <w:pStyle w:val="Heading2"/>
        <w:spacing w:before="340" w:after="0"/>
      </w:pPr>
      <w:r>
        <w:t xml:space="preserve">Notifiable </w:t>
      </w:r>
      <w:r w:rsidR="00DD4CC4">
        <w:t>i</w:t>
      </w:r>
      <w:r w:rsidR="008936B5" w:rsidRPr="0059678C">
        <w:t>nstrument NI</w:t>
      </w:r>
      <w:r w:rsidR="00604B7C">
        <w:t>20</w:t>
      </w:r>
      <w:r w:rsidR="00F21988">
        <w:t>20</w:t>
      </w:r>
      <w:r w:rsidR="008936B5" w:rsidRPr="0059678C">
        <w:t>–</w:t>
      </w:r>
      <w:r w:rsidR="00ED7B5A">
        <w:t>301</w:t>
      </w:r>
    </w:p>
    <w:p w14:paraId="74BA26D5" w14:textId="1E2623E3" w:rsidR="008936B5" w:rsidRDefault="008936B5" w:rsidP="00DD4CC4">
      <w:pPr>
        <w:pStyle w:val="madeunder"/>
        <w:spacing w:before="300" w:after="0"/>
      </w:pPr>
      <w:r>
        <w:t xml:space="preserve">made under the </w:t>
      </w:r>
    </w:p>
    <w:p w14:paraId="08B241E8" w14:textId="7A613350" w:rsidR="005F1AE4" w:rsidRDefault="00604B7C" w:rsidP="00BB4B8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63001B">
        <w:rPr>
          <w:rFonts w:cs="Arial"/>
          <w:sz w:val="20"/>
        </w:rPr>
        <w:t>,</w:t>
      </w:r>
      <w:r w:rsidR="00DD4CC4">
        <w:rPr>
          <w:rFonts w:cs="Arial"/>
          <w:sz w:val="20"/>
        </w:rPr>
        <w:t xml:space="preserve"> </w:t>
      </w:r>
      <w:r w:rsidR="009564DA">
        <w:rPr>
          <w:rFonts w:cs="Arial"/>
          <w:sz w:val="20"/>
        </w:rPr>
        <w:t xml:space="preserve">s </w:t>
      </w:r>
      <w:r w:rsidR="00D950BE">
        <w:rPr>
          <w:rFonts w:cs="Arial"/>
          <w:sz w:val="20"/>
        </w:rPr>
        <w:t>91 (Final version of list and notification)</w:t>
      </w:r>
    </w:p>
    <w:p w14:paraId="3997179B" w14:textId="77777777" w:rsidR="009879A7" w:rsidRPr="009879A7" w:rsidRDefault="009879A7" w:rsidP="00DD4CC4">
      <w:pPr>
        <w:pStyle w:val="CoverActName"/>
        <w:spacing w:before="60" w:after="0"/>
        <w:rPr>
          <w:rFonts w:cs="Arial"/>
          <w:sz w:val="20"/>
        </w:rPr>
      </w:pPr>
    </w:p>
    <w:p w14:paraId="7471633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CF8CB0A" w14:textId="77777777" w:rsidR="008936B5" w:rsidRPr="0059678C" w:rsidRDefault="008936B5" w:rsidP="00DD4CC4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2F921B2C" w14:textId="423D390B" w:rsidR="008936B5" w:rsidRDefault="008936B5" w:rsidP="00DD4CC4">
      <w:pPr>
        <w:spacing w:before="140"/>
        <w:ind w:left="720"/>
      </w:pPr>
      <w:r>
        <w:t xml:space="preserve">This instrument is the </w:t>
      </w:r>
      <w:r w:rsidR="00604B7C" w:rsidRPr="00413A7E">
        <w:rPr>
          <w:i/>
        </w:rPr>
        <w:t xml:space="preserve">Nature Conservation Threatened </w:t>
      </w:r>
      <w:r w:rsidR="005940FC">
        <w:rPr>
          <w:i/>
        </w:rPr>
        <w:t>Ecological Communities</w:t>
      </w:r>
      <w:r w:rsidR="00604B7C" w:rsidRPr="00413A7E">
        <w:rPr>
          <w:i/>
        </w:rPr>
        <w:t xml:space="preserve"> List</w:t>
      </w:r>
      <w:r w:rsidR="00872557">
        <w:rPr>
          <w:i/>
        </w:rPr>
        <w:t> </w:t>
      </w:r>
      <w:r w:rsidR="00C2789B">
        <w:rPr>
          <w:i/>
        </w:rPr>
        <w:t>20</w:t>
      </w:r>
      <w:r w:rsidR="00F21988">
        <w:rPr>
          <w:i/>
        </w:rPr>
        <w:t>20</w:t>
      </w:r>
      <w:r w:rsidR="00601554">
        <w:rPr>
          <w:i/>
        </w:rPr>
        <w:t>.</w:t>
      </w:r>
    </w:p>
    <w:p w14:paraId="132926FA" w14:textId="77777777" w:rsidR="008936B5" w:rsidRPr="0059678C" w:rsidRDefault="008936B5" w:rsidP="00DD4CC4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2CC8FCF1" w14:textId="0E1EE5F7" w:rsidR="008936B5" w:rsidRDefault="008936B5" w:rsidP="00DD4CC4">
      <w:pPr>
        <w:spacing w:before="140"/>
        <w:ind w:left="720"/>
      </w:pPr>
      <w:r>
        <w:t>This instrument commences on</w:t>
      </w:r>
      <w:r w:rsidR="00BC19C1">
        <w:t xml:space="preserve"> </w:t>
      </w:r>
      <w:r w:rsidR="00BF590B">
        <w:t xml:space="preserve">the day after </w:t>
      </w:r>
      <w:r w:rsidR="00DD4CC4">
        <w:t xml:space="preserve">its </w:t>
      </w:r>
      <w:r w:rsidR="00BF590B">
        <w:t>notification</w:t>
      </w:r>
      <w:r w:rsidR="00A538E3">
        <w:t xml:space="preserve"> day</w:t>
      </w:r>
      <w:r>
        <w:t xml:space="preserve">. </w:t>
      </w:r>
    </w:p>
    <w:p w14:paraId="359C8544" w14:textId="0B67233B" w:rsidR="00753212" w:rsidRDefault="008936B5" w:rsidP="00DD4CC4">
      <w:pPr>
        <w:pStyle w:val="Heading3"/>
        <w:spacing w:before="300" w:after="0"/>
      </w:pPr>
      <w:r>
        <w:t>3</w:t>
      </w:r>
      <w:r>
        <w:tab/>
      </w:r>
      <w:r w:rsidR="005C3F4D">
        <w:t>Threatened ecological communities list</w:t>
      </w:r>
    </w:p>
    <w:p w14:paraId="50B141C4" w14:textId="57C6EE1C" w:rsidR="000F6109" w:rsidRDefault="00A538E3" w:rsidP="00DD4CC4">
      <w:pPr>
        <w:spacing w:before="140"/>
        <w:ind w:left="720"/>
      </w:pPr>
      <w:r>
        <w:t xml:space="preserve">Schedule 1 sets out the final version of the threatened </w:t>
      </w:r>
      <w:r w:rsidR="005940FC">
        <w:t>ecological communities</w:t>
      </w:r>
      <w:r>
        <w:t xml:space="preserve"> list.</w:t>
      </w:r>
    </w:p>
    <w:p w14:paraId="4E82D68F" w14:textId="73892A50" w:rsidR="005342E3" w:rsidRPr="00564E99" w:rsidRDefault="005342E3" w:rsidP="00564E99">
      <w:pPr>
        <w:spacing w:before="140"/>
        <w:ind w:left="1418" w:hanging="698"/>
        <w:rPr>
          <w:sz w:val="20"/>
        </w:rPr>
      </w:pPr>
      <w:r w:rsidRPr="00836790">
        <w:rPr>
          <w:i/>
          <w:sz w:val="20"/>
        </w:rPr>
        <w:t>Note</w:t>
      </w:r>
      <w:r w:rsidR="00564E99">
        <w:rPr>
          <w:i/>
          <w:sz w:val="20"/>
        </w:rPr>
        <w:tab/>
      </w:r>
      <w:r w:rsidR="00836790" w:rsidRPr="00564E99">
        <w:rPr>
          <w:sz w:val="20"/>
        </w:rPr>
        <w:t>Schedule 1 includes a general description of each ecological community</w:t>
      </w:r>
      <w:r w:rsidR="00893CBD">
        <w:rPr>
          <w:sz w:val="20"/>
        </w:rPr>
        <w:t>;</w:t>
      </w:r>
      <w:r w:rsidR="00836790" w:rsidRPr="00564E99">
        <w:rPr>
          <w:sz w:val="20"/>
        </w:rPr>
        <w:t xml:space="preserve"> however</w:t>
      </w:r>
      <w:r w:rsidR="00893CBD">
        <w:rPr>
          <w:sz w:val="20"/>
        </w:rPr>
        <w:t>,</w:t>
      </w:r>
      <w:r w:rsidR="00836790" w:rsidRPr="00564E99">
        <w:rPr>
          <w:sz w:val="20"/>
        </w:rPr>
        <w:t xml:space="preserve"> on ground surveys are required to identify locations. </w:t>
      </w:r>
    </w:p>
    <w:p w14:paraId="629EAF8E" w14:textId="77777777" w:rsidR="003D38A1" w:rsidRDefault="0005551D" w:rsidP="00F765EE">
      <w:pPr>
        <w:pStyle w:val="Heading3"/>
        <w:keepNext/>
        <w:spacing w:before="300" w:after="0"/>
      </w:pPr>
      <w:r>
        <w:t>4</w:t>
      </w:r>
      <w:r w:rsidR="00C2789B">
        <w:tab/>
      </w:r>
      <w:r w:rsidR="00C2789B" w:rsidRPr="00C2789B">
        <w:t>Revocation</w:t>
      </w:r>
    </w:p>
    <w:p w14:paraId="7CC1D0D2" w14:textId="05DF9EAF" w:rsidR="00C2789B" w:rsidRPr="00604D6F" w:rsidRDefault="00C2789B" w:rsidP="00F765EE">
      <w:pPr>
        <w:spacing w:before="140"/>
        <w:ind w:left="720"/>
      </w:pPr>
      <w:r w:rsidRPr="001B4373">
        <w:t>Th</w:t>
      </w:r>
      <w:r w:rsidR="00BB4B84">
        <w:t>is instrument revokes the</w:t>
      </w:r>
      <w:r w:rsidRPr="001B4373">
        <w:t xml:space="preserve"> </w:t>
      </w:r>
      <w:r w:rsidRPr="001B4373">
        <w:rPr>
          <w:i/>
        </w:rPr>
        <w:t xml:space="preserve">Nature Conservation Threatened </w:t>
      </w:r>
      <w:r w:rsidR="005940FC">
        <w:rPr>
          <w:i/>
        </w:rPr>
        <w:t>Ecological Communities</w:t>
      </w:r>
      <w:r w:rsidRPr="001B4373">
        <w:rPr>
          <w:i/>
        </w:rPr>
        <w:t xml:space="preserve"> List 20</w:t>
      </w:r>
      <w:r w:rsidR="00F21988">
        <w:rPr>
          <w:i/>
        </w:rPr>
        <w:t>19</w:t>
      </w:r>
      <w:r w:rsidR="00BB4B84" w:rsidRPr="00BB4B84">
        <w:t xml:space="preserve"> (</w:t>
      </w:r>
      <w:r w:rsidRPr="00604D6F">
        <w:t>NI201</w:t>
      </w:r>
      <w:r w:rsidR="00F21988">
        <w:t>9</w:t>
      </w:r>
      <w:r w:rsidRPr="00604D6F">
        <w:t>–</w:t>
      </w:r>
      <w:r w:rsidR="00F21988">
        <w:t>65</w:t>
      </w:r>
      <w:r w:rsidR="00BB4B84">
        <w:t>)</w:t>
      </w:r>
      <w:r w:rsidRPr="00604D6F">
        <w:t xml:space="preserve">. </w:t>
      </w:r>
    </w:p>
    <w:p w14:paraId="7B77BAFA" w14:textId="77777777" w:rsidR="00ED6E9B" w:rsidRDefault="00604D6F" w:rsidP="00F765EE">
      <w:pPr>
        <w:tabs>
          <w:tab w:val="left" w:pos="4320"/>
        </w:tabs>
        <w:spacing w:before="720"/>
      </w:pPr>
      <w:r>
        <w:t xml:space="preserve">Mick </w:t>
      </w:r>
      <w:r w:rsidR="00141E00">
        <w:t>Gentleman</w:t>
      </w:r>
      <w:r w:rsidR="00DD4CC4">
        <w:t xml:space="preserve"> MLA</w:t>
      </w:r>
      <w:r w:rsidR="008936B5">
        <w:br/>
      </w:r>
      <w:r w:rsidR="00604B7C">
        <w:t>Minister for the Environment</w:t>
      </w:r>
      <w:bookmarkEnd w:id="0"/>
      <w:r w:rsidR="00C2789B">
        <w:t xml:space="preserve"> and </w:t>
      </w:r>
      <w:r>
        <w:t>Heritage</w:t>
      </w:r>
    </w:p>
    <w:p w14:paraId="7D671CBA" w14:textId="45FCC251" w:rsidR="00ED6E9B" w:rsidRDefault="00ED7B5A">
      <w:r>
        <w:t>20</w:t>
      </w:r>
      <w:r w:rsidR="00F21988">
        <w:t xml:space="preserve"> </w:t>
      </w:r>
      <w:r w:rsidR="00DE4E93">
        <w:t>May</w:t>
      </w:r>
      <w:r w:rsidR="00DF32BF" w:rsidRPr="00DF32BF">
        <w:t xml:space="preserve"> </w:t>
      </w:r>
      <w:r w:rsidR="00731EF9" w:rsidRPr="00DF32BF">
        <w:t>20</w:t>
      </w:r>
      <w:r w:rsidR="00F21988" w:rsidRPr="00DF32BF">
        <w:t>20</w:t>
      </w:r>
      <w:r w:rsidR="00ED6E9B">
        <w:br w:type="page"/>
      </w:r>
    </w:p>
    <w:p w14:paraId="1EF767A9" w14:textId="551ABF7A" w:rsidR="00753212" w:rsidRPr="00731EF9" w:rsidRDefault="00753212" w:rsidP="003F1266">
      <w:pPr>
        <w:pStyle w:val="Heading3"/>
        <w:spacing w:before="0" w:after="0"/>
        <w:rPr>
          <w:sz w:val="34"/>
          <w:szCs w:val="34"/>
        </w:rPr>
      </w:pPr>
      <w:r w:rsidRPr="00731EF9">
        <w:rPr>
          <w:sz w:val="34"/>
          <w:szCs w:val="34"/>
        </w:rPr>
        <w:lastRenderedPageBreak/>
        <w:t>Schedule</w:t>
      </w:r>
      <w:r w:rsidR="00F765EE" w:rsidRPr="00731EF9">
        <w:rPr>
          <w:sz w:val="34"/>
          <w:szCs w:val="34"/>
        </w:rPr>
        <w:t xml:space="preserve"> 1</w:t>
      </w:r>
      <w:r w:rsidR="009564DA">
        <w:rPr>
          <w:sz w:val="34"/>
          <w:szCs w:val="34"/>
        </w:rPr>
        <w:tab/>
        <w:t xml:space="preserve">Threatened ecological communities </w:t>
      </w:r>
    </w:p>
    <w:p w14:paraId="145088CD" w14:textId="006BA2F6" w:rsidR="00A3563F" w:rsidRDefault="00A3563F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  <w:r w:rsidRPr="00F765EE">
        <w:rPr>
          <w:sz w:val="18"/>
          <w:szCs w:val="18"/>
        </w:rPr>
        <w:t>(see s 3)</w:t>
      </w:r>
    </w:p>
    <w:p w14:paraId="49A26C7C" w14:textId="77777777" w:rsidR="00F765EE" w:rsidRPr="00F765EE" w:rsidRDefault="00F765EE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</w:p>
    <w:p w14:paraId="709CE21B" w14:textId="77777777" w:rsidR="00753212" w:rsidRDefault="00753212" w:rsidP="00E216A7">
      <w:pPr>
        <w:tabs>
          <w:tab w:val="left" w:pos="1985"/>
        </w:tabs>
      </w:pPr>
    </w:p>
    <w:p w14:paraId="0446E0F0" w14:textId="727D3198" w:rsidR="00A66633" w:rsidRPr="00A66633" w:rsidRDefault="00A66633" w:rsidP="00A66633">
      <w:pPr>
        <w:tabs>
          <w:tab w:val="left" w:pos="1985"/>
        </w:tabs>
        <w:rPr>
          <w:b/>
        </w:rPr>
      </w:pPr>
      <w:r>
        <w:rPr>
          <w:b/>
        </w:rPr>
        <w:t>Collapsed</w:t>
      </w:r>
      <w:r w:rsidRPr="00A66633">
        <w:rPr>
          <w:b/>
        </w:rPr>
        <w:t xml:space="preserve"> </w:t>
      </w:r>
    </w:p>
    <w:p w14:paraId="2E3010E2" w14:textId="77777777" w:rsidR="00A66633" w:rsidRPr="00A66633" w:rsidRDefault="00A66633" w:rsidP="00A66633">
      <w:pPr>
        <w:tabs>
          <w:tab w:val="left" w:pos="1985"/>
        </w:tabs>
        <w:rPr>
          <w:b/>
        </w:rPr>
      </w:pPr>
    </w:p>
    <w:tbl>
      <w:tblPr>
        <w:tblW w:w="75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302"/>
        <w:gridCol w:w="5245"/>
      </w:tblGrid>
      <w:tr w:rsidR="00A66633" w14:paraId="7B9D32A5" w14:textId="77777777" w:rsidTr="00781624">
        <w:tc>
          <w:tcPr>
            <w:tcW w:w="23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DB6900C" w14:textId="77777777" w:rsidR="00A66633" w:rsidRDefault="00A66633" w:rsidP="00A96D2B">
            <w:pPr>
              <w:tabs>
                <w:tab w:val="left" w:pos="4536"/>
              </w:tabs>
            </w:pPr>
            <w:r>
              <w:t>Name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FC109AF" w14:textId="77777777" w:rsidR="00A66633" w:rsidRDefault="00A66633" w:rsidP="00A96D2B">
            <w:pPr>
              <w:tabs>
                <w:tab w:val="left" w:pos="4536"/>
              </w:tabs>
            </w:pPr>
            <w:r>
              <w:t>Description</w:t>
            </w:r>
          </w:p>
        </w:tc>
      </w:tr>
      <w:tr w:rsidR="00A66633" w14:paraId="0BA9D914" w14:textId="77777777" w:rsidTr="00781624">
        <w:tc>
          <w:tcPr>
            <w:tcW w:w="2302" w:type="dxa"/>
            <w:tcBorders>
              <w:top w:val="single" w:sz="4" w:space="0" w:color="auto"/>
              <w:left w:val="nil"/>
              <w:right w:val="nil"/>
            </w:tcBorders>
          </w:tcPr>
          <w:p w14:paraId="1D9C92A8" w14:textId="77777777" w:rsidR="00A66633" w:rsidRDefault="00A66633" w:rsidP="00A96D2B">
            <w:pPr>
              <w:tabs>
                <w:tab w:val="left" w:pos="4536"/>
              </w:tabs>
            </w:pPr>
            <w:r>
              <w:t>None Listed</w:t>
            </w:r>
          </w:p>
          <w:p w14:paraId="5A4B4E70" w14:textId="77777777" w:rsidR="00781624" w:rsidRDefault="00781624" w:rsidP="00A96D2B">
            <w:pPr>
              <w:tabs>
                <w:tab w:val="left" w:pos="4536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</w:tcPr>
          <w:p w14:paraId="160CFF46" w14:textId="77777777" w:rsidR="00A66633" w:rsidRDefault="00A66633" w:rsidP="00A96D2B">
            <w:pPr>
              <w:tabs>
                <w:tab w:val="left" w:pos="4536"/>
              </w:tabs>
            </w:pPr>
          </w:p>
        </w:tc>
      </w:tr>
    </w:tbl>
    <w:p w14:paraId="34796A8F" w14:textId="77777777" w:rsidR="00A66633" w:rsidRDefault="00A66633" w:rsidP="00A66633">
      <w:pPr>
        <w:tabs>
          <w:tab w:val="left" w:pos="1985"/>
        </w:tabs>
        <w:rPr>
          <w:b/>
        </w:rPr>
      </w:pPr>
    </w:p>
    <w:p w14:paraId="1DD836DA" w14:textId="721990CA" w:rsidR="00E216A7" w:rsidRPr="00E216A7" w:rsidRDefault="00DD05AF" w:rsidP="00A66633">
      <w:pPr>
        <w:tabs>
          <w:tab w:val="left" w:pos="1985"/>
        </w:tabs>
        <w:rPr>
          <w:b/>
          <w:bCs/>
        </w:rPr>
      </w:pPr>
      <w:r>
        <w:rPr>
          <w:b/>
        </w:rPr>
        <w:t>C</w:t>
      </w:r>
      <w:r w:rsidR="00E216A7">
        <w:rPr>
          <w:b/>
        </w:rPr>
        <w:t xml:space="preserve">ritically </w:t>
      </w:r>
      <w:r>
        <w:rPr>
          <w:b/>
        </w:rPr>
        <w:t>E</w:t>
      </w:r>
      <w:r w:rsidR="00E216A7">
        <w:rPr>
          <w:b/>
        </w:rPr>
        <w:t xml:space="preserve">ndangered </w:t>
      </w:r>
    </w:p>
    <w:p w14:paraId="0ABD10FB" w14:textId="77777777" w:rsidR="00E216A7" w:rsidRDefault="00E216A7" w:rsidP="00E216A7">
      <w:pPr>
        <w:ind w:left="851" w:right="1134"/>
      </w:pPr>
    </w:p>
    <w:tbl>
      <w:tblPr>
        <w:tblW w:w="75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4"/>
        <w:gridCol w:w="2268"/>
        <w:gridCol w:w="5245"/>
      </w:tblGrid>
      <w:tr w:rsidR="00E216A7" w14:paraId="00D171EA" w14:textId="77777777" w:rsidTr="00781624">
        <w:tc>
          <w:tcPr>
            <w:tcW w:w="23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41211D" w14:textId="673C7765" w:rsidR="00E216A7" w:rsidRDefault="005940FC" w:rsidP="00E216A7">
            <w:pPr>
              <w:tabs>
                <w:tab w:val="left" w:pos="4536"/>
              </w:tabs>
            </w:pPr>
            <w:r>
              <w:t>N</w:t>
            </w:r>
            <w:r w:rsidR="00E216A7">
              <w:t>ame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0044A" w14:textId="3B26C9EF" w:rsidR="00E216A7" w:rsidRDefault="005940FC" w:rsidP="00781624">
            <w:pPr>
              <w:ind w:right="-108"/>
            </w:pPr>
            <w:r>
              <w:t>Description</w:t>
            </w:r>
          </w:p>
        </w:tc>
      </w:tr>
      <w:tr w:rsidR="00F21988" w14:paraId="61CA1334" w14:textId="77777777" w:rsidTr="0078162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2268" w:type="dxa"/>
            <w:hideMark/>
          </w:tcPr>
          <w:p w14:paraId="355A9F48" w14:textId="77777777" w:rsidR="00F21988" w:rsidRDefault="00F21988" w:rsidP="00FE3370">
            <w:pPr>
              <w:tabs>
                <w:tab w:val="left" w:pos="4536"/>
              </w:tabs>
              <w:ind w:left="-74"/>
            </w:pPr>
            <w:r>
              <w:t>Natural Temperate Grassland</w:t>
            </w:r>
          </w:p>
        </w:tc>
        <w:tc>
          <w:tcPr>
            <w:tcW w:w="5245" w:type="dxa"/>
            <w:hideMark/>
          </w:tcPr>
          <w:p w14:paraId="709D68CA" w14:textId="1AB300D7" w:rsidR="00F21988" w:rsidRDefault="00F21988" w:rsidP="00F21988">
            <w:pPr>
              <w:tabs>
                <w:tab w:val="left" w:pos="4536"/>
              </w:tabs>
              <w:ind w:left="-74"/>
            </w:pPr>
            <w:r w:rsidRPr="00F21988">
              <w:t xml:space="preserve">The ACT Natural Temperate Grassland ecological community is consistent with the ‘Natural Temperate Grassland of the South Eastern Highlands’ ecological community listed under the </w:t>
            </w:r>
            <w:r w:rsidRPr="00F21988">
              <w:rPr>
                <w:i/>
              </w:rPr>
              <w:t>Environment Protection and Biodiversity Conservation Act 1999</w:t>
            </w:r>
            <w:r w:rsidRPr="00F21988">
              <w:t>. The ecological community in the ACT predominantly occurs on plains at altitudes up to approximately 1200 m. It is a naturally treeless or sparsely treed community characterised by a dominance of n</w:t>
            </w:r>
            <w:r w:rsidR="00853CD4">
              <w:t>ative perennial tussock g</w:t>
            </w:r>
            <w:r w:rsidR="00781624">
              <w:t>rasses</w:t>
            </w:r>
            <w:r w:rsidR="00853CD4">
              <w:t>.</w:t>
            </w:r>
            <w:r w:rsidR="00781624">
              <w:t xml:space="preserve"> </w:t>
            </w:r>
            <w:r w:rsidR="00781624" w:rsidRPr="00781624">
              <w:t>The tallest stratum is typically up to 1.0 m in height, when present. There is usually a second, lower stratum of shorter perennial and annual grasses and forbs growing between the taller tussocks, and there may be a third discontinuous stratum of even smaller forbs, grasses and cryptogams. Sedges and rushes may also occur, particularly in seasonally wet areas. The community may contain a tree and shrub stratum, with up to 10% projective foliage cover.</w:t>
            </w:r>
          </w:p>
        </w:tc>
      </w:tr>
      <w:tr w:rsidR="00F21988" w14:paraId="28470285" w14:textId="77777777" w:rsidTr="0078162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2268" w:type="dxa"/>
          </w:tcPr>
          <w:p w14:paraId="204F9B9E" w14:textId="77777777" w:rsidR="00F21988" w:rsidRDefault="00F21988" w:rsidP="00FE3370">
            <w:pPr>
              <w:tabs>
                <w:tab w:val="left" w:pos="4536"/>
              </w:tabs>
              <w:ind w:left="-74"/>
            </w:pPr>
          </w:p>
        </w:tc>
        <w:tc>
          <w:tcPr>
            <w:tcW w:w="5245" w:type="dxa"/>
          </w:tcPr>
          <w:p w14:paraId="2911BB31" w14:textId="77777777" w:rsidR="00F21988" w:rsidRDefault="00F21988" w:rsidP="00FE3370">
            <w:pPr>
              <w:tabs>
                <w:tab w:val="left" w:pos="4536"/>
              </w:tabs>
              <w:ind w:left="-74"/>
            </w:pPr>
          </w:p>
        </w:tc>
      </w:tr>
      <w:tr w:rsidR="00F21988" w14:paraId="1A670D4B" w14:textId="77777777" w:rsidTr="0078162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2268" w:type="dxa"/>
            <w:hideMark/>
          </w:tcPr>
          <w:p w14:paraId="4738793D" w14:textId="621BD305" w:rsidR="00F21988" w:rsidRDefault="00F21988" w:rsidP="00FE3370">
            <w:pPr>
              <w:tabs>
                <w:tab w:val="left" w:pos="4536"/>
              </w:tabs>
              <w:ind w:left="-74"/>
            </w:pPr>
            <w:r>
              <w:t>Yellow Box – Blakely’s Red Gum Grassy Woodland</w:t>
            </w:r>
          </w:p>
        </w:tc>
        <w:tc>
          <w:tcPr>
            <w:tcW w:w="5245" w:type="dxa"/>
            <w:hideMark/>
          </w:tcPr>
          <w:p w14:paraId="5C8FF997" w14:textId="471ED6EE" w:rsidR="00853CD4" w:rsidRDefault="00853CD4" w:rsidP="00781624">
            <w:pPr>
              <w:tabs>
                <w:tab w:val="left" w:pos="4536"/>
              </w:tabs>
              <w:ind w:left="-74"/>
            </w:pPr>
            <w:r w:rsidRPr="00853CD4">
              <w:t xml:space="preserve">The ACT Yellow Box – Blakely’s Red Gum Grassy Woodland ecological community is consistent with the ‘White Box – Yellow Box – Blakely’s Red Gum Grassy Woodland and Derived Native Grassland’ ecological community listed under the </w:t>
            </w:r>
            <w:r w:rsidRPr="00853CD4">
              <w:rPr>
                <w:i/>
              </w:rPr>
              <w:t>Environment Protection and Biodiversity Conservation Act 1999</w:t>
            </w:r>
            <w:r w:rsidRPr="00853CD4">
              <w:t>. The ecological community in the ACT is dominated by Yellow Box (</w:t>
            </w:r>
            <w:r w:rsidRPr="00853CD4">
              <w:rPr>
                <w:i/>
              </w:rPr>
              <w:t>Eucalyptus melliodora</w:t>
            </w:r>
            <w:r w:rsidRPr="00853CD4">
              <w:t>) and/or Blakely’s Red Gum (</w:t>
            </w:r>
            <w:r w:rsidRPr="00853CD4">
              <w:rPr>
                <w:i/>
              </w:rPr>
              <w:t>Eucalyptus blakelyi</w:t>
            </w:r>
            <w:r w:rsidRPr="00853CD4">
              <w:t>); with Apple Box (</w:t>
            </w:r>
            <w:r w:rsidRPr="00853CD4">
              <w:rPr>
                <w:i/>
              </w:rPr>
              <w:t>Eucalyptus bridgesiana</w:t>
            </w:r>
            <w:r w:rsidRPr="00853CD4">
              <w:t>) and Candlebark (</w:t>
            </w:r>
            <w:r w:rsidRPr="00853CD4">
              <w:rPr>
                <w:i/>
              </w:rPr>
              <w:t>Eucalyptus rubida</w:t>
            </w:r>
            <w:r w:rsidRPr="00853CD4">
              <w:t>) the most common co-dominant trees.  The community has a species-rich understorey of native tussock grasses, herbs and scattered shrubs.</w:t>
            </w:r>
            <w:r w:rsidR="00781624">
              <w:t xml:space="preserve"> </w:t>
            </w:r>
            <w:r w:rsidR="00781624" w:rsidRPr="00781624">
              <w:t xml:space="preserve">Remnants of the community in good condition have a ground cover dominated (50% or more of the perennial species) by native grasses and forbs. Derived (secondary) grasslands </w:t>
            </w:r>
            <w:r w:rsidR="00781624" w:rsidRPr="00781624">
              <w:lastRenderedPageBreak/>
              <w:t>develop when the tree canopy cover is removed (or suffers dieback) but a relatively diverse understorey remains intact.</w:t>
            </w:r>
          </w:p>
        </w:tc>
      </w:tr>
    </w:tbl>
    <w:p w14:paraId="3DA1DFF0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p w14:paraId="0618CBDD" w14:textId="59D54C28" w:rsidR="00E216A7" w:rsidRDefault="00DD05AF" w:rsidP="00E216A7">
      <w:pPr>
        <w:tabs>
          <w:tab w:val="left" w:pos="1985"/>
        </w:tabs>
        <w:rPr>
          <w:b/>
        </w:rPr>
      </w:pPr>
      <w:r>
        <w:rPr>
          <w:b/>
        </w:rPr>
        <w:t>E</w:t>
      </w:r>
      <w:r w:rsidR="00E216A7">
        <w:rPr>
          <w:b/>
        </w:rPr>
        <w:t>ndangered</w:t>
      </w:r>
    </w:p>
    <w:p w14:paraId="00519051" w14:textId="77777777" w:rsidR="00EC69C0" w:rsidRDefault="00EC69C0" w:rsidP="00E216A7">
      <w:pPr>
        <w:tabs>
          <w:tab w:val="left" w:pos="1985"/>
        </w:tabs>
      </w:pPr>
    </w:p>
    <w:tbl>
      <w:tblPr>
        <w:tblW w:w="75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4"/>
        <w:gridCol w:w="2268"/>
        <w:gridCol w:w="5245"/>
      </w:tblGrid>
      <w:tr w:rsidR="00E216A7" w14:paraId="71CC9493" w14:textId="77777777" w:rsidTr="00781624">
        <w:tc>
          <w:tcPr>
            <w:tcW w:w="23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1A1B49" w14:textId="08E0D042" w:rsidR="00E216A7" w:rsidRDefault="005940FC" w:rsidP="00E216A7">
            <w:pPr>
              <w:tabs>
                <w:tab w:val="left" w:pos="4536"/>
              </w:tabs>
            </w:pPr>
            <w:r>
              <w:t>Name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95B1A4" w14:textId="79AEAF8D" w:rsidR="00E216A7" w:rsidRDefault="005940FC" w:rsidP="00AA6328">
            <w:pPr>
              <w:tabs>
                <w:tab w:val="left" w:pos="4536"/>
              </w:tabs>
              <w:ind w:left="-108"/>
            </w:pPr>
            <w:r>
              <w:t>Description</w:t>
            </w:r>
          </w:p>
        </w:tc>
      </w:tr>
      <w:tr w:rsidR="00AA6328" w14:paraId="01C2BB8D" w14:textId="77777777" w:rsidTr="0078162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2268" w:type="dxa"/>
          </w:tcPr>
          <w:p w14:paraId="202E06F3" w14:textId="77777777" w:rsidR="00AA6328" w:rsidRDefault="00AA6328" w:rsidP="00AA6328">
            <w:pPr>
              <w:tabs>
                <w:tab w:val="left" w:pos="4536"/>
              </w:tabs>
              <w:ind w:left="-74"/>
            </w:pPr>
          </w:p>
        </w:tc>
        <w:tc>
          <w:tcPr>
            <w:tcW w:w="5245" w:type="dxa"/>
          </w:tcPr>
          <w:p w14:paraId="20CD5F03" w14:textId="77777777" w:rsidR="00AA6328" w:rsidRDefault="00AA6328" w:rsidP="00AA6328">
            <w:pPr>
              <w:tabs>
                <w:tab w:val="left" w:pos="4536"/>
              </w:tabs>
              <w:ind w:left="-74"/>
            </w:pPr>
          </w:p>
        </w:tc>
      </w:tr>
      <w:tr w:rsidR="00AA6328" w14:paraId="06995F05" w14:textId="77777777" w:rsidTr="0078162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2268" w:type="dxa"/>
          </w:tcPr>
          <w:p w14:paraId="735A9DF8" w14:textId="2F5675EF" w:rsidR="00AA6328" w:rsidRDefault="00AA6328" w:rsidP="00AA6328">
            <w:pPr>
              <w:tabs>
                <w:tab w:val="left" w:pos="4536"/>
              </w:tabs>
              <w:ind w:left="-74"/>
            </w:pPr>
            <w:r>
              <w:t>High Country Bogs and Associated Fens</w:t>
            </w:r>
          </w:p>
        </w:tc>
        <w:tc>
          <w:tcPr>
            <w:tcW w:w="5245" w:type="dxa"/>
          </w:tcPr>
          <w:p w14:paraId="766B1F36" w14:textId="041FEDAD" w:rsidR="00AA6328" w:rsidRDefault="00F21988" w:rsidP="00781624">
            <w:pPr>
              <w:ind w:left="-74"/>
            </w:pPr>
            <w:r>
              <w:t xml:space="preserve">The </w:t>
            </w:r>
            <w:r w:rsidR="00AA6328" w:rsidRPr="00AA6328">
              <w:t xml:space="preserve">ACT High Country Bogs and Associated Fens </w:t>
            </w:r>
            <w:r>
              <w:t xml:space="preserve">ecological </w:t>
            </w:r>
            <w:r w:rsidR="00AA6328" w:rsidRPr="00AA6328">
              <w:t>communit</w:t>
            </w:r>
            <w:r w:rsidR="00BE4A54">
              <w:t>y</w:t>
            </w:r>
            <w:r w:rsidR="00AA6328" w:rsidRPr="00AA6328">
              <w:t xml:space="preserve"> </w:t>
            </w:r>
            <w:r w:rsidR="00BE4A54">
              <w:t>is</w:t>
            </w:r>
            <w:r w:rsidR="00AA6328" w:rsidRPr="00AA6328">
              <w:t xml:space="preserve"> consistent with the </w:t>
            </w:r>
            <w:r w:rsidR="00853CD4">
              <w:t>‘</w:t>
            </w:r>
            <w:r w:rsidR="00AA6328" w:rsidRPr="00AA6328">
              <w:t>Alpine Sphagnum Bogs and Associated Fens</w:t>
            </w:r>
            <w:r w:rsidR="00853CD4">
              <w:t>’</w:t>
            </w:r>
            <w:r w:rsidR="00AA6328" w:rsidRPr="00AA6328">
              <w:t xml:space="preserve"> ecological community listed nationally under the </w:t>
            </w:r>
            <w:r w:rsidR="00AA6328" w:rsidRPr="00962AF4">
              <w:rPr>
                <w:i/>
              </w:rPr>
              <w:t>E</w:t>
            </w:r>
            <w:r w:rsidR="00962AF4" w:rsidRPr="00962AF4">
              <w:rPr>
                <w:i/>
              </w:rPr>
              <w:t xml:space="preserve">nvironment </w:t>
            </w:r>
            <w:r w:rsidR="00AA6328" w:rsidRPr="00962AF4">
              <w:rPr>
                <w:i/>
              </w:rPr>
              <w:t>P</w:t>
            </w:r>
            <w:r w:rsidR="00962AF4" w:rsidRPr="00962AF4">
              <w:rPr>
                <w:i/>
              </w:rPr>
              <w:t xml:space="preserve">rotection </w:t>
            </w:r>
            <w:r w:rsidR="00962AF4">
              <w:rPr>
                <w:i/>
              </w:rPr>
              <w:t xml:space="preserve">and </w:t>
            </w:r>
            <w:r w:rsidR="00AA6328" w:rsidRPr="00962AF4">
              <w:rPr>
                <w:i/>
              </w:rPr>
              <w:t>B</w:t>
            </w:r>
            <w:r w:rsidR="00962AF4" w:rsidRPr="00962AF4">
              <w:rPr>
                <w:i/>
              </w:rPr>
              <w:t xml:space="preserve">iodiversity </w:t>
            </w:r>
            <w:r w:rsidR="00AA6328" w:rsidRPr="00962AF4">
              <w:rPr>
                <w:i/>
              </w:rPr>
              <w:t>C</w:t>
            </w:r>
            <w:r w:rsidR="00962AF4" w:rsidRPr="00962AF4">
              <w:rPr>
                <w:i/>
              </w:rPr>
              <w:t>onservation</w:t>
            </w:r>
            <w:r w:rsidR="00AA6328" w:rsidRPr="00962AF4">
              <w:rPr>
                <w:i/>
              </w:rPr>
              <w:t xml:space="preserve"> Act</w:t>
            </w:r>
            <w:r w:rsidR="00962AF4" w:rsidRPr="00962AF4">
              <w:rPr>
                <w:i/>
              </w:rPr>
              <w:t xml:space="preserve"> 1999</w:t>
            </w:r>
            <w:r w:rsidR="00BE4A54">
              <w:t xml:space="preserve"> but includes some bogs and fens at lower elevation.  The </w:t>
            </w:r>
            <w:r w:rsidR="00BE4A54" w:rsidRPr="00AA6328">
              <w:t xml:space="preserve">ACT High Country Bogs and Associated Fens </w:t>
            </w:r>
            <w:r w:rsidR="00962AF4">
              <w:t xml:space="preserve">community is </w:t>
            </w:r>
            <w:r w:rsidR="00962AF4" w:rsidRPr="00962AF4">
              <w:t xml:space="preserve">defined by </w:t>
            </w:r>
            <w:r w:rsidR="00701BB4" w:rsidRPr="00962AF4">
              <w:t xml:space="preserve">a peat substratum </w:t>
            </w:r>
            <w:r w:rsidR="00701BB4">
              <w:t xml:space="preserve">on </w:t>
            </w:r>
            <w:r w:rsidR="00DF32BF">
              <w:t xml:space="preserve">which </w:t>
            </w:r>
            <w:r w:rsidR="00DF32BF" w:rsidRPr="00242E91">
              <w:rPr>
                <w:i/>
                <w:iCs/>
              </w:rPr>
              <w:t>Sphagnum</w:t>
            </w:r>
            <w:r w:rsidR="00962AF4" w:rsidRPr="00962AF4">
              <w:rPr>
                <w:i/>
              </w:rPr>
              <w:t xml:space="preserve"> </w:t>
            </w:r>
            <w:r w:rsidR="00962AF4" w:rsidRPr="00701C6C">
              <w:rPr>
                <w:iCs/>
              </w:rPr>
              <w:t>spp</w:t>
            </w:r>
            <w:r w:rsidR="00962AF4" w:rsidRPr="00962AF4">
              <w:t xml:space="preserve">. </w:t>
            </w:r>
            <w:r w:rsidR="00701BB4">
              <w:t>may or may not occur</w:t>
            </w:r>
            <w:r w:rsidR="00962AF4" w:rsidRPr="00962AF4">
              <w:t xml:space="preserve">. </w:t>
            </w:r>
            <w:r w:rsidR="003B43A9" w:rsidRPr="003B43A9">
              <w:rPr>
                <w:i/>
                <w:iCs/>
              </w:rPr>
              <w:t>Sphagnum</w:t>
            </w:r>
            <w:r w:rsidR="003B43A9">
              <w:t xml:space="preserve"> </w:t>
            </w:r>
            <w:r w:rsidR="00701C6C">
              <w:t xml:space="preserve">spp. </w:t>
            </w:r>
            <w:r w:rsidR="003B43A9">
              <w:t>do not generally occur</w:t>
            </w:r>
            <w:r w:rsidR="00701BB4">
              <w:t xml:space="preserve"> in fens as conditions do not favour growth</w:t>
            </w:r>
            <w:r w:rsidR="00701C6C">
              <w:t xml:space="preserve"> and may </w:t>
            </w:r>
            <w:r w:rsidR="00701C6C" w:rsidRPr="00701C6C">
              <w:t xml:space="preserve">not always </w:t>
            </w:r>
            <w:r w:rsidR="00701C6C">
              <w:t xml:space="preserve">be </w:t>
            </w:r>
            <w:r w:rsidR="00701C6C" w:rsidRPr="00701C6C">
              <w:t>a major floristic component</w:t>
            </w:r>
            <w:r w:rsidR="00701C6C">
              <w:t xml:space="preserve"> of bogs due to </w:t>
            </w:r>
            <w:r w:rsidR="00701C6C" w:rsidRPr="00701C6C">
              <w:t>disturbance</w:t>
            </w:r>
            <w:r w:rsidR="00701C6C">
              <w:t xml:space="preserve"> resulting in depletion or loss</w:t>
            </w:r>
            <w:r w:rsidR="00701BB4">
              <w:t>.</w:t>
            </w:r>
            <w:r w:rsidR="003B43A9">
              <w:t xml:space="preserve"> </w:t>
            </w:r>
            <w:r w:rsidR="00962AF4" w:rsidRPr="00962AF4">
              <w:t xml:space="preserve">In these cases, the site </w:t>
            </w:r>
            <w:r w:rsidR="00BE4A54">
              <w:t>is</w:t>
            </w:r>
            <w:r w:rsidR="00962AF4" w:rsidRPr="00962AF4">
              <w:t xml:space="preserve"> considered part of the community if other key species are present (see </w:t>
            </w:r>
            <w:r w:rsidR="00962AF4">
              <w:t>Conservation Advice</w:t>
            </w:r>
            <w:r w:rsidR="00962AF4" w:rsidRPr="00962AF4">
              <w:t>) and a peat substratum is evident.</w:t>
            </w:r>
          </w:p>
        </w:tc>
      </w:tr>
    </w:tbl>
    <w:p w14:paraId="28162198" w14:textId="77777777" w:rsidR="009032A4" w:rsidRDefault="009032A4" w:rsidP="00B3349A">
      <w:pPr>
        <w:rPr>
          <w:b/>
        </w:rPr>
      </w:pPr>
    </w:p>
    <w:p w14:paraId="2D6770DC" w14:textId="21CF82BB" w:rsidR="00E216A7" w:rsidRDefault="00DD05AF" w:rsidP="009564DA">
      <w:pPr>
        <w:keepNext/>
        <w:rPr>
          <w:b/>
          <w:bCs/>
        </w:rPr>
      </w:pPr>
      <w:r>
        <w:rPr>
          <w:b/>
        </w:rPr>
        <w:t>V</w:t>
      </w:r>
      <w:r w:rsidR="00E216A7">
        <w:rPr>
          <w:b/>
        </w:rPr>
        <w:t>ulnerable</w:t>
      </w:r>
    </w:p>
    <w:p w14:paraId="7461697B" w14:textId="77777777" w:rsidR="00E216A7" w:rsidRDefault="00E216A7" w:rsidP="00E216A7">
      <w:pPr>
        <w:ind w:left="851" w:right="1134" w:hanging="425"/>
      </w:pPr>
    </w:p>
    <w:tbl>
      <w:tblPr>
        <w:tblW w:w="75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60"/>
        <w:gridCol w:w="5387"/>
      </w:tblGrid>
      <w:tr w:rsidR="00E216A7" w14:paraId="349E5A74" w14:textId="77777777" w:rsidTr="00781624"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18916A" w14:textId="2F94B400" w:rsidR="00E216A7" w:rsidRDefault="005940FC" w:rsidP="00E216A7">
            <w:pPr>
              <w:tabs>
                <w:tab w:val="left" w:pos="4536"/>
              </w:tabs>
            </w:pPr>
            <w:r>
              <w:t>N</w:t>
            </w:r>
            <w:r w:rsidR="00E216A7">
              <w:t>ame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8F618E" w14:textId="3ADC0C76" w:rsidR="00E216A7" w:rsidRDefault="005940FC" w:rsidP="00781624">
            <w:r>
              <w:t>Description</w:t>
            </w:r>
          </w:p>
        </w:tc>
      </w:tr>
      <w:tr w:rsidR="00E216A7" w14:paraId="5814A0FB" w14:textId="77777777" w:rsidTr="0078162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00F420" w14:textId="26D6CFF4" w:rsidR="00E216A7" w:rsidRDefault="005940FC" w:rsidP="00E216A7">
            <w:pPr>
              <w:tabs>
                <w:tab w:val="left" w:pos="4536"/>
              </w:tabs>
            </w:pPr>
            <w:r>
              <w:t>None Listed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A23D40" w14:textId="7B8CD690" w:rsidR="00E216A7" w:rsidRDefault="00E216A7" w:rsidP="00781624"/>
        </w:tc>
      </w:tr>
    </w:tbl>
    <w:p w14:paraId="79477B26" w14:textId="77777777" w:rsidR="008936B5" w:rsidRDefault="008936B5">
      <w:pPr>
        <w:tabs>
          <w:tab w:val="left" w:pos="4320"/>
        </w:tabs>
      </w:pPr>
    </w:p>
    <w:p w14:paraId="25138EF9" w14:textId="0AB0D4A6" w:rsidR="00A66633" w:rsidRDefault="00A66633" w:rsidP="00A66633">
      <w:pPr>
        <w:keepNext/>
        <w:rPr>
          <w:b/>
          <w:bCs/>
        </w:rPr>
      </w:pPr>
      <w:r>
        <w:rPr>
          <w:b/>
        </w:rPr>
        <w:t>Provisional</w:t>
      </w:r>
    </w:p>
    <w:p w14:paraId="7A609D27" w14:textId="77777777" w:rsidR="00A66633" w:rsidRDefault="00A66633" w:rsidP="00A66633">
      <w:pPr>
        <w:ind w:left="851" w:right="1134" w:hanging="425"/>
      </w:pPr>
    </w:p>
    <w:tbl>
      <w:tblPr>
        <w:tblW w:w="75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60"/>
        <w:gridCol w:w="567"/>
        <w:gridCol w:w="4678"/>
        <w:gridCol w:w="142"/>
      </w:tblGrid>
      <w:tr w:rsidR="00A66633" w14:paraId="54244DDB" w14:textId="77777777" w:rsidTr="00781624"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79D1EF" w14:textId="77777777" w:rsidR="00A66633" w:rsidRDefault="00A66633" w:rsidP="00A96D2B">
            <w:pPr>
              <w:tabs>
                <w:tab w:val="left" w:pos="4536"/>
              </w:tabs>
            </w:pPr>
            <w:r>
              <w:t>Name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77A5E6" w14:textId="77777777" w:rsidR="00A66633" w:rsidRDefault="00A66633" w:rsidP="00781624">
            <w:r>
              <w:t>Description</w:t>
            </w:r>
          </w:p>
        </w:tc>
      </w:tr>
      <w:tr w:rsidR="00A66633" w14:paraId="3C9C5E99" w14:textId="77777777" w:rsidTr="00781624">
        <w:trPr>
          <w:gridAfter w:val="1"/>
          <w:wAfter w:w="142" w:type="dxa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BBA94" w14:textId="77777777" w:rsidR="00A66633" w:rsidRDefault="00A66633" w:rsidP="00A96D2B">
            <w:pPr>
              <w:tabs>
                <w:tab w:val="left" w:pos="4536"/>
              </w:tabs>
            </w:pPr>
            <w:r>
              <w:t>None Listed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5C18873" w14:textId="77777777" w:rsidR="00A66633" w:rsidRDefault="00A66633" w:rsidP="00781624"/>
        </w:tc>
      </w:tr>
    </w:tbl>
    <w:p w14:paraId="15B46D0D" w14:textId="77777777" w:rsidR="00A66633" w:rsidRDefault="00A66633">
      <w:pPr>
        <w:tabs>
          <w:tab w:val="left" w:pos="4320"/>
        </w:tabs>
      </w:pPr>
    </w:p>
    <w:sectPr w:rsidR="00A66633" w:rsidSect="00163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992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53B7" w14:textId="77777777" w:rsidR="00965000" w:rsidRDefault="00965000">
      <w:r>
        <w:separator/>
      </w:r>
    </w:p>
  </w:endnote>
  <w:endnote w:type="continuationSeparator" w:id="0">
    <w:p w14:paraId="55A788F3" w14:textId="77777777" w:rsidR="00965000" w:rsidRDefault="009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49C2" w14:textId="77777777" w:rsidR="0020511A" w:rsidRDefault="00205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FCB2" w14:textId="34E8677E" w:rsidR="00285A42" w:rsidRPr="0020511A" w:rsidRDefault="0020511A" w:rsidP="0020511A">
    <w:pPr>
      <w:pStyle w:val="Footer"/>
      <w:spacing w:before="0" w:after="0" w:line="240" w:lineRule="auto"/>
      <w:jc w:val="center"/>
      <w:rPr>
        <w:rFonts w:cs="Arial"/>
        <w:sz w:val="14"/>
      </w:rPr>
    </w:pPr>
    <w:r w:rsidRPr="002051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A80E" w14:textId="3AE86082" w:rsidR="00285A42" w:rsidRDefault="00163B9A" w:rsidP="00163B9A">
    <w:pPr>
      <w:pStyle w:val="Footer"/>
      <w:rPr>
        <w:rFonts w:cs="Arial"/>
      </w:rPr>
    </w:pPr>
    <w:r w:rsidRPr="00163B9A">
      <w:rPr>
        <w:rFonts w:cs="Arial"/>
      </w:rPr>
      <w:t>*Name amended under Legislation Act, s 60</w:t>
    </w:r>
  </w:p>
  <w:p w14:paraId="7FCB1D16" w14:textId="00FAE9CF" w:rsidR="00163B9A" w:rsidRPr="0020511A" w:rsidRDefault="0020511A" w:rsidP="0020511A">
    <w:pPr>
      <w:pStyle w:val="Footer"/>
      <w:jc w:val="center"/>
      <w:rPr>
        <w:rFonts w:cs="Arial"/>
        <w:sz w:val="14"/>
        <w:szCs w:val="16"/>
      </w:rPr>
    </w:pPr>
    <w:r w:rsidRPr="0020511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30037" w14:textId="77777777" w:rsidR="00965000" w:rsidRDefault="00965000">
      <w:r>
        <w:separator/>
      </w:r>
    </w:p>
  </w:footnote>
  <w:footnote w:type="continuationSeparator" w:id="0">
    <w:p w14:paraId="33E90451" w14:textId="77777777" w:rsidR="00965000" w:rsidRDefault="0096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E111" w14:textId="77777777" w:rsidR="0020511A" w:rsidRDefault="00205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1FF2" w14:textId="77777777" w:rsidR="0020511A" w:rsidRDefault="00205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626E" w14:textId="77777777" w:rsidR="0020511A" w:rsidRDefault="00205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376817"/>
    <w:multiLevelType w:val="hybridMultilevel"/>
    <w:tmpl w:val="226E46FA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565431"/>
    <w:multiLevelType w:val="hybridMultilevel"/>
    <w:tmpl w:val="27B6DF3E"/>
    <w:lvl w:ilvl="0" w:tplc="E94CAA0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0911CDF"/>
    <w:multiLevelType w:val="multilevel"/>
    <w:tmpl w:val="97D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B847B81"/>
    <w:multiLevelType w:val="hybridMultilevel"/>
    <w:tmpl w:val="A190A4E2"/>
    <w:lvl w:ilvl="0" w:tplc="E94CAA0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5C1810"/>
    <w:multiLevelType w:val="hybridMultilevel"/>
    <w:tmpl w:val="6966ECC2"/>
    <w:lvl w:ilvl="0" w:tplc="5BB8FF32">
      <w:start w:val="1"/>
      <w:numFmt w:val="decimal"/>
      <w:pStyle w:val="Brieftext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F00AEA2">
      <w:start w:val="1"/>
      <w:numFmt w:val="lowerLetter"/>
      <w:lvlText w:val="%2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2D9A"/>
    <w:rsid w:val="00027423"/>
    <w:rsid w:val="00034363"/>
    <w:rsid w:val="0005123D"/>
    <w:rsid w:val="0005551D"/>
    <w:rsid w:val="000615AE"/>
    <w:rsid w:val="00064A64"/>
    <w:rsid w:val="00084AE4"/>
    <w:rsid w:val="000A04F0"/>
    <w:rsid w:val="000B41A3"/>
    <w:rsid w:val="000C3F02"/>
    <w:rsid w:val="000C3FAA"/>
    <w:rsid w:val="000D0EFA"/>
    <w:rsid w:val="000D5A29"/>
    <w:rsid w:val="000F6109"/>
    <w:rsid w:val="00102DD1"/>
    <w:rsid w:val="0013521D"/>
    <w:rsid w:val="00141C76"/>
    <w:rsid w:val="00141E00"/>
    <w:rsid w:val="00146906"/>
    <w:rsid w:val="00147210"/>
    <w:rsid w:val="00152ED2"/>
    <w:rsid w:val="00163B9A"/>
    <w:rsid w:val="00176999"/>
    <w:rsid w:val="00194140"/>
    <w:rsid w:val="001B26ED"/>
    <w:rsid w:val="001B4373"/>
    <w:rsid w:val="001C2ABC"/>
    <w:rsid w:val="001C6E68"/>
    <w:rsid w:val="001D1A4F"/>
    <w:rsid w:val="001D1DED"/>
    <w:rsid w:val="001D2ADE"/>
    <w:rsid w:val="001D5980"/>
    <w:rsid w:val="001D6A3F"/>
    <w:rsid w:val="001E04B9"/>
    <w:rsid w:val="001F3A30"/>
    <w:rsid w:val="0020445C"/>
    <w:rsid w:val="0020511A"/>
    <w:rsid w:val="00216224"/>
    <w:rsid w:val="0022555F"/>
    <w:rsid w:val="00242E91"/>
    <w:rsid w:val="002431B5"/>
    <w:rsid w:val="0024354F"/>
    <w:rsid w:val="002636AE"/>
    <w:rsid w:val="00271F9D"/>
    <w:rsid w:val="00272EAF"/>
    <w:rsid w:val="002760AE"/>
    <w:rsid w:val="00277B47"/>
    <w:rsid w:val="00280FC1"/>
    <w:rsid w:val="00285A42"/>
    <w:rsid w:val="002D502A"/>
    <w:rsid w:val="002D5541"/>
    <w:rsid w:val="002D5606"/>
    <w:rsid w:val="002E71A7"/>
    <w:rsid w:val="00311004"/>
    <w:rsid w:val="00332CE4"/>
    <w:rsid w:val="003515F8"/>
    <w:rsid w:val="00353A88"/>
    <w:rsid w:val="00357036"/>
    <w:rsid w:val="00360716"/>
    <w:rsid w:val="00385C2D"/>
    <w:rsid w:val="00393977"/>
    <w:rsid w:val="003B1D84"/>
    <w:rsid w:val="003B43A9"/>
    <w:rsid w:val="003B6228"/>
    <w:rsid w:val="003D38A1"/>
    <w:rsid w:val="003F00A7"/>
    <w:rsid w:val="003F1266"/>
    <w:rsid w:val="00413A7E"/>
    <w:rsid w:val="004174DC"/>
    <w:rsid w:val="004179B9"/>
    <w:rsid w:val="00427917"/>
    <w:rsid w:val="00477189"/>
    <w:rsid w:val="00481405"/>
    <w:rsid w:val="00481D0C"/>
    <w:rsid w:val="00483F6A"/>
    <w:rsid w:val="004C67E1"/>
    <w:rsid w:val="004E3D97"/>
    <w:rsid w:val="0050701C"/>
    <w:rsid w:val="0051742B"/>
    <w:rsid w:val="005342E3"/>
    <w:rsid w:val="005627AB"/>
    <w:rsid w:val="00564E99"/>
    <w:rsid w:val="00573AAA"/>
    <w:rsid w:val="0057654A"/>
    <w:rsid w:val="00591F4D"/>
    <w:rsid w:val="005940FC"/>
    <w:rsid w:val="0059678C"/>
    <w:rsid w:val="00597A80"/>
    <w:rsid w:val="005A4F91"/>
    <w:rsid w:val="005B0850"/>
    <w:rsid w:val="005B13F5"/>
    <w:rsid w:val="005C3F4D"/>
    <w:rsid w:val="005C4B51"/>
    <w:rsid w:val="005C6304"/>
    <w:rsid w:val="005D1D3B"/>
    <w:rsid w:val="005D7429"/>
    <w:rsid w:val="005D77BA"/>
    <w:rsid w:val="005F1AE4"/>
    <w:rsid w:val="005F43B8"/>
    <w:rsid w:val="00601554"/>
    <w:rsid w:val="00604B7C"/>
    <w:rsid w:val="00604D6F"/>
    <w:rsid w:val="006153CD"/>
    <w:rsid w:val="0063001B"/>
    <w:rsid w:val="00630B00"/>
    <w:rsid w:val="00645242"/>
    <w:rsid w:val="00655F22"/>
    <w:rsid w:val="00663B31"/>
    <w:rsid w:val="00675050"/>
    <w:rsid w:val="00676E75"/>
    <w:rsid w:val="006819BB"/>
    <w:rsid w:val="00681AB1"/>
    <w:rsid w:val="00682E28"/>
    <w:rsid w:val="00683D3C"/>
    <w:rsid w:val="00690189"/>
    <w:rsid w:val="00690C88"/>
    <w:rsid w:val="006A179C"/>
    <w:rsid w:val="006C44E9"/>
    <w:rsid w:val="006D323D"/>
    <w:rsid w:val="006D330A"/>
    <w:rsid w:val="006F0FBF"/>
    <w:rsid w:val="00701BB4"/>
    <w:rsid w:val="00701C6C"/>
    <w:rsid w:val="007269B2"/>
    <w:rsid w:val="00731EF9"/>
    <w:rsid w:val="00743CCB"/>
    <w:rsid w:val="00746E8D"/>
    <w:rsid w:val="00753212"/>
    <w:rsid w:val="007745C5"/>
    <w:rsid w:val="00781624"/>
    <w:rsid w:val="007B1753"/>
    <w:rsid w:val="007E0960"/>
    <w:rsid w:val="007E1F92"/>
    <w:rsid w:val="007F7CFA"/>
    <w:rsid w:val="008252BD"/>
    <w:rsid w:val="00825323"/>
    <w:rsid w:val="00836790"/>
    <w:rsid w:val="00842A13"/>
    <w:rsid w:val="00853CD4"/>
    <w:rsid w:val="00857E91"/>
    <w:rsid w:val="0086343A"/>
    <w:rsid w:val="00872557"/>
    <w:rsid w:val="008936B5"/>
    <w:rsid w:val="00893CBD"/>
    <w:rsid w:val="00897DB6"/>
    <w:rsid w:val="008A0470"/>
    <w:rsid w:val="008C0096"/>
    <w:rsid w:val="008C5B94"/>
    <w:rsid w:val="008D196B"/>
    <w:rsid w:val="008D75E9"/>
    <w:rsid w:val="008E4AB2"/>
    <w:rsid w:val="008F1169"/>
    <w:rsid w:val="008F2BE6"/>
    <w:rsid w:val="008F72AD"/>
    <w:rsid w:val="009032A4"/>
    <w:rsid w:val="00911626"/>
    <w:rsid w:val="00941A31"/>
    <w:rsid w:val="00945563"/>
    <w:rsid w:val="00947CDB"/>
    <w:rsid w:val="009564DA"/>
    <w:rsid w:val="00962AF4"/>
    <w:rsid w:val="00965000"/>
    <w:rsid w:val="00965E24"/>
    <w:rsid w:val="00973F67"/>
    <w:rsid w:val="00985C60"/>
    <w:rsid w:val="009879A7"/>
    <w:rsid w:val="009C4695"/>
    <w:rsid w:val="009D04CD"/>
    <w:rsid w:val="00A3563F"/>
    <w:rsid w:val="00A534E7"/>
    <w:rsid w:val="00A538E3"/>
    <w:rsid w:val="00A6499B"/>
    <w:rsid w:val="00A66633"/>
    <w:rsid w:val="00A80831"/>
    <w:rsid w:val="00A9182C"/>
    <w:rsid w:val="00AA4FC0"/>
    <w:rsid w:val="00AA6328"/>
    <w:rsid w:val="00AB25F9"/>
    <w:rsid w:val="00AB2917"/>
    <w:rsid w:val="00AB2C80"/>
    <w:rsid w:val="00AC1D00"/>
    <w:rsid w:val="00AE3481"/>
    <w:rsid w:val="00AE4520"/>
    <w:rsid w:val="00AF1FC3"/>
    <w:rsid w:val="00AF4413"/>
    <w:rsid w:val="00B00AE1"/>
    <w:rsid w:val="00B1532C"/>
    <w:rsid w:val="00B178C2"/>
    <w:rsid w:val="00B21FF7"/>
    <w:rsid w:val="00B22AE1"/>
    <w:rsid w:val="00B30CB0"/>
    <w:rsid w:val="00B3349A"/>
    <w:rsid w:val="00B36F50"/>
    <w:rsid w:val="00B46238"/>
    <w:rsid w:val="00B653A9"/>
    <w:rsid w:val="00B71E1E"/>
    <w:rsid w:val="00B91819"/>
    <w:rsid w:val="00BB4A6E"/>
    <w:rsid w:val="00BB4B84"/>
    <w:rsid w:val="00BC19C1"/>
    <w:rsid w:val="00BC2E34"/>
    <w:rsid w:val="00BC371C"/>
    <w:rsid w:val="00BD4BA5"/>
    <w:rsid w:val="00BE29CA"/>
    <w:rsid w:val="00BE4A54"/>
    <w:rsid w:val="00BF590B"/>
    <w:rsid w:val="00BF7455"/>
    <w:rsid w:val="00C2789B"/>
    <w:rsid w:val="00C67710"/>
    <w:rsid w:val="00C716E9"/>
    <w:rsid w:val="00C77065"/>
    <w:rsid w:val="00C87196"/>
    <w:rsid w:val="00C87445"/>
    <w:rsid w:val="00CA10C0"/>
    <w:rsid w:val="00CA5E03"/>
    <w:rsid w:val="00CD2D0D"/>
    <w:rsid w:val="00CD47BE"/>
    <w:rsid w:val="00CE45CA"/>
    <w:rsid w:val="00CE7C4E"/>
    <w:rsid w:val="00D11071"/>
    <w:rsid w:val="00D118A4"/>
    <w:rsid w:val="00D27B75"/>
    <w:rsid w:val="00D7110E"/>
    <w:rsid w:val="00D828BD"/>
    <w:rsid w:val="00D93C46"/>
    <w:rsid w:val="00D950BE"/>
    <w:rsid w:val="00D974C0"/>
    <w:rsid w:val="00DA0B74"/>
    <w:rsid w:val="00DA6CDE"/>
    <w:rsid w:val="00DD05AF"/>
    <w:rsid w:val="00DD4CC4"/>
    <w:rsid w:val="00DD544E"/>
    <w:rsid w:val="00DE4E93"/>
    <w:rsid w:val="00DF32BF"/>
    <w:rsid w:val="00E1638B"/>
    <w:rsid w:val="00E216A7"/>
    <w:rsid w:val="00E25724"/>
    <w:rsid w:val="00E32E0B"/>
    <w:rsid w:val="00E35D51"/>
    <w:rsid w:val="00E37A54"/>
    <w:rsid w:val="00E619F3"/>
    <w:rsid w:val="00EC69C0"/>
    <w:rsid w:val="00ED6E9B"/>
    <w:rsid w:val="00ED7B5A"/>
    <w:rsid w:val="00EF1E91"/>
    <w:rsid w:val="00EF7E45"/>
    <w:rsid w:val="00F00E05"/>
    <w:rsid w:val="00F128FC"/>
    <w:rsid w:val="00F21851"/>
    <w:rsid w:val="00F21988"/>
    <w:rsid w:val="00F32DEC"/>
    <w:rsid w:val="00F342C2"/>
    <w:rsid w:val="00F6238C"/>
    <w:rsid w:val="00F6337D"/>
    <w:rsid w:val="00F64533"/>
    <w:rsid w:val="00F765EE"/>
    <w:rsid w:val="00F92193"/>
    <w:rsid w:val="00FC131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67BBAE"/>
  <w15:docId w15:val="{49877546-E21E-4B6B-B1AE-D054576A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6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4623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C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C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C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B4623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85C2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4623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557"/>
    <w:rPr>
      <w:rFonts w:ascii="Arial" w:hAnsi="Arial" w:cs="Times New Roman"/>
      <w:sz w:val="18"/>
      <w:lang w:eastAsia="en-US"/>
    </w:rPr>
  </w:style>
  <w:style w:type="paragraph" w:customStyle="1" w:styleId="Billname">
    <w:name w:val="Billname"/>
    <w:basedOn w:val="Normal"/>
    <w:rsid w:val="00B4623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4623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4623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46238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46238"/>
    <w:pPr>
      <w:tabs>
        <w:tab w:val="left" w:pos="2880"/>
      </w:tabs>
    </w:pPr>
  </w:style>
  <w:style w:type="paragraph" w:customStyle="1" w:styleId="Apara">
    <w:name w:val="A para"/>
    <w:basedOn w:val="Normal"/>
    <w:rsid w:val="00B46238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46238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46238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4623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4623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C2D"/>
    <w:rPr>
      <w:sz w:val="24"/>
      <w:lang w:eastAsia="en-US"/>
    </w:rPr>
  </w:style>
  <w:style w:type="paragraph" w:customStyle="1" w:styleId="ref">
    <w:name w:val="ref"/>
    <w:basedOn w:val="Normal"/>
    <w:next w:val="Normal"/>
    <w:rsid w:val="00B4623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46238"/>
    <w:rPr>
      <w:rFonts w:cs="Times New Roman"/>
    </w:rPr>
  </w:style>
  <w:style w:type="paragraph" w:customStyle="1" w:styleId="CoverInForce">
    <w:name w:val="CoverInForc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4623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4623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46238"/>
    <w:rPr>
      <w:rFonts w:cs="Times New Roman"/>
    </w:rPr>
  </w:style>
  <w:style w:type="paragraph" w:customStyle="1" w:styleId="Aparabullet">
    <w:name w:val="A para bullet"/>
    <w:basedOn w:val="Normal"/>
    <w:rsid w:val="00B4623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46238"/>
  </w:style>
  <w:style w:type="paragraph" w:styleId="TOC2">
    <w:name w:val="toc 2"/>
    <w:basedOn w:val="Normal"/>
    <w:next w:val="Normal"/>
    <w:autoRedefine/>
    <w:uiPriority w:val="39"/>
    <w:semiHidden/>
    <w:rsid w:val="00B4623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4623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4623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4623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4623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4623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4623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46238"/>
    <w:pPr>
      <w:ind w:left="1920"/>
    </w:pPr>
  </w:style>
  <w:style w:type="character" w:styleId="Hyperlink">
    <w:name w:val="Hyperlink"/>
    <w:basedOn w:val="DefaultParagraphFont"/>
    <w:uiPriority w:val="99"/>
    <w:rsid w:val="00B4623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623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C2D"/>
    <w:rPr>
      <w:sz w:val="24"/>
      <w:lang w:eastAsia="en-US"/>
    </w:rPr>
  </w:style>
  <w:style w:type="paragraph" w:customStyle="1" w:styleId="Minister">
    <w:name w:val="Minister"/>
    <w:basedOn w:val="Normal"/>
    <w:rsid w:val="00B4623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4623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4623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4623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4623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4623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2D"/>
    <w:rPr>
      <w:lang w:eastAsia="en-US"/>
    </w:rPr>
  </w:style>
  <w:style w:type="paragraph" w:customStyle="1" w:styleId="ShadedSchClause">
    <w:name w:val="Shaded Sch Clause"/>
    <w:basedOn w:val="Normal"/>
    <w:next w:val="Normal"/>
    <w:rsid w:val="00B4623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46238"/>
    <w:rPr>
      <w:rFonts w:cs="Times New Roman"/>
    </w:rPr>
  </w:style>
  <w:style w:type="paragraph" w:customStyle="1" w:styleId="01Contents">
    <w:name w:val="01Contents"/>
    <w:basedOn w:val="Normal"/>
    <w:rsid w:val="00E216A7"/>
    <w:pPr>
      <w:tabs>
        <w:tab w:val="left" w:pos="2880"/>
      </w:tabs>
    </w:pPr>
    <w:rPr>
      <w:lang w:val="en-US"/>
    </w:rPr>
  </w:style>
  <w:style w:type="paragraph" w:styleId="BalloonText">
    <w:name w:val="Balloon Text"/>
    <w:basedOn w:val="Normal"/>
    <w:link w:val="BalloonTextChar"/>
    <w:rsid w:val="00C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9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147210"/>
    <w:rPr>
      <w:i/>
      <w:iCs/>
    </w:rPr>
  </w:style>
  <w:style w:type="paragraph" w:customStyle="1" w:styleId="Brieftext">
    <w:name w:val="Brief_text"/>
    <w:basedOn w:val="ListParagraph"/>
    <w:qFormat/>
    <w:rsid w:val="00945563"/>
    <w:pPr>
      <w:widowControl w:val="0"/>
      <w:numPr>
        <w:numId w:val="13"/>
      </w:numPr>
      <w:ind w:right="-51"/>
    </w:pPr>
    <w:rPr>
      <w:rFonts w:asciiTheme="minorHAnsi" w:hAnsiTheme="minorHAnsi"/>
      <w:color w:val="FF5050"/>
      <w:szCs w:val="24"/>
    </w:rPr>
  </w:style>
  <w:style w:type="paragraph" w:styleId="ListParagraph">
    <w:name w:val="List Paragraph"/>
    <w:basedOn w:val="Normal"/>
    <w:uiPriority w:val="34"/>
    <w:qFormat/>
    <w:rsid w:val="00945563"/>
    <w:pPr>
      <w:ind w:left="720"/>
      <w:contextualSpacing/>
    </w:pPr>
  </w:style>
  <w:style w:type="paragraph" w:customStyle="1" w:styleId="Default">
    <w:name w:val="Default"/>
    <w:rsid w:val="00945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B1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7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1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753"/>
    <w:rPr>
      <w:b/>
      <w:bCs/>
      <w:lang w:eastAsia="en-US"/>
    </w:rPr>
  </w:style>
  <w:style w:type="table" w:styleId="TableGrid">
    <w:name w:val="Table Grid"/>
    <w:basedOn w:val="TableNormal"/>
    <w:rsid w:val="00D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3280</Characters>
  <Application>Microsoft Office Word</Application>
  <DocSecurity>0</DocSecurity>
  <Lines>126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Moxon, KarenL</cp:lastModifiedBy>
  <cp:revision>4</cp:revision>
  <cp:lastPrinted>2017-08-14T01:26:00Z</cp:lastPrinted>
  <dcterms:created xsi:type="dcterms:W3CDTF">2020-05-25T05:51:00Z</dcterms:created>
  <dcterms:modified xsi:type="dcterms:W3CDTF">2020-05-25T05:51:00Z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A24313719</vt:lpwstr>
  </property>
  <property fmtid="{D5CDD505-2E9C-101B-9397-08002B2CF9AE}" pid="4" name="Objective-Title">
    <vt:lpwstr>Attachment C - Notifiable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2019-12-16T03:28:27Z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2020-05-11T07:56:37Z</vt:filetime>
  </property>
  <property fmtid="{D5CDD505-2E9C-101B-9397-08002B2CF9AE}" pid="10" name="Objective-ModificationStamp">
    <vt:filetime>2020-05-18T19:17:51Z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Ministerials:2019 -  Ministerial and Chief Ministerial Briefs / Correspondence:Environment:19/39001 - 19/400</vt:lpwstr>
  </property>
  <property fmtid="{D5CDD505-2E9C-101B-9397-08002B2CF9AE}" pid="13" name="Objective-Parent">
    <vt:lpwstr>19/39726 - Nature Conservation Act - Threatened Ecological Communities List  - Grassland and Woodland Transfers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1-2019/39726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GENTLEMAN MLA, Mick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1192171</vt:lpwstr>
  </property>
  <property fmtid="{D5CDD505-2E9C-101B-9397-08002B2CF9AE}" pid="34" name="JMSREQUIREDCHECKIN">
    <vt:lpwstr/>
  </property>
</Properties>
</file>