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D275" w14:textId="77777777" w:rsidR="00C91C33" w:rsidRPr="00C91C33" w:rsidRDefault="00C91C33" w:rsidP="00C91C33">
      <w:pPr>
        <w:spacing w:after="0" w:line="240" w:lineRule="auto"/>
        <w:rPr>
          <w:rFonts w:ascii="Arial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C91C33">
            <w:rPr>
              <w:rFonts w:ascii="Arial" w:hAnsi="Arial" w:cs="Arial"/>
              <w:sz w:val="24"/>
              <w:szCs w:val="20"/>
            </w:rPr>
            <w:t>Australian Capital Territory</w:t>
          </w:r>
        </w:smartTag>
      </w:smartTag>
    </w:p>
    <w:p w14:paraId="261B9E8F" w14:textId="77777777" w:rsidR="00C91C33" w:rsidRPr="00C91C33" w:rsidRDefault="00C91C33" w:rsidP="00C91C33">
      <w:pPr>
        <w:tabs>
          <w:tab w:val="left" w:pos="2400"/>
          <w:tab w:val="left" w:pos="2880"/>
        </w:tabs>
        <w:spacing w:before="500" w:after="100" w:line="240" w:lineRule="auto"/>
        <w:rPr>
          <w:rFonts w:ascii="Arial" w:hAnsi="Arial" w:cs="Arial"/>
          <w:b/>
          <w:bCs/>
          <w:sz w:val="40"/>
          <w:szCs w:val="40"/>
        </w:rPr>
      </w:pPr>
      <w:r w:rsidRPr="00C91C33">
        <w:rPr>
          <w:rFonts w:ascii="Arial" w:hAnsi="Arial" w:cs="Arial"/>
          <w:b/>
          <w:bCs/>
          <w:sz w:val="40"/>
          <w:szCs w:val="40"/>
        </w:rPr>
        <w:t>Corrections Management (Management of Return to Custody Notifications) Operating Procedure 2020</w:t>
      </w:r>
    </w:p>
    <w:p w14:paraId="0C9E9571" w14:textId="77777777" w:rsidR="00C91C33" w:rsidRPr="00C91C33" w:rsidRDefault="00C91C33" w:rsidP="00C91C33">
      <w:pPr>
        <w:spacing w:before="240" w:after="60" w:line="240" w:lineRule="auto"/>
        <w:rPr>
          <w:rFonts w:ascii="Arial" w:hAnsi="Arial" w:cs="Arial"/>
          <w:b/>
          <w:bCs/>
          <w:sz w:val="24"/>
          <w:szCs w:val="20"/>
          <w:vertAlign w:val="superscript"/>
        </w:rPr>
      </w:pPr>
      <w:r w:rsidRPr="00C91C33">
        <w:rPr>
          <w:rFonts w:ascii="Arial" w:hAnsi="Arial" w:cs="Arial"/>
          <w:b/>
          <w:bCs/>
          <w:sz w:val="24"/>
          <w:szCs w:val="20"/>
        </w:rPr>
        <w:t>Notifiable instrument NI2020-344</w:t>
      </w:r>
    </w:p>
    <w:p w14:paraId="3AD7BA16" w14:textId="77777777" w:rsidR="00C91C33" w:rsidRPr="00C91C33" w:rsidRDefault="00C91C33" w:rsidP="00C91C33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91C33">
        <w:rPr>
          <w:rFonts w:ascii="Times New Roman" w:hAnsi="Times New Roman"/>
          <w:sz w:val="24"/>
          <w:szCs w:val="24"/>
        </w:rPr>
        <w:t xml:space="preserve">made under the  </w:t>
      </w:r>
    </w:p>
    <w:p w14:paraId="010AB404" w14:textId="77777777" w:rsidR="00C91C33" w:rsidRPr="00C91C33" w:rsidRDefault="00C91C33" w:rsidP="00C91C33">
      <w:pPr>
        <w:tabs>
          <w:tab w:val="left" w:pos="2600"/>
        </w:tabs>
        <w:spacing w:before="20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C33">
        <w:rPr>
          <w:rFonts w:ascii="Arial" w:hAnsi="Arial" w:cs="Arial"/>
          <w:b/>
          <w:bCs/>
          <w:iCs/>
          <w:sz w:val="20"/>
          <w:szCs w:val="20"/>
        </w:rPr>
        <w:t>Corrections Management Act 2007</w:t>
      </w:r>
      <w:r w:rsidRPr="00C91C33">
        <w:rPr>
          <w:rFonts w:ascii="Arial" w:hAnsi="Arial" w:cs="Arial"/>
          <w:b/>
          <w:bCs/>
          <w:sz w:val="20"/>
          <w:szCs w:val="20"/>
        </w:rPr>
        <w:t>, s14 (Corrections policies and operating procedures)</w:t>
      </w:r>
    </w:p>
    <w:p w14:paraId="12A89EA6" w14:textId="77777777" w:rsidR="00C91C33" w:rsidRPr="00C91C33" w:rsidRDefault="00C91C33" w:rsidP="00C91C33">
      <w:pPr>
        <w:tabs>
          <w:tab w:val="left" w:pos="26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DB0BB0" w14:textId="77777777" w:rsidR="00C91C33" w:rsidRPr="00C91C33" w:rsidRDefault="00C91C33" w:rsidP="00C91C33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5C4BEC" w14:textId="77777777" w:rsidR="00C91C33" w:rsidRPr="00C91C33" w:rsidRDefault="00C91C33" w:rsidP="00C91C33">
      <w:pPr>
        <w:spacing w:after="60" w:line="240" w:lineRule="auto"/>
        <w:ind w:left="720" w:hanging="720"/>
        <w:rPr>
          <w:rFonts w:ascii="Arial" w:hAnsi="Arial" w:cs="Arial"/>
          <w:b/>
          <w:bCs/>
          <w:sz w:val="24"/>
          <w:szCs w:val="20"/>
        </w:rPr>
      </w:pPr>
      <w:r w:rsidRPr="00C91C33">
        <w:rPr>
          <w:rFonts w:ascii="Arial" w:hAnsi="Arial" w:cs="Arial"/>
          <w:b/>
          <w:bCs/>
          <w:sz w:val="24"/>
          <w:szCs w:val="20"/>
        </w:rPr>
        <w:t>1</w:t>
      </w:r>
      <w:r w:rsidRPr="00C91C33">
        <w:rPr>
          <w:rFonts w:ascii="Arial" w:hAnsi="Arial" w:cs="Arial"/>
          <w:b/>
          <w:bCs/>
          <w:sz w:val="24"/>
          <w:szCs w:val="20"/>
        </w:rPr>
        <w:tab/>
        <w:t>Name of instrument</w:t>
      </w:r>
    </w:p>
    <w:p w14:paraId="56D96AF5" w14:textId="77777777" w:rsidR="00C91C33" w:rsidRPr="00C91C33" w:rsidRDefault="00C91C33" w:rsidP="00C91C33">
      <w:pPr>
        <w:spacing w:before="80" w:after="60" w:line="240" w:lineRule="auto"/>
        <w:ind w:left="720"/>
        <w:rPr>
          <w:rFonts w:ascii="Times New Roman" w:hAnsi="Times New Roman"/>
          <w:sz w:val="24"/>
          <w:szCs w:val="20"/>
        </w:rPr>
      </w:pPr>
      <w:r w:rsidRPr="00C91C33">
        <w:rPr>
          <w:rFonts w:ascii="Times New Roman" w:hAnsi="Times New Roman"/>
          <w:sz w:val="24"/>
          <w:szCs w:val="20"/>
        </w:rPr>
        <w:t xml:space="preserve">This instrument is the </w:t>
      </w:r>
      <w:r w:rsidRPr="00C91C33">
        <w:rPr>
          <w:rFonts w:ascii="Times New Roman" w:hAnsi="Times New Roman"/>
          <w:i/>
          <w:sz w:val="24"/>
          <w:szCs w:val="20"/>
        </w:rPr>
        <w:t>Corrections Management</w:t>
      </w:r>
      <w:r w:rsidRPr="00C91C33">
        <w:rPr>
          <w:rFonts w:ascii="Times New Roman" w:hAnsi="Times New Roman"/>
          <w:sz w:val="24"/>
          <w:szCs w:val="20"/>
        </w:rPr>
        <w:t xml:space="preserve"> (</w:t>
      </w:r>
      <w:r w:rsidRPr="00C91C33">
        <w:rPr>
          <w:rFonts w:ascii="Times New Roman" w:hAnsi="Times New Roman"/>
          <w:i/>
          <w:sz w:val="24"/>
          <w:szCs w:val="20"/>
        </w:rPr>
        <w:t>Management of Return to Custody Notifications) Operating Procedure 2020.</w:t>
      </w:r>
    </w:p>
    <w:p w14:paraId="6DE92B1E" w14:textId="77777777" w:rsidR="00C91C33" w:rsidRPr="00C91C33" w:rsidRDefault="00C91C33" w:rsidP="00C91C33">
      <w:pPr>
        <w:spacing w:before="240" w:after="60" w:line="240" w:lineRule="auto"/>
        <w:outlineLvl w:val="6"/>
        <w:rPr>
          <w:rFonts w:ascii="Times New Roman" w:hAnsi="Times New Roman"/>
          <w:sz w:val="24"/>
          <w:szCs w:val="24"/>
          <w:lang w:val="x-none" w:eastAsia="x-none"/>
        </w:rPr>
      </w:pPr>
      <w:r w:rsidRPr="00C91C33">
        <w:rPr>
          <w:rFonts w:ascii="Arial" w:hAnsi="Arial" w:cs="Arial"/>
          <w:b/>
          <w:sz w:val="24"/>
          <w:szCs w:val="24"/>
          <w:lang w:val="x-none" w:eastAsia="x-none"/>
        </w:rPr>
        <w:t>2</w:t>
      </w:r>
      <w:r w:rsidRPr="00C91C33">
        <w:rPr>
          <w:rFonts w:ascii="Times New Roman" w:hAnsi="Times New Roman"/>
          <w:sz w:val="24"/>
          <w:szCs w:val="24"/>
          <w:lang w:val="x-none" w:eastAsia="x-none"/>
        </w:rPr>
        <w:tab/>
      </w:r>
      <w:r w:rsidRPr="00C91C33">
        <w:rPr>
          <w:rFonts w:ascii="Arial" w:hAnsi="Arial" w:cs="Arial"/>
          <w:b/>
          <w:sz w:val="24"/>
          <w:szCs w:val="24"/>
          <w:lang w:val="x-none" w:eastAsia="x-none"/>
        </w:rPr>
        <w:t>Commencement</w:t>
      </w:r>
    </w:p>
    <w:p w14:paraId="2528103E" w14:textId="77777777" w:rsidR="00C91C33" w:rsidRPr="00C91C33" w:rsidRDefault="00C91C33" w:rsidP="00C91C33">
      <w:pPr>
        <w:spacing w:before="80" w:after="60" w:line="240" w:lineRule="auto"/>
        <w:ind w:left="720"/>
        <w:rPr>
          <w:rFonts w:ascii="Times New Roman" w:hAnsi="Times New Roman"/>
          <w:sz w:val="24"/>
          <w:szCs w:val="20"/>
        </w:rPr>
      </w:pPr>
      <w:r w:rsidRPr="00C91C33">
        <w:rPr>
          <w:rFonts w:ascii="Times New Roman" w:hAnsi="Times New Roman"/>
          <w:sz w:val="24"/>
          <w:szCs w:val="20"/>
        </w:rPr>
        <w:t>This instrument commences on the day after its notification day.</w:t>
      </w:r>
    </w:p>
    <w:p w14:paraId="0D03D532" w14:textId="77777777" w:rsidR="00C91C33" w:rsidRPr="00C91C33" w:rsidRDefault="00C91C33" w:rsidP="00C91C33">
      <w:pPr>
        <w:spacing w:before="240" w:after="60" w:line="240" w:lineRule="auto"/>
        <w:ind w:left="720" w:hanging="720"/>
        <w:rPr>
          <w:rFonts w:ascii="Arial" w:hAnsi="Arial" w:cs="Arial"/>
          <w:b/>
          <w:bCs/>
          <w:sz w:val="24"/>
          <w:szCs w:val="20"/>
        </w:rPr>
      </w:pPr>
      <w:r w:rsidRPr="00C91C33">
        <w:rPr>
          <w:rFonts w:ascii="Arial" w:hAnsi="Arial" w:cs="Arial"/>
          <w:b/>
          <w:bCs/>
          <w:sz w:val="24"/>
          <w:szCs w:val="20"/>
        </w:rPr>
        <w:t>3</w:t>
      </w:r>
      <w:r w:rsidRPr="00C91C33">
        <w:rPr>
          <w:rFonts w:ascii="Arial" w:hAnsi="Arial" w:cs="Arial"/>
          <w:b/>
          <w:bCs/>
          <w:sz w:val="24"/>
          <w:szCs w:val="20"/>
        </w:rPr>
        <w:tab/>
        <w:t>Operating Procedure</w:t>
      </w:r>
    </w:p>
    <w:p w14:paraId="67169B41" w14:textId="77777777" w:rsidR="00C91C33" w:rsidRPr="00C91C33" w:rsidRDefault="00C91C33" w:rsidP="00C91C33">
      <w:pPr>
        <w:spacing w:before="80" w:after="60" w:line="240" w:lineRule="auto"/>
        <w:ind w:left="720"/>
        <w:rPr>
          <w:rFonts w:ascii="Times New Roman" w:hAnsi="Times New Roman"/>
          <w:sz w:val="24"/>
          <w:szCs w:val="20"/>
        </w:rPr>
      </w:pPr>
      <w:r w:rsidRPr="00C91C33">
        <w:rPr>
          <w:rFonts w:ascii="Times New Roman" w:hAnsi="Times New Roman"/>
          <w:sz w:val="24"/>
          <w:szCs w:val="20"/>
        </w:rPr>
        <w:t>I make this operating procedure to facilitate the effective and efficient management of correctional services.</w:t>
      </w:r>
    </w:p>
    <w:p w14:paraId="694F0060" w14:textId="77777777" w:rsidR="00C91C33" w:rsidRPr="00C91C33" w:rsidRDefault="00C91C33" w:rsidP="00C91C33">
      <w:pPr>
        <w:spacing w:before="240" w:after="60" w:line="240" w:lineRule="auto"/>
        <w:ind w:left="720" w:hanging="720"/>
        <w:rPr>
          <w:rFonts w:ascii="Arial" w:hAnsi="Arial" w:cs="Arial"/>
          <w:b/>
          <w:bCs/>
          <w:sz w:val="24"/>
          <w:szCs w:val="20"/>
        </w:rPr>
      </w:pPr>
      <w:r w:rsidRPr="00C91C33">
        <w:rPr>
          <w:rFonts w:ascii="Arial" w:hAnsi="Arial" w:cs="Arial"/>
          <w:b/>
          <w:bCs/>
          <w:sz w:val="24"/>
          <w:szCs w:val="20"/>
        </w:rPr>
        <w:t>4</w:t>
      </w:r>
      <w:r w:rsidRPr="00C91C33">
        <w:rPr>
          <w:rFonts w:ascii="Arial" w:hAnsi="Arial" w:cs="Arial"/>
          <w:b/>
          <w:bCs/>
          <w:sz w:val="24"/>
          <w:szCs w:val="20"/>
        </w:rPr>
        <w:tab/>
        <w:t>Revocation</w:t>
      </w:r>
    </w:p>
    <w:p w14:paraId="16CE5512" w14:textId="77777777" w:rsidR="00C91C33" w:rsidRPr="00C91C33" w:rsidRDefault="00C91C33" w:rsidP="00C91C33">
      <w:pPr>
        <w:spacing w:before="80" w:after="60" w:line="240" w:lineRule="auto"/>
        <w:ind w:left="720"/>
        <w:rPr>
          <w:rFonts w:ascii="Times New Roman" w:hAnsi="Times New Roman"/>
          <w:sz w:val="24"/>
          <w:szCs w:val="20"/>
        </w:rPr>
      </w:pPr>
      <w:r w:rsidRPr="00C91C33">
        <w:rPr>
          <w:rFonts w:ascii="Times New Roman" w:hAnsi="Times New Roman"/>
          <w:sz w:val="24"/>
          <w:szCs w:val="20"/>
        </w:rPr>
        <w:t xml:space="preserve">This operating procedure revokes the </w:t>
      </w:r>
      <w:r w:rsidRPr="00C91C33">
        <w:rPr>
          <w:rFonts w:ascii="Times New Roman" w:hAnsi="Times New Roman"/>
          <w:i/>
          <w:iCs/>
          <w:sz w:val="24"/>
          <w:szCs w:val="20"/>
        </w:rPr>
        <w:t xml:space="preserve">Corrections Management (Management of Detainees with Return to Custody Classification) Operating Procedure 2018 </w:t>
      </w:r>
      <w:r w:rsidRPr="00C91C33">
        <w:rPr>
          <w:rFonts w:ascii="Times New Roman" w:hAnsi="Times New Roman"/>
          <w:sz w:val="24"/>
          <w:szCs w:val="20"/>
        </w:rPr>
        <w:t>[NI2018-33].</w:t>
      </w:r>
    </w:p>
    <w:p w14:paraId="04A24020" w14:textId="77777777" w:rsidR="00C91C33" w:rsidRPr="00C91C33" w:rsidRDefault="00C91C33" w:rsidP="00C91C33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</w:p>
    <w:p w14:paraId="5F82C205" w14:textId="77777777" w:rsidR="00C91C33" w:rsidRPr="00C91C33" w:rsidRDefault="00C91C33" w:rsidP="00C91C3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65A3513" w14:textId="77777777" w:rsidR="00C91C33" w:rsidRPr="00C91C33" w:rsidRDefault="00C91C33" w:rsidP="00C91C3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DB2EC06" w14:textId="77777777" w:rsidR="00C91C33" w:rsidRPr="00C91C33" w:rsidRDefault="00C91C33" w:rsidP="00C91C3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14157F05" w14:textId="77777777" w:rsidR="00C91C33" w:rsidRPr="00C91C33" w:rsidRDefault="00C91C33" w:rsidP="00C91C3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17B69851" w14:textId="3F116F4B" w:rsidR="00C91C33" w:rsidRPr="00C91C33" w:rsidRDefault="00C91C33" w:rsidP="00C91C3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C91C33">
        <w:rPr>
          <w:rFonts w:ascii="Times New Roman" w:hAnsi="Times New Roman"/>
          <w:noProof/>
          <w:sz w:val="24"/>
          <w:szCs w:val="20"/>
          <w:lang w:eastAsia="en-AU"/>
        </w:rPr>
        <w:drawing>
          <wp:inline distT="0" distB="0" distL="0" distR="0" wp14:anchorId="59AF5B2E" wp14:editId="61BD87D9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E296D" w14:textId="77777777" w:rsidR="00C91C33" w:rsidRPr="00C91C33" w:rsidRDefault="00C91C33" w:rsidP="00C91C3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bookmarkEnd w:id="0"/>
    <w:p w14:paraId="7B8817CE" w14:textId="77777777" w:rsidR="00C91C33" w:rsidRPr="00C91C33" w:rsidRDefault="00C91C33" w:rsidP="00C91C33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C91C33">
        <w:rPr>
          <w:rFonts w:ascii="Times New Roman" w:hAnsi="Times New Roman"/>
          <w:sz w:val="24"/>
          <w:szCs w:val="20"/>
        </w:rPr>
        <w:t>Jon Peach</w:t>
      </w:r>
    </w:p>
    <w:p w14:paraId="2F06388B" w14:textId="77777777" w:rsidR="00C91C33" w:rsidRPr="00C91C33" w:rsidRDefault="00C91C33" w:rsidP="00C91C33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C91C33">
        <w:rPr>
          <w:rFonts w:ascii="Times New Roman" w:hAnsi="Times New Roman"/>
          <w:sz w:val="24"/>
          <w:szCs w:val="24"/>
          <w:lang w:eastAsia="x-none"/>
        </w:rPr>
        <w:t>Commissioner</w:t>
      </w:r>
    </w:p>
    <w:p w14:paraId="1CB3E5F8" w14:textId="77777777" w:rsidR="00C91C33" w:rsidRPr="00C91C33" w:rsidRDefault="00C91C33" w:rsidP="00C91C33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C91C33">
        <w:rPr>
          <w:rFonts w:ascii="Times New Roman" w:hAnsi="Times New Roman"/>
          <w:sz w:val="24"/>
          <w:szCs w:val="20"/>
        </w:rPr>
        <w:t>ACT Corrective Services</w:t>
      </w:r>
    </w:p>
    <w:p w14:paraId="3C8A1AC9" w14:textId="77777777" w:rsidR="00C91C33" w:rsidRPr="00C91C33" w:rsidRDefault="00C91C33" w:rsidP="00C91C33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C91C33">
        <w:rPr>
          <w:rFonts w:ascii="Times New Roman" w:hAnsi="Times New Roman"/>
          <w:sz w:val="24"/>
          <w:szCs w:val="20"/>
        </w:rPr>
        <w:t>23 June 2020</w:t>
      </w:r>
    </w:p>
    <w:p w14:paraId="193253A2" w14:textId="77777777" w:rsidR="00C91C33" w:rsidRPr="00C91C33" w:rsidRDefault="00C91C33" w:rsidP="00C91C3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26675493" w14:textId="77777777" w:rsidR="00C91C33" w:rsidRDefault="00C91C33" w:rsidP="004D1932">
      <w:pPr>
        <w:spacing w:before="120" w:after="120"/>
        <w:rPr>
          <w:rFonts w:cs="Arial"/>
          <w:b/>
        </w:rPr>
        <w:sectPr w:rsidR="00C91C33" w:rsidSect="00292B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1123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7B3718" w:rsidRPr="00586F66" w14:paraId="69E1EA2B" w14:textId="77777777" w:rsidTr="00132F5B">
        <w:tc>
          <w:tcPr>
            <w:tcW w:w="3024" w:type="dxa"/>
            <w:shd w:val="clear" w:color="auto" w:fill="95B3D7" w:themeFill="accent1" w:themeFillTint="99"/>
          </w:tcPr>
          <w:p w14:paraId="1AFDB988" w14:textId="0AE24B16" w:rsidR="007B3718" w:rsidRPr="00586F66" w:rsidRDefault="00B84A5B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</w:p>
        </w:tc>
        <w:tc>
          <w:tcPr>
            <w:tcW w:w="5992" w:type="dxa"/>
            <w:shd w:val="clear" w:color="auto" w:fill="95B3D7" w:themeFill="accent1" w:themeFillTint="99"/>
          </w:tcPr>
          <w:p w14:paraId="12C35007" w14:textId="170E555A" w:rsidR="007B3718" w:rsidRPr="00586F66" w:rsidRDefault="00E22D88" w:rsidP="0057282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Management of </w:t>
            </w:r>
            <w:r w:rsidR="00147D51">
              <w:rPr>
                <w:rFonts w:cs="Arial"/>
                <w:b/>
              </w:rPr>
              <w:t>Return to Custody</w:t>
            </w:r>
            <w:r w:rsidR="00BD4FE0">
              <w:rPr>
                <w:rFonts w:cs="Arial"/>
                <w:b/>
              </w:rPr>
              <w:t xml:space="preserve"> </w:t>
            </w:r>
            <w:r w:rsidR="00822515">
              <w:rPr>
                <w:rFonts w:cs="Arial"/>
                <w:b/>
              </w:rPr>
              <w:t>Notification</w:t>
            </w:r>
            <w:r>
              <w:rPr>
                <w:rFonts w:cs="Arial"/>
                <w:b/>
              </w:rPr>
              <w:t>s</w:t>
            </w:r>
          </w:p>
        </w:tc>
      </w:tr>
      <w:tr w:rsidR="003A3CF7" w:rsidRPr="00586F66" w14:paraId="01428A78" w14:textId="77777777" w:rsidTr="00132F5B">
        <w:tc>
          <w:tcPr>
            <w:tcW w:w="3024" w:type="dxa"/>
          </w:tcPr>
          <w:p w14:paraId="1AE1545B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2" w:type="dxa"/>
          </w:tcPr>
          <w:p w14:paraId="516DEDA4" w14:textId="051C76C0" w:rsidR="003A3CF7" w:rsidRPr="00586F66" w:rsidRDefault="002A3070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D39</w:t>
            </w:r>
          </w:p>
        </w:tc>
      </w:tr>
      <w:tr w:rsidR="00510017" w:rsidRPr="00586F66" w14:paraId="55C76A41" w14:textId="77777777" w:rsidTr="00132F5B">
        <w:tc>
          <w:tcPr>
            <w:tcW w:w="3024" w:type="dxa"/>
          </w:tcPr>
          <w:p w14:paraId="70C6C18F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2" w:type="dxa"/>
          </w:tcPr>
          <w:p w14:paraId="13FC6BFC" w14:textId="7BC2AB4D" w:rsidR="00510017" w:rsidRPr="00586F66" w:rsidRDefault="00C209D7" w:rsidP="00CF03FA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>Alexander Maconochie Centre / Court Transport Unit</w:t>
            </w:r>
          </w:p>
        </w:tc>
      </w:tr>
    </w:tbl>
    <w:p w14:paraId="5E4412EF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STATEMENT OF PURPOSE</w:t>
      </w:r>
    </w:p>
    <w:p w14:paraId="092747FC" w14:textId="5818B2A6" w:rsidR="00423FE9" w:rsidRPr="008C1D7D" w:rsidRDefault="00423FE9" w:rsidP="005E011D">
      <w:pPr>
        <w:spacing w:before="240"/>
        <w:rPr>
          <w:rFonts w:cs="Arial"/>
        </w:rPr>
      </w:pPr>
      <w:r>
        <w:rPr>
          <w:rFonts w:cs="Arial"/>
        </w:rPr>
        <w:t xml:space="preserve">To provide instruction to staff </w:t>
      </w:r>
      <w:r w:rsidR="00257A3D">
        <w:rPr>
          <w:rFonts w:cs="Arial"/>
        </w:rPr>
        <w:t>on</w:t>
      </w:r>
      <w:r>
        <w:rPr>
          <w:rFonts w:cs="Arial"/>
        </w:rPr>
        <w:t xml:space="preserve"> </w:t>
      </w:r>
      <w:r w:rsidR="00257A3D">
        <w:rPr>
          <w:rFonts w:cs="Arial"/>
        </w:rPr>
        <w:t>the management and notification of outstanding</w:t>
      </w:r>
      <w:r w:rsidR="00B458BA">
        <w:rPr>
          <w:rFonts w:cs="Arial"/>
        </w:rPr>
        <w:t xml:space="preserve"> court orders</w:t>
      </w:r>
      <w:r>
        <w:rPr>
          <w:rFonts w:cs="Arial"/>
        </w:rPr>
        <w:t xml:space="preserve"> </w:t>
      </w:r>
      <w:r w:rsidR="00257A3D">
        <w:rPr>
          <w:rFonts w:cs="Arial"/>
        </w:rPr>
        <w:t>for detainee’s attending</w:t>
      </w:r>
      <w:r>
        <w:rPr>
          <w:rFonts w:cs="Arial"/>
        </w:rPr>
        <w:t xml:space="preserve"> court</w:t>
      </w:r>
      <w:r w:rsidR="00257A3D">
        <w:rPr>
          <w:rFonts w:cs="Arial"/>
        </w:rPr>
        <w:t xml:space="preserve"> to ensure detainees are not</w:t>
      </w:r>
      <w:r w:rsidR="00E22D88">
        <w:rPr>
          <w:rFonts w:cs="Arial"/>
        </w:rPr>
        <w:t xml:space="preserve"> </w:t>
      </w:r>
      <w:r w:rsidR="00257A3D">
        <w:rPr>
          <w:rFonts w:cs="Arial"/>
        </w:rPr>
        <w:t>wrongfully</w:t>
      </w:r>
      <w:r>
        <w:rPr>
          <w:rFonts w:cs="Arial"/>
        </w:rPr>
        <w:t xml:space="preserve"> release</w:t>
      </w:r>
      <w:r w:rsidR="00E22D88">
        <w:rPr>
          <w:rFonts w:cs="Arial"/>
        </w:rPr>
        <w:t>d</w:t>
      </w:r>
      <w:r>
        <w:rPr>
          <w:rFonts w:cs="Arial"/>
        </w:rPr>
        <w:t xml:space="preserve"> or </w:t>
      </w:r>
      <w:r w:rsidR="00B458BA">
        <w:rPr>
          <w:rFonts w:cs="Arial"/>
        </w:rPr>
        <w:t>unlawful</w:t>
      </w:r>
      <w:r w:rsidR="00BD4FE0">
        <w:rPr>
          <w:rFonts w:cs="Arial"/>
        </w:rPr>
        <w:t>ly</w:t>
      </w:r>
      <w:r w:rsidR="00B458BA">
        <w:rPr>
          <w:rFonts w:cs="Arial"/>
        </w:rPr>
        <w:t xml:space="preserve"> </w:t>
      </w:r>
      <w:r w:rsidR="00BD4FE0">
        <w:rPr>
          <w:rFonts w:cs="Arial"/>
        </w:rPr>
        <w:t>held in</w:t>
      </w:r>
      <w:r>
        <w:rPr>
          <w:rFonts w:cs="Arial"/>
        </w:rPr>
        <w:t xml:space="preserve"> </w:t>
      </w:r>
      <w:r w:rsidR="00B458BA">
        <w:rPr>
          <w:rFonts w:cs="Arial"/>
        </w:rPr>
        <w:t>custody</w:t>
      </w:r>
      <w:r w:rsidR="00BD4FE0">
        <w:rPr>
          <w:rFonts w:cs="Arial"/>
        </w:rPr>
        <w:t>.</w:t>
      </w:r>
      <w:r w:rsidR="001A1C15">
        <w:rPr>
          <w:rFonts w:cs="Arial"/>
        </w:rPr>
        <w:t xml:space="preserve"> </w:t>
      </w:r>
    </w:p>
    <w:p w14:paraId="67B53076" w14:textId="77777777" w:rsidR="00152D5E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64E70D99" w14:textId="373CECEE" w:rsidR="00B458BA" w:rsidRPr="009E25D6" w:rsidRDefault="009E25D6" w:rsidP="003E0349">
      <w:pPr>
        <w:pStyle w:val="ListParagraph"/>
        <w:numPr>
          <w:ilvl w:val="0"/>
          <w:numId w:val="18"/>
        </w:numPr>
        <w:ind w:left="567" w:hanging="567"/>
        <w:rPr>
          <w:rFonts w:cs="Arial"/>
          <w:b/>
        </w:rPr>
      </w:pPr>
      <w:r>
        <w:rPr>
          <w:rFonts w:cs="Arial"/>
          <w:b/>
        </w:rPr>
        <w:t xml:space="preserve">Sentence </w:t>
      </w:r>
      <w:r w:rsidR="00B458BA" w:rsidRPr="009E25D6">
        <w:rPr>
          <w:rFonts w:cs="Arial"/>
          <w:b/>
        </w:rPr>
        <w:t>Administration</w:t>
      </w:r>
      <w:r w:rsidR="00BD4FE0">
        <w:rPr>
          <w:rFonts w:cs="Arial"/>
          <w:b/>
        </w:rPr>
        <w:t xml:space="preserve"> Section</w:t>
      </w:r>
    </w:p>
    <w:p w14:paraId="652F60A9" w14:textId="74DE76D0" w:rsidR="0017186E" w:rsidRDefault="00B458BA" w:rsidP="0017186E">
      <w:pPr>
        <w:pStyle w:val="ListParagraph"/>
        <w:numPr>
          <w:ilvl w:val="1"/>
          <w:numId w:val="24"/>
        </w:numPr>
        <w:spacing w:after="120"/>
        <w:ind w:left="567" w:hanging="567"/>
        <w:rPr>
          <w:rFonts w:cs="Arial"/>
          <w:bCs/>
        </w:rPr>
      </w:pPr>
      <w:r w:rsidRPr="002316F4">
        <w:rPr>
          <w:rFonts w:cs="Arial"/>
          <w:bCs/>
        </w:rPr>
        <w:t xml:space="preserve">The Sentence Administration Section will maintain a </w:t>
      </w:r>
      <w:r w:rsidR="0017186E">
        <w:rPr>
          <w:rFonts w:cs="Arial"/>
          <w:bCs/>
        </w:rPr>
        <w:t>R</w:t>
      </w:r>
      <w:r w:rsidRPr="002316F4">
        <w:rPr>
          <w:rFonts w:cs="Arial"/>
          <w:bCs/>
        </w:rPr>
        <w:t xml:space="preserve">emand </w:t>
      </w:r>
      <w:r w:rsidR="0017186E">
        <w:rPr>
          <w:rFonts w:cs="Arial"/>
          <w:bCs/>
        </w:rPr>
        <w:t>W</w:t>
      </w:r>
      <w:r w:rsidRPr="002316F4">
        <w:rPr>
          <w:rFonts w:cs="Arial"/>
          <w:bCs/>
        </w:rPr>
        <w:t xml:space="preserve">arrant </w:t>
      </w:r>
      <w:r w:rsidR="0017186E">
        <w:rPr>
          <w:rFonts w:cs="Arial"/>
          <w:bCs/>
        </w:rPr>
        <w:t>R</w:t>
      </w:r>
      <w:r w:rsidRPr="002316F4">
        <w:rPr>
          <w:rFonts w:cs="Arial"/>
          <w:bCs/>
        </w:rPr>
        <w:t xml:space="preserve">egister to </w:t>
      </w:r>
      <w:r w:rsidRPr="0017186E">
        <w:rPr>
          <w:rFonts w:cs="Arial"/>
          <w:bCs/>
        </w:rPr>
        <w:t>determine</w:t>
      </w:r>
      <w:r w:rsidR="0017186E">
        <w:rPr>
          <w:rFonts w:cs="Arial"/>
          <w:bCs/>
        </w:rPr>
        <w:t xml:space="preserve"> whether</w:t>
      </w:r>
      <w:r w:rsidRPr="0017186E">
        <w:rPr>
          <w:rFonts w:cs="Arial"/>
          <w:bCs/>
        </w:rPr>
        <w:t xml:space="preserve"> detainee</w:t>
      </w:r>
      <w:r w:rsidR="0017186E">
        <w:rPr>
          <w:rFonts w:cs="Arial"/>
          <w:bCs/>
        </w:rPr>
        <w:t>s</w:t>
      </w:r>
      <w:r w:rsidRPr="0017186E">
        <w:rPr>
          <w:rFonts w:cs="Arial"/>
          <w:bCs/>
        </w:rPr>
        <w:t xml:space="preserve"> attending court </w:t>
      </w:r>
      <w:r w:rsidR="0017186E">
        <w:rPr>
          <w:rFonts w:cs="Arial"/>
          <w:bCs/>
        </w:rPr>
        <w:t>are eligible for release from custody.</w:t>
      </w:r>
    </w:p>
    <w:p w14:paraId="0946148F" w14:textId="31B1F231" w:rsidR="00B458BA" w:rsidRPr="002316F4" w:rsidRDefault="0017186E" w:rsidP="0017186E">
      <w:pPr>
        <w:pStyle w:val="ListParagraph"/>
        <w:numPr>
          <w:ilvl w:val="1"/>
          <w:numId w:val="24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>Where a detainee attending court is not eligible to be released due to outstanding court matters requiring custody,</w:t>
      </w:r>
      <w:r w:rsidR="00D10327">
        <w:rPr>
          <w:rFonts w:cs="Arial"/>
          <w:bCs/>
        </w:rPr>
        <w:t xml:space="preserve"> the Sentence Administration Section will </w:t>
      </w:r>
      <w:r>
        <w:rPr>
          <w:rFonts w:cs="Arial"/>
          <w:bCs/>
        </w:rPr>
        <w:t>complete</w:t>
      </w:r>
      <w:r w:rsidR="00D10327">
        <w:rPr>
          <w:rFonts w:cs="Arial"/>
          <w:bCs/>
        </w:rPr>
        <w:t xml:space="preserve"> a</w:t>
      </w:r>
      <w:r>
        <w:rPr>
          <w:rFonts w:cs="Arial"/>
          <w:bCs/>
        </w:rPr>
        <w:t>n electronic</w:t>
      </w:r>
      <w:r w:rsidR="00D10327">
        <w:rPr>
          <w:rFonts w:cs="Arial"/>
          <w:bCs/>
        </w:rPr>
        <w:t xml:space="preserve"> Return to Custody (RTC) notification</w:t>
      </w:r>
      <w:r w:rsidR="001C6F85">
        <w:rPr>
          <w:rFonts w:cs="Arial"/>
          <w:bCs/>
        </w:rPr>
        <w:t xml:space="preserve"> to advise </w:t>
      </w:r>
      <w:r>
        <w:rPr>
          <w:rFonts w:cs="Arial"/>
          <w:bCs/>
        </w:rPr>
        <w:t>custodial officers not to release the detainee.</w:t>
      </w:r>
    </w:p>
    <w:p w14:paraId="6E7DEB71" w14:textId="37FEF11C" w:rsidR="00B458BA" w:rsidRPr="002316F4" w:rsidRDefault="0017186E" w:rsidP="0017186E">
      <w:pPr>
        <w:pStyle w:val="ListParagraph"/>
        <w:numPr>
          <w:ilvl w:val="1"/>
          <w:numId w:val="25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>An</w:t>
      </w:r>
      <w:r w:rsidR="00B04235" w:rsidRPr="002316F4">
        <w:rPr>
          <w:rFonts w:cs="Arial"/>
          <w:bCs/>
        </w:rPr>
        <w:t xml:space="preserve"> RTC notification will </w:t>
      </w:r>
      <w:r>
        <w:rPr>
          <w:rFonts w:cs="Arial"/>
          <w:bCs/>
        </w:rPr>
        <w:t>include:</w:t>
      </w:r>
    </w:p>
    <w:p w14:paraId="553EE400" w14:textId="37E7049D" w:rsidR="00B04235" w:rsidRPr="0017186E" w:rsidRDefault="0017186E" w:rsidP="0017186E">
      <w:pPr>
        <w:pStyle w:val="ListParagraph"/>
        <w:numPr>
          <w:ilvl w:val="0"/>
          <w:numId w:val="31"/>
        </w:numPr>
        <w:spacing w:after="120"/>
        <w:ind w:left="1701"/>
        <w:rPr>
          <w:rFonts w:cs="Arial"/>
          <w:bCs/>
        </w:rPr>
      </w:pPr>
      <w:r>
        <w:rPr>
          <w:rFonts w:cs="Arial"/>
          <w:bCs/>
        </w:rPr>
        <w:t>The d</w:t>
      </w:r>
      <w:r w:rsidR="00B04235" w:rsidRPr="0017186E">
        <w:rPr>
          <w:rFonts w:cs="Arial"/>
          <w:bCs/>
        </w:rPr>
        <w:t>ate</w:t>
      </w:r>
      <w:r>
        <w:rPr>
          <w:rFonts w:cs="Arial"/>
          <w:bCs/>
        </w:rPr>
        <w:t xml:space="preserve"> of</w:t>
      </w:r>
      <w:r w:rsidR="00B04235" w:rsidRPr="0017186E">
        <w:rPr>
          <w:rFonts w:cs="Arial"/>
          <w:bCs/>
        </w:rPr>
        <w:t xml:space="preserve"> the notification </w:t>
      </w:r>
    </w:p>
    <w:p w14:paraId="2346BEE0" w14:textId="4098C025" w:rsidR="00B04235" w:rsidRPr="0017186E" w:rsidRDefault="00B04235" w:rsidP="0017186E">
      <w:pPr>
        <w:pStyle w:val="ListParagraph"/>
        <w:numPr>
          <w:ilvl w:val="0"/>
          <w:numId w:val="31"/>
        </w:numPr>
        <w:spacing w:after="120"/>
        <w:ind w:left="1701"/>
        <w:rPr>
          <w:rFonts w:cs="Arial"/>
          <w:bCs/>
        </w:rPr>
      </w:pPr>
      <w:r w:rsidRPr="0017186E">
        <w:rPr>
          <w:rFonts w:cs="Arial"/>
          <w:bCs/>
        </w:rPr>
        <w:t>Detainee Name</w:t>
      </w:r>
    </w:p>
    <w:p w14:paraId="3F10346B" w14:textId="636F86E3" w:rsidR="00B04235" w:rsidRPr="0017186E" w:rsidRDefault="00B04235" w:rsidP="0017186E">
      <w:pPr>
        <w:pStyle w:val="ListParagraph"/>
        <w:numPr>
          <w:ilvl w:val="0"/>
          <w:numId w:val="31"/>
        </w:numPr>
        <w:spacing w:after="120"/>
        <w:ind w:left="1701"/>
        <w:rPr>
          <w:rFonts w:cs="Arial"/>
          <w:bCs/>
        </w:rPr>
      </w:pPr>
      <w:r w:rsidRPr="0017186E">
        <w:rPr>
          <w:rFonts w:cs="Arial"/>
          <w:bCs/>
        </w:rPr>
        <w:t>PID</w:t>
      </w:r>
    </w:p>
    <w:p w14:paraId="4896991E" w14:textId="4A10E061" w:rsidR="00B04235" w:rsidRPr="0017186E" w:rsidRDefault="00B04235" w:rsidP="0017186E">
      <w:pPr>
        <w:pStyle w:val="ListParagraph"/>
        <w:numPr>
          <w:ilvl w:val="0"/>
          <w:numId w:val="31"/>
        </w:numPr>
        <w:spacing w:after="120"/>
        <w:ind w:left="1701"/>
        <w:rPr>
          <w:rFonts w:cs="Arial"/>
          <w:bCs/>
        </w:rPr>
      </w:pPr>
      <w:r w:rsidRPr="0017186E">
        <w:rPr>
          <w:rFonts w:cs="Arial"/>
          <w:bCs/>
        </w:rPr>
        <w:t xml:space="preserve">Court date </w:t>
      </w:r>
      <w:r w:rsidR="0017186E">
        <w:rPr>
          <w:rFonts w:cs="Arial"/>
          <w:bCs/>
        </w:rPr>
        <w:t xml:space="preserve">and relevant charge numbers </w:t>
      </w:r>
    </w:p>
    <w:p w14:paraId="542951CE" w14:textId="324A048B" w:rsidR="00B04235" w:rsidRPr="0017186E" w:rsidRDefault="00B04235" w:rsidP="0017186E">
      <w:pPr>
        <w:pStyle w:val="ListParagraph"/>
        <w:numPr>
          <w:ilvl w:val="0"/>
          <w:numId w:val="31"/>
        </w:numPr>
        <w:spacing w:after="120"/>
        <w:ind w:left="1701"/>
        <w:rPr>
          <w:rFonts w:cs="Arial"/>
          <w:bCs/>
        </w:rPr>
      </w:pPr>
      <w:r w:rsidRPr="0017186E">
        <w:rPr>
          <w:rFonts w:cs="Arial"/>
          <w:bCs/>
        </w:rPr>
        <w:t xml:space="preserve">Court </w:t>
      </w:r>
      <w:r w:rsidR="0017186E">
        <w:rPr>
          <w:rFonts w:cs="Arial"/>
          <w:bCs/>
        </w:rPr>
        <w:t>the</w:t>
      </w:r>
      <w:r w:rsidRPr="0017186E">
        <w:rPr>
          <w:rFonts w:cs="Arial"/>
          <w:bCs/>
        </w:rPr>
        <w:t xml:space="preserve"> detainee is to appear before </w:t>
      </w:r>
    </w:p>
    <w:p w14:paraId="0D9943D8" w14:textId="62C3EC31" w:rsidR="00B04235" w:rsidRPr="0017186E" w:rsidRDefault="0017186E" w:rsidP="0017186E">
      <w:pPr>
        <w:pStyle w:val="ListParagraph"/>
        <w:numPr>
          <w:ilvl w:val="0"/>
          <w:numId w:val="31"/>
        </w:numPr>
        <w:spacing w:after="120"/>
        <w:ind w:left="1701"/>
        <w:rPr>
          <w:rFonts w:cs="Arial"/>
          <w:bCs/>
        </w:rPr>
      </w:pPr>
      <w:r>
        <w:rPr>
          <w:rFonts w:cs="Arial"/>
          <w:bCs/>
        </w:rPr>
        <w:t>Relevant w</w:t>
      </w:r>
      <w:r w:rsidR="00B04235" w:rsidRPr="0017186E">
        <w:rPr>
          <w:rFonts w:cs="Arial"/>
          <w:bCs/>
        </w:rPr>
        <w:t xml:space="preserve">arrants and </w:t>
      </w:r>
      <w:r>
        <w:rPr>
          <w:rFonts w:cs="Arial"/>
          <w:bCs/>
        </w:rPr>
        <w:t>o</w:t>
      </w:r>
      <w:r w:rsidR="00B04235" w:rsidRPr="0017186E">
        <w:rPr>
          <w:rFonts w:cs="Arial"/>
          <w:bCs/>
        </w:rPr>
        <w:t>rder</w:t>
      </w:r>
      <w:r w:rsidR="00D10327" w:rsidRPr="0017186E">
        <w:rPr>
          <w:rFonts w:cs="Arial"/>
          <w:bCs/>
        </w:rPr>
        <w:t>s</w:t>
      </w:r>
      <w:r w:rsidR="00B04235" w:rsidRPr="0017186E">
        <w:rPr>
          <w:rFonts w:cs="Arial"/>
          <w:bCs/>
        </w:rPr>
        <w:t xml:space="preserve"> </w:t>
      </w:r>
    </w:p>
    <w:p w14:paraId="2B58E955" w14:textId="7CA80B7C" w:rsidR="00B04235" w:rsidRPr="0017186E" w:rsidRDefault="00B04235" w:rsidP="0017186E">
      <w:pPr>
        <w:pStyle w:val="ListParagraph"/>
        <w:numPr>
          <w:ilvl w:val="0"/>
          <w:numId w:val="31"/>
        </w:numPr>
        <w:spacing w:after="120"/>
        <w:ind w:left="1701"/>
        <w:rPr>
          <w:rFonts w:cs="Arial"/>
          <w:bCs/>
        </w:rPr>
      </w:pPr>
      <w:r w:rsidRPr="0017186E">
        <w:rPr>
          <w:rFonts w:cs="Arial"/>
          <w:bCs/>
        </w:rPr>
        <w:t>Email and telephone contact</w:t>
      </w:r>
      <w:r w:rsidR="0017186E">
        <w:rPr>
          <w:rFonts w:cs="Arial"/>
          <w:bCs/>
        </w:rPr>
        <w:t>s for</w:t>
      </w:r>
      <w:r w:rsidRPr="0017186E">
        <w:rPr>
          <w:rFonts w:cs="Arial"/>
          <w:bCs/>
        </w:rPr>
        <w:t xml:space="preserve"> the Sentence Administration </w:t>
      </w:r>
      <w:r w:rsidR="00D10327" w:rsidRPr="0017186E">
        <w:rPr>
          <w:rFonts w:cs="Arial"/>
          <w:bCs/>
        </w:rPr>
        <w:t>S</w:t>
      </w:r>
      <w:r w:rsidRPr="0017186E">
        <w:rPr>
          <w:rFonts w:cs="Arial"/>
          <w:bCs/>
        </w:rPr>
        <w:t>ection</w:t>
      </w:r>
      <w:r w:rsidR="0017186E">
        <w:rPr>
          <w:rFonts w:cs="Arial"/>
          <w:bCs/>
        </w:rPr>
        <w:t>.</w:t>
      </w:r>
    </w:p>
    <w:p w14:paraId="1CFEFDE8" w14:textId="3EC0DCDB" w:rsidR="00BD4FE0" w:rsidRDefault="00D57D04" w:rsidP="0017186E">
      <w:pPr>
        <w:pStyle w:val="ListParagraph"/>
        <w:numPr>
          <w:ilvl w:val="1"/>
          <w:numId w:val="25"/>
        </w:numPr>
        <w:spacing w:after="120"/>
        <w:ind w:left="567" w:hanging="567"/>
        <w:rPr>
          <w:rFonts w:cs="Arial"/>
          <w:bCs/>
        </w:rPr>
      </w:pPr>
      <w:r w:rsidRPr="002316F4">
        <w:rPr>
          <w:rFonts w:cs="Arial"/>
          <w:bCs/>
        </w:rPr>
        <w:t>The</w:t>
      </w:r>
      <w:r w:rsidR="0017186E">
        <w:rPr>
          <w:rFonts w:cs="Arial"/>
          <w:bCs/>
        </w:rPr>
        <w:t xml:space="preserve"> Sentence Administration Section </w:t>
      </w:r>
      <w:r w:rsidR="00F95C2C">
        <w:rPr>
          <w:rFonts w:cs="Arial"/>
          <w:bCs/>
        </w:rPr>
        <w:t xml:space="preserve">will </w:t>
      </w:r>
      <w:r w:rsidR="0017186E">
        <w:rPr>
          <w:rFonts w:cs="Arial"/>
          <w:bCs/>
        </w:rPr>
        <w:t xml:space="preserve">prepare a daily RTC Report that contains </w:t>
      </w:r>
      <w:r w:rsidR="00F95C2C">
        <w:rPr>
          <w:rFonts w:cs="Arial"/>
          <w:bCs/>
        </w:rPr>
        <w:t xml:space="preserve">the following information from the </w:t>
      </w:r>
      <w:r w:rsidR="0017186E">
        <w:rPr>
          <w:rFonts w:cs="Arial"/>
          <w:bCs/>
        </w:rPr>
        <w:t>RTC notifications for detainees attending court</w:t>
      </w:r>
      <w:r w:rsidR="00F95C2C">
        <w:rPr>
          <w:rFonts w:cs="Arial"/>
          <w:bCs/>
        </w:rPr>
        <w:t>:</w:t>
      </w:r>
    </w:p>
    <w:p w14:paraId="3221ABF5" w14:textId="373516C6" w:rsidR="00F95C2C" w:rsidRDefault="00F95C2C" w:rsidP="00F95C2C">
      <w:pPr>
        <w:pStyle w:val="ListParagraph"/>
        <w:numPr>
          <w:ilvl w:val="0"/>
          <w:numId w:val="33"/>
        </w:numPr>
        <w:ind w:left="1701"/>
        <w:rPr>
          <w:rFonts w:cs="Arial"/>
          <w:bCs/>
        </w:rPr>
      </w:pPr>
      <w:r>
        <w:rPr>
          <w:rFonts w:cs="Arial"/>
          <w:bCs/>
        </w:rPr>
        <w:t>Detainee name</w:t>
      </w:r>
    </w:p>
    <w:p w14:paraId="0AB77623" w14:textId="69D2B18B" w:rsidR="00F95C2C" w:rsidRDefault="00F95C2C" w:rsidP="00F95C2C">
      <w:pPr>
        <w:pStyle w:val="ListParagraph"/>
        <w:numPr>
          <w:ilvl w:val="0"/>
          <w:numId w:val="33"/>
        </w:numPr>
        <w:ind w:left="1701"/>
        <w:rPr>
          <w:rFonts w:cs="Arial"/>
          <w:bCs/>
        </w:rPr>
      </w:pPr>
      <w:r>
        <w:rPr>
          <w:rFonts w:cs="Arial"/>
          <w:bCs/>
        </w:rPr>
        <w:t>PID</w:t>
      </w:r>
    </w:p>
    <w:p w14:paraId="35ACDB0A" w14:textId="1B79FE68" w:rsidR="00F95C2C" w:rsidRPr="00F95C2C" w:rsidRDefault="00F95C2C" w:rsidP="00F95C2C">
      <w:pPr>
        <w:pStyle w:val="ListParagraph"/>
        <w:numPr>
          <w:ilvl w:val="0"/>
          <w:numId w:val="33"/>
        </w:numPr>
        <w:ind w:left="1701"/>
        <w:rPr>
          <w:rFonts w:cs="Arial"/>
          <w:bCs/>
        </w:rPr>
      </w:pPr>
      <w:r>
        <w:rPr>
          <w:rFonts w:cs="Arial"/>
          <w:bCs/>
        </w:rPr>
        <w:t>RTC</w:t>
      </w:r>
      <w:r w:rsidRPr="00F95C2C">
        <w:rPr>
          <w:rFonts w:cs="Arial"/>
          <w:bCs/>
        </w:rPr>
        <w:t xml:space="preserve"> </w:t>
      </w:r>
      <w:r>
        <w:rPr>
          <w:rFonts w:cs="Arial"/>
          <w:bCs/>
        </w:rPr>
        <w:t>next</w:t>
      </w:r>
      <w:r w:rsidRPr="00F95C2C">
        <w:rPr>
          <w:rFonts w:cs="Arial"/>
          <w:bCs/>
        </w:rPr>
        <w:t xml:space="preserve"> court date</w:t>
      </w:r>
    </w:p>
    <w:p w14:paraId="4CE0A318" w14:textId="15B4E2D5" w:rsidR="00F95C2C" w:rsidRPr="00F95C2C" w:rsidRDefault="00F95C2C" w:rsidP="00F95C2C">
      <w:pPr>
        <w:pStyle w:val="ListParagraph"/>
        <w:numPr>
          <w:ilvl w:val="0"/>
          <w:numId w:val="33"/>
        </w:numPr>
        <w:ind w:left="1701"/>
        <w:rPr>
          <w:rFonts w:cs="Arial"/>
          <w:bCs/>
        </w:rPr>
      </w:pPr>
      <w:r w:rsidRPr="00F95C2C">
        <w:rPr>
          <w:rFonts w:cs="Arial"/>
          <w:bCs/>
        </w:rPr>
        <w:t xml:space="preserve">Total number of detainees attending </w:t>
      </w:r>
      <w:r>
        <w:rPr>
          <w:rFonts w:cs="Arial"/>
          <w:bCs/>
        </w:rPr>
        <w:t>court with an</w:t>
      </w:r>
      <w:r w:rsidRPr="00F95C2C">
        <w:rPr>
          <w:rFonts w:cs="Arial"/>
          <w:bCs/>
        </w:rPr>
        <w:t xml:space="preserve"> </w:t>
      </w:r>
      <w:r>
        <w:rPr>
          <w:rFonts w:cs="Arial"/>
          <w:bCs/>
        </w:rPr>
        <w:t>RTC notification.</w:t>
      </w:r>
    </w:p>
    <w:p w14:paraId="5940DC48" w14:textId="1BE51F9D" w:rsidR="002316F4" w:rsidRPr="002316F4" w:rsidRDefault="009B3DD9" w:rsidP="0017186E">
      <w:pPr>
        <w:pStyle w:val="ListParagraph"/>
        <w:numPr>
          <w:ilvl w:val="1"/>
          <w:numId w:val="25"/>
        </w:numPr>
        <w:spacing w:after="120"/>
        <w:ind w:left="567" w:hanging="567"/>
        <w:rPr>
          <w:rFonts w:cs="Arial"/>
          <w:bCs/>
        </w:rPr>
      </w:pPr>
      <w:r w:rsidRPr="002316F4">
        <w:rPr>
          <w:rFonts w:cs="Arial"/>
          <w:bCs/>
        </w:rPr>
        <w:t xml:space="preserve">The Sentence Administration Section will </w:t>
      </w:r>
      <w:r w:rsidR="002316F4" w:rsidRPr="002316F4">
        <w:rPr>
          <w:rFonts w:cs="Arial"/>
          <w:bCs/>
        </w:rPr>
        <w:t xml:space="preserve">email </w:t>
      </w:r>
      <w:r w:rsidRPr="002316F4">
        <w:rPr>
          <w:rFonts w:cs="Arial"/>
          <w:bCs/>
        </w:rPr>
        <w:t xml:space="preserve">the RTC </w:t>
      </w:r>
      <w:r w:rsidR="0017186E">
        <w:rPr>
          <w:rFonts w:cs="Arial"/>
          <w:bCs/>
        </w:rPr>
        <w:t>R</w:t>
      </w:r>
      <w:r w:rsidRPr="002316F4">
        <w:rPr>
          <w:rFonts w:cs="Arial"/>
          <w:bCs/>
        </w:rPr>
        <w:t xml:space="preserve">eport to </w:t>
      </w:r>
      <w:hyperlink r:id="rId15" w:history="1">
        <w:r w:rsidR="002316F4" w:rsidRPr="00001A95">
          <w:rPr>
            <w:rStyle w:val="Hyperlink"/>
            <w:rFonts w:cs="Arial"/>
            <w:bCs/>
          </w:rPr>
          <w:t>CTU@act.gov.au</w:t>
        </w:r>
      </w:hyperlink>
      <w:r w:rsidR="002316F4">
        <w:rPr>
          <w:rFonts w:cs="Arial"/>
          <w:bCs/>
        </w:rPr>
        <w:t>,</w:t>
      </w:r>
    </w:p>
    <w:p w14:paraId="2329C0B2" w14:textId="2D0DAC19" w:rsidR="001C53B1" w:rsidRPr="00F95C2C" w:rsidRDefault="0017186E" w:rsidP="00F95C2C">
      <w:pPr>
        <w:pStyle w:val="ListParagraph"/>
        <w:spacing w:after="120"/>
        <w:ind w:left="567"/>
        <w:rPr>
          <w:rFonts w:cs="Arial"/>
          <w:bCs/>
        </w:rPr>
      </w:pPr>
      <w:r w:rsidRPr="0017186E">
        <w:rPr>
          <w:rFonts w:cs="Arial"/>
          <w:bCs/>
          <w:u w:val="single"/>
        </w:rPr>
        <w:t>AMC</w:t>
      </w:r>
      <w:hyperlink r:id="rId16" w:history="1">
        <w:r w:rsidRPr="00F56BD9">
          <w:rPr>
            <w:rStyle w:val="Hyperlink"/>
            <w:rFonts w:cs="Arial"/>
            <w:bCs/>
          </w:rPr>
          <w:t>.Admissions@act.gov.au</w:t>
        </w:r>
      </w:hyperlink>
      <w:r w:rsidR="009B3DD9" w:rsidRPr="002316F4">
        <w:rPr>
          <w:rFonts w:cs="Arial"/>
          <w:bCs/>
        </w:rPr>
        <w:t xml:space="preserve"> and </w:t>
      </w:r>
      <w:hyperlink r:id="rId17" w:history="1">
        <w:r w:rsidR="00F95C2C" w:rsidRPr="00F56BD9">
          <w:rPr>
            <w:rStyle w:val="Hyperlink"/>
            <w:rFonts w:cs="Arial"/>
            <w:bCs/>
          </w:rPr>
          <w:t>DPP.SentenceAdministrationBoard@act.gov.au</w:t>
        </w:r>
      </w:hyperlink>
      <w:r w:rsidR="009B3DD9" w:rsidRPr="002316F4">
        <w:rPr>
          <w:rFonts w:cs="Arial"/>
          <w:bCs/>
        </w:rPr>
        <w:t xml:space="preserve"> on</w:t>
      </w:r>
      <w:r w:rsidR="00F95C2C">
        <w:rPr>
          <w:rFonts w:cs="Arial"/>
          <w:bCs/>
        </w:rPr>
        <w:t>e (1) business day</w:t>
      </w:r>
      <w:r w:rsidR="009B3DD9" w:rsidRPr="002316F4">
        <w:rPr>
          <w:rFonts w:cs="Arial"/>
          <w:bCs/>
        </w:rPr>
        <w:t xml:space="preserve"> </w:t>
      </w:r>
      <w:r w:rsidR="00F95C2C">
        <w:rPr>
          <w:rFonts w:cs="Arial"/>
          <w:bCs/>
        </w:rPr>
        <w:t xml:space="preserve">prior to the relevant date. </w:t>
      </w:r>
    </w:p>
    <w:p w14:paraId="4E46B118" w14:textId="1C51613E" w:rsidR="009E25D6" w:rsidRDefault="00F95C2C" w:rsidP="0017186E">
      <w:pPr>
        <w:pStyle w:val="ListParagraph"/>
        <w:numPr>
          <w:ilvl w:val="1"/>
          <w:numId w:val="25"/>
        </w:numPr>
        <w:spacing w:after="120"/>
        <w:ind w:left="567" w:hanging="567"/>
        <w:rPr>
          <w:rFonts w:cs="Arial"/>
          <w:bCs/>
        </w:rPr>
      </w:pPr>
      <w:r>
        <w:rPr>
          <w:rFonts w:cs="Arial"/>
          <w:bCs/>
        </w:rPr>
        <w:t>Where there is a discrepancy or query in relation to releasing a detainee, it is the responsibility of t</w:t>
      </w:r>
      <w:r w:rsidR="00BD4FE0" w:rsidRPr="00BD4FE0">
        <w:rPr>
          <w:rFonts w:cs="Arial"/>
          <w:bCs/>
        </w:rPr>
        <w:t xml:space="preserve">he Sentence Administration </w:t>
      </w:r>
      <w:r w:rsidR="001C6F85">
        <w:rPr>
          <w:rFonts w:cs="Arial"/>
          <w:bCs/>
        </w:rPr>
        <w:t>S</w:t>
      </w:r>
      <w:r w:rsidR="00BD4FE0" w:rsidRPr="00BD4FE0">
        <w:rPr>
          <w:rFonts w:cs="Arial"/>
          <w:bCs/>
        </w:rPr>
        <w:t xml:space="preserve">ection </w:t>
      </w:r>
      <w:r>
        <w:rPr>
          <w:rFonts w:cs="Arial"/>
          <w:bCs/>
        </w:rPr>
        <w:t>to obtain clarification from ACT</w:t>
      </w:r>
      <w:r w:rsidR="00BD4FE0" w:rsidRPr="00BD4FE0">
        <w:rPr>
          <w:rFonts w:cs="Arial"/>
          <w:bCs/>
        </w:rPr>
        <w:t xml:space="preserve"> Court</w:t>
      </w:r>
      <w:r w:rsidR="00BD4FE0">
        <w:rPr>
          <w:rFonts w:cs="Arial"/>
          <w:bCs/>
        </w:rPr>
        <w:t>s</w:t>
      </w:r>
      <w:r>
        <w:rPr>
          <w:rFonts w:cs="Arial"/>
          <w:bCs/>
        </w:rPr>
        <w:t xml:space="preserve"> and Tribunal</w:t>
      </w:r>
      <w:r w:rsidR="00BD4FE0" w:rsidRPr="00BD4FE0">
        <w:rPr>
          <w:rFonts w:cs="Arial"/>
          <w:bCs/>
        </w:rPr>
        <w:t xml:space="preserve"> </w:t>
      </w:r>
      <w:r>
        <w:rPr>
          <w:rFonts w:cs="Arial"/>
          <w:bCs/>
        </w:rPr>
        <w:t>and/or the Office of the Director of</w:t>
      </w:r>
      <w:r w:rsidR="00BD4FE0" w:rsidRPr="00BD4FE0">
        <w:rPr>
          <w:rFonts w:cs="Arial"/>
          <w:bCs/>
        </w:rPr>
        <w:t xml:space="preserve"> Public </w:t>
      </w:r>
      <w:r w:rsidR="00D10327">
        <w:rPr>
          <w:rFonts w:cs="Arial"/>
          <w:bCs/>
        </w:rPr>
        <w:t>P</w:t>
      </w:r>
      <w:r w:rsidR="00BD4FE0" w:rsidRPr="00BD4FE0">
        <w:rPr>
          <w:rFonts w:cs="Arial"/>
          <w:bCs/>
        </w:rPr>
        <w:t>rosecutions on behalf of ACT</w:t>
      </w:r>
      <w:r>
        <w:rPr>
          <w:rFonts w:cs="Arial"/>
          <w:bCs/>
        </w:rPr>
        <w:t xml:space="preserve"> Corrective Services.</w:t>
      </w:r>
    </w:p>
    <w:p w14:paraId="105B021A" w14:textId="4DA8479C" w:rsidR="00D10327" w:rsidRDefault="00D10327" w:rsidP="00D10327">
      <w:pPr>
        <w:pStyle w:val="ListParagraph"/>
        <w:ind w:left="927"/>
        <w:rPr>
          <w:rFonts w:cs="Arial"/>
          <w:bCs/>
        </w:rPr>
      </w:pPr>
    </w:p>
    <w:p w14:paraId="4BD008F5" w14:textId="77777777" w:rsidR="007A400C" w:rsidRPr="00BD4FE0" w:rsidRDefault="007A400C" w:rsidP="00D10327">
      <w:pPr>
        <w:pStyle w:val="ListParagraph"/>
        <w:ind w:left="927"/>
        <w:rPr>
          <w:rFonts w:cs="Arial"/>
          <w:bCs/>
        </w:rPr>
      </w:pPr>
    </w:p>
    <w:p w14:paraId="6A3FDEB4" w14:textId="3AA06F02" w:rsidR="001C53B1" w:rsidRDefault="001C53B1" w:rsidP="00C209D7">
      <w:pPr>
        <w:pStyle w:val="ListParagraph"/>
        <w:numPr>
          <w:ilvl w:val="0"/>
          <w:numId w:val="18"/>
        </w:numPr>
        <w:ind w:left="567" w:hanging="567"/>
        <w:rPr>
          <w:rFonts w:cs="Arial"/>
          <w:b/>
        </w:rPr>
      </w:pPr>
      <w:r w:rsidRPr="00D10327">
        <w:rPr>
          <w:rFonts w:cs="Arial"/>
          <w:b/>
        </w:rPr>
        <w:lastRenderedPageBreak/>
        <w:t>Admissions</w:t>
      </w:r>
      <w:r w:rsidR="00CC2E01">
        <w:rPr>
          <w:rFonts w:cs="Arial"/>
          <w:b/>
        </w:rPr>
        <w:t xml:space="preserve"> Officer</w:t>
      </w:r>
    </w:p>
    <w:p w14:paraId="3A637EA9" w14:textId="433F4E1E" w:rsidR="00925E58" w:rsidRDefault="00925E58" w:rsidP="00C209D7">
      <w:pPr>
        <w:pStyle w:val="ListParagraph"/>
        <w:numPr>
          <w:ilvl w:val="1"/>
          <w:numId w:val="27"/>
        </w:numPr>
        <w:spacing w:after="0"/>
        <w:ind w:left="567" w:hanging="567"/>
      </w:pPr>
      <w:r>
        <w:t xml:space="preserve">The </w:t>
      </w:r>
      <w:r w:rsidR="00FB3DFD">
        <w:t>A</w:t>
      </w:r>
      <w:r>
        <w:t xml:space="preserve">dmissions </w:t>
      </w:r>
      <w:r w:rsidR="00FB3DFD">
        <w:t>O</w:t>
      </w:r>
      <w:r>
        <w:t xml:space="preserve">fficer </w:t>
      </w:r>
      <w:r w:rsidR="00FB3DFD">
        <w:t xml:space="preserve">will review the RTC Report each day and </w:t>
      </w:r>
      <w:r>
        <w:t xml:space="preserve">indicate on the </w:t>
      </w:r>
      <w:r w:rsidR="00F30A8C">
        <w:t>escort sheet</w:t>
      </w:r>
      <w:r w:rsidR="00FB3DFD">
        <w:t xml:space="preserve"> for a detainee</w:t>
      </w:r>
      <w:r>
        <w:t xml:space="preserve"> </w:t>
      </w:r>
      <w:r w:rsidR="00FB3DFD">
        <w:t xml:space="preserve">whether they have </w:t>
      </w:r>
      <w:r>
        <w:t>a return to custody notification</w:t>
      </w:r>
      <w:r w:rsidR="00FB3DFD">
        <w:t>, including for detainees attending bail matters via Audio Visual Link from the Alexander Maconochie Centre (AMC).</w:t>
      </w:r>
    </w:p>
    <w:p w14:paraId="1265CE72" w14:textId="359AE90E" w:rsidR="002D5A26" w:rsidRDefault="002D5A26" w:rsidP="00C209D7">
      <w:pPr>
        <w:pStyle w:val="ListParagraph"/>
        <w:numPr>
          <w:ilvl w:val="1"/>
          <w:numId w:val="27"/>
        </w:numPr>
        <w:spacing w:after="0"/>
        <w:ind w:left="567" w:hanging="567"/>
      </w:pPr>
      <w:r>
        <w:t xml:space="preserve">Admissions Officers must obtain written confirmation from the Sentence Administration Section prior to releasing a detainee with </w:t>
      </w:r>
      <w:r w:rsidR="00077C2C">
        <w:t>an</w:t>
      </w:r>
      <w:r>
        <w:t xml:space="preserve"> RTC notification, including for detainees who have been granted release on day bail.</w:t>
      </w:r>
    </w:p>
    <w:p w14:paraId="53E70962" w14:textId="77777777" w:rsidR="00C209D7" w:rsidRDefault="00C209D7" w:rsidP="00C209D7">
      <w:pPr>
        <w:pStyle w:val="ListParagraph"/>
        <w:spacing w:after="0"/>
        <w:ind w:left="567"/>
      </w:pPr>
    </w:p>
    <w:p w14:paraId="76A5A8AE" w14:textId="08CA9F82" w:rsidR="00925E58" w:rsidRPr="009376C3" w:rsidRDefault="00925E58" w:rsidP="00C209D7">
      <w:pPr>
        <w:pStyle w:val="ListParagraph"/>
        <w:numPr>
          <w:ilvl w:val="0"/>
          <w:numId w:val="18"/>
        </w:numPr>
        <w:spacing w:after="0"/>
        <w:ind w:left="567" w:hanging="567"/>
        <w:rPr>
          <w:b/>
          <w:bCs/>
        </w:rPr>
      </w:pPr>
      <w:r w:rsidRPr="009376C3">
        <w:rPr>
          <w:b/>
          <w:bCs/>
        </w:rPr>
        <w:t xml:space="preserve">Court </w:t>
      </w:r>
      <w:r w:rsidR="009376C3">
        <w:rPr>
          <w:b/>
          <w:bCs/>
        </w:rPr>
        <w:t>T</w:t>
      </w:r>
      <w:r w:rsidRPr="009376C3">
        <w:rPr>
          <w:b/>
          <w:bCs/>
        </w:rPr>
        <w:t xml:space="preserve">ransport Unit </w:t>
      </w:r>
      <w:r w:rsidR="00077C2C">
        <w:rPr>
          <w:b/>
          <w:bCs/>
        </w:rPr>
        <w:t xml:space="preserve">(CTU) </w:t>
      </w:r>
      <w:r w:rsidRPr="009376C3">
        <w:rPr>
          <w:b/>
          <w:bCs/>
        </w:rPr>
        <w:t>Operations</w:t>
      </w:r>
    </w:p>
    <w:p w14:paraId="4A1E2AFA" w14:textId="3BC7C806" w:rsidR="00925E58" w:rsidRDefault="00822515" w:rsidP="00C209D7">
      <w:pPr>
        <w:pStyle w:val="ListParagraph"/>
        <w:numPr>
          <w:ilvl w:val="1"/>
          <w:numId w:val="28"/>
        </w:numPr>
        <w:spacing w:after="0"/>
        <w:ind w:left="567" w:hanging="567"/>
      </w:pPr>
      <w:r>
        <w:t>The CTU</w:t>
      </w:r>
      <w:r w:rsidR="00077C2C">
        <w:t xml:space="preserve"> Officer-in-Charge (OIC)</w:t>
      </w:r>
      <w:r>
        <w:t xml:space="preserve"> </w:t>
      </w:r>
      <w:r w:rsidR="00077C2C">
        <w:t>must check the RTC Report each day</w:t>
      </w:r>
      <w:r>
        <w:t xml:space="preserve"> </w:t>
      </w:r>
      <w:r w:rsidR="00077C2C">
        <w:t>for all detainees escorted to the courts and ensure all CTU officers are aware of RTC notifications for detainees.</w:t>
      </w:r>
    </w:p>
    <w:p w14:paraId="7DD849F2" w14:textId="7A516BD6" w:rsidR="00822515" w:rsidRDefault="00F30A8C" w:rsidP="00C209D7">
      <w:pPr>
        <w:pStyle w:val="ListParagraph"/>
        <w:numPr>
          <w:ilvl w:val="1"/>
          <w:numId w:val="28"/>
        </w:numPr>
        <w:spacing w:after="0"/>
        <w:ind w:left="567" w:hanging="567"/>
      </w:pPr>
      <w:r>
        <w:t xml:space="preserve">The </w:t>
      </w:r>
      <w:r w:rsidR="00077C2C">
        <w:t xml:space="preserve">CTU OIC must ensure that the </w:t>
      </w:r>
      <w:r>
        <w:t>RTC status</w:t>
      </w:r>
      <w:r w:rsidR="00077C2C">
        <w:t xml:space="preserve"> for each detainee is</w:t>
      </w:r>
      <w:r>
        <w:t xml:space="preserve"> recorded on the daily court result </w:t>
      </w:r>
      <w:r w:rsidR="001D3470">
        <w:t xml:space="preserve">sheet </w:t>
      </w:r>
      <w:r>
        <w:t>in the CTU control room.</w:t>
      </w:r>
      <w:r w:rsidR="00663763">
        <w:t xml:space="preserve"> </w:t>
      </w:r>
    </w:p>
    <w:p w14:paraId="6CC41260" w14:textId="0C434D75" w:rsidR="00077C2C" w:rsidRDefault="00077C2C" w:rsidP="00077C2C">
      <w:pPr>
        <w:pStyle w:val="ListParagraph"/>
        <w:numPr>
          <w:ilvl w:val="1"/>
          <w:numId w:val="28"/>
        </w:numPr>
        <w:spacing w:after="0"/>
        <w:ind w:left="567" w:hanging="567"/>
      </w:pPr>
      <w:r>
        <w:t xml:space="preserve">Where a CTU officer believes a detainee may be released by the court, they must contact </w:t>
      </w:r>
      <w:r w:rsidR="00565E3C" w:rsidRPr="00D87568">
        <w:t xml:space="preserve">the </w:t>
      </w:r>
      <w:r>
        <w:t xml:space="preserve">CTU </w:t>
      </w:r>
      <w:r w:rsidR="00822515">
        <w:t xml:space="preserve">OIC </w:t>
      </w:r>
      <w:r w:rsidR="00565E3C" w:rsidRPr="00D87568">
        <w:t xml:space="preserve">via radio </w:t>
      </w:r>
      <w:r w:rsidR="00565E3C">
        <w:t>to</w:t>
      </w:r>
      <w:r w:rsidR="00565E3C" w:rsidRPr="00D87568">
        <w:t xml:space="preserve"> </w:t>
      </w:r>
      <w:r w:rsidR="00565E3C">
        <w:t>confirm</w:t>
      </w:r>
      <w:r w:rsidR="007144FD">
        <w:t xml:space="preserve"> the RTC status of the detainee.</w:t>
      </w:r>
    </w:p>
    <w:p w14:paraId="54411A0A" w14:textId="73DD9DEB" w:rsidR="007144FD" w:rsidRDefault="00077C2C" w:rsidP="00077C2C">
      <w:pPr>
        <w:pStyle w:val="ListParagraph"/>
        <w:numPr>
          <w:ilvl w:val="1"/>
          <w:numId w:val="28"/>
        </w:numPr>
        <w:spacing w:after="0"/>
        <w:ind w:left="567" w:hanging="567"/>
      </w:pPr>
      <w:r>
        <w:t>Under section 3.3, t</w:t>
      </w:r>
      <w:r w:rsidR="00565E3C" w:rsidRPr="00D87568">
        <w:t>he</w:t>
      </w:r>
      <w:r w:rsidR="00565E3C">
        <w:t xml:space="preserve"> </w:t>
      </w:r>
      <w:r>
        <w:t xml:space="preserve">CTU </w:t>
      </w:r>
      <w:r w:rsidR="00925E58">
        <w:t>OIC</w:t>
      </w:r>
      <w:r w:rsidR="00565E3C">
        <w:t xml:space="preserve"> must</w:t>
      </w:r>
      <w:r w:rsidR="007144FD">
        <w:t>:</w:t>
      </w:r>
    </w:p>
    <w:p w14:paraId="6090DC8E" w14:textId="1C6C408B" w:rsidR="007144FD" w:rsidRDefault="007144FD" w:rsidP="009376C3">
      <w:pPr>
        <w:pStyle w:val="ListParagraph"/>
        <w:numPr>
          <w:ilvl w:val="0"/>
          <w:numId w:val="29"/>
        </w:numPr>
        <w:spacing w:after="0"/>
        <w:contextualSpacing w:val="0"/>
      </w:pPr>
      <w:r>
        <w:t>i</w:t>
      </w:r>
      <w:r w:rsidR="00565E3C" w:rsidRPr="00D87568">
        <w:t>mmediately conduct a</w:t>
      </w:r>
      <w:r w:rsidR="00565E3C">
        <w:t xml:space="preserve"> status</w:t>
      </w:r>
      <w:r w:rsidR="00565E3C" w:rsidRPr="00D87568">
        <w:t xml:space="preserve"> check on the</w:t>
      </w:r>
      <w:r w:rsidR="00077C2C">
        <w:t xml:space="preserve"> detainee’s</w:t>
      </w:r>
      <w:r w:rsidR="00565E3C" w:rsidRPr="00D87568">
        <w:t xml:space="preserve"> </w:t>
      </w:r>
      <w:r w:rsidR="00535DDC">
        <w:t xml:space="preserve">electronic </w:t>
      </w:r>
      <w:r w:rsidR="009376C3">
        <w:t xml:space="preserve">record </w:t>
      </w:r>
      <w:r w:rsidR="00077C2C">
        <w:t xml:space="preserve">system </w:t>
      </w:r>
      <w:r w:rsidR="009376C3">
        <w:t xml:space="preserve">and </w:t>
      </w:r>
      <w:r w:rsidR="00077C2C">
        <w:t xml:space="preserve">the </w:t>
      </w:r>
      <w:r w:rsidR="009376C3">
        <w:t xml:space="preserve">RTC </w:t>
      </w:r>
      <w:r w:rsidR="00077C2C">
        <w:t>R</w:t>
      </w:r>
      <w:r w:rsidR="009376C3">
        <w:t>eport</w:t>
      </w:r>
      <w:r w:rsidR="00565E3C">
        <w:t xml:space="preserve"> </w:t>
      </w:r>
    </w:p>
    <w:p w14:paraId="45F79C65" w14:textId="4D4C9007" w:rsidR="009376C3" w:rsidRDefault="00077C2C" w:rsidP="009376C3">
      <w:pPr>
        <w:pStyle w:val="ListParagraph"/>
        <w:numPr>
          <w:ilvl w:val="0"/>
          <w:numId w:val="29"/>
        </w:numPr>
        <w:spacing w:after="0"/>
        <w:contextualSpacing w:val="0"/>
      </w:pPr>
      <w:r>
        <w:t>where</w:t>
      </w:r>
      <w:r w:rsidR="009376C3">
        <w:t xml:space="preserve"> the detainee has a</w:t>
      </w:r>
      <w:r w:rsidR="00E22D88">
        <w:t>n</w:t>
      </w:r>
      <w:r w:rsidR="009376C3">
        <w:t xml:space="preserve"> RTC notification and the outstanding matters have not been heard by the court</w:t>
      </w:r>
      <w:r w:rsidR="00E22D88">
        <w:t>,</w:t>
      </w:r>
      <w:r w:rsidR="009376C3">
        <w:t xml:space="preserve"> </w:t>
      </w:r>
      <w:r w:rsidR="00565E3C">
        <w:t>contact the Sentence Administration Section</w:t>
      </w:r>
      <w:r w:rsidR="00535DDC">
        <w:t xml:space="preserve"> </w:t>
      </w:r>
      <w:r w:rsidR="00565E3C">
        <w:t xml:space="preserve">by telephone </w:t>
      </w:r>
      <w:r w:rsidR="00E22D88">
        <w:t>for clarification</w:t>
      </w:r>
      <w:r>
        <w:t xml:space="preserve"> and to request written confirmation on releasing the detainee</w:t>
      </w:r>
      <w:r w:rsidRPr="00077C2C">
        <w:t xml:space="preserve"> </w:t>
      </w:r>
      <w:r>
        <w:t xml:space="preserve">to </w:t>
      </w:r>
      <w:hyperlink r:id="rId18" w:history="1">
        <w:r w:rsidRPr="00001A95">
          <w:rPr>
            <w:rStyle w:val="Hyperlink"/>
          </w:rPr>
          <w:t>CTU@act.gov.au</w:t>
        </w:r>
      </w:hyperlink>
      <w:r>
        <w:rPr>
          <w:rStyle w:val="Hyperlink"/>
          <w:u w:val="none"/>
        </w:rPr>
        <w:t>.</w:t>
      </w:r>
    </w:p>
    <w:p w14:paraId="26E7C53D" w14:textId="77777777" w:rsidR="00077C2C" w:rsidRDefault="00077C2C" w:rsidP="00077C2C">
      <w:pPr>
        <w:pStyle w:val="ListParagraph"/>
        <w:numPr>
          <w:ilvl w:val="1"/>
          <w:numId w:val="28"/>
        </w:numPr>
        <w:spacing w:after="0"/>
        <w:ind w:left="567" w:hanging="567"/>
      </w:pPr>
      <w:bookmarkStart w:id="2" w:name="_Hlk35003470"/>
      <w:r>
        <w:t xml:space="preserve">The CTU OIC will </w:t>
      </w:r>
      <w:r w:rsidRPr="00077C2C">
        <w:t>confirm whether the detainee can be released</w:t>
      </w:r>
      <w:r>
        <w:t xml:space="preserve"> to the requesting CTU officer</w:t>
      </w:r>
      <w:r w:rsidRPr="00077C2C">
        <w:t>.</w:t>
      </w:r>
      <w:bookmarkEnd w:id="2"/>
    </w:p>
    <w:p w14:paraId="1E83510E" w14:textId="25979F51" w:rsidR="00077C2C" w:rsidRPr="00077C2C" w:rsidRDefault="00077C2C" w:rsidP="00077C2C">
      <w:pPr>
        <w:pStyle w:val="ListParagraph"/>
        <w:numPr>
          <w:ilvl w:val="1"/>
          <w:numId w:val="28"/>
        </w:numPr>
        <w:spacing w:after="0"/>
        <w:ind w:left="567" w:hanging="567"/>
      </w:pPr>
      <w:r>
        <w:t>CTU o</w:t>
      </w:r>
      <w:r w:rsidRPr="00077C2C">
        <w:t>fficers must obtain written confirmation from the Sentence Administration Section prior to releasing a detainee with an RTC notification</w:t>
      </w:r>
      <w:r>
        <w:t>.</w:t>
      </w:r>
    </w:p>
    <w:p w14:paraId="7A8B5CEF" w14:textId="74829A13" w:rsidR="00565E3C" w:rsidRDefault="003E0349" w:rsidP="009E25D6">
      <w:pPr>
        <w:spacing w:after="0"/>
      </w:pPr>
      <w:r>
        <w:br/>
      </w:r>
    </w:p>
    <w:p w14:paraId="4F793CE0" w14:textId="23A57938" w:rsidR="00CF03FA" w:rsidRPr="00F81FF3" w:rsidRDefault="004B4139" w:rsidP="005E011D">
      <w:pPr>
        <w:rPr>
          <w:rFonts w:cs="Arial"/>
          <w:b/>
        </w:rPr>
      </w:pPr>
      <w:r>
        <w:rPr>
          <w:rFonts w:cs="Arial"/>
          <w:b/>
        </w:rPr>
        <w:t>RELATED DOCUMENTS</w:t>
      </w:r>
      <w:r w:rsidR="007B3718" w:rsidRPr="00F81FF3">
        <w:rPr>
          <w:rFonts w:cs="Arial"/>
          <w:b/>
        </w:rPr>
        <w:t xml:space="preserve"> </w:t>
      </w:r>
      <w:r w:rsidR="00C209D7">
        <w:rPr>
          <w:rFonts w:cs="Arial"/>
          <w:b/>
        </w:rPr>
        <w:t>AND FORMS</w:t>
      </w:r>
    </w:p>
    <w:p w14:paraId="442B799D" w14:textId="395924B4" w:rsidR="00E22D88" w:rsidRDefault="00E22D88" w:rsidP="0064186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Administration of Warrants </w:t>
      </w:r>
      <w:r w:rsidR="00CC2E01">
        <w:rPr>
          <w:rFonts w:cs="Arial"/>
        </w:rPr>
        <w:t>Operating P</w:t>
      </w:r>
      <w:r>
        <w:rPr>
          <w:rFonts w:cs="Arial"/>
        </w:rPr>
        <w:t>rocedure</w:t>
      </w:r>
    </w:p>
    <w:p w14:paraId="0C4793E2" w14:textId="60410FDD" w:rsidR="00B27465" w:rsidRDefault="00D20375" w:rsidP="004B4139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Detainee Transfer </w:t>
      </w:r>
      <w:r w:rsidR="00C209D7">
        <w:rPr>
          <w:rFonts w:cs="Arial"/>
        </w:rPr>
        <w:t>F</w:t>
      </w:r>
      <w:r>
        <w:rPr>
          <w:rFonts w:cs="Arial"/>
        </w:rPr>
        <w:t>orm</w:t>
      </w:r>
    </w:p>
    <w:p w14:paraId="0B1F7088" w14:textId="77777777" w:rsidR="00673116" w:rsidRDefault="00673116" w:rsidP="004B4139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Detainee Escort Sheet</w:t>
      </w:r>
    </w:p>
    <w:p w14:paraId="502CBE4A" w14:textId="37CF6CFA" w:rsidR="00673116" w:rsidRDefault="00673116" w:rsidP="00292B25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cs="Arial"/>
        </w:rPr>
      </w:pPr>
      <w:r>
        <w:rPr>
          <w:rFonts w:cs="Arial"/>
        </w:rPr>
        <w:t xml:space="preserve">Return to </w:t>
      </w:r>
      <w:r w:rsidR="00E22D88">
        <w:rPr>
          <w:rFonts w:cs="Arial"/>
        </w:rPr>
        <w:t>Custody Notification</w:t>
      </w:r>
    </w:p>
    <w:p w14:paraId="2B949713" w14:textId="7AF1F6B1" w:rsidR="00CC2E01" w:rsidRDefault="00CC2E01" w:rsidP="00292B25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cs="Arial"/>
        </w:rPr>
      </w:pPr>
      <w:r>
        <w:rPr>
          <w:rFonts w:cs="Arial"/>
        </w:rPr>
        <w:t>Return to Custody Report</w:t>
      </w:r>
    </w:p>
    <w:p w14:paraId="5F8CEF27" w14:textId="77777777" w:rsidR="007144FD" w:rsidRDefault="007144FD" w:rsidP="004B4139">
      <w:pPr>
        <w:pStyle w:val="NoSpacing"/>
      </w:pPr>
    </w:p>
    <w:p w14:paraId="3CBF95F1" w14:textId="3B0A84FA" w:rsidR="007144FD" w:rsidRDefault="007144FD" w:rsidP="004B4139">
      <w:pPr>
        <w:pStyle w:val="NoSpacing"/>
      </w:pPr>
    </w:p>
    <w:p w14:paraId="1D9C2FAF" w14:textId="0BDDFD48" w:rsidR="00C209D7" w:rsidRDefault="00C209D7" w:rsidP="004B4139">
      <w:pPr>
        <w:pStyle w:val="NoSpacing"/>
      </w:pPr>
    </w:p>
    <w:p w14:paraId="5E4A692E" w14:textId="67B1E220" w:rsidR="00C209D7" w:rsidRDefault="00C209D7" w:rsidP="004B4139">
      <w:pPr>
        <w:pStyle w:val="NoSpacing"/>
      </w:pPr>
    </w:p>
    <w:p w14:paraId="2E3CCC5A" w14:textId="2A18A4A3" w:rsidR="00C209D7" w:rsidRDefault="00C209D7" w:rsidP="004B4139">
      <w:pPr>
        <w:pStyle w:val="NoSpacing"/>
      </w:pPr>
    </w:p>
    <w:p w14:paraId="0E70CD32" w14:textId="77777777" w:rsidR="00E50533" w:rsidRDefault="00E50533" w:rsidP="004B4139">
      <w:pPr>
        <w:pStyle w:val="NoSpacing"/>
      </w:pPr>
    </w:p>
    <w:p w14:paraId="1CE8122C" w14:textId="5C6EF299" w:rsidR="004B4139" w:rsidRDefault="00C209D7" w:rsidP="004B4139">
      <w:pPr>
        <w:pStyle w:val="NoSpacing"/>
      </w:pPr>
      <w:r>
        <w:t>Corinne Justason</w:t>
      </w:r>
    </w:p>
    <w:p w14:paraId="0E0DF0BD" w14:textId="1083B35A" w:rsidR="00193865" w:rsidRDefault="00C209D7" w:rsidP="004B4139">
      <w:pPr>
        <w:pStyle w:val="NoSpacing"/>
      </w:pPr>
      <w:r>
        <w:t>Deputy Commissioner Custodial Operations</w:t>
      </w:r>
    </w:p>
    <w:p w14:paraId="47D93277" w14:textId="77777777" w:rsidR="004B4139" w:rsidRDefault="004B4139" w:rsidP="004B4139">
      <w:pPr>
        <w:pStyle w:val="NoSpacing"/>
      </w:pPr>
      <w:r>
        <w:t>ACT</w:t>
      </w:r>
      <w:r w:rsidR="00193865">
        <w:t xml:space="preserve"> </w:t>
      </w:r>
      <w:r>
        <w:t>C</w:t>
      </w:r>
      <w:r w:rsidR="00193865">
        <w:t xml:space="preserve">orrective </w:t>
      </w:r>
      <w:r>
        <w:t>S</w:t>
      </w:r>
      <w:r w:rsidR="00193865">
        <w:t>ervices</w:t>
      </w:r>
    </w:p>
    <w:p w14:paraId="7271D4B9" w14:textId="77348EFA" w:rsidR="004B4139" w:rsidRDefault="006A680B" w:rsidP="004B4139">
      <w:pPr>
        <w:pStyle w:val="NoSpacing"/>
      </w:pPr>
      <w:r>
        <w:t>22</w:t>
      </w:r>
      <w:r w:rsidR="00C209D7">
        <w:t xml:space="preserve"> </w:t>
      </w:r>
      <w:r w:rsidR="00845BC9">
        <w:t>June</w:t>
      </w:r>
      <w:r w:rsidR="00C209D7">
        <w:t xml:space="preserve"> 2020</w:t>
      </w:r>
    </w:p>
    <w:p w14:paraId="13FAA0B7" w14:textId="77777777" w:rsidR="004B4139" w:rsidRPr="00B84A5B" w:rsidRDefault="004B4139" w:rsidP="004B4139">
      <w:pPr>
        <w:pStyle w:val="NoSpacing"/>
      </w:pP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</w:tblGrid>
      <w:tr w:rsidR="005E011D" w:rsidRPr="00586F66" w14:paraId="22F00B7E" w14:textId="77777777" w:rsidTr="00840B46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FEEDA7" w14:textId="77777777" w:rsidR="005E011D" w:rsidRPr="00586F66" w:rsidRDefault="005E011D" w:rsidP="007E688D">
            <w:pPr>
              <w:rPr>
                <w:sz w:val="20"/>
                <w:szCs w:val="20"/>
              </w:rPr>
            </w:pPr>
          </w:p>
        </w:tc>
      </w:tr>
    </w:tbl>
    <w:p w14:paraId="25C80F6E" w14:textId="77777777" w:rsidR="007E688D" w:rsidRPr="00586F66" w:rsidRDefault="007E688D" w:rsidP="00681C03">
      <w:pPr>
        <w:keepNext/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7E688D" w:rsidRPr="00586F66" w14:paraId="0F55629E" w14:textId="77777777" w:rsidTr="009F143C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04C8F4" w14:textId="77777777" w:rsidR="007E688D" w:rsidRPr="00586F66" w:rsidRDefault="007E688D" w:rsidP="009F143C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9DF1E2" w14:textId="77777777" w:rsidR="007E688D" w:rsidRPr="00586F66" w:rsidRDefault="007E688D" w:rsidP="009F143C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7E688D" w:rsidRPr="00586F66" w14:paraId="7962EC99" w14:textId="77777777" w:rsidTr="009F143C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B4F002" w14:textId="77777777" w:rsidR="007E688D" w:rsidRPr="00586F66" w:rsidRDefault="007E688D" w:rsidP="009F143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D6867CD" w14:textId="648E9965" w:rsidR="007E688D" w:rsidRPr="00586F66" w:rsidRDefault="007E688D" w:rsidP="009F143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2512E1">
              <w:rPr>
                <w:rFonts w:asciiTheme="minorHAnsi" w:hAnsiTheme="minorHAnsi"/>
                <w:sz w:val="20"/>
                <w:szCs w:val="20"/>
              </w:rPr>
              <w:t xml:space="preserve">Corrections Management (Management of </w:t>
            </w:r>
            <w:r>
              <w:rPr>
                <w:rFonts w:asciiTheme="minorHAnsi" w:hAnsiTheme="minorHAnsi"/>
                <w:sz w:val="20"/>
                <w:szCs w:val="20"/>
              </w:rPr>
              <w:t>Return to Custody Notifications</w:t>
            </w:r>
            <w:r w:rsidRPr="002512E1">
              <w:rPr>
                <w:rFonts w:asciiTheme="minorHAnsi" w:hAnsiTheme="minorHAnsi"/>
                <w:sz w:val="20"/>
                <w:szCs w:val="20"/>
              </w:rPr>
              <w:t>) Operating Procedure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7E688D" w:rsidRPr="00586F66" w14:paraId="347BB0D1" w14:textId="77777777" w:rsidTr="009F143C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31BB492" w14:textId="77777777" w:rsidR="007E688D" w:rsidRPr="00586F66" w:rsidRDefault="007E688D" w:rsidP="009F143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8EB4325" w14:textId="22A7F216" w:rsidR="007E688D" w:rsidRPr="00586F66" w:rsidRDefault="00F67AD5" w:rsidP="009F143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Deputy </w:t>
            </w:r>
            <w:r w:rsidR="007E688D">
              <w:rPr>
                <w:rFonts w:ascii="Calibri" w:hAnsi="Calibri"/>
                <w:sz w:val="20"/>
                <w:szCs w:val="20"/>
              </w:rPr>
              <w:t>Commissioner</w:t>
            </w:r>
            <w:r>
              <w:rPr>
                <w:rFonts w:ascii="Calibri" w:hAnsi="Calibri"/>
                <w:sz w:val="20"/>
                <w:szCs w:val="20"/>
              </w:rPr>
              <w:t xml:space="preserve"> Custodial Operations</w:t>
            </w:r>
            <w:r w:rsidR="007E688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7E688D" w:rsidRPr="00586F66" w14:paraId="1E6C39FC" w14:textId="77777777" w:rsidTr="009F143C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3B1B9E" w14:textId="77777777" w:rsidR="007E688D" w:rsidRPr="00586F66" w:rsidRDefault="007E688D" w:rsidP="009F143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9F4022" w14:textId="77777777" w:rsidR="007E688D" w:rsidRPr="00586F66" w:rsidRDefault="007E688D" w:rsidP="009F143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7E688D" w:rsidRPr="00586F66" w14:paraId="76E413A4" w14:textId="77777777" w:rsidTr="009F143C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8F94606" w14:textId="77777777" w:rsidR="007E688D" w:rsidRPr="00586F66" w:rsidRDefault="007E688D" w:rsidP="009F143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0026FA" w14:textId="77777777" w:rsidR="007E688D" w:rsidRPr="00586F66" w:rsidRDefault="007E688D" w:rsidP="009F143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7E688D" w:rsidRPr="00586F66" w14:paraId="2D11AEF7" w14:textId="77777777" w:rsidTr="009F143C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D27E14" w14:textId="77777777" w:rsidR="007E688D" w:rsidRPr="00586F66" w:rsidRDefault="007E688D" w:rsidP="007E688D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3B96B6" w14:textId="245C3729" w:rsidR="007E688D" w:rsidRPr="00586F66" w:rsidRDefault="007E688D" w:rsidP="007E688D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</w:p>
        </w:tc>
      </w:tr>
      <w:tr w:rsidR="007E688D" w:rsidRPr="00586F66" w14:paraId="7113AB31" w14:textId="77777777" w:rsidTr="009F143C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721479" w14:textId="77777777" w:rsidR="007E688D" w:rsidRPr="00586F66" w:rsidRDefault="007E688D" w:rsidP="007E688D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5881829" w14:textId="07EA4E49" w:rsidR="007E688D" w:rsidRPr="00586F66" w:rsidRDefault="007E688D" w:rsidP="007E688D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1A9B6FE3" w14:textId="77777777" w:rsidR="007E688D" w:rsidRDefault="007E688D" w:rsidP="007E68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12"/>
        <w:gridCol w:w="1714"/>
        <w:gridCol w:w="2320"/>
        <w:gridCol w:w="2210"/>
      </w:tblGrid>
      <w:tr w:rsidR="007E688D" w:rsidRPr="00B11C0C" w14:paraId="635E6E0B" w14:textId="77777777" w:rsidTr="009F143C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58201F52" w14:textId="77777777" w:rsidR="007E688D" w:rsidRPr="00B11C0C" w:rsidRDefault="007E688D" w:rsidP="009F143C">
            <w:pPr>
              <w:spacing w:line="360" w:lineRule="auto"/>
              <w:outlineLvl w:val="1"/>
              <w:rPr>
                <w:rFonts w:eastAsia="Calibri"/>
                <w:b/>
                <w:sz w:val="20"/>
                <w:szCs w:val="24"/>
              </w:rPr>
            </w:pPr>
            <w:r w:rsidRPr="00B11C0C">
              <w:rPr>
                <w:rFonts w:eastAsia="Calibri"/>
                <w:b/>
                <w:sz w:val="20"/>
                <w:szCs w:val="24"/>
              </w:rPr>
              <w:t xml:space="preserve">Version Control </w:t>
            </w:r>
          </w:p>
        </w:tc>
      </w:tr>
      <w:tr w:rsidR="007E688D" w:rsidRPr="00B11C0C" w14:paraId="511913F1" w14:textId="77777777" w:rsidTr="009F143C">
        <w:trPr>
          <w:trHeight w:val="395"/>
        </w:trPr>
        <w:tc>
          <w:tcPr>
            <w:tcW w:w="0" w:type="auto"/>
          </w:tcPr>
          <w:p w14:paraId="38B0935C" w14:textId="77777777" w:rsidR="007E688D" w:rsidRPr="00B11C0C" w:rsidRDefault="007E688D" w:rsidP="009F143C">
            <w:pPr>
              <w:spacing w:line="360" w:lineRule="auto"/>
              <w:outlineLvl w:val="1"/>
              <w:rPr>
                <w:rFonts w:eastAsia="Calibri"/>
                <w:b/>
                <w:sz w:val="20"/>
                <w:szCs w:val="24"/>
              </w:rPr>
            </w:pPr>
            <w:r w:rsidRPr="00B11C0C">
              <w:rPr>
                <w:rFonts w:eastAsia="Calibri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6911F175" w14:textId="77777777" w:rsidR="007E688D" w:rsidRPr="00B11C0C" w:rsidRDefault="007E688D" w:rsidP="009F143C">
            <w:pPr>
              <w:spacing w:line="360" w:lineRule="auto"/>
              <w:outlineLvl w:val="1"/>
              <w:rPr>
                <w:rFonts w:eastAsia="Calibri"/>
                <w:b/>
                <w:sz w:val="20"/>
                <w:szCs w:val="24"/>
              </w:rPr>
            </w:pPr>
            <w:r w:rsidRPr="00B11C0C">
              <w:rPr>
                <w:rFonts w:eastAsia="Calibri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06908D1" w14:textId="77777777" w:rsidR="007E688D" w:rsidRPr="00B11C0C" w:rsidRDefault="007E688D" w:rsidP="009F143C">
            <w:pPr>
              <w:spacing w:line="360" w:lineRule="auto"/>
              <w:outlineLvl w:val="1"/>
              <w:rPr>
                <w:rFonts w:eastAsia="Calibri"/>
                <w:b/>
                <w:sz w:val="20"/>
                <w:szCs w:val="24"/>
              </w:rPr>
            </w:pPr>
            <w:r w:rsidRPr="00B11C0C">
              <w:rPr>
                <w:rFonts w:eastAsia="Calibri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088428AC" w14:textId="77777777" w:rsidR="007E688D" w:rsidRPr="00B11C0C" w:rsidRDefault="007E688D" w:rsidP="009F143C">
            <w:pPr>
              <w:spacing w:line="360" w:lineRule="auto"/>
              <w:outlineLvl w:val="1"/>
              <w:rPr>
                <w:rFonts w:eastAsia="Calibri"/>
                <w:b/>
                <w:sz w:val="20"/>
                <w:szCs w:val="24"/>
              </w:rPr>
            </w:pPr>
            <w:r w:rsidRPr="00B11C0C">
              <w:rPr>
                <w:rFonts w:eastAsia="Calibri"/>
                <w:b/>
                <w:sz w:val="20"/>
                <w:szCs w:val="24"/>
              </w:rPr>
              <w:t>Author</w:t>
            </w:r>
          </w:p>
        </w:tc>
      </w:tr>
      <w:tr w:rsidR="007E688D" w:rsidRPr="00B11C0C" w14:paraId="7A06274A" w14:textId="77777777" w:rsidTr="009F143C">
        <w:trPr>
          <w:trHeight w:val="395"/>
        </w:trPr>
        <w:tc>
          <w:tcPr>
            <w:tcW w:w="0" w:type="auto"/>
          </w:tcPr>
          <w:p w14:paraId="4A1EED00" w14:textId="77777777" w:rsidR="007E688D" w:rsidRPr="00B11C0C" w:rsidRDefault="007E688D" w:rsidP="009F143C">
            <w:pPr>
              <w:spacing w:line="360" w:lineRule="auto"/>
              <w:outlineLvl w:val="1"/>
              <w:rPr>
                <w:rFonts w:eastAsia="Calibri"/>
                <w:sz w:val="20"/>
                <w:szCs w:val="24"/>
              </w:rPr>
            </w:pPr>
            <w:r w:rsidRPr="00B11C0C">
              <w:rPr>
                <w:rFonts w:eastAsia="Calibri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1F76FAC9" w14:textId="75A2B2A7" w:rsidR="007E688D" w:rsidRPr="00B11C0C" w:rsidRDefault="007E688D" w:rsidP="009F143C">
            <w:pPr>
              <w:spacing w:line="360" w:lineRule="auto"/>
              <w:outlineLvl w:val="1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April-20</w:t>
            </w:r>
          </w:p>
        </w:tc>
        <w:tc>
          <w:tcPr>
            <w:tcW w:w="0" w:type="auto"/>
          </w:tcPr>
          <w:p w14:paraId="327FA612" w14:textId="77777777" w:rsidR="007E688D" w:rsidRPr="00B11C0C" w:rsidRDefault="007E688D" w:rsidP="009F143C">
            <w:pPr>
              <w:spacing w:line="360" w:lineRule="auto"/>
              <w:outlineLvl w:val="1"/>
              <w:rPr>
                <w:rFonts w:eastAsia="Calibri"/>
                <w:sz w:val="20"/>
                <w:szCs w:val="24"/>
              </w:rPr>
            </w:pPr>
            <w:r w:rsidRPr="00B11C0C">
              <w:rPr>
                <w:rFonts w:eastAsia="Calibri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612CB17" w14:textId="26439623" w:rsidR="007E688D" w:rsidRPr="00B11C0C" w:rsidRDefault="007E688D" w:rsidP="009F143C">
            <w:pPr>
              <w:spacing w:line="360" w:lineRule="auto"/>
              <w:outlineLvl w:val="1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A Johnston</w:t>
            </w:r>
          </w:p>
        </w:tc>
      </w:tr>
    </w:tbl>
    <w:p w14:paraId="57428DCB" w14:textId="77777777" w:rsidR="005E011D" w:rsidRPr="00292B25" w:rsidRDefault="005E011D" w:rsidP="00292B25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5E011D" w:rsidRPr="00292B25" w:rsidSect="00292B25">
      <w:headerReference w:type="first" r:id="rId19"/>
      <w:footerReference w:type="first" r:id="rId20"/>
      <w:pgSz w:w="11906" w:h="16838"/>
      <w:pgMar w:top="1440" w:right="1440" w:bottom="1440" w:left="1440" w:header="708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D12E" w14:textId="77777777" w:rsidR="00825DA3" w:rsidRDefault="00825DA3" w:rsidP="00152D5E">
      <w:pPr>
        <w:spacing w:after="0" w:line="240" w:lineRule="auto"/>
      </w:pPr>
      <w:r>
        <w:separator/>
      </w:r>
    </w:p>
  </w:endnote>
  <w:endnote w:type="continuationSeparator" w:id="0">
    <w:p w14:paraId="32008928" w14:textId="77777777" w:rsidR="00825DA3" w:rsidRDefault="00825DA3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3B21" w14:textId="77777777" w:rsidR="00544D8C" w:rsidRDefault="00544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A55F" w14:textId="623C026C" w:rsidR="00F95C2C" w:rsidRPr="00544D8C" w:rsidRDefault="00544D8C" w:rsidP="00544D8C">
    <w:pPr>
      <w:pStyle w:val="Footer"/>
      <w:jc w:val="center"/>
      <w:rPr>
        <w:rFonts w:ascii="Arial" w:hAnsi="Arial" w:cs="Arial"/>
        <w:sz w:val="14"/>
        <w:szCs w:val="14"/>
      </w:rPr>
    </w:pPr>
    <w:r w:rsidRPr="00544D8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D1B2" w14:textId="58702B5A" w:rsidR="00292B25" w:rsidRPr="00544D8C" w:rsidRDefault="00544D8C" w:rsidP="00544D8C">
    <w:pPr>
      <w:pStyle w:val="Footer"/>
      <w:jc w:val="center"/>
      <w:rPr>
        <w:rFonts w:ascii="Arial" w:hAnsi="Arial" w:cs="Arial"/>
        <w:sz w:val="14"/>
        <w:szCs w:val="14"/>
      </w:rPr>
    </w:pPr>
    <w:r w:rsidRPr="00544D8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4080" w14:textId="1566E808" w:rsidR="00C91C33" w:rsidRDefault="00C91C33" w:rsidP="007A243B">
    <w:pPr>
      <w:pStyle w:val="Footer"/>
      <w:jc w:val="right"/>
      <w:rPr>
        <w:rFonts w:ascii="Calibri" w:hAnsi="Calibri"/>
        <w:sz w:val="20"/>
        <w:szCs w:val="18"/>
      </w:rPr>
    </w:pPr>
    <w:r w:rsidRPr="003E0349">
      <w:rPr>
        <w:rFonts w:ascii="Calibri" w:hAnsi="Calibri"/>
        <w:sz w:val="20"/>
        <w:szCs w:val="18"/>
      </w:rPr>
      <w:t xml:space="preserve">Page </w:t>
    </w:r>
    <w:r>
      <w:rPr>
        <w:rFonts w:ascii="Calibri" w:hAnsi="Calibri"/>
        <w:sz w:val="20"/>
        <w:szCs w:val="18"/>
      </w:rPr>
      <w:t>1</w:t>
    </w:r>
    <w:r w:rsidRPr="003E0349">
      <w:rPr>
        <w:rFonts w:ascii="Calibri" w:hAnsi="Calibri"/>
        <w:sz w:val="20"/>
        <w:szCs w:val="18"/>
      </w:rPr>
      <w:t xml:space="preserve"> of </w:t>
    </w:r>
    <w:r>
      <w:rPr>
        <w:rFonts w:ascii="Calibri" w:hAnsi="Calibri"/>
        <w:sz w:val="20"/>
        <w:szCs w:val="18"/>
      </w:rPr>
      <w:t>2</w:t>
    </w:r>
  </w:p>
  <w:p w14:paraId="49606749" w14:textId="3335C433" w:rsidR="00C91C33" w:rsidRPr="00544D8C" w:rsidRDefault="00544D8C" w:rsidP="00544D8C">
    <w:pPr>
      <w:pStyle w:val="Footer"/>
      <w:jc w:val="center"/>
      <w:rPr>
        <w:rFonts w:ascii="Arial" w:hAnsi="Arial" w:cs="Arial"/>
        <w:sz w:val="14"/>
        <w:szCs w:val="14"/>
      </w:rPr>
    </w:pPr>
    <w:r w:rsidRPr="00544D8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21D5" w14:textId="77777777" w:rsidR="00825DA3" w:rsidRDefault="00825DA3" w:rsidP="00152D5E">
      <w:pPr>
        <w:spacing w:after="0" w:line="240" w:lineRule="auto"/>
      </w:pPr>
      <w:r>
        <w:separator/>
      </w:r>
    </w:p>
  </w:footnote>
  <w:footnote w:type="continuationSeparator" w:id="0">
    <w:p w14:paraId="1059E7F2" w14:textId="77777777" w:rsidR="00825DA3" w:rsidRDefault="00825DA3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B355" w14:textId="77777777" w:rsidR="00544D8C" w:rsidRDefault="00544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90C0" w14:textId="77777777" w:rsidR="00544D8C" w:rsidRDefault="00544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8FB0" w14:textId="77777777" w:rsidR="00544D8C" w:rsidRDefault="00544D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FB17" w14:textId="77777777" w:rsidR="00C91C33" w:rsidRDefault="00C91C33">
    <w:pPr>
      <w:pStyle w:val="Header"/>
      <w:rPr>
        <w:b/>
        <w:bCs/>
        <w:color w:val="808080"/>
        <w:spacing w:val="24"/>
        <w:sz w:val="20"/>
        <w:szCs w:val="20"/>
      </w:rPr>
    </w:pPr>
    <w:r w:rsidRPr="007E5E73">
      <w:rPr>
        <w:noProof/>
        <w:lang w:eastAsia="en-AU"/>
      </w:rPr>
      <w:drawing>
        <wp:inline distT="0" distB="0" distL="0" distR="0" wp14:anchorId="7AA70F54" wp14:editId="76041421">
          <wp:extent cx="2162175" cy="676275"/>
          <wp:effectExtent l="0" t="0" r="0" b="0"/>
          <wp:docPr id="1" name="Picture 3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Gov_JaCS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D225F1A" w14:textId="77777777" w:rsidR="00C91C33" w:rsidRDefault="00C91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010"/>
    <w:multiLevelType w:val="hybridMultilevel"/>
    <w:tmpl w:val="BB0C423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D5F80"/>
    <w:multiLevelType w:val="multilevel"/>
    <w:tmpl w:val="378EBEF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Aria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2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4C121E9"/>
    <w:multiLevelType w:val="hybridMultilevel"/>
    <w:tmpl w:val="0186B7AA"/>
    <w:lvl w:ilvl="0" w:tplc="64882CB8">
      <w:start w:val="1"/>
      <w:numFmt w:val="lowerLetter"/>
      <w:lvlText w:val="%1)"/>
      <w:lvlJc w:val="left"/>
      <w:pPr>
        <w:ind w:left="25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37" w:hanging="360"/>
      </w:pPr>
    </w:lvl>
    <w:lvl w:ilvl="2" w:tplc="0C09001B" w:tentative="1">
      <w:start w:val="1"/>
      <w:numFmt w:val="lowerRoman"/>
      <w:lvlText w:val="%3."/>
      <w:lvlJc w:val="right"/>
      <w:pPr>
        <w:ind w:left="3957" w:hanging="180"/>
      </w:pPr>
    </w:lvl>
    <w:lvl w:ilvl="3" w:tplc="0C09000F" w:tentative="1">
      <w:start w:val="1"/>
      <w:numFmt w:val="decimal"/>
      <w:lvlText w:val="%4."/>
      <w:lvlJc w:val="left"/>
      <w:pPr>
        <w:ind w:left="4677" w:hanging="360"/>
      </w:pPr>
    </w:lvl>
    <w:lvl w:ilvl="4" w:tplc="0C090019" w:tentative="1">
      <w:start w:val="1"/>
      <w:numFmt w:val="lowerLetter"/>
      <w:lvlText w:val="%5."/>
      <w:lvlJc w:val="left"/>
      <w:pPr>
        <w:ind w:left="5397" w:hanging="360"/>
      </w:pPr>
    </w:lvl>
    <w:lvl w:ilvl="5" w:tplc="0C09001B" w:tentative="1">
      <w:start w:val="1"/>
      <w:numFmt w:val="lowerRoman"/>
      <w:lvlText w:val="%6."/>
      <w:lvlJc w:val="right"/>
      <w:pPr>
        <w:ind w:left="6117" w:hanging="180"/>
      </w:pPr>
    </w:lvl>
    <w:lvl w:ilvl="6" w:tplc="0C09000F" w:tentative="1">
      <w:start w:val="1"/>
      <w:numFmt w:val="decimal"/>
      <w:lvlText w:val="%7."/>
      <w:lvlJc w:val="left"/>
      <w:pPr>
        <w:ind w:left="6837" w:hanging="360"/>
      </w:pPr>
    </w:lvl>
    <w:lvl w:ilvl="7" w:tplc="0C090019" w:tentative="1">
      <w:start w:val="1"/>
      <w:numFmt w:val="lowerLetter"/>
      <w:lvlText w:val="%8."/>
      <w:lvlJc w:val="left"/>
      <w:pPr>
        <w:ind w:left="7557" w:hanging="360"/>
      </w:pPr>
    </w:lvl>
    <w:lvl w:ilvl="8" w:tplc="0C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525CC4"/>
    <w:multiLevelType w:val="multilevel"/>
    <w:tmpl w:val="32681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7B5871"/>
    <w:multiLevelType w:val="multilevel"/>
    <w:tmpl w:val="45B0B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8E50A5"/>
    <w:multiLevelType w:val="hybridMultilevel"/>
    <w:tmpl w:val="210E6F8C"/>
    <w:lvl w:ilvl="0" w:tplc="0C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595" w:hanging="360"/>
      </w:pPr>
    </w:lvl>
    <w:lvl w:ilvl="2" w:tplc="0C09001B" w:tentative="1">
      <w:start w:val="1"/>
      <w:numFmt w:val="lowerRoman"/>
      <w:lvlText w:val="%3."/>
      <w:lvlJc w:val="right"/>
      <w:pPr>
        <w:ind w:left="4315" w:hanging="180"/>
      </w:pPr>
    </w:lvl>
    <w:lvl w:ilvl="3" w:tplc="0C09000F" w:tentative="1">
      <w:start w:val="1"/>
      <w:numFmt w:val="decimal"/>
      <w:lvlText w:val="%4."/>
      <w:lvlJc w:val="left"/>
      <w:pPr>
        <w:ind w:left="5035" w:hanging="360"/>
      </w:pPr>
    </w:lvl>
    <w:lvl w:ilvl="4" w:tplc="0C090019" w:tentative="1">
      <w:start w:val="1"/>
      <w:numFmt w:val="lowerLetter"/>
      <w:lvlText w:val="%5."/>
      <w:lvlJc w:val="left"/>
      <w:pPr>
        <w:ind w:left="5755" w:hanging="360"/>
      </w:pPr>
    </w:lvl>
    <w:lvl w:ilvl="5" w:tplc="0C09001B" w:tentative="1">
      <w:start w:val="1"/>
      <w:numFmt w:val="lowerRoman"/>
      <w:lvlText w:val="%6."/>
      <w:lvlJc w:val="right"/>
      <w:pPr>
        <w:ind w:left="6475" w:hanging="180"/>
      </w:pPr>
    </w:lvl>
    <w:lvl w:ilvl="6" w:tplc="0C09000F" w:tentative="1">
      <w:start w:val="1"/>
      <w:numFmt w:val="decimal"/>
      <w:lvlText w:val="%7."/>
      <w:lvlJc w:val="left"/>
      <w:pPr>
        <w:ind w:left="7195" w:hanging="360"/>
      </w:pPr>
    </w:lvl>
    <w:lvl w:ilvl="7" w:tplc="0C090019" w:tentative="1">
      <w:start w:val="1"/>
      <w:numFmt w:val="lowerLetter"/>
      <w:lvlText w:val="%8."/>
      <w:lvlJc w:val="left"/>
      <w:pPr>
        <w:ind w:left="7915" w:hanging="360"/>
      </w:pPr>
    </w:lvl>
    <w:lvl w:ilvl="8" w:tplc="0C0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11" w15:restartNumberingAfterBreak="0">
    <w:nsid w:val="18AD69A4"/>
    <w:multiLevelType w:val="hybridMultilevel"/>
    <w:tmpl w:val="F34C3098"/>
    <w:lvl w:ilvl="0" w:tplc="0C090019">
      <w:start w:val="1"/>
      <w:numFmt w:val="lowerLetter"/>
      <w:lvlText w:val="%1."/>
      <w:lvlJc w:val="left"/>
      <w:pPr>
        <w:ind w:left="2875" w:hanging="360"/>
      </w:pPr>
    </w:lvl>
    <w:lvl w:ilvl="1" w:tplc="0C090019" w:tentative="1">
      <w:start w:val="1"/>
      <w:numFmt w:val="lowerLetter"/>
      <w:lvlText w:val="%2."/>
      <w:lvlJc w:val="left"/>
      <w:pPr>
        <w:ind w:left="3595" w:hanging="360"/>
      </w:pPr>
    </w:lvl>
    <w:lvl w:ilvl="2" w:tplc="0C09001B" w:tentative="1">
      <w:start w:val="1"/>
      <w:numFmt w:val="lowerRoman"/>
      <w:lvlText w:val="%3."/>
      <w:lvlJc w:val="right"/>
      <w:pPr>
        <w:ind w:left="4315" w:hanging="180"/>
      </w:pPr>
    </w:lvl>
    <w:lvl w:ilvl="3" w:tplc="0C09000F" w:tentative="1">
      <w:start w:val="1"/>
      <w:numFmt w:val="decimal"/>
      <w:lvlText w:val="%4."/>
      <w:lvlJc w:val="left"/>
      <w:pPr>
        <w:ind w:left="5035" w:hanging="360"/>
      </w:pPr>
    </w:lvl>
    <w:lvl w:ilvl="4" w:tplc="0C090019" w:tentative="1">
      <w:start w:val="1"/>
      <w:numFmt w:val="lowerLetter"/>
      <w:lvlText w:val="%5."/>
      <w:lvlJc w:val="left"/>
      <w:pPr>
        <w:ind w:left="5755" w:hanging="360"/>
      </w:pPr>
    </w:lvl>
    <w:lvl w:ilvl="5" w:tplc="0C09001B" w:tentative="1">
      <w:start w:val="1"/>
      <w:numFmt w:val="lowerRoman"/>
      <w:lvlText w:val="%6."/>
      <w:lvlJc w:val="right"/>
      <w:pPr>
        <w:ind w:left="6475" w:hanging="180"/>
      </w:pPr>
    </w:lvl>
    <w:lvl w:ilvl="6" w:tplc="0C09000F" w:tentative="1">
      <w:start w:val="1"/>
      <w:numFmt w:val="decimal"/>
      <w:lvlText w:val="%7."/>
      <w:lvlJc w:val="left"/>
      <w:pPr>
        <w:ind w:left="7195" w:hanging="360"/>
      </w:pPr>
    </w:lvl>
    <w:lvl w:ilvl="7" w:tplc="0C090019" w:tentative="1">
      <w:start w:val="1"/>
      <w:numFmt w:val="lowerLetter"/>
      <w:lvlText w:val="%8."/>
      <w:lvlJc w:val="left"/>
      <w:pPr>
        <w:ind w:left="7915" w:hanging="360"/>
      </w:pPr>
    </w:lvl>
    <w:lvl w:ilvl="8" w:tplc="0C0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12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E5A77C6"/>
    <w:multiLevelType w:val="multilevel"/>
    <w:tmpl w:val="82268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6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23585F"/>
    <w:multiLevelType w:val="hybridMultilevel"/>
    <w:tmpl w:val="3718E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03A7EF0"/>
    <w:multiLevelType w:val="hybridMultilevel"/>
    <w:tmpl w:val="3CF4E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01E0D"/>
    <w:multiLevelType w:val="hybridMultilevel"/>
    <w:tmpl w:val="13146E00"/>
    <w:lvl w:ilvl="0" w:tplc="C0B0C9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D5C6ECB"/>
    <w:multiLevelType w:val="hybridMultilevel"/>
    <w:tmpl w:val="799CB33A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F0E54AB"/>
    <w:multiLevelType w:val="multilevel"/>
    <w:tmpl w:val="F9164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13"/>
  </w:num>
  <w:num w:numId="5">
    <w:abstractNumId w:val="16"/>
  </w:num>
  <w:num w:numId="6">
    <w:abstractNumId w:val="20"/>
  </w:num>
  <w:num w:numId="7">
    <w:abstractNumId w:val="29"/>
  </w:num>
  <w:num w:numId="8">
    <w:abstractNumId w:val="17"/>
  </w:num>
  <w:num w:numId="9">
    <w:abstractNumId w:val="25"/>
  </w:num>
  <w:num w:numId="10">
    <w:abstractNumId w:val="6"/>
  </w:num>
  <w:num w:numId="11">
    <w:abstractNumId w:val="28"/>
  </w:num>
  <w:num w:numId="12">
    <w:abstractNumId w:val="31"/>
  </w:num>
  <w:num w:numId="13">
    <w:abstractNumId w:val="26"/>
  </w:num>
  <w:num w:numId="14">
    <w:abstractNumId w:val="30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3"/>
  </w:num>
  <w:num w:numId="24">
    <w:abstractNumId w:val="7"/>
  </w:num>
  <w:num w:numId="25">
    <w:abstractNumId w:val="24"/>
  </w:num>
  <w:num w:numId="26">
    <w:abstractNumId w:val="22"/>
  </w:num>
  <w:num w:numId="27">
    <w:abstractNumId w:val="15"/>
  </w:num>
  <w:num w:numId="28">
    <w:abstractNumId w:val="5"/>
  </w:num>
  <w:num w:numId="29">
    <w:abstractNumId w:val="23"/>
  </w:num>
  <w:num w:numId="30">
    <w:abstractNumId w:val="11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5E"/>
    <w:rsid w:val="000014A0"/>
    <w:rsid w:val="0000435F"/>
    <w:rsid w:val="000100D2"/>
    <w:rsid w:val="00012A69"/>
    <w:rsid w:val="00035712"/>
    <w:rsid w:val="000359CF"/>
    <w:rsid w:val="000458C7"/>
    <w:rsid w:val="00072B5B"/>
    <w:rsid w:val="000777D2"/>
    <w:rsid w:val="00077C2C"/>
    <w:rsid w:val="000B2BBE"/>
    <w:rsid w:val="000B7E7B"/>
    <w:rsid w:val="000C15FB"/>
    <w:rsid w:val="00110F61"/>
    <w:rsid w:val="001238C3"/>
    <w:rsid w:val="00132F5B"/>
    <w:rsid w:val="00140296"/>
    <w:rsid w:val="00141E42"/>
    <w:rsid w:val="00147D51"/>
    <w:rsid w:val="001504B0"/>
    <w:rsid w:val="00152066"/>
    <w:rsid w:val="00152D5E"/>
    <w:rsid w:val="0015420C"/>
    <w:rsid w:val="00162B50"/>
    <w:rsid w:val="0017186E"/>
    <w:rsid w:val="00193865"/>
    <w:rsid w:val="001A1C15"/>
    <w:rsid w:val="001A677B"/>
    <w:rsid w:val="001B5661"/>
    <w:rsid w:val="001C53B1"/>
    <w:rsid w:val="001C6F85"/>
    <w:rsid w:val="001D3470"/>
    <w:rsid w:val="001F32D3"/>
    <w:rsid w:val="0021108E"/>
    <w:rsid w:val="00215BD6"/>
    <w:rsid w:val="00221FA3"/>
    <w:rsid w:val="002316F4"/>
    <w:rsid w:val="002512E1"/>
    <w:rsid w:val="00252E13"/>
    <w:rsid w:val="00257A3D"/>
    <w:rsid w:val="00272CE7"/>
    <w:rsid w:val="0028309E"/>
    <w:rsid w:val="00283EE0"/>
    <w:rsid w:val="00287266"/>
    <w:rsid w:val="00292B25"/>
    <w:rsid w:val="002A2DE1"/>
    <w:rsid w:val="002A3070"/>
    <w:rsid w:val="002A504B"/>
    <w:rsid w:val="002C7846"/>
    <w:rsid w:val="002D5A26"/>
    <w:rsid w:val="00302B09"/>
    <w:rsid w:val="00302ED7"/>
    <w:rsid w:val="00314A6D"/>
    <w:rsid w:val="003310AE"/>
    <w:rsid w:val="00340868"/>
    <w:rsid w:val="003449F8"/>
    <w:rsid w:val="003473BA"/>
    <w:rsid w:val="00353E50"/>
    <w:rsid w:val="00397232"/>
    <w:rsid w:val="003A2E5D"/>
    <w:rsid w:val="003A3CF7"/>
    <w:rsid w:val="003A7DC3"/>
    <w:rsid w:val="003B0384"/>
    <w:rsid w:val="003C5E5F"/>
    <w:rsid w:val="003D2225"/>
    <w:rsid w:val="003E0349"/>
    <w:rsid w:val="003F5C7D"/>
    <w:rsid w:val="00402430"/>
    <w:rsid w:val="00405E0B"/>
    <w:rsid w:val="004135BE"/>
    <w:rsid w:val="0041603D"/>
    <w:rsid w:val="004175E0"/>
    <w:rsid w:val="00423FE9"/>
    <w:rsid w:val="00461C8B"/>
    <w:rsid w:val="00473FD4"/>
    <w:rsid w:val="004B121B"/>
    <w:rsid w:val="004B4139"/>
    <w:rsid w:val="004D1932"/>
    <w:rsid w:val="004E2B2A"/>
    <w:rsid w:val="00500EAE"/>
    <w:rsid w:val="00510017"/>
    <w:rsid w:val="005167F7"/>
    <w:rsid w:val="00516FDD"/>
    <w:rsid w:val="00520BE7"/>
    <w:rsid w:val="00524DA7"/>
    <w:rsid w:val="00532730"/>
    <w:rsid w:val="005359F3"/>
    <w:rsid w:val="00535DDC"/>
    <w:rsid w:val="00543E7A"/>
    <w:rsid w:val="00544D8C"/>
    <w:rsid w:val="00563752"/>
    <w:rsid w:val="00565E3C"/>
    <w:rsid w:val="00572822"/>
    <w:rsid w:val="00582DD2"/>
    <w:rsid w:val="00586F66"/>
    <w:rsid w:val="005A4376"/>
    <w:rsid w:val="005A4FB1"/>
    <w:rsid w:val="005A68EC"/>
    <w:rsid w:val="005A794E"/>
    <w:rsid w:val="005C551C"/>
    <w:rsid w:val="005D2BB7"/>
    <w:rsid w:val="005E011D"/>
    <w:rsid w:val="005F70A8"/>
    <w:rsid w:val="00610DF9"/>
    <w:rsid w:val="006215C9"/>
    <w:rsid w:val="00622D3C"/>
    <w:rsid w:val="00634849"/>
    <w:rsid w:val="00641860"/>
    <w:rsid w:val="00663763"/>
    <w:rsid w:val="00673116"/>
    <w:rsid w:val="00681C03"/>
    <w:rsid w:val="00685F05"/>
    <w:rsid w:val="00696424"/>
    <w:rsid w:val="006A680B"/>
    <w:rsid w:val="006B6F0A"/>
    <w:rsid w:val="006E666F"/>
    <w:rsid w:val="006F0726"/>
    <w:rsid w:val="006F301F"/>
    <w:rsid w:val="00707A71"/>
    <w:rsid w:val="007104EA"/>
    <w:rsid w:val="007122C1"/>
    <w:rsid w:val="007144FD"/>
    <w:rsid w:val="00741C56"/>
    <w:rsid w:val="007459FA"/>
    <w:rsid w:val="00751B59"/>
    <w:rsid w:val="00780A2D"/>
    <w:rsid w:val="007837DA"/>
    <w:rsid w:val="00791154"/>
    <w:rsid w:val="007A243B"/>
    <w:rsid w:val="007A400C"/>
    <w:rsid w:val="007B3718"/>
    <w:rsid w:val="007C4FCB"/>
    <w:rsid w:val="007D1D59"/>
    <w:rsid w:val="007D21F1"/>
    <w:rsid w:val="007D6F72"/>
    <w:rsid w:val="007E2023"/>
    <w:rsid w:val="007E5E73"/>
    <w:rsid w:val="007E67F3"/>
    <w:rsid w:val="007E688D"/>
    <w:rsid w:val="00820C1B"/>
    <w:rsid w:val="00822096"/>
    <w:rsid w:val="00822515"/>
    <w:rsid w:val="00825DA3"/>
    <w:rsid w:val="0083318A"/>
    <w:rsid w:val="00840B46"/>
    <w:rsid w:val="00845BC9"/>
    <w:rsid w:val="00853BE2"/>
    <w:rsid w:val="00865278"/>
    <w:rsid w:val="008717B0"/>
    <w:rsid w:val="00881556"/>
    <w:rsid w:val="00882C7C"/>
    <w:rsid w:val="00887315"/>
    <w:rsid w:val="00895F9F"/>
    <w:rsid w:val="008B3ABC"/>
    <w:rsid w:val="008C07D5"/>
    <w:rsid w:val="008C1D7D"/>
    <w:rsid w:val="008E2F14"/>
    <w:rsid w:val="008F67F5"/>
    <w:rsid w:val="009227D3"/>
    <w:rsid w:val="00925E58"/>
    <w:rsid w:val="009376C3"/>
    <w:rsid w:val="00951D8F"/>
    <w:rsid w:val="0095393D"/>
    <w:rsid w:val="009545D4"/>
    <w:rsid w:val="00970387"/>
    <w:rsid w:val="00974E7D"/>
    <w:rsid w:val="009839B3"/>
    <w:rsid w:val="00997785"/>
    <w:rsid w:val="009A3BA7"/>
    <w:rsid w:val="009B3DD9"/>
    <w:rsid w:val="009E25D6"/>
    <w:rsid w:val="00A04835"/>
    <w:rsid w:val="00A81FCF"/>
    <w:rsid w:val="00A9332C"/>
    <w:rsid w:val="00A93ED3"/>
    <w:rsid w:val="00A95B39"/>
    <w:rsid w:val="00AB0381"/>
    <w:rsid w:val="00AC0BF3"/>
    <w:rsid w:val="00AE15C4"/>
    <w:rsid w:val="00B04235"/>
    <w:rsid w:val="00B0453C"/>
    <w:rsid w:val="00B13060"/>
    <w:rsid w:val="00B27465"/>
    <w:rsid w:val="00B458BA"/>
    <w:rsid w:val="00B622A1"/>
    <w:rsid w:val="00B73389"/>
    <w:rsid w:val="00B84A5B"/>
    <w:rsid w:val="00B8540E"/>
    <w:rsid w:val="00B87C63"/>
    <w:rsid w:val="00BB6F46"/>
    <w:rsid w:val="00BD41E7"/>
    <w:rsid w:val="00BD4CB0"/>
    <w:rsid w:val="00BD4FE0"/>
    <w:rsid w:val="00BD758D"/>
    <w:rsid w:val="00BF5695"/>
    <w:rsid w:val="00C209D7"/>
    <w:rsid w:val="00C20E72"/>
    <w:rsid w:val="00C21E6D"/>
    <w:rsid w:val="00C446AD"/>
    <w:rsid w:val="00C46EA3"/>
    <w:rsid w:val="00C618E2"/>
    <w:rsid w:val="00C64BD0"/>
    <w:rsid w:val="00C82EAE"/>
    <w:rsid w:val="00C91C33"/>
    <w:rsid w:val="00C95B2E"/>
    <w:rsid w:val="00CC2E01"/>
    <w:rsid w:val="00CD0D17"/>
    <w:rsid w:val="00CD581E"/>
    <w:rsid w:val="00CE129E"/>
    <w:rsid w:val="00CF03FA"/>
    <w:rsid w:val="00CF25C2"/>
    <w:rsid w:val="00CF3FF5"/>
    <w:rsid w:val="00D10327"/>
    <w:rsid w:val="00D1165C"/>
    <w:rsid w:val="00D124A1"/>
    <w:rsid w:val="00D137E0"/>
    <w:rsid w:val="00D20375"/>
    <w:rsid w:val="00D54697"/>
    <w:rsid w:val="00D57D04"/>
    <w:rsid w:val="00D72A8B"/>
    <w:rsid w:val="00D74B1A"/>
    <w:rsid w:val="00D811A9"/>
    <w:rsid w:val="00D87568"/>
    <w:rsid w:val="00D94114"/>
    <w:rsid w:val="00D95E71"/>
    <w:rsid w:val="00DA662E"/>
    <w:rsid w:val="00DD3A53"/>
    <w:rsid w:val="00DD7741"/>
    <w:rsid w:val="00DE61E3"/>
    <w:rsid w:val="00DF1E54"/>
    <w:rsid w:val="00E152FC"/>
    <w:rsid w:val="00E17BC8"/>
    <w:rsid w:val="00E22D88"/>
    <w:rsid w:val="00E3576D"/>
    <w:rsid w:val="00E50533"/>
    <w:rsid w:val="00E51219"/>
    <w:rsid w:val="00E60B43"/>
    <w:rsid w:val="00E62FBC"/>
    <w:rsid w:val="00E76F61"/>
    <w:rsid w:val="00E77884"/>
    <w:rsid w:val="00E902E0"/>
    <w:rsid w:val="00EB502B"/>
    <w:rsid w:val="00EC331C"/>
    <w:rsid w:val="00EC6C75"/>
    <w:rsid w:val="00F22193"/>
    <w:rsid w:val="00F30A8C"/>
    <w:rsid w:val="00F35DEF"/>
    <w:rsid w:val="00F43577"/>
    <w:rsid w:val="00F622EA"/>
    <w:rsid w:val="00F67AD5"/>
    <w:rsid w:val="00F81FF3"/>
    <w:rsid w:val="00F85168"/>
    <w:rsid w:val="00F936E0"/>
    <w:rsid w:val="00F95C2C"/>
    <w:rsid w:val="00F960F6"/>
    <w:rsid w:val="00FB2C79"/>
    <w:rsid w:val="00FB3DFD"/>
    <w:rsid w:val="00FB5425"/>
    <w:rsid w:val="00FF0408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96E726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D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D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011D"/>
    <w:rPr>
      <w:rFonts w:ascii="Calibri" w:hAnsi="Calibri" w:cs="Times New Roman"/>
      <w:lang w:val="x-none"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043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43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435F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B4139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65E3C"/>
    <w:rPr>
      <w:rFonts w:cs="Times New Roman"/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D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1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CTU@act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PP.SentenceAdministrationBoard@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.Admissions@act.gov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TU@act.gov.au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AC3E-89E2-4AE5-97AA-FE12C305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4569</Characters>
  <Application>Microsoft Office Word</Application>
  <DocSecurity>0</DocSecurity>
  <Lines>146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2020-06-24T04:27:00Z</dcterms:created>
  <dcterms:modified xsi:type="dcterms:W3CDTF">2020-06-24T04:27:00Z</dcterms:modified>
</cp:coreProperties>
</file>