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A82D" w14:textId="77777777" w:rsidR="008C2694" w:rsidRPr="008C2694" w:rsidRDefault="008C2694" w:rsidP="008C2694">
      <w:pPr>
        <w:spacing w:before="120" w:after="0" w:line="240" w:lineRule="auto"/>
        <w:rPr>
          <w:rFonts w:ascii="Arial" w:eastAsia="Times New Roman" w:hAnsi="Arial" w:cs="Arial"/>
          <w:sz w:val="24"/>
          <w:szCs w:val="20"/>
        </w:rPr>
      </w:pPr>
      <w:bookmarkStart w:id="0" w:name="_Toc44738651"/>
      <w:bookmarkStart w:id="1" w:name="_GoBack"/>
      <w:bookmarkEnd w:id="1"/>
      <w:r w:rsidRPr="008C2694">
        <w:rPr>
          <w:rFonts w:ascii="Arial" w:eastAsia="Times New Roman" w:hAnsi="Arial" w:cs="Arial"/>
          <w:sz w:val="24"/>
          <w:szCs w:val="20"/>
        </w:rPr>
        <w:t>Australian Capital Territory</w:t>
      </w:r>
    </w:p>
    <w:p w14:paraId="790782A9" w14:textId="77777777" w:rsidR="008C2694" w:rsidRPr="008C2694" w:rsidRDefault="008C2694" w:rsidP="008C2694">
      <w:pPr>
        <w:tabs>
          <w:tab w:val="left" w:pos="2400"/>
          <w:tab w:val="left" w:pos="2880"/>
        </w:tabs>
        <w:spacing w:before="700" w:after="100" w:line="240" w:lineRule="auto"/>
        <w:rPr>
          <w:rFonts w:ascii="Arial" w:eastAsia="Times New Roman" w:hAnsi="Arial"/>
          <w:b/>
          <w:sz w:val="40"/>
          <w:szCs w:val="20"/>
        </w:rPr>
      </w:pPr>
      <w:bookmarkStart w:id="2" w:name="_Hlk42688337"/>
      <w:r w:rsidRPr="008C2694">
        <w:rPr>
          <w:rFonts w:ascii="Arial" w:eastAsia="Times New Roman" w:hAnsi="Arial"/>
          <w:b/>
          <w:sz w:val="40"/>
          <w:szCs w:val="20"/>
        </w:rPr>
        <w:t>Medicines, Poisons and Therapeutic Goods (Opioid Dependency Treatment (ODT) Contingency Guidelines) Approval 2020</w:t>
      </w:r>
    </w:p>
    <w:bookmarkEnd w:id="2"/>
    <w:p w14:paraId="302C9611" w14:textId="77777777" w:rsidR="008C2694" w:rsidRPr="008C2694" w:rsidRDefault="008C2694" w:rsidP="008C2694">
      <w:pPr>
        <w:spacing w:before="340" w:after="0" w:line="240" w:lineRule="auto"/>
        <w:rPr>
          <w:rFonts w:ascii="Arial" w:eastAsia="Times New Roman" w:hAnsi="Arial" w:cs="Arial"/>
          <w:b/>
          <w:bCs/>
          <w:sz w:val="24"/>
          <w:szCs w:val="20"/>
        </w:rPr>
      </w:pPr>
      <w:r w:rsidRPr="008C2694">
        <w:rPr>
          <w:rFonts w:ascii="Arial" w:eastAsia="Times New Roman" w:hAnsi="Arial" w:cs="Arial"/>
          <w:b/>
          <w:bCs/>
          <w:sz w:val="24"/>
          <w:szCs w:val="20"/>
        </w:rPr>
        <w:t>Notifiable instrument NI2020–409</w:t>
      </w:r>
    </w:p>
    <w:p w14:paraId="3985C9A4" w14:textId="77777777" w:rsidR="008C2694" w:rsidRPr="008C2694" w:rsidRDefault="008C2694" w:rsidP="008C2694">
      <w:pPr>
        <w:spacing w:before="300" w:after="0" w:line="240" w:lineRule="auto"/>
        <w:jc w:val="both"/>
        <w:rPr>
          <w:rFonts w:ascii="Times New Roman" w:eastAsia="Times New Roman" w:hAnsi="Times New Roman"/>
          <w:sz w:val="24"/>
          <w:szCs w:val="20"/>
        </w:rPr>
      </w:pPr>
      <w:r w:rsidRPr="008C2694">
        <w:rPr>
          <w:rFonts w:ascii="Times New Roman" w:eastAsia="Times New Roman" w:hAnsi="Times New Roman"/>
          <w:sz w:val="24"/>
          <w:szCs w:val="20"/>
        </w:rPr>
        <w:t xml:space="preserve">made under the  </w:t>
      </w:r>
    </w:p>
    <w:p w14:paraId="5C956CA5" w14:textId="77777777" w:rsidR="008C2694" w:rsidRPr="008C2694" w:rsidRDefault="008C2694" w:rsidP="008C2694">
      <w:pPr>
        <w:tabs>
          <w:tab w:val="left" w:pos="2600"/>
        </w:tabs>
        <w:spacing w:before="320" w:after="0" w:line="240" w:lineRule="auto"/>
        <w:jc w:val="both"/>
        <w:rPr>
          <w:rFonts w:ascii="Arial" w:eastAsia="Times New Roman" w:hAnsi="Arial" w:cs="Arial"/>
          <w:b/>
          <w:sz w:val="20"/>
          <w:szCs w:val="20"/>
        </w:rPr>
      </w:pPr>
      <w:r w:rsidRPr="008C2694">
        <w:rPr>
          <w:rFonts w:ascii="Arial" w:eastAsia="Times New Roman" w:hAnsi="Arial" w:cs="Arial"/>
          <w:b/>
          <w:i/>
          <w:iCs/>
          <w:sz w:val="20"/>
          <w:szCs w:val="20"/>
        </w:rPr>
        <w:t>Medicines, Poisons and Therapeutic Goods Act 2008</w:t>
      </w:r>
      <w:r w:rsidRPr="008C2694">
        <w:rPr>
          <w:rFonts w:ascii="Arial" w:eastAsia="Times New Roman" w:hAnsi="Arial" w:cs="Arial"/>
          <w:b/>
          <w:sz w:val="20"/>
          <w:szCs w:val="20"/>
        </w:rPr>
        <w:t>, section 192 (Guidelines about dealings with regulated substances and therapeutic goods)</w:t>
      </w:r>
    </w:p>
    <w:p w14:paraId="6B75EE80" w14:textId="77777777" w:rsidR="008C2694" w:rsidRPr="008C2694" w:rsidRDefault="008C2694" w:rsidP="008C2694">
      <w:pPr>
        <w:spacing w:before="60" w:after="0" w:line="240" w:lineRule="auto"/>
        <w:jc w:val="both"/>
        <w:rPr>
          <w:rFonts w:ascii="Times New Roman" w:eastAsia="Times New Roman" w:hAnsi="Times New Roman"/>
          <w:sz w:val="24"/>
          <w:szCs w:val="20"/>
        </w:rPr>
      </w:pPr>
    </w:p>
    <w:p w14:paraId="264B884E" w14:textId="77777777" w:rsidR="008C2694" w:rsidRPr="008C2694" w:rsidRDefault="008C2694" w:rsidP="008C2694">
      <w:pPr>
        <w:pBdr>
          <w:top w:val="single" w:sz="12" w:space="1" w:color="auto"/>
        </w:pBdr>
        <w:spacing w:after="0" w:line="240" w:lineRule="auto"/>
        <w:jc w:val="both"/>
        <w:rPr>
          <w:rFonts w:ascii="Times New Roman" w:eastAsia="Times New Roman" w:hAnsi="Times New Roman"/>
          <w:sz w:val="24"/>
          <w:szCs w:val="20"/>
        </w:rPr>
      </w:pPr>
    </w:p>
    <w:p w14:paraId="3AB8F014" w14:textId="77777777" w:rsidR="008C2694" w:rsidRPr="008C2694" w:rsidRDefault="008C2694" w:rsidP="008C2694">
      <w:pPr>
        <w:spacing w:before="60" w:after="60" w:line="240" w:lineRule="auto"/>
        <w:ind w:left="720" w:hanging="720"/>
        <w:rPr>
          <w:rFonts w:ascii="Arial" w:eastAsia="Times New Roman" w:hAnsi="Arial" w:cs="Arial"/>
          <w:b/>
          <w:bCs/>
          <w:sz w:val="24"/>
          <w:szCs w:val="20"/>
        </w:rPr>
      </w:pPr>
      <w:r w:rsidRPr="008C2694">
        <w:rPr>
          <w:rFonts w:ascii="Arial" w:eastAsia="Times New Roman" w:hAnsi="Arial" w:cs="Arial"/>
          <w:b/>
          <w:bCs/>
          <w:sz w:val="24"/>
          <w:szCs w:val="20"/>
        </w:rPr>
        <w:t>1</w:t>
      </w:r>
      <w:r w:rsidRPr="008C2694">
        <w:rPr>
          <w:rFonts w:ascii="Arial" w:eastAsia="Times New Roman" w:hAnsi="Arial" w:cs="Arial"/>
          <w:b/>
          <w:bCs/>
          <w:sz w:val="24"/>
          <w:szCs w:val="20"/>
        </w:rPr>
        <w:tab/>
        <w:t>Name of instrument</w:t>
      </w:r>
    </w:p>
    <w:p w14:paraId="63DEFDA4" w14:textId="77777777" w:rsidR="008C2694" w:rsidRPr="008C2694" w:rsidRDefault="008C2694" w:rsidP="008C2694">
      <w:pPr>
        <w:spacing w:before="140" w:after="0" w:line="240" w:lineRule="auto"/>
        <w:ind w:left="720"/>
        <w:rPr>
          <w:rFonts w:ascii="Times New Roman" w:eastAsia="Times New Roman" w:hAnsi="Times New Roman"/>
          <w:sz w:val="24"/>
          <w:szCs w:val="20"/>
        </w:rPr>
      </w:pPr>
      <w:r w:rsidRPr="008C2694">
        <w:rPr>
          <w:rFonts w:ascii="Times New Roman" w:eastAsia="Times New Roman" w:hAnsi="Times New Roman"/>
          <w:sz w:val="24"/>
          <w:szCs w:val="20"/>
        </w:rPr>
        <w:t xml:space="preserve">This instrument is the </w:t>
      </w:r>
      <w:r w:rsidRPr="008C2694">
        <w:rPr>
          <w:rFonts w:ascii="Times New Roman" w:eastAsia="Times New Roman" w:hAnsi="Times New Roman"/>
          <w:i/>
          <w:iCs/>
          <w:sz w:val="24"/>
          <w:szCs w:val="20"/>
        </w:rPr>
        <w:t>Medicines, Poisons and Therapeutic Goods (Opioid Dependency Treatment (ODT) Contingency Guidelines) Approval 2020</w:t>
      </w:r>
      <w:r w:rsidRPr="008C2694">
        <w:rPr>
          <w:rFonts w:ascii="Times New Roman" w:eastAsia="Times New Roman" w:hAnsi="Times New Roman"/>
          <w:sz w:val="24"/>
          <w:szCs w:val="20"/>
        </w:rPr>
        <w:t>.</w:t>
      </w:r>
    </w:p>
    <w:p w14:paraId="7CB55644" w14:textId="77777777" w:rsidR="008C2694" w:rsidRPr="008C2694" w:rsidRDefault="008C2694" w:rsidP="008C2694">
      <w:pPr>
        <w:spacing w:before="300" w:after="0" w:line="240" w:lineRule="auto"/>
        <w:ind w:left="720" w:hanging="720"/>
        <w:rPr>
          <w:rFonts w:ascii="Arial" w:eastAsia="Times New Roman" w:hAnsi="Arial" w:cs="Arial"/>
          <w:b/>
          <w:bCs/>
          <w:sz w:val="24"/>
          <w:szCs w:val="20"/>
        </w:rPr>
      </w:pPr>
      <w:r w:rsidRPr="008C2694">
        <w:rPr>
          <w:rFonts w:ascii="Arial" w:eastAsia="Times New Roman" w:hAnsi="Arial" w:cs="Arial"/>
          <w:b/>
          <w:bCs/>
          <w:sz w:val="24"/>
          <w:szCs w:val="20"/>
        </w:rPr>
        <w:t>2</w:t>
      </w:r>
      <w:r w:rsidRPr="008C2694">
        <w:rPr>
          <w:rFonts w:ascii="Arial" w:eastAsia="Times New Roman" w:hAnsi="Arial" w:cs="Arial"/>
          <w:b/>
          <w:bCs/>
          <w:sz w:val="24"/>
          <w:szCs w:val="20"/>
        </w:rPr>
        <w:tab/>
        <w:t xml:space="preserve">Commencement </w:t>
      </w:r>
    </w:p>
    <w:p w14:paraId="53BB58CD" w14:textId="77777777" w:rsidR="008C2694" w:rsidRPr="008C2694" w:rsidRDefault="008C2694" w:rsidP="008C2694">
      <w:pPr>
        <w:spacing w:before="140" w:after="0" w:line="240" w:lineRule="auto"/>
        <w:ind w:left="720"/>
        <w:rPr>
          <w:rFonts w:ascii="Times New Roman" w:eastAsia="Times New Roman" w:hAnsi="Times New Roman"/>
          <w:sz w:val="24"/>
          <w:szCs w:val="20"/>
        </w:rPr>
      </w:pPr>
      <w:r w:rsidRPr="008C2694">
        <w:rPr>
          <w:rFonts w:ascii="Times New Roman" w:eastAsia="Times New Roman" w:hAnsi="Times New Roman"/>
          <w:sz w:val="24"/>
          <w:szCs w:val="20"/>
        </w:rPr>
        <w:t xml:space="preserve">This instrument commences on the day after its notification day. </w:t>
      </w:r>
    </w:p>
    <w:p w14:paraId="554A921A" w14:textId="77777777" w:rsidR="008C2694" w:rsidRPr="008C2694" w:rsidRDefault="008C2694" w:rsidP="008C2694">
      <w:pPr>
        <w:spacing w:before="300" w:after="0" w:line="240" w:lineRule="auto"/>
        <w:ind w:left="720" w:hanging="720"/>
        <w:rPr>
          <w:rFonts w:ascii="Arial" w:eastAsia="Times New Roman" w:hAnsi="Arial" w:cs="Arial"/>
          <w:b/>
          <w:bCs/>
          <w:sz w:val="24"/>
          <w:szCs w:val="20"/>
        </w:rPr>
      </w:pPr>
      <w:r w:rsidRPr="008C2694">
        <w:rPr>
          <w:rFonts w:ascii="Arial" w:eastAsia="Times New Roman" w:hAnsi="Arial" w:cs="Arial"/>
          <w:b/>
          <w:bCs/>
          <w:sz w:val="24"/>
          <w:szCs w:val="20"/>
        </w:rPr>
        <w:t>3</w:t>
      </w:r>
      <w:r w:rsidRPr="008C2694">
        <w:rPr>
          <w:rFonts w:ascii="Arial" w:eastAsia="Times New Roman" w:hAnsi="Arial" w:cs="Arial"/>
          <w:b/>
          <w:bCs/>
          <w:sz w:val="24"/>
          <w:szCs w:val="20"/>
        </w:rPr>
        <w:tab/>
        <w:t>Approval by Chief Health Officer</w:t>
      </w:r>
    </w:p>
    <w:p w14:paraId="28D3E349" w14:textId="77777777" w:rsidR="008C2694" w:rsidRPr="008C2694" w:rsidRDefault="008C2694" w:rsidP="008C2694">
      <w:pPr>
        <w:spacing w:before="140" w:after="0" w:line="240" w:lineRule="auto"/>
        <w:ind w:left="720"/>
        <w:rPr>
          <w:rFonts w:ascii="Times New Roman" w:eastAsia="Times New Roman" w:hAnsi="Times New Roman"/>
          <w:sz w:val="24"/>
          <w:szCs w:val="20"/>
        </w:rPr>
      </w:pPr>
      <w:r w:rsidRPr="008C2694">
        <w:rPr>
          <w:rFonts w:ascii="Times New Roman" w:eastAsia="Times New Roman" w:hAnsi="Times New Roman"/>
          <w:sz w:val="24"/>
          <w:szCs w:val="20"/>
        </w:rPr>
        <w:t xml:space="preserve">I approve the Opioid Dependency Treatment </w:t>
      </w:r>
      <w:r w:rsidRPr="008C2694">
        <w:rPr>
          <w:rFonts w:ascii="Times New Roman" w:eastAsia="Times New Roman" w:hAnsi="Times New Roman"/>
          <w:i/>
          <w:iCs/>
          <w:sz w:val="24"/>
          <w:szCs w:val="20"/>
        </w:rPr>
        <w:t>(</w:t>
      </w:r>
      <w:r w:rsidRPr="008C2694">
        <w:rPr>
          <w:rFonts w:ascii="Times New Roman" w:eastAsia="Times New Roman" w:hAnsi="Times New Roman"/>
          <w:sz w:val="24"/>
          <w:szCs w:val="20"/>
        </w:rPr>
        <w:t>ODT) Contingency Guidelines as set out in Schedule 1.</w:t>
      </w:r>
    </w:p>
    <w:p w14:paraId="63C33A50" w14:textId="77777777" w:rsidR="008C2694" w:rsidRPr="008C2694" w:rsidRDefault="008C2694" w:rsidP="008C2694">
      <w:pPr>
        <w:tabs>
          <w:tab w:val="left" w:pos="4320"/>
        </w:tabs>
        <w:spacing w:before="720" w:after="0" w:line="240" w:lineRule="auto"/>
        <w:rPr>
          <w:rFonts w:ascii="Times New Roman" w:eastAsia="Times New Roman" w:hAnsi="Times New Roman"/>
          <w:sz w:val="24"/>
          <w:szCs w:val="20"/>
        </w:rPr>
      </w:pPr>
      <w:r w:rsidRPr="008C2694">
        <w:rPr>
          <w:rFonts w:ascii="Times New Roman" w:eastAsia="Times New Roman" w:hAnsi="Times New Roman"/>
          <w:sz w:val="24"/>
          <w:szCs w:val="20"/>
        </w:rPr>
        <w:t>Dr Kerryn Coleman</w:t>
      </w:r>
    </w:p>
    <w:p w14:paraId="53A10440" w14:textId="77777777" w:rsidR="008C2694" w:rsidRPr="008C2694" w:rsidRDefault="008C2694" w:rsidP="008C2694">
      <w:pPr>
        <w:tabs>
          <w:tab w:val="left" w:pos="4320"/>
        </w:tabs>
        <w:spacing w:after="0" w:line="240" w:lineRule="auto"/>
        <w:rPr>
          <w:rFonts w:ascii="Times New Roman" w:eastAsia="Times New Roman" w:hAnsi="Times New Roman"/>
          <w:sz w:val="24"/>
          <w:szCs w:val="20"/>
        </w:rPr>
      </w:pPr>
      <w:r w:rsidRPr="008C2694">
        <w:rPr>
          <w:rFonts w:ascii="Times New Roman" w:eastAsia="Times New Roman" w:hAnsi="Times New Roman"/>
          <w:sz w:val="24"/>
          <w:szCs w:val="20"/>
        </w:rPr>
        <w:t>Chief Health Officer</w:t>
      </w:r>
    </w:p>
    <w:p w14:paraId="632CE862" w14:textId="77777777" w:rsidR="008C2694" w:rsidRPr="008C2694" w:rsidRDefault="008C2694" w:rsidP="008C2694">
      <w:pPr>
        <w:tabs>
          <w:tab w:val="left" w:pos="4320"/>
        </w:tabs>
        <w:spacing w:after="0" w:line="240" w:lineRule="auto"/>
        <w:rPr>
          <w:rFonts w:ascii="Times New Roman" w:eastAsia="Times New Roman" w:hAnsi="Times New Roman"/>
          <w:sz w:val="24"/>
          <w:szCs w:val="20"/>
        </w:rPr>
      </w:pPr>
      <w:r w:rsidRPr="008C2694">
        <w:rPr>
          <w:rFonts w:ascii="Times New Roman" w:eastAsia="Times New Roman" w:hAnsi="Times New Roman"/>
          <w:sz w:val="24"/>
          <w:szCs w:val="20"/>
        </w:rPr>
        <w:t>13 July 2020</w:t>
      </w:r>
      <w:bookmarkEnd w:id="0"/>
    </w:p>
    <w:p w14:paraId="4CDBEF56" w14:textId="77777777" w:rsidR="008C2694" w:rsidRPr="008C2694" w:rsidRDefault="008C2694" w:rsidP="008C2694">
      <w:pPr>
        <w:tabs>
          <w:tab w:val="left" w:pos="4320"/>
        </w:tabs>
        <w:spacing w:after="0" w:line="240" w:lineRule="auto"/>
        <w:rPr>
          <w:rFonts w:ascii="Times New Roman" w:eastAsia="Times New Roman" w:hAnsi="Times New Roman"/>
          <w:sz w:val="24"/>
          <w:szCs w:val="20"/>
        </w:rPr>
      </w:pPr>
    </w:p>
    <w:p w14:paraId="0EA28DDC" w14:textId="77777777" w:rsidR="00F41170" w:rsidRDefault="00F41170" w:rsidP="00C4471B">
      <w:pPr>
        <w:sectPr w:rsidR="00F41170" w:rsidSect="00EA404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2B4C783" w14:textId="7722D717" w:rsidR="002F2A26" w:rsidRDefault="00A47E28" w:rsidP="00C4471B">
      <w:pPr>
        <w:sectPr w:rsidR="002F2A26" w:rsidSect="00EA4041">
          <w:headerReference w:type="default" r:id="rId17"/>
          <w:footerReference w:type="default" r:id="rId18"/>
          <w:pgSz w:w="11906" w:h="16838"/>
          <w:pgMar w:top="1440" w:right="1440" w:bottom="1440" w:left="1440" w:header="708" w:footer="708" w:gutter="0"/>
          <w:cols w:space="708"/>
          <w:docGrid w:linePitch="360"/>
        </w:sectPr>
      </w:pPr>
      <w:r>
        <w:rPr>
          <w:noProof/>
          <w:lang w:eastAsia="en-AU"/>
        </w:rPr>
        <w:lastRenderedPageBreak/>
        <mc:AlternateContent>
          <mc:Choice Requires="wps">
            <w:drawing>
              <wp:anchor distT="0" distB="0" distL="114300" distR="114300" simplePos="0" relativeHeight="251664384" behindDoc="0" locked="0" layoutInCell="1" allowOverlap="1" wp14:anchorId="22B4C7D9" wp14:editId="4DE11D37">
                <wp:simplePos x="0" y="0"/>
                <wp:positionH relativeFrom="column">
                  <wp:posOffset>-47548</wp:posOffset>
                </wp:positionH>
                <wp:positionV relativeFrom="paragraph">
                  <wp:posOffset>1272845</wp:posOffset>
                </wp:positionV>
                <wp:extent cx="6169178" cy="1651000"/>
                <wp:effectExtent l="0" t="0" r="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178"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6889" w14:textId="19FC7D50" w:rsidR="003B679A" w:rsidRDefault="00A47E28" w:rsidP="00DF2621">
                            <w:pPr>
                              <w:pStyle w:val="DocumentTitle"/>
                              <w:rPr>
                                <w:b/>
                                <w:bCs/>
                                <w:sz w:val="32"/>
                                <w:szCs w:val="32"/>
                              </w:rPr>
                            </w:pPr>
                            <w:r>
                              <w:rPr>
                                <w:b/>
                                <w:bCs/>
                                <w:sz w:val="32"/>
                                <w:szCs w:val="32"/>
                              </w:rPr>
                              <w:t xml:space="preserve">Opioid Dependency Treatment </w:t>
                            </w:r>
                            <w:r w:rsidR="00D91E05">
                              <w:rPr>
                                <w:b/>
                                <w:bCs/>
                                <w:sz w:val="32"/>
                                <w:szCs w:val="32"/>
                              </w:rPr>
                              <w:t xml:space="preserve">(ODT) </w:t>
                            </w:r>
                            <w:r>
                              <w:rPr>
                                <w:b/>
                                <w:bCs/>
                                <w:sz w:val="32"/>
                                <w:szCs w:val="32"/>
                              </w:rPr>
                              <w:t>Contingency Guidelines</w:t>
                            </w:r>
                          </w:p>
                          <w:p w14:paraId="669A0E08" w14:textId="77777777" w:rsidR="003B679A" w:rsidRDefault="003B679A" w:rsidP="00DF2621">
                            <w:pPr>
                              <w:pStyle w:val="DocumentTitle"/>
                              <w:rPr>
                                <w:b/>
                                <w:bCs/>
                                <w:sz w:val="32"/>
                                <w:szCs w:val="32"/>
                              </w:rPr>
                            </w:pPr>
                          </w:p>
                          <w:p w14:paraId="22B4C7EC" w14:textId="36134BCA" w:rsidR="003B679A" w:rsidRPr="00D91E05" w:rsidRDefault="003B679A" w:rsidP="00DF2621">
                            <w:pPr>
                              <w:pStyle w:val="DocumentTitle"/>
                              <w:rPr>
                                <w:sz w:val="28"/>
                                <w:szCs w:val="28"/>
                              </w:rPr>
                            </w:pPr>
                            <w:r w:rsidRPr="00D91E05">
                              <w:rPr>
                                <w:b/>
                                <w:bCs/>
                                <w:sz w:val="28"/>
                                <w:szCs w:val="28"/>
                              </w:rPr>
                              <w:t>For Individuals using Opioid Maintenance Treatment (OMT) during COVID-19 Response</w:t>
                            </w:r>
                            <w:r w:rsidRPr="00D91E05">
                              <w:rPr>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4C7D9" id="_x0000_t202" coordsize="21600,21600" o:spt="202" path="m,l,21600r21600,l21600,xe">
                <v:stroke joinstyle="miter"/>
                <v:path gradientshapeok="t" o:connecttype="rect"/>
              </v:shapetype>
              <v:shape id="Text Box 5" o:spid="_x0000_s1026" type="#_x0000_t202" style="position:absolute;margin-left:-3.75pt;margin-top:100.2pt;width:485.75pt;height:1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" filled="f" stroked="f">
                <v:textbox>
                  <w:txbxContent>
                    <w:p w14:paraId="5D4F6889" w14:textId="19FC7D50" w:rsidR="003B679A" w:rsidRDefault="00A47E28" w:rsidP="00DF2621">
                      <w:pPr>
                        <w:pStyle w:val="DocumentTitle"/>
                        <w:rPr>
                          <w:b/>
                          <w:bCs/>
                          <w:sz w:val="32"/>
                          <w:szCs w:val="32"/>
                        </w:rPr>
                      </w:pPr>
                      <w:r>
                        <w:rPr>
                          <w:b/>
                          <w:bCs/>
                          <w:sz w:val="32"/>
                          <w:szCs w:val="32"/>
                        </w:rPr>
                        <w:t xml:space="preserve">Opioid Dependency Treatment </w:t>
                      </w:r>
                      <w:r w:rsidR="00D91E05">
                        <w:rPr>
                          <w:b/>
                          <w:bCs/>
                          <w:sz w:val="32"/>
                          <w:szCs w:val="32"/>
                        </w:rPr>
                        <w:t xml:space="preserve">(ODT) </w:t>
                      </w:r>
                      <w:r>
                        <w:rPr>
                          <w:b/>
                          <w:bCs/>
                          <w:sz w:val="32"/>
                          <w:szCs w:val="32"/>
                        </w:rPr>
                        <w:t>Contingency Guidelines</w:t>
                      </w:r>
                    </w:p>
                    <w:p w14:paraId="669A0E08" w14:textId="77777777" w:rsidR="003B679A" w:rsidRDefault="003B679A" w:rsidP="00DF2621">
                      <w:pPr>
                        <w:pStyle w:val="DocumentTitle"/>
                        <w:rPr>
                          <w:b/>
                          <w:bCs/>
                          <w:sz w:val="32"/>
                          <w:szCs w:val="32"/>
                        </w:rPr>
                      </w:pPr>
                    </w:p>
                    <w:p w14:paraId="22B4C7EC" w14:textId="36134BCA" w:rsidR="003B679A" w:rsidRPr="00D91E05" w:rsidRDefault="003B679A" w:rsidP="00DF2621">
                      <w:pPr>
                        <w:pStyle w:val="DocumentTitle"/>
                        <w:rPr>
                          <w:sz w:val="28"/>
                          <w:szCs w:val="28"/>
                        </w:rPr>
                      </w:pPr>
                      <w:r w:rsidRPr="00D91E05">
                        <w:rPr>
                          <w:b/>
                          <w:bCs/>
                          <w:sz w:val="28"/>
                          <w:szCs w:val="28"/>
                        </w:rPr>
                        <w:t>For Individuals using Opioid Maintenance Treatment (OMT) during COVID-19 Response</w:t>
                      </w:r>
                      <w:r w:rsidRPr="00D91E05">
                        <w:rPr>
                          <w:sz w:val="28"/>
                          <w:szCs w:val="28"/>
                        </w:rPr>
                        <w:t xml:space="preserve"> </w:t>
                      </w:r>
                    </w:p>
                  </w:txbxContent>
                </v:textbox>
              </v:shape>
            </w:pict>
          </mc:Fallback>
        </mc:AlternateContent>
      </w:r>
      <w:r w:rsidR="00C5336B">
        <w:rPr>
          <w:noProof/>
          <w:lang w:eastAsia="en-AU"/>
        </w:rPr>
        <w:drawing>
          <wp:anchor distT="0" distB="0" distL="114300" distR="114300" simplePos="0" relativeHeight="251672576" behindDoc="1" locked="0" layoutInCell="1" allowOverlap="1" wp14:anchorId="168BBC9C" wp14:editId="3DF5DBA0">
            <wp:simplePos x="0" y="0"/>
            <wp:positionH relativeFrom="page">
              <wp:align>right</wp:align>
            </wp:positionH>
            <wp:positionV relativeFrom="paragraph">
              <wp:posOffset>3181350</wp:posOffset>
            </wp:positionV>
            <wp:extent cx="5731510" cy="3820795"/>
            <wp:effectExtent l="0" t="0" r="2540" b="8255"/>
            <wp:wrapNone/>
            <wp:docPr id="14" name="Picture 14" descr="A picture containing indoor, food, plastic,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1471864190281-a93a3070b6d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anchor>
        </w:drawing>
      </w:r>
      <w:r w:rsidR="00C5336B">
        <w:rPr>
          <w:noProof/>
          <w:lang w:eastAsia="en-AU"/>
        </w:rPr>
        <mc:AlternateContent>
          <mc:Choice Requires="wps">
            <w:drawing>
              <wp:anchor distT="0" distB="0" distL="114300" distR="114300" simplePos="0" relativeHeight="251661309" behindDoc="1" locked="0" layoutInCell="1" allowOverlap="1" wp14:anchorId="22B4C7D1" wp14:editId="1ECE3D14">
                <wp:simplePos x="0" y="0"/>
                <wp:positionH relativeFrom="page">
                  <wp:align>left</wp:align>
                </wp:positionH>
                <wp:positionV relativeFrom="paragraph">
                  <wp:posOffset>-901700</wp:posOffset>
                </wp:positionV>
                <wp:extent cx="7659370" cy="11953875"/>
                <wp:effectExtent l="0" t="0" r="0" b="952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59370" cy="11953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D770E" id="Rectangle 2" o:spid="_x0000_s1026" style="position:absolute;margin-left:0;margin-top:-71pt;width:603.1pt;height:941.25pt;z-index:-25165517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" fillcolor="#002677 [3204]" stroked="f" strokeweight="2pt">
                <w10:wrap anchorx="page"/>
              </v:rect>
            </w:pict>
          </mc:Fallback>
        </mc:AlternateContent>
      </w:r>
      <w:r w:rsidR="00DF2621">
        <w:rPr>
          <w:noProof/>
          <w:lang w:eastAsia="en-AU"/>
        </w:rPr>
        <w:drawing>
          <wp:anchor distT="0" distB="0" distL="114300" distR="114300" simplePos="0" relativeHeight="251662334" behindDoc="0" locked="0" layoutInCell="1" allowOverlap="1" wp14:anchorId="22B4C7D3" wp14:editId="2812560B">
            <wp:simplePos x="0" y="0"/>
            <wp:positionH relativeFrom="column">
              <wp:posOffset>-142875</wp:posOffset>
            </wp:positionH>
            <wp:positionV relativeFrom="paragraph">
              <wp:posOffset>-201930</wp:posOffset>
            </wp:positionV>
            <wp:extent cx="2767330" cy="721995"/>
            <wp:effectExtent l="0" t="0" r="0" b="1905"/>
            <wp:wrapNone/>
            <wp:docPr id="6" name="Picture 2" descr="ACT Health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black.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76733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671">
        <w:rPr>
          <w:noProof/>
          <w:lang w:eastAsia="en-AU"/>
        </w:rPr>
        <mc:AlternateContent>
          <mc:Choice Requires="wps">
            <w:drawing>
              <wp:anchor distT="0" distB="0" distL="114300" distR="114300" simplePos="0" relativeHeight="251671552" behindDoc="0" locked="0" layoutInCell="1" allowOverlap="1" wp14:anchorId="22B4C7DB" wp14:editId="5D306758">
                <wp:simplePos x="0" y="0"/>
                <wp:positionH relativeFrom="column">
                  <wp:posOffset>-1103586</wp:posOffset>
                </wp:positionH>
                <wp:positionV relativeFrom="paragraph">
                  <wp:posOffset>6069680</wp:posOffset>
                </wp:positionV>
                <wp:extent cx="3521075" cy="3077210"/>
                <wp:effectExtent l="0" t="0" r="3175" b="8890"/>
                <wp:wrapNone/>
                <wp:docPr id="10" name="Rectangle 10" descr="Enter Subtitle her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521075" cy="3077210"/>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B4C7ED" w14:textId="18A2472F" w:rsidR="003B679A" w:rsidRDefault="003B679A" w:rsidP="00DF2621">
                            <w:pPr>
                              <w:pStyle w:val="DocumentsubTitle"/>
                            </w:pPr>
                            <w:r>
                              <w:t>Version: 0.</w:t>
                            </w:r>
                            <w:r w:rsidR="00731AF4">
                              <w:t xml:space="preserve">2 </w:t>
                            </w:r>
                          </w:p>
                          <w:p w14:paraId="22B4C7EE" w14:textId="7EACF403" w:rsidR="003B679A" w:rsidRPr="007B40DC" w:rsidRDefault="003B679A" w:rsidP="00DF2621">
                            <w:pPr>
                              <w:pStyle w:val="DateorDraft"/>
                            </w:pPr>
                            <w:r w:rsidRPr="000F1EB3">
                              <w:t>Date</w:t>
                            </w:r>
                            <w:r>
                              <w:t xml:space="preserve">: </w:t>
                            </w:r>
                            <w:r w:rsidR="006913CD">
                              <w:t>June</w:t>
                            </w:r>
                            <w:r w:rsidR="00731AF4">
                              <w:t xml:space="preserve"> </w:t>
                            </w:r>
                            <w:r>
                              <w:t>2020</w:t>
                            </w:r>
                          </w:p>
                        </w:txbxContent>
                      </wps:txbx>
                      <wps:bodyPr rot="0" spcFirstLastPara="0" vertOverflow="overflow" horzOverflow="overflow" vert="horz" wrap="square" lIns="720000" tIns="45720" rIns="54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4C7DB" id="Rectangle 10" o:spid="_x0000_s1027" alt="Enter Subtitle here" style="position:absolute;margin-left:-86.9pt;margin-top:477.95pt;width:277.25pt;height:2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" fillcolor="white [3212]" stroked="f" strokeweight="2pt">
                <v:textbox inset="20mm,,15mm">
                  <w:txbxContent>
                    <w:p w14:paraId="22B4C7ED" w14:textId="18A2472F" w:rsidR="003B679A" w:rsidRDefault="003B679A" w:rsidP="00DF2621">
                      <w:pPr>
                        <w:pStyle w:val="DocumentsubTitle"/>
                      </w:pPr>
                      <w:r>
                        <w:t>Version: 0.</w:t>
                      </w:r>
                      <w:r w:rsidR="00731AF4">
                        <w:t xml:space="preserve">2 </w:t>
                      </w:r>
                    </w:p>
                    <w:p w14:paraId="22B4C7EE" w14:textId="7EACF403" w:rsidR="003B679A" w:rsidRPr="007B40DC" w:rsidRDefault="003B679A" w:rsidP="00DF2621">
                      <w:pPr>
                        <w:pStyle w:val="DateorDraft"/>
                      </w:pPr>
                      <w:r w:rsidRPr="000F1EB3">
                        <w:t>Date</w:t>
                      </w:r>
                      <w:r>
                        <w:t xml:space="preserve">: </w:t>
                      </w:r>
                      <w:r w:rsidR="006913CD">
                        <w:t>June</w:t>
                      </w:r>
                      <w:r w:rsidR="00731AF4">
                        <w:t xml:space="preserve"> </w:t>
                      </w:r>
                      <w:r>
                        <w:t>2020</w:t>
                      </w:r>
                    </w:p>
                  </w:txbxContent>
                </v:textbox>
              </v:rect>
            </w:pict>
          </mc:Fallback>
        </mc:AlternateContent>
      </w:r>
    </w:p>
    <w:bookmarkStart w:id="3" w:name="_Toc36058405" w:displacedByCustomXml="next"/>
    <w:sdt>
      <w:sdtPr>
        <w:rPr>
          <w:rFonts w:ascii="Calibri" w:eastAsia="Calibri" w:hAnsi="Calibri" w:cs="Times New Roman"/>
          <w:color w:val="auto"/>
          <w:sz w:val="22"/>
          <w:szCs w:val="22"/>
        </w:rPr>
        <w:id w:val="-675652916"/>
        <w:docPartObj>
          <w:docPartGallery w:val="Table of Contents"/>
          <w:docPartUnique/>
        </w:docPartObj>
      </w:sdtPr>
      <w:sdtEndPr>
        <w:rPr>
          <w:b/>
          <w:bCs/>
          <w:noProof/>
        </w:rPr>
      </w:sdtEndPr>
      <w:sdtContent>
        <w:bookmarkEnd w:id="3" w:displacedByCustomXml="prev"/>
        <w:p w14:paraId="26D41908" w14:textId="2E3C288D" w:rsidR="00C4471B" w:rsidRDefault="00C4471B">
          <w:pPr>
            <w:pStyle w:val="TOCHeading"/>
          </w:pPr>
          <w:r>
            <w:t>Contents</w:t>
          </w:r>
        </w:p>
        <w:p w14:paraId="053BC565" w14:textId="4341BDB6" w:rsidR="00C4471B" w:rsidRDefault="00C4471B">
          <w:pPr>
            <w:pStyle w:val="TOC1"/>
            <w:rPr>
              <w:rFonts w:asciiTheme="minorHAnsi" w:eastAsiaTheme="minorEastAsia" w:hAnsiTheme="minorHAnsi" w:cstheme="minorBidi"/>
              <w:lang w:eastAsia="en-AU"/>
            </w:rPr>
          </w:pPr>
          <w:r>
            <w:fldChar w:fldCharType="begin"/>
          </w:r>
          <w:r>
            <w:instrText xml:space="preserve"> TOC \o "1-3" \h \z \u </w:instrText>
          </w:r>
          <w:r>
            <w:fldChar w:fldCharType="separate"/>
          </w:r>
          <w:hyperlink w:anchor="_Toc36058404" w:history="1"/>
        </w:p>
        <w:p w14:paraId="4E75013B" w14:textId="5BBFFA4B" w:rsidR="00C4471B" w:rsidRDefault="0038096F">
          <w:pPr>
            <w:pStyle w:val="TOC1"/>
            <w:rPr>
              <w:rFonts w:asciiTheme="minorHAnsi" w:eastAsiaTheme="minorEastAsia" w:hAnsiTheme="minorHAnsi" w:cstheme="minorBidi"/>
              <w:lang w:eastAsia="en-AU"/>
            </w:rPr>
          </w:pPr>
          <w:hyperlink w:anchor="_Toc36058406" w:history="1">
            <w:r w:rsidR="00C4471B" w:rsidRPr="00F839F7">
              <w:rPr>
                <w:rStyle w:val="Hyperlink"/>
              </w:rPr>
              <w:t>Who are the guidelines for?</w:t>
            </w:r>
            <w:r w:rsidR="00C4471B">
              <w:rPr>
                <w:webHidden/>
              </w:rPr>
              <w:tab/>
            </w:r>
            <w:r w:rsidR="00C4471B">
              <w:rPr>
                <w:webHidden/>
              </w:rPr>
              <w:fldChar w:fldCharType="begin"/>
            </w:r>
            <w:r w:rsidR="00C4471B">
              <w:rPr>
                <w:webHidden/>
              </w:rPr>
              <w:instrText xml:space="preserve"> PAGEREF _Toc36058406 \h </w:instrText>
            </w:r>
            <w:r w:rsidR="00C4471B">
              <w:rPr>
                <w:webHidden/>
              </w:rPr>
            </w:r>
            <w:r w:rsidR="00C4471B">
              <w:rPr>
                <w:webHidden/>
              </w:rPr>
              <w:fldChar w:fldCharType="separate"/>
            </w:r>
            <w:r w:rsidR="004D751E">
              <w:rPr>
                <w:webHidden/>
              </w:rPr>
              <w:t>2</w:t>
            </w:r>
            <w:r w:rsidR="00C4471B">
              <w:rPr>
                <w:webHidden/>
              </w:rPr>
              <w:fldChar w:fldCharType="end"/>
            </w:r>
          </w:hyperlink>
        </w:p>
        <w:p w14:paraId="79BD1397" w14:textId="21F850E9" w:rsidR="00C4471B" w:rsidRDefault="0038096F">
          <w:pPr>
            <w:pStyle w:val="TOC1"/>
            <w:rPr>
              <w:rFonts w:asciiTheme="minorHAnsi" w:eastAsiaTheme="minorEastAsia" w:hAnsiTheme="minorHAnsi" w:cstheme="minorBidi"/>
              <w:lang w:eastAsia="en-AU"/>
            </w:rPr>
          </w:pPr>
          <w:hyperlink w:anchor="_Toc36058407" w:history="1">
            <w:r w:rsidR="00C4471B" w:rsidRPr="00F839F7">
              <w:rPr>
                <w:rStyle w:val="Hyperlink"/>
              </w:rPr>
              <w:t>Who compiled these guidelines?</w:t>
            </w:r>
            <w:r w:rsidR="00C4471B">
              <w:rPr>
                <w:webHidden/>
              </w:rPr>
              <w:tab/>
            </w:r>
            <w:r w:rsidR="00C4471B">
              <w:rPr>
                <w:webHidden/>
              </w:rPr>
              <w:fldChar w:fldCharType="begin"/>
            </w:r>
            <w:r w:rsidR="00C4471B">
              <w:rPr>
                <w:webHidden/>
              </w:rPr>
              <w:instrText xml:space="preserve"> PAGEREF _Toc36058407 \h </w:instrText>
            </w:r>
            <w:r w:rsidR="00C4471B">
              <w:rPr>
                <w:webHidden/>
              </w:rPr>
            </w:r>
            <w:r w:rsidR="00C4471B">
              <w:rPr>
                <w:webHidden/>
              </w:rPr>
              <w:fldChar w:fldCharType="separate"/>
            </w:r>
            <w:r w:rsidR="004D751E">
              <w:rPr>
                <w:webHidden/>
              </w:rPr>
              <w:t>2</w:t>
            </w:r>
            <w:r w:rsidR="00C4471B">
              <w:rPr>
                <w:webHidden/>
              </w:rPr>
              <w:fldChar w:fldCharType="end"/>
            </w:r>
          </w:hyperlink>
        </w:p>
        <w:p w14:paraId="65A57BEB" w14:textId="3D9ED880" w:rsidR="00C4471B" w:rsidRDefault="0038096F">
          <w:pPr>
            <w:pStyle w:val="TOC1"/>
            <w:rPr>
              <w:rFonts w:asciiTheme="minorHAnsi" w:eastAsiaTheme="minorEastAsia" w:hAnsiTheme="minorHAnsi" w:cstheme="minorBidi"/>
              <w:lang w:eastAsia="en-AU"/>
            </w:rPr>
          </w:pPr>
          <w:hyperlink w:anchor="_Toc36058408" w:history="1">
            <w:r w:rsidR="00C4471B" w:rsidRPr="00F839F7">
              <w:rPr>
                <w:rStyle w:val="Hyperlink"/>
              </w:rPr>
              <w:t>Disclaimer</w:t>
            </w:r>
            <w:r w:rsidR="00C4471B">
              <w:rPr>
                <w:webHidden/>
              </w:rPr>
              <w:tab/>
            </w:r>
            <w:r w:rsidR="00C4471B">
              <w:rPr>
                <w:webHidden/>
              </w:rPr>
              <w:fldChar w:fldCharType="begin"/>
            </w:r>
            <w:r w:rsidR="00C4471B">
              <w:rPr>
                <w:webHidden/>
              </w:rPr>
              <w:instrText xml:space="preserve"> PAGEREF _Toc36058408 \h </w:instrText>
            </w:r>
            <w:r w:rsidR="00C4471B">
              <w:rPr>
                <w:webHidden/>
              </w:rPr>
            </w:r>
            <w:r w:rsidR="00C4471B">
              <w:rPr>
                <w:webHidden/>
              </w:rPr>
              <w:fldChar w:fldCharType="separate"/>
            </w:r>
            <w:r w:rsidR="004D751E">
              <w:rPr>
                <w:webHidden/>
              </w:rPr>
              <w:t>2</w:t>
            </w:r>
            <w:r w:rsidR="00C4471B">
              <w:rPr>
                <w:webHidden/>
              </w:rPr>
              <w:fldChar w:fldCharType="end"/>
            </w:r>
          </w:hyperlink>
        </w:p>
        <w:p w14:paraId="188FCE26" w14:textId="06335A3F" w:rsidR="00C4471B" w:rsidRDefault="0038096F">
          <w:pPr>
            <w:pStyle w:val="TOC1"/>
            <w:rPr>
              <w:rFonts w:asciiTheme="minorHAnsi" w:eastAsiaTheme="minorEastAsia" w:hAnsiTheme="minorHAnsi" w:cstheme="minorBidi"/>
              <w:lang w:eastAsia="en-AU"/>
            </w:rPr>
          </w:pPr>
          <w:hyperlink w:anchor="_Toc36058409" w:history="1">
            <w:r w:rsidR="00C4471B" w:rsidRPr="00F839F7">
              <w:rPr>
                <w:rStyle w:val="Hyperlink"/>
              </w:rPr>
              <w:t>Introduction</w:t>
            </w:r>
            <w:r w:rsidR="00C4471B">
              <w:rPr>
                <w:webHidden/>
              </w:rPr>
              <w:tab/>
            </w:r>
            <w:r w:rsidR="00C4471B">
              <w:rPr>
                <w:webHidden/>
              </w:rPr>
              <w:fldChar w:fldCharType="begin"/>
            </w:r>
            <w:r w:rsidR="00C4471B">
              <w:rPr>
                <w:webHidden/>
              </w:rPr>
              <w:instrText xml:space="preserve"> PAGEREF _Toc36058409 \h </w:instrText>
            </w:r>
            <w:r w:rsidR="00C4471B">
              <w:rPr>
                <w:webHidden/>
              </w:rPr>
            </w:r>
            <w:r w:rsidR="00C4471B">
              <w:rPr>
                <w:webHidden/>
              </w:rPr>
              <w:fldChar w:fldCharType="separate"/>
            </w:r>
            <w:r w:rsidR="004D751E">
              <w:rPr>
                <w:webHidden/>
              </w:rPr>
              <w:t>2</w:t>
            </w:r>
            <w:r w:rsidR="00C4471B">
              <w:rPr>
                <w:webHidden/>
              </w:rPr>
              <w:fldChar w:fldCharType="end"/>
            </w:r>
          </w:hyperlink>
        </w:p>
        <w:p w14:paraId="5FE4513C" w14:textId="29FF36EC" w:rsidR="00C4471B" w:rsidRDefault="0038096F">
          <w:pPr>
            <w:pStyle w:val="TOC1"/>
            <w:rPr>
              <w:rFonts w:asciiTheme="minorHAnsi" w:eastAsiaTheme="minorEastAsia" w:hAnsiTheme="minorHAnsi" w:cstheme="minorBidi"/>
              <w:lang w:eastAsia="en-AU"/>
            </w:rPr>
          </w:pPr>
          <w:hyperlink w:anchor="_Toc36058410" w:history="1">
            <w:r w:rsidR="00C4471B" w:rsidRPr="00F839F7">
              <w:rPr>
                <w:rStyle w:val="Hyperlink"/>
              </w:rPr>
              <w:t>Background</w:t>
            </w:r>
            <w:r w:rsidR="00C4471B">
              <w:rPr>
                <w:webHidden/>
              </w:rPr>
              <w:tab/>
            </w:r>
            <w:r w:rsidR="00C4471B">
              <w:rPr>
                <w:webHidden/>
              </w:rPr>
              <w:fldChar w:fldCharType="begin"/>
            </w:r>
            <w:r w:rsidR="00C4471B">
              <w:rPr>
                <w:webHidden/>
              </w:rPr>
              <w:instrText xml:space="preserve"> PAGEREF _Toc36058410 \h </w:instrText>
            </w:r>
            <w:r w:rsidR="00C4471B">
              <w:rPr>
                <w:webHidden/>
              </w:rPr>
            </w:r>
            <w:r w:rsidR="00C4471B">
              <w:rPr>
                <w:webHidden/>
              </w:rPr>
              <w:fldChar w:fldCharType="separate"/>
            </w:r>
            <w:r w:rsidR="004D751E">
              <w:rPr>
                <w:webHidden/>
              </w:rPr>
              <w:t>3</w:t>
            </w:r>
            <w:r w:rsidR="00C4471B">
              <w:rPr>
                <w:webHidden/>
              </w:rPr>
              <w:fldChar w:fldCharType="end"/>
            </w:r>
          </w:hyperlink>
        </w:p>
        <w:p w14:paraId="550D44EF" w14:textId="517AC0CC" w:rsidR="00C4471B" w:rsidRDefault="0038096F">
          <w:pPr>
            <w:pStyle w:val="TOC1"/>
            <w:rPr>
              <w:rFonts w:asciiTheme="minorHAnsi" w:eastAsiaTheme="minorEastAsia" w:hAnsiTheme="minorHAnsi" w:cstheme="minorBidi"/>
              <w:lang w:eastAsia="en-AU"/>
            </w:rPr>
          </w:pPr>
          <w:hyperlink w:anchor="_Toc36058411" w:history="1">
            <w:r w:rsidR="00C4471B" w:rsidRPr="00F839F7">
              <w:rPr>
                <w:rStyle w:val="Hyperlink"/>
              </w:rPr>
              <w:t>Underlying assumptions</w:t>
            </w:r>
            <w:r w:rsidR="00C4471B">
              <w:rPr>
                <w:webHidden/>
              </w:rPr>
              <w:tab/>
            </w:r>
            <w:r w:rsidR="00C4471B">
              <w:rPr>
                <w:webHidden/>
              </w:rPr>
              <w:fldChar w:fldCharType="begin"/>
            </w:r>
            <w:r w:rsidR="00C4471B">
              <w:rPr>
                <w:webHidden/>
              </w:rPr>
              <w:instrText xml:space="preserve"> PAGEREF _Toc36058411 \h </w:instrText>
            </w:r>
            <w:r w:rsidR="00C4471B">
              <w:rPr>
                <w:webHidden/>
              </w:rPr>
            </w:r>
            <w:r w:rsidR="00C4471B">
              <w:rPr>
                <w:webHidden/>
              </w:rPr>
              <w:fldChar w:fldCharType="separate"/>
            </w:r>
            <w:r w:rsidR="004D751E">
              <w:rPr>
                <w:webHidden/>
              </w:rPr>
              <w:t>3</w:t>
            </w:r>
            <w:r w:rsidR="00C4471B">
              <w:rPr>
                <w:webHidden/>
              </w:rPr>
              <w:fldChar w:fldCharType="end"/>
            </w:r>
          </w:hyperlink>
        </w:p>
        <w:p w14:paraId="791A725E" w14:textId="4846F4ED" w:rsidR="00C4471B" w:rsidRDefault="0038096F">
          <w:pPr>
            <w:pStyle w:val="TOC3"/>
            <w:rPr>
              <w:rFonts w:asciiTheme="minorHAnsi" w:eastAsiaTheme="minorEastAsia" w:hAnsiTheme="minorHAnsi" w:cstheme="minorBidi"/>
              <w:lang w:eastAsia="en-AU"/>
            </w:rPr>
          </w:pPr>
          <w:hyperlink w:anchor="_Toc36058412" w:history="1">
            <w:r w:rsidR="00C4471B" w:rsidRPr="00F839F7">
              <w:rPr>
                <w:rStyle w:val="Hyperlink"/>
              </w:rPr>
              <w:t>Prescriber capacity and availability</w:t>
            </w:r>
            <w:r w:rsidR="00C4471B">
              <w:rPr>
                <w:webHidden/>
              </w:rPr>
              <w:tab/>
            </w:r>
            <w:r w:rsidR="00C4471B">
              <w:rPr>
                <w:webHidden/>
              </w:rPr>
              <w:fldChar w:fldCharType="begin"/>
            </w:r>
            <w:r w:rsidR="00C4471B">
              <w:rPr>
                <w:webHidden/>
              </w:rPr>
              <w:instrText xml:space="preserve"> PAGEREF _Toc36058412 \h </w:instrText>
            </w:r>
            <w:r w:rsidR="00C4471B">
              <w:rPr>
                <w:webHidden/>
              </w:rPr>
            </w:r>
            <w:r w:rsidR="00C4471B">
              <w:rPr>
                <w:webHidden/>
              </w:rPr>
              <w:fldChar w:fldCharType="separate"/>
            </w:r>
            <w:r w:rsidR="004D751E">
              <w:rPr>
                <w:webHidden/>
              </w:rPr>
              <w:t>3</w:t>
            </w:r>
            <w:r w:rsidR="00C4471B">
              <w:rPr>
                <w:webHidden/>
              </w:rPr>
              <w:fldChar w:fldCharType="end"/>
            </w:r>
          </w:hyperlink>
        </w:p>
        <w:p w14:paraId="06A26F6C" w14:textId="59C00AF5" w:rsidR="00C4471B" w:rsidRDefault="0038096F">
          <w:pPr>
            <w:pStyle w:val="TOC3"/>
            <w:rPr>
              <w:rFonts w:asciiTheme="minorHAnsi" w:eastAsiaTheme="minorEastAsia" w:hAnsiTheme="minorHAnsi" w:cstheme="minorBidi"/>
              <w:lang w:eastAsia="en-AU"/>
            </w:rPr>
          </w:pPr>
          <w:hyperlink w:anchor="_Toc36058413" w:history="1">
            <w:r w:rsidR="00C4471B" w:rsidRPr="00F839F7">
              <w:rPr>
                <w:rStyle w:val="Hyperlink"/>
              </w:rPr>
              <w:t>All facilities already undertaking planning and actions relating to social distancing</w:t>
            </w:r>
            <w:r w:rsidR="00C4471B">
              <w:rPr>
                <w:webHidden/>
              </w:rPr>
              <w:tab/>
            </w:r>
            <w:r w:rsidR="00C4471B">
              <w:rPr>
                <w:webHidden/>
              </w:rPr>
              <w:fldChar w:fldCharType="begin"/>
            </w:r>
            <w:r w:rsidR="00C4471B">
              <w:rPr>
                <w:webHidden/>
              </w:rPr>
              <w:instrText xml:space="preserve"> PAGEREF _Toc36058413 \h </w:instrText>
            </w:r>
            <w:r w:rsidR="00C4471B">
              <w:rPr>
                <w:webHidden/>
              </w:rPr>
            </w:r>
            <w:r w:rsidR="00C4471B">
              <w:rPr>
                <w:webHidden/>
              </w:rPr>
              <w:fldChar w:fldCharType="separate"/>
            </w:r>
            <w:r w:rsidR="004D751E">
              <w:rPr>
                <w:webHidden/>
              </w:rPr>
              <w:t>3</w:t>
            </w:r>
            <w:r w:rsidR="00C4471B">
              <w:rPr>
                <w:webHidden/>
              </w:rPr>
              <w:fldChar w:fldCharType="end"/>
            </w:r>
          </w:hyperlink>
        </w:p>
        <w:p w14:paraId="20992BAC" w14:textId="106CEF77" w:rsidR="00C4471B" w:rsidRDefault="0038096F">
          <w:pPr>
            <w:pStyle w:val="TOC3"/>
            <w:rPr>
              <w:rFonts w:asciiTheme="minorHAnsi" w:eastAsiaTheme="minorEastAsia" w:hAnsiTheme="minorHAnsi" w:cstheme="minorBidi"/>
              <w:lang w:eastAsia="en-AU"/>
            </w:rPr>
          </w:pPr>
          <w:hyperlink w:anchor="_Toc36058414" w:history="1">
            <w:r w:rsidR="00C4471B" w:rsidRPr="00F839F7">
              <w:rPr>
                <w:rStyle w:val="Hyperlink"/>
              </w:rPr>
              <w:t>Stock availability</w:t>
            </w:r>
            <w:r w:rsidR="00C4471B">
              <w:rPr>
                <w:webHidden/>
              </w:rPr>
              <w:tab/>
            </w:r>
            <w:r w:rsidR="00C4471B">
              <w:rPr>
                <w:webHidden/>
              </w:rPr>
              <w:fldChar w:fldCharType="begin"/>
            </w:r>
            <w:r w:rsidR="00C4471B">
              <w:rPr>
                <w:webHidden/>
              </w:rPr>
              <w:instrText xml:space="preserve"> PAGEREF _Toc36058414 \h </w:instrText>
            </w:r>
            <w:r w:rsidR="00C4471B">
              <w:rPr>
                <w:webHidden/>
              </w:rPr>
            </w:r>
            <w:r w:rsidR="00C4471B">
              <w:rPr>
                <w:webHidden/>
              </w:rPr>
              <w:fldChar w:fldCharType="separate"/>
            </w:r>
            <w:r w:rsidR="004D751E">
              <w:rPr>
                <w:webHidden/>
              </w:rPr>
              <w:t>3</w:t>
            </w:r>
            <w:r w:rsidR="00C4471B">
              <w:rPr>
                <w:webHidden/>
              </w:rPr>
              <w:fldChar w:fldCharType="end"/>
            </w:r>
          </w:hyperlink>
        </w:p>
        <w:p w14:paraId="2F2D2A1F" w14:textId="23835CBC" w:rsidR="00C4471B" w:rsidRDefault="0038096F">
          <w:pPr>
            <w:pStyle w:val="TOC1"/>
            <w:rPr>
              <w:rFonts w:asciiTheme="minorHAnsi" w:eastAsiaTheme="minorEastAsia" w:hAnsiTheme="minorHAnsi" w:cstheme="minorBidi"/>
              <w:lang w:eastAsia="en-AU"/>
            </w:rPr>
          </w:pPr>
          <w:hyperlink w:anchor="_Toc36058415" w:history="1">
            <w:r w:rsidR="00C4471B" w:rsidRPr="00F839F7">
              <w:rPr>
                <w:rStyle w:val="Hyperlink"/>
              </w:rPr>
              <w:t>Pharmacy Disruption to dispensing</w:t>
            </w:r>
            <w:r w:rsidR="00C4471B">
              <w:rPr>
                <w:webHidden/>
              </w:rPr>
              <w:tab/>
            </w:r>
            <w:r w:rsidR="00C4471B">
              <w:rPr>
                <w:webHidden/>
              </w:rPr>
              <w:fldChar w:fldCharType="begin"/>
            </w:r>
            <w:r w:rsidR="00C4471B">
              <w:rPr>
                <w:webHidden/>
              </w:rPr>
              <w:instrText xml:space="preserve"> PAGEREF _Toc36058415 \h </w:instrText>
            </w:r>
            <w:r w:rsidR="00C4471B">
              <w:rPr>
                <w:webHidden/>
              </w:rPr>
            </w:r>
            <w:r w:rsidR="00C4471B">
              <w:rPr>
                <w:webHidden/>
              </w:rPr>
              <w:fldChar w:fldCharType="separate"/>
            </w:r>
            <w:r w:rsidR="004D751E">
              <w:rPr>
                <w:webHidden/>
              </w:rPr>
              <w:t>4</w:t>
            </w:r>
            <w:r w:rsidR="00C4471B">
              <w:rPr>
                <w:webHidden/>
              </w:rPr>
              <w:fldChar w:fldCharType="end"/>
            </w:r>
          </w:hyperlink>
        </w:p>
        <w:p w14:paraId="72B5A96C" w14:textId="0D20E61A" w:rsidR="00C4471B" w:rsidRDefault="0038096F">
          <w:pPr>
            <w:pStyle w:val="TOC1"/>
            <w:rPr>
              <w:rFonts w:asciiTheme="minorHAnsi" w:eastAsiaTheme="minorEastAsia" w:hAnsiTheme="minorHAnsi" w:cstheme="minorBidi"/>
              <w:lang w:eastAsia="en-AU"/>
            </w:rPr>
          </w:pPr>
          <w:hyperlink w:anchor="_Toc36058416" w:history="1">
            <w:r w:rsidR="00C4471B" w:rsidRPr="00F839F7">
              <w:rPr>
                <w:rStyle w:val="Hyperlink"/>
              </w:rPr>
              <w:t>OMT options to support social distancing measures</w:t>
            </w:r>
            <w:r w:rsidR="00C4471B">
              <w:rPr>
                <w:webHidden/>
              </w:rPr>
              <w:tab/>
            </w:r>
            <w:r w:rsidR="00C4471B">
              <w:rPr>
                <w:webHidden/>
              </w:rPr>
              <w:fldChar w:fldCharType="begin"/>
            </w:r>
            <w:r w:rsidR="00C4471B">
              <w:rPr>
                <w:webHidden/>
              </w:rPr>
              <w:instrText xml:space="preserve"> PAGEREF _Toc36058416 \h </w:instrText>
            </w:r>
            <w:r w:rsidR="00C4471B">
              <w:rPr>
                <w:webHidden/>
              </w:rPr>
            </w:r>
            <w:r w:rsidR="00C4471B">
              <w:rPr>
                <w:webHidden/>
              </w:rPr>
              <w:fldChar w:fldCharType="separate"/>
            </w:r>
            <w:r w:rsidR="004D751E">
              <w:rPr>
                <w:webHidden/>
              </w:rPr>
              <w:t>4</w:t>
            </w:r>
            <w:r w:rsidR="00C4471B">
              <w:rPr>
                <w:webHidden/>
              </w:rPr>
              <w:fldChar w:fldCharType="end"/>
            </w:r>
          </w:hyperlink>
        </w:p>
        <w:p w14:paraId="3E317CFC" w14:textId="1B1EF541" w:rsidR="00C4471B" w:rsidRDefault="0038096F">
          <w:pPr>
            <w:pStyle w:val="TOC1"/>
            <w:rPr>
              <w:rFonts w:asciiTheme="minorHAnsi" w:eastAsiaTheme="minorEastAsia" w:hAnsiTheme="minorHAnsi" w:cstheme="minorBidi"/>
              <w:lang w:eastAsia="en-AU"/>
            </w:rPr>
          </w:pPr>
          <w:hyperlink w:anchor="_Toc36058417" w:history="1">
            <w:r w:rsidR="00C4471B" w:rsidRPr="00F839F7">
              <w:rPr>
                <w:rStyle w:val="Hyperlink"/>
              </w:rPr>
              <w:t>OMT options to support patients under compulsory isolation</w:t>
            </w:r>
            <w:r w:rsidR="00C4471B">
              <w:rPr>
                <w:webHidden/>
              </w:rPr>
              <w:tab/>
            </w:r>
            <w:r w:rsidR="00C4471B">
              <w:rPr>
                <w:webHidden/>
              </w:rPr>
              <w:fldChar w:fldCharType="begin"/>
            </w:r>
            <w:r w:rsidR="00C4471B">
              <w:rPr>
                <w:webHidden/>
              </w:rPr>
              <w:instrText xml:space="preserve"> PAGEREF _Toc36058417 \h </w:instrText>
            </w:r>
            <w:r w:rsidR="00C4471B">
              <w:rPr>
                <w:webHidden/>
              </w:rPr>
            </w:r>
            <w:r w:rsidR="00C4471B">
              <w:rPr>
                <w:webHidden/>
              </w:rPr>
              <w:fldChar w:fldCharType="separate"/>
            </w:r>
            <w:r w:rsidR="004D751E">
              <w:rPr>
                <w:webHidden/>
              </w:rPr>
              <w:t>6</w:t>
            </w:r>
            <w:r w:rsidR="00C4471B">
              <w:rPr>
                <w:webHidden/>
              </w:rPr>
              <w:fldChar w:fldCharType="end"/>
            </w:r>
          </w:hyperlink>
        </w:p>
        <w:p w14:paraId="0B94A6FE" w14:textId="38690B50" w:rsidR="00C4471B" w:rsidRDefault="0038096F">
          <w:pPr>
            <w:pStyle w:val="TOC3"/>
            <w:rPr>
              <w:rFonts w:asciiTheme="minorHAnsi" w:eastAsiaTheme="minorEastAsia" w:hAnsiTheme="minorHAnsi" w:cstheme="minorBidi"/>
              <w:lang w:eastAsia="en-AU"/>
            </w:rPr>
          </w:pPr>
          <w:hyperlink w:anchor="_Toc36058418" w:history="1">
            <w:r w:rsidR="00C4471B" w:rsidRPr="00F839F7">
              <w:rPr>
                <w:rStyle w:val="Hyperlink"/>
              </w:rPr>
              <w:t>Prescribing Options</w:t>
            </w:r>
            <w:r w:rsidR="00C4471B">
              <w:rPr>
                <w:webHidden/>
              </w:rPr>
              <w:tab/>
            </w:r>
            <w:r w:rsidR="00C4471B">
              <w:rPr>
                <w:webHidden/>
              </w:rPr>
              <w:fldChar w:fldCharType="begin"/>
            </w:r>
            <w:r w:rsidR="00C4471B">
              <w:rPr>
                <w:webHidden/>
              </w:rPr>
              <w:instrText xml:space="preserve"> PAGEREF _Toc36058418 \h </w:instrText>
            </w:r>
            <w:r w:rsidR="00C4471B">
              <w:rPr>
                <w:webHidden/>
              </w:rPr>
            </w:r>
            <w:r w:rsidR="00C4471B">
              <w:rPr>
                <w:webHidden/>
              </w:rPr>
              <w:fldChar w:fldCharType="separate"/>
            </w:r>
            <w:r w:rsidR="004D751E">
              <w:rPr>
                <w:webHidden/>
              </w:rPr>
              <w:t>6</w:t>
            </w:r>
            <w:r w:rsidR="00C4471B">
              <w:rPr>
                <w:webHidden/>
              </w:rPr>
              <w:fldChar w:fldCharType="end"/>
            </w:r>
          </w:hyperlink>
        </w:p>
        <w:p w14:paraId="60D710C6" w14:textId="2E08024F" w:rsidR="00C4471B" w:rsidRDefault="0038096F">
          <w:pPr>
            <w:pStyle w:val="TOC3"/>
            <w:rPr>
              <w:rFonts w:asciiTheme="minorHAnsi" w:eastAsiaTheme="minorEastAsia" w:hAnsiTheme="minorHAnsi" w:cstheme="minorBidi"/>
              <w:lang w:eastAsia="en-AU"/>
            </w:rPr>
          </w:pPr>
          <w:hyperlink w:anchor="_Toc36058419" w:history="1">
            <w:r w:rsidR="00C4471B" w:rsidRPr="00F839F7">
              <w:rPr>
                <w:rStyle w:val="Hyperlink"/>
              </w:rPr>
              <w:t>Supply Options</w:t>
            </w:r>
            <w:r w:rsidR="00C4471B">
              <w:rPr>
                <w:webHidden/>
              </w:rPr>
              <w:tab/>
            </w:r>
            <w:r w:rsidR="00C4471B">
              <w:rPr>
                <w:webHidden/>
              </w:rPr>
              <w:fldChar w:fldCharType="begin"/>
            </w:r>
            <w:r w:rsidR="00C4471B">
              <w:rPr>
                <w:webHidden/>
              </w:rPr>
              <w:instrText xml:space="preserve"> PAGEREF _Toc36058419 \h </w:instrText>
            </w:r>
            <w:r w:rsidR="00C4471B">
              <w:rPr>
                <w:webHidden/>
              </w:rPr>
            </w:r>
            <w:r w:rsidR="00C4471B">
              <w:rPr>
                <w:webHidden/>
              </w:rPr>
              <w:fldChar w:fldCharType="separate"/>
            </w:r>
            <w:r w:rsidR="004D751E">
              <w:rPr>
                <w:webHidden/>
              </w:rPr>
              <w:t>7</w:t>
            </w:r>
            <w:r w:rsidR="00C4471B">
              <w:rPr>
                <w:webHidden/>
              </w:rPr>
              <w:fldChar w:fldCharType="end"/>
            </w:r>
          </w:hyperlink>
        </w:p>
        <w:p w14:paraId="35AB661B" w14:textId="274AF556" w:rsidR="00C4471B" w:rsidRDefault="0038096F">
          <w:pPr>
            <w:pStyle w:val="TOC3"/>
            <w:rPr>
              <w:rFonts w:asciiTheme="minorHAnsi" w:eastAsiaTheme="minorEastAsia" w:hAnsiTheme="minorHAnsi" w:cstheme="minorBidi"/>
              <w:lang w:eastAsia="en-AU"/>
            </w:rPr>
          </w:pPr>
          <w:hyperlink w:anchor="_Toc36058420" w:history="1">
            <w:r w:rsidR="00C4471B" w:rsidRPr="00F839F7">
              <w:rPr>
                <w:rStyle w:val="Hyperlink"/>
              </w:rPr>
              <w:t>Collection by a Government-funded third party</w:t>
            </w:r>
            <w:r w:rsidR="00C4471B">
              <w:rPr>
                <w:webHidden/>
              </w:rPr>
              <w:tab/>
            </w:r>
            <w:r w:rsidR="00C4471B">
              <w:rPr>
                <w:webHidden/>
              </w:rPr>
              <w:fldChar w:fldCharType="begin"/>
            </w:r>
            <w:r w:rsidR="00C4471B">
              <w:rPr>
                <w:webHidden/>
              </w:rPr>
              <w:instrText xml:space="preserve"> PAGEREF _Toc36058420 \h </w:instrText>
            </w:r>
            <w:r w:rsidR="00C4471B">
              <w:rPr>
                <w:webHidden/>
              </w:rPr>
            </w:r>
            <w:r w:rsidR="00C4471B">
              <w:rPr>
                <w:webHidden/>
              </w:rPr>
              <w:fldChar w:fldCharType="separate"/>
            </w:r>
            <w:r w:rsidR="004D751E">
              <w:rPr>
                <w:webHidden/>
              </w:rPr>
              <w:t>9</w:t>
            </w:r>
            <w:r w:rsidR="00C4471B">
              <w:rPr>
                <w:webHidden/>
              </w:rPr>
              <w:fldChar w:fldCharType="end"/>
            </w:r>
          </w:hyperlink>
        </w:p>
        <w:p w14:paraId="0B78DC0C" w14:textId="3CA6D1AE" w:rsidR="00C4471B" w:rsidRDefault="0038096F">
          <w:pPr>
            <w:pStyle w:val="TOC1"/>
            <w:rPr>
              <w:rFonts w:asciiTheme="minorHAnsi" w:eastAsiaTheme="minorEastAsia" w:hAnsiTheme="minorHAnsi" w:cstheme="minorBidi"/>
              <w:lang w:eastAsia="en-AU"/>
            </w:rPr>
          </w:pPr>
          <w:hyperlink w:anchor="_Toc36058421" w:history="1">
            <w:r w:rsidR="00C4471B" w:rsidRPr="00F839F7">
              <w:rPr>
                <w:rStyle w:val="Hyperlink"/>
              </w:rPr>
              <w:t>Risk Identification</w:t>
            </w:r>
            <w:r w:rsidR="00C4471B">
              <w:rPr>
                <w:webHidden/>
              </w:rPr>
              <w:tab/>
            </w:r>
            <w:r w:rsidR="00C4471B">
              <w:rPr>
                <w:webHidden/>
              </w:rPr>
              <w:fldChar w:fldCharType="begin"/>
            </w:r>
            <w:r w:rsidR="00C4471B">
              <w:rPr>
                <w:webHidden/>
              </w:rPr>
              <w:instrText xml:space="preserve"> PAGEREF _Toc36058421 \h </w:instrText>
            </w:r>
            <w:r w:rsidR="00C4471B">
              <w:rPr>
                <w:webHidden/>
              </w:rPr>
            </w:r>
            <w:r w:rsidR="00C4471B">
              <w:rPr>
                <w:webHidden/>
              </w:rPr>
              <w:fldChar w:fldCharType="separate"/>
            </w:r>
            <w:r w:rsidR="004D751E">
              <w:rPr>
                <w:webHidden/>
              </w:rPr>
              <w:t>10</w:t>
            </w:r>
            <w:r w:rsidR="00C4471B">
              <w:rPr>
                <w:webHidden/>
              </w:rPr>
              <w:fldChar w:fldCharType="end"/>
            </w:r>
          </w:hyperlink>
        </w:p>
        <w:p w14:paraId="369E81B7" w14:textId="72BF8EE4" w:rsidR="00C4471B" w:rsidRDefault="0038096F">
          <w:pPr>
            <w:pStyle w:val="TOC1"/>
            <w:rPr>
              <w:rFonts w:asciiTheme="minorHAnsi" w:eastAsiaTheme="minorEastAsia" w:hAnsiTheme="minorHAnsi" w:cstheme="minorBidi"/>
              <w:lang w:eastAsia="en-AU"/>
            </w:rPr>
          </w:pPr>
          <w:hyperlink w:anchor="_Toc36058422" w:history="1">
            <w:r w:rsidR="00C4471B" w:rsidRPr="00F839F7">
              <w:rPr>
                <w:rStyle w:val="Hyperlink"/>
              </w:rPr>
              <w:t>Additional Resources</w:t>
            </w:r>
            <w:r w:rsidR="00C4471B">
              <w:rPr>
                <w:webHidden/>
              </w:rPr>
              <w:tab/>
            </w:r>
            <w:r w:rsidR="00C4471B">
              <w:rPr>
                <w:webHidden/>
              </w:rPr>
              <w:fldChar w:fldCharType="begin"/>
            </w:r>
            <w:r w:rsidR="00C4471B">
              <w:rPr>
                <w:webHidden/>
              </w:rPr>
              <w:instrText xml:space="preserve"> PAGEREF _Toc36058422 \h </w:instrText>
            </w:r>
            <w:r w:rsidR="00C4471B">
              <w:rPr>
                <w:webHidden/>
              </w:rPr>
            </w:r>
            <w:r w:rsidR="00C4471B">
              <w:rPr>
                <w:webHidden/>
              </w:rPr>
              <w:fldChar w:fldCharType="separate"/>
            </w:r>
            <w:r w:rsidR="004D751E">
              <w:rPr>
                <w:webHidden/>
              </w:rPr>
              <w:t>10</w:t>
            </w:r>
            <w:r w:rsidR="00C4471B">
              <w:rPr>
                <w:webHidden/>
              </w:rPr>
              <w:fldChar w:fldCharType="end"/>
            </w:r>
          </w:hyperlink>
        </w:p>
        <w:p w14:paraId="31D1014D" w14:textId="3336A529" w:rsidR="00C4471B" w:rsidRDefault="00C4471B">
          <w:r>
            <w:rPr>
              <w:b/>
              <w:bCs/>
              <w:noProof/>
            </w:rPr>
            <w:fldChar w:fldCharType="end"/>
          </w:r>
        </w:p>
      </w:sdtContent>
    </w:sdt>
    <w:p w14:paraId="114F11DB" w14:textId="77777777" w:rsidR="00206307" w:rsidRPr="00206307" w:rsidRDefault="00206307" w:rsidP="00206307"/>
    <w:p w14:paraId="22B4C788" w14:textId="1C95922E" w:rsidR="00206307" w:rsidRPr="00206307" w:rsidRDefault="00206307" w:rsidP="00206307">
      <w:pPr>
        <w:tabs>
          <w:tab w:val="left" w:pos="2410"/>
        </w:tabs>
        <w:sectPr w:rsidR="00206307" w:rsidRPr="00206307" w:rsidSect="00507C96">
          <w:headerReference w:type="default" r:id="rId21"/>
          <w:footerReference w:type="default" r:id="rId22"/>
          <w:pgSz w:w="11906" w:h="16838"/>
          <w:pgMar w:top="1440" w:right="1440" w:bottom="1440" w:left="1440" w:header="708" w:footer="488" w:gutter="0"/>
          <w:pgNumType w:fmt="lowerRoman" w:start="1"/>
          <w:cols w:space="708"/>
          <w:docGrid w:linePitch="360"/>
        </w:sectPr>
      </w:pPr>
    </w:p>
    <w:p w14:paraId="0AE121B7" w14:textId="77777777" w:rsidR="00206307" w:rsidRDefault="00206307" w:rsidP="00206307">
      <w:pPr>
        <w:pStyle w:val="Heading1"/>
      </w:pPr>
      <w:bookmarkStart w:id="4" w:name="_Toc36058406"/>
      <w:bookmarkStart w:id="5" w:name="_Toc476134039"/>
      <w:r>
        <w:lastRenderedPageBreak/>
        <w:t>Who are the guidelines for?</w:t>
      </w:r>
      <w:bookmarkEnd w:id="4"/>
      <w:r>
        <w:t xml:space="preserve"> </w:t>
      </w:r>
    </w:p>
    <w:p w14:paraId="79D710BD" w14:textId="3C4BEC75" w:rsidR="00206307" w:rsidRDefault="00206307" w:rsidP="00206307">
      <w:pPr>
        <w:pStyle w:val="BodyCopy"/>
        <w:rPr>
          <w:i/>
        </w:rPr>
      </w:pPr>
      <w:r>
        <w:t>Anyone who is working with people on opioid maintenance t</w:t>
      </w:r>
      <w:r w:rsidR="00B436F7">
        <w:t>reatment</w:t>
      </w:r>
      <w:r>
        <w:t xml:space="preserve"> (OMT)</w:t>
      </w:r>
      <w:r w:rsidR="00B436F7">
        <w:t>. This includes general practitioners, pharmacists and staff at the Canberra Health Services Alcohol and Drug Service (ADS)</w:t>
      </w:r>
      <w:r w:rsidR="00D07C26">
        <w:t>.</w:t>
      </w:r>
      <w:r w:rsidRPr="00911C59">
        <w:rPr>
          <w:i/>
        </w:rPr>
        <w:t xml:space="preserve"> </w:t>
      </w:r>
    </w:p>
    <w:p w14:paraId="752A61C5" w14:textId="77777777" w:rsidR="00206307" w:rsidRDefault="00206307" w:rsidP="00206307">
      <w:pPr>
        <w:pStyle w:val="Heading1"/>
      </w:pPr>
      <w:bookmarkStart w:id="6" w:name="_Toc36058407"/>
      <w:r>
        <w:t>Who compiled these guidelines?</w:t>
      </w:r>
      <w:bookmarkEnd w:id="6"/>
      <w:r>
        <w:t xml:space="preserve"> </w:t>
      </w:r>
    </w:p>
    <w:p w14:paraId="75F5AC23" w14:textId="61592760" w:rsidR="00206307" w:rsidRDefault="00206307" w:rsidP="00206307">
      <w:pPr>
        <w:pStyle w:val="BodyCopy"/>
      </w:pPr>
      <w:r>
        <w:t>These guidelines were compiled by the ACT Health Directorate (ACTHD) in collaboration with</w:t>
      </w:r>
      <w:r w:rsidR="00D17FBA">
        <w:t xml:space="preserve"> our</w:t>
      </w:r>
      <w:r>
        <w:t xml:space="preserve"> partners in the community pharmacy sector, </w:t>
      </w:r>
      <w:r w:rsidR="00731AF4">
        <w:t xml:space="preserve">the </w:t>
      </w:r>
      <w:r>
        <w:t xml:space="preserve">Alcohol and Drug Service at Canberra Health Services, and the alcohol and other drug sector. </w:t>
      </w:r>
    </w:p>
    <w:p w14:paraId="6CD9B85E" w14:textId="0132CBAA" w:rsidR="00206307" w:rsidRDefault="00206307" w:rsidP="00206307">
      <w:pPr>
        <w:pStyle w:val="Heading1"/>
      </w:pPr>
      <w:bookmarkStart w:id="7" w:name="_Toc36058408"/>
      <w:r>
        <w:t>Disclaimer</w:t>
      </w:r>
      <w:bookmarkEnd w:id="7"/>
      <w:r>
        <w:t xml:space="preserve"> </w:t>
      </w:r>
    </w:p>
    <w:p w14:paraId="72C59E0C" w14:textId="519D24CF" w:rsidR="00206307" w:rsidRDefault="00206307" w:rsidP="00206307">
      <w:pPr>
        <w:pStyle w:val="BodyCopy"/>
      </w:pPr>
      <w:r>
        <w:t>Coronavirus (COVID-19)</w:t>
      </w:r>
      <w:r w:rsidR="00D17FBA">
        <w:t xml:space="preserve"> disease</w:t>
      </w:r>
      <w:r>
        <w:t xml:space="preserve"> is a rapidly evolving pandemic with national advice and guidance updated regularly. This is an ‘organic’ document that will be updated in response to changes and identified needs. </w:t>
      </w:r>
    </w:p>
    <w:p w14:paraId="0363750D" w14:textId="2A627FF4" w:rsidR="00206307" w:rsidRPr="00551BFB" w:rsidRDefault="00206307" w:rsidP="00206307">
      <w:pPr>
        <w:pStyle w:val="Heading1"/>
      </w:pPr>
      <w:bookmarkStart w:id="8" w:name="_Toc36058409"/>
      <w:r w:rsidRPr="00551BFB">
        <w:t>Introduction</w:t>
      </w:r>
      <w:bookmarkEnd w:id="8"/>
      <w:r w:rsidRPr="00551BFB">
        <w:t xml:space="preserve"> </w:t>
      </w:r>
    </w:p>
    <w:p w14:paraId="198E2314" w14:textId="14991953" w:rsidR="00206307" w:rsidRDefault="00206307" w:rsidP="00206307">
      <w:pPr>
        <w:pStyle w:val="BodyCopy"/>
      </w:pPr>
      <w:r>
        <w:t>The</w:t>
      </w:r>
      <w:r w:rsidR="00D17FBA">
        <w:t xml:space="preserve"> purpose of these</w:t>
      </w:r>
      <w:r>
        <w:t xml:space="preserve"> guidelines </w:t>
      </w:r>
      <w:r w:rsidR="00D17FBA">
        <w:t xml:space="preserve">is </w:t>
      </w:r>
      <w:r>
        <w:t xml:space="preserve">to assist contingency planning for the consequences of the COVID-19 pandemic in relation to people on Opioid Maintenance Treatment (OMT).  The aim is to raise awareness of potential problems that may arise and offer </w:t>
      </w:r>
      <w:r w:rsidR="00E07BEE">
        <w:t xml:space="preserve">guidance </w:t>
      </w:r>
      <w:r>
        <w:t>as to how these challenges m</w:t>
      </w:r>
      <w:r w:rsidR="00B436F7">
        <w:t>ay</w:t>
      </w:r>
      <w:r>
        <w:t xml:space="preserve"> be mitigated. </w:t>
      </w:r>
    </w:p>
    <w:p w14:paraId="7CE4884F" w14:textId="0C192806" w:rsidR="00206307" w:rsidRDefault="00206307" w:rsidP="00206307">
      <w:pPr>
        <w:pStyle w:val="BodyCopy"/>
      </w:pPr>
      <w:r>
        <w:t>The COVID-19 pandemic is a rapidly evolving situation.  The Australian Government ha</w:t>
      </w:r>
      <w:r w:rsidR="00D07C26">
        <w:t>s</w:t>
      </w:r>
      <w:r>
        <w:t xml:space="preserve"> already announced </w:t>
      </w:r>
      <w:r w:rsidR="00D17FBA">
        <w:t>(</w:t>
      </w:r>
      <w:r>
        <w:t>and may announce further</w:t>
      </w:r>
      <w:r w:rsidR="00D17FBA">
        <w:t>)</w:t>
      </w:r>
      <w:r>
        <w:t xml:space="preserve"> a variety of containment or isolation advisories with implications for staff and people </w:t>
      </w:r>
      <w:r w:rsidR="00B436F7">
        <w:t>accessing drug treatment</w:t>
      </w:r>
      <w:r>
        <w:t xml:space="preserve"> services. </w:t>
      </w:r>
    </w:p>
    <w:p w14:paraId="62379C98" w14:textId="3534434B" w:rsidR="00206307" w:rsidRDefault="00206307" w:rsidP="00206307">
      <w:pPr>
        <w:pStyle w:val="BodyCopy"/>
      </w:pPr>
      <w:r>
        <w:t xml:space="preserve">Specific service-user populations may be at heightened risk of COVID-19 related illness or complications. Typically, this includes people who are pregnant, people who are 70 years or older; those with chronic medical conditions including immunosuppression and residents of nursing homes or other care facilities. People who use drugs or are on OMT are a particular risk group with very specific needs. </w:t>
      </w:r>
    </w:p>
    <w:p w14:paraId="310663BF" w14:textId="77777777" w:rsidR="006175A7" w:rsidRDefault="006175A7" w:rsidP="00206307">
      <w:pPr>
        <w:pStyle w:val="BodyCopy"/>
      </w:pPr>
    </w:p>
    <w:p w14:paraId="4E6141D5" w14:textId="77777777" w:rsidR="002E0C49" w:rsidRDefault="002E0C49">
      <w:pPr>
        <w:spacing w:after="0" w:line="240" w:lineRule="auto"/>
        <w:rPr>
          <w:rFonts w:ascii="Arial" w:eastAsia="Times New Roman" w:hAnsi="Arial" w:cs="Arial"/>
          <w:color w:val="002677" w:themeColor="accent1"/>
          <w:sz w:val="48"/>
          <w:szCs w:val="48"/>
        </w:rPr>
      </w:pPr>
      <w:bookmarkStart w:id="9" w:name="_Toc36058410"/>
      <w:r>
        <w:br w:type="page"/>
      </w:r>
    </w:p>
    <w:p w14:paraId="4130A423" w14:textId="1604BA06" w:rsidR="00206307" w:rsidRPr="00206307" w:rsidRDefault="00206307" w:rsidP="00206307">
      <w:pPr>
        <w:pStyle w:val="Heading1"/>
      </w:pPr>
      <w:r w:rsidRPr="00672799">
        <w:lastRenderedPageBreak/>
        <w:t>Background</w:t>
      </w:r>
      <w:bookmarkEnd w:id="9"/>
      <w:r w:rsidRPr="00672799">
        <w:t xml:space="preserve"> </w:t>
      </w:r>
    </w:p>
    <w:p w14:paraId="0215A990" w14:textId="77777777" w:rsidR="00206307" w:rsidRDefault="00206307" w:rsidP="00206307">
      <w:pPr>
        <w:pStyle w:val="BodyCopy"/>
      </w:pPr>
      <w:r>
        <w:t xml:space="preserve">In the ACT, over 1000 people are recipients of Opioid Maintenance Therapy (OMT) at any given point in time.  </w:t>
      </w:r>
    </w:p>
    <w:p w14:paraId="14169A6F" w14:textId="5BF2D446" w:rsidR="00206307" w:rsidRDefault="00206307" w:rsidP="00206307">
      <w:pPr>
        <w:pStyle w:val="BodyCopy"/>
      </w:pPr>
      <w:r>
        <w:t xml:space="preserve">Interruption to the existing delivery of OMT and associated clinical care as a result of COVID-19 will put people at increased risk of overdose and, in turn, drug-related death. </w:t>
      </w:r>
      <w:r w:rsidR="006175A7">
        <w:t xml:space="preserve">People on OMT needing to self-isolate or quarantine may also be at risk of withdrawal and distress if they are unable to continue their treatment. </w:t>
      </w:r>
      <w:r>
        <w:t>It is also likely to result in people sourcing illicit drugs as an alternative and thus putting themselves at further increased risk from overdose, blood-borne viruses, related infections and, potentially, increasing the</w:t>
      </w:r>
      <w:r w:rsidR="00D17FBA">
        <w:t>ir</w:t>
      </w:r>
      <w:r>
        <w:t xml:space="preserve"> risk of COVID</w:t>
      </w:r>
      <w:r>
        <w:noBreakHyphen/>
        <w:t>19 exposure or transmission. It is essential to ensure that adequate OMT service</w:t>
      </w:r>
      <w:r w:rsidR="00D17FBA">
        <w:t xml:space="preserve"> provision</w:t>
      </w:r>
      <w:r>
        <w:t xml:space="preserve"> </w:t>
      </w:r>
      <w:r w:rsidR="00D17FBA">
        <w:t>is</w:t>
      </w:r>
      <w:r>
        <w:t xml:space="preserve"> maintained. </w:t>
      </w:r>
    </w:p>
    <w:p w14:paraId="2C861944" w14:textId="5D2D6582" w:rsidR="00206307" w:rsidRPr="00A424E6" w:rsidRDefault="00206307" w:rsidP="00206307">
      <w:pPr>
        <w:pStyle w:val="Heading1"/>
      </w:pPr>
      <w:bookmarkStart w:id="10" w:name="_Toc36058411"/>
      <w:r w:rsidRPr="00A424E6">
        <w:t>Underlying assumptions</w:t>
      </w:r>
      <w:bookmarkEnd w:id="10"/>
    </w:p>
    <w:p w14:paraId="2F84222A" w14:textId="49F703C7" w:rsidR="00206307" w:rsidRPr="00A424E6" w:rsidRDefault="00206307" w:rsidP="00206307">
      <w:pPr>
        <w:pStyle w:val="Heading3"/>
      </w:pPr>
      <w:bookmarkStart w:id="11" w:name="_Toc36057313"/>
      <w:bookmarkStart w:id="12" w:name="_Toc36058412"/>
      <w:r w:rsidRPr="00A424E6">
        <w:t>Prescriber capacity and availability</w:t>
      </w:r>
      <w:bookmarkEnd w:id="11"/>
      <w:bookmarkEnd w:id="12"/>
    </w:p>
    <w:p w14:paraId="7B1F84A3" w14:textId="5D21C6F3" w:rsidR="00206307" w:rsidRDefault="00206307" w:rsidP="00206307">
      <w:pPr>
        <w:pStyle w:val="BodyCopy"/>
      </w:pPr>
      <w:r>
        <w:t xml:space="preserve">Many community prescribers, as well as Canberra Health Services (CHS), have indicated they are well positioned to undertake </w:t>
      </w:r>
      <w:r w:rsidR="006175A7">
        <w:t xml:space="preserve">phone consultations or other </w:t>
      </w:r>
      <w:r>
        <w:t>telehealth services to ensure continuity of care for this patient group, when in-person</w:t>
      </w:r>
      <w:r w:rsidR="00D17FBA">
        <w:t xml:space="preserve"> or face to face</w:t>
      </w:r>
      <w:r>
        <w:t xml:space="preserve"> appointments and assessments are not possible.</w:t>
      </w:r>
    </w:p>
    <w:p w14:paraId="73666869" w14:textId="77777777" w:rsidR="00206307" w:rsidRPr="00206307" w:rsidRDefault="00206307" w:rsidP="00206307">
      <w:pPr>
        <w:pStyle w:val="Heading3"/>
      </w:pPr>
      <w:bookmarkStart w:id="13" w:name="_Toc36057314"/>
      <w:bookmarkStart w:id="14" w:name="_Toc36058413"/>
      <w:r w:rsidRPr="00206307">
        <w:t>All facilities already undertaking planning and actions relating to social distancing</w:t>
      </w:r>
      <w:bookmarkEnd w:id="13"/>
      <w:bookmarkEnd w:id="14"/>
    </w:p>
    <w:p w14:paraId="034C797F" w14:textId="0DC66A8F" w:rsidR="00206307" w:rsidRDefault="00206307" w:rsidP="00206307">
      <w:pPr>
        <w:pStyle w:val="BodyCopy"/>
      </w:pPr>
      <w:r>
        <w:t xml:space="preserve">Community pharmacies, drug treatment centres, public health facilities and </w:t>
      </w:r>
      <w:r w:rsidR="00D17FBA">
        <w:t>general practitioners (</w:t>
      </w:r>
      <w:r>
        <w:t>GPs</w:t>
      </w:r>
      <w:r w:rsidR="00D17FBA">
        <w:t>)</w:t>
      </w:r>
      <w:r>
        <w:t xml:space="preserve"> are already undertaking a range of measures to stop the spread of COVID-19. This includes restricting the number of people in confined spaces, adjusting opening hours, increasingly moving to other appointment models</w:t>
      </w:r>
      <w:r w:rsidR="00D17FBA">
        <w:t xml:space="preserve">, </w:t>
      </w:r>
      <w:r>
        <w:t xml:space="preserve">encouraging the existing community measures of hand hygiene (washing hands and water, use of hand sanitiser) use and physical distancing. </w:t>
      </w:r>
    </w:p>
    <w:p w14:paraId="27DDAA65" w14:textId="77777777" w:rsidR="00206307" w:rsidRPr="00A424E6" w:rsidRDefault="00206307" w:rsidP="00206307">
      <w:pPr>
        <w:pStyle w:val="Heading3"/>
      </w:pPr>
      <w:bookmarkStart w:id="15" w:name="_Toc36057315"/>
      <w:bookmarkStart w:id="16" w:name="_Toc36058414"/>
      <w:r w:rsidRPr="00A424E6">
        <w:t>Stock availability</w:t>
      </w:r>
      <w:bookmarkEnd w:id="15"/>
      <w:bookmarkEnd w:id="16"/>
    </w:p>
    <w:p w14:paraId="7DDEB371" w14:textId="189B9544" w:rsidR="00206307" w:rsidRDefault="00206307" w:rsidP="00206307">
      <w:pPr>
        <w:pStyle w:val="BodyCopy"/>
      </w:pPr>
      <w:r>
        <w:t>This guideline assumes that stock of OMT medications (methadone and buprenorphine products) continue</w:t>
      </w:r>
      <w:r w:rsidR="00D17FBA">
        <w:t>s</w:t>
      </w:r>
      <w:r>
        <w:t xml:space="preserve"> to be available through routine supply chains.</w:t>
      </w:r>
    </w:p>
    <w:p w14:paraId="2C3A9E8E" w14:textId="7E382632" w:rsidR="00206307" w:rsidRDefault="00206307" w:rsidP="00206307">
      <w:pPr>
        <w:pStyle w:val="BodyCopy"/>
      </w:pPr>
      <w:r>
        <w:t xml:space="preserve">It is likely that this will be a dynamic situation particularly as it relates to naloxone products. Increased demand for all naloxone products during the COVID-19 response is likely to have an impact on stock availability. </w:t>
      </w:r>
      <w:r w:rsidR="00B436F7">
        <w:t>The ACT Government will work with the Australian Government and the Therapeutic Goods Administration on monitoring the supply of OMT medications</w:t>
      </w:r>
      <w:r w:rsidR="00CF09CF">
        <w:t xml:space="preserve"> and naloxone</w:t>
      </w:r>
      <w:r w:rsidR="00B436F7">
        <w:t>. It is expected that there may be increased pressure OMT medication supply during the COVID-19 pandemic.</w:t>
      </w:r>
    </w:p>
    <w:p w14:paraId="61180623" w14:textId="77777777" w:rsidR="006175A7" w:rsidRDefault="006175A7">
      <w:pPr>
        <w:spacing w:after="0" w:line="240" w:lineRule="auto"/>
        <w:rPr>
          <w:rFonts w:ascii="Arial" w:eastAsia="Times New Roman" w:hAnsi="Arial" w:cs="Arial"/>
          <w:color w:val="002677" w:themeColor="accent1"/>
          <w:sz w:val="48"/>
          <w:szCs w:val="48"/>
        </w:rPr>
      </w:pPr>
      <w:bookmarkStart w:id="17" w:name="_Toc36058415"/>
      <w:r>
        <w:br w:type="page"/>
      </w:r>
    </w:p>
    <w:p w14:paraId="10CEB28E" w14:textId="608B7518" w:rsidR="00206307" w:rsidRPr="00206307" w:rsidRDefault="00206307" w:rsidP="00206307">
      <w:pPr>
        <w:pStyle w:val="Heading1"/>
        <w:rPr>
          <w:sz w:val="24"/>
          <w:szCs w:val="24"/>
        </w:rPr>
      </w:pPr>
      <w:r w:rsidRPr="00A424E6">
        <w:lastRenderedPageBreak/>
        <w:t>Pharmacy Disruption to dispensing</w:t>
      </w:r>
      <w:bookmarkEnd w:id="17"/>
      <w:r w:rsidRPr="00A424E6">
        <w:t xml:space="preserve"> </w:t>
      </w:r>
    </w:p>
    <w:p w14:paraId="64A4A941" w14:textId="0FF29D5C" w:rsidR="00206307" w:rsidRDefault="00206307" w:rsidP="00206307">
      <w:pPr>
        <w:pStyle w:val="BodyCopy"/>
      </w:pPr>
      <w:r>
        <w:t xml:space="preserve">Community pharmacy closures or restricted opening hours </w:t>
      </w:r>
      <w:r w:rsidR="00CF09CF">
        <w:t>may</w:t>
      </w:r>
      <w:r>
        <w:t xml:space="preserve"> occur at some point during the COVID-19 pandemic.  In the event of closures, this will lead to disruption in the dispensing of OMT and in the provision of injecting equipment. </w:t>
      </w:r>
    </w:p>
    <w:p w14:paraId="7F4E204F" w14:textId="77777777" w:rsidR="00206307" w:rsidRDefault="00206307" w:rsidP="00206307">
      <w:pPr>
        <w:pStyle w:val="BodyCopy"/>
      </w:pPr>
      <w:r>
        <w:t xml:space="preserve">Pharmacies are independent businesses who are responsible for their own Business Continuity Plans (BCPs) with the assistance of the Pharmacy Guild of Australia. These BCPs already indicate the likely alternative dosing point for OMT for clients of individual pharmacies. </w:t>
      </w:r>
    </w:p>
    <w:p w14:paraId="733A8044" w14:textId="6467293F" w:rsidR="00206307" w:rsidRDefault="00206307" w:rsidP="00206307">
      <w:pPr>
        <w:pStyle w:val="BodyCopy"/>
      </w:pPr>
      <w:r>
        <w:t xml:space="preserve">As part of </w:t>
      </w:r>
      <w:r w:rsidR="00D0704B">
        <w:t xml:space="preserve">the </w:t>
      </w:r>
      <w:r>
        <w:t xml:space="preserve">COVID-19 </w:t>
      </w:r>
      <w:r w:rsidR="00D0704B">
        <w:t>response</w:t>
      </w:r>
      <w:r>
        <w:t>, it is advised that pharmacies collate a list of their OMT clients. The list should include the medication prescribed, the current dose, name of prescriber and existing prescription expiry date as well as current contact details for the patient. Ideally such a list could be quickly updated to include details of the most recent dose collected in order to facilitate transfers to an alternative pharmacy should unexpected pharmacy closures occur.</w:t>
      </w:r>
    </w:p>
    <w:p w14:paraId="33E10F54" w14:textId="698B88BE" w:rsidR="00206307" w:rsidRPr="00206307" w:rsidRDefault="00206307" w:rsidP="00206307">
      <w:pPr>
        <w:pStyle w:val="Heading1"/>
        <w:rPr>
          <w:sz w:val="24"/>
          <w:szCs w:val="24"/>
        </w:rPr>
      </w:pPr>
      <w:bookmarkStart w:id="18" w:name="_Toc36058416"/>
      <w:r w:rsidRPr="00DB18E6">
        <w:t xml:space="preserve">OMT options to </w:t>
      </w:r>
      <w:r>
        <w:t xml:space="preserve">support social distancing </w:t>
      </w:r>
      <w:bookmarkEnd w:id="18"/>
    </w:p>
    <w:p w14:paraId="5C15E54D" w14:textId="2909D550" w:rsidR="00206307" w:rsidRDefault="00206307" w:rsidP="00206307">
      <w:pPr>
        <w:pStyle w:val="BodyCopy"/>
      </w:pPr>
      <w:r>
        <w:t>Individual pharmacies and the Alcohol and Drug Service</w:t>
      </w:r>
      <w:r w:rsidR="00CF09CF">
        <w:t xml:space="preserve"> at</w:t>
      </w:r>
      <w:r>
        <w:t xml:space="preserve"> Canberra Health Services (ADS) are already undertaking appropriate actions to reduce the likelihood of virus transmission at their sites. Measures have included adjusted opening times, restricting the number of individuals inside and the use of specified appointments.</w:t>
      </w:r>
    </w:p>
    <w:p w14:paraId="4F0AA85E" w14:textId="086870CD" w:rsidR="00206307" w:rsidRDefault="00206307" w:rsidP="00206307">
      <w:pPr>
        <w:pStyle w:val="BodyCopy"/>
      </w:pPr>
      <w:r>
        <w:t xml:space="preserve">A range of GP prescribers, as well as ADS, already have access to telehealth capability in order to reduce the need for patients to travel, and protect the health of frontline staff, while maintaining robust patient assessment. This </w:t>
      </w:r>
      <w:r w:rsidR="00CF09CF">
        <w:t xml:space="preserve">will be </w:t>
      </w:r>
      <w:r>
        <w:t xml:space="preserve">particularly important </w:t>
      </w:r>
      <w:r w:rsidR="00CF09CF">
        <w:t>if</w:t>
      </w:r>
      <w:r>
        <w:t xml:space="preserve"> public transport options are reduced.</w:t>
      </w:r>
    </w:p>
    <w:p w14:paraId="1E8F654E" w14:textId="29BC21A5" w:rsidR="006175A7" w:rsidRDefault="006175A7" w:rsidP="00206307">
      <w:pPr>
        <w:pStyle w:val="BodyCopy"/>
      </w:pPr>
      <w:r>
        <w:t xml:space="preserve">Options for remote </w:t>
      </w:r>
      <w:r w:rsidR="00A57D1D">
        <w:t xml:space="preserve">prescribing </w:t>
      </w:r>
      <w:r>
        <w:t>are permitted under ACT law</w:t>
      </w:r>
      <w:r w:rsidR="00A57D1D">
        <w:t xml:space="preserve"> (including for schedule 8 (controlled) medicines)</w:t>
      </w:r>
      <w:r>
        <w:t>, including telephone, faxed or electronic prescriptions</w:t>
      </w:r>
      <w:r w:rsidRPr="006175A7">
        <w:rPr>
          <w:rStyle w:val="FootnoteReference"/>
          <w:vertAlign w:val="superscript"/>
        </w:rPr>
        <w:footnoteReference w:id="1"/>
      </w:r>
      <w:r>
        <w:t>. An original written prescription must be sent to the pharmacy within 24 hours for a telephone or faxed prescription.</w:t>
      </w:r>
    </w:p>
    <w:p w14:paraId="38C0DBA2" w14:textId="77777777" w:rsidR="00A57D1D" w:rsidRPr="00834D62" w:rsidRDefault="00A57D1D" w:rsidP="00A57D1D">
      <w:pPr>
        <w:pStyle w:val="Heading3"/>
        <w:spacing w:before="120" w:after="240" w:line="240" w:lineRule="atLeast"/>
      </w:pPr>
      <w:r w:rsidRPr="00834D62">
        <w:t>Prescribing Options</w:t>
      </w:r>
    </w:p>
    <w:p w14:paraId="0C0E71DB" w14:textId="0DF25F6E" w:rsidR="00A57D1D" w:rsidRDefault="006175A7" w:rsidP="00A57D1D">
      <w:pPr>
        <w:pStyle w:val="BodyCopy"/>
      </w:pPr>
      <w:r w:rsidRPr="006175A7">
        <w:t xml:space="preserve">Prescribers should consider increasing the number of unsupervised or ‘takeaway doses’ for a patient as a social distancing measure. </w:t>
      </w:r>
      <w:r w:rsidR="00731AF4">
        <w:t>This is particularly true for patients at higher risk of contracting the virus due to pre-existing medical conditions.</w:t>
      </w:r>
    </w:p>
    <w:p w14:paraId="7312DD2E" w14:textId="77777777" w:rsidR="009938FA" w:rsidRDefault="009938FA">
      <w:pPr>
        <w:spacing w:after="0" w:line="240" w:lineRule="auto"/>
        <w:rPr>
          <w:rFonts w:ascii="Arial" w:eastAsia="Times New Roman" w:hAnsi="Arial" w:cs="Arial"/>
          <w:bCs/>
          <w:i/>
          <w:color w:val="2E7C80" w:themeColor="accent2" w:themeShade="80"/>
          <w:sz w:val="24"/>
          <w:szCs w:val="24"/>
        </w:rPr>
      </w:pPr>
      <w:r>
        <w:rPr>
          <w:color w:val="2E7C80" w:themeColor="accent2" w:themeShade="80"/>
        </w:rPr>
        <w:br w:type="page"/>
      </w:r>
    </w:p>
    <w:p w14:paraId="06070F00" w14:textId="5910C2ED" w:rsidR="00A57D1D" w:rsidRPr="00600F81" w:rsidRDefault="00A57D1D" w:rsidP="00600F81">
      <w:pPr>
        <w:pStyle w:val="Heading5"/>
        <w:spacing w:before="120" w:after="240" w:line="280" w:lineRule="exact"/>
        <w:rPr>
          <w:rFonts w:asciiTheme="minorHAnsi" w:hAnsiTheme="minorHAnsi" w:cstheme="minorHAnsi"/>
          <w:color w:val="2E7C80" w:themeColor="accent2" w:themeShade="80"/>
        </w:rPr>
      </w:pPr>
      <w:r w:rsidRPr="00600F81">
        <w:rPr>
          <w:rFonts w:asciiTheme="minorHAnsi" w:hAnsiTheme="minorHAnsi" w:cstheme="minorHAnsi"/>
          <w:color w:val="2E7C80" w:themeColor="accent2" w:themeShade="80"/>
        </w:rPr>
        <w:lastRenderedPageBreak/>
        <w:t>Category 3A and 3B approval take away limits</w:t>
      </w:r>
    </w:p>
    <w:p w14:paraId="13076355" w14:textId="6D8AC29D" w:rsidR="00A57D1D" w:rsidRDefault="006175A7" w:rsidP="00A57D1D">
      <w:pPr>
        <w:pStyle w:val="BodyCopy"/>
      </w:pPr>
      <w:r w:rsidRPr="006175A7">
        <w:t xml:space="preserve">Prescribers are authorised to prescribe unsupervised doses up to the limits described for a Category 3A or 3B approval in the </w:t>
      </w:r>
      <w:hyperlink r:id="rId23" w:history="1">
        <w:r w:rsidRPr="00EC59C4">
          <w:rPr>
            <w:rStyle w:val="Hyperlink"/>
          </w:rPr>
          <w:t>Controlled Medicines Prescribing Standards</w:t>
        </w:r>
      </w:hyperlink>
      <w:r w:rsidR="00A57D1D">
        <w:t>.</w:t>
      </w:r>
    </w:p>
    <w:p w14:paraId="7EF53C08" w14:textId="515D555B" w:rsidR="00A57D1D" w:rsidRPr="00600F81" w:rsidRDefault="00A57D1D" w:rsidP="00A57D1D">
      <w:pPr>
        <w:rPr>
          <w:rFonts w:eastAsia="Times New Roman"/>
          <w:color w:val="2E7C80" w:themeColor="accent2" w:themeShade="80"/>
        </w:rPr>
      </w:pPr>
      <w:r w:rsidRPr="00600F81">
        <w:rPr>
          <w:rFonts w:eastAsia="Times New Roman"/>
          <w:color w:val="2E7C80" w:themeColor="accent2" w:themeShade="80"/>
          <w:sz w:val="24"/>
          <w:szCs w:val="24"/>
        </w:rPr>
        <w:t>Category 3A Approval - Methadone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97"/>
        <w:gridCol w:w="1335"/>
        <w:gridCol w:w="4284"/>
      </w:tblGrid>
      <w:tr w:rsidR="00A57D1D" w:rsidRPr="00350F51" w14:paraId="62F50451" w14:textId="77777777" w:rsidTr="00600F81">
        <w:trPr>
          <w:jc w:val="center"/>
        </w:trPr>
        <w:tc>
          <w:tcPr>
            <w:tcW w:w="3397" w:type="dxa"/>
            <w:shd w:val="clear" w:color="auto" w:fill="FFFFFF"/>
          </w:tcPr>
          <w:p w14:paraId="210D0C26" w14:textId="77777777" w:rsidR="00A57D1D" w:rsidRPr="00600F81" w:rsidRDefault="00A57D1D" w:rsidP="003B679A">
            <w:pPr>
              <w:tabs>
                <w:tab w:val="left" w:pos="4320"/>
              </w:tabs>
              <w:jc w:val="center"/>
              <w:rPr>
                <w:b/>
                <w:bCs/>
              </w:rPr>
            </w:pPr>
            <w:r w:rsidRPr="00600F81">
              <w:rPr>
                <w:b/>
                <w:bCs/>
              </w:rPr>
              <w:t>Length of time in treatment (months)</w:t>
            </w:r>
          </w:p>
        </w:tc>
        <w:tc>
          <w:tcPr>
            <w:tcW w:w="1335" w:type="dxa"/>
            <w:shd w:val="clear" w:color="auto" w:fill="FFFFFF"/>
          </w:tcPr>
          <w:p w14:paraId="0C97D06B" w14:textId="77777777" w:rsidR="00A57D1D" w:rsidRPr="00600F81" w:rsidRDefault="00A57D1D" w:rsidP="003B679A">
            <w:pPr>
              <w:tabs>
                <w:tab w:val="left" w:pos="4320"/>
              </w:tabs>
              <w:jc w:val="center"/>
              <w:rPr>
                <w:b/>
                <w:bCs/>
              </w:rPr>
            </w:pPr>
            <w:r w:rsidRPr="00600F81">
              <w:rPr>
                <w:b/>
                <w:bCs/>
              </w:rPr>
              <w:t>Methadone</w:t>
            </w:r>
          </w:p>
        </w:tc>
        <w:tc>
          <w:tcPr>
            <w:tcW w:w="4284" w:type="dxa"/>
            <w:shd w:val="clear" w:color="auto" w:fill="FFFFFF"/>
          </w:tcPr>
          <w:p w14:paraId="37235EB5" w14:textId="77777777" w:rsidR="00A57D1D" w:rsidRPr="00600F81" w:rsidRDefault="00A57D1D" w:rsidP="003B679A">
            <w:pPr>
              <w:tabs>
                <w:tab w:val="left" w:pos="4320"/>
              </w:tabs>
              <w:jc w:val="center"/>
              <w:rPr>
                <w:b/>
                <w:bCs/>
              </w:rPr>
            </w:pPr>
            <w:r w:rsidRPr="00600F81">
              <w:rPr>
                <w:b/>
                <w:bCs/>
              </w:rPr>
              <w:t>Comments</w:t>
            </w:r>
          </w:p>
        </w:tc>
      </w:tr>
      <w:tr w:rsidR="00A57D1D" w:rsidRPr="00350F51" w14:paraId="1C79E75A" w14:textId="77777777" w:rsidTr="00600F81">
        <w:trPr>
          <w:jc w:val="center"/>
        </w:trPr>
        <w:tc>
          <w:tcPr>
            <w:tcW w:w="3397" w:type="dxa"/>
            <w:shd w:val="clear" w:color="auto" w:fill="FFFFFF"/>
          </w:tcPr>
          <w:p w14:paraId="6CB38AF6" w14:textId="77777777" w:rsidR="00A57D1D" w:rsidRPr="00B70F68" w:rsidRDefault="00A57D1D" w:rsidP="003B679A">
            <w:pPr>
              <w:tabs>
                <w:tab w:val="left" w:pos="4320"/>
              </w:tabs>
              <w:jc w:val="center"/>
            </w:pPr>
            <w:r w:rsidRPr="00B70F68">
              <w:t>0-3</w:t>
            </w:r>
          </w:p>
        </w:tc>
        <w:tc>
          <w:tcPr>
            <w:tcW w:w="1335" w:type="dxa"/>
            <w:shd w:val="clear" w:color="auto" w:fill="FFFFFF"/>
          </w:tcPr>
          <w:p w14:paraId="3EE70304" w14:textId="77777777" w:rsidR="00A57D1D" w:rsidRPr="00B70F68" w:rsidRDefault="00A57D1D" w:rsidP="003B679A">
            <w:pPr>
              <w:tabs>
                <w:tab w:val="left" w:pos="4320"/>
              </w:tabs>
              <w:jc w:val="center"/>
            </w:pPr>
            <w:r w:rsidRPr="00B70F68">
              <w:t>0</w:t>
            </w:r>
          </w:p>
        </w:tc>
        <w:tc>
          <w:tcPr>
            <w:tcW w:w="4284" w:type="dxa"/>
            <w:shd w:val="clear" w:color="auto" w:fill="FFFFFF"/>
          </w:tcPr>
          <w:p w14:paraId="3F6B8FD6" w14:textId="77777777" w:rsidR="00A57D1D" w:rsidRPr="00B70F68" w:rsidRDefault="00A57D1D" w:rsidP="003B679A">
            <w:pPr>
              <w:tabs>
                <w:tab w:val="left" w:pos="4320"/>
              </w:tabs>
              <w:jc w:val="center"/>
            </w:pPr>
            <w:r w:rsidRPr="00B70F68">
              <w:t>Exceptional circumstances may allow one dose</w:t>
            </w:r>
          </w:p>
        </w:tc>
      </w:tr>
      <w:tr w:rsidR="00A57D1D" w:rsidRPr="00350F51" w14:paraId="05036785" w14:textId="77777777" w:rsidTr="00600F81">
        <w:trPr>
          <w:jc w:val="center"/>
        </w:trPr>
        <w:tc>
          <w:tcPr>
            <w:tcW w:w="3397" w:type="dxa"/>
            <w:shd w:val="clear" w:color="auto" w:fill="FFFFFF"/>
          </w:tcPr>
          <w:p w14:paraId="0BAD1CAC" w14:textId="77777777" w:rsidR="00A57D1D" w:rsidRPr="00B70F68" w:rsidRDefault="00A57D1D" w:rsidP="003B679A">
            <w:pPr>
              <w:tabs>
                <w:tab w:val="left" w:pos="4320"/>
              </w:tabs>
              <w:jc w:val="center"/>
            </w:pPr>
            <w:r w:rsidRPr="00B70F68">
              <w:t>3-5</w:t>
            </w:r>
          </w:p>
        </w:tc>
        <w:tc>
          <w:tcPr>
            <w:tcW w:w="1335" w:type="dxa"/>
            <w:shd w:val="clear" w:color="auto" w:fill="FFFFFF"/>
          </w:tcPr>
          <w:p w14:paraId="0B31B613" w14:textId="77777777" w:rsidR="00A57D1D" w:rsidRPr="00B70F68" w:rsidRDefault="00A57D1D" w:rsidP="003B679A">
            <w:pPr>
              <w:tabs>
                <w:tab w:val="left" w:pos="4320"/>
              </w:tabs>
              <w:jc w:val="center"/>
            </w:pPr>
            <w:r w:rsidRPr="00B70F68">
              <w:t>2 per week</w:t>
            </w:r>
          </w:p>
        </w:tc>
        <w:tc>
          <w:tcPr>
            <w:tcW w:w="4284" w:type="dxa"/>
            <w:shd w:val="clear" w:color="auto" w:fill="FFFFFF"/>
          </w:tcPr>
          <w:p w14:paraId="0D22A43D" w14:textId="77777777" w:rsidR="00A57D1D" w:rsidRPr="00B70F68" w:rsidRDefault="00A57D1D" w:rsidP="003B679A">
            <w:pPr>
              <w:tabs>
                <w:tab w:val="left" w:pos="4320"/>
              </w:tabs>
              <w:jc w:val="center"/>
            </w:pPr>
            <w:r w:rsidRPr="00B70F68">
              <w:t>Not consecutively</w:t>
            </w:r>
          </w:p>
        </w:tc>
      </w:tr>
      <w:tr w:rsidR="00A57D1D" w:rsidRPr="00350F51" w14:paraId="39C53E38" w14:textId="77777777" w:rsidTr="00600F81">
        <w:trPr>
          <w:jc w:val="center"/>
        </w:trPr>
        <w:tc>
          <w:tcPr>
            <w:tcW w:w="3397" w:type="dxa"/>
            <w:shd w:val="clear" w:color="auto" w:fill="FFFFFF"/>
          </w:tcPr>
          <w:p w14:paraId="6EA704FF" w14:textId="77777777" w:rsidR="00A57D1D" w:rsidRPr="00B70F68" w:rsidRDefault="00A57D1D" w:rsidP="003B679A">
            <w:pPr>
              <w:tabs>
                <w:tab w:val="left" w:pos="4320"/>
              </w:tabs>
              <w:jc w:val="center"/>
            </w:pPr>
            <w:r w:rsidRPr="00B70F68">
              <w:t>5-7</w:t>
            </w:r>
          </w:p>
        </w:tc>
        <w:tc>
          <w:tcPr>
            <w:tcW w:w="1335" w:type="dxa"/>
            <w:shd w:val="clear" w:color="auto" w:fill="FFFFFF"/>
          </w:tcPr>
          <w:p w14:paraId="1877A6DF" w14:textId="77777777" w:rsidR="00A57D1D" w:rsidRPr="00B70F68" w:rsidRDefault="00A57D1D" w:rsidP="003B679A">
            <w:pPr>
              <w:tabs>
                <w:tab w:val="left" w:pos="4320"/>
              </w:tabs>
              <w:jc w:val="center"/>
            </w:pPr>
            <w:r w:rsidRPr="00B70F68">
              <w:t>2 per week</w:t>
            </w:r>
          </w:p>
        </w:tc>
        <w:tc>
          <w:tcPr>
            <w:tcW w:w="4284" w:type="dxa"/>
            <w:shd w:val="clear" w:color="auto" w:fill="FFFFFF"/>
          </w:tcPr>
          <w:p w14:paraId="414972C8" w14:textId="77777777" w:rsidR="00A57D1D" w:rsidRPr="00B70F68" w:rsidRDefault="00A57D1D" w:rsidP="003B679A">
            <w:pPr>
              <w:tabs>
                <w:tab w:val="left" w:pos="4320"/>
              </w:tabs>
              <w:jc w:val="center"/>
            </w:pPr>
            <w:r w:rsidRPr="00B70F68">
              <w:t>Maximum 2 consecutive</w:t>
            </w:r>
          </w:p>
        </w:tc>
      </w:tr>
      <w:tr w:rsidR="00A57D1D" w:rsidRPr="00350F51" w14:paraId="758524DE" w14:textId="77777777" w:rsidTr="00600F81">
        <w:trPr>
          <w:jc w:val="center"/>
        </w:trPr>
        <w:tc>
          <w:tcPr>
            <w:tcW w:w="3397" w:type="dxa"/>
            <w:shd w:val="clear" w:color="auto" w:fill="FFFFFF"/>
          </w:tcPr>
          <w:p w14:paraId="5EF0C2D5" w14:textId="77777777" w:rsidR="00A57D1D" w:rsidRPr="00B70F68" w:rsidRDefault="00A57D1D" w:rsidP="003B679A">
            <w:pPr>
              <w:tabs>
                <w:tab w:val="left" w:pos="4320"/>
              </w:tabs>
              <w:jc w:val="center"/>
            </w:pPr>
            <w:r w:rsidRPr="00B70F68">
              <w:t>7-9</w:t>
            </w:r>
          </w:p>
        </w:tc>
        <w:tc>
          <w:tcPr>
            <w:tcW w:w="1335" w:type="dxa"/>
            <w:shd w:val="clear" w:color="auto" w:fill="FFFFFF"/>
          </w:tcPr>
          <w:p w14:paraId="556F5313" w14:textId="77777777" w:rsidR="00A57D1D" w:rsidRPr="00B70F68" w:rsidRDefault="00A57D1D" w:rsidP="003B679A">
            <w:pPr>
              <w:tabs>
                <w:tab w:val="left" w:pos="4320"/>
              </w:tabs>
              <w:jc w:val="center"/>
            </w:pPr>
            <w:r w:rsidRPr="00B70F68">
              <w:t>3 per week</w:t>
            </w:r>
          </w:p>
        </w:tc>
        <w:tc>
          <w:tcPr>
            <w:tcW w:w="4284" w:type="dxa"/>
            <w:shd w:val="clear" w:color="auto" w:fill="FFFFFF"/>
          </w:tcPr>
          <w:p w14:paraId="2AD2D6BF" w14:textId="77777777" w:rsidR="00A57D1D" w:rsidRPr="00B70F68" w:rsidRDefault="00A57D1D" w:rsidP="003B679A">
            <w:pPr>
              <w:tabs>
                <w:tab w:val="left" w:pos="4320"/>
              </w:tabs>
              <w:jc w:val="center"/>
            </w:pPr>
            <w:r w:rsidRPr="00B70F68">
              <w:t>Methadone – maximum 2 consecutive</w:t>
            </w:r>
          </w:p>
        </w:tc>
      </w:tr>
      <w:tr w:rsidR="00A57D1D" w:rsidRPr="00350F51" w14:paraId="35E70789" w14:textId="77777777" w:rsidTr="00600F81">
        <w:trPr>
          <w:jc w:val="center"/>
        </w:trPr>
        <w:tc>
          <w:tcPr>
            <w:tcW w:w="3397" w:type="dxa"/>
            <w:shd w:val="clear" w:color="auto" w:fill="FFFFFF"/>
          </w:tcPr>
          <w:p w14:paraId="0FE43D6E" w14:textId="77777777" w:rsidR="00A57D1D" w:rsidRPr="00B70F68" w:rsidRDefault="00A57D1D" w:rsidP="003B679A">
            <w:pPr>
              <w:tabs>
                <w:tab w:val="left" w:pos="4320"/>
              </w:tabs>
              <w:jc w:val="center"/>
            </w:pPr>
            <w:r w:rsidRPr="00B70F68">
              <w:t>&gt;9</w:t>
            </w:r>
          </w:p>
        </w:tc>
        <w:tc>
          <w:tcPr>
            <w:tcW w:w="1335" w:type="dxa"/>
            <w:shd w:val="clear" w:color="auto" w:fill="FFFFFF"/>
          </w:tcPr>
          <w:p w14:paraId="42156447" w14:textId="77777777" w:rsidR="00A57D1D" w:rsidRPr="00B70F68" w:rsidRDefault="00A57D1D" w:rsidP="003B679A">
            <w:pPr>
              <w:tabs>
                <w:tab w:val="left" w:pos="4320"/>
              </w:tabs>
              <w:jc w:val="center"/>
            </w:pPr>
            <w:r w:rsidRPr="00B70F68">
              <w:t>4 per week</w:t>
            </w:r>
          </w:p>
        </w:tc>
        <w:tc>
          <w:tcPr>
            <w:tcW w:w="4284" w:type="dxa"/>
            <w:shd w:val="clear" w:color="auto" w:fill="FFFFFF"/>
          </w:tcPr>
          <w:p w14:paraId="49B4BDED" w14:textId="77777777" w:rsidR="00A57D1D" w:rsidRPr="00B70F68" w:rsidRDefault="00A57D1D" w:rsidP="003B679A">
            <w:pPr>
              <w:tabs>
                <w:tab w:val="left" w:pos="4320"/>
              </w:tabs>
              <w:jc w:val="center"/>
            </w:pPr>
          </w:p>
        </w:tc>
      </w:tr>
    </w:tbl>
    <w:p w14:paraId="56143DA1" w14:textId="77777777" w:rsidR="00A57D1D" w:rsidRDefault="00A57D1D" w:rsidP="00A57D1D">
      <w:pPr>
        <w:rPr>
          <w:rFonts w:eastAsia="Times New Roman"/>
          <w:color w:val="2E7C80" w:themeColor="accent2" w:themeShade="80"/>
        </w:rPr>
      </w:pPr>
    </w:p>
    <w:p w14:paraId="734E5FFB" w14:textId="19C5D522" w:rsidR="00A57D1D" w:rsidRDefault="00A57D1D" w:rsidP="00A57D1D">
      <w:pPr>
        <w:rPr>
          <w:rFonts w:eastAsia="Times New Roman"/>
        </w:rPr>
      </w:pPr>
      <w:r w:rsidRPr="00600F81">
        <w:rPr>
          <w:rFonts w:eastAsia="Times New Roman"/>
          <w:color w:val="2E7C80" w:themeColor="accent2" w:themeShade="80"/>
          <w:sz w:val="24"/>
          <w:szCs w:val="24"/>
        </w:rPr>
        <w:t xml:space="preserve">Category 3B Approval- </w:t>
      </w:r>
      <w:r w:rsidR="00782AC2">
        <w:rPr>
          <w:rFonts w:eastAsia="Times New Roman"/>
          <w:color w:val="2E7C80" w:themeColor="accent2" w:themeShade="80"/>
          <w:sz w:val="24"/>
          <w:szCs w:val="24"/>
        </w:rPr>
        <w:t>b</w:t>
      </w:r>
      <w:r w:rsidRPr="00600F81">
        <w:rPr>
          <w:rFonts w:eastAsia="Times New Roman"/>
          <w:color w:val="2E7C80" w:themeColor="accent2" w:themeShade="80"/>
          <w:sz w:val="24"/>
          <w:szCs w:val="24"/>
        </w:rPr>
        <w:t>uprenorphine/suboxone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290"/>
        <w:gridCol w:w="1653"/>
        <w:gridCol w:w="4073"/>
      </w:tblGrid>
      <w:tr w:rsidR="00A57D1D" w:rsidRPr="00B70F68" w14:paraId="46EE12A7" w14:textId="77777777" w:rsidTr="00600F81">
        <w:trPr>
          <w:jc w:val="center"/>
        </w:trPr>
        <w:tc>
          <w:tcPr>
            <w:tcW w:w="3290" w:type="dxa"/>
            <w:shd w:val="clear" w:color="auto" w:fill="FFFFFF"/>
          </w:tcPr>
          <w:p w14:paraId="20C52376" w14:textId="77777777" w:rsidR="00A57D1D" w:rsidRPr="00600F81" w:rsidRDefault="00A57D1D" w:rsidP="003B679A">
            <w:pPr>
              <w:tabs>
                <w:tab w:val="left" w:pos="4320"/>
              </w:tabs>
              <w:jc w:val="center"/>
              <w:rPr>
                <w:b/>
                <w:bCs/>
              </w:rPr>
            </w:pPr>
            <w:r w:rsidRPr="00600F81">
              <w:rPr>
                <w:b/>
                <w:bCs/>
              </w:rPr>
              <w:t>Length of time in treatment (months)</w:t>
            </w:r>
          </w:p>
        </w:tc>
        <w:tc>
          <w:tcPr>
            <w:tcW w:w="1653" w:type="dxa"/>
            <w:shd w:val="clear" w:color="auto" w:fill="FFFFFF"/>
          </w:tcPr>
          <w:p w14:paraId="45EE2256" w14:textId="77777777" w:rsidR="00A57D1D" w:rsidRPr="00600F81" w:rsidRDefault="00A57D1D" w:rsidP="003B679A">
            <w:pPr>
              <w:tabs>
                <w:tab w:val="left" w:pos="4320"/>
              </w:tabs>
              <w:jc w:val="center"/>
              <w:rPr>
                <w:b/>
                <w:bCs/>
              </w:rPr>
            </w:pPr>
            <w:r w:rsidRPr="00600F81">
              <w:rPr>
                <w:b/>
                <w:bCs/>
              </w:rPr>
              <w:t>Buprenorphine/</w:t>
            </w:r>
          </w:p>
          <w:p w14:paraId="5BA8071F" w14:textId="77777777" w:rsidR="00A57D1D" w:rsidRPr="00600F81" w:rsidRDefault="00A57D1D" w:rsidP="003B679A">
            <w:pPr>
              <w:tabs>
                <w:tab w:val="left" w:pos="4320"/>
              </w:tabs>
              <w:jc w:val="center"/>
              <w:rPr>
                <w:b/>
                <w:bCs/>
              </w:rPr>
            </w:pPr>
            <w:r w:rsidRPr="00600F81">
              <w:rPr>
                <w:b/>
                <w:bCs/>
              </w:rPr>
              <w:t>naloxone</w:t>
            </w:r>
          </w:p>
        </w:tc>
        <w:tc>
          <w:tcPr>
            <w:tcW w:w="4073" w:type="dxa"/>
            <w:shd w:val="clear" w:color="auto" w:fill="FFFFFF"/>
          </w:tcPr>
          <w:p w14:paraId="58260DD9" w14:textId="77777777" w:rsidR="00A57D1D" w:rsidRPr="00600F81" w:rsidRDefault="00A57D1D" w:rsidP="003B679A">
            <w:pPr>
              <w:tabs>
                <w:tab w:val="left" w:pos="4320"/>
              </w:tabs>
              <w:jc w:val="center"/>
              <w:rPr>
                <w:b/>
                <w:bCs/>
              </w:rPr>
            </w:pPr>
            <w:r w:rsidRPr="00600F81">
              <w:rPr>
                <w:b/>
                <w:bCs/>
              </w:rPr>
              <w:t>Comments</w:t>
            </w:r>
          </w:p>
        </w:tc>
      </w:tr>
      <w:tr w:rsidR="00A57D1D" w:rsidRPr="00B70F68" w14:paraId="03A3787A" w14:textId="77777777" w:rsidTr="00600F81">
        <w:trPr>
          <w:jc w:val="center"/>
        </w:trPr>
        <w:tc>
          <w:tcPr>
            <w:tcW w:w="3290" w:type="dxa"/>
            <w:shd w:val="clear" w:color="auto" w:fill="FFFFFF"/>
          </w:tcPr>
          <w:p w14:paraId="364E5BD2" w14:textId="4C1A0E4D" w:rsidR="00A57D1D" w:rsidRPr="00B70F68" w:rsidRDefault="00A57D1D" w:rsidP="003B679A">
            <w:pPr>
              <w:tabs>
                <w:tab w:val="left" w:pos="4320"/>
              </w:tabs>
              <w:jc w:val="center"/>
            </w:pPr>
            <w:r w:rsidRPr="00B70F68">
              <w:t>0-</w:t>
            </w:r>
            <w:r w:rsidR="00824E19">
              <w:t>1</w:t>
            </w:r>
          </w:p>
        </w:tc>
        <w:tc>
          <w:tcPr>
            <w:tcW w:w="1653" w:type="dxa"/>
            <w:shd w:val="clear" w:color="auto" w:fill="FFFFFF"/>
          </w:tcPr>
          <w:p w14:paraId="7725683E" w14:textId="77777777" w:rsidR="00A57D1D" w:rsidRPr="00B70F68" w:rsidRDefault="00A57D1D" w:rsidP="003B679A">
            <w:pPr>
              <w:tabs>
                <w:tab w:val="left" w:pos="4320"/>
              </w:tabs>
              <w:jc w:val="center"/>
            </w:pPr>
            <w:r w:rsidRPr="00B70F68">
              <w:t>0</w:t>
            </w:r>
          </w:p>
        </w:tc>
        <w:tc>
          <w:tcPr>
            <w:tcW w:w="4073" w:type="dxa"/>
            <w:shd w:val="clear" w:color="auto" w:fill="FFFFFF"/>
          </w:tcPr>
          <w:p w14:paraId="711D145F" w14:textId="77777777" w:rsidR="00A57D1D" w:rsidRPr="00B70F68" w:rsidRDefault="00A57D1D" w:rsidP="003B679A">
            <w:pPr>
              <w:tabs>
                <w:tab w:val="left" w:pos="4320"/>
              </w:tabs>
              <w:jc w:val="center"/>
            </w:pPr>
            <w:r w:rsidRPr="00B70F68">
              <w:t>Exceptional circumstances may allow one dose</w:t>
            </w:r>
          </w:p>
        </w:tc>
      </w:tr>
      <w:tr w:rsidR="00A57D1D" w:rsidRPr="00B70F68" w14:paraId="2629CAB7" w14:textId="77777777" w:rsidTr="00600F81">
        <w:trPr>
          <w:jc w:val="center"/>
        </w:trPr>
        <w:tc>
          <w:tcPr>
            <w:tcW w:w="3290" w:type="dxa"/>
            <w:shd w:val="clear" w:color="auto" w:fill="FFFFFF"/>
          </w:tcPr>
          <w:p w14:paraId="31518C74" w14:textId="007972C1" w:rsidR="00A57D1D" w:rsidRPr="00B70F68" w:rsidRDefault="00824E19" w:rsidP="003B679A">
            <w:pPr>
              <w:tabs>
                <w:tab w:val="left" w:pos="4320"/>
              </w:tabs>
              <w:jc w:val="center"/>
            </w:pPr>
            <w:r>
              <w:t>1</w:t>
            </w:r>
            <w:r w:rsidR="00A57D1D" w:rsidRPr="00B70F68">
              <w:t>-</w:t>
            </w:r>
            <w:r>
              <w:t>3</w:t>
            </w:r>
          </w:p>
        </w:tc>
        <w:tc>
          <w:tcPr>
            <w:tcW w:w="1653" w:type="dxa"/>
            <w:shd w:val="clear" w:color="auto" w:fill="FFFFFF"/>
          </w:tcPr>
          <w:p w14:paraId="20861775" w14:textId="77777777" w:rsidR="00A57D1D" w:rsidRPr="00B70F68" w:rsidRDefault="00A57D1D" w:rsidP="003B679A">
            <w:pPr>
              <w:tabs>
                <w:tab w:val="left" w:pos="4320"/>
              </w:tabs>
              <w:jc w:val="center"/>
            </w:pPr>
            <w:r w:rsidRPr="00B70F68">
              <w:t>2 per week</w:t>
            </w:r>
          </w:p>
        </w:tc>
        <w:tc>
          <w:tcPr>
            <w:tcW w:w="4073" w:type="dxa"/>
            <w:shd w:val="clear" w:color="auto" w:fill="FFFFFF"/>
          </w:tcPr>
          <w:p w14:paraId="533EAAC3" w14:textId="77777777" w:rsidR="00A57D1D" w:rsidRPr="00B70F68" w:rsidRDefault="00A57D1D" w:rsidP="003B679A">
            <w:pPr>
              <w:tabs>
                <w:tab w:val="left" w:pos="4320"/>
              </w:tabs>
              <w:jc w:val="center"/>
            </w:pPr>
            <w:r w:rsidRPr="00B70F68">
              <w:t>Not consecutively</w:t>
            </w:r>
          </w:p>
        </w:tc>
      </w:tr>
      <w:tr w:rsidR="00A57D1D" w:rsidRPr="00B70F68" w14:paraId="683D0EC0" w14:textId="77777777" w:rsidTr="00600F81">
        <w:trPr>
          <w:jc w:val="center"/>
        </w:trPr>
        <w:tc>
          <w:tcPr>
            <w:tcW w:w="3290" w:type="dxa"/>
            <w:shd w:val="clear" w:color="auto" w:fill="FFFFFF"/>
          </w:tcPr>
          <w:p w14:paraId="2C529A16" w14:textId="3FC7DBDA" w:rsidR="00A57D1D" w:rsidRPr="00B70F68" w:rsidRDefault="00824E19" w:rsidP="003B679A">
            <w:pPr>
              <w:tabs>
                <w:tab w:val="left" w:pos="4320"/>
              </w:tabs>
              <w:jc w:val="center"/>
            </w:pPr>
            <w:r>
              <w:t>3</w:t>
            </w:r>
            <w:r w:rsidR="00A57D1D" w:rsidRPr="00B70F68">
              <w:t>-</w:t>
            </w:r>
            <w:r>
              <w:t>5</w:t>
            </w:r>
          </w:p>
        </w:tc>
        <w:tc>
          <w:tcPr>
            <w:tcW w:w="1653" w:type="dxa"/>
            <w:shd w:val="clear" w:color="auto" w:fill="FFFFFF"/>
          </w:tcPr>
          <w:p w14:paraId="77EDFC08" w14:textId="77777777" w:rsidR="00A57D1D" w:rsidRPr="00B70F68" w:rsidRDefault="00A57D1D" w:rsidP="003B679A">
            <w:pPr>
              <w:tabs>
                <w:tab w:val="left" w:pos="4320"/>
              </w:tabs>
              <w:jc w:val="center"/>
            </w:pPr>
            <w:r w:rsidRPr="00B70F68">
              <w:t>4 per week</w:t>
            </w:r>
          </w:p>
        </w:tc>
        <w:tc>
          <w:tcPr>
            <w:tcW w:w="4073" w:type="dxa"/>
            <w:shd w:val="clear" w:color="auto" w:fill="FFFFFF"/>
          </w:tcPr>
          <w:p w14:paraId="7FEAA807" w14:textId="77777777" w:rsidR="00A57D1D" w:rsidRPr="00B70F68" w:rsidRDefault="00A57D1D" w:rsidP="003B679A">
            <w:pPr>
              <w:tabs>
                <w:tab w:val="left" w:pos="4320"/>
              </w:tabs>
              <w:jc w:val="center"/>
            </w:pPr>
            <w:r w:rsidRPr="00B70F68">
              <w:t>Maximum 2 consecutive</w:t>
            </w:r>
          </w:p>
        </w:tc>
      </w:tr>
      <w:tr w:rsidR="00A57D1D" w:rsidRPr="00B70F68" w14:paraId="1DF41A51" w14:textId="77777777" w:rsidTr="00600F81">
        <w:trPr>
          <w:jc w:val="center"/>
        </w:trPr>
        <w:tc>
          <w:tcPr>
            <w:tcW w:w="3290" w:type="dxa"/>
            <w:shd w:val="clear" w:color="auto" w:fill="FFFFFF"/>
          </w:tcPr>
          <w:p w14:paraId="096BBF7C" w14:textId="43A73B28" w:rsidR="00A57D1D" w:rsidRPr="00B70F68" w:rsidRDefault="00824E19" w:rsidP="003B679A">
            <w:pPr>
              <w:tabs>
                <w:tab w:val="left" w:pos="4320"/>
              </w:tabs>
              <w:jc w:val="center"/>
            </w:pPr>
            <w:r>
              <w:t>5</w:t>
            </w:r>
            <w:r w:rsidR="00A57D1D" w:rsidRPr="00B70F68">
              <w:t>-</w:t>
            </w:r>
            <w:r>
              <w:t>7</w:t>
            </w:r>
          </w:p>
        </w:tc>
        <w:tc>
          <w:tcPr>
            <w:tcW w:w="1653" w:type="dxa"/>
            <w:shd w:val="clear" w:color="auto" w:fill="FFFFFF"/>
          </w:tcPr>
          <w:p w14:paraId="059DA276" w14:textId="77777777" w:rsidR="00A57D1D" w:rsidRPr="00B70F68" w:rsidRDefault="00A57D1D" w:rsidP="003B679A">
            <w:pPr>
              <w:tabs>
                <w:tab w:val="left" w:pos="4320"/>
              </w:tabs>
              <w:jc w:val="center"/>
            </w:pPr>
            <w:r w:rsidRPr="00B70F68">
              <w:t>6 per week</w:t>
            </w:r>
          </w:p>
        </w:tc>
        <w:tc>
          <w:tcPr>
            <w:tcW w:w="4073" w:type="dxa"/>
            <w:shd w:val="clear" w:color="auto" w:fill="FFFFFF"/>
          </w:tcPr>
          <w:p w14:paraId="0B6E3501" w14:textId="77777777" w:rsidR="00A57D1D" w:rsidRPr="00B70F68" w:rsidRDefault="00A57D1D" w:rsidP="003B679A">
            <w:pPr>
              <w:tabs>
                <w:tab w:val="left" w:pos="4320"/>
              </w:tabs>
              <w:jc w:val="center"/>
            </w:pPr>
          </w:p>
        </w:tc>
      </w:tr>
      <w:tr w:rsidR="00A57D1D" w:rsidRPr="00B70F68" w14:paraId="0B64D5A5" w14:textId="77777777" w:rsidTr="00600F81">
        <w:trPr>
          <w:jc w:val="center"/>
        </w:trPr>
        <w:tc>
          <w:tcPr>
            <w:tcW w:w="3290" w:type="dxa"/>
            <w:shd w:val="clear" w:color="auto" w:fill="FFFFFF"/>
          </w:tcPr>
          <w:p w14:paraId="38A25CAF" w14:textId="545076AB" w:rsidR="00A57D1D" w:rsidRPr="00B70F68" w:rsidRDefault="00824E19" w:rsidP="003B679A">
            <w:pPr>
              <w:tabs>
                <w:tab w:val="left" w:pos="4320"/>
              </w:tabs>
              <w:jc w:val="center"/>
            </w:pPr>
            <w:r>
              <w:t>7</w:t>
            </w:r>
            <w:r w:rsidR="00A57D1D" w:rsidRPr="00B70F68">
              <w:t>-</w:t>
            </w:r>
            <w:r>
              <w:t>9</w:t>
            </w:r>
          </w:p>
        </w:tc>
        <w:tc>
          <w:tcPr>
            <w:tcW w:w="1653" w:type="dxa"/>
            <w:shd w:val="clear" w:color="auto" w:fill="FFFFFF"/>
          </w:tcPr>
          <w:p w14:paraId="47CA7573" w14:textId="77777777" w:rsidR="00A57D1D" w:rsidRPr="00B70F68" w:rsidRDefault="00A57D1D" w:rsidP="003B679A">
            <w:pPr>
              <w:tabs>
                <w:tab w:val="left" w:pos="4320"/>
              </w:tabs>
              <w:jc w:val="center"/>
            </w:pPr>
            <w:r w:rsidRPr="00B70F68">
              <w:t>13 per fortnight</w:t>
            </w:r>
          </w:p>
        </w:tc>
        <w:tc>
          <w:tcPr>
            <w:tcW w:w="4073" w:type="dxa"/>
            <w:shd w:val="clear" w:color="auto" w:fill="FFFFFF"/>
          </w:tcPr>
          <w:p w14:paraId="3D088861" w14:textId="77777777" w:rsidR="00A57D1D" w:rsidRPr="00B70F68" w:rsidRDefault="00A57D1D" w:rsidP="003B679A">
            <w:pPr>
              <w:tabs>
                <w:tab w:val="left" w:pos="4320"/>
              </w:tabs>
              <w:jc w:val="center"/>
            </w:pPr>
            <w:r w:rsidRPr="00B70F68">
              <w:t>2 weeks unsupervised dosing</w:t>
            </w:r>
          </w:p>
        </w:tc>
      </w:tr>
      <w:tr w:rsidR="00A57D1D" w:rsidRPr="00B70F68" w14:paraId="6E69C50D" w14:textId="77777777" w:rsidTr="00600F81">
        <w:trPr>
          <w:jc w:val="center"/>
        </w:trPr>
        <w:tc>
          <w:tcPr>
            <w:tcW w:w="3290" w:type="dxa"/>
            <w:shd w:val="clear" w:color="auto" w:fill="FFFFFF"/>
          </w:tcPr>
          <w:p w14:paraId="3664DDB4" w14:textId="2DE56A65" w:rsidR="00A57D1D" w:rsidRPr="00B70F68" w:rsidRDefault="00824E19" w:rsidP="003B679A">
            <w:pPr>
              <w:tabs>
                <w:tab w:val="left" w:pos="4320"/>
              </w:tabs>
              <w:jc w:val="center"/>
            </w:pPr>
            <w:r>
              <w:t>9-12</w:t>
            </w:r>
          </w:p>
        </w:tc>
        <w:tc>
          <w:tcPr>
            <w:tcW w:w="1653" w:type="dxa"/>
            <w:shd w:val="clear" w:color="auto" w:fill="FFFFFF"/>
          </w:tcPr>
          <w:p w14:paraId="569A1629" w14:textId="77777777" w:rsidR="00A57D1D" w:rsidRPr="00B70F68" w:rsidRDefault="00A57D1D" w:rsidP="003B679A">
            <w:pPr>
              <w:tabs>
                <w:tab w:val="left" w:pos="4320"/>
              </w:tabs>
              <w:jc w:val="center"/>
            </w:pPr>
            <w:r w:rsidRPr="00B70F68">
              <w:t>27 per 28 days</w:t>
            </w:r>
          </w:p>
        </w:tc>
        <w:tc>
          <w:tcPr>
            <w:tcW w:w="4073" w:type="dxa"/>
            <w:shd w:val="clear" w:color="auto" w:fill="FFFFFF"/>
          </w:tcPr>
          <w:p w14:paraId="7050FF94" w14:textId="77777777" w:rsidR="00A57D1D" w:rsidRPr="00B70F68" w:rsidRDefault="00A57D1D" w:rsidP="003B679A">
            <w:pPr>
              <w:tabs>
                <w:tab w:val="left" w:pos="4320"/>
              </w:tabs>
              <w:jc w:val="center"/>
            </w:pPr>
            <w:r w:rsidRPr="00B70F68">
              <w:t>4 weeks unsupervised dosing</w:t>
            </w:r>
          </w:p>
        </w:tc>
      </w:tr>
    </w:tbl>
    <w:p w14:paraId="79D18043" w14:textId="16E9E8E6" w:rsidR="006913CD" w:rsidRDefault="006913CD" w:rsidP="00600F81">
      <w:pPr>
        <w:pStyle w:val="BodyCopy"/>
      </w:pPr>
    </w:p>
    <w:p w14:paraId="26986D0A" w14:textId="77777777" w:rsidR="006913CD" w:rsidRDefault="006913CD">
      <w:pPr>
        <w:spacing w:after="0" w:line="240" w:lineRule="auto"/>
        <w:rPr>
          <w:rFonts w:eastAsia="Times New Roman" w:cs="Arial"/>
          <w:bCs/>
          <w:iCs/>
          <w:color w:val="303031" w:themeColor="accent3" w:themeShade="BF"/>
          <w:sz w:val="24"/>
          <w:szCs w:val="24"/>
        </w:rPr>
      </w:pPr>
      <w:r>
        <w:br w:type="page"/>
      </w:r>
    </w:p>
    <w:p w14:paraId="28782D22" w14:textId="77777777" w:rsidR="006913CD" w:rsidRPr="006175A7" w:rsidRDefault="006913CD" w:rsidP="006913CD">
      <w:pPr>
        <w:pStyle w:val="BodyCopy"/>
      </w:pPr>
      <w:r w:rsidRPr="006913CD">
        <w:lastRenderedPageBreak/>
        <w:t>In accordance with the Controlled Medicines Prescribing Standards, up to one additional take away dose per month is also permitted under a Category 3A or 3B approval, where the person is unable to return to their usual pharmacy for supervised dosing for reasons outside their control.</w:t>
      </w:r>
      <w:r w:rsidDel="00A57D1D">
        <w:t xml:space="preserve"> </w:t>
      </w:r>
    </w:p>
    <w:p w14:paraId="25683131" w14:textId="77777777" w:rsidR="006913CD" w:rsidRPr="00BC1AD8" w:rsidRDefault="006913CD" w:rsidP="006913CD">
      <w:pPr>
        <w:tabs>
          <w:tab w:val="left" w:pos="4320"/>
        </w:tabs>
        <w:spacing w:line="240" w:lineRule="auto"/>
        <w:rPr>
          <w:sz w:val="24"/>
          <w:szCs w:val="24"/>
        </w:rPr>
      </w:pPr>
      <w:r w:rsidRPr="00BC1AD8">
        <w:rPr>
          <w:color w:val="2E7C80" w:themeColor="accent2" w:themeShade="80"/>
          <w:sz w:val="24"/>
          <w:szCs w:val="24"/>
        </w:rPr>
        <w:t xml:space="preserve">In addition, up to three additional take away </w:t>
      </w:r>
      <w:r w:rsidRPr="00BC1AD8">
        <w:rPr>
          <w:sz w:val="24"/>
          <w:szCs w:val="24"/>
        </w:rPr>
        <w:t xml:space="preserve">doses are permitted under a Category 3A or 3B approval or an Approval by Drug during a declared public health emergency to enable rapid commencement or continuation of unsupervised doses for a person unable to attend their usual pharmacy for supervised dosing for reasons outside their control. An example is compulsory isolation during the COVID- 19 public health emergency. </w:t>
      </w:r>
    </w:p>
    <w:p w14:paraId="2933F55A" w14:textId="77777777" w:rsidR="006913CD" w:rsidRPr="00BC1AD8" w:rsidRDefault="006913CD" w:rsidP="006913CD">
      <w:pPr>
        <w:tabs>
          <w:tab w:val="left" w:pos="4320"/>
        </w:tabs>
        <w:spacing w:line="240" w:lineRule="auto"/>
        <w:rPr>
          <w:sz w:val="24"/>
          <w:szCs w:val="24"/>
        </w:rPr>
      </w:pPr>
      <w:r w:rsidRPr="00BC1AD8">
        <w:rPr>
          <w:sz w:val="24"/>
          <w:szCs w:val="24"/>
        </w:rPr>
        <w:t>The limit of three additional take-aways is intended to authorise the commencement or continuation of take-aways over a weekend. The prescriber will be required to seek Approval by Drug (or an amendment to their existing Approval by Drug) for any additional take-away doses required over the public health emergency period.</w:t>
      </w:r>
    </w:p>
    <w:p w14:paraId="7AD8B7AB" w14:textId="77777777" w:rsidR="006913CD" w:rsidRDefault="006913CD" w:rsidP="00600F81">
      <w:pPr>
        <w:pStyle w:val="Heading5"/>
        <w:spacing w:before="120" w:after="240" w:line="280" w:lineRule="exact"/>
        <w:rPr>
          <w:rFonts w:asciiTheme="minorHAnsi" w:hAnsiTheme="minorHAnsi" w:cstheme="minorHAnsi"/>
          <w:color w:val="2E7C80" w:themeColor="accent2" w:themeShade="80"/>
        </w:rPr>
      </w:pPr>
    </w:p>
    <w:p w14:paraId="791D4B6A" w14:textId="24736AE6" w:rsidR="002E0C49" w:rsidRPr="00600F81" w:rsidRDefault="00EC59C4" w:rsidP="00600F81">
      <w:pPr>
        <w:pStyle w:val="Heading5"/>
        <w:spacing w:before="120" w:after="240" w:line="280" w:lineRule="exact"/>
        <w:rPr>
          <w:rFonts w:asciiTheme="minorHAnsi" w:hAnsiTheme="minorHAnsi" w:cstheme="minorHAnsi"/>
          <w:color w:val="2E7C80" w:themeColor="accent2" w:themeShade="80"/>
        </w:rPr>
      </w:pPr>
      <w:r w:rsidRPr="00600F81">
        <w:rPr>
          <w:rFonts w:asciiTheme="minorHAnsi" w:hAnsiTheme="minorHAnsi" w:cstheme="minorHAnsi"/>
          <w:color w:val="2E7C80" w:themeColor="accent2" w:themeShade="80"/>
        </w:rPr>
        <w:t xml:space="preserve">Requests for increased </w:t>
      </w:r>
      <w:r w:rsidR="004C6D4D" w:rsidRPr="00600F81">
        <w:rPr>
          <w:rFonts w:asciiTheme="minorHAnsi" w:hAnsiTheme="minorHAnsi" w:cstheme="minorHAnsi"/>
          <w:color w:val="2E7C80" w:themeColor="accent2" w:themeShade="80"/>
        </w:rPr>
        <w:t>takeaways</w:t>
      </w:r>
    </w:p>
    <w:p w14:paraId="6B1E6C23" w14:textId="1D010C2B" w:rsidR="006175A7" w:rsidRPr="00AF4F23" w:rsidRDefault="006175A7" w:rsidP="00600F81">
      <w:pPr>
        <w:pStyle w:val="BodyCopy"/>
      </w:pPr>
      <w:r w:rsidRPr="006175A7">
        <w:t xml:space="preserve">Prescribers are also able to apply for an </w:t>
      </w:r>
      <w:r w:rsidRPr="006175A7">
        <w:rPr>
          <w:i/>
        </w:rPr>
        <w:t>Approval by Drug</w:t>
      </w:r>
      <w:r w:rsidRPr="006175A7">
        <w:t xml:space="preserve"> to increase the unsupervised doses supplied to the patient beyond </w:t>
      </w:r>
      <w:r w:rsidR="00EC59C4">
        <w:t>Category 3A or 3B approval</w:t>
      </w:r>
      <w:r w:rsidR="00EC59C4" w:rsidRPr="006175A7">
        <w:t xml:space="preserve"> </w:t>
      </w:r>
      <w:r w:rsidRPr="006175A7">
        <w:t>limits</w:t>
      </w:r>
      <w:r w:rsidR="00CF09CF">
        <w:t>, with the COVID-19 pandemic considered ‘special circumstances’</w:t>
      </w:r>
      <w:r w:rsidRPr="006175A7">
        <w:t xml:space="preserve">. </w:t>
      </w:r>
      <w:r w:rsidR="00EC59C4">
        <w:t xml:space="preserve">The prescriber must conduct a stability assessment of the client using the </w:t>
      </w:r>
      <w:hyperlink r:id="rId24" w:history="1">
        <w:r w:rsidR="00EC59C4" w:rsidRPr="00EC59C4">
          <w:rPr>
            <w:rStyle w:val="Hyperlink"/>
          </w:rPr>
          <w:t>Client Stability Assessment Form</w:t>
        </w:r>
      </w:hyperlink>
      <w:r w:rsidR="00EC59C4">
        <w:t xml:space="preserve"> and submit to the H</w:t>
      </w:r>
      <w:r w:rsidR="00CF09CF">
        <w:t xml:space="preserve">ealth </w:t>
      </w:r>
      <w:r w:rsidR="00EC59C4">
        <w:t>P</w:t>
      </w:r>
      <w:r w:rsidR="00CF09CF">
        <w:t xml:space="preserve">rotection </w:t>
      </w:r>
      <w:r w:rsidR="00EC59C4">
        <w:t>S</w:t>
      </w:r>
      <w:r w:rsidR="00CF09CF">
        <w:t>ervice (HPS)</w:t>
      </w:r>
      <w:r w:rsidR="00EC59C4">
        <w:t xml:space="preserve"> with the application</w:t>
      </w:r>
      <w:r w:rsidRPr="00AF4F23">
        <w:t>.</w:t>
      </w:r>
    </w:p>
    <w:p w14:paraId="39FAE9A6" w14:textId="2685DFB5" w:rsidR="00206307" w:rsidRDefault="00206307" w:rsidP="00206307">
      <w:pPr>
        <w:pStyle w:val="BodyCopy"/>
      </w:pPr>
      <w:r>
        <w:t>Any increase in unsupervised doses is not without risk, and it is recommended that prescribers and pharmacists consider providing a</w:t>
      </w:r>
      <w:r w:rsidR="00D0704B">
        <w:t xml:space="preserve">n accompanying </w:t>
      </w:r>
      <w:r>
        <w:t>supply of naloxone to individuals</w:t>
      </w:r>
      <w:r w:rsidR="00D0704B">
        <w:t xml:space="preserve"> with the first supply of increased </w:t>
      </w:r>
      <w:r w:rsidR="004C6D4D">
        <w:t>takeaway</w:t>
      </w:r>
      <w:r w:rsidR="00D0704B">
        <w:t xml:space="preserve"> doses</w:t>
      </w:r>
      <w:r w:rsidR="00026FE2">
        <w:t>, particularly for methadone</w:t>
      </w:r>
      <w:r>
        <w:t>.</w:t>
      </w:r>
    </w:p>
    <w:p w14:paraId="78E3DAF2" w14:textId="2C81F881" w:rsidR="00731AF4" w:rsidRDefault="00731AF4" w:rsidP="00206307">
      <w:pPr>
        <w:pStyle w:val="BodyCopy"/>
      </w:pPr>
      <w:r>
        <w:t xml:space="preserve">It is acknowledged that in addition to the risks faced by the patients, prescribers are also subject to increased risk as the responsibility for the provision of unsupervised doses remains within their prescribing. Reduction in supervision, particularly for new OMT patients, or those on higher doses of methadone, increases the risks of adverse outcomes resulting from these prescriptions. </w:t>
      </w:r>
    </w:p>
    <w:p w14:paraId="2DD30FD2" w14:textId="71A7D1A2" w:rsidR="00206307" w:rsidRDefault="00206307" w:rsidP="00206307">
      <w:pPr>
        <w:pStyle w:val="BodyCopy"/>
      </w:pPr>
    </w:p>
    <w:p w14:paraId="08FC78E0" w14:textId="0E166EBE" w:rsidR="00206307" w:rsidRPr="00C01BE6" w:rsidRDefault="00206307" w:rsidP="00206307">
      <w:pPr>
        <w:pStyle w:val="Heading1"/>
      </w:pPr>
      <w:bookmarkStart w:id="19" w:name="_Toc36058417"/>
      <w:r w:rsidRPr="00C01BE6">
        <w:t>OMT options to support patients under compulsory isolation</w:t>
      </w:r>
      <w:bookmarkEnd w:id="19"/>
      <w:r w:rsidR="00FB35BD">
        <w:t xml:space="preserve"> or quarantine</w:t>
      </w:r>
    </w:p>
    <w:p w14:paraId="58B5DF66" w14:textId="5E82AE09" w:rsidR="00206307" w:rsidRDefault="00206307" w:rsidP="00206307">
      <w:pPr>
        <w:pStyle w:val="BodyCopy"/>
      </w:pPr>
      <w:r>
        <w:t xml:space="preserve">Current ACT and </w:t>
      </w:r>
      <w:r w:rsidR="00D0704B">
        <w:t>Australian</w:t>
      </w:r>
      <w:r>
        <w:t xml:space="preserve"> Government restrictions do not permit patients under </w:t>
      </w:r>
      <w:r w:rsidR="0098373B">
        <w:t>self-</w:t>
      </w:r>
      <w:r>
        <w:t xml:space="preserve">isolation </w:t>
      </w:r>
      <w:r w:rsidR="00FB35BD">
        <w:t xml:space="preserve">or quarantine </w:t>
      </w:r>
      <w:r>
        <w:t>to leave their property. This means that isolated patients are not be able to attend appointments with their prescribers or their usual OMT dosing provider in person. Alternative arrangements to maintain OMT for these patients must be made available.</w:t>
      </w:r>
    </w:p>
    <w:p w14:paraId="49710A1C" w14:textId="61C951D9" w:rsidR="00600F81" w:rsidRDefault="00417E3B" w:rsidP="00206307">
      <w:pPr>
        <w:pStyle w:val="BodyCopy"/>
      </w:pPr>
      <w:r>
        <w:lastRenderedPageBreak/>
        <w:t xml:space="preserve">Where possible, prescribers should ask patients to provide evidence of their need to quarantine. However, non provision of supporting information will not preclude the clients from receiving </w:t>
      </w:r>
      <w:r w:rsidR="0098373B">
        <w:t>home delivered</w:t>
      </w:r>
      <w:r>
        <w:t xml:space="preserve"> OMT for the appropriate quarantine period. </w:t>
      </w:r>
      <w:r w:rsidR="00BC4C1A">
        <w:t xml:space="preserve"> Prescribers should identify the date the quarantine period ends </w:t>
      </w:r>
      <w:r w:rsidR="00457E8F">
        <w:t xml:space="preserve">as soon as possible </w:t>
      </w:r>
      <w:r w:rsidR="00BC4C1A">
        <w:t xml:space="preserve">and communicate this to the dosing point with any prescription adjustments. </w:t>
      </w:r>
    </w:p>
    <w:p w14:paraId="6EABF651" w14:textId="136C0336" w:rsidR="00206307" w:rsidRDefault="00206307" w:rsidP="00206307">
      <w:pPr>
        <w:pStyle w:val="BodyCopy"/>
      </w:pPr>
      <w:r>
        <w:t xml:space="preserve">Directly observed doses by pharmacists or registered nurses </w:t>
      </w:r>
      <w:r w:rsidR="00D0704B">
        <w:t>is</w:t>
      </w:r>
      <w:r>
        <w:t xml:space="preserve"> best practice</w:t>
      </w:r>
      <w:r w:rsidR="003B3CBA">
        <w:t>,</w:t>
      </w:r>
      <w:r w:rsidR="00D0704B">
        <w:t xml:space="preserve"> </w:t>
      </w:r>
      <w:r>
        <w:t xml:space="preserve">however this </w:t>
      </w:r>
      <w:r w:rsidR="00D0704B">
        <w:t>may</w:t>
      </w:r>
      <w:r>
        <w:t xml:space="preserve"> not </w:t>
      </w:r>
      <w:r w:rsidR="00D0704B">
        <w:t xml:space="preserve">be </w:t>
      </w:r>
      <w:r>
        <w:t>possible</w:t>
      </w:r>
      <w:r w:rsidR="00600F81">
        <w:t xml:space="preserve"> </w:t>
      </w:r>
      <w:r w:rsidR="001477F2">
        <w:t>due to capacity and workplace health and safety issues during the COVID-19 emergency response</w:t>
      </w:r>
      <w:r>
        <w:t>, particularly as patient numbers in isolation grow. Alternative options are detailed</w:t>
      </w:r>
      <w:r w:rsidR="003B3CBA">
        <w:t>.</w:t>
      </w:r>
      <w:r>
        <w:t xml:space="preserve"> </w:t>
      </w:r>
    </w:p>
    <w:p w14:paraId="561582C0" w14:textId="77777777" w:rsidR="00206307" w:rsidRPr="00834D62" w:rsidRDefault="00206307" w:rsidP="001477F2">
      <w:pPr>
        <w:pStyle w:val="Heading3"/>
        <w:spacing w:before="120" w:after="240" w:line="240" w:lineRule="atLeast"/>
      </w:pPr>
      <w:bookmarkStart w:id="20" w:name="_Toc36057316"/>
      <w:bookmarkStart w:id="21" w:name="_Toc36058418"/>
      <w:r w:rsidRPr="00834D62">
        <w:t>Prescribing Options</w:t>
      </w:r>
      <w:bookmarkEnd w:id="20"/>
      <w:bookmarkEnd w:id="21"/>
    </w:p>
    <w:p w14:paraId="32CCEA6A" w14:textId="771375BC" w:rsidR="00474F6B" w:rsidRDefault="00FB35BD" w:rsidP="001477F2">
      <w:pPr>
        <w:spacing w:before="120" w:after="240" w:line="280" w:lineRule="exact"/>
        <w:rPr>
          <w:sz w:val="24"/>
          <w:szCs w:val="24"/>
        </w:rPr>
      </w:pPr>
      <w:r w:rsidRPr="00FB35BD">
        <w:rPr>
          <w:sz w:val="24"/>
          <w:szCs w:val="24"/>
        </w:rPr>
        <w:t xml:space="preserve">The patient will need to have all their doses </w:t>
      </w:r>
      <w:r w:rsidR="00CF09CF">
        <w:rPr>
          <w:sz w:val="24"/>
          <w:szCs w:val="24"/>
        </w:rPr>
        <w:t xml:space="preserve">during the quarantine period </w:t>
      </w:r>
      <w:r w:rsidRPr="00FB35BD">
        <w:rPr>
          <w:sz w:val="24"/>
          <w:szCs w:val="24"/>
        </w:rPr>
        <w:t xml:space="preserve">administered as </w:t>
      </w:r>
      <w:r w:rsidRPr="00D0704B">
        <w:rPr>
          <w:b/>
          <w:bCs/>
          <w:sz w:val="24"/>
          <w:szCs w:val="24"/>
        </w:rPr>
        <w:t>unsupervised</w:t>
      </w:r>
      <w:r w:rsidRPr="00FB35BD">
        <w:rPr>
          <w:sz w:val="24"/>
          <w:szCs w:val="24"/>
        </w:rPr>
        <w:t>. Prescribers may need to apply for approval for an increase in the patient’s unsupervised doses, where this is not already authorised by their approval for the patient</w:t>
      </w:r>
      <w:r w:rsidR="00474F6B">
        <w:rPr>
          <w:sz w:val="24"/>
          <w:szCs w:val="24"/>
        </w:rPr>
        <w:t>.</w:t>
      </w:r>
    </w:p>
    <w:p w14:paraId="4098B451" w14:textId="52361AE6" w:rsidR="00731AF4" w:rsidRDefault="00731AF4" w:rsidP="001477F2">
      <w:pPr>
        <w:spacing w:before="120" w:after="240" w:line="280" w:lineRule="exact"/>
        <w:rPr>
          <w:sz w:val="24"/>
          <w:szCs w:val="24"/>
        </w:rPr>
      </w:pPr>
      <w:r>
        <w:rPr>
          <w:sz w:val="24"/>
          <w:szCs w:val="24"/>
        </w:rPr>
        <w:t>For patients who require quarantine or compulsory isolation, these arrangements will be in place through</w:t>
      </w:r>
      <w:r w:rsidR="00CA5E36">
        <w:rPr>
          <w:sz w:val="24"/>
          <w:szCs w:val="24"/>
        </w:rPr>
        <w:t>out</w:t>
      </w:r>
      <w:r>
        <w:rPr>
          <w:sz w:val="24"/>
          <w:szCs w:val="24"/>
        </w:rPr>
        <w:t xml:space="preserve"> the COVID-19 pandemic response. For patients seeking increased unsupervised doses for physical distancing purposes, </w:t>
      </w:r>
      <w:r w:rsidR="000A3632">
        <w:rPr>
          <w:sz w:val="24"/>
          <w:szCs w:val="24"/>
        </w:rPr>
        <w:t xml:space="preserve">it is </w:t>
      </w:r>
      <w:r w:rsidR="000956A1">
        <w:rPr>
          <w:sz w:val="24"/>
          <w:szCs w:val="24"/>
        </w:rPr>
        <w:t>intended that routine supervised dosing be reinstated when Government restrictions on individual movement are lifted.</w:t>
      </w:r>
    </w:p>
    <w:p w14:paraId="15030A46" w14:textId="26CE55FA" w:rsidR="00474F6B" w:rsidRPr="00782AC2" w:rsidRDefault="002224A6" w:rsidP="001477F2">
      <w:pPr>
        <w:pStyle w:val="Heading3"/>
        <w:spacing w:before="120" w:after="240" w:line="240" w:lineRule="atLeast"/>
      </w:pPr>
      <w:bookmarkStart w:id="22" w:name="_Hlk36547947"/>
      <w:bookmarkStart w:id="23" w:name="_Toc36057317"/>
      <w:bookmarkStart w:id="24" w:name="_Toc36058419"/>
      <w:r w:rsidRPr="00A476D3">
        <w:t xml:space="preserve">CHO </w:t>
      </w:r>
      <w:r w:rsidRPr="00600F81">
        <w:t xml:space="preserve">Approval Requirements </w:t>
      </w:r>
      <w:r w:rsidR="00A15AF1" w:rsidRPr="00782AC2">
        <w:t>– prescriber specific factors</w:t>
      </w:r>
    </w:p>
    <w:p w14:paraId="36B603EC" w14:textId="24A16672" w:rsidR="002224A6" w:rsidRPr="00D915A2" w:rsidRDefault="00EF5AC1" w:rsidP="001477F2">
      <w:pPr>
        <w:pStyle w:val="Heading5"/>
        <w:spacing w:before="120" w:after="240" w:line="280" w:lineRule="exact"/>
        <w:rPr>
          <w:rFonts w:asciiTheme="minorHAnsi" w:hAnsiTheme="minorHAnsi" w:cstheme="minorHAnsi"/>
          <w:color w:val="2E7C80" w:themeColor="accent2" w:themeShade="80"/>
        </w:rPr>
      </w:pPr>
      <w:r w:rsidRPr="00D915A2">
        <w:rPr>
          <w:rFonts w:asciiTheme="minorHAnsi" w:hAnsiTheme="minorHAnsi" w:cstheme="minorHAnsi"/>
          <w:color w:val="2E7C80" w:themeColor="accent2" w:themeShade="80"/>
        </w:rPr>
        <w:t>H</w:t>
      </w:r>
      <w:r w:rsidR="002224A6" w:rsidRPr="00D915A2">
        <w:rPr>
          <w:rFonts w:asciiTheme="minorHAnsi" w:hAnsiTheme="minorHAnsi" w:cstheme="minorHAnsi"/>
          <w:color w:val="2E7C80" w:themeColor="accent2" w:themeShade="80"/>
        </w:rPr>
        <w:t>ospital in-patients</w:t>
      </w:r>
    </w:p>
    <w:p w14:paraId="00E12605" w14:textId="1B67860F" w:rsidR="002224A6" w:rsidRPr="00A57D1D" w:rsidRDefault="002224A6" w:rsidP="001477F2">
      <w:pPr>
        <w:spacing w:before="120" w:after="240" w:line="280" w:lineRule="exact"/>
      </w:pPr>
      <w:r w:rsidRPr="001477F2">
        <w:rPr>
          <w:sz w:val="24"/>
          <w:szCs w:val="24"/>
        </w:rPr>
        <w:t>A prescriber working in a hospital has standing approval to prescribe controlled medicines (including Opioid Maintenance Treatment) for in-patients at that hospital</w:t>
      </w:r>
      <w:r w:rsidR="00A550B4" w:rsidRPr="001477F2">
        <w:rPr>
          <w:rStyle w:val="FootnoteReference"/>
          <w:sz w:val="24"/>
          <w:szCs w:val="24"/>
          <w:vertAlign w:val="superscript"/>
        </w:rPr>
        <w:footnoteReference w:id="2"/>
      </w:r>
      <w:r w:rsidRPr="001477F2">
        <w:rPr>
          <w:sz w:val="24"/>
          <w:szCs w:val="24"/>
        </w:rPr>
        <w:t>.</w:t>
      </w:r>
      <w:r w:rsidR="00EC59C4">
        <w:rPr>
          <w:sz w:val="24"/>
          <w:szCs w:val="24"/>
        </w:rPr>
        <w:t xml:space="preserve"> </w:t>
      </w:r>
    </w:p>
    <w:p w14:paraId="53CB0EDD" w14:textId="3BF005C0" w:rsidR="002224A6" w:rsidRPr="001477F2" w:rsidRDefault="00EF5AC1" w:rsidP="001477F2">
      <w:pPr>
        <w:pStyle w:val="Heading5"/>
        <w:spacing w:before="120" w:after="240" w:line="280" w:lineRule="exact"/>
        <w:rPr>
          <w:rFonts w:asciiTheme="minorHAnsi" w:hAnsiTheme="minorHAnsi" w:cstheme="minorHAnsi"/>
          <w:color w:val="2E7C80" w:themeColor="accent2" w:themeShade="80"/>
        </w:rPr>
      </w:pPr>
      <w:r w:rsidRPr="001477F2">
        <w:rPr>
          <w:rFonts w:asciiTheme="minorHAnsi" w:hAnsiTheme="minorHAnsi" w:cstheme="minorHAnsi"/>
          <w:color w:val="2E7C80" w:themeColor="accent2" w:themeShade="80"/>
        </w:rPr>
        <w:t>Prescribers at</w:t>
      </w:r>
      <w:r w:rsidR="002224A6" w:rsidRPr="001477F2">
        <w:rPr>
          <w:rFonts w:asciiTheme="minorHAnsi" w:hAnsiTheme="minorHAnsi" w:cstheme="minorHAnsi"/>
          <w:color w:val="2E7C80" w:themeColor="accent2" w:themeShade="80"/>
        </w:rPr>
        <w:t xml:space="preserve"> certain institutions </w:t>
      </w:r>
    </w:p>
    <w:p w14:paraId="1C2F4036" w14:textId="3470C58E" w:rsidR="002224A6" w:rsidRPr="00375A09" w:rsidRDefault="002224A6" w:rsidP="001477F2">
      <w:pPr>
        <w:spacing w:before="120" w:after="240" w:line="280" w:lineRule="exact"/>
        <w:rPr>
          <w:sz w:val="24"/>
          <w:szCs w:val="24"/>
        </w:rPr>
      </w:pPr>
      <w:r w:rsidRPr="00375A09">
        <w:rPr>
          <w:sz w:val="24"/>
          <w:szCs w:val="24"/>
        </w:rPr>
        <w:t>A prescriber working at</w:t>
      </w:r>
      <w:r w:rsidR="0098373B">
        <w:rPr>
          <w:sz w:val="24"/>
          <w:szCs w:val="24"/>
        </w:rPr>
        <w:t xml:space="preserve"> a</w:t>
      </w:r>
      <w:r w:rsidR="000E7F0E">
        <w:rPr>
          <w:sz w:val="24"/>
          <w:szCs w:val="24"/>
        </w:rPr>
        <w:t>:</w:t>
      </w:r>
      <w:r w:rsidRPr="00375A09">
        <w:rPr>
          <w:sz w:val="24"/>
          <w:szCs w:val="24"/>
        </w:rPr>
        <w:t xml:space="preserve"> </w:t>
      </w:r>
    </w:p>
    <w:p w14:paraId="7CF8FE6D" w14:textId="169A94EC" w:rsidR="000E7F0E" w:rsidRDefault="000E7F0E" w:rsidP="001477F2">
      <w:pPr>
        <w:numPr>
          <w:ilvl w:val="0"/>
          <w:numId w:val="30"/>
        </w:numPr>
        <w:spacing w:before="120" w:after="120" w:line="240" w:lineRule="exact"/>
        <w:ind w:left="760" w:hanging="357"/>
        <w:rPr>
          <w:sz w:val="24"/>
          <w:szCs w:val="24"/>
        </w:rPr>
      </w:pPr>
      <w:r>
        <w:rPr>
          <w:sz w:val="24"/>
          <w:szCs w:val="24"/>
        </w:rPr>
        <w:t>hospital (for outpatients)</w:t>
      </w:r>
      <w:r w:rsidR="0098373B">
        <w:rPr>
          <w:sz w:val="24"/>
          <w:szCs w:val="24"/>
        </w:rPr>
        <w:t>;</w:t>
      </w:r>
    </w:p>
    <w:p w14:paraId="5BBF1C8D" w14:textId="6CBE1BBB" w:rsidR="00B1702F" w:rsidRPr="00375A09" w:rsidRDefault="00B1702F" w:rsidP="001477F2">
      <w:pPr>
        <w:numPr>
          <w:ilvl w:val="0"/>
          <w:numId w:val="30"/>
        </w:numPr>
        <w:spacing w:before="120" w:after="120" w:line="240" w:lineRule="exact"/>
        <w:ind w:left="760" w:hanging="357"/>
        <w:rPr>
          <w:sz w:val="24"/>
          <w:szCs w:val="24"/>
        </w:rPr>
      </w:pPr>
      <w:r w:rsidRPr="00375A09">
        <w:rPr>
          <w:sz w:val="24"/>
          <w:szCs w:val="24"/>
        </w:rPr>
        <w:t xml:space="preserve">correctional centre; </w:t>
      </w:r>
    </w:p>
    <w:p w14:paraId="4DB72B42" w14:textId="6C215EB9" w:rsidR="002224A6" w:rsidRPr="00375A09" w:rsidRDefault="002224A6" w:rsidP="001477F2">
      <w:pPr>
        <w:numPr>
          <w:ilvl w:val="0"/>
          <w:numId w:val="30"/>
        </w:numPr>
        <w:spacing w:before="120" w:after="120" w:line="240" w:lineRule="exact"/>
        <w:ind w:left="760" w:hanging="357"/>
        <w:rPr>
          <w:sz w:val="24"/>
          <w:szCs w:val="24"/>
        </w:rPr>
      </w:pPr>
      <w:r w:rsidRPr="00375A09">
        <w:rPr>
          <w:sz w:val="24"/>
          <w:szCs w:val="24"/>
        </w:rPr>
        <w:t xml:space="preserve">Children and Young People detention place; </w:t>
      </w:r>
    </w:p>
    <w:p w14:paraId="07035B3F" w14:textId="573BD67E" w:rsidR="002224A6" w:rsidRDefault="002224A6" w:rsidP="001477F2">
      <w:pPr>
        <w:numPr>
          <w:ilvl w:val="0"/>
          <w:numId w:val="30"/>
        </w:numPr>
        <w:spacing w:before="120" w:after="120" w:line="240" w:lineRule="exact"/>
        <w:ind w:left="760" w:hanging="357"/>
        <w:rPr>
          <w:sz w:val="24"/>
          <w:szCs w:val="24"/>
        </w:rPr>
      </w:pPr>
      <w:r w:rsidRPr="00375A09">
        <w:rPr>
          <w:sz w:val="24"/>
          <w:szCs w:val="24"/>
        </w:rPr>
        <w:t xml:space="preserve">opioid dependency treatment centre operated by the Territory e.g. ADS; </w:t>
      </w:r>
      <w:r w:rsidR="000E7F0E">
        <w:rPr>
          <w:sz w:val="24"/>
          <w:szCs w:val="24"/>
        </w:rPr>
        <w:t>or</w:t>
      </w:r>
    </w:p>
    <w:p w14:paraId="26D03251" w14:textId="72AFD6CE" w:rsidR="00B1702F" w:rsidRPr="00375A09" w:rsidRDefault="00B1702F" w:rsidP="001477F2">
      <w:pPr>
        <w:spacing w:before="120" w:after="240" w:line="280" w:lineRule="exact"/>
        <w:rPr>
          <w:sz w:val="24"/>
          <w:szCs w:val="24"/>
        </w:rPr>
      </w:pPr>
      <w:r w:rsidRPr="00375A09">
        <w:rPr>
          <w:sz w:val="24"/>
          <w:szCs w:val="24"/>
        </w:rPr>
        <w:t>ha</w:t>
      </w:r>
      <w:r w:rsidR="000E7F0E">
        <w:rPr>
          <w:sz w:val="24"/>
          <w:szCs w:val="24"/>
        </w:rPr>
        <w:t>s</w:t>
      </w:r>
      <w:r w:rsidRPr="00375A09">
        <w:rPr>
          <w:sz w:val="24"/>
          <w:szCs w:val="24"/>
        </w:rPr>
        <w:t xml:space="preserve"> interim standing approval to prescribe controlled medicines</w:t>
      </w:r>
      <w:r w:rsidR="000E7F0E">
        <w:rPr>
          <w:sz w:val="24"/>
          <w:szCs w:val="24"/>
        </w:rPr>
        <w:t xml:space="preserve"> (including increase takeaways)</w:t>
      </w:r>
      <w:r w:rsidRPr="00375A09">
        <w:rPr>
          <w:sz w:val="24"/>
          <w:szCs w:val="24"/>
        </w:rPr>
        <w:t xml:space="preserve"> for a patient of the institution</w:t>
      </w:r>
      <w:r w:rsidR="002224A6" w:rsidRPr="00375A09">
        <w:rPr>
          <w:sz w:val="24"/>
          <w:szCs w:val="24"/>
        </w:rPr>
        <w:t xml:space="preserve">. </w:t>
      </w:r>
      <w:r w:rsidRPr="00375A09">
        <w:rPr>
          <w:sz w:val="24"/>
          <w:szCs w:val="24"/>
        </w:rPr>
        <w:t>However, the prescriber must apply for a Chief Health Officer approval within 72 hours of prescribing the controlled medicine for the patient</w:t>
      </w:r>
      <w:r w:rsidR="00A550B4" w:rsidRPr="001477F2">
        <w:rPr>
          <w:rStyle w:val="FootnoteReference"/>
          <w:sz w:val="24"/>
          <w:szCs w:val="24"/>
          <w:vertAlign w:val="superscript"/>
        </w:rPr>
        <w:footnoteReference w:id="3"/>
      </w:r>
      <w:r w:rsidR="00A550B4">
        <w:rPr>
          <w:sz w:val="24"/>
          <w:szCs w:val="24"/>
        </w:rPr>
        <w:t>.</w:t>
      </w:r>
      <w:r w:rsidRPr="00375A09">
        <w:rPr>
          <w:sz w:val="24"/>
          <w:szCs w:val="24"/>
        </w:rPr>
        <w:t xml:space="preserve"> </w:t>
      </w:r>
    </w:p>
    <w:p w14:paraId="62BC4541" w14:textId="5ED0A355" w:rsidR="002224A6" w:rsidRPr="00A57D1D" w:rsidRDefault="002224A6" w:rsidP="001477F2">
      <w:pPr>
        <w:spacing w:before="120" w:after="240" w:line="280" w:lineRule="exact"/>
      </w:pPr>
      <w:r w:rsidRPr="001477F2">
        <w:rPr>
          <w:sz w:val="24"/>
          <w:szCs w:val="24"/>
        </w:rPr>
        <w:t xml:space="preserve">The interim standing approval is also available for a prescriber who prescribes the </w:t>
      </w:r>
      <w:r w:rsidR="000E7F0E">
        <w:rPr>
          <w:sz w:val="24"/>
          <w:szCs w:val="24"/>
        </w:rPr>
        <w:t xml:space="preserve">controlled </w:t>
      </w:r>
      <w:r w:rsidRPr="001477F2">
        <w:rPr>
          <w:sz w:val="24"/>
          <w:szCs w:val="24"/>
        </w:rPr>
        <w:t xml:space="preserve">medicine for a person in police custody. </w:t>
      </w:r>
    </w:p>
    <w:p w14:paraId="3C3FB67E" w14:textId="0516CF85" w:rsidR="002224A6" w:rsidRPr="001477F2" w:rsidRDefault="000E7F0E" w:rsidP="001477F2">
      <w:pPr>
        <w:pStyle w:val="Heading5"/>
        <w:spacing w:before="120" w:after="240" w:line="280" w:lineRule="exact"/>
        <w:rPr>
          <w:rFonts w:asciiTheme="minorHAnsi" w:hAnsiTheme="minorHAnsi" w:cstheme="minorHAnsi"/>
          <w:color w:val="2E7C80" w:themeColor="accent2" w:themeShade="80"/>
        </w:rPr>
      </w:pPr>
      <w:r w:rsidRPr="001477F2">
        <w:rPr>
          <w:rFonts w:asciiTheme="minorHAnsi" w:hAnsiTheme="minorHAnsi" w:cstheme="minorHAnsi"/>
          <w:color w:val="2E7C80" w:themeColor="accent2" w:themeShade="80"/>
        </w:rPr>
        <w:lastRenderedPageBreak/>
        <w:t>General Practitioners</w:t>
      </w:r>
    </w:p>
    <w:p w14:paraId="051E3470" w14:textId="2731CE1B" w:rsidR="002224A6" w:rsidRPr="00375A09" w:rsidRDefault="0098373B" w:rsidP="001477F2">
      <w:pPr>
        <w:spacing w:before="120" w:after="240" w:line="280" w:lineRule="exact"/>
        <w:rPr>
          <w:sz w:val="24"/>
          <w:szCs w:val="24"/>
        </w:rPr>
      </w:pPr>
      <w:r>
        <w:rPr>
          <w:sz w:val="24"/>
          <w:szCs w:val="24"/>
        </w:rPr>
        <w:t xml:space="preserve">GP </w:t>
      </w:r>
      <w:r w:rsidR="002224A6" w:rsidRPr="00375A09">
        <w:rPr>
          <w:sz w:val="24"/>
          <w:szCs w:val="24"/>
        </w:rPr>
        <w:t xml:space="preserve">or other </w:t>
      </w:r>
      <w:r w:rsidR="009D166C">
        <w:rPr>
          <w:sz w:val="24"/>
          <w:szCs w:val="24"/>
        </w:rPr>
        <w:t xml:space="preserve">OMT </w:t>
      </w:r>
      <w:r w:rsidR="002224A6" w:rsidRPr="00375A09">
        <w:rPr>
          <w:sz w:val="24"/>
          <w:szCs w:val="24"/>
        </w:rPr>
        <w:t xml:space="preserve">prescribers will need CHO approval prior to increasing the patient’s unsupervised doses (unless the takeaway doses </w:t>
      </w:r>
      <w:r w:rsidR="00CF7E78">
        <w:rPr>
          <w:sz w:val="24"/>
          <w:szCs w:val="24"/>
        </w:rPr>
        <w:t xml:space="preserve">are authorised under a person’s Category 3B approval for </w:t>
      </w:r>
      <w:r>
        <w:rPr>
          <w:sz w:val="24"/>
          <w:szCs w:val="24"/>
        </w:rPr>
        <w:t>s</w:t>
      </w:r>
      <w:r w:rsidR="00CF7E78">
        <w:rPr>
          <w:sz w:val="24"/>
          <w:szCs w:val="24"/>
        </w:rPr>
        <w:t>uboxone</w:t>
      </w:r>
      <w:r w:rsidR="002224A6" w:rsidRPr="00375A09">
        <w:rPr>
          <w:sz w:val="24"/>
          <w:szCs w:val="24"/>
        </w:rPr>
        <w:t xml:space="preserve">). </w:t>
      </w:r>
    </w:p>
    <w:p w14:paraId="6C009CAC" w14:textId="71DC392C" w:rsidR="00A15AF1" w:rsidRDefault="00A15AF1" w:rsidP="001477F2">
      <w:pPr>
        <w:pStyle w:val="Heading3"/>
      </w:pPr>
      <w:r w:rsidRPr="0094028C">
        <w:t xml:space="preserve">CHO Approval Requirements </w:t>
      </w:r>
      <w:r>
        <w:t>– medicine specific factors</w:t>
      </w:r>
    </w:p>
    <w:p w14:paraId="587C9D01" w14:textId="7856A3C1" w:rsidR="00A15AF1" w:rsidRPr="001477F2" w:rsidRDefault="00A15AF1" w:rsidP="001477F2">
      <w:pPr>
        <w:rPr>
          <w:sz w:val="24"/>
          <w:szCs w:val="24"/>
        </w:rPr>
      </w:pPr>
      <w:r w:rsidRPr="001477F2">
        <w:rPr>
          <w:sz w:val="24"/>
          <w:szCs w:val="24"/>
        </w:rPr>
        <w:t>Instructions are provided below for prescribers where they need to seek Approval by Drug for an increase in take away doses over the isolation or quarantine period.</w:t>
      </w:r>
      <w:r w:rsidR="00731AF4">
        <w:rPr>
          <w:sz w:val="24"/>
          <w:szCs w:val="24"/>
        </w:rPr>
        <w:t xml:space="preserve"> The approval for increased take away doses relating to COVID-19 pandemic circumstances </w:t>
      </w:r>
      <w:r w:rsidR="006913CD">
        <w:rPr>
          <w:sz w:val="24"/>
          <w:szCs w:val="24"/>
        </w:rPr>
        <w:t xml:space="preserve">in most cases </w:t>
      </w:r>
      <w:r w:rsidR="00731AF4">
        <w:rPr>
          <w:sz w:val="24"/>
          <w:szCs w:val="24"/>
        </w:rPr>
        <w:t>will be provided for a maximum of eight weeks</w:t>
      </w:r>
      <w:r w:rsidR="00CA5E36">
        <w:rPr>
          <w:sz w:val="24"/>
          <w:szCs w:val="24"/>
        </w:rPr>
        <w:t xml:space="preserve"> per application</w:t>
      </w:r>
      <w:r w:rsidR="00731AF4">
        <w:rPr>
          <w:sz w:val="24"/>
          <w:szCs w:val="24"/>
        </w:rPr>
        <w:t>.</w:t>
      </w:r>
    </w:p>
    <w:p w14:paraId="162CB783" w14:textId="6AF5E06A" w:rsidR="00A22509" w:rsidRDefault="00A33C63" w:rsidP="001477F2">
      <w:pPr>
        <w:pStyle w:val="Heading5"/>
        <w:spacing w:before="120" w:after="240" w:line="280" w:lineRule="exact"/>
        <w:rPr>
          <w:color w:val="2E7C80" w:themeColor="accent2" w:themeShade="80"/>
        </w:rPr>
      </w:pPr>
      <w:r w:rsidRPr="001477F2">
        <w:rPr>
          <w:rFonts w:asciiTheme="minorHAnsi" w:hAnsiTheme="minorHAnsi" w:cstheme="minorHAnsi"/>
          <w:color w:val="2E7C80" w:themeColor="accent2" w:themeShade="80"/>
        </w:rPr>
        <w:t>Methadone</w:t>
      </w:r>
    </w:p>
    <w:p w14:paraId="5F99521F" w14:textId="6B0C966F" w:rsidR="003B679A" w:rsidRPr="001477F2" w:rsidRDefault="003B679A" w:rsidP="001477F2">
      <w:pPr>
        <w:pStyle w:val="ListParagraph"/>
        <w:numPr>
          <w:ilvl w:val="0"/>
          <w:numId w:val="34"/>
        </w:numPr>
        <w:rPr>
          <w:sz w:val="24"/>
          <w:szCs w:val="24"/>
        </w:rPr>
      </w:pPr>
      <w:r w:rsidRPr="001477F2">
        <w:rPr>
          <w:sz w:val="24"/>
          <w:szCs w:val="24"/>
        </w:rPr>
        <w:t>Apply for A</w:t>
      </w:r>
      <w:r w:rsidRPr="001477F2">
        <w:rPr>
          <w:i/>
          <w:iCs/>
          <w:sz w:val="24"/>
          <w:szCs w:val="24"/>
        </w:rPr>
        <w:t>pproval by Drug</w:t>
      </w:r>
      <w:r w:rsidRPr="001477F2">
        <w:rPr>
          <w:sz w:val="24"/>
          <w:szCs w:val="24"/>
        </w:rPr>
        <w:t xml:space="preserve"> to authorise up to 14 takeaway doses to be prescribed over the isolation period</w:t>
      </w:r>
      <w:r w:rsidR="00AF77B0">
        <w:rPr>
          <w:sz w:val="24"/>
          <w:szCs w:val="24"/>
        </w:rPr>
        <w:t>. Additional approval will be required should quarantine/isolation be required for longer than 14 days.</w:t>
      </w:r>
    </w:p>
    <w:p w14:paraId="7C2EF139" w14:textId="77777777" w:rsidR="003B679A" w:rsidRPr="001477F2" w:rsidRDefault="003B679A" w:rsidP="001477F2">
      <w:pPr>
        <w:pStyle w:val="ListParagraph"/>
        <w:numPr>
          <w:ilvl w:val="0"/>
          <w:numId w:val="34"/>
        </w:numPr>
        <w:rPr>
          <w:sz w:val="24"/>
          <w:szCs w:val="24"/>
        </w:rPr>
      </w:pPr>
      <w:r w:rsidRPr="001477F2">
        <w:rPr>
          <w:sz w:val="24"/>
          <w:szCs w:val="24"/>
        </w:rPr>
        <w:t>Specify the frequency of collection or delivery of take away doses on the application form. Consider up to daily collection or hospital admission for unstable patients.</w:t>
      </w:r>
    </w:p>
    <w:p w14:paraId="7A6A6282" w14:textId="580613B5" w:rsidR="003B679A" w:rsidRPr="001477F2" w:rsidRDefault="003B679A" w:rsidP="001477F2">
      <w:pPr>
        <w:pStyle w:val="ListParagraph"/>
        <w:numPr>
          <w:ilvl w:val="0"/>
          <w:numId w:val="34"/>
        </w:numPr>
        <w:rPr>
          <w:sz w:val="24"/>
          <w:szCs w:val="24"/>
        </w:rPr>
      </w:pPr>
      <w:r w:rsidRPr="001477F2">
        <w:rPr>
          <w:sz w:val="24"/>
          <w:szCs w:val="24"/>
          <w:lang w:val="en-AU"/>
        </w:rPr>
        <w:t>A stability assessment form should be submitted with the application.</w:t>
      </w:r>
    </w:p>
    <w:p w14:paraId="75AF428F" w14:textId="2EDC2E99" w:rsidR="003B679A" w:rsidRPr="00782AC2" w:rsidRDefault="003B679A" w:rsidP="001477F2">
      <w:pPr>
        <w:pStyle w:val="ListParagraph"/>
        <w:numPr>
          <w:ilvl w:val="0"/>
          <w:numId w:val="34"/>
        </w:numPr>
        <w:rPr>
          <w:sz w:val="24"/>
          <w:szCs w:val="24"/>
        </w:rPr>
      </w:pPr>
      <w:r w:rsidRPr="001477F2">
        <w:rPr>
          <w:sz w:val="24"/>
          <w:szCs w:val="24"/>
          <w:lang w:val="en-AU"/>
        </w:rPr>
        <w:t>Once approval is granted, issue a prescription for the pharmacist or dosing centre specifying the number of takeaways and frequency of collection.</w:t>
      </w:r>
    </w:p>
    <w:p w14:paraId="2CCB9BB1" w14:textId="1C7ADEE5" w:rsidR="00756627" w:rsidRPr="001477F2" w:rsidRDefault="00A33C63" w:rsidP="00A15AF1">
      <w:pPr>
        <w:pStyle w:val="Heading5"/>
        <w:spacing w:before="120" w:after="240" w:line="280" w:lineRule="exact"/>
        <w:rPr>
          <w:rFonts w:asciiTheme="minorHAnsi" w:hAnsiTheme="minorHAnsi" w:cstheme="minorHAnsi"/>
          <w:color w:val="2E7C80" w:themeColor="accent2" w:themeShade="80"/>
        </w:rPr>
      </w:pPr>
      <w:r w:rsidRPr="001477F2">
        <w:rPr>
          <w:rFonts w:asciiTheme="minorHAnsi" w:hAnsiTheme="minorHAnsi" w:cstheme="minorHAnsi"/>
          <w:color w:val="2E7C80" w:themeColor="accent2" w:themeShade="80"/>
        </w:rPr>
        <w:t>Suboxone</w:t>
      </w:r>
      <w:r w:rsidR="00A15AF1" w:rsidRPr="001477F2">
        <w:rPr>
          <w:rFonts w:asciiTheme="minorHAnsi" w:hAnsiTheme="minorHAnsi" w:cstheme="minorHAnsi"/>
          <w:color w:val="2E7C80" w:themeColor="accent2" w:themeShade="80"/>
        </w:rPr>
        <w:t>- stable patient on treatment 9 months or longer</w:t>
      </w:r>
    </w:p>
    <w:p w14:paraId="768FAC5E" w14:textId="3FBDF24C" w:rsidR="00A15AF1" w:rsidRPr="00AF77B0" w:rsidRDefault="00A15AF1" w:rsidP="00A15AF1">
      <w:pPr>
        <w:pStyle w:val="ListParagraph"/>
        <w:numPr>
          <w:ilvl w:val="0"/>
          <w:numId w:val="32"/>
        </w:numPr>
        <w:rPr>
          <w:sz w:val="24"/>
          <w:szCs w:val="24"/>
        </w:rPr>
      </w:pPr>
      <w:r w:rsidRPr="00AF77B0">
        <w:rPr>
          <w:rFonts w:eastAsia="Calibri"/>
          <w:sz w:val="24"/>
          <w:szCs w:val="24"/>
        </w:rPr>
        <w:t>Prescribing of 14 take away doses (2 weeks unsupervised dosing) is authorised under Category 3B Approval for stable patients on treatment longer than 9 months.</w:t>
      </w:r>
    </w:p>
    <w:p w14:paraId="7FB45515" w14:textId="77777777" w:rsidR="00A15AF1" w:rsidRPr="00AF77B0" w:rsidRDefault="00A15AF1" w:rsidP="00A15AF1">
      <w:pPr>
        <w:pStyle w:val="ListParagraph"/>
        <w:numPr>
          <w:ilvl w:val="0"/>
          <w:numId w:val="32"/>
        </w:numPr>
        <w:rPr>
          <w:sz w:val="24"/>
          <w:szCs w:val="24"/>
        </w:rPr>
      </w:pPr>
      <w:r w:rsidRPr="00AF77B0">
        <w:rPr>
          <w:rFonts w:eastAsia="Calibri"/>
          <w:sz w:val="24"/>
          <w:szCs w:val="24"/>
        </w:rPr>
        <w:t>Up to 27 take away doses (4 weeks unsupervised dosing) is authorised under a Category 3B approval for stable patients on treatment longer than 12 months.</w:t>
      </w:r>
    </w:p>
    <w:p w14:paraId="36481608" w14:textId="4FF47015" w:rsidR="00A15AF1" w:rsidRPr="001477F2" w:rsidRDefault="00A15AF1" w:rsidP="00A15AF1">
      <w:pPr>
        <w:pStyle w:val="Heading5"/>
        <w:spacing w:before="120" w:after="240" w:line="280" w:lineRule="exact"/>
        <w:rPr>
          <w:rFonts w:asciiTheme="minorHAnsi" w:hAnsiTheme="minorHAnsi" w:cstheme="minorHAnsi"/>
          <w:color w:val="2E7C80" w:themeColor="accent2" w:themeShade="80"/>
        </w:rPr>
      </w:pPr>
      <w:r w:rsidRPr="001477F2">
        <w:rPr>
          <w:rFonts w:asciiTheme="minorHAnsi" w:eastAsia="Calibri" w:hAnsiTheme="minorHAnsi" w:cstheme="minorHAnsi"/>
        </w:rPr>
        <w:t xml:space="preserve"> </w:t>
      </w:r>
      <w:r w:rsidRPr="001477F2">
        <w:rPr>
          <w:rFonts w:asciiTheme="minorHAnsi" w:hAnsiTheme="minorHAnsi" w:cstheme="minorHAnsi"/>
          <w:color w:val="2E7C80" w:themeColor="accent2" w:themeShade="80"/>
        </w:rPr>
        <w:t>Suboxone- on treatment for less than 9 months</w:t>
      </w:r>
    </w:p>
    <w:p w14:paraId="06E1751A" w14:textId="77777777" w:rsidR="00793D78" w:rsidRPr="00AF77B0" w:rsidRDefault="00793D78" w:rsidP="00793D78">
      <w:pPr>
        <w:pStyle w:val="ListParagraph"/>
        <w:numPr>
          <w:ilvl w:val="0"/>
          <w:numId w:val="32"/>
        </w:numPr>
        <w:rPr>
          <w:sz w:val="24"/>
          <w:szCs w:val="24"/>
        </w:rPr>
      </w:pPr>
      <w:r w:rsidRPr="00AF77B0">
        <w:rPr>
          <w:sz w:val="24"/>
          <w:szCs w:val="24"/>
        </w:rPr>
        <w:t>Apply for A</w:t>
      </w:r>
      <w:r w:rsidRPr="00AF77B0">
        <w:rPr>
          <w:i/>
          <w:iCs/>
          <w:sz w:val="24"/>
          <w:szCs w:val="24"/>
        </w:rPr>
        <w:t>pproval by Drug</w:t>
      </w:r>
      <w:r w:rsidRPr="00AF77B0">
        <w:rPr>
          <w:sz w:val="24"/>
          <w:szCs w:val="24"/>
        </w:rPr>
        <w:t xml:space="preserve"> to authorise up to 14 takeaway doses to be prescribed over the isolation period. Additional approval will be required should quarantine/isolation be required for longer than 14 days.</w:t>
      </w:r>
    </w:p>
    <w:p w14:paraId="28F9AB17" w14:textId="77777777" w:rsidR="00CF7E78" w:rsidRPr="00AF77B0" w:rsidRDefault="00CF7E78" w:rsidP="00CF7E78">
      <w:pPr>
        <w:pStyle w:val="ListParagraph"/>
        <w:numPr>
          <w:ilvl w:val="0"/>
          <w:numId w:val="32"/>
        </w:numPr>
        <w:rPr>
          <w:sz w:val="24"/>
          <w:szCs w:val="24"/>
        </w:rPr>
      </w:pPr>
      <w:r w:rsidRPr="00AF77B0">
        <w:rPr>
          <w:sz w:val="24"/>
          <w:szCs w:val="24"/>
        </w:rPr>
        <w:t>Specify the frequency of collection or delivery of take away doses on the application form. Consider up to daily collection or hospital admission for unstable patients.</w:t>
      </w:r>
    </w:p>
    <w:p w14:paraId="0D254775" w14:textId="77777777" w:rsidR="00CF7E78" w:rsidRPr="00AF77B0" w:rsidRDefault="00CF7E78" w:rsidP="00CF7E78">
      <w:pPr>
        <w:pStyle w:val="ListParagraph"/>
        <w:numPr>
          <w:ilvl w:val="0"/>
          <w:numId w:val="32"/>
        </w:numPr>
        <w:rPr>
          <w:sz w:val="24"/>
          <w:szCs w:val="24"/>
        </w:rPr>
      </w:pPr>
      <w:r w:rsidRPr="00AF77B0">
        <w:rPr>
          <w:sz w:val="24"/>
          <w:szCs w:val="24"/>
          <w:lang w:val="en-AU"/>
        </w:rPr>
        <w:t>A stability assessment form should be submitted with the application.</w:t>
      </w:r>
    </w:p>
    <w:p w14:paraId="6A330C86" w14:textId="6F7CC0EC" w:rsidR="00CF7E78" w:rsidRPr="00AF77B0" w:rsidRDefault="00CF7E78" w:rsidP="00CF7E78">
      <w:pPr>
        <w:pStyle w:val="ListParagraph"/>
        <w:numPr>
          <w:ilvl w:val="0"/>
          <w:numId w:val="32"/>
        </w:numPr>
        <w:rPr>
          <w:sz w:val="24"/>
          <w:szCs w:val="24"/>
          <w:lang w:val="en-AU"/>
        </w:rPr>
      </w:pPr>
      <w:r w:rsidRPr="00AF77B0">
        <w:rPr>
          <w:sz w:val="24"/>
          <w:szCs w:val="24"/>
          <w:lang w:val="en-AU"/>
        </w:rPr>
        <w:t>Once approval is granted, issue a prescription for the pharmacist or dosing centre specifying the number of takeaways and frequency of collection.</w:t>
      </w:r>
    </w:p>
    <w:p w14:paraId="2CF1384A" w14:textId="4A36A37C" w:rsidR="00756627" w:rsidRPr="001477F2" w:rsidRDefault="00A33C63" w:rsidP="00CF7E78">
      <w:pPr>
        <w:pStyle w:val="Heading5"/>
        <w:spacing w:before="120" w:after="240" w:line="280" w:lineRule="exact"/>
        <w:rPr>
          <w:rFonts w:asciiTheme="minorHAnsi" w:hAnsiTheme="minorHAnsi" w:cstheme="minorHAnsi"/>
          <w:color w:val="2E7C80" w:themeColor="accent2" w:themeShade="80"/>
        </w:rPr>
      </w:pPr>
      <w:r w:rsidRPr="001477F2">
        <w:rPr>
          <w:rFonts w:asciiTheme="minorHAnsi" w:hAnsiTheme="minorHAnsi" w:cstheme="minorHAnsi"/>
          <w:color w:val="2E7C80" w:themeColor="accent2" w:themeShade="80"/>
        </w:rPr>
        <w:lastRenderedPageBreak/>
        <w:t>Subutex</w:t>
      </w:r>
    </w:p>
    <w:p w14:paraId="5AC2C943" w14:textId="0E378D3E" w:rsidR="00CF7E78" w:rsidRPr="00AF77B0" w:rsidRDefault="00CF7E78" w:rsidP="00CF7E78">
      <w:pPr>
        <w:pStyle w:val="ListParagraph"/>
        <w:numPr>
          <w:ilvl w:val="0"/>
          <w:numId w:val="32"/>
        </w:numPr>
        <w:rPr>
          <w:sz w:val="24"/>
          <w:szCs w:val="24"/>
        </w:rPr>
      </w:pPr>
      <w:r w:rsidRPr="00AF77B0">
        <w:rPr>
          <w:sz w:val="24"/>
          <w:szCs w:val="24"/>
        </w:rPr>
        <w:t>Apply for A</w:t>
      </w:r>
      <w:r w:rsidRPr="00AF77B0">
        <w:rPr>
          <w:i/>
          <w:iCs/>
          <w:sz w:val="24"/>
          <w:szCs w:val="24"/>
        </w:rPr>
        <w:t>pproval by Drug</w:t>
      </w:r>
      <w:r w:rsidRPr="00AF77B0">
        <w:rPr>
          <w:sz w:val="24"/>
          <w:szCs w:val="24"/>
        </w:rPr>
        <w:t xml:space="preserve"> to authorise up to 14 takeaway doses to be prescribed over the isolation period</w:t>
      </w:r>
      <w:r w:rsidR="00AF77B0" w:rsidRPr="00AF77B0">
        <w:rPr>
          <w:sz w:val="24"/>
          <w:szCs w:val="24"/>
        </w:rPr>
        <w:t>. Additional approval will be required should quarantine/isolation be required for longer than 14 days.</w:t>
      </w:r>
    </w:p>
    <w:p w14:paraId="7DAFEFD8" w14:textId="0CE44AB2" w:rsidR="00CF7E78" w:rsidRPr="00AF77B0" w:rsidRDefault="00CF7E78" w:rsidP="00CF7E78">
      <w:pPr>
        <w:pStyle w:val="ListParagraph"/>
        <w:numPr>
          <w:ilvl w:val="0"/>
          <w:numId w:val="32"/>
        </w:numPr>
        <w:rPr>
          <w:sz w:val="24"/>
          <w:szCs w:val="24"/>
        </w:rPr>
      </w:pPr>
      <w:r w:rsidRPr="00AF77B0">
        <w:rPr>
          <w:sz w:val="24"/>
          <w:szCs w:val="24"/>
        </w:rPr>
        <w:t>Specify the frequency of collection or delivery of takeaway doses on the application form. Consider up to daily collection or hospital admission for unstable patients.</w:t>
      </w:r>
    </w:p>
    <w:p w14:paraId="61912FDF" w14:textId="77777777" w:rsidR="00CF7E78" w:rsidRPr="00AF77B0" w:rsidRDefault="00CF7E78" w:rsidP="00CF7E78">
      <w:pPr>
        <w:pStyle w:val="ListParagraph"/>
        <w:numPr>
          <w:ilvl w:val="0"/>
          <w:numId w:val="32"/>
        </w:numPr>
        <w:rPr>
          <w:sz w:val="24"/>
          <w:szCs w:val="24"/>
        </w:rPr>
      </w:pPr>
      <w:r w:rsidRPr="00AF77B0">
        <w:rPr>
          <w:sz w:val="24"/>
          <w:szCs w:val="24"/>
          <w:lang w:val="en-AU"/>
        </w:rPr>
        <w:t>A stability assessment form should be submitted with the application.</w:t>
      </w:r>
    </w:p>
    <w:p w14:paraId="19E66856" w14:textId="2D124810" w:rsidR="00CF7E78" w:rsidRPr="00AF77B0" w:rsidRDefault="00CF7E78" w:rsidP="00CF7E78">
      <w:pPr>
        <w:pStyle w:val="ListParagraph"/>
        <w:numPr>
          <w:ilvl w:val="0"/>
          <w:numId w:val="32"/>
        </w:numPr>
        <w:rPr>
          <w:sz w:val="24"/>
          <w:szCs w:val="24"/>
          <w:lang w:val="en-AU"/>
        </w:rPr>
      </w:pPr>
      <w:r w:rsidRPr="00AF77B0">
        <w:rPr>
          <w:sz w:val="24"/>
          <w:szCs w:val="24"/>
          <w:lang w:val="en-AU"/>
        </w:rPr>
        <w:t>Once approval is granted, issue a prescription for the pharmacist or dosing centre specifying the number of takeaways and frequency of collection.</w:t>
      </w:r>
    </w:p>
    <w:p w14:paraId="20248DD5" w14:textId="31634689" w:rsidR="00CF7E78" w:rsidRPr="00D915A2" w:rsidRDefault="00CF7E78" w:rsidP="001477F2">
      <w:pPr>
        <w:pStyle w:val="Heading3"/>
        <w:rPr>
          <w:sz w:val="28"/>
          <w:szCs w:val="28"/>
        </w:rPr>
      </w:pPr>
      <w:r w:rsidRPr="00D915A2">
        <w:rPr>
          <w:sz w:val="28"/>
          <w:szCs w:val="28"/>
        </w:rPr>
        <w:t>Naloxone</w:t>
      </w:r>
    </w:p>
    <w:p w14:paraId="2B25AC52" w14:textId="24D0D4E7" w:rsidR="00756627" w:rsidRPr="001477F2" w:rsidRDefault="0098373B" w:rsidP="00756627">
      <w:pPr>
        <w:rPr>
          <w:bCs/>
          <w:iCs/>
          <w:sz w:val="24"/>
          <w:szCs w:val="24"/>
        </w:rPr>
      </w:pPr>
      <w:r>
        <w:rPr>
          <w:bCs/>
          <w:iCs/>
          <w:sz w:val="24"/>
          <w:szCs w:val="24"/>
        </w:rPr>
        <w:t>The p</w:t>
      </w:r>
      <w:r w:rsidR="00756627" w:rsidRPr="001477F2">
        <w:rPr>
          <w:bCs/>
          <w:iCs/>
          <w:sz w:val="24"/>
          <w:szCs w:val="24"/>
        </w:rPr>
        <w:t xml:space="preserve">rovision of naloxone to OMT patients receiving all doses unsupervised is recommended, particularly for patients using methadone. </w:t>
      </w:r>
      <w:r w:rsidR="00417E3B">
        <w:rPr>
          <w:bCs/>
          <w:iCs/>
          <w:sz w:val="24"/>
          <w:szCs w:val="24"/>
        </w:rPr>
        <w:t>Providing a prescription for this item will ease the financial burden on patients and other treatment providers supporting naloxone provision.</w:t>
      </w:r>
      <w:r w:rsidR="00BA47C1">
        <w:rPr>
          <w:bCs/>
          <w:iCs/>
          <w:sz w:val="24"/>
          <w:szCs w:val="24"/>
        </w:rPr>
        <w:t xml:space="preserve"> Directions Health Services or CAHMA can assist with stock and training material provision</w:t>
      </w:r>
      <w:r w:rsidR="000956A1">
        <w:rPr>
          <w:bCs/>
          <w:iCs/>
          <w:sz w:val="24"/>
          <w:szCs w:val="24"/>
        </w:rPr>
        <w:t>. It may be necessary to consider naloxone provision throughout treatment, not exclusively at the commencement of COVID-related unsupervised dosing.</w:t>
      </w:r>
    </w:p>
    <w:bookmarkEnd w:id="22"/>
    <w:p w14:paraId="4A7AF391" w14:textId="781BFCAE" w:rsidR="00206307" w:rsidRDefault="00206307" w:rsidP="001477F2">
      <w:pPr>
        <w:pStyle w:val="Heading1"/>
      </w:pPr>
      <w:r w:rsidRPr="00100190">
        <w:t>Supply Options</w:t>
      </w:r>
      <w:bookmarkEnd w:id="23"/>
      <w:bookmarkEnd w:id="24"/>
    </w:p>
    <w:p w14:paraId="02107575" w14:textId="184CA15B" w:rsidR="002224A6" w:rsidRDefault="00206307" w:rsidP="00206307">
      <w:pPr>
        <w:pStyle w:val="BodyCopy"/>
        <w:rPr>
          <w:rFonts w:ascii="Arial" w:hAnsi="Arial"/>
          <w:color w:val="2E7C80" w:themeColor="accent2" w:themeShade="80"/>
          <w:sz w:val="28"/>
          <w:szCs w:val="28"/>
        </w:rPr>
      </w:pPr>
      <w:r>
        <w:t>These options will apply to clients dosing at either ADS or in community pharmacies</w:t>
      </w:r>
      <w:r w:rsidR="0098373B">
        <w:t>:</w:t>
      </w:r>
    </w:p>
    <w:p w14:paraId="7EC7D5BF" w14:textId="6E77DED4" w:rsidR="002224A6" w:rsidRDefault="002224A6">
      <w:pPr>
        <w:pStyle w:val="Heading4"/>
        <w:rPr>
          <w:color w:val="2E7C80" w:themeColor="accent2" w:themeShade="80"/>
        </w:rPr>
      </w:pPr>
      <w:bookmarkStart w:id="25" w:name="_Toc36057318"/>
      <w:bookmarkStart w:id="26" w:name="_Toc36058420"/>
      <w:r>
        <w:rPr>
          <w:color w:val="2E7C80" w:themeColor="accent2" w:themeShade="80"/>
        </w:rPr>
        <w:t xml:space="preserve">Collection by an agent nominated by the patient </w:t>
      </w:r>
    </w:p>
    <w:p w14:paraId="6E232E8F" w14:textId="5937C3C9" w:rsidR="002224A6" w:rsidRDefault="002224A6" w:rsidP="002224A6">
      <w:pPr>
        <w:pStyle w:val="BodyCopy"/>
      </w:pPr>
      <w:r>
        <w:t xml:space="preserve">OMT unsupervised doses can be collected by an agent of the patient. </w:t>
      </w:r>
      <w:r w:rsidR="00417E3B">
        <w:t>If considered appropriate by the patient, prescriber and dosing point,</w:t>
      </w:r>
      <w:r>
        <w:t xml:space="preserve"> this</w:t>
      </w:r>
      <w:r w:rsidR="00417E3B">
        <w:t xml:space="preserve"> can</w:t>
      </w:r>
      <w:r>
        <w:t xml:space="preserve"> be a nominated family member or friend over the age of 18, who is likely providing other supports such as grocery shopping to the isolated patient. Amendments to the prescription are not required, but the prescriber should be made aware that an </w:t>
      </w:r>
      <w:r w:rsidR="0098373B">
        <w:t>‘</w:t>
      </w:r>
      <w:r>
        <w:t>agent</w:t>
      </w:r>
      <w:r w:rsidR="0098373B">
        <w:t>’</w:t>
      </w:r>
      <w:r>
        <w:t xml:space="preserve"> is acting on behalf of a patient.</w:t>
      </w:r>
    </w:p>
    <w:p w14:paraId="56BE1A8F" w14:textId="4B5ED627" w:rsidR="002224A6" w:rsidRDefault="002224A6" w:rsidP="002224A6">
      <w:pPr>
        <w:pStyle w:val="BodyCopy"/>
      </w:pPr>
      <w:r>
        <w:t xml:space="preserve">The patient will need to nominate a specific individual, and consent to the collection of OMT doses on their behalf and indicate this </w:t>
      </w:r>
      <w:r w:rsidR="00417E3B">
        <w:t>in</w:t>
      </w:r>
      <w:r>
        <w:t xml:space="preserve"> a phone call to the relevant pharmacist or clinic. The nominated agent will need to provide photo identification when doses are collected, and sign for receipt of a specific number of doses.</w:t>
      </w:r>
    </w:p>
    <w:p w14:paraId="277F7467" w14:textId="104A71BC" w:rsidR="004C3A1A" w:rsidRDefault="002224A6">
      <w:pPr>
        <w:pStyle w:val="BodyCopy"/>
      </w:pPr>
      <w:r>
        <w:t>Agents will need to leave the OMT at the door of isolated individuals and step back at least 2</w:t>
      </w:r>
      <w:r w:rsidR="004C3A1A">
        <w:t> </w:t>
      </w:r>
      <w:r>
        <w:t>m</w:t>
      </w:r>
      <w:r w:rsidR="004C3A1A">
        <w:t>etres</w:t>
      </w:r>
      <w:r>
        <w:t xml:space="preserve"> while it is collected by the patient. Agents should call the patient to communicate their medication is at the door</w:t>
      </w:r>
      <w:r w:rsidR="0098373B">
        <w:t xml:space="preserve"> and</w:t>
      </w:r>
      <w:r>
        <w:t xml:space="preserve"> should confirm the patient name</w:t>
      </w:r>
      <w:r w:rsidR="00417E3B">
        <w:t xml:space="preserve"> during the phone call</w:t>
      </w:r>
      <w:r>
        <w:t xml:space="preserve">. </w:t>
      </w:r>
      <w:r w:rsidR="004C3A1A">
        <w:t>Agents will be required to provide written confirmation that doses were collected by the patient back to the centre providing the doses on the same day.</w:t>
      </w:r>
    </w:p>
    <w:p w14:paraId="2A319E35" w14:textId="5EC7867E" w:rsidR="002224A6" w:rsidRDefault="002224A6">
      <w:pPr>
        <w:pStyle w:val="BodyCopy"/>
      </w:pPr>
      <w:r>
        <w:t>Agents must not leave doses unattended at any time. Should the patient not answer the door, agents should contact the pharmacy immediately, and return the doses to them. A record of doses returned will need to be made at the pharmacy or clinic.</w:t>
      </w:r>
    </w:p>
    <w:p w14:paraId="53D25871" w14:textId="411321B4" w:rsidR="00BC4C1A" w:rsidRPr="00756627" w:rsidRDefault="00BC4C1A" w:rsidP="001477F2">
      <w:pPr>
        <w:pStyle w:val="BodyCopy"/>
      </w:pPr>
      <w:r>
        <w:lastRenderedPageBreak/>
        <w:t xml:space="preserve">Patients and potential agents </w:t>
      </w:r>
      <w:r w:rsidR="0098373B">
        <w:t xml:space="preserve">will be advised that if </w:t>
      </w:r>
      <w:r>
        <w:t>any discrepancies arise with the doses delivered on even one occasion which cannot be resolved, an alternative agent will need to be identified for the patient (likely the government-funded option below).</w:t>
      </w:r>
    </w:p>
    <w:p w14:paraId="6E76275A" w14:textId="77777777" w:rsidR="00206307" w:rsidRPr="00A57D1D" w:rsidRDefault="00206307" w:rsidP="001477F2">
      <w:pPr>
        <w:pStyle w:val="Heading4"/>
      </w:pPr>
      <w:r w:rsidRPr="001477F2">
        <w:rPr>
          <w:color w:val="2E7C80" w:themeColor="accent2" w:themeShade="80"/>
        </w:rPr>
        <w:t>Collection by a Government-funded third party</w:t>
      </w:r>
      <w:bookmarkEnd w:id="25"/>
      <w:bookmarkEnd w:id="26"/>
    </w:p>
    <w:p w14:paraId="45D09B4F" w14:textId="3A0484CD" w:rsidR="00206307" w:rsidRDefault="00206307" w:rsidP="00206307">
      <w:pPr>
        <w:pStyle w:val="BodyCopy"/>
      </w:pPr>
      <w:r>
        <w:t xml:space="preserve">ACT Health proposes that alternative third parties be made available to assist with OMT dose delivery. This will involve Directions Health Service (Directions) </w:t>
      </w:r>
      <w:r w:rsidR="00FB35BD">
        <w:t xml:space="preserve">being nominated as the patient’s agent, </w:t>
      </w:r>
      <w:r>
        <w:t>collecting the doses from the relevant pharmacy or clinic, and delivering it to the client’s address, accompanied by a second individual.</w:t>
      </w:r>
      <w:r w:rsidR="00417E3B">
        <w:t xml:space="preserve"> The second individual is intended to be a plain clothe</w:t>
      </w:r>
      <w:r w:rsidR="00511D20">
        <w:t>d</w:t>
      </w:r>
      <w:r w:rsidR="00417E3B">
        <w:t xml:space="preserve"> security officer. </w:t>
      </w:r>
      <w:r>
        <w:t xml:space="preserve"> </w:t>
      </w:r>
    </w:p>
    <w:p w14:paraId="6EE30A07" w14:textId="77777777" w:rsidR="00206307" w:rsidRDefault="00206307" w:rsidP="00206307">
      <w:pPr>
        <w:pStyle w:val="BodyCopy"/>
      </w:pPr>
      <w:r>
        <w:t>The Directions staff member will be subject to the same process as an agent when collecting doses (providing identification and signing for specific number of doses for individual clients).</w:t>
      </w:r>
    </w:p>
    <w:p w14:paraId="4ABFD4B7" w14:textId="514D9496" w:rsidR="005907B3" w:rsidRDefault="00206307" w:rsidP="005907B3">
      <w:pPr>
        <w:pStyle w:val="BodyCopy"/>
      </w:pPr>
      <w:r>
        <w:t xml:space="preserve">Agents will need to leave the OMT at </w:t>
      </w:r>
      <w:r w:rsidR="002541AE">
        <w:t xml:space="preserve">the </w:t>
      </w:r>
      <w:r>
        <w:t>door of</w:t>
      </w:r>
      <w:r w:rsidR="0098373B">
        <w:t xml:space="preserve"> the</w:t>
      </w:r>
      <w:r>
        <w:t xml:space="preserve"> isolated</w:t>
      </w:r>
      <w:r w:rsidR="0098373B">
        <w:t xml:space="preserve"> patient</w:t>
      </w:r>
      <w:r>
        <w:t xml:space="preserve"> and step back at least </w:t>
      </w:r>
      <w:r w:rsidR="005907B3">
        <w:t>2</w:t>
      </w:r>
      <w:r w:rsidR="004C3A1A">
        <w:t> </w:t>
      </w:r>
      <w:r>
        <w:t>m</w:t>
      </w:r>
      <w:r w:rsidR="004C3A1A">
        <w:t>etres</w:t>
      </w:r>
      <w:r>
        <w:t xml:space="preserve"> while it is collected by the patient. </w:t>
      </w:r>
      <w:r w:rsidR="00AD46B9">
        <w:t xml:space="preserve">Agents should call the patient to communicate their medication is at the door. Agents should confirm the patient name. </w:t>
      </w:r>
      <w:r>
        <w:t>Agents must not leave doses unattended at any time. Should the patient not answer the door, agents should contact the pharmacy immediately, and return the doses to them.</w:t>
      </w:r>
      <w:r w:rsidR="00AD46B9">
        <w:t xml:space="preserve"> </w:t>
      </w:r>
      <w:r w:rsidR="005907B3">
        <w:t>A record of doses returned will need to be made at the pharmacy or clinic.</w:t>
      </w:r>
    </w:p>
    <w:p w14:paraId="252FFB12" w14:textId="1365E736" w:rsidR="00206307" w:rsidRDefault="00206307" w:rsidP="00206307">
      <w:pPr>
        <w:pStyle w:val="BodyCopy"/>
      </w:pPr>
      <w:r>
        <w:t>The Directions staff member and the second individual will deliver the doses</w:t>
      </w:r>
      <w:r w:rsidR="00FB35BD">
        <w:t>.</w:t>
      </w:r>
      <w:r>
        <w:t xml:space="preserve"> Both will sign documentation stating the number of doses that were delivered, </w:t>
      </w:r>
      <w:r w:rsidR="00AD46B9">
        <w:t>confirm</w:t>
      </w:r>
      <w:r w:rsidR="005907B3">
        <w:t>ed</w:t>
      </w:r>
      <w:r w:rsidR="00AD46B9">
        <w:t xml:space="preserve"> the patient name </w:t>
      </w:r>
      <w:r>
        <w:t>and that they sighted them being taken into the appropriate premise.</w:t>
      </w:r>
    </w:p>
    <w:p w14:paraId="0F41539A" w14:textId="6A193FAE" w:rsidR="00417E3B" w:rsidRPr="00A57D1D" w:rsidRDefault="00417E3B" w:rsidP="00417E3B">
      <w:pPr>
        <w:pStyle w:val="Heading4"/>
      </w:pPr>
      <w:r>
        <w:rPr>
          <w:color w:val="2E7C80" w:themeColor="accent2" w:themeShade="80"/>
        </w:rPr>
        <w:t>Delivery to patients in residential rehabilitation</w:t>
      </w:r>
    </w:p>
    <w:p w14:paraId="7A93B2DA" w14:textId="5D42321F" w:rsidR="00417E3B" w:rsidRDefault="00417E3B" w:rsidP="00206307">
      <w:pPr>
        <w:pStyle w:val="BodyCopy"/>
      </w:pPr>
      <w:r>
        <w:t>If a patient is currently a resident at a reh</w:t>
      </w:r>
      <w:r w:rsidR="00BC4C1A">
        <w:t>a</w:t>
      </w:r>
      <w:r>
        <w:t>bilitation facility or other therapeutic community, engagement directly with the facility is also required. Some facilities have capacity for their staff to act as the patient’s agent. In this case the relevant facility is nominated as the patient’s agent. Should the facility not have capacity, Directions Health Service is able to provide delivery to residential reh</w:t>
      </w:r>
      <w:r w:rsidR="00BC4C1A">
        <w:t>a</w:t>
      </w:r>
      <w:r>
        <w:t>bilitation providers.</w:t>
      </w:r>
    </w:p>
    <w:p w14:paraId="117D1713" w14:textId="3100D8A6" w:rsidR="00206307" w:rsidRDefault="00206307" w:rsidP="00206307">
      <w:pPr>
        <w:pStyle w:val="Heading1"/>
      </w:pPr>
      <w:bookmarkStart w:id="27" w:name="_Toc36058421"/>
      <w:r>
        <w:t>Risk Identification</w:t>
      </w:r>
      <w:bookmarkEnd w:id="27"/>
    </w:p>
    <w:p w14:paraId="7BC9D0C5" w14:textId="6757EA95" w:rsidR="00206307" w:rsidRDefault="00206307" w:rsidP="00206307">
      <w:pPr>
        <w:pStyle w:val="BodyCopy"/>
      </w:pPr>
      <w:r>
        <w:t>Any alternative OMT arrangements carry risks.</w:t>
      </w:r>
      <w:r w:rsidR="0098373B">
        <w:t xml:space="preserve"> </w:t>
      </w:r>
      <w:r>
        <w:t xml:space="preserve">With increased unsupervised doses available in the community, the potential for both diversion and accidental overdose by patients and third parties increases. </w:t>
      </w:r>
      <w:r w:rsidR="00BC4C1A">
        <w:t xml:space="preserve">Ensuring </w:t>
      </w:r>
      <w:r>
        <w:t>access to naloxone is recommended</w:t>
      </w:r>
      <w:r w:rsidR="00026FE2">
        <w:t>, particularly for clients using methadone</w:t>
      </w:r>
      <w:r>
        <w:t>.</w:t>
      </w:r>
    </w:p>
    <w:p w14:paraId="59567E1E" w14:textId="0F05C50E" w:rsidR="004C3A1A" w:rsidRDefault="004C3A1A" w:rsidP="00206307">
      <w:pPr>
        <w:pStyle w:val="BodyCopy"/>
      </w:pPr>
      <w:r>
        <w:t xml:space="preserve">Should </w:t>
      </w:r>
      <w:r w:rsidR="0098373B">
        <w:t>patients</w:t>
      </w:r>
      <w:r>
        <w:t xml:space="preserve"> need training materials regarding take home naloxone, or experience financial difficulty preventing their access to it, they can be referred to the Canberra Alliance for Harm Minimisation and Advocacy (CAHMA) on 02 6253 3643</w:t>
      </w:r>
      <w:r w:rsidR="00457E8F">
        <w:t>.</w:t>
      </w:r>
    </w:p>
    <w:p w14:paraId="7D5CC53D" w14:textId="34D946FD" w:rsidR="00457E8F" w:rsidRDefault="00457E8F" w:rsidP="00457E8F">
      <w:pPr>
        <w:pStyle w:val="BodyCopy"/>
      </w:pPr>
      <w:r>
        <w:t>For patients who nominate Directions Health Services as their agent, the Directions staff member can provide the Naloxone and training materials on how to use it.</w:t>
      </w:r>
    </w:p>
    <w:p w14:paraId="085B1639" w14:textId="67BC6931" w:rsidR="00206307" w:rsidRDefault="00206307" w:rsidP="00206307">
      <w:pPr>
        <w:pStyle w:val="BodyCopy"/>
      </w:pPr>
      <w:r>
        <w:lastRenderedPageBreak/>
        <w:t>For patients receiving unsupervised doses for the first time, it is recommended they are provided with advice on safe storage in the home</w:t>
      </w:r>
      <w:r w:rsidR="0098373B">
        <w:t xml:space="preserve"> and </w:t>
      </w:r>
      <w:r w:rsidR="004C3A1A">
        <w:t>appropriate</w:t>
      </w:r>
      <w:r w:rsidR="00365A11">
        <w:t xml:space="preserve"> clinical</w:t>
      </w:r>
      <w:r w:rsidR="004C3A1A">
        <w:t xml:space="preserve"> </w:t>
      </w:r>
      <w:r w:rsidR="0098373B">
        <w:t>judgements</w:t>
      </w:r>
      <w:r w:rsidR="004C3A1A">
        <w:t xml:space="preserve"> </w:t>
      </w:r>
      <w:r w:rsidR="00365A11">
        <w:t xml:space="preserve">are </w:t>
      </w:r>
      <w:r w:rsidR="004C3A1A">
        <w:t xml:space="preserve">made regarding </w:t>
      </w:r>
      <w:r w:rsidR="00365A11">
        <w:t xml:space="preserve">whether </w:t>
      </w:r>
      <w:r w:rsidR="004C3A1A">
        <w:t>dose volume expansion</w:t>
      </w:r>
      <w:r w:rsidR="00365A11">
        <w:t xml:space="preserve"> </w:t>
      </w:r>
      <w:r w:rsidR="001757F7">
        <w:t xml:space="preserve">of up to 200mL </w:t>
      </w:r>
      <w:r w:rsidR="00365A11">
        <w:t>is required</w:t>
      </w:r>
      <w:r>
        <w:t>.</w:t>
      </w:r>
      <w:r w:rsidR="00511D20">
        <w:t xml:space="preserve"> </w:t>
      </w:r>
    </w:p>
    <w:p w14:paraId="61ABD023" w14:textId="209FF9D7" w:rsidR="008D5220" w:rsidRDefault="00206307" w:rsidP="008D5220">
      <w:pPr>
        <w:pStyle w:val="BodyCopy"/>
      </w:pPr>
      <w:r>
        <w:t xml:space="preserve">All alternative arrangements are still subject to the professional judgement of the prescriber, particularly when considering requests for increased limits of unsupervised doses. </w:t>
      </w:r>
      <w:r w:rsidR="00326D54">
        <w:t>T</w:t>
      </w:r>
      <w:r w:rsidR="00511D20">
        <w:t xml:space="preserve">he prescriber must conduct a stability assessment of the client using the </w:t>
      </w:r>
      <w:hyperlink r:id="rId25" w:history="1">
        <w:r w:rsidR="00511D20" w:rsidRPr="00EC59C4">
          <w:rPr>
            <w:rStyle w:val="Hyperlink"/>
          </w:rPr>
          <w:t>Client Stability Assessment Form</w:t>
        </w:r>
      </w:hyperlink>
      <w:r w:rsidR="00326D54">
        <w:t>.</w:t>
      </w:r>
      <w:r w:rsidR="00511D20">
        <w:t xml:space="preserve"> </w:t>
      </w:r>
      <w:r>
        <w:t xml:space="preserve">Clinical judgement or telehealth follow-up </w:t>
      </w:r>
      <w:r w:rsidR="00D0704B">
        <w:t>is essential</w:t>
      </w:r>
      <w:r>
        <w:t xml:space="preserve"> for patients with effectively two weeks of unsupervised dosing, who may have contracted COVID-19</w:t>
      </w:r>
      <w:r w:rsidR="00C4471B">
        <w:t>.</w:t>
      </w:r>
      <w:r w:rsidR="008D5220">
        <w:t xml:space="preserve"> It is noted that some of the risks are borne by the prescriber, with the COVID-19 pandemic creating circumstances where patients who would otherwise be assessed as not appropriate for unsupervised dosing need to have them prescribed.</w:t>
      </w:r>
    </w:p>
    <w:p w14:paraId="54CA1C86" w14:textId="37CDD9CA" w:rsidR="001757F7" w:rsidRDefault="001757F7" w:rsidP="001757F7">
      <w:pPr>
        <w:pStyle w:val="BodyCopy"/>
      </w:pPr>
      <w:r>
        <w:t>Where prescribers, pharmacists or nurses have specific concerns regarding a patient, they are encouraged to contact that patient in the hours following their dose. Additionally, dose increases are not recommended in the absence of face-to-face review and some supervised dosing. This acknowledges th</w:t>
      </w:r>
      <w:r w:rsidR="00CA5E36">
        <w:t>at</w:t>
      </w:r>
      <w:r>
        <w:t xml:space="preserve"> routine practice during OMT induction is not to prescribe unsupervised doses.</w:t>
      </w:r>
    </w:p>
    <w:p w14:paraId="34407CD5" w14:textId="68B529F4" w:rsidR="001757F7" w:rsidRDefault="001757F7" w:rsidP="008D5220">
      <w:pPr>
        <w:pStyle w:val="BodyCopy"/>
      </w:pPr>
    </w:p>
    <w:p w14:paraId="5DF4EF79" w14:textId="175CAB2E" w:rsidR="00A31F5A" w:rsidRDefault="00A31F5A" w:rsidP="00A31F5A">
      <w:pPr>
        <w:pStyle w:val="BodyCopy"/>
      </w:pPr>
    </w:p>
    <w:p w14:paraId="21C9B29C" w14:textId="5EDA4A6D" w:rsidR="00BD0472" w:rsidRDefault="00BD0472" w:rsidP="00BD0472">
      <w:pPr>
        <w:pStyle w:val="Heading1"/>
      </w:pPr>
      <w:bookmarkStart w:id="28" w:name="_Toc36058422"/>
      <w:r>
        <w:t>Process Review</w:t>
      </w:r>
    </w:p>
    <w:p w14:paraId="51D5C8DD" w14:textId="5CB1EAE7" w:rsidR="00BD0472" w:rsidRDefault="00BD0472" w:rsidP="00BD0472">
      <w:pPr>
        <w:pStyle w:val="BodyCopy"/>
      </w:pPr>
      <w:r>
        <w:t>As with many contingency arrangements during the COVID-19 pandemic, the options for OMT delivery may need adjustment over time.</w:t>
      </w:r>
    </w:p>
    <w:p w14:paraId="308D78B6" w14:textId="33A48E96" w:rsidR="00BD0472" w:rsidRDefault="00BD0472" w:rsidP="00BD0472">
      <w:pPr>
        <w:pStyle w:val="BodyCopy"/>
      </w:pPr>
      <w:r>
        <w:t xml:space="preserve">Should you have any concerns or suggestions for improvement regarding this document, or the OMT provision contingency process, please email </w:t>
      </w:r>
      <w:hyperlink r:id="rId26" w:history="1">
        <w:r w:rsidR="001757F7" w:rsidRPr="00377616">
          <w:rPr>
            <w:rStyle w:val="Hyperlink"/>
          </w:rPr>
          <w:t>AODPolicy@act.gov.au</w:t>
        </w:r>
      </w:hyperlink>
    </w:p>
    <w:p w14:paraId="4AFEE16A" w14:textId="71222097" w:rsidR="001757F7" w:rsidRDefault="001757F7" w:rsidP="00BD0472">
      <w:pPr>
        <w:pStyle w:val="BodyCopy"/>
      </w:pPr>
      <w:r>
        <w:t>These arrangements will continue to apply to individuals who test positive to COVID-19 or have direct contact with a suspected COVID-19 case, however the arrangements for other individuals</w:t>
      </w:r>
      <w:r w:rsidR="00220B8B">
        <w:t>,</w:t>
      </w:r>
      <w:r>
        <w:t xml:space="preserve"> particularly regarding physical distancing</w:t>
      </w:r>
      <w:r w:rsidR="00220B8B">
        <w:t>,</w:t>
      </w:r>
      <w:r>
        <w:t xml:space="preserve"> </w:t>
      </w:r>
      <w:r w:rsidR="00220B8B">
        <w:t>are</w:t>
      </w:r>
      <w:r>
        <w:t xml:space="preserve"> intended to cease when </w:t>
      </w:r>
      <w:r w:rsidR="008C5DB8">
        <w:t>the Government-declared public health emergency is lifted</w:t>
      </w:r>
      <w:r>
        <w:t>.</w:t>
      </w:r>
    </w:p>
    <w:p w14:paraId="05E848A9" w14:textId="77777777" w:rsidR="001757F7" w:rsidRDefault="001757F7" w:rsidP="00BD0472">
      <w:pPr>
        <w:pStyle w:val="BodyCopy"/>
      </w:pPr>
    </w:p>
    <w:p w14:paraId="23329227" w14:textId="77777777" w:rsidR="008C5DB8" w:rsidRDefault="008C5DB8">
      <w:pPr>
        <w:spacing w:after="0" w:line="240" w:lineRule="auto"/>
        <w:rPr>
          <w:rFonts w:ascii="Arial" w:eastAsia="Times New Roman" w:hAnsi="Arial" w:cs="Arial"/>
          <w:color w:val="002677" w:themeColor="accent1"/>
          <w:sz w:val="48"/>
          <w:szCs w:val="48"/>
        </w:rPr>
      </w:pPr>
      <w:r>
        <w:br w:type="page"/>
      </w:r>
    </w:p>
    <w:p w14:paraId="5865DB8E" w14:textId="45492C3A" w:rsidR="00206307" w:rsidRDefault="00206307" w:rsidP="00206307">
      <w:pPr>
        <w:pStyle w:val="Heading1"/>
      </w:pPr>
      <w:r w:rsidRPr="007F0A2B">
        <w:lastRenderedPageBreak/>
        <w:t>Additional Resources</w:t>
      </w:r>
      <w:bookmarkEnd w:id="28"/>
    </w:p>
    <w:p w14:paraId="692B888A" w14:textId="0F8825C6" w:rsidR="00A31F5A" w:rsidRDefault="00A31F5A" w:rsidP="00A31F5A">
      <w:pPr>
        <w:pStyle w:val="Heading3"/>
      </w:pPr>
      <w:bookmarkStart w:id="29" w:name="_Toc36058423"/>
      <w:r>
        <w:t>Commonwealth Government</w:t>
      </w:r>
      <w:bookmarkEnd w:id="29"/>
      <w:r>
        <w:t xml:space="preserve"> </w:t>
      </w:r>
      <w:r w:rsidR="0098373B">
        <w:t xml:space="preserve">– Department of Health </w:t>
      </w:r>
    </w:p>
    <w:p w14:paraId="1EB5AC81" w14:textId="3FF1DDAA" w:rsidR="00027A9F" w:rsidRDefault="00A31F5A" w:rsidP="00A31F5A">
      <w:r>
        <w:t xml:space="preserve">Website: </w:t>
      </w:r>
      <w:hyperlink r:id="rId27" w:history="1">
        <w:r w:rsidR="00027A9F" w:rsidRPr="00915315">
          <w:rPr>
            <w:rStyle w:val="Hyperlink"/>
          </w:rPr>
          <w:t>https://www.health.gov.au/news/health-alerts/novel-coronavirus-2019-ncov-health-alert</w:t>
        </w:r>
      </w:hyperlink>
    </w:p>
    <w:p w14:paraId="6D80CEFE" w14:textId="4A56E1C5" w:rsidR="00A31F5A" w:rsidRDefault="00A31F5A" w:rsidP="00A31F5A">
      <w:r>
        <w:t xml:space="preserve">Facebook: </w:t>
      </w:r>
      <w:hyperlink r:id="rId28" w:history="1">
        <w:r w:rsidR="00027A9F" w:rsidRPr="00915315">
          <w:rPr>
            <w:rStyle w:val="Hyperlink"/>
          </w:rPr>
          <w:t>https://www.facebook.com/healthgovau</w:t>
        </w:r>
      </w:hyperlink>
    </w:p>
    <w:p w14:paraId="11FB1124" w14:textId="247043E3" w:rsidR="0098373B" w:rsidRDefault="0098373B" w:rsidP="0098373B">
      <w:pPr>
        <w:pStyle w:val="Heading3"/>
      </w:pPr>
      <w:r>
        <w:t xml:space="preserve">ACT Government COVID-19 </w:t>
      </w:r>
    </w:p>
    <w:p w14:paraId="1CA35827" w14:textId="77777777" w:rsidR="0098373B" w:rsidRDefault="0098373B" w:rsidP="0098373B">
      <w:r>
        <w:t xml:space="preserve">Website: </w:t>
      </w:r>
      <w:hyperlink r:id="rId29" w:history="1">
        <w:r w:rsidRPr="00F55DBE">
          <w:rPr>
            <w:rStyle w:val="Hyperlink"/>
          </w:rPr>
          <w:t>https://www.covid19.act.gov.au/</w:t>
        </w:r>
      </w:hyperlink>
    </w:p>
    <w:p w14:paraId="788E6BB1" w14:textId="4179946E" w:rsidR="0098373B" w:rsidRPr="00782AC2" w:rsidRDefault="0098373B" w:rsidP="00782AC2">
      <w:r>
        <w:t xml:space="preserve">Facebook: </w:t>
      </w:r>
      <w:hyperlink r:id="rId30" w:history="1">
        <w:r w:rsidRPr="00915315">
          <w:rPr>
            <w:rStyle w:val="Hyperlink"/>
          </w:rPr>
          <w:t>https://www.facebook.com/ACTHealthDirectorate/</w:t>
        </w:r>
      </w:hyperlink>
      <w:r>
        <w:t xml:space="preserve"> </w:t>
      </w:r>
    </w:p>
    <w:p w14:paraId="2752E951" w14:textId="77777777" w:rsidR="008964F4" w:rsidRDefault="00206307" w:rsidP="008964F4">
      <w:pPr>
        <w:pStyle w:val="Heading3"/>
      </w:pPr>
      <w:bookmarkStart w:id="30" w:name="_Toc36058427"/>
      <w:r w:rsidRPr="00C4471B">
        <w:t>Pharmaceutical Services Approval by Drug</w:t>
      </w:r>
      <w:r w:rsidR="00C4471B">
        <w:t xml:space="preserve">: </w:t>
      </w:r>
      <w:hyperlink r:id="rId31" w:history="1">
        <w:r w:rsidR="00C4471B" w:rsidRPr="00C4471B">
          <w:rPr>
            <w:rStyle w:val="Hyperlink"/>
            <w:rFonts w:ascii="Calibri" w:eastAsia="Calibri" w:hAnsi="Calibri" w:cs="Times New Roman"/>
            <w:bCs w:val="0"/>
            <w:iCs w:val="0"/>
            <w:sz w:val="22"/>
            <w:szCs w:val="22"/>
          </w:rPr>
          <w:t>https://www.health.act.gov.au/sites/default/files/2020-02/Medicines%20and%20Poisons%20-%20Application%20for%20approval%20to%20prescribe%20a%20controlled%20medicine.pdf</w:t>
        </w:r>
        <w:bookmarkEnd w:id="30"/>
      </w:hyperlink>
      <w:r w:rsidR="00C4471B">
        <w:t xml:space="preserve"> </w:t>
      </w:r>
      <w:bookmarkEnd w:id="5"/>
    </w:p>
    <w:p w14:paraId="144A2E3A" w14:textId="77777777" w:rsidR="008964F4" w:rsidRDefault="008964F4" w:rsidP="008964F4">
      <w:pPr>
        <w:pStyle w:val="Heading3"/>
      </w:pPr>
    </w:p>
    <w:p w14:paraId="21DF4AF3" w14:textId="77777777" w:rsidR="008964F4" w:rsidRDefault="008964F4" w:rsidP="008964F4">
      <w:pPr>
        <w:pStyle w:val="Heading3"/>
      </w:pPr>
    </w:p>
    <w:p w14:paraId="7002CC9C" w14:textId="77777777" w:rsidR="008964F4" w:rsidRDefault="008964F4" w:rsidP="008964F4">
      <w:pPr>
        <w:pStyle w:val="Heading3"/>
      </w:pPr>
    </w:p>
    <w:p w14:paraId="1006E214" w14:textId="77777777" w:rsidR="008964F4" w:rsidRDefault="008964F4" w:rsidP="008964F4">
      <w:pPr>
        <w:pStyle w:val="Heading3"/>
      </w:pPr>
    </w:p>
    <w:p w14:paraId="0F61A5FB" w14:textId="77777777" w:rsidR="008964F4" w:rsidRDefault="008964F4" w:rsidP="008964F4">
      <w:pPr>
        <w:pStyle w:val="Heading3"/>
      </w:pPr>
    </w:p>
    <w:p w14:paraId="38B4CE7C" w14:textId="77777777" w:rsidR="008964F4" w:rsidRDefault="008964F4" w:rsidP="008964F4">
      <w:pPr>
        <w:pStyle w:val="Heading3"/>
      </w:pPr>
    </w:p>
    <w:p w14:paraId="6CE30172" w14:textId="0B622A11" w:rsidR="008964F4" w:rsidRPr="008964F4" w:rsidRDefault="008964F4" w:rsidP="008964F4">
      <w:pPr>
        <w:pStyle w:val="Heading3"/>
        <w:rPr>
          <w:rStyle w:val="AccessibilityLgtext"/>
          <w:color w:val="2E7C80" w:themeColor="accent2" w:themeShade="80"/>
          <w:sz w:val="32"/>
          <w:szCs w:val="32"/>
        </w:rPr>
      </w:pPr>
      <w:r>
        <w:rPr>
          <w:rStyle w:val="AccessibilityLgtext"/>
        </w:rPr>
        <w:t>A</w:t>
      </w:r>
      <w:r w:rsidRPr="0069388D">
        <w:rPr>
          <w:rStyle w:val="AccessibilityLgtext"/>
        </w:rPr>
        <w:t>CKNOWLEDGMENT OF COUNTRY</w:t>
      </w:r>
    </w:p>
    <w:p w14:paraId="22B4C7C3" w14:textId="587D2216" w:rsidR="006C4E7E" w:rsidRDefault="008964F4" w:rsidP="008964F4">
      <w:pPr>
        <w:pStyle w:val="Accessibilitytext"/>
      </w:pPr>
      <w:r>
        <w:t>ACT Health acknowledges the Traditional Custodians of the land, the Ngunnawal people. ACT Health respects their continuing culture and connections to the land and the unique contributions they make to the life of this area. ACT Health also acknowledges and welcomes Aboriginal and Torres Strait Islander peoples who are part of the community we serve</w:t>
      </w:r>
      <w:r w:rsidR="007A49E2">
        <w:t>.</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6C4E7E" w:rsidRPr="00070593" w14:paraId="22B4C7C5" w14:textId="77777777" w:rsidTr="00D96ACC">
        <w:trPr>
          <w:trHeight w:val="308"/>
        </w:trPr>
        <w:tc>
          <w:tcPr>
            <w:tcW w:w="9115" w:type="dxa"/>
            <w:gridSpan w:val="2"/>
            <w:shd w:val="clear" w:color="auto" w:fill="CECECE" w:themeFill="text1" w:themeFillTint="40"/>
            <w:vAlign w:val="center"/>
          </w:tcPr>
          <w:p w14:paraId="22B4C7C4" w14:textId="77777777" w:rsidR="006C4E7E" w:rsidRPr="00B86B08" w:rsidRDefault="00D96ACC" w:rsidP="006C4E7E">
            <w:pPr>
              <w:spacing w:after="0" w:line="240" w:lineRule="auto"/>
              <w:rPr>
                <w:rStyle w:val="AccessibilityLgtext"/>
                <w:b/>
              </w:rPr>
            </w:pPr>
            <w:r w:rsidRPr="00B86B08">
              <w:rPr>
                <w:rStyle w:val="AccessibilityLgtext"/>
                <w:b/>
              </w:rPr>
              <w:t>ACCESSIBILITY</w:t>
            </w:r>
          </w:p>
        </w:tc>
      </w:tr>
      <w:tr w:rsidR="006C4E7E" w:rsidRPr="00070593" w14:paraId="22B4C7C7" w14:textId="77777777" w:rsidTr="006C4E7E">
        <w:tc>
          <w:tcPr>
            <w:tcW w:w="9115" w:type="dxa"/>
            <w:gridSpan w:val="2"/>
            <w:shd w:val="clear" w:color="auto" w:fill="F2F2F2"/>
          </w:tcPr>
          <w:p w14:paraId="22B4C7C6" w14:textId="77777777" w:rsidR="006C4E7E" w:rsidRPr="00D96ACC" w:rsidRDefault="006C4E7E" w:rsidP="00D96ACC">
            <w:pPr>
              <w:pStyle w:val="Accessibilitytext"/>
              <w:rPr>
                <w:rStyle w:val="AccessibilityLgtext"/>
              </w:rPr>
            </w:pPr>
            <w:r w:rsidRPr="00D96ACC">
              <w:rPr>
                <w:rStyle w:val="AccessibilityLgtext"/>
              </w:rPr>
              <w:t xml:space="preserve">If you have difficulty reading a standard printed document and would like an alternative format, please phone 13 22 81. </w:t>
            </w:r>
          </w:p>
        </w:tc>
      </w:tr>
      <w:tr w:rsidR="006C4E7E" w:rsidRPr="00070593" w14:paraId="22B4C7CB" w14:textId="77777777" w:rsidTr="006C4E7E">
        <w:tc>
          <w:tcPr>
            <w:tcW w:w="827" w:type="dxa"/>
          </w:tcPr>
          <w:p w14:paraId="22B4C7C8" w14:textId="77777777" w:rsidR="006C4E7E" w:rsidRPr="00AD628A" w:rsidRDefault="006C4E7E" w:rsidP="00D96ACC">
            <w:pPr>
              <w:pStyle w:val="Accessibilitytext"/>
            </w:pPr>
            <w:r w:rsidRPr="00AD628A">
              <w:rPr>
                <w:noProof/>
                <w:lang w:val="en-AU" w:eastAsia="en-AU"/>
              </w:rPr>
              <w:drawing>
                <wp:inline distT="0" distB="0" distL="0" distR="0" wp14:anchorId="22B4C7DF" wp14:editId="22B4C7E0">
                  <wp:extent cx="457200" cy="457200"/>
                  <wp:effectExtent l="19050" t="0" r="0" b="0"/>
                  <wp:docPr id="3" name="Picture 0" descr="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3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8288" w:type="dxa"/>
            <w:shd w:val="clear" w:color="auto" w:fill="F2F2F2"/>
          </w:tcPr>
          <w:p w14:paraId="22B4C7C9" w14:textId="77777777" w:rsidR="006C4E7E" w:rsidRPr="00D96ACC" w:rsidRDefault="006C4E7E" w:rsidP="00D96ACC">
            <w:pPr>
              <w:pStyle w:val="Accessibilitytext"/>
              <w:rPr>
                <w:sz w:val="16"/>
                <w:szCs w:val="16"/>
              </w:rPr>
            </w:pPr>
            <w:r w:rsidRPr="00D96ACC">
              <w:rPr>
                <w:sz w:val="16"/>
                <w:szCs w:val="16"/>
              </w:rPr>
              <w:t xml:space="preserve">If English is not your first language and you need the Translating and Interpreting Service (TIS), </w:t>
            </w:r>
            <w:r w:rsidRPr="00D96ACC">
              <w:rPr>
                <w:sz w:val="16"/>
                <w:szCs w:val="16"/>
              </w:rPr>
              <w:br/>
              <w:t>please call 13 14 50.</w:t>
            </w:r>
          </w:p>
          <w:p w14:paraId="22B4C7CA" w14:textId="77777777" w:rsidR="006C4E7E" w:rsidRPr="00AD628A" w:rsidRDefault="006C4E7E" w:rsidP="00D96ACC">
            <w:pPr>
              <w:pStyle w:val="Accessibilitytext"/>
            </w:pPr>
            <w:r w:rsidRPr="00AD628A">
              <w:t>For further accessibility information, visit: www.health.act.gov.au/accessibility</w:t>
            </w:r>
          </w:p>
        </w:tc>
      </w:tr>
      <w:tr w:rsidR="006C4E7E" w:rsidRPr="00070593" w14:paraId="22B4C7CD" w14:textId="77777777" w:rsidTr="006C4E7E">
        <w:tc>
          <w:tcPr>
            <w:tcW w:w="9115" w:type="dxa"/>
            <w:gridSpan w:val="2"/>
            <w:shd w:val="clear" w:color="auto" w:fill="F2F2F2"/>
          </w:tcPr>
          <w:p w14:paraId="22B4C7CC" w14:textId="2D56C8C6" w:rsidR="006C4E7E" w:rsidRPr="00AD628A" w:rsidRDefault="006C4E7E" w:rsidP="00D96ACC">
            <w:pPr>
              <w:pStyle w:val="Accessibilitytext"/>
            </w:pPr>
            <w:r w:rsidRPr="00AD628A">
              <w:t xml:space="preserve">www.health.act.gov.au | Phone: 132281 </w:t>
            </w:r>
          </w:p>
        </w:tc>
      </w:tr>
      <w:tr w:rsidR="006C4E7E" w:rsidRPr="00070593" w14:paraId="22B4C7CF" w14:textId="77777777" w:rsidTr="006C4E7E">
        <w:tc>
          <w:tcPr>
            <w:tcW w:w="9115" w:type="dxa"/>
            <w:gridSpan w:val="2"/>
            <w:shd w:val="clear" w:color="auto" w:fill="F2F2F2"/>
          </w:tcPr>
          <w:p w14:paraId="22B4C7CE" w14:textId="0E52A186" w:rsidR="006C4E7E" w:rsidRPr="00AD628A" w:rsidRDefault="006C4E7E" w:rsidP="00D96ACC">
            <w:pPr>
              <w:pStyle w:val="Accessibilitytext"/>
            </w:pPr>
            <w:r w:rsidRPr="00AD628A">
              <w:t xml:space="preserve">© Australian Capital Territory, Canberra </w:t>
            </w:r>
            <w:r w:rsidR="00CC6D19">
              <w:t>April 2020</w:t>
            </w:r>
          </w:p>
        </w:tc>
      </w:tr>
    </w:tbl>
    <w:p w14:paraId="22B4C7D0" w14:textId="77777777" w:rsidR="006C4E7E" w:rsidRPr="007B6F78" w:rsidRDefault="006C4E7E" w:rsidP="007A49E2"/>
    <w:sectPr w:rsidR="006C4E7E" w:rsidRPr="007B6F78" w:rsidSect="00EA4041">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C7E3" w14:textId="77777777" w:rsidR="003B679A" w:rsidRDefault="003B679A" w:rsidP="00225769">
      <w:pPr>
        <w:spacing w:after="0" w:line="240" w:lineRule="auto"/>
      </w:pPr>
      <w:r>
        <w:separator/>
      </w:r>
    </w:p>
  </w:endnote>
  <w:endnote w:type="continuationSeparator" w:id="0">
    <w:p w14:paraId="22B4C7E4" w14:textId="77777777" w:rsidR="003B679A" w:rsidRDefault="003B679A"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A6A1" w14:textId="77777777" w:rsidR="000F25FA" w:rsidRDefault="000F2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DF57" w14:textId="6890D0CA" w:rsidR="006165C1" w:rsidRPr="000F25FA" w:rsidRDefault="000F25FA" w:rsidP="000F25FA">
    <w:pPr>
      <w:tabs>
        <w:tab w:val="left" w:pos="4320"/>
      </w:tabs>
      <w:spacing w:after="0" w:line="240" w:lineRule="auto"/>
      <w:jc w:val="center"/>
      <w:rPr>
        <w:rFonts w:ascii="Arial" w:eastAsia="Times New Roman" w:hAnsi="Arial" w:cs="Arial"/>
        <w:sz w:val="14"/>
        <w:szCs w:val="10"/>
      </w:rPr>
    </w:pPr>
    <w:r w:rsidRPr="000F25FA">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29A2" w14:textId="77777777" w:rsidR="000F25FA" w:rsidRDefault="000F2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904685"/>
      <w:docPartObj>
        <w:docPartGallery w:val="Page Numbers (Bottom of Page)"/>
        <w:docPartUnique/>
      </w:docPartObj>
    </w:sdtPr>
    <w:sdtEndPr>
      <w:rPr>
        <w:noProof/>
      </w:rPr>
    </w:sdtEndPr>
    <w:sdtContent>
      <w:p w14:paraId="6E86870E" w14:textId="34B7BFB4" w:rsidR="00F41170" w:rsidRDefault="00F411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80B6A" w14:textId="16A6C448" w:rsidR="00F41170" w:rsidRPr="000F25FA" w:rsidRDefault="000F25FA" w:rsidP="000F25FA">
    <w:pPr>
      <w:pStyle w:val="Footer"/>
      <w:jc w:val="center"/>
      <w:rPr>
        <w:rFonts w:ascii="Arial" w:hAnsi="Arial" w:cs="Arial"/>
        <w:sz w:val="14"/>
        <w:szCs w:val="14"/>
      </w:rPr>
    </w:pPr>
    <w:r w:rsidRPr="000F25FA">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A34F" w14:textId="7B0A4052" w:rsidR="003B679A" w:rsidRPr="00206307" w:rsidRDefault="003B679A" w:rsidP="00206307">
    <w:pPr>
      <w:pStyle w:val="DocumentTitle"/>
      <w:rPr>
        <w:rFonts w:asciiTheme="minorHAnsi" w:hAnsiTheme="minorHAnsi" w:cstheme="minorHAnsi"/>
        <w:color w:val="auto"/>
        <w:sz w:val="16"/>
        <w:szCs w:val="16"/>
      </w:rPr>
    </w:pPr>
    <w:r w:rsidRPr="00206307">
      <w:rPr>
        <w:rFonts w:asciiTheme="minorHAnsi" w:hAnsiTheme="minorHAnsi" w:cstheme="minorHAnsi"/>
        <w:color w:val="auto"/>
        <w:sz w:val="16"/>
        <w:szCs w:val="16"/>
      </w:rPr>
      <w:t xml:space="preserve">Contingency Planning Guidelines: For Individuals using Opioid Maintenance Treatment (OMT) and Individuals Who Use Drugs During COVID-19 Response </w:t>
    </w:r>
  </w:p>
  <w:p w14:paraId="22B4C7E8" w14:textId="47831A22" w:rsidR="003B679A" w:rsidRDefault="003B679A" w:rsidP="0082586A">
    <w:pPr>
      <w:pStyle w:val="pagenumbers"/>
      <w:rPr>
        <w:rFonts w:asciiTheme="minorHAnsi" w:hAnsiTheme="minorHAnsi" w:cstheme="minorHAnsi"/>
        <w:noProof/>
        <w:lang w:eastAsia="en-AU"/>
      </w:rPr>
    </w:pPr>
    <w:r w:rsidRPr="00206307">
      <w:rPr>
        <w:rFonts w:asciiTheme="minorHAnsi" w:hAnsiTheme="minorHAnsi" w:cstheme="minorHAnsi"/>
      </w:rPr>
      <w:tab/>
    </w:r>
    <w:r w:rsidRPr="00206307">
      <w:rPr>
        <w:rFonts w:asciiTheme="minorHAnsi" w:hAnsiTheme="minorHAnsi" w:cstheme="minorHAnsi"/>
      </w:rPr>
      <w:tab/>
    </w:r>
    <w:r w:rsidRPr="00206307">
      <w:rPr>
        <w:rFonts w:asciiTheme="minorHAnsi" w:hAnsiTheme="minorHAnsi" w:cstheme="minorHAnsi"/>
      </w:rPr>
      <w:fldChar w:fldCharType="begin"/>
    </w:r>
    <w:r w:rsidRPr="00206307">
      <w:rPr>
        <w:rFonts w:asciiTheme="minorHAnsi" w:hAnsiTheme="minorHAnsi" w:cstheme="minorHAnsi"/>
      </w:rPr>
      <w:instrText xml:space="preserve"> PAGE   \* MERGEFORMAT </w:instrText>
    </w:r>
    <w:r w:rsidRPr="00206307">
      <w:rPr>
        <w:rFonts w:asciiTheme="minorHAnsi" w:hAnsiTheme="minorHAnsi" w:cstheme="minorHAnsi"/>
      </w:rPr>
      <w:fldChar w:fldCharType="separate"/>
    </w:r>
    <w:r w:rsidRPr="00206307">
      <w:rPr>
        <w:rFonts w:asciiTheme="minorHAnsi" w:hAnsiTheme="minorHAnsi" w:cstheme="minorHAnsi"/>
        <w:noProof/>
      </w:rPr>
      <w:t>i</w:t>
    </w:r>
    <w:r w:rsidRPr="00206307">
      <w:rPr>
        <w:rFonts w:asciiTheme="minorHAnsi" w:hAnsiTheme="minorHAnsi" w:cstheme="minorHAnsi"/>
        <w:noProof/>
      </w:rPr>
      <w:fldChar w:fldCharType="end"/>
    </w:r>
    <w:r w:rsidRPr="00206307">
      <w:rPr>
        <w:rFonts w:asciiTheme="minorHAnsi" w:hAnsiTheme="minorHAnsi" w:cstheme="minorHAnsi"/>
        <w:noProof/>
        <w:lang w:eastAsia="en-AU"/>
      </w:rPr>
      <w:t xml:space="preserve"> </w:t>
    </w:r>
  </w:p>
  <w:p w14:paraId="0B8E65FE" w14:textId="305419EA" w:rsidR="00507C96" w:rsidRPr="000F25FA" w:rsidRDefault="000F25FA" w:rsidP="000F25FA">
    <w:pPr>
      <w:pStyle w:val="pagenumbers"/>
      <w:jc w:val="center"/>
      <w:rPr>
        <w:rFonts w:ascii="Arial" w:hAnsi="Arial" w:cs="Arial"/>
        <w:sz w:val="14"/>
        <w:szCs w:val="14"/>
      </w:rPr>
    </w:pPr>
    <w:r w:rsidRPr="000F25FA">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C7EA" w14:textId="2572F6DB" w:rsidR="003B679A" w:rsidRPr="000F25FA" w:rsidRDefault="000F25FA" w:rsidP="000F25FA">
    <w:pPr>
      <w:pStyle w:val="Footer"/>
      <w:jc w:val="center"/>
      <w:rPr>
        <w:rFonts w:ascii="Arial" w:hAnsi="Arial" w:cs="Arial"/>
        <w:sz w:val="14"/>
        <w:szCs w:val="14"/>
      </w:rPr>
    </w:pPr>
    <w:r w:rsidRPr="000F25FA">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4C7E1" w14:textId="77777777" w:rsidR="003B679A" w:rsidRDefault="003B679A" w:rsidP="00225769">
      <w:pPr>
        <w:spacing w:after="0" w:line="240" w:lineRule="auto"/>
      </w:pPr>
      <w:r>
        <w:separator/>
      </w:r>
    </w:p>
  </w:footnote>
  <w:footnote w:type="continuationSeparator" w:id="0">
    <w:p w14:paraId="22B4C7E2" w14:textId="77777777" w:rsidR="003B679A" w:rsidRDefault="003B679A" w:rsidP="00225769">
      <w:pPr>
        <w:spacing w:after="0" w:line="240" w:lineRule="auto"/>
      </w:pPr>
      <w:r>
        <w:continuationSeparator/>
      </w:r>
    </w:p>
  </w:footnote>
  <w:footnote w:id="1">
    <w:p w14:paraId="65A1D098" w14:textId="77777777" w:rsidR="003B679A" w:rsidRDefault="003B679A" w:rsidP="006175A7">
      <w:pPr>
        <w:pStyle w:val="FootnoteText"/>
      </w:pPr>
      <w:r>
        <w:rPr>
          <w:rStyle w:val="FootnoteReference"/>
        </w:rPr>
        <w:footnoteRef/>
      </w:r>
      <w:r>
        <w:t xml:space="preserve"> Sections 31, 40 and 41 Medicines, Poisons and Therapeutic Goods Regulation 2008.</w:t>
      </w:r>
    </w:p>
  </w:footnote>
  <w:footnote w:id="2">
    <w:p w14:paraId="3C1C10F1" w14:textId="4A2569C0" w:rsidR="003B679A" w:rsidRPr="00600F81" w:rsidRDefault="003B679A" w:rsidP="0098373B">
      <w:pPr>
        <w:pStyle w:val="FootnoteText"/>
        <w:rPr>
          <w:rStyle w:val="FootnoteReference"/>
        </w:rPr>
      </w:pPr>
      <w:r>
        <w:rPr>
          <w:rStyle w:val="FootnoteReference"/>
        </w:rPr>
        <w:footnoteRef/>
      </w:r>
      <w:r w:rsidRPr="00600F81">
        <w:rPr>
          <w:rStyle w:val="FootnoteReference"/>
        </w:rPr>
        <w:t xml:space="preserve"> Section 555 of Medicines Poisons and Therapeutic Goods Regulation 2008</w:t>
      </w:r>
    </w:p>
  </w:footnote>
  <w:footnote w:id="3">
    <w:p w14:paraId="53B02977" w14:textId="2A5DA64D" w:rsidR="003B679A" w:rsidRDefault="003B679A">
      <w:pPr>
        <w:pStyle w:val="FootnoteText"/>
      </w:pPr>
      <w:r>
        <w:rPr>
          <w:rStyle w:val="FootnoteReference"/>
        </w:rPr>
        <w:footnoteRef/>
      </w:r>
      <w:r>
        <w:t xml:space="preserve"> Section 557 of Medicines Poisons and Therapeutic Goods Regulation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6C1D" w14:textId="77777777" w:rsidR="000F25FA" w:rsidRDefault="000F2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BB91" w14:textId="77777777" w:rsidR="000F25FA" w:rsidRDefault="000F2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7635" w14:textId="77777777" w:rsidR="000F25FA" w:rsidRDefault="000F2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C2CB" w14:textId="77777777" w:rsidR="00F41170" w:rsidRDefault="00F41170" w:rsidP="009306ED">
    <w:pPr>
      <w:pStyle w:val="Header"/>
      <w:tabs>
        <w:tab w:val="clear" w:pos="4513"/>
        <w:tab w:val="clear" w:pos="9026"/>
        <w:tab w:val="left" w:pos="1612"/>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C7E6" w14:textId="72835DED" w:rsidR="003B679A" w:rsidRDefault="003B679A" w:rsidP="0082586A">
    <w:pPr>
      <w:pStyle w:val="pagenumbers"/>
    </w:pPr>
    <w:r>
      <w:tab/>
    </w:r>
  </w:p>
  <w:p w14:paraId="22B4C7E7" w14:textId="77777777" w:rsidR="003B679A" w:rsidRDefault="003B6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40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445F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6AAB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0C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E2FE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5095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7A48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4BB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5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82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587B"/>
    <w:multiLevelType w:val="hybridMultilevel"/>
    <w:tmpl w:val="EE5E4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FF574D"/>
    <w:multiLevelType w:val="hybridMultilevel"/>
    <w:tmpl w:val="D8EA0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B10404"/>
    <w:multiLevelType w:val="hybridMultilevel"/>
    <w:tmpl w:val="982A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D30189"/>
    <w:multiLevelType w:val="hybridMultilevel"/>
    <w:tmpl w:val="14AE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4E6FB2"/>
    <w:multiLevelType w:val="hybridMultilevel"/>
    <w:tmpl w:val="DC32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E62D98"/>
    <w:multiLevelType w:val="hybridMultilevel"/>
    <w:tmpl w:val="B9D4A7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13362BA9"/>
    <w:multiLevelType w:val="hybridMultilevel"/>
    <w:tmpl w:val="C6D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BC3AA8"/>
    <w:multiLevelType w:val="hybridMultilevel"/>
    <w:tmpl w:val="B58A0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805A2D"/>
    <w:multiLevelType w:val="hybridMultilevel"/>
    <w:tmpl w:val="B4B0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B047D8"/>
    <w:multiLevelType w:val="hybridMultilevel"/>
    <w:tmpl w:val="9C5E486C"/>
    <w:lvl w:ilvl="0" w:tplc="C8C4AF60">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0" w15:restartNumberingAfterBreak="0">
    <w:nsid w:val="1A572EC2"/>
    <w:multiLevelType w:val="hybridMultilevel"/>
    <w:tmpl w:val="05FC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B07841"/>
    <w:multiLevelType w:val="hybridMultilevel"/>
    <w:tmpl w:val="0F4C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C32195"/>
    <w:multiLevelType w:val="hybridMultilevel"/>
    <w:tmpl w:val="182A7C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0F418A"/>
    <w:multiLevelType w:val="hybridMultilevel"/>
    <w:tmpl w:val="AE6259B2"/>
    <w:lvl w:ilvl="0" w:tplc="5ADC0A42">
      <w:start w:val="1"/>
      <w:numFmt w:val="bullet"/>
      <w:pStyle w:val="Bulletleve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6D19DB"/>
    <w:multiLevelType w:val="hybridMultilevel"/>
    <w:tmpl w:val="2D10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A51737"/>
    <w:multiLevelType w:val="hybridMultilevel"/>
    <w:tmpl w:val="8ABC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405A24"/>
    <w:multiLevelType w:val="hybridMultilevel"/>
    <w:tmpl w:val="C13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2306D8"/>
    <w:multiLevelType w:val="hybridMultilevel"/>
    <w:tmpl w:val="407E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C44B05"/>
    <w:multiLevelType w:val="hybridMultilevel"/>
    <w:tmpl w:val="9E00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657826"/>
    <w:multiLevelType w:val="hybridMultilevel"/>
    <w:tmpl w:val="3ABE1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F4405D"/>
    <w:multiLevelType w:val="hybridMultilevel"/>
    <w:tmpl w:val="C5689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2C1AC5"/>
    <w:multiLevelType w:val="hybridMultilevel"/>
    <w:tmpl w:val="5E8A7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39189F"/>
    <w:multiLevelType w:val="hybridMultilevel"/>
    <w:tmpl w:val="8B360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8"/>
  </w:num>
  <w:num w:numId="4">
    <w:abstractNumId w:val="20"/>
  </w:num>
  <w:num w:numId="5">
    <w:abstractNumId w:val="10"/>
  </w:num>
  <w:num w:numId="6">
    <w:abstractNumId w:val="27"/>
  </w:num>
  <w:num w:numId="7">
    <w:abstractNumId w:val="17"/>
  </w:num>
  <w:num w:numId="8">
    <w:abstractNumId w:val="24"/>
  </w:num>
  <w:num w:numId="9">
    <w:abstractNumId w:val="16"/>
  </w:num>
  <w:num w:numId="10">
    <w:abstractNumId w:val="29"/>
  </w:num>
  <w:num w:numId="11">
    <w:abstractNumId w:val="30"/>
  </w:num>
  <w:num w:numId="12">
    <w:abstractNumId w:val="26"/>
  </w:num>
  <w:num w:numId="13">
    <w:abstractNumId w:val="25"/>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4"/>
  </w:num>
  <w:num w:numId="27">
    <w:abstractNumId w:val="11"/>
  </w:num>
  <w:num w:numId="28">
    <w:abstractNumId w:val="23"/>
    <w:lvlOverride w:ilvl="0">
      <w:startOverride w:val="1"/>
    </w:lvlOverride>
  </w:num>
  <w:num w:numId="29">
    <w:abstractNumId w:val="21"/>
  </w:num>
  <w:num w:numId="30">
    <w:abstractNumId w:val="15"/>
  </w:num>
  <w:num w:numId="31">
    <w:abstractNumId w:val="32"/>
  </w:num>
  <w:num w:numId="32">
    <w:abstractNumId w:val="12"/>
  </w:num>
  <w:num w:numId="33">
    <w:abstractNumId w:val="22"/>
  </w:num>
  <w:num w:numId="3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324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F4"/>
    <w:rsid w:val="00000822"/>
    <w:rsid w:val="00004B91"/>
    <w:rsid w:val="00005C6A"/>
    <w:rsid w:val="00012DA7"/>
    <w:rsid w:val="00014646"/>
    <w:rsid w:val="0001473F"/>
    <w:rsid w:val="00015018"/>
    <w:rsid w:val="00026FE2"/>
    <w:rsid w:val="00027A9F"/>
    <w:rsid w:val="000347FB"/>
    <w:rsid w:val="00035A11"/>
    <w:rsid w:val="00041D05"/>
    <w:rsid w:val="00042268"/>
    <w:rsid w:val="00043534"/>
    <w:rsid w:val="00047707"/>
    <w:rsid w:val="000513FD"/>
    <w:rsid w:val="00052D11"/>
    <w:rsid w:val="00053BD7"/>
    <w:rsid w:val="00053D2F"/>
    <w:rsid w:val="0005461D"/>
    <w:rsid w:val="0005626F"/>
    <w:rsid w:val="0005685E"/>
    <w:rsid w:val="000570A6"/>
    <w:rsid w:val="00061582"/>
    <w:rsid w:val="00075506"/>
    <w:rsid w:val="00082EB1"/>
    <w:rsid w:val="00083D66"/>
    <w:rsid w:val="0009157D"/>
    <w:rsid w:val="000956A1"/>
    <w:rsid w:val="000A3632"/>
    <w:rsid w:val="000A4C7E"/>
    <w:rsid w:val="000A6268"/>
    <w:rsid w:val="000B4DF9"/>
    <w:rsid w:val="000C36A3"/>
    <w:rsid w:val="000C3973"/>
    <w:rsid w:val="000C48B1"/>
    <w:rsid w:val="000C57C6"/>
    <w:rsid w:val="000C76AA"/>
    <w:rsid w:val="000D713F"/>
    <w:rsid w:val="000D742A"/>
    <w:rsid w:val="000E058F"/>
    <w:rsid w:val="000E07C3"/>
    <w:rsid w:val="000E77F0"/>
    <w:rsid w:val="000E7F0E"/>
    <w:rsid w:val="000F1EB3"/>
    <w:rsid w:val="000F25FA"/>
    <w:rsid w:val="000F288B"/>
    <w:rsid w:val="000F3A4B"/>
    <w:rsid w:val="000F79EA"/>
    <w:rsid w:val="0010164B"/>
    <w:rsid w:val="00110D97"/>
    <w:rsid w:val="00112DAD"/>
    <w:rsid w:val="001171E4"/>
    <w:rsid w:val="0012007C"/>
    <w:rsid w:val="00124B00"/>
    <w:rsid w:val="00126471"/>
    <w:rsid w:val="00126ADF"/>
    <w:rsid w:val="00127D91"/>
    <w:rsid w:val="001324A3"/>
    <w:rsid w:val="0013675B"/>
    <w:rsid w:val="00137347"/>
    <w:rsid w:val="00144A90"/>
    <w:rsid w:val="001477F2"/>
    <w:rsid w:val="001600FA"/>
    <w:rsid w:val="00161AE4"/>
    <w:rsid w:val="00164AA5"/>
    <w:rsid w:val="0017051B"/>
    <w:rsid w:val="00173753"/>
    <w:rsid w:val="00174ECE"/>
    <w:rsid w:val="00175212"/>
    <w:rsid w:val="001757F7"/>
    <w:rsid w:val="001819E4"/>
    <w:rsid w:val="00184284"/>
    <w:rsid w:val="00184480"/>
    <w:rsid w:val="00184D6D"/>
    <w:rsid w:val="00184F59"/>
    <w:rsid w:val="00186FB7"/>
    <w:rsid w:val="00187537"/>
    <w:rsid w:val="00191398"/>
    <w:rsid w:val="00191413"/>
    <w:rsid w:val="00192C70"/>
    <w:rsid w:val="001935B4"/>
    <w:rsid w:val="00193907"/>
    <w:rsid w:val="001A1DD6"/>
    <w:rsid w:val="001A2273"/>
    <w:rsid w:val="001B0DC3"/>
    <w:rsid w:val="001B3430"/>
    <w:rsid w:val="001C108E"/>
    <w:rsid w:val="001C263F"/>
    <w:rsid w:val="001D140D"/>
    <w:rsid w:val="001D150B"/>
    <w:rsid w:val="001D195F"/>
    <w:rsid w:val="001D7907"/>
    <w:rsid w:val="001E0BEA"/>
    <w:rsid w:val="001E0BED"/>
    <w:rsid w:val="001E30A5"/>
    <w:rsid w:val="001E3D5B"/>
    <w:rsid w:val="001E4A13"/>
    <w:rsid w:val="001E4EF9"/>
    <w:rsid w:val="001E579B"/>
    <w:rsid w:val="001E5FF2"/>
    <w:rsid w:val="001E7077"/>
    <w:rsid w:val="001E7A17"/>
    <w:rsid w:val="001F29F4"/>
    <w:rsid w:val="001F5AE3"/>
    <w:rsid w:val="001F656A"/>
    <w:rsid w:val="002012D2"/>
    <w:rsid w:val="00206307"/>
    <w:rsid w:val="00211BFA"/>
    <w:rsid w:val="00212F1D"/>
    <w:rsid w:val="00220B8B"/>
    <w:rsid w:val="0022138F"/>
    <w:rsid w:val="002224A6"/>
    <w:rsid w:val="00225769"/>
    <w:rsid w:val="00225E3B"/>
    <w:rsid w:val="00227104"/>
    <w:rsid w:val="0023668B"/>
    <w:rsid w:val="00240DC9"/>
    <w:rsid w:val="00242601"/>
    <w:rsid w:val="002427B0"/>
    <w:rsid w:val="00246EDC"/>
    <w:rsid w:val="00247BAF"/>
    <w:rsid w:val="00251D96"/>
    <w:rsid w:val="00253A48"/>
    <w:rsid w:val="002541AE"/>
    <w:rsid w:val="00256701"/>
    <w:rsid w:val="0026085A"/>
    <w:rsid w:val="002700D3"/>
    <w:rsid w:val="00281830"/>
    <w:rsid w:val="00284D13"/>
    <w:rsid w:val="00292A6B"/>
    <w:rsid w:val="00294B76"/>
    <w:rsid w:val="00294F1A"/>
    <w:rsid w:val="0029655B"/>
    <w:rsid w:val="002A0163"/>
    <w:rsid w:val="002A295E"/>
    <w:rsid w:val="002B2713"/>
    <w:rsid w:val="002B3511"/>
    <w:rsid w:val="002B3F13"/>
    <w:rsid w:val="002B5D29"/>
    <w:rsid w:val="002C58B8"/>
    <w:rsid w:val="002C7500"/>
    <w:rsid w:val="002C75BC"/>
    <w:rsid w:val="002D1CA0"/>
    <w:rsid w:val="002D22CF"/>
    <w:rsid w:val="002D56A1"/>
    <w:rsid w:val="002D59A9"/>
    <w:rsid w:val="002D5A00"/>
    <w:rsid w:val="002E0C49"/>
    <w:rsid w:val="002E1FA1"/>
    <w:rsid w:val="002E63E1"/>
    <w:rsid w:val="002E6515"/>
    <w:rsid w:val="002E6517"/>
    <w:rsid w:val="002E7851"/>
    <w:rsid w:val="002F2A26"/>
    <w:rsid w:val="002F6CB3"/>
    <w:rsid w:val="002F7DE5"/>
    <w:rsid w:val="002F7DF1"/>
    <w:rsid w:val="003007EA"/>
    <w:rsid w:val="003027B6"/>
    <w:rsid w:val="00307FDA"/>
    <w:rsid w:val="00312C39"/>
    <w:rsid w:val="00316881"/>
    <w:rsid w:val="00317101"/>
    <w:rsid w:val="003172CB"/>
    <w:rsid w:val="00326D54"/>
    <w:rsid w:val="00330A1E"/>
    <w:rsid w:val="00333A73"/>
    <w:rsid w:val="003352BA"/>
    <w:rsid w:val="0033770B"/>
    <w:rsid w:val="0034072B"/>
    <w:rsid w:val="003412E9"/>
    <w:rsid w:val="00342839"/>
    <w:rsid w:val="0034384B"/>
    <w:rsid w:val="003444DC"/>
    <w:rsid w:val="003518BF"/>
    <w:rsid w:val="003532BF"/>
    <w:rsid w:val="0035392C"/>
    <w:rsid w:val="0036465D"/>
    <w:rsid w:val="00365A11"/>
    <w:rsid w:val="00372544"/>
    <w:rsid w:val="0037341B"/>
    <w:rsid w:val="00375A09"/>
    <w:rsid w:val="00376B5F"/>
    <w:rsid w:val="0038096F"/>
    <w:rsid w:val="003817A2"/>
    <w:rsid w:val="00385468"/>
    <w:rsid w:val="00390DAE"/>
    <w:rsid w:val="00393FF3"/>
    <w:rsid w:val="0039618C"/>
    <w:rsid w:val="0039633A"/>
    <w:rsid w:val="00396B90"/>
    <w:rsid w:val="003A0D26"/>
    <w:rsid w:val="003A2A9E"/>
    <w:rsid w:val="003A40A7"/>
    <w:rsid w:val="003A5ADA"/>
    <w:rsid w:val="003A6511"/>
    <w:rsid w:val="003B28A5"/>
    <w:rsid w:val="003B3CBA"/>
    <w:rsid w:val="003B3F9A"/>
    <w:rsid w:val="003B57A1"/>
    <w:rsid w:val="003B661D"/>
    <w:rsid w:val="003B679A"/>
    <w:rsid w:val="003B720D"/>
    <w:rsid w:val="003C218A"/>
    <w:rsid w:val="003C4430"/>
    <w:rsid w:val="003C5F3E"/>
    <w:rsid w:val="003D10DD"/>
    <w:rsid w:val="003D3B16"/>
    <w:rsid w:val="003D60E0"/>
    <w:rsid w:val="003D709B"/>
    <w:rsid w:val="003D7463"/>
    <w:rsid w:val="003E0103"/>
    <w:rsid w:val="003E1C57"/>
    <w:rsid w:val="003E727F"/>
    <w:rsid w:val="003F01DF"/>
    <w:rsid w:val="00407C75"/>
    <w:rsid w:val="004132C5"/>
    <w:rsid w:val="00414064"/>
    <w:rsid w:val="00417745"/>
    <w:rsid w:val="00417E3B"/>
    <w:rsid w:val="00430454"/>
    <w:rsid w:val="004326A8"/>
    <w:rsid w:val="00436B86"/>
    <w:rsid w:val="0043706A"/>
    <w:rsid w:val="004401B0"/>
    <w:rsid w:val="00441154"/>
    <w:rsid w:val="00441D90"/>
    <w:rsid w:val="00442224"/>
    <w:rsid w:val="004444EE"/>
    <w:rsid w:val="004524CF"/>
    <w:rsid w:val="00452582"/>
    <w:rsid w:val="004549FE"/>
    <w:rsid w:val="00454D38"/>
    <w:rsid w:val="00457E8F"/>
    <w:rsid w:val="00462060"/>
    <w:rsid w:val="00463C1A"/>
    <w:rsid w:val="00463EEC"/>
    <w:rsid w:val="004640FF"/>
    <w:rsid w:val="00465490"/>
    <w:rsid w:val="00473805"/>
    <w:rsid w:val="00473FD3"/>
    <w:rsid w:val="00474F6B"/>
    <w:rsid w:val="00477432"/>
    <w:rsid w:val="00480DA2"/>
    <w:rsid w:val="00486165"/>
    <w:rsid w:val="0049014C"/>
    <w:rsid w:val="004957A2"/>
    <w:rsid w:val="004A178D"/>
    <w:rsid w:val="004A1C33"/>
    <w:rsid w:val="004A5B85"/>
    <w:rsid w:val="004C221A"/>
    <w:rsid w:val="004C3A1A"/>
    <w:rsid w:val="004C416A"/>
    <w:rsid w:val="004C55B7"/>
    <w:rsid w:val="004C5D35"/>
    <w:rsid w:val="004C6D4D"/>
    <w:rsid w:val="004D0A68"/>
    <w:rsid w:val="004D20BF"/>
    <w:rsid w:val="004D31D0"/>
    <w:rsid w:val="004D31F1"/>
    <w:rsid w:val="004D4286"/>
    <w:rsid w:val="004D4733"/>
    <w:rsid w:val="004D4B45"/>
    <w:rsid w:val="004D6C3E"/>
    <w:rsid w:val="004D751E"/>
    <w:rsid w:val="004D7B29"/>
    <w:rsid w:val="004E14DE"/>
    <w:rsid w:val="004E2562"/>
    <w:rsid w:val="004E7CE8"/>
    <w:rsid w:val="004F1BEF"/>
    <w:rsid w:val="004F2B91"/>
    <w:rsid w:val="004F3034"/>
    <w:rsid w:val="004F435E"/>
    <w:rsid w:val="00506D24"/>
    <w:rsid w:val="005077D2"/>
    <w:rsid w:val="00507C96"/>
    <w:rsid w:val="005118F6"/>
    <w:rsid w:val="00511D20"/>
    <w:rsid w:val="00517DA5"/>
    <w:rsid w:val="00517FA4"/>
    <w:rsid w:val="005216C0"/>
    <w:rsid w:val="00530F88"/>
    <w:rsid w:val="00534E1F"/>
    <w:rsid w:val="005412CE"/>
    <w:rsid w:val="0054683B"/>
    <w:rsid w:val="00552527"/>
    <w:rsid w:val="005558E1"/>
    <w:rsid w:val="0055624E"/>
    <w:rsid w:val="005564A4"/>
    <w:rsid w:val="0055674C"/>
    <w:rsid w:val="00563FD8"/>
    <w:rsid w:val="00564817"/>
    <w:rsid w:val="0056512E"/>
    <w:rsid w:val="0056561D"/>
    <w:rsid w:val="005706E9"/>
    <w:rsid w:val="00570849"/>
    <w:rsid w:val="00576416"/>
    <w:rsid w:val="00577C65"/>
    <w:rsid w:val="00581121"/>
    <w:rsid w:val="005840B8"/>
    <w:rsid w:val="005867DF"/>
    <w:rsid w:val="005907B3"/>
    <w:rsid w:val="00592081"/>
    <w:rsid w:val="005A0348"/>
    <w:rsid w:val="005A1FA3"/>
    <w:rsid w:val="005A27C0"/>
    <w:rsid w:val="005A4691"/>
    <w:rsid w:val="005A74FF"/>
    <w:rsid w:val="005A7C67"/>
    <w:rsid w:val="005B234E"/>
    <w:rsid w:val="005B3D8A"/>
    <w:rsid w:val="005C1D68"/>
    <w:rsid w:val="005C58FA"/>
    <w:rsid w:val="005D2629"/>
    <w:rsid w:val="005D54F1"/>
    <w:rsid w:val="005D5820"/>
    <w:rsid w:val="005E03EB"/>
    <w:rsid w:val="005E3D07"/>
    <w:rsid w:val="005E6B49"/>
    <w:rsid w:val="005E7AA8"/>
    <w:rsid w:val="005F02C2"/>
    <w:rsid w:val="005F70F7"/>
    <w:rsid w:val="00600F81"/>
    <w:rsid w:val="006065E8"/>
    <w:rsid w:val="00607B4C"/>
    <w:rsid w:val="00610940"/>
    <w:rsid w:val="006155F0"/>
    <w:rsid w:val="006165C1"/>
    <w:rsid w:val="00616766"/>
    <w:rsid w:val="006175A7"/>
    <w:rsid w:val="00620386"/>
    <w:rsid w:val="0062180D"/>
    <w:rsid w:val="006253B6"/>
    <w:rsid w:val="00627BD8"/>
    <w:rsid w:val="00627EAC"/>
    <w:rsid w:val="00634BC7"/>
    <w:rsid w:val="006361D0"/>
    <w:rsid w:val="00637BE8"/>
    <w:rsid w:val="00640A07"/>
    <w:rsid w:val="00644F89"/>
    <w:rsid w:val="0065535E"/>
    <w:rsid w:val="006553EC"/>
    <w:rsid w:val="00655674"/>
    <w:rsid w:val="00656746"/>
    <w:rsid w:val="0067005A"/>
    <w:rsid w:val="00680130"/>
    <w:rsid w:val="006824E0"/>
    <w:rsid w:val="006913CD"/>
    <w:rsid w:val="006918DF"/>
    <w:rsid w:val="00691C90"/>
    <w:rsid w:val="0069388D"/>
    <w:rsid w:val="006A0160"/>
    <w:rsid w:val="006B3640"/>
    <w:rsid w:val="006B61AC"/>
    <w:rsid w:val="006B6C90"/>
    <w:rsid w:val="006B7CA7"/>
    <w:rsid w:val="006C1521"/>
    <w:rsid w:val="006C39B7"/>
    <w:rsid w:val="006C4E7E"/>
    <w:rsid w:val="006C7001"/>
    <w:rsid w:val="006D11DF"/>
    <w:rsid w:val="006D3EF5"/>
    <w:rsid w:val="006E0951"/>
    <w:rsid w:val="006E462E"/>
    <w:rsid w:val="006E71A5"/>
    <w:rsid w:val="006F47AA"/>
    <w:rsid w:val="00700B1E"/>
    <w:rsid w:val="00702088"/>
    <w:rsid w:val="00702564"/>
    <w:rsid w:val="00703CCF"/>
    <w:rsid w:val="007063D9"/>
    <w:rsid w:val="00712F00"/>
    <w:rsid w:val="00721B04"/>
    <w:rsid w:val="00721E2A"/>
    <w:rsid w:val="007240DD"/>
    <w:rsid w:val="00724D61"/>
    <w:rsid w:val="00731AF4"/>
    <w:rsid w:val="00735CAA"/>
    <w:rsid w:val="00742E09"/>
    <w:rsid w:val="00745956"/>
    <w:rsid w:val="00746818"/>
    <w:rsid w:val="00747FC4"/>
    <w:rsid w:val="00752457"/>
    <w:rsid w:val="0075415F"/>
    <w:rsid w:val="00754898"/>
    <w:rsid w:val="00756627"/>
    <w:rsid w:val="00760169"/>
    <w:rsid w:val="007606B4"/>
    <w:rsid w:val="007640E0"/>
    <w:rsid w:val="00766E67"/>
    <w:rsid w:val="00774FDE"/>
    <w:rsid w:val="00777EE3"/>
    <w:rsid w:val="007812CF"/>
    <w:rsid w:val="00781F90"/>
    <w:rsid w:val="00782AC2"/>
    <w:rsid w:val="00785234"/>
    <w:rsid w:val="00793D78"/>
    <w:rsid w:val="00794ACF"/>
    <w:rsid w:val="007A49E2"/>
    <w:rsid w:val="007A682A"/>
    <w:rsid w:val="007A7F29"/>
    <w:rsid w:val="007B03DA"/>
    <w:rsid w:val="007B3138"/>
    <w:rsid w:val="007B37AB"/>
    <w:rsid w:val="007B40DC"/>
    <w:rsid w:val="007B6F78"/>
    <w:rsid w:val="007C10BA"/>
    <w:rsid w:val="007C2324"/>
    <w:rsid w:val="007C2806"/>
    <w:rsid w:val="007D4450"/>
    <w:rsid w:val="007E4E9A"/>
    <w:rsid w:val="007E5B45"/>
    <w:rsid w:val="007F2D82"/>
    <w:rsid w:val="007F5CFF"/>
    <w:rsid w:val="0081013E"/>
    <w:rsid w:val="008113B4"/>
    <w:rsid w:val="008114F0"/>
    <w:rsid w:val="00814D74"/>
    <w:rsid w:val="008248D1"/>
    <w:rsid w:val="00824E19"/>
    <w:rsid w:val="0082586A"/>
    <w:rsid w:val="00827D23"/>
    <w:rsid w:val="00827EDE"/>
    <w:rsid w:val="00842EF4"/>
    <w:rsid w:val="00845AA0"/>
    <w:rsid w:val="008540FA"/>
    <w:rsid w:val="00854165"/>
    <w:rsid w:val="008566EA"/>
    <w:rsid w:val="00861E1B"/>
    <w:rsid w:val="00863446"/>
    <w:rsid w:val="00863E4E"/>
    <w:rsid w:val="00867895"/>
    <w:rsid w:val="0087684F"/>
    <w:rsid w:val="00876CAC"/>
    <w:rsid w:val="00886079"/>
    <w:rsid w:val="00891F34"/>
    <w:rsid w:val="00895C04"/>
    <w:rsid w:val="008964F4"/>
    <w:rsid w:val="00897DAA"/>
    <w:rsid w:val="008A1B21"/>
    <w:rsid w:val="008A51E8"/>
    <w:rsid w:val="008B0AC9"/>
    <w:rsid w:val="008B55D2"/>
    <w:rsid w:val="008B5C21"/>
    <w:rsid w:val="008B791D"/>
    <w:rsid w:val="008C231A"/>
    <w:rsid w:val="008C2694"/>
    <w:rsid w:val="008C41F7"/>
    <w:rsid w:val="008C5DB8"/>
    <w:rsid w:val="008D0538"/>
    <w:rsid w:val="008D0D9A"/>
    <w:rsid w:val="008D2CA8"/>
    <w:rsid w:val="008D5220"/>
    <w:rsid w:val="008E0CD4"/>
    <w:rsid w:val="008F2CF5"/>
    <w:rsid w:val="008F3034"/>
    <w:rsid w:val="008F5E84"/>
    <w:rsid w:val="008F65FF"/>
    <w:rsid w:val="00901E01"/>
    <w:rsid w:val="00904BC8"/>
    <w:rsid w:val="00907133"/>
    <w:rsid w:val="009071E8"/>
    <w:rsid w:val="009118F6"/>
    <w:rsid w:val="00912168"/>
    <w:rsid w:val="009139C7"/>
    <w:rsid w:val="009149B8"/>
    <w:rsid w:val="0091550B"/>
    <w:rsid w:val="0091658D"/>
    <w:rsid w:val="00917142"/>
    <w:rsid w:val="00920EF6"/>
    <w:rsid w:val="00921C0B"/>
    <w:rsid w:val="00922A50"/>
    <w:rsid w:val="00925F13"/>
    <w:rsid w:val="00926417"/>
    <w:rsid w:val="009277AD"/>
    <w:rsid w:val="009306ED"/>
    <w:rsid w:val="00932D30"/>
    <w:rsid w:val="00933BFA"/>
    <w:rsid w:val="00936C28"/>
    <w:rsid w:val="00936E45"/>
    <w:rsid w:val="0093796A"/>
    <w:rsid w:val="00942585"/>
    <w:rsid w:val="0094333E"/>
    <w:rsid w:val="00945CC4"/>
    <w:rsid w:val="00946533"/>
    <w:rsid w:val="00947A11"/>
    <w:rsid w:val="0095050A"/>
    <w:rsid w:val="00953E59"/>
    <w:rsid w:val="00954370"/>
    <w:rsid w:val="0095533A"/>
    <w:rsid w:val="00957565"/>
    <w:rsid w:val="00964D8D"/>
    <w:rsid w:val="00964EDA"/>
    <w:rsid w:val="009668F1"/>
    <w:rsid w:val="0096731B"/>
    <w:rsid w:val="00970842"/>
    <w:rsid w:val="00972D70"/>
    <w:rsid w:val="0097363B"/>
    <w:rsid w:val="00975A13"/>
    <w:rsid w:val="00982385"/>
    <w:rsid w:val="0098373B"/>
    <w:rsid w:val="009903CC"/>
    <w:rsid w:val="009938FA"/>
    <w:rsid w:val="009A2981"/>
    <w:rsid w:val="009A336D"/>
    <w:rsid w:val="009C11CF"/>
    <w:rsid w:val="009C2AED"/>
    <w:rsid w:val="009C3BB0"/>
    <w:rsid w:val="009D166C"/>
    <w:rsid w:val="009D2498"/>
    <w:rsid w:val="009D4238"/>
    <w:rsid w:val="009D5E09"/>
    <w:rsid w:val="009D5EE5"/>
    <w:rsid w:val="009D5F1E"/>
    <w:rsid w:val="009D7580"/>
    <w:rsid w:val="009E00C4"/>
    <w:rsid w:val="009E0E38"/>
    <w:rsid w:val="009E31CD"/>
    <w:rsid w:val="009E53F4"/>
    <w:rsid w:val="009F72C8"/>
    <w:rsid w:val="00A01509"/>
    <w:rsid w:val="00A02651"/>
    <w:rsid w:val="00A0337B"/>
    <w:rsid w:val="00A035E4"/>
    <w:rsid w:val="00A069DD"/>
    <w:rsid w:val="00A07C43"/>
    <w:rsid w:val="00A116EA"/>
    <w:rsid w:val="00A11739"/>
    <w:rsid w:val="00A1579B"/>
    <w:rsid w:val="00A15AF1"/>
    <w:rsid w:val="00A20CEA"/>
    <w:rsid w:val="00A22509"/>
    <w:rsid w:val="00A24C42"/>
    <w:rsid w:val="00A2629A"/>
    <w:rsid w:val="00A26F1E"/>
    <w:rsid w:val="00A272D4"/>
    <w:rsid w:val="00A2737A"/>
    <w:rsid w:val="00A303C6"/>
    <w:rsid w:val="00A31F5A"/>
    <w:rsid w:val="00A33C63"/>
    <w:rsid w:val="00A34EAB"/>
    <w:rsid w:val="00A41E01"/>
    <w:rsid w:val="00A470E3"/>
    <w:rsid w:val="00A476D3"/>
    <w:rsid w:val="00A47E28"/>
    <w:rsid w:val="00A550B4"/>
    <w:rsid w:val="00A57D1D"/>
    <w:rsid w:val="00A721C0"/>
    <w:rsid w:val="00A7294C"/>
    <w:rsid w:val="00A774B1"/>
    <w:rsid w:val="00A84013"/>
    <w:rsid w:val="00A84E3E"/>
    <w:rsid w:val="00A875F3"/>
    <w:rsid w:val="00A90E16"/>
    <w:rsid w:val="00A957B0"/>
    <w:rsid w:val="00A96CD8"/>
    <w:rsid w:val="00A979FD"/>
    <w:rsid w:val="00AA2E86"/>
    <w:rsid w:val="00AA3549"/>
    <w:rsid w:val="00AB3BAC"/>
    <w:rsid w:val="00AC0797"/>
    <w:rsid w:val="00AD46B9"/>
    <w:rsid w:val="00AD628A"/>
    <w:rsid w:val="00AE05E1"/>
    <w:rsid w:val="00AE0AC0"/>
    <w:rsid w:val="00AE2123"/>
    <w:rsid w:val="00AE486F"/>
    <w:rsid w:val="00AE59E5"/>
    <w:rsid w:val="00AE629D"/>
    <w:rsid w:val="00AE6DBC"/>
    <w:rsid w:val="00AF22E7"/>
    <w:rsid w:val="00AF3F61"/>
    <w:rsid w:val="00AF4F23"/>
    <w:rsid w:val="00AF5C4F"/>
    <w:rsid w:val="00AF62FB"/>
    <w:rsid w:val="00AF67A9"/>
    <w:rsid w:val="00AF77B0"/>
    <w:rsid w:val="00B024D9"/>
    <w:rsid w:val="00B03FFF"/>
    <w:rsid w:val="00B058EF"/>
    <w:rsid w:val="00B1151B"/>
    <w:rsid w:val="00B1702F"/>
    <w:rsid w:val="00B170A2"/>
    <w:rsid w:val="00B17F72"/>
    <w:rsid w:val="00B22277"/>
    <w:rsid w:val="00B31526"/>
    <w:rsid w:val="00B326A7"/>
    <w:rsid w:val="00B33322"/>
    <w:rsid w:val="00B33FA0"/>
    <w:rsid w:val="00B34124"/>
    <w:rsid w:val="00B36C89"/>
    <w:rsid w:val="00B41CEE"/>
    <w:rsid w:val="00B436F7"/>
    <w:rsid w:val="00B47F44"/>
    <w:rsid w:val="00B55EF6"/>
    <w:rsid w:val="00B61582"/>
    <w:rsid w:val="00B6217E"/>
    <w:rsid w:val="00B627C5"/>
    <w:rsid w:val="00B64367"/>
    <w:rsid w:val="00B64C8C"/>
    <w:rsid w:val="00B6769D"/>
    <w:rsid w:val="00B6772A"/>
    <w:rsid w:val="00B91976"/>
    <w:rsid w:val="00B92CED"/>
    <w:rsid w:val="00B968C2"/>
    <w:rsid w:val="00BA1722"/>
    <w:rsid w:val="00BA47C1"/>
    <w:rsid w:val="00BA6C5D"/>
    <w:rsid w:val="00BB1B98"/>
    <w:rsid w:val="00BB5BAF"/>
    <w:rsid w:val="00BC12C5"/>
    <w:rsid w:val="00BC1AD8"/>
    <w:rsid w:val="00BC4C1A"/>
    <w:rsid w:val="00BC4D26"/>
    <w:rsid w:val="00BC5518"/>
    <w:rsid w:val="00BD0472"/>
    <w:rsid w:val="00BD054F"/>
    <w:rsid w:val="00BD078D"/>
    <w:rsid w:val="00BD429D"/>
    <w:rsid w:val="00BD6D69"/>
    <w:rsid w:val="00BE4EDA"/>
    <w:rsid w:val="00BF35EB"/>
    <w:rsid w:val="00BF36A0"/>
    <w:rsid w:val="00BF3884"/>
    <w:rsid w:val="00BF52DE"/>
    <w:rsid w:val="00C00318"/>
    <w:rsid w:val="00C055ED"/>
    <w:rsid w:val="00C07276"/>
    <w:rsid w:val="00C11030"/>
    <w:rsid w:val="00C111B1"/>
    <w:rsid w:val="00C15F4D"/>
    <w:rsid w:val="00C202F8"/>
    <w:rsid w:val="00C20D92"/>
    <w:rsid w:val="00C221C1"/>
    <w:rsid w:val="00C24670"/>
    <w:rsid w:val="00C25557"/>
    <w:rsid w:val="00C32FD3"/>
    <w:rsid w:val="00C3347F"/>
    <w:rsid w:val="00C33B14"/>
    <w:rsid w:val="00C36F3E"/>
    <w:rsid w:val="00C37A4C"/>
    <w:rsid w:val="00C41C6C"/>
    <w:rsid w:val="00C43EF4"/>
    <w:rsid w:val="00C4471B"/>
    <w:rsid w:val="00C4612C"/>
    <w:rsid w:val="00C5336B"/>
    <w:rsid w:val="00C54D16"/>
    <w:rsid w:val="00C55135"/>
    <w:rsid w:val="00C57A55"/>
    <w:rsid w:val="00C62A0C"/>
    <w:rsid w:val="00C724D0"/>
    <w:rsid w:val="00C74397"/>
    <w:rsid w:val="00C76E2D"/>
    <w:rsid w:val="00C76FFF"/>
    <w:rsid w:val="00C77386"/>
    <w:rsid w:val="00C818BB"/>
    <w:rsid w:val="00C82214"/>
    <w:rsid w:val="00C8459F"/>
    <w:rsid w:val="00C84E28"/>
    <w:rsid w:val="00C90647"/>
    <w:rsid w:val="00C91310"/>
    <w:rsid w:val="00C94179"/>
    <w:rsid w:val="00CA0192"/>
    <w:rsid w:val="00CA5E36"/>
    <w:rsid w:val="00CA70E7"/>
    <w:rsid w:val="00CB2E17"/>
    <w:rsid w:val="00CB7E08"/>
    <w:rsid w:val="00CC4F4F"/>
    <w:rsid w:val="00CC5AD8"/>
    <w:rsid w:val="00CC6D19"/>
    <w:rsid w:val="00CD434F"/>
    <w:rsid w:val="00CE1D90"/>
    <w:rsid w:val="00CE2446"/>
    <w:rsid w:val="00CE5F47"/>
    <w:rsid w:val="00CF09CF"/>
    <w:rsid w:val="00CF3925"/>
    <w:rsid w:val="00CF7E78"/>
    <w:rsid w:val="00D027B9"/>
    <w:rsid w:val="00D052B4"/>
    <w:rsid w:val="00D0704B"/>
    <w:rsid w:val="00D076F4"/>
    <w:rsid w:val="00D07A8B"/>
    <w:rsid w:val="00D07C26"/>
    <w:rsid w:val="00D10F72"/>
    <w:rsid w:val="00D17891"/>
    <w:rsid w:val="00D17FBA"/>
    <w:rsid w:val="00D223CA"/>
    <w:rsid w:val="00D228B8"/>
    <w:rsid w:val="00D25985"/>
    <w:rsid w:val="00D25E0F"/>
    <w:rsid w:val="00D27637"/>
    <w:rsid w:val="00D32043"/>
    <w:rsid w:val="00D3635A"/>
    <w:rsid w:val="00D36920"/>
    <w:rsid w:val="00D36B09"/>
    <w:rsid w:val="00D434D3"/>
    <w:rsid w:val="00D4358F"/>
    <w:rsid w:val="00D443D7"/>
    <w:rsid w:val="00D5188B"/>
    <w:rsid w:val="00D520E7"/>
    <w:rsid w:val="00D56DA0"/>
    <w:rsid w:val="00D627BE"/>
    <w:rsid w:val="00D62E78"/>
    <w:rsid w:val="00D6578B"/>
    <w:rsid w:val="00D71B35"/>
    <w:rsid w:val="00D81CB0"/>
    <w:rsid w:val="00D82211"/>
    <w:rsid w:val="00D87671"/>
    <w:rsid w:val="00D915A2"/>
    <w:rsid w:val="00D91E05"/>
    <w:rsid w:val="00D967DA"/>
    <w:rsid w:val="00D96A05"/>
    <w:rsid w:val="00D96ACC"/>
    <w:rsid w:val="00D974FB"/>
    <w:rsid w:val="00DA031B"/>
    <w:rsid w:val="00DA48F8"/>
    <w:rsid w:val="00DA60A4"/>
    <w:rsid w:val="00DB207B"/>
    <w:rsid w:val="00DB6108"/>
    <w:rsid w:val="00DC008F"/>
    <w:rsid w:val="00DC5AD7"/>
    <w:rsid w:val="00DD6074"/>
    <w:rsid w:val="00DE4D2C"/>
    <w:rsid w:val="00DE553C"/>
    <w:rsid w:val="00DE5620"/>
    <w:rsid w:val="00DE6090"/>
    <w:rsid w:val="00DF1CBC"/>
    <w:rsid w:val="00DF2621"/>
    <w:rsid w:val="00DF3EFE"/>
    <w:rsid w:val="00E02685"/>
    <w:rsid w:val="00E07BEE"/>
    <w:rsid w:val="00E25BA6"/>
    <w:rsid w:val="00E272E4"/>
    <w:rsid w:val="00E31382"/>
    <w:rsid w:val="00E367AD"/>
    <w:rsid w:val="00E563D9"/>
    <w:rsid w:val="00E5710E"/>
    <w:rsid w:val="00E64374"/>
    <w:rsid w:val="00E64DA3"/>
    <w:rsid w:val="00E65F2C"/>
    <w:rsid w:val="00E679F9"/>
    <w:rsid w:val="00E67F94"/>
    <w:rsid w:val="00E72731"/>
    <w:rsid w:val="00E75F8E"/>
    <w:rsid w:val="00E767BC"/>
    <w:rsid w:val="00E86866"/>
    <w:rsid w:val="00E870E4"/>
    <w:rsid w:val="00E8796B"/>
    <w:rsid w:val="00E94350"/>
    <w:rsid w:val="00E97B77"/>
    <w:rsid w:val="00EA060C"/>
    <w:rsid w:val="00EA4041"/>
    <w:rsid w:val="00EA4C6B"/>
    <w:rsid w:val="00EA7109"/>
    <w:rsid w:val="00EB256E"/>
    <w:rsid w:val="00EB70EE"/>
    <w:rsid w:val="00EC0190"/>
    <w:rsid w:val="00EC3146"/>
    <w:rsid w:val="00EC59C4"/>
    <w:rsid w:val="00EC7202"/>
    <w:rsid w:val="00ED2843"/>
    <w:rsid w:val="00ED4AAB"/>
    <w:rsid w:val="00EE5549"/>
    <w:rsid w:val="00EE5A45"/>
    <w:rsid w:val="00EE6F7A"/>
    <w:rsid w:val="00EF273A"/>
    <w:rsid w:val="00EF5AC1"/>
    <w:rsid w:val="00EF7E3E"/>
    <w:rsid w:val="00F109DA"/>
    <w:rsid w:val="00F122F6"/>
    <w:rsid w:val="00F15189"/>
    <w:rsid w:val="00F1598A"/>
    <w:rsid w:val="00F20F66"/>
    <w:rsid w:val="00F25056"/>
    <w:rsid w:val="00F30FA6"/>
    <w:rsid w:val="00F3287A"/>
    <w:rsid w:val="00F34BCF"/>
    <w:rsid w:val="00F351DC"/>
    <w:rsid w:val="00F35486"/>
    <w:rsid w:val="00F35EB0"/>
    <w:rsid w:val="00F373D8"/>
    <w:rsid w:val="00F41170"/>
    <w:rsid w:val="00F43B50"/>
    <w:rsid w:val="00F44AAE"/>
    <w:rsid w:val="00F53EE8"/>
    <w:rsid w:val="00F545A8"/>
    <w:rsid w:val="00F56E41"/>
    <w:rsid w:val="00F571EC"/>
    <w:rsid w:val="00F57ABE"/>
    <w:rsid w:val="00F658A9"/>
    <w:rsid w:val="00F71652"/>
    <w:rsid w:val="00F764BE"/>
    <w:rsid w:val="00F76D3E"/>
    <w:rsid w:val="00F77117"/>
    <w:rsid w:val="00F84AF1"/>
    <w:rsid w:val="00F879C4"/>
    <w:rsid w:val="00F87D53"/>
    <w:rsid w:val="00F9196B"/>
    <w:rsid w:val="00F94451"/>
    <w:rsid w:val="00F9448A"/>
    <w:rsid w:val="00F947D6"/>
    <w:rsid w:val="00F94CDC"/>
    <w:rsid w:val="00FA029F"/>
    <w:rsid w:val="00FA16AF"/>
    <w:rsid w:val="00FA5C1A"/>
    <w:rsid w:val="00FB35BD"/>
    <w:rsid w:val="00FB4F23"/>
    <w:rsid w:val="00FC1860"/>
    <w:rsid w:val="00FC1F3B"/>
    <w:rsid w:val="00FC5688"/>
    <w:rsid w:val="00FD3169"/>
    <w:rsid w:val="00FD4961"/>
    <w:rsid w:val="00FE7FF1"/>
    <w:rsid w:val="00FF248A"/>
    <w:rsid w:val="00FF3F96"/>
    <w:rsid w:val="00FF5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width-relative:margin;mso-height-relative:margin" fill="f" fillcolor="white" stroke="f">
      <v:fill color="white" on="f"/>
      <v:stroke on="f"/>
    </o:shapedefaults>
    <o:shapelayout v:ext="edit">
      <o:idmap v:ext="edit" data="1"/>
    </o:shapelayout>
  </w:shapeDefaults>
  <w:decimalSymbol w:val="."/>
  <w:listSeparator w:val=","/>
  <w14:docId w14:val="22B4C780"/>
  <w15:docId w15:val="{E48F003E-0A6E-40DB-97AA-83D6F76F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5E"/>
    <w:pPr>
      <w:spacing w:after="200" w:line="276" w:lineRule="auto"/>
    </w:pPr>
    <w:rPr>
      <w:sz w:val="22"/>
      <w:szCs w:val="22"/>
      <w:lang w:eastAsia="en-US"/>
    </w:rPr>
  </w:style>
  <w:style w:type="paragraph" w:styleId="Heading1">
    <w:name w:val="heading 1"/>
    <w:next w:val="Normal"/>
    <w:link w:val="Heading1Char"/>
    <w:uiPriority w:val="9"/>
    <w:qFormat/>
    <w:rsid w:val="0056512E"/>
    <w:pPr>
      <w:spacing w:before="480" w:after="120"/>
      <w:outlineLvl w:val="0"/>
    </w:pPr>
    <w:rPr>
      <w:rFonts w:ascii="Arial" w:eastAsia="Times New Roman" w:hAnsi="Arial" w:cs="Arial"/>
      <w:color w:val="002677" w:themeColor="accent1"/>
      <w:sz w:val="48"/>
      <w:szCs w:val="48"/>
      <w:lang w:eastAsia="en-US"/>
    </w:rPr>
  </w:style>
  <w:style w:type="paragraph" w:styleId="Heading2">
    <w:name w:val="heading 2"/>
    <w:basedOn w:val="Heading1"/>
    <w:next w:val="Normal"/>
    <w:link w:val="Heading2Char"/>
    <w:uiPriority w:val="9"/>
    <w:unhideWhenUsed/>
    <w:qFormat/>
    <w:rsid w:val="00C8459F"/>
    <w:pPr>
      <w:spacing w:before="360" w:after="60"/>
      <w:outlineLvl w:val="1"/>
    </w:pPr>
    <w:rPr>
      <w:bCs/>
      <w:iCs/>
      <w:color w:val="323232"/>
      <w:sz w:val="40"/>
      <w:szCs w:val="40"/>
    </w:rPr>
  </w:style>
  <w:style w:type="paragraph" w:styleId="Heading3">
    <w:name w:val="heading 3"/>
    <w:basedOn w:val="Heading2"/>
    <w:next w:val="Normal"/>
    <w:link w:val="Heading3Char"/>
    <w:uiPriority w:val="9"/>
    <w:unhideWhenUsed/>
    <w:qFormat/>
    <w:rsid w:val="00DC5AD7"/>
    <w:pPr>
      <w:outlineLvl w:val="2"/>
    </w:pPr>
    <w:rPr>
      <w:color w:val="2E7C80" w:themeColor="accent2" w:themeShade="80"/>
      <w:sz w:val="32"/>
      <w:szCs w:val="32"/>
    </w:rPr>
  </w:style>
  <w:style w:type="paragraph" w:styleId="Heading4">
    <w:name w:val="heading 4"/>
    <w:basedOn w:val="Normal"/>
    <w:next w:val="Normal"/>
    <w:link w:val="Heading4Char"/>
    <w:uiPriority w:val="9"/>
    <w:unhideWhenUsed/>
    <w:qFormat/>
    <w:rsid w:val="0005685E"/>
    <w:pPr>
      <w:keepNext/>
      <w:spacing w:before="240" w:after="60"/>
      <w:outlineLvl w:val="3"/>
    </w:pPr>
    <w:rPr>
      <w:rFonts w:ascii="Arial" w:eastAsia="Times New Roman" w:hAnsi="Arial" w:cs="Arial"/>
      <w:bCs/>
      <w:color w:val="323232"/>
      <w:sz w:val="28"/>
      <w:szCs w:val="28"/>
    </w:rPr>
  </w:style>
  <w:style w:type="paragraph" w:styleId="Heading5">
    <w:name w:val="heading 5"/>
    <w:basedOn w:val="Heading4"/>
    <w:next w:val="Normal"/>
    <w:link w:val="Heading5Char"/>
    <w:uiPriority w:val="9"/>
    <w:unhideWhenUsed/>
    <w:qFormat/>
    <w:rsid w:val="005A74FF"/>
    <w:pPr>
      <w:spacing w:line="240" w:lineRule="auto"/>
      <w:outlineLvl w:val="4"/>
    </w:pPr>
    <w:rPr>
      <w:i/>
      <w:color w:val="303031"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22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769"/>
  </w:style>
  <w:style w:type="paragraph" w:styleId="NoSpacing">
    <w:name w:val="No Spacing"/>
    <w:uiPriority w:val="1"/>
    <w:qFormat/>
    <w:rsid w:val="00225769"/>
    <w:rPr>
      <w:sz w:val="22"/>
      <w:szCs w:val="22"/>
      <w:lang w:eastAsia="en-US"/>
    </w:rPr>
  </w:style>
  <w:style w:type="character" w:customStyle="1" w:styleId="Heading1Char">
    <w:name w:val="Heading 1 Char"/>
    <w:basedOn w:val="DefaultParagraphFont"/>
    <w:link w:val="Heading1"/>
    <w:uiPriority w:val="9"/>
    <w:rsid w:val="0056512E"/>
    <w:rPr>
      <w:rFonts w:ascii="Arial" w:eastAsia="Times New Roman" w:hAnsi="Arial" w:cs="Arial"/>
      <w:color w:val="002677" w:themeColor="accent1"/>
      <w:sz w:val="48"/>
      <w:szCs w:val="48"/>
      <w:lang w:eastAsia="en-US"/>
    </w:rPr>
  </w:style>
  <w:style w:type="character" w:customStyle="1" w:styleId="Heading2Char">
    <w:name w:val="Heading 2 Char"/>
    <w:basedOn w:val="DefaultParagraphFont"/>
    <w:link w:val="Heading2"/>
    <w:uiPriority w:val="9"/>
    <w:rsid w:val="00C8459F"/>
    <w:rPr>
      <w:rFonts w:ascii="Arial" w:eastAsia="Times New Roman" w:hAnsi="Arial" w:cs="Arial"/>
      <w:bCs/>
      <w:iCs/>
      <w:color w:val="323232"/>
      <w:sz w:val="40"/>
      <w:szCs w:val="40"/>
      <w:lang w:eastAsia="en-US"/>
    </w:rPr>
  </w:style>
  <w:style w:type="character" w:customStyle="1" w:styleId="Heading3Char">
    <w:name w:val="Heading 3 Char"/>
    <w:basedOn w:val="DefaultParagraphFont"/>
    <w:link w:val="Heading3"/>
    <w:uiPriority w:val="9"/>
    <w:rsid w:val="00DC5AD7"/>
    <w:rPr>
      <w:rFonts w:ascii="Arial" w:eastAsia="Times New Roman" w:hAnsi="Arial" w:cs="Arial"/>
      <w:bCs/>
      <w:iCs/>
      <w:color w:val="2E7C80" w:themeColor="accent2" w:themeShade="80"/>
      <w:sz w:val="32"/>
      <w:szCs w:val="32"/>
      <w:lang w:eastAsia="en-US"/>
    </w:rPr>
  </w:style>
  <w:style w:type="paragraph" w:customStyle="1" w:styleId="Accessibilitytext">
    <w:name w:val="Accessibility text"/>
    <w:basedOn w:val="Normal"/>
    <w:uiPriority w:val="99"/>
    <w:rsid w:val="00D96ACC"/>
    <w:pPr>
      <w:suppressAutoHyphens/>
      <w:autoSpaceDE w:val="0"/>
      <w:autoSpaceDN w:val="0"/>
      <w:adjustRightInd w:val="0"/>
      <w:spacing w:after="57" w:line="240" w:lineRule="auto"/>
      <w:textAlignment w:val="center"/>
    </w:pPr>
    <w:rPr>
      <w:rFonts w:cs="Arial"/>
      <w:color w:val="323232"/>
      <w:sz w:val="18"/>
      <w:szCs w:val="18"/>
      <w:lang w:val="en-GB"/>
    </w:rPr>
  </w:style>
  <w:style w:type="character" w:customStyle="1" w:styleId="AccessibilityLgtext">
    <w:name w:val="Accessibility Lg text"/>
    <w:uiPriority w:val="99"/>
    <w:rsid w:val="00D96ACC"/>
    <w:rPr>
      <w:color w:val="323232"/>
      <w:sz w:val="20"/>
      <w:szCs w:val="20"/>
    </w:rPr>
  </w:style>
  <w:style w:type="paragraph" w:styleId="BodyText">
    <w:name w:val="Body Text"/>
    <w:link w:val="BodyTextChar"/>
    <w:rsid w:val="004F2B91"/>
    <w:pPr>
      <w:spacing w:before="120" w:after="240" w:line="280" w:lineRule="exact"/>
    </w:pPr>
    <w:rPr>
      <w:rFonts w:eastAsia="Times New Roman" w:cs="Arial"/>
      <w:bCs/>
      <w:iCs/>
      <w:color w:val="323232"/>
      <w:sz w:val="24"/>
      <w:szCs w:val="24"/>
      <w:lang w:eastAsia="en-US"/>
    </w:rPr>
  </w:style>
  <w:style w:type="character" w:customStyle="1" w:styleId="BodyTextChar">
    <w:name w:val="Body Text Char"/>
    <w:basedOn w:val="DefaultParagraphFont"/>
    <w:link w:val="BodyText"/>
    <w:rsid w:val="004F2B91"/>
    <w:rPr>
      <w:rFonts w:eastAsia="Times New Roman" w:cs="Arial"/>
      <w:bCs/>
      <w:iCs/>
      <w:color w:val="323232"/>
      <w:sz w:val="24"/>
      <w:szCs w:val="24"/>
      <w:lang w:val="en-AU" w:eastAsia="en-US" w:bidi="ar-SA"/>
    </w:rPr>
  </w:style>
  <w:style w:type="paragraph" w:customStyle="1" w:styleId="Bulletlevel1">
    <w:name w:val="Bullet level 1"/>
    <w:basedOn w:val="BodyText"/>
    <w:qFormat/>
    <w:rsid w:val="00061582"/>
    <w:pPr>
      <w:numPr>
        <w:numId w:val="1"/>
      </w:numPr>
      <w:tabs>
        <w:tab w:val="left" w:pos="284"/>
      </w:tabs>
      <w:spacing w:before="60" w:after="120" w:line="240" w:lineRule="auto"/>
      <w:ind w:left="284" w:hanging="284"/>
    </w:pPr>
    <w:rPr>
      <w:lang w:eastAsia="en-AU"/>
    </w:rPr>
  </w:style>
  <w:style w:type="paragraph" w:customStyle="1" w:styleId="Bulletlevel2">
    <w:name w:val="Bullet level 2"/>
    <w:basedOn w:val="Bulletlevel1"/>
    <w:qFormat/>
    <w:rsid w:val="00246EDC"/>
    <w:pPr>
      <w:numPr>
        <w:numId w:val="2"/>
      </w:numPr>
      <w:tabs>
        <w:tab w:val="clear" w:pos="284"/>
        <w:tab w:val="left" w:pos="567"/>
      </w:tabs>
      <w:ind w:left="567" w:hanging="283"/>
    </w:pPr>
  </w:style>
  <w:style w:type="paragraph" w:customStyle="1" w:styleId="Tablebody">
    <w:name w:val="Table_body"/>
    <w:basedOn w:val="BodyText"/>
    <w:qFormat/>
    <w:rsid w:val="003E0103"/>
    <w:pPr>
      <w:spacing w:before="60" w:after="120" w:line="240" w:lineRule="auto"/>
    </w:pPr>
    <w:rPr>
      <w:lang w:val="en-US"/>
    </w:rPr>
  </w:style>
  <w:style w:type="paragraph" w:customStyle="1" w:styleId="Tableheaderreverse">
    <w:name w:val="Table_header_reverse"/>
    <w:qFormat/>
    <w:rsid w:val="00947A11"/>
    <w:pPr>
      <w:spacing w:before="60" w:after="60"/>
    </w:pPr>
    <w:rPr>
      <w:rFonts w:eastAsia="Times New Roman" w:cs="Arial"/>
      <w:b/>
      <w:bCs/>
      <w:iCs/>
      <w:color w:val="FFFFFF"/>
      <w:sz w:val="24"/>
      <w:szCs w:val="24"/>
      <w:lang w:val="en-US" w:eastAsia="en-US"/>
    </w:rPr>
  </w:style>
  <w:style w:type="paragraph" w:customStyle="1" w:styleId="Tablebullet1">
    <w:name w:val="Table bullet 1"/>
    <w:basedOn w:val="Bulletlevel1"/>
    <w:qFormat/>
    <w:rsid w:val="00061582"/>
    <w:pPr>
      <w:spacing w:before="0" w:after="60"/>
    </w:pPr>
    <w:rPr>
      <w:color w:val="303031" w:themeColor="accent3" w:themeShade="BF"/>
      <w:lang w:val="en-US"/>
    </w:rPr>
  </w:style>
  <w:style w:type="paragraph" w:customStyle="1" w:styleId="Tablebullet2">
    <w:name w:val="Table bullet 2"/>
    <w:basedOn w:val="Bulletlevel2"/>
    <w:qFormat/>
    <w:rsid w:val="003E0103"/>
    <w:pPr>
      <w:spacing w:after="60"/>
      <w:ind w:left="568" w:hanging="284"/>
    </w:pPr>
    <w:rPr>
      <w:sz w:val="22"/>
      <w:szCs w:val="22"/>
      <w:lang w:val="en-US"/>
    </w:rPr>
  </w:style>
  <w:style w:type="paragraph" w:customStyle="1" w:styleId="Tablesubheader">
    <w:name w:val="Table sub header"/>
    <w:basedOn w:val="Tablebody"/>
    <w:qFormat/>
    <w:rsid w:val="00246EDC"/>
    <w:rPr>
      <w:b/>
    </w:rPr>
  </w:style>
  <w:style w:type="paragraph" w:customStyle="1" w:styleId="Tableheader">
    <w:name w:val="Table header"/>
    <w:basedOn w:val="Tablesubheader"/>
    <w:qFormat/>
    <w:rsid w:val="00246EDC"/>
  </w:style>
  <w:style w:type="paragraph" w:customStyle="1" w:styleId="pagenumbers">
    <w:name w:val="page numbers"/>
    <w:basedOn w:val="Footer"/>
    <w:qFormat/>
    <w:rsid w:val="00312C39"/>
    <w:pPr>
      <w:jc w:val="right"/>
    </w:pPr>
    <w:rPr>
      <w:sz w:val="16"/>
      <w:szCs w:val="16"/>
    </w:rPr>
  </w:style>
  <w:style w:type="table" w:styleId="TableGrid">
    <w:name w:val="Table Grid"/>
    <w:basedOn w:val="TableNormal"/>
    <w:uiPriority w:val="59"/>
    <w:rsid w:val="002F2A2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end">
    <w:name w:val="Bullet level 1 - end"/>
    <w:basedOn w:val="Bulletlevel1"/>
    <w:qFormat/>
    <w:rsid w:val="009D7580"/>
    <w:pPr>
      <w:spacing w:after="280"/>
    </w:pPr>
  </w:style>
  <w:style w:type="paragraph" w:customStyle="1" w:styleId="Bulletintropara">
    <w:name w:val="Bullet intro para"/>
    <w:basedOn w:val="BodyText"/>
    <w:qFormat/>
    <w:rsid w:val="004F2B91"/>
    <w:pPr>
      <w:spacing w:after="160"/>
    </w:pPr>
  </w:style>
  <w:style w:type="character" w:styleId="IntenseEmphasis">
    <w:name w:val="Intense Emphasis"/>
    <w:uiPriority w:val="21"/>
    <w:qFormat/>
    <w:rsid w:val="00942585"/>
    <w:rPr>
      <w:b/>
      <w:bCs/>
      <w:i/>
      <w:iCs/>
      <w:color w:val="4F81BD"/>
    </w:rPr>
  </w:style>
  <w:style w:type="character" w:styleId="CommentReference">
    <w:name w:val="annotation reference"/>
    <w:uiPriority w:val="99"/>
    <w:rsid w:val="00942585"/>
    <w:rPr>
      <w:sz w:val="16"/>
      <w:szCs w:val="16"/>
    </w:rPr>
  </w:style>
  <w:style w:type="paragraph" w:styleId="CommentText">
    <w:name w:val="annotation text"/>
    <w:basedOn w:val="Normal"/>
    <w:link w:val="CommentTextChar"/>
    <w:uiPriority w:val="99"/>
    <w:rsid w:val="00942585"/>
    <w:rPr>
      <w:rFonts w:eastAsia="Times New Roman"/>
      <w:sz w:val="20"/>
      <w:szCs w:val="20"/>
      <w:lang w:val="en-US" w:bidi="en-US"/>
    </w:rPr>
  </w:style>
  <w:style w:type="character" w:customStyle="1" w:styleId="CommentTextChar">
    <w:name w:val="Comment Text Char"/>
    <w:basedOn w:val="DefaultParagraphFont"/>
    <w:link w:val="CommentText"/>
    <w:uiPriority w:val="99"/>
    <w:rsid w:val="00942585"/>
    <w:rPr>
      <w:rFonts w:eastAsia="Times New Roman"/>
      <w:lang w:val="en-US" w:eastAsia="en-US" w:bidi="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FD3169"/>
    <w:pPr>
      <w:ind w:left="720"/>
      <w:contextualSpacing/>
    </w:pPr>
    <w:rPr>
      <w:rFonts w:eastAsia="Times New Roman"/>
      <w:lang w:val="en-US" w:bidi="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FD3169"/>
    <w:rPr>
      <w:rFonts w:eastAsia="Times New Roman"/>
      <w:sz w:val="22"/>
      <w:szCs w:val="22"/>
      <w:lang w:val="en-US" w:eastAsia="en-US" w:bidi="en-US"/>
    </w:rPr>
  </w:style>
  <w:style w:type="paragraph" w:customStyle="1" w:styleId="Bulletlevel3">
    <w:name w:val="Bullet level 3"/>
    <w:basedOn w:val="Bulletlevel1"/>
    <w:next w:val="Bulletlevel2"/>
    <w:qFormat/>
    <w:rsid w:val="00FD3169"/>
    <w:pPr>
      <w:tabs>
        <w:tab w:val="clear" w:pos="284"/>
        <w:tab w:val="left" w:pos="993"/>
      </w:tabs>
      <w:ind w:left="993"/>
    </w:pPr>
    <w:rPr>
      <w:color w:val="212121"/>
    </w:rPr>
  </w:style>
  <w:style w:type="paragraph" w:customStyle="1" w:styleId="Figurecaption">
    <w:name w:val="Figure caption"/>
    <w:basedOn w:val="BodyText"/>
    <w:qFormat/>
    <w:rsid w:val="008A1B21"/>
    <w:rPr>
      <w:sz w:val="20"/>
      <w:szCs w:val="20"/>
    </w:rPr>
  </w:style>
  <w:style w:type="character" w:styleId="Hyperlink">
    <w:name w:val="Hyperlink"/>
    <w:uiPriority w:val="99"/>
    <w:rsid w:val="00184480"/>
    <w:rPr>
      <w:color w:val="0000FF"/>
      <w:u w:val="single"/>
    </w:rPr>
  </w:style>
  <w:style w:type="character" w:customStyle="1" w:styleId="Heading4Char">
    <w:name w:val="Heading 4 Char"/>
    <w:basedOn w:val="DefaultParagraphFont"/>
    <w:link w:val="Heading4"/>
    <w:uiPriority w:val="9"/>
    <w:rsid w:val="0005685E"/>
    <w:rPr>
      <w:rFonts w:ascii="Arial" w:eastAsia="Times New Roman" w:hAnsi="Arial" w:cs="Arial"/>
      <w:bCs/>
      <w:color w:val="323232"/>
      <w:sz w:val="28"/>
      <w:szCs w:val="28"/>
      <w:lang w:eastAsia="en-US"/>
    </w:rPr>
  </w:style>
  <w:style w:type="paragraph" w:customStyle="1" w:styleId="TitleA">
    <w:name w:val="Title_A"/>
    <w:basedOn w:val="Heading1"/>
    <w:qFormat/>
    <w:rsid w:val="00861E1B"/>
    <w:rPr>
      <w:color w:val="FFFFFF"/>
    </w:rPr>
  </w:style>
  <w:style w:type="paragraph" w:styleId="TOC2">
    <w:name w:val="toc 2"/>
    <w:basedOn w:val="TOC1"/>
    <w:next w:val="Normal"/>
    <w:autoRedefine/>
    <w:uiPriority w:val="39"/>
    <w:unhideWhenUsed/>
    <w:rsid w:val="00F373D8"/>
    <w:pPr>
      <w:tabs>
        <w:tab w:val="clear" w:pos="9016"/>
        <w:tab w:val="right" w:leader="dot" w:pos="9029"/>
      </w:tabs>
      <w:spacing w:before="80"/>
      <w:ind w:left="425"/>
    </w:pPr>
  </w:style>
  <w:style w:type="paragraph" w:styleId="TOC1">
    <w:name w:val="toc 1"/>
    <w:basedOn w:val="Normal"/>
    <w:next w:val="Normal"/>
    <w:autoRedefine/>
    <w:uiPriority w:val="39"/>
    <w:unhideWhenUsed/>
    <w:rsid w:val="00F122F6"/>
    <w:pPr>
      <w:tabs>
        <w:tab w:val="right" w:leader="dot" w:pos="9016"/>
      </w:tabs>
      <w:spacing w:before="320" w:after="0" w:line="240" w:lineRule="auto"/>
    </w:pPr>
    <w:rPr>
      <w:noProof/>
    </w:rPr>
  </w:style>
  <w:style w:type="paragraph" w:styleId="CommentSubject">
    <w:name w:val="annotation subject"/>
    <w:basedOn w:val="CommentText"/>
    <w:next w:val="CommentText"/>
    <w:link w:val="CommentSubjectChar"/>
    <w:uiPriority w:val="99"/>
    <w:semiHidden/>
    <w:unhideWhenUsed/>
    <w:rsid w:val="00D228B8"/>
    <w:rPr>
      <w:rFonts w:eastAsia="Calibri"/>
      <w:b/>
      <w:bCs/>
      <w:lang w:val="en-AU" w:bidi="ar-SA"/>
    </w:rPr>
  </w:style>
  <w:style w:type="character" w:customStyle="1" w:styleId="CommentSubjectChar">
    <w:name w:val="Comment Subject Char"/>
    <w:basedOn w:val="CommentTextChar"/>
    <w:link w:val="CommentSubject"/>
    <w:uiPriority w:val="99"/>
    <w:semiHidden/>
    <w:rsid w:val="00D228B8"/>
    <w:rPr>
      <w:rFonts w:eastAsia="Times New Roman"/>
      <w:b/>
      <w:bCs/>
      <w:lang w:val="en-US" w:eastAsia="en-US" w:bidi="en-US"/>
    </w:rPr>
  </w:style>
  <w:style w:type="paragraph" w:customStyle="1" w:styleId="TablebodyBold">
    <w:name w:val="Table body Bold"/>
    <w:basedOn w:val="Tablebody"/>
    <w:qFormat/>
    <w:rsid w:val="007F2D82"/>
    <w:rPr>
      <w:b/>
    </w:rPr>
  </w:style>
  <w:style w:type="paragraph" w:customStyle="1" w:styleId="DocumentsubTitle">
    <w:name w:val="Document subTitle"/>
    <w:basedOn w:val="Normal"/>
    <w:qFormat/>
    <w:rsid w:val="00DF2621"/>
    <w:pPr>
      <w:spacing w:after="360" w:line="500" w:lineRule="exact"/>
    </w:pPr>
    <w:rPr>
      <w:rFonts w:ascii="Arial" w:eastAsia="Times New Roman" w:hAnsi="Arial" w:cs="Arial"/>
      <w:color w:val="002677" w:themeColor="accent1"/>
      <w:sz w:val="40"/>
      <w:szCs w:val="40"/>
    </w:rPr>
  </w:style>
  <w:style w:type="paragraph" w:styleId="Title">
    <w:name w:val="Title"/>
    <w:basedOn w:val="Normal"/>
    <w:next w:val="Normal"/>
    <w:link w:val="TitleChar"/>
    <w:uiPriority w:val="10"/>
    <w:qFormat/>
    <w:rsid w:val="00294F1A"/>
    <w:pPr>
      <w:spacing w:after="300" w:line="240" w:lineRule="auto"/>
      <w:contextualSpacing/>
    </w:pPr>
    <w:rPr>
      <w:rFonts w:ascii="Arial" w:eastAsiaTheme="majorEastAsia" w:hAnsi="Arial" w:cs="Arial"/>
      <w:caps/>
      <w:color w:val="17365D" w:themeColor="text2" w:themeShade="BF"/>
      <w:spacing w:val="5"/>
      <w:kern w:val="28"/>
      <w:sz w:val="64"/>
      <w:szCs w:val="64"/>
    </w:rPr>
  </w:style>
  <w:style w:type="character" w:customStyle="1" w:styleId="TitleChar">
    <w:name w:val="Title Char"/>
    <w:basedOn w:val="DefaultParagraphFont"/>
    <w:link w:val="Title"/>
    <w:uiPriority w:val="10"/>
    <w:rsid w:val="00294F1A"/>
    <w:rPr>
      <w:rFonts w:ascii="Arial" w:eastAsiaTheme="majorEastAsia" w:hAnsi="Arial" w:cs="Arial"/>
      <w:caps/>
      <w:color w:val="17365D" w:themeColor="text2" w:themeShade="BF"/>
      <w:spacing w:val="5"/>
      <w:kern w:val="28"/>
      <w:sz w:val="64"/>
      <w:szCs w:val="64"/>
      <w:lang w:eastAsia="en-US"/>
    </w:rPr>
  </w:style>
  <w:style w:type="paragraph" w:customStyle="1" w:styleId="Bulletlevel2-end">
    <w:name w:val="Bullet level 2 - end"/>
    <w:basedOn w:val="Bulletlevel2"/>
    <w:qFormat/>
    <w:rsid w:val="00061582"/>
    <w:pPr>
      <w:tabs>
        <w:tab w:val="clear" w:pos="567"/>
        <w:tab w:val="left" w:pos="709"/>
      </w:tabs>
      <w:spacing w:after="280"/>
      <w:ind w:left="714" w:hanging="406"/>
    </w:pPr>
  </w:style>
  <w:style w:type="character" w:customStyle="1" w:styleId="Heading5Char">
    <w:name w:val="Heading 5 Char"/>
    <w:basedOn w:val="DefaultParagraphFont"/>
    <w:link w:val="Heading5"/>
    <w:uiPriority w:val="9"/>
    <w:rsid w:val="005A74FF"/>
    <w:rPr>
      <w:rFonts w:ascii="Arial" w:eastAsia="Times New Roman" w:hAnsi="Arial" w:cs="Arial"/>
      <w:bCs/>
      <w:i/>
      <w:color w:val="303031" w:themeColor="accent3" w:themeShade="BF"/>
      <w:sz w:val="24"/>
      <w:szCs w:val="24"/>
      <w:lang w:eastAsia="en-US"/>
    </w:rPr>
  </w:style>
  <w:style w:type="paragraph" w:styleId="TOC3">
    <w:name w:val="toc 3"/>
    <w:basedOn w:val="TOC2"/>
    <w:next w:val="Normal"/>
    <w:autoRedefine/>
    <w:uiPriority w:val="39"/>
    <w:unhideWhenUsed/>
    <w:rsid w:val="00B6772A"/>
    <w:pPr>
      <w:spacing w:after="100"/>
      <w:ind w:left="992"/>
    </w:pPr>
  </w:style>
  <w:style w:type="paragraph" w:styleId="TOCHeading">
    <w:name w:val="TOC Heading"/>
    <w:basedOn w:val="Heading1"/>
    <w:next w:val="Normal"/>
    <w:uiPriority w:val="39"/>
    <w:unhideWhenUsed/>
    <w:qFormat/>
    <w:rsid w:val="006E71A5"/>
    <w:pPr>
      <w:spacing w:after="1000"/>
    </w:pPr>
  </w:style>
  <w:style w:type="paragraph" w:customStyle="1" w:styleId="TOClevel1">
    <w:name w:val="TOC level 1"/>
    <w:basedOn w:val="TOC1"/>
    <w:qFormat/>
    <w:rsid w:val="001600FA"/>
    <w:pPr>
      <w:tabs>
        <w:tab w:val="clear" w:pos="9016"/>
        <w:tab w:val="right" w:leader="dot" w:pos="9043"/>
      </w:tabs>
      <w:spacing w:after="120"/>
    </w:pPr>
    <w:rPr>
      <w:sz w:val="24"/>
      <w:szCs w:val="24"/>
    </w:rPr>
  </w:style>
  <w:style w:type="paragraph" w:customStyle="1" w:styleId="TOCLevel2">
    <w:name w:val="TOC Level 2"/>
    <w:basedOn w:val="TOC2"/>
    <w:qFormat/>
    <w:rsid w:val="00F373D8"/>
    <w:pPr>
      <w:tabs>
        <w:tab w:val="clear" w:pos="9029"/>
        <w:tab w:val="right" w:leader="dot" w:pos="9043"/>
      </w:tabs>
      <w:spacing w:before="60" w:after="120"/>
    </w:pPr>
  </w:style>
  <w:style w:type="paragraph" w:customStyle="1" w:styleId="TOClevel3">
    <w:name w:val="TOC level 3"/>
    <w:basedOn w:val="TOCLevel2"/>
    <w:qFormat/>
    <w:rsid w:val="00F373D8"/>
    <w:pPr>
      <w:ind w:left="992"/>
    </w:pPr>
  </w:style>
  <w:style w:type="paragraph" w:customStyle="1" w:styleId="Figureheading">
    <w:name w:val="Figure heading"/>
    <w:basedOn w:val="BodyText"/>
    <w:qFormat/>
    <w:rsid w:val="002A0163"/>
    <w:pPr>
      <w:spacing w:before="240" w:after="120"/>
    </w:pPr>
    <w:rPr>
      <w:b/>
    </w:rPr>
  </w:style>
  <w:style w:type="character" w:styleId="FootnoteReference">
    <w:name w:val="footnote reference"/>
    <w:basedOn w:val="DefaultParagraphFont"/>
    <w:uiPriority w:val="99"/>
    <w:unhideWhenUsed/>
    <w:rsid w:val="002A0163"/>
  </w:style>
  <w:style w:type="paragraph" w:styleId="FootnoteText">
    <w:name w:val="footnote text"/>
    <w:aliases w:val="Footnote Text/Endnotes"/>
    <w:basedOn w:val="Normal"/>
    <w:link w:val="FootnoteTextChar"/>
    <w:uiPriority w:val="99"/>
    <w:unhideWhenUsed/>
    <w:rsid w:val="0005626F"/>
    <w:pPr>
      <w:tabs>
        <w:tab w:val="left" w:pos="142"/>
      </w:tabs>
      <w:spacing w:after="60" w:line="240" w:lineRule="auto"/>
      <w:ind w:left="142" w:hanging="142"/>
    </w:pPr>
    <w:rPr>
      <w:color w:val="323232"/>
      <w:sz w:val="20"/>
      <w:szCs w:val="20"/>
    </w:rPr>
  </w:style>
  <w:style w:type="character" w:customStyle="1" w:styleId="FootnoteTextChar">
    <w:name w:val="Footnote Text Char"/>
    <w:aliases w:val="Footnote Text/Endnotes Char"/>
    <w:basedOn w:val="DefaultParagraphFont"/>
    <w:link w:val="FootnoteText"/>
    <w:uiPriority w:val="99"/>
    <w:rsid w:val="0005626F"/>
    <w:rPr>
      <w:color w:val="323232"/>
      <w:lang w:eastAsia="en-US"/>
    </w:rPr>
  </w:style>
  <w:style w:type="paragraph" w:customStyle="1" w:styleId="BodyCopy">
    <w:name w:val="Body Copy"/>
    <w:basedOn w:val="BodyText"/>
    <w:qFormat/>
    <w:rsid w:val="0005685E"/>
    <w:rPr>
      <w:color w:val="303031" w:themeColor="accent3" w:themeShade="BF"/>
    </w:rPr>
  </w:style>
  <w:style w:type="paragraph" w:customStyle="1" w:styleId="FootnoteEndnotetext">
    <w:name w:val="Footnote/Endnote text"/>
    <w:basedOn w:val="FootnoteText"/>
    <w:qFormat/>
    <w:rsid w:val="003172CB"/>
  </w:style>
  <w:style w:type="paragraph" w:customStyle="1" w:styleId="DocumentTitle">
    <w:name w:val="Document Title"/>
    <w:basedOn w:val="Title"/>
    <w:qFormat/>
    <w:rsid w:val="00DF2621"/>
    <w:rPr>
      <w:caps w:val="0"/>
      <w:color w:val="FFFFFF" w:themeColor="background1"/>
      <w:sz w:val="72"/>
      <w:szCs w:val="72"/>
    </w:rPr>
  </w:style>
  <w:style w:type="paragraph" w:customStyle="1" w:styleId="DateorDraft">
    <w:name w:val="Date or Draft"/>
    <w:basedOn w:val="DocumentsubTitle"/>
    <w:qFormat/>
    <w:rsid w:val="000F1EB3"/>
    <w:rPr>
      <w:sz w:val="24"/>
      <w:szCs w:val="24"/>
    </w:rPr>
  </w:style>
  <w:style w:type="paragraph" w:styleId="Caption">
    <w:name w:val="caption"/>
    <w:basedOn w:val="Normal"/>
    <w:next w:val="Normal"/>
    <w:uiPriority w:val="35"/>
    <w:unhideWhenUsed/>
    <w:qFormat/>
    <w:rsid w:val="002C75BC"/>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A31F5A"/>
    <w:rPr>
      <w:color w:val="800080" w:themeColor="followedHyperlink"/>
      <w:u w:val="single"/>
    </w:rPr>
  </w:style>
  <w:style w:type="character" w:styleId="UnresolvedMention">
    <w:name w:val="Unresolved Mention"/>
    <w:basedOn w:val="DefaultParagraphFont"/>
    <w:uiPriority w:val="99"/>
    <w:semiHidden/>
    <w:unhideWhenUsed/>
    <w:rsid w:val="00A31F5A"/>
    <w:rPr>
      <w:color w:val="605E5C"/>
      <w:shd w:val="clear" w:color="auto" w:fill="E1DFDD"/>
    </w:rPr>
  </w:style>
  <w:style w:type="paragraph" w:styleId="Revision">
    <w:name w:val="Revision"/>
    <w:hidden/>
    <w:uiPriority w:val="99"/>
    <w:semiHidden/>
    <w:rsid w:val="00375A09"/>
    <w:rPr>
      <w:sz w:val="22"/>
      <w:szCs w:val="22"/>
      <w:lang w:eastAsia="en-US"/>
    </w:rPr>
  </w:style>
  <w:style w:type="paragraph" w:customStyle="1" w:styleId="Division">
    <w:name w:val="Division"/>
    <w:basedOn w:val="Normal"/>
    <w:qFormat/>
    <w:rsid w:val="007A49E2"/>
    <w:pPr>
      <w:spacing w:after="0" w:line="400" w:lineRule="exact"/>
    </w:pPr>
    <w:rPr>
      <w:rFonts w:ascii="Arial" w:hAnsi="Arial"/>
      <w:color w:val="FFFFFF" w:themeColor="background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7090">
      <w:bodyDiv w:val="1"/>
      <w:marLeft w:val="0"/>
      <w:marRight w:val="0"/>
      <w:marTop w:val="0"/>
      <w:marBottom w:val="0"/>
      <w:divBdr>
        <w:top w:val="none" w:sz="0" w:space="0" w:color="auto"/>
        <w:left w:val="none" w:sz="0" w:space="0" w:color="auto"/>
        <w:bottom w:val="none" w:sz="0" w:space="0" w:color="auto"/>
        <w:right w:val="none" w:sz="0" w:space="0" w:color="auto"/>
      </w:divBdr>
    </w:div>
    <w:div w:id="168713191">
      <w:bodyDiv w:val="1"/>
      <w:marLeft w:val="0"/>
      <w:marRight w:val="0"/>
      <w:marTop w:val="0"/>
      <w:marBottom w:val="0"/>
      <w:divBdr>
        <w:top w:val="none" w:sz="0" w:space="0" w:color="auto"/>
        <w:left w:val="none" w:sz="0" w:space="0" w:color="auto"/>
        <w:bottom w:val="none" w:sz="0" w:space="0" w:color="auto"/>
        <w:right w:val="none" w:sz="0" w:space="0" w:color="auto"/>
      </w:divBdr>
    </w:div>
    <w:div w:id="1772234981">
      <w:bodyDiv w:val="1"/>
      <w:marLeft w:val="0"/>
      <w:marRight w:val="0"/>
      <w:marTop w:val="0"/>
      <w:marBottom w:val="0"/>
      <w:divBdr>
        <w:top w:val="none" w:sz="0" w:space="0" w:color="auto"/>
        <w:left w:val="none" w:sz="0" w:space="0" w:color="auto"/>
        <w:bottom w:val="none" w:sz="0" w:space="0" w:color="auto"/>
        <w:right w:val="none" w:sz="0" w:space="0" w:color="auto"/>
      </w:divBdr>
      <w:divsChild>
        <w:div w:id="1013074976">
          <w:marLeft w:val="0"/>
          <w:marRight w:val="0"/>
          <w:marTop w:val="0"/>
          <w:marBottom w:val="0"/>
          <w:divBdr>
            <w:top w:val="none" w:sz="0" w:space="0" w:color="auto"/>
            <w:left w:val="none" w:sz="0" w:space="0" w:color="auto"/>
            <w:bottom w:val="none" w:sz="0" w:space="0" w:color="auto"/>
            <w:right w:val="none" w:sz="0" w:space="0" w:color="auto"/>
          </w:divBdr>
        </w:div>
        <w:div w:id="324357099">
          <w:marLeft w:val="0"/>
          <w:marRight w:val="0"/>
          <w:marTop w:val="0"/>
          <w:marBottom w:val="0"/>
          <w:divBdr>
            <w:top w:val="none" w:sz="0" w:space="0" w:color="auto"/>
            <w:left w:val="none" w:sz="0" w:space="0" w:color="auto"/>
            <w:bottom w:val="none" w:sz="0" w:space="0" w:color="auto"/>
            <w:right w:val="none" w:sz="0" w:space="0" w:color="auto"/>
          </w:divBdr>
        </w:div>
        <w:div w:id="378824275">
          <w:marLeft w:val="0"/>
          <w:marRight w:val="0"/>
          <w:marTop w:val="0"/>
          <w:marBottom w:val="0"/>
          <w:divBdr>
            <w:top w:val="none" w:sz="0" w:space="0" w:color="auto"/>
            <w:left w:val="none" w:sz="0" w:space="0" w:color="auto"/>
            <w:bottom w:val="none" w:sz="0" w:space="0" w:color="auto"/>
            <w:right w:val="none" w:sz="0" w:space="0" w:color="auto"/>
          </w:divBdr>
        </w:div>
        <w:div w:id="668295044">
          <w:marLeft w:val="0"/>
          <w:marRight w:val="0"/>
          <w:marTop w:val="0"/>
          <w:marBottom w:val="0"/>
          <w:divBdr>
            <w:top w:val="none" w:sz="0" w:space="0" w:color="auto"/>
            <w:left w:val="none" w:sz="0" w:space="0" w:color="auto"/>
            <w:bottom w:val="none" w:sz="0" w:space="0" w:color="auto"/>
            <w:right w:val="none" w:sz="0" w:space="0" w:color="auto"/>
          </w:divBdr>
        </w:div>
        <w:div w:id="1670715444">
          <w:marLeft w:val="0"/>
          <w:marRight w:val="0"/>
          <w:marTop w:val="0"/>
          <w:marBottom w:val="0"/>
          <w:divBdr>
            <w:top w:val="none" w:sz="0" w:space="0" w:color="auto"/>
            <w:left w:val="none" w:sz="0" w:space="0" w:color="auto"/>
            <w:bottom w:val="none" w:sz="0" w:space="0" w:color="auto"/>
            <w:right w:val="none" w:sz="0" w:space="0" w:color="auto"/>
          </w:divBdr>
        </w:div>
        <w:div w:id="167260686">
          <w:marLeft w:val="0"/>
          <w:marRight w:val="0"/>
          <w:marTop w:val="0"/>
          <w:marBottom w:val="0"/>
          <w:divBdr>
            <w:top w:val="none" w:sz="0" w:space="0" w:color="auto"/>
            <w:left w:val="none" w:sz="0" w:space="0" w:color="auto"/>
            <w:bottom w:val="none" w:sz="0" w:space="0" w:color="auto"/>
            <w:right w:val="none" w:sz="0" w:space="0" w:color="auto"/>
          </w:divBdr>
        </w:div>
        <w:div w:id="1309898908">
          <w:marLeft w:val="0"/>
          <w:marRight w:val="0"/>
          <w:marTop w:val="0"/>
          <w:marBottom w:val="0"/>
          <w:divBdr>
            <w:top w:val="none" w:sz="0" w:space="0" w:color="auto"/>
            <w:left w:val="none" w:sz="0" w:space="0" w:color="auto"/>
            <w:bottom w:val="none" w:sz="0" w:space="0" w:color="auto"/>
            <w:right w:val="none" w:sz="0" w:space="0" w:color="auto"/>
          </w:divBdr>
        </w:div>
        <w:div w:id="528107955">
          <w:marLeft w:val="0"/>
          <w:marRight w:val="0"/>
          <w:marTop w:val="0"/>
          <w:marBottom w:val="0"/>
          <w:divBdr>
            <w:top w:val="none" w:sz="0" w:space="0" w:color="auto"/>
            <w:left w:val="none" w:sz="0" w:space="0" w:color="auto"/>
            <w:bottom w:val="none" w:sz="0" w:space="0" w:color="auto"/>
            <w:right w:val="none" w:sz="0" w:space="0" w:color="auto"/>
          </w:divBdr>
        </w:div>
      </w:divsChild>
    </w:div>
    <w:div w:id="21423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AODPolicy@act.gov.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health.act.gov.au/sites/default/files/2018-09/Opioid%20Maintenance%20Treatment%20in%20the%20ACT%20-%20Local%20Policies%20and%20Procedures%202018.pdf"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yperlink" Target="https://www.covid19.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act.gov.au/sites/default/files/2018-09/Opioid%20Maintenance%20Treatment%20in%20the%20ACT%20-%20Local%20Policies%20and%20Procedures%202018.pdf" TargetMode="External"/><Relationship Id="rId32"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egislation.act.gov.au/View/ni/2019-663/current/PDF/2019-663.PDF" TargetMode="External"/><Relationship Id="rId28" Type="http://schemas.openxmlformats.org/officeDocument/2006/relationships/hyperlink" Target="https://www.facebook.com/healthgovau" TargetMode="Externa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health.act.gov.au/sites/default/files/2020-02/Medicines%20and%20Poisons%20-%20Application%20for%20approval%20to%20prescribe%20a%20controlled%20medici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health.gov.au/news/health-alerts/novel-coronavirus-2019-ncov-health-alert" TargetMode="External"/><Relationship Id="rId30" Type="http://schemas.openxmlformats.org/officeDocument/2006/relationships/hyperlink" Target="https://www.facebook.com/ACTHealthDirectorat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ACTH Colours">
      <a:dk1>
        <a:srgbClr val="3C3C3C"/>
      </a:dk1>
      <a:lt1>
        <a:sysClr val="window" lastClr="FFFFFF"/>
      </a:lt1>
      <a:dk2>
        <a:srgbClr val="1F497D"/>
      </a:dk2>
      <a:lt2>
        <a:srgbClr val="EEECE1"/>
      </a:lt2>
      <a:accent1>
        <a:srgbClr val="002677"/>
      </a:accent1>
      <a:accent2>
        <a:srgbClr val="87D1D4"/>
      </a:accent2>
      <a:accent3>
        <a:srgbClr val="414042"/>
      </a:accent3>
      <a:accent4>
        <a:srgbClr val="007C75"/>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4" ma:contentTypeDescription="Create a new document." ma:contentTypeScope="" ma:versionID="c050060d99c501b3ab15ce3551ac0a87">
  <xsd:schema xmlns:xsd="http://www.w3.org/2001/XMLSchema" xmlns:xs="http://www.w3.org/2001/XMLSchema" xmlns:p="http://schemas.microsoft.com/office/2006/metadata/properties" xmlns:ns2="f6c841be-bb08-4901-87b0-0033aa80d2c6" targetNamespace="http://schemas.microsoft.com/office/2006/metadata/properties" ma:root="true" ma:fieldsID="301b8bd1dce2fe06e2c642ce679eeb81"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E330E-0344-4B2F-A043-BD32E647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79897-FEE6-4EBF-9EAB-16EC758F2F85}">
  <ds:schemaRefs>
    <ds:schemaRef ds:uri="http://purl.org/dc/elements/1.1/"/>
    <ds:schemaRef ds:uri="http://purl.org/dc/terms/"/>
    <ds:schemaRef ds:uri="http://schemas.openxmlformats.org/package/2006/metadata/core-properties"/>
    <ds:schemaRef ds:uri="f6c841be-bb08-4901-87b0-0033aa80d2c6"/>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43FC0D-CFF9-41D1-ACEB-C015B8CBE997}">
  <ds:schemaRefs>
    <ds:schemaRef ds:uri="http://schemas.microsoft.com/sharepoint/v3/contenttype/forms"/>
  </ds:schemaRefs>
</ds:datastoreItem>
</file>

<file path=customXml/itemProps4.xml><?xml version="1.0" encoding="utf-8"?>
<ds:datastoreItem xmlns:ds="http://schemas.openxmlformats.org/officeDocument/2006/customXml" ds:itemID="{525F7FFF-1643-4482-9DB4-246760F2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3592</Words>
  <Characters>20720</Characters>
  <Application>Microsoft Office Word</Application>
  <DocSecurity>0</DocSecurity>
  <Lines>425</Lines>
  <Paragraphs>196</Paragraphs>
  <ScaleCrop>false</ScaleCrop>
  <HeadingPairs>
    <vt:vector size="2" baseType="variant">
      <vt:variant>
        <vt:lpstr>Title</vt:lpstr>
      </vt:variant>
      <vt:variant>
        <vt:i4>1</vt:i4>
      </vt:variant>
    </vt:vector>
  </HeadingPairs>
  <TitlesOfParts>
    <vt:vector size="1" baseType="lpstr">
      <vt:lpstr>ACT Health Directorate Report Template - External</vt:lpstr>
    </vt:vector>
  </TitlesOfParts>
  <Company>ACT Government</Company>
  <LinksUpToDate>false</LinksUpToDate>
  <CharactersWithSpaces>24183</CharactersWithSpaces>
  <SharedDoc>false</SharedDoc>
  <HLinks>
    <vt:vector size="144" baseType="variant">
      <vt:variant>
        <vt:i4>6291572</vt:i4>
      </vt:variant>
      <vt:variant>
        <vt:i4>132</vt:i4>
      </vt:variant>
      <vt:variant>
        <vt:i4>0</vt:i4>
      </vt:variant>
      <vt:variant>
        <vt:i4>5</vt:i4>
      </vt:variant>
      <vt:variant>
        <vt:lpwstr>http://www.health.act.gov.au/accessibility</vt:lpwstr>
      </vt:variant>
      <vt:variant>
        <vt:lpwstr/>
      </vt:variant>
      <vt:variant>
        <vt:i4>5898256</vt:i4>
      </vt:variant>
      <vt:variant>
        <vt:i4>129</vt:i4>
      </vt:variant>
      <vt:variant>
        <vt:i4>0</vt:i4>
      </vt:variant>
      <vt:variant>
        <vt:i4>5</vt:i4>
      </vt:variant>
      <vt:variant>
        <vt:lpwstr>mailto:Belle.thompson.act.gov.au</vt:lpwstr>
      </vt:variant>
      <vt:variant>
        <vt:lpwstr/>
      </vt:variant>
      <vt:variant>
        <vt:i4>327718</vt:i4>
      </vt:variant>
      <vt:variant>
        <vt:i4>126</vt:i4>
      </vt:variant>
      <vt:variant>
        <vt:i4>0</vt:i4>
      </vt:variant>
      <vt:variant>
        <vt:i4>5</vt:i4>
      </vt:variant>
      <vt:variant>
        <vt:lpwstr>mailto:Rachel.hawes@act.gov.au</vt:lpwstr>
      </vt:variant>
      <vt:variant>
        <vt:lpwstr/>
      </vt:variant>
      <vt:variant>
        <vt:i4>5046397</vt:i4>
      </vt:variant>
      <vt:variant>
        <vt:i4>123</vt:i4>
      </vt:variant>
      <vt:variant>
        <vt:i4>0</vt:i4>
      </vt:variant>
      <vt:variant>
        <vt:i4>5</vt:i4>
      </vt:variant>
      <vt:variant>
        <vt:lpwstr>mailto:CSF@health.act.gov.au</vt:lpwstr>
      </vt:variant>
      <vt:variant>
        <vt:lpwstr/>
      </vt:variant>
      <vt:variant>
        <vt:i4>1900602</vt:i4>
      </vt:variant>
      <vt:variant>
        <vt:i4>116</vt:i4>
      </vt:variant>
      <vt:variant>
        <vt:i4>0</vt:i4>
      </vt:variant>
      <vt:variant>
        <vt:i4>5</vt:i4>
      </vt:variant>
      <vt:variant>
        <vt:lpwstr/>
      </vt:variant>
      <vt:variant>
        <vt:lpwstr>_Toc474498311</vt:lpwstr>
      </vt:variant>
      <vt:variant>
        <vt:i4>1835066</vt:i4>
      </vt:variant>
      <vt:variant>
        <vt:i4>110</vt:i4>
      </vt:variant>
      <vt:variant>
        <vt:i4>0</vt:i4>
      </vt:variant>
      <vt:variant>
        <vt:i4>5</vt:i4>
      </vt:variant>
      <vt:variant>
        <vt:lpwstr/>
      </vt:variant>
      <vt:variant>
        <vt:lpwstr>_Toc474498305</vt:lpwstr>
      </vt:variant>
      <vt:variant>
        <vt:i4>1835066</vt:i4>
      </vt:variant>
      <vt:variant>
        <vt:i4>104</vt:i4>
      </vt:variant>
      <vt:variant>
        <vt:i4>0</vt:i4>
      </vt:variant>
      <vt:variant>
        <vt:i4>5</vt:i4>
      </vt:variant>
      <vt:variant>
        <vt:lpwstr/>
      </vt:variant>
      <vt:variant>
        <vt:lpwstr>_Toc474498304</vt:lpwstr>
      </vt:variant>
      <vt:variant>
        <vt:i4>1835066</vt:i4>
      </vt:variant>
      <vt:variant>
        <vt:i4>98</vt:i4>
      </vt:variant>
      <vt:variant>
        <vt:i4>0</vt:i4>
      </vt:variant>
      <vt:variant>
        <vt:i4>5</vt:i4>
      </vt:variant>
      <vt:variant>
        <vt:lpwstr/>
      </vt:variant>
      <vt:variant>
        <vt:lpwstr>_Toc474498303</vt:lpwstr>
      </vt:variant>
      <vt:variant>
        <vt:i4>1835066</vt:i4>
      </vt:variant>
      <vt:variant>
        <vt:i4>92</vt:i4>
      </vt:variant>
      <vt:variant>
        <vt:i4>0</vt:i4>
      </vt:variant>
      <vt:variant>
        <vt:i4>5</vt:i4>
      </vt:variant>
      <vt:variant>
        <vt:lpwstr/>
      </vt:variant>
      <vt:variant>
        <vt:lpwstr>_Toc474498302</vt:lpwstr>
      </vt:variant>
      <vt:variant>
        <vt:i4>1835066</vt:i4>
      </vt:variant>
      <vt:variant>
        <vt:i4>86</vt:i4>
      </vt:variant>
      <vt:variant>
        <vt:i4>0</vt:i4>
      </vt:variant>
      <vt:variant>
        <vt:i4>5</vt:i4>
      </vt:variant>
      <vt:variant>
        <vt:lpwstr/>
      </vt:variant>
      <vt:variant>
        <vt:lpwstr>_Toc474498301</vt:lpwstr>
      </vt:variant>
      <vt:variant>
        <vt:i4>1835066</vt:i4>
      </vt:variant>
      <vt:variant>
        <vt:i4>80</vt:i4>
      </vt:variant>
      <vt:variant>
        <vt:i4>0</vt:i4>
      </vt:variant>
      <vt:variant>
        <vt:i4>5</vt:i4>
      </vt:variant>
      <vt:variant>
        <vt:lpwstr/>
      </vt:variant>
      <vt:variant>
        <vt:lpwstr>_Toc474498300</vt:lpwstr>
      </vt:variant>
      <vt:variant>
        <vt:i4>1376315</vt:i4>
      </vt:variant>
      <vt:variant>
        <vt:i4>74</vt:i4>
      </vt:variant>
      <vt:variant>
        <vt:i4>0</vt:i4>
      </vt:variant>
      <vt:variant>
        <vt:i4>5</vt:i4>
      </vt:variant>
      <vt:variant>
        <vt:lpwstr/>
      </vt:variant>
      <vt:variant>
        <vt:lpwstr>_Toc474498299</vt:lpwstr>
      </vt:variant>
      <vt:variant>
        <vt:i4>1376315</vt:i4>
      </vt:variant>
      <vt:variant>
        <vt:i4>68</vt:i4>
      </vt:variant>
      <vt:variant>
        <vt:i4>0</vt:i4>
      </vt:variant>
      <vt:variant>
        <vt:i4>5</vt:i4>
      </vt:variant>
      <vt:variant>
        <vt:lpwstr/>
      </vt:variant>
      <vt:variant>
        <vt:lpwstr>_Toc474498298</vt:lpwstr>
      </vt:variant>
      <vt:variant>
        <vt:i4>1376315</vt:i4>
      </vt:variant>
      <vt:variant>
        <vt:i4>62</vt:i4>
      </vt:variant>
      <vt:variant>
        <vt:i4>0</vt:i4>
      </vt:variant>
      <vt:variant>
        <vt:i4>5</vt:i4>
      </vt:variant>
      <vt:variant>
        <vt:lpwstr/>
      </vt:variant>
      <vt:variant>
        <vt:lpwstr>_Toc474498297</vt:lpwstr>
      </vt:variant>
      <vt:variant>
        <vt:i4>1376315</vt:i4>
      </vt:variant>
      <vt:variant>
        <vt:i4>56</vt:i4>
      </vt:variant>
      <vt:variant>
        <vt:i4>0</vt:i4>
      </vt:variant>
      <vt:variant>
        <vt:i4>5</vt:i4>
      </vt:variant>
      <vt:variant>
        <vt:lpwstr/>
      </vt:variant>
      <vt:variant>
        <vt:lpwstr>_Toc474498296</vt:lpwstr>
      </vt:variant>
      <vt:variant>
        <vt:i4>1376315</vt:i4>
      </vt:variant>
      <vt:variant>
        <vt:i4>50</vt:i4>
      </vt:variant>
      <vt:variant>
        <vt:i4>0</vt:i4>
      </vt:variant>
      <vt:variant>
        <vt:i4>5</vt:i4>
      </vt:variant>
      <vt:variant>
        <vt:lpwstr/>
      </vt:variant>
      <vt:variant>
        <vt:lpwstr>_Toc474498295</vt:lpwstr>
      </vt:variant>
      <vt:variant>
        <vt:i4>1376315</vt:i4>
      </vt:variant>
      <vt:variant>
        <vt:i4>44</vt:i4>
      </vt:variant>
      <vt:variant>
        <vt:i4>0</vt:i4>
      </vt:variant>
      <vt:variant>
        <vt:i4>5</vt:i4>
      </vt:variant>
      <vt:variant>
        <vt:lpwstr/>
      </vt:variant>
      <vt:variant>
        <vt:lpwstr>_Toc474498294</vt:lpwstr>
      </vt:variant>
      <vt:variant>
        <vt:i4>1376315</vt:i4>
      </vt:variant>
      <vt:variant>
        <vt:i4>38</vt:i4>
      </vt:variant>
      <vt:variant>
        <vt:i4>0</vt:i4>
      </vt:variant>
      <vt:variant>
        <vt:i4>5</vt:i4>
      </vt:variant>
      <vt:variant>
        <vt:lpwstr/>
      </vt:variant>
      <vt:variant>
        <vt:lpwstr>_Toc474498293</vt:lpwstr>
      </vt:variant>
      <vt:variant>
        <vt:i4>1376315</vt:i4>
      </vt:variant>
      <vt:variant>
        <vt:i4>32</vt:i4>
      </vt:variant>
      <vt:variant>
        <vt:i4>0</vt:i4>
      </vt:variant>
      <vt:variant>
        <vt:i4>5</vt:i4>
      </vt:variant>
      <vt:variant>
        <vt:lpwstr/>
      </vt:variant>
      <vt:variant>
        <vt:lpwstr>_Toc474498292</vt:lpwstr>
      </vt:variant>
      <vt:variant>
        <vt:i4>1376315</vt:i4>
      </vt:variant>
      <vt:variant>
        <vt:i4>26</vt:i4>
      </vt:variant>
      <vt:variant>
        <vt:i4>0</vt:i4>
      </vt:variant>
      <vt:variant>
        <vt:i4>5</vt:i4>
      </vt:variant>
      <vt:variant>
        <vt:lpwstr/>
      </vt:variant>
      <vt:variant>
        <vt:lpwstr>_Toc474498291</vt:lpwstr>
      </vt:variant>
      <vt:variant>
        <vt:i4>1376315</vt:i4>
      </vt:variant>
      <vt:variant>
        <vt:i4>20</vt:i4>
      </vt:variant>
      <vt:variant>
        <vt:i4>0</vt:i4>
      </vt:variant>
      <vt:variant>
        <vt:i4>5</vt:i4>
      </vt:variant>
      <vt:variant>
        <vt:lpwstr/>
      </vt:variant>
      <vt:variant>
        <vt:lpwstr>_Toc474498290</vt:lpwstr>
      </vt:variant>
      <vt:variant>
        <vt:i4>1310779</vt:i4>
      </vt:variant>
      <vt:variant>
        <vt:i4>14</vt:i4>
      </vt:variant>
      <vt:variant>
        <vt:i4>0</vt:i4>
      </vt:variant>
      <vt:variant>
        <vt:i4>5</vt:i4>
      </vt:variant>
      <vt:variant>
        <vt:lpwstr/>
      </vt:variant>
      <vt:variant>
        <vt:lpwstr>_Toc474498289</vt:lpwstr>
      </vt:variant>
      <vt:variant>
        <vt:i4>1310779</vt:i4>
      </vt:variant>
      <vt:variant>
        <vt:i4>8</vt:i4>
      </vt:variant>
      <vt:variant>
        <vt:i4>0</vt:i4>
      </vt:variant>
      <vt:variant>
        <vt:i4>5</vt:i4>
      </vt:variant>
      <vt:variant>
        <vt:lpwstr/>
      </vt:variant>
      <vt:variant>
        <vt:lpwstr>_Toc474498288</vt:lpwstr>
      </vt:variant>
      <vt:variant>
        <vt:i4>1310779</vt:i4>
      </vt:variant>
      <vt:variant>
        <vt:i4>2</vt:i4>
      </vt:variant>
      <vt:variant>
        <vt:i4>0</vt:i4>
      </vt:variant>
      <vt:variant>
        <vt:i4>5</vt:i4>
      </vt:variant>
      <vt:variant>
        <vt:lpwstr/>
      </vt:variant>
      <vt:variant>
        <vt:lpwstr>_Toc474498285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Health Directorate Report Template - External</dc:title>
  <dc:creator>ACT Government</dc:creator>
  <cp:lastModifiedBy>Moxon, KarenL</cp:lastModifiedBy>
  <cp:revision>5</cp:revision>
  <cp:lastPrinted>2020-04-06T05:36:00Z</cp:lastPrinted>
  <dcterms:created xsi:type="dcterms:W3CDTF">2020-07-16T23:52:00Z</dcterms:created>
  <dcterms:modified xsi:type="dcterms:W3CDTF">2020-07-16T23:52:00Z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