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568EB" w14:textId="77777777" w:rsidR="000F4A8C" w:rsidRPr="001D21AA" w:rsidRDefault="000F4A8C" w:rsidP="000F4A8C">
      <w:pPr>
        <w:spacing w:before="120"/>
        <w:rPr>
          <w:rFonts w:ascii="Arial" w:hAnsi="Arial" w:cs="Arial"/>
        </w:rPr>
      </w:pPr>
      <w:bookmarkStart w:id="0" w:name="_Toc44738651"/>
      <w:bookmarkStart w:id="1" w:name="_GoBack"/>
      <w:bookmarkEnd w:id="1"/>
      <w:r w:rsidRPr="001D21AA">
        <w:rPr>
          <w:rFonts w:ascii="Arial" w:hAnsi="Arial" w:cs="Arial"/>
        </w:rPr>
        <w:t>Australian Capital Territory</w:t>
      </w:r>
    </w:p>
    <w:p w14:paraId="67D6BFCF" w14:textId="3183E92A" w:rsidR="000F4A8C" w:rsidRDefault="000F4A8C" w:rsidP="000F4A8C">
      <w:pPr>
        <w:spacing w:before="340"/>
        <w:rPr>
          <w:rFonts w:ascii="Arial" w:eastAsia="Times New Roman" w:hAnsi="Arial" w:cs="Times New Roman"/>
          <w:b/>
          <w:sz w:val="40"/>
          <w:szCs w:val="20"/>
        </w:rPr>
      </w:pPr>
      <w:r w:rsidRPr="00FB634E">
        <w:rPr>
          <w:rFonts w:ascii="Arial" w:eastAsia="Times New Roman" w:hAnsi="Arial" w:cs="Times New Roman"/>
          <w:b/>
          <w:sz w:val="40"/>
          <w:szCs w:val="20"/>
        </w:rPr>
        <w:t xml:space="preserve">Integrity Commission </w:t>
      </w:r>
      <w:r w:rsidR="003D3C0C">
        <w:rPr>
          <w:rFonts w:ascii="Arial" w:eastAsia="Times New Roman" w:hAnsi="Arial" w:cs="Times New Roman"/>
          <w:b/>
          <w:sz w:val="40"/>
          <w:szCs w:val="20"/>
        </w:rPr>
        <w:t>(</w:t>
      </w:r>
      <w:r>
        <w:rPr>
          <w:rFonts w:ascii="Arial" w:eastAsia="Times New Roman" w:hAnsi="Arial" w:cs="Times New Roman"/>
          <w:b/>
          <w:sz w:val="40"/>
          <w:szCs w:val="20"/>
        </w:rPr>
        <w:t>Personal Interest</w:t>
      </w:r>
      <w:r w:rsidR="003D3C0C">
        <w:rPr>
          <w:rFonts w:ascii="Arial" w:eastAsia="Times New Roman" w:hAnsi="Arial" w:cs="Times New Roman"/>
          <w:b/>
          <w:sz w:val="40"/>
          <w:szCs w:val="20"/>
        </w:rPr>
        <w:t>)</w:t>
      </w:r>
      <w:r w:rsidRPr="00FB634E">
        <w:rPr>
          <w:rFonts w:ascii="Arial" w:eastAsia="Times New Roman" w:hAnsi="Arial" w:cs="Times New Roman"/>
          <w:b/>
          <w:sz w:val="40"/>
          <w:szCs w:val="20"/>
        </w:rPr>
        <w:t xml:space="preserve"> Guidelines 20</w:t>
      </w:r>
      <w:r>
        <w:rPr>
          <w:rFonts w:ascii="Arial" w:eastAsia="Times New Roman" w:hAnsi="Arial" w:cs="Times New Roman"/>
          <w:b/>
          <w:sz w:val="40"/>
          <w:szCs w:val="20"/>
        </w:rPr>
        <w:t>20</w:t>
      </w:r>
    </w:p>
    <w:p w14:paraId="34894A22" w14:textId="30BE5096" w:rsidR="000F4A8C" w:rsidRPr="001D21AA" w:rsidRDefault="000F4A8C" w:rsidP="000F4A8C">
      <w:pPr>
        <w:spacing w:before="340"/>
        <w:rPr>
          <w:rFonts w:ascii="Arial" w:hAnsi="Arial" w:cs="Arial"/>
          <w:b/>
          <w:bCs/>
        </w:rPr>
      </w:pPr>
      <w:r w:rsidRPr="001D21AA">
        <w:rPr>
          <w:rFonts w:ascii="Arial" w:hAnsi="Arial" w:cs="Arial"/>
          <w:b/>
          <w:bCs/>
        </w:rPr>
        <w:t>Notifiable instrument NI20</w:t>
      </w:r>
      <w:r>
        <w:rPr>
          <w:rFonts w:ascii="Arial" w:hAnsi="Arial" w:cs="Arial"/>
          <w:b/>
          <w:bCs/>
        </w:rPr>
        <w:t>20</w:t>
      </w:r>
      <w:r w:rsidRPr="001D21AA">
        <w:rPr>
          <w:rFonts w:ascii="Arial" w:hAnsi="Arial" w:cs="Arial"/>
          <w:b/>
          <w:bCs/>
        </w:rPr>
        <w:t>–</w:t>
      </w:r>
      <w:r w:rsidR="001203EB">
        <w:rPr>
          <w:rFonts w:ascii="Arial" w:hAnsi="Arial" w:cs="Arial"/>
          <w:b/>
          <w:bCs/>
        </w:rPr>
        <w:t>482</w:t>
      </w:r>
    </w:p>
    <w:p w14:paraId="11EDBD57" w14:textId="77777777" w:rsidR="000F4A8C" w:rsidRPr="001D21AA" w:rsidRDefault="000F4A8C" w:rsidP="000F4A8C">
      <w:pPr>
        <w:pStyle w:val="madeunder"/>
        <w:spacing w:before="300" w:after="0"/>
      </w:pPr>
      <w:r w:rsidRPr="001D21AA">
        <w:t>made under the</w:t>
      </w:r>
    </w:p>
    <w:p w14:paraId="688574EA" w14:textId="7CD2125E" w:rsidR="000F4A8C" w:rsidRPr="000F4A8C" w:rsidRDefault="000F4A8C" w:rsidP="000F4A8C">
      <w:pPr>
        <w:pStyle w:val="CoverActName"/>
        <w:spacing w:before="320" w:after="0"/>
        <w:rPr>
          <w:rFonts w:cs="Arial"/>
          <w:szCs w:val="24"/>
        </w:rPr>
      </w:pPr>
      <w:r w:rsidRPr="000F4A8C">
        <w:rPr>
          <w:rFonts w:cs="Arial"/>
          <w:i/>
          <w:iCs/>
          <w:szCs w:val="24"/>
        </w:rPr>
        <w:t>Integrity Commission Act 2018</w:t>
      </w:r>
      <w:r w:rsidRPr="000F4A8C">
        <w:rPr>
          <w:rFonts w:cs="Arial"/>
          <w:szCs w:val="24"/>
        </w:rPr>
        <w:t>, section 50(4) (Personal interest guidelines)</w:t>
      </w:r>
    </w:p>
    <w:p w14:paraId="62E32BB1" w14:textId="77777777" w:rsidR="000F4A8C" w:rsidRPr="001D21AA" w:rsidRDefault="000F4A8C" w:rsidP="000F4A8C">
      <w:pPr>
        <w:pStyle w:val="N-line3"/>
        <w:pBdr>
          <w:bottom w:val="none" w:sz="0" w:space="0" w:color="auto"/>
        </w:pBdr>
        <w:spacing w:before="60"/>
      </w:pPr>
    </w:p>
    <w:p w14:paraId="40101AB7" w14:textId="77777777" w:rsidR="000F4A8C" w:rsidRPr="001D21AA" w:rsidRDefault="000F4A8C" w:rsidP="000F4A8C">
      <w:pPr>
        <w:pStyle w:val="N-line3"/>
        <w:pBdr>
          <w:top w:val="single" w:sz="12" w:space="1" w:color="auto"/>
          <w:bottom w:val="none" w:sz="0" w:space="0" w:color="auto"/>
        </w:pBdr>
      </w:pPr>
    </w:p>
    <w:p w14:paraId="44DDAA28" w14:textId="77777777" w:rsidR="000F4A8C" w:rsidRPr="001D21AA" w:rsidRDefault="000F4A8C" w:rsidP="000F4A8C">
      <w:pPr>
        <w:spacing w:before="60" w:after="60"/>
        <w:ind w:left="720" w:hanging="720"/>
        <w:rPr>
          <w:rFonts w:ascii="Arial" w:hAnsi="Arial" w:cs="Arial"/>
          <w:b/>
          <w:bCs/>
        </w:rPr>
      </w:pPr>
      <w:r w:rsidRPr="001D21AA">
        <w:rPr>
          <w:rFonts w:ascii="Arial" w:hAnsi="Arial" w:cs="Arial"/>
          <w:b/>
          <w:bCs/>
        </w:rPr>
        <w:t>1</w:t>
      </w:r>
      <w:r w:rsidRPr="001D21AA">
        <w:rPr>
          <w:rFonts w:ascii="Arial" w:hAnsi="Arial" w:cs="Arial"/>
          <w:b/>
          <w:bCs/>
        </w:rPr>
        <w:tab/>
        <w:t>Name of instrument</w:t>
      </w:r>
    </w:p>
    <w:p w14:paraId="06D5ABE8" w14:textId="2EFA54F5" w:rsidR="000F4A8C" w:rsidRPr="000F4A8C" w:rsidRDefault="000F4A8C" w:rsidP="000F4A8C">
      <w:pPr>
        <w:spacing w:before="140"/>
        <w:ind w:left="720"/>
        <w:rPr>
          <w:rFonts w:ascii="Times New Roman" w:hAnsi="Times New Roman" w:cs="Times New Roman"/>
        </w:rPr>
      </w:pPr>
      <w:r w:rsidRPr="000F4A8C">
        <w:rPr>
          <w:rFonts w:ascii="Times New Roman" w:hAnsi="Times New Roman" w:cs="Times New Roman"/>
        </w:rPr>
        <w:t xml:space="preserve">This instrument is the </w:t>
      </w:r>
      <w:r w:rsidRPr="000F4A8C">
        <w:rPr>
          <w:rFonts w:ascii="Times New Roman" w:hAnsi="Times New Roman" w:cs="Times New Roman"/>
          <w:i/>
        </w:rPr>
        <w:t xml:space="preserve">Integrity Commission </w:t>
      </w:r>
      <w:r w:rsidR="003D3C0C">
        <w:rPr>
          <w:rFonts w:ascii="Times New Roman" w:hAnsi="Times New Roman" w:cs="Times New Roman"/>
          <w:i/>
        </w:rPr>
        <w:t>(</w:t>
      </w:r>
      <w:r w:rsidRPr="000F4A8C">
        <w:rPr>
          <w:rFonts w:ascii="Times New Roman" w:hAnsi="Times New Roman" w:cs="Times New Roman"/>
          <w:i/>
        </w:rPr>
        <w:t>Personal Interest</w:t>
      </w:r>
      <w:r w:rsidR="003D3C0C">
        <w:rPr>
          <w:rFonts w:ascii="Times New Roman" w:hAnsi="Times New Roman" w:cs="Times New Roman"/>
          <w:i/>
        </w:rPr>
        <w:t>)</w:t>
      </w:r>
      <w:r w:rsidRPr="000F4A8C">
        <w:rPr>
          <w:rFonts w:ascii="Times New Roman" w:hAnsi="Times New Roman" w:cs="Times New Roman"/>
          <w:i/>
        </w:rPr>
        <w:t xml:space="preserve"> Guidelines 2020.</w:t>
      </w:r>
    </w:p>
    <w:p w14:paraId="4E30A1EC" w14:textId="77777777" w:rsidR="000F4A8C" w:rsidRPr="001D21AA" w:rsidRDefault="000F4A8C" w:rsidP="000F4A8C">
      <w:pPr>
        <w:spacing w:before="300"/>
        <w:ind w:left="720" w:hanging="720"/>
        <w:rPr>
          <w:rFonts w:ascii="Arial" w:hAnsi="Arial" w:cs="Arial"/>
          <w:b/>
          <w:bCs/>
        </w:rPr>
      </w:pPr>
      <w:r w:rsidRPr="001D21AA">
        <w:rPr>
          <w:rFonts w:ascii="Arial" w:hAnsi="Arial" w:cs="Arial"/>
          <w:b/>
          <w:bCs/>
        </w:rPr>
        <w:t>2</w:t>
      </w:r>
      <w:r w:rsidRPr="001D21AA">
        <w:rPr>
          <w:rFonts w:ascii="Arial" w:hAnsi="Arial" w:cs="Arial"/>
          <w:b/>
          <w:bCs/>
        </w:rPr>
        <w:tab/>
        <w:t xml:space="preserve">Commencement </w:t>
      </w:r>
    </w:p>
    <w:p w14:paraId="3AC0AEE1" w14:textId="77777777" w:rsidR="000F4A8C" w:rsidRPr="000F4A8C" w:rsidRDefault="000F4A8C" w:rsidP="000F4A8C">
      <w:pPr>
        <w:spacing w:before="140"/>
        <w:ind w:left="720"/>
        <w:rPr>
          <w:rFonts w:ascii="Times New Roman" w:hAnsi="Times New Roman" w:cs="Times New Roman"/>
        </w:rPr>
      </w:pPr>
      <w:r w:rsidRPr="000F4A8C">
        <w:rPr>
          <w:rFonts w:ascii="Times New Roman" w:hAnsi="Times New Roman" w:cs="Times New Roman"/>
        </w:rPr>
        <w:t xml:space="preserve">This instrument commences on the day after notification. </w:t>
      </w:r>
    </w:p>
    <w:p w14:paraId="0D01C6E8" w14:textId="4B01D778" w:rsidR="000F4A8C" w:rsidRPr="001D21AA" w:rsidRDefault="000F4A8C" w:rsidP="000F4A8C">
      <w:pPr>
        <w:spacing w:before="300"/>
        <w:ind w:left="720" w:hanging="720"/>
        <w:rPr>
          <w:rFonts w:ascii="Arial" w:hAnsi="Arial" w:cs="Arial"/>
          <w:b/>
          <w:bCs/>
        </w:rPr>
      </w:pPr>
      <w:r w:rsidRPr="001D21AA">
        <w:rPr>
          <w:rFonts w:ascii="Arial" w:hAnsi="Arial" w:cs="Arial"/>
          <w:b/>
          <w:bCs/>
        </w:rPr>
        <w:t>3</w:t>
      </w:r>
      <w:r w:rsidRPr="001D21AA">
        <w:rPr>
          <w:rFonts w:ascii="Arial" w:hAnsi="Arial" w:cs="Arial"/>
          <w:b/>
          <w:bCs/>
        </w:rPr>
        <w:tab/>
      </w:r>
      <w:r>
        <w:rPr>
          <w:rFonts w:ascii="Arial" w:hAnsi="Arial" w:cs="Arial"/>
          <w:b/>
          <w:bCs/>
        </w:rPr>
        <w:t>Commission’s</w:t>
      </w:r>
      <w:r w:rsidRPr="001D21AA">
        <w:rPr>
          <w:rFonts w:ascii="Arial" w:hAnsi="Arial" w:cs="Arial"/>
          <w:b/>
          <w:bCs/>
        </w:rPr>
        <w:t xml:space="preserve"> Guidelines</w:t>
      </w:r>
    </w:p>
    <w:p w14:paraId="18386B9B" w14:textId="1C3F339D" w:rsidR="000F4A8C" w:rsidRPr="000F4A8C" w:rsidRDefault="000F4A8C" w:rsidP="000F4A8C">
      <w:pPr>
        <w:spacing w:before="140"/>
        <w:ind w:left="720"/>
        <w:rPr>
          <w:rFonts w:ascii="Times New Roman" w:hAnsi="Times New Roman" w:cs="Times New Roman"/>
        </w:rPr>
      </w:pPr>
      <w:r w:rsidRPr="000F4A8C">
        <w:rPr>
          <w:rFonts w:ascii="Times New Roman" w:hAnsi="Times New Roman" w:cs="Times New Roman"/>
        </w:rPr>
        <w:t>I make the Commission’s Personal Interest Guidelines as set out at Schedule 1 to this instrument.</w:t>
      </w:r>
    </w:p>
    <w:bookmarkEnd w:id="0"/>
    <w:p w14:paraId="4C517F7A" w14:textId="77777777" w:rsidR="000F4A8C" w:rsidRPr="000F4A8C" w:rsidRDefault="000F4A8C" w:rsidP="000F4A8C">
      <w:pPr>
        <w:tabs>
          <w:tab w:val="left" w:pos="-720"/>
        </w:tabs>
        <w:suppressAutoHyphens/>
        <w:jc w:val="both"/>
        <w:rPr>
          <w:rFonts w:ascii="Times New Roman" w:hAnsi="Times New Roman" w:cs="Times New Roman"/>
          <w:spacing w:val="-3"/>
          <w:szCs w:val="24"/>
        </w:rPr>
      </w:pPr>
    </w:p>
    <w:p w14:paraId="6D9458F0" w14:textId="72602F06" w:rsidR="000F4A8C" w:rsidRDefault="000F4A8C" w:rsidP="000F4A8C">
      <w:pPr>
        <w:tabs>
          <w:tab w:val="left" w:pos="-720"/>
        </w:tabs>
        <w:suppressAutoHyphens/>
        <w:jc w:val="both"/>
        <w:rPr>
          <w:rFonts w:ascii="Times New Roman" w:hAnsi="Times New Roman" w:cs="Times New Roman"/>
          <w:spacing w:val="-3"/>
          <w:szCs w:val="24"/>
        </w:rPr>
      </w:pPr>
    </w:p>
    <w:p w14:paraId="6EF8DD82" w14:textId="77777777" w:rsidR="00212D9F" w:rsidRPr="000F4A8C" w:rsidRDefault="00212D9F" w:rsidP="000F4A8C">
      <w:pPr>
        <w:tabs>
          <w:tab w:val="left" w:pos="-720"/>
        </w:tabs>
        <w:suppressAutoHyphens/>
        <w:jc w:val="both"/>
        <w:rPr>
          <w:rFonts w:ascii="Times New Roman" w:hAnsi="Times New Roman" w:cs="Times New Roman"/>
          <w:spacing w:val="-3"/>
          <w:szCs w:val="24"/>
        </w:rPr>
      </w:pPr>
    </w:p>
    <w:p w14:paraId="75825259" w14:textId="77777777" w:rsidR="000F4A8C" w:rsidRPr="000F4A8C" w:rsidRDefault="000F4A8C" w:rsidP="000F4A8C">
      <w:pPr>
        <w:tabs>
          <w:tab w:val="left" w:pos="-720"/>
          <w:tab w:val="left" w:pos="0"/>
        </w:tabs>
        <w:suppressAutoHyphens/>
        <w:ind w:left="720" w:hanging="720"/>
        <w:rPr>
          <w:rFonts w:ascii="Times New Roman" w:hAnsi="Times New Roman" w:cs="Times New Roman"/>
          <w:spacing w:val="-3"/>
          <w:szCs w:val="24"/>
        </w:rPr>
      </w:pPr>
      <w:r w:rsidRPr="000F4A8C">
        <w:rPr>
          <w:rFonts w:ascii="Times New Roman" w:hAnsi="Times New Roman" w:cs="Times New Roman"/>
          <w:spacing w:val="-3"/>
          <w:szCs w:val="24"/>
        </w:rPr>
        <w:t>The Hon D A Cowdroy AO QC</w:t>
      </w:r>
    </w:p>
    <w:p w14:paraId="56ED3834" w14:textId="70C7CBE6" w:rsidR="000F4A8C" w:rsidRPr="000F4A8C" w:rsidRDefault="000F4A8C" w:rsidP="000F4A8C">
      <w:pPr>
        <w:tabs>
          <w:tab w:val="left" w:pos="4320"/>
        </w:tabs>
        <w:rPr>
          <w:rFonts w:ascii="Times New Roman" w:hAnsi="Times New Roman" w:cs="Times New Roman"/>
        </w:rPr>
      </w:pPr>
      <w:r w:rsidRPr="000F4A8C">
        <w:rPr>
          <w:rFonts w:ascii="Times New Roman" w:hAnsi="Times New Roman" w:cs="Times New Roman"/>
        </w:rPr>
        <w:t>Commissioner</w:t>
      </w:r>
    </w:p>
    <w:p w14:paraId="0DB63339" w14:textId="5264716C" w:rsidR="00365675" w:rsidRPr="000F4A8C" w:rsidRDefault="00212D9F" w:rsidP="006A5315">
      <w:pPr>
        <w:jc w:val="both"/>
        <w:rPr>
          <w:rFonts w:ascii="Times New Roman" w:hAnsi="Times New Roman" w:cs="Times New Roman"/>
          <w:b/>
          <w:bCs/>
          <w:sz w:val="24"/>
          <w:szCs w:val="24"/>
        </w:rPr>
      </w:pPr>
      <w:r>
        <w:rPr>
          <w:rFonts w:ascii="Times New Roman" w:hAnsi="Times New Roman" w:cs="Times New Roman"/>
          <w:b/>
          <w:bCs/>
          <w:sz w:val="24"/>
          <w:szCs w:val="24"/>
        </w:rPr>
        <w:t>10 August</w:t>
      </w:r>
      <w:r w:rsidR="000F4A8C" w:rsidRPr="000F4A8C">
        <w:rPr>
          <w:rFonts w:ascii="Times New Roman" w:hAnsi="Times New Roman" w:cs="Times New Roman"/>
          <w:b/>
          <w:bCs/>
          <w:sz w:val="24"/>
          <w:szCs w:val="24"/>
        </w:rPr>
        <w:t xml:space="preserve"> 2020</w:t>
      </w:r>
    </w:p>
    <w:p w14:paraId="1429E853" w14:textId="10C5690F" w:rsidR="000F4A8C" w:rsidRDefault="000F4A8C">
      <w:pPr>
        <w:rPr>
          <w:rFonts w:ascii="Arial" w:hAnsi="Arial" w:cs="Arial"/>
          <w:b/>
          <w:bCs/>
          <w:sz w:val="24"/>
          <w:szCs w:val="24"/>
        </w:rPr>
      </w:pPr>
      <w:r>
        <w:rPr>
          <w:rFonts w:ascii="Arial" w:hAnsi="Arial" w:cs="Arial"/>
          <w:b/>
          <w:bCs/>
          <w:sz w:val="24"/>
          <w:szCs w:val="24"/>
        </w:rPr>
        <w:br w:type="page"/>
      </w:r>
    </w:p>
    <w:p w14:paraId="13BE0202" w14:textId="34BE8134" w:rsidR="003D3C0C" w:rsidRPr="003D3C0C" w:rsidRDefault="003D3C0C" w:rsidP="003D3C0C">
      <w:pPr>
        <w:pStyle w:val="Title"/>
        <w:rPr>
          <w:rFonts w:asciiTheme="minorHAnsi" w:eastAsia="Times New Roman" w:hAnsiTheme="minorHAnsi" w:cstheme="minorHAnsi"/>
          <w:b/>
          <w:bCs/>
          <w:spacing w:val="10"/>
          <w:sz w:val="28"/>
          <w:szCs w:val="28"/>
        </w:rPr>
      </w:pPr>
      <w:r w:rsidRPr="003D3C0C">
        <w:rPr>
          <w:rFonts w:asciiTheme="minorHAnsi" w:eastAsia="Times New Roman" w:hAnsiTheme="minorHAnsi" w:cstheme="minorHAnsi"/>
          <w:b/>
          <w:bCs/>
          <w:spacing w:val="10"/>
          <w:sz w:val="28"/>
          <w:szCs w:val="28"/>
        </w:rPr>
        <w:lastRenderedPageBreak/>
        <w:t>Schedule 1</w:t>
      </w:r>
    </w:p>
    <w:p w14:paraId="0B6F7F1C" w14:textId="06ED29E7" w:rsidR="003D3C0C" w:rsidRDefault="003D3C0C" w:rsidP="003D3C0C">
      <w:pPr>
        <w:rPr>
          <w:lang w:eastAsia="en-AU"/>
        </w:rPr>
      </w:pPr>
    </w:p>
    <w:p w14:paraId="536D3CB0" w14:textId="20BE0781" w:rsidR="003D3C0C" w:rsidRDefault="003D3C0C" w:rsidP="003D3C0C">
      <w:pPr>
        <w:rPr>
          <w:lang w:eastAsia="en-AU"/>
        </w:rPr>
      </w:pPr>
    </w:p>
    <w:p w14:paraId="353291FE" w14:textId="7017849A" w:rsidR="003D3C0C" w:rsidRDefault="003D3C0C" w:rsidP="003D3C0C">
      <w:pPr>
        <w:rPr>
          <w:lang w:eastAsia="en-AU"/>
        </w:rPr>
      </w:pPr>
    </w:p>
    <w:p w14:paraId="51470526" w14:textId="77777777" w:rsidR="003D3C0C" w:rsidRPr="003D3C0C" w:rsidRDefault="003D3C0C" w:rsidP="003D3C0C">
      <w:pPr>
        <w:rPr>
          <w:lang w:eastAsia="en-AU"/>
        </w:rPr>
      </w:pPr>
    </w:p>
    <w:p w14:paraId="7B5FB82D" w14:textId="1F973586" w:rsidR="003D3C0C" w:rsidRDefault="003D3C0C" w:rsidP="003D3C0C">
      <w:pPr>
        <w:pStyle w:val="Title"/>
        <w:rPr>
          <w:rFonts w:eastAsia="Times New Roman"/>
        </w:rPr>
      </w:pPr>
      <w:r>
        <w:rPr>
          <w:rFonts w:eastAsia="Times New Roman"/>
        </w:rPr>
        <w:t>Integrity Commission (Personal Interest) Guidelines 2020</w:t>
      </w:r>
    </w:p>
    <w:p w14:paraId="5D678A49" w14:textId="77777777" w:rsidR="003D3C0C" w:rsidRDefault="003D3C0C">
      <w:pPr>
        <w:rPr>
          <w:rFonts w:ascii="Arial" w:hAnsi="Arial" w:cs="Arial"/>
          <w:b/>
          <w:bCs/>
          <w:sz w:val="24"/>
          <w:szCs w:val="24"/>
        </w:rPr>
      </w:pPr>
    </w:p>
    <w:p w14:paraId="0D8ABB70" w14:textId="2FD4F8BB" w:rsidR="003D3C0C" w:rsidRDefault="003D3C0C">
      <w:pPr>
        <w:rPr>
          <w:rFonts w:ascii="Arial" w:hAnsi="Arial" w:cs="Arial"/>
          <w:b/>
          <w:bCs/>
          <w:sz w:val="24"/>
          <w:szCs w:val="24"/>
        </w:rPr>
      </w:pPr>
      <w:r>
        <w:rPr>
          <w:rFonts w:ascii="Arial" w:hAnsi="Arial" w:cs="Arial"/>
          <w:b/>
          <w:bCs/>
          <w:sz w:val="24"/>
          <w:szCs w:val="24"/>
        </w:rPr>
        <w:br w:type="page"/>
      </w:r>
    </w:p>
    <w:p w14:paraId="462A5F12" w14:textId="5935F214" w:rsidR="00776878" w:rsidRDefault="00776878" w:rsidP="006A5315">
      <w:pPr>
        <w:jc w:val="center"/>
        <w:rPr>
          <w:rFonts w:cstheme="minorHAnsi"/>
          <w:sz w:val="24"/>
          <w:szCs w:val="24"/>
        </w:rPr>
      </w:pPr>
    </w:p>
    <w:p w14:paraId="0594C8E1" w14:textId="37EB0A86" w:rsidR="003D3C0C" w:rsidRDefault="003D3C0C" w:rsidP="006A5315">
      <w:pPr>
        <w:jc w:val="center"/>
        <w:rPr>
          <w:rFonts w:cstheme="minorHAnsi"/>
          <w:sz w:val="24"/>
          <w:szCs w:val="24"/>
        </w:rPr>
      </w:pPr>
    </w:p>
    <w:p w14:paraId="4EFF85A7" w14:textId="77777777" w:rsidR="003D3C0C" w:rsidRPr="00126D35" w:rsidRDefault="003D3C0C" w:rsidP="006A5315">
      <w:pPr>
        <w:jc w:val="center"/>
        <w:rPr>
          <w:rFonts w:cstheme="minorHAnsi"/>
          <w:sz w:val="24"/>
          <w:szCs w:val="24"/>
        </w:rPr>
      </w:pPr>
    </w:p>
    <w:p w14:paraId="2D50BCC1" w14:textId="3C8A6E6D" w:rsidR="002520AD" w:rsidRPr="003D3C0C" w:rsidRDefault="003D3C0C" w:rsidP="006A5315">
      <w:pPr>
        <w:jc w:val="both"/>
        <w:rPr>
          <w:rFonts w:asciiTheme="majorHAnsi" w:hAnsiTheme="majorHAnsi" w:cstheme="majorHAnsi"/>
          <w:color w:val="2F5496" w:themeColor="accent1" w:themeShade="BF"/>
          <w:sz w:val="32"/>
          <w:szCs w:val="32"/>
        </w:rPr>
      </w:pPr>
      <w:r w:rsidRPr="003D3C0C">
        <w:rPr>
          <w:rFonts w:asciiTheme="majorHAnsi" w:hAnsiTheme="majorHAnsi" w:cstheme="majorHAnsi"/>
          <w:color w:val="2F5496" w:themeColor="accent1" w:themeShade="BF"/>
          <w:sz w:val="32"/>
          <w:szCs w:val="32"/>
        </w:rPr>
        <w:t xml:space="preserve">Table of </w:t>
      </w:r>
      <w:r w:rsidR="00776878" w:rsidRPr="003D3C0C">
        <w:rPr>
          <w:rFonts w:asciiTheme="majorHAnsi" w:hAnsiTheme="majorHAnsi" w:cstheme="majorHAnsi"/>
          <w:color w:val="2F5496" w:themeColor="accent1" w:themeShade="BF"/>
          <w:sz w:val="32"/>
          <w:szCs w:val="32"/>
        </w:rPr>
        <w:t xml:space="preserve">Contents </w:t>
      </w:r>
    </w:p>
    <w:p w14:paraId="30DAA45B" w14:textId="555954F6" w:rsidR="00FF5ADF" w:rsidRPr="00E550AF" w:rsidRDefault="00FF5ADF" w:rsidP="006A5315">
      <w:pPr>
        <w:jc w:val="both"/>
        <w:rPr>
          <w:rFonts w:cstheme="minorHAnsi"/>
          <w:b/>
          <w:bCs/>
          <w:sz w:val="24"/>
          <w:szCs w:val="24"/>
        </w:rPr>
      </w:pPr>
    </w:p>
    <w:p w14:paraId="7E6F9DB1" w14:textId="03E85838" w:rsidR="00E550AF" w:rsidRPr="00E550AF" w:rsidRDefault="003C6BE1" w:rsidP="00E550AF">
      <w:pPr>
        <w:pStyle w:val="TOC1"/>
        <w:rPr>
          <w:rFonts w:asciiTheme="minorHAnsi" w:eastAsiaTheme="minorEastAsia" w:hAnsiTheme="minorHAnsi" w:cstheme="minorBidi"/>
          <w:noProof/>
        </w:rPr>
      </w:pPr>
      <w:hyperlink w:anchor="_Toc27399604" w:history="1">
        <w:r w:rsidR="00E550AF" w:rsidRPr="00E550AF">
          <w:rPr>
            <w:rStyle w:val="Hyperlink"/>
            <w:noProof/>
            <w:color w:val="auto"/>
            <w:u w:val="none"/>
            <w14:scene3d>
              <w14:camera w14:prst="orthographicFront"/>
              <w14:lightRig w14:rig="threePt" w14:dir="t">
                <w14:rot w14:lat="0" w14:lon="0" w14:rev="0"/>
              </w14:lightRig>
            </w14:scene3d>
          </w:rPr>
          <w:t>1.</w:t>
        </w:r>
        <w:r w:rsidR="00E550AF" w:rsidRPr="00E550AF">
          <w:rPr>
            <w:rFonts w:asciiTheme="minorHAnsi" w:eastAsiaTheme="minorEastAsia" w:hAnsiTheme="minorHAnsi" w:cstheme="minorBidi"/>
            <w:noProof/>
          </w:rPr>
          <w:tab/>
        </w:r>
        <w:r w:rsidR="00E550AF" w:rsidRPr="00E550AF">
          <w:rPr>
            <w:rStyle w:val="Hyperlink"/>
            <w:noProof/>
            <w:color w:val="auto"/>
            <w:u w:val="none"/>
          </w:rPr>
          <w:t>Introduction</w:t>
        </w:r>
        <w:r w:rsidR="00E550AF" w:rsidRPr="00E550AF">
          <w:rPr>
            <w:noProof/>
            <w:webHidden/>
          </w:rPr>
          <w:tab/>
        </w:r>
        <w:r w:rsidR="00E550AF">
          <w:rPr>
            <w:noProof/>
            <w:webHidden/>
          </w:rPr>
          <w:t>4</w:t>
        </w:r>
      </w:hyperlink>
    </w:p>
    <w:p w14:paraId="1B018670" w14:textId="5434CD84" w:rsidR="00E550AF" w:rsidRPr="00E550AF" w:rsidRDefault="003C6BE1" w:rsidP="00E550AF">
      <w:pPr>
        <w:pStyle w:val="TOC1"/>
        <w:rPr>
          <w:rFonts w:asciiTheme="minorHAnsi" w:eastAsiaTheme="minorEastAsia" w:hAnsiTheme="minorHAnsi" w:cstheme="minorBidi"/>
          <w:noProof/>
        </w:rPr>
      </w:pPr>
      <w:hyperlink w:anchor="_Toc27399605" w:history="1">
        <w:r w:rsidR="00E550AF" w:rsidRPr="00E550AF">
          <w:rPr>
            <w:rStyle w:val="Hyperlink"/>
            <w:noProof/>
            <w:color w:val="auto"/>
            <w:u w:val="none"/>
            <w14:scene3d>
              <w14:camera w14:prst="orthographicFront"/>
              <w14:lightRig w14:rig="threePt" w14:dir="t">
                <w14:rot w14:lat="0" w14:lon="0" w14:rev="0"/>
              </w14:lightRig>
            </w14:scene3d>
          </w:rPr>
          <w:t>2.</w:t>
        </w:r>
        <w:r w:rsidR="00E550AF" w:rsidRPr="00E550AF">
          <w:rPr>
            <w:rFonts w:asciiTheme="minorHAnsi" w:eastAsiaTheme="minorEastAsia" w:hAnsiTheme="minorHAnsi" w:cstheme="minorBidi"/>
            <w:noProof/>
          </w:rPr>
          <w:tab/>
        </w:r>
        <w:r w:rsidR="00E550AF" w:rsidRPr="00E550AF">
          <w:rPr>
            <w:rStyle w:val="Hyperlink"/>
            <w:noProof/>
            <w:color w:val="auto"/>
            <w:u w:val="none"/>
          </w:rPr>
          <w:t xml:space="preserve">Personal interests </w:t>
        </w:r>
        <w:r w:rsidR="00E550AF" w:rsidRPr="00E550AF">
          <w:rPr>
            <w:noProof/>
            <w:webHidden/>
          </w:rPr>
          <w:tab/>
        </w:r>
        <w:r w:rsidR="00E550AF">
          <w:rPr>
            <w:noProof/>
            <w:webHidden/>
          </w:rPr>
          <w:t>6</w:t>
        </w:r>
      </w:hyperlink>
    </w:p>
    <w:p w14:paraId="248F4956" w14:textId="583880BF" w:rsidR="00E550AF" w:rsidRPr="00E550AF" w:rsidRDefault="003C6BE1" w:rsidP="00E550AF">
      <w:pPr>
        <w:pStyle w:val="TOC1"/>
        <w:rPr>
          <w:rFonts w:asciiTheme="minorHAnsi" w:eastAsiaTheme="minorEastAsia" w:hAnsiTheme="minorHAnsi" w:cstheme="minorBidi"/>
          <w:noProof/>
        </w:rPr>
      </w:pPr>
      <w:hyperlink w:anchor="_Toc27399606" w:history="1">
        <w:r w:rsidR="00E550AF" w:rsidRPr="00E550AF">
          <w:rPr>
            <w:rStyle w:val="Hyperlink"/>
            <w:noProof/>
            <w:color w:val="auto"/>
            <w:u w:val="none"/>
            <w14:scene3d>
              <w14:camera w14:prst="orthographicFront"/>
              <w14:lightRig w14:rig="threePt" w14:dir="t">
                <w14:rot w14:lat="0" w14:lon="0" w14:rev="0"/>
              </w14:lightRig>
            </w14:scene3d>
          </w:rPr>
          <w:t>3.</w:t>
        </w:r>
        <w:r w:rsidR="00E550AF" w:rsidRPr="00E550AF">
          <w:rPr>
            <w:rFonts w:asciiTheme="minorHAnsi" w:eastAsiaTheme="minorEastAsia" w:hAnsiTheme="minorHAnsi" w:cstheme="minorBidi"/>
            <w:noProof/>
          </w:rPr>
          <w:tab/>
        </w:r>
        <w:r w:rsidR="00E550AF" w:rsidRPr="00E550AF">
          <w:rPr>
            <w:rStyle w:val="Hyperlink"/>
            <w:noProof/>
            <w:color w:val="auto"/>
            <w:u w:val="none"/>
          </w:rPr>
          <w:t xml:space="preserve">Personal interests required to be declared </w:t>
        </w:r>
        <w:r w:rsidR="00E550AF" w:rsidRPr="00E550AF">
          <w:rPr>
            <w:noProof/>
            <w:webHidden/>
          </w:rPr>
          <w:tab/>
        </w:r>
        <w:r w:rsidR="00E550AF">
          <w:rPr>
            <w:noProof/>
            <w:webHidden/>
          </w:rPr>
          <w:t>8</w:t>
        </w:r>
      </w:hyperlink>
    </w:p>
    <w:p w14:paraId="27FD2922" w14:textId="1C4D37AD" w:rsidR="00E550AF" w:rsidRPr="00E550AF" w:rsidRDefault="003C6BE1" w:rsidP="00E550AF">
      <w:pPr>
        <w:pStyle w:val="TOC1"/>
        <w:rPr>
          <w:rFonts w:asciiTheme="minorHAnsi" w:eastAsiaTheme="minorEastAsia" w:hAnsiTheme="minorHAnsi" w:cstheme="minorBidi"/>
          <w:noProof/>
        </w:rPr>
      </w:pPr>
      <w:hyperlink w:anchor="_Toc27399607" w:history="1">
        <w:r w:rsidR="00E550AF" w:rsidRPr="00E550AF">
          <w:rPr>
            <w:rStyle w:val="Hyperlink"/>
            <w:noProof/>
            <w:color w:val="auto"/>
            <w:u w:val="none"/>
            <w14:scene3d>
              <w14:camera w14:prst="orthographicFront"/>
              <w14:lightRig w14:rig="threePt" w14:dir="t">
                <w14:rot w14:lat="0" w14:lon="0" w14:rev="0"/>
              </w14:lightRig>
            </w14:scene3d>
          </w:rPr>
          <w:t>4.</w:t>
        </w:r>
        <w:r w:rsidR="00E550AF" w:rsidRPr="00E550AF">
          <w:rPr>
            <w:rFonts w:asciiTheme="minorHAnsi" w:eastAsiaTheme="minorEastAsia" w:hAnsiTheme="minorHAnsi" w:cstheme="minorBidi"/>
            <w:noProof/>
          </w:rPr>
          <w:tab/>
        </w:r>
        <w:r w:rsidR="00E550AF" w:rsidRPr="00E550AF">
          <w:rPr>
            <w:rStyle w:val="Hyperlink"/>
            <w:noProof/>
            <w:color w:val="auto"/>
            <w:u w:val="none"/>
          </w:rPr>
          <w:t>Breach of the Guidelines</w:t>
        </w:r>
        <w:r w:rsidR="00E550AF" w:rsidRPr="00E550AF">
          <w:rPr>
            <w:noProof/>
            <w:webHidden/>
          </w:rPr>
          <w:tab/>
          <w:t>9</w:t>
        </w:r>
      </w:hyperlink>
    </w:p>
    <w:p w14:paraId="5F1D3463" w14:textId="77777777" w:rsidR="00E550AF" w:rsidRPr="00E550AF" w:rsidRDefault="00E550AF" w:rsidP="006A5315">
      <w:pPr>
        <w:jc w:val="both"/>
        <w:rPr>
          <w:rFonts w:cstheme="minorHAnsi"/>
          <w:b/>
          <w:bCs/>
          <w:sz w:val="24"/>
          <w:szCs w:val="24"/>
        </w:rPr>
      </w:pPr>
    </w:p>
    <w:p w14:paraId="3B07DEE4" w14:textId="77777777" w:rsidR="005835A5" w:rsidRPr="00E550AF" w:rsidRDefault="005835A5" w:rsidP="006A5315">
      <w:pPr>
        <w:pStyle w:val="ListParagraph"/>
        <w:jc w:val="both"/>
        <w:rPr>
          <w:rFonts w:cstheme="minorHAnsi"/>
          <w:sz w:val="24"/>
          <w:szCs w:val="24"/>
        </w:rPr>
      </w:pPr>
    </w:p>
    <w:p w14:paraId="4A32ECE7" w14:textId="6A35085F" w:rsidR="00776878" w:rsidRPr="00E550AF" w:rsidRDefault="00776878" w:rsidP="006A5315">
      <w:pPr>
        <w:jc w:val="both"/>
        <w:rPr>
          <w:rFonts w:cstheme="minorHAnsi"/>
          <w:sz w:val="24"/>
          <w:szCs w:val="24"/>
        </w:rPr>
      </w:pPr>
    </w:p>
    <w:p w14:paraId="4417DA96" w14:textId="77777777" w:rsidR="00A44DD8" w:rsidRPr="00126D35" w:rsidRDefault="00A44DD8" w:rsidP="006A5315">
      <w:pPr>
        <w:jc w:val="both"/>
        <w:rPr>
          <w:rFonts w:cstheme="minorHAnsi"/>
          <w:b/>
          <w:bCs/>
          <w:sz w:val="24"/>
          <w:szCs w:val="24"/>
        </w:rPr>
      </w:pPr>
      <w:r w:rsidRPr="00126D35">
        <w:rPr>
          <w:rFonts w:cstheme="minorHAnsi"/>
          <w:b/>
          <w:bCs/>
          <w:sz w:val="24"/>
          <w:szCs w:val="24"/>
        </w:rPr>
        <w:br w:type="page"/>
      </w:r>
    </w:p>
    <w:p w14:paraId="561EBC9C" w14:textId="3E7074B1" w:rsidR="00452D30" w:rsidRPr="00E550AF" w:rsidRDefault="00776878" w:rsidP="006A5315">
      <w:pPr>
        <w:pStyle w:val="ListParagraph"/>
        <w:numPr>
          <w:ilvl w:val="0"/>
          <w:numId w:val="10"/>
        </w:numPr>
        <w:jc w:val="both"/>
        <w:rPr>
          <w:rFonts w:asciiTheme="majorHAnsi" w:hAnsiTheme="majorHAnsi" w:cstheme="majorHAnsi"/>
          <w:color w:val="2F5496" w:themeColor="accent1" w:themeShade="BF"/>
          <w:sz w:val="32"/>
          <w:szCs w:val="32"/>
        </w:rPr>
      </w:pPr>
      <w:r w:rsidRPr="00E550AF">
        <w:rPr>
          <w:rFonts w:asciiTheme="majorHAnsi" w:hAnsiTheme="majorHAnsi" w:cstheme="majorHAnsi"/>
          <w:color w:val="2F5496" w:themeColor="accent1" w:themeShade="BF"/>
          <w:sz w:val="32"/>
          <w:szCs w:val="32"/>
        </w:rPr>
        <w:lastRenderedPageBreak/>
        <w:t xml:space="preserve">Introduction </w:t>
      </w:r>
    </w:p>
    <w:p w14:paraId="53955EF4" w14:textId="77777777" w:rsidR="006A5315" w:rsidRPr="00126D35" w:rsidRDefault="006A5315" w:rsidP="006A5315">
      <w:pPr>
        <w:jc w:val="both"/>
        <w:rPr>
          <w:rFonts w:cstheme="minorHAnsi"/>
          <w:sz w:val="24"/>
          <w:szCs w:val="24"/>
        </w:rPr>
      </w:pPr>
    </w:p>
    <w:p w14:paraId="6872C2B2" w14:textId="23D9207C" w:rsidR="002520AD" w:rsidRPr="00126D35" w:rsidRDefault="002520AD" w:rsidP="00126D35">
      <w:pPr>
        <w:pStyle w:val="ListParagraph"/>
        <w:numPr>
          <w:ilvl w:val="1"/>
          <w:numId w:val="10"/>
        </w:numPr>
        <w:jc w:val="both"/>
        <w:rPr>
          <w:rFonts w:cstheme="minorHAnsi"/>
          <w:sz w:val="24"/>
          <w:szCs w:val="24"/>
        </w:rPr>
      </w:pPr>
      <w:r w:rsidRPr="00126D35">
        <w:rPr>
          <w:rFonts w:cstheme="minorHAnsi"/>
          <w:sz w:val="24"/>
          <w:szCs w:val="24"/>
        </w:rPr>
        <w:t>The ACT Integrity Commission (the Commission) was created in response to an election commitment made by the 9</w:t>
      </w:r>
      <w:r w:rsidRPr="00126D35">
        <w:rPr>
          <w:rFonts w:cstheme="minorHAnsi"/>
          <w:sz w:val="24"/>
          <w:szCs w:val="24"/>
          <w:vertAlign w:val="superscript"/>
        </w:rPr>
        <w:t>th</w:t>
      </w:r>
      <w:r w:rsidRPr="00126D35">
        <w:rPr>
          <w:rFonts w:cstheme="minorHAnsi"/>
          <w:sz w:val="24"/>
          <w:szCs w:val="24"/>
        </w:rPr>
        <w:t xml:space="preserve"> Legislative Assembly.  On 31 October 2017, the Select Committee on an Independent Integrity Commission (Select Committee) released its report into their inquiry.  The Select Committee recommended the ACT Government establish a standing ACT independent integrity body to investigate corruption in public administration and strengthen public confidence in government integrity.</w:t>
      </w:r>
      <w:r w:rsidRPr="00126D35">
        <w:rPr>
          <w:rStyle w:val="FootnoteReference"/>
          <w:rFonts w:cstheme="minorHAnsi"/>
          <w:sz w:val="24"/>
          <w:szCs w:val="24"/>
        </w:rPr>
        <w:footnoteReference w:id="1"/>
      </w:r>
    </w:p>
    <w:p w14:paraId="5BBFEC6B" w14:textId="77777777" w:rsidR="00126D35" w:rsidRPr="00126D35" w:rsidRDefault="00126D35" w:rsidP="00126D35">
      <w:pPr>
        <w:pStyle w:val="ListParagraph"/>
        <w:jc w:val="both"/>
        <w:rPr>
          <w:rFonts w:cstheme="minorHAnsi"/>
          <w:sz w:val="24"/>
          <w:szCs w:val="24"/>
        </w:rPr>
      </w:pPr>
    </w:p>
    <w:p w14:paraId="5A717113" w14:textId="77777777" w:rsidR="00126D35" w:rsidRPr="00126D35" w:rsidRDefault="002520AD" w:rsidP="006A5315">
      <w:pPr>
        <w:pStyle w:val="ListParagraph"/>
        <w:numPr>
          <w:ilvl w:val="1"/>
          <w:numId w:val="10"/>
        </w:numPr>
        <w:jc w:val="both"/>
        <w:rPr>
          <w:rFonts w:cstheme="minorHAnsi"/>
          <w:sz w:val="24"/>
          <w:szCs w:val="24"/>
        </w:rPr>
      </w:pPr>
      <w:r w:rsidRPr="00126D35">
        <w:rPr>
          <w:rFonts w:cstheme="minorHAnsi"/>
          <w:sz w:val="24"/>
          <w:szCs w:val="24"/>
        </w:rPr>
        <w:t xml:space="preserve">The </w:t>
      </w:r>
      <w:r w:rsidRPr="00126D35">
        <w:rPr>
          <w:rFonts w:cstheme="minorHAnsi"/>
          <w:i/>
          <w:iCs/>
          <w:sz w:val="24"/>
          <w:szCs w:val="24"/>
        </w:rPr>
        <w:t>Integrity Commission Act 2018</w:t>
      </w:r>
      <w:r w:rsidRPr="00126D35">
        <w:rPr>
          <w:rFonts w:cstheme="minorHAnsi"/>
          <w:sz w:val="24"/>
          <w:szCs w:val="24"/>
        </w:rPr>
        <w:t xml:space="preserve"> (the Act) was passed by the Legislative Assembly and came into operation on 1 July 2019. </w:t>
      </w:r>
    </w:p>
    <w:p w14:paraId="4D0BC49C" w14:textId="77777777" w:rsidR="00126D35" w:rsidRPr="00126D35" w:rsidRDefault="00126D35" w:rsidP="00126D35">
      <w:pPr>
        <w:pStyle w:val="ListParagraph"/>
        <w:rPr>
          <w:rFonts w:cstheme="minorHAnsi"/>
          <w:sz w:val="24"/>
          <w:szCs w:val="24"/>
        </w:rPr>
      </w:pPr>
    </w:p>
    <w:p w14:paraId="520FCB60" w14:textId="03BDEBD8" w:rsidR="002520AD" w:rsidRPr="00126D35" w:rsidRDefault="002520AD" w:rsidP="006A5315">
      <w:pPr>
        <w:pStyle w:val="ListParagraph"/>
        <w:numPr>
          <w:ilvl w:val="1"/>
          <w:numId w:val="10"/>
        </w:numPr>
        <w:jc w:val="both"/>
        <w:rPr>
          <w:rFonts w:cstheme="minorHAnsi"/>
          <w:sz w:val="24"/>
          <w:szCs w:val="24"/>
        </w:rPr>
      </w:pPr>
      <w:r w:rsidRPr="00126D35">
        <w:rPr>
          <w:rFonts w:cstheme="minorHAnsi"/>
          <w:sz w:val="24"/>
          <w:szCs w:val="24"/>
        </w:rPr>
        <w:t>The Act establishes the Commission and provides it with functions to:</w:t>
      </w:r>
    </w:p>
    <w:p w14:paraId="26DB03C7" w14:textId="77777777" w:rsidR="00126D35" w:rsidRPr="00126D35" w:rsidRDefault="00126D35" w:rsidP="00126D35">
      <w:pPr>
        <w:pStyle w:val="ListParagraph"/>
        <w:rPr>
          <w:rFonts w:cstheme="minorHAnsi"/>
          <w:sz w:val="24"/>
          <w:szCs w:val="24"/>
        </w:rPr>
      </w:pPr>
    </w:p>
    <w:p w14:paraId="3FB0C7BA" w14:textId="6B238ADD" w:rsidR="002520AD" w:rsidRPr="00126D35" w:rsidRDefault="002520AD" w:rsidP="00126D35">
      <w:pPr>
        <w:pStyle w:val="ListParagraph"/>
        <w:numPr>
          <w:ilvl w:val="0"/>
          <w:numId w:val="31"/>
        </w:numPr>
        <w:jc w:val="both"/>
        <w:rPr>
          <w:rFonts w:cstheme="minorHAnsi"/>
          <w:sz w:val="24"/>
          <w:szCs w:val="24"/>
        </w:rPr>
      </w:pPr>
      <w:r w:rsidRPr="00126D35">
        <w:rPr>
          <w:rFonts w:cstheme="minorHAnsi"/>
          <w:sz w:val="24"/>
          <w:szCs w:val="24"/>
        </w:rPr>
        <w:t>investigate conduct that is alleged to be corrupt conduct</w:t>
      </w:r>
      <w:r w:rsidR="001D4060" w:rsidRPr="00126D35">
        <w:rPr>
          <w:rFonts w:cstheme="minorHAnsi"/>
          <w:sz w:val="24"/>
          <w:szCs w:val="24"/>
        </w:rPr>
        <w:t>;</w:t>
      </w:r>
    </w:p>
    <w:p w14:paraId="6378BA4D" w14:textId="4D9321C4" w:rsidR="002520AD" w:rsidRPr="00126D35" w:rsidRDefault="002520AD" w:rsidP="00126D35">
      <w:pPr>
        <w:pStyle w:val="ListParagraph"/>
        <w:numPr>
          <w:ilvl w:val="0"/>
          <w:numId w:val="31"/>
        </w:numPr>
        <w:jc w:val="both"/>
        <w:rPr>
          <w:rFonts w:cstheme="minorHAnsi"/>
          <w:sz w:val="24"/>
          <w:szCs w:val="24"/>
        </w:rPr>
      </w:pPr>
      <w:r w:rsidRPr="00126D35">
        <w:rPr>
          <w:rFonts w:cstheme="minorHAnsi"/>
          <w:sz w:val="24"/>
          <w:szCs w:val="24"/>
        </w:rPr>
        <w:t>refer suspected instances of criminality or wrongdoing to the appropriate authority for further investigation and action</w:t>
      </w:r>
      <w:r w:rsidR="001D4060" w:rsidRPr="00126D35">
        <w:rPr>
          <w:rFonts w:cstheme="minorHAnsi"/>
          <w:sz w:val="24"/>
          <w:szCs w:val="24"/>
        </w:rPr>
        <w:t>;</w:t>
      </w:r>
    </w:p>
    <w:p w14:paraId="7285F81B" w14:textId="2083422F" w:rsidR="007A6FF7" w:rsidRPr="00126D35" w:rsidRDefault="007A6FF7" w:rsidP="00126D35">
      <w:pPr>
        <w:pStyle w:val="ListParagraph"/>
        <w:numPr>
          <w:ilvl w:val="0"/>
          <w:numId w:val="31"/>
        </w:numPr>
        <w:jc w:val="both"/>
        <w:rPr>
          <w:rFonts w:cstheme="minorHAnsi"/>
          <w:sz w:val="24"/>
          <w:szCs w:val="24"/>
        </w:rPr>
      </w:pPr>
      <w:r w:rsidRPr="00126D35">
        <w:rPr>
          <w:rFonts w:cstheme="minorHAnsi"/>
          <w:sz w:val="24"/>
          <w:szCs w:val="24"/>
        </w:rPr>
        <w:t>prevent corruption, including by researching corrupt practices and mitigating the risks of corruption</w:t>
      </w:r>
      <w:r w:rsidR="001D4060" w:rsidRPr="00126D35">
        <w:rPr>
          <w:rFonts w:cstheme="minorHAnsi"/>
          <w:sz w:val="24"/>
          <w:szCs w:val="24"/>
        </w:rPr>
        <w:t>;</w:t>
      </w:r>
    </w:p>
    <w:p w14:paraId="02B56B6E" w14:textId="668EC0B7" w:rsidR="007A6FF7" w:rsidRPr="00126D35" w:rsidRDefault="007A6FF7" w:rsidP="00126D35">
      <w:pPr>
        <w:pStyle w:val="ListParagraph"/>
        <w:numPr>
          <w:ilvl w:val="0"/>
          <w:numId w:val="31"/>
        </w:numPr>
        <w:jc w:val="both"/>
        <w:rPr>
          <w:rFonts w:cstheme="minorHAnsi"/>
          <w:sz w:val="24"/>
          <w:szCs w:val="24"/>
        </w:rPr>
      </w:pPr>
      <w:r w:rsidRPr="00126D35">
        <w:rPr>
          <w:rFonts w:cstheme="minorHAnsi"/>
          <w:sz w:val="24"/>
          <w:szCs w:val="24"/>
        </w:rPr>
        <w:t>publish information about investigations conducted by the commission, including lessons learned</w:t>
      </w:r>
      <w:r w:rsidR="001D4060" w:rsidRPr="00126D35">
        <w:rPr>
          <w:rFonts w:cstheme="minorHAnsi"/>
          <w:sz w:val="24"/>
          <w:szCs w:val="24"/>
        </w:rPr>
        <w:t>;</w:t>
      </w:r>
    </w:p>
    <w:p w14:paraId="1D0FFBB3" w14:textId="0D841CCD" w:rsidR="007A6FF7" w:rsidRPr="00126D35" w:rsidRDefault="007A6FF7" w:rsidP="00126D35">
      <w:pPr>
        <w:pStyle w:val="ListParagraph"/>
        <w:numPr>
          <w:ilvl w:val="0"/>
          <w:numId w:val="31"/>
        </w:numPr>
        <w:jc w:val="both"/>
        <w:rPr>
          <w:rFonts w:cstheme="minorHAnsi"/>
          <w:sz w:val="24"/>
          <w:szCs w:val="24"/>
        </w:rPr>
      </w:pPr>
      <w:r w:rsidRPr="00126D35">
        <w:rPr>
          <w:rFonts w:cstheme="minorHAnsi"/>
          <w:sz w:val="24"/>
          <w:szCs w:val="24"/>
        </w:rPr>
        <w:t>provide education programs about the operation of this Act and the commission, including providing advice, training and education services to</w:t>
      </w:r>
      <w:r w:rsidR="001D4060" w:rsidRPr="00126D35">
        <w:rPr>
          <w:rFonts w:cstheme="minorHAnsi"/>
          <w:sz w:val="24"/>
          <w:szCs w:val="24"/>
        </w:rPr>
        <w:t xml:space="preserve"> </w:t>
      </w:r>
      <w:r w:rsidRPr="00126D35">
        <w:rPr>
          <w:rFonts w:cstheme="minorHAnsi"/>
          <w:sz w:val="24"/>
          <w:szCs w:val="24"/>
        </w:rPr>
        <w:t xml:space="preserve">— </w:t>
      </w:r>
    </w:p>
    <w:p w14:paraId="3B3D712B" w14:textId="2051A2AA" w:rsidR="007A6FF7" w:rsidRPr="00126D35" w:rsidRDefault="007A6FF7" w:rsidP="00126D35">
      <w:pPr>
        <w:pStyle w:val="ListParagraph"/>
        <w:numPr>
          <w:ilvl w:val="1"/>
          <w:numId w:val="32"/>
        </w:numPr>
        <w:jc w:val="both"/>
        <w:rPr>
          <w:rFonts w:cstheme="minorHAnsi"/>
          <w:sz w:val="24"/>
          <w:szCs w:val="24"/>
        </w:rPr>
      </w:pPr>
      <w:r w:rsidRPr="00126D35">
        <w:rPr>
          <w:rFonts w:cstheme="minorHAnsi"/>
          <w:sz w:val="24"/>
          <w:szCs w:val="24"/>
        </w:rPr>
        <w:t>the Legislative Assembly and the public sector to increase capacity to prevent corrupt conduct</w:t>
      </w:r>
      <w:r w:rsidR="001D4060" w:rsidRPr="00126D35">
        <w:rPr>
          <w:rFonts w:cstheme="minorHAnsi"/>
          <w:sz w:val="24"/>
          <w:szCs w:val="24"/>
        </w:rPr>
        <w:t>;</w:t>
      </w:r>
    </w:p>
    <w:p w14:paraId="7ECC781C" w14:textId="76DA2474" w:rsidR="007A6FF7" w:rsidRPr="00126D35" w:rsidRDefault="007A6FF7" w:rsidP="00126D35">
      <w:pPr>
        <w:pStyle w:val="ListParagraph"/>
        <w:numPr>
          <w:ilvl w:val="1"/>
          <w:numId w:val="32"/>
        </w:numPr>
        <w:jc w:val="both"/>
        <w:rPr>
          <w:rFonts w:cstheme="minorHAnsi"/>
          <w:sz w:val="24"/>
          <w:szCs w:val="24"/>
        </w:rPr>
      </w:pPr>
      <w:r w:rsidRPr="00126D35">
        <w:rPr>
          <w:rFonts w:cstheme="minorHAnsi"/>
          <w:sz w:val="24"/>
          <w:szCs w:val="24"/>
        </w:rPr>
        <w:t>people who are required to report corrupt conduct under this Act</w:t>
      </w:r>
      <w:r w:rsidR="001D4060" w:rsidRPr="00126D35">
        <w:rPr>
          <w:rFonts w:cstheme="minorHAnsi"/>
          <w:sz w:val="24"/>
          <w:szCs w:val="24"/>
        </w:rPr>
        <w:t>;</w:t>
      </w:r>
      <w:r w:rsidRPr="00126D35">
        <w:rPr>
          <w:rFonts w:cstheme="minorHAnsi"/>
          <w:sz w:val="24"/>
          <w:szCs w:val="24"/>
        </w:rPr>
        <w:t xml:space="preserve"> </w:t>
      </w:r>
    </w:p>
    <w:p w14:paraId="5FF01329" w14:textId="29B56809" w:rsidR="007A6FF7" w:rsidRPr="00126D35" w:rsidRDefault="007A6FF7" w:rsidP="00126D35">
      <w:pPr>
        <w:pStyle w:val="ListParagraph"/>
        <w:numPr>
          <w:ilvl w:val="1"/>
          <w:numId w:val="32"/>
        </w:numPr>
        <w:jc w:val="both"/>
        <w:rPr>
          <w:rFonts w:cstheme="minorHAnsi"/>
          <w:sz w:val="24"/>
          <w:szCs w:val="24"/>
        </w:rPr>
      </w:pPr>
      <w:r w:rsidRPr="00126D35">
        <w:rPr>
          <w:rFonts w:cstheme="minorHAnsi"/>
          <w:sz w:val="24"/>
          <w:szCs w:val="24"/>
        </w:rPr>
        <w:t>the community about the detrimental effects of corruption on public administration and ways in which to assist in preventing corrupt conduct</w:t>
      </w:r>
      <w:r w:rsidR="001D4060" w:rsidRPr="00126D35">
        <w:rPr>
          <w:rFonts w:cstheme="minorHAnsi"/>
          <w:sz w:val="24"/>
          <w:szCs w:val="24"/>
        </w:rPr>
        <w:t>;</w:t>
      </w:r>
      <w:r w:rsidRPr="00126D35">
        <w:rPr>
          <w:rFonts w:cstheme="minorHAnsi"/>
          <w:sz w:val="24"/>
          <w:szCs w:val="24"/>
        </w:rPr>
        <w:t xml:space="preserve">  </w:t>
      </w:r>
    </w:p>
    <w:p w14:paraId="7BD25DE7" w14:textId="45484C27" w:rsidR="007A6FF7" w:rsidRDefault="007A6FF7" w:rsidP="00126D35">
      <w:pPr>
        <w:pStyle w:val="ListParagraph"/>
        <w:numPr>
          <w:ilvl w:val="0"/>
          <w:numId w:val="31"/>
        </w:numPr>
        <w:jc w:val="both"/>
        <w:rPr>
          <w:rFonts w:cstheme="minorHAnsi"/>
          <w:sz w:val="24"/>
          <w:szCs w:val="24"/>
        </w:rPr>
      </w:pPr>
      <w:r w:rsidRPr="00126D35">
        <w:rPr>
          <w:rFonts w:cstheme="minorHAnsi"/>
          <w:sz w:val="24"/>
          <w:szCs w:val="24"/>
        </w:rPr>
        <w:t>foster public confidence in the Legislative Assembly and public sector.</w:t>
      </w:r>
      <w:r w:rsidRPr="00126D35">
        <w:rPr>
          <w:rStyle w:val="FootnoteReference"/>
          <w:rFonts w:cstheme="minorHAnsi"/>
          <w:sz w:val="24"/>
          <w:szCs w:val="24"/>
        </w:rPr>
        <w:footnoteReference w:id="2"/>
      </w:r>
    </w:p>
    <w:p w14:paraId="019E5A13" w14:textId="77777777" w:rsidR="003D3C0C" w:rsidRPr="00126D35" w:rsidRDefault="003D3C0C" w:rsidP="003D3C0C">
      <w:pPr>
        <w:pStyle w:val="ListParagraph"/>
        <w:ind w:left="1440"/>
        <w:jc w:val="both"/>
        <w:rPr>
          <w:rFonts w:cstheme="minorHAnsi"/>
          <w:sz w:val="24"/>
          <w:szCs w:val="24"/>
        </w:rPr>
      </w:pPr>
    </w:p>
    <w:p w14:paraId="65462CAC" w14:textId="657C0F63" w:rsidR="00FE48E1" w:rsidRPr="00126D35" w:rsidRDefault="00FE48E1" w:rsidP="00126D35">
      <w:pPr>
        <w:pStyle w:val="ListParagraph"/>
        <w:numPr>
          <w:ilvl w:val="1"/>
          <w:numId w:val="10"/>
        </w:numPr>
        <w:jc w:val="both"/>
        <w:rPr>
          <w:rFonts w:cstheme="minorHAnsi"/>
          <w:sz w:val="24"/>
          <w:szCs w:val="24"/>
        </w:rPr>
      </w:pPr>
      <w:r w:rsidRPr="00126D35">
        <w:rPr>
          <w:rFonts w:cstheme="minorHAnsi"/>
          <w:sz w:val="24"/>
          <w:szCs w:val="24"/>
        </w:rPr>
        <w:t xml:space="preserve">Staff </w:t>
      </w:r>
      <w:r w:rsidR="00691EC2" w:rsidRPr="00126D35">
        <w:rPr>
          <w:rFonts w:cstheme="minorHAnsi"/>
          <w:sz w:val="24"/>
          <w:szCs w:val="24"/>
        </w:rPr>
        <w:t xml:space="preserve">of the Commission </w:t>
      </w:r>
      <w:r w:rsidRPr="00126D35">
        <w:rPr>
          <w:rFonts w:cstheme="minorHAnsi"/>
          <w:sz w:val="24"/>
          <w:szCs w:val="24"/>
        </w:rPr>
        <w:t xml:space="preserve">are employed under the </w:t>
      </w:r>
      <w:r w:rsidRPr="00126D35">
        <w:rPr>
          <w:rFonts w:cstheme="minorHAnsi"/>
          <w:i/>
          <w:iCs/>
          <w:sz w:val="24"/>
          <w:szCs w:val="24"/>
        </w:rPr>
        <w:t>Public Sector Management Act 1994</w:t>
      </w:r>
      <w:r w:rsidRPr="00126D35">
        <w:rPr>
          <w:rFonts w:cstheme="minorHAnsi"/>
          <w:sz w:val="24"/>
          <w:szCs w:val="24"/>
        </w:rPr>
        <w:t xml:space="preserve"> and are considered public servants.</w:t>
      </w:r>
      <w:r w:rsidRPr="00126D35">
        <w:rPr>
          <w:rStyle w:val="FootnoteReference"/>
          <w:rFonts w:cstheme="minorHAnsi"/>
          <w:sz w:val="24"/>
          <w:szCs w:val="24"/>
        </w:rPr>
        <w:footnoteReference w:id="3"/>
      </w:r>
      <w:r w:rsidRPr="00126D35">
        <w:rPr>
          <w:rFonts w:cstheme="minorHAnsi"/>
          <w:sz w:val="24"/>
          <w:szCs w:val="24"/>
        </w:rPr>
        <w:t xml:space="preserve"> Staff are also considered to be public sector members pursuant to s 150(1)(a)(ii) of the </w:t>
      </w:r>
      <w:r w:rsidRPr="00126D35">
        <w:rPr>
          <w:rFonts w:cstheme="minorHAnsi"/>
          <w:i/>
          <w:iCs/>
          <w:sz w:val="24"/>
          <w:szCs w:val="24"/>
        </w:rPr>
        <w:t>Public Sector Management Act 1994</w:t>
      </w:r>
      <w:r w:rsidRPr="00126D35">
        <w:rPr>
          <w:rFonts w:cstheme="minorHAnsi"/>
          <w:sz w:val="24"/>
          <w:szCs w:val="24"/>
        </w:rPr>
        <w:t xml:space="preserve"> as they are employed by the Commissioner, who is a statutory office holder.  Similarly, while the Commissioner is appointed under s 25 of the Act and the CEO is appointed under </w:t>
      </w:r>
      <w:r w:rsidRPr="00126D35">
        <w:rPr>
          <w:rFonts w:cstheme="minorHAnsi"/>
          <w:sz w:val="24"/>
          <w:szCs w:val="24"/>
        </w:rPr>
        <w:lastRenderedPageBreak/>
        <w:t xml:space="preserve">s 41 of the Act, they are both considered to be public sector members in accordance with s 150(1)(a)(i) of </w:t>
      </w:r>
      <w:r w:rsidRPr="00126D35">
        <w:rPr>
          <w:rFonts w:cstheme="minorHAnsi"/>
          <w:i/>
          <w:iCs/>
          <w:sz w:val="24"/>
          <w:szCs w:val="24"/>
        </w:rPr>
        <w:t>Public Sector Management Act 1994</w:t>
      </w:r>
      <w:r w:rsidRPr="00126D35">
        <w:rPr>
          <w:rFonts w:cstheme="minorHAnsi"/>
          <w:sz w:val="24"/>
          <w:szCs w:val="24"/>
        </w:rPr>
        <w:t xml:space="preserve">. </w:t>
      </w:r>
    </w:p>
    <w:p w14:paraId="6367468B" w14:textId="77777777" w:rsidR="00126D35" w:rsidRPr="00126D35" w:rsidRDefault="00126D35" w:rsidP="00126D35">
      <w:pPr>
        <w:pStyle w:val="ListParagraph"/>
        <w:jc w:val="both"/>
        <w:rPr>
          <w:rFonts w:cstheme="minorHAnsi"/>
          <w:sz w:val="24"/>
          <w:szCs w:val="24"/>
        </w:rPr>
      </w:pPr>
    </w:p>
    <w:p w14:paraId="24E9098F" w14:textId="0C8C7C0E" w:rsidR="00FE48E1" w:rsidRDefault="00FE48E1" w:rsidP="006A5315">
      <w:pPr>
        <w:pStyle w:val="ListParagraph"/>
        <w:numPr>
          <w:ilvl w:val="1"/>
          <w:numId w:val="10"/>
        </w:numPr>
        <w:jc w:val="both"/>
        <w:rPr>
          <w:rFonts w:cstheme="minorHAnsi"/>
          <w:sz w:val="24"/>
          <w:szCs w:val="24"/>
        </w:rPr>
      </w:pPr>
      <w:r w:rsidRPr="00126D35">
        <w:rPr>
          <w:rFonts w:cstheme="minorHAnsi"/>
          <w:sz w:val="24"/>
          <w:szCs w:val="24"/>
        </w:rPr>
        <w:t xml:space="preserve">Public servants employed under the </w:t>
      </w:r>
      <w:r w:rsidRPr="00126D35">
        <w:rPr>
          <w:rFonts w:cstheme="minorHAnsi"/>
          <w:i/>
          <w:iCs/>
          <w:sz w:val="24"/>
          <w:szCs w:val="24"/>
        </w:rPr>
        <w:t>Public Sector Management Act 1994</w:t>
      </w:r>
      <w:r w:rsidRPr="00126D35">
        <w:rPr>
          <w:rFonts w:cstheme="minorHAnsi"/>
          <w:sz w:val="24"/>
          <w:szCs w:val="24"/>
        </w:rPr>
        <w:t xml:space="preserve"> must</w:t>
      </w:r>
      <w:r w:rsidR="00691EC2" w:rsidRPr="00126D35">
        <w:rPr>
          <w:rFonts w:cstheme="minorHAnsi"/>
          <w:sz w:val="24"/>
          <w:szCs w:val="24"/>
        </w:rPr>
        <w:t>, among other things</w:t>
      </w:r>
      <w:r w:rsidRPr="00126D35">
        <w:rPr>
          <w:rFonts w:cstheme="minorHAnsi"/>
          <w:sz w:val="24"/>
          <w:szCs w:val="24"/>
        </w:rPr>
        <w:t>:</w:t>
      </w:r>
    </w:p>
    <w:p w14:paraId="39CEA506" w14:textId="77777777" w:rsidR="003D3C0C" w:rsidRPr="003D3C0C" w:rsidRDefault="003D3C0C" w:rsidP="003D3C0C">
      <w:pPr>
        <w:pStyle w:val="ListParagraph"/>
        <w:rPr>
          <w:rFonts w:cstheme="minorHAnsi"/>
          <w:sz w:val="24"/>
          <w:szCs w:val="24"/>
        </w:rPr>
      </w:pPr>
    </w:p>
    <w:p w14:paraId="502CBD71" w14:textId="6D52A537" w:rsidR="00FE48E1" w:rsidRPr="00126D35" w:rsidRDefault="00FE48E1" w:rsidP="006A5315">
      <w:pPr>
        <w:pStyle w:val="ListParagraph"/>
        <w:numPr>
          <w:ilvl w:val="0"/>
          <w:numId w:val="2"/>
        </w:numPr>
        <w:jc w:val="both"/>
        <w:rPr>
          <w:rFonts w:cstheme="minorHAnsi"/>
          <w:sz w:val="24"/>
          <w:szCs w:val="24"/>
        </w:rPr>
      </w:pPr>
      <w:r w:rsidRPr="00126D35">
        <w:rPr>
          <w:rFonts w:cstheme="minorHAnsi"/>
          <w:sz w:val="24"/>
          <w:szCs w:val="24"/>
        </w:rPr>
        <w:t>take all reasonable steps to avoid a</w:t>
      </w:r>
      <w:r w:rsidR="00A44DD8" w:rsidRPr="00126D35">
        <w:rPr>
          <w:rFonts w:cstheme="minorHAnsi"/>
          <w:sz w:val="24"/>
          <w:szCs w:val="24"/>
        </w:rPr>
        <w:t xml:space="preserve"> </w:t>
      </w:r>
      <w:r w:rsidRPr="00126D35">
        <w:rPr>
          <w:rFonts w:cstheme="minorHAnsi"/>
          <w:sz w:val="24"/>
          <w:szCs w:val="24"/>
        </w:rPr>
        <w:t>conflict of interest and to declare or manage a conflict of interest that cannot reasonably be avoided</w:t>
      </w:r>
      <w:r w:rsidRPr="00126D35">
        <w:rPr>
          <w:rStyle w:val="FootnoteReference"/>
          <w:rFonts w:cstheme="minorHAnsi"/>
          <w:sz w:val="24"/>
          <w:szCs w:val="24"/>
        </w:rPr>
        <w:footnoteReference w:id="4"/>
      </w:r>
      <w:r w:rsidR="00691EC2" w:rsidRPr="00126D35">
        <w:rPr>
          <w:rFonts w:cstheme="minorHAnsi"/>
          <w:sz w:val="24"/>
          <w:szCs w:val="24"/>
        </w:rPr>
        <w:t>;</w:t>
      </w:r>
    </w:p>
    <w:p w14:paraId="0A1B428F" w14:textId="371B77ED" w:rsidR="00FE48E1" w:rsidRPr="00126D35" w:rsidRDefault="00FE48E1" w:rsidP="006A5315">
      <w:pPr>
        <w:pStyle w:val="ListParagraph"/>
        <w:numPr>
          <w:ilvl w:val="0"/>
          <w:numId w:val="2"/>
        </w:numPr>
        <w:jc w:val="both"/>
        <w:rPr>
          <w:rFonts w:cstheme="minorHAnsi"/>
          <w:sz w:val="24"/>
          <w:szCs w:val="24"/>
        </w:rPr>
      </w:pPr>
      <w:r w:rsidRPr="00126D35">
        <w:rPr>
          <w:rFonts w:cstheme="minorHAnsi"/>
          <w:sz w:val="24"/>
          <w:szCs w:val="24"/>
        </w:rPr>
        <w:t>demonstrate the public sector values of respect, integrity, collaboration and innovation when acting in connection with their job</w:t>
      </w:r>
      <w:r w:rsidR="003D6032" w:rsidRPr="00126D35">
        <w:rPr>
          <w:rStyle w:val="FootnoteReference"/>
          <w:rFonts w:cstheme="minorHAnsi"/>
          <w:sz w:val="24"/>
          <w:szCs w:val="24"/>
        </w:rPr>
        <w:footnoteReference w:id="5"/>
      </w:r>
      <w:r w:rsidR="003D6032" w:rsidRPr="00126D35">
        <w:rPr>
          <w:rFonts w:cstheme="minorHAnsi"/>
          <w:sz w:val="24"/>
          <w:szCs w:val="24"/>
        </w:rPr>
        <w:t>;</w:t>
      </w:r>
    </w:p>
    <w:p w14:paraId="54D62A24" w14:textId="5642D62B" w:rsidR="003D6032" w:rsidRDefault="00A44DD8" w:rsidP="006A5315">
      <w:pPr>
        <w:pStyle w:val="ListParagraph"/>
        <w:numPr>
          <w:ilvl w:val="0"/>
          <w:numId w:val="2"/>
        </w:numPr>
        <w:jc w:val="both"/>
        <w:rPr>
          <w:rFonts w:cstheme="minorHAnsi"/>
          <w:sz w:val="24"/>
          <w:szCs w:val="24"/>
        </w:rPr>
      </w:pPr>
      <w:r w:rsidRPr="00126D35">
        <w:rPr>
          <w:rFonts w:cstheme="minorHAnsi"/>
          <w:sz w:val="24"/>
          <w:szCs w:val="24"/>
        </w:rPr>
        <w:t>perform</w:t>
      </w:r>
      <w:r w:rsidR="00691EC2" w:rsidRPr="00126D35">
        <w:rPr>
          <w:rFonts w:cstheme="minorHAnsi"/>
          <w:sz w:val="24"/>
          <w:szCs w:val="24"/>
        </w:rPr>
        <w:t xml:space="preserve"> their </w:t>
      </w:r>
      <w:r w:rsidRPr="00126D35">
        <w:rPr>
          <w:rFonts w:cstheme="minorHAnsi"/>
          <w:sz w:val="24"/>
          <w:szCs w:val="24"/>
        </w:rPr>
        <w:t>duties</w:t>
      </w:r>
      <w:r w:rsidR="00691EC2" w:rsidRPr="00126D35">
        <w:rPr>
          <w:rFonts w:cstheme="minorHAnsi"/>
          <w:sz w:val="24"/>
          <w:szCs w:val="24"/>
        </w:rPr>
        <w:t xml:space="preserve"> in accordance with the best practice principle</w:t>
      </w:r>
      <w:r w:rsidR="00691EC2" w:rsidRPr="00126D35">
        <w:rPr>
          <w:rStyle w:val="FootnoteReference"/>
          <w:rFonts w:cstheme="minorHAnsi"/>
          <w:sz w:val="24"/>
          <w:szCs w:val="24"/>
        </w:rPr>
        <w:footnoteReference w:id="6"/>
      </w:r>
      <w:r w:rsidR="00691EC2" w:rsidRPr="00126D35">
        <w:rPr>
          <w:rFonts w:cstheme="minorHAnsi"/>
          <w:sz w:val="24"/>
          <w:szCs w:val="24"/>
        </w:rPr>
        <w:t>.</w:t>
      </w:r>
    </w:p>
    <w:p w14:paraId="5D1F1599" w14:textId="77777777" w:rsidR="003D3C0C" w:rsidRPr="00126D35" w:rsidRDefault="003D3C0C" w:rsidP="003D3C0C">
      <w:pPr>
        <w:pStyle w:val="ListParagraph"/>
        <w:ind w:left="1440"/>
        <w:jc w:val="both"/>
        <w:rPr>
          <w:rFonts w:cstheme="minorHAnsi"/>
          <w:sz w:val="24"/>
          <w:szCs w:val="24"/>
        </w:rPr>
      </w:pPr>
    </w:p>
    <w:p w14:paraId="2001E0A9" w14:textId="5ABD1DB1" w:rsidR="00691EC2" w:rsidRPr="003D3C0C" w:rsidRDefault="00A225C9" w:rsidP="003D3C0C">
      <w:pPr>
        <w:pStyle w:val="ListParagraph"/>
        <w:numPr>
          <w:ilvl w:val="1"/>
          <w:numId w:val="10"/>
        </w:numPr>
        <w:jc w:val="both"/>
        <w:rPr>
          <w:rFonts w:cstheme="minorHAnsi"/>
          <w:sz w:val="24"/>
          <w:szCs w:val="24"/>
        </w:rPr>
      </w:pPr>
      <w:r w:rsidRPr="003D3C0C">
        <w:rPr>
          <w:rFonts w:cstheme="minorHAnsi"/>
          <w:sz w:val="24"/>
          <w:szCs w:val="24"/>
        </w:rPr>
        <w:t>In accordance with s 50(3)(b) of the Act, s</w:t>
      </w:r>
      <w:r w:rsidR="00691EC2" w:rsidRPr="003D3C0C">
        <w:rPr>
          <w:rFonts w:cstheme="minorHAnsi"/>
          <w:sz w:val="24"/>
          <w:szCs w:val="24"/>
        </w:rPr>
        <w:t xml:space="preserve">taff of the Commission are required to declare any personal interests the Commission considers relevant. The Commission must make personal interest guidelines about the personal interests the </w:t>
      </w:r>
      <w:r w:rsidR="001D4060" w:rsidRPr="003D3C0C">
        <w:rPr>
          <w:rFonts w:cstheme="minorHAnsi"/>
          <w:sz w:val="24"/>
          <w:szCs w:val="24"/>
        </w:rPr>
        <w:t>C</w:t>
      </w:r>
      <w:r w:rsidR="00691EC2" w:rsidRPr="003D3C0C">
        <w:rPr>
          <w:rFonts w:cstheme="minorHAnsi"/>
          <w:sz w:val="24"/>
          <w:szCs w:val="24"/>
        </w:rPr>
        <w:t>ommission considers relevant to declare under s 50(3)(b) of the Act.</w:t>
      </w:r>
      <w:r w:rsidR="00691EC2" w:rsidRPr="00126D35">
        <w:rPr>
          <w:rStyle w:val="FootnoteReference"/>
          <w:rFonts w:cstheme="minorHAnsi"/>
          <w:sz w:val="24"/>
          <w:szCs w:val="24"/>
        </w:rPr>
        <w:footnoteReference w:id="7"/>
      </w:r>
      <w:r w:rsidR="00691EC2" w:rsidRPr="003D3C0C">
        <w:rPr>
          <w:rFonts w:cstheme="minorHAnsi"/>
          <w:sz w:val="24"/>
          <w:szCs w:val="24"/>
        </w:rPr>
        <w:t xml:space="preserve">  </w:t>
      </w:r>
    </w:p>
    <w:p w14:paraId="35034D66" w14:textId="77777777" w:rsidR="003D3C0C" w:rsidRPr="003D3C0C" w:rsidRDefault="003D3C0C" w:rsidP="003D3C0C">
      <w:pPr>
        <w:pStyle w:val="ListParagraph"/>
        <w:jc w:val="both"/>
        <w:rPr>
          <w:rFonts w:cstheme="minorHAnsi"/>
          <w:sz w:val="24"/>
          <w:szCs w:val="24"/>
        </w:rPr>
      </w:pPr>
    </w:p>
    <w:p w14:paraId="00BF3A34" w14:textId="77777777" w:rsidR="00A44DD8" w:rsidRPr="00126D35" w:rsidRDefault="00A44DD8" w:rsidP="006A5315">
      <w:pPr>
        <w:jc w:val="both"/>
        <w:rPr>
          <w:rFonts w:cstheme="minorHAnsi"/>
          <w:b/>
          <w:bCs/>
          <w:sz w:val="24"/>
          <w:szCs w:val="24"/>
        </w:rPr>
      </w:pPr>
      <w:r w:rsidRPr="00126D35">
        <w:rPr>
          <w:rFonts w:cstheme="minorHAnsi"/>
          <w:b/>
          <w:bCs/>
          <w:sz w:val="24"/>
          <w:szCs w:val="24"/>
        </w:rPr>
        <w:br w:type="page"/>
      </w:r>
    </w:p>
    <w:p w14:paraId="1619E90C" w14:textId="64DDAF97" w:rsidR="007D710F" w:rsidRPr="00126D35" w:rsidRDefault="00027D4C" w:rsidP="006A5315">
      <w:pPr>
        <w:pStyle w:val="ListParagraph"/>
        <w:numPr>
          <w:ilvl w:val="0"/>
          <w:numId w:val="10"/>
        </w:numPr>
        <w:jc w:val="both"/>
        <w:rPr>
          <w:rFonts w:asciiTheme="majorHAnsi" w:hAnsiTheme="majorHAnsi" w:cstheme="majorHAnsi"/>
          <w:color w:val="2F5496" w:themeColor="accent1" w:themeShade="BF"/>
          <w:sz w:val="32"/>
          <w:szCs w:val="32"/>
        </w:rPr>
      </w:pPr>
      <w:r w:rsidRPr="00126D35">
        <w:rPr>
          <w:rFonts w:asciiTheme="majorHAnsi" w:hAnsiTheme="majorHAnsi" w:cstheme="majorHAnsi"/>
          <w:color w:val="2F5496" w:themeColor="accent1" w:themeShade="BF"/>
          <w:sz w:val="32"/>
          <w:szCs w:val="32"/>
        </w:rPr>
        <w:lastRenderedPageBreak/>
        <w:t xml:space="preserve">Personal Interests </w:t>
      </w:r>
    </w:p>
    <w:p w14:paraId="3AFF6D7B" w14:textId="77777777" w:rsidR="006A5315" w:rsidRPr="00126D35" w:rsidRDefault="006A5315" w:rsidP="006A5315">
      <w:pPr>
        <w:jc w:val="both"/>
        <w:rPr>
          <w:rFonts w:cstheme="minorHAnsi"/>
          <w:sz w:val="24"/>
          <w:szCs w:val="24"/>
        </w:rPr>
      </w:pPr>
    </w:p>
    <w:p w14:paraId="0B5ACF08" w14:textId="73DCCDA9" w:rsidR="006A5315" w:rsidRPr="003D3C0C" w:rsidRDefault="006A5315" w:rsidP="003D3C0C">
      <w:pPr>
        <w:pStyle w:val="ListParagraph"/>
        <w:numPr>
          <w:ilvl w:val="1"/>
          <w:numId w:val="10"/>
        </w:numPr>
        <w:jc w:val="both"/>
        <w:rPr>
          <w:rFonts w:cstheme="minorHAnsi"/>
          <w:sz w:val="24"/>
          <w:szCs w:val="24"/>
        </w:rPr>
      </w:pPr>
      <w:r w:rsidRPr="003D3C0C">
        <w:rPr>
          <w:rFonts w:cstheme="minorHAnsi"/>
          <w:sz w:val="24"/>
          <w:szCs w:val="24"/>
        </w:rPr>
        <w:t xml:space="preserve">Commission staff are required to be beyond reproach in the performance of their official duties.  Challenges and risks may arise in relation to potential conflicts of interest for staff working within the Commission in particular.  This is because: </w:t>
      </w:r>
    </w:p>
    <w:p w14:paraId="561161AB" w14:textId="77777777" w:rsidR="003D3C0C" w:rsidRPr="003D3C0C" w:rsidRDefault="003D3C0C" w:rsidP="003D3C0C">
      <w:pPr>
        <w:pStyle w:val="ListParagraph"/>
        <w:jc w:val="both"/>
        <w:rPr>
          <w:rFonts w:cstheme="minorHAnsi"/>
          <w:sz w:val="24"/>
          <w:szCs w:val="24"/>
        </w:rPr>
      </w:pPr>
    </w:p>
    <w:p w14:paraId="35C51782" w14:textId="75452ED2" w:rsidR="006A5315" w:rsidRPr="00126D35" w:rsidRDefault="006A5315" w:rsidP="003D3C0C">
      <w:pPr>
        <w:pStyle w:val="ListParagraph"/>
        <w:numPr>
          <w:ilvl w:val="0"/>
          <w:numId w:val="34"/>
        </w:numPr>
        <w:jc w:val="both"/>
        <w:rPr>
          <w:rFonts w:cstheme="minorHAnsi"/>
          <w:sz w:val="24"/>
          <w:szCs w:val="24"/>
        </w:rPr>
      </w:pPr>
      <w:r w:rsidRPr="00126D35">
        <w:rPr>
          <w:rFonts w:cstheme="minorHAnsi"/>
          <w:sz w:val="24"/>
          <w:szCs w:val="24"/>
        </w:rPr>
        <w:t>the ACT is a geographically small jurisdiction in which personal connections are unavoidable, making the appropriate management of conflicts of interests, whether actual, perceived or potential, particularly important;</w:t>
      </w:r>
    </w:p>
    <w:p w14:paraId="6523B981" w14:textId="77777777" w:rsidR="006A5315" w:rsidRPr="00126D35" w:rsidRDefault="006A5315" w:rsidP="003D3C0C">
      <w:pPr>
        <w:pStyle w:val="ListParagraph"/>
        <w:numPr>
          <w:ilvl w:val="0"/>
          <w:numId w:val="34"/>
        </w:numPr>
        <w:jc w:val="both"/>
        <w:rPr>
          <w:rFonts w:cstheme="minorHAnsi"/>
          <w:sz w:val="24"/>
          <w:szCs w:val="24"/>
        </w:rPr>
      </w:pPr>
      <w:r w:rsidRPr="00126D35">
        <w:rPr>
          <w:rFonts w:cstheme="minorHAnsi"/>
          <w:sz w:val="24"/>
          <w:szCs w:val="24"/>
        </w:rPr>
        <w:t>staff working within the Commission, which is designed to strengthen public confidence in government integrity, must be particularly mindful of any personal interests that could or could be seen to influence their advice or decisions;</w:t>
      </w:r>
    </w:p>
    <w:p w14:paraId="26907D8E" w14:textId="77777777" w:rsidR="006A5315" w:rsidRPr="00126D35" w:rsidRDefault="006A5315" w:rsidP="003D3C0C">
      <w:pPr>
        <w:pStyle w:val="ListParagraph"/>
        <w:numPr>
          <w:ilvl w:val="0"/>
          <w:numId w:val="34"/>
        </w:numPr>
        <w:jc w:val="both"/>
        <w:rPr>
          <w:rFonts w:cstheme="minorHAnsi"/>
          <w:sz w:val="24"/>
          <w:szCs w:val="24"/>
        </w:rPr>
      </w:pPr>
      <w:r w:rsidRPr="00126D35">
        <w:rPr>
          <w:rFonts w:cstheme="minorHAnsi"/>
          <w:sz w:val="24"/>
          <w:szCs w:val="24"/>
        </w:rPr>
        <w:t>the public must have confidence in the Commission’s ability to investigate corrupt conduct, free from any actual or perceived conflict of interest.</w:t>
      </w:r>
    </w:p>
    <w:p w14:paraId="2075F6F6" w14:textId="1A4AE7B6" w:rsidR="001F612D" w:rsidRDefault="001D4060" w:rsidP="003D3C0C">
      <w:pPr>
        <w:pStyle w:val="ListParagraph"/>
        <w:numPr>
          <w:ilvl w:val="1"/>
          <w:numId w:val="10"/>
        </w:numPr>
        <w:jc w:val="both"/>
        <w:rPr>
          <w:rFonts w:cstheme="minorHAnsi"/>
          <w:sz w:val="24"/>
          <w:szCs w:val="24"/>
        </w:rPr>
      </w:pPr>
      <w:r w:rsidRPr="003D3C0C">
        <w:rPr>
          <w:rFonts w:cstheme="minorHAnsi"/>
          <w:sz w:val="24"/>
          <w:szCs w:val="24"/>
        </w:rPr>
        <w:t>The Act draws a distinction between a ‘conflict of interest’ and ‘personal interests’.  The Act requires certain actions in relation to conflicts of interest for the Commissioner</w:t>
      </w:r>
      <w:r w:rsidRPr="00126D35">
        <w:rPr>
          <w:rStyle w:val="FootnoteReference"/>
          <w:rFonts w:cstheme="minorHAnsi"/>
          <w:sz w:val="24"/>
          <w:szCs w:val="24"/>
        </w:rPr>
        <w:footnoteReference w:id="8"/>
      </w:r>
      <w:r w:rsidRPr="003D3C0C">
        <w:rPr>
          <w:rFonts w:cstheme="minorHAnsi"/>
          <w:sz w:val="24"/>
          <w:szCs w:val="24"/>
        </w:rPr>
        <w:t xml:space="preserve"> but does not specifically refer to conflicts of interest for Commission staff.  Instead, the Act specifies that individuals may be required to declare personal interests</w:t>
      </w:r>
      <w:r w:rsidR="00021290" w:rsidRPr="003D3C0C">
        <w:rPr>
          <w:rFonts w:cstheme="minorHAnsi"/>
          <w:sz w:val="24"/>
          <w:szCs w:val="24"/>
        </w:rPr>
        <w:t xml:space="preserve"> the Commission considers relevant,</w:t>
      </w:r>
      <w:r w:rsidRPr="003D3C0C">
        <w:rPr>
          <w:rFonts w:cstheme="minorHAnsi"/>
          <w:sz w:val="24"/>
          <w:szCs w:val="24"/>
        </w:rPr>
        <w:t xml:space="preserve"> in order to determine if they are suitable </w:t>
      </w:r>
      <w:r w:rsidR="00533C56" w:rsidRPr="003D3C0C">
        <w:rPr>
          <w:rFonts w:cstheme="minorHAnsi"/>
          <w:sz w:val="24"/>
          <w:szCs w:val="24"/>
        </w:rPr>
        <w:t>to be a staff member of</w:t>
      </w:r>
      <w:r w:rsidRPr="003D3C0C">
        <w:rPr>
          <w:rFonts w:cstheme="minorHAnsi"/>
          <w:sz w:val="24"/>
          <w:szCs w:val="24"/>
        </w:rPr>
        <w:t xml:space="preserve"> the Commission</w:t>
      </w:r>
      <w:r w:rsidRPr="00126D35">
        <w:rPr>
          <w:rStyle w:val="FootnoteReference"/>
          <w:rFonts w:cstheme="minorHAnsi"/>
          <w:sz w:val="24"/>
          <w:szCs w:val="24"/>
        </w:rPr>
        <w:footnoteReference w:id="9"/>
      </w:r>
      <w:r w:rsidRPr="003D3C0C">
        <w:rPr>
          <w:rFonts w:cstheme="minorHAnsi"/>
          <w:sz w:val="24"/>
          <w:szCs w:val="24"/>
        </w:rPr>
        <w:t>.</w:t>
      </w:r>
    </w:p>
    <w:p w14:paraId="46A7EEDC" w14:textId="77777777" w:rsidR="003D3C0C" w:rsidRPr="003D3C0C" w:rsidRDefault="003D3C0C" w:rsidP="003D3C0C">
      <w:pPr>
        <w:pStyle w:val="ListParagraph"/>
        <w:jc w:val="both"/>
        <w:rPr>
          <w:rFonts w:cstheme="minorHAnsi"/>
          <w:sz w:val="24"/>
          <w:szCs w:val="24"/>
        </w:rPr>
      </w:pPr>
    </w:p>
    <w:p w14:paraId="7110C251" w14:textId="77777777" w:rsidR="003D3C0C" w:rsidRDefault="006A5315" w:rsidP="006A5315">
      <w:pPr>
        <w:pStyle w:val="ListParagraph"/>
        <w:numPr>
          <w:ilvl w:val="1"/>
          <w:numId w:val="10"/>
        </w:numPr>
        <w:jc w:val="both"/>
        <w:rPr>
          <w:rFonts w:cstheme="minorHAnsi"/>
          <w:sz w:val="24"/>
          <w:szCs w:val="24"/>
        </w:rPr>
      </w:pPr>
      <w:r w:rsidRPr="003D3C0C">
        <w:rPr>
          <w:rFonts w:cstheme="minorHAnsi"/>
          <w:sz w:val="24"/>
          <w:szCs w:val="24"/>
        </w:rPr>
        <w:t xml:space="preserve">A personal interests declaration is a proactive measure that enables the Commission to identify and assess the risk posed by any potential conflicts of interest, and make an informed decision with respect to an individual’s suitability to be employed as a Commission staff member.   </w:t>
      </w:r>
    </w:p>
    <w:p w14:paraId="2AFBA007" w14:textId="77777777" w:rsidR="003D3C0C" w:rsidRPr="003D3C0C" w:rsidRDefault="003D3C0C" w:rsidP="003D3C0C">
      <w:pPr>
        <w:pStyle w:val="ListParagraph"/>
        <w:rPr>
          <w:rFonts w:cstheme="minorHAnsi"/>
          <w:sz w:val="24"/>
          <w:szCs w:val="24"/>
        </w:rPr>
      </w:pPr>
    </w:p>
    <w:p w14:paraId="414EC7C7" w14:textId="77777777" w:rsidR="003D3C0C" w:rsidRDefault="001F612D" w:rsidP="006A5315">
      <w:pPr>
        <w:pStyle w:val="ListParagraph"/>
        <w:numPr>
          <w:ilvl w:val="1"/>
          <w:numId w:val="10"/>
        </w:numPr>
        <w:jc w:val="both"/>
        <w:rPr>
          <w:rFonts w:cstheme="minorHAnsi"/>
          <w:sz w:val="24"/>
          <w:szCs w:val="24"/>
        </w:rPr>
      </w:pPr>
      <w:r w:rsidRPr="003D3C0C">
        <w:rPr>
          <w:rFonts w:cstheme="minorHAnsi"/>
          <w:sz w:val="24"/>
          <w:szCs w:val="24"/>
        </w:rPr>
        <w:t>For the purpose of these Guidelines, the Commission has determined that a personal interest is relevant if</w:t>
      </w:r>
      <w:r w:rsidR="009E4759" w:rsidRPr="003D3C0C">
        <w:rPr>
          <w:rFonts w:cstheme="minorHAnsi"/>
          <w:sz w:val="24"/>
          <w:szCs w:val="24"/>
        </w:rPr>
        <w:t xml:space="preserve"> a reasonable person could perceive there to be an actual, potential or apparent conflict of interest between a staff member’s pecuniary and non-pecuniary personal interest(s) and their official duties or the functions of the Commission.</w:t>
      </w:r>
    </w:p>
    <w:p w14:paraId="0652E621" w14:textId="77777777" w:rsidR="003D3C0C" w:rsidRPr="003D3C0C" w:rsidRDefault="003D3C0C" w:rsidP="003D3C0C">
      <w:pPr>
        <w:pStyle w:val="ListParagraph"/>
        <w:rPr>
          <w:rFonts w:cstheme="minorHAnsi"/>
          <w:sz w:val="24"/>
          <w:szCs w:val="24"/>
        </w:rPr>
      </w:pPr>
    </w:p>
    <w:p w14:paraId="5CB75321" w14:textId="77777777" w:rsidR="003D3C0C" w:rsidRDefault="009E4759" w:rsidP="006A5315">
      <w:pPr>
        <w:pStyle w:val="ListParagraph"/>
        <w:numPr>
          <w:ilvl w:val="1"/>
          <w:numId w:val="10"/>
        </w:numPr>
        <w:jc w:val="both"/>
        <w:rPr>
          <w:rFonts w:cstheme="minorHAnsi"/>
          <w:sz w:val="24"/>
          <w:szCs w:val="24"/>
        </w:rPr>
      </w:pPr>
      <w:r w:rsidRPr="003D3C0C">
        <w:rPr>
          <w:rFonts w:cstheme="minorHAnsi"/>
          <w:sz w:val="24"/>
          <w:szCs w:val="24"/>
        </w:rPr>
        <w:t>A relevant personal interest also includes the pecuniary and non-pecuniary personal interests of the staff member’s immediate family members.</w:t>
      </w:r>
    </w:p>
    <w:p w14:paraId="7FFD0DDF" w14:textId="77777777" w:rsidR="003D3C0C" w:rsidRPr="003D3C0C" w:rsidRDefault="003D3C0C" w:rsidP="003D3C0C">
      <w:pPr>
        <w:pStyle w:val="ListParagraph"/>
        <w:rPr>
          <w:rFonts w:cstheme="minorHAnsi"/>
          <w:sz w:val="24"/>
          <w:szCs w:val="24"/>
        </w:rPr>
      </w:pPr>
    </w:p>
    <w:p w14:paraId="72459E94" w14:textId="77777777" w:rsidR="003D3C0C" w:rsidRDefault="00A02C43" w:rsidP="006A5315">
      <w:pPr>
        <w:pStyle w:val="ListParagraph"/>
        <w:numPr>
          <w:ilvl w:val="1"/>
          <w:numId w:val="10"/>
        </w:numPr>
        <w:jc w:val="both"/>
        <w:rPr>
          <w:rFonts w:cstheme="minorHAnsi"/>
          <w:sz w:val="24"/>
          <w:szCs w:val="24"/>
        </w:rPr>
      </w:pPr>
      <w:r w:rsidRPr="003D3C0C">
        <w:rPr>
          <w:rFonts w:cstheme="minorHAnsi"/>
          <w:sz w:val="24"/>
          <w:szCs w:val="24"/>
        </w:rPr>
        <w:t xml:space="preserve">Personal interests may be financial or may include links staff have with social, political, religious, cultural, sporting or professional groups, or those of a family member, friend </w:t>
      </w:r>
      <w:r w:rsidRPr="003D3C0C">
        <w:rPr>
          <w:rFonts w:cstheme="minorHAnsi"/>
          <w:sz w:val="24"/>
          <w:szCs w:val="24"/>
        </w:rPr>
        <w:lastRenderedPageBreak/>
        <w:t>or other associate.  Enmity as well as friendship is a personal interest that can give rise to a conflict of interest.</w:t>
      </w:r>
    </w:p>
    <w:p w14:paraId="73E1855B" w14:textId="77777777" w:rsidR="003D3C0C" w:rsidRPr="003D3C0C" w:rsidRDefault="003D3C0C" w:rsidP="003D3C0C">
      <w:pPr>
        <w:pStyle w:val="ListParagraph"/>
        <w:rPr>
          <w:rFonts w:cstheme="minorHAnsi"/>
          <w:sz w:val="24"/>
          <w:szCs w:val="24"/>
        </w:rPr>
      </w:pPr>
    </w:p>
    <w:p w14:paraId="49B33C95" w14:textId="3A8DB1E3" w:rsidR="003D3C0C" w:rsidRDefault="006A5315" w:rsidP="006A5315">
      <w:pPr>
        <w:pStyle w:val="ListParagraph"/>
        <w:numPr>
          <w:ilvl w:val="1"/>
          <w:numId w:val="10"/>
        </w:numPr>
        <w:jc w:val="both"/>
        <w:rPr>
          <w:rFonts w:cstheme="minorHAnsi"/>
          <w:sz w:val="24"/>
          <w:szCs w:val="24"/>
        </w:rPr>
      </w:pPr>
      <w:r w:rsidRPr="003D3C0C">
        <w:rPr>
          <w:rFonts w:cstheme="minorHAnsi"/>
          <w:sz w:val="24"/>
          <w:szCs w:val="24"/>
        </w:rPr>
        <w:t>T</w:t>
      </w:r>
      <w:r w:rsidR="00C93B05" w:rsidRPr="003D3C0C">
        <w:rPr>
          <w:rFonts w:cstheme="minorHAnsi"/>
          <w:sz w:val="24"/>
          <w:szCs w:val="24"/>
        </w:rPr>
        <w:t xml:space="preserve">he Commission has established and maintains a conflict of interest register </w:t>
      </w:r>
      <w:r w:rsidR="00AC7242" w:rsidRPr="003D3C0C">
        <w:rPr>
          <w:rFonts w:cstheme="minorHAnsi"/>
          <w:sz w:val="24"/>
          <w:szCs w:val="24"/>
        </w:rPr>
        <w:t xml:space="preserve">for the Commissioner </w:t>
      </w:r>
      <w:r w:rsidR="00C93B05" w:rsidRPr="003D3C0C">
        <w:rPr>
          <w:rFonts w:cstheme="minorHAnsi"/>
          <w:sz w:val="24"/>
          <w:szCs w:val="24"/>
        </w:rPr>
        <w:t xml:space="preserve">in compliance with ss 31 and 32 of the Act.  The Commission also has a Conflict of Interest Policy that applies to </w:t>
      </w:r>
      <w:r w:rsidR="00661471" w:rsidRPr="003D3C0C">
        <w:rPr>
          <w:rFonts w:cstheme="minorHAnsi"/>
          <w:sz w:val="24"/>
          <w:szCs w:val="24"/>
        </w:rPr>
        <w:t xml:space="preserve">all </w:t>
      </w:r>
      <w:r w:rsidR="00C93B05" w:rsidRPr="003D3C0C">
        <w:rPr>
          <w:rFonts w:cstheme="minorHAnsi"/>
          <w:sz w:val="24"/>
          <w:szCs w:val="24"/>
        </w:rPr>
        <w:t>Commission staff.</w:t>
      </w:r>
      <w:r w:rsidR="00661471" w:rsidRPr="003D3C0C">
        <w:rPr>
          <w:rFonts w:cstheme="minorHAnsi"/>
          <w:sz w:val="24"/>
          <w:szCs w:val="24"/>
        </w:rPr>
        <w:t xml:space="preserve">  </w:t>
      </w:r>
    </w:p>
    <w:p w14:paraId="152B1390" w14:textId="77777777" w:rsidR="00AF4AA8" w:rsidRPr="00AF4AA8" w:rsidRDefault="00AF4AA8" w:rsidP="00AF4AA8">
      <w:pPr>
        <w:pStyle w:val="ListParagraph"/>
        <w:rPr>
          <w:rFonts w:cstheme="minorHAnsi"/>
          <w:sz w:val="24"/>
          <w:szCs w:val="24"/>
        </w:rPr>
      </w:pPr>
    </w:p>
    <w:p w14:paraId="68EE3318" w14:textId="2F65738C" w:rsidR="00AF4AA8" w:rsidRPr="00AF4AA8" w:rsidRDefault="00AF4AA8" w:rsidP="006A5315">
      <w:pPr>
        <w:pStyle w:val="ListParagraph"/>
        <w:numPr>
          <w:ilvl w:val="1"/>
          <w:numId w:val="10"/>
        </w:numPr>
        <w:jc w:val="both"/>
        <w:rPr>
          <w:rFonts w:cstheme="minorHAnsi"/>
          <w:sz w:val="24"/>
          <w:szCs w:val="24"/>
        </w:rPr>
      </w:pPr>
      <w:r w:rsidRPr="00AF4AA8">
        <w:rPr>
          <w:sz w:val="24"/>
          <w:szCs w:val="24"/>
        </w:rPr>
        <w:t>A personal interest can give rise to a conflict of interest. For this reason, the Commission's Conflict of Interest Policy becomes relevant where a member of staff finds that a personal interest is in conflict with their duties and responsibilities as staff members of the Commission.</w:t>
      </w:r>
    </w:p>
    <w:p w14:paraId="7C27F5D8" w14:textId="77777777" w:rsidR="003D3C0C" w:rsidRPr="003D3C0C" w:rsidRDefault="003D3C0C" w:rsidP="003D3C0C">
      <w:pPr>
        <w:pStyle w:val="ListParagraph"/>
        <w:rPr>
          <w:rFonts w:cstheme="minorHAnsi"/>
          <w:sz w:val="24"/>
          <w:szCs w:val="24"/>
        </w:rPr>
      </w:pPr>
    </w:p>
    <w:p w14:paraId="50F37461" w14:textId="77777777" w:rsidR="003D3C0C" w:rsidRDefault="00F80827" w:rsidP="006A5315">
      <w:pPr>
        <w:pStyle w:val="ListParagraph"/>
        <w:numPr>
          <w:ilvl w:val="1"/>
          <w:numId w:val="10"/>
        </w:numPr>
        <w:jc w:val="both"/>
        <w:rPr>
          <w:rFonts w:cstheme="minorHAnsi"/>
          <w:sz w:val="24"/>
          <w:szCs w:val="24"/>
        </w:rPr>
      </w:pPr>
      <w:r w:rsidRPr="003D3C0C">
        <w:rPr>
          <w:rFonts w:cstheme="minorHAnsi"/>
          <w:sz w:val="24"/>
          <w:szCs w:val="24"/>
        </w:rPr>
        <w:t xml:space="preserve">The Conflict of Interest Policy requires staff to disclose relevant personal interests and potential conflicts of interest to the Commission as soon as is reasonably </w:t>
      </w:r>
      <w:r w:rsidR="006A5315" w:rsidRPr="003D3C0C">
        <w:rPr>
          <w:rFonts w:cstheme="minorHAnsi"/>
          <w:sz w:val="24"/>
          <w:szCs w:val="24"/>
        </w:rPr>
        <w:t>practicable and</w:t>
      </w:r>
      <w:r w:rsidRPr="003D3C0C">
        <w:rPr>
          <w:rFonts w:cstheme="minorHAnsi"/>
          <w:sz w:val="24"/>
          <w:szCs w:val="24"/>
        </w:rPr>
        <w:t xml:space="preserve"> provides a framework for the effective management of reported conflicts of interest. </w:t>
      </w:r>
      <w:r w:rsidR="00661471" w:rsidRPr="003D3C0C">
        <w:rPr>
          <w:rFonts w:cstheme="minorHAnsi"/>
          <w:sz w:val="24"/>
          <w:szCs w:val="24"/>
        </w:rPr>
        <w:t xml:space="preserve">This policy </w:t>
      </w:r>
      <w:r w:rsidRPr="003D3C0C">
        <w:rPr>
          <w:rFonts w:cstheme="minorHAnsi"/>
          <w:sz w:val="24"/>
          <w:szCs w:val="24"/>
        </w:rPr>
        <w:t xml:space="preserve">also </w:t>
      </w:r>
      <w:r w:rsidR="00661471" w:rsidRPr="003D3C0C">
        <w:rPr>
          <w:rFonts w:cstheme="minorHAnsi"/>
          <w:sz w:val="24"/>
          <w:szCs w:val="24"/>
        </w:rPr>
        <w:t xml:space="preserve">requires </w:t>
      </w:r>
      <w:r w:rsidRPr="003D3C0C">
        <w:rPr>
          <w:rFonts w:cstheme="minorHAnsi"/>
          <w:sz w:val="24"/>
          <w:szCs w:val="24"/>
        </w:rPr>
        <w:t xml:space="preserve">declared </w:t>
      </w:r>
      <w:r w:rsidR="00661471" w:rsidRPr="003D3C0C">
        <w:rPr>
          <w:rFonts w:cstheme="minorHAnsi"/>
          <w:sz w:val="24"/>
          <w:szCs w:val="24"/>
        </w:rPr>
        <w:t>conflicts of interest for all staff to be entered on the Conflicts of Interest Register.</w:t>
      </w:r>
      <w:r w:rsidR="006A5315" w:rsidRPr="003D3C0C">
        <w:rPr>
          <w:rFonts w:cstheme="minorHAnsi"/>
          <w:sz w:val="24"/>
          <w:szCs w:val="24"/>
        </w:rPr>
        <w:t xml:space="preserve">  </w:t>
      </w:r>
      <w:r w:rsidR="00EF603B" w:rsidRPr="003D3C0C">
        <w:rPr>
          <w:rFonts w:cstheme="minorHAnsi"/>
          <w:sz w:val="24"/>
          <w:szCs w:val="24"/>
        </w:rPr>
        <w:t xml:space="preserve">The Conflict of Interest policy enables the Commission to manage operational and reputational risk to the </w:t>
      </w:r>
      <w:r w:rsidR="00021290" w:rsidRPr="003D3C0C">
        <w:rPr>
          <w:rFonts w:cstheme="minorHAnsi"/>
          <w:sz w:val="24"/>
          <w:szCs w:val="24"/>
        </w:rPr>
        <w:t>Commission on an ongoing basis</w:t>
      </w:r>
      <w:r w:rsidR="00EF603B" w:rsidRPr="003D3C0C">
        <w:rPr>
          <w:rFonts w:cstheme="minorHAnsi"/>
          <w:sz w:val="24"/>
          <w:szCs w:val="24"/>
        </w:rPr>
        <w:t xml:space="preserve">.  </w:t>
      </w:r>
    </w:p>
    <w:p w14:paraId="26C4807C" w14:textId="77777777" w:rsidR="003D3C0C" w:rsidRPr="003D3C0C" w:rsidRDefault="003D3C0C" w:rsidP="003D3C0C">
      <w:pPr>
        <w:pStyle w:val="ListParagraph"/>
        <w:rPr>
          <w:rFonts w:cstheme="minorHAnsi"/>
          <w:sz w:val="24"/>
          <w:szCs w:val="24"/>
        </w:rPr>
      </w:pPr>
    </w:p>
    <w:p w14:paraId="5BB74E5A" w14:textId="79ABDABD" w:rsidR="00A44DD8" w:rsidRPr="003D3C0C" w:rsidRDefault="00776878" w:rsidP="006A5315">
      <w:pPr>
        <w:pStyle w:val="ListParagraph"/>
        <w:numPr>
          <w:ilvl w:val="1"/>
          <w:numId w:val="10"/>
        </w:numPr>
        <w:jc w:val="both"/>
        <w:rPr>
          <w:rFonts w:cstheme="minorHAnsi"/>
          <w:sz w:val="24"/>
          <w:szCs w:val="24"/>
        </w:rPr>
      </w:pPr>
      <w:r w:rsidRPr="003D3C0C">
        <w:rPr>
          <w:rFonts w:cstheme="minorHAnsi"/>
          <w:sz w:val="24"/>
          <w:szCs w:val="24"/>
        </w:rPr>
        <w:t xml:space="preserve">These </w:t>
      </w:r>
      <w:r w:rsidR="00A225C9" w:rsidRPr="003D3C0C">
        <w:rPr>
          <w:rFonts w:cstheme="minorHAnsi"/>
          <w:sz w:val="24"/>
          <w:szCs w:val="24"/>
        </w:rPr>
        <w:t>Personal Interest</w:t>
      </w:r>
      <w:r w:rsidRPr="003D3C0C">
        <w:rPr>
          <w:rFonts w:cstheme="minorHAnsi"/>
          <w:sz w:val="24"/>
          <w:szCs w:val="24"/>
        </w:rPr>
        <w:t xml:space="preserve"> Guidelines ar</w:t>
      </w:r>
      <w:r w:rsidR="00A225C9" w:rsidRPr="003D3C0C">
        <w:rPr>
          <w:rFonts w:cstheme="minorHAnsi"/>
          <w:sz w:val="24"/>
          <w:szCs w:val="24"/>
        </w:rPr>
        <w:t xml:space="preserve">e </w:t>
      </w:r>
      <w:r w:rsidRPr="003D3C0C">
        <w:rPr>
          <w:rFonts w:cstheme="minorHAnsi"/>
          <w:sz w:val="24"/>
          <w:szCs w:val="24"/>
        </w:rPr>
        <w:t xml:space="preserve">designed specifically for </w:t>
      </w:r>
      <w:r w:rsidR="00A225C9" w:rsidRPr="003D3C0C">
        <w:rPr>
          <w:rFonts w:cstheme="minorHAnsi"/>
          <w:sz w:val="24"/>
          <w:szCs w:val="24"/>
        </w:rPr>
        <w:t xml:space="preserve">Commission </w:t>
      </w:r>
      <w:r w:rsidRPr="003D3C0C">
        <w:rPr>
          <w:rFonts w:cstheme="minorHAnsi"/>
          <w:sz w:val="24"/>
          <w:szCs w:val="24"/>
        </w:rPr>
        <w:t>staff</w:t>
      </w:r>
      <w:r w:rsidR="00A225C9" w:rsidRPr="003D3C0C">
        <w:rPr>
          <w:rFonts w:cstheme="minorHAnsi"/>
          <w:sz w:val="24"/>
          <w:szCs w:val="24"/>
        </w:rPr>
        <w:t xml:space="preserve"> and meet the requirement</w:t>
      </w:r>
      <w:r w:rsidR="00695ACD" w:rsidRPr="003D3C0C">
        <w:rPr>
          <w:rFonts w:cstheme="minorHAnsi"/>
          <w:sz w:val="24"/>
          <w:szCs w:val="24"/>
        </w:rPr>
        <w:t>s of</w:t>
      </w:r>
      <w:r w:rsidR="00A225C9" w:rsidRPr="003D3C0C">
        <w:rPr>
          <w:rFonts w:cstheme="minorHAnsi"/>
          <w:sz w:val="24"/>
          <w:szCs w:val="24"/>
        </w:rPr>
        <w:t xml:space="preserve"> the Act</w:t>
      </w:r>
      <w:r w:rsidR="00A225C9" w:rsidRPr="00126D35">
        <w:rPr>
          <w:rStyle w:val="FootnoteReference"/>
          <w:rFonts w:cstheme="minorHAnsi"/>
          <w:sz w:val="24"/>
          <w:szCs w:val="24"/>
        </w:rPr>
        <w:footnoteReference w:id="10"/>
      </w:r>
      <w:r w:rsidR="00A225C9" w:rsidRPr="003D3C0C">
        <w:rPr>
          <w:rFonts w:cstheme="minorHAnsi"/>
          <w:sz w:val="24"/>
          <w:szCs w:val="24"/>
        </w:rPr>
        <w:t>.</w:t>
      </w:r>
      <w:r w:rsidR="00661471" w:rsidRPr="003D3C0C">
        <w:rPr>
          <w:rFonts w:cstheme="minorHAnsi"/>
          <w:sz w:val="24"/>
          <w:szCs w:val="24"/>
        </w:rPr>
        <w:t xml:space="preserve">  </w:t>
      </w:r>
      <w:r w:rsidR="00A44DD8" w:rsidRPr="003D3C0C">
        <w:rPr>
          <w:rFonts w:cstheme="minorHAnsi"/>
          <w:b/>
          <w:bCs/>
          <w:sz w:val="24"/>
          <w:szCs w:val="24"/>
        </w:rPr>
        <w:br w:type="page"/>
      </w:r>
    </w:p>
    <w:p w14:paraId="54E2C35A" w14:textId="256D3453" w:rsidR="00A44DD8" w:rsidRPr="00126D35" w:rsidRDefault="00A44DD8" w:rsidP="006A5315">
      <w:pPr>
        <w:pStyle w:val="ListParagraph"/>
        <w:numPr>
          <w:ilvl w:val="0"/>
          <w:numId w:val="10"/>
        </w:numPr>
        <w:jc w:val="both"/>
        <w:rPr>
          <w:rFonts w:asciiTheme="majorHAnsi" w:hAnsiTheme="majorHAnsi" w:cstheme="majorHAnsi"/>
          <w:color w:val="2F5496" w:themeColor="accent1" w:themeShade="BF"/>
          <w:sz w:val="32"/>
          <w:szCs w:val="32"/>
        </w:rPr>
      </w:pPr>
      <w:r w:rsidRPr="00126D35">
        <w:rPr>
          <w:rFonts w:asciiTheme="majorHAnsi" w:hAnsiTheme="majorHAnsi" w:cstheme="majorHAnsi"/>
          <w:color w:val="2F5496" w:themeColor="accent1" w:themeShade="BF"/>
          <w:sz w:val="32"/>
          <w:szCs w:val="32"/>
        </w:rPr>
        <w:lastRenderedPageBreak/>
        <w:t xml:space="preserve">Personal Interests required to be </w:t>
      </w:r>
      <w:r w:rsidR="005116CE" w:rsidRPr="00126D35">
        <w:rPr>
          <w:rFonts w:asciiTheme="majorHAnsi" w:hAnsiTheme="majorHAnsi" w:cstheme="majorHAnsi"/>
          <w:color w:val="2F5496" w:themeColor="accent1" w:themeShade="BF"/>
          <w:sz w:val="32"/>
          <w:szCs w:val="32"/>
        </w:rPr>
        <w:t>declared</w:t>
      </w:r>
    </w:p>
    <w:p w14:paraId="68817D90" w14:textId="77777777" w:rsidR="00A44DD8" w:rsidRPr="003D3C0C" w:rsidRDefault="00A44DD8" w:rsidP="006A5315">
      <w:pPr>
        <w:jc w:val="both"/>
        <w:rPr>
          <w:rFonts w:cstheme="minorHAnsi"/>
          <w:b/>
          <w:bCs/>
          <w:sz w:val="24"/>
          <w:szCs w:val="24"/>
        </w:rPr>
      </w:pPr>
    </w:p>
    <w:p w14:paraId="2788181A" w14:textId="2D2556D4" w:rsidR="003D3C0C" w:rsidRDefault="003D3C0C" w:rsidP="003D3C0C">
      <w:pPr>
        <w:pStyle w:val="ListParagraph"/>
        <w:numPr>
          <w:ilvl w:val="1"/>
          <w:numId w:val="10"/>
        </w:numPr>
        <w:jc w:val="both"/>
        <w:rPr>
          <w:rFonts w:cstheme="minorHAnsi"/>
          <w:sz w:val="24"/>
          <w:szCs w:val="24"/>
        </w:rPr>
      </w:pPr>
      <w:r w:rsidRPr="003D3C0C">
        <w:rPr>
          <w:rFonts w:cstheme="minorHAnsi"/>
          <w:sz w:val="24"/>
          <w:szCs w:val="24"/>
        </w:rPr>
        <w:t>In accordance with s 50(3)(b) of the Act, the Commission requires staff to provide information about private, financial and other interests that could, or could be seen to, influence the decisions or actions they take, or the advice they provide in the course of their official duties. That is, personal interests must be disclosed so as to safeguard against conflicts of interest that impact upon the ability of a staff member to perform their duties free of outside influence.</w:t>
      </w:r>
    </w:p>
    <w:p w14:paraId="0C80D4EA" w14:textId="77777777" w:rsidR="003D3C0C" w:rsidRPr="003D3C0C" w:rsidRDefault="003D3C0C" w:rsidP="003D3C0C">
      <w:pPr>
        <w:pStyle w:val="ListParagraph"/>
        <w:jc w:val="both"/>
        <w:rPr>
          <w:rFonts w:cstheme="minorHAnsi"/>
          <w:sz w:val="24"/>
          <w:szCs w:val="24"/>
        </w:rPr>
      </w:pPr>
    </w:p>
    <w:p w14:paraId="7C250B7B" w14:textId="4574DCF0" w:rsidR="003D3C0C" w:rsidRDefault="003D3C0C" w:rsidP="003D3C0C">
      <w:pPr>
        <w:pStyle w:val="ListParagraph"/>
        <w:numPr>
          <w:ilvl w:val="1"/>
          <w:numId w:val="10"/>
        </w:numPr>
        <w:jc w:val="both"/>
        <w:rPr>
          <w:rFonts w:cstheme="minorHAnsi"/>
          <w:sz w:val="24"/>
          <w:szCs w:val="24"/>
        </w:rPr>
      </w:pPr>
      <w:r w:rsidRPr="003D3C0C">
        <w:rPr>
          <w:rFonts w:cstheme="minorHAnsi"/>
          <w:sz w:val="24"/>
          <w:szCs w:val="24"/>
        </w:rPr>
        <w:t xml:space="preserve">Relevant personal interests that may need to be disclosed to the Commission include, but are not limited to: </w:t>
      </w:r>
    </w:p>
    <w:p w14:paraId="30246E63" w14:textId="77777777" w:rsidR="003D3C0C" w:rsidRPr="003D3C0C" w:rsidRDefault="003D3C0C" w:rsidP="003D3C0C">
      <w:pPr>
        <w:pStyle w:val="ListParagraph"/>
        <w:rPr>
          <w:rFonts w:cstheme="minorHAnsi"/>
          <w:sz w:val="24"/>
          <w:szCs w:val="24"/>
        </w:rPr>
      </w:pPr>
    </w:p>
    <w:p w14:paraId="34366366" w14:textId="77777777" w:rsidR="003D3C0C" w:rsidRPr="003D3C0C" w:rsidRDefault="003D3C0C" w:rsidP="003D3C0C">
      <w:pPr>
        <w:pStyle w:val="ListParagraph"/>
        <w:numPr>
          <w:ilvl w:val="0"/>
          <w:numId w:val="33"/>
        </w:numPr>
        <w:spacing w:line="256" w:lineRule="auto"/>
        <w:jc w:val="both"/>
        <w:rPr>
          <w:rFonts w:cstheme="minorHAnsi"/>
          <w:sz w:val="24"/>
          <w:szCs w:val="24"/>
        </w:rPr>
      </w:pPr>
      <w:r w:rsidRPr="003D3C0C">
        <w:rPr>
          <w:rFonts w:cstheme="minorHAnsi"/>
          <w:sz w:val="24"/>
          <w:szCs w:val="24"/>
        </w:rPr>
        <w:t xml:space="preserve">real estate investments; </w:t>
      </w:r>
    </w:p>
    <w:p w14:paraId="25900152" w14:textId="77777777" w:rsidR="003D3C0C" w:rsidRPr="003D3C0C" w:rsidRDefault="003D3C0C" w:rsidP="003D3C0C">
      <w:pPr>
        <w:pStyle w:val="ListParagraph"/>
        <w:numPr>
          <w:ilvl w:val="0"/>
          <w:numId w:val="33"/>
        </w:numPr>
        <w:spacing w:line="256" w:lineRule="auto"/>
        <w:jc w:val="both"/>
        <w:rPr>
          <w:rFonts w:cstheme="minorHAnsi"/>
          <w:sz w:val="24"/>
          <w:szCs w:val="24"/>
        </w:rPr>
      </w:pPr>
      <w:r w:rsidRPr="003D3C0C">
        <w:rPr>
          <w:rFonts w:cstheme="minorHAnsi"/>
          <w:sz w:val="24"/>
          <w:szCs w:val="24"/>
        </w:rPr>
        <w:t xml:space="preserve">shareholdings; </w:t>
      </w:r>
    </w:p>
    <w:p w14:paraId="208F6249" w14:textId="77777777" w:rsidR="003D3C0C" w:rsidRPr="003D3C0C" w:rsidRDefault="003D3C0C" w:rsidP="003D3C0C">
      <w:pPr>
        <w:pStyle w:val="ListParagraph"/>
        <w:numPr>
          <w:ilvl w:val="0"/>
          <w:numId w:val="33"/>
        </w:numPr>
        <w:spacing w:line="256" w:lineRule="auto"/>
        <w:jc w:val="both"/>
        <w:rPr>
          <w:rFonts w:cstheme="minorHAnsi"/>
          <w:sz w:val="24"/>
          <w:szCs w:val="24"/>
        </w:rPr>
      </w:pPr>
      <w:r w:rsidRPr="003D3C0C">
        <w:rPr>
          <w:rFonts w:cstheme="minorHAnsi"/>
          <w:sz w:val="24"/>
          <w:szCs w:val="24"/>
        </w:rPr>
        <w:t xml:space="preserve">trusts or nominee companies; </w:t>
      </w:r>
    </w:p>
    <w:p w14:paraId="37BA468A" w14:textId="77777777" w:rsidR="003D3C0C" w:rsidRPr="003D3C0C" w:rsidRDefault="003D3C0C" w:rsidP="003D3C0C">
      <w:pPr>
        <w:pStyle w:val="ListParagraph"/>
        <w:numPr>
          <w:ilvl w:val="0"/>
          <w:numId w:val="33"/>
        </w:numPr>
        <w:spacing w:line="256" w:lineRule="auto"/>
        <w:jc w:val="both"/>
        <w:rPr>
          <w:rFonts w:cstheme="minorHAnsi"/>
          <w:sz w:val="24"/>
          <w:szCs w:val="24"/>
        </w:rPr>
      </w:pPr>
      <w:r w:rsidRPr="003D3C0C">
        <w:rPr>
          <w:rFonts w:cstheme="minorHAnsi"/>
          <w:sz w:val="24"/>
          <w:szCs w:val="24"/>
        </w:rPr>
        <w:t xml:space="preserve">company directorships or partnerships; </w:t>
      </w:r>
    </w:p>
    <w:p w14:paraId="0030E292" w14:textId="77777777" w:rsidR="003D3C0C" w:rsidRPr="003D3C0C" w:rsidRDefault="003D3C0C" w:rsidP="003D3C0C">
      <w:pPr>
        <w:pStyle w:val="ListParagraph"/>
        <w:numPr>
          <w:ilvl w:val="0"/>
          <w:numId w:val="33"/>
        </w:numPr>
        <w:spacing w:line="256" w:lineRule="auto"/>
        <w:jc w:val="both"/>
        <w:rPr>
          <w:rFonts w:cstheme="minorHAnsi"/>
          <w:sz w:val="24"/>
          <w:szCs w:val="24"/>
        </w:rPr>
      </w:pPr>
      <w:r w:rsidRPr="003D3C0C">
        <w:rPr>
          <w:rFonts w:cstheme="minorHAnsi"/>
          <w:sz w:val="24"/>
          <w:szCs w:val="24"/>
        </w:rPr>
        <w:t xml:space="preserve">other significant sources of income; </w:t>
      </w:r>
    </w:p>
    <w:p w14:paraId="6E70A49F" w14:textId="77777777" w:rsidR="003D3C0C" w:rsidRPr="003D3C0C" w:rsidRDefault="003D3C0C" w:rsidP="003D3C0C">
      <w:pPr>
        <w:pStyle w:val="ListParagraph"/>
        <w:numPr>
          <w:ilvl w:val="0"/>
          <w:numId w:val="33"/>
        </w:numPr>
        <w:spacing w:line="256" w:lineRule="auto"/>
        <w:jc w:val="both"/>
        <w:rPr>
          <w:rFonts w:cstheme="minorHAnsi"/>
          <w:sz w:val="24"/>
          <w:szCs w:val="24"/>
        </w:rPr>
      </w:pPr>
      <w:r w:rsidRPr="003D3C0C">
        <w:rPr>
          <w:rFonts w:cstheme="minorHAnsi"/>
          <w:sz w:val="24"/>
          <w:szCs w:val="24"/>
        </w:rPr>
        <w:t xml:space="preserve">any significant liabilities; </w:t>
      </w:r>
    </w:p>
    <w:p w14:paraId="726860B2" w14:textId="77777777" w:rsidR="003D3C0C" w:rsidRPr="003D3C0C" w:rsidRDefault="003D3C0C" w:rsidP="003D3C0C">
      <w:pPr>
        <w:pStyle w:val="ListParagraph"/>
        <w:numPr>
          <w:ilvl w:val="0"/>
          <w:numId w:val="33"/>
        </w:numPr>
        <w:spacing w:line="256" w:lineRule="auto"/>
        <w:jc w:val="both"/>
        <w:rPr>
          <w:rFonts w:cstheme="minorHAnsi"/>
          <w:sz w:val="24"/>
          <w:szCs w:val="24"/>
        </w:rPr>
      </w:pPr>
      <w:r w:rsidRPr="003D3C0C">
        <w:rPr>
          <w:rFonts w:cstheme="minorHAnsi"/>
          <w:sz w:val="24"/>
          <w:szCs w:val="24"/>
        </w:rPr>
        <w:t xml:space="preserve">private business interests; </w:t>
      </w:r>
    </w:p>
    <w:p w14:paraId="29527B56" w14:textId="77777777" w:rsidR="003D3C0C" w:rsidRPr="003D3C0C" w:rsidRDefault="003D3C0C" w:rsidP="003D3C0C">
      <w:pPr>
        <w:pStyle w:val="ListParagraph"/>
        <w:numPr>
          <w:ilvl w:val="0"/>
          <w:numId w:val="33"/>
        </w:numPr>
        <w:spacing w:line="256" w:lineRule="auto"/>
        <w:jc w:val="both"/>
        <w:rPr>
          <w:rFonts w:cstheme="minorHAnsi"/>
          <w:sz w:val="24"/>
          <w:szCs w:val="24"/>
        </w:rPr>
      </w:pPr>
      <w:r w:rsidRPr="003D3C0C">
        <w:rPr>
          <w:rFonts w:cstheme="minorHAnsi"/>
          <w:sz w:val="24"/>
          <w:szCs w:val="24"/>
        </w:rPr>
        <w:t xml:space="preserve">secondary employment and voluntary work; </w:t>
      </w:r>
    </w:p>
    <w:p w14:paraId="5C5250A8" w14:textId="77777777" w:rsidR="003D3C0C" w:rsidRPr="003D3C0C" w:rsidRDefault="003D3C0C" w:rsidP="003D3C0C">
      <w:pPr>
        <w:pStyle w:val="ListParagraph"/>
        <w:numPr>
          <w:ilvl w:val="0"/>
          <w:numId w:val="33"/>
        </w:numPr>
        <w:spacing w:line="256" w:lineRule="auto"/>
        <w:jc w:val="both"/>
        <w:rPr>
          <w:rFonts w:cstheme="minorHAnsi"/>
          <w:sz w:val="24"/>
          <w:szCs w:val="24"/>
        </w:rPr>
      </w:pPr>
      <w:r w:rsidRPr="003D3C0C">
        <w:rPr>
          <w:rFonts w:cstheme="minorHAnsi"/>
          <w:sz w:val="24"/>
          <w:szCs w:val="24"/>
        </w:rPr>
        <w:t>social, personal and professional relationships;</w:t>
      </w:r>
    </w:p>
    <w:p w14:paraId="5CED22A2" w14:textId="77777777" w:rsidR="003D3C0C" w:rsidRPr="003D3C0C" w:rsidRDefault="003D3C0C" w:rsidP="003D3C0C">
      <w:pPr>
        <w:pStyle w:val="ListParagraph"/>
        <w:numPr>
          <w:ilvl w:val="0"/>
          <w:numId w:val="33"/>
        </w:numPr>
        <w:spacing w:line="256" w:lineRule="auto"/>
        <w:jc w:val="both"/>
        <w:rPr>
          <w:rFonts w:cstheme="minorHAnsi"/>
          <w:sz w:val="24"/>
          <w:szCs w:val="24"/>
        </w:rPr>
      </w:pPr>
      <w:r w:rsidRPr="003D3C0C">
        <w:rPr>
          <w:rFonts w:cstheme="minorHAnsi"/>
          <w:sz w:val="24"/>
          <w:szCs w:val="24"/>
        </w:rPr>
        <w:t>membership of, or engagement with any social, cultural, political or religious groups;</w:t>
      </w:r>
    </w:p>
    <w:p w14:paraId="10568662" w14:textId="77777777" w:rsidR="003D3C0C" w:rsidRPr="003D3C0C" w:rsidRDefault="003D3C0C" w:rsidP="003D3C0C">
      <w:pPr>
        <w:pStyle w:val="ListParagraph"/>
        <w:numPr>
          <w:ilvl w:val="0"/>
          <w:numId w:val="33"/>
        </w:numPr>
        <w:spacing w:line="256" w:lineRule="auto"/>
        <w:jc w:val="both"/>
        <w:rPr>
          <w:rFonts w:cstheme="minorHAnsi"/>
          <w:sz w:val="24"/>
          <w:szCs w:val="24"/>
        </w:rPr>
      </w:pPr>
      <w:r w:rsidRPr="003D3C0C">
        <w:rPr>
          <w:rFonts w:cstheme="minorHAnsi"/>
          <w:sz w:val="24"/>
          <w:szCs w:val="24"/>
        </w:rPr>
        <w:t>memberships and associations with certain clubs or organisations;</w:t>
      </w:r>
    </w:p>
    <w:p w14:paraId="626E15CC" w14:textId="77777777" w:rsidR="003D3C0C" w:rsidRPr="003D3C0C" w:rsidRDefault="003D3C0C" w:rsidP="003D3C0C">
      <w:pPr>
        <w:pStyle w:val="ListParagraph"/>
        <w:numPr>
          <w:ilvl w:val="0"/>
          <w:numId w:val="33"/>
        </w:numPr>
        <w:spacing w:line="256" w:lineRule="auto"/>
        <w:jc w:val="both"/>
        <w:rPr>
          <w:rFonts w:cstheme="minorHAnsi"/>
          <w:sz w:val="24"/>
          <w:szCs w:val="24"/>
        </w:rPr>
      </w:pPr>
      <w:r w:rsidRPr="003D3C0C">
        <w:rPr>
          <w:rFonts w:cstheme="minorHAnsi"/>
          <w:sz w:val="24"/>
          <w:szCs w:val="24"/>
        </w:rPr>
        <w:t>employment history;</w:t>
      </w:r>
    </w:p>
    <w:p w14:paraId="344715CA" w14:textId="77777777" w:rsidR="003D3C0C" w:rsidRPr="003D3C0C" w:rsidRDefault="003D3C0C" w:rsidP="003D3C0C">
      <w:pPr>
        <w:pStyle w:val="ListParagraph"/>
        <w:numPr>
          <w:ilvl w:val="0"/>
          <w:numId w:val="33"/>
        </w:numPr>
        <w:spacing w:line="256" w:lineRule="auto"/>
        <w:jc w:val="both"/>
        <w:rPr>
          <w:rFonts w:cstheme="minorHAnsi"/>
          <w:sz w:val="24"/>
          <w:szCs w:val="24"/>
        </w:rPr>
      </w:pPr>
      <w:r w:rsidRPr="003D3C0C">
        <w:rPr>
          <w:rFonts w:cstheme="minorHAnsi"/>
          <w:sz w:val="24"/>
          <w:szCs w:val="24"/>
        </w:rPr>
        <w:t>any other matter(s) which could reasonably be perceived to be, or create, an actual, potential, or apparent conflict of interest between the employee’s personal interests and their official duties and the functions of the Commission.</w:t>
      </w:r>
    </w:p>
    <w:p w14:paraId="261BC8B1" w14:textId="77777777" w:rsidR="003D3C0C" w:rsidRPr="006A5315" w:rsidRDefault="003D3C0C" w:rsidP="003D3C0C">
      <w:pPr>
        <w:pStyle w:val="ListParagraph"/>
        <w:spacing w:line="256" w:lineRule="auto"/>
        <w:jc w:val="both"/>
        <w:rPr>
          <w:rFonts w:ascii="Arial" w:hAnsi="Arial" w:cs="Arial"/>
          <w:sz w:val="24"/>
          <w:szCs w:val="24"/>
        </w:rPr>
      </w:pPr>
    </w:p>
    <w:p w14:paraId="6DF3CDBA" w14:textId="5E930DCF" w:rsidR="005D2C5B" w:rsidRPr="00126D35" w:rsidRDefault="00A44DD8" w:rsidP="006A5315">
      <w:pPr>
        <w:pStyle w:val="ListParagraph"/>
        <w:numPr>
          <w:ilvl w:val="0"/>
          <w:numId w:val="10"/>
        </w:numPr>
        <w:jc w:val="both"/>
        <w:rPr>
          <w:rFonts w:asciiTheme="majorHAnsi" w:hAnsiTheme="majorHAnsi" w:cstheme="majorHAnsi"/>
          <w:color w:val="2F5496" w:themeColor="accent1" w:themeShade="BF"/>
          <w:sz w:val="32"/>
          <w:szCs w:val="32"/>
        </w:rPr>
      </w:pPr>
      <w:r w:rsidRPr="00126D35">
        <w:rPr>
          <w:rFonts w:asciiTheme="majorHAnsi" w:hAnsiTheme="majorHAnsi" w:cstheme="majorHAnsi"/>
          <w:color w:val="2F5496" w:themeColor="accent1" w:themeShade="BF"/>
          <w:sz w:val="32"/>
          <w:szCs w:val="32"/>
        </w:rPr>
        <w:br w:type="page"/>
      </w:r>
      <w:r w:rsidR="005D2C5B" w:rsidRPr="00126D35">
        <w:rPr>
          <w:rFonts w:asciiTheme="majorHAnsi" w:hAnsiTheme="majorHAnsi" w:cstheme="majorHAnsi"/>
          <w:color w:val="2F5496" w:themeColor="accent1" w:themeShade="BF"/>
          <w:sz w:val="32"/>
          <w:szCs w:val="32"/>
        </w:rPr>
        <w:lastRenderedPageBreak/>
        <w:t>Breach of the Guidelines</w:t>
      </w:r>
    </w:p>
    <w:p w14:paraId="3A030299" w14:textId="77777777" w:rsidR="005D2C5B" w:rsidRPr="00126D35" w:rsidRDefault="005D2C5B" w:rsidP="006A5315">
      <w:pPr>
        <w:jc w:val="both"/>
        <w:rPr>
          <w:rFonts w:cstheme="minorHAnsi"/>
          <w:b/>
          <w:bCs/>
          <w:sz w:val="24"/>
          <w:szCs w:val="24"/>
        </w:rPr>
      </w:pPr>
    </w:p>
    <w:p w14:paraId="277AAE1E" w14:textId="775F5903" w:rsidR="003D3C0C" w:rsidRDefault="005D2C5B" w:rsidP="003D3C0C">
      <w:pPr>
        <w:pStyle w:val="ListParagraph"/>
        <w:numPr>
          <w:ilvl w:val="1"/>
          <w:numId w:val="10"/>
        </w:numPr>
        <w:tabs>
          <w:tab w:val="left" w:pos="1324"/>
          <w:tab w:val="left" w:pos="1325"/>
        </w:tabs>
        <w:spacing w:before="1" w:line="249" w:lineRule="auto"/>
        <w:ind w:right="166"/>
        <w:jc w:val="both"/>
        <w:rPr>
          <w:rFonts w:cstheme="minorHAnsi"/>
          <w:w w:val="105"/>
          <w:sz w:val="24"/>
          <w:szCs w:val="24"/>
        </w:rPr>
      </w:pPr>
      <w:r w:rsidRPr="003D3C0C">
        <w:rPr>
          <w:rFonts w:cstheme="minorHAnsi"/>
          <w:w w:val="105"/>
          <w:sz w:val="24"/>
          <w:szCs w:val="24"/>
        </w:rPr>
        <w:t>The Senior Director - Legal in consultation with the Chief Executive Officer is responsible for ensuring alleged breaches of the Commission’s Personal Interest Guidelines and Conflict of Interest Policy are given proper consideration and investigation (where appropriate).</w:t>
      </w:r>
    </w:p>
    <w:p w14:paraId="1FE6CE83" w14:textId="77777777" w:rsidR="003D3C0C" w:rsidRPr="003D3C0C" w:rsidRDefault="003D3C0C" w:rsidP="003D3C0C">
      <w:pPr>
        <w:pStyle w:val="ListParagraph"/>
        <w:tabs>
          <w:tab w:val="left" w:pos="1324"/>
          <w:tab w:val="left" w:pos="1325"/>
        </w:tabs>
        <w:spacing w:before="1" w:line="249" w:lineRule="auto"/>
        <w:ind w:right="166"/>
        <w:jc w:val="both"/>
        <w:rPr>
          <w:rFonts w:cstheme="minorHAnsi"/>
          <w:w w:val="105"/>
          <w:sz w:val="24"/>
          <w:szCs w:val="24"/>
        </w:rPr>
      </w:pPr>
    </w:p>
    <w:p w14:paraId="01EF1BB7" w14:textId="77777777" w:rsidR="003D3C0C" w:rsidRDefault="005D2C5B" w:rsidP="006A5315">
      <w:pPr>
        <w:pStyle w:val="ListParagraph"/>
        <w:numPr>
          <w:ilvl w:val="1"/>
          <w:numId w:val="10"/>
        </w:numPr>
        <w:tabs>
          <w:tab w:val="left" w:pos="1324"/>
          <w:tab w:val="left" w:pos="1325"/>
        </w:tabs>
        <w:spacing w:before="1" w:line="249" w:lineRule="auto"/>
        <w:ind w:right="166"/>
        <w:jc w:val="both"/>
        <w:rPr>
          <w:rFonts w:cstheme="minorHAnsi"/>
          <w:w w:val="105"/>
          <w:sz w:val="24"/>
          <w:szCs w:val="24"/>
        </w:rPr>
      </w:pPr>
      <w:r w:rsidRPr="003D3C0C">
        <w:rPr>
          <w:rFonts w:cstheme="minorHAnsi"/>
          <w:w w:val="105"/>
          <w:sz w:val="24"/>
          <w:szCs w:val="24"/>
        </w:rPr>
        <w:t>Breaches of the Commission’s Personal Interest Guidelines and Conflict of Interest Policy may result in action being taken against the staff member.  Depending on the nature of the breach, it could result in staff members being counselled, disciplined or even dismissed.</w:t>
      </w:r>
    </w:p>
    <w:p w14:paraId="4D06ED75" w14:textId="77777777" w:rsidR="003D3C0C" w:rsidRPr="003D3C0C" w:rsidRDefault="003D3C0C" w:rsidP="003D3C0C">
      <w:pPr>
        <w:pStyle w:val="ListParagraph"/>
        <w:rPr>
          <w:rFonts w:cstheme="minorHAnsi"/>
          <w:w w:val="105"/>
          <w:sz w:val="24"/>
          <w:szCs w:val="24"/>
        </w:rPr>
      </w:pPr>
    </w:p>
    <w:p w14:paraId="3F3F519B" w14:textId="34FA5080" w:rsidR="005D2C5B" w:rsidRPr="003D3C0C" w:rsidRDefault="005D2C5B" w:rsidP="006A5315">
      <w:pPr>
        <w:pStyle w:val="ListParagraph"/>
        <w:numPr>
          <w:ilvl w:val="1"/>
          <w:numId w:val="10"/>
        </w:numPr>
        <w:tabs>
          <w:tab w:val="left" w:pos="1324"/>
          <w:tab w:val="left" w:pos="1325"/>
        </w:tabs>
        <w:spacing w:before="1" w:line="249" w:lineRule="auto"/>
        <w:ind w:right="166"/>
        <w:jc w:val="both"/>
        <w:rPr>
          <w:rFonts w:cstheme="minorHAnsi"/>
          <w:w w:val="105"/>
          <w:sz w:val="24"/>
          <w:szCs w:val="24"/>
        </w:rPr>
      </w:pPr>
      <w:r w:rsidRPr="003D3C0C">
        <w:rPr>
          <w:rFonts w:cstheme="minorHAnsi"/>
          <w:w w:val="105"/>
          <w:sz w:val="24"/>
          <w:szCs w:val="24"/>
        </w:rPr>
        <w:t xml:space="preserve">If staff or the Executive suspect in good faith that a staff member or Commission officer has breached of the Commission’s Personal Interest Guidelines and Conflict of Interest Policy by failing to declare a conflict of interest, they should make their concerns known to the Senior Director - Legal.  The complaint may constitute a public interest disclosure. </w:t>
      </w:r>
    </w:p>
    <w:p w14:paraId="7B2A73F5" w14:textId="77777777" w:rsidR="005D2C5B" w:rsidRPr="00126D35" w:rsidRDefault="005D2C5B" w:rsidP="006A5315">
      <w:pPr>
        <w:tabs>
          <w:tab w:val="left" w:pos="1324"/>
          <w:tab w:val="left" w:pos="1325"/>
        </w:tabs>
        <w:spacing w:before="1" w:line="249" w:lineRule="auto"/>
        <w:ind w:right="166"/>
        <w:jc w:val="both"/>
        <w:rPr>
          <w:rFonts w:cstheme="minorHAnsi"/>
          <w:w w:val="105"/>
          <w:sz w:val="24"/>
          <w:szCs w:val="24"/>
        </w:rPr>
      </w:pPr>
    </w:p>
    <w:p w14:paraId="6E60838E" w14:textId="6443338A" w:rsidR="005D2C5B" w:rsidRPr="00126D35" w:rsidRDefault="005D2C5B" w:rsidP="006A5315">
      <w:pPr>
        <w:jc w:val="both"/>
        <w:rPr>
          <w:rFonts w:cstheme="minorHAnsi"/>
          <w:b/>
          <w:bCs/>
          <w:sz w:val="24"/>
          <w:szCs w:val="24"/>
        </w:rPr>
      </w:pPr>
    </w:p>
    <w:sectPr w:rsidR="005D2C5B" w:rsidRPr="00126D35" w:rsidSect="000F4A8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0F208" w14:textId="77777777" w:rsidR="001D047F" w:rsidRDefault="001D047F" w:rsidP="00365675">
      <w:pPr>
        <w:spacing w:after="0" w:line="240" w:lineRule="auto"/>
      </w:pPr>
      <w:r>
        <w:separator/>
      </w:r>
    </w:p>
  </w:endnote>
  <w:endnote w:type="continuationSeparator" w:id="0">
    <w:p w14:paraId="20485AD4" w14:textId="77777777" w:rsidR="001D047F" w:rsidRDefault="001D047F" w:rsidP="00365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13128" w14:textId="77777777" w:rsidR="002F4B1C" w:rsidRDefault="002F4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637181"/>
      <w:docPartObj>
        <w:docPartGallery w:val="Page Numbers (Bottom of Page)"/>
        <w:docPartUnique/>
      </w:docPartObj>
    </w:sdtPr>
    <w:sdtEndPr>
      <w:rPr>
        <w:color w:val="7F7F7F" w:themeColor="background1" w:themeShade="7F"/>
        <w:spacing w:val="60"/>
      </w:rPr>
    </w:sdtEndPr>
    <w:sdtContent>
      <w:p w14:paraId="3B5A74ED" w14:textId="17C95F65" w:rsidR="003D3C0C" w:rsidRDefault="003D3C0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6741DDA" w14:textId="41E0D046" w:rsidR="001D047F" w:rsidRPr="002F4B1C" w:rsidRDefault="002F4B1C" w:rsidP="002F4B1C">
    <w:pPr>
      <w:pStyle w:val="Footer"/>
      <w:jc w:val="center"/>
      <w:rPr>
        <w:rFonts w:ascii="Arial" w:hAnsi="Arial" w:cs="Arial"/>
        <w:sz w:val="14"/>
        <w:szCs w:val="24"/>
      </w:rPr>
    </w:pPr>
    <w:r w:rsidRPr="002F4B1C">
      <w:rPr>
        <w:rFonts w:ascii="Arial" w:hAnsi="Arial" w:cs="Arial"/>
        <w:sz w:val="14"/>
        <w:szCs w:val="2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A094" w14:textId="63760669" w:rsidR="002F4B1C" w:rsidRPr="002F4B1C" w:rsidRDefault="002F4B1C" w:rsidP="002F4B1C">
    <w:pPr>
      <w:pStyle w:val="Footer"/>
      <w:jc w:val="center"/>
      <w:rPr>
        <w:rFonts w:ascii="Arial" w:hAnsi="Arial" w:cs="Arial"/>
        <w:sz w:val="14"/>
      </w:rPr>
    </w:pPr>
    <w:r w:rsidRPr="002F4B1C">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48610" w14:textId="77777777" w:rsidR="001D047F" w:rsidRDefault="001D047F" w:rsidP="00365675">
      <w:pPr>
        <w:spacing w:after="0" w:line="240" w:lineRule="auto"/>
      </w:pPr>
      <w:r>
        <w:separator/>
      </w:r>
    </w:p>
  </w:footnote>
  <w:footnote w:type="continuationSeparator" w:id="0">
    <w:p w14:paraId="4581F783" w14:textId="77777777" w:rsidR="001D047F" w:rsidRDefault="001D047F" w:rsidP="00365675">
      <w:pPr>
        <w:spacing w:after="0" w:line="240" w:lineRule="auto"/>
      </w:pPr>
      <w:r>
        <w:continuationSeparator/>
      </w:r>
    </w:p>
  </w:footnote>
  <w:footnote w:id="1">
    <w:p w14:paraId="07801D57" w14:textId="54A5535A" w:rsidR="001D047F" w:rsidRDefault="001D047F">
      <w:pPr>
        <w:pStyle w:val="FootnoteText"/>
      </w:pPr>
      <w:r>
        <w:rPr>
          <w:rStyle w:val="FootnoteReference"/>
        </w:rPr>
        <w:footnoteRef/>
      </w:r>
      <w:r>
        <w:t xml:space="preserve"> Explanatory Statement, Integrity Commission Bill 2018, p 3</w:t>
      </w:r>
    </w:p>
  </w:footnote>
  <w:footnote w:id="2">
    <w:p w14:paraId="44AB5C39" w14:textId="5299994D" w:rsidR="001D047F" w:rsidRDefault="001D047F">
      <w:pPr>
        <w:pStyle w:val="FootnoteText"/>
      </w:pPr>
      <w:r>
        <w:rPr>
          <w:rStyle w:val="FootnoteReference"/>
        </w:rPr>
        <w:footnoteRef/>
      </w:r>
      <w:r>
        <w:t xml:space="preserve"> s 23(1), </w:t>
      </w:r>
      <w:r w:rsidRPr="007A6FF7">
        <w:rPr>
          <w:i/>
          <w:iCs/>
        </w:rPr>
        <w:t>Integrity Commission Act 2018</w:t>
      </w:r>
    </w:p>
  </w:footnote>
  <w:footnote w:id="3">
    <w:p w14:paraId="20F9A50D" w14:textId="3A402A55" w:rsidR="001D047F" w:rsidRDefault="001D047F">
      <w:pPr>
        <w:pStyle w:val="FootnoteText"/>
      </w:pPr>
      <w:r>
        <w:rPr>
          <w:rStyle w:val="FootnoteReference"/>
        </w:rPr>
        <w:footnoteRef/>
      </w:r>
      <w:r>
        <w:t xml:space="preserve"> s 48, </w:t>
      </w:r>
      <w:r w:rsidRPr="007A6FF7">
        <w:rPr>
          <w:i/>
          <w:iCs/>
        </w:rPr>
        <w:t>Integrity Commission Act 2018</w:t>
      </w:r>
    </w:p>
  </w:footnote>
  <w:footnote w:id="4">
    <w:p w14:paraId="243F467F" w14:textId="63ECC38C" w:rsidR="001D047F" w:rsidRDefault="001D047F">
      <w:pPr>
        <w:pStyle w:val="FootnoteText"/>
      </w:pPr>
      <w:r>
        <w:rPr>
          <w:rStyle w:val="FootnoteReference"/>
        </w:rPr>
        <w:footnoteRef/>
      </w:r>
      <w:r>
        <w:t xml:space="preserve"> s 9(1)(a) and (b), </w:t>
      </w:r>
      <w:r w:rsidRPr="00FE48E1">
        <w:rPr>
          <w:i/>
          <w:iCs/>
        </w:rPr>
        <w:t>Public Sector Management Act 1994</w:t>
      </w:r>
    </w:p>
  </w:footnote>
  <w:footnote w:id="5">
    <w:p w14:paraId="33D49890" w14:textId="2C0F16BD" w:rsidR="001D047F" w:rsidRDefault="001D047F">
      <w:pPr>
        <w:pStyle w:val="FootnoteText"/>
      </w:pPr>
      <w:r>
        <w:rPr>
          <w:rStyle w:val="FootnoteReference"/>
        </w:rPr>
        <w:footnoteRef/>
      </w:r>
      <w:r>
        <w:t xml:space="preserve"> s 7, </w:t>
      </w:r>
      <w:r w:rsidRPr="00FE48E1">
        <w:rPr>
          <w:i/>
          <w:iCs/>
        </w:rPr>
        <w:t>Public Sector Management Act 1994</w:t>
      </w:r>
    </w:p>
  </w:footnote>
  <w:footnote w:id="6">
    <w:p w14:paraId="191A759B" w14:textId="68DC8EE4" w:rsidR="001D047F" w:rsidRDefault="001D047F">
      <w:pPr>
        <w:pStyle w:val="FootnoteText"/>
      </w:pPr>
      <w:r>
        <w:rPr>
          <w:rStyle w:val="FootnoteReference"/>
        </w:rPr>
        <w:footnoteRef/>
      </w:r>
      <w:r>
        <w:t xml:space="preserve"> s 8(2), </w:t>
      </w:r>
      <w:r w:rsidRPr="00FE48E1">
        <w:rPr>
          <w:i/>
          <w:iCs/>
        </w:rPr>
        <w:t>Public Sector Management Act 1994</w:t>
      </w:r>
    </w:p>
  </w:footnote>
  <w:footnote w:id="7">
    <w:p w14:paraId="4441E213" w14:textId="77777777" w:rsidR="001D047F" w:rsidRDefault="001D047F" w:rsidP="00691EC2">
      <w:pPr>
        <w:pStyle w:val="FootnoteText"/>
      </w:pPr>
      <w:r>
        <w:rPr>
          <w:rStyle w:val="FootnoteReference"/>
        </w:rPr>
        <w:footnoteRef/>
      </w:r>
      <w:r>
        <w:t xml:space="preserve"> s 50(4), </w:t>
      </w:r>
      <w:r w:rsidRPr="007A6FF7">
        <w:rPr>
          <w:i/>
          <w:iCs/>
        </w:rPr>
        <w:t>Integrity Commission Act 2018</w:t>
      </w:r>
    </w:p>
  </w:footnote>
  <w:footnote w:id="8">
    <w:p w14:paraId="5AD9749B" w14:textId="1EAEB5EB" w:rsidR="001D4060" w:rsidRDefault="001D4060" w:rsidP="001D4060">
      <w:pPr>
        <w:pStyle w:val="FootnoteText"/>
      </w:pPr>
      <w:r>
        <w:rPr>
          <w:rStyle w:val="FootnoteReference"/>
        </w:rPr>
        <w:footnoteRef/>
      </w:r>
      <w:r>
        <w:t xml:space="preserve"> ss 30, 31 and 32 of the </w:t>
      </w:r>
      <w:r w:rsidRPr="00027D4C">
        <w:rPr>
          <w:i/>
          <w:iCs/>
        </w:rPr>
        <w:t>Integrity Commission Act 2018</w:t>
      </w:r>
    </w:p>
  </w:footnote>
  <w:footnote w:id="9">
    <w:p w14:paraId="635B3EE4" w14:textId="416AACEC" w:rsidR="001D4060" w:rsidRDefault="001D4060" w:rsidP="001D4060">
      <w:pPr>
        <w:pStyle w:val="FootnoteText"/>
      </w:pPr>
      <w:r>
        <w:rPr>
          <w:rStyle w:val="FootnoteReference"/>
        </w:rPr>
        <w:footnoteRef/>
      </w:r>
      <w:r>
        <w:t xml:space="preserve"> </w:t>
      </w:r>
      <w:r w:rsidR="00EF603B">
        <w:t>s</w:t>
      </w:r>
      <w:r>
        <w:t xml:space="preserve"> 50(3)(b), </w:t>
      </w:r>
      <w:r w:rsidRPr="00A225C9">
        <w:rPr>
          <w:i/>
          <w:iCs/>
        </w:rPr>
        <w:t>Integrity Commission Act 2018</w:t>
      </w:r>
    </w:p>
  </w:footnote>
  <w:footnote w:id="10">
    <w:p w14:paraId="4DDD65F2" w14:textId="74C281F5" w:rsidR="001D047F" w:rsidRDefault="001D047F">
      <w:pPr>
        <w:pStyle w:val="FootnoteText"/>
      </w:pPr>
      <w:r>
        <w:rPr>
          <w:rStyle w:val="FootnoteReference"/>
        </w:rPr>
        <w:footnoteRef/>
      </w:r>
      <w:r>
        <w:t xml:space="preserve"> s 50(4), </w:t>
      </w:r>
      <w:r w:rsidRPr="00A225C9">
        <w:rPr>
          <w:i/>
          <w:iCs/>
        </w:rPr>
        <w:t>Integrity Commission Act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D3C7" w14:textId="77777777" w:rsidR="002F4B1C" w:rsidRDefault="002F4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5DBB3" w14:textId="1E3DDB6F" w:rsidR="001D047F" w:rsidRDefault="001D047F" w:rsidP="00365675">
    <w:pPr>
      <w:pStyle w:val="Header"/>
      <w:jc w:val="center"/>
    </w:pPr>
    <w:r>
      <w:rPr>
        <w:noProof/>
      </w:rPr>
      <w:drawing>
        <wp:inline distT="0" distB="0" distL="0" distR="0" wp14:anchorId="0C314589" wp14:editId="59454A25">
          <wp:extent cx="2523490" cy="421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23490" cy="421640"/>
                  </a:xfrm>
                  <a:prstGeom prst="rect">
                    <a:avLst/>
                  </a:prstGeom>
                  <a:noFill/>
                  <a:ln>
                    <a:noFill/>
                  </a:ln>
                </pic:spPr>
              </pic:pic>
            </a:graphicData>
          </a:graphic>
        </wp:inline>
      </w:drawing>
    </w:r>
  </w:p>
  <w:p w14:paraId="4617FA14" w14:textId="20E1B96B" w:rsidR="001D047F" w:rsidRDefault="001D047F" w:rsidP="00365675">
    <w:pPr>
      <w:pStyle w:val="Header"/>
      <w:jc w:val="center"/>
    </w:pPr>
  </w:p>
  <w:p w14:paraId="0E9303C8" w14:textId="77777777" w:rsidR="001D047F" w:rsidRDefault="001D047F" w:rsidP="00365675">
    <w:pPr>
      <w:pStyle w:val="Header"/>
      <w:jc w:val="center"/>
    </w:pPr>
  </w:p>
  <w:p w14:paraId="7833F587" w14:textId="77777777" w:rsidR="001D047F" w:rsidRDefault="001D0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D1B0F" w14:textId="77777777" w:rsidR="002F4B1C" w:rsidRDefault="002F4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2C0A"/>
    <w:multiLevelType w:val="hybridMultilevel"/>
    <w:tmpl w:val="8DB04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8D2487"/>
    <w:multiLevelType w:val="hybridMultilevel"/>
    <w:tmpl w:val="F3C46692"/>
    <w:lvl w:ilvl="0" w:tplc="442A6EE6">
      <w:numFmt w:val="bullet"/>
      <w:lvlText w:val="•"/>
      <w:lvlJc w:val="left"/>
      <w:pPr>
        <w:ind w:left="1144" w:hanging="350"/>
      </w:pPr>
      <w:rPr>
        <w:rFonts w:ascii="Arial" w:eastAsia="Arial" w:hAnsi="Arial" w:cs="Arial" w:hint="default"/>
        <w:color w:val="4D4D4D"/>
        <w:w w:val="99"/>
        <w:sz w:val="21"/>
        <w:szCs w:val="21"/>
      </w:rPr>
    </w:lvl>
    <w:lvl w:ilvl="1" w:tplc="0E5EA5E4">
      <w:numFmt w:val="bullet"/>
      <w:lvlText w:val="•"/>
      <w:lvlJc w:val="left"/>
      <w:pPr>
        <w:ind w:left="1809" w:hanging="350"/>
      </w:pPr>
      <w:rPr>
        <w:rFonts w:hint="default"/>
      </w:rPr>
    </w:lvl>
    <w:lvl w:ilvl="2" w:tplc="C2CA3170">
      <w:numFmt w:val="bullet"/>
      <w:lvlText w:val="•"/>
      <w:lvlJc w:val="left"/>
      <w:pPr>
        <w:ind w:left="2479" w:hanging="350"/>
      </w:pPr>
      <w:rPr>
        <w:rFonts w:hint="default"/>
      </w:rPr>
    </w:lvl>
    <w:lvl w:ilvl="3" w:tplc="1B40CF26">
      <w:numFmt w:val="bullet"/>
      <w:lvlText w:val="•"/>
      <w:lvlJc w:val="left"/>
      <w:pPr>
        <w:ind w:left="3149" w:hanging="350"/>
      </w:pPr>
      <w:rPr>
        <w:rFonts w:hint="default"/>
      </w:rPr>
    </w:lvl>
    <w:lvl w:ilvl="4" w:tplc="97506F6A">
      <w:numFmt w:val="bullet"/>
      <w:lvlText w:val="•"/>
      <w:lvlJc w:val="left"/>
      <w:pPr>
        <w:ind w:left="3818" w:hanging="350"/>
      </w:pPr>
      <w:rPr>
        <w:rFonts w:hint="default"/>
      </w:rPr>
    </w:lvl>
    <w:lvl w:ilvl="5" w:tplc="9F72522E">
      <w:numFmt w:val="bullet"/>
      <w:lvlText w:val="•"/>
      <w:lvlJc w:val="left"/>
      <w:pPr>
        <w:ind w:left="4488" w:hanging="350"/>
      </w:pPr>
      <w:rPr>
        <w:rFonts w:hint="default"/>
      </w:rPr>
    </w:lvl>
    <w:lvl w:ilvl="6" w:tplc="26EC941A">
      <w:numFmt w:val="bullet"/>
      <w:lvlText w:val="•"/>
      <w:lvlJc w:val="left"/>
      <w:pPr>
        <w:ind w:left="5158" w:hanging="350"/>
      </w:pPr>
      <w:rPr>
        <w:rFonts w:hint="default"/>
      </w:rPr>
    </w:lvl>
    <w:lvl w:ilvl="7" w:tplc="0E52C65A">
      <w:numFmt w:val="bullet"/>
      <w:lvlText w:val="•"/>
      <w:lvlJc w:val="left"/>
      <w:pPr>
        <w:ind w:left="5828" w:hanging="350"/>
      </w:pPr>
      <w:rPr>
        <w:rFonts w:hint="default"/>
      </w:rPr>
    </w:lvl>
    <w:lvl w:ilvl="8" w:tplc="FFD29E32">
      <w:numFmt w:val="bullet"/>
      <w:lvlText w:val="•"/>
      <w:lvlJc w:val="left"/>
      <w:pPr>
        <w:ind w:left="6497" w:hanging="350"/>
      </w:pPr>
      <w:rPr>
        <w:rFonts w:hint="default"/>
      </w:rPr>
    </w:lvl>
  </w:abstractNum>
  <w:abstractNum w:abstractNumId="2" w15:restartNumberingAfterBreak="0">
    <w:nsid w:val="06ED5A76"/>
    <w:multiLevelType w:val="hybridMultilevel"/>
    <w:tmpl w:val="65E20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267B3C"/>
    <w:multiLevelType w:val="hybridMultilevel"/>
    <w:tmpl w:val="FC785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656348"/>
    <w:multiLevelType w:val="hybridMultilevel"/>
    <w:tmpl w:val="19AC1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8302A9"/>
    <w:multiLevelType w:val="hybridMultilevel"/>
    <w:tmpl w:val="E98421AA"/>
    <w:lvl w:ilvl="0" w:tplc="6B8C5692">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E32819"/>
    <w:multiLevelType w:val="hybridMultilevel"/>
    <w:tmpl w:val="00B43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F80F76"/>
    <w:multiLevelType w:val="hybridMultilevel"/>
    <w:tmpl w:val="9F029906"/>
    <w:lvl w:ilvl="0" w:tplc="0C09001B">
      <w:start w:val="1"/>
      <w:numFmt w:val="lowerRoman"/>
      <w:lvlText w:val="%1."/>
      <w:lvlJc w:val="righ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CBD283B"/>
    <w:multiLevelType w:val="hybridMultilevel"/>
    <w:tmpl w:val="DCA417A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9" w15:restartNumberingAfterBreak="0">
    <w:nsid w:val="1D736C2F"/>
    <w:multiLevelType w:val="hybridMultilevel"/>
    <w:tmpl w:val="15943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356A2E"/>
    <w:multiLevelType w:val="hybridMultilevel"/>
    <w:tmpl w:val="8CF4E900"/>
    <w:lvl w:ilvl="0" w:tplc="0C090017">
      <w:start w:val="1"/>
      <w:numFmt w:val="lowerLetter"/>
      <w:lvlText w:val="%1)"/>
      <w:lvlJc w:val="left"/>
      <w:pPr>
        <w:ind w:left="1440" w:hanging="360"/>
      </w:pPr>
    </w:lvl>
    <w:lvl w:ilvl="1" w:tplc="0C09001B">
      <w:start w:val="1"/>
      <w:numFmt w:val="lowerRoman"/>
      <w:lvlText w:val="%2."/>
      <w:lvlJc w:val="righ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296A05D5"/>
    <w:multiLevelType w:val="hybridMultilevel"/>
    <w:tmpl w:val="FF502AC4"/>
    <w:lvl w:ilvl="0" w:tplc="03F65AD4">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A163772"/>
    <w:multiLevelType w:val="hybridMultilevel"/>
    <w:tmpl w:val="6B0C23A0"/>
    <w:lvl w:ilvl="0" w:tplc="92AC5230">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E9B30CD"/>
    <w:multiLevelType w:val="hybridMultilevel"/>
    <w:tmpl w:val="4482B64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F7257A4"/>
    <w:multiLevelType w:val="hybridMultilevel"/>
    <w:tmpl w:val="46D482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D92728"/>
    <w:multiLevelType w:val="hybridMultilevel"/>
    <w:tmpl w:val="E7DA22C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803326"/>
    <w:multiLevelType w:val="hybridMultilevel"/>
    <w:tmpl w:val="DBA4D89C"/>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D745CB3"/>
    <w:multiLevelType w:val="hybridMultilevel"/>
    <w:tmpl w:val="FB64B5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135C0B"/>
    <w:multiLevelType w:val="hybridMultilevel"/>
    <w:tmpl w:val="E7DA22C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B43778"/>
    <w:multiLevelType w:val="hybridMultilevel"/>
    <w:tmpl w:val="48C4DA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A0743C0"/>
    <w:multiLevelType w:val="hybridMultilevel"/>
    <w:tmpl w:val="ABCA18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AA85882"/>
    <w:multiLevelType w:val="hybridMultilevel"/>
    <w:tmpl w:val="972051CE"/>
    <w:lvl w:ilvl="0" w:tplc="D572ED38">
      <w:numFmt w:val="bullet"/>
      <w:lvlText w:val="•"/>
      <w:lvlJc w:val="left"/>
      <w:pPr>
        <w:ind w:left="1128" w:hanging="342"/>
      </w:pPr>
      <w:rPr>
        <w:rFonts w:ascii="Arial" w:eastAsia="Arial" w:hAnsi="Arial" w:cs="Arial" w:hint="default"/>
        <w:color w:val="4F4F4F"/>
        <w:w w:val="99"/>
        <w:sz w:val="21"/>
        <w:szCs w:val="21"/>
      </w:rPr>
    </w:lvl>
    <w:lvl w:ilvl="1" w:tplc="FFA4F91A">
      <w:numFmt w:val="bullet"/>
      <w:lvlText w:val="•"/>
      <w:lvlJc w:val="left"/>
      <w:pPr>
        <w:ind w:left="1790" w:hanging="342"/>
      </w:pPr>
      <w:rPr>
        <w:rFonts w:hint="default"/>
      </w:rPr>
    </w:lvl>
    <w:lvl w:ilvl="2" w:tplc="0924E8A6">
      <w:numFmt w:val="bullet"/>
      <w:lvlText w:val="•"/>
      <w:lvlJc w:val="left"/>
      <w:pPr>
        <w:ind w:left="2460" w:hanging="342"/>
      </w:pPr>
      <w:rPr>
        <w:rFonts w:hint="default"/>
      </w:rPr>
    </w:lvl>
    <w:lvl w:ilvl="3" w:tplc="E1806952">
      <w:numFmt w:val="bullet"/>
      <w:lvlText w:val="•"/>
      <w:lvlJc w:val="left"/>
      <w:pPr>
        <w:ind w:left="3130" w:hanging="342"/>
      </w:pPr>
      <w:rPr>
        <w:rFonts w:hint="default"/>
      </w:rPr>
    </w:lvl>
    <w:lvl w:ilvl="4" w:tplc="D8840146">
      <w:numFmt w:val="bullet"/>
      <w:lvlText w:val="•"/>
      <w:lvlJc w:val="left"/>
      <w:pPr>
        <w:ind w:left="3801" w:hanging="342"/>
      </w:pPr>
      <w:rPr>
        <w:rFonts w:hint="default"/>
      </w:rPr>
    </w:lvl>
    <w:lvl w:ilvl="5" w:tplc="3EDE2400">
      <w:numFmt w:val="bullet"/>
      <w:lvlText w:val="•"/>
      <w:lvlJc w:val="left"/>
      <w:pPr>
        <w:ind w:left="4471" w:hanging="342"/>
      </w:pPr>
      <w:rPr>
        <w:rFonts w:hint="default"/>
      </w:rPr>
    </w:lvl>
    <w:lvl w:ilvl="6" w:tplc="92566D86">
      <w:numFmt w:val="bullet"/>
      <w:lvlText w:val="•"/>
      <w:lvlJc w:val="left"/>
      <w:pPr>
        <w:ind w:left="5141" w:hanging="342"/>
      </w:pPr>
      <w:rPr>
        <w:rFonts w:hint="default"/>
      </w:rPr>
    </w:lvl>
    <w:lvl w:ilvl="7" w:tplc="069AC042">
      <w:numFmt w:val="bullet"/>
      <w:lvlText w:val="•"/>
      <w:lvlJc w:val="left"/>
      <w:pPr>
        <w:ind w:left="5812" w:hanging="342"/>
      </w:pPr>
      <w:rPr>
        <w:rFonts w:hint="default"/>
      </w:rPr>
    </w:lvl>
    <w:lvl w:ilvl="8" w:tplc="2EA49970">
      <w:numFmt w:val="bullet"/>
      <w:lvlText w:val="•"/>
      <w:lvlJc w:val="left"/>
      <w:pPr>
        <w:ind w:left="6482" w:hanging="342"/>
      </w:pPr>
      <w:rPr>
        <w:rFonts w:hint="default"/>
      </w:rPr>
    </w:lvl>
  </w:abstractNum>
  <w:abstractNum w:abstractNumId="22" w15:restartNumberingAfterBreak="0">
    <w:nsid w:val="4AB67FD4"/>
    <w:multiLevelType w:val="hybridMultilevel"/>
    <w:tmpl w:val="77380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35296C"/>
    <w:multiLevelType w:val="hybridMultilevel"/>
    <w:tmpl w:val="8932E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2269F4"/>
    <w:multiLevelType w:val="hybridMultilevel"/>
    <w:tmpl w:val="F196C3BE"/>
    <w:lvl w:ilvl="0" w:tplc="6B8C5692">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EF3EC7"/>
    <w:multiLevelType w:val="hybridMultilevel"/>
    <w:tmpl w:val="3646763E"/>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6" w15:restartNumberingAfterBreak="0">
    <w:nsid w:val="5C730357"/>
    <w:multiLevelType w:val="hybridMultilevel"/>
    <w:tmpl w:val="56544ED4"/>
    <w:lvl w:ilvl="0" w:tplc="6B8C5692">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D87A47"/>
    <w:multiLevelType w:val="hybridMultilevel"/>
    <w:tmpl w:val="7236E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7A513F"/>
    <w:multiLevelType w:val="hybridMultilevel"/>
    <w:tmpl w:val="58E6DF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DD2363"/>
    <w:multiLevelType w:val="hybridMultilevel"/>
    <w:tmpl w:val="7996C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3B4C02"/>
    <w:multiLevelType w:val="hybridMultilevel"/>
    <w:tmpl w:val="4D4CE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B4731A"/>
    <w:multiLevelType w:val="hybridMultilevel"/>
    <w:tmpl w:val="E6DC37E8"/>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7AB70B46"/>
    <w:multiLevelType w:val="hybridMultilevel"/>
    <w:tmpl w:val="46FC7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3868A2"/>
    <w:multiLevelType w:val="multilevel"/>
    <w:tmpl w:val="AB5EB480"/>
    <w:lvl w:ilvl="0">
      <w:start w:val="1"/>
      <w:numFmt w:val="decimal"/>
      <w:lvlText w:val="%1."/>
      <w:lvlJc w:val="left"/>
      <w:pPr>
        <w:ind w:left="360" w:hanging="360"/>
      </w:pPr>
      <w:rPr>
        <w:rFonts w:hint="default"/>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28"/>
  </w:num>
  <w:num w:numId="2">
    <w:abstractNumId w:val="19"/>
  </w:num>
  <w:num w:numId="3">
    <w:abstractNumId w:val="14"/>
  </w:num>
  <w:num w:numId="4">
    <w:abstractNumId w:val="6"/>
  </w:num>
  <w:num w:numId="5">
    <w:abstractNumId w:val="27"/>
  </w:num>
  <w:num w:numId="6">
    <w:abstractNumId w:val="22"/>
  </w:num>
  <w:num w:numId="7">
    <w:abstractNumId w:val="3"/>
  </w:num>
  <w:num w:numId="8">
    <w:abstractNumId w:val="2"/>
  </w:num>
  <w:num w:numId="9">
    <w:abstractNumId w:val="17"/>
  </w:num>
  <w:num w:numId="10">
    <w:abstractNumId w:val="33"/>
  </w:num>
  <w:num w:numId="11">
    <w:abstractNumId w:val="0"/>
  </w:num>
  <w:num w:numId="12">
    <w:abstractNumId w:val="20"/>
  </w:num>
  <w:num w:numId="13">
    <w:abstractNumId w:val="1"/>
  </w:num>
  <w:num w:numId="14">
    <w:abstractNumId w:val="21"/>
  </w:num>
  <w:num w:numId="15">
    <w:abstractNumId w:val="29"/>
  </w:num>
  <w:num w:numId="16">
    <w:abstractNumId w:val="9"/>
  </w:num>
  <w:num w:numId="17">
    <w:abstractNumId w:val="13"/>
  </w:num>
  <w:num w:numId="18">
    <w:abstractNumId w:val="15"/>
  </w:num>
  <w:num w:numId="19">
    <w:abstractNumId w:val="11"/>
  </w:num>
  <w:num w:numId="20">
    <w:abstractNumId w:val="24"/>
  </w:num>
  <w:num w:numId="21">
    <w:abstractNumId w:val="5"/>
  </w:num>
  <w:num w:numId="22">
    <w:abstractNumId w:val="26"/>
  </w:num>
  <w:num w:numId="23">
    <w:abstractNumId w:val="12"/>
  </w:num>
  <w:num w:numId="24">
    <w:abstractNumId w:val="32"/>
  </w:num>
  <w:num w:numId="25">
    <w:abstractNumId w:val="30"/>
  </w:num>
  <w:num w:numId="26">
    <w:abstractNumId w:val="23"/>
  </w:num>
  <w:num w:numId="27">
    <w:abstractNumId w:val="4"/>
  </w:num>
  <w:num w:numId="28">
    <w:abstractNumId w:val="18"/>
  </w:num>
  <w:num w:numId="29">
    <w:abstractNumId w:val="8"/>
  </w:num>
  <w:num w:numId="30">
    <w:abstractNumId w:val="7"/>
  </w:num>
  <w:num w:numId="31">
    <w:abstractNumId w:val="31"/>
  </w:num>
  <w:num w:numId="32">
    <w:abstractNumId w:val="10"/>
  </w:num>
  <w:num w:numId="33">
    <w:abstractNumId w:val="2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878"/>
    <w:rsid w:val="000036C5"/>
    <w:rsid w:val="00006858"/>
    <w:rsid w:val="00021290"/>
    <w:rsid w:val="00022786"/>
    <w:rsid w:val="00027D4C"/>
    <w:rsid w:val="00032782"/>
    <w:rsid w:val="00033DFD"/>
    <w:rsid w:val="000373B1"/>
    <w:rsid w:val="0004238A"/>
    <w:rsid w:val="000559C5"/>
    <w:rsid w:val="00060D36"/>
    <w:rsid w:val="00061593"/>
    <w:rsid w:val="00062B17"/>
    <w:rsid w:val="00080C6C"/>
    <w:rsid w:val="000818DA"/>
    <w:rsid w:val="000A57A5"/>
    <w:rsid w:val="000A64F7"/>
    <w:rsid w:val="000A7E74"/>
    <w:rsid w:val="000C182D"/>
    <w:rsid w:val="000C2EE5"/>
    <w:rsid w:val="000D677E"/>
    <w:rsid w:val="000D7227"/>
    <w:rsid w:val="000E1250"/>
    <w:rsid w:val="000E56E6"/>
    <w:rsid w:val="000F0CBB"/>
    <w:rsid w:val="000F3C8F"/>
    <w:rsid w:val="000F4A8C"/>
    <w:rsid w:val="00100AD8"/>
    <w:rsid w:val="0010545B"/>
    <w:rsid w:val="00111E4E"/>
    <w:rsid w:val="0011489E"/>
    <w:rsid w:val="001203EB"/>
    <w:rsid w:val="00126D35"/>
    <w:rsid w:val="00137CAD"/>
    <w:rsid w:val="00140ACB"/>
    <w:rsid w:val="0015202C"/>
    <w:rsid w:val="001950A0"/>
    <w:rsid w:val="001B79FB"/>
    <w:rsid w:val="001C1E73"/>
    <w:rsid w:val="001C38F0"/>
    <w:rsid w:val="001D047F"/>
    <w:rsid w:val="001D4060"/>
    <w:rsid w:val="001D5A8B"/>
    <w:rsid w:val="001D69FD"/>
    <w:rsid w:val="001D6CC2"/>
    <w:rsid w:val="001E2CDA"/>
    <w:rsid w:val="001F15A4"/>
    <w:rsid w:val="001F612D"/>
    <w:rsid w:val="00212D9F"/>
    <w:rsid w:val="00213399"/>
    <w:rsid w:val="00217F3E"/>
    <w:rsid w:val="00227918"/>
    <w:rsid w:val="00232B05"/>
    <w:rsid w:val="002424D0"/>
    <w:rsid w:val="00246B4C"/>
    <w:rsid w:val="002519AA"/>
    <w:rsid w:val="002520AD"/>
    <w:rsid w:val="00253B3D"/>
    <w:rsid w:val="00271B31"/>
    <w:rsid w:val="002815D9"/>
    <w:rsid w:val="00292943"/>
    <w:rsid w:val="00296B44"/>
    <w:rsid w:val="002A0243"/>
    <w:rsid w:val="002C1CE9"/>
    <w:rsid w:val="002C4D98"/>
    <w:rsid w:val="002C6AE9"/>
    <w:rsid w:val="002E5B52"/>
    <w:rsid w:val="002F4B1C"/>
    <w:rsid w:val="00301DC5"/>
    <w:rsid w:val="003143D9"/>
    <w:rsid w:val="00322A3D"/>
    <w:rsid w:val="003244D9"/>
    <w:rsid w:val="00324DD5"/>
    <w:rsid w:val="0033451A"/>
    <w:rsid w:val="00335356"/>
    <w:rsid w:val="00347827"/>
    <w:rsid w:val="003623EF"/>
    <w:rsid w:val="00365675"/>
    <w:rsid w:val="00371BB3"/>
    <w:rsid w:val="00374EE3"/>
    <w:rsid w:val="00377FBC"/>
    <w:rsid w:val="0038042B"/>
    <w:rsid w:val="00385709"/>
    <w:rsid w:val="00394CE9"/>
    <w:rsid w:val="00396AFE"/>
    <w:rsid w:val="00397C6D"/>
    <w:rsid w:val="003A05DB"/>
    <w:rsid w:val="003A6278"/>
    <w:rsid w:val="003B511E"/>
    <w:rsid w:val="003C2AA6"/>
    <w:rsid w:val="003C590B"/>
    <w:rsid w:val="003C6076"/>
    <w:rsid w:val="003C6BE1"/>
    <w:rsid w:val="003D3C0C"/>
    <w:rsid w:val="003D6032"/>
    <w:rsid w:val="003F1C80"/>
    <w:rsid w:val="003F2E7F"/>
    <w:rsid w:val="00412138"/>
    <w:rsid w:val="00421605"/>
    <w:rsid w:val="00421E81"/>
    <w:rsid w:val="00424A64"/>
    <w:rsid w:val="00424C69"/>
    <w:rsid w:val="0043795A"/>
    <w:rsid w:val="004416B5"/>
    <w:rsid w:val="0044587A"/>
    <w:rsid w:val="00452D30"/>
    <w:rsid w:val="0046671D"/>
    <w:rsid w:val="00485570"/>
    <w:rsid w:val="0049352F"/>
    <w:rsid w:val="00494CE9"/>
    <w:rsid w:val="004A543E"/>
    <w:rsid w:val="004D112F"/>
    <w:rsid w:val="004E5998"/>
    <w:rsid w:val="004F3B4A"/>
    <w:rsid w:val="004F4A4E"/>
    <w:rsid w:val="005116CE"/>
    <w:rsid w:val="005139CF"/>
    <w:rsid w:val="00533C56"/>
    <w:rsid w:val="00546B71"/>
    <w:rsid w:val="00560782"/>
    <w:rsid w:val="005651A8"/>
    <w:rsid w:val="00572BF2"/>
    <w:rsid w:val="005744AE"/>
    <w:rsid w:val="005829D0"/>
    <w:rsid w:val="005835A5"/>
    <w:rsid w:val="005C16DD"/>
    <w:rsid w:val="005C4AC4"/>
    <w:rsid w:val="005C4EC9"/>
    <w:rsid w:val="005C55F4"/>
    <w:rsid w:val="005D2C5B"/>
    <w:rsid w:val="005E0B29"/>
    <w:rsid w:val="005F3453"/>
    <w:rsid w:val="006129A1"/>
    <w:rsid w:val="00622ACA"/>
    <w:rsid w:val="00627446"/>
    <w:rsid w:val="0063211A"/>
    <w:rsid w:val="0063615F"/>
    <w:rsid w:val="00641B2D"/>
    <w:rsid w:val="00661471"/>
    <w:rsid w:val="00661FBC"/>
    <w:rsid w:val="00664145"/>
    <w:rsid w:val="0067087E"/>
    <w:rsid w:val="00672C09"/>
    <w:rsid w:val="00674B6A"/>
    <w:rsid w:val="00691EC2"/>
    <w:rsid w:val="00692B1B"/>
    <w:rsid w:val="00693A07"/>
    <w:rsid w:val="0069475B"/>
    <w:rsid w:val="00695ACD"/>
    <w:rsid w:val="006A2201"/>
    <w:rsid w:val="006A5315"/>
    <w:rsid w:val="006D6BB4"/>
    <w:rsid w:val="006E48E5"/>
    <w:rsid w:val="006F6363"/>
    <w:rsid w:val="00700D2A"/>
    <w:rsid w:val="00707DA8"/>
    <w:rsid w:val="00724C9C"/>
    <w:rsid w:val="0072600F"/>
    <w:rsid w:val="00727A20"/>
    <w:rsid w:val="007404CF"/>
    <w:rsid w:val="007416E4"/>
    <w:rsid w:val="00746390"/>
    <w:rsid w:val="00765310"/>
    <w:rsid w:val="00776878"/>
    <w:rsid w:val="00795363"/>
    <w:rsid w:val="007973E4"/>
    <w:rsid w:val="007A6FF7"/>
    <w:rsid w:val="007A7235"/>
    <w:rsid w:val="007B5438"/>
    <w:rsid w:val="007C7C9E"/>
    <w:rsid w:val="007D6957"/>
    <w:rsid w:val="007D710F"/>
    <w:rsid w:val="007E30C7"/>
    <w:rsid w:val="007E35FD"/>
    <w:rsid w:val="007E3EEF"/>
    <w:rsid w:val="007E7BC7"/>
    <w:rsid w:val="007F2255"/>
    <w:rsid w:val="008033CB"/>
    <w:rsid w:val="00821CDF"/>
    <w:rsid w:val="00824787"/>
    <w:rsid w:val="00826EE7"/>
    <w:rsid w:val="0085111C"/>
    <w:rsid w:val="00852931"/>
    <w:rsid w:val="00871F35"/>
    <w:rsid w:val="0088543E"/>
    <w:rsid w:val="008A06AC"/>
    <w:rsid w:val="008A44FE"/>
    <w:rsid w:val="008B0829"/>
    <w:rsid w:val="008B5B95"/>
    <w:rsid w:val="008C1838"/>
    <w:rsid w:val="008C39DB"/>
    <w:rsid w:val="008C46D1"/>
    <w:rsid w:val="008C61AC"/>
    <w:rsid w:val="008E13ED"/>
    <w:rsid w:val="008E5F99"/>
    <w:rsid w:val="008E7528"/>
    <w:rsid w:val="008F76C9"/>
    <w:rsid w:val="00910923"/>
    <w:rsid w:val="00910FA3"/>
    <w:rsid w:val="00913F8D"/>
    <w:rsid w:val="00923096"/>
    <w:rsid w:val="009260F4"/>
    <w:rsid w:val="00931B0F"/>
    <w:rsid w:val="009365D6"/>
    <w:rsid w:val="00957AA7"/>
    <w:rsid w:val="00962C8E"/>
    <w:rsid w:val="00976624"/>
    <w:rsid w:val="0097677E"/>
    <w:rsid w:val="00984580"/>
    <w:rsid w:val="00987D86"/>
    <w:rsid w:val="009A6DE5"/>
    <w:rsid w:val="009C3D5B"/>
    <w:rsid w:val="009C3EB0"/>
    <w:rsid w:val="009C5721"/>
    <w:rsid w:val="009C57E3"/>
    <w:rsid w:val="009D34C0"/>
    <w:rsid w:val="009D40C5"/>
    <w:rsid w:val="009E3ABE"/>
    <w:rsid w:val="009E4759"/>
    <w:rsid w:val="009E6F47"/>
    <w:rsid w:val="009F6B9B"/>
    <w:rsid w:val="00A02C43"/>
    <w:rsid w:val="00A04848"/>
    <w:rsid w:val="00A06221"/>
    <w:rsid w:val="00A225C9"/>
    <w:rsid w:val="00A331C1"/>
    <w:rsid w:val="00A35DCB"/>
    <w:rsid w:val="00A36804"/>
    <w:rsid w:val="00A437A3"/>
    <w:rsid w:val="00A44DD8"/>
    <w:rsid w:val="00A47B98"/>
    <w:rsid w:val="00A52025"/>
    <w:rsid w:val="00A54413"/>
    <w:rsid w:val="00A61754"/>
    <w:rsid w:val="00A73D1F"/>
    <w:rsid w:val="00A93CC1"/>
    <w:rsid w:val="00A95BE9"/>
    <w:rsid w:val="00AA14B8"/>
    <w:rsid w:val="00AA6C87"/>
    <w:rsid w:val="00AC7242"/>
    <w:rsid w:val="00AC7286"/>
    <w:rsid w:val="00AD3AD7"/>
    <w:rsid w:val="00AD3FF6"/>
    <w:rsid w:val="00AD4B3F"/>
    <w:rsid w:val="00AE5775"/>
    <w:rsid w:val="00AE63EB"/>
    <w:rsid w:val="00AE76C9"/>
    <w:rsid w:val="00AF3ABF"/>
    <w:rsid w:val="00AF4AA8"/>
    <w:rsid w:val="00B05587"/>
    <w:rsid w:val="00B061DA"/>
    <w:rsid w:val="00B06978"/>
    <w:rsid w:val="00B24293"/>
    <w:rsid w:val="00B2436F"/>
    <w:rsid w:val="00B332FA"/>
    <w:rsid w:val="00B34E5D"/>
    <w:rsid w:val="00B35F6C"/>
    <w:rsid w:val="00B44EB0"/>
    <w:rsid w:val="00B510A1"/>
    <w:rsid w:val="00B52D72"/>
    <w:rsid w:val="00B555F9"/>
    <w:rsid w:val="00B558D6"/>
    <w:rsid w:val="00B64C93"/>
    <w:rsid w:val="00B671EA"/>
    <w:rsid w:val="00B70A0B"/>
    <w:rsid w:val="00B73EFB"/>
    <w:rsid w:val="00B828AF"/>
    <w:rsid w:val="00B87738"/>
    <w:rsid w:val="00B90A16"/>
    <w:rsid w:val="00B90FE5"/>
    <w:rsid w:val="00B950C0"/>
    <w:rsid w:val="00B954AC"/>
    <w:rsid w:val="00B9623D"/>
    <w:rsid w:val="00BA2BB6"/>
    <w:rsid w:val="00BC50C5"/>
    <w:rsid w:val="00BD406C"/>
    <w:rsid w:val="00BE7897"/>
    <w:rsid w:val="00BF1FBD"/>
    <w:rsid w:val="00BF3920"/>
    <w:rsid w:val="00C16AD7"/>
    <w:rsid w:val="00C32B00"/>
    <w:rsid w:val="00C44598"/>
    <w:rsid w:val="00C47D53"/>
    <w:rsid w:val="00C60550"/>
    <w:rsid w:val="00C75A51"/>
    <w:rsid w:val="00C82F0D"/>
    <w:rsid w:val="00C93B05"/>
    <w:rsid w:val="00CA0AF3"/>
    <w:rsid w:val="00CB211D"/>
    <w:rsid w:val="00CC2F88"/>
    <w:rsid w:val="00CD04E9"/>
    <w:rsid w:val="00CE2C35"/>
    <w:rsid w:val="00CF2175"/>
    <w:rsid w:val="00D2312A"/>
    <w:rsid w:val="00D2433E"/>
    <w:rsid w:val="00D258F6"/>
    <w:rsid w:val="00D268BA"/>
    <w:rsid w:val="00D352BF"/>
    <w:rsid w:val="00D41F22"/>
    <w:rsid w:val="00D43547"/>
    <w:rsid w:val="00D460A4"/>
    <w:rsid w:val="00D47F38"/>
    <w:rsid w:val="00D84122"/>
    <w:rsid w:val="00D92AEC"/>
    <w:rsid w:val="00D969E6"/>
    <w:rsid w:val="00DA258D"/>
    <w:rsid w:val="00DA3D41"/>
    <w:rsid w:val="00DC305E"/>
    <w:rsid w:val="00DC4C70"/>
    <w:rsid w:val="00DC5CB0"/>
    <w:rsid w:val="00DC762C"/>
    <w:rsid w:val="00DD1EDA"/>
    <w:rsid w:val="00DE06DB"/>
    <w:rsid w:val="00E017FA"/>
    <w:rsid w:val="00E042E0"/>
    <w:rsid w:val="00E057E0"/>
    <w:rsid w:val="00E1586E"/>
    <w:rsid w:val="00E16FB5"/>
    <w:rsid w:val="00E26303"/>
    <w:rsid w:val="00E50FF0"/>
    <w:rsid w:val="00E548CA"/>
    <w:rsid w:val="00E550AF"/>
    <w:rsid w:val="00E72D64"/>
    <w:rsid w:val="00EB39AE"/>
    <w:rsid w:val="00EB751D"/>
    <w:rsid w:val="00EB7A73"/>
    <w:rsid w:val="00EC00AD"/>
    <w:rsid w:val="00EC4AB2"/>
    <w:rsid w:val="00EC7465"/>
    <w:rsid w:val="00ED524C"/>
    <w:rsid w:val="00EE083F"/>
    <w:rsid w:val="00EF5543"/>
    <w:rsid w:val="00EF603B"/>
    <w:rsid w:val="00F2304E"/>
    <w:rsid w:val="00F2769D"/>
    <w:rsid w:val="00F32B40"/>
    <w:rsid w:val="00F416D7"/>
    <w:rsid w:val="00F5780D"/>
    <w:rsid w:val="00F63421"/>
    <w:rsid w:val="00F66ED7"/>
    <w:rsid w:val="00F70E7B"/>
    <w:rsid w:val="00F80827"/>
    <w:rsid w:val="00F83CA0"/>
    <w:rsid w:val="00FA5777"/>
    <w:rsid w:val="00FB53AB"/>
    <w:rsid w:val="00FB7DC5"/>
    <w:rsid w:val="00FD4926"/>
    <w:rsid w:val="00FE48E1"/>
    <w:rsid w:val="00FE5672"/>
    <w:rsid w:val="00FF5A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38D250"/>
  <w15:chartTrackingRefBased/>
  <w15:docId w15:val="{6004C5F2-6C88-4709-A1EA-A3755CBB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451A"/>
    <w:pPr>
      <w:widowControl w:val="0"/>
      <w:autoSpaceDE w:val="0"/>
      <w:autoSpaceDN w:val="0"/>
      <w:spacing w:before="1" w:after="0" w:line="240" w:lineRule="auto"/>
      <w:ind w:left="545" w:hanging="297"/>
      <w:outlineLvl w:val="0"/>
    </w:pPr>
    <w:rPr>
      <w:rFonts w:ascii="Arial" w:eastAsia="Arial" w:hAnsi="Arial" w:cs="Arial"/>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675"/>
  </w:style>
  <w:style w:type="paragraph" w:styleId="Footer">
    <w:name w:val="footer"/>
    <w:basedOn w:val="Normal"/>
    <w:link w:val="FooterChar"/>
    <w:uiPriority w:val="99"/>
    <w:unhideWhenUsed/>
    <w:rsid w:val="00365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675"/>
  </w:style>
  <w:style w:type="paragraph" w:styleId="FootnoteText">
    <w:name w:val="footnote text"/>
    <w:basedOn w:val="Normal"/>
    <w:link w:val="FootnoteTextChar"/>
    <w:uiPriority w:val="99"/>
    <w:semiHidden/>
    <w:unhideWhenUsed/>
    <w:rsid w:val="002520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20AD"/>
    <w:rPr>
      <w:sz w:val="20"/>
      <w:szCs w:val="20"/>
    </w:rPr>
  </w:style>
  <w:style w:type="character" w:styleId="FootnoteReference">
    <w:name w:val="footnote reference"/>
    <w:basedOn w:val="DefaultParagraphFont"/>
    <w:uiPriority w:val="99"/>
    <w:semiHidden/>
    <w:unhideWhenUsed/>
    <w:rsid w:val="002520AD"/>
    <w:rPr>
      <w:vertAlign w:val="superscript"/>
    </w:rPr>
  </w:style>
  <w:style w:type="paragraph" w:styleId="ListParagraph">
    <w:name w:val="List Paragraph"/>
    <w:basedOn w:val="Normal"/>
    <w:uiPriority w:val="34"/>
    <w:qFormat/>
    <w:rsid w:val="002520AD"/>
    <w:pPr>
      <w:ind w:left="720"/>
      <w:contextualSpacing/>
    </w:pPr>
  </w:style>
  <w:style w:type="character" w:styleId="Hyperlink">
    <w:name w:val="Hyperlink"/>
    <w:basedOn w:val="DefaultParagraphFont"/>
    <w:uiPriority w:val="99"/>
    <w:unhideWhenUsed/>
    <w:rsid w:val="00347827"/>
    <w:rPr>
      <w:color w:val="0563C1" w:themeColor="hyperlink"/>
      <w:u w:val="single"/>
    </w:rPr>
  </w:style>
  <w:style w:type="character" w:styleId="UnresolvedMention">
    <w:name w:val="Unresolved Mention"/>
    <w:basedOn w:val="DefaultParagraphFont"/>
    <w:uiPriority w:val="99"/>
    <w:semiHidden/>
    <w:unhideWhenUsed/>
    <w:rsid w:val="00347827"/>
    <w:rPr>
      <w:color w:val="605E5C"/>
      <w:shd w:val="clear" w:color="auto" w:fill="E1DFDD"/>
    </w:rPr>
  </w:style>
  <w:style w:type="character" w:customStyle="1" w:styleId="Heading1Char">
    <w:name w:val="Heading 1 Char"/>
    <w:basedOn w:val="DefaultParagraphFont"/>
    <w:link w:val="Heading1"/>
    <w:uiPriority w:val="9"/>
    <w:rsid w:val="0033451A"/>
    <w:rPr>
      <w:rFonts w:ascii="Arial" w:eastAsia="Arial" w:hAnsi="Arial" w:cs="Arial"/>
      <w:b/>
      <w:bCs/>
      <w:sz w:val="21"/>
      <w:szCs w:val="21"/>
      <w:lang w:val="en-US"/>
    </w:rPr>
  </w:style>
  <w:style w:type="paragraph" w:styleId="BodyText">
    <w:name w:val="Body Text"/>
    <w:basedOn w:val="Normal"/>
    <w:link w:val="BodyTextChar"/>
    <w:uiPriority w:val="1"/>
    <w:qFormat/>
    <w:rsid w:val="0033451A"/>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33451A"/>
    <w:rPr>
      <w:rFonts w:ascii="Arial" w:eastAsia="Arial" w:hAnsi="Arial" w:cs="Arial"/>
      <w:sz w:val="21"/>
      <w:szCs w:val="21"/>
      <w:lang w:val="en-US"/>
    </w:rPr>
  </w:style>
  <w:style w:type="paragraph" w:styleId="BalloonText">
    <w:name w:val="Balloon Text"/>
    <w:basedOn w:val="Normal"/>
    <w:link w:val="BalloonTextChar"/>
    <w:uiPriority w:val="99"/>
    <w:semiHidden/>
    <w:unhideWhenUsed/>
    <w:rsid w:val="00081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8DA"/>
    <w:rPr>
      <w:rFonts w:ascii="Segoe UI" w:hAnsi="Segoe UI" w:cs="Segoe UI"/>
      <w:sz w:val="18"/>
      <w:szCs w:val="18"/>
    </w:rPr>
  </w:style>
  <w:style w:type="character" w:styleId="CommentReference">
    <w:name w:val="annotation reference"/>
    <w:basedOn w:val="DefaultParagraphFont"/>
    <w:uiPriority w:val="99"/>
    <w:semiHidden/>
    <w:unhideWhenUsed/>
    <w:rsid w:val="00021290"/>
    <w:rPr>
      <w:sz w:val="16"/>
      <w:szCs w:val="16"/>
    </w:rPr>
  </w:style>
  <w:style w:type="paragraph" w:styleId="CommentText">
    <w:name w:val="annotation text"/>
    <w:basedOn w:val="Normal"/>
    <w:link w:val="CommentTextChar"/>
    <w:uiPriority w:val="99"/>
    <w:semiHidden/>
    <w:unhideWhenUsed/>
    <w:rsid w:val="00021290"/>
    <w:pPr>
      <w:spacing w:line="240" w:lineRule="auto"/>
    </w:pPr>
    <w:rPr>
      <w:sz w:val="20"/>
      <w:szCs w:val="20"/>
    </w:rPr>
  </w:style>
  <w:style w:type="character" w:customStyle="1" w:styleId="CommentTextChar">
    <w:name w:val="Comment Text Char"/>
    <w:basedOn w:val="DefaultParagraphFont"/>
    <w:link w:val="CommentText"/>
    <w:uiPriority w:val="99"/>
    <w:semiHidden/>
    <w:rsid w:val="00021290"/>
    <w:rPr>
      <w:sz w:val="20"/>
      <w:szCs w:val="20"/>
    </w:rPr>
  </w:style>
  <w:style w:type="paragraph" w:styleId="CommentSubject">
    <w:name w:val="annotation subject"/>
    <w:basedOn w:val="CommentText"/>
    <w:next w:val="CommentText"/>
    <w:link w:val="CommentSubjectChar"/>
    <w:uiPriority w:val="99"/>
    <w:semiHidden/>
    <w:unhideWhenUsed/>
    <w:rsid w:val="00021290"/>
    <w:rPr>
      <w:b/>
      <w:bCs/>
    </w:rPr>
  </w:style>
  <w:style w:type="character" w:customStyle="1" w:styleId="CommentSubjectChar">
    <w:name w:val="Comment Subject Char"/>
    <w:basedOn w:val="CommentTextChar"/>
    <w:link w:val="CommentSubject"/>
    <w:uiPriority w:val="99"/>
    <w:semiHidden/>
    <w:rsid w:val="00021290"/>
    <w:rPr>
      <w:b/>
      <w:bCs/>
      <w:sz w:val="20"/>
      <w:szCs w:val="20"/>
    </w:rPr>
  </w:style>
  <w:style w:type="paragraph" w:customStyle="1" w:styleId="N-line3">
    <w:name w:val="N-line3"/>
    <w:basedOn w:val="Normal"/>
    <w:next w:val="Normal"/>
    <w:rsid w:val="000F4A8C"/>
    <w:pPr>
      <w:pBdr>
        <w:bottom w:val="single" w:sz="12" w:space="1" w:color="auto"/>
      </w:pBdr>
      <w:spacing w:after="0" w:line="240" w:lineRule="auto"/>
      <w:jc w:val="both"/>
    </w:pPr>
    <w:rPr>
      <w:rFonts w:ascii="Times New Roman" w:eastAsia="Times New Roman" w:hAnsi="Times New Roman" w:cs="Times New Roman"/>
      <w:sz w:val="24"/>
      <w:szCs w:val="20"/>
    </w:rPr>
  </w:style>
  <w:style w:type="paragraph" w:customStyle="1" w:styleId="madeunder">
    <w:name w:val="made under"/>
    <w:basedOn w:val="Normal"/>
    <w:rsid w:val="000F4A8C"/>
    <w:pPr>
      <w:spacing w:before="180" w:after="60" w:line="240" w:lineRule="auto"/>
      <w:jc w:val="both"/>
    </w:pPr>
    <w:rPr>
      <w:rFonts w:ascii="Times New Roman" w:eastAsia="Times New Roman" w:hAnsi="Times New Roman" w:cs="Times New Roman"/>
      <w:sz w:val="24"/>
      <w:szCs w:val="20"/>
    </w:rPr>
  </w:style>
  <w:style w:type="paragraph" w:customStyle="1" w:styleId="CoverActName">
    <w:name w:val="CoverActName"/>
    <w:basedOn w:val="Normal"/>
    <w:rsid w:val="000F4A8C"/>
    <w:pPr>
      <w:tabs>
        <w:tab w:val="left" w:pos="2600"/>
      </w:tabs>
      <w:spacing w:before="200" w:after="60" w:line="240" w:lineRule="auto"/>
      <w:jc w:val="both"/>
    </w:pPr>
    <w:rPr>
      <w:rFonts w:ascii="Arial" w:eastAsia="Times New Roman" w:hAnsi="Arial" w:cs="Times New Roman"/>
      <w:b/>
      <w:sz w:val="24"/>
      <w:szCs w:val="20"/>
    </w:rPr>
  </w:style>
  <w:style w:type="paragraph" w:styleId="Title">
    <w:name w:val="Title"/>
    <w:basedOn w:val="Normal"/>
    <w:next w:val="Normal"/>
    <w:link w:val="TitleChar"/>
    <w:uiPriority w:val="10"/>
    <w:qFormat/>
    <w:rsid w:val="003D3C0C"/>
    <w:pPr>
      <w:ind w:left="51"/>
      <w:contextualSpacing/>
    </w:pPr>
    <w:rPr>
      <w:rFonts w:asciiTheme="majorHAnsi" w:eastAsiaTheme="majorEastAsia" w:hAnsiTheme="majorHAnsi" w:cstheme="majorBidi"/>
      <w:spacing w:val="-10"/>
      <w:kern w:val="28"/>
      <w:sz w:val="56"/>
      <w:szCs w:val="56"/>
      <w:lang w:eastAsia="en-AU"/>
    </w:rPr>
  </w:style>
  <w:style w:type="character" w:customStyle="1" w:styleId="TitleChar">
    <w:name w:val="Title Char"/>
    <w:basedOn w:val="DefaultParagraphFont"/>
    <w:link w:val="Title"/>
    <w:uiPriority w:val="10"/>
    <w:rsid w:val="003D3C0C"/>
    <w:rPr>
      <w:rFonts w:asciiTheme="majorHAnsi" w:eastAsiaTheme="majorEastAsia" w:hAnsiTheme="majorHAnsi" w:cstheme="majorBidi"/>
      <w:spacing w:val="-10"/>
      <w:kern w:val="28"/>
      <w:sz w:val="56"/>
      <w:szCs w:val="56"/>
      <w:lang w:eastAsia="en-AU"/>
    </w:rPr>
  </w:style>
  <w:style w:type="paragraph" w:styleId="TOC1">
    <w:name w:val="toc 1"/>
    <w:basedOn w:val="Normal"/>
    <w:next w:val="Normal"/>
    <w:autoRedefine/>
    <w:uiPriority w:val="39"/>
    <w:unhideWhenUsed/>
    <w:rsid w:val="00E550AF"/>
    <w:pPr>
      <w:tabs>
        <w:tab w:val="left" w:pos="426"/>
        <w:tab w:val="right" w:leader="dot" w:pos="9038"/>
      </w:tabs>
      <w:spacing w:after="100"/>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29834">
      <w:bodyDiv w:val="1"/>
      <w:marLeft w:val="0"/>
      <w:marRight w:val="0"/>
      <w:marTop w:val="0"/>
      <w:marBottom w:val="0"/>
      <w:divBdr>
        <w:top w:val="none" w:sz="0" w:space="0" w:color="auto"/>
        <w:left w:val="none" w:sz="0" w:space="0" w:color="auto"/>
        <w:bottom w:val="none" w:sz="0" w:space="0" w:color="auto"/>
        <w:right w:val="none" w:sz="0" w:space="0" w:color="auto"/>
      </w:divBdr>
    </w:div>
    <w:div w:id="991832739">
      <w:bodyDiv w:val="1"/>
      <w:marLeft w:val="0"/>
      <w:marRight w:val="0"/>
      <w:marTop w:val="0"/>
      <w:marBottom w:val="0"/>
      <w:divBdr>
        <w:top w:val="none" w:sz="0" w:space="0" w:color="auto"/>
        <w:left w:val="none" w:sz="0" w:space="0" w:color="auto"/>
        <w:bottom w:val="none" w:sz="0" w:space="0" w:color="auto"/>
        <w:right w:val="none" w:sz="0" w:space="0" w:color="auto"/>
      </w:divBdr>
    </w:div>
    <w:div w:id="203784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png@01D5CD19.AA17CA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B88F4-CC72-4CA4-AAEB-47B6B1557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1471</Words>
  <Characters>8207</Characters>
  <Application>Microsoft Office Word</Application>
  <DocSecurity>0</DocSecurity>
  <Lines>208</Lines>
  <Paragraphs>74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2020-07-22T02:05:00Z</cp:lastPrinted>
  <dcterms:created xsi:type="dcterms:W3CDTF">2020-08-10T01:58:00Z</dcterms:created>
  <dcterms:modified xsi:type="dcterms:W3CDTF">2020-08-10T01:58:00Z</dcterms:modified>
</cp:coreProperties>
</file>