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A7" w:rsidRDefault="00AA3FA7" w:rsidP="00B84500">
      <w:pPr>
        <w:spacing w:before="12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Australian Capital Territory</w:t>
      </w:r>
    </w:p>
    <w:p w:rsidR="00AA3FA7" w:rsidRDefault="00AA3FA7" w:rsidP="00000EB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</w:t>
      </w:r>
      <w:r w:rsidR="00A8606A">
        <w:t>20</w:t>
      </w:r>
      <w:r w:rsidR="007229E9">
        <w:t xml:space="preserve"> </w:t>
      </w:r>
      <w:r w:rsidR="008B7AD6">
        <w:t>(No </w:t>
      </w:r>
      <w:r w:rsidR="00000EB7">
        <w:t>1</w:t>
      </w:r>
      <w:r>
        <w:t>)</w:t>
      </w:r>
    </w:p>
    <w:p w:rsidR="00AA3FA7" w:rsidRDefault="00A57DB9" w:rsidP="00000EB7">
      <w:pPr>
        <w:pStyle w:val="Heading4"/>
        <w:numPr>
          <w:ilvl w:val="0"/>
          <w:numId w:val="0"/>
        </w:numPr>
        <w:spacing w:before="340"/>
        <w:rPr>
          <w:vertAlign w:val="superscript"/>
        </w:rPr>
      </w:pPr>
      <w:bookmarkStart w:id="1" w:name="Citation"/>
      <w:r>
        <w:t>Notifiable instrument NI20</w:t>
      </w:r>
      <w:r w:rsidR="00A8606A">
        <w:t>20</w:t>
      </w:r>
      <w:r w:rsidR="00AA3FA7">
        <w:t>—</w:t>
      </w:r>
      <w:r w:rsidR="003E4235">
        <w:t>536</w:t>
      </w:r>
    </w:p>
    <w:p w:rsidR="00AA3FA7" w:rsidRDefault="00AA3FA7" w:rsidP="00000EB7">
      <w:pPr>
        <w:pStyle w:val="madeunder"/>
        <w:spacing w:before="300"/>
      </w:pPr>
      <w:r>
        <w:t>made under the</w:t>
      </w:r>
    </w:p>
    <w:p w:rsidR="00AA3FA7" w:rsidRPr="00000EB7" w:rsidRDefault="00AA3FA7" w:rsidP="00000EB7">
      <w:pPr>
        <w:pStyle w:val="CoverActName"/>
        <w:spacing w:before="320"/>
        <w:jc w:val="left"/>
        <w:rPr>
          <w:rFonts w:cs="Arial"/>
          <w:sz w:val="20"/>
          <w:vertAlign w:val="superscript"/>
        </w:rPr>
      </w:pPr>
      <w:r w:rsidRPr="00000EB7">
        <w:rPr>
          <w:rFonts w:cs="Arial"/>
          <w:iCs/>
          <w:sz w:val="20"/>
        </w:rPr>
        <w:t>Remuneration Tribunal Act 1995</w:t>
      </w:r>
      <w:r w:rsidRPr="00000EB7">
        <w:rPr>
          <w:rFonts w:cs="Arial"/>
          <w:sz w:val="20"/>
        </w:rPr>
        <w:t>, s 10 (Inquiries about holders of certain positions)</w:t>
      </w:r>
    </w:p>
    <w:bookmarkEnd w:id="1"/>
    <w:p w:rsidR="00AA3FA7" w:rsidRDefault="00AA3FA7" w:rsidP="00000EB7">
      <w:pPr>
        <w:pStyle w:val="N-line3"/>
        <w:pBdr>
          <w:bottom w:val="none" w:sz="0" w:space="0" w:color="auto"/>
        </w:pBdr>
        <w:spacing w:before="60"/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:rsidR="00AA3FA7" w:rsidRDefault="00501B08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Commissioner for Sustainability and the Environment</w:t>
      </w: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</w:r>
      <w:r w:rsidR="006504F8">
        <w:rPr>
          <w:rFonts w:ascii="Times New Roman" w:hAnsi="Times New Roman"/>
          <w:b w:val="0"/>
        </w:rPr>
        <w:t>31</w:t>
      </w:r>
      <w:r w:rsidR="00B67F0C">
        <w:rPr>
          <w:rFonts w:ascii="Times New Roman" w:hAnsi="Times New Roman"/>
          <w:b w:val="0"/>
        </w:rPr>
        <w:t xml:space="preserve"> </w:t>
      </w:r>
      <w:r w:rsidR="00501B08">
        <w:rPr>
          <w:rFonts w:ascii="Times New Roman" w:hAnsi="Times New Roman"/>
          <w:b w:val="0"/>
        </w:rPr>
        <w:t xml:space="preserve">August </w:t>
      </w:r>
      <w:r>
        <w:rPr>
          <w:rFonts w:ascii="Times New Roman" w:hAnsi="Times New Roman"/>
          <w:b w:val="0"/>
        </w:rPr>
        <w:t>20</w:t>
      </w:r>
      <w:r w:rsidR="00A8606A">
        <w:rPr>
          <w:rFonts w:ascii="Times New Roman" w:hAnsi="Times New Roman"/>
          <w:b w:val="0"/>
        </w:rPr>
        <w:t>20</w:t>
      </w:r>
    </w:p>
    <w:sectPr w:rsidR="00AA3FA7" w:rsidSect="00000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2478" w:footer="2098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8C8" w:rsidRDefault="004A28C8">
      <w:r>
        <w:separator/>
      </w:r>
    </w:p>
  </w:endnote>
  <w:endnote w:type="continuationSeparator" w:id="0">
    <w:p w:rsidR="004A28C8" w:rsidRDefault="004A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80" w:rsidRPr="00C56580" w:rsidRDefault="00C56580" w:rsidP="00C56580">
    <w:pPr>
      <w:pStyle w:val="Footer"/>
      <w:jc w:val="center"/>
      <w:rPr>
        <w:rFonts w:cs="Arial"/>
        <w:sz w:val="14"/>
      </w:rPr>
    </w:pPr>
    <w:r w:rsidRPr="00C56580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80" w:rsidRPr="00C56580" w:rsidRDefault="00C56580" w:rsidP="00C56580">
    <w:pPr>
      <w:pStyle w:val="Footer"/>
      <w:jc w:val="center"/>
      <w:rPr>
        <w:rFonts w:cs="Arial"/>
        <w:sz w:val="14"/>
      </w:rPr>
    </w:pPr>
    <w:r w:rsidRPr="00C5658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80" w:rsidRPr="00C56580" w:rsidRDefault="00C56580" w:rsidP="00C56580">
    <w:pPr>
      <w:pStyle w:val="Footer"/>
      <w:jc w:val="center"/>
      <w:rPr>
        <w:rFonts w:cs="Arial"/>
        <w:sz w:val="14"/>
      </w:rPr>
    </w:pPr>
    <w:r w:rsidRPr="00C56580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8C8" w:rsidRDefault="004A28C8">
      <w:r>
        <w:separator/>
      </w:r>
    </w:p>
  </w:footnote>
  <w:footnote w:type="continuationSeparator" w:id="0">
    <w:p w:rsidR="004A28C8" w:rsidRDefault="004A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80" w:rsidRDefault="00C56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80" w:rsidRDefault="00C56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80" w:rsidRDefault="00C56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00EB7"/>
    <w:rsid w:val="000102E2"/>
    <w:rsid w:val="0006630A"/>
    <w:rsid w:val="000B18D4"/>
    <w:rsid w:val="000B5378"/>
    <w:rsid w:val="001B3BAA"/>
    <w:rsid w:val="001C0B99"/>
    <w:rsid w:val="001F544F"/>
    <w:rsid w:val="002432E2"/>
    <w:rsid w:val="00274829"/>
    <w:rsid w:val="00277C00"/>
    <w:rsid w:val="002915DD"/>
    <w:rsid w:val="002E5403"/>
    <w:rsid w:val="00343059"/>
    <w:rsid w:val="00383930"/>
    <w:rsid w:val="003A7A0C"/>
    <w:rsid w:val="003E4235"/>
    <w:rsid w:val="00460F27"/>
    <w:rsid w:val="004A28C8"/>
    <w:rsid w:val="00501B08"/>
    <w:rsid w:val="006504F8"/>
    <w:rsid w:val="0068711C"/>
    <w:rsid w:val="007229E9"/>
    <w:rsid w:val="00756775"/>
    <w:rsid w:val="00764D71"/>
    <w:rsid w:val="00766F9A"/>
    <w:rsid w:val="007F03ED"/>
    <w:rsid w:val="008B7AD6"/>
    <w:rsid w:val="00905216"/>
    <w:rsid w:val="00935CEF"/>
    <w:rsid w:val="00963D96"/>
    <w:rsid w:val="00966C7C"/>
    <w:rsid w:val="009F033A"/>
    <w:rsid w:val="00A57DB9"/>
    <w:rsid w:val="00A77F35"/>
    <w:rsid w:val="00A8606A"/>
    <w:rsid w:val="00A9490B"/>
    <w:rsid w:val="00AA3FA7"/>
    <w:rsid w:val="00AB3BF9"/>
    <w:rsid w:val="00B32F6C"/>
    <w:rsid w:val="00B67F0C"/>
    <w:rsid w:val="00B84500"/>
    <w:rsid w:val="00C227D9"/>
    <w:rsid w:val="00C22F07"/>
    <w:rsid w:val="00C55922"/>
    <w:rsid w:val="00C56580"/>
    <w:rsid w:val="00C75241"/>
    <w:rsid w:val="00CA7672"/>
    <w:rsid w:val="00D04FF9"/>
    <w:rsid w:val="00D25177"/>
    <w:rsid w:val="00E95538"/>
    <w:rsid w:val="00EE7607"/>
    <w:rsid w:val="00F94BD4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129857-10C0-454C-8368-D293FACE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333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/>
  <cp:lastModifiedBy>Moxon, KarenL</cp:lastModifiedBy>
  <cp:revision>4</cp:revision>
  <cp:lastPrinted>2005-04-20T04:49:00Z</cp:lastPrinted>
  <dcterms:created xsi:type="dcterms:W3CDTF">2020-09-02T23:12:00Z</dcterms:created>
  <dcterms:modified xsi:type="dcterms:W3CDTF">2020-09-02T23:12:00Z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Objective-Id">
    <vt:lpwstr>A26405806</vt:lpwstr>
  </property>
  <property fmtid="{D5CDD505-2E9C-101B-9397-08002B2CF9AE}" pid="6" name="Objective-Title">
    <vt:lpwstr>Attachment B - NI</vt:lpwstr>
  </property>
  <property fmtid="{D5CDD505-2E9C-101B-9397-08002B2CF9AE}" pid="7" name="Objective-Comment">
    <vt:lpwstr/>
  </property>
  <property fmtid="{D5CDD505-2E9C-101B-9397-08002B2CF9AE}" pid="8" name="Objective-CreationStamp">
    <vt:filetime>2020-08-21T07:00:19Z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2020-09-02T23:06:54Z</vt:filetime>
  </property>
  <property fmtid="{D5CDD505-2E9C-101B-9397-08002B2CF9AE}" pid="13" name="Objective-Owner">
    <vt:lpwstr>Olivia Edgar</vt:lpwstr>
  </property>
  <property fmtid="{D5CDD505-2E9C-101B-9397-08002B2CF9AE}" pid="14" name="Objective-Path">
    <vt:lpwstr>Whole of ACT Government:EPSDD - Environment Planning and Sustainable Development Directorate:07. Ministerial, Cabinet and Government Relations:06. Ministerials:2020 - Ministerial and Chief Ministerial Briefs / Correspondence:Office of the Director-General</vt:lpwstr>
  </property>
  <property fmtid="{D5CDD505-2E9C-101B-9397-08002B2CF9AE}" pid="15" name="Objective-Parent">
    <vt:lpwstr>20/60474 Ministerial Information Brief - Commissioner for Sustainability and the Environment - Referral to the Remuneration Tribunal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4.1</vt:lpwstr>
  </property>
  <property fmtid="{D5CDD505-2E9C-101B-9397-08002B2CF9AE}" pid="18" name="Objective-VersionNumber">
    <vt:r8>5</vt:r8>
  </property>
  <property fmtid="{D5CDD505-2E9C-101B-9397-08002B2CF9AE}" pid="19" name="Objective-VersionComment">
    <vt:lpwstr/>
  </property>
  <property fmtid="{D5CDD505-2E9C-101B-9397-08002B2CF9AE}" pid="20" name="Objective-FileNumber">
    <vt:lpwstr>1-2020/60474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 [system]">
    <vt:lpwstr>EPSDD</vt:lpwstr>
  </property>
  <property fmtid="{D5CDD505-2E9C-101B-9397-08002B2CF9AE}" pid="24" name="Objective-Document Type [system]">
    <vt:lpwstr>0-Document</vt:lpwstr>
  </property>
  <property fmtid="{D5CDD505-2E9C-101B-9397-08002B2CF9AE}" pid="25" name="Objective-Language [system]">
    <vt:lpwstr>English (en)</vt:lpwstr>
  </property>
  <property fmtid="{D5CDD505-2E9C-101B-9397-08002B2CF9AE}" pid="26" name="Objective-Jurisdiction [system]">
    <vt:lpwstr>ACT</vt:lpwstr>
  </property>
  <property fmtid="{D5CDD505-2E9C-101B-9397-08002B2CF9AE}" pid="27" name="Objective-Customers [system]">
    <vt:lpwstr/>
  </property>
  <property fmtid="{D5CDD505-2E9C-101B-9397-08002B2CF9AE}" pid="28" name="Objective-Places [system]">
    <vt:lpwstr/>
  </property>
  <property fmtid="{D5CDD505-2E9C-101B-9397-08002B2CF9AE}" pid="29" name="Objective-Transaction Reference [system]">
    <vt:lpwstr/>
  </property>
  <property fmtid="{D5CDD505-2E9C-101B-9397-08002B2CF9AE}" pid="30" name="Objective-Document Created By [system]">
    <vt:lpwstr/>
  </property>
  <property fmtid="{D5CDD505-2E9C-101B-9397-08002B2CF9AE}" pid="31" name="Objective-Document Created On [system]">
    <vt:lpwstr/>
  </property>
  <property fmtid="{D5CDD505-2E9C-101B-9397-08002B2CF9AE}" pid="32" name="Objective-Covers Period From [system]">
    <vt:lpwstr/>
  </property>
  <property fmtid="{D5CDD505-2E9C-101B-9397-08002B2CF9AE}" pid="33" name="Objective-Covers Period To [system]">
    <vt:lpwstr/>
  </property>
</Properties>
</file>