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737C2" w14:textId="77777777" w:rsidR="005469C3" w:rsidRPr="001D21AA" w:rsidRDefault="005469C3" w:rsidP="006C6857">
      <w:pPr>
        <w:spacing w:before="120" w:line="276" w:lineRule="auto"/>
        <w:rPr>
          <w:rFonts w:ascii="Arial" w:hAnsi="Arial" w:cs="Arial"/>
        </w:rPr>
      </w:pPr>
      <w:bookmarkStart w:id="0" w:name="_Toc44738651"/>
      <w:r w:rsidRPr="001D21AA">
        <w:rPr>
          <w:rFonts w:ascii="Arial" w:hAnsi="Arial" w:cs="Arial"/>
        </w:rPr>
        <w:t>Australian Capital Territory</w:t>
      </w:r>
    </w:p>
    <w:p w14:paraId="06A2F6AE" w14:textId="084F51A6" w:rsidR="005469C3" w:rsidRDefault="005469C3" w:rsidP="006C6857">
      <w:pPr>
        <w:spacing w:before="340" w:line="276" w:lineRule="auto"/>
        <w:rPr>
          <w:rFonts w:ascii="Arial" w:eastAsia="Times New Roman" w:hAnsi="Arial" w:cs="Times New Roman"/>
          <w:b/>
          <w:sz w:val="40"/>
          <w:szCs w:val="20"/>
        </w:rPr>
      </w:pPr>
      <w:r w:rsidRPr="00FB634E">
        <w:rPr>
          <w:rFonts w:ascii="Arial" w:eastAsia="Times New Roman" w:hAnsi="Arial" w:cs="Times New Roman"/>
          <w:b/>
          <w:sz w:val="40"/>
          <w:szCs w:val="20"/>
        </w:rPr>
        <w:t xml:space="preserve">Integrity Commission </w:t>
      </w:r>
      <w:r>
        <w:rPr>
          <w:rFonts w:ascii="Arial" w:eastAsia="Times New Roman" w:hAnsi="Arial" w:cs="Times New Roman"/>
          <w:b/>
          <w:sz w:val="40"/>
          <w:szCs w:val="20"/>
        </w:rPr>
        <w:t>(Examination Conduct)</w:t>
      </w:r>
      <w:r w:rsidRPr="00FB634E">
        <w:rPr>
          <w:rFonts w:ascii="Arial" w:eastAsia="Times New Roman" w:hAnsi="Arial" w:cs="Times New Roman"/>
          <w:b/>
          <w:sz w:val="40"/>
          <w:szCs w:val="20"/>
        </w:rPr>
        <w:t xml:space="preserve"> Guidelines 20</w:t>
      </w:r>
      <w:r>
        <w:rPr>
          <w:rFonts w:ascii="Arial" w:eastAsia="Times New Roman" w:hAnsi="Arial" w:cs="Times New Roman"/>
          <w:b/>
          <w:sz w:val="40"/>
          <w:szCs w:val="20"/>
        </w:rPr>
        <w:t>2</w:t>
      </w:r>
      <w:r w:rsidR="00142319">
        <w:rPr>
          <w:rFonts w:ascii="Arial" w:eastAsia="Times New Roman" w:hAnsi="Arial" w:cs="Times New Roman"/>
          <w:b/>
          <w:sz w:val="40"/>
          <w:szCs w:val="20"/>
        </w:rPr>
        <w:t>1</w:t>
      </w:r>
    </w:p>
    <w:p w14:paraId="34DE2596" w14:textId="4953266D" w:rsidR="005469C3" w:rsidRPr="001D21AA" w:rsidRDefault="005469C3" w:rsidP="006C6857">
      <w:pPr>
        <w:spacing w:before="340" w:line="276" w:lineRule="auto"/>
        <w:rPr>
          <w:rFonts w:ascii="Arial" w:hAnsi="Arial" w:cs="Arial"/>
          <w:b/>
          <w:bCs/>
        </w:rPr>
      </w:pPr>
      <w:r w:rsidRPr="001D21AA">
        <w:rPr>
          <w:rFonts w:ascii="Arial" w:hAnsi="Arial" w:cs="Arial"/>
          <w:b/>
          <w:bCs/>
        </w:rPr>
        <w:t>Notifiable instrument NI20</w:t>
      </w:r>
      <w:r>
        <w:rPr>
          <w:rFonts w:ascii="Arial" w:hAnsi="Arial" w:cs="Arial"/>
          <w:b/>
          <w:bCs/>
        </w:rPr>
        <w:t>2</w:t>
      </w:r>
      <w:r w:rsidR="00CB3D41">
        <w:rPr>
          <w:rFonts w:ascii="Arial" w:hAnsi="Arial" w:cs="Arial"/>
          <w:b/>
          <w:bCs/>
        </w:rPr>
        <w:t>1</w:t>
      </w:r>
      <w:r w:rsidRPr="001D21AA">
        <w:rPr>
          <w:rFonts w:ascii="Arial" w:hAnsi="Arial" w:cs="Arial"/>
          <w:b/>
          <w:bCs/>
        </w:rPr>
        <w:t>–</w:t>
      </w:r>
      <w:r w:rsidR="00FD62AC">
        <w:rPr>
          <w:rFonts w:ascii="Arial" w:hAnsi="Arial" w:cs="Arial"/>
          <w:b/>
          <w:bCs/>
        </w:rPr>
        <w:t>120</w:t>
      </w:r>
    </w:p>
    <w:p w14:paraId="4954C40F" w14:textId="77777777" w:rsidR="005469C3" w:rsidRPr="001D21AA" w:rsidRDefault="005469C3" w:rsidP="006C6857">
      <w:pPr>
        <w:pStyle w:val="madeunder"/>
        <w:spacing w:before="300" w:after="0" w:line="276" w:lineRule="auto"/>
      </w:pPr>
      <w:r w:rsidRPr="001D21AA">
        <w:t>made under the</w:t>
      </w:r>
    </w:p>
    <w:p w14:paraId="53F241C0" w14:textId="2F85BFA7" w:rsidR="005469C3" w:rsidRPr="000F4A8C" w:rsidRDefault="005469C3" w:rsidP="006C6857">
      <w:pPr>
        <w:pStyle w:val="CoverActName"/>
        <w:spacing w:before="320" w:after="0" w:line="276" w:lineRule="auto"/>
        <w:rPr>
          <w:rFonts w:cs="Arial"/>
          <w:szCs w:val="24"/>
        </w:rPr>
      </w:pPr>
      <w:r w:rsidRPr="000F4A8C">
        <w:rPr>
          <w:rFonts w:cs="Arial"/>
          <w:i/>
          <w:iCs/>
          <w:szCs w:val="24"/>
        </w:rPr>
        <w:t>Integrity Commission Act 2018</w:t>
      </w:r>
      <w:r w:rsidRPr="000F4A8C">
        <w:rPr>
          <w:rFonts w:cs="Arial"/>
          <w:szCs w:val="24"/>
        </w:rPr>
        <w:t xml:space="preserve">, section </w:t>
      </w:r>
      <w:r>
        <w:rPr>
          <w:rFonts w:cs="Arial"/>
          <w:szCs w:val="24"/>
        </w:rPr>
        <w:t>142</w:t>
      </w:r>
      <w:r w:rsidRPr="000F4A8C">
        <w:rPr>
          <w:rFonts w:cs="Arial"/>
          <w:szCs w:val="24"/>
        </w:rPr>
        <w:t>(</w:t>
      </w:r>
      <w:r>
        <w:rPr>
          <w:rFonts w:cs="Arial"/>
          <w:szCs w:val="24"/>
        </w:rPr>
        <w:t>2</w:t>
      </w:r>
      <w:r w:rsidRPr="000F4A8C">
        <w:rPr>
          <w:rFonts w:cs="Arial"/>
          <w:szCs w:val="24"/>
        </w:rPr>
        <w:t>) (</w:t>
      </w:r>
      <w:r>
        <w:rPr>
          <w:rFonts w:cs="Arial"/>
          <w:szCs w:val="24"/>
        </w:rPr>
        <w:t>Examination conduct</w:t>
      </w:r>
      <w:r w:rsidRPr="000F4A8C">
        <w:rPr>
          <w:rFonts w:cs="Arial"/>
          <w:szCs w:val="24"/>
        </w:rPr>
        <w:t xml:space="preserve"> guidelines)</w:t>
      </w:r>
    </w:p>
    <w:p w14:paraId="0FD13579" w14:textId="77777777" w:rsidR="005469C3" w:rsidRPr="001D21AA" w:rsidRDefault="005469C3" w:rsidP="006C6857">
      <w:pPr>
        <w:pStyle w:val="N-line3"/>
        <w:pBdr>
          <w:bottom w:val="none" w:sz="0" w:space="0" w:color="auto"/>
        </w:pBdr>
        <w:spacing w:before="60" w:line="276" w:lineRule="auto"/>
      </w:pPr>
    </w:p>
    <w:p w14:paraId="67FD2AD0" w14:textId="77777777" w:rsidR="005469C3" w:rsidRPr="001D21AA" w:rsidRDefault="005469C3" w:rsidP="006C6857">
      <w:pPr>
        <w:pStyle w:val="N-line3"/>
        <w:pBdr>
          <w:top w:val="single" w:sz="12" w:space="1" w:color="auto"/>
          <w:bottom w:val="none" w:sz="0" w:space="0" w:color="auto"/>
        </w:pBdr>
        <w:spacing w:line="276" w:lineRule="auto"/>
      </w:pPr>
    </w:p>
    <w:p w14:paraId="76604ED1" w14:textId="77777777" w:rsidR="005469C3" w:rsidRPr="001D21AA" w:rsidRDefault="005469C3" w:rsidP="006C6857">
      <w:pPr>
        <w:spacing w:before="60" w:after="60" w:line="276" w:lineRule="auto"/>
        <w:ind w:left="720" w:hanging="720"/>
        <w:rPr>
          <w:rFonts w:ascii="Arial" w:hAnsi="Arial" w:cs="Arial"/>
          <w:b/>
          <w:bCs/>
        </w:rPr>
      </w:pPr>
      <w:r w:rsidRPr="001D21AA">
        <w:rPr>
          <w:rFonts w:ascii="Arial" w:hAnsi="Arial" w:cs="Arial"/>
          <w:b/>
          <w:bCs/>
        </w:rPr>
        <w:t>1</w:t>
      </w:r>
      <w:r w:rsidRPr="001D21AA">
        <w:rPr>
          <w:rFonts w:ascii="Arial" w:hAnsi="Arial" w:cs="Arial"/>
          <w:b/>
          <w:bCs/>
        </w:rPr>
        <w:tab/>
        <w:t>Name of instrument</w:t>
      </w:r>
    </w:p>
    <w:p w14:paraId="67BC9F49" w14:textId="65FC0161" w:rsidR="005469C3" w:rsidRPr="000F4A8C" w:rsidRDefault="005469C3" w:rsidP="006C6857">
      <w:pPr>
        <w:spacing w:before="140" w:line="276" w:lineRule="auto"/>
        <w:ind w:left="720"/>
        <w:rPr>
          <w:rFonts w:ascii="Times New Roman" w:hAnsi="Times New Roman" w:cs="Times New Roman"/>
        </w:rPr>
      </w:pPr>
      <w:r w:rsidRPr="000F4A8C">
        <w:rPr>
          <w:rFonts w:ascii="Times New Roman" w:hAnsi="Times New Roman" w:cs="Times New Roman"/>
        </w:rPr>
        <w:t xml:space="preserve">This instrument is the </w:t>
      </w:r>
      <w:r w:rsidRPr="000F4A8C">
        <w:rPr>
          <w:rFonts w:ascii="Times New Roman" w:hAnsi="Times New Roman" w:cs="Times New Roman"/>
          <w:i/>
        </w:rPr>
        <w:t xml:space="preserve">Integrity Commission </w:t>
      </w:r>
      <w:r>
        <w:rPr>
          <w:rFonts w:ascii="Times New Roman" w:hAnsi="Times New Roman" w:cs="Times New Roman"/>
          <w:i/>
        </w:rPr>
        <w:t>(Examination</w:t>
      </w:r>
      <w:r w:rsidR="000C61F3">
        <w:rPr>
          <w:rFonts w:ascii="Times New Roman" w:hAnsi="Times New Roman" w:cs="Times New Roman"/>
          <w:i/>
        </w:rPr>
        <w:t xml:space="preserve"> Conduct</w:t>
      </w:r>
      <w:r>
        <w:rPr>
          <w:rFonts w:ascii="Times New Roman" w:hAnsi="Times New Roman" w:cs="Times New Roman"/>
          <w:i/>
        </w:rPr>
        <w:t>)</w:t>
      </w:r>
      <w:r w:rsidRPr="000F4A8C">
        <w:rPr>
          <w:rFonts w:ascii="Times New Roman" w:hAnsi="Times New Roman" w:cs="Times New Roman"/>
          <w:i/>
        </w:rPr>
        <w:t xml:space="preserve"> Guidelines 202</w:t>
      </w:r>
      <w:r w:rsidR="00142319">
        <w:rPr>
          <w:rFonts w:ascii="Times New Roman" w:hAnsi="Times New Roman" w:cs="Times New Roman"/>
          <w:i/>
        </w:rPr>
        <w:t>1</w:t>
      </w:r>
      <w:r w:rsidRPr="000F4A8C">
        <w:rPr>
          <w:rFonts w:ascii="Times New Roman" w:hAnsi="Times New Roman" w:cs="Times New Roman"/>
          <w:i/>
        </w:rPr>
        <w:t>.</w:t>
      </w:r>
    </w:p>
    <w:p w14:paraId="4A379AFF" w14:textId="77777777" w:rsidR="005469C3" w:rsidRPr="001D21AA" w:rsidRDefault="005469C3" w:rsidP="006C6857">
      <w:pPr>
        <w:spacing w:before="300" w:line="276" w:lineRule="auto"/>
        <w:ind w:left="720" w:hanging="720"/>
        <w:rPr>
          <w:rFonts w:ascii="Arial" w:hAnsi="Arial" w:cs="Arial"/>
          <w:b/>
          <w:bCs/>
        </w:rPr>
      </w:pPr>
      <w:r w:rsidRPr="001D21AA">
        <w:rPr>
          <w:rFonts w:ascii="Arial" w:hAnsi="Arial" w:cs="Arial"/>
          <w:b/>
          <w:bCs/>
        </w:rPr>
        <w:t>2</w:t>
      </w:r>
      <w:r w:rsidRPr="001D21AA">
        <w:rPr>
          <w:rFonts w:ascii="Arial" w:hAnsi="Arial" w:cs="Arial"/>
          <w:b/>
          <w:bCs/>
        </w:rPr>
        <w:tab/>
        <w:t xml:space="preserve">Commencement </w:t>
      </w:r>
    </w:p>
    <w:p w14:paraId="5241FC8E" w14:textId="77777777" w:rsidR="005469C3" w:rsidRPr="000F4A8C" w:rsidRDefault="005469C3" w:rsidP="006C6857">
      <w:pPr>
        <w:spacing w:before="140" w:line="276" w:lineRule="auto"/>
        <w:ind w:left="720"/>
        <w:rPr>
          <w:rFonts w:ascii="Times New Roman" w:hAnsi="Times New Roman" w:cs="Times New Roman"/>
        </w:rPr>
      </w:pPr>
      <w:r w:rsidRPr="000F4A8C">
        <w:rPr>
          <w:rFonts w:ascii="Times New Roman" w:hAnsi="Times New Roman" w:cs="Times New Roman"/>
        </w:rPr>
        <w:t xml:space="preserve">This instrument commences on the day after notification. </w:t>
      </w:r>
    </w:p>
    <w:p w14:paraId="4882BE35" w14:textId="77777777" w:rsidR="005469C3" w:rsidRPr="001D21AA" w:rsidRDefault="005469C3" w:rsidP="006C6857">
      <w:pPr>
        <w:spacing w:before="300" w:line="276" w:lineRule="auto"/>
        <w:ind w:left="720" w:hanging="720"/>
        <w:rPr>
          <w:rFonts w:ascii="Arial" w:hAnsi="Arial" w:cs="Arial"/>
          <w:b/>
          <w:bCs/>
        </w:rPr>
      </w:pPr>
      <w:r w:rsidRPr="001D21AA">
        <w:rPr>
          <w:rFonts w:ascii="Arial" w:hAnsi="Arial" w:cs="Arial"/>
          <w:b/>
          <w:bCs/>
        </w:rPr>
        <w:t>3</w:t>
      </w:r>
      <w:r w:rsidRPr="001D21AA">
        <w:rPr>
          <w:rFonts w:ascii="Arial" w:hAnsi="Arial" w:cs="Arial"/>
          <w:b/>
          <w:bCs/>
        </w:rPr>
        <w:tab/>
      </w:r>
      <w:r>
        <w:rPr>
          <w:rFonts w:ascii="Arial" w:hAnsi="Arial" w:cs="Arial"/>
          <w:b/>
          <w:bCs/>
        </w:rPr>
        <w:t>Commission’s</w:t>
      </w:r>
      <w:r w:rsidRPr="001D21AA">
        <w:rPr>
          <w:rFonts w:ascii="Arial" w:hAnsi="Arial" w:cs="Arial"/>
          <w:b/>
          <w:bCs/>
        </w:rPr>
        <w:t xml:space="preserve"> Guidelines</w:t>
      </w:r>
    </w:p>
    <w:p w14:paraId="5AC7E34D" w14:textId="53F00121" w:rsidR="005469C3" w:rsidRPr="000F4A8C" w:rsidRDefault="005469C3" w:rsidP="006C6857">
      <w:pPr>
        <w:spacing w:before="140" w:line="276" w:lineRule="auto"/>
        <w:ind w:left="720"/>
        <w:rPr>
          <w:rFonts w:ascii="Times New Roman" w:hAnsi="Times New Roman" w:cs="Times New Roman"/>
        </w:rPr>
      </w:pPr>
      <w:r w:rsidRPr="000F4A8C">
        <w:rPr>
          <w:rFonts w:ascii="Times New Roman" w:hAnsi="Times New Roman" w:cs="Times New Roman"/>
        </w:rPr>
        <w:t>I make the</w:t>
      </w:r>
      <w:r w:rsidR="00142319">
        <w:rPr>
          <w:rFonts w:ascii="Times New Roman" w:hAnsi="Times New Roman" w:cs="Times New Roman"/>
        </w:rPr>
        <w:t xml:space="preserve"> </w:t>
      </w:r>
      <w:r w:rsidR="00142319" w:rsidRPr="00CD64AF">
        <w:rPr>
          <w:rFonts w:ascii="Times New Roman" w:hAnsi="Times New Roman" w:cs="Times New Roman"/>
          <w:i/>
          <w:iCs/>
        </w:rPr>
        <w:t>Integrity</w:t>
      </w:r>
      <w:r w:rsidRPr="00CD64AF">
        <w:rPr>
          <w:rFonts w:ascii="Times New Roman" w:hAnsi="Times New Roman" w:cs="Times New Roman"/>
          <w:i/>
          <w:iCs/>
        </w:rPr>
        <w:t xml:space="preserve"> Commission </w:t>
      </w:r>
      <w:r w:rsidR="00142319" w:rsidRPr="00CD64AF">
        <w:rPr>
          <w:rFonts w:ascii="Times New Roman" w:hAnsi="Times New Roman" w:cs="Times New Roman"/>
          <w:i/>
          <w:iCs/>
        </w:rPr>
        <w:t>(</w:t>
      </w:r>
      <w:r w:rsidRPr="00CD64AF">
        <w:rPr>
          <w:rFonts w:ascii="Times New Roman" w:hAnsi="Times New Roman" w:cs="Times New Roman"/>
          <w:i/>
          <w:iCs/>
        </w:rPr>
        <w:t>Examination Conduct</w:t>
      </w:r>
      <w:r w:rsidR="00142319" w:rsidRPr="00CD64AF">
        <w:rPr>
          <w:rFonts w:ascii="Times New Roman" w:hAnsi="Times New Roman" w:cs="Times New Roman"/>
          <w:i/>
          <w:iCs/>
        </w:rPr>
        <w:t>)</w:t>
      </w:r>
      <w:r w:rsidRPr="00CD64AF">
        <w:rPr>
          <w:rFonts w:ascii="Times New Roman" w:hAnsi="Times New Roman" w:cs="Times New Roman"/>
          <w:i/>
          <w:iCs/>
        </w:rPr>
        <w:t xml:space="preserve"> Guidelines </w:t>
      </w:r>
      <w:r w:rsidR="00142319" w:rsidRPr="00CD64AF">
        <w:rPr>
          <w:rFonts w:ascii="Times New Roman" w:hAnsi="Times New Roman" w:cs="Times New Roman"/>
          <w:i/>
          <w:iCs/>
        </w:rPr>
        <w:t>2021</w:t>
      </w:r>
      <w:r w:rsidR="00142319">
        <w:rPr>
          <w:rFonts w:ascii="Times New Roman" w:hAnsi="Times New Roman" w:cs="Times New Roman"/>
        </w:rPr>
        <w:t xml:space="preserve"> </w:t>
      </w:r>
      <w:r w:rsidRPr="000F4A8C">
        <w:rPr>
          <w:rFonts w:ascii="Times New Roman" w:hAnsi="Times New Roman" w:cs="Times New Roman"/>
        </w:rPr>
        <w:t>as set out at Schedule 1 to this instrument.</w:t>
      </w:r>
    </w:p>
    <w:bookmarkEnd w:id="0"/>
    <w:p w14:paraId="4167D7F7" w14:textId="77777777" w:rsidR="005469C3" w:rsidRPr="000F4A8C" w:rsidRDefault="005469C3" w:rsidP="006C6857">
      <w:pPr>
        <w:tabs>
          <w:tab w:val="left" w:pos="-720"/>
        </w:tabs>
        <w:suppressAutoHyphens/>
        <w:spacing w:line="276" w:lineRule="auto"/>
        <w:jc w:val="both"/>
        <w:rPr>
          <w:rFonts w:ascii="Times New Roman" w:hAnsi="Times New Roman" w:cs="Times New Roman"/>
          <w:spacing w:val="-3"/>
          <w:szCs w:val="24"/>
        </w:rPr>
      </w:pPr>
    </w:p>
    <w:p w14:paraId="47D4F426" w14:textId="77777777" w:rsidR="005469C3" w:rsidRDefault="005469C3" w:rsidP="006C6857">
      <w:pPr>
        <w:tabs>
          <w:tab w:val="left" w:pos="-720"/>
        </w:tabs>
        <w:suppressAutoHyphens/>
        <w:spacing w:line="276" w:lineRule="auto"/>
        <w:jc w:val="both"/>
        <w:rPr>
          <w:rFonts w:ascii="Times New Roman" w:hAnsi="Times New Roman" w:cs="Times New Roman"/>
          <w:spacing w:val="-3"/>
          <w:szCs w:val="24"/>
        </w:rPr>
      </w:pPr>
    </w:p>
    <w:p w14:paraId="4FA73257" w14:textId="77777777" w:rsidR="005469C3" w:rsidRPr="000F4A8C" w:rsidRDefault="005469C3" w:rsidP="006C6857">
      <w:pPr>
        <w:tabs>
          <w:tab w:val="left" w:pos="-720"/>
        </w:tabs>
        <w:suppressAutoHyphens/>
        <w:spacing w:line="276" w:lineRule="auto"/>
        <w:jc w:val="both"/>
        <w:rPr>
          <w:rFonts w:ascii="Times New Roman" w:hAnsi="Times New Roman" w:cs="Times New Roman"/>
          <w:spacing w:val="-3"/>
          <w:szCs w:val="24"/>
        </w:rPr>
      </w:pPr>
    </w:p>
    <w:p w14:paraId="5C4319F5" w14:textId="2B3ED3C6" w:rsidR="005469C3" w:rsidRPr="000F4A8C" w:rsidRDefault="005469C3" w:rsidP="006C6857">
      <w:pPr>
        <w:tabs>
          <w:tab w:val="left" w:pos="-720"/>
          <w:tab w:val="left" w:pos="0"/>
        </w:tabs>
        <w:suppressAutoHyphens/>
        <w:spacing w:line="276" w:lineRule="auto"/>
        <w:ind w:left="720" w:hanging="720"/>
        <w:rPr>
          <w:rFonts w:ascii="Times New Roman" w:hAnsi="Times New Roman" w:cs="Times New Roman"/>
          <w:spacing w:val="-3"/>
          <w:szCs w:val="24"/>
        </w:rPr>
      </w:pPr>
      <w:r w:rsidRPr="000F4A8C">
        <w:rPr>
          <w:rFonts w:ascii="Times New Roman" w:hAnsi="Times New Roman" w:cs="Times New Roman"/>
          <w:spacing w:val="-3"/>
          <w:szCs w:val="24"/>
        </w:rPr>
        <w:t xml:space="preserve">The Hon </w:t>
      </w:r>
      <w:r w:rsidR="00CB3D41">
        <w:rPr>
          <w:rFonts w:ascii="Times New Roman" w:hAnsi="Times New Roman" w:cs="Times New Roman"/>
          <w:spacing w:val="-3"/>
          <w:szCs w:val="24"/>
        </w:rPr>
        <w:t xml:space="preserve">Michael </w:t>
      </w:r>
      <w:r w:rsidR="004265AF">
        <w:rPr>
          <w:rFonts w:ascii="Times New Roman" w:hAnsi="Times New Roman" w:cs="Times New Roman"/>
          <w:spacing w:val="-3"/>
          <w:szCs w:val="24"/>
        </w:rPr>
        <w:t>F</w:t>
      </w:r>
      <w:r w:rsidR="00CB3D41">
        <w:rPr>
          <w:rFonts w:ascii="Times New Roman" w:hAnsi="Times New Roman" w:cs="Times New Roman"/>
          <w:spacing w:val="-3"/>
          <w:szCs w:val="24"/>
        </w:rPr>
        <w:t xml:space="preserve"> Adams</w:t>
      </w:r>
      <w:r w:rsidRPr="000F4A8C">
        <w:rPr>
          <w:rFonts w:ascii="Times New Roman" w:hAnsi="Times New Roman" w:cs="Times New Roman"/>
          <w:spacing w:val="-3"/>
          <w:szCs w:val="24"/>
        </w:rPr>
        <w:t xml:space="preserve"> QC</w:t>
      </w:r>
    </w:p>
    <w:p w14:paraId="1547AA7E" w14:textId="5CDA150D" w:rsidR="005469C3" w:rsidRPr="000F4A8C" w:rsidRDefault="00CB3D41" w:rsidP="006C6857">
      <w:pPr>
        <w:tabs>
          <w:tab w:val="left" w:pos="4320"/>
        </w:tabs>
        <w:spacing w:line="276" w:lineRule="auto"/>
        <w:rPr>
          <w:rFonts w:ascii="Times New Roman" w:hAnsi="Times New Roman" w:cs="Times New Roman"/>
        </w:rPr>
      </w:pPr>
      <w:r>
        <w:rPr>
          <w:rFonts w:ascii="Times New Roman" w:hAnsi="Times New Roman" w:cs="Times New Roman"/>
        </w:rPr>
        <w:t xml:space="preserve">Acting </w:t>
      </w:r>
      <w:r w:rsidR="005469C3" w:rsidRPr="000F4A8C">
        <w:rPr>
          <w:rFonts w:ascii="Times New Roman" w:hAnsi="Times New Roman" w:cs="Times New Roman"/>
        </w:rPr>
        <w:t>Commissioner</w:t>
      </w:r>
      <w:r w:rsidR="00142319">
        <w:rPr>
          <w:rFonts w:ascii="Times New Roman" w:hAnsi="Times New Roman" w:cs="Times New Roman"/>
        </w:rPr>
        <w:br/>
        <w:t>ACT Integrity Commission</w:t>
      </w:r>
    </w:p>
    <w:p w14:paraId="7964591F" w14:textId="7EBFB6FA" w:rsidR="005469C3" w:rsidRPr="000F4A8C" w:rsidRDefault="00FD62AC" w:rsidP="006C685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18</w:t>
      </w:r>
      <w:r w:rsidR="005469C3">
        <w:rPr>
          <w:rFonts w:ascii="Times New Roman" w:hAnsi="Times New Roman" w:cs="Times New Roman"/>
          <w:b/>
          <w:bCs/>
          <w:sz w:val="24"/>
          <w:szCs w:val="24"/>
        </w:rPr>
        <w:t xml:space="preserve"> </w:t>
      </w:r>
      <w:r w:rsidR="00142319">
        <w:rPr>
          <w:rFonts w:ascii="Times New Roman" w:hAnsi="Times New Roman" w:cs="Times New Roman"/>
          <w:b/>
          <w:bCs/>
          <w:sz w:val="24"/>
          <w:szCs w:val="24"/>
        </w:rPr>
        <w:t xml:space="preserve">February </w:t>
      </w:r>
      <w:r w:rsidR="00CB3D41">
        <w:rPr>
          <w:rFonts w:ascii="Times New Roman" w:hAnsi="Times New Roman" w:cs="Times New Roman"/>
          <w:b/>
          <w:bCs/>
          <w:sz w:val="24"/>
          <w:szCs w:val="24"/>
        </w:rPr>
        <w:t>2021</w:t>
      </w:r>
    </w:p>
    <w:p w14:paraId="19BBE0B1" w14:textId="77777777" w:rsidR="005469C3" w:rsidRDefault="005469C3" w:rsidP="006C6857">
      <w:pPr>
        <w:spacing w:line="276" w:lineRule="auto"/>
        <w:rPr>
          <w:rFonts w:ascii="Arial" w:hAnsi="Arial" w:cs="Arial"/>
          <w:b/>
          <w:bCs/>
          <w:sz w:val="24"/>
          <w:szCs w:val="24"/>
        </w:rPr>
      </w:pPr>
      <w:r>
        <w:rPr>
          <w:rFonts w:ascii="Arial" w:hAnsi="Arial" w:cs="Arial"/>
          <w:b/>
          <w:bCs/>
          <w:sz w:val="24"/>
          <w:szCs w:val="24"/>
        </w:rPr>
        <w:br w:type="page"/>
      </w:r>
    </w:p>
    <w:p w14:paraId="57A7A577" w14:textId="77777777" w:rsidR="005469C3" w:rsidRPr="003D3C0C" w:rsidRDefault="005469C3" w:rsidP="006C6857">
      <w:pPr>
        <w:pStyle w:val="Title"/>
        <w:spacing w:line="276" w:lineRule="auto"/>
        <w:rPr>
          <w:rFonts w:asciiTheme="minorHAnsi" w:eastAsia="Times New Roman" w:hAnsiTheme="minorHAnsi" w:cstheme="minorHAnsi"/>
          <w:b/>
          <w:bCs/>
          <w:spacing w:val="10"/>
          <w:sz w:val="28"/>
          <w:szCs w:val="28"/>
        </w:rPr>
      </w:pPr>
      <w:r w:rsidRPr="003D3C0C">
        <w:rPr>
          <w:rFonts w:asciiTheme="minorHAnsi" w:eastAsia="Times New Roman" w:hAnsiTheme="minorHAnsi" w:cstheme="minorHAnsi"/>
          <w:b/>
          <w:bCs/>
          <w:spacing w:val="10"/>
          <w:sz w:val="28"/>
          <w:szCs w:val="28"/>
        </w:rPr>
        <w:lastRenderedPageBreak/>
        <w:t>Schedule 1</w:t>
      </w:r>
    </w:p>
    <w:p w14:paraId="5583A4CA" w14:textId="77777777" w:rsidR="005469C3" w:rsidRDefault="005469C3" w:rsidP="006C6857">
      <w:pPr>
        <w:spacing w:line="276" w:lineRule="auto"/>
        <w:rPr>
          <w:lang w:eastAsia="en-AU"/>
        </w:rPr>
      </w:pPr>
    </w:p>
    <w:p w14:paraId="3655BC10" w14:textId="77777777" w:rsidR="005469C3" w:rsidRDefault="005469C3" w:rsidP="006C6857">
      <w:pPr>
        <w:spacing w:line="276" w:lineRule="auto"/>
        <w:rPr>
          <w:lang w:eastAsia="en-AU"/>
        </w:rPr>
      </w:pPr>
    </w:p>
    <w:p w14:paraId="121C941F" w14:textId="77777777" w:rsidR="005469C3" w:rsidRDefault="005469C3" w:rsidP="006C6857">
      <w:pPr>
        <w:spacing w:line="276" w:lineRule="auto"/>
        <w:rPr>
          <w:lang w:eastAsia="en-AU"/>
        </w:rPr>
      </w:pPr>
    </w:p>
    <w:p w14:paraId="6D6B28B9" w14:textId="77777777" w:rsidR="005469C3" w:rsidRPr="003D3C0C" w:rsidRDefault="005469C3" w:rsidP="006C6857">
      <w:pPr>
        <w:spacing w:line="276" w:lineRule="auto"/>
        <w:rPr>
          <w:lang w:eastAsia="en-AU"/>
        </w:rPr>
      </w:pPr>
    </w:p>
    <w:p w14:paraId="43063BA4" w14:textId="4E5E5B07" w:rsidR="005469C3" w:rsidRDefault="005469C3" w:rsidP="00CB3D41">
      <w:pPr>
        <w:pStyle w:val="Title"/>
        <w:spacing w:line="276" w:lineRule="auto"/>
        <w:jc w:val="center"/>
        <w:rPr>
          <w:rFonts w:eastAsia="Times New Roman"/>
        </w:rPr>
      </w:pPr>
      <w:r>
        <w:rPr>
          <w:rFonts w:eastAsia="Times New Roman"/>
        </w:rPr>
        <w:t>Integrity Commission (Examination Conduct) Guidelines 202</w:t>
      </w:r>
      <w:r w:rsidR="00142319">
        <w:rPr>
          <w:rFonts w:eastAsia="Times New Roman"/>
        </w:rPr>
        <w:t>1</w:t>
      </w:r>
    </w:p>
    <w:p w14:paraId="612AD4EC" w14:textId="77777777" w:rsidR="005469C3" w:rsidRDefault="005469C3" w:rsidP="006C6857">
      <w:pPr>
        <w:spacing w:line="276" w:lineRule="auto"/>
        <w:rPr>
          <w:rFonts w:ascii="Arial" w:hAnsi="Arial" w:cs="Arial"/>
          <w:b/>
          <w:bCs/>
          <w:sz w:val="24"/>
          <w:szCs w:val="24"/>
        </w:rPr>
      </w:pPr>
    </w:p>
    <w:p w14:paraId="7D23E8B1" w14:textId="77777777" w:rsidR="00CB3D41" w:rsidRDefault="00CB3D41" w:rsidP="00CB3D41">
      <w:pPr>
        <w:spacing w:line="276" w:lineRule="auto"/>
        <w:jc w:val="center"/>
        <w:rPr>
          <w:rFonts w:cstheme="minorHAnsi"/>
          <w:sz w:val="32"/>
          <w:szCs w:val="32"/>
        </w:rPr>
      </w:pPr>
    </w:p>
    <w:p w14:paraId="30D08882" w14:textId="6573B744" w:rsidR="00CB3D41" w:rsidRDefault="00CB3D41" w:rsidP="00CB3D41">
      <w:pPr>
        <w:spacing w:line="276" w:lineRule="auto"/>
        <w:jc w:val="center"/>
        <w:rPr>
          <w:rFonts w:cstheme="minorHAnsi"/>
          <w:sz w:val="32"/>
          <w:szCs w:val="32"/>
        </w:rPr>
      </w:pPr>
    </w:p>
    <w:p w14:paraId="234AAA69" w14:textId="7C4489D8" w:rsidR="00CB3D41" w:rsidRDefault="00CB3D41" w:rsidP="00CB3D41">
      <w:pPr>
        <w:spacing w:line="276" w:lineRule="auto"/>
        <w:jc w:val="center"/>
        <w:rPr>
          <w:rFonts w:cstheme="minorHAnsi"/>
          <w:sz w:val="32"/>
          <w:szCs w:val="32"/>
        </w:rPr>
      </w:pPr>
    </w:p>
    <w:p w14:paraId="02DCA35C" w14:textId="77777777" w:rsidR="00CB3D41" w:rsidRDefault="00CB3D41" w:rsidP="00CB3D41">
      <w:pPr>
        <w:spacing w:line="276" w:lineRule="auto"/>
        <w:jc w:val="center"/>
        <w:rPr>
          <w:rFonts w:cstheme="minorHAnsi"/>
          <w:sz w:val="32"/>
          <w:szCs w:val="32"/>
        </w:rPr>
      </w:pPr>
    </w:p>
    <w:p w14:paraId="4337537A" w14:textId="14D70592" w:rsidR="005469C3" w:rsidRPr="00CB3D41" w:rsidRDefault="00142319" w:rsidP="00CB3D41">
      <w:pPr>
        <w:spacing w:line="276" w:lineRule="auto"/>
        <w:jc w:val="center"/>
        <w:rPr>
          <w:rFonts w:cstheme="minorHAnsi"/>
          <w:sz w:val="32"/>
          <w:szCs w:val="32"/>
        </w:rPr>
      </w:pPr>
      <w:r>
        <w:rPr>
          <w:rFonts w:cstheme="minorHAnsi"/>
          <w:sz w:val="32"/>
          <w:szCs w:val="32"/>
        </w:rPr>
        <w:t>February</w:t>
      </w:r>
      <w:r w:rsidRPr="00CB3D41">
        <w:rPr>
          <w:rFonts w:cstheme="minorHAnsi"/>
          <w:sz w:val="32"/>
          <w:szCs w:val="32"/>
        </w:rPr>
        <w:t xml:space="preserve"> </w:t>
      </w:r>
      <w:r w:rsidR="00CB3D41" w:rsidRPr="00CB3D41">
        <w:rPr>
          <w:rFonts w:cstheme="minorHAnsi"/>
          <w:sz w:val="32"/>
          <w:szCs w:val="32"/>
        </w:rPr>
        <w:t>2021</w:t>
      </w:r>
      <w:r w:rsidR="005469C3" w:rsidRPr="00CB3D41">
        <w:rPr>
          <w:rFonts w:cstheme="minorHAnsi"/>
          <w:sz w:val="32"/>
          <w:szCs w:val="32"/>
        </w:rPr>
        <w:br w:type="page"/>
      </w:r>
    </w:p>
    <w:p w14:paraId="3C8A3ED2" w14:textId="77777777" w:rsidR="005469C3" w:rsidRDefault="005469C3" w:rsidP="006C6857">
      <w:pPr>
        <w:spacing w:line="276" w:lineRule="auto"/>
        <w:jc w:val="center"/>
        <w:rPr>
          <w:rFonts w:cstheme="minorHAnsi"/>
          <w:sz w:val="24"/>
          <w:szCs w:val="24"/>
        </w:rPr>
      </w:pPr>
    </w:p>
    <w:p w14:paraId="1E98CD6A" w14:textId="77777777" w:rsidR="005469C3" w:rsidRDefault="005469C3" w:rsidP="006C6857">
      <w:pPr>
        <w:spacing w:line="276" w:lineRule="auto"/>
        <w:jc w:val="center"/>
        <w:rPr>
          <w:rFonts w:cstheme="minorHAnsi"/>
          <w:sz w:val="24"/>
          <w:szCs w:val="24"/>
        </w:rPr>
      </w:pPr>
    </w:p>
    <w:p w14:paraId="670D2E27" w14:textId="77777777" w:rsidR="005469C3" w:rsidRPr="00126D35" w:rsidRDefault="005469C3" w:rsidP="006C6857">
      <w:pPr>
        <w:spacing w:line="276" w:lineRule="auto"/>
        <w:jc w:val="center"/>
        <w:rPr>
          <w:rFonts w:cstheme="minorHAnsi"/>
          <w:sz w:val="24"/>
          <w:szCs w:val="24"/>
        </w:rPr>
      </w:pPr>
    </w:p>
    <w:sdt>
      <w:sdtPr>
        <w:rPr>
          <w:rFonts w:asciiTheme="minorHAnsi" w:eastAsiaTheme="minorHAnsi" w:hAnsiTheme="minorHAnsi" w:cstheme="minorBidi"/>
          <w:color w:val="auto"/>
          <w:sz w:val="22"/>
          <w:szCs w:val="22"/>
          <w:lang w:val="en-AU"/>
        </w:rPr>
        <w:id w:val="-750351195"/>
        <w:docPartObj>
          <w:docPartGallery w:val="Table of Contents"/>
          <w:docPartUnique/>
        </w:docPartObj>
      </w:sdtPr>
      <w:sdtEndPr>
        <w:rPr>
          <w:b/>
          <w:bCs/>
          <w:noProof/>
        </w:rPr>
      </w:sdtEndPr>
      <w:sdtContent>
        <w:p w14:paraId="7834892B" w14:textId="1D5A350C" w:rsidR="00A5027C" w:rsidRDefault="00A5027C">
          <w:pPr>
            <w:pStyle w:val="TOCHeading"/>
          </w:pPr>
          <w:r>
            <w:t>Contents</w:t>
          </w:r>
        </w:p>
        <w:p w14:paraId="54811632" w14:textId="461AE9EA" w:rsidR="00C273B9" w:rsidRDefault="00A5027C">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64037624" w:history="1">
            <w:r w:rsidR="00C273B9" w:rsidRPr="00CB2651">
              <w:rPr>
                <w:rStyle w:val="Hyperlink"/>
                <w:noProof/>
              </w:rPr>
              <w:t>1.</w:t>
            </w:r>
            <w:r w:rsidR="00C273B9">
              <w:rPr>
                <w:rFonts w:asciiTheme="minorHAnsi" w:eastAsiaTheme="minorEastAsia" w:hAnsiTheme="minorHAnsi" w:cstheme="minorBidi"/>
                <w:noProof/>
              </w:rPr>
              <w:tab/>
            </w:r>
            <w:r w:rsidR="00C273B9" w:rsidRPr="00CB2651">
              <w:rPr>
                <w:rStyle w:val="Hyperlink"/>
                <w:noProof/>
              </w:rPr>
              <w:t>Introduction</w:t>
            </w:r>
            <w:r w:rsidR="00C273B9">
              <w:rPr>
                <w:noProof/>
                <w:webHidden/>
              </w:rPr>
              <w:tab/>
            </w:r>
            <w:r w:rsidR="00C273B9">
              <w:rPr>
                <w:noProof/>
                <w:webHidden/>
              </w:rPr>
              <w:fldChar w:fldCharType="begin"/>
            </w:r>
            <w:r w:rsidR="00C273B9">
              <w:rPr>
                <w:noProof/>
                <w:webHidden/>
              </w:rPr>
              <w:instrText xml:space="preserve"> PAGEREF _Toc64037624 \h </w:instrText>
            </w:r>
            <w:r w:rsidR="00C273B9">
              <w:rPr>
                <w:noProof/>
                <w:webHidden/>
              </w:rPr>
            </w:r>
            <w:r w:rsidR="00C273B9">
              <w:rPr>
                <w:noProof/>
                <w:webHidden/>
              </w:rPr>
              <w:fldChar w:fldCharType="separate"/>
            </w:r>
            <w:r w:rsidR="00645C2B">
              <w:rPr>
                <w:noProof/>
                <w:webHidden/>
              </w:rPr>
              <w:t>4</w:t>
            </w:r>
            <w:r w:rsidR="00C273B9">
              <w:rPr>
                <w:noProof/>
                <w:webHidden/>
              </w:rPr>
              <w:fldChar w:fldCharType="end"/>
            </w:r>
          </w:hyperlink>
        </w:p>
        <w:p w14:paraId="773D5D7E" w14:textId="11198BD8" w:rsidR="00C273B9" w:rsidRDefault="00730688">
          <w:pPr>
            <w:pStyle w:val="TOC1"/>
            <w:rPr>
              <w:rFonts w:asciiTheme="minorHAnsi" w:eastAsiaTheme="minorEastAsia" w:hAnsiTheme="minorHAnsi" w:cstheme="minorBidi"/>
              <w:noProof/>
            </w:rPr>
          </w:pPr>
          <w:hyperlink w:anchor="_Toc64037625" w:history="1">
            <w:r w:rsidR="00C273B9" w:rsidRPr="00CB2651">
              <w:rPr>
                <w:rStyle w:val="Hyperlink"/>
                <w:noProof/>
              </w:rPr>
              <w:t>2.</w:t>
            </w:r>
            <w:r w:rsidR="00C273B9">
              <w:rPr>
                <w:rFonts w:asciiTheme="minorHAnsi" w:eastAsiaTheme="minorEastAsia" w:hAnsiTheme="minorHAnsi" w:cstheme="minorBidi"/>
                <w:noProof/>
              </w:rPr>
              <w:tab/>
            </w:r>
            <w:r w:rsidR="00C273B9" w:rsidRPr="00CB2651">
              <w:rPr>
                <w:rStyle w:val="Hyperlink"/>
                <w:noProof/>
              </w:rPr>
              <w:t>Natural justice and procedural fairness</w:t>
            </w:r>
            <w:r w:rsidR="00C273B9">
              <w:rPr>
                <w:noProof/>
                <w:webHidden/>
              </w:rPr>
              <w:tab/>
            </w:r>
            <w:r w:rsidR="00C273B9">
              <w:rPr>
                <w:noProof/>
                <w:webHidden/>
              </w:rPr>
              <w:fldChar w:fldCharType="begin"/>
            </w:r>
            <w:r w:rsidR="00C273B9">
              <w:rPr>
                <w:noProof/>
                <w:webHidden/>
              </w:rPr>
              <w:instrText xml:space="preserve"> PAGEREF _Toc64037625 \h </w:instrText>
            </w:r>
            <w:r w:rsidR="00C273B9">
              <w:rPr>
                <w:noProof/>
                <w:webHidden/>
              </w:rPr>
            </w:r>
            <w:r w:rsidR="00C273B9">
              <w:rPr>
                <w:noProof/>
                <w:webHidden/>
              </w:rPr>
              <w:fldChar w:fldCharType="separate"/>
            </w:r>
            <w:r w:rsidR="00645C2B">
              <w:rPr>
                <w:noProof/>
                <w:webHidden/>
              </w:rPr>
              <w:t>7</w:t>
            </w:r>
            <w:r w:rsidR="00C273B9">
              <w:rPr>
                <w:noProof/>
                <w:webHidden/>
              </w:rPr>
              <w:fldChar w:fldCharType="end"/>
            </w:r>
          </w:hyperlink>
        </w:p>
        <w:p w14:paraId="0838A91B" w14:textId="283C4BAA" w:rsidR="00C273B9" w:rsidRDefault="00730688">
          <w:pPr>
            <w:pStyle w:val="TOC1"/>
            <w:rPr>
              <w:rFonts w:asciiTheme="minorHAnsi" w:eastAsiaTheme="minorEastAsia" w:hAnsiTheme="minorHAnsi" w:cstheme="minorBidi"/>
              <w:noProof/>
            </w:rPr>
          </w:pPr>
          <w:hyperlink w:anchor="_Toc64037626" w:history="1">
            <w:r w:rsidR="00C273B9" w:rsidRPr="00CB2651">
              <w:rPr>
                <w:rStyle w:val="Hyperlink"/>
                <w:noProof/>
              </w:rPr>
              <w:t>3.</w:t>
            </w:r>
            <w:r w:rsidR="00C273B9">
              <w:rPr>
                <w:rFonts w:asciiTheme="minorHAnsi" w:eastAsiaTheme="minorEastAsia" w:hAnsiTheme="minorHAnsi" w:cstheme="minorBidi"/>
                <w:noProof/>
              </w:rPr>
              <w:tab/>
            </w:r>
            <w:r w:rsidR="00C273B9" w:rsidRPr="00CB2651">
              <w:rPr>
                <w:rStyle w:val="Hyperlink"/>
                <w:noProof/>
              </w:rPr>
              <w:t>Service and Notice</w:t>
            </w:r>
            <w:r w:rsidR="00C273B9">
              <w:rPr>
                <w:noProof/>
                <w:webHidden/>
              </w:rPr>
              <w:tab/>
            </w:r>
            <w:r w:rsidR="00C273B9">
              <w:rPr>
                <w:noProof/>
                <w:webHidden/>
              </w:rPr>
              <w:fldChar w:fldCharType="begin"/>
            </w:r>
            <w:r w:rsidR="00C273B9">
              <w:rPr>
                <w:noProof/>
                <w:webHidden/>
              </w:rPr>
              <w:instrText xml:space="preserve"> PAGEREF _Toc64037626 \h </w:instrText>
            </w:r>
            <w:r w:rsidR="00C273B9">
              <w:rPr>
                <w:noProof/>
                <w:webHidden/>
              </w:rPr>
            </w:r>
            <w:r w:rsidR="00C273B9">
              <w:rPr>
                <w:noProof/>
                <w:webHidden/>
              </w:rPr>
              <w:fldChar w:fldCharType="separate"/>
            </w:r>
            <w:r w:rsidR="00645C2B">
              <w:rPr>
                <w:noProof/>
                <w:webHidden/>
              </w:rPr>
              <w:t>9</w:t>
            </w:r>
            <w:r w:rsidR="00C273B9">
              <w:rPr>
                <w:noProof/>
                <w:webHidden/>
              </w:rPr>
              <w:fldChar w:fldCharType="end"/>
            </w:r>
          </w:hyperlink>
        </w:p>
        <w:p w14:paraId="00BC2DE1" w14:textId="384E66CC" w:rsidR="00C273B9" w:rsidRDefault="00730688">
          <w:pPr>
            <w:pStyle w:val="TOC1"/>
            <w:rPr>
              <w:rFonts w:asciiTheme="minorHAnsi" w:eastAsiaTheme="minorEastAsia" w:hAnsiTheme="minorHAnsi" w:cstheme="minorBidi"/>
              <w:noProof/>
            </w:rPr>
          </w:pPr>
          <w:hyperlink w:anchor="_Toc64037627" w:history="1">
            <w:r w:rsidR="00C273B9" w:rsidRPr="00CB2651">
              <w:rPr>
                <w:rStyle w:val="Hyperlink"/>
                <w:noProof/>
              </w:rPr>
              <w:t>4.</w:t>
            </w:r>
            <w:r w:rsidR="00C273B9">
              <w:rPr>
                <w:rFonts w:asciiTheme="minorHAnsi" w:eastAsiaTheme="minorEastAsia" w:hAnsiTheme="minorHAnsi" w:cstheme="minorBidi"/>
                <w:noProof/>
              </w:rPr>
              <w:tab/>
            </w:r>
            <w:r w:rsidR="00C273B9" w:rsidRPr="00CB2651">
              <w:rPr>
                <w:rStyle w:val="Hyperlink"/>
                <w:noProof/>
              </w:rPr>
              <w:t>Representation and Authorisation</w:t>
            </w:r>
            <w:r w:rsidR="00C273B9">
              <w:rPr>
                <w:noProof/>
                <w:webHidden/>
              </w:rPr>
              <w:tab/>
            </w:r>
            <w:r w:rsidR="00C273B9">
              <w:rPr>
                <w:noProof/>
                <w:webHidden/>
              </w:rPr>
              <w:fldChar w:fldCharType="begin"/>
            </w:r>
            <w:r w:rsidR="00C273B9">
              <w:rPr>
                <w:noProof/>
                <w:webHidden/>
              </w:rPr>
              <w:instrText xml:space="preserve"> PAGEREF _Toc64037627 \h </w:instrText>
            </w:r>
            <w:r w:rsidR="00C273B9">
              <w:rPr>
                <w:noProof/>
                <w:webHidden/>
              </w:rPr>
            </w:r>
            <w:r w:rsidR="00C273B9">
              <w:rPr>
                <w:noProof/>
                <w:webHidden/>
              </w:rPr>
              <w:fldChar w:fldCharType="separate"/>
            </w:r>
            <w:r w:rsidR="00645C2B">
              <w:rPr>
                <w:noProof/>
                <w:webHidden/>
              </w:rPr>
              <w:t>11</w:t>
            </w:r>
            <w:r w:rsidR="00C273B9">
              <w:rPr>
                <w:noProof/>
                <w:webHidden/>
              </w:rPr>
              <w:fldChar w:fldCharType="end"/>
            </w:r>
          </w:hyperlink>
        </w:p>
        <w:p w14:paraId="4E38C5A3" w14:textId="1C679472" w:rsidR="00C273B9" w:rsidRDefault="00730688">
          <w:pPr>
            <w:pStyle w:val="TOC1"/>
            <w:rPr>
              <w:rFonts w:asciiTheme="minorHAnsi" w:eastAsiaTheme="minorEastAsia" w:hAnsiTheme="minorHAnsi" w:cstheme="minorBidi"/>
              <w:noProof/>
            </w:rPr>
          </w:pPr>
          <w:hyperlink w:anchor="_Toc64037628" w:history="1">
            <w:r w:rsidR="00C273B9" w:rsidRPr="00CB2651">
              <w:rPr>
                <w:rStyle w:val="Hyperlink"/>
                <w:noProof/>
              </w:rPr>
              <w:t>5.</w:t>
            </w:r>
            <w:r w:rsidR="00C273B9">
              <w:rPr>
                <w:rFonts w:asciiTheme="minorHAnsi" w:eastAsiaTheme="minorEastAsia" w:hAnsiTheme="minorHAnsi" w:cstheme="minorBidi"/>
                <w:noProof/>
              </w:rPr>
              <w:tab/>
            </w:r>
            <w:r w:rsidR="00C273B9" w:rsidRPr="00CB2651">
              <w:rPr>
                <w:rStyle w:val="Hyperlink"/>
                <w:noProof/>
              </w:rPr>
              <w:t>Witnesses and Evidence</w:t>
            </w:r>
            <w:r w:rsidR="00C273B9">
              <w:rPr>
                <w:noProof/>
                <w:webHidden/>
              </w:rPr>
              <w:tab/>
            </w:r>
            <w:r w:rsidR="00C273B9">
              <w:rPr>
                <w:noProof/>
                <w:webHidden/>
              </w:rPr>
              <w:fldChar w:fldCharType="begin"/>
            </w:r>
            <w:r w:rsidR="00C273B9">
              <w:rPr>
                <w:noProof/>
                <w:webHidden/>
              </w:rPr>
              <w:instrText xml:space="preserve"> PAGEREF _Toc64037628 \h </w:instrText>
            </w:r>
            <w:r w:rsidR="00C273B9">
              <w:rPr>
                <w:noProof/>
                <w:webHidden/>
              </w:rPr>
            </w:r>
            <w:r w:rsidR="00C273B9">
              <w:rPr>
                <w:noProof/>
                <w:webHidden/>
              </w:rPr>
              <w:fldChar w:fldCharType="separate"/>
            </w:r>
            <w:r w:rsidR="00645C2B">
              <w:rPr>
                <w:noProof/>
                <w:webHidden/>
              </w:rPr>
              <w:t>13</w:t>
            </w:r>
            <w:r w:rsidR="00C273B9">
              <w:rPr>
                <w:noProof/>
                <w:webHidden/>
              </w:rPr>
              <w:fldChar w:fldCharType="end"/>
            </w:r>
          </w:hyperlink>
        </w:p>
        <w:p w14:paraId="7302E132" w14:textId="11A3FFE0" w:rsidR="00C273B9" w:rsidRDefault="00730688">
          <w:pPr>
            <w:pStyle w:val="TOC1"/>
            <w:rPr>
              <w:rFonts w:asciiTheme="minorHAnsi" w:eastAsiaTheme="minorEastAsia" w:hAnsiTheme="minorHAnsi" w:cstheme="minorBidi"/>
              <w:noProof/>
            </w:rPr>
          </w:pPr>
          <w:hyperlink w:anchor="_Toc64037629" w:history="1">
            <w:r w:rsidR="00C273B9" w:rsidRPr="00CB2651">
              <w:rPr>
                <w:rStyle w:val="Hyperlink"/>
                <w:noProof/>
              </w:rPr>
              <w:t>6.</w:t>
            </w:r>
            <w:r w:rsidR="00C273B9">
              <w:rPr>
                <w:rFonts w:asciiTheme="minorHAnsi" w:eastAsiaTheme="minorEastAsia" w:hAnsiTheme="minorHAnsi" w:cstheme="minorBidi"/>
                <w:noProof/>
              </w:rPr>
              <w:tab/>
            </w:r>
            <w:r w:rsidR="00C273B9" w:rsidRPr="00CB2651">
              <w:rPr>
                <w:rStyle w:val="Hyperlink"/>
                <w:noProof/>
              </w:rPr>
              <w:t>Provision of a video recording and/or transcript</w:t>
            </w:r>
            <w:r w:rsidR="00C273B9">
              <w:rPr>
                <w:noProof/>
                <w:webHidden/>
              </w:rPr>
              <w:tab/>
            </w:r>
            <w:r w:rsidR="00C273B9">
              <w:rPr>
                <w:noProof/>
                <w:webHidden/>
              </w:rPr>
              <w:fldChar w:fldCharType="begin"/>
            </w:r>
            <w:r w:rsidR="00C273B9">
              <w:rPr>
                <w:noProof/>
                <w:webHidden/>
              </w:rPr>
              <w:instrText xml:space="preserve"> PAGEREF _Toc64037629 \h </w:instrText>
            </w:r>
            <w:r w:rsidR="00C273B9">
              <w:rPr>
                <w:noProof/>
                <w:webHidden/>
              </w:rPr>
            </w:r>
            <w:r w:rsidR="00C273B9">
              <w:rPr>
                <w:noProof/>
                <w:webHidden/>
              </w:rPr>
              <w:fldChar w:fldCharType="separate"/>
            </w:r>
            <w:r w:rsidR="00645C2B">
              <w:rPr>
                <w:noProof/>
                <w:webHidden/>
              </w:rPr>
              <w:t>18</w:t>
            </w:r>
            <w:r w:rsidR="00C273B9">
              <w:rPr>
                <w:noProof/>
                <w:webHidden/>
              </w:rPr>
              <w:fldChar w:fldCharType="end"/>
            </w:r>
          </w:hyperlink>
        </w:p>
        <w:p w14:paraId="50861E72" w14:textId="07BE4080" w:rsidR="00C273B9" w:rsidRDefault="00730688">
          <w:pPr>
            <w:pStyle w:val="TOC1"/>
            <w:rPr>
              <w:rFonts w:asciiTheme="minorHAnsi" w:eastAsiaTheme="minorEastAsia" w:hAnsiTheme="minorHAnsi" w:cstheme="minorBidi"/>
              <w:noProof/>
            </w:rPr>
          </w:pPr>
          <w:hyperlink w:anchor="_Toc64037630" w:history="1">
            <w:r w:rsidR="00C273B9" w:rsidRPr="00CB2651">
              <w:rPr>
                <w:rStyle w:val="Hyperlink"/>
                <w:noProof/>
                <w:w w:val="105"/>
              </w:rPr>
              <w:t>7.</w:t>
            </w:r>
            <w:r w:rsidR="00C273B9">
              <w:rPr>
                <w:rFonts w:asciiTheme="minorHAnsi" w:eastAsiaTheme="minorEastAsia" w:hAnsiTheme="minorHAnsi" w:cstheme="minorBidi"/>
                <w:noProof/>
              </w:rPr>
              <w:tab/>
            </w:r>
            <w:r w:rsidR="00C273B9" w:rsidRPr="00CB2651">
              <w:rPr>
                <w:rStyle w:val="Hyperlink"/>
                <w:noProof/>
                <w:w w:val="105"/>
              </w:rPr>
              <w:t>Claims of Privilege</w:t>
            </w:r>
            <w:r w:rsidR="00C273B9">
              <w:rPr>
                <w:noProof/>
                <w:webHidden/>
              </w:rPr>
              <w:tab/>
            </w:r>
            <w:r w:rsidR="00C273B9">
              <w:rPr>
                <w:noProof/>
                <w:webHidden/>
              </w:rPr>
              <w:fldChar w:fldCharType="begin"/>
            </w:r>
            <w:r w:rsidR="00C273B9">
              <w:rPr>
                <w:noProof/>
                <w:webHidden/>
              </w:rPr>
              <w:instrText xml:space="preserve"> PAGEREF _Toc64037630 \h </w:instrText>
            </w:r>
            <w:r w:rsidR="00C273B9">
              <w:rPr>
                <w:noProof/>
                <w:webHidden/>
              </w:rPr>
            </w:r>
            <w:r w:rsidR="00C273B9">
              <w:rPr>
                <w:noProof/>
                <w:webHidden/>
              </w:rPr>
              <w:fldChar w:fldCharType="separate"/>
            </w:r>
            <w:r w:rsidR="00645C2B">
              <w:rPr>
                <w:noProof/>
                <w:webHidden/>
              </w:rPr>
              <w:t>19</w:t>
            </w:r>
            <w:r w:rsidR="00C273B9">
              <w:rPr>
                <w:noProof/>
                <w:webHidden/>
              </w:rPr>
              <w:fldChar w:fldCharType="end"/>
            </w:r>
          </w:hyperlink>
        </w:p>
        <w:p w14:paraId="444AC8D1" w14:textId="7A06EE6A" w:rsidR="00C273B9" w:rsidRDefault="00730688">
          <w:pPr>
            <w:pStyle w:val="TOC1"/>
            <w:rPr>
              <w:rFonts w:asciiTheme="minorHAnsi" w:eastAsiaTheme="minorEastAsia" w:hAnsiTheme="minorHAnsi" w:cstheme="minorBidi"/>
              <w:noProof/>
            </w:rPr>
          </w:pPr>
          <w:hyperlink w:anchor="_Toc64037631" w:history="1">
            <w:r w:rsidR="00C273B9" w:rsidRPr="00CB2651">
              <w:rPr>
                <w:rStyle w:val="Hyperlink"/>
                <w:noProof/>
              </w:rPr>
              <w:t xml:space="preserve">8. </w:t>
            </w:r>
            <w:r w:rsidR="00C273B9">
              <w:rPr>
                <w:rFonts w:asciiTheme="minorHAnsi" w:eastAsiaTheme="minorEastAsia" w:hAnsiTheme="minorHAnsi" w:cstheme="minorBidi"/>
                <w:noProof/>
              </w:rPr>
              <w:tab/>
            </w:r>
            <w:r w:rsidR="00C273B9" w:rsidRPr="00CB2651">
              <w:rPr>
                <w:rStyle w:val="Hyperlink"/>
                <w:noProof/>
              </w:rPr>
              <w:t>Suppression orders</w:t>
            </w:r>
            <w:r w:rsidR="00C273B9">
              <w:rPr>
                <w:noProof/>
                <w:webHidden/>
              </w:rPr>
              <w:tab/>
            </w:r>
            <w:r w:rsidR="00C273B9">
              <w:rPr>
                <w:noProof/>
                <w:webHidden/>
              </w:rPr>
              <w:fldChar w:fldCharType="begin"/>
            </w:r>
            <w:r w:rsidR="00C273B9">
              <w:rPr>
                <w:noProof/>
                <w:webHidden/>
              </w:rPr>
              <w:instrText xml:space="preserve"> PAGEREF _Toc64037631 \h </w:instrText>
            </w:r>
            <w:r w:rsidR="00C273B9">
              <w:rPr>
                <w:noProof/>
                <w:webHidden/>
              </w:rPr>
            </w:r>
            <w:r w:rsidR="00C273B9">
              <w:rPr>
                <w:noProof/>
                <w:webHidden/>
              </w:rPr>
              <w:fldChar w:fldCharType="separate"/>
            </w:r>
            <w:r w:rsidR="00645C2B">
              <w:rPr>
                <w:noProof/>
                <w:webHidden/>
              </w:rPr>
              <w:t>20</w:t>
            </w:r>
            <w:r w:rsidR="00C273B9">
              <w:rPr>
                <w:noProof/>
                <w:webHidden/>
              </w:rPr>
              <w:fldChar w:fldCharType="end"/>
            </w:r>
          </w:hyperlink>
        </w:p>
        <w:p w14:paraId="0406C5C2" w14:textId="39E6977E" w:rsidR="00C273B9" w:rsidRDefault="00730688">
          <w:pPr>
            <w:pStyle w:val="TOC1"/>
            <w:rPr>
              <w:rFonts w:asciiTheme="minorHAnsi" w:eastAsiaTheme="minorEastAsia" w:hAnsiTheme="minorHAnsi" w:cstheme="minorBidi"/>
              <w:noProof/>
            </w:rPr>
          </w:pPr>
          <w:hyperlink w:anchor="_Toc64037632" w:history="1">
            <w:r w:rsidR="00C273B9" w:rsidRPr="00CB2651">
              <w:rPr>
                <w:rStyle w:val="Hyperlink"/>
                <w:noProof/>
                <w:w w:val="105"/>
              </w:rPr>
              <w:t>9.</w:t>
            </w:r>
            <w:r w:rsidR="00C273B9">
              <w:rPr>
                <w:rFonts w:asciiTheme="minorHAnsi" w:eastAsiaTheme="minorEastAsia" w:hAnsiTheme="minorHAnsi" w:cstheme="minorBidi"/>
                <w:noProof/>
              </w:rPr>
              <w:tab/>
            </w:r>
            <w:r w:rsidR="00C273B9" w:rsidRPr="00CB2651">
              <w:rPr>
                <w:rStyle w:val="Hyperlink"/>
                <w:noProof/>
                <w:w w:val="105"/>
              </w:rPr>
              <w:t>Contempt</w:t>
            </w:r>
            <w:r w:rsidR="00C273B9">
              <w:rPr>
                <w:noProof/>
                <w:webHidden/>
              </w:rPr>
              <w:tab/>
            </w:r>
            <w:r w:rsidR="00C273B9">
              <w:rPr>
                <w:noProof/>
                <w:webHidden/>
              </w:rPr>
              <w:fldChar w:fldCharType="begin"/>
            </w:r>
            <w:r w:rsidR="00C273B9">
              <w:rPr>
                <w:noProof/>
                <w:webHidden/>
              </w:rPr>
              <w:instrText xml:space="preserve"> PAGEREF _Toc64037632 \h </w:instrText>
            </w:r>
            <w:r w:rsidR="00C273B9">
              <w:rPr>
                <w:noProof/>
                <w:webHidden/>
              </w:rPr>
            </w:r>
            <w:r w:rsidR="00C273B9">
              <w:rPr>
                <w:noProof/>
                <w:webHidden/>
              </w:rPr>
              <w:fldChar w:fldCharType="separate"/>
            </w:r>
            <w:r w:rsidR="00645C2B">
              <w:rPr>
                <w:noProof/>
                <w:webHidden/>
              </w:rPr>
              <w:t>23</w:t>
            </w:r>
            <w:r w:rsidR="00C273B9">
              <w:rPr>
                <w:noProof/>
                <w:webHidden/>
              </w:rPr>
              <w:fldChar w:fldCharType="end"/>
            </w:r>
          </w:hyperlink>
        </w:p>
        <w:p w14:paraId="12DD5010" w14:textId="07C6D8C8" w:rsidR="00C273B9" w:rsidRDefault="00730688">
          <w:pPr>
            <w:pStyle w:val="TOC1"/>
            <w:rPr>
              <w:rFonts w:asciiTheme="minorHAnsi" w:eastAsiaTheme="minorEastAsia" w:hAnsiTheme="minorHAnsi" w:cstheme="minorBidi"/>
              <w:noProof/>
            </w:rPr>
          </w:pPr>
          <w:hyperlink w:anchor="_Toc64037633" w:history="1">
            <w:r w:rsidR="00C273B9" w:rsidRPr="00CB2651">
              <w:rPr>
                <w:rStyle w:val="Hyperlink"/>
                <w:noProof/>
              </w:rPr>
              <w:t>10.</w:t>
            </w:r>
            <w:r w:rsidR="00C273B9">
              <w:rPr>
                <w:rFonts w:asciiTheme="minorHAnsi" w:eastAsiaTheme="minorEastAsia" w:hAnsiTheme="minorHAnsi" w:cstheme="minorBidi"/>
                <w:noProof/>
              </w:rPr>
              <w:tab/>
            </w:r>
            <w:r w:rsidR="00C273B9" w:rsidRPr="00CB2651">
              <w:rPr>
                <w:rStyle w:val="Hyperlink"/>
                <w:noProof/>
              </w:rPr>
              <w:t>Closing submissions</w:t>
            </w:r>
            <w:r w:rsidR="00C273B9">
              <w:rPr>
                <w:noProof/>
                <w:webHidden/>
              </w:rPr>
              <w:tab/>
            </w:r>
            <w:r w:rsidR="00C273B9">
              <w:rPr>
                <w:noProof/>
                <w:webHidden/>
              </w:rPr>
              <w:fldChar w:fldCharType="begin"/>
            </w:r>
            <w:r w:rsidR="00C273B9">
              <w:rPr>
                <w:noProof/>
                <w:webHidden/>
              </w:rPr>
              <w:instrText xml:space="preserve"> PAGEREF _Toc64037633 \h </w:instrText>
            </w:r>
            <w:r w:rsidR="00C273B9">
              <w:rPr>
                <w:noProof/>
                <w:webHidden/>
              </w:rPr>
            </w:r>
            <w:r w:rsidR="00C273B9">
              <w:rPr>
                <w:noProof/>
                <w:webHidden/>
              </w:rPr>
              <w:fldChar w:fldCharType="separate"/>
            </w:r>
            <w:r w:rsidR="00645C2B">
              <w:rPr>
                <w:noProof/>
                <w:webHidden/>
              </w:rPr>
              <w:t>25</w:t>
            </w:r>
            <w:r w:rsidR="00C273B9">
              <w:rPr>
                <w:noProof/>
                <w:webHidden/>
              </w:rPr>
              <w:fldChar w:fldCharType="end"/>
            </w:r>
          </w:hyperlink>
        </w:p>
        <w:p w14:paraId="4184E0E6" w14:textId="4F552C36" w:rsidR="00094972" w:rsidRPr="00A5027C" w:rsidRDefault="00A5027C" w:rsidP="00A5027C">
          <w:pPr>
            <w:rPr>
              <w:b/>
              <w:bCs/>
              <w:noProof/>
            </w:rPr>
          </w:pPr>
          <w:r>
            <w:rPr>
              <w:b/>
              <w:bCs/>
              <w:noProof/>
            </w:rPr>
            <w:fldChar w:fldCharType="end"/>
          </w:r>
        </w:p>
      </w:sdtContent>
    </w:sdt>
    <w:p w14:paraId="29939D8F" w14:textId="77777777" w:rsidR="00094972" w:rsidRPr="00385609" w:rsidRDefault="00094972" w:rsidP="00094972">
      <w:pPr>
        <w:pStyle w:val="TOC1"/>
        <w:spacing w:line="276" w:lineRule="auto"/>
        <w:rPr>
          <w:noProof/>
        </w:rPr>
      </w:pPr>
    </w:p>
    <w:p w14:paraId="275D5444" w14:textId="364D2600" w:rsidR="00385609" w:rsidRPr="00385609" w:rsidRDefault="00385609" w:rsidP="006C6857">
      <w:pPr>
        <w:pStyle w:val="TOC1"/>
        <w:spacing w:line="276" w:lineRule="auto"/>
        <w:rPr>
          <w:noProof/>
        </w:rPr>
      </w:pPr>
    </w:p>
    <w:p w14:paraId="2FBC0376" w14:textId="77777777" w:rsidR="005469C3" w:rsidRPr="00E550AF" w:rsidRDefault="005469C3" w:rsidP="006C6857">
      <w:pPr>
        <w:spacing w:line="276" w:lineRule="auto"/>
        <w:jc w:val="both"/>
        <w:rPr>
          <w:rFonts w:cstheme="minorHAnsi"/>
          <w:b/>
          <w:bCs/>
          <w:sz w:val="24"/>
          <w:szCs w:val="24"/>
        </w:rPr>
      </w:pPr>
    </w:p>
    <w:p w14:paraId="5ADD7FC9" w14:textId="77777777" w:rsidR="005469C3" w:rsidRPr="00E550AF" w:rsidRDefault="005469C3" w:rsidP="006C6857">
      <w:pPr>
        <w:pStyle w:val="ListParagraph"/>
        <w:spacing w:line="276" w:lineRule="auto"/>
        <w:jc w:val="both"/>
        <w:rPr>
          <w:rFonts w:cstheme="minorHAnsi"/>
          <w:sz w:val="24"/>
          <w:szCs w:val="24"/>
        </w:rPr>
      </w:pPr>
    </w:p>
    <w:p w14:paraId="7E7C2B84" w14:textId="77777777" w:rsidR="005469C3" w:rsidRPr="00E550AF" w:rsidRDefault="005469C3" w:rsidP="006C6857">
      <w:pPr>
        <w:spacing w:line="276" w:lineRule="auto"/>
        <w:jc w:val="both"/>
        <w:rPr>
          <w:rFonts w:cstheme="minorHAnsi"/>
          <w:sz w:val="24"/>
          <w:szCs w:val="24"/>
        </w:rPr>
      </w:pPr>
    </w:p>
    <w:p w14:paraId="7C9E5D90" w14:textId="77777777" w:rsidR="005469C3" w:rsidRPr="00126D35" w:rsidRDefault="005469C3" w:rsidP="006C6857">
      <w:pPr>
        <w:spacing w:line="276" w:lineRule="auto"/>
        <w:jc w:val="both"/>
        <w:rPr>
          <w:rFonts w:cstheme="minorHAnsi"/>
          <w:b/>
          <w:bCs/>
          <w:sz w:val="24"/>
          <w:szCs w:val="24"/>
        </w:rPr>
      </w:pPr>
      <w:r w:rsidRPr="00126D35">
        <w:rPr>
          <w:rFonts w:cstheme="minorHAnsi"/>
          <w:b/>
          <w:bCs/>
          <w:sz w:val="24"/>
          <w:szCs w:val="24"/>
        </w:rPr>
        <w:br w:type="page"/>
      </w:r>
    </w:p>
    <w:p w14:paraId="62784BD4" w14:textId="0789FBE3" w:rsidR="005469C3" w:rsidRPr="00E550AF" w:rsidRDefault="005469C3" w:rsidP="00FA1E87">
      <w:pPr>
        <w:pStyle w:val="Heading1"/>
        <w:numPr>
          <w:ilvl w:val="0"/>
          <w:numId w:val="2"/>
        </w:numPr>
      </w:pPr>
      <w:bookmarkStart w:id="1" w:name="_Toc64037624"/>
      <w:r w:rsidRPr="00E550AF">
        <w:lastRenderedPageBreak/>
        <w:t>Introduction</w:t>
      </w:r>
      <w:bookmarkEnd w:id="1"/>
      <w:r w:rsidRPr="00E550AF">
        <w:t xml:space="preserve"> </w:t>
      </w:r>
    </w:p>
    <w:p w14:paraId="3C020139" w14:textId="77777777" w:rsidR="005469C3" w:rsidRPr="00126D35" w:rsidRDefault="005469C3" w:rsidP="006C6857">
      <w:pPr>
        <w:spacing w:line="276" w:lineRule="auto"/>
        <w:jc w:val="both"/>
        <w:rPr>
          <w:rFonts w:cstheme="minorHAnsi"/>
          <w:sz w:val="24"/>
          <w:szCs w:val="24"/>
        </w:rPr>
      </w:pPr>
    </w:p>
    <w:p w14:paraId="6457F829" w14:textId="7B052E94" w:rsidR="0025760F" w:rsidRPr="00126D35" w:rsidRDefault="005202D2" w:rsidP="006C6857">
      <w:pPr>
        <w:pStyle w:val="ListParagraph"/>
        <w:numPr>
          <w:ilvl w:val="1"/>
          <w:numId w:val="2"/>
        </w:numPr>
        <w:spacing w:line="276" w:lineRule="auto"/>
        <w:jc w:val="both"/>
        <w:rPr>
          <w:rFonts w:cstheme="minorHAnsi"/>
          <w:sz w:val="24"/>
          <w:szCs w:val="24"/>
        </w:rPr>
      </w:pPr>
      <w:r>
        <w:rPr>
          <w:rFonts w:cstheme="minorHAnsi"/>
          <w:sz w:val="24"/>
          <w:szCs w:val="24"/>
        </w:rPr>
        <w:t xml:space="preserve">The </w:t>
      </w:r>
      <w:r w:rsidR="0025760F" w:rsidRPr="00126D35">
        <w:rPr>
          <w:rFonts w:cstheme="minorHAnsi"/>
          <w:sz w:val="24"/>
          <w:szCs w:val="24"/>
        </w:rPr>
        <w:t>ACT Integrity Commission (</w:t>
      </w:r>
      <w:r w:rsidR="00142319">
        <w:rPr>
          <w:rFonts w:cstheme="minorHAnsi"/>
          <w:sz w:val="24"/>
          <w:szCs w:val="24"/>
        </w:rPr>
        <w:t>‘</w:t>
      </w:r>
      <w:r w:rsidR="0025760F" w:rsidRPr="00F51625">
        <w:rPr>
          <w:rFonts w:cstheme="minorHAnsi"/>
          <w:b/>
          <w:bCs/>
          <w:sz w:val="24"/>
          <w:szCs w:val="24"/>
        </w:rPr>
        <w:t>Commission</w:t>
      </w:r>
      <w:r w:rsidR="00142319">
        <w:rPr>
          <w:rFonts w:cstheme="minorHAnsi"/>
          <w:sz w:val="24"/>
          <w:szCs w:val="24"/>
        </w:rPr>
        <w:t>’</w:t>
      </w:r>
      <w:r w:rsidR="0025760F" w:rsidRPr="00126D35">
        <w:rPr>
          <w:rFonts w:cstheme="minorHAnsi"/>
          <w:sz w:val="24"/>
          <w:szCs w:val="24"/>
        </w:rPr>
        <w:t>) was created in response to an election commitment made by the 9</w:t>
      </w:r>
      <w:r w:rsidR="0025760F" w:rsidRPr="00126D35">
        <w:rPr>
          <w:rFonts w:cstheme="minorHAnsi"/>
          <w:sz w:val="24"/>
          <w:szCs w:val="24"/>
          <w:vertAlign w:val="superscript"/>
        </w:rPr>
        <w:t>th</w:t>
      </w:r>
      <w:r w:rsidR="0025760F" w:rsidRPr="00126D35">
        <w:rPr>
          <w:rFonts w:cstheme="minorHAnsi"/>
          <w:sz w:val="24"/>
          <w:szCs w:val="24"/>
        </w:rPr>
        <w:t xml:space="preserve"> Legislative Assembly.  On 31 October 2017, the Select Committee on an Independent Integrity Commission </w:t>
      </w:r>
      <w:r w:rsidR="00142319">
        <w:rPr>
          <w:rFonts w:cstheme="minorHAnsi"/>
          <w:sz w:val="24"/>
          <w:szCs w:val="24"/>
        </w:rPr>
        <w:t>‘</w:t>
      </w:r>
      <w:r w:rsidR="0025760F" w:rsidRPr="00126D35">
        <w:rPr>
          <w:rFonts w:cstheme="minorHAnsi"/>
          <w:sz w:val="24"/>
          <w:szCs w:val="24"/>
        </w:rPr>
        <w:t>(</w:t>
      </w:r>
      <w:r w:rsidR="0025760F" w:rsidRPr="00F51625">
        <w:rPr>
          <w:rFonts w:cstheme="minorHAnsi"/>
          <w:b/>
          <w:bCs/>
          <w:sz w:val="24"/>
          <w:szCs w:val="24"/>
        </w:rPr>
        <w:t>Select Committee</w:t>
      </w:r>
      <w:r w:rsidR="00142319" w:rsidRPr="00CD64AF">
        <w:rPr>
          <w:rFonts w:cstheme="minorHAnsi"/>
          <w:sz w:val="24"/>
          <w:szCs w:val="24"/>
        </w:rPr>
        <w:t>’</w:t>
      </w:r>
      <w:r w:rsidR="0025760F" w:rsidRPr="00126D35">
        <w:rPr>
          <w:rFonts w:cstheme="minorHAnsi"/>
          <w:sz w:val="24"/>
          <w:szCs w:val="24"/>
        </w:rPr>
        <w:t xml:space="preserve">) released its report </w:t>
      </w:r>
      <w:r w:rsidR="009E3536">
        <w:rPr>
          <w:rFonts w:cstheme="minorHAnsi"/>
          <w:sz w:val="24"/>
          <w:szCs w:val="24"/>
        </w:rPr>
        <w:t>in which it</w:t>
      </w:r>
      <w:r w:rsidR="0025760F" w:rsidRPr="00126D35">
        <w:rPr>
          <w:rFonts w:cstheme="minorHAnsi"/>
          <w:sz w:val="24"/>
          <w:szCs w:val="24"/>
        </w:rPr>
        <w:t xml:space="preserve"> recommended the </w:t>
      </w:r>
      <w:r w:rsidR="009E3536">
        <w:rPr>
          <w:rFonts w:cstheme="minorHAnsi"/>
          <w:sz w:val="24"/>
          <w:szCs w:val="24"/>
        </w:rPr>
        <w:t>establishment of</w:t>
      </w:r>
      <w:r w:rsidR="0025760F" w:rsidRPr="00126D35">
        <w:rPr>
          <w:rFonts w:cstheme="minorHAnsi"/>
          <w:sz w:val="24"/>
          <w:szCs w:val="24"/>
        </w:rPr>
        <w:t xml:space="preserve"> a standing ACT independent integrity body to investigate corruption in public administration and strengthen public confidence in government integrity.</w:t>
      </w:r>
      <w:r w:rsidR="0025760F" w:rsidRPr="00126D35">
        <w:rPr>
          <w:rStyle w:val="FootnoteReference"/>
          <w:rFonts w:cstheme="minorHAnsi"/>
          <w:sz w:val="24"/>
          <w:szCs w:val="24"/>
        </w:rPr>
        <w:footnoteReference w:id="1"/>
      </w:r>
    </w:p>
    <w:p w14:paraId="1DD8384E" w14:textId="77777777" w:rsidR="0025760F" w:rsidRPr="00126D35" w:rsidRDefault="0025760F" w:rsidP="006C6857">
      <w:pPr>
        <w:pStyle w:val="ListParagraph"/>
        <w:spacing w:line="276" w:lineRule="auto"/>
        <w:jc w:val="both"/>
        <w:rPr>
          <w:rFonts w:cstheme="minorHAnsi"/>
          <w:sz w:val="24"/>
          <w:szCs w:val="24"/>
        </w:rPr>
      </w:pPr>
    </w:p>
    <w:p w14:paraId="0AF4C209" w14:textId="2EF5FCDE" w:rsidR="0025760F" w:rsidRPr="00126D35" w:rsidRDefault="0025760F" w:rsidP="006C6857">
      <w:pPr>
        <w:pStyle w:val="ListParagraph"/>
        <w:numPr>
          <w:ilvl w:val="1"/>
          <w:numId w:val="2"/>
        </w:numPr>
        <w:spacing w:line="276" w:lineRule="auto"/>
        <w:jc w:val="both"/>
        <w:rPr>
          <w:rFonts w:cstheme="minorHAnsi"/>
          <w:sz w:val="24"/>
          <w:szCs w:val="24"/>
        </w:rPr>
      </w:pPr>
      <w:r w:rsidRPr="00126D35">
        <w:rPr>
          <w:rFonts w:cstheme="minorHAnsi"/>
          <w:sz w:val="24"/>
          <w:szCs w:val="24"/>
        </w:rPr>
        <w:t xml:space="preserve">The </w:t>
      </w:r>
      <w:r w:rsidRPr="00126D35">
        <w:rPr>
          <w:rFonts w:cstheme="minorHAnsi"/>
          <w:i/>
          <w:iCs/>
          <w:sz w:val="24"/>
          <w:szCs w:val="24"/>
        </w:rPr>
        <w:t>Integrity Commission Act 2018</w:t>
      </w:r>
      <w:r w:rsidRPr="00126D35">
        <w:rPr>
          <w:rFonts w:cstheme="minorHAnsi"/>
          <w:sz w:val="24"/>
          <w:szCs w:val="24"/>
        </w:rPr>
        <w:t xml:space="preserve"> (</w:t>
      </w:r>
      <w:r w:rsidR="00142319">
        <w:rPr>
          <w:rFonts w:cstheme="minorHAnsi"/>
          <w:sz w:val="24"/>
          <w:szCs w:val="24"/>
        </w:rPr>
        <w:t>‘</w:t>
      </w:r>
      <w:r w:rsidRPr="00F51625">
        <w:rPr>
          <w:rFonts w:cstheme="minorHAnsi"/>
          <w:b/>
          <w:bCs/>
          <w:sz w:val="24"/>
          <w:szCs w:val="24"/>
        </w:rPr>
        <w:t>Act</w:t>
      </w:r>
      <w:r w:rsidR="00142319">
        <w:rPr>
          <w:rFonts w:cstheme="minorHAnsi"/>
          <w:sz w:val="24"/>
          <w:szCs w:val="24"/>
        </w:rPr>
        <w:t>’</w:t>
      </w:r>
      <w:r w:rsidRPr="00126D35">
        <w:rPr>
          <w:rFonts w:cstheme="minorHAnsi"/>
          <w:sz w:val="24"/>
          <w:szCs w:val="24"/>
        </w:rPr>
        <w:t>)</w:t>
      </w:r>
      <w:r w:rsidR="009E3536">
        <w:rPr>
          <w:rFonts w:cstheme="minorHAnsi"/>
          <w:sz w:val="24"/>
          <w:szCs w:val="24"/>
        </w:rPr>
        <w:t>, which established the Commission</w:t>
      </w:r>
      <w:r w:rsidRPr="00126D35">
        <w:rPr>
          <w:rFonts w:cstheme="minorHAnsi"/>
          <w:sz w:val="24"/>
          <w:szCs w:val="24"/>
        </w:rPr>
        <w:t xml:space="preserve"> came into operation on 1 July 2019. </w:t>
      </w:r>
    </w:p>
    <w:p w14:paraId="6AC4817F" w14:textId="77777777" w:rsidR="0025760F" w:rsidRPr="00126D35" w:rsidRDefault="0025760F" w:rsidP="006C6857">
      <w:pPr>
        <w:pStyle w:val="ListParagraph"/>
        <w:spacing w:line="276" w:lineRule="auto"/>
        <w:rPr>
          <w:rFonts w:cstheme="minorHAnsi"/>
          <w:sz w:val="24"/>
          <w:szCs w:val="24"/>
        </w:rPr>
      </w:pPr>
    </w:p>
    <w:p w14:paraId="0FA8E81D" w14:textId="37D04600" w:rsidR="0025760F" w:rsidRPr="00126D35" w:rsidRDefault="0025760F" w:rsidP="006C6857">
      <w:pPr>
        <w:pStyle w:val="ListParagraph"/>
        <w:numPr>
          <w:ilvl w:val="1"/>
          <w:numId w:val="2"/>
        </w:numPr>
        <w:spacing w:line="276" w:lineRule="auto"/>
        <w:jc w:val="both"/>
        <w:rPr>
          <w:rFonts w:cstheme="minorHAnsi"/>
          <w:sz w:val="24"/>
          <w:szCs w:val="24"/>
        </w:rPr>
      </w:pPr>
      <w:r w:rsidRPr="00126D35">
        <w:rPr>
          <w:rFonts w:cstheme="minorHAnsi"/>
          <w:sz w:val="24"/>
          <w:szCs w:val="24"/>
        </w:rPr>
        <w:t xml:space="preserve">The </w:t>
      </w:r>
      <w:r w:rsidR="009E3536">
        <w:rPr>
          <w:rFonts w:cstheme="minorHAnsi"/>
          <w:sz w:val="24"/>
          <w:szCs w:val="24"/>
        </w:rPr>
        <w:t xml:space="preserve">functions of </w:t>
      </w:r>
      <w:r w:rsidRPr="00126D35">
        <w:rPr>
          <w:rFonts w:cstheme="minorHAnsi"/>
          <w:sz w:val="24"/>
          <w:szCs w:val="24"/>
        </w:rPr>
        <w:t>the Commission</w:t>
      </w:r>
      <w:r w:rsidR="009E3536">
        <w:rPr>
          <w:rFonts w:cstheme="minorHAnsi"/>
          <w:sz w:val="24"/>
          <w:szCs w:val="24"/>
        </w:rPr>
        <w:t xml:space="preserve"> are</w:t>
      </w:r>
      <w:r w:rsidRPr="00126D35">
        <w:rPr>
          <w:rFonts w:cstheme="minorHAnsi"/>
          <w:sz w:val="24"/>
          <w:szCs w:val="24"/>
        </w:rPr>
        <w:t xml:space="preserve"> to:</w:t>
      </w:r>
    </w:p>
    <w:p w14:paraId="5DDD677E" w14:textId="77777777" w:rsidR="0025760F" w:rsidRPr="00126D35" w:rsidRDefault="0025760F" w:rsidP="006C6857">
      <w:pPr>
        <w:pStyle w:val="ListParagraph"/>
        <w:spacing w:line="276" w:lineRule="auto"/>
        <w:rPr>
          <w:rFonts w:cstheme="minorHAnsi"/>
          <w:sz w:val="24"/>
          <w:szCs w:val="24"/>
        </w:rPr>
      </w:pPr>
    </w:p>
    <w:p w14:paraId="11D82724" w14:textId="77777777" w:rsidR="0025760F" w:rsidRPr="00126D35" w:rsidRDefault="0025760F" w:rsidP="006C6857">
      <w:pPr>
        <w:pStyle w:val="ListParagraph"/>
        <w:numPr>
          <w:ilvl w:val="0"/>
          <w:numId w:val="3"/>
        </w:numPr>
        <w:spacing w:line="276" w:lineRule="auto"/>
        <w:jc w:val="both"/>
        <w:rPr>
          <w:rFonts w:cstheme="minorHAnsi"/>
          <w:sz w:val="24"/>
          <w:szCs w:val="24"/>
        </w:rPr>
      </w:pPr>
      <w:r w:rsidRPr="00126D35">
        <w:rPr>
          <w:rFonts w:cstheme="minorHAnsi"/>
          <w:sz w:val="24"/>
          <w:szCs w:val="24"/>
        </w:rPr>
        <w:t>investigate conduct that is alleged to be corrupt conduct;</w:t>
      </w:r>
    </w:p>
    <w:p w14:paraId="2C6245CE" w14:textId="77777777" w:rsidR="0025760F" w:rsidRPr="00126D35" w:rsidRDefault="0025760F" w:rsidP="006C6857">
      <w:pPr>
        <w:pStyle w:val="ListParagraph"/>
        <w:numPr>
          <w:ilvl w:val="0"/>
          <w:numId w:val="3"/>
        </w:numPr>
        <w:spacing w:line="276" w:lineRule="auto"/>
        <w:jc w:val="both"/>
        <w:rPr>
          <w:rFonts w:cstheme="minorHAnsi"/>
          <w:sz w:val="24"/>
          <w:szCs w:val="24"/>
        </w:rPr>
      </w:pPr>
      <w:r w:rsidRPr="00126D35">
        <w:rPr>
          <w:rFonts w:cstheme="minorHAnsi"/>
          <w:sz w:val="24"/>
          <w:szCs w:val="24"/>
        </w:rPr>
        <w:t>refer suspected instances of criminality or wrongdoing to the appropriate authority for further investigation and action;</w:t>
      </w:r>
    </w:p>
    <w:p w14:paraId="511CAC61" w14:textId="77777777" w:rsidR="0025760F" w:rsidRPr="00126D35" w:rsidRDefault="0025760F" w:rsidP="006C6857">
      <w:pPr>
        <w:pStyle w:val="ListParagraph"/>
        <w:numPr>
          <w:ilvl w:val="0"/>
          <w:numId w:val="3"/>
        </w:numPr>
        <w:spacing w:line="276" w:lineRule="auto"/>
        <w:jc w:val="both"/>
        <w:rPr>
          <w:rFonts w:cstheme="minorHAnsi"/>
          <w:sz w:val="24"/>
          <w:szCs w:val="24"/>
        </w:rPr>
      </w:pPr>
      <w:r w:rsidRPr="00126D35">
        <w:rPr>
          <w:rFonts w:cstheme="minorHAnsi"/>
          <w:sz w:val="24"/>
          <w:szCs w:val="24"/>
        </w:rPr>
        <w:t>prevent corruption, including by researching corrupt practices and mitigating the risks of corruption;</w:t>
      </w:r>
    </w:p>
    <w:p w14:paraId="540DD616" w14:textId="77777777" w:rsidR="0025760F" w:rsidRPr="00126D35" w:rsidRDefault="0025760F" w:rsidP="006C6857">
      <w:pPr>
        <w:pStyle w:val="ListParagraph"/>
        <w:numPr>
          <w:ilvl w:val="0"/>
          <w:numId w:val="3"/>
        </w:numPr>
        <w:spacing w:line="276" w:lineRule="auto"/>
        <w:jc w:val="both"/>
        <w:rPr>
          <w:rFonts w:cstheme="minorHAnsi"/>
          <w:sz w:val="24"/>
          <w:szCs w:val="24"/>
        </w:rPr>
      </w:pPr>
      <w:r w:rsidRPr="00126D35">
        <w:rPr>
          <w:rFonts w:cstheme="minorHAnsi"/>
          <w:sz w:val="24"/>
          <w:szCs w:val="24"/>
        </w:rPr>
        <w:t>publish information about investigations conducted by the commission, including lessons learned;</w:t>
      </w:r>
    </w:p>
    <w:p w14:paraId="31DAE375" w14:textId="77777777" w:rsidR="0025760F" w:rsidRPr="00126D35" w:rsidRDefault="0025760F" w:rsidP="006C6857">
      <w:pPr>
        <w:pStyle w:val="ListParagraph"/>
        <w:numPr>
          <w:ilvl w:val="0"/>
          <w:numId w:val="3"/>
        </w:numPr>
        <w:spacing w:line="276" w:lineRule="auto"/>
        <w:jc w:val="both"/>
        <w:rPr>
          <w:rFonts w:cstheme="minorHAnsi"/>
          <w:sz w:val="24"/>
          <w:szCs w:val="24"/>
        </w:rPr>
      </w:pPr>
      <w:r w:rsidRPr="00126D35">
        <w:rPr>
          <w:rFonts w:cstheme="minorHAnsi"/>
          <w:sz w:val="24"/>
          <w:szCs w:val="24"/>
        </w:rPr>
        <w:t xml:space="preserve">provide education programs about the operation of this Act and the commission, including providing advice, training and education services to — </w:t>
      </w:r>
    </w:p>
    <w:p w14:paraId="3554D4B3" w14:textId="77777777" w:rsidR="0025760F" w:rsidRPr="00126D35" w:rsidRDefault="0025760F" w:rsidP="006C6857">
      <w:pPr>
        <w:pStyle w:val="ListParagraph"/>
        <w:numPr>
          <w:ilvl w:val="1"/>
          <w:numId w:val="4"/>
        </w:numPr>
        <w:spacing w:line="276" w:lineRule="auto"/>
        <w:jc w:val="both"/>
        <w:rPr>
          <w:rFonts w:cstheme="minorHAnsi"/>
          <w:sz w:val="24"/>
          <w:szCs w:val="24"/>
        </w:rPr>
      </w:pPr>
      <w:r w:rsidRPr="00126D35">
        <w:rPr>
          <w:rFonts w:cstheme="minorHAnsi"/>
          <w:sz w:val="24"/>
          <w:szCs w:val="24"/>
        </w:rPr>
        <w:t>the Legislative Assembly and the public sector to increase capacity to prevent corrupt conduct;</w:t>
      </w:r>
    </w:p>
    <w:p w14:paraId="12709EA9" w14:textId="77777777" w:rsidR="0025760F" w:rsidRPr="00126D35" w:rsidRDefault="0025760F" w:rsidP="006C6857">
      <w:pPr>
        <w:pStyle w:val="ListParagraph"/>
        <w:numPr>
          <w:ilvl w:val="1"/>
          <w:numId w:val="4"/>
        </w:numPr>
        <w:spacing w:line="276" w:lineRule="auto"/>
        <w:jc w:val="both"/>
        <w:rPr>
          <w:rFonts w:cstheme="minorHAnsi"/>
          <w:sz w:val="24"/>
          <w:szCs w:val="24"/>
        </w:rPr>
      </w:pPr>
      <w:r w:rsidRPr="00126D35">
        <w:rPr>
          <w:rFonts w:cstheme="minorHAnsi"/>
          <w:sz w:val="24"/>
          <w:szCs w:val="24"/>
        </w:rPr>
        <w:t xml:space="preserve">people who are required to report corrupt conduct under this Act; </w:t>
      </w:r>
    </w:p>
    <w:p w14:paraId="058385C0" w14:textId="75E82E62" w:rsidR="0025760F" w:rsidRPr="00126D35" w:rsidRDefault="0025760F" w:rsidP="006C6857">
      <w:pPr>
        <w:pStyle w:val="ListParagraph"/>
        <w:numPr>
          <w:ilvl w:val="1"/>
          <w:numId w:val="4"/>
        </w:numPr>
        <w:spacing w:line="276" w:lineRule="auto"/>
        <w:jc w:val="both"/>
        <w:rPr>
          <w:rFonts w:cstheme="minorHAnsi"/>
          <w:sz w:val="24"/>
          <w:szCs w:val="24"/>
        </w:rPr>
      </w:pPr>
      <w:r w:rsidRPr="00126D35">
        <w:rPr>
          <w:rFonts w:cstheme="minorHAnsi"/>
          <w:sz w:val="24"/>
          <w:szCs w:val="24"/>
        </w:rPr>
        <w:t xml:space="preserve">the community about the detrimental effects of corruption on public administration and ways in which to assist in preventing corrupt conduct; </w:t>
      </w:r>
      <w:r w:rsidR="000C61F3">
        <w:rPr>
          <w:rFonts w:cstheme="minorHAnsi"/>
          <w:sz w:val="24"/>
          <w:szCs w:val="24"/>
        </w:rPr>
        <w:t>and</w:t>
      </w:r>
      <w:r w:rsidRPr="00126D35">
        <w:rPr>
          <w:rFonts w:cstheme="minorHAnsi"/>
          <w:sz w:val="24"/>
          <w:szCs w:val="24"/>
        </w:rPr>
        <w:t xml:space="preserve"> </w:t>
      </w:r>
    </w:p>
    <w:p w14:paraId="21AECDC0" w14:textId="5548B03D" w:rsidR="0025760F" w:rsidRDefault="0025760F" w:rsidP="006C6857">
      <w:pPr>
        <w:pStyle w:val="ListParagraph"/>
        <w:numPr>
          <w:ilvl w:val="0"/>
          <w:numId w:val="3"/>
        </w:numPr>
        <w:spacing w:line="276" w:lineRule="auto"/>
        <w:jc w:val="both"/>
        <w:rPr>
          <w:rFonts w:cstheme="minorHAnsi"/>
          <w:sz w:val="24"/>
          <w:szCs w:val="24"/>
        </w:rPr>
      </w:pPr>
      <w:r w:rsidRPr="00126D35">
        <w:rPr>
          <w:rFonts w:cstheme="minorHAnsi"/>
          <w:sz w:val="24"/>
          <w:szCs w:val="24"/>
        </w:rPr>
        <w:t>foster public confidence in the Legislative Assembly and public sector.</w:t>
      </w:r>
      <w:r w:rsidRPr="00126D35">
        <w:rPr>
          <w:rStyle w:val="FootnoteReference"/>
          <w:rFonts w:cstheme="minorHAnsi"/>
          <w:sz w:val="24"/>
          <w:szCs w:val="24"/>
        </w:rPr>
        <w:footnoteReference w:id="2"/>
      </w:r>
    </w:p>
    <w:p w14:paraId="609DE874" w14:textId="77777777" w:rsidR="0025760F" w:rsidRDefault="0025760F" w:rsidP="006C6857">
      <w:pPr>
        <w:pStyle w:val="ListParagraph"/>
        <w:spacing w:line="276" w:lineRule="auto"/>
        <w:ind w:left="1440"/>
        <w:jc w:val="both"/>
        <w:rPr>
          <w:rFonts w:cstheme="minorHAnsi"/>
          <w:sz w:val="24"/>
          <w:szCs w:val="24"/>
        </w:rPr>
      </w:pPr>
    </w:p>
    <w:p w14:paraId="7E34AEC8" w14:textId="36DB3356" w:rsidR="0006179D" w:rsidRPr="0006179D" w:rsidRDefault="00C04ADE" w:rsidP="0006179D">
      <w:pPr>
        <w:pStyle w:val="ListParagraph"/>
        <w:numPr>
          <w:ilvl w:val="1"/>
          <w:numId w:val="2"/>
        </w:numPr>
        <w:spacing w:line="276" w:lineRule="auto"/>
        <w:jc w:val="both"/>
        <w:rPr>
          <w:rFonts w:cstheme="minorHAnsi"/>
          <w:sz w:val="24"/>
          <w:szCs w:val="24"/>
        </w:rPr>
      </w:pPr>
      <w:r>
        <w:rPr>
          <w:rFonts w:cstheme="minorHAnsi"/>
          <w:sz w:val="24"/>
          <w:szCs w:val="24"/>
        </w:rPr>
        <w:t xml:space="preserve">The Commission is </w:t>
      </w:r>
      <w:r w:rsidR="009E3536">
        <w:rPr>
          <w:rFonts w:cstheme="minorHAnsi"/>
          <w:sz w:val="24"/>
          <w:szCs w:val="24"/>
        </w:rPr>
        <w:t>empowered by s 140</w:t>
      </w:r>
      <w:r>
        <w:rPr>
          <w:rFonts w:cstheme="minorHAnsi"/>
          <w:sz w:val="24"/>
          <w:szCs w:val="24"/>
        </w:rPr>
        <w:t xml:space="preserve"> to hold an examination as part of an investigation.  </w:t>
      </w:r>
      <w:r w:rsidR="009E3536">
        <w:rPr>
          <w:rFonts w:cstheme="minorHAnsi"/>
          <w:sz w:val="24"/>
          <w:szCs w:val="24"/>
        </w:rPr>
        <w:t xml:space="preserve">Such an examination is inquisitorial in nature, such as those conducted by a Royal Commission. </w:t>
      </w:r>
      <w:r>
        <w:rPr>
          <w:rFonts w:cstheme="minorHAnsi"/>
          <w:sz w:val="24"/>
          <w:szCs w:val="24"/>
        </w:rPr>
        <w:t xml:space="preserve">The </w:t>
      </w:r>
      <w:r w:rsidR="000C61F3">
        <w:rPr>
          <w:rFonts w:cstheme="minorHAnsi"/>
          <w:sz w:val="24"/>
          <w:szCs w:val="24"/>
        </w:rPr>
        <w:t xml:space="preserve">Commissioner </w:t>
      </w:r>
      <w:r w:rsidR="000A79AE">
        <w:rPr>
          <w:rFonts w:cstheme="minorHAnsi"/>
          <w:sz w:val="24"/>
          <w:szCs w:val="24"/>
        </w:rPr>
        <w:t>(</w:t>
      </w:r>
      <w:r w:rsidR="00142319">
        <w:rPr>
          <w:rFonts w:cstheme="minorHAnsi"/>
          <w:sz w:val="24"/>
          <w:szCs w:val="24"/>
        </w:rPr>
        <w:t>‘</w:t>
      </w:r>
      <w:r w:rsidRPr="00F51625">
        <w:rPr>
          <w:rFonts w:cstheme="minorHAnsi"/>
          <w:b/>
          <w:bCs/>
          <w:sz w:val="24"/>
          <w:szCs w:val="24"/>
        </w:rPr>
        <w:t>Commissioner</w:t>
      </w:r>
      <w:r w:rsidR="00142319">
        <w:rPr>
          <w:rFonts w:cstheme="minorHAnsi"/>
          <w:sz w:val="24"/>
          <w:szCs w:val="24"/>
        </w:rPr>
        <w:t>’</w:t>
      </w:r>
      <w:r w:rsidR="000A79AE">
        <w:rPr>
          <w:rFonts w:cstheme="minorHAnsi"/>
          <w:sz w:val="24"/>
          <w:szCs w:val="24"/>
        </w:rPr>
        <w:t>)</w:t>
      </w:r>
      <w:r>
        <w:rPr>
          <w:rFonts w:cstheme="minorHAnsi"/>
          <w:sz w:val="24"/>
          <w:szCs w:val="24"/>
        </w:rPr>
        <w:t xml:space="preserve"> must preside at an </w:t>
      </w:r>
      <w:r>
        <w:rPr>
          <w:rFonts w:cstheme="minorHAnsi"/>
          <w:sz w:val="24"/>
          <w:szCs w:val="24"/>
        </w:rPr>
        <w:lastRenderedPageBreak/>
        <w:t>examination</w:t>
      </w:r>
      <w:r w:rsidR="009E3536">
        <w:rPr>
          <w:rFonts w:cstheme="minorHAnsi"/>
          <w:sz w:val="24"/>
          <w:szCs w:val="24"/>
        </w:rPr>
        <w:t>.</w:t>
      </w:r>
      <w:r w:rsidR="009E3536" w:rsidRPr="0006179D">
        <w:rPr>
          <w:rStyle w:val="FootnoteReference"/>
          <w:rFonts w:cstheme="minorHAnsi"/>
          <w:sz w:val="24"/>
          <w:szCs w:val="24"/>
        </w:rPr>
        <w:footnoteReference w:id="3"/>
      </w:r>
      <w:r w:rsidR="0006179D">
        <w:rPr>
          <w:rFonts w:cstheme="minorHAnsi"/>
          <w:sz w:val="24"/>
          <w:szCs w:val="24"/>
        </w:rPr>
        <w:t xml:space="preserve"> </w:t>
      </w:r>
      <w:r w:rsidR="0006179D" w:rsidRPr="0006179D">
        <w:rPr>
          <w:rFonts w:cstheme="minorHAnsi"/>
          <w:sz w:val="24"/>
          <w:szCs w:val="24"/>
        </w:rPr>
        <w:t>The Commissioner may require a person to give evidence at an examination and/or produce a document or other thing to the Commission</w:t>
      </w:r>
      <w:r w:rsidR="000C61F3">
        <w:rPr>
          <w:rFonts w:cstheme="minorHAnsi"/>
          <w:sz w:val="24"/>
          <w:szCs w:val="24"/>
        </w:rPr>
        <w:t>, or both</w:t>
      </w:r>
      <w:r w:rsidR="0006179D" w:rsidRPr="0006179D">
        <w:rPr>
          <w:rFonts w:cstheme="minorHAnsi"/>
          <w:sz w:val="24"/>
          <w:szCs w:val="24"/>
        </w:rPr>
        <w:t xml:space="preserve">.  </w:t>
      </w:r>
    </w:p>
    <w:p w14:paraId="3CF24B75" w14:textId="77777777" w:rsidR="0006179D" w:rsidRPr="0006179D" w:rsidRDefault="0006179D" w:rsidP="0006179D">
      <w:pPr>
        <w:pStyle w:val="ListParagraph"/>
        <w:spacing w:line="276" w:lineRule="auto"/>
        <w:jc w:val="both"/>
        <w:rPr>
          <w:rFonts w:cstheme="minorHAnsi"/>
          <w:sz w:val="24"/>
          <w:szCs w:val="24"/>
        </w:rPr>
      </w:pPr>
    </w:p>
    <w:p w14:paraId="0D2660A2" w14:textId="0937DED4" w:rsidR="005202D2" w:rsidRPr="0006179D" w:rsidRDefault="000F53C6" w:rsidP="006C6857">
      <w:pPr>
        <w:pStyle w:val="ListParagraph"/>
        <w:numPr>
          <w:ilvl w:val="1"/>
          <w:numId w:val="2"/>
        </w:numPr>
        <w:spacing w:line="276" w:lineRule="auto"/>
        <w:jc w:val="both"/>
        <w:rPr>
          <w:rFonts w:cstheme="minorHAnsi"/>
          <w:sz w:val="24"/>
          <w:szCs w:val="24"/>
        </w:rPr>
      </w:pPr>
      <w:r w:rsidRPr="0006179D">
        <w:rPr>
          <w:sz w:val="24"/>
          <w:szCs w:val="24"/>
        </w:rPr>
        <w:t>Examinations may be held in public or in private.</w:t>
      </w:r>
      <w:r w:rsidR="009E3536">
        <w:rPr>
          <w:rStyle w:val="FootnoteReference"/>
          <w:sz w:val="24"/>
          <w:szCs w:val="24"/>
        </w:rPr>
        <w:footnoteReference w:id="4"/>
      </w:r>
      <w:r w:rsidRPr="0006179D">
        <w:rPr>
          <w:sz w:val="24"/>
          <w:szCs w:val="24"/>
        </w:rPr>
        <w:t xml:space="preserve"> If the examination is to be held in public, it is necessary for the Commission to notify the Inspector not less than </w:t>
      </w:r>
      <w:r w:rsidR="000C61F3">
        <w:rPr>
          <w:sz w:val="24"/>
          <w:szCs w:val="24"/>
        </w:rPr>
        <w:t>seven</w:t>
      </w:r>
      <w:r w:rsidR="000C61F3" w:rsidRPr="0006179D">
        <w:rPr>
          <w:sz w:val="24"/>
          <w:szCs w:val="24"/>
        </w:rPr>
        <w:t xml:space="preserve"> </w:t>
      </w:r>
      <w:r w:rsidRPr="0006179D">
        <w:rPr>
          <w:sz w:val="24"/>
          <w:szCs w:val="24"/>
        </w:rPr>
        <w:t xml:space="preserve">days before </w:t>
      </w:r>
      <w:r w:rsidR="009E3536">
        <w:rPr>
          <w:sz w:val="24"/>
          <w:szCs w:val="24"/>
        </w:rPr>
        <w:t>its</w:t>
      </w:r>
      <w:r w:rsidR="000C61F3">
        <w:rPr>
          <w:sz w:val="24"/>
          <w:szCs w:val="24"/>
        </w:rPr>
        <w:t xml:space="preserve"> </w:t>
      </w:r>
      <w:r w:rsidRPr="0006179D">
        <w:rPr>
          <w:sz w:val="24"/>
          <w:szCs w:val="24"/>
        </w:rPr>
        <w:t>commencement of the fact that such examination is to be held</w:t>
      </w:r>
      <w:r w:rsidR="000C61F3">
        <w:rPr>
          <w:sz w:val="24"/>
          <w:szCs w:val="24"/>
        </w:rPr>
        <w:t>,</w:t>
      </w:r>
      <w:r w:rsidRPr="0006179D">
        <w:rPr>
          <w:sz w:val="24"/>
          <w:szCs w:val="24"/>
        </w:rPr>
        <w:t xml:space="preserve"> and the reasons why the Commission has decided to hold a public examination.</w:t>
      </w:r>
      <w:r w:rsidR="009E3536">
        <w:rPr>
          <w:rStyle w:val="FootnoteReference"/>
          <w:sz w:val="24"/>
          <w:szCs w:val="24"/>
        </w:rPr>
        <w:footnoteReference w:id="5"/>
      </w:r>
    </w:p>
    <w:p w14:paraId="477DE0D8" w14:textId="77777777" w:rsidR="005202D2" w:rsidRPr="0006179D" w:rsidRDefault="005202D2" w:rsidP="006C6857">
      <w:pPr>
        <w:pStyle w:val="ListParagraph"/>
        <w:spacing w:line="276" w:lineRule="auto"/>
        <w:jc w:val="both"/>
        <w:rPr>
          <w:rFonts w:cstheme="minorHAnsi"/>
          <w:sz w:val="24"/>
          <w:szCs w:val="24"/>
        </w:rPr>
      </w:pPr>
    </w:p>
    <w:p w14:paraId="5A0F9E36" w14:textId="40F3612A" w:rsidR="0006179D" w:rsidRDefault="0006179D" w:rsidP="0006179D">
      <w:pPr>
        <w:pStyle w:val="ListParagraph"/>
        <w:numPr>
          <w:ilvl w:val="1"/>
          <w:numId w:val="2"/>
        </w:numPr>
        <w:spacing w:after="240" w:line="276" w:lineRule="auto"/>
        <w:jc w:val="both"/>
        <w:rPr>
          <w:rFonts w:cstheme="minorHAnsi"/>
          <w:sz w:val="24"/>
          <w:szCs w:val="24"/>
        </w:rPr>
      </w:pPr>
      <w:r w:rsidRPr="0006179D">
        <w:rPr>
          <w:rFonts w:cstheme="minorHAnsi"/>
          <w:sz w:val="24"/>
          <w:szCs w:val="24"/>
        </w:rPr>
        <w:t xml:space="preserve">The primary purpose of Commission public examinations and </w:t>
      </w:r>
      <w:r w:rsidR="000C61F3">
        <w:rPr>
          <w:rFonts w:cstheme="minorHAnsi"/>
          <w:sz w:val="24"/>
          <w:szCs w:val="24"/>
        </w:rPr>
        <w:t>private</w:t>
      </w:r>
      <w:r w:rsidR="000C61F3" w:rsidRPr="0006179D">
        <w:rPr>
          <w:rFonts w:cstheme="minorHAnsi"/>
          <w:sz w:val="24"/>
          <w:szCs w:val="24"/>
        </w:rPr>
        <w:t xml:space="preserve"> </w:t>
      </w:r>
      <w:r w:rsidRPr="0006179D">
        <w:rPr>
          <w:rFonts w:cstheme="minorHAnsi"/>
          <w:sz w:val="24"/>
          <w:szCs w:val="24"/>
        </w:rPr>
        <w:t xml:space="preserve">examinations is to assist the investigation process by </w:t>
      </w:r>
      <w:r w:rsidR="009E3536">
        <w:rPr>
          <w:rFonts w:cstheme="minorHAnsi"/>
          <w:sz w:val="24"/>
          <w:szCs w:val="24"/>
        </w:rPr>
        <w:t xml:space="preserve">facts that are relevant to an investigation, either directly or that open up potentially useful lines of inquiry. </w:t>
      </w:r>
    </w:p>
    <w:p w14:paraId="39BDB6E8" w14:textId="77777777" w:rsidR="0006179D" w:rsidRPr="0006179D" w:rsidRDefault="0006179D" w:rsidP="0006179D">
      <w:pPr>
        <w:pStyle w:val="ListParagraph"/>
        <w:rPr>
          <w:rFonts w:cstheme="minorHAnsi"/>
          <w:sz w:val="24"/>
          <w:szCs w:val="24"/>
        </w:rPr>
      </w:pPr>
    </w:p>
    <w:p w14:paraId="3765CD97" w14:textId="57A12EF3" w:rsidR="004E3098" w:rsidRPr="007763BD" w:rsidRDefault="005202D2" w:rsidP="004E3098">
      <w:pPr>
        <w:pStyle w:val="ListParagraph"/>
        <w:numPr>
          <w:ilvl w:val="1"/>
          <w:numId w:val="2"/>
        </w:numPr>
        <w:spacing w:line="276" w:lineRule="auto"/>
        <w:jc w:val="both"/>
        <w:rPr>
          <w:rFonts w:cstheme="minorHAnsi"/>
          <w:sz w:val="24"/>
          <w:szCs w:val="24"/>
        </w:rPr>
      </w:pPr>
      <w:r>
        <w:rPr>
          <w:rFonts w:cstheme="minorHAnsi"/>
          <w:sz w:val="24"/>
          <w:szCs w:val="24"/>
        </w:rPr>
        <w:t>These Examination Conduct Guidelines (</w:t>
      </w:r>
      <w:r w:rsidR="00142319">
        <w:rPr>
          <w:rFonts w:cstheme="minorHAnsi"/>
          <w:sz w:val="24"/>
          <w:szCs w:val="24"/>
        </w:rPr>
        <w:t>‘</w:t>
      </w:r>
      <w:r w:rsidRPr="00F51625">
        <w:rPr>
          <w:rFonts w:cstheme="minorHAnsi"/>
          <w:b/>
          <w:bCs/>
          <w:sz w:val="24"/>
          <w:szCs w:val="24"/>
        </w:rPr>
        <w:t>Guidelines</w:t>
      </w:r>
      <w:r w:rsidR="00142319">
        <w:rPr>
          <w:rFonts w:cstheme="minorHAnsi"/>
          <w:sz w:val="24"/>
          <w:szCs w:val="24"/>
        </w:rPr>
        <w:t>’</w:t>
      </w:r>
      <w:r>
        <w:rPr>
          <w:rFonts w:cstheme="minorHAnsi"/>
          <w:sz w:val="24"/>
          <w:szCs w:val="24"/>
        </w:rPr>
        <w:t xml:space="preserve">) are issued in accordance with the provisions of s 142(2) of the </w:t>
      </w:r>
      <w:r w:rsidRPr="007763BD">
        <w:rPr>
          <w:rFonts w:cstheme="minorHAnsi"/>
          <w:sz w:val="24"/>
          <w:szCs w:val="24"/>
        </w:rPr>
        <w:t>Act</w:t>
      </w:r>
      <w:r w:rsidR="009E3536">
        <w:rPr>
          <w:rFonts w:cstheme="minorHAnsi"/>
          <w:sz w:val="24"/>
          <w:szCs w:val="24"/>
        </w:rPr>
        <w:t>.</w:t>
      </w:r>
      <w:r w:rsidRPr="007763BD">
        <w:rPr>
          <w:rFonts w:cstheme="minorHAnsi"/>
          <w:sz w:val="24"/>
          <w:szCs w:val="24"/>
        </w:rPr>
        <w:t xml:space="preserve">  </w:t>
      </w:r>
      <w:r w:rsidR="005469C3" w:rsidRPr="007763BD">
        <w:rPr>
          <w:rFonts w:cstheme="minorHAnsi"/>
          <w:sz w:val="24"/>
          <w:szCs w:val="24"/>
        </w:rPr>
        <w:t xml:space="preserve"> </w:t>
      </w:r>
    </w:p>
    <w:p w14:paraId="578CE528" w14:textId="77777777" w:rsidR="004E3098" w:rsidRPr="007763BD" w:rsidRDefault="004E3098" w:rsidP="004E3098">
      <w:pPr>
        <w:pStyle w:val="ListParagraph"/>
        <w:rPr>
          <w:rFonts w:cstheme="minorHAnsi"/>
          <w:sz w:val="24"/>
          <w:szCs w:val="24"/>
        </w:rPr>
      </w:pPr>
    </w:p>
    <w:p w14:paraId="0B779F86" w14:textId="4FBB3380" w:rsidR="00870CA9" w:rsidRPr="007763BD" w:rsidRDefault="00870CA9" w:rsidP="009E3536">
      <w:pPr>
        <w:pStyle w:val="ListParagraph"/>
        <w:numPr>
          <w:ilvl w:val="1"/>
          <w:numId w:val="2"/>
        </w:numPr>
        <w:spacing w:line="276" w:lineRule="auto"/>
        <w:jc w:val="both"/>
        <w:rPr>
          <w:rFonts w:cstheme="minorHAnsi"/>
          <w:sz w:val="24"/>
          <w:szCs w:val="24"/>
        </w:rPr>
      </w:pPr>
      <w:r w:rsidRPr="007763BD">
        <w:rPr>
          <w:rFonts w:cstheme="minorHAnsi"/>
          <w:sz w:val="24"/>
          <w:szCs w:val="24"/>
        </w:rPr>
        <w:t>In conducting an examination, the Commission:</w:t>
      </w:r>
      <w:r w:rsidR="009E3536">
        <w:rPr>
          <w:rStyle w:val="FootnoteReference"/>
          <w:rFonts w:cstheme="minorHAnsi"/>
          <w:sz w:val="24"/>
          <w:szCs w:val="24"/>
        </w:rPr>
        <w:footnoteReference w:id="6"/>
      </w:r>
    </w:p>
    <w:p w14:paraId="403F73BF" w14:textId="77777777" w:rsidR="00870CA9" w:rsidRPr="007763BD" w:rsidRDefault="00870CA9" w:rsidP="00A65D3C">
      <w:pPr>
        <w:pStyle w:val="ListParagraph"/>
        <w:spacing w:line="276" w:lineRule="auto"/>
        <w:ind w:left="1440"/>
        <w:rPr>
          <w:rFonts w:cstheme="minorHAnsi"/>
          <w:sz w:val="24"/>
          <w:szCs w:val="24"/>
        </w:rPr>
      </w:pPr>
    </w:p>
    <w:p w14:paraId="55D3FA8A" w14:textId="242C02A8" w:rsidR="00870CA9" w:rsidRPr="007763BD" w:rsidRDefault="00870CA9" w:rsidP="00A65D3C">
      <w:pPr>
        <w:pStyle w:val="ListParagraph"/>
        <w:numPr>
          <w:ilvl w:val="0"/>
          <w:numId w:val="38"/>
        </w:numPr>
        <w:spacing w:line="276" w:lineRule="auto"/>
        <w:ind w:left="2880"/>
        <w:jc w:val="both"/>
        <w:rPr>
          <w:rFonts w:cstheme="minorHAnsi"/>
          <w:sz w:val="24"/>
          <w:szCs w:val="24"/>
        </w:rPr>
      </w:pPr>
      <w:r w:rsidRPr="007763BD">
        <w:rPr>
          <w:rFonts w:cstheme="minorHAnsi"/>
          <w:sz w:val="24"/>
          <w:szCs w:val="24"/>
        </w:rPr>
        <w:t>must comply with the rules of natural justice and procedural fairness; and</w:t>
      </w:r>
    </w:p>
    <w:p w14:paraId="6E922FCC" w14:textId="32AD954C" w:rsidR="00870CA9" w:rsidRPr="007763BD" w:rsidRDefault="00870CA9" w:rsidP="00A65D3C">
      <w:pPr>
        <w:pStyle w:val="ListParagraph"/>
        <w:numPr>
          <w:ilvl w:val="0"/>
          <w:numId w:val="38"/>
        </w:numPr>
        <w:spacing w:line="276" w:lineRule="auto"/>
        <w:ind w:left="2880"/>
        <w:jc w:val="both"/>
        <w:rPr>
          <w:rFonts w:cstheme="minorHAnsi"/>
          <w:sz w:val="24"/>
          <w:szCs w:val="24"/>
        </w:rPr>
      </w:pPr>
      <w:r w:rsidRPr="007763BD">
        <w:rPr>
          <w:rFonts w:cstheme="minorHAnsi"/>
          <w:sz w:val="24"/>
          <w:szCs w:val="24"/>
        </w:rPr>
        <w:t>is not bound by the rules of evidence and may inform itself of anything in the way it considers appropriate; and</w:t>
      </w:r>
    </w:p>
    <w:p w14:paraId="16EF4296" w14:textId="2A27AA15" w:rsidR="00870CA9" w:rsidRPr="007763BD" w:rsidRDefault="00870CA9" w:rsidP="00A65D3C">
      <w:pPr>
        <w:pStyle w:val="ListParagraph"/>
        <w:numPr>
          <w:ilvl w:val="0"/>
          <w:numId w:val="38"/>
        </w:numPr>
        <w:spacing w:line="276" w:lineRule="auto"/>
        <w:ind w:left="2880"/>
        <w:jc w:val="both"/>
        <w:rPr>
          <w:rFonts w:cstheme="minorHAnsi"/>
          <w:sz w:val="24"/>
          <w:szCs w:val="24"/>
        </w:rPr>
      </w:pPr>
      <w:r w:rsidRPr="007763BD">
        <w:rPr>
          <w:rFonts w:cstheme="minorHAnsi"/>
          <w:sz w:val="24"/>
          <w:szCs w:val="24"/>
        </w:rPr>
        <w:t xml:space="preserve">may decide the procedure of the examination as the </w:t>
      </w:r>
      <w:r w:rsidR="009E3536">
        <w:rPr>
          <w:rFonts w:cstheme="minorHAnsi"/>
          <w:sz w:val="24"/>
          <w:szCs w:val="24"/>
        </w:rPr>
        <w:t>C</w:t>
      </w:r>
      <w:r w:rsidRPr="007763BD">
        <w:rPr>
          <w:rFonts w:cstheme="minorHAnsi"/>
          <w:sz w:val="24"/>
          <w:szCs w:val="24"/>
        </w:rPr>
        <w:t>ommission considers appropriate; and</w:t>
      </w:r>
    </w:p>
    <w:p w14:paraId="46EFB806" w14:textId="3FDCA198" w:rsidR="00870CA9" w:rsidRPr="007763BD" w:rsidRDefault="00870CA9" w:rsidP="00A65D3C">
      <w:pPr>
        <w:pStyle w:val="ListParagraph"/>
        <w:numPr>
          <w:ilvl w:val="0"/>
          <w:numId w:val="38"/>
        </w:numPr>
        <w:spacing w:line="276" w:lineRule="auto"/>
        <w:ind w:left="2880"/>
        <w:jc w:val="both"/>
        <w:rPr>
          <w:rFonts w:cstheme="minorHAnsi"/>
          <w:sz w:val="24"/>
          <w:szCs w:val="24"/>
        </w:rPr>
      </w:pPr>
      <w:r w:rsidRPr="007763BD">
        <w:rPr>
          <w:rFonts w:cstheme="minorHAnsi"/>
          <w:sz w:val="24"/>
          <w:szCs w:val="24"/>
        </w:rPr>
        <w:t xml:space="preserve">must exercise its functions with as little formality and technicality as is possible and, in particular - </w:t>
      </w:r>
    </w:p>
    <w:p w14:paraId="34C8FA60" w14:textId="69007FF8" w:rsidR="00870CA9" w:rsidRPr="007763BD" w:rsidRDefault="00870CA9" w:rsidP="00A65D3C">
      <w:pPr>
        <w:pStyle w:val="ListParagraph"/>
        <w:numPr>
          <w:ilvl w:val="1"/>
          <w:numId w:val="39"/>
        </w:numPr>
        <w:spacing w:line="276" w:lineRule="auto"/>
        <w:ind w:left="3600"/>
        <w:jc w:val="both"/>
        <w:rPr>
          <w:rFonts w:cstheme="minorHAnsi"/>
          <w:sz w:val="24"/>
          <w:szCs w:val="24"/>
        </w:rPr>
      </w:pPr>
      <w:r w:rsidRPr="007763BD">
        <w:rPr>
          <w:rFonts w:cstheme="minorHAnsi"/>
          <w:sz w:val="24"/>
          <w:szCs w:val="24"/>
        </w:rPr>
        <w:t>must accept written submissions as far as possible; and</w:t>
      </w:r>
    </w:p>
    <w:p w14:paraId="2CA2C55A" w14:textId="796AD596" w:rsidR="00870CA9" w:rsidRPr="007763BD" w:rsidRDefault="00870CA9" w:rsidP="00A65D3C">
      <w:pPr>
        <w:pStyle w:val="ListParagraph"/>
        <w:numPr>
          <w:ilvl w:val="1"/>
          <w:numId w:val="39"/>
        </w:numPr>
        <w:spacing w:line="276" w:lineRule="auto"/>
        <w:ind w:left="3600"/>
        <w:jc w:val="both"/>
        <w:rPr>
          <w:rFonts w:cstheme="minorHAnsi"/>
          <w:sz w:val="24"/>
          <w:szCs w:val="24"/>
        </w:rPr>
      </w:pPr>
      <w:r w:rsidRPr="007763BD">
        <w:rPr>
          <w:rFonts w:cstheme="minorHAnsi"/>
          <w:sz w:val="24"/>
          <w:szCs w:val="24"/>
        </w:rPr>
        <w:t>examinations must be conducted with as little emphasis on a</w:t>
      </w:r>
      <w:r w:rsidR="00A65D3C" w:rsidRPr="007763BD">
        <w:rPr>
          <w:rFonts w:cstheme="minorHAnsi"/>
          <w:sz w:val="24"/>
          <w:szCs w:val="24"/>
        </w:rPr>
        <w:t>n</w:t>
      </w:r>
      <w:r w:rsidRPr="007763BD">
        <w:rPr>
          <w:rFonts w:cstheme="minorHAnsi"/>
          <w:sz w:val="24"/>
          <w:szCs w:val="24"/>
        </w:rPr>
        <w:t xml:space="preserve"> adversarial approach as is possible; and</w:t>
      </w:r>
    </w:p>
    <w:p w14:paraId="6E6B40C3" w14:textId="7B5AF051" w:rsidR="00870CA9" w:rsidRPr="007763BD" w:rsidRDefault="00870CA9" w:rsidP="00A65D3C">
      <w:pPr>
        <w:pStyle w:val="ListParagraph"/>
        <w:numPr>
          <w:ilvl w:val="0"/>
          <w:numId w:val="38"/>
        </w:numPr>
        <w:spacing w:line="276" w:lineRule="auto"/>
        <w:ind w:left="2880"/>
        <w:jc w:val="both"/>
        <w:rPr>
          <w:rFonts w:cstheme="minorHAnsi"/>
          <w:sz w:val="24"/>
          <w:szCs w:val="24"/>
        </w:rPr>
      </w:pPr>
      <w:r w:rsidRPr="007763BD">
        <w:rPr>
          <w:rFonts w:cstheme="minorHAnsi"/>
          <w:sz w:val="24"/>
          <w:szCs w:val="24"/>
        </w:rPr>
        <w:t>may do whatever it considers necessary or convenient for the fair and prompt conduct of the proceeding.</w:t>
      </w:r>
    </w:p>
    <w:p w14:paraId="1CD637C8" w14:textId="77777777" w:rsidR="005202D2" w:rsidRPr="007763BD" w:rsidRDefault="005202D2" w:rsidP="006C6857">
      <w:pPr>
        <w:pStyle w:val="ListParagraph"/>
        <w:spacing w:line="276" w:lineRule="auto"/>
        <w:rPr>
          <w:rFonts w:cstheme="minorHAnsi"/>
          <w:sz w:val="24"/>
          <w:szCs w:val="24"/>
        </w:rPr>
      </w:pPr>
    </w:p>
    <w:p w14:paraId="5B57D7CB" w14:textId="44D73F80" w:rsidR="004B529F" w:rsidRPr="007763BD" w:rsidRDefault="004B529F" w:rsidP="006C6857">
      <w:pPr>
        <w:pStyle w:val="ListParagraph"/>
        <w:numPr>
          <w:ilvl w:val="1"/>
          <w:numId w:val="2"/>
        </w:numPr>
        <w:spacing w:line="276" w:lineRule="auto"/>
        <w:jc w:val="both"/>
        <w:rPr>
          <w:rFonts w:cstheme="minorHAnsi"/>
          <w:sz w:val="24"/>
          <w:szCs w:val="24"/>
        </w:rPr>
      </w:pPr>
      <w:r w:rsidRPr="007763BD">
        <w:rPr>
          <w:color w:val="000000"/>
          <w:sz w:val="24"/>
          <w:szCs w:val="24"/>
        </w:rPr>
        <w:t xml:space="preserve">As a public authority under the </w:t>
      </w:r>
      <w:r w:rsidRPr="007763BD">
        <w:rPr>
          <w:i/>
          <w:iCs/>
          <w:color w:val="000000"/>
          <w:sz w:val="24"/>
          <w:szCs w:val="24"/>
        </w:rPr>
        <w:t>Human Rights Act 2004</w:t>
      </w:r>
      <w:r w:rsidRPr="007763BD">
        <w:rPr>
          <w:color w:val="000000"/>
          <w:sz w:val="24"/>
          <w:szCs w:val="24"/>
        </w:rPr>
        <w:t xml:space="preserve"> (ACT), the Commission is required to act consistently with human rights and to give proper consideration to human rights when making decisions.  This includes decisions regarding the conduct of examinations.</w:t>
      </w:r>
    </w:p>
    <w:p w14:paraId="42B9F13C" w14:textId="77777777" w:rsidR="004B529F" w:rsidRPr="007763BD" w:rsidRDefault="004B529F" w:rsidP="004B529F">
      <w:pPr>
        <w:pStyle w:val="ListParagraph"/>
        <w:spacing w:line="276" w:lineRule="auto"/>
        <w:jc w:val="both"/>
        <w:rPr>
          <w:rFonts w:cstheme="minorHAnsi"/>
          <w:sz w:val="24"/>
          <w:szCs w:val="24"/>
        </w:rPr>
      </w:pPr>
    </w:p>
    <w:p w14:paraId="4B1C6EDF" w14:textId="111B31F2" w:rsidR="005202D2" w:rsidRPr="007763BD" w:rsidRDefault="005202D2" w:rsidP="006C6857">
      <w:pPr>
        <w:pStyle w:val="ListParagraph"/>
        <w:numPr>
          <w:ilvl w:val="1"/>
          <w:numId w:val="2"/>
        </w:numPr>
        <w:spacing w:line="276" w:lineRule="auto"/>
        <w:jc w:val="both"/>
        <w:rPr>
          <w:rFonts w:cstheme="minorHAnsi"/>
          <w:sz w:val="24"/>
          <w:szCs w:val="24"/>
        </w:rPr>
      </w:pPr>
      <w:r w:rsidRPr="007763BD">
        <w:rPr>
          <w:rFonts w:cstheme="minorHAnsi"/>
          <w:sz w:val="24"/>
          <w:szCs w:val="24"/>
        </w:rPr>
        <w:t xml:space="preserve">The manner in which the Guidelines are implemented in respect of a particular </w:t>
      </w:r>
      <w:r w:rsidR="00870CA9" w:rsidRPr="007763BD">
        <w:rPr>
          <w:rFonts w:cstheme="minorHAnsi"/>
          <w:sz w:val="24"/>
          <w:szCs w:val="24"/>
        </w:rPr>
        <w:t>examination</w:t>
      </w:r>
      <w:r w:rsidRPr="007763BD">
        <w:rPr>
          <w:rFonts w:cstheme="minorHAnsi"/>
          <w:sz w:val="24"/>
          <w:szCs w:val="24"/>
        </w:rPr>
        <w:t>, and the timing of such implementation, are matters that are within the discretion of the Commissioner.  The Commissioner will take into account the following:</w:t>
      </w:r>
    </w:p>
    <w:p w14:paraId="1A244D69" w14:textId="77777777" w:rsidR="005202D2" w:rsidRPr="007763BD" w:rsidRDefault="005202D2" w:rsidP="006C6857">
      <w:pPr>
        <w:pStyle w:val="ListParagraph"/>
        <w:spacing w:line="276" w:lineRule="auto"/>
        <w:rPr>
          <w:rFonts w:cstheme="minorHAnsi"/>
          <w:sz w:val="24"/>
          <w:szCs w:val="24"/>
        </w:rPr>
      </w:pPr>
    </w:p>
    <w:p w14:paraId="0850ADB2" w14:textId="288D4E2B" w:rsidR="005202D2" w:rsidRPr="007763BD" w:rsidRDefault="005202D2" w:rsidP="006C6857">
      <w:pPr>
        <w:pStyle w:val="ListParagraph"/>
        <w:numPr>
          <w:ilvl w:val="0"/>
          <w:numId w:val="7"/>
        </w:numPr>
        <w:spacing w:line="276" w:lineRule="auto"/>
        <w:jc w:val="both"/>
        <w:rPr>
          <w:rFonts w:cstheme="minorHAnsi"/>
          <w:sz w:val="24"/>
          <w:szCs w:val="24"/>
        </w:rPr>
      </w:pPr>
      <w:r w:rsidRPr="007763BD">
        <w:rPr>
          <w:rFonts w:cstheme="minorHAnsi"/>
          <w:sz w:val="24"/>
          <w:szCs w:val="24"/>
        </w:rPr>
        <w:t xml:space="preserve">the efficient conduct of the </w:t>
      </w:r>
      <w:r w:rsidR="00870CA9" w:rsidRPr="007763BD">
        <w:rPr>
          <w:rFonts w:cstheme="minorHAnsi"/>
          <w:sz w:val="24"/>
          <w:szCs w:val="24"/>
        </w:rPr>
        <w:t>examination</w:t>
      </w:r>
      <w:r w:rsidRPr="007763BD">
        <w:rPr>
          <w:rFonts w:cstheme="minorHAnsi"/>
          <w:sz w:val="24"/>
          <w:szCs w:val="24"/>
        </w:rPr>
        <w:t>;</w:t>
      </w:r>
    </w:p>
    <w:p w14:paraId="541E2FE3" w14:textId="566D90C2" w:rsidR="005202D2" w:rsidRPr="007763BD" w:rsidRDefault="005202D2" w:rsidP="006C6857">
      <w:pPr>
        <w:pStyle w:val="ListParagraph"/>
        <w:numPr>
          <w:ilvl w:val="0"/>
          <w:numId w:val="7"/>
        </w:numPr>
        <w:spacing w:line="276" w:lineRule="auto"/>
        <w:jc w:val="both"/>
        <w:rPr>
          <w:rFonts w:cstheme="minorHAnsi"/>
          <w:sz w:val="24"/>
          <w:szCs w:val="24"/>
        </w:rPr>
      </w:pPr>
      <w:r w:rsidRPr="007763BD">
        <w:rPr>
          <w:rFonts w:cstheme="minorHAnsi"/>
          <w:sz w:val="24"/>
          <w:szCs w:val="24"/>
        </w:rPr>
        <w:t>the effective pursuit of the Commission</w:t>
      </w:r>
      <w:r w:rsidR="00870CA9" w:rsidRPr="007763BD">
        <w:rPr>
          <w:rFonts w:cstheme="minorHAnsi"/>
          <w:sz w:val="24"/>
          <w:szCs w:val="24"/>
        </w:rPr>
        <w:t>’</w:t>
      </w:r>
      <w:r w:rsidRPr="007763BD">
        <w:rPr>
          <w:rFonts w:cstheme="minorHAnsi"/>
          <w:sz w:val="24"/>
          <w:szCs w:val="24"/>
        </w:rPr>
        <w:t xml:space="preserve">s functions as outlined in s </w:t>
      </w:r>
      <w:r w:rsidR="00870CA9" w:rsidRPr="007763BD">
        <w:rPr>
          <w:rFonts w:cstheme="minorHAnsi"/>
          <w:sz w:val="24"/>
          <w:szCs w:val="24"/>
        </w:rPr>
        <w:t>23</w:t>
      </w:r>
      <w:r w:rsidRPr="007763BD">
        <w:rPr>
          <w:rFonts w:cstheme="minorHAnsi"/>
          <w:sz w:val="24"/>
          <w:szCs w:val="24"/>
        </w:rPr>
        <w:t xml:space="preserve"> of the Act;</w:t>
      </w:r>
    </w:p>
    <w:p w14:paraId="00DD1B50" w14:textId="151FAEA9" w:rsidR="00A65D3C" w:rsidRPr="007763BD" w:rsidRDefault="005202D2" w:rsidP="006C6857">
      <w:pPr>
        <w:pStyle w:val="ListParagraph"/>
        <w:numPr>
          <w:ilvl w:val="0"/>
          <w:numId w:val="7"/>
        </w:numPr>
        <w:spacing w:line="276" w:lineRule="auto"/>
        <w:jc w:val="both"/>
        <w:rPr>
          <w:rFonts w:cstheme="minorHAnsi"/>
          <w:sz w:val="24"/>
          <w:szCs w:val="24"/>
        </w:rPr>
      </w:pPr>
      <w:r w:rsidRPr="007763BD">
        <w:rPr>
          <w:rFonts w:cstheme="minorHAnsi"/>
          <w:sz w:val="24"/>
          <w:szCs w:val="24"/>
        </w:rPr>
        <w:t>the requirements of the rules of natural justice and procedural fairness</w:t>
      </w:r>
      <w:r w:rsidR="00A65D3C" w:rsidRPr="007763BD">
        <w:rPr>
          <w:rFonts w:cstheme="minorHAnsi"/>
          <w:sz w:val="24"/>
          <w:szCs w:val="24"/>
        </w:rPr>
        <w:t>;</w:t>
      </w:r>
      <w:r w:rsidR="000C61F3">
        <w:rPr>
          <w:rFonts w:cstheme="minorHAnsi"/>
          <w:sz w:val="24"/>
          <w:szCs w:val="24"/>
        </w:rPr>
        <w:t xml:space="preserve"> and</w:t>
      </w:r>
    </w:p>
    <w:p w14:paraId="32830135" w14:textId="7FBB2AE6" w:rsidR="005202D2" w:rsidRPr="007763BD" w:rsidRDefault="00A65D3C" w:rsidP="006C6857">
      <w:pPr>
        <w:pStyle w:val="ListParagraph"/>
        <w:numPr>
          <w:ilvl w:val="0"/>
          <w:numId w:val="7"/>
        </w:numPr>
        <w:spacing w:line="276" w:lineRule="auto"/>
        <w:jc w:val="both"/>
        <w:rPr>
          <w:rFonts w:cstheme="minorHAnsi"/>
          <w:sz w:val="24"/>
          <w:szCs w:val="24"/>
        </w:rPr>
      </w:pPr>
      <w:r w:rsidRPr="007763BD">
        <w:rPr>
          <w:rFonts w:cstheme="minorHAnsi"/>
          <w:sz w:val="24"/>
          <w:szCs w:val="24"/>
        </w:rPr>
        <w:t xml:space="preserve">the conduct of the examination in such a manner as to avoid </w:t>
      </w:r>
      <w:r w:rsidR="004B529F" w:rsidRPr="007763BD">
        <w:rPr>
          <w:rFonts w:cstheme="minorHAnsi"/>
          <w:sz w:val="24"/>
          <w:szCs w:val="24"/>
        </w:rPr>
        <w:t>unreasonable</w:t>
      </w:r>
      <w:r w:rsidRPr="007763BD">
        <w:rPr>
          <w:rFonts w:cstheme="minorHAnsi"/>
          <w:sz w:val="24"/>
          <w:szCs w:val="24"/>
        </w:rPr>
        <w:t xml:space="preserve"> infring</w:t>
      </w:r>
      <w:r w:rsidR="004B529F" w:rsidRPr="007763BD">
        <w:rPr>
          <w:rFonts w:cstheme="minorHAnsi"/>
          <w:sz w:val="24"/>
          <w:szCs w:val="24"/>
        </w:rPr>
        <w:t>ement of</w:t>
      </w:r>
      <w:r w:rsidRPr="007763BD">
        <w:rPr>
          <w:rFonts w:cstheme="minorHAnsi"/>
          <w:sz w:val="24"/>
          <w:szCs w:val="24"/>
        </w:rPr>
        <w:t xml:space="preserve"> a person’s human rights</w:t>
      </w:r>
      <w:r w:rsidR="00870CA9" w:rsidRPr="007763BD">
        <w:rPr>
          <w:rFonts w:cstheme="minorHAnsi"/>
          <w:sz w:val="24"/>
          <w:szCs w:val="24"/>
        </w:rPr>
        <w:t>.</w:t>
      </w:r>
    </w:p>
    <w:p w14:paraId="5940A6FB" w14:textId="77777777" w:rsidR="000A79AE" w:rsidRPr="000A79AE" w:rsidRDefault="000A79AE" w:rsidP="000A79AE">
      <w:pPr>
        <w:pStyle w:val="ListParagraph"/>
        <w:spacing w:line="276" w:lineRule="auto"/>
        <w:jc w:val="both"/>
        <w:rPr>
          <w:rFonts w:cstheme="minorHAnsi"/>
          <w:sz w:val="24"/>
          <w:szCs w:val="24"/>
        </w:rPr>
      </w:pPr>
    </w:p>
    <w:p w14:paraId="0A48F1EB" w14:textId="71C91D4F" w:rsidR="00F45645" w:rsidRPr="00F45645" w:rsidRDefault="00F45645" w:rsidP="006C6857">
      <w:pPr>
        <w:pStyle w:val="ListParagraph"/>
        <w:numPr>
          <w:ilvl w:val="1"/>
          <w:numId w:val="2"/>
        </w:numPr>
        <w:spacing w:line="276" w:lineRule="auto"/>
        <w:jc w:val="both"/>
        <w:rPr>
          <w:rFonts w:cstheme="minorHAnsi"/>
          <w:sz w:val="24"/>
          <w:szCs w:val="24"/>
        </w:rPr>
      </w:pPr>
      <w:r w:rsidRPr="00F45645">
        <w:rPr>
          <w:rFonts w:cstheme="minorHAnsi"/>
          <w:sz w:val="24"/>
          <w:szCs w:val="24"/>
        </w:rPr>
        <w:t xml:space="preserve">These Guidelines are to be read in conjunction with the Standard Directions for public </w:t>
      </w:r>
      <w:r w:rsidR="0006179D">
        <w:rPr>
          <w:rFonts w:cstheme="minorHAnsi"/>
          <w:sz w:val="24"/>
          <w:szCs w:val="24"/>
        </w:rPr>
        <w:t>examinations</w:t>
      </w:r>
      <w:r w:rsidRPr="00F45645">
        <w:rPr>
          <w:rFonts w:cstheme="minorHAnsi"/>
          <w:sz w:val="24"/>
          <w:szCs w:val="24"/>
        </w:rPr>
        <w:t>.</w:t>
      </w:r>
    </w:p>
    <w:p w14:paraId="00248CFF" w14:textId="77777777" w:rsidR="005202D2" w:rsidRPr="005202D2" w:rsidRDefault="005202D2" w:rsidP="006C6857">
      <w:pPr>
        <w:pStyle w:val="ListParagraph"/>
        <w:spacing w:line="276" w:lineRule="auto"/>
        <w:rPr>
          <w:rFonts w:cstheme="minorHAnsi"/>
          <w:sz w:val="24"/>
          <w:szCs w:val="24"/>
        </w:rPr>
      </w:pPr>
    </w:p>
    <w:p w14:paraId="7413D632" w14:textId="77777777" w:rsidR="005469C3" w:rsidRPr="00126D35" w:rsidRDefault="005469C3" w:rsidP="006C6857">
      <w:pPr>
        <w:spacing w:line="276" w:lineRule="auto"/>
        <w:jc w:val="both"/>
        <w:rPr>
          <w:rFonts w:cstheme="minorHAnsi"/>
          <w:b/>
          <w:bCs/>
          <w:sz w:val="24"/>
          <w:szCs w:val="24"/>
        </w:rPr>
      </w:pPr>
      <w:r w:rsidRPr="00126D35">
        <w:rPr>
          <w:rFonts w:cstheme="minorHAnsi"/>
          <w:b/>
          <w:bCs/>
          <w:sz w:val="24"/>
          <w:szCs w:val="24"/>
        </w:rPr>
        <w:br w:type="page"/>
      </w:r>
    </w:p>
    <w:p w14:paraId="380D21D8" w14:textId="512CBEC2" w:rsidR="005469C3" w:rsidRDefault="00385609" w:rsidP="00FA1E87">
      <w:pPr>
        <w:pStyle w:val="Heading1"/>
        <w:numPr>
          <w:ilvl w:val="0"/>
          <w:numId w:val="2"/>
        </w:numPr>
      </w:pPr>
      <w:bookmarkStart w:id="2" w:name="_Toc64037625"/>
      <w:r>
        <w:lastRenderedPageBreak/>
        <w:t>Natural justice and procedural fairness</w:t>
      </w:r>
      <w:bookmarkEnd w:id="2"/>
    </w:p>
    <w:p w14:paraId="6A961E29" w14:textId="77777777" w:rsidR="00B0451F" w:rsidRPr="00126D35" w:rsidRDefault="00B0451F" w:rsidP="006C6857">
      <w:pPr>
        <w:pStyle w:val="ListParagraph"/>
        <w:spacing w:line="276" w:lineRule="auto"/>
        <w:ind w:left="360"/>
        <w:jc w:val="both"/>
        <w:rPr>
          <w:rFonts w:asciiTheme="majorHAnsi" w:hAnsiTheme="majorHAnsi" w:cstheme="majorHAnsi"/>
          <w:color w:val="2F5496" w:themeColor="accent1" w:themeShade="BF"/>
          <w:sz w:val="32"/>
          <w:szCs w:val="32"/>
        </w:rPr>
      </w:pPr>
    </w:p>
    <w:p w14:paraId="3E70CF32" w14:textId="68783220" w:rsidR="00B0451F" w:rsidRPr="003C78EE" w:rsidRDefault="00B0451F" w:rsidP="006C6857">
      <w:pPr>
        <w:pStyle w:val="ListParagraph"/>
        <w:numPr>
          <w:ilvl w:val="1"/>
          <w:numId w:val="2"/>
        </w:numPr>
        <w:spacing w:line="276" w:lineRule="auto"/>
        <w:jc w:val="both"/>
        <w:rPr>
          <w:rFonts w:cstheme="minorHAnsi"/>
          <w:sz w:val="24"/>
          <w:szCs w:val="24"/>
        </w:rPr>
      </w:pPr>
      <w:r w:rsidRPr="003C78EE">
        <w:rPr>
          <w:rFonts w:cstheme="minorHAnsi"/>
          <w:sz w:val="24"/>
          <w:szCs w:val="24"/>
        </w:rPr>
        <w:t xml:space="preserve">In conducting an examination, the </w:t>
      </w:r>
      <w:r w:rsidR="000C61F3">
        <w:rPr>
          <w:rFonts w:cstheme="minorHAnsi"/>
          <w:sz w:val="24"/>
          <w:szCs w:val="24"/>
        </w:rPr>
        <w:t>Commission</w:t>
      </w:r>
      <w:r w:rsidR="000C61F3" w:rsidRPr="003C78EE">
        <w:rPr>
          <w:rFonts w:cstheme="minorHAnsi"/>
          <w:sz w:val="24"/>
          <w:szCs w:val="24"/>
        </w:rPr>
        <w:t xml:space="preserve"> </w:t>
      </w:r>
      <w:r w:rsidRPr="003C78EE">
        <w:rPr>
          <w:rFonts w:cstheme="minorHAnsi"/>
          <w:sz w:val="24"/>
          <w:szCs w:val="24"/>
        </w:rPr>
        <w:t>must comply with the rules of natural justice and procedural fairness.</w:t>
      </w:r>
      <w:r w:rsidRPr="00B0451F">
        <w:rPr>
          <w:rStyle w:val="FootnoteReference"/>
          <w:rFonts w:cstheme="minorHAnsi"/>
          <w:sz w:val="24"/>
          <w:szCs w:val="24"/>
        </w:rPr>
        <w:footnoteReference w:id="7"/>
      </w:r>
      <w:r w:rsidRPr="003C78EE">
        <w:rPr>
          <w:rFonts w:cstheme="minorHAnsi"/>
          <w:sz w:val="24"/>
          <w:szCs w:val="24"/>
        </w:rPr>
        <w:t xml:space="preserve">  </w:t>
      </w:r>
      <w:r w:rsidR="009E3536">
        <w:rPr>
          <w:rFonts w:cstheme="minorHAnsi"/>
          <w:sz w:val="24"/>
          <w:szCs w:val="24"/>
        </w:rPr>
        <w:t xml:space="preserve">In substance, this means that the person being examined must be treated fairly.  </w:t>
      </w:r>
      <w:r w:rsidR="00385609" w:rsidRPr="003C78EE">
        <w:rPr>
          <w:rFonts w:cstheme="minorHAnsi"/>
          <w:sz w:val="24"/>
          <w:szCs w:val="24"/>
        </w:rPr>
        <w:t xml:space="preserve">  </w:t>
      </w:r>
    </w:p>
    <w:p w14:paraId="336B5F21" w14:textId="77777777" w:rsidR="00B0451F" w:rsidRDefault="00B0451F" w:rsidP="006C6857">
      <w:pPr>
        <w:pStyle w:val="ListParagraph"/>
        <w:spacing w:line="276" w:lineRule="auto"/>
        <w:jc w:val="both"/>
        <w:rPr>
          <w:rFonts w:cstheme="minorHAnsi"/>
          <w:sz w:val="24"/>
          <w:szCs w:val="24"/>
        </w:rPr>
      </w:pPr>
    </w:p>
    <w:p w14:paraId="654D393A" w14:textId="245B977F" w:rsidR="009E3536" w:rsidRDefault="00385609" w:rsidP="009E3536">
      <w:pPr>
        <w:pStyle w:val="ListParagraph"/>
        <w:numPr>
          <w:ilvl w:val="1"/>
          <w:numId w:val="2"/>
        </w:numPr>
        <w:spacing w:line="276" w:lineRule="auto"/>
        <w:jc w:val="both"/>
        <w:rPr>
          <w:rFonts w:cstheme="minorHAnsi"/>
          <w:sz w:val="24"/>
          <w:szCs w:val="24"/>
        </w:rPr>
      </w:pPr>
      <w:r w:rsidRPr="00DD46AB">
        <w:rPr>
          <w:rFonts w:cstheme="minorHAnsi"/>
          <w:sz w:val="24"/>
          <w:szCs w:val="24"/>
        </w:rPr>
        <w:t xml:space="preserve">The requirement to comply with the rules of natural justice benefits </w:t>
      </w:r>
      <w:r w:rsidR="00451B87">
        <w:rPr>
          <w:rFonts w:cstheme="minorHAnsi"/>
          <w:sz w:val="24"/>
          <w:szCs w:val="24"/>
        </w:rPr>
        <w:t>person</w:t>
      </w:r>
      <w:r w:rsidRPr="00DD46AB">
        <w:rPr>
          <w:rFonts w:cstheme="minorHAnsi"/>
          <w:sz w:val="24"/>
          <w:szCs w:val="24"/>
        </w:rPr>
        <w:t xml:space="preserve">s summonsed by the </w:t>
      </w:r>
      <w:r w:rsidR="000C61F3">
        <w:rPr>
          <w:rFonts w:cstheme="minorHAnsi"/>
          <w:sz w:val="24"/>
          <w:szCs w:val="24"/>
        </w:rPr>
        <w:t>Commission</w:t>
      </w:r>
      <w:r w:rsidR="000C61F3" w:rsidRPr="00DD46AB">
        <w:rPr>
          <w:rFonts w:cstheme="minorHAnsi"/>
          <w:sz w:val="24"/>
          <w:szCs w:val="24"/>
        </w:rPr>
        <w:t xml:space="preserve"> </w:t>
      </w:r>
      <w:r w:rsidRPr="00DD46AB">
        <w:rPr>
          <w:rFonts w:cstheme="minorHAnsi"/>
          <w:sz w:val="24"/>
          <w:szCs w:val="24"/>
        </w:rPr>
        <w:t xml:space="preserve">to an examination, but also the reputation of the </w:t>
      </w:r>
      <w:r w:rsidR="000C61F3">
        <w:rPr>
          <w:rFonts w:cstheme="minorHAnsi"/>
          <w:sz w:val="24"/>
          <w:szCs w:val="24"/>
        </w:rPr>
        <w:t>Commission</w:t>
      </w:r>
      <w:r w:rsidR="000C61F3" w:rsidRPr="00DD46AB">
        <w:rPr>
          <w:rFonts w:cstheme="minorHAnsi"/>
          <w:sz w:val="24"/>
          <w:szCs w:val="24"/>
        </w:rPr>
        <w:t xml:space="preserve"> </w:t>
      </w:r>
      <w:r w:rsidRPr="00DD46AB">
        <w:rPr>
          <w:rFonts w:cstheme="minorHAnsi"/>
          <w:sz w:val="24"/>
          <w:szCs w:val="24"/>
        </w:rPr>
        <w:t>itself</w:t>
      </w:r>
      <w:r w:rsidR="009E3536">
        <w:rPr>
          <w:rFonts w:cstheme="minorHAnsi"/>
          <w:sz w:val="24"/>
          <w:szCs w:val="24"/>
        </w:rPr>
        <w:t xml:space="preserve">. </w:t>
      </w:r>
    </w:p>
    <w:p w14:paraId="020231FC" w14:textId="77777777" w:rsidR="009E3536" w:rsidRPr="009E3536" w:rsidRDefault="009E3536" w:rsidP="009E3536">
      <w:pPr>
        <w:pStyle w:val="ListParagraph"/>
        <w:rPr>
          <w:rFonts w:cstheme="minorHAnsi"/>
          <w:sz w:val="24"/>
          <w:szCs w:val="24"/>
        </w:rPr>
      </w:pPr>
    </w:p>
    <w:p w14:paraId="19C63289" w14:textId="039B114F" w:rsidR="002C2B70" w:rsidRDefault="00385609" w:rsidP="002C2B70">
      <w:pPr>
        <w:pStyle w:val="ListParagraph"/>
        <w:numPr>
          <w:ilvl w:val="1"/>
          <w:numId w:val="2"/>
        </w:numPr>
        <w:spacing w:line="276" w:lineRule="auto"/>
        <w:jc w:val="both"/>
        <w:rPr>
          <w:rFonts w:cstheme="minorHAnsi"/>
          <w:sz w:val="24"/>
          <w:szCs w:val="24"/>
        </w:rPr>
      </w:pPr>
      <w:r w:rsidRPr="003C78EE">
        <w:rPr>
          <w:rFonts w:cstheme="minorHAnsi"/>
          <w:sz w:val="24"/>
          <w:szCs w:val="24"/>
        </w:rPr>
        <w:t xml:space="preserve">Precisely how natural justice </w:t>
      </w:r>
      <w:r w:rsidR="00DD46AB">
        <w:rPr>
          <w:rFonts w:cstheme="minorHAnsi"/>
          <w:sz w:val="24"/>
          <w:szCs w:val="24"/>
        </w:rPr>
        <w:t xml:space="preserve">and procedural fairness </w:t>
      </w:r>
      <w:r w:rsidRPr="003C78EE">
        <w:rPr>
          <w:rFonts w:cstheme="minorHAnsi"/>
          <w:sz w:val="24"/>
          <w:szCs w:val="24"/>
        </w:rPr>
        <w:t xml:space="preserve">applies to </w:t>
      </w:r>
      <w:r w:rsidR="002C2B70">
        <w:rPr>
          <w:rFonts w:cstheme="minorHAnsi"/>
          <w:sz w:val="24"/>
          <w:szCs w:val="24"/>
        </w:rPr>
        <w:t xml:space="preserve">particular examinations depends upon considerations that may well apply differently in each case.  Thus, although witnesses are entitled to be information at the outset of the nature of the matters about which they are to be questioned, this may be significantly limited if the information would be likely to compromise an investigation or otherwise be contrary to the public interest. Usually witnesses will be given sufficient notice of an examination to enable them to consult a lawyer but in some exceptional cases, the </w:t>
      </w:r>
      <w:r w:rsidR="00D27C67">
        <w:rPr>
          <w:rFonts w:cstheme="minorHAnsi"/>
          <w:sz w:val="24"/>
          <w:szCs w:val="24"/>
        </w:rPr>
        <w:t>requirements</w:t>
      </w:r>
      <w:r w:rsidR="002C2B70">
        <w:rPr>
          <w:rFonts w:cstheme="minorHAnsi"/>
          <w:sz w:val="24"/>
          <w:szCs w:val="24"/>
        </w:rPr>
        <w:t xml:space="preserve"> of an investigation may not permit this.  </w:t>
      </w:r>
      <w:r w:rsidR="009A75E6" w:rsidRPr="00D27C67">
        <w:rPr>
          <w:rFonts w:cstheme="minorHAnsi"/>
          <w:sz w:val="24"/>
          <w:szCs w:val="24"/>
        </w:rPr>
        <w:t>Where the Commission proposes to</w:t>
      </w:r>
      <w:r w:rsidR="002C2B70" w:rsidRPr="00D27C67">
        <w:rPr>
          <w:rFonts w:cstheme="minorHAnsi"/>
          <w:sz w:val="24"/>
          <w:szCs w:val="24"/>
        </w:rPr>
        <w:t xml:space="preserve"> </w:t>
      </w:r>
      <w:r w:rsidR="009A75E6" w:rsidRPr="00D27C67">
        <w:rPr>
          <w:rFonts w:cstheme="minorHAnsi"/>
          <w:sz w:val="24"/>
          <w:szCs w:val="24"/>
        </w:rPr>
        <w:t xml:space="preserve">examine a witness in </w:t>
      </w:r>
      <w:r w:rsidR="002C2B70" w:rsidRPr="00D27C67">
        <w:rPr>
          <w:rFonts w:cstheme="minorHAnsi"/>
          <w:sz w:val="24"/>
          <w:szCs w:val="24"/>
        </w:rPr>
        <w:t>public</w:t>
      </w:r>
      <w:r w:rsidR="009A75E6" w:rsidRPr="00D27C67">
        <w:rPr>
          <w:rFonts w:cstheme="minorHAnsi"/>
          <w:sz w:val="24"/>
          <w:szCs w:val="24"/>
        </w:rPr>
        <w:t>,</w:t>
      </w:r>
      <w:r w:rsidR="002C2B70" w:rsidRPr="00D27C67">
        <w:rPr>
          <w:rFonts w:cstheme="minorHAnsi"/>
          <w:sz w:val="24"/>
          <w:szCs w:val="24"/>
        </w:rPr>
        <w:t xml:space="preserve"> </w:t>
      </w:r>
      <w:r w:rsidR="009A75E6" w:rsidRPr="00D27C67">
        <w:rPr>
          <w:rFonts w:cstheme="minorHAnsi"/>
          <w:sz w:val="24"/>
          <w:szCs w:val="24"/>
        </w:rPr>
        <w:t>the</w:t>
      </w:r>
      <w:r w:rsidR="002C2B70" w:rsidRPr="00D27C67">
        <w:rPr>
          <w:rFonts w:cstheme="minorHAnsi"/>
          <w:sz w:val="24"/>
          <w:szCs w:val="24"/>
        </w:rPr>
        <w:t xml:space="preserve"> witness will, unless the circumstances are exceptional, be afforded the opportunity to make submissions on the </w:t>
      </w:r>
      <w:r w:rsidR="009A75E6" w:rsidRPr="00D27C67">
        <w:rPr>
          <w:rFonts w:cstheme="minorHAnsi"/>
          <w:sz w:val="24"/>
          <w:szCs w:val="24"/>
        </w:rPr>
        <w:t>question of holding that examination in public</w:t>
      </w:r>
      <w:r w:rsidR="002C2B70" w:rsidRPr="00D27C67">
        <w:rPr>
          <w:rFonts w:cstheme="minorHAnsi"/>
          <w:sz w:val="24"/>
          <w:szCs w:val="24"/>
        </w:rPr>
        <w:t>.  Generally, a witne</w:t>
      </w:r>
      <w:r w:rsidR="002C2B70">
        <w:rPr>
          <w:rFonts w:cstheme="minorHAnsi"/>
          <w:sz w:val="24"/>
          <w:szCs w:val="24"/>
        </w:rPr>
        <w:t>ss (either personally or through their lawyer) will be given an opportunity to make submissions about procedural steps that affect them, including whether any suppression or confidentiality orders should be made.  Claims of privilege will always be permitted to be made.</w:t>
      </w:r>
      <w:r w:rsidR="00165F71">
        <w:rPr>
          <w:rFonts w:cstheme="minorHAnsi"/>
          <w:sz w:val="24"/>
          <w:szCs w:val="24"/>
        </w:rPr>
        <w:t xml:space="preserve"> </w:t>
      </w:r>
    </w:p>
    <w:p w14:paraId="3B97B8B4" w14:textId="77777777" w:rsidR="00FC0E59" w:rsidRDefault="00FC0E59" w:rsidP="00FC0E59">
      <w:pPr>
        <w:pStyle w:val="ListParagraph"/>
        <w:spacing w:line="276" w:lineRule="auto"/>
        <w:jc w:val="both"/>
        <w:rPr>
          <w:rFonts w:cstheme="minorHAnsi"/>
          <w:sz w:val="24"/>
          <w:szCs w:val="24"/>
        </w:rPr>
      </w:pPr>
    </w:p>
    <w:p w14:paraId="27BCFD3F" w14:textId="17373BEE" w:rsidR="00FC0E59" w:rsidRPr="00B0451F" w:rsidRDefault="00FC0E59" w:rsidP="002C2B70">
      <w:pPr>
        <w:pStyle w:val="ListParagraph"/>
        <w:numPr>
          <w:ilvl w:val="1"/>
          <w:numId w:val="2"/>
        </w:numPr>
        <w:spacing w:line="276" w:lineRule="auto"/>
        <w:jc w:val="both"/>
        <w:rPr>
          <w:rFonts w:cstheme="minorHAnsi"/>
          <w:sz w:val="24"/>
          <w:szCs w:val="24"/>
        </w:rPr>
      </w:pPr>
      <w:r>
        <w:rPr>
          <w:rFonts w:cstheme="minorHAnsi"/>
          <w:sz w:val="24"/>
          <w:szCs w:val="24"/>
        </w:rPr>
        <w:t>Although, in most private examinations, a person of interest who might be adversely affected by the witness’s evidence will not be permitted to attend or to cross-examine, the Commissioner will decide on a case by case basis whether natural justice and procedural fairness require this opportunity to be provided.  Where the examination is in public, cross-examination will usually be permitted, subject to the discretion of the Commissioner as to its utility.</w:t>
      </w:r>
    </w:p>
    <w:p w14:paraId="65C173D5" w14:textId="77777777" w:rsidR="002C2B70" w:rsidRDefault="002C2B70" w:rsidP="002C2B70">
      <w:pPr>
        <w:pStyle w:val="ListParagraph"/>
        <w:spacing w:after="0" w:line="276" w:lineRule="auto"/>
        <w:jc w:val="both"/>
        <w:rPr>
          <w:rFonts w:cstheme="minorHAnsi"/>
          <w:sz w:val="24"/>
          <w:szCs w:val="24"/>
        </w:rPr>
      </w:pPr>
    </w:p>
    <w:p w14:paraId="422736EC" w14:textId="3D02DFD2" w:rsidR="003C78EE" w:rsidRPr="000A79AE" w:rsidRDefault="000A79AE" w:rsidP="000A79AE">
      <w:pPr>
        <w:pStyle w:val="ListParagraph"/>
        <w:numPr>
          <w:ilvl w:val="1"/>
          <w:numId w:val="2"/>
        </w:numPr>
        <w:spacing w:after="0" w:line="276" w:lineRule="auto"/>
        <w:jc w:val="both"/>
        <w:rPr>
          <w:rFonts w:cstheme="minorHAnsi"/>
          <w:sz w:val="24"/>
          <w:szCs w:val="24"/>
        </w:rPr>
      </w:pPr>
      <w:r>
        <w:rPr>
          <w:rFonts w:cstheme="minorHAnsi"/>
          <w:sz w:val="24"/>
          <w:szCs w:val="24"/>
        </w:rPr>
        <w:t>In the context of an examination, the</w:t>
      </w:r>
      <w:r w:rsidRPr="000A79AE">
        <w:rPr>
          <w:rFonts w:cstheme="minorHAnsi"/>
          <w:sz w:val="24"/>
          <w:szCs w:val="24"/>
        </w:rPr>
        <w:t xml:space="preserve"> following general principles can be stated:</w:t>
      </w:r>
    </w:p>
    <w:p w14:paraId="749C4F8E" w14:textId="77777777" w:rsidR="000A79AE" w:rsidRPr="000A79AE" w:rsidRDefault="000A79AE" w:rsidP="000A79AE">
      <w:pPr>
        <w:pStyle w:val="ListParagraph"/>
        <w:spacing w:after="0" w:line="276" w:lineRule="auto"/>
        <w:ind w:left="360"/>
        <w:jc w:val="both"/>
        <w:rPr>
          <w:rFonts w:cstheme="minorHAnsi"/>
          <w:sz w:val="24"/>
          <w:szCs w:val="24"/>
        </w:rPr>
      </w:pPr>
    </w:p>
    <w:p w14:paraId="4E9DA85E" w14:textId="21EF25CD" w:rsidR="000A79AE" w:rsidRPr="000A79AE" w:rsidRDefault="000A79AE" w:rsidP="000A79AE">
      <w:pPr>
        <w:pStyle w:val="ListParagraph"/>
        <w:numPr>
          <w:ilvl w:val="0"/>
          <w:numId w:val="43"/>
        </w:numPr>
        <w:spacing w:after="200" w:line="276" w:lineRule="auto"/>
        <w:ind w:left="1440"/>
        <w:jc w:val="both"/>
        <w:rPr>
          <w:rFonts w:cstheme="minorHAnsi"/>
          <w:sz w:val="24"/>
          <w:szCs w:val="24"/>
        </w:rPr>
      </w:pPr>
      <w:r>
        <w:rPr>
          <w:rFonts w:cstheme="minorHAnsi"/>
          <w:sz w:val="24"/>
          <w:szCs w:val="24"/>
        </w:rPr>
        <w:t>t</w:t>
      </w:r>
      <w:r w:rsidRPr="000A79AE">
        <w:rPr>
          <w:rFonts w:cstheme="minorHAnsi"/>
          <w:sz w:val="24"/>
          <w:szCs w:val="24"/>
        </w:rPr>
        <w:t>he Commissioner makes all procedural decisions;</w:t>
      </w:r>
    </w:p>
    <w:p w14:paraId="1150F5AB" w14:textId="77777777" w:rsidR="000A79AE" w:rsidRPr="000A79AE" w:rsidRDefault="000A79AE" w:rsidP="000A79AE">
      <w:pPr>
        <w:pStyle w:val="ListParagraph"/>
        <w:spacing w:after="200" w:line="276" w:lineRule="auto"/>
        <w:ind w:left="2160"/>
        <w:jc w:val="both"/>
        <w:rPr>
          <w:rFonts w:cstheme="minorHAnsi"/>
          <w:sz w:val="24"/>
          <w:szCs w:val="24"/>
        </w:rPr>
      </w:pPr>
    </w:p>
    <w:p w14:paraId="69ED5A97" w14:textId="19249CC2" w:rsidR="000A79AE" w:rsidRPr="000A79AE" w:rsidRDefault="000A79AE" w:rsidP="000A79AE">
      <w:pPr>
        <w:pStyle w:val="ListParagraph"/>
        <w:numPr>
          <w:ilvl w:val="0"/>
          <w:numId w:val="43"/>
        </w:numPr>
        <w:spacing w:after="200" w:line="276" w:lineRule="auto"/>
        <w:ind w:left="1440"/>
        <w:jc w:val="both"/>
        <w:rPr>
          <w:rFonts w:cstheme="minorHAnsi"/>
          <w:sz w:val="24"/>
          <w:szCs w:val="24"/>
        </w:rPr>
      </w:pPr>
      <w:r>
        <w:rPr>
          <w:rFonts w:cstheme="minorHAnsi"/>
          <w:sz w:val="24"/>
          <w:szCs w:val="24"/>
        </w:rPr>
        <w:lastRenderedPageBreak/>
        <w:t>t</w:t>
      </w:r>
      <w:r w:rsidRPr="000A79AE">
        <w:rPr>
          <w:rFonts w:cstheme="minorHAnsi"/>
          <w:sz w:val="24"/>
          <w:szCs w:val="24"/>
        </w:rPr>
        <w:t xml:space="preserve">he Commissioner decides </w:t>
      </w:r>
      <w:r w:rsidR="0006179D">
        <w:rPr>
          <w:rFonts w:cstheme="minorHAnsi"/>
          <w:sz w:val="24"/>
          <w:szCs w:val="24"/>
        </w:rPr>
        <w:t>the people who are to be summonsed to give evidence at an examination and/or to produce documents or other things to the Commission</w:t>
      </w:r>
      <w:r>
        <w:rPr>
          <w:rFonts w:cstheme="minorHAnsi"/>
          <w:sz w:val="24"/>
          <w:szCs w:val="24"/>
        </w:rPr>
        <w:t>;</w:t>
      </w:r>
      <w:r w:rsidRPr="000A79AE">
        <w:rPr>
          <w:rFonts w:cstheme="minorHAnsi"/>
          <w:sz w:val="24"/>
          <w:szCs w:val="24"/>
        </w:rPr>
        <w:t xml:space="preserve"> </w:t>
      </w:r>
    </w:p>
    <w:p w14:paraId="51B938E8" w14:textId="77777777" w:rsidR="000A79AE" w:rsidRPr="000A79AE" w:rsidRDefault="000A79AE" w:rsidP="000A79AE">
      <w:pPr>
        <w:pStyle w:val="ListParagraph"/>
        <w:spacing w:after="200" w:line="276" w:lineRule="auto"/>
        <w:ind w:left="0"/>
        <w:jc w:val="both"/>
        <w:rPr>
          <w:rFonts w:cstheme="minorHAnsi"/>
          <w:sz w:val="24"/>
          <w:szCs w:val="24"/>
        </w:rPr>
      </w:pPr>
    </w:p>
    <w:p w14:paraId="49C90541" w14:textId="2C662FA0" w:rsidR="000A79AE" w:rsidRPr="000A79AE" w:rsidRDefault="000A79AE" w:rsidP="000A79AE">
      <w:pPr>
        <w:pStyle w:val="ListParagraph"/>
        <w:numPr>
          <w:ilvl w:val="0"/>
          <w:numId w:val="43"/>
        </w:numPr>
        <w:spacing w:after="200" w:line="276" w:lineRule="auto"/>
        <w:ind w:left="1440"/>
        <w:jc w:val="both"/>
        <w:rPr>
          <w:rFonts w:cstheme="minorHAnsi"/>
          <w:sz w:val="24"/>
          <w:szCs w:val="24"/>
        </w:rPr>
      </w:pPr>
      <w:r>
        <w:rPr>
          <w:rFonts w:cstheme="minorHAnsi"/>
          <w:sz w:val="24"/>
          <w:szCs w:val="24"/>
        </w:rPr>
        <w:t>t</w:t>
      </w:r>
      <w:r w:rsidRPr="000A79AE">
        <w:rPr>
          <w:rFonts w:cstheme="minorHAnsi"/>
          <w:sz w:val="24"/>
          <w:szCs w:val="24"/>
        </w:rPr>
        <w:t xml:space="preserve">he Commissioner decides </w:t>
      </w:r>
      <w:r w:rsidR="0006179D">
        <w:rPr>
          <w:rFonts w:cstheme="minorHAnsi"/>
          <w:sz w:val="24"/>
          <w:szCs w:val="24"/>
        </w:rPr>
        <w:t>the</w:t>
      </w:r>
      <w:r w:rsidRPr="000A79AE">
        <w:rPr>
          <w:rFonts w:cstheme="minorHAnsi"/>
          <w:sz w:val="24"/>
          <w:szCs w:val="24"/>
        </w:rPr>
        <w:t xml:space="preserve"> matters </w:t>
      </w:r>
      <w:r w:rsidR="0006179D">
        <w:rPr>
          <w:rFonts w:cstheme="minorHAnsi"/>
          <w:sz w:val="24"/>
          <w:szCs w:val="24"/>
        </w:rPr>
        <w:t>which are to be the subject of the examination</w:t>
      </w:r>
      <w:r>
        <w:rPr>
          <w:rFonts w:cstheme="minorHAnsi"/>
          <w:sz w:val="24"/>
          <w:szCs w:val="24"/>
        </w:rPr>
        <w:t>;</w:t>
      </w:r>
      <w:r w:rsidR="00FC0E59">
        <w:rPr>
          <w:rFonts w:cstheme="minorHAnsi"/>
          <w:sz w:val="24"/>
          <w:szCs w:val="24"/>
        </w:rPr>
        <w:t xml:space="preserve"> and</w:t>
      </w:r>
    </w:p>
    <w:p w14:paraId="3FDB7ACF" w14:textId="77777777" w:rsidR="000A79AE" w:rsidRPr="000A79AE" w:rsidRDefault="000A79AE" w:rsidP="000A79AE">
      <w:pPr>
        <w:pStyle w:val="ListParagraph"/>
        <w:spacing w:after="200" w:line="276" w:lineRule="auto"/>
        <w:ind w:left="0"/>
        <w:jc w:val="both"/>
        <w:rPr>
          <w:rFonts w:cstheme="minorHAnsi"/>
          <w:sz w:val="24"/>
          <w:szCs w:val="24"/>
        </w:rPr>
      </w:pPr>
    </w:p>
    <w:p w14:paraId="62033C20" w14:textId="22925B6C" w:rsidR="000A79AE" w:rsidRPr="000A79AE" w:rsidRDefault="000A79AE" w:rsidP="000A79AE">
      <w:pPr>
        <w:pStyle w:val="ListParagraph"/>
        <w:numPr>
          <w:ilvl w:val="0"/>
          <w:numId w:val="43"/>
        </w:numPr>
        <w:spacing w:after="200" w:line="276" w:lineRule="auto"/>
        <w:ind w:left="1440"/>
        <w:jc w:val="both"/>
        <w:rPr>
          <w:rFonts w:cstheme="minorHAnsi"/>
          <w:sz w:val="24"/>
          <w:szCs w:val="24"/>
        </w:rPr>
      </w:pPr>
      <w:r>
        <w:rPr>
          <w:rFonts w:cstheme="minorHAnsi"/>
          <w:sz w:val="24"/>
          <w:szCs w:val="24"/>
        </w:rPr>
        <w:t>t</w:t>
      </w:r>
      <w:r w:rsidRPr="000A79AE">
        <w:rPr>
          <w:rFonts w:cstheme="minorHAnsi"/>
          <w:sz w:val="24"/>
          <w:szCs w:val="24"/>
        </w:rPr>
        <w:t xml:space="preserve">he Commissioner decides how witnesses will be examined, bearing in mind the inquisitorial rather than adversarial nature of the </w:t>
      </w:r>
      <w:r>
        <w:rPr>
          <w:rFonts w:cstheme="minorHAnsi"/>
          <w:sz w:val="24"/>
          <w:szCs w:val="24"/>
        </w:rPr>
        <w:t>examination</w:t>
      </w:r>
      <w:r w:rsidRPr="000A79AE">
        <w:rPr>
          <w:rFonts w:cstheme="minorHAnsi"/>
          <w:sz w:val="24"/>
          <w:szCs w:val="24"/>
        </w:rPr>
        <w:t xml:space="preserve"> (this rule has a direct bearing on whether witnesses may be asked leading questions or not)</w:t>
      </w:r>
      <w:r w:rsidR="00CC3EE6">
        <w:rPr>
          <w:rFonts w:cstheme="minorHAnsi"/>
          <w:sz w:val="24"/>
          <w:szCs w:val="24"/>
        </w:rPr>
        <w:t>.</w:t>
      </w:r>
    </w:p>
    <w:p w14:paraId="31268B2A" w14:textId="77777777" w:rsidR="000A79AE" w:rsidRPr="000A79AE" w:rsidRDefault="000A79AE" w:rsidP="000A79AE">
      <w:pPr>
        <w:pStyle w:val="ListParagraph"/>
        <w:spacing w:after="200" w:line="276" w:lineRule="auto"/>
        <w:ind w:left="0"/>
        <w:jc w:val="both"/>
        <w:rPr>
          <w:rFonts w:cstheme="minorHAnsi"/>
          <w:sz w:val="24"/>
          <w:szCs w:val="24"/>
        </w:rPr>
      </w:pPr>
    </w:p>
    <w:p w14:paraId="1FD0C3A5" w14:textId="673DCB9D" w:rsidR="005469C3" w:rsidRPr="00FA2024" w:rsidRDefault="000A79AE" w:rsidP="00FC0E59">
      <w:pPr>
        <w:pStyle w:val="ListParagraph"/>
        <w:spacing w:after="200" w:line="276" w:lineRule="auto"/>
        <w:ind w:left="1440"/>
        <w:jc w:val="both"/>
        <w:rPr>
          <w:rFonts w:cstheme="minorHAnsi"/>
          <w:sz w:val="24"/>
          <w:szCs w:val="24"/>
        </w:rPr>
      </w:pPr>
      <w:r w:rsidRPr="000A79AE">
        <w:rPr>
          <w:rFonts w:cstheme="minorHAnsi"/>
          <w:sz w:val="24"/>
          <w:szCs w:val="24"/>
        </w:rPr>
        <w:t xml:space="preserve">  </w:t>
      </w:r>
      <w:r w:rsidR="005469C3" w:rsidRPr="00FA2024">
        <w:rPr>
          <w:rFonts w:cstheme="minorHAnsi"/>
          <w:b/>
          <w:bCs/>
          <w:sz w:val="24"/>
          <w:szCs w:val="24"/>
        </w:rPr>
        <w:br w:type="page"/>
      </w:r>
    </w:p>
    <w:p w14:paraId="26EE580D" w14:textId="5930AE6D" w:rsidR="005469C3" w:rsidRDefault="00385609" w:rsidP="00FA1E87">
      <w:pPr>
        <w:pStyle w:val="Heading1"/>
        <w:numPr>
          <w:ilvl w:val="0"/>
          <w:numId w:val="2"/>
        </w:numPr>
      </w:pPr>
      <w:bookmarkStart w:id="3" w:name="_Toc64037626"/>
      <w:r>
        <w:lastRenderedPageBreak/>
        <w:t>Service and Notice</w:t>
      </w:r>
      <w:bookmarkEnd w:id="3"/>
    </w:p>
    <w:p w14:paraId="3BA079BE" w14:textId="77777777" w:rsidR="00FA1E87" w:rsidRPr="00FA1E87" w:rsidRDefault="00FA1E87" w:rsidP="00FA1E87"/>
    <w:p w14:paraId="392E26B0" w14:textId="77777777" w:rsidR="004E3098" w:rsidRDefault="00AE4A64" w:rsidP="004E3098">
      <w:pPr>
        <w:spacing w:line="276" w:lineRule="auto"/>
        <w:jc w:val="both"/>
        <w:rPr>
          <w:rFonts w:cstheme="minorHAnsi"/>
          <w:b/>
          <w:bCs/>
          <w:sz w:val="24"/>
          <w:szCs w:val="24"/>
        </w:rPr>
      </w:pPr>
      <w:r w:rsidRPr="00AE4A64">
        <w:rPr>
          <w:rFonts w:cstheme="minorHAnsi"/>
          <w:b/>
          <w:bCs/>
          <w:sz w:val="24"/>
          <w:szCs w:val="24"/>
        </w:rPr>
        <w:t>Notice</w:t>
      </w:r>
    </w:p>
    <w:p w14:paraId="7C8C352D" w14:textId="3BDBDEF3" w:rsidR="00DD46AB" w:rsidRPr="004E3098" w:rsidRDefault="00AE4A64" w:rsidP="004E3098">
      <w:pPr>
        <w:pStyle w:val="ListParagraph"/>
        <w:numPr>
          <w:ilvl w:val="1"/>
          <w:numId w:val="36"/>
        </w:numPr>
        <w:spacing w:line="276" w:lineRule="auto"/>
        <w:jc w:val="both"/>
        <w:rPr>
          <w:rFonts w:cstheme="minorHAnsi"/>
          <w:b/>
          <w:bCs/>
          <w:sz w:val="24"/>
          <w:szCs w:val="24"/>
        </w:rPr>
      </w:pPr>
      <w:r w:rsidRPr="004E3098">
        <w:rPr>
          <w:rFonts w:cstheme="minorHAnsi"/>
          <w:sz w:val="24"/>
          <w:szCs w:val="24"/>
        </w:rPr>
        <w:t xml:space="preserve">Adequate notice of the requirement to attend the </w:t>
      </w:r>
      <w:r w:rsidR="000C61F3">
        <w:rPr>
          <w:rFonts w:cstheme="minorHAnsi"/>
          <w:sz w:val="24"/>
          <w:szCs w:val="24"/>
        </w:rPr>
        <w:t>Commission</w:t>
      </w:r>
      <w:r w:rsidR="004425EC">
        <w:rPr>
          <w:rFonts w:cstheme="minorHAnsi"/>
          <w:sz w:val="24"/>
          <w:szCs w:val="24"/>
        </w:rPr>
        <w:t xml:space="preserve"> </w:t>
      </w:r>
      <w:r w:rsidRPr="004E3098">
        <w:rPr>
          <w:rFonts w:cstheme="minorHAnsi"/>
          <w:sz w:val="24"/>
          <w:szCs w:val="24"/>
        </w:rPr>
        <w:t xml:space="preserve">for an examination is </w:t>
      </w:r>
      <w:r w:rsidR="00ED2BEF">
        <w:rPr>
          <w:rFonts w:cstheme="minorHAnsi"/>
          <w:sz w:val="24"/>
          <w:szCs w:val="24"/>
        </w:rPr>
        <w:t>usually necessary</w:t>
      </w:r>
      <w:r w:rsidRPr="004E3098">
        <w:rPr>
          <w:rFonts w:cstheme="minorHAnsi"/>
          <w:sz w:val="24"/>
          <w:szCs w:val="24"/>
        </w:rPr>
        <w:t xml:space="preserve"> to </w:t>
      </w:r>
      <w:r w:rsidR="00A65D3C" w:rsidRPr="004E3098">
        <w:rPr>
          <w:rFonts w:cstheme="minorHAnsi"/>
          <w:sz w:val="24"/>
          <w:szCs w:val="24"/>
        </w:rPr>
        <w:t>ensur</w:t>
      </w:r>
      <w:r w:rsidR="00ED2BEF">
        <w:rPr>
          <w:rFonts w:cstheme="minorHAnsi"/>
          <w:sz w:val="24"/>
          <w:szCs w:val="24"/>
        </w:rPr>
        <w:t>e</w:t>
      </w:r>
      <w:r w:rsidRPr="004E3098">
        <w:rPr>
          <w:rFonts w:cstheme="minorHAnsi"/>
          <w:sz w:val="24"/>
          <w:szCs w:val="24"/>
        </w:rPr>
        <w:t xml:space="preserve"> a </w:t>
      </w:r>
      <w:r w:rsidR="00451B87" w:rsidRPr="004E3098">
        <w:rPr>
          <w:rFonts w:cstheme="minorHAnsi"/>
          <w:sz w:val="24"/>
          <w:szCs w:val="24"/>
        </w:rPr>
        <w:t>person</w:t>
      </w:r>
      <w:r w:rsidRPr="004E3098">
        <w:rPr>
          <w:rFonts w:cstheme="minorHAnsi"/>
          <w:sz w:val="24"/>
          <w:szCs w:val="24"/>
        </w:rPr>
        <w:t xml:space="preserve"> is afforded procedural fairness.  Notice enables the </w:t>
      </w:r>
      <w:r w:rsidR="00451B87" w:rsidRPr="004E3098">
        <w:rPr>
          <w:rFonts w:cstheme="minorHAnsi"/>
          <w:sz w:val="24"/>
          <w:szCs w:val="24"/>
        </w:rPr>
        <w:t>person</w:t>
      </w:r>
      <w:r w:rsidRPr="004E3098">
        <w:rPr>
          <w:rFonts w:cstheme="minorHAnsi"/>
          <w:sz w:val="24"/>
          <w:szCs w:val="24"/>
        </w:rPr>
        <w:t xml:space="preserve"> time to collate material</w:t>
      </w:r>
      <w:r w:rsidR="00A65D3C" w:rsidRPr="004E3098">
        <w:rPr>
          <w:rFonts w:cstheme="minorHAnsi"/>
          <w:sz w:val="24"/>
          <w:szCs w:val="24"/>
        </w:rPr>
        <w:t>s</w:t>
      </w:r>
      <w:r w:rsidRPr="004E3098">
        <w:rPr>
          <w:rFonts w:cstheme="minorHAnsi"/>
          <w:sz w:val="24"/>
          <w:szCs w:val="24"/>
        </w:rPr>
        <w:t xml:space="preserve"> they are required to produce, to seek legal advice, and to obtain </w:t>
      </w:r>
      <w:r w:rsidR="00A65D3C" w:rsidRPr="004E3098">
        <w:rPr>
          <w:rFonts w:cstheme="minorHAnsi"/>
          <w:sz w:val="24"/>
          <w:szCs w:val="24"/>
        </w:rPr>
        <w:t xml:space="preserve">potentially </w:t>
      </w:r>
      <w:r w:rsidRPr="004E3098">
        <w:rPr>
          <w:rFonts w:cstheme="minorHAnsi"/>
          <w:sz w:val="24"/>
          <w:szCs w:val="24"/>
        </w:rPr>
        <w:t>exculpatory information.</w:t>
      </w:r>
    </w:p>
    <w:p w14:paraId="38E66851" w14:textId="77777777" w:rsidR="00DD46AB" w:rsidRPr="00DD46AB" w:rsidRDefault="00DD46AB" w:rsidP="006C6857">
      <w:pPr>
        <w:pStyle w:val="ListParagraph"/>
        <w:spacing w:line="276" w:lineRule="auto"/>
        <w:ind w:left="360"/>
        <w:jc w:val="both"/>
        <w:rPr>
          <w:rFonts w:cstheme="minorHAnsi"/>
          <w:b/>
          <w:bCs/>
          <w:sz w:val="24"/>
          <w:szCs w:val="24"/>
        </w:rPr>
      </w:pPr>
    </w:p>
    <w:p w14:paraId="7DA453BF" w14:textId="030DF912" w:rsidR="00AE4A64" w:rsidRPr="00DD46AB" w:rsidRDefault="00D94C3C" w:rsidP="006C6857">
      <w:pPr>
        <w:pStyle w:val="ListParagraph"/>
        <w:numPr>
          <w:ilvl w:val="1"/>
          <w:numId w:val="36"/>
        </w:numPr>
        <w:spacing w:line="276" w:lineRule="auto"/>
        <w:jc w:val="both"/>
        <w:rPr>
          <w:rFonts w:cstheme="minorHAnsi"/>
          <w:b/>
          <w:bCs/>
          <w:sz w:val="24"/>
          <w:szCs w:val="24"/>
        </w:rPr>
      </w:pPr>
      <w:r w:rsidRPr="00DD46AB">
        <w:rPr>
          <w:rFonts w:cstheme="minorHAnsi"/>
          <w:sz w:val="24"/>
          <w:szCs w:val="24"/>
        </w:rPr>
        <w:t xml:space="preserve">Where it is proposed to </w:t>
      </w:r>
      <w:r w:rsidR="00AE4A64" w:rsidRPr="00DD46AB">
        <w:rPr>
          <w:rFonts w:cstheme="minorHAnsi"/>
          <w:sz w:val="24"/>
          <w:szCs w:val="24"/>
        </w:rPr>
        <w:t>issue an examination summons</w:t>
      </w:r>
      <w:r w:rsidR="00A65D3C">
        <w:rPr>
          <w:rFonts w:cstheme="minorHAnsi"/>
          <w:sz w:val="24"/>
          <w:szCs w:val="24"/>
        </w:rPr>
        <w:t>, the Act requires</w:t>
      </w:r>
      <w:r w:rsidR="00ED2BEF">
        <w:rPr>
          <w:rFonts w:cstheme="minorHAnsi"/>
          <w:sz w:val="24"/>
          <w:szCs w:val="24"/>
        </w:rPr>
        <w:t>, subject to the exception noted below,</w:t>
      </w:r>
      <w:r w:rsidR="00A65D3C">
        <w:rPr>
          <w:rFonts w:cstheme="minorHAnsi"/>
          <w:sz w:val="24"/>
          <w:szCs w:val="24"/>
        </w:rPr>
        <w:t xml:space="preserve"> </w:t>
      </w:r>
      <w:r w:rsidR="00AE4A64" w:rsidRPr="00DD46AB">
        <w:rPr>
          <w:rFonts w:cstheme="minorHAnsi"/>
          <w:sz w:val="24"/>
          <w:szCs w:val="24"/>
        </w:rPr>
        <w:t>the recipient</w:t>
      </w:r>
      <w:r w:rsidR="00ED2BEF">
        <w:rPr>
          <w:rFonts w:cstheme="minorHAnsi"/>
          <w:sz w:val="24"/>
          <w:szCs w:val="24"/>
        </w:rPr>
        <w:t xml:space="preserve"> to</w:t>
      </w:r>
      <w:r w:rsidR="00AE4A64" w:rsidRPr="00DD46AB">
        <w:rPr>
          <w:rFonts w:cstheme="minorHAnsi"/>
          <w:sz w:val="24"/>
          <w:szCs w:val="24"/>
        </w:rPr>
        <w:t xml:space="preserve"> be served at least 7 days before the day the person is required to attend or produce a document or thing.</w:t>
      </w:r>
      <w:r w:rsidR="00AE4A64" w:rsidRPr="00AE4A64">
        <w:rPr>
          <w:rStyle w:val="FootnoteReference"/>
          <w:rFonts w:cstheme="minorHAnsi"/>
          <w:sz w:val="24"/>
          <w:szCs w:val="24"/>
        </w:rPr>
        <w:footnoteReference w:id="8"/>
      </w:r>
    </w:p>
    <w:p w14:paraId="785B2A5C" w14:textId="77777777" w:rsidR="00AE4A64" w:rsidRPr="00AE4A64" w:rsidRDefault="00AE4A64" w:rsidP="006C6857">
      <w:pPr>
        <w:pStyle w:val="ListParagraph"/>
        <w:spacing w:line="276" w:lineRule="auto"/>
        <w:jc w:val="both"/>
        <w:rPr>
          <w:rFonts w:cstheme="minorHAnsi"/>
          <w:sz w:val="24"/>
          <w:szCs w:val="24"/>
        </w:rPr>
      </w:pPr>
    </w:p>
    <w:p w14:paraId="10BBD7DC" w14:textId="1316DD69" w:rsidR="00AE4A64" w:rsidRPr="00AE4A64" w:rsidRDefault="00ED2BEF" w:rsidP="006C6857">
      <w:pPr>
        <w:pStyle w:val="ListParagraph"/>
        <w:numPr>
          <w:ilvl w:val="1"/>
          <w:numId w:val="36"/>
        </w:numPr>
        <w:spacing w:line="276" w:lineRule="auto"/>
        <w:jc w:val="both"/>
        <w:rPr>
          <w:rFonts w:cstheme="minorHAnsi"/>
          <w:sz w:val="24"/>
          <w:szCs w:val="24"/>
        </w:rPr>
      </w:pPr>
      <w:r>
        <w:rPr>
          <w:rFonts w:cstheme="minorHAnsi"/>
          <w:sz w:val="24"/>
          <w:szCs w:val="24"/>
        </w:rPr>
        <w:t>A</w:t>
      </w:r>
      <w:r w:rsidR="00AE4A64" w:rsidRPr="00AE4A64">
        <w:rPr>
          <w:rFonts w:cstheme="minorHAnsi"/>
          <w:sz w:val="24"/>
          <w:szCs w:val="24"/>
        </w:rPr>
        <w:t xml:space="preserve">n examination summons requiring immediate attendance by a person before the </w:t>
      </w:r>
      <w:r w:rsidR="000C61F3">
        <w:rPr>
          <w:rFonts w:cstheme="minorHAnsi"/>
          <w:sz w:val="24"/>
          <w:szCs w:val="24"/>
        </w:rPr>
        <w:t xml:space="preserve">Commission </w:t>
      </w:r>
      <w:r w:rsidR="00AE4A64" w:rsidRPr="00AE4A64">
        <w:rPr>
          <w:rFonts w:cstheme="minorHAnsi"/>
          <w:sz w:val="24"/>
          <w:szCs w:val="24"/>
        </w:rPr>
        <w:t xml:space="preserve">if the </w:t>
      </w:r>
      <w:r w:rsidR="000C61F3">
        <w:rPr>
          <w:rFonts w:cstheme="minorHAnsi"/>
          <w:sz w:val="24"/>
          <w:szCs w:val="24"/>
        </w:rPr>
        <w:t>Commission</w:t>
      </w:r>
      <w:r>
        <w:rPr>
          <w:rFonts w:cstheme="minorHAnsi"/>
          <w:sz w:val="24"/>
          <w:szCs w:val="24"/>
        </w:rPr>
        <w:t>er</w:t>
      </w:r>
      <w:r w:rsidR="000C61F3">
        <w:rPr>
          <w:rFonts w:cstheme="minorHAnsi"/>
          <w:sz w:val="24"/>
          <w:szCs w:val="24"/>
        </w:rPr>
        <w:t xml:space="preserve"> </w:t>
      </w:r>
      <w:r w:rsidR="00AE4A64" w:rsidRPr="00AE4A64">
        <w:rPr>
          <w:rFonts w:cstheme="minorHAnsi"/>
          <w:sz w:val="24"/>
          <w:szCs w:val="24"/>
        </w:rPr>
        <w:t xml:space="preserve">considers on reasonable grounds that a delay in the person’s attendance is likely to result in – </w:t>
      </w:r>
    </w:p>
    <w:p w14:paraId="721B132A" w14:textId="77777777" w:rsidR="00AE4A64" w:rsidRPr="00AE4A64" w:rsidRDefault="00AE4A64" w:rsidP="006C6857">
      <w:pPr>
        <w:pStyle w:val="ListParagraph"/>
        <w:spacing w:line="276" w:lineRule="auto"/>
        <w:rPr>
          <w:rFonts w:cstheme="minorHAnsi"/>
          <w:sz w:val="24"/>
          <w:szCs w:val="24"/>
        </w:rPr>
      </w:pPr>
    </w:p>
    <w:p w14:paraId="39D316B6" w14:textId="0EE76F82" w:rsidR="00AE4A64" w:rsidRPr="00AE4A64" w:rsidRDefault="00344143" w:rsidP="006C6857">
      <w:pPr>
        <w:pStyle w:val="ListParagraph"/>
        <w:numPr>
          <w:ilvl w:val="0"/>
          <w:numId w:val="31"/>
        </w:numPr>
        <w:spacing w:line="276" w:lineRule="auto"/>
        <w:jc w:val="both"/>
        <w:rPr>
          <w:rFonts w:cstheme="minorHAnsi"/>
          <w:sz w:val="24"/>
          <w:szCs w:val="24"/>
        </w:rPr>
      </w:pPr>
      <w:r>
        <w:rPr>
          <w:rFonts w:cstheme="minorHAnsi"/>
          <w:sz w:val="24"/>
          <w:szCs w:val="24"/>
        </w:rPr>
        <w:t>e</w:t>
      </w:r>
      <w:r w:rsidR="00AE4A64" w:rsidRPr="00AE4A64">
        <w:rPr>
          <w:rFonts w:cstheme="minorHAnsi"/>
          <w:sz w:val="24"/>
          <w:szCs w:val="24"/>
        </w:rPr>
        <w:t>vidence being lost or destroyed; or</w:t>
      </w:r>
    </w:p>
    <w:p w14:paraId="0F484FDA" w14:textId="5FAD7A0F" w:rsidR="00AE4A64" w:rsidRPr="00AE4A64" w:rsidRDefault="00344143" w:rsidP="006C6857">
      <w:pPr>
        <w:pStyle w:val="ListParagraph"/>
        <w:numPr>
          <w:ilvl w:val="0"/>
          <w:numId w:val="31"/>
        </w:numPr>
        <w:spacing w:line="276" w:lineRule="auto"/>
        <w:jc w:val="both"/>
        <w:rPr>
          <w:rFonts w:cstheme="minorHAnsi"/>
          <w:sz w:val="24"/>
          <w:szCs w:val="24"/>
        </w:rPr>
      </w:pPr>
      <w:r>
        <w:rPr>
          <w:rFonts w:cstheme="minorHAnsi"/>
          <w:sz w:val="24"/>
          <w:szCs w:val="24"/>
        </w:rPr>
        <w:t>t</w:t>
      </w:r>
      <w:r w:rsidR="00AE4A64" w:rsidRPr="00AE4A64">
        <w:rPr>
          <w:rFonts w:cstheme="minorHAnsi"/>
          <w:sz w:val="24"/>
          <w:szCs w:val="24"/>
        </w:rPr>
        <w:t>he commission of an offence; or</w:t>
      </w:r>
    </w:p>
    <w:p w14:paraId="58016E05" w14:textId="1D307542" w:rsidR="00AE4A64" w:rsidRPr="00AE4A64" w:rsidRDefault="00344143" w:rsidP="006C6857">
      <w:pPr>
        <w:pStyle w:val="ListParagraph"/>
        <w:numPr>
          <w:ilvl w:val="0"/>
          <w:numId w:val="31"/>
        </w:numPr>
        <w:spacing w:line="276" w:lineRule="auto"/>
        <w:jc w:val="both"/>
        <w:rPr>
          <w:rFonts w:cstheme="minorHAnsi"/>
          <w:sz w:val="24"/>
          <w:szCs w:val="24"/>
        </w:rPr>
      </w:pPr>
      <w:r>
        <w:rPr>
          <w:rFonts w:cstheme="minorHAnsi"/>
          <w:sz w:val="24"/>
          <w:szCs w:val="24"/>
        </w:rPr>
        <w:t>t</w:t>
      </w:r>
      <w:r w:rsidR="00AE4A64" w:rsidRPr="00AE4A64">
        <w:rPr>
          <w:rFonts w:cstheme="minorHAnsi"/>
          <w:sz w:val="24"/>
          <w:szCs w:val="24"/>
        </w:rPr>
        <w:t>he escape of a person who is summoned; or</w:t>
      </w:r>
    </w:p>
    <w:p w14:paraId="6720D257" w14:textId="670F165A" w:rsidR="00AE4A64" w:rsidRPr="00AE4A64" w:rsidRDefault="00344143" w:rsidP="006C6857">
      <w:pPr>
        <w:pStyle w:val="ListParagraph"/>
        <w:numPr>
          <w:ilvl w:val="0"/>
          <w:numId w:val="31"/>
        </w:numPr>
        <w:spacing w:line="276" w:lineRule="auto"/>
        <w:jc w:val="both"/>
        <w:rPr>
          <w:rFonts w:cstheme="minorHAnsi"/>
          <w:sz w:val="24"/>
          <w:szCs w:val="24"/>
        </w:rPr>
      </w:pPr>
      <w:r>
        <w:rPr>
          <w:rFonts w:cstheme="minorHAnsi"/>
          <w:sz w:val="24"/>
          <w:szCs w:val="24"/>
        </w:rPr>
        <w:t>s</w:t>
      </w:r>
      <w:r w:rsidR="00AE4A64" w:rsidRPr="00AE4A64">
        <w:rPr>
          <w:rFonts w:cstheme="minorHAnsi"/>
          <w:sz w:val="24"/>
          <w:szCs w:val="24"/>
        </w:rPr>
        <w:t>erious prejudice to the conduct of the investigation.</w:t>
      </w:r>
      <w:r w:rsidR="00AE4A64" w:rsidRPr="00AE4A64">
        <w:rPr>
          <w:rStyle w:val="FootnoteReference"/>
          <w:rFonts w:cstheme="minorHAnsi"/>
          <w:sz w:val="24"/>
          <w:szCs w:val="24"/>
        </w:rPr>
        <w:footnoteReference w:id="9"/>
      </w:r>
    </w:p>
    <w:p w14:paraId="6CBE2415" w14:textId="46E6C393" w:rsidR="00AE4A64" w:rsidRPr="00AE4A64" w:rsidRDefault="00AE4A64" w:rsidP="006C6857">
      <w:pPr>
        <w:spacing w:line="276" w:lineRule="auto"/>
        <w:rPr>
          <w:rFonts w:cstheme="minorHAnsi"/>
          <w:b/>
          <w:bCs/>
          <w:sz w:val="24"/>
          <w:szCs w:val="24"/>
        </w:rPr>
      </w:pPr>
      <w:r w:rsidRPr="00AE4A64">
        <w:rPr>
          <w:rFonts w:cstheme="minorHAnsi"/>
          <w:b/>
          <w:bCs/>
          <w:sz w:val="24"/>
          <w:szCs w:val="24"/>
        </w:rPr>
        <w:t>Service</w:t>
      </w:r>
    </w:p>
    <w:p w14:paraId="701C42C3" w14:textId="52BDE882" w:rsidR="00AE4A64" w:rsidRPr="00AE4A64" w:rsidRDefault="00385609" w:rsidP="006C6857">
      <w:pPr>
        <w:pStyle w:val="ListParagraph"/>
        <w:numPr>
          <w:ilvl w:val="1"/>
          <w:numId w:val="36"/>
        </w:numPr>
        <w:spacing w:line="276" w:lineRule="auto"/>
        <w:jc w:val="both"/>
        <w:rPr>
          <w:rFonts w:cstheme="minorHAnsi"/>
          <w:sz w:val="24"/>
          <w:szCs w:val="24"/>
        </w:rPr>
      </w:pPr>
      <w:r w:rsidRPr="00AE4A64">
        <w:rPr>
          <w:rFonts w:cstheme="minorHAnsi"/>
          <w:sz w:val="24"/>
          <w:szCs w:val="24"/>
        </w:rPr>
        <w:t xml:space="preserve">The Act is silent as to the manner in which a person should be served.  Part 19.5 of the </w:t>
      </w:r>
      <w:r w:rsidRPr="00AE4A64">
        <w:rPr>
          <w:rFonts w:cstheme="minorHAnsi"/>
          <w:i/>
          <w:iCs/>
          <w:sz w:val="24"/>
          <w:szCs w:val="24"/>
        </w:rPr>
        <w:t>Legislation Act 2001</w:t>
      </w:r>
      <w:r w:rsidRPr="00AE4A64">
        <w:rPr>
          <w:rFonts w:cstheme="minorHAnsi"/>
          <w:sz w:val="24"/>
          <w:szCs w:val="24"/>
        </w:rPr>
        <w:t xml:space="preserve"> </w:t>
      </w:r>
      <w:r w:rsidR="00344143">
        <w:rPr>
          <w:rFonts w:cstheme="minorHAnsi"/>
          <w:sz w:val="24"/>
          <w:szCs w:val="24"/>
        </w:rPr>
        <w:t>(ACT) (</w:t>
      </w:r>
      <w:r w:rsidR="00142319">
        <w:rPr>
          <w:rFonts w:cstheme="minorHAnsi"/>
          <w:sz w:val="24"/>
          <w:szCs w:val="24"/>
        </w:rPr>
        <w:t>‘</w:t>
      </w:r>
      <w:r w:rsidR="00344143">
        <w:rPr>
          <w:rFonts w:cstheme="minorHAnsi"/>
          <w:b/>
          <w:bCs/>
          <w:i/>
          <w:iCs/>
          <w:sz w:val="24"/>
          <w:szCs w:val="24"/>
        </w:rPr>
        <w:t>Legislation Act</w:t>
      </w:r>
      <w:r w:rsidR="00142319">
        <w:rPr>
          <w:rFonts w:cstheme="minorHAnsi"/>
          <w:sz w:val="24"/>
          <w:szCs w:val="24"/>
        </w:rPr>
        <w:t>’</w:t>
      </w:r>
      <w:r w:rsidR="00344143">
        <w:rPr>
          <w:rFonts w:cstheme="minorHAnsi"/>
          <w:sz w:val="24"/>
          <w:szCs w:val="24"/>
        </w:rPr>
        <w:t xml:space="preserve">) </w:t>
      </w:r>
      <w:r w:rsidRPr="00AE4A64">
        <w:rPr>
          <w:rFonts w:cstheme="minorHAnsi"/>
          <w:sz w:val="24"/>
          <w:szCs w:val="24"/>
        </w:rPr>
        <w:t xml:space="preserve">therefore applies.  While the </w:t>
      </w:r>
      <w:r w:rsidRPr="00F51625">
        <w:rPr>
          <w:rFonts w:cstheme="minorHAnsi"/>
          <w:i/>
          <w:iCs/>
          <w:sz w:val="24"/>
          <w:szCs w:val="24"/>
        </w:rPr>
        <w:t>Legislation Act</w:t>
      </w:r>
      <w:r w:rsidRPr="00AE4A64">
        <w:rPr>
          <w:rFonts w:cstheme="minorHAnsi"/>
          <w:sz w:val="24"/>
          <w:szCs w:val="24"/>
        </w:rPr>
        <w:t xml:space="preserve"> outlines </w:t>
      </w:r>
      <w:r w:rsidR="00451B87">
        <w:rPr>
          <w:rFonts w:cstheme="minorHAnsi"/>
          <w:sz w:val="24"/>
          <w:szCs w:val="24"/>
        </w:rPr>
        <w:t>a</w:t>
      </w:r>
      <w:r w:rsidRPr="00AE4A64">
        <w:rPr>
          <w:rFonts w:cstheme="minorHAnsi"/>
          <w:sz w:val="24"/>
          <w:szCs w:val="24"/>
        </w:rPr>
        <w:t xml:space="preserve"> variety of </w:t>
      </w:r>
      <w:r w:rsidR="00451B87">
        <w:rPr>
          <w:rFonts w:cstheme="minorHAnsi"/>
          <w:sz w:val="24"/>
          <w:szCs w:val="24"/>
        </w:rPr>
        <w:t xml:space="preserve">methods by </w:t>
      </w:r>
      <w:r w:rsidRPr="00AE4A64">
        <w:rPr>
          <w:rFonts w:cstheme="minorHAnsi"/>
          <w:sz w:val="24"/>
          <w:szCs w:val="24"/>
        </w:rPr>
        <w:t xml:space="preserve">which a document may be served on an </w:t>
      </w:r>
      <w:r w:rsidR="00451B87">
        <w:rPr>
          <w:rFonts w:cstheme="minorHAnsi"/>
          <w:sz w:val="24"/>
          <w:szCs w:val="24"/>
        </w:rPr>
        <w:t>person</w:t>
      </w:r>
      <w:r w:rsidRPr="00AE4A64">
        <w:rPr>
          <w:rFonts w:cstheme="minorHAnsi"/>
          <w:sz w:val="24"/>
          <w:szCs w:val="24"/>
        </w:rPr>
        <w:t xml:space="preserve">, </w:t>
      </w:r>
      <w:r w:rsidR="00693CDD" w:rsidRPr="00AE4A64">
        <w:rPr>
          <w:rFonts w:cstheme="minorHAnsi"/>
          <w:sz w:val="24"/>
          <w:szCs w:val="24"/>
        </w:rPr>
        <w:t xml:space="preserve">it </w:t>
      </w:r>
      <w:r w:rsidR="00ED2BEF">
        <w:rPr>
          <w:rFonts w:cstheme="minorHAnsi"/>
          <w:sz w:val="24"/>
          <w:szCs w:val="24"/>
        </w:rPr>
        <w:t>will</w:t>
      </w:r>
      <w:r w:rsidR="00693CDD" w:rsidRPr="00AE4A64">
        <w:rPr>
          <w:rFonts w:cstheme="minorHAnsi"/>
          <w:sz w:val="24"/>
          <w:szCs w:val="24"/>
        </w:rPr>
        <w:t xml:space="preserve"> </w:t>
      </w:r>
      <w:r w:rsidR="00693CDD">
        <w:rPr>
          <w:rFonts w:cstheme="minorHAnsi"/>
          <w:sz w:val="24"/>
          <w:szCs w:val="24"/>
        </w:rPr>
        <w:t>generally</w:t>
      </w:r>
      <w:r w:rsidR="00ED2BEF">
        <w:rPr>
          <w:rFonts w:cstheme="minorHAnsi"/>
          <w:sz w:val="24"/>
          <w:szCs w:val="24"/>
        </w:rPr>
        <w:t xml:space="preserve"> be</w:t>
      </w:r>
      <w:r w:rsidR="00693CDD">
        <w:rPr>
          <w:rFonts w:cstheme="minorHAnsi"/>
          <w:sz w:val="24"/>
          <w:szCs w:val="24"/>
        </w:rPr>
        <w:t xml:space="preserve"> </w:t>
      </w:r>
      <w:r w:rsidR="00693CDD" w:rsidRPr="00AE4A64">
        <w:rPr>
          <w:rFonts w:cstheme="minorHAnsi"/>
          <w:sz w:val="24"/>
          <w:szCs w:val="24"/>
        </w:rPr>
        <w:t xml:space="preserve">preferable </w:t>
      </w:r>
      <w:r w:rsidR="00693CDD">
        <w:rPr>
          <w:rFonts w:cstheme="minorHAnsi"/>
          <w:sz w:val="24"/>
          <w:szCs w:val="24"/>
        </w:rPr>
        <w:t xml:space="preserve">to serve </w:t>
      </w:r>
      <w:r w:rsidR="00693CDD" w:rsidRPr="00AE4A64">
        <w:rPr>
          <w:rFonts w:cstheme="minorHAnsi"/>
          <w:sz w:val="24"/>
          <w:szCs w:val="24"/>
        </w:rPr>
        <w:t xml:space="preserve">the </w:t>
      </w:r>
      <w:r w:rsidR="00693CDD">
        <w:rPr>
          <w:rFonts w:cstheme="minorHAnsi"/>
          <w:sz w:val="24"/>
          <w:szCs w:val="24"/>
        </w:rPr>
        <w:t>person</w:t>
      </w:r>
      <w:r w:rsidR="00693CDD" w:rsidRPr="00AE4A64">
        <w:rPr>
          <w:rFonts w:cstheme="minorHAnsi"/>
          <w:sz w:val="24"/>
          <w:szCs w:val="24"/>
        </w:rPr>
        <w:t xml:space="preserve"> named in the summons</w:t>
      </w:r>
      <w:r w:rsidR="00693CDD">
        <w:rPr>
          <w:rFonts w:cstheme="minorHAnsi"/>
          <w:sz w:val="24"/>
          <w:szCs w:val="24"/>
        </w:rPr>
        <w:t xml:space="preserve"> personally </w:t>
      </w:r>
      <w:r w:rsidRPr="00AE4A64">
        <w:rPr>
          <w:rFonts w:cstheme="minorHAnsi"/>
          <w:sz w:val="24"/>
          <w:szCs w:val="24"/>
        </w:rPr>
        <w:t>due to the sensitive nature of an examination summons</w:t>
      </w:r>
      <w:r w:rsidR="00693CDD">
        <w:rPr>
          <w:rFonts w:cstheme="minorHAnsi"/>
          <w:sz w:val="24"/>
          <w:szCs w:val="24"/>
        </w:rPr>
        <w:t>.</w:t>
      </w:r>
    </w:p>
    <w:p w14:paraId="5C639A29" w14:textId="77777777" w:rsidR="00AE4A64" w:rsidRPr="00AE4A64" w:rsidRDefault="00AE4A64" w:rsidP="006C6857">
      <w:pPr>
        <w:pStyle w:val="ListParagraph"/>
        <w:spacing w:line="276" w:lineRule="auto"/>
        <w:jc w:val="both"/>
        <w:rPr>
          <w:rFonts w:cstheme="minorHAnsi"/>
          <w:sz w:val="24"/>
          <w:szCs w:val="24"/>
        </w:rPr>
      </w:pPr>
    </w:p>
    <w:p w14:paraId="6CD9DD8F" w14:textId="5180CBA2" w:rsidR="00385609" w:rsidRDefault="00451B87" w:rsidP="006C6857">
      <w:pPr>
        <w:pStyle w:val="ListParagraph"/>
        <w:numPr>
          <w:ilvl w:val="1"/>
          <w:numId w:val="36"/>
        </w:numPr>
        <w:spacing w:line="276" w:lineRule="auto"/>
        <w:jc w:val="both"/>
        <w:rPr>
          <w:rFonts w:cstheme="minorHAnsi"/>
          <w:sz w:val="24"/>
          <w:szCs w:val="24"/>
        </w:rPr>
      </w:pPr>
      <w:r>
        <w:rPr>
          <w:rFonts w:cstheme="minorHAnsi"/>
          <w:sz w:val="24"/>
          <w:szCs w:val="24"/>
        </w:rPr>
        <w:t>Where it is not possible to serve a person personally, the following options are available</w:t>
      </w:r>
      <w:r w:rsidR="00385609" w:rsidRPr="00AE4A64">
        <w:rPr>
          <w:rFonts w:cstheme="minorHAnsi"/>
          <w:sz w:val="24"/>
          <w:szCs w:val="24"/>
        </w:rPr>
        <w:t>:</w:t>
      </w:r>
    </w:p>
    <w:p w14:paraId="5A520E38" w14:textId="77777777" w:rsidR="000675BF" w:rsidRPr="000675BF" w:rsidRDefault="000675BF" w:rsidP="006C6857">
      <w:pPr>
        <w:pStyle w:val="ListParagraph"/>
        <w:spacing w:line="276" w:lineRule="auto"/>
        <w:rPr>
          <w:rFonts w:cstheme="minorHAnsi"/>
          <w:sz w:val="24"/>
          <w:szCs w:val="24"/>
        </w:rPr>
      </w:pPr>
    </w:p>
    <w:p w14:paraId="7199E879" w14:textId="197194E8" w:rsidR="000675BF" w:rsidRPr="00AE4A64" w:rsidRDefault="000675BF" w:rsidP="006C6857">
      <w:pPr>
        <w:pStyle w:val="ListParagraph"/>
        <w:numPr>
          <w:ilvl w:val="0"/>
          <w:numId w:val="13"/>
        </w:numPr>
        <w:spacing w:after="0" w:line="276" w:lineRule="auto"/>
        <w:jc w:val="both"/>
        <w:rPr>
          <w:rFonts w:cstheme="minorHAnsi"/>
          <w:sz w:val="24"/>
          <w:szCs w:val="24"/>
        </w:rPr>
      </w:pPr>
      <w:r w:rsidRPr="00AE4A64">
        <w:rPr>
          <w:rFonts w:cstheme="minorHAnsi"/>
          <w:sz w:val="24"/>
          <w:szCs w:val="24"/>
        </w:rPr>
        <w:t>service on a person’s legal representative, but only if the representative has confirmed that he or she has instructions from their client to accept service</w:t>
      </w:r>
      <w:r w:rsidR="00344143">
        <w:rPr>
          <w:rFonts w:cstheme="minorHAnsi"/>
          <w:sz w:val="24"/>
          <w:szCs w:val="24"/>
        </w:rPr>
        <w:t>;</w:t>
      </w:r>
    </w:p>
    <w:p w14:paraId="38785781" w14:textId="77777777" w:rsidR="000675BF" w:rsidRPr="00AE4A64" w:rsidRDefault="000675BF" w:rsidP="00F51625">
      <w:pPr>
        <w:pStyle w:val="ListParagraph"/>
        <w:keepNext/>
        <w:numPr>
          <w:ilvl w:val="0"/>
          <w:numId w:val="13"/>
        </w:numPr>
        <w:spacing w:after="0" w:line="276" w:lineRule="auto"/>
        <w:ind w:left="1145" w:hanging="357"/>
        <w:jc w:val="both"/>
        <w:rPr>
          <w:rFonts w:cstheme="minorHAnsi"/>
          <w:sz w:val="24"/>
          <w:szCs w:val="24"/>
        </w:rPr>
      </w:pPr>
      <w:r w:rsidRPr="00AE4A64">
        <w:rPr>
          <w:rFonts w:cstheme="minorHAnsi"/>
          <w:sz w:val="24"/>
          <w:szCs w:val="24"/>
        </w:rPr>
        <w:lastRenderedPageBreak/>
        <w:t>service via email, but only if:</w:t>
      </w:r>
    </w:p>
    <w:p w14:paraId="7BC1B8EA" w14:textId="19A13B45" w:rsidR="000675BF" w:rsidRPr="00AE4A64" w:rsidRDefault="000675BF" w:rsidP="006C6857">
      <w:pPr>
        <w:pStyle w:val="ListParagraph"/>
        <w:numPr>
          <w:ilvl w:val="1"/>
          <w:numId w:val="13"/>
        </w:numPr>
        <w:spacing w:after="0" w:line="276" w:lineRule="auto"/>
        <w:jc w:val="both"/>
        <w:rPr>
          <w:rFonts w:cstheme="minorHAnsi"/>
          <w:sz w:val="24"/>
          <w:szCs w:val="24"/>
        </w:rPr>
      </w:pPr>
      <w:r w:rsidRPr="00AE4A64">
        <w:rPr>
          <w:rFonts w:cstheme="minorHAnsi"/>
          <w:sz w:val="24"/>
          <w:szCs w:val="24"/>
        </w:rPr>
        <w:t xml:space="preserve">service </w:t>
      </w:r>
      <w:r w:rsidR="00ED2BEF">
        <w:rPr>
          <w:rFonts w:cstheme="minorHAnsi"/>
          <w:sz w:val="24"/>
          <w:szCs w:val="24"/>
        </w:rPr>
        <w:t>by</w:t>
      </w:r>
      <w:r w:rsidRPr="00AE4A64">
        <w:rPr>
          <w:rFonts w:cstheme="minorHAnsi"/>
          <w:sz w:val="24"/>
          <w:szCs w:val="24"/>
        </w:rPr>
        <w:t xml:space="preserve"> email is appropriate having regard to whether the summons is confidential and the number and identity of persons who may have access to the email account proposed to be used by the addressee</w:t>
      </w:r>
      <w:r w:rsidR="00693CDD">
        <w:rPr>
          <w:rFonts w:cstheme="minorHAnsi"/>
          <w:sz w:val="24"/>
          <w:szCs w:val="24"/>
        </w:rPr>
        <w:t>;</w:t>
      </w:r>
      <w:r w:rsidRPr="00AE4A64">
        <w:rPr>
          <w:rFonts w:cstheme="minorHAnsi"/>
          <w:sz w:val="24"/>
          <w:szCs w:val="24"/>
        </w:rPr>
        <w:t xml:space="preserve"> and</w:t>
      </w:r>
    </w:p>
    <w:p w14:paraId="51DFED08" w14:textId="5725970B" w:rsidR="000675BF" w:rsidRPr="00AE4A64" w:rsidRDefault="000675BF" w:rsidP="006C6857">
      <w:pPr>
        <w:pStyle w:val="ListParagraph"/>
        <w:numPr>
          <w:ilvl w:val="1"/>
          <w:numId w:val="13"/>
        </w:numPr>
        <w:spacing w:after="0" w:line="276" w:lineRule="auto"/>
        <w:jc w:val="both"/>
        <w:rPr>
          <w:rFonts w:cstheme="minorHAnsi"/>
          <w:sz w:val="24"/>
          <w:szCs w:val="24"/>
        </w:rPr>
      </w:pPr>
      <w:r w:rsidRPr="00AE4A64">
        <w:rPr>
          <w:rFonts w:cstheme="minorHAnsi"/>
          <w:sz w:val="24"/>
          <w:szCs w:val="24"/>
        </w:rPr>
        <w:t xml:space="preserve">the person has confirmed </w:t>
      </w:r>
      <w:r w:rsidR="00ED2BEF">
        <w:rPr>
          <w:rFonts w:cstheme="minorHAnsi"/>
          <w:sz w:val="24"/>
          <w:szCs w:val="24"/>
        </w:rPr>
        <w:t>by</w:t>
      </w:r>
      <w:r w:rsidRPr="00AE4A64">
        <w:rPr>
          <w:rFonts w:cstheme="minorHAnsi"/>
          <w:sz w:val="24"/>
          <w:szCs w:val="24"/>
        </w:rPr>
        <w:t xml:space="preserve"> email that they are willing to accept service </w:t>
      </w:r>
      <w:r w:rsidR="00ED2BEF">
        <w:rPr>
          <w:rFonts w:cstheme="minorHAnsi"/>
          <w:sz w:val="24"/>
          <w:szCs w:val="24"/>
        </w:rPr>
        <w:t>by</w:t>
      </w:r>
      <w:r w:rsidRPr="00AE4A64">
        <w:rPr>
          <w:rFonts w:cstheme="minorHAnsi"/>
          <w:sz w:val="24"/>
          <w:szCs w:val="24"/>
        </w:rPr>
        <w:t xml:space="preserve"> that method</w:t>
      </w:r>
      <w:r w:rsidR="00344143">
        <w:rPr>
          <w:rFonts w:cstheme="minorHAnsi"/>
          <w:sz w:val="24"/>
          <w:szCs w:val="24"/>
        </w:rPr>
        <w:t>,</w:t>
      </w:r>
      <w:r w:rsidRPr="00AE4A64">
        <w:rPr>
          <w:rFonts w:cstheme="minorHAnsi"/>
          <w:sz w:val="24"/>
          <w:szCs w:val="24"/>
        </w:rPr>
        <w:t xml:space="preserve"> and service is to be effected </w:t>
      </w:r>
      <w:r w:rsidR="00ED2BEF">
        <w:rPr>
          <w:rFonts w:cstheme="minorHAnsi"/>
          <w:sz w:val="24"/>
          <w:szCs w:val="24"/>
        </w:rPr>
        <w:t>by</w:t>
      </w:r>
      <w:r w:rsidRPr="00AE4A64">
        <w:rPr>
          <w:rFonts w:cstheme="minorHAnsi"/>
          <w:sz w:val="24"/>
          <w:szCs w:val="24"/>
        </w:rPr>
        <w:t xml:space="preserve"> reply to the email.</w:t>
      </w:r>
    </w:p>
    <w:p w14:paraId="1A76863D" w14:textId="4D6FE619" w:rsidR="000675BF" w:rsidRDefault="000675BF" w:rsidP="006C6857">
      <w:pPr>
        <w:spacing w:line="276" w:lineRule="auto"/>
        <w:rPr>
          <w:rFonts w:cstheme="minorHAnsi"/>
          <w:sz w:val="24"/>
          <w:szCs w:val="24"/>
        </w:rPr>
      </w:pPr>
    </w:p>
    <w:p w14:paraId="58DB3C6D" w14:textId="17298784" w:rsidR="000675BF" w:rsidRPr="000675BF" w:rsidRDefault="000675BF" w:rsidP="006C6857">
      <w:pPr>
        <w:spacing w:line="276" w:lineRule="auto"/>
        <w:rPr>
          <w:rFonts w:cstheme="minorHAnsi"/>
          <w:b/>
          <w:bCs/>
          <w:sz w:val="24"/>
          <w:szCs w:val="24"/>
        </w:rPr>
      </w:pPr>
      <w:r w:rsidRPr="000675BF">
        <w:rPr>
          <w:rFonts w:cstheme="minorHAnsi"/>
          <w:b/>
          <w:bCs/>
          <w:sz w:val="24"/>
          <w:szCs w:val="24"/>
        </w:rPr>
        <w:t>Service on an inmate of a correctional centre</w:t>
      </w:r>
    </w:p>
    <w:p w14:paraId="52F84B88" w14:textId="45666312" w:rsidR="000675BF" w:rsidRDefault="000675BF" w:rsidP="006C6857">
      <w:pPr>
        <w:pStyle w:val="ListParagraph"/>
        <w:numPr>
          <w:ilvl w:val="1"/>
          <w:numId w:val="36"/>
        </w:numPr>
        <w:spacing w:line="276" w:lineRule="auto"/>
        <w:jc w:val="both"/>
        <w:rPr>
          <w:rFonts w:cstheme="minorHAnsi"/>
          <w:sz w:val="24"/>
          <w:szCs w:val="24"/>
        </w:rPr>
      </w:pPr>
      <w:r>
        <w:rPr>
          <w:rFonts w:cstheme="minorHAnsi"/>
          <w:sz w:val="24"/>
          <w:szCs w:val="24"/>
        </w:rPr>
        <w:t xml:space="preserve">Inmates of correctional centres will be served with an examination summons personally.  In certain circumstances the examination summons will be returned to the </w:t>
      </w:r>
      <w:r w:rsidR="004425EC">
        <w:rPr>
          <w:rFonts w:cstheme="minorHAnsi"/>
          <w:sz w:val="24"/>
          <w:szCs w:val="24"/>
        </w:rPr>
        <w:t>Commission</w:t>
      </w:r>
      <w:r w:rsidR="00344143">
        <w:rPr>
          <w:rFonts w:cstheme="minorHAnsi"/>
          <w:sz w:val="24"/>
          <w:szCs w:val="24"/>
        </w:rPr>
        <w:t xml:space="preserve"> </w:t>
      </w:r>
      <w:r>
        <w:rPr>
          <w:rFonts w:cstheme="minorHAnsi"/>
          <w:sz w:val="24"/>
          <w:szCs w:val="24"/>
        </w:rPr>
        <w:t>after service is effected and held on the detainee’s behalf.</w:t>
      </w:r>
    </w:p>
    <w:p w14:paraId="13F34FD8" w14:textId="77777777" w:rsidR="000675BF" w:rsidRDefault="000675BF" w:rsidP="006C6857">
      <w:pPr>
        <w:pStyle w:val="ListParagraph"/>
        <w:spacing w:line="276" w:lineRule="auto"/>
        <w:jc w:val="both"/>
        <w:rPr>
          <w:rFonts w:cstheme="minorHAnsi"/>
          <w:sz w:val="24"/>
          <w:szCs w:val="24"/>
        </w:rPr>
      </w:pPr>
    </w:p>
    <w:p w14:paraId="090585EF" w14:textId="5B709785" w:rsidR="000675BF" w:rsidRDefault="000675BF" w:rsidP="006C6857">
      <w:pPr>
        <w:pStyle w:val="ListParagraph"/>
        <w:numPr>
          <w:ilvl w:val="1"/>
          <w:numId w:val="36"/>
        </w:numPr>
        <w:spacing w:line="276" w:lineRule="auto"/>
        <w:jc w:val="both"/>
        <w:rPr>
          <w:rFonts w:cstheme="minorHAnsi"/>
          <w:sz w:val="24"/>
          <w:szCs w:val="24"/>
        </w:rPr>
      </w:pPr>
      <w:r>
        <w:rPr>
          <w:rFonts w:cstheme="minorHAnsi"/>
          <w:sz w:val="24"/>
          <w:szCs w:val="24"/>
        </w:rPr>
        <w:t xml:space="preserve">In some circumstances it may be appropriate to serve a detainee with an examination summons after his or her arrival to give evidence at the </w:t>
      </w:r>
      <w:r w:rsidR="004425EC">
        <w:rPr>
          <w:rFonts w:cstheme="minorHAnsi"/>
          <w:sz w:val="24"/>
          <w:szCs w:val="24"/>
        </w:rPr>
        <w:t>Commission</w:t>
      </w:r>
      <w:r>
        <w:rPr>
          <w:rFonts w:cstheme="minorHAnsi"/>
          <w:sz w:val="24"/>
          <w:szCs w:val="24"/>
        </w:rPr>
        <w:t>.</w:t>
      </w:r>
    </w:p>
    <w:p w14:paraId="696471FE" w14:textId="77777777" w:rsidR="00EE7759" w:rsidRPr="00CD64AF" w:rsidRDefault="00EE7759" w:rsidP="00CD64AF">
      <w:pPr>
        <w:pStyle w:val="ListParagraph"/>
        <w:rPr>
          <w:rFonts w:cstheme="minorHAnsi"/>
          <w:sz w:val="24"/>
          <w:szCs w:val="24"/>
        </w:rPr>
      </w:pPr>
    </w:p>
    <w:p w14:paraId="0971AF73" w14:textId="0ABAB60F" w:rsidR="00EE7759" w:rsidRPr="00CD64AF" w:rsidRDefault="00EE7759" w:rsidP="00CD64AF">
      <w:pPr>
        <w:spacing w:line="276" w:lineRule="auto"/>
        <w:jc w:val="both"/>
        <w:rPr>
          <w:rFonts w:cstheme="minorHAnsi"/>
          <w:b/>
          <w:bCs/>
          <w:sz w:val="24"/>
          <w:szCs w:val="24"/>
        </w:rPr>
      </w:pPr>
      <w:r w:rsidRPr="00CD64AF">
        <w:rPr>
          <w:rFonts w:cstheme="minorHAnsi"/>
          <w:b/>
          <w:bCs/>
          <w:sz w:val="24"/>
          <w:szCs w:val="24"/>
        </w:rPr>
        <w:t>Documents to be included with an examination summons</w:t>
      </w:r>
    </w:p>
    <w:p w14:paraId="027C73E6" w14:textId="77777777" w:rsidR="00EE7759" w:rsidRPr="00CD64AF" w:rsidRDefault="00EE7759" w:rsidP="00CD64AF">
      <w:pPr>
        <w:pStyle w:val="ListParagraph"/>
        <w:rPr>
          <w:rFonts w:cstheme="minorHAnsi"/>
          <w:sz w:val="24"/>
          <w:szCs w:val="24"/>
        </w:rPr>
      </w:pPr>
    </w:p>
    <w:p w14:paraId="6DBACEB1" w14:textId="4F1B8CCD" w:rsidR="00EE7759" w:rsidRDefault="00EE7759" w:rsidP="00EE7759">
      <w:pPr>
        <w:pStyle w:val="ListParagraph"/>
        <w:numPr>
          <w:ilvl w:val="1"/>
          <w:numId w:val="36"/>
        </w:numPr>
        <w:spacing w:line="276" w:lineRule="auto"/>
        <w:jc w:val="both"/>
        <w:rPr>
          <w:rFonts w:cstheme="minorHAnsi"/>
          <w:sz w:val="24"/>
          <w:szCs w:val="24"/>
        </w:rPr>
      </w:pPr>
      <w:r>
        <w:rPr>
          <w:rFonts w:cstheme="minorHAnsi"/>
          <w:sz w:val="24"/>
          <w:szCs w:val="24"/>
        </w:rPr>
        <w:t xml:space="preserve">An examination summons should be accompanied by the Commission’s ‘Information </w:t>
      </w:r>
      <w:r w:rsidR="006D5927">
        <w:rPr>
          <w:rFonts w:cstheme="minorHAnsi"/>
          <w:sz w:val="24"/>
          <w:szCs w:val="24"/>
        </w:rPr>
        <w:t>for</w:t>
      </w:r>
      <w:r>
        <w:rPr>
          <w:rFonts w:cstheme="minorHAnsi"/>
          <w:sz w:val="24"/>
          <w:szCs w:val="24"/>
        </w:rPr>
        <w:t xml:space="preserve"> Witnesses’ brochure (also available on the website).</w:t>
      </w:r>
    </w:p>
    <w:p w14:paraId="0B67BC8E" w14:textId="77777777" w:rsidR="006D5927" w:rsidRDefault="006D5927" w:rsidP="00EE7759">
      <w:pPr>
        <w:spacing w:line="276" w:lineRule="auto"/>
        <w:jc w:val="both"/>
        <w:rPr>
          <w:rFonts w:cstheme="minorHAnsi"/>
          <w:b/>
          <w:bCs/>
          <w:sz w:val="24"/>
          <w:szCs w:val="24"/>
        </w:rPr>
      </w:pPr>
    </w:p>
    <w:p w14:paraId="7D15B859" w14:textId="77777777" w:rsidR="00385609" w:rsidRPr="00AE4A64" w:rsidRDefault="00385609" w:rsidP="006C6857">
      <w:pPr>
        <w:pStyle w:val="ListParagraph"/>
        <w:spacing w:after="0" w:line="276" w:lineRule="auto"/>
        <w:ind w:left="426"/>
        <w:jc w:val="both"/>
        <w:rPr>
          <w:rFonts w:cstheme="minorHAnsi"/>
          <w:sz w:val="24"/>
          <w:szCs w:val="24"/>
        </w:rPr>
      </w:pPr>
    </w:p>
    <w:p w14:paraId="74D01BB5" w14:textId="7460732A" w:rsidR="000675BF" w:rsidRDefault="000675BF" w:rsidP="006C6857">
      <w:pPr>
        <w:spacing w:line="276" w:lineRule="auto"/>
        <w:rPr>
          <w:rFonts w:cstheme="minorHAnsi"/>
          <w:sz w:val="24"/>
          <w:szCs w:val="24"/>
        </w:rPr>
      </w:pPr>
      <w:r>
        <w:rPr>
          <w:rFonts w:cstheme="minorHAnsi"/>
          <w:sz w:val="24"/>
          <w:szCs w:val="24"/>
        </w:rPr>
        <w:br w:type="page"/>
      </w:r>
    </w:p>
    <w:p w14:paraId="6AA78C6F" w14:textId="415B2C22" w:rsidR="005469C3" w:rsidRPr="00DA2F93" w:rsidRDefault="00693CDD" w:rsidP="00FA1E87">
      <w:pPr>
        <w:pStyle w:val="Heading1"/>
        <w:numPr>
          <w:ilvl w:val="0"/>
          <w:numId w:val="2"/>
        </w:numPr>
      </w:pPr>
      <w:bookmarkStart w:id="4" w:name="_Toc64037627"/>
      <w:r>
        <w:lastRenderedPageBreak/>
        <w:t xml:space="preserve">Representation and </w:t>
      </w:r>
      <w:r w:rsidR="000675BF">
        <w:t>Authorisation</w:t>
      </w:r>
      <w:bookmarkEnd w:id="4"/>
      <w:r w:rsidR="000675BF">
        <w:t xml:space="preserve"> </w:t>
      </w:r>
    </w:p>
    <w:p w14:paraId="38C37F94" w14:textId="74041DD8" w:rsidR="005469C3" w:rsidRPr="00F45645" w:rsidRDefault="005469C3" w:rsidP="006C6857">
      <w:pPr>
        <w:spacing w:line="276" w:lineRule="auto"/>
        <w:jc w:val="both"/>
        <w:rPr>
          <w:rFonts w:cstheme="minorHAnsi"/>
          <w:b/>
          <w:bCs/>
          <w:sz w:val="24"/>
          <w:szCs w:val="24"/>
        </w:rPr>
      </w:pPr>
    </w:p>
    <w:p w14:paraId="67C5B9FF" w14:textId="218E60DA" w:rsidR="000675BF" w:rsidRPr="00F45645" w:rsidRDefault="000675BF" w:rsidP="006C6857">
      <w:pPr>
        <w:spacing w:line="276" w:lineRule="auto"/>
        <w:ind w:left="720" w:hanging="720"/>
        <w:jc w:val="both"/>
        <w:rPr>
          <w:b/>
          <w:bCs/>
          <w:sz w:val="24"/>
          <w:szCs w:val="24"/>
        </w:rPr>
      </w:pPr>
      <w:r w:rsidRPr="00F45645">
        <w:rPr>
          <w:b/>
          <w:bCs/>
          <w:sz w:val="24"/>
          <w:szCs w:val="24"/>
        </w:rPr>
        <w:t>Representation</w:t>
      </w:r>
    </w:p>
    <w:p w14:paraId="4FA38EF5" w14:textId="22BFF0E6" w:rsidR="00693CDD" w:rsidRDefault="000675BF" w:rsidP="006C6857">
      <w:pPr>
        <w:spacing w:line="276" w:lineRule="auto"/>
        <w:ind w:left="720" w:hanging="720"/>
        <w:jc w:val="both"/>
        <w:rPr>
          <w:sz w:val="24"/>
          <w:szCs w:val="24"/>
        </w:rPr>
      </w:pPr>
      <w:r w:rsidRPr="00F45645">
        <w:rPr>
          <w:sz w:val="24"/>
          <w:szCs w:val="24"/>
        </w:rPr>
        <w:t>4.</w:t>
      </w:r>
      <w:r w:rsidR="00693CDD">
        <w:rPr>
          <w:sz w:val="24"/>
          <w:szCs w:val="24"/>
        </w:rPr>
        <w:t>1</w:t>
      </w:r>
      <w:r w:rsidRPr="00F45645">
        <w:rPr>
          <w:sz w:val="24"/>
          <w:szCs w:val="24"/>
        </w:rPr>
        <w:tab/>
      </w:r>
      <w:r w:rsidR="00F45645" w:rsidRPr="00F45645">
        <w:rPr>
          <w:sz w:val="24"/>
          <w:szCs w:val="24"/>
        </w:rPr>
        <w:t xml:space="preserve">A person giving evidence at an examination </w:t>
      </w:r>
      <w:r w:rsidR="00382ECB">
        <w:rPr>
          <w:sz w:val="24"/>
          <w:szCs w:val="24"/>
        </w:rPr>
        <w:t>may</w:t>
      </w:r>
      <w:r w:rsidR="00693CDD" w:rsidRPr="00F45645">
        <w:rPr>
          <w:sz w:val="24"/>
          <w:szCs w:val="24"/>
        </w:rPr>
        <w:t xml:space="preserve"> </w:t>
      </w:r>
      <w:r w:rsidR="00F45645" w:rsidRPr="00F45645">
        <w:rPr>
          <w:sz w:val="24"/>
          <w:szCs w:val="24"/>
        </w:rPr>
        <w:t>be legally represented.</w:t>
      </w:r>
      <w:r w:rsidR="00F45645" w:rsidRPr="00F45645">
        <w:rPr>
          <w:rStyle w:val="FootnoteReference"/>
          <w:sz w:val="24"/>
          <w:szCs w:val="24"/>
        </w:rPr>
        <w:footnoteReference w:id="10"/>
      </w:r>
      <w:r w:rsidR="00F45645" w:rsidRPr="00F45645">
        <w:rPr>
          <w:sz w:val="24"/>
          <w:szCs w:val="24"/>
        </w:rPr>
        <w:t xml:space="preserve">  </w:t>
      </w:r>
      <w:r w:rsidR="00AC742C">
        <w:rPr>
          <w:sz w:val="24"/>
          <w:szCs w:val="24"/>
        </w:rPr>
        <w:t xml:space="preserve">The Commissioner </w:t>
      </w:r>
      <w:r w:rsidR="00382ECB">
        <w:rPr>
          <w:sz w:val="24"/>
          <w:szCs w:val="24"/>
        </w:rPr>
        <w:t xml:space="preserve">can, however, </w:t>
      </w:r>
      <w:r w:rsidR="00693CDD">
        <w:rPr>
          <w:sz w:val="24"/>
          <w:szCs w:val="24"/>
        </w:rPr>
        <w:t xml:space="preserve">refuse to grant leave </w:t>
      </w:r>
      <w:r w:rsidR="00AC742C">
        <w:rPr>
          <w:sz w:val="24"/>
          <w:szCs w:val="24"/>
        </w:rPr>
        <w:t>for a particular legal representative to appear on that person’s behalf</w:t>
      </w:r>
      <w:r w:rsidR="00382ECB">
        <w:rPr>
          <w:sz w:val="24"/>
          <w:szCs w:val="24"/>
        </w:rPr>
        <w:t xml:space="preserve"> (a legal advice direction) in certain circumstances,</w:t>
      </w:r>
      <w:r w:rsidR="00382ECB">
        <w:rPr>
          <w:rStyle w:val="FootnoteReference"/>
          <w:sz w:val="24"/>
          <w:szCs w:val="24"/>
        </w:rPr>
        <w:footnoteReference w:id="11"/>
      </w:r>
      <w:r w:rsidR="00382ECB">
        <w:rPr>
          <w:sz w:val="24"/>
          <w:szCs w:val="24"/>
        </w:rPr>
        <w:t xml:space="preserve"> </w:t>
      </w:r>
      <w:r w:rsidR="00382ECB" w:rsidRPr="005E7862">
        <w:rPr>
          <w:sz w:val="24"/>
          <w:szCs w:val="24"/>
        </w:rPr>
        <w:t>although this would be an exceptional step.</w:t>
      </w:r>
      <w:r w:rsidR="00F45645" w:rsidRPr="00F45645">
        <w:rPr>
          <w:sz w:val="24"/>
          <w:szCs w:val="24"/>
        </w:rPr>
        <w:t xml:space="preserve">  </w:t>
      </w:r>
    </w:p>
    <w:p w14:paraId="73E161A5" w14:textId="41E900E0" w:rsidR="00693CDD" w:rsidRDefault="00693CDD" w:rsidP="006C6857">
      <w:pPr>
        <w:spacing w:line="276" w:lineRule="auto"/>
        <w:ind w:left="720" w:hanging="720"/>
        <w:jc w:val="both"/>
        <w:rPr>
          <w:sz w:val="24"/>
          <w:szCs w:val="24"/>
        </w:rPr>
      </w:pPr>
    </w:p>
    <w:p w14:paraId="4816AE80" w14:textId="286BE503" w:rsidR="00693CDD" w:rsidRDefault="00693CDD" w:rsidP="006C6857">
      <w:pPr>
        <w:spacing w:line="276" w:lineRule="auto"/>
        <w:ind w:left="720" w:hanging="720"/>
        <w:jc w:val="both"/>
        <w:rPr>
          <w:sz w:val="24"/>
          <w:szCs w:val="24"/>
        </w:rPr>
      </w:pPr>
      <w:r w:rsidRPr="007412D8">
        <w:rPr>
          <w:b/>
          <w:bCs/>
          <w:sz w:val="24"/>
          <w:szCs w:val="24"/>
        </w:rPr>
        <w:t>Authorisation</w:t>
      </w:r>
    </w:p>
    <w:p w14:paraId="37435D65" w14:textId="703C7C33" w:rsidR="000675BF" w:rsidRDefault="00693CDD" w:rsidP="006C6857">
      <w:pPr>
        <w:spacing w:line="276" w:lineRule="auto"/>
        <w:ind w:left="720" w:hanging="720"/>
        <w:jc w:val="both"/>
        <w:rPr>
          <w:sz w:val="24"/>
          <w:szCs w:val="24"/>
        </w:rPr>
      </w:pPr>
      <w:r>
        <w:rPr>
          <w:sz w:val="24"/>
          <w:szCs w:val="24"/>
        </w:rPr>
        <w:t xml:space="preserve">4.3 </w:t>
      </w:r>
      <w:r>
        <w:rPr>
          <w:sz w:val="24"/>
          <w:szCs w:val="24"/>
        </w:rPr>
        <w:tab/>
      </w:r>
      <w:r w:rsidR="00382ECB">
        <w:rPr>
          <w:sz w:val="24"/>
          <w:szCs w:val="24"/>
        </w:rPr>
        <w:t>Where</w:t>
      </w:r>
      <w:r w:rsidR="00F45645" w:rsidRPr="00F45645">
        <w:rPr>
          <w:sz w:val="24"/>
          <w:szCs w:val="24"/>
        </w:rPr>
        <w:t xml:space="preserve"> there are special circumstances, the Commissioner may authorise a person who is not a witness to be represented by a lawyer during the examination of a witness.</w:t>
      </w:r>
      <w:r w:rsidR="00F45645" w:rsidRPr="00F45645">
        <w:rPr>
          <w:rStyle w:val="FootnoteReference"/>
          <w:sz w:val="24"/>
          <w:szCs w:val="24"/>
        </w:rPr>
        <w:footnoteReference w:id="12"/>
      </w:r>
      <w:r>
        <w:rPr>
          <w:sz w:val="24"/>
          <w:szCs w:val="24"/>
        </w:rPr>
        <w:t xml:space="preserve">  For example, </w:t>
      </w:r>
      <w:r>
        <w:rPr>
          <w:rFonts w:cstheme="minorHAnsi"/>
          <w:sz w:val="24"/>
          <w:szCs w:val="24"/>
        </w:rPr>
        <w:t>t</w:t>
      </w:r>
      <w:r w:rsidRPr="00F45645">
        <w:rPr>
          <w:rFonts w:cstheme="minorHAnsi"/>
          <w:sz w:val="24"/>
          <w:szCs w:val="24"/>
        </w:rPr>
        <w:t xml:space="preserve">he Commissioner may </w:t>
      </w:r>
      <w:r w:rsidRPr="00F45645">
        <w:rPr>
          <w:sz w:val="24"/>
          <w:szCs w:val="24"/>
        </w:rPr>
        <w:t xml:space="preserve">authorise a person to appear at a public </w:t>
      </w:r>
      <w:r>
        <w:rPr>
          <w:sz w:val="24"/>
          <w:szCs w:val="24"/>
        </w:rPr>
        <w:t>examination</w:t>
      </w:r>
      <w:r w:rsidRPr="00F45645">
        <w:rPr>
          <w:sz w:val="24"/>
          <w:szCs w:val="24"/>
        </w:rPr>
        <w:t xml:space="preserve"> or a specified part of a public </w:t>
      </w:r>
      <w:r>
        <w:rPr>
          <w:sz w:val="24"/>
          <w:szCs w:val="24"/>
        </w:rPr>
        <w:t>examination</w:t>
      </w:r>
      <w:r w:rsidRPr="00F45645">
        <w:rPr>
          <w:sz w:val="24"/>
          <w:szCs w:val="24"/>
        </w:rPr>
        <w:t xml:space="preserve"> if it is shown that the person is substantially and directly interested in any subject-matter of the public </w:t>
      </w:r>
      <w:r>
        <w:rPr>
          <w:sz w:val="24"/>
          <w:szCs w:val="24"/>
        </w:rPr>
        <w:t>examination</w:t>
      </w:r>
      <w:r w:rsidRPr="00F45645">
        <w:rPr>
          <w:sz w:val="24"/>
          <w:szCs w:val="24"/>
        </w:rPr>
        <w:t xml:space="preserve">. </w:t>
      </w:r>
      <w:r>
        <w:rPr>
          <w:sz w:val="24"/>
          <w:szCs w:val="24"/>
        </w:rPr>
        <w:t xml:space="preserve"> </w:t>
      </w:r>
      <w:r w:rsidRPr="00F45645">
        <w:rPr>
          <w:sz w:val="24"/>
          <w:szCs w:val="24"/>
        </w:rPr>
        <w:t xml:space="preserve">Authorisation </w:t>
      </w:r>
      <w:r>
        <w:rPr>
          <w:sz w:val="24"/>
          <w:szCs w:val="24"/>
        </w:rPr>
        <w:t>may</w:t>
      </w:r>
      <w:r w:rsidRPr="00F45645">
        <w:rPr>
          <w:sz w:val="24"/>
          <w:szCs w:val="24"/>
        </w:rPr>
        <w:t xml:space="preserve"> be granted subject to conditions.</w:t>
      </w:r>
    </w:p>
    <w:p w14:paraId="11DFCBE1" w14:textId="78404702" w:rsidR="00693CDD" w:rsidRPr="00F45645" w:rsidRDefault="00693CDD" w:rsidP="00693CDD">
      <w:pPr>
        <w:spacing w:line="276" w:lineRule="auto"/>
        <w:ind w:left="720" w:hanging="720"/>
        <w:jc w:val="both"/>
        <w:rPr>
          <w:sz w:val="24"/>
          <w:szCs w:val="24"/>
        </w:rPr>
      </w:pPr>
      <w:r w:rsidRPr="00F45645">
        <w:rPr>
          <w:sz w:val="24"/>
          <w:szCs w:val="24"/>
        </w:rPr>
        <w:t>4.</w:t>
      </w:r>
      <w:r>
        <w:rPr>
          <w:sz w:val="24"/>
          <w:szCs w:val="24"/>
        </w:rPr>
        <w:t>4</w:t>
      </w:r>
      <w:r w:rsidRPr="00F45645">
        <w:rPr>
          <w:sz w:val="24"/>
          <w:szCs w:val="24"/>
        </w:rPr>
        <w:tab/>
        <w:t xml:space="preserve">The Commissioner may withdraw authorisation or make the authorisation subject to altered or additional conditions, at any time.  Authorisation to appear entitles the person to whom it is granted to participate in the public </w:t>
      </w:r>
      <w:r>
        <w:rPr>
          <w:sz w:val="24"/>
          <w:szCs w:val="24"/>
        </w:rPr>
        <w:t>examination</w:t>
      </w:r>
      <w:r w:rsidRPr="00F45645">
        <w:rPr>
          <w:sz w:val="24"/>
          <w:szCs w:val="24"/>
        </w:rPr>
        <w:t xml:space="preserve"> subject to the Commissioner’s control and to such extent as the Commissioner considers appropriate.</w:t>
      </w:r>
    </w:p>
    <w:p w14:paraId="5604AD06" w14:textId="5A89B502" w:rsidR="00F45645" w:rsidRPr="00F45645" w:rsidRDefault="00F45645" w:rsidP="00943E60">
      <w:pPr>
        <w:spacing w:line="276" w:lineRule="auto"/>
        <w:ind w:left="720" w:hanging="720"/>
        <w:jc w:val="both"/>
        <w:rPr>
          <w:sz w:val="24"/>
          <w:szCs w:val="24"/>
        </w:rPr>
      </w:pPr>
      <w:r w:rsidRPr="00F45645">
        <w:rPr>
          <w:sz w:val="24"/>
          <w:szCs w:val="24"/>
        </w:rPr>
        <w:t>4.</w:t>
      </w:r>
      <w:r w:rsidR="00693CDD">
        <w:rPr>
          <w:sz w:val="24"/>
          <w:szCs w:val="24"/>
        </w:rPr>
        <w:t>5</w:t>
      </w:r>
      <w:r w:rsidRPr="00F45645">
        <w:rPr>
          <w:sz w:val="24"/>
          <w:szCs w:val="24"/>
        </w:rPr>
        <w:t xml:space="preserve"> </w:t>
      </w:r>
      <w:r w:rsidRPr="00F45645">
        <w:rPr>
          <w:sz w:val="24"/>
          <w:szCs w:val="24"/>
        </w:rPr>
        <w:tab/>
        <w:t xml:space="preserve">Where it is proposed that an application will be made for authorisation to appear, the application must be made in writing to the </w:t>
      </w:r>
      <w:r w:rsidR="00F51625">
        <w:rPr>
          <w:sz w:val="24"/>
          <w:szCs w:val="24"/>
        </w:rPr>
        <w:t>Commission</w:t>
      </w:r>
      <w:r w:rsidRPr="00F45645">
        <w:rPr>
          <w:sz w:val="24"/>
          <w:szCs w:val="24"/>
        </w:rPr>
        <w:t>.  The application should provide:</w:t>
      </w:r>
    </w:p>
    <w:p w14:paraId="23217990" w14:textId="6FF1FD71" w:rsidR="00F45645" w:rsidRPr="00F45645" w:rsidRDefault="00F45645" w:rsidP="00F30A8A">
      <w:pPr>
        <w:pStyle w:val="ListParagraph"/>
        <w:numPr>
          <w:ilvl w:val="0"/>
          <w:numId w:val="32"/>
        </w:numPr>
        <w:spacing w:line="276" w:lineRule="auto"/>
        <w:jc w:val="both"/>
        <w:rPr>
          <w:sz w:val="24"/>
          <w:szCs w:val="24"/>
        </w:rPr>
      </w:pPr>
      <w:r w:rsidRPr="00F45645">
        <w:rPr>
          <w:sz w:val="24"/>
          <w:szCs w:val="24"/>
        </w:rPr>
        <w:t>the name of the party</w:t>
      </w:r>
      <w:r w:rsidR="00AC742C">
        <w:rPr>
          <w:sz w:val="24"/>
          <w:szCs w:val="24"/>
        </w:rPr>
        <w:t xml:space="preserve"> seeking to be represented</w:t>
      </w:r>
      <w:r w:rsidRPr="00F45645">
        <w:rPr>
          <w:sz w:val="24"/>
          <w:szCs w:val="24"/>
        </w:rPr>
        <w:t>;</w:t>
      </w:r>
    </w:p>
    <w:p w14:paraId="12E36D8F" w14:textId="7185DAE0" w:rsidR="00F45645" w:rsidRPr="00F45645" w:rsidRDefault="00F45645" w:rsidP="00F30A8A">
      <w:pPr>
        <w:pStyle w:val="ListParagraph"/>
        <w:numPr>
          <w:ilvl w:val="0"/>
          <w:numId w:val="32"/>
        </w:numPr>
        <w:spacing w:line="276" w:lineRule="auto"/>
        <w:jc w:val="both"/>
        <w:rPr>
          <w:sz w:val="24"/>
          <w:szCs w:val="24"/>
        </w:rPr>
      </w:pPr>
      <w:r w:rsidRPr="00F45645">
        <w:rPr>
          <w:sz w:val="24"/>
          <w:szCs w:val="24"/>
        </w:rPr>
        <w:t>the names of the legal representatives who seek authorisation;</w:t>
      </w:r>
    </w:p>
    <w:p w14:paraId="3B6AF18E" w14:textId="3194D196" w:rsidR="00F45645" w:rsidRPr="00F45645" w:rsidRDefault="00F45645" w:rsidP="00F30A8A">
      <w:pPr>
        <w:pStyle w:val="ListParagraph"/>
        <w:numPr>
          <w:ilvl w:val="0"/>
          <w:numId w:val="32"/>
        </w:numPr>
        <w:spacing w:line="276" w:lineRule="auto"/>
        <w:jc w:val="both"/>
        <w:rPr>
          <w:sz w:val="24"/>
          <w:szCs w:val="24"/>
        </w:rPr>
      </w:pPr>
      <w:r w:rsidRPr="00F45645">
        <w:rPr>
          <w:sz w:val="24"/>
          <w:szCs w:val="24"/>
        </w:rPr>
        <w:t>the reason why the party has a sufficient interest in proceedings such that they require legal representation.</w:t>
      </w:r>
    </w:p>
    <w:p w14:paraId="0EC97C3A" w14:textId="165AF908" w:rsidR="00F45645" w:rsidRPr="00F45645" w:rsidRDefault="006D13CB" w:rsidP="006C6857">
      <w:pPr>
        <w:spacing w:line="276" w:lineRule="auto"/>
        <w:ind w:left="720" w:hanging="720"/>
        <w:jc w:val="both"/>
        <w:rPr>
          <w:sz w:val="24"/>
          <w:szCs w:val="24"/>
        </w:rPr>
      </w:pPr>
      <w:r>
        <w:rPr>
          <w:sz w:val="24"/>
          <w:szCs w:val="24"/>
        </w:rPr>
        <w:t>4.6</w:t>
      </w:r>
      <w:r>
        <w:rPr>
          <w:sz w:val="24"/>
          <w:szCs w:val="24"/>
        </w:rPr>
        <w:tab/>
      </w:r>
      <w:r w:rsidR="00F45645" w:rsidRPr="00F45645">
        <w:rPr>
          <w:sz w:val="24"/>
          <w:szCs w:val="24"/>
        </w:rPr>
        <w:t xml:space="preserve">It is </w:t>
      </w:r>
      <w:r w:rsidR="00382ECB">
        <w:rPr>
          <w:sz w:val="24"/>
          <w:szCs w:val="24"/>
        </w:rPr>
        <w:t>preferable</w:t>
      </w:r>
      <w:r w:rsidR="00F45645" w:rsidRPr="00F45645">
        <w:rPr>
          <w:sz w:val="24"/>
          <w:szCs w:val="24"/>
        </w:rPr>
        <w:t xml:space="preserve"> that each person or witness seeking to be legally represented have separate and independent legal representation.  The Commissioner will, however, receive and consider applications that a single lawyer or team of lawyers be permitted to represent more than one person where: </w:t>
      </w:r>
    </w:p>
    <w:p w14:paraId="62AF7F61" w14:textId="3E3D2C03" w:rsidR="00F45645" w:rsidRPr="00F45645" w:rsidRDefault="00F45645" w:rsidP="006C6857">
      <w:pPr>
        <w:pStyle w:val="ListParagraph"/>
        <w:numPr>
          <w:ilvl w:val="0"/>
          <w:numId w:val="33"/>
        </w:numPr>
        <w:spacing w:line="276" w:lineRule="auto"/>
        <w:jc w:val="both"/>
        <w:rPr>
          <w:sz w:val="24"/>
          <w:szCs w:val="24"/>
        </w:rPr>
      </w:pPr>
      <w:r w:rsidRPr="00F45645">
        <w:rPr>
          <w:sz w:val="24"/>
          <w:szCs w:val="24"/>
        </w:rPr>
        <w:lastRenderedPageBreak/>
        <w:t xml:space="preserve">it can be demonstrated that there </w:t>
      </w:r>
      <w:r w:rsidR="00382ECB">
        <w:rPr>
          <w:sz w:val="24"/>
          <w:szCs w:val="24"/>
        </w:rPr>
        <w:t>are reasonable grounds</w:t>
      </w:r>
      <w:r w:rsidRPr="00F45645">
        <w:rPr>
          <w:sz w:val="24"/>
          <w:szCs w:val="24"/>
        </w:rPr>
        <w:t xml:space="preserve"> for representation of that kind; </w:t>
      </w:r>
    </w:p>
    <w:p w14:paraId="01B6A2EE" w14:textId="77777777" w:rsidR="00F45645" w:rsidRPr="00F45645" w:rsidRDefault="00F45645" w:rsidP="006C6857">
      <w:pPr>
        <w:pStyle w:val="ListParagraph"/>
        <w:numPr>
          <w:ilvl w:val="0"/>
          <w:numId w:val="33"/>
        </w:numPr>
        <w:spacing w:line="276" w:lineRule="auto"/>
        <w:jc w:val="both"/>
        <w:rPr>
          <w:sz w:val="24"/>
          <w:szCs w:val="24"/>
        </w:rPr>
      </w:pPr>
      <w:r w:rsidRPr="00F45645">
        <w:rPr>
          <w:sz w:val="24"/>
          <w:szCs w:val="24"/>
        </w:rPr>
        <w:t xml:space="preserve">the most senior lawyer involved is able to assure the Commission that no conflict of interest is anticipated; and </w:t>
      </w:r>
    </w:p>
    <w:p w14:paraId="56952D25" w14:textId="77777777" w:rsidR="00F45645" w:rsidRPr="00F45645" w:rsidRDefault="00F45645" w:rsidP="006C6857">
      <w:pPr>
        <w:pStyle w:val="ListParagraph"/>
        <w:numPr>
          <w:ilvl w:val="0"/>
          <w:numId w:val="33"/>
        </w:numPr>
        <w:spacing w:line="276" w:lineRule="auto"/>
        <w:jc w:val="both"/>
        <w:rPr>
          <w:sz w:val="24"/>
          <w:szCs w:val="24"/>
        </w:rPr>
      </w:pPr>
      <w:r w:rsidRPr="00F45645">
        <w:rPr>
          <w:sz w:val="24"/>
          <w:szCs w:val="24"/>
        </w:rPr>
        <w:t xml:space="preserve">all of the lawyers involved give an undertaking, through the most senior lawyer, to inform the Commission immediately upon recognising that a conflict of interest has arisen. </w:t>
      </w:r>
    </w:p>
    <w:p w14:paraId="1DDEEE95" w14:textId="77777777" w:rsidR="00BF335F" w:rsidRPr="00BF335F" w:rsidRDefault="00BF335F" w:rsidP="006C6857">
      <w:pPr>
        <w:pStyle w:val="ListParagraph"/>
        <w:spacing w:line="276" w:lineRule="auto"/>
        <w:rPr>
          <w:rFonts w:cstheme="minorHAnsi"/>
          <w:sz w:val="24"/>
          <w:szCs w:val="24"/>
        </w:rPr>
      </w:pPr>
    </w:p>
    <w:p w14:paraId="5B393C99" w14:textId="33398735" w:rsidR="00BF335F" w:rsidRPr="00BF335F" w:rsidRDefault="00BF335F" w:rsidP="006C6857">
      <w:pPr>
        <w:spacing w:line="276" w:lineRule="auto"/>
        <w:rPr>
          <w:rFonts w:cstheme="minorHAnsi"/>
          <w:sz w:val="24"/>
          <w:szCs w:val="24"/>
        </w:rPr>
      </w:pPr>
      <w:r>
        <w:rPr>
          <w:rFonts w:cstheme="minorHAnsi"/>
          <w:sz w:val="24"/>
          <w:szCs w:val="24"/>
        </w:rPr>
        <w:br w:type="page"/>
      </w:r>
    </w:p>
    <w:p w14:paraId="71FAC3DD" w14:textId="3078746E" w:rsidR="00BF335F" w:rsidRPr="00BF335F" w:rsidRDefault="00BF335F" w:rsidP="00FA1E87">
      <w:pPr>
        <w:pStyle w:val="Heading1"/>
        <w:numPr>
          <w:ilvl w:val="0"/>
          <w:numId w:val="2"/>
        </w:numPr>
      </w:pPr>
      <w:bookmarkStart w:id="5" w:name="_Toc64037628"/>
      <w:r w:rsidRPr="00FA1E87">
        <w:lastRenderedPageBreak/>
        <w:t>Witnesses</w:t>
      </w:r>
      <w:r w:rsidR="00D94C3C">
        <w:t xml:space="preserve"> </w:t>
      </w:r>
      <w:r w:rsidR="00344143">
        <w:t>and</w:t>
      </w:r>
      <w:r w:rsidR="00D94C3C">
        <w:t xml:space="preserve"> Evidence</w:t>
      </w:r>
      <w:bookmarkEnd w:id="5"/>
    </w:p>
    <w:p w14:paraId="6BBF212A" w14:textId="77777777" w:rsidR="00BF335F" w:rsidRPr="00D94C3C" w:rsidRDefault="00BF335F" w:rsidP="006C6857">
      <w:pPr>
        <w:pStyle w:val="ListParagraph"/>
        <w:spacing w:after="0" w:line="276" w:lineRule="auto"/>
        <w:ind w:left="360"/>
        <w:jc w:val="both"/>
        <w:rPr>
          <w:rFonts w:cstheme="minorHAnsi"/>
          <w:iCs/>
          <w:sz w:val="24"/>
          <w:szCs w:val="24"/>
        </w:rPr>
      </w:pPr>
    </w:p>
    <w:p w14:paraId="656B74A3" w14:textId="4634B692" w:rsidR="00D94C3C" w:rsidRPr="006C6857" w:rsidRDefault="00D94C3C" w:rsidP="006C6857">
      <w:pPr>
        <w:spacing w:after="0" w:line="276" w:lineRule="auto"/>
        <w:jc w:val="both"/>
        <w:rPr>
          <w:rFonts w:cstheme="minorHAnsi"/>
          <w:b/>
          <w:bCs/>
          <w:iCs/>
          <w:sz w:val="24"/>
          <w:szCs w:val="24"/>
        </w:rPr>
      </w:pPr>
      <w:r w:rsidRPr="006C6857">
        <w:rPr>
          <w:rFonts w:cstheme="minorHAnsi"/>
          <w:b/>
          <w:bCs/>
          <w:iCs/>
          <w:sz w:val="24"/>
          <w:szCs w:val="24"/>
        </w:rPr>
        <w:t xml:space="preserve">General </w:t>
      </w:r>
    </w:p>
    <w:p w14:paraId="6F4CCF82" w14:textId="77777777" w:rsidR="00D94C3C" w:rsidRPr="006C6857" w:rsidRDefault="00D94C3C" w:rsidP="006C6857">
      <w:pPr>
        <w:spacing w:after="0" w:line="276" w:lineRule="auto"/>
        <w:jc w:val="both"/>
        <w:rPr>
          <w:rFonts w:cstheme="minorHAnsi"/>
          <w:iCs/>
          <w:sz w:val="24"/>
          <w:szCs w:val="24"/>
        </w:rPr>
      </w:pPr>
    </w:p>
    <w:p w14:paraId="36D3D350" w14:textId="743ACF03" w:rsidR="00D94C3C" w:rsidRPr="006C6857" w:rsidRDefault="00D94C3C" w:rsidP="00FA1E87">
      <w:pPr>
        <w:pStyle w:val="ListParagraph"/>
        <w:numPr>
          <w:ilvl w:val="1"/>
          <w:numId w:val="2"/>
        </w:numPr>
        <w:spacing w:line="276" w:lineRule="auto"/>
        <w:jc w:val="both"/>
        <w:rPr>
          <w:rFonts w:cstheme="minorHAnsi"/>
          <w:iCs/>
          <w:sz w:val="24"/>
          <w:szCs w:val="24"/>
        </w:rPr>
      </w:pPr>
      <w:r w:rsidRPr="006C6857">
        <w:rPr>
          <w:rFonts w:cstheme="minorHAnsi"/>
          <w:iCs/>
          <w:sz w:val="24"/>
          <w:szCs w:val="24"/>
        </w:rPr>
        <w:t xml:space="preserve">In </w:t>
      </w:r>
      <w:r w:rsidRPr="006C6857">
        <w:rPr>
          <w:rFonts w:cstheme="minorHAnsi"/>
          <w:sz w:val="24"/>
          <w:szCs w:val="24"/>
        </w:rPr>
        <w:t xml:space="preserve">determining what evidence to place before the </w:t>
      </w:r>
      <w:r w:rsidR="004425EC">
        <w:rPr>
          <w:rFonts w:cstheme="minorHAnsi"/>
          <w:sz w:val="24"/>
          <w:szCs w:val="24"/>
        </w:rPr>
        <w:t>Commission</w:t>
      </w:r>
      <w:r w:rsidRPr="006C6857">
        <w:rPr>
          <w:rFonts w:cstheme="minorHAnsi"/>
          <w:sz w:val="24"/>
          <w:szCs w:val="24"/>
        </w:rPr>
        <w:t>, Counsel Assisting will consider the credibility, relevance and significance of that evidence and the extent to which such evidence will assist the Commission to make factual and other findings.</w:t>
      </w:r>
    </w:p>
    <w:p w14:paraId="17C4543B" w14:textId="77777777" w:rsidR="00D94C3C" w:rsidRPr="006C6857" w:rsidRDefault="00D94C3C" w:rsidP="006C6857">
      <w:pPr>
        <w:pStyle w:val="ListParagraph"/>
        <w:spacing w:after="0" w:line="276" w:lineRule="auto"/>
        <w:jc w:val="both"/>
        <w:rPr>
          <w:rFonts w:cstheme="minorHAnsi"/>
          <w:iCs/>
          <w:sz w:val="24"/>
          <w:szCs w:val="24"/>
        </w:rPr>
      </w:pPr>
    </w:p>
    <w:p w14:paraId="71EADE22" w14:textId="0C76B823" w:rsidR="00D94C3C" w:rsidRPr="006C6857" w:rsidRDefault="00D94C3C" w:rsidP="00FA1E87">
      <w:pPr>
        <w:pStyle w:val="ListParagraph"/>
        <w:numPr>
          <w:ilvl w:val="1"/>
          <w:numId w:val="2"/>
        </w:numPr>
        <w:spacing w:line="276" w:lineRule="auto"/>
        <w:jc w:val="both"/>
        <w:rPr>
          <w:rFonts w:cstheme="minorHAnsi"/>
          <w:iCs/>
          <w:sz w:val="24"/>
          <w:szCs w:val="24"/>
        </w:rPr>
      </w:pPr>
      <w:r w:rsidRPr="006C6857">
        <w:rPr>
          <w:rFonts w:cstheme="minorHAnsi"/>
          <w:iCs/>
          <w:sz w:val="24"/>
          <w:szCs w:val="24"/>
        </w:rPr>
        <w:t xml:space="preserve">It is a matter for </w:t>
      </w:r>
      <w:r w:rsidR="00344143">
        <w:rPr>
          <w:rFonts w:cstheme="minorHAnsi"/>
          <w:iCs/>
          <w:sz w:val="24"/>
          <w:szCs w:val="24"/>
        </w:rPr>
        <w:t>C</w:t>
      </w:r>
      <w:r w:rsidRPr="006C6857">
        <w:rPr>
          <w:rFonts w:cstheme="minorHAnsi"/>
          <w:iCs/>
          <w:sz w:val="24"/>
          <w:szCs w:val="24"/>
        </w:rPr>
        <w:t xml:space="preserve">ounsel </w:t>
      </w:r>
      <w:r w:rsidR="00344143">
        <w:rPr>
          <w:rFonts w:cstheme="minorHAnsi"/>
          <w:iCs/>
          <w:sz w:val="24"/>
          <w:szCs w:val="24"/>
        </w:rPr>
        <w:t>A</w:t>
      </w:r>
      <w:r w:rsidRPr="006C6857">
        <w:rPr>
          <w:rFonts w:cstheme="minorHAnsi"/>
          <w:iCs/>
          <w:sz w:val="24"/>
          <w:szCs w:val="24"/>
        </w:rPr>
        <w:t>ssisting, under the direction of the Commissioner, to determine which witnesses to call for an examination, and the order in which they are called.  Witnesses may be required to give evidence on more than one occasion.</w:t>
      </w:r>
    </w:p>
    <w:p w14:paraId="5BA430A0" w14:textId="77777777" w:rsidR="00D94C3C" w:rsidRPr="006C6857" w:rsidRDefault="00D94C3C" w:rsidP="006C6857">
      <w:pPr>
        <w:pStyle w:val="ListParagraph"/>
        <w:spacing w:line="276" w:lineRule="auto"/>
        <w:rPr>
          <w:rFonts w:cstheme="minorHAnsi"/>
          <w:iCs/>
          <w:sz w:val="24"/>
          <w:szCs w:val="24"/>
        </w:rPr>
      </w:pPr>
    </w:p>
    <w:p w14:paraId="4887BFEE" w14:textId="1571AB66" w:rsidR="00D94C3C" w:rsidRPr="006C6857" w:rsidRDefault="00D94C3C" w:rsidP="00FA1E87">
      <w:pPr>
        <w:pStyle w:val="ListParagraph"/>
        <w:numPr>
          <w:ilvl w:val="1"/>
          <w:numId w:val="2"/>
        </w:numPr>
        <w:spacing w:line="276" w:lineRule="auto"/>
        <w:jc w:val="both"/>
        <w:rPr>
          <w:rFonts w:cstheme="minorHAnsi"/>
          <w:iCs/>
          <w:sz w:val="24"/>
          <w:szCs w:val="24"/>
        </w:rPr>
      </w:pPr>
      <w:r w:rsidRPr="006C6857">
        <w:rPr>
          <w:rFonts w:cstheme="minorHAnsi"/>
          <w:sz w:val="24"/>
          <w:szCs w:val="24"/>
        </w:rPr>
        <w:t xml:space="preserve">All witnesses will be called to give evidence by Counsel Assisting, and </w:t>
      </w:r>
      <w:r w:rsidR="00AD58C8">
        <w:rPr>
          <w:rFonts w:cstheme="minorHAnsi"/>
          <w:sz w:val="24"/>
          <w:szCs w:val="24"/>
        </w:rPr>
        <w:t>first</w:t>
      </w:r>
      <w:r w:rsidRPr="006C6857">
        <w:rPr>
          <w:rFonts w:cstheme="minorHAnsi"/>
          <w:sz w:val="24"/>
          <w:szCs w:val="24"/>
        </w:rPr>
        <w:t xml:space="preserve"> examined by Counsel Assisting. If there is more than one Counsel Assisting, there may be circumstances in which a </w:t>
      </w:r>
      <w:r w:rsidRPr="00FA1E87">
        <w:rPr>
          <w:rFonts w:cstheme="minorHAnsi"/>
          <w:iCs/>
          <w:sz w:val="24"/>
          <w:szCs w:val="24"/>
        </w:rPr>
        <w:t>witness</w:t>
      </w:r>
      <w:r w:rsidRPr="006C6857">
        <w:rPr>
          <w:rFonts w:cstheme="minorHAnsi"/>
          <w:sz w:val="24"/>
          <w:szCs w:val="24"/>
        </w:rPr>
        <w:t xml:space="preserve"> might be examined by more than one of the Counsel Assisting. The witness may then be cross-examined by or on behalf of any person considered by the Commissioner to have sufficient interest to do so. The witness may then be examined by his or her own legal representative. Counsel Assisting may re-examine. Duplication and repetition must be avoided.</w:t>
      </w:r>
    </w:p>
    <w:p w14:paraId="1ADADE9C" w14:textId="77777777" w:rsidR="00D94C3C" w:rsidRPr="006C6857" w:rsidRDefault="00D94C3C" w:rsidP="006C6857">
      <w:pPr>
        <w:pStyle w:val="ListParagraph"/>
        <w:spacing w:line="276" w:lineRule="auto"/>
        <w:rPr>
          <w:rFonts w:cstheme="minorHAnsi"/>
          <w:sz w:val="24"/>
          <w:szCs w:val="24"/>
        </w:rPr>
      </w:pPr>
    </w:p>
    <w:p w14:paraId="411F0A64" w14:textId="378EF32C" w:rsidR="00D94C3C" w:rsidRPr="006C6857" w:rsidRDefault="00D94C3C" w:rsidP="00FA1E87">
      <w:pPr>
        <w:pStyle w:val="ListParagraph"/>
        <w:numPr>
          <w:ilvl w:val="1"/>
          <w:numId w:val="2"/>
        </w:numPr>
        <w:spacing w:line="276" w:lineRule="auto"/>
        <w:jc w:val="both"/>
        <w:rPr>
          <w:rFonts w:cstheme="minorHAnsi"/>
          <w:iCs/>
          <w:sz w:val="24"/>
          <w:szCs w:val="24"/>
        </w:rPr>
      </w:pPr>
      <w:r w:rsidRPr="006C6857">
        <w:rPr>
          <w:rFonts w:cstheme="minorHAnsi"/>
          <w:sz w:val="24"/>
          <w:szCs w:val="24"/>
        </w:rPr>
        <w:t xml:space="preserve">In </w:t>
      </w:r>
      <w:r w:rsidRPr="00FA1E87">
        <w:rPr>
          <w:rFonts w:cstheme="minorHAnsi"/>
          <w:iCs/>
          <w:sz w:val="24"/>
          <w:szCs w:val="24"/>
        </w:rPr>
        <w:t>determining</w:t>
      </w:r>
      <w:r w:rsidRPr="006C6857">
        <w:rPr>
          <w:rFonts w:cstheme="minorHAnsi"/>
          <w:sz w:val="24"/>
          <w:szCs w:val="24"/>
        </w:rPr>
        <w:t xml:space="preserve"> whether a person has sufficient interest to cross-examine a witness, the Commissioner may call upon the cross-examiner to: </w:t>
      </w:r>
    </w:p>
    <w:p w14:paraId="5EDE70BF" w14:textId="77777777" w:rsidR="00D94C3C" w:rsidRPr="006C6857" w:rsidRDefault="00D94C3C" w:rsidP="006C6857">
      <w:pPr>
        <w:pStyle w:val="ListParagraph"/>
        <w:spacing w:line="276" w:lineRule="auto"/>
        <w:rPr>
          <w:rFonts w:cstheme="minorHAnsi"/>
          <w:sz w:val="24"/>
          <w:szCs w:val="24"/>
        </w:rPr>
      </w:pPr>
    </w:p>
    <w:p w14:paraId="16984819" w14:textId="77777777" w:rsidR="00D94C3C" w:rsidRPr="006C6857" w:rsidRDefault="00D94C3C" w:rsidP="006C6857">
      <w:pPr>
        <w:pStyle w:val="ListParagraph"/>
        <w:numPr>
          <w:ilvl w:val="0"/>
          <w:numId w:val="30"/>
        </w:numPr>
        <w:spacing w:line="276" w:lineRule="auto"/>
        <w:jc w:val="both"/>
        <w:rPr>
          <w:rFonts w:cstheme="minorHAnsi"/>
          <w:sz w:val="24"/>
          <w:szCs w:val="24"/>
        </w:rPr>
      </w:pPr>
      <w:r w:rsidRPr="006C6857">
        <w:rPr>
          <w:rFonts w:cstheme="minorHAnsi"/>
          <w:sz w:val="24"/>
          <w:szCs w:val="24"/>
        </w:rPr>
        <w:t xml:space="preserve">identify the purpose of the cross-examination; </w:t>
      </w:r>
    </w:p>
    <w:p w14:paraId="6B12B275" w14:textId="77777777" w:rsidR="00D94C3C" w:rsidRPr="006C6857" w:rsidRDefault="00D94C3C" w:rsidP="006C6857">
      <w:pPr>
        <w:pStyle w:val="ListParagraph"/>
        <w:numPr>
          <w:ilvl w:val="0"/>
          <w:numId w:val="30"/>
        </w:numPr>
        <w:spacing w:line="276" w:lineRule="auto"/>
        <w:jc w:val="both"/>
        <w:rPr>
          <w:rFonts w:cstheme="minorHAnsi"/>
          <w:sz w:val="24"/>
          <w:szCs w:val="24"/>
        </w:rPr>
      </w:pPr>
      <w:r w:rsidRPr="006C6857">
        <w:rPr>
          <w:rFonts w:cstheme="minorHAnsi"/>
          <w:sz w:val="24"/>
          <w:szCs w:val="24"/>
        </w:rPr>
        <w:t xml:space="preserve">set out the issues to be canvassed; and </w:t>
      </w:r>
    </w:p>
    <w:p w14:paraId="4755285E" w14:textId="2C407C21" w:rsidR="00D94C3C" w:rsidRPr="006C6857" w:rsidRDefault="00D94C3C" w:rsidP="006C6857">
      <w:pPr>
        <w:pStyle w:val="ListParagraph"/>
        <w:numPr>
          <w:ilvl w:val="0"/>
          <w:numId w:val="30"/>
        </w:numPr>
        <w:spacing w:line="276" w:lineRule="auto"/>
        <w:jc w:val="both"/>
        <w:rPr>
          <w:rFonts w:cstheme="minorHAnsi"/>
          <w:sz w:val="24"/>
          <w:szCs w:val="24"/>
        </w:rPr>
      </w:pPr>
      <w:r w:rsidRPr="006C6857">
        <w:rPr>
          <w:rFonts w:cstheme="minorHAnsi"/>
          <w:sz w:val="24"/>
          <w:szCs w:val="24"/>
        </w:rPr>
        <w:t xml:space="preserve">state whether a contrary affirmative case is to be made, and if so the details of that case. </w:t>
      </w:r>
    </w:p>
    <w:p w14:paraId="40E6C409" w14:textId="77777777" w:rsidR="00D94C3C" w:rsidRPr="006C6857" w:rsidRDefault="00D94C3C" w:rsidP="006C6857">
      <w:pPr>
        <w:pStyle w:val="ListParagraph"/>
        <w:spacing w:line="276" w:lineRule="auto"/>
        <w:ind w:left="1440"/>
        <w:jc w:val="both"/>
        <w:rPr>
          <w:rFonts w:cstheme="minorHAnsi"/>
          <w:sz w:val="24"/>
          <w:szCs w:val="24"/>
        </w:rPr>
      </w:pPr>
    </w:p>
    <w:p w14:paraId="0110990F" w14:textId="30F7AC51" w:rsidR="00D94C3C" w:rsidRPr="006C6857" w:rsidRDefault="00D94C3C" w:rsidP="00FA1E87">
      <w:pPr>
        <w:pStyle w:val="ListParagraph"/>
        <w:numPr>
          <w:ilvl w:val="1"/>
          <w:numId w:val="2"/>
        </w:numPr>
        <w:spacing w:line="276" w:lineRule="auto"/>
        <w:jc w:val="both"/>
        <w:rPr>
          <w:rFonts w:cstheme="minorHAnsi"/>
          <w:iCs/>
          <w:sz w:val="24"/>
          <w:szCs w:val="24"/>
        </w:rPr>
      </w:pPr>
      <w:r w:rsidRPr="006C6857">
        <w:rPr>
          <w:rFonts w:cstheme="minorHAnsi"/>
          <w:sz w:val="24"/>
          <w:szCs w:val="24"/>
        </w:rPr>
        <w:t xml:space="preserve">The </w:t>
      </w:r>
      <w:r w:rsidRPr="00FA1E87">
        <w:rPr>
          <w:rFonts w:cstheme="minorHAnsi"/>
          <w:iCs/>
          <w:sz w:val="24"/>
          <w:szCs w:val="24"/>
        </w:rPr>
        <w:t>Commissioner</w:t>
      </w:r>
      <w:r w:rsidRPr="006C6857">
        <w:rPr>
          <w:rFonts w:cstheme="minorHAnsi"/>
          <w:sz w:val="24"/>
          <w:szCs w:val="24"/>
        </w:rPr>
        <w:t xml:space="preserve"> may limit the particular topics or issues upon which a party can examine or cross-examine and may impose time limits upon examination or cross-examination.</w:t>
      </w:r>
    </w:p>
    <w:p w14:paraId="46E9315F" w14:textId="77777777" w:rsidR="00D94C3C" w:rsidRPr="006C6857" w:rsidRDefault="00D94C3C" w:rsidP="006C6857">
      <w:pPr>
        <w:pStyle w:val="ListParagraph"/>
        <w:spacing w:line="276" w:lineRule="auto"/>
        <w:rPr>
          <w:rFonts w:cstheme="minorHAnsi"/>
          <w:iCs/>
          <w:sz w:val="24"/>
          <w:szCs w:val="24"/>
        </w:rPr>
      </w:pPr>
    </w:p>
    <w:p w14:paraId="289A6A35" w14:textId="78ECC5E4" w:rsidR="00D94C3C" w:rsidRPr="006C6857" w:rsidRDefault="00D94C3C" w:rsidP="00FA1E87">
      <w:pPr>
        <w:pStyle w:val="ListParagraph"/>
        <w:numPr>
          <w:ilvl w:val="1"/>
          <w:numId w:val="2"/>
        </w:numPr>
        <w:spacing w:line="276" w:lineRule="auto"/>
        <w:jc w:val="both"/>
        <w:rPr>
          <w:rFonts w:cstheme="minorHAnsi"/>
          <w:iCs/>
          <w:sz w:val="24"/>
          <w:szCs w:val="24"/>
        </w:rPr>
      </w:pPr>
      <w:r w:rsidRPr="006C6857">
        <w:rPr>
          <w:rFonts w:cstheme="minorHAnsi"/>
          <w:iCs/>
          <w:sz w:val="24"/>
          <w:szCs w:val="24"/>
        </w:rPr>
        <w:t xml:space="preserve">The </w:t>
      </w:r>
      <w:r w:rsidR="004425EC" w:rsidRPr="00FA1E87">
        <w:rPr>
          <w:rFonts w:cstheme="minorHAnsi"/>
          <w:iCs/>
          <w:sz w:val="24"/>
          <w:szCs w:val="24"/>
        </w:rPr>
        <w:t>Commission</w:t>
      </w:r>
      <w:r w:rsidR="004425EC">
        <w:rPr>
          <w:rFonts w:cstheme="minorHAnsi"/>
          <w:iCs/>
          <w:sz w:val="24"/>
          <w:szCs w:val="24"/>
        </w:rPr>
        <w:t xml:space="preserve"> </w:t>
      </w:r>
      <w:r w:rsidRPr="006C6857">
        <w:rPr>
          <w:rFonts w:cstheme="minorHAnsi"/>
          <w:iCs/>
          <w:sz w:val="24"/>
          <w:szCs w:val="24"/>
        </w:rPr>
        <w:t xml:space="preserve">will not apply the rule in </w:t>
      </w:r>
      <w:r w:rsidRPr="006C6857">
        <w:rPr>
          <w:rFonts w:cstheme="minorHAnsi"/>
          <w:i/>
          <w:iCs/>
          <w:sz w:val="24"/>
          <w:szCs w:val="24"/>
        </w:rPr>
        <w:t>Browne v Dunn</w:t>
      </w:r>
      <w:r w:rsidRPr="006C6857">
        <w:rPr>
          <w:rFonts w:cstheme="minorHAnsi"/>
          <w:sz w:val="24"/>
          <w:szCs w:val="24"/>
        </w:rPr>
        <w:t xml:space="preserve"> (</w:t>
      </w:r>
      <w:r w:rsidRPr="006C6857">
        <w:rPr>
          <w:rFonts w:cstheme="minorHAnsi"/>
          <w:color w:val="222222"/>
          <w:sz w:val="24"/>
          <w:szCs w:val="24"/>
          <w:shd w:val="clear" w:color="auto" w:fill="FFFFFF"/>
        </w:rPr>
        <w:t>1893) 6 R 67.</w:t>
      </w:r>
      <w:r w:rsidR="00E0246B">
        <w:rPr>
          <w:rStyle w:val="FootnoteReference"/>
          <w:rFonts w:cstheme="minorHAnsi"/>
          <w:color w:val="222222"/>
          <w:sz w:val="24"/>
          <w:szCs w:val="24"/>
          <w:shd w:val="clear" w:color="auto" w:fill="FFFFFF"/>
        </w:rPr>
        <w:footnoteReference w:id="13"/>
      </w:r>
      <w:r w:rsidRPr="006C6857">
        <w:rPr>
          <w:rFonts w:cstheme="minorHAnsi"/>
          <w:color w:val="222222"/>
          <w:sz w:val="24"/>
          <w:szCs w:val="24"/>
          <w:shd w:val="clear" w:color="auto" w:fill="FFFFFF"/>
        </w:rPr>
        <w:t xml:space="preserve">  However, t</w:t>
      </w:r>
      <w:r w:rsidRPr="006C6857">
        <w:rPr>
          <w:rFonts w:cstheme="minorHAnsi"/>
          <w:iCs/>
          <w:sz w:val="24"/>
          <w:szCs w:val="24"/>
        </w:rPr>
        <w:t xml:space="preserve">he </w:t>
      </w:r>
      <w:r w:rsidR="004425EC">
        <w:rPr>
          <w:rFonts w:cstheme="minorHAnsi"/>
          <w:sz w:val="24"/>
          <w:szCs w:val="24"/>
        </w:rPr>
        <w:t>Commission</w:t>
      </w:r>
      <w:r w:rsidR="004425EC">
        <w:rPr>
          <w:rFonts w:cstheme="minorHAnsi"/>
          <w:iCs/>
          <w:sz w:val="24"/>
          <w:szCs w:val="24"/>
        </w:rPr>
        <w:t xml:space="preserve"> </w:t>
      </w:r>
      <w:r w:rsidRPr="006C6857">
        <w:rPr>
          <w:rFonts w:cstheme="minorHAnsi"/>
          <w:sz w:val="24"/>
          <w:szCs w:val="24"/>
        </w:rPr>
        <w:t xml:space="preserve">expects that, where it is to be invited to reject or not accept the evidence of a witness on a material fact or issue, on the grounds the witness </w:t>
      </w:r>
      <w:r w:rsidRPr="006C6857">
        <w:rPr>
          <w:rFonts w:cstheme="minorHAnsi"/>
          <w:sz w:val="24"/>
          <w:szCs w:val="24"/>
        </w:rPr>
        <w:lastRenderedPageBreak/>
        <w:t xml:space="preserve">deliberately gave false evidence, the evidence is unreliable, or the witness has made a mistake on a significant issue, the material grounds </w:t>
      </w:r>
      <w:r w:rsidR="009D7AF5">
        <w:rPr>
          <w:rFonts w:cstheme="minorHAnsi"/>
          <w:sz w:val="24"/>
          <w:szCs w:val="24"/>
        </w:rPr>
        <w:t>for</w:t>
      </w:r>
      <w:r w:rsidRPr="006C6857">
        <w:rPr>
          <w:rFonts w:cstheme="minorHAnsi"/>
          <w:sz w:val="24"/>
          <w:szCs w:val="24"/>
        </w:rPr>
        <w:t xml:space="preserve"> such </w:t>
      </w:r>
      <w:r w:rsidR="009D7AF5">
        <w:rPr>
          <w:rFonts w:cstheme="minorHAnsi"/>
          <w:sz w:val="24"/>
          <w:szCs w:val="24"/>
        </w:rPr>
        <w:t xml:space="preserve">a </w:t>
      </w:r>
      <w:r w:rsidRPr="006C6857">
        <w:rPr>
          <w:rFonts w:cstheme="minorHAnsi"/>
          <w:sz w:val="24"/>
          <w:szCs w:val="24"/>
        </w:rPr>
        <w:t>contention must be put to the witness to allow the witness an opportunity to offer an explanation.</w:t>
      </w:r>
    </w:p>
    <w:p w14:paraId="22AC7B97" w14:textId="6EF576A0" w:rsidR="00D94C3C" w:rsidRDefault="00D94C3C" w:rsidP="006C6857">
      <w:pPr>
        <w:spacing w:after="0" w:line="276" w:lineRule="auto"/>
        <w:jc w:val="both"/>
        <w:rPr>
          <w:rFonts w:cstheme="minorHAnsi"/>
          <w:iCs/>
          <w:sz w:val="24"/>
          <w:szCs w:val="24"/>
        </w:rPr>
      </w:pPr>
    </w:p>
    <w:p w14:paraId="361959DC" w14:textId="3E4996E4" w:rsidR="006D5927" w:rsidRPr="004F3810" w:rsidRDefault="006D5927" w:rsidP="006D5927">
      <w:pPr>
        <w:spacing w:line="276" w:lineRule="auto"/>
        <w:jc w:val="both"/>
        <w:rPr>
          <w:rFonts w:cstheme="minorHAnsi"/>
          <w:b/>
          <w:bCs/>
          <w:sz w:val="24"/>
          <w:szCs w:val="24"/>
        </w:rPr>
      </w:pPr>
      <w:r w:rsidRPr="004F3810">
        <w:rPr>
          <w:rFonts w:cstheme="minorHAnsi"/>
          <w:b/>
          <w:bCs/>
          <w:sz w:val="24"/>
          <w:szCs w:val="24"/>
        </w:rPr>
        <w:t>C</w:t>
      </w:r>
      <w:r w:rsidR="00142319">
        <w:rPr>
          <w:rFonts w:cstheme="minorHAnsi"/>
          <w:b/>
          <w:bCs/>
          <w:sz w:val="24"/>
          <w:szCs w:val="24"/>
        </w:rPr>
        <w:t>OVID</w:t>
      </w:r>
      <w:r w:rsidRPr="004F3810">
        <w:rPr>
          <w:rFonts w:cstheme="minorHAnsi"/>
          <w:b/>
          <w:bCs/>
          <w:sz w:val="24"/>
          <w:szCs w:val="24"/>
        </w:rPr>
        <w:t>-19 policy</w:t>
      </w:r>
    </w:p>
    <w:p w14:paraId="059927E4" w14:textId="1CD5FA98" w:rsidR="006D5927" w:rsidRDefault="006D5927" w:rsidP="00FA1E87">
      <w:pPr>
        <w:pStyle w:val="ListParagraph"/>
        <w:numPr>
          <w:ilvl w:val="1"/>
          <w:numId w:val="2"/>
        </w:numPr>
        <w:spacing w:line="276" w:lineRule="auto"/>
        <w:jc w:val="both"/>
        <w:rPr>
          <w:rFonts w:cstheme="minorHAnsi"/>
          <w:sz w:val="24"/>
          <w:szCs w:val="24"/>
        </w:rPr>
      </w:pPr>
      <w:r>
        <w:rPr>
          <w:rFonts w:cstheme="minorHAnsi"/>
          <w:sz w:val="24"/>
          <w:szCs w:val="24"/>
        </w:rPr>
        <w:t>The Commission has a C</w:t>
      </w:r>
      <w:r w:rsidR="00142319">
        <w:rPr>
          <w:rFonts w:cstheme="minorHAnsi"/>
          <w:sz w:val="24"/>
          <w:szCs w:val="24"/>
        </w:rPr>
        <w:t>OVID</w:t>
      </w:r>
      <w:r>
        <w:rPr>
          <w:rFonts w:cstheme="minorHAnsi"/>
          <w:sz w:val="24"/>
          <w:szCs w:val="24"/>
        </w:rPr>
        <w:t xml:space="preserve">-19 policy.  Should examinations take place at the Commission offices </w:t>
      </w:r>
      <w:r w:rsidRPr="00FA1E87">
        <w:rPr>
          <w:rFonts w:cstheme="minorHAnsi"/>
          <w:iCs/>
          <w:sz w:val="24"/>
          <w:szCs w:val="24"/>
        </w:rPr>
        <w:t>during</w:t>
      </w:r>
      <w:r>
        <w:rPr>
          <w:rFonts w:cstheme="minorHAnsi"/>
          <w:sz w:val="24"/>
          <w:szCs w:val="24"/>
        </w:rPr>
        <w:t xml:space="preserve"> a time when the ACT Government has identified a public health emergency in response to the C</w:t>
      </w:r>
      <w:r w:rsidR="00142319">
        <w:rPr>
          <w:rFonts w:cstheme="minorHAnsi"/>
          <w:sz w:val="24"/>
          <w:szCs w:val="24"/>
        </w:rPr>
        <w:t>OVID</w:t>
      </w:r>
      <w:r>
        <w:rPr>
          <w:rFonts w:cstheme="minorHAnsi"/>
          <w:sz w:val="24"/>
          <w:szCs w:val="24"/>
        </w:rPr>
        <w:t>-19 pandemic, the following will occur:</w:t>
      </w:r>
    </w:p>
    <w:p w14:paraId="5F9BF692" w14:textId="77777777" w:rsidR="006D5927" w:rsidRDefault="006D5927" w:rsidP="006D5927">
      <w:pPr>
        <w:pStyle w:val="ListParagraph"/>
        <w:spacing w:line="276" w:lineRule="auto"/>
        <w:ind w:left="360"/>
        <w:jc w:val="both"/>
        <w:rPr>
          <w:rFonts w:cstheme="minorHAnsi"/>
          <w:sz w:val="24"/>
          <w:szCs w:val="24"/>
        </w:rPr>
      </w:pPr>
    </w:p>
    <w:p w14:paraId="7D4F2756" w14:textId="77777777" w:rsidR="006D5927" w:rsidRDefault="006D5927" w:rsidP="006D5927">
      <w:pPr>
        <w:pStyle w:val="ListParagraph"/>
        <w:numPr>
          <w:ilvl w:val="0"/>
          <w:numId w:val="47"/>
        </w:numPr>
        <w:spacing w:line="276" w:lineRule="auto"/>
        <w:jc w:val="both"/>
        <w:rPr>
          <w:rFonts w:cstheme="minorHAnsi"/>
          <w:sz w:val="24"/>
          <w:szCs w:val="24"/>
        </w:rPr>
      </w:pPr>
      <w:r>
        <w:rPr>
          <w:rFonts w:cstheme="minorHAnsi"/>
          <w:sz w:val="24"/>
          <w:szCs w:val="24"/>
        </w:rPr>
        <w:t>all individuals attending the Commission offices must submit to a temperature scan on their forehead taken via infrared thermometer;</w:t>
      </w:r>
    </w:p>
    <w:p w14:paraId="60A50873" w14:textId="77777777" w:rsidR="006D5927" w:rsidRDefault="006D5927" w:rsidP="006D5927">
      <w:pPr>
        <w:pStyle w:val="ListParagraph"/>
        <w:numPr>
          <w:ilvl w:val="0"/>
          <w:numId w:val="47"/>
        </w:numPr>
        <w:spacing w:line="276" w:lineRule="auto"/>
        <w:jc w:val="both"/>
        <w:rPr>
          <w:rFonts w:cstheme="minorHAnsi"/>
          <w:sz w:val="24"/>
          <w:szCs w:val="24"/>
        </w:rPr>
      </w:pPr>
      <w:r>
        <w:rPr>
          <w:rFonts w:cstheme="minorHAnsi"/>
          <w:sz w:val="24"/>
          <w:szCs w:val="24"/>
        </w:rPr>
        <w:t>hand sanitiser will be made readily available to visitors to the Commission;</w:t>
      </w:r>
    </w:p>
    <w:p w14:paraId="36420782" w14:textId="77777777" w:rsidR="006D5927" w:rsidRDefault="006D5927" w:rsidP="006D5927">
      <w:pPr>
        <w:pStyle w:val="ListParagraph"/>
        <w:numPr>
          <w:ilvl w:val="0"/>
          <w:numId w:val="47"/>
        </w:numPr>
        <w:spacing w:line="276" w:lineRule="auto"/>
        <w:jc w:val="both"/>
        <w:rPr>
          <w:rFonts w:cstheme="minorHAnsi"/>
          <w:sz w:val="24"/>
          <w:szCs w:val="24"/>
        </w:rPr>
      </w:pPr>
      <w:r>
        <w:rPr>
          <w:rFonts w:cstheme="minorHAnsi"/>
          <w:sz w:val="24"/>
          <w:szCs w:val="24"/>
        </w:rPr>
        <w:t>the layout of the hearing room will accommodate social distancing requirements;</w:t>
      </w:r>
    </w:p>
    <w:p w14:paraId="1E26D700" w14:textId="1216C06A" w:rsidR="006D5927" w:rsidRDefault="006D5927" w:rsidP="006D5927">
      <w:pPr>
        <w:pStyle w:val="ListParagraph"/>
        <w:numPr>
          <w:ilvl w:val="0"/>
          <w:numId w:val="47"/>
        </w:numPr>
        <w:spacing w:line="276" w:lineRule="auto"/>
        <w:jc w:val="both"/>
        <w:rPr>
          <w:rFonts w:cstheme="minorHAnsi"/>
          <w:sz w:val="24"/>
          <w:szCs w:val="24"/>
        </w:rPr>
      </w:pPr>
      <w:r>
        <w:rPr>
          <w:rFonts w:cstheme="minorHAnsi"/>
          <w:sz w:val="24"/>
          <w:szCs w:val="24"/>
        </w:rPr>
        <w:t>the Commission may require face masks to be used;</w:t>
      </w:r>
      <w:r w:rsidR="00142319">
        <w:rPr>
          <w:rFonts w:cstheme="minorHAnsi"/>
          <w:sz w:val="24"/>
          <w:szCs w:val="24"/>
        </w:rPr>
        <w:t xml:space="preserve"> and</w:t>
      </w:r>
    </w:p>
    <w:p w14:paraId="5312ED7F" w14:textId="62C20BE8" w:rsidR="006D5927" w:rsidRDefault="006D5927" w:rsidP="006D5927">
      <w:pPr>
        <w:pStyle w:val="ListParagraph"/>
        <w:numPr>
          <w:ilvl w:val="0"/>
          <w:numId w:val="47"/>
        </w:numPr>
        <w:spacing w:line="276" w:lineRule="auto"/>
        <w:jc w:val="both"/>
        <w:rPr>
          <w:rFonts w:cstheme="minorHAnsi"/>
          <w:sz w:val="24"/>
          <w:szCs w:val="24"/>
        </w:rPr>
      </w:pPr>
      <w:r>
        <w:rPr>
          <w:rFonts w:cstheme="minorHAnsi"/>
          <w:sz w:val="24"/>
          <w:szCs w:val="24"/>
        </w:rPr>
        <w:t xml:space="preserve">the hearing room will be effectively cleaned and sanitised by professional cleaners prior to an </w:t>
      </w:r>
      <w:r w:rsidR="00142319">
        <w:rPr>
          <w:rFonts w:cstheme="minorHAnsi"/>
          <w:sz w:val="24"/>
          <w:szCs w:val="24"/>
        </w:rPr>
        <w:t>examination.</w:t>
      </w:r>
    </w:p>
    <w:p w14:paraId="182DFA74" w14:textId="77777777" w:rsidR="006D5927" w:rsidRDefault="006D5927" w:rsidP="006D5927">
      <w:pPr>
        <w:pStyle w:val="ListParagraph"/>
        <w:spacing w:line="276" w:lineRule="auto"/>
        <w:ind w:left="360"/>
        <w:jc w:val="both"/>
        <w:rPr>
          <w:rFonts w:cstheme="minorHAnsi"/>
          <w:sz w:val="24"/>
          <w:szCs w:val="24"/>
        </w:rPr>
      </w:pPr>
    </w:p>
    <w:p w14:paraId="36EDFB66" w14:textId="494FAD61" w:rsidR="006D5927" w:rsidRDefault="006D5927" w:rsidP="00FA1E87">
      <w:pPr>
        <w:pStyle w:val="ListParagraph"/>
        <w:numPr>
          <w:ilvl w:val="1"/>
          <w:numId w:val="2"/>
        </w:numPr>
        <w:spacing w:line="276" w:lineRule="auto"/>
        <w:jc w:val="both"/>
        <w:rPr>
          <w:rFonts w:cstheme="minorHAnsi"/>
          <w:sz w:val="24"/>
          <w:szCs w:val="24"/>
        </w:rPr>
      </w:pPr>
      <w:r>
        <w:rPr>
          <w:rFonts w:cstheme="minorHAnsi"/>
          <w:sz w:val="24"/>
          <w:szCs w:val="24"/>
        </w:rPr>
        <w:t xml:space="preserve">Any public </w:t>
      </w:r>
      <w:r w:rsidRPr="00FA1E87">
        <w:rPr>
          <w:rFonts w:cstheme="minorHAnsi"/>
          <w:iCs/>
          <w:sz w:val="24"/>
          <w:szCs w:val="24"/>
        </w:rPr>
        <w:t>hearing</w:t>
      </w:r>
      <w:r>
        <w:rPr>
          <w:rFonts w:cstheme="minorHAnsi"/>
          <w:sz w:val="24"/>
          <w:szCs w:val="24"/>
        </w:rPr>
        <w:t xml:space="preserve"> which may be scheduled during the public health emergency in response to the C</w:t>
      </w:r>
      <w:r w:rsidR="00142319">
        <w:rPr>
          <w:rFonts w:cstheme="minorHAnsi"/>
          <w:sz w:val="24"/>
          <w:szCs w:val="24"/>
        </w:rPr>
        <w:t>OVID</w:t>
      </w:r>
      <w:r>
        <w:rPr>
          <w:rFonts w:cstheme="minorHAnsi"/>
          <w:sz w:val="24"/>
          <w:szCs w:val="24"/>
        </w:rPr>
        <w:t xml:space="preserve">-19 pandemic will not have an in-person public gallery.  Arrangements will be made to live screen the proceedings.    </w:t>
      </w:r>
    </w:p>
    <w:p w14:paraId="62D247ED" w14:textId="77777777" w:rsidR="006D5927" w:rsidRDefault="006D5927" w:rsidP="006D5927">
      <w:pPr>
        <w:pStyle w:val="ListParagraph"/>
        <w:spacing w:line="276" w:lineRule="auto"/>
        <w:ind w:left="360"/>
        <w:jc w:val="both"/>
        <w:rPr>
          <w:rFonts w:cstheme="minorHAnsi"/>
          <w:sz w:val="24"/>
          <w:szCs w:val="24"/>
        </w:rPr>
      </w:pPr>
    </w:p>
    <w:p w14:paraId="381E4110" w14:textId="10BB43E0" w:rsidR="006D5927" w:rsidRDefault="006D5927" w:rsidP="00FA1E87">
      <w:pPr>
        <w:pStyle w:val="ListParagraph"/>
        <w:numPr>
          <w:ilvl w:val="1"/>
          <w:numId w:val="2"/>
        </w:numPr>
        <w:spacing w:line="276" w:lineRule="auto"/>
        <w:jc w:val="both"/>
        <w:rPr>
          <w:rFonts w:cstheme="minorHAnsi"/>
          <w:sz w:val="24"/>
          <w:szCs w:val="24"/>
        </w:rPr>
      </w:pPr>
      <w:r>
        <w:rPr>
          <w:rFonts w:cstheme="minorHAnsi"/>
          <w:sz w:val="24"/>
          <w:szCs w:val="24"/>
        </w:rPr>
        <w:t xml:space="preserve">The </w:t>
      </w:r>
      <w:r w:rsidRPr="00FA1E87">
        <w:rPr>
          <w:rFonts w:cstheme="minorHAnsi"/>
          <w:iCs/>
          <w:sz w:val="24"/>
          <w:szCs w:val="24"/>
        </w:rPr>
        <w:t>Commission</w:t>
      </w:r>
      <w:r>
        <w:rPr>
          <w:rFonts w:cstheme="minorHAnsi"/>
          <w:sz w:val="24"/>
          <w:szCs w:val="24"/>
        </w:rPr>
        <w:t xml:space="preserve"> will consider applications or proposals by witnesses to give evidence remotely due to the C</w:t>
      </w:r>
      <w:r w:rsidR="00142319">
        <w:rPr>
          <w:rFonts w:cstheme="minorHAnsi"/>
          <w:sz w:val="24"/>
          <w:szCs w:val="24"/>
        </w:rPr>
        <w:t>OVID</w:t>
      </w:r>
      <w:r>
        <w:rPr>
          <w:rFonts w:cstheme="minorHAnsi"/>
          <w:sz w:val="24"/>
          <w:szCs w:val="24"/>
        </w:rPr>
        <w:t>-19 public health emergency on a case by case basis.  Matters that may be considered by the Commission in coming to a decision include:</w:t>
      </w:r>
    </w:p>
    <w:p w14:paraId="7BB2E737" w14:textId="77777777" w:rsidR="006D5927" w:rsidRDefault="006D5927" w:rsidP="006D5927">
      <w:pPr>
        <w:pStyle w:val="ListParagraph"/>
        <w:spacing w:line="276" w:lineRule="auto"/>
        <w:ind w:left="360"/>
        <w:jc w:val="both"/>
        <w:rPr>
          <w:rFonts w:cstheme="minorHAnsi"/>
          <w:sz w:val="24"/>
          <w:szCs w:val="24"/>
        </w:rPr>
      </w:pPr>
    </w:p>
    <w:p w14:paraId="195D121C" w14:textId="77777777" w:rsidR="006D5927" w:rsidRDefault="006D5927" w:rsidP="006D5927">
      <w:pPr>
        <w:pStyle w:val="ListParagraph"/>
        <w:numPr>
          <w:ilvl w:val="0"/>
          <w:numId w:val="46"/>
        </w:numPr>
        <w:spacing w:line="276" w:lineRule="auto"/>
        <w:jc w:val="both"/>
        <w:rPr>
          <w:rFonts w:cstheme="minorHAnsi"/>
          <w:sz w:val="24"/>
          <w:szCs w:val="24"/>
        </w:rPr>
      </w:pPr>
      <w:r>
        <w:rPr>
          <w:rFonts w:cstheme="minorHAnsi"/>
          <w:sz w:val="24"/>
          <w:szCs w:val="24"/>
        </w:rPr>
        <w:t>the location of the witness and whether they have access to appropriate technology;</w:t>
      </w:r>
    </w:p>
    <w:p w14:paraId="228C69A8" w14:textId="7B278F7C" w:rsidR="006D5927" w:rsidRDefault="00142319" w:rsidP="006D5927">
      <w:pPr>
        <w:pStyle w:val="ListParagraph"/>
        <w:numPr>
          <w:ilvl w:val="0"/>
          <w:numId w:val="46"/>
        </w:numPr>
        <w:spacing w:line="276" w:lineRule="auto"/>
        <w:jc w:val="both"/>
        <w:rPr>
          <w:rFonts w:cstheme="minorHAnsi"/>
          <w:sz w:val="24"/>
          <w:szCs w:val="24"/>
        </w:rPr>
      </w:pPr>
      <w:r>
        <w:rPr>
          <w:rFonts w:cstheme="minorHAnsi"/>
          <w:sz w:val="24"/>
          <w:szCs w:val="24"/>
        </w:rPr>
        <w:t>w</w:t>
      </w:r>
      <w:r w:rsidR="006D5927">
        <w:rPr>
          <w:rFonts w:cstheme="minorHAnsi"/>
          <w:sz w:val="24"/>
          <w:szCs w:val="24"/>
        </w:rPr>
        <w:t>hether the witness has the technical ability to successfully utilise video conferencing platforms or applications;</w:t>
      </w:r>
    </w:p>
    <w:p w14:paraId="7FBE0F52" w14:textId="37B88135" w:rsidR="006D5927" w:rsidRDefault="00142319" w:rsidP="006D5927">
      <w:pPr>
        <w:pStyle w:val="ListParagraph"/>
        <w:numPr>
          <w:ilvl w:val="0"/>
          <w:numId w:val="46"/>
        </w:numPr>
        <w:spacing w:line="276" w:lineRule="auto"/>
        <w:jc w:val="both"/>
        <w:rPr>
          <w:rFonts w:cstheme="minorHAnsi"/>
          <w:sz w:val="24"/>
          <w:szCs w:val="24"/>
        </w:rPr>
      </w:pPr>
      <w:r>
        <w:rPr>
          <w:rFonts w:cstheme="minorHAnsi"/>
          <w:sz w:val="24"/>
          <w:szCs w:val="24"/>
        </w:rPr>
        <w:t>w</w:t>
      </w:r>
      <w:r w:rsidR="006D5927">
        <w:rPr>
          <w:rFonts w:cstheme="minorHAnsi"/>
          <w:sz w:val="24"/>
          <w:szCs w:val="24"/>
        </w:rPr>
        <w:t>hether there is appropriate service coverage to ensure the clarity of the video, and to ensure the examination will not be delayed or prolonged due to technical or service difficulties or outages;</w:t>
      </w:r>
    </w:p>
    <w:p w14:paraId="395EACF5" w14:textId="77777777" w:rsidR="006D5927" w:rsidRDefault="006D5927" w:rsidP="006D5927">
      <w:pPr>
        <w:pStyle w:val="ListParagraph"/>
        <w:numPr>
          <w:ilvl w:val="0"/>
          <w:numId w:val="46"/>
        </w:numPr>
        <w:spacing w:line="276" w:lineRule="auto"/>
        <w:jc w:val="both"/>
        <w:rPr>
          <w:rFonts w:cstheme="minorHAnsi"/>
          <w:sz w:val="24"/>
          <w:szCs w:val="24"/>
        </w:rPr>
      </w:pPr>
      <w:r>
        <w:rPr>
          <w:rFonts w:cstheme="minorHAnsi"/>
          <w:sz w:val="24"/>
          <w:szCs w:val="24"/>
        </w:rPr>
        <w:t>whether the Commission is confident there will not be a third-party present during the examination;</w:t>
      </w:r>
    </w:p>
    <w:p w14:paraId="001E09B3" w14:textId="77777777" w:rsidR="006D5927" w:rsidRDefault="006D5927" w:rsidP="006D5927">
      <w:pPr>
        <w:pStyle w:val="ListParagraph"/>
        <w:numPr>
          <w:ilvl w:val="0"/>
          <w:numId w:val="46"/>
        </w:numPr>
        <w:spacing w:line="276" w:lineRule="auto"/>
        <w:jc w:val="both"/>
        <w:rPr>
          <w:rFonts w:cstheme="minorHAnsi"/>
          <w:sz w:val="24"/>
          <w:szCs w:val="24"/>
        </w:rPr>
      </w:pPr>
      <w:r>
        <w:rPr>
          <w:rFonts w:cstheme="minorHAnsi"/>
          <w:sz w:val="24"/>
          <w:szCs w:val="24"/>
        </w:rPr>
        <w:t>whether the Commission can ensure the examination is not being recorded for provision to another witness or a person of interest;</w:t>
      </w:r>
    </w:p>
    <w:p w14:paraId="1B66D193" w14:textId="5D061B50" w:rsidR="006D5927" w:rsidRDefault="006D5927" w:rsidP="006D5927">
      <w:pPr>
        <w:pStyle w:val="ListParagraph"/>
        <w:numPr>
          <w:ilvl w:val="0"/>
          <w:numId w:val="46"/>
        </w:numPr>
        <w:spacing w:line="276" w:lineRule="auto"/>
        <w:jc w:val="both"/>
        <w:rPr>
          <w:rFonts w:cstheme="minorHAnsi"/>
          <w:sz w:val="24"/>
          <w:szCs w:val="24"/>
        </w:rPr>
      </w:pPr>
      <w:r>
        <w:rPr>
          <w:rFonts w:cstheme="minorHAnsi"/>
          <w:sz w:val="24"/>
          <w:szCs w:val="24"/>
        </w:rPr>
        <w:t>whether the Commission can verify whether the witness is referencing material either digitally or physically to assist them in answering questions;</w:t>
      </w:r>
      <w:r w:rsidR="00142319">
        <w:rPr>
          <w:rFonts w:cstheme="minorHAnsi"/>
          <w:sz w:val="24"/>
          <w:szCs w:val="24"/>
        </w:rPr>
        <w:t xml:space="preserve"> and</w:t>
      </w:r>
    </w:p>
    <w:p w14:paraId="5282BB0F" w14:textId="77777777" w:rsidR="006D5927" w:rsidRDefault="006D5927" w:rsidP="006D5927">
      <w:pPr>
        <w:pStyle w:val="ListParagraph"/>
        <w:numPr>
          <w:ilvl w:val="0"/>
          <w:numId w:val="46"/>
        </w:numPr>
        <w:spacing w:line="276" w:lineRule="auto"/>
        <w:jc w:val="both"/>
        <w:rPr>
          <w:rFonts w:cstheme="minorHAnsi"/>
          <w:sz w:val="24"/>
          <w:szCs w:val="24"/>
        </w:rPr>
      </w:pPr>
      <w:r>
        <w:rPr>
          <w:rFonts w:cstheme="minorHAnsi"/>
          <w:sz w:val="24"/>
          <w:szCs w:val="24"/>
        </w:rPr>
        <w:lastRenderedPageBreak/>
        <w:t xml:space="preserve">whether there is the technological ability to show witnesses documents and/or other things while video recording the witness giving their evidence. </w:t>
      </w:r>
    </w:p>
    <w:p w14:paraId="5930898A" w14:textId="77777777" w:rsidR="006D5927" w:rsidRPr="006C6857" w:rsidRDefault="006D5927" w:rsidP="006C6857">
      <w:pPr>
        <w:spacing w:after="0" w:line="276" w:lineRule="auto"/>
        <w:jc w:val="both"/>
        <w:rPr>
          <w:rFonts w:cstheme="minorHAnsi"/>
          <w:iCs/>
          <w:sz w:val="24"/>
          <w:szCs w:val="24"/>
        </w:rPr>
      </w:pPr>
    </w:p>
    <w:p w14:paraId="3EB12448" w14:textId="57FC8F1C" w:rsidR="00D94C3C" w:rsidRPr="006C6857" w:rsidRDefault="00D94C3C" w:rsidP="006C6857">
      <w:pPr>
        <w:spacing w:line="276" w:lineRule="auto"/>
        <w:rPr>
          <w:rFonts w:cstheme="minorHAnsi"/>
          <w:b/>
          <w:bCs/>
          <w:iCs/>
          <w:sz w:val="24"/>
          <w:szCs w:val="24"/>
        </w:rPr>
      </w:pPr>
      <w:r w:rsidRPr="006C6857">
        <w:rPr>
          <w:rFonts w:cstheme="minorHAnsi"/>
          <w:b/>
          <w:bCs/>
          <w:iCs/>
          <w:sz w:val="24"/>
          <w:szCs w:val="24"/>
        </w:rPr>
        <w:t>Witnesses</w:t>
      </w:r>
    </w:p>
    <w:p w14:paraId="5E66A3D7" w14:textId="6906F4B6" w:rsidR="00BF335F" w:rsidRPr="006C6857" w:rsidRDefault="00405CDD" w:rsidP="00FA1E87">
      <w:pPr>
        <w:pStyle w:val="ListParagraph"/>
        <w:numPr>
          <w:ilvl w:val="1"/>
          <w:numId w:val="2"/>
        </w:numPr>
        <w:spacing w:line="276" w:lineRule="auto"/>
        <w:jc w:val="both"/>
        <w:rPr>
          <w:rFonts w:cstheme="minorHAnsi"/>
          <w:iCs/>
          <w:sz w:val="24"/>
          <w:szCs w:val="24"/>
        </w:rPr>
      </w:pPr>
      <w:r w:rsidRPr="006C6857">
        <w:rPr>
          <w:rFonts w:cstheme="minorHAnsi"/>
          <w:iCs/>
          <w:sz w:val="24"/>
          <w:szCs w:val="24"/>
        </w:rPr>
        <w:t xml:space="preserve">Before a witness </w:t>
      </w:r>
      <w:r w:rsidR="00BF335F" w:rsidRPr="006C6857">
        <w:rPr>
          <w:rFonts w:cstheme="minorHAnsi"/>
          <w:iCs/>
          <w:sz w:val="24"/>
          <w:szCs w:val="24"/>
        </w:rPr>
        <w:t xml:space="preserve">who is </w:t>
      </w:r>
      <w:r w:rsidRPr="006C6857">
        <w:rPr>
          <w:rFonts w:cstheme="minorHAnsi"/>
          <w:iCs/>
          <w:sz w:val="24"/>
          <w:szCs w:val="24"/>
        </w:rPr>
        <w:t xml:space="preserve">summonsed to attend an examination is asked any questions or required to produce a document or other thing, the </w:t>
      </w:r>
      <w:r w:rsidR="004425EC">
        <w:rPr>
          <w:rFonts w:cstheme="minorHAnsi"/>
          <w:sz w:val="24"/>
          <w:szCs w:val="24"/>
        </w:rPr>
        <w:t xml:space="preserve">Commission </w:t>
      </w:r>
      <w:r w:rsidRPr="006C6857">
        <w:rPr>
          <w:rFonts w:cstheme="minorHAnsi"/>
          <w:iCs/>
          <w:sz w:val="24"/>
          <w:szCs w:val="24"/>
        </w:rPr>
        <w:t>must comply with the requirements of s 156(1):</w:t>
      </w:r>
    </w:p>
    <w:p w14:paraId="3569EAEF" w14:textId="3B669609" w:rsidR="00BF335F" w:rsidRPr="006C6857" w:rsidRDefault="00BF335F" w:rsidP="006C6857">
      <w:pPr>
        <w:pStyle w:val="ListParagraph"/>
        <w:spacing w:after="0" w:line="276" w:lineRule="auto"/>
        <w:jc w:val="both"/>
        <w:rPr>
          <w:rFonts w:cstheme="minorHAnsi"/>
          <w:iCs/>
          <w:sz w:val="24"/>
          <w:szCs w:val="24"/>
        </w:rPr>
      </w:pPr>
    </w:p>
    <w:p w14:paraId="5EFB5633" w14:textId="14FD9CE4" w:rsidR="00BF335F" w:rsidRPr="006C6857" w:rsidRDefault="00BF335F" w:rsidP="006C6857">
      <w:pPr>
        <w:pStyle w:val="ListParagraph"/>
        <w:numPr>
          <w:ilvl w:val="0"/>
          <w:numId w:val="18"/>
        </w:numPr>
        <w:spacing w:after="0" w:line="276" w:lineRule="auto"/>
        <w:jc w:val="both"/>
        <w:rPr>
          <w:rFonts w:cstheme="minorHAnsi"/>
          <w:iCs/>
          <w:sz w:val="24"/>
          <w:szCs w:val="24"/>
        </w:rPr>
      </w:pPr>
      <w:r w:rsidRPr="006C6857">
        <w:rPr>
          <w:rFonts w:cstheme="minorHAnsi"/>
          <w:iCs/>
          <w:sz w:val="24"/>
          <w:szCs w:val="24"/>
        </w:rPr>
        <w:t xml:space="preserve">if the </w:t>
      </w:r>
      <w:r w:rsidR="004425EC">
        <w:rPr>
          <w:rFonts w:cstheme="minorHAnsi"/>
          <w:sz w:val="24"/>
          <w:szCs w:val="24"/>
        </w:rPr>
        <w:t xml:space="preserve">Commission </w:t>
      </w:r>
      <w:r w:rsidRPr="006C6857">
        <w:rPr>
          <w:rFonts w:cstheme="minorHAnsi"/>
          <w:iCs/>
          <w:sz w:val="24"/>
          <w:szCs w:val="24"/>
        </w:rPr>
        <w:t>considers the witness may be under the age of 18 years – confirm the age of the witness; and</w:t>
      </w:r>
    </w:p>
    <w:p w14:paraId="6B26CE92" w14:textId="77777777" w:rsidR="00BF335F" w:rsidRPr="006C6857" w:rsidRDefault="00BF335F" w:rsidP="006C6857">
      <w:pPr>
        <w:pStyle w:val="ListParagraph"/>
        <w:numPr>
          <w:ilvl w:val="0"/>
          <w:numId w:val="18"/>
        </w:numPr>
        <w:spacing w:after="0" w:line="276" w:lineRule="auto"/>
        <w:jc w:val="both"/>
        <w:rPr>
          <w:rFonts w:cstheme="minorHAnsi"/>
          <w:iCs/>
          <w:sz w:val="24"/>
          <w:szCs w:val="24"/>
        </w:rPr>
      </w:pPr>
      <w:r w:rsidRPr="006C6857">
        <w:rPr>
          <w:rFonts w:cstheme="minorHAnsi"/>
          <w:iCs/>
          <w:sz w:val="24"/>
          <w:szCs w:val="24"/>
        </w:rPr>
        <w:t>release any witness under the age of 16 years from compliance with the examination summons; and</w:t>
      </w:r>
    </w:p>
    <w:p w14:paraId="4ACFB465" w14:textId="2D3D336C" w:rsidR="00BF335F" w:rsidRPr="006C6857" w:rsidRDefault="00BF335F" w:rsidP="006C6857">
      <w:pPr>
        <w:pStyle w:val="ListParagraph"/>
        <w:numPr>
          <w:ilvl w:val="0"/>
          <w:numId w:val="18"/>
        </w:numPr>
        <w:spacing w:after="0" w:line="276" w:lineRule="auto"/>
        <w:jc w:val="both"/>
        <w:rPr>
          <w:rFonts w:cstheme="minorHAnsi"/>
          <w:iCs/>
          <w:sz w:val="24"/>
          <w:szCs w:val="24"/>
        </w:rPr>
      </w:pPr>
      <w:r w:rsidRPr="006C6857">
        <w:rPr>
          <w:rFonts w:cstheme="minorHAnsi"/>
          <w:iCs/>
          <w:sz w:val="24"/>
          <w:szCs w:val="24"/>
        </w:rPr>
        <w:t>tell the witness orally and in writing about the witness’</w:t>
      </w:r>
      <w:r w:rsidR="00344143">
        <w:rPr>
          <w:rFonts w:cstheme="minorHAnsi"/>
          <w:iCs/>
          <w:sz w:val="24"/>
          <w:szCs w:val="24"/>
        </w:rPr>
        <w:t>s</w:t>
      </w:r>
      <w:r w:rsidRPr="006C6857">
        <w:rPr>
          <w:rFonts w:cstheme="minorHAnsi"/>
          <w:iCs/>
          <w:sz w:val="24"/>
          <w:szCs w:val="24"/>
        </w:rPr>
        <w:t xml:space="preserve"> rights and obligations</w:t>
      </w:r>
      <w:r w:rsidR="00344143">
        <w:rPr>
          <w:rFonts w:cstheme="minorHAnsi"/>
          <w:iCs/>
          <w:sz w:val="24"/>
          <w:szCs w:val="24"/>
        </w:rPr>
        <w:t>,</w:t>
      </w:r>
      <w:r w:rsidRPr="006C6857">
        <w:rPr>
          <w:rFonts w:cstheme="minorHAnsi"/>
          <w:iCs/>
          <w:sz w:val="24"/>
          <w:szCs w:val="24"/>
        </w:rPr>
        <w:t xml:space="preserve"> as stated in s 148(</w:t>
      </w:r>
      <w:r w:rsidR="00A10572">
        <w:rPr>
          <w:rFonts w:cstheme="minorHAnsi"/>
          <w:iCs/>
          <w:sz w:val="24"/>
          <w:szCs w:val="24"/>
        </w:rPr>
        <w:t>3</w:t>
      </w:r>
      <w:r w:rsidRPr="006C6857">
        <w:rPr>
          <w:rFonts w:cstheme="minorHAnsi"/>
          <w:iCs/>
          <w:sz w:val="24"/>
          <w:szCs w:val="24"/>
        </w:rPr>
        <w:t>); and</w:t>
      </w:r>
    </w:p>
    <w:p w14:paraId="1D485C30" w14:textId="77777777" w:rsidR="00BF335F" w:rsidRPr="006C6857" w:rsidRDefault="00BF335F" w:rsidP="006C6857">
      <w:pPr>
        <w:pStyle w:val="ListParagraph"/>
        <w:numPr>
          <w:ilvl w:val="0"/>
          <w:numId w:val="18"/>
        </w:numPr>
        <w:spacing w:after="0" w:line="276" w:lineRule="auto"/>
        <w:jc w:val="both"/>
        <w:rPr>
          <w:rFonts w:cstheme="minorHAnsi"/>
          <w:iCs/>
          <w:sz w:val="24"/>
          <w:szCs w:val="24"/>
        </w:rPr>
      </w:pPr>
      <w:r w:rsidRPr="006C6857">
        <w:rPr>
          <w:rFonts w:cstheme="minorHAnsi"/>
          <w:iCs/>
          <w:sz w:val="24"/>
          <w:szCs w:val="24"/>
        </w:rPr>
        <w:t>if a lawyer is representing a person at the examination – tell the lawyer about any non-disclosure requirements that apply under the Act; and</w:t>
      </w:r>
    </w:p>
    <w:p w14:paraId="7C055A93" w14:textId="77777777" w:rsidR="00BF335F" w:rsidRPr="006C6857" w:rsidRDefault="00BF335F" w:rsidP="006C6857">
      <w:pPr>
        <w:pStyle w:val="ListParagraph"/>
        <w:numPr>
          <w:ilvl w:val="0"/>
          <w:numId w:val="18"/>
        </w:numPr>
        <w:spacing w:after="0" w:line="276" w:lineRule="auto"/>
        <w:jc w:val="both"/>
        <w:rPr>
          <w:rFonts w:cstheme="minorHAnsi"/>
          <w:iCs/>
          <w:sz w:val="24"/>
          <w:szCs w:val="24"/>
        </w:rPr>
      </w:pPr>
      <w:r w:rsidRPr="006C6857">
        <w:rPr>
          <w:rFonts w:cstheme="minorHAnsi"/>
          <w:iCs/>
          <w:sz w:val="24"/>
          <w:szCs w:val="24"/>
        </w:rPr>
        <w:t>take any other action prescribed by regulation; and</w:t>
      </w:r>
    </w:p>
    <w:p w14:paraId="7470C1FE" w14:textId="0BE5BDEF" w:rsidR="00BF335F" w:rsidRPr="006C6857" w:rsidRDefault="00BF335F" w:rsidP="006C6857">
      <w:pPr>
        <w:pStyle w:val="ListParagraph"/>
        <w:numPr>
          <w:ilvl w:val="0"/>
          <w:numId w:val="18"/>
        </w:numPr>
        <w:spacing w:after="0" w:line="276" w:lineRule="auto"/>
        <w:jc w:val="both"/>
        <w:rPr>
          <w:rFonts w:cstheme="minorHAnsi"/>
          <w:iCs/>
          <w:sz w:val="24"/>
          <w:szCs w:val="24"/>
        </w:rPr>
      </w:pPr>
      <w:r w:rsidRPr="006C6857">
        <w:rPr>
          <w:rFonts w:cstheme="minorHAnsi"/>
          <w:iCs/>
          <w:sz w:val="24"/>
          <w:szCs w:val="24"/>
        </w:rPr>
        <w:t xml:space="preserve">tell the witness the nature of the matters about which the witness is to be asked questions, except if the </w:t>
      </w:r>
      <w:r w:rsidR="004425EC">
        <w:rPr>
          <w:rFonts w:cstheme="minorHAnsi"/>
          <w:sz w:val="24"/>
          <w:szCs w:val="24"/>
        </w:rPr>
        <w:t xml:space="preserve">Commission </w:t>
      </w:r>
      <w:r w:rsidRPr="006C6857">
        <w:rPr>
          <w:rFonts w:cstheme="minorHAnsi"/>
          <w:iCs/>
          <w:sz w:val="24"/>
          <w:szCs w:val="24"/>
        </w:rPr>
        <w:t>considers on reasonable grounds that it would prejudice the investigation or be contrary to the public interest.</w:t>
      </w:r>
      <w:r w:rsidRPr="006C6857">
        <w:rPr>
          <w:rStyle w:val="FootnoteReference"/>
          <w:rFonts w:cstheme="minorHAnsi"/>
          <w:iCs/>
          <w:sz w:val="24"/>
          <w:szCs w:val="24"/>
        </w:rPr>
        <w:footnoteReference w:id="14"/>
      </w:r>
    </w:p>
    <w:p w14:paraId="5F1FB8A4" w14:textId="77777777" w:rsidR="00BF335F" w:rsidRPr="006C6857" w:rsidRDefault="00BF335F" w:rsidP="006C6857">
      <w:pPr>
        <w:pStyle w:val="ListParagraph"/>
        <w:spacing w:after="0" w:line="276" w:lineRule="auto"/>
        <w:jc w:val="both"/>
        <w:rPr>
          <w:rFonts w:cstheme="minorHAnsi"/>
          <w:iCs/>
          <w:sz w:val="24"/>
          <w:szCs w:val="24"/>
        </w:rPr>
      </w:pPr>
    </w:p>
    <w:p w14:paraId="75213BC3" w14:textId="0E61EB7B" w:rsidR="00C41982" w:rsidRPr="006C6857" w:rsidRDefault="009D7AF5" w:rsidP="00FA1E87">
      <w:pPr>
        <w:pStyle w:val="ListParagraph"/>
        <w:numPr>
          <w:ilvl w:val="1"/>
          <w:numId w:val="2"/>
        </w:numPr>
        <w:spacing w:line="276" w:lineRule="auto"/>
        <w:jc w:val="both"/>
        <w:rPr>
          <w:rFonts w:cstheme="minorHAnsi"/>
          <w:iCs/>
          <w:sz w:val="24"/>
          <w:szCs w:val="24"/>
        </w:rPr>
      </w:pPr>
      <w:r>
        <w:rPr>
          <w:rFonts w:cstheme="minorHAnsi"/>
          <w:iCs/>
          <w:sz w:val="24"/>
          <w:szCs w:val="24"/>
        </w:rPr>
        <w:t>An examination summons must be accompanied by any relevant confidentiality notice and a statement setting out</w:t>
      </w:r>
      <w:r w:rsidR="00405CDD" w:rsidRPr="006C6857">
        <w:rPr>
          <w:rFonts w:cstheme="minorHAnsi"/>
          <w:iCs/>
          <w:sz w:val="24"/>
          <w:szCs w:val="24"/>
        </w:rPr>
        <w:t>:</w:t>
      </w:r>
      <w:r w:rsidR="004B4001">
        <w:rPr>
          <w:rStyle w:val="FootnoteReference"/>
          <w:rFonts w:cstheme="minorHAnsi"/>
          <w:iCs/>
          <w:sz w:val="24"/>
          <w:szCs w:val="24"/>
        </w:rPr>
        <w:footnoteReference w:id="15"/>
      </w:r>
    </w:p>
    <w:p w14:paraId="1A61C497" w14:textId="33BF8410" w:rsidR="00C41982" w:rsidRPr="006C6857" w:rsidRDefault="00C41982" w:rsidP="006C6857">
      <w:pPr>
        <w:pStyle w:val="ListParagraph"/>
        <w:spacing w:after="0" w:line="276" w:lineRule="auto"/>
        <w:ind w:left="360"/>
        <w:jc w:val="both"/>
        <w:rPr>
          <w:rFonts w:cstheme="minorHAnsi"/>
          <w:iCs/>
          <w:sz w:val="24"/>
          <w:szCs w:val="24"/>
        </w:rPr>
      </w:pPr>
    </w:p>
    <w:p w14:paraId="1D562A16" w14:textId="07B42AFB" w:rsidR="00C41982" w:rsidRPr="006C6857" w:rsidRDefault="00C41982" w:rsidP="006C6857">
      <w:pPr>
        <w:pStyle w:val="ListParagraph"/>
        <w:numPr>
          <w:ilvl w:val="0"/>
          <w:numId w:val="28"/>
        </w:numPr>
        <w:spacing w:after="0" w:line="276" w:lineRule="auto"/>
        <w:jc w:val="both"/>
        <w:rPr>
          <w:rFonts w:cstheme="minorHAnsi"/>
          <w:iCs/>
          <w:sz w:val="24"/>
          <w:szCs w:val="24"/>
        </w:rPr>
      </w:pPr>
      <w:r w:rsidRPr="006C6857">
        <w:rPr>
          <w:rFonts w:cstheme="minorHAnsi"/>
          <w:iCs/>
          <w:sz w:val="24"/>
          <w:szCs w:val="24"/>
        </w:rPr>
        <w:t xml:space="preserve">the failure to comply with the examination summons may be a contempt of the </w:t>
      </w:r>
      <w:r w:rsidR="004425EC">
        <w:rPr>
          <w:rFonts w:cstheme="minorHAnsi"/>
          <w:sz w:val="24"/>
          <w:szCs w:val="24"/>
        </w:rPr>
        <w:t xml:space="preserve">Commission </w:t>
      </w:r>
      <w:r w:rsidRPr="006C6857">
        <w:rPr>
          <w:rFonts w:cstheme="minorHAnsi"/>
          <w:iCs/>
          <w:sz w:val="24"/>
          <w:szCs w:val="24"/>
        </w:rPr>
        <w:t>, or an offence, and penalties may apply;</w:t>
      </w:r>
    </w:p>
    <w:p w14:paraId="1708C250" w14:textId="5AAA24B8" w:rsidR="00C41982" w:rsidRPr="006C6857" w:rsidRDefault="00C41982" w:rsidP="006C6857">
      <w:pPr>
        <w:pStyle w:val="ListParagraph"/>
        <w:numPr>
          <w:ilvl w:val="0"/>
          <w:numId w:val="28"/>
        </w:numPr>
        <w:spacing w:after="0" w:line="276" w:lineRule="auto"/>
        <w:jc w:val="both"/>
        <w:rPr>
          <w:rFonts w:cstheme="minorHAnsi"/>
          <w:iCs/>
          <w:sz w:val="24"/>
          <w:szCs w:val="24"/>
        </w:rPr>
      </w:pPr>
      <w:r w:rsidRPr="006C6857">
        <w:rPr>
          <w:rFonts w:cstheme="minorHAnsi"/>
          <w:iCs/>
          <w:sz w:val="24"/>
          <w:szCs w:val="24"/>
        </w:rPr>
        <w:t xml:space="preserve">giving false or misleading information to the </w:t>
      </w:r>
      <w:r w:rsidR="004425EC">
        <w:rPr>
          <w:rFonts w:cstheme="minorHAnsi"/>
          <w:sz w:val="24"/>
          <w:szCs w:val="24"/>
        </w:rPr>
        <w:t xml:space="preserve">Commission </w:t>
      </w:r>
      <w:r w:rsidRPr="006C6857">
        <w:rPr>
          <w:rFonts w:cstheme="minorHAnsi"/>
          <w:iCs/>
          <w:sz w:val="24"/>
          <w:szCs w:val="24"/>
        </w:rPr>
        <w:t>is a serious offence;</w:t>
      </w:r>
    </w:p>
    <w:p w14:paraId="462F3B94" w14:textId="518013A6" w:rsidR="00C41982" w:rsidRPr="006C6857" w:rsidRDefault="00C41982" w:rsidP="006C6857">
      <w:pPr>
        <w:pStyle w:val="ListParagraph"/>
        <w:numPr>
          <w:ilvl w:val="0"/>
          <w:numId w:val="28"/>
        </w:numPr>
        <w:spacing w:after="0" w:line="276" w:lineRule="auto"/>
        <w:jc w:val="both"/>
        <w:rPr>
          <w:rFonts w:cstheme="minorHAnsi"/>
          <w:iCs/>
          <w:sz w:val="24"/>
          <w:szCs w:val="24"/>
        </w:rPr>
      </w:pPr>
      <w:r w:rsidRPr="006C6857">
        <w:rPr>
          <w:rFonts w:cstheme="minorHAnsi"/>
          <w:iCs/>
          <w:sz w:val="24"/>
          <w:szCs w:val="24"/>
        </w:rPr>
        <w:t>whether the examination is intended to be held in public or private;</w:t>
      </w:r>
    </w:p>
    <w:p w14:paraId="207B8CDC" w14:textId="647CEBB1" w:rsidR="00C41982" w:rsidRPr="006C6857" w:rsidRDefault="004B4001" w:rsidP="006C6857">
      <w:pPr>
        <w:pStyle w:val="ListParagraph"/>
        <w:numPr>
          <w:ilvl w:val="0"/>
          <w:numId w:val="28"/>
        </w:numPr>
        <w:spacing w:after="0" w:line="276" w:lineRule="auto"/>
        <w:jc w:val="both"/>
        <w:rPr>
          <w:rFonts w:cstheme="minorHAnsi"/>
          <w:iCs/>
          <w:sz w:val="24"/>
          <w:szCs w:val="24"/>
        </w:rPr>
      </w:pPr>
      <w:r>
        <w:rPr>
          <w:rFonts w:cstheme="minorHAnsi"/>
          <w:iCs/>
          <w:sz w:val="24"/>
          <w:szCs w:val="24"/>
        </w:rPr>
        <w:t xml:space="preserve">that </w:t>
      </w:r>
      <w:r w:rsidR="00C41982" w:rsidRPr="006C6857">
        <w:rPr>
          <w:rFonts w:cstheme="minorHAnsi"/>
          <w:iCs/>
          <w:sz w:val="24"/>
          <w:szCs w:val="24"/>
        </w:rPr>
        <w:t>the person is entitled to seek legal advice in relation to the examination summons and examination generally;</w:t>
      </w:r>
    </w:p>
    <w:p w14:paraId="4570FF31" w14:textId="3B86DB53" w:rsidR="00C41982" w:rsidRPr="006C6857" w:rsidRDefault="004B4001" w:rsidP="006C6857">
      <w:pPr>
        <w:pStyle w:val="ListParagraph"/>
        <w:numPr>
          <w:ilvl w:val="0"/>
          <w:numId w:val="28"/>
        </w:numPr>
        <w:spacing w:after="0" w:line="276" w:lineRule="auto"/>
        <w:jc w:val="both"/>
        <w:rPr>
          <w:rFonts w:cstheme="minorHAnsi"/>
          <w:iCs/>
          <w:sz w:val="24"/>
          <w:szCs w:val="24"/>
        </w:rPr>
      </w:pPr>
      <w:r>
        <w:rPr>
          <w:rFonts w:cstheme="minorHAnsi"/>
          <w:iCs/>
          <w:sz w:val="24"/>
          <w:szCs w:val="24"/>
        </w:rPr>
        <w:t xml:space="preserve">that </w:t>
      </w:r>
      <w:r w:rsidR="00C41982" w:rsidRPr="006C6857">
        <w:rPr>
          <w:rFonts w:cstheme="minorHAnsi"/>
          <w:iCs/>
          <w:sz w:val="24"/>
          <w:szCs w:val="24"/>
        </w:rPr>
        <w:t>the person is entitled to be legally represented at the examination;</w:t>
      </w:r>
    </w:p>
    <w:p w14:paraId="78F092EF" w14:textId="0617E477" w:rsidR="00C41982" w:rsidRPr="006C6857" w:rsidRDefault="00C41982" w:rsidP="006C6857">
      <w:pPr>
        <w:pStyle w:val="ListParagraph"/>
        <w:numPr>
          <w:ilvl w:val="0"/>
          <w:numId w:val="28"/>
        </w:numPr>
        <w:spacing w:after="0" w:line="276" w:lineRule="auto"/>
        <w:jc w:val="both"/>
        <w:rPr>
          <w:rFonts w:cstheme="minorHAnsi"/>
          <w:iCs/>
          <w:sz w:val="24"/>
          <w:szCs w:val="24"/>
        </w:rPr>
      </w:pPr>
      <w:r w:rsidRPr="006C6857">
        <w:rPr>
          <w:rFonts w:cstheme="minorHAnsi"/>
          <w:iCs/>
          <w:sz w:val="24"/>
          <w:szCs w:val="24"/>
        </w:rPr>
        <w:t>the person may have the right to an interpreter present at the examination;</w:t>
      </w:r>
    </w:p>
    <w:p w14:paraId="5DA44C5F" w14:textId="67EB5FD3" w:rsidR="00C41982" w:rsidRPr="006C6857" w:rsidRDefault="00C41982" w:rsidP="006C6857">
      <w:pPr>
        <w:pStyle w:val="ListParagraph"/>
        <w:numPr>
          <w:ilvl w:val="0"/>
          <w:numId w:val="28"/>
        </w:numPr>
        <w:spacing w:after="0" w:line="276" w:lineRule="auto"/>
        <w:jc w:val="both"/>
        <w:rPr>
          <w:rFonts w:cstheme="minorHAnsi"/>
          <w:iCs/>
          <w:sz w:val="24"/>
          <w:szCs w:val="24"/>
        </w:rPr>
      </w:pPr>
      <w:r w:rsidRPr="006C6857">
        <w:rPr>
          <w:rFonts w:cstheme="minorHAnsi"/>
          <w:iCs/>
          <w:sz w:val="24"/>
          <w:szCs w:val="24"/>
        </w:rPr>
        <w:t>the person may be required to have a parent, guardian or independent person present at the examination;</w:t>
      </w:r>
    </w:p>
    <w:p w14:paraId="4BC7FF50" w14:textId="2651DE04" w:rsidR="00C41982" w:rsidRPr="006C6857" w:rsidRDefault="004B4001" w:rsidP="006C6857">
      <w:pPr>
        <w:pStyle w:val="ListParagraph"/>
        <w:numPr>
          <w:ilvl w:val="0"/>
          <w:numId w:val="28"/>
        </w:numPr>
        <w:spacing w:after="0" w:line="276" w:lineRule="auto"/>
        <w:jc w:val="both"/>
        <w:rPr>
          <w:rFonts w:cstheme="minorHAnsi"/>
          <w:iCs/>
          <w:sz w:val="24"/>
          <w:szCs w:val="24"/>
        </w:rPr>
      </w:pPr>
      <w:r>
        <w:rPr>
          <w:rFonts w:cstheme="minorHAnsi"/>
          <w:iCs/>
          <w:sz w:val="24"/>
          <w:szCs w:val="24"/>
        </w:rPr>
        <w:lastRenderedPageBreak/>
        <w:t xml:space="preserve">that </w:t>
      </w:r>
      <w:r w:rsidR="00C41982" w:rsidRPr="006C6857">
        <w:rPr>
          <w:rFonts w:cstheme="minorHAnsi"/>
          <w:iCs/>
          <w:sz w:val="24"/>
          <w:szCs w:val="24"/>
        </w:rPr>
        <w:t>the person may be able to claim a privilege but is not excused from answering a question, giving information or producing a document or other thing on the ground that the answer, information, document or other thing may tend to incriminate the person or make the person liable to a civil penalty;</w:t>
      </w:r>
    </w:p>
    <w:p w14:paraId="3175761C" w14:textId="2742D984" w:rsidR="00C41982" w:rsidRPr="006C6857" w:rsidRDefault="004B4001" w:rsidP="006C6857">
      <w:pPr>
        <w:pStyle w:val="ListParagraph"/>
        <w:numPr>
          <w:ilvl w:val="0"/>
          <w:numId w:val="28"/>
        </w:numPr>
        <w:spacing w:after="0" w:line="276" w:lineRule="auto"/>
        <w:jc w:val="both"/>
        <w:rPr>
          <w:rFonts w:cstheme="minorHAnsi"/>
          <w:iCs/>
          <w:sz w:val="24"/>
          <w:szCs w:val="24"/>
        </w:rPr>
      </w:pPr>
      <w:r>
        <w:rPr>
          <w:rFonts w:cstheme="minorHAnsi"/>
          <w:iCs/>
          <w:sz w:val="24"/>
          <w:szCs w:val="24"/>
        </w:rPr>
        <w:t xml:space="preserve">that </w:t>
      </w:r>
      <w:r w:rsidR="00C41982" w:rsidRPr="006C6857">
        <w:rPr>
          <w:rFonts w:cstheme="minorHAnsi"/>
          <w:iCs/>
          <w:sz w:val="24"/>
          <w:szCs w:val="24"/>
        </w:rPr>
        <w:t>if the person gives any answer, information, document or other thing that may tend to incriminate the person, an immunity as to the use of that evidence may apply;</w:t>
      </w:r>
    </w:p>
    <w:p w14:paraId="3832DB46" w14:textId="37D2004A" w:rsidR="00C41982" w:rsidRPr="006C6857" w:rsidRDefault="004B4001" w:rsidP="006C6857">
      <w:pPr>
        <w:pStyle w:val="ListParagraph"/>
        <w:numPr>
          <w:ilvl w:val="0"/>
          <w:numId w:val="28"/>
        </w:numPr>
        <w:spacing w:after="0" w:line="276" w:lineRule="auto"/>
        <w:jc w:val="both"/>
        <w:rPr>
          <w:rFonts w:cstheme="minorHAnsi"/>
          <w:iCs/>
          <w:sz w:val="24"/>
          <w:szCs w:val="24"/>
        </w:rPr>
      </w:pPr>
      <w:r>
        <w:rPr>
          <w:rFonts w:cstheme="minorHAnsi"/>
          <w:iCs/>
          <w:sz w:val="24"/>
          <w:szCs w:val="24"/>
        </w:rPr>
        <w:t xml:space="preserve">that </w:t>
      </w:r>
      <w:r w:rsidR="00C41982" w:rsidRPr="006C6857">
        <w:rPr>
          <w:rFonts w:cstheme="minorHAnsi"/>
          <w:iCs/>
          <w:sz w:val="24"/>
          <w:szCs w:val="24"/>
        </w:rPr>
        <w:t>if the person is a member of the Legislative Assembly, the person is not required to attend on a sitting day of the Legislative Assembly;</w:t>
      </w:r>
    </w:p>
    <w:p w14:paraId="0E816C12" w14:textId="400F9A4F" w:rsidR="00C41982" w:rsidRPr="006C6857" w:rsidRDefault="00C41982" w:rsidP="006C6857">
      <w:pPr>
        <w:pStyle w:val="ListParagraph"/>
        <w:numPr>
          <w:ilvl w:val="0"/>
          <w:numId w:val="28"/>
        </w:numPr>
        <w:spacing w:after="0" w:line="276" w:lineRule="auto"/>
        <w:jc w:val="both"/>
        <w:rPr>
          <w:rFonts w:cstheme="minorHAnsi"/>
          <w:iCs/>
          <w:sz w:val="24"/>
          <w:szCs w:val="24"/>
        </w:rPr>
      </w:pPr>
      <w:r w:rsidRPr="006C6857">
        <w:rPr>
          <w:rFonts w:cstheme="minorHAnsi"/>
          <w:iCs/>
          <w:sz w:val="24"/>
          <w:szCs w:val="24"/>
        </w:rPr>
        <w:t>the person has the right to complain to the Inspector;</w:t>
      </w:r>
      <w:r w:rsidR="00344143">
        <w:rPr>
          <w:rFonts w:cstheme="minorHAnsi"/>
          <w:iCs/>
          <w:sz w:val="24"/>
          <w:szCs w:val="24"/>
        </w:rPr>
        <w:t xml:space="preserve"> and</w:t>
      </w:r>
    </w:p>
    <w:p w14:paraId="1E0C864C" w14:textId="33738FA3" w:rsidR="00C41982" w:rsidRPr="006C6857" w:rsidRDefault="00C41982" w:rsidP="006C6857">
      <w:pPr>
        <w:pStyle w:val="ListParagraph"/>
        <w:numPr>
          <w:ilvl w:val="0"/>
          <w:numId w:val="28"/>
        </w:numPr>
        <w:spacing w:after="0" w:line="276" w:lineRule="auto"/>
        <w:jc w:val="both"/>
        <w:rPr>
          <w:rFonts w:cstheme="minorHAnsi"/>
          <w:iCs/>
          <w:sz w:val="24"/>
          <w:szCs w:val="24"/>
        </w:rPr>
      </w:pPr>
      <w:r w:rsidRPr="006C6857">
        <w:rPr>
          <w:rFonts w:cstheme="minorHAnsi"/>
          <w:iCs/>
          <w:sz w:val="24"/>
          <w:szCs w:val="24"/>
        </w:rPr>
        <w:t>any other matter prescribed by regulation.</w:t>
      </w:r>
    </w:p>
    <w:p w14:paraId="197E71B5" w14:textId="5F956FE6" w:rsidR="00C41982" w:rsidRPr="006C6857" w:rsidRDefault="00C41982" w:rsidP="006C6857">
      <w:pPr>
        <w:spacing w:after="0" w:line="276" w:lineRule="auto"/>
        <w:jc w:val="both"/>
        <w:rPr>
          <w:rFonts w:cstheme="minorHAnsi"/>
          <w:iCs/>
          <w:sz w:val="24"/>
          <w:szCs w:val="24"/>
        </w:rPr>
      </w:pPr>
    </w:p>
    <w:p w14:paraId="02F2B329" w14:textId="2C200BAB" w:rsidR="00D94C3C" w:rsidRPr="006C6857" w:rsidRDefault="00EC5DD4" w:rsidP="006C6857">
      <w:pPr>
        <w:spacing w:after="0" w:line="276" w:lineRule="auto"/>
        <w:jc w:val="both"/>
        <w:rPr>
          <w:rFonts w:cstheme="minorHAnsi"/>
          <w:b/>
          <w:bCs/>
          <w:iCs/>
          <w:sz w:val="24"/>
          <w:szCs w:val="24"/>
        </w:rPr>
      </w:pPr>
      <w:r w:rsidRPr="006C6857">
        <w:rPr>
          <w:rFonts w:cstheme="minorHAnsi"/>
          <w:b/>
          <w:bCs/>
          <w:iCs/>
          <w:sz w:val="24"/>
          <w:szCs w:val="24"/>
        </w:rPr>
        <w:t>Provision of documents prior to examination</w:t>
      </w:r>
    </w:p>
    <w:p w14:paraId="045FFCE6" w14:textId="77777777" w:rsidR="00D94C3C" w:rsidRPr="006C6857" w:rsidRDefault="00D94C3C" w:rsidP="006C6857">
      <w:pPr>
        <w:spacing w:after="0" w:line="276" w:lineRule="auto"/>
        <w:jc w:val="both"/>
        <w:rPr>
          <w:rFonts w:cstheme="minorHAnsi"/>
          <w:iCs/>
          <w:sz w:val="24"/>
          <w:szCs w:val="24"/>
        </w:rPr>
      </w:pPr>
    </w:p>
    <w:p w14:paraId="4DE7F2F7" w14:textId="2739895D" w:rsidR="006C6857" w:rsidRPr="006C6857" w:rsidRDefault="006C6857" w:rsidP="00FA1E87">
      <w:pPr>
        <w:pStyle w:val="ListParagraph"/>
        <w:numPr>
          <w:ilvl w:val="1"/>
          <w:numId w:val="2"/>
        </w:numPr>
        <w:spacing w:line="276" w:lineRule="auto"/>
        <w:jc w:val="both"/>
        <w:rPr>
          <w:rFonts w:cstheme="minorHAnsi"/>
          <w:sz w:val="24"/>
          <w:szCs w:val="24"/>
          <w:lang w:val="en-US"/>
        </w:rPr>
      </w:pPr>
      <w:r w:rsidRPr="006C6857">
        <w:rPr>
          <w:rFonts w:cstheme="minorHAnsi"/>
          <w:sz w:val="24"/>
          <w:szCs w:val="24"/>
          <w:lang w:val="en-US"/>
        </w:rPr>
        <w:t>Th</w:t>
      </w:r>
      <w:r w:rsidR="00405CDD" w:rsidRPr="006C6857">
        <w:rPr>
          <w:rFonts w:cstheme="minorHAnsi"/>
          <w:sz w:val="24"/>
          <w:szCs w:val="24"/>
          <w:lang w:val="en-US"/>
        </w:rPr>
        <w:t>e pre-</w:t>
      </w:r>
      <w:r w:rsidR="00405CDD" w:rsidRPr="00FA1E87">
        <w:rPr>
          <w:rFonts w:cstheme="minorHAnsi"/>
          <w:iCs/>
          <w:sz w:val="24"/>
          <w:szCs w:val="24"/>
        </w:rPr>
        <w:t>hearing</w:t>
      </w:r>
      <w:r w:rsidR="00405CDD" w:rsidRPr="006C6857">
        <w:rPr>
          <w:rFonts w:cstheme="minorHAnsi"/>
          <w:sz w:val="24"/>
          <w:szCs w:val="24"/>
          <w:lang w:val="en-US"/>
        </w:rPr>
        <w:t xml:space="preserve"> disclosure of documents for a private examination is exceptional</w:t>
      </w:r>
      <w:r w:rsidR="004B4001">
        <w:rPr>
          <w:rFonts w:cstheme="minorHAnsi"/>
          <w:sz w:val="24"/>
          <w:szCs w:val="24"/>
          <w:lang w:val="en-US"/>
        </w:rPr>
        <w:t>. Such disclosure, if any, requires a direction from the Commissioner</w:t>
      </w:r>
      <w:r w:rsidR="00405CDD" w:rsidRPr="006C6857">
        <w:rPr>
          <w:rFonts w:cstheme="minorHAnsi"/>
          <w:sz w:val="24"/>
          <w:szCs w:val="24"/>
          <w:lang w:val="en-US"/>
        </w:rPr>
        <w:t>.</w:t>
      </w:r>
    </w:p>
    <w:p w14:paraId="5C1F6354" w14:textId="77777777" w:rsidR="006C6857" w:rsidRPr="006C6857" w:rsidRDefault="006C6857" w:rsidP="006C6857">
      <w:pPr>
        <w:pStyle w:val="ListParagraph"/>
        <w:spacing w:after="0" w:line="276" w:lineRule="auto"/>
        <w:ind w:left="360"/>
        <w:jc w:val="both"/>
        <w:rPr>
          <w:rFonts w:cstheme="minorHAnsi"/>
          <w:sz w:val="24"/>
          <w:szCs w:val="24"/>
          <w:lang w:val="en-US"/>
        </w:rPr>
      </w:pPr>
    </w:p>
    <w:p w14:paraId="4911F59F" w14:textId="72C7AF1A" w:rsidR="006C6857" w:rsidRPr="005E7862" w:rsidRDefault="00405CDD" w:rsidP="00FA1E87">
      <w:pPr>
        <w:pStyle w:val="ListParagraph"/>
        <w:numPr>
          <w:ilvl w:val="1"/>
          <w:numId w:val="2"/>
        </w:numPr>
        <w:spacing w:line="276" w:lineRule="auto"/>
        <w:jc w:val="both"/>
        <w:rPr>
          <w:rFonts w:cstheme="minorHAnsi"/>
          <w:sz w:val="24"/>
          <w:szCs w:val="24"/>
          <w:lang w:val="en-US"/>
        </w:rPr>
      </w:pPr>
      <w:r w:rsidRPr="006C6857">
        <w:rPr>
          <w:rFonts w:cstheme="minorHAnsi"/>
          <w:sz w:val="24"/>
          <w:szCs w:val="24"/>
          <w:lang w:val="en-US"/>
        </w:rPr>
        <w:t xml:space="preserve">A </w:t>
      </w:r>
      <w:r w:rsidRPr="00FA1E87">
        <w:rPr>
          <w:rFonts w:cstheme="minorHAnsi"/>
          <w:iCs/>
          <w:sz w:val="24"/>
          <w:szCs w:val="24"/>
        </w:rPr>
        <w:t>decision</w:t>
      </w:r>
      <w:r w:rsidRPr="006C6857">
        <w:rPr>
          <w:rFonts w:cstheme="minorHAnsi"/>
          <w:sz w:val="24"/>
          <w:szCs w:val="24"/>
          <w:lang w:val="en-US"/>
        </w:rPr>
        <w:t xml:space="preserve"> as to whether statements or documents will be disclosed </w:t>
      </w:r>
      <w:r w:rsidR="006C6857" w:rsidRPr="006C6857">
        <w:rPr>
          <w:rFonts w:cstheme="minorHAnsi"/>
          <w:sz w:val="24"/>
          <w:szCs w:val="24"/>
          <w:lang w:val="en-US"/>
        </w:rPr>
        <w:t xml:space="preserve">before a </w:t>
      </w:r>
      <w:r w:rsidRPr="006C6857">
        <w:rPr>
          <w:rFonts w:cstheme="minorHAnsi"/>
          <w:sz w:val="24"/>
          <w:szCs w:val="24"/>
          <w:lang w:val="en-US"/>
        </w:rPr>
        <w:t xml:space="preserve">public </w:t>
      </w:r>
      <w:r w:rsidR="00AD58C8">
        <w:rPr>
          <w:rFonts w:cstheme="minorHAnsi"/>
          <w:sz w:val="24"/>
          <w:szCs w:val="24"/>
          <w:lang w:val="en-US"/>
        </w:rPr>
        <w:t>examination</w:t>
      </w:r>
      <w:r w:rsidRPr="006C6857">
        <w:rPr>
          <w:rFonts w:cstheme="minorHAnsi"/>
          <w:sz w:val="24"/>
          <w:szCs w:val="24"/>
          <w:lang w:val="en-US"/>
        </w:rPr>
        <w:t xml:space="preserve"> and the method of disclosure </w:t>
      </w:r>
      <w:r w:rsidR="006C6857" w:rsidRPr="006C6857">
        <w:rPr>
          <w:rFonts w:cstheme="minorHAnsi"/>
          <w:sz w:val="24"/>
          <w:szCs w:val="24"/>
          <w:lang w:val="en-US"/>
        </w:rPr>
        <w:t>will</w:t>
      </w:r>
      <w:r w:rsidRPr="006C6857">
        <w:rPr>
          <w:rFonts w:cstheme="minorHAnsi"/>
          <w:sz w:val="24"/>
          <w:szCs w:val="24"/>
          <w:lang w:val="en-US"/>
        </w:rPr>
        <w:t xml:space="preserve"> be determined </w:t>
      </w:r>
      <w:r w:rsidR="00AD58C8">
        <w:rPr>
          <w:rFonts w:cstheme="minorHAnsi"/>
          <w:sz w:val="24"/>
          <w:szCs w:val="24"/>
          <w:lang w:val="en-US"/>
        </w:rPr>
        <w:t xml:space="preserve">by </w:t>
      </w:r>
      <w:r w:rsidR="005E7862" w:rsidRPr="006C6857">
        <w:rPr>
          <w:rFonts w:cstheme="minorHAnsi"/>
          <w:sz w:val="24"/>
          <w:szCs w:val="24"/>
          <w:lang w:val="en-US"/>
        </w:rPr>
        <w:t xml:space="preserve">the </w:t>
      </w:r>
      <w:r w:rsidR="005E7862" w:rsidRPr="005E7862">
        <w:rPr>
          <w:rFonts w:cstheme="minorHAnsi"/>
          <w:sz w:val="24"/>
          <w:szCs w:val="24"/>
          <w:lang w:val="en-US"/>
        </w:rPr>
        <w:t xml:space="preserve">Commissioner in consultation with </w:t>
      </w:r>
      <w:r w:rsidR="00AD58C8" w:rsidRPr="005E7862">
        <w:rPr>
          <w:rFonts w:cstheme="minorHAnsi"/>
          <w:sz w:val="24"/>
          <w:szCs w:val="24"/>
          <w:lang w:val="en-US"/>
        </w:rPr>
        <w:t>Counsel Assisting</w:t>
      </w:r>
      <w:r w:rsidRPr="005E7862">
        <w:rPr>
          <w:rFonts w:cstheme="minorHAnsi"/>
          <w:sz w:val="24"/>
          <w:szCs w:val="24"/>
          <w:lang w:val="en-US"/>
        </w:rPr>
        <w:t xml:space="preserve">.  </w:t>
      </w:r>
    </w:p>
    <w:p w14:paraId="58D04503" w14:textId="77777777" w:rsidR="006C6857" w:rsidRPr="006C6857" w:rsidRDefault="006C6857" w:rsidP="006C6857">
      <w:pPr>
        <w:pStyle w:val="ListParagraph"/>
        <w:spacing w:line="276" w:lineRule="auto"/>
        <w:rPr>
          <w:rFonts w:cstheme="minorHAnsi"/>
          <w:sz w:val="24"/>
          <w:szCs w:val="24"/>
          <w:lang w:val="en-US"/>
        </w:rPr>
      </w:pPr>
    </w:p>
    <w:p w14:paraId="0CC91B64" w14:textId="53CBD5B2" w:rsidR="00405CDD" w:rsidRPr="006C6857" w:rsidRDefault="00405CDD" w:rsidP="00FA1E87">
      <w:pPr>
        <w:pStyle w:val="ListParagraph"/>
        <w:numPr>
          <w:ilvl w:val="1"/>
          <w:numId w:val="2"/>
        </w:numPr>
        <w:spacing w:line="276" w:lineRule="auto"/>
        <w:jc w:val="both"/>
        <w:rPr>
          <w:rFonts w:cstheme="minorHAnsi"/>
          <w:sz w:val="24"/>
          <w:szCs w:val="24"/>
          <w:lang w:val="en-US"/>
        </w:rPr>
      </w:pPr>
      <w:r w:rsidRPr="006C6857">
        <w:rPr>
          <w:rFonts w:cstheme="minorHAnsi"/>
          <w:sz w:val="24"/>
          <w:szCs w:val="24"/>
          <w:lang w:val="en-US"/>
        </w:rPr>
        <w:t xml:space="preserve">In determining the </w:t>
      </w:r>
      <w:r w:rsidRPr="00FA1E87">
        <w:rPr>
          <w:rFonts w:cstheme="minorHAnsi"/>
          <w:iCs/>
          <w:sz w:val="24"/>
          <w:szCs w:val="24"/>
        </w:rPr>
        <w:t>statements</w:t>
      </w:r>
      <w:r w:rsidRPr="006C6857">
        <w:rPr>
          <w:rFonts w:cstheme="minorHAnsi"/>
          <w:sz w:val="24"/>
          <w:szCs w:val="24"/>
          <w:lang w:val="en-US"/>
        </w:rPr>
        <w:t xml:space="preserve"> and documents that should be disclosed prior to a public </w:t>
      </w:r>
      <w:r w:rsidR="00AD58C8">
        <w:rPr>
          <w:rFonts w:cstheme="minorHAnsi"/>
          <w:sz w:val="24"/>
          <w:szCs w:val="24"/>
          <w:lang w:val="en-US"/>
        </w:rPr>
        <w:t>examination</w:t>
      </w:r>
      <w:r w:rsidRPr="006C6857">
        <w:rPr>
          <w:rFonts w:cstheme="minorHAnsi"/>
          <w:sz w:val="24"/>
          <w:szCs w:val="24"/>
          <w:lang w:val="en-US"/>
        </w:rPr>
        <w:t xml:space="preserve"> or determining how that information is to be used in a compulsory examination or public </w:t>
      </w:r>
      <w:r w:rsidR="00AD58C8">
        <w:rPr>
          <w:rFonts w:cstheme="minorHAnsi"/>
          <w:sz w:val="24"/>
          <w:szCs w:val="24"/>
          <w:lang w:val="en-US"/>
        </w:rPr>
        <w:t>examination</w:t>
      </w:r>
      <w:r w:rsidRPr="006C6857">
        <w:rPr>
          <w:rFonts w:cstheme="minorHAnsi"/>
          <w:sz w:val="24"/>
          <w:szCs w:val="24"/>
          <w:lang w:val="en-US"/>
        </w:rPr>
        <w:t xml:space="preserve"> the </w:t>
      </w:r>
      <w:r w:rsidR="007F5BF5">
        <w:rPr>
          <w:rFonts w:cstheme="minorHAnsi"/>
          <w:sz w:val="24"/>
          <w:szCs w:val="24"/>
          <w:lang w:val="en-US"/>
        </w:rPr>
        <w:t xml:space="preserve">following </w:t>
      </w:r>
      <w:r w:rsidRPr="006C6857">
        <w:rPr>
          <w:rFonts w:cstheme="minorHAnsi"/>
          <w:sz w:val="24"/>
          <w:szCs w:val="24"/>
          <w:lang w:val="en-US"/>
        </w:rPr>
        <w:t>considerations apply</w:t>
      </w:r>
      <w:r w:rsidR="006C6857" w:rsidRPr="006C6857">
        <w:rPr>
          <w:rFonts w:cstheme="minorHAnsi"/>
          <w:sz w:val="24"/>
          <w:szCs w:val="24"/>
          <w:lang w:val="en-US"/>
        </w:rPr>
        <w:t>:</w:t>
      </w:r>
    </w:p>
    <w:p w14:paraId="1A2C94E9" w14:textId="77777777" w:rsidR="00405CDD" w:rsidRPr="006C6857" w:rsidRDefault="00405CDD" w:rsidP="006C6857">
      <w:pPr>
        <w:pStyle w:val="ListParagraph"/>
        <w:spacing w:after="0" w:line="276" w:lineRule="auto"/>
        <w:ind w:left="426"/>
        <w:jc w:val="both"/>
        <w:rPr>
          <w:rFonts w:cstheme="minorHAnsi"/>
          <w:sz w:val="24"/>
          <w:szCs w:val="24"/>
          <w:lang w:val="en-US"/>
        </w:rPr>
      </w:pPr>
    </w:p>
    <w:p w14:paraId="680F2582" w14:textId="052AA24C" w:rsidR="006C6857" w:rsidRPr="006C6857" w:rsidRDefault="00405CDD" w:rsidP="006C6857">
      <w:pPr>
        <w:pStyle w:val="ListParagraph"/>
        <w:numPr>
          <w:ilvl w:val="0"/>
          <w:numId w:val="37"/>
        </w:numPr>
        <w:spacing w:after="0" w:line="276" w:lineRule="auto"/>
        <w:jc w:val="both"/>
        <w:rPr>
          <w:rFonts w:cstheme="minorHAnsi"/>
          <w:i/>
          <w:sz w:val="24"/>
          <w:szCs w:val="24"/>
          <w:lang w:val="en-US"/>
        </w:rPr>
      </w:pPr>
      <w:r w:rsidRPr="00CD64AF">
        <w:rPr>
          <w:rFonts w:cstheme="minorHAnsi"/>
          <w:b/>
          <w:bCs/>
          <w:i/>
          <w:sz w:val="24"/>
          <w:szCs w:val="24"/>
          <w:lang w:val="en-US"/>
        </w:rPr>
        <w:t>Surveillance audio and video recordings</w:t>
      </w:r>
      <w:r w:rsidR="006C6857" w:rsidRPr="00CD64AF">
        <w:rPr>
          <w:rFonts w:cstheme="minorHAnsi"/>
          <w:b/>
          <w:bCs/>
          <w:i/>
          <w:sz w:val="24"/>
          <w:szCs w:val="24"/>
          <w:lang w:val="en-US"/>
        </w:rPr>
        <w:t>:</w:t>
      </w:r>
      <w:r w:rsidR="006C6857" w:rsidRPr="006C6857">
        <w:rPr>
          <w:rFonts w:cstheme="minorHAnsi"/>
          <w:i/>
          <w:sz w:val="24"/>
          <w:szCs w:val="24"/>
          <w:lang w:val="en-US"/>
        </w:rPr>
        <w:t xml:space="preserve">  </w:t>
      </w:r>
      <w:r w:rsidR="004B4001">
        <w:rPr>
          <w:rFonts w:cstheme="minorHAnsi"/>
          <w:iCs/>
          <w:sz w:val="24"/>
          <w:szCs w:val="24"/>
          <w:lang w:val="en-US"/>
        </w:rPr>
        <w:t>whether s</w:t>
      </w:r>
      <w:r w:rsidRPr="006C6857">
        <w:rPr>
          <w:rFonts w:cstheme="minorHAnsi"/>
          <w:sz w:val="24"/>
          <w:szCs w:val="24"/>
        </w:rPr>
        <w:t xml:space="preserve">urveillance audio and video product is to be introduced into a public </w:t>
      </w:r>
      <w:r w:rsidR="00AD58C8">
        <w:rPr>
          <w:rFonts w:cstheme="minorHAnsi"/>
          <w:sz w:val="24"/>
          <w:szCs w:val="24"/>
        </w:rPr>
        <w:t>examination</w:t>
      </w:r>
      <w:r w:rsidRPr="006C6857">
        <w:rPr>
          <w:rFonts w:cstheme="minorHAnsi"/>
          <w:sz w:val="24"/>
          <w:szCs w:val="24"/>
        </w:rPr>
        <w:t xml:space="preserve"> </w:t>
      </w:r>
      <w:r w:rsidR="004B4001">
        <w:rPr>
          <w:rFonts w:cstheme="minorHAnsi"/>
          <w:sz w:val="24"/>
          <w:szCs w:val="24"/>
        </w:rPr>
        <w:t>is a matter for the Commissioner to determine</w:t>
      </w:r>
      <w:r w:rsidRPr="006C6857">
        <w:rPr>
          <w:rFonts w:cstheme="minorHAnsi"/>
          <w:sz w:val="24"/>
          <w:szCs w:val="24"/>
        </w:rPr>
        <w:t xml:space="preserve">.  A primary consideration is the public interest in the preservation and protection of law enforcement </w:t>
      </w:r>
      <w:r w:rsidRPr="005E7862">
        <w:rPr>
          <w:rFonts w:cstheme="minorHAnsi"/>
          <w:sz w:val="24"/>
          <w:szCs w:val="24"/>
        </w:rPr>
        <w:t>methodology,</w:t>
      </w:r>
      <w:r w:rsidR="006C6857" w:rsidRPr="005E7862">
        <w:rPr>
          <w:rFonts w:cstheme="minorHAnsi"/>
          <w:sz w:val="24"/>
          <w:szCs w:val="24"/>
        </w:rPr>
        <w:t xml:space="preserve"> </w:t>
      </w:r>
      <w:r w:rsidR="004B4001" w:rsidRPr="005E7862">
        <w:rPr>
          <w:rFonts w:cstheme="minorHAnsi"/>
          <w:sz w:val="24"/>
          <w:szCs w:val="24"/>
        </w:rPr>
        <w:t>as well as</w:t>
      </w:r>
      <w:r w:rsidRPr="005E7862">
        <w:rPr>
          <w:rFonts w:cstheme="minorHAnsi"/>
          <w:sz w:val="24"/>
          <w:szCs w:val="24"/>
        </w:rPr>
        <w:t xml:space="preserve"> the</w:t>
      </w:r>
      <w:r w:rsidRPr="006C6857">
        <w:rPr>
          <w:rFonts w:cstheme="minorHAnsi"/>
          <w:sz w:val="24"/>
          <w:szCs w:val="24"/>
        </w:rPr>
        <w:t xml:space="preserve"> safety and security of Commission staff and members of the public.</w:t>
      </w:r>
    </w:p>
    <w:p w14:paraId="3B0BA245" w14:textId="6CD95194" w:rsidR="006C6857" w:rsidRPr="006C6857" w:rsidRDefault="00405CDD" w:rsidP="006C6857">
      <w:pPr>
        <w:pStyle w:val="ListParagraph"/>
        <w:numPr>
          <w:ilvl w:val="0"/>
          <w:numId w:val="37"/>
        </w:numPr>
        <w:spacing w:after="0" w:line="276" w:lineRule="auto"/>
        <w:jc w:val="both"/>
        <w:rPr>
          <w:rFonts w:cstheme="minorHAnsi"/>
          <w:i/>
          <w:sz w:val="24"/>
          <w:szCs w:val="24"/>
          <w:lang w:val="en-US"/>
        </w:rPr>
      </w:pPr>
      <w:r w:rsidRPr="00CD64AF">
        <w:rPr>
          <w:rFonts w:cstheme="minorHAnsi"/>
          <w:b/>
          <w:bCs/>
          <w:i/>
          <w:sz w:val="24"/>
          <w:szCs w:val="24"/>
          <w:lang w:val="en-US"/>
        </w:rPr>
        <w:t>Statements, interview</w:t>
      </w:r>
      <w:r w:rsidR="005F3FA0" w:rsidRPr="00CD64AF">
        <w:rPr>
          <w:rFonts w:cstheme="minorHAnsi"/>
          <w:b/>
          <w:bCs/>
          <w:i/>
          <w:sz w:val="24"/>
          <w:szCs w:val="24"/>
          <w:lang w:val="en-US"/>
        </w:rPr>
        <w:t>s</w:t>
      </w:r>
      <w:r w:rsidRPr="00CD64AF">
        <w:rPr>
          <w:rFonts w:cstheme="minorHAnsi"/>
          <w:b/>
          <w:bCs/>
          <w:i/>
          <w:sz w:val="24"/>
          <w:szCs w:val="24"/>
          <w:lang w:val="en-US"/>
        </w:rPr>
        <w:t xml:space="preserve"> and compulsory examination transcripts</w:t>
      </w:r>
      <w:r w:rsidR="006C6857" w:rsidRPr="00CD64AF">
        <w:rPr>
          <w:rFonts w:cstheme="minorHAnsi"/>
          <w:b/>
          <w:bCs/>
          <w:i/>
          <w:sz w:val="24"/>
          <w:szCs w:val="24"/>
          <w:lang w:val="en-US"/>
        </w:rPr>
        <w:t>:</w:t>
      </w:r>
      <w:r w:rsidR="006C6857" w:rsidRPr="006C6857">
        <w:rPr>
          <w:rFonts w:cstheme="minorHAnsi"/>
          <w:sz w:val="24"/>
          <w:szCs w:val="24"/>
        </w:rPr>
        <w:t xml:space="preserve">  </w:t>
      </w:r>
      <w:r w:rsidRPr="006C6857">
        <w:rPr>
          <w:rFonts w:cstheme="minorHAnsi"/>
          <w:sz w:val="24"/>
          <w:szCs w:val="24"/>
        </w:rPr>
        <w:t xml:space="preserve">Compulsory examination transcripts or statements and transcripts/audio of interviews taken by investigators from significant witnesses will not as a matter of course be made available to witnesses prior to a hearing.   The question of access to such material will be determined on a case by case basis, depending on the needs of the investigation and (particularly in the case of a </w:t>
      </w:r>
      <w:r w:rsidR="006C6857">
        <w:rPr>
          <w:rFonts w:cstheme="minorHAnsi"/>
          <w:sz w:val="24"/>
          <w:szCs w:val="24"/>
        </w:rPr>
        <w:t>private</w:t>
      </w:r>
      <w:r w:rsidRPr="006C6857">
        <w:rPr>
          <w:rFonts w:cstheme="minorHAnsi"/>
          <w:sz w:val="24"/>
          <w:szCs w:val="24"/>
        </w:rPr>
        <w:t xml:space="preserve"> examination) is subject to any necessary variation of a </w:t>
      </w:r>
      <w:r w:rsidR="006C6857">
        <w:rPr>
          <w:rFonts w:cstheme="minorHAnsi"/>
          <w:sz w:val="24"/>
          <w:szCs w:val="24"/>
        </w:rPr>
        <w:t>suppression</w:t>
      </w:r>
      <w:r w:rsidRPr="006C6857">
        <w:rPr>
          <w:rFonts w:cstheme="minorHAnsi"/>
          <w:sz w:val="24"/>
          <w:szCs w:val="24"/>
        </w:rPr>
        <w:t xml:space="preserve"> order.  Release of any of this material must be approved by the Commissioner.</w:t>
      </w:r>
    </w:p>
    <w:p w14:paraId="28EDC9FE" w14:textId="2639A992" w:rsidR="006C6857" w:rsidRPr="006C6857" w:rsidRDefault="00405CDD" w:rsidP="006C6857">
      <w:pPr>
        <w:pStyle w:val="ListParagraph"/>
        <w:numPr>
          <w:ilvl w:val="0"/>
          <w:numId w:val="37"/>
        </w:numPr>
        <w:spacing w:after="0" w:line="276" w:lineRule="auto"/>
        <w:jc w:val="both"/>
        <w:rPr>
          <w:rFonts w:cstheme="minorHAnsi"/>
          <w:i/>
          <w:sz w:val="24"/>
          <w:szCs w:val="24"/>
          <w:lang w:val="en-US"/>
        </w:rPr>
      </w:pPr>
      <w:r w:rsidRPr="00CD64AF">
        <w:rPr>
          <w:rFonts w:cstheme="minorHAnsi"/>
          <w:b/>
          <w:bCs/>
          <w:i/>
          <w:sz w:val="24"/>
          <w:szCs w:val="24"/>
          <w:lang w:val="en-US"/>
        </w:rPr>
        <w:lastRenderedPageBreak/>
        <w:t>Legislative restrictions on the publication of information</w:t>
      </w:r>
      <w:r w:rsidR="006C6857" w:rsidRPr="00CD64AF">
        <w:rPr>
          <w:rFonts w:cstheme="minorHAnsi"/>
          <w:b/>
          <w:bCs/>
          <w:i/>
          <w:sz w:val="24"/>
          <w:szCs w:val="24"/>
          <w:lang w:val="en-US"/>
        </w:rPr>
        <w:t>:</w:t>
      </w:r>
      <w:r w:rsidR="006C6857" w:rsidRPr="006C6857">
        <w:rPr>
          <w:rFonts w:cstheme="minorHAnsi"/>
          <w:sz w:val="24"/>
          <w:szCs w:val="24"/>
        </w:rPr>
        <w:t xml:space="preserve">  </w:t>
      </w:r>
      <w:r w:rsidRPr="006C6857">
        <w:rPr>
          <w:rFonts w:cstheme="minorHAnsi"/>
          <w:sz w:val="24"/>
          <w:szCs w:val="24"/>
        </w:rPr>
        <w:t>Legislative restrictions on the publication of information must be considered.  For example, a tax file number</w:t>
      </w:r>
      <w:r w:rsidR="006C6857">
        <w:rPr>
          <w:rFonts w:cstheme="minorHAnsi"/>
          <w:sz w:val="24"/>
          <w:szCs w:val="24"/>
        </w:rPr>
        <w:t>,</w:t>
      </w:r>
      <w:r w:rsidRPr="006C6857">
        <w:rPr>
          <w:rFonts w:cstheme="minorHAnsi"/>
          <w:sz w:val="24"/>
          <w:szCs w:val="24"/>
        </w:rPr>
        <w:t xml:space="preserve"> however obtained, may not be published. The case lawyer is responsible for ensuring the requirements of any legislative restrictions on publication of information are met.</w:t>
      </w:r>
    </w:p>
    <w:p w14:paraId="75784BF3" w14:textId="3F37FCC6" w:rsidR="00405CDD" w:rsidRPr="006C6857" w:rsidRDefault="00405CDD" w:rsidP="006C6857">
      <w:pPr>
        <w:pStyle w:val="ListParagraph"/>
        <w:numPr>
          <w:ilvl w:val="0"/>
          <w:numId w:val="37"/>
        </w:numPr>
        <w:spacing w:after="0" w:line="276" w:lineRule="auto"/>
        <w:jc w:val="both"/>
        <w:rPr>
          <w:rFonts w:cstheme="minorHAnsi"/>
          <w:i/>
          <w:sz w:val="24"/>
          <w:szCs w:val="24"/>
          <w:lang w:val="en-US"/>
        </w:rPr>
      </w:pPr>
      <w:r w:rsidRPr="00CD64AF">
        <w:rPr>
          <w:rFonts w:cstheme="minorHAnsi"/>
          <w:b/>
          <w:bCs/>
          <w:i/>
          <w:sz w:val="24"/>
          <w:szCs w:val="24"/>
          <w:lang w:val="en-US"/>
        </w:rPr>
        <w:t>Private and personal information</w:t>
      </w:r>
      <w:r w:rsidR="006C6857" w:rsidRPr="00CD64AF">
        <w:rPr>
          <w:rFonts w:cstheme="minorHAnsi"/>
          <w:b/>
          <w:bCs/>
          <w:i/>
          <w:sz w:val="24"/>
          <w:szCs w:val="24"/>
          <w:lang w:val="en-US"/>
        </w:rPr>
        <w:t>:</w:t>
      </w:r>
      <w:r w:rsidR="006C6857" w:rsidRPr="00CD64AF">
        <w:rPr>
          <w:rFonts w:cstheme="minorHAnsi"/>
          <w:b/>
          <w:bCs/>
          <w:sz w:val="24"/>
          <w:szCs w:val="24"/>
        </w:rPr>
        <w:t xml:space="preserve"> </w:t>
      </w:r>
      <w:r w:rsidR="006C6857" w:rsidRPr="006C6857">
        <w:rPr>
          <w:rFonts w:cstheme="minorHAnsi"/>
          <w:sz w:val="24"/>
          <w:szCs w:val="24"/>
        </w:rPr>
        <w:t xml:space="preserve"> </w:t>
      </w:r>
      <w:r w:rsidRPr="006C6857">
        <w:rPr>
          <w:rFonts w:cstheme="minorHAnsi"/>
          <w:sz w:val="24"/>
          <w:szCs w:val="24"/>
        </w:rPr>
        <w:t xml:space="preserve">Great care needs to be taken in dealing with documents containing private and personal information such as diaries, videos, personal letters, material disclosing personal identification and financial information.  If this material is irrelevant to the </w:t>
      </w:r>
      <w:r w:rsidR="00AD58C8">
        <w:rPr>
          <w:rFonts w:cstheme="minorHAnsi"/>
          <w:sz w:val="24"/>
          <w:szCs w:val="24"/>
        </w:rPr>
        <w:t>examination</w:t>
      </w:r>
      <w:r w:rsidRPr="006C6857">
        <w:rPr>
          <w:rFonts w:cstheme="minorHAnsi"/>
          <w:sz w:val="24"/>
          <w:szCs w:val="24"/>
        </w:rPr>
        <w:t xml:space="preserve">, it should be redacted from the tender copy prior to the public </w:t>
      </w:r>
      <w:r w:rsidR="00AD58C8">
        <w:rPr>
          <w:rFonts w:cstheme="minorHAnsi"/>
          <w:sz w:val="24"/>
          <w:szCs w:val="24"/>
        </w:rPr>
        <w:t>examination</w:t>
      </w:r>
      <w:r w:rsidRPr="006C6857">
        <w:rPr>
          <w:rFonts w:cstheme="minorHAnsi"/>
          <w:sz w:val="24"/>
          <w:szCs w:val="24"/>
        </w:rPr>
        <w:t>.  Otherwise, consideration should be given to identifying the information or the class of information in respect of which a suppression order should be made prior to or at the time the information is used or tendered as an exhibit in the hearing.</w:t>
      </w:r>
    </w:p>
    <w:p w14:paraId="23069CF8" w14:textId="77777777" w:rsidR="00405CDD" w:rsidRPr="00344143" w:rsidRDefault="00405CDD" w:rsidP="006C6857">
      <w:pPr>
        <w:pStyle w:val="ListParagraph"/>
        <w:spacing w:after="0" w:line="276" w:lineRule="auto"/>
        <w:jc w:val="both"/>
        <w:rPr>
          <w:rFonts w:cstheme="minorHAnsi"/>
          <w:sz w:val="24"/>
          <w:szCs w:val="24"/>
        </w:rPr>
      </w:pPr>
    </w:p>
    <w:p w14:paraId="59F104B0" w14:textId="647BC4CE" w:rsidR="00F97FF8" w:rsidRPr="00F51625" w:rsidRDefault="00F97FF8" w:rsidP="00FA1E87">
      <w:pPr>
        <w:pStyle w:val="ListParagraph"/>
        <w:numPr>
          <w:ilvl w:val="1"/>
          <w:numId w:val="2"/>
        </w:numPr>
        <w:spacing w:line="276" w:lineRule="auto"/>
        <w:jc w:val="both"/>
        <w:rPr>
          <w:rFonts w:cstheme="minorHAnsi"/>
          <w:sz w:val="24"/>
          <w:szCs w:val="24"/>
        </w:rPr>
      </w:pPr>
      <w:r w:rsidRPr="00F51625">
        <w:rPr>
          <w:rFonts w:cstheme="minorHAnsi"/>
          <w:sz w:val="24"/>
          <w:szCs w:val="24"/>
        </w:rPr>
        <w:t xml:space="preserve">Care should be taken to ensure that information of a private or personal nature that is not relevant to the investigation is not sought during examining a witness in a public </w:t>
      </w:r>
      <w:r w:rsidR="00AD58C8" w:rsidRPr="00F51625">
        <w:rPr>
          <w:rFonts w:cstheme="minorHAnsi"/>
          <w:sz w:val="24"/>
          <w:szCs w:val="24"/>
        </w:rPr>
        <w:t>examination</w:t>
      </w:r>
      <w:r w:rsidRPr="00F51625">
        <w:rPr>
          <w:rFonts w:cstheme="minorHAnsi"/>
          <w:sz w:val="24"/>
          <w:szCs w:val="24"/>
        </w:rPr>
        <w:t xml:space="preserve">. If such information is provided by a </w:t>
      </w:r>
      <w:r w:rsidR="007F5BF5" w:rsidRPr="00F51625">
        <w:rPr>
          <w:rFonts w:cstheme="minorHAnsi"/>
          <w:sz w:val="24"/>
          <w:szCs w:val="24"/>
        </w:rPr>
        <w:t>witness,</w:t>
      </w:r>
      <w:r w:rsidRPr="00F51625">
        <w:rPr>
          <w:rFonts w:cstheme="minorHAnsi"/>
          <w:sz w:val="24"/>
          <w:szCs w:val="24"/>
        </w:rPr>
        <w:t xml:space="preserve"> then consideration should be given to the need for an application to be made to the Commissioner for a suppression order under s 154 of the Act.</w:t>
      </w:r>
    </w:p>
    <w:p w14:paraId="32921075" w14:textId="77777777" w:rsidR="00F97FF8" w:rsidRPr="00F51625" w:rsidRDefault="00F97FF8" w:rsidP="00F97FF8">
      <w:pPr>
        <w:pStyle w:val="ListParagraph"/>
        <w:spacing w:after="0" w:line="276" w:lineRule="auto"/>
        <w:ind w:left="709"/>
        <w:jc w:val="both"/>
        <w:rPr>
          <w:rFonts w:cstheme="minorHAnsi"/>
          <w:sz w:val="24"/>
          <w:szCs w:val="24"/>
        </w:rPr>
      </w:pPr>
    </w:p>
    <w:p w14:paraId="1DA22B92" w14:textId="36B3A3B7" w:rsidR="00F97FF8" w:rsidRPr="00F51625" w:rsidRDefault="00F97FF8" w:rsidP="00FA1E87">
      <w:pPr>
        <w:pStyle w:val="ListParagraph"/>
        <w:numPr>
          <w:ilvl w:val="1"/>
          <w:numId w:val="2"/>
        </w:numPr>
        <w:spacing w:line="276" w:lineRule="auto"/>
        <w:jc w:val="both"/>
        <w:rPr>
          <w:rFonts w:cstheme="minorHAnsi"/>
          <w:sz w:val="24"/>
          <w:szCs w:val="24"/>
        </w:rPr>
      </w:pPr>
      <w:r w:rsidRPr="00F51625">
        <w:rPr>
          <w:rFonts w:cstheme="minorHAnsi"/>
          <w:sz w:val="24"/>
          <w:szCs w:val="24"/>
        </w:rPr>
        <w:t xml:space="preserve">In cases where information of a private or personal nature is relevant to the investigation but its disclosure would adversely affect the privacy or reputation of a person who is not the subject of the investigation, consideration </w:t>
      </w:r>
      <w:r w:rsidR="004B4001">
        <w:rPr>
          <w:rFonts w:cstheme="minorHAnsi"/>
          <w:sz w:val="24"/>
          <w:szCs w:val="24"/>
        </w:rPr>
        <w:t>will</w:t>
      </w:r>
      <w:r w:rsidRPr="00F51625">
        <w:rPr>
          <w:rFonts w:cstheme="minorHAnsi"/>
          <w:sz w:val="24"/>
          <w:szCs w:val="24"/>
        </w:rPr>
        <w:t xml:space="preserve"> be given to what measures should be taken to protect the privacy or reputation of that person, including by means of a suppression order under s 154 of the Act or by giving the person a pseudonym.</w:t>
      </w:r>
    </w:p>
    <w:p w14:paraId="0F85AD86" w14:textId="77777777" w:rsidR="00A63EE5" w:rsidRPr="006D13CB" w:rsidRDefault="00A63EE5" w:rsidP="00A63EE5">
      <w:pPr>
        <w:pStyle w:val="ListParagraph"/>
        <w:rPr>
          <w:rFonts w:cstheme="minorHAnsi"/>
          <w:sz w:val="24"/>
          <w:szCs w:val="24"/>
        </w:rPr>
      </w:pPr>
    </w:p>
    <w:p w14:paraId="288E3A09" w14:textId="77777777" w:rsidR="00A63EE5" w:rsidRPr="006D13CB" w:rsidRDefault="00A63EE5" w:rsidP="00A63EE5">
      <w:pPr>
        <w:pStyle w:val="ListParagraph"/>
        <w:rPr>
          <w:rFonts w:cstheme="minorHAnsi"/>
          <w:sz w:val="24"/>
          <w:szCs w:val="24"/>
        </w:rPr>
      </w:pPr>
    </w:p>
    <w:p w14:paraId="5ED6B0EA" w14:textId="07F51AB3" w:rsidR="00F97FF8" w:rsidRPr="006D13CB" w:rsidRDefault="00F97FF8">
      <w:pPr>
        <w:rPr>
          <w:rFonts w:cstheme="minorHAnsi"/>
          <w:w w:val="105"/>
          <w:sz w:val="24"/>
          <w:szCs w:val="24"/>
        </w:rPr>
      </w:pPr>
      <w:r w:rsidRPr="006D13CB">
        <w:rPr>
          <w:rFonts w:cstheme="minorHAnsi"/>
          <w:w w:val="105"/>
          <w:sz w:val="24"/>
          <w:szCs w:val="24"/>
        </w:rPr>
        <w:br w:type="page"/>
      </w:r>
    </w:p>
    <w:p w14:paraId="2835F775" w14:textId="6A5ED663" w:rsidR="004B4001" w:rsidRPr="00876D96" w:rsidRDefault="004B4001" w:rsidP="00A5027C">
      <w:pPr>
        <w:pStyle w:val="Heading1"/>
        <w:numPr>
          <w:ilvl w:val="0"/>
          <w:numId w:val="2"/>
        </w:numPr>
      </w:pPr>
      <w:bookmarkStart w:id="6" w:name="_Toc64037629"/>
      <w:r>
        <w:lastRenderedPageBreak/>
        <w:t>Provision of a video recording and/or transcript</w:t>
      </w:r>
      <w:bookmarkEnd w:id="6"/>
    </w:p>
    <w:p w14:paraId="39630584" w14:textId="77777777" w:rsidR="004B4001" w:rsidRDefault="004B4001" w:rsidP="004B4001"/>
    <w:p w14:paraId="26D773C5" w14:textId="5D15A4CF" w:rsidR="004B4001" w:rsidRDefault="00FA1E87" w:rsidP="004B4001">
      <w:pPr>
        <w:pStyle w:val="OMHeading3"/>
        <w:numPr>
          <w:ilvl w:val="0"/>
          <w:numId w:val="0"/>
        </w:numPr>
        <w:ind w:left="720" w:hanging="720"/>
        <w:jc w:val="both"/>
        <w:rPr>
          <w:b w:val="0"/>
          <w:bCs/>
          <w:sz w:val="24"/>
          <w:szCs w:val="24"/>
        </w:rPr>
      </w:pPr>
      <w:r>
        <w:rPr>
          <w:b w:val="0"/>
          <w:bCs/>
          <w:sz w:val="24"/>
          <w:szCs w:val="24"/>
        </w:rPr>
        <w:t>6</w:t>
      </w:r>
      <w:r w:rsidR="004B4001" w:rsidRPr="00876D96">
        <w:rPr>
          <w:b w:val="0"/>
          <w:bCs/>
          <w:sz w:val="24"/>
          <w:szCs w:val="24"/>
        </w:rPr>
        <w:t>.1</w:t>
      </w:r>
      <w:r w:rsidR="004B4001" w:rsidRPr="00876D96">
        <w:rPr>
          <w:b w:val="0"/>
          <w:bCs/>
          <w:sz w:val="24"/>
          <w:szCs w:val="24"/>
        </w:rPr>
        <w:tab/>
        <w:t xml:space="preserve">If a person attends the Commission for an examination in accordance with an examination summons, the Commission must ensure </w:t>
      </w:r>
      <w:r w:rsidR="004B4001">
        <w:rPr>
          <w:b w:val="0"/>
          <w:bCs/>
          <w:sz w:val="24"/>
          <w:szCs w:val="24"/>
        </w:rPr>
        <w:t>that the person’s attendance is video recorded.</w:t>
      </w:r>
      <w:r w:rsidR="004B4001">
        <w:rPr>
          <w:rStyle w:val="FootnoteReference"/>
          <w:b w:val="0"/>
          <w:bCs/>
          <w:sz w:val="24"/>
          <w:szCs w:val="24"/>
        </w:rPr>
        <w:footnoteReference w:id="16"/>
      </w:r>
      <w:r w:rsidR="004B4001">
        <w:rPr>
          <w:b w:val="0"/>
          <w:bCs/>
          <w:sz w:val="24"/>
          <w:szCs w:val="24"/>
        </w:rPr>
        <w:t xml:space="preserve"> </w:t>
      </w:r>
    </w:p>
    <w:p w14:paraId="328105BD" w14:textId="77777777" w:rsidR="004B4001" w:rsidRDefault="004B4001" w:rsidP="004B4001">
      <w:pPr>
        <w:pStyle w:val="OMHeading3"/>
        <w:numPr>
          <w:ilvl w:val="0"/>
          <w:numId w:val="0"/>
        </w:numPr>
        <w:ind w:left="720" w:hanging="720"/>
        <w:jc w:val="both"/>
        <w:rPr>
          <w:b w:val="0"/>
          <w:bCs/>
          <w:sz w:val="24"/>
          <w:szCs w:val="24"/>
        </w:rPr>
      </w:pPr>
    </w:p>
    <w:p w14:paraId="1AC5EDD7" w14:textId="6B605ED3" w:rsidR="004B4001" w:rsidRDefault="00FA1E87" w:rsidP="004B4001">
      <w:pPr>
        <w:pStyle w:val="OMHeading3"/>
        <w:numPr>
          <w:ilvl w:val="0"/>
          <w:numId w:val="0"/>
        </w:numPr>
        <w:ind w:left="720" w:hanging="720"/>
        <w:jc w:val="both"/>
        <w:rPr>
          <w:b w:val="0"/>
          <w:bCs/>
          <w:sz w:val="24"/>
          <w:szCs w:val="24"/>
        </w:rPr>
      </w:pPr>
      <w:r>
        <w:rPr>
          <w:b w:val="0"/>
          <w:bCs/>
          <w:sz w:val="24"/>
          <w:szCs w:val="24"/>
        </w:rPr>
        <w:t>6</w:t>
      </w:r>
      <w:r w:rsidR="004B4001" w:rsidRPr="00876D96">
        <w:rPr>
          <w:b w:val="0"/>
          <w:bCs/>
          <w:sz w:val="24"/>
          <w:szCs w:val="24"/>
        </w:rPr>
        <w:t>.2</w:t>
      </w:r>
      <w:r w:rsidR="004B4001" w:rsidRPr="00876D96">
        <w:rPr>
          <w:b w:val="0"/>
          <w:bCs/>
          <w:sz w:val="24"/>
          <w:szCs w:val="24"/>
        </w:rPr>
        <w:tab/>
      </w:r>
      <w:r w:rsidR="004B4001">
        <w:rPr>
          <w:b w:val="0"/>
          <w:bCs/>
          <w:sz w:val="24"/>
          <w:szCs w:val="24"/>
        </w:rPr>
        <w:t xml:space="preserve">Under s 158(2), </w:t>
      </w:r>
      <w:r w:rsidR="004B4001" w:rsidRPr="00876D96">
        <w:rPr>
          <w:b w:val="0"/>
          <w:bCs/>
          <w:sz w:val="24"/>
          <w:szCs w:val="24"/>
        </w:rPr>
        <w:t xml:space="preserve">the person is </w:t>
      </w:r>
      <w:r w:rsidR="004B4001">
        <w:rPr>
          <w:b w:val="0"/>
          <w:bCs/>
          <w:sz w:val="24"/>
          <w:szCs w:val="24"/>
        </w:rPr>
        <w:t xml:space="preserve">to be </w:t>
      </w:r>
      <w:r w:rsidR="004B4001" w:rsidRPr="00876D96">
        <w:rPr>
          <w:b w:val="0"/>
          <w:bCs/>
          <w:sz w:val="24"/>
          <w:szCs w:val="24"/>
        </w:rPr>
        <w:t xml:space="preserve">provided with a copy of the video recording of the </w:t>
      </w:r>
      <w:r w:rsidR="004B4001">
        <w:rPr>
          <w:b w:val="0"/>
          <w:bCs/>
          <w:sz w:val="24"/>
          <w:szCs w:val="24"/>
        </w:rPr>
        <w:t>their</w:t>
      </w:r>
      <w:r w:rsidR="004B4001" w:rsidRPr="00876D96">
        <w:rPr>
          <w:b w:val="0"/>
          <w:bCs/>
          <w:sz w:val="24"/>
          <w:szCs w:val="24"/>
        </w:rPr>
        <w:t xml:space="preserve"> evidence,</w:t>
      </w:r>
      <w:r w:rsidR="004B4001" w:rsidRPr="00876D96">
        <w:rPr>
          <w:rStyle w:val="FootnoteReference"/>
          <w:b w:val="0"/>
          <w:bCs/>
          <w:sz w:val="24"/>
          <w:szCs w:val="24"/>
        </w:rPr>
        <w:footnoteReference w:id="17"/>
      </w:r>
      <w:r w:rsidR="004B4001" w:rsidRPr="00876D96">
        <w:rPr>
          <w:b w:val="0"/>
          <w:bCs/>
          <w:sz w:val="24"/>
          <w:szCs w:val="24"/>
        </w:rPr>
        <w:t xml:space="preserve"> and any transcript created of </w:t>
      </w:r>
      <w:r w:rsidR="004B4001">
        <w:rPr>
          <w:b w:val="0"/>
          <w:bCs/>
          <w:sz w:val="24"/>
          <w:szCs w:val="24"/>
        </w:rPr>
        <w:t>it</w:t>
      </w:r>
      <w:r w:rsidR="004B4001" w:rsidRPr="00876D96">
        <w:rPr>
          <w:b w:val="0"/>
          <w:bCs/>
          <w:sz w:val="24"/>
          <w:szCs w:val="24"/>
        </w:rPr>
        <w:t>.</w:t>
      </w:r>
      <w:r w:rsidR="004B4001" w:rsidRPr="00876D96">
        <w:rPr>
          <w:rStyle w:val="FootnoteReference"/>
          <w:b w:val="0"/>
          <w:bCs/>
          <w:sz w:val="24"/>
          <w:szCs w:val="24"/>
        </w:rPr>
        <w:footnoteReference w:id="18"/>
      </w:r>
      <w:r w:rsidR="004B4001" w:rsidRPr="00876D96">
        <w:rPr>
          <w:b w:val="0"/>
          <w:bCs/>
          <w:sz w:val="24"/>
          <w:szCs w:val="24"/>
        </w:rPr>
        <w:t xml:space="preserve">  </w:t>
      </w:r>
      <w:r w:rsidR="004B4001">
        <w:rPr>
          <w:b w:val="0"/>
          <w:bCs/>
          <w:sz w:val="24"/>
          <w:szCs w:val="24"/>
        </w:rPr>
        <w:t>However, the Commission will not provide a copy of that video recording/transcript where the Commission</w:t>
      </w:r>
      <w:r w:rsidR="002D3FEA">
        <w:rPr>
          <w:b w:val="0"/>
          <w:bCs/>
          <w:sz w:val="24"/>
          <w:szCs w:val="24"/>
        </w:rPr>
        <w:t>er</w:t>
      </w:r>
      <w:r w:rsidR="004B4001">
        <w:rPr>
          <w:b w:val="0"/>
          <w:bCs/>
          <w:sz w:val="24"/>
          <w:szCs w:val="24"/>
        </w:rPr>
        <w:t xml:space="preserve"> </w:t>
      </w:r>
      <w:r w:rsidR="004B4001" w:rsidRPr="00BF0997">
        <w:rPr>
          <w:b w:val="0"/>
          <w:sz w:val="24"/>
          <w:szCs w:val="24"/>
        </w:rPr>
        <w:t>considers on reasonable grounds that doing so may prejudice an investigation.</w:t>
      </w:r>
      <w:r w:rsidR="004B4001">
        <w:rPr>
          <w:rStyle w:val="FootnoteReference"/>
          <w:b w:val="0"/>
          <w:sz w:val="24"/>
          <w:szCs w:val="24"/>
        </w:rPr>
        <w:footnoteReference w:id="19"/>
      </w:r>
      <w:r w:rsidR="004B4001" w:rsidRPr="00BF0997">
        <w:rPr>
          <w:b w:val="0"/>
          <w:sz w:val="24"/>
          <w:szCs w:val="24"/>
        </w:rPr>
        <w:t xml:space="preserve">  </w:t>
      </w:r>
      <w:r w:rsidR="004B4001">
        <w:rPr>
          <w:b w:val="0"/>
          <w:sz w:val="24"/>
          <w:szCs w:val="24"/>
        </w:rPr>
        <w:t>The provision of any copy of a person’s evidence may also be covered by a confidentiality notice that restricts the use that may be made of the video/transcript.</w:t>
      </w:r>
    </w:p>
    <w:p w14:paraId="36422434" w14:textId="77777777" w:rsidR="004B4001" w:rsidRDefault="004B4001" w:rsidP="004B4001">
      <w:pPr>
        <w:pStyle w:val="OMHeading3"/>
        <w:numPr>
          <w:ilvl w:val="0"/>
          <w:numId w:val="0"/>
        </w:numPr>
        <w:jc w:val="both"/>
        <w:rPr>
          <w:b w:val="0"/>
          <w:bCs/>
          <w:sz w:val="24"/>
          <w:szCs w:val="24"/>
        </w:rPr>
      </w:pPr>
    </w:p>
    <w:p w14:paraId="2273A33A" w14:textId="2EE702E4" w:rsidR="004B4001" w:rsidRDefault="00FA1E87" w:rsidP="004B4001">
      <w:pPr>
        <w:pStyle w:val="OMHeading3"/>
        <w:numPr>
          <w:ilvl w:val="0"/>
          <w:numId w:val="0"/>
        </w:numPr>
        <w:ind w:left="720" w:hanging="720"/>
        <w:jc w:val="both"/>
        <w:rPr>
          <w:b w:val="0"/>
          <w:bCs/>
          <w:sz w:val="24"/>
          <w:szCs w:val="24"/>
        </w:rPr>
      </w:pPr>
      <w:r>
        <w:rPr>
          <w:b w:val="0"/>
          <w:bCs/>
          <w:sz w:val="24"/>
          <w:szCs w:val="24"/>
        </w:rPr>
        <w:t>6</w:t>
      </w:r>
      <w:r w:rsidR="004B4001">
        <w:rPr>
          <w:b w:val="0"/>
          <w:bCs/>
          <w:sz w:val="24"/>
          <w:szCs w:val="24"/>
        </w:rPr>
        <w:t>.3</w:t>
      </w:r>
      <w:r w:rsidR="004B4001">
        <w:rPr>
          <w:b w:val="0"/>
          <w:bCs/>
          <w:sz w:val="24"/>
          <w:szCs w:val="24"/>
        </w:rPr>
        <w:tab/>
        <w:t>Transcripts for public hearings will be published on the Commission’s website as soon as practicable.</w:t>
      </w:r>
    </w:p>
    <w:p w14:paraId="3C2CF036" w14:textId="77777777" w:rsidR="002D3FEA" w:rsidRPr="006D13CB" w:rsidRDefault="002D3FEA" w:rsidP="002D3FEA">
      <w:pPr>
        <w:pStyle w:val="ListParagraph"/>
        <w:rPr>
          <w:rFonts w:cstheme="minorHAnsi"/>
          <w:sz w:val="24"/>
          <w:szCs w:val="24"/>
        </w:rPr>
      </w:pPr>
    </w:p>
    <w:p w14:paraId="230810AD" w14:textId="77777777" w:rsidR="002D3FEA" w:rsidRPr="006D13CB" w:rsidRDefault="002D3FEA" w:rsidP="002D3FEA">
      <w:pPr>
        <w:rPr>
          <w:rFonts w:cstheme="minorHAnsi"/>
          <w:w w:val="105"/>
          <w:sz w:val="24"/>
          <w:szCs w:val="24"/>
        </w:rPr>
      </w:pPr>
      <w:r w:rsidRPr="006D13CB">
        <w:rPr>
          <w:rFonts w:cstheme="minorHAnsi"/>
          <w:w w:val="105"/>
          <w:sz w:val="24"/>
          <w:szCs w:val="24"/>
        </w:rPr>
        <w:br w:type="page"/>
      </w:r>
    </w:p>
    <w:p w14:paraId="62ED992B" w14:textId="55E1B58F" w:rsidR="00405CDD" w:rsidRPr="00405CDD" w:rsidRDefault="006D2171" w:rsidP="00AE0FCC">
      <w:pPr>
        <w:pStyle w:val="Heading1"/>
        <w:numPr>
          <w:ilvl w:val="0"/>
          <w:numId w:val="2"/>
        </w:numPr>
        <w:rPr>
          <w:w w:val="105"/>
        </w:rPr>
      </w:pPr>
      <w:bookmarkStart w:id="7" w:name="_Toc64037630"/>
      <w:r>
        <w:rPr>
          <w:w w:val="105"/>
        </w:rPr>
        <w:lastRenderedPageBreak/>
        <w:t xml:space="preserve">Claims of </w:t>
      </w:r>
      <w:r w:rsidR="00405CDD" w:rsidRPr="00405CDD">
        <w:rPr>
          <w:w w:val="105"/>
        </w:rPr>
        <w:t>Privilege</w:t>
      </w:r>
      <w:bookmarkEnd w:id="7"/>
    </w:p>
    <w:p w14:paraId="145FF75A" w14:textId="40A0EB8C" w:rsidR="00405CDD" w:rsidRPr="00EC1001" w:rsidRDefault="00405CDD" w:rsidP="006C6857">
      <w:pPr>
        <w:tabs>
          <w:tab w:val="left" w:pos="1324"/>
          <w:tab w:val="left" w:pos="1325"/>
        </w:tabs>
        <w:spacing w:before="1" w:line="276" w:lineRule="auto"/>
        <w:ind w:right="166"/>
        <w:jc w:val="both"/>
        <w:rPr>
          <w:rFonts w:cstheme="minorHAnsi"/>
          <w:w w:val="105"/>
          <w:sz w:val="24"/>
          <w:szCs w:val="24"/>
        </w:rPr>
      </w:pPr>
    </w:p>
    <w:p w14:paraId="7B9ED179" w14:textId="0F19E1B1" w:rsidR="00405CDD" w:rsidRPr="00EC1001" w:rsidRDefault="002D3FEA" w:rsidP="00F97FF8">
      <w:pPr>
        <w:spacing w:after="0" w:line="276" w:lineRule="auto"/>
        <w:ind w:left="720" w:hanging="720"/>
        <w:jc w:val="both"/>
        <w:rPr>
          <w:rFonts w:cstheme="minorHAnsi"/>
          <w:sz w:val="24"/>
          <w:szCs w:val="24"/>
        </w:rPr>
      </w:pPr>
      <w:r>
        <w:rPr>
          <w:rFonts w:cstheme="minorHAnsi"/>
          <w:sz w:val="24"/>
          <w:szCs w:val="24"/>
        </w:rPr>
        <w:t>7</w:t>
      </w:r>
      <w:r w:rsidR="00F97FF8" w:rsidRPr="00EC1001">
        <w:rPr>
          <w:rFonts w:cstheme="minorHAnsi"/>
          <w:sz w:val="24"/>
          <w:szCs w:val="24"/>
        </w:rPr>
        <w:t>.1</w:t>
      </w:r>
      <w:r w:rsidR="00F97FF8" w:rsidRPr="00EC1001">
        <w:rPr>
          <w:rFonts w:cstheme="minorHAnsi"/>
          <w:sz w:val="24"/>
          <w:szCs w:val="24"/>
        </w:rPr>
        <w:tab/>
      </w:r>
      <w:r w:rsidR="00405CDD" w:rsidRPr="00EC1001">
        <w:rPr>
          <w:rFonts w:cstheme="minorHAnsi"/>
          <w:sz w:val="24"/>
          <w:szCs w:val="24"/>
        </w:rPr>
        <w:t xml:space="preserve">If a witness is required to give evidence or produce a document or thing under a s 147 examination summons, the witness is not able to rely upon the privilege against self-incrimination or </w:t>
      </w:r>
      <w:r w:rsidR="00F97FF8" w:rsidRPr="00EC1001">
        <w:rPr>
          <w:rFonts w:cstheme="minorHAnsi"/>
          <w:sz w:val="24"/>
          <w:szCs w:val="24"/>
        </w:rPr>
        <w:t xml:space="preserve">the privilege against </w:t>
      </w:r>
      <w:r w:rsidR="00405CDD" w:rsidRPr="00EC1001">
        <w:rPr>
          <w:rFonts w:cstheme="minorHAnsi"/>
          <w:sz w:val="24"/>
          <w:szCs w:val="24"/>
        </w:rPr>
        <w:t>exposure to the imposition of a civil penalty.</w:t>
      </w:r>
      <w:r w:rsidR="00405CDD" w:rsidRPr="00EC1001">
        <w:rPr>
          <w:rStyle w:val="FootnoteReference"/>
          <w:rFonts w:cstheme="minorHAnsi"/>
          <w:sz w:val="24"/>
          <w:szCs w:val="24"/>
        </w:rPr>
        <w:footnoteReference w:id="20"/>
      </w:r>
      <w:r w:rsidR="00405CDD" w:rsidRPr="00EC1001">
        <w:rPr>
          <w:rFonts w:cstheme="minorHAnsi"/>
          <w:sz w:val="24"/>
          <w:szCs w:val="24"/>
        </w:rPr>
        <w:t xml:space="preserve">  The claims of privilege available to witness</w:t>
      </w:r>
      <w:r w:rsidR="00F97FF8" w:rsidRPr="00EC1001">
        <w:rPr>
          <w:rFonts w:cstheme="minorHAnsi"/>
          <w:sz w:val="24"/>
          <w:szCs w:val="24"/>
        </w:rPr>
        <w:t>es</w:t>
      </w:r>
      <w:r w:rsidR="00405CDD" w:rsidRPr="00EC1001">
        <w:rPr>
          <w:rFonts w:cstheme="minorHAnsi"/>
          <w:sz w:val="24"/>
          <w:szCs w:val="24"/>
        </w:rPr>
        <w:t xml:space="preserve"> are: </w:t>
      </w:r>
    </w:p>
    <w:p w14:paraId="16D7068C" w14:textId="77777777" w:rsidR="00405CDD" w:rsidRPr="00EC1001" w:rsidRDefault="00405CDD" w:rsidP="006C6857">
      <w:pPr>
        <w:pStyle w:val="ListParagraph"/>
        <w:spacing w:after="0" w:line="276" w:lineRule="auto"/>
        <w:ind w:left="426"/>
        <w:jc w:val="both"/>
        <w:rPr>
          <w:rFonts w:cstheme="minorHAnsi"/>
          <w:sz w:val="24"/>
          <w:szCs w:val="24"/>
        </w:rPr>
      </w:pPr>
    </w:p>
    <w:p w14:paraId="5222D870" w14:textId="77777777" w:rsidR="00405CDD" w:rsidRPr="00EC1001" w:rsidRDefault="00405CDD" w:rsidP="006C6857">
      <w:pPr>
        <w:pStyle w:val="ListParagraph"/>
        <w:numPr>
          <w:ilvl w:val="0"/>
          <w:numId w:val="19"/>
        </w:numPr>
        <w:spacing w:after="0" w:line="276" w:lineRule="auto"/>
        <w:jc w:val="both"/>
        <w:rPr>
          <w:rFonts w:cstheme="minorHAnsi"/>
          <w:sz w:val="24"/>
          <w:szCs w:val="24"/>
        </w:rPr>
      </w:pPr>
      <w:r w:rsidRPr="00EC1001">
        <w:rPr>
          <w:rFonts w:cstheme="minorHAnsi"/>
          <w:sz w:val="24"/>
          <w:szCs w:val="24"/>
        </w:rPr>
        <w:t>client legal privilege (legal professional privilege);</w:t>
      </w:r>
    </w:p>
    <w:p w14:paraId="1DD627A4" w14:textId="77777777" w:rsidR="00405CDD" w:rsidRPr="00EC1001" w:rsidRDefault="00405CDD" w:rsidP="006C6857">
      <w:pPr>
        <w:pStyle w:val="ListParagraph"/>
        <w:numPr>
          <w:ilvl w:val="0"/>
          <w:numId w:val="19"/>
        </w:numPr>
        <w:spacing w:after="0" w:line="276" w:lineRule="auto"/>
        <w:jc w:val="both"/>
        <w:rPr>
          <w:rFonts w:cstheme="minorHAnsi"/>
          <w:sz w:val="24"/>
          <w:szCs w:val="24"/>
        </w:rPr>
      </w:pPr>
      <w:r w:rsidRPr="00EC1001">
        <w:rPr>
          <w:rFonts w:cstheme="minorHAnsi"/>
          <w:sz w:val="24"/>
          <w:szCs w:val="24"/>
        </w:rPr>
        <w:t>professional confidential relationship privilege;</w:t>
      </w:r>
    </w:p>
    <w:p w14:paraId="3BBB8815" w14:textId="77777777" w:rsidR="00405CDD" w:rsidRPr="00EC1001" w:rsidRDefault="00405CDD" w:rsidP="006C6857">
      <w:pPr>
        <w:pStyle w:val="ListParagraph"/>
        <w:numPr>
          <w:ilvl w:val="0"/>
          <w:numId w:val="19"/>
        </w:numPr>
        <w:spacing w:after="0" w:line="276" w:lineRule="auto"/>
        <w:jc w:val="both"/>
        <w:rPr>
          <w:rFonts w:cstheme="minorHAnsi"/>
          <w:sz w:val="24"/>
          <w:szCs w:val="24"/>
        </w:rPr>
      </w:pPr>
      <w:r w:rsidRPr="00EC1001">
        <w:rPr>
          <w:rFonts w:cstheme="minorHAnsi"/>
          <w:sz w:val="24"/>
          <w:szCs w:val="24"/>
        </w:rPr>
        <w:t>journalist privilege;</w:t>
      </w:r>
    </w:p>
    <w:p w14:paraId="24606EBD" w14:textId="14B256C1" w:rsidR="00405CDD" w:rsidRPr="00EC1001" w:rsidRDefault="00405CDD" w:rsidP="006C6857">
      <w:pPr>
        <w:pStyle w:val="ListParagraph"/>
        <w:numPr>
          <w:ilvl w:val="0"/>
          <w:numId w:val="19"/>
        </w:numPr>
        <w:spacing w:after="0" w:line="276" w:lineRule="auto"/>
        <w:jc w:val="both"/>
        <w:rPr>
          <w:rFonts w:cstheme="minorHAnsi"/>
          <w:sz w:val="24"/>
          <w:szCs w:val="24"/>
        </w:rPr>
      </w:pPr>
      <w:r w:rsidRPr="00EC1001">
        <w:rPr>
          <w:rFonts w:cstheme="minorHAnsi"/>
          <w:sz w:val="24"/>
          <w:szCs w:val="24"/>
        </w:rPr>
        <w:t>religious confession;</w:t>
      </w:r>
      <w:r w:rsidR="00344143">
        <w:rPr>
          <w:rFonts w:cstheme="minorHAnsi"/>
          <w:sz w:val="24"/>
          <w:szCs w:val="24"/>
        </w:rPr>
        <w:t xml:space="preserve"> and</w:t>
      </w:r>
    </w:p>
    <w:p w14:paraId="22850BB9" w14:textId="77777777" w:rsidR="00405CDD" w:rsidRPr="00EC1001" w:rsidRDefault="00405CDD" w:rsidP="006C6857">
      <w:pPr>
        <w:pStyle w:val="ListParagraph"/>
        <w:numPr>
          <w:ilvl w:val="0"/>
          <w:numId w:val="19"/>
        </w:numPr>
        <w:spacing w:after="0" w:line="276" w:lineRule="auto"/>
        <w:jc w:val="both"/>
        <w:rPr>
          <w:rFonts w:cstheme="minorHAnsi"/>
          <w:sz w:val="24"/>
          <w:szCs w:val="24"/>
        </w:rPr>
      </w:pPr>
      <w:r w:rsidRPr="00EC1001">
        <w:rPr>
          <w:rFonts w:cstheme="minorHAnsi"/>
          <w:sz w:val="24"/>
          <w:szCs w:val="24"/>
        </w:rPr>
        <w:t>public interest immunity – such as matters of state.</w:t>
      </w:r>
      <w:r w:rsidRPr="00EC1001">
        <w:rPr>
          <w:rStyle w:val="FootnoteReference"/>
          <w:rFonts w:cstheme="minorHAnsi"/>
          <w:sz w:val="24"/>
          <w:szCs w:val="24"/>
        </w:rPr>
        <w:footnoteReference w:id="21"/>
      </w:r>
    </w:p>
    <w:p w14:paraId="651F817C" w14:textId="77777777" w:rsidR="00405CDD" w:rsidRPr="00EC1001" w:rsidRDefault="00405CDD" w:rsidP="006C6857">
      <w:pPr>
        <w:pStyle w:val="ListParagraph"/>
        <w:spacing w:after="0" w:line="276" w:lineRule="auto"/>
        <w:ind w:left="426"/>
        <w:jc w:val="both"/>
        <w:rPr>
          <w:rFonts w:cstheme="minorHAnsi"/>
          <w:sz w:val="24"/>
          <w:szCs w:val="24"/>
        </w:rPr>
      </w:pPr>
    </w:p>
    <w:p w14:paraId="1E1E34A1" w14:textId="5D804F47" w:rsidR="007F5BF5" w:rsidRDefault="002D3FEA" w:rsidP="007F5BF5">
      <w:pPr>
        <w:spacing w:after="0" w:line="276" w:lineRule="auto"/>
        <w:ind w:left="720" w:hanging="720"/>
        <w:jc w:val="both"/>
        <w:rPr>
          <w:rFonts w:cstheme="minorHAnsi"/>
          <w:sz w:val="24"/>
          <w:szCs w:val="24"/>
        </w:rPr>
      </w:pPr>
      <w:r>
        <w:rPr>
          <w:rFonts w:cstheme="minorHAnsi"/>
          <w:sz w:val="24"/>
          <w:szCs w:val="24"/>
        </w:rPr>
        <w:t>7.2</w:t>
      </w:r>
      <w:r w:rsidR="00F97FF8" w:rsidRPr="00EC1001">
        <w:rPr>
          <w:rFonts w:cstheme="minorHAnsi"/>
          <w:sz w:val="24"/>
          <w:szCs w:val="24"/>
        </w:rPr>
        <w:tab/>
      </w:r>
      <w:r w:rsidR="00405CDD" w:rsidRPr="00EC1001">
        <w:rPr>
          <w:rFonts w:cstheme="minorHAnsi"/>
          <w:sz w:val="24"/>
          <w:szCs w:val="24"/>
        </w:rPr>
        <w:t xml:space="preserve">If a claim of privilege is made, the witness must still attend the Commission for the </w:t>
      </w:r>
      <w:r w:rsidR="00E0246B">
        <w:rPr>
          <w:rFonts w:cstheme="minorHAnsi"/>
          <w:sz w:val="24"/>
          <w:szCs w:val="24"/>
        </w:rPr>
        <w:t>examination</w:t>
      </w:r>
      <w:r w:rsidR="00405CDD" w:rsidRPr="00EC1001">
        <w:rPr>
          <w:rFonts w:cstheme="minorHAnsi"/>
          <w:sz w:val="24"/>
          <w:szCs w:val="24"/>
        </w:rPr>
        <w:t xml:space="preserve"> or to produce the document or other thing.</w:t>
      </w:r>
      <w:r w:rsidR="00405CDD" w:rsidRPr="00EC1001">
        <w:rPr>
          <w:rStyle w:val="FootnoteReference"/>
          <w:rFonts w:cstheme="minorHAnsi"/>
          <w:sz w:val="24"/>
          <w:szCs w:val="24"/>
        </w:rPr>
        <w:footnoteReference w:id="22"/>
      </w:r>
      <w:r w:rsidR="00405CDD" w:rsidRPr="00EC1001">
        <w:rPr>
          <w:rFonts w:cstheme="minorHAnsi"/>
          <w:sz w:val="24"/>
          <w:szCs w:val="24"/>
        </w:rPr>
        <w:t xml:space="preserve">  The Commissioner will consider the claim of privilege and either withdraw, or refuse to withdraw, the requirement to answer the question, provide the information or produce the document or other thing.  If considering a claim that relates to a document or other thing, the Commissioner </w:t>
      </w:r>
      <w:r>
        <w:rPr>
          <w:rFonts w:cstheme="minorHAnsi"/>
          <w:sz w:val="24"/>
          <w:szCs w:val="24"/>
        </w:rPr>
        <w:t>does</w:t>
      </w:r>
      <w:r w:rsidR="00405CDD" w:rsidRPr="00EC1001">
        <w:rPr>
          <w:rFonts w:cstheme="minorHAnsi"/>
          <w:sz w:val="24"/>
          <w:szCs w:val="24"/>
        </w:rPr>
        <w:t xml:space="preserve"> </w:t>
      </w:r>
      <w:r w:rsidR="00405CDD" w:rsidRPr="00F51625">
        <w:rPr>
          <w:rFonts w:cstheme="minorHAnsi"/>
          <w:b/>
          <w:bCs/>
          <w:sz w:val="24"/>
          <w:szCs w:val="24"/>
        </w:rPr>
        <w:t>not</w:t>
      </w:r>
      <w:r w:rsidR="00405CDD" w:rsidRPr="00EC1001">
        <w:rPr>
          <w:rFonts w:cstheme="minorHAnsi"/>
          <w:sz w:val="24"/>
          <w:szCs w:val="24"/>
        </w:rPr>
        <w:t xml:space="preserve"> inspect the document or other thing.</w:t>
      </w:r>
      <w:r w:rsidR="00405CDD" w:rsidRPr="00EC1001">
        <w:rPr>
          <w:rStyle w:val="FootnoteReference"/>
          <w:rFonts w:cstheme="minorHAnsi"/>
          <w:sz w:val="24"/>
          <w:szCs w:val="24"/>
        </w:rPr>
        <w:footnoteReference w:id="23"/>
      </w:r>
      <w:r w:rsidR="00405CDD" w:rsidRPr="00EC1001">
        <w:rPr>
          <w:rFonts w:cstheme="minorHAnsi"/>
          <w:sz w:val="24"/>
          <w:szCs w:val="24"/>
        </w:rPr>
        <w:t xml:space="preserve">  </w:t>
      </w:r>
    </w:p>
    <w:p w14:paraId="2FF06E85" w14:textId="77777777" w:rsidR="007F5BF5" w:rsidRDefault="007F5BF5" w:rsidP="007F5BF5">
      <w:pPr>
        <w:spacing w:after="0" w:line="276" w:lineRule="auto"/>
        <w:ind w:left="720" w:hanging="720"/>
        <w:jc w:val="both"/>
        <w:rPr>
          <w:rFonts w:cstheme="minorHAnsi"/>
          <w:sz w:val="24"/>
          <w:szCs w:val="24"/>
        </w:rPr>
      </w:pPr>
    </w:p>
    <w:p w14:paraId="4AE56730" w14:textId="5B05A29D" w:rsidR="00A63EE5" w:rsidRPr="00EC1001" w:rsidRDefault="002D3FEA" w:rsidP="007F5BF5">
      <w:pPr>
        <w:spacing w:after="0" w:line="276" w:lineRule="auto"/>
        <w:ind w:left="720" w:hanging="720"/>
        <w:jc w:val="both"/>
        <w:rPr>
          <w:rFonts w:cstheme="minorHAnsi"/>
          <w:sz w:val="24"/>
          <w:szCs w:val="24"/>
        </w:rPr>
      </w:pPr>
      <w:r>
        <w:rPr>
          <w:rFonts w:cstheme="minorHAnsi"/>
          <w:sz w:val="24"/>
          <w:szCs w:val="24"/>
        </w:rPr>
        <w:t>7</w:t>
      </w:r>
      <w:r w:rsidR="007F5BF5">
        <w:rPr>
          <w:rFonts w:cstheme="minorHAnsi"/>
          <w:sz w:val="24"/>
          <w:szCs w:val="24"/>
        </w:rPr>
        <w:t>.3</w:t>
      </w:r>
      <w:r w:rsidR="007F5BF5">
        <w:rPr>
          <w:rFonts w:cstheme="minorHAnsi"/>
          <w:sz w:val="24"/>
          <w:szCs w:val="24"/>
        </w:rPr>
        <w:tab/>
      </w:r>
      <w:r w:rsidR="00405CDD" w:rsidRPr="00EC1001">
        <w:rPr>
          <w:rFonts w:cstheme="minorHAnsi"/>
          <w:sz w:val="24"/>
          <w:szCs w:val="24"/>
        </w:rPr>
        <w:t>If the Commission</w:t>
      </w:r>
      <w:r>
        <w:rPr>
          <w:rFonts w:cstheme="minorHAnsi"/>
          <w:sz w:val="24"/>
          <w:szCs w:val="24"/>
        </w:rPr>
        <w:t>er</w:t>
      </w:r>
      <w:r w:rsidR="00405CDD" w:rsidRPr="00EC1001">
        <w:rPr>
          <w:rFonts w:cstheme="minorHAnsi"/>
          <w:sz w:val="24"/>
          <w:szCs w:val="24"/>
        </w:rPr>
        <w:t xml:space="preserve"> refuses to withdraw the requirement</w:t>
      </w:r>
      <w:r w:rsidR="00A10572">
        <w:rPr>
          <w:rFonts w:cstheme="minorHAnsi"/>
          <w:sz w:val="24"/>
          <w:szCs w:val="24"/>
        </w:rPr>
        <w:t xml:space="preserve"> to produce the document or thing</w:t>
      </w:r>
      <w:r w:rsidR="00405CDD" w:rsidRPr="00EC1001">
        <w:rPr>
          <w:rFonts w:cstheme="minorHAnsi"/>
          <w:sz w:val="24"/>
          <w:szCs w:val="24"/>
        </w:rPr>
        <w:t xml:space="preserve">, and the claim of privilege is maintained, the claimant </w:t>
      </w:r>
      <w:r>
        <w:rPr>
          <w:rFonts w:cstheme="minorHAnsi"/>
          <w:sz w:val="24"/>
          <w:szCs w:val="24"/>
        </w:rPr>
        <w:t>must</w:t>
      </w:r>
      <w:r w:rsidR="00405CDD" w:rsidRPr="00EC1001">
        <w:rPr>
          <w:rFonts w:cstheme="minorHAnsi"/>
          <w:sz w:val="24"/>
          <w:szCs w:val="24"/>
        </w:rPr>
        <w:t xml:space="preserve"> immediately seal the document or other thing (for example, in an envelope)</w:t>
      </w:r>
      <w:r>
        <w:rPr>
          <w:rFonts w:cstheme="minorHAnsi"/>
          <w:sz w:val="24"/>
          <w:szCs w:val="24"/>
        </w:rPr>
        <w:t xml:space="preserve"> and give it to the Commission.</w:t>
      </w:r>
      <w:r w:rsidR="00405CDD" w:rsidRPr="00EC1001">
        <w:rPr>
          <w:rStyle w:val="FootnoteReference"/>
          <w:rFonts w:cstheme="minorHAnsi"/>
          <w:sz w:val="24"/>
          <w:szCs w:val="24"/>
        </w:rPr>
        <w:footnoteReference w:id="24"/>
      </w:r>
      <w:r w:rsidR="00405CDD" w:rsidRPr="00EC1001">
        <w:rPr>
          <w:rFonts w:cstheme="minorHAnsi"/>
          <w:sz w:val="24"/>
          <w:szCs w:val="24"/>
        </w:rPr>
        <w:t xml:space="preserve"> </w:t>
      </w:r>
      <w:r>
        <w:rPr>
          <w:rFonts w:cstheme="minorHAnsi"/>
          <w:sz w:val="24"/>
          <w:szCs w:val="24"/>
        </w:rPr>
        <w:t>T</w:t>
      </w:r>
      <w:r w:rsidR="00405CDD" w:rsidRPr="00EC1001">
        <w:rPr>
          <w:rFonts w:cstheme="minorHAnsi"/>
          <w:sz w:val="24"/>
          <w:szCs w:val="24"/>
        </w:rPr>
        <w:t>he Commission must give the secured document to the Registrar of the Supreme Court to be held in safe custody.</w:t>
      </w:r>
      <w:r w:rsidR="00405CDD" w:rsidRPr="00EC1001">
        <w:rPr>
          <w:rStyle w:val="FootnoteReference"/>
          <w:rFonts w:cstheme="minorHAnsi"/>
          <w:sz w:val="24"/>
          <w:szCs w:val="24"/>
        </w:rPr>
        <w:footnoteReference w:id="25"/>
      </w:r>
      <w:r w:rsidR="00405CDD" w:rsidRPr="00EC1001">
        <w:rPr>
          <w:rFonts w:cstheme="minorHAnsi"/>
          <w:sz w:val="24"/>
          <w:szCs w:val="24"/>
        </w:rPr>
        <w:t xml:space="preserve">  </w:t>
      </w:r>
    </w:p>
    <w:p w14:paraId="6EB758A3" w14:textId="77777777" w:rsidR="00A63EE5" w:rsidRPr="00EC1001" w:rsidRDefault="00A63EE5" w:rsidP="00A63EE5">
      <w:pPr>
        <w:spacing w:after="0" w:line="276" w:lineRule="auto"/>
        <w:ind w:left="426" w:hanging="426"/>
        <w:jc w:val="both"/>
        <w:rPr>
          <w:rFonts w:cstheme="minorHAnsi"/>
          <w:sz w:val="24"/>
          <w:szCs w:val="24"/>
        </w:rPr>
      </w:pPr>
    </w:p>
    <w:p w14:paraId="0B070B6B" w14:textId="5EF01DCF" w:rsidR="00405CDD" w:rsidRPr="00EC1001" w:rsidRDefault="002D3FEA" w:rsidP="007F5BF5">
      <w:pPr>
        <w:spacing w:after="0" w:line="276" w:lineRule="auto"/>
        <w:ind w:left="720" w:hanging="720"/>
        <w:jc w:val="both"/>
        <w:rPr>
          <w:rFonts w:cstheme="minorHAnsi"/>
          <w:sz w:val="24"/>
          <w:szCs w:val="24"/>
        </w:rPr>
      </w:pPr>
      <w:r>
        <w:rPr>
          <w:rFonts w:cstheme="minorHAnsi"/>
          <w:sz w:val="24"/>
          <w:szCs w:val="24"/>
        </w:rPr>
        <w:t>7</w:t>
      </w:r>
      <w:r w:rsidR="00A63EE5" w:rsidRPr="00EC1001">
        <w:rPr>
          <w:rFonts w:cstheme="minorHAnsi"/>
          <w:sz w:val="24"/>
          <w:szCs w:val="24"/>
        </w:rPr>
        <w:t>.4</w:t>
      </w:r>
      <w:r w:rsidR="00A63EE5" w:rsidRPr="00EC1001">
        <w:rPr>
          <w:rFonts w:cstheme="minorHAnsi"/>
          <w:sz w:val="24"/>
          <w:szCs w:val="24"/>
        </w:rPr>
        <w:tab/>
      </w:r>
      <w:r w:rsidR="00405CDD" w:rsidRPr="00EC1001">
        <w:rPr>
          <w:rFonts w:cstheme="minorHAnsi"/>
          <w:sz w:val="24"/>
          <w:szCs w:val="24"/>
        </w:rPr>
        <w:t xml:space="preserve">Within </w:t>
      </w:r>
      <w:r w:rsidR="00344143">
        <w:rPr>
          <w:rFonts w:cstheme="minorHAnsi"/>
          <w:sz w:val="24"/>
          <w:szCs w:val="24"/>
        </w:rPr>
        <w:t>seven</w:t>
      </w:r>
      <w:r w:rsidR="00405CDD" w:rsidRPr="00EC1001">
        <w:rPr>
          <w:rFonts w:cstheme="minorHAnsi"/>
          <w:sz w:val="24"/>
          <w:szCs w:val="24"/>
        </w:rPr>
        <w:t xml:space="preserve"> days, the Commission must apply to the Supreme Court for the determination of the claim of privilege and give notice to the claimant of the hearing of that application.</w:t>
      </w:r>
      <w:r w:rsidR="00405CDD" w:rsidRPr="00EC1001">
        <w:rPr>
          <w:rStyle w:val="FootnoteReference"/>
          <w:rFonts w:cstheme="minorHAnsi"/>
          <w:sz w:val="24"/>
          <w:szCs w:val="24"/>
        </w:rPr>
        <w:footnoteReference w:id="26"/>
      </w:r>
      <w:r w:rsidR="00405CDD" w:rsidRPr="00EC1001">
        <w:rPr>
          <w:rFonts w:cstheme="minorHAnsi"/>
          <w:sz w:val="24"/>
          <w:szCs w:val="24"/>
        </w:rPr>
        <w:t xml:space="preserve">  The claimant is entitled to appear and be heard on the hearing of the application.  </w:t>
      </w:r>
    </w:p>
    <w:p w14:paraId="4FDC49D3" w14:textId="5B387A38" w:rsidR="00405CDD" w:rsidRPr="006D2171" w:rsidRDefault="00405CDD" w:rsidP="006D2171">
      <w:pPr>
        <w:pStyle w:val="Heading1"/>
      </w:pPr>
      <w:r w:rsidRPr="006D2171">
        <w:br w:type="page"/>
      </w:r>
      <w:bookmarkStart w:id="8" w:name="_Toc64037631"/>
      <w:bookmarkStart w:id="9" w:name="_Toc11247329"/>
      <w:r w:rsidR="002D3FEA">
        <w:lastRenderedPageBreak/>
        <w:t>8</w:t>
      </w:r>
      <w:r w:rsidR="007F5BF5" w:rsidRPr="006D2171">
        <w:t xml:space="preserve">. </w:t>
      </w:r>
      <w:r w:rsidR="007F5BF5" w:rsidRPr="006D2171">
        <w:tab/>
      </w:r>
      <w:r w:rsidR="006D2171" w:rsidRPr="006D2171">
        <w:t>Suppression orders</w:t>
      </w:r>
      <w:bookmarkEnd w:id="8"/>
      <w:r w:rsidRPr="006D2171">
        <w:t xml:space="preserve"> </w:t>
      </w:r>
      <w:bookmarkEnd w:id="9"/>
    </w:p>
    <w:p w14:paraId="1A675E1B" w14:textId="77777777" w:rsidR="004E3098" w:rsidRPr="00F51625" w:rsidRDefault="004E3098" w:rsidP="007F5BF5">
      <w:pPr>
        <w:spacing w:after="0" w:line="276" w:lineRule="auto"/>
        <w:jc w:val="both"/>
        <w:rPr>
          <w:rFonts w:cstheme="minorHAnsi"/>
          <w:b/>
          <w:bCs/>
          <w:sz w:val="24"/>
          <w:szCs w:val="24"/>
        </w:rPr>
      </w:pPr>
    </w:p>
    <w:p w14:paraId="4D6FB2E9" w14:textId="429AF21F" w:rsidR="007F5BF5" w:rsidRPr="00F51625" w:rsidRDefault="0038309B" w:rsidP="007F5BF5">
      <w:pPr>
        <w:spacing w:after="0" w:line="276" w:lineRule="auto"/>
        <w:jc w:val="both"/>
        <w:rPr>
          <w:rFonts w:cstheme="minorHAnsi"/>
          <w:b/>
          <w:bCs/>
          <w:sz w:val="24"/>
          <w:szCs w:val="24"/>
        </w:rPr>
      </w:pPr>
      <w:r w:rsidRPr="00F51625">
        <w:rPr>
          <w:rFonts w:cstheme="minorHAnsi"/>
          <w:b/>
          <w:bCs/>
          <w:sz w:val="24"/>
          <w:szCs w:val="24"/>
        </w:rPr>
        <w:t>Making a suppression order</w:t>
      </w:r>
    </w:p>
    <w:p w14:paraId="2E21532E" w14:textId="77777777" w:rsidR="0038309B" w:rsidRPr="00F51625" w:rsidRDefault="0038309B" w:rsidP="007F5BF5">
      <w:pPr>
        <w:spacing w:after="0" w:line="276" w:lineRule="auto"/>
        <w:jc w:val="both"/>
        <w:rPr>
          <w:rFonts w:cstheme="minorHAnsi"/>
          <w:sz w:val="24"/>
          <w:szCs w:val="24"/>
        </w:rPr>
      </w:pPr>
    </w:p>
    <w:p w14:paraId="6003072D" w14:textId="720CF0DD" w:rsidR="00405CDD" w:rsidRPr="00F51625" w:rsidRDefault="002D3FEA" w:rsidP="007F5BF5">
      <w:pPr>
        <w:spacing w:after="0" w:line="276" w:lineRule="auto"/>
        <w:ind w:left="720" w:hanging="720"/>
        <w:jc w:val="both"/>
        <w:rPr>
          <w:rFonts w:cstheme="minorHAnsi"/>
          <w:sz w:val="24"/>
          <w:szCs w:val="24"/>
        </w:rPr>
      </w:pPr>
      <w:r>
        <w:rPr>
          <w:rFonts w:cstheme="minorHAnsi"/>
          <w:sz w:val="24"/>
          <w:szCs w:val="24"/>
        </w:rPr>
        <w:t>8</w:t>
      </w:r>
      <w:r w:rsidR="007F5BF5" w:rsidRPr="00F51625">
        <w:rPr>
          <w:rFonts w:cstheme="minorHAnsi"/>
          <w:sz w:val="24"/>
          <w:szCs w:val="24"/>
        </w:rPr>
        <w:t>.1</w:t>
      </w:r>
      <w:r w:rsidR="007F5BF5" w:rsidRPr="00F51625">
        <w:rPr>
          <w:rFonts w:cstheme="minorHAnsi"/>
          <w:sz w:val="24"/>
          <w:szCs w:val="24"/>
        </w:rPr>
        <w:tab/>
      </w:r>
      <w:r w:rsidR="004E3098" w:rsidRPr="00F51625">
        <w:rPr>
          <w:rFonts w:cstheme="minorHAnsi"/>
          <w:sz w:val="24"/>
          <w:szCs w:val="24"/>
        </w:rPr>
        <w:t xml:space="preserve">A suppression order is </w:t>
      </w:r>
      <w:r w:rsidR="007F5BF5" w:rsidRPr="00F51625">
        <w:rPr>
          <w:rFonts w:cstheme="minorHAnsi"/>
          <w:sz w:val="24"/>
          <w:szCs w:val="24"/>
        </w:rPr>
        <w:t xml:space="preserve">made by the </w:t>
      </w:r>
      <w:r w:rsidR="0038309B" w:rsidRPr="00F51625">
        <w:rPr>
          <w:rFonts w:cstheme="minorHAnsi"/>
          <w:sz w:val="24"/>
          <w:szCs w:val="24"/>
        </w:rPr>
        <w:t xml:space="preserve">Commissioner </w:t>
      </w:r>
      <w:r w:rsidR="007F5BF5" w:rsidRPr="00F51625">
        <w:rPr>
          <w:rFonts w:cstheme="minorHAnsi"/>
          <w:sz w:val="24"/>
          <w:szCs w:val="24"/>
        </w:rPr>
        <w:t xml:space="preserve">pursuant to s 154 of the Act.  An order may </w:t>
      </w:r>
      <w:r w:rsidR="00405CDD" w:rsidRPr="00F51625">
        <w:rPr>
          <w:rFonts w:cstheme="minorHAnsi"/>
          <w:sz w:val="24"/>
          <w:szCs w:val="24"/>
        </w:rPr>
        <w:t xml:space="preserve">only </w:t>
      </w:r>
      <w:r w:rsidR="007F5BF5" w:rsidRPr="00F51625">
        <w:rPr>
          <w:rFonts w:cstheme="minorHAnsi"/>
          <w:sz w:val="24"/>
          <w:szCs w:val="24"/>
        </w:rPr>
        <w:t xml:space="preserve">be </w:t>
      </w:r>
      <w:r w:rsidR="00405CDD" w:rsidRPr="00F51625">
        <w:rPr>
          <w:rFonts w:cstheme="minorHAnsi"/>
          <w:sz w:val="24"/>
          <w:szCs w:val="24"/>
        </w:rPr>
        <w:t xml:space="preserve">made in relation to evidence given in </w:t>
      </w:r>
      <w:r w:rsidR="00405CDD" w:rsidRPr="00CD64AF">
        <w:rPr>
          <w:rFonts w:cstheme="minorHAnsi"/>
          <w:i/>
          <w:iCs/>
          <w:sz w:val="24"/>
          <w:szCs w:val="24"/>
        </w:rPr>
        <w:t>public</w:t>
      </w:r>
      <w:r w:rsidR="00405CDD" w:rsidRPr="00F51625">
        <w:rPr>
          <w:rFonts w:cstheme="minorHAnsi"/>
          <w:sz w:val="24"/>
          <w:szCs w:val="24"/>
        </w:rPr>
        <w:t xml:space="preserve"> examinations</w:t>
      </w:r>
      <w:r w:rsidR="00344143" w:rsidRPr="00F51625">
        <w:rPr>
          <w:rFonts w:cstheme="minorHAnsi"/>
          <w:sz w:val="24"/>
          <w:szCs w:val="24"/>
        </w:rPr>
        <w:t>,</w:t>
      </w:r>
      <w:r w:rsidR="004E3098" w:rsidRPr="00F51625">
        <w:rPr>
          <w:rFonts w:cstheme="minorHAnsi"/>
          <w:sz w:val="24"/>
          <w:szCs w:val="24"/>
        </w:rPr>
        <w:t xml:space="preserve"> and may be applied for by Counsel Assisting or by a witness in an examination</w:t>
      </w:r>
      <w:r w:rsidR="00405CDD" w:rsidRPr="00F51625">
        <w:rPr>
          <w:rFonts w:cstheme="minorHAnsi"/>
          <w:sz w:val="24"/>
          <w:szCs w:val="24"/>
        </w:rPr>
        <w:t>.  Such an order may be varied either during a hearing or after a hearing has concluded</w:t>
      </w:r>
      <w:r w:rsidR="00344143" w:rsidRPr="00F51625">
        <w:rPr>
          <w:rFonts w:cstheme="minorHAnsi"/>
          <w:sz w:val="24"/>
          <w:szCs w:val="24"/>
        </w:rPr>
        <w:t>,</w:t>
      </w:r>
      <w:r w:rsidR="00405CDD" w:rsidRPr="00F51625">
        <w:rPr>
          <w:rFonts w:cstheme="minorHAnsi"/>
          <w:sz w:val="24"/>
          <w:szCs w:val="24"/>
        </w:rPr>
        <w:t xml:space="preserve"> to change the terms of the original order or lift it entirely.</w:t>
      </w:r>
    </w:p>
    <w:p w14:paraId="2C513571" w14:textId="427BF19D" w:rsidR="0091381B" w:rsidRPr="00F51625" w:rsidRDefault="0091381B" w:rsidP="006C6857">
      <w:pPr>
        <w:pStyle w:val="ListParagraph"/>
        <w:spacing w:after="0" w:line="276" w:lineRule="auto"/>
        <w:ind w:left="426"/>
        <w:jc w:val="both"/>
        <w:rPr>
          <w:rFonts w:cstheme="minorHAnsi"/>
          <w:sz w:val="24"/>
          <w:szCs w:val="24"/>
        </w:rPr>
      </w:pPr>
    </w:p>
    <w:p w14:paraId="27F0EB67" w14:textId="7D117EB4" w:rsidR="0091381B" w:rsidRPr="00F51625" w:rsidRDefault="002D3FEA" w:rsidP="007F5BF5">
      <w:pPr>
        <w:spacing w:after="0" w:line="276" w:lineRule="auto"/>
        <w:ind w:left="720" w:hanging="720"/>
        <w:jc w:val="both"/>
        <w:rPr>
          <w:rFonts w:cstheme="minorHAnsi"/>
          <w:sz w:val="24"/>
          <w:szCs w:val="24"/>
        </w:rPr>
      </w:pPr>
      <w:r>
        <w:rPr>
          <w:rFonts w:cstheme="minorHAnsi"/>
          <w:sz w:val="24"/>
          <w:szCs w:val="24"/>
        </w:rPr>
        <w:t>8</w:t>
      </w:r>
      <w:r w:rsidR="007F5BF5" w:rsidRPr="00F51625">
        <w:rPr>
          <w:rFonts w:cstheme="minorHAnsi"/>
          <w:sz w:val="24"/>
          <w:szCs w:val="24"/>
        </w:rPr>
        <w:t>.2</w:t>
      </w:r>
      <w:r w:rsidR="007F5BF5" w:rsidRPr="00F51625">
        <w:rPr>
          <w:rFonts w:cstheme="minorHAnsi"/>
          <w:sz w:val="24"/>
          <w:szCs w:val="24"/>
        </w:rPr>
        <w:tab/>
      </w:r>
      <w:r w:rsidR="0091381B" w:rsidRPr="00F51625">
        <w:rPr>
          <w:rFonts w:cstheme="minorHAnsi"/>
          <w:sz w:val="24"/>
          <w:szCs w:val="24"/>
        </w:rPr>
        <w:t>A suppression order may be made in relation to a range of circumstances including, but not limited to:</w:t>
      </w:r>
    </w:p>
    <w:p w14:paraId="24F180AE" w14:textId="5FE24809" w:rsidR="0091381B" w:rsidRPr="00F51625" w:rsidRDefault="0091381B" w:rsidP="006C6857">
      <w:pPr>
        <w:pStyle w:val="ListParagraph"/>
        <w:spacing w:after="0" w:line="276" w:lineRule="auto"/>
        <w:ind w:left="426"/>
        <w:jc w:val="both"/>
        <w:rPr>
          <w:rFonts w:cstheme="minorHAnsi"/>
          <w:sz w:val="24"/>
          <w:szCs w:val="24"/>
        </w:rPr>
      </w:pPr>
    </w:p>
    <w:p w14:paraId="06F25D49" w14:textId="63625730" w:rsidR="0091381B" w:rsidRPr="00F51625" w:rsidRDefault="0091381B" w:rsidP="006C6857">
      <w:pPr>
        <w:pStyle w:val="ListParagraph"/>
        <w:numPr>
          <w:ilvl w:val="0"/>
          <w:numId w:val="27"/>
        </w:numPr>
        <w:spacing w:after="0" w:line="276" w:lineRule="auto"/>
        <w:jc w:val="both"/>
        <w:rPr>
          <w:rFonts w:cstheme="minorHAnsi"/>
          <w:sz w:val="24"/>
          <w:szCs w:val="24"/>
        </w:rPr>
      </w:pPr>
      <w:r w:rsidRPr="00F51625">
        <w:rPr>
          <w:rFonts w:cstheme="minorHAnsi"/>
          <w:sz w:val="24"/>
          <w:szCs w:val="24"/>
        </w:rPr>
        <w:t xml:space="preserve">any evidence given before the </w:t>
      </w:r>
      <w:r w:rsidR="004425EC" w:rsidRPr="00943E60">
        <w:rPr>
          <w:rFonts w:cstheme="minorHAnsi"/>
          <w:sz w:val="24"/>
          <w:szCs w:val="24"/>
        </w:rPr>
        <w:t>Commission</w:t>
      </w:r>
      <w:r w:rsidRPr="00F51625">
        <w:rPr>
          <w:rFonts w:cstheme="minorHAnsi"/>
          <w:sz w:val="24"/>
          <w:szCs w:val="24"/>
        </w:rPr>
        <w:t>;</w:t>
      </w:r>
    </w:p>
    <w:p w14:paraId="2F3DAAA7" w14:textId="7A4CB71A" w:rsidR="0091381B" w:rsidRPr="00F51625" w:rsidRDefault="0091381B" w:rsidP="006C6857">
      <w:pPr>
        <w:pStyle w:val="ListParagraph"/>
        <w:numPr>
          <w:ilvl w:val="0"/>
          <w:numId w:val="27"/>
        </w:numPr>
        <w:spacing w:after="0" w:line="276" w:lineRule="auto"/>
        <w:jc w:val="both"/>
        <w:rPr>
          <w:rFonts w:cstheme="minorHAnsi"/>
          <w:sz w:val="24"/>
          <w:szCs w:val="24"/>
        </w:rPr>
      </w:pPr>
      <w:r w:rsidRPr="00F51625">
        <w:rPr>
          <w:rFonts w:cstheme="minorHAnsi"/>
          <w:sz w:val="24"/>
          <w:szCs w:val="24"/>
        </w:rPr>
        <w:t xml:space="preserve">the contents of any document, or description of anything, produced to the </w:t>
      </w:r>
      <w:r w:rsidR="004425EC" w:rsidRPr="00943E60">
        <w:rPr>
          <w:rFonts w:cstheme="minorHAnsi"/>
          <w:sz w:val="24"/>
          <w:szCs w:val="24"/>
        </w:rPr>
        <w:t xml:space="preserve">Commission </w:t>
      </w:r>
      <w:r w:rsidRPr="00F51625">
        <w:rPr>
          <w:rFonts w:cstheme="minorHAnsi"/>
          <w:sz w:val="24"/>
          <w:szCs w:val="24"/>
        </w:rPr>
        <w:t>or seized under a search warrant issued under the Act;</w:t>
      </w:r>
    </w:p>
    <w:p w14:paraId="106C0ECD" w14:textId="256F688A" w:rsidR="0091381B" w:rsidRPr="00F51625" w:rsidRDefault="0091381B" w:rsidP="006C6857">
      <w:pPr>
        <w:pStyle w:val="ListParagraph"/>
        <w:numPr>
          <w:ilvl w:val="0"/>
          <w:numId w:val="27"/>
        </w:numPr>
        <w:spacing w:after="0" w:line="276" w:lineRule="auto"/>
        <w:jc w:val="both"/>
        <w:rPr>
          <w:rFonts w:cstheme="minorHAnsi"/>
          <w:sz w:val="24"/>
          <w:szCs w:val="24"/>
        </w:rPr>
      </w:pPr>
      <w:r w:rsidRPr="00F51625">
        <w:rPr>
          <w:rFonts w:cstheme="minorHAnsi"/>
          <w:sz w:val="24"/>
          <w:szCs w:val="24"/>
        </w:rPr>
        <w:t xml:space="preserve">any information that might enable a person who has given or may be about to give evidence before the </w:t>
      </w:r>
      <w:r w:rsidR="004425EC" w:rsidRPr="00943E60">
        <w:rPr>
          <w:rFonts w:cstheme="minorHAnsi"/>
          <w:sz w:val="24"/>
          <w:szCs w:val="24"/>
        </w:rPr>
        <w:t xml:space="preserve">Commission </w:t>
      </w:r>
      <w:r w:rsidRPr="00F51625">
        <w:rPr>
          <w:rFonts w:cstheme="minorHAnsi"/>
          <w:sz w:val="24"/>
          <w:szCs w:val="24"/>
        </w:rPr>
        <w:t>to be identified or located;</w:t>
      </w:r>
    </w:p>
    <w:p w14:paraId="6C160FA4" w14:textId="4D476E1F" w:rsidR="0091381B" w:rsidRPr="00F51625" w:rsidRDefault="0091381B" w:rsidP="006C6857">
      <w:pPr>
        <w:pStyle w:val="ListParagraph"/>
        <w:numPr>
          <w:ilvl w:val="0"/>
          <w:numId w:val="27"/>
        </w:numPr>
        <w:spacing w:after="0" w:line="276" w:lineRule="auto"/>
        <w:jc w:val="both"/>
        <w:rPr>
          <w:rFonts w:cstheme="minorHAnsi"/>
          <w:sz w:val="24"/>
          <w:szCs w:val="24"/>
        </w:rPr>
      </w:pPr>
      <w:r w:rsidRPr="00F51625">
        <w:rPr>
          <w:rFonts w:cstheme="minorHAnsi"/>
          <w:sz w:val="24"/>
          <w:szCs w:val="24"/>
        </w:rPr>
        <w:t xml:space="preserve">the fact that a person has given or may be about to give evidence before the </w:t>
      </w:r>
      <w:r w:rsidR="004425EC" w:rsidRPr="00943E60">
        <w:rPr>
          <w:rFonts w:cstheme="minorHAnsi"/>
          <w:sz w:val="24"/>
          <w:szCs w:val="24"/>
        </w:rPr>
        <w:t>Commission</w:t>
      </w:r>
      <w:r w:rsidRPr="00F51625">
        <w:rPr>
          <w:rFonts w:cstheme="minorHAnsi"/>
          <w:sz w:val="24"/>
          <w:szCs w:val="24"/>
        </w:rPr>
        <w:t>; or</w:t>
      </w:r>
    </w:p>
    <w:p w14:paraId="6579BAD9" w14:textId="60D2D40C" w:rsidR="0091381B" w:rsidRPr="00F51625" w:rsidRDefault="0091381B" w:rsidP="006C6857">
      <w:pPr>
        <w:pStyle w:val="ListParagraph"/>
        <w:numPr>
          <w:ilvl w:val="0"/>
          <w:numId w:val="27"/>
        </w:numPr>
        <w:spacing w:after="0" w:line="276" w:lineRule="auto"/>
        <w:jc w:val="both"/>
        <w:rPr>
          <w:rFonts w:cstheme="minorHAnsi"/>
          <w:sz w:val="24"/>
          <w:szCs w:val="24"/>
        </w:rPr>
      </w:pPr>
      <w:r w:rsidRPr="00F51625">
        <w:rPr>
          <w:rFonts w:cstheme="minorHAnsi"/>
          <w:sz w:val="24"/>
          <w:szCs w:val="24"/>
        </w:rPr>
        <w:t xml:space="preserve">any written submissions received by the </w:t>
      </w:r>
      <w:r w:rsidR="004425EC" w:rsidRPr="00943E60">
        <w:rPr>
          <w:rFonts w:cstheme="minorHAnsi"/>
          <w:sz w:val="24"/>
          <w:szCs w:val="24"/>
        </w:rPr>
        <w:t>Commission</w:t>
      </w:r>
      <w:r w:rsidRPr="00F51625">
        <w:rPr>
          <w:rFonts w:cstheme="minorHAnsi"/>
          <w:sz w:val="24"/>
          <w:szCs w:val="24"/>
        </w:rPr>
        <w:t>.</w:t>
      </w:r>
    </w:p>
    <w:p w14:paraId="4F728A71" w14:textId="13983D41" w:rsidR="0091381B" w:rsidRPr="00F51625" w:rsidRDefault="0091381B" w:rsidP="006C6857">
      <w:pPr>
        <w:spacing w:after="0" w:line="276" w:lineRule="auto"/>
        <w:jc w:val="both"/>
        <w:rPr>
          <w:rFonts w:cstheme="minorHAnsi"/>
          <w:sz w:val="24"/>
          <w:szCs w:val="24"/>
        </w:rPr>
      </w:pPr>
    </w:p>
    <w:p w14:paraId="5272A960" w14:textId="040B16DF" w:rsidR="0091381B" w:rsidRPr="00F51625" w:rsidRDefault="002D3FEA" w:rsidP="0038309B">
      <w:pPr>
        <w:spacing w:after="0" w:line="276" w:lineRule="auto"/>
        <w:ind w:left="720" w:hanging="720"/>
        <w:jc w:val="both"/>
        <w:rPr>
          <w:rFonts w:cstheme="minorHAnsi"/>
          <w:sz w:val="24"/>
          <w:szCs w:val="24"/>
        </w:rPr>
      </w:pPr>
      <w:r>
        <w:rPr>
          <w:rFonts w:cstheme="minorHAnsi"/>
          <w:sz w:val="24"/>
          <w:szCs w:val="24"/>
        </w:rPr>
        <w:t>8</w:t>
      </w:r>
      <w:r w:rsidR="0038309B" w:rsidRPr="00F51625">
        <w:rPr>
          <w:rFonts w:cstheme="minorHAnsi"/>
          <w:sz w:val="24"/>
          <w:szCs w:val="24"/>
        </w:rPr>
        <w:t>.3</w:t>
      </w:r>
      <w:r w:rsidR="0038309B" w:rsidRPr="00F51625">
        <w:rPr>
          <w:rFonts w:cstheme="minorHAnsi"/>
          <w:sz w:val="24"/>
          <w:szCs w:val="24"/>
        </w:rPr>
        <w:tab/>
      </w:r>
      <w:r w:rsidR="0091381B" w:rsidRPr="00F51625">
        <w:rPr>
          <w:rFonts w:cstheme="minorHAnsi"/>
          <w:sz w:val="24"/>
          <w:szCs w:val="24"/>
        </w:rPr>
        <w:t>A person may challenge the making of a suppression order, or the refusal to make such an order, on judicial review to the Supreme Court.</w:t>
      </w:r>
      <w:r w:rsidR="0091381B" w:rsidRPr="00F51625">
        <w:rPr>
          <w:rStyle w:val="FootnoteReference"/>
          <w:rFonts w:cstheme="minorHAnsi"/>
          <w:sz w:val="24"/>
          <w:szCs w:val="24"/>
        </w:rPr>
        <w:footnoteReference w:id="27"/>
      </w:r>
      <w:r w:rsidR="0091381B" w:rsidRPr="00F51625">
        <w:rPr>
          <w:rFonts w:cstheme="minorHAnsi"/>
          <w:sz w:val="24"/>
          <w:szCs w:val="24"/>
        </w:rPr>
        <w:t xml:space="preserve"> </w:t>
      </w:r>
    </w:p>
    <w:p w14:paraId="6F3745E0" w14:textId="77777777" w:rsidR="00405CDD" w:rsidRPr="00F51625" w:rsidRDefault="00405CDD" w:rsidP="006C6857">
      <w:pPr>
        <w:pStyle w:val="ListParagraph"/>
        <w:spacing w:after="0" w:line="276" w:lineRule="auto"/>
        <w:ind w:left="426"/>
        <w:jc w:val="both"/>
        <w:rPr>
          <w:rFonts w:cstheme="minorHAnsi"/>
          <w:sz w:val="24"/>
          <w:szCs w:val="24"/>
        </w:rPr>
      </w:pPr>
    </w:p>
    <w:p w14:paraId="36809E3B" w14:textId="46523D77" w:rsidR="00405CDD" w:rsidRPr="00F51625" w:rsidRDefault="00405CDD" w:rsidP="0038309B">
      <w:pPr>
        <w:pStyle w:val="OMHeading3"/>
        <w:numPr>
          <w:ilvl w:val="0"/>
          <w:numId w:val="0"/>
        </w:numPr>
        <w:spacing w:line="276" w:lineRule="auto"/>
        <w:jc w:val="both"/>
        <w:rPr>
          <w:sz w:val="24"/>
          <w:szCs w:val="24"/>
        </w:rPr>
      </w:pPr>
      <w:bookmarkStart w:id="10" w:name="_Toc11247330"/>
      <w:r w:rsidRPr="00F51625">
        <w:rPr>
          <w:sz w:val="24"/>
          <w:szCs w:val="24"/>
        </w:rPr>
        <w:t xml:space="preserve">Making or varying a </w:t>
      </w:r>
      <w:r w:rsidR="00A10572">
        <w:rPr>
          <w:sz w:val="24"/>
          <w:szCs w:val="24"/>
        </w:rPr>
        <w:t>suppression order</w:t>
      </w:r>
      <w:r w:rsidRPr="00F51625">
        <w:rPr>
          <w:sz w:val="24"/>
          <w:szCs w:val="24"/>
        </w:rPr>
        <w:t xml:space="preserve"> during a hearing</w:t>
      </w:r>
      <w:bookmarkEnd w:id="10"/>
    </w:p>
    <w:p w14:paraId="7F432102" w14:textId="77777777" w:rsidR="00405CDD" w:rsidRPr="00F51625" w:rsidRDefault="00405CDD" w:rsidP="006C6857">
      <w:pPr>
        <w:pStyle w:val="ListParagraph"/>
        <w:spacing w:after="0" w:line="276" w:lineRule="auto"/>
        <w:ind w:left="426"/>
        <w:jc w:val="both"/>
        <w:rPr>
          <w:rFonts w:cstheme="minorHAnsi"/>
          <w:sz w:val="24"/>
          <w:szCs w:val="24"/>
        </w:rPr>
      </w:pPr>
    </w:p>
    <w:p w14:paraId="4D56594A" w14:textId="167AF949" w:rsidR="00405CDD" w:rsidRPr="00F51625" w:rsidRDefault="002D3FEA" w:rsidP="0038309B">
      <w:pPr>
        <w:spacing w:after="0" w:line="276" w:lineRule="auto"/>
        <w:ind w:left="720" w:hanging="720"/>
        <w:jc w:val="both"/>
        <w:rPr>
          <w:rFonts w:cstheme="minorHAnsi"/>
          <w:sz w:val="24"/>
          <w:szCs w:val="24"/>
        </w:rPr>
      </w:pPr>
      <w:r>
        <w:rPr>
          <w:rFonts w:cstheme="minorHAnsi"/>
          <w:sz w:val="24"/>
          <w:szCs w:val="24"/>
        </w:rPr>
        <w:t>8</w:t>
      </w:r>
      <w:r w:rsidR="0038309B" w:rsidRPr="00F51625">
        <w:rPr>
          <w:rFonts w:cstheme="minorHAnsi"/>
          <w:sz w:val="24"/>
          <w:szCs w:val="24"/>
        </w:rPr>
        <w:t>.4</w:t>
      </w:r>
      <w:r w:rsidR="0038309B" w:rsidRPr="00F51625">
        <w:rPr>
          <w:rFonts w:cstheme="minorHAnsi"/>
          <w:sz w:val="24"/>
          <w:szCs w:val="24"/>
        </w:rPr>
        <w:tab/>
      </w:r>
      <w:r w:rsidR="00405CDD" w:rsidRPr="00F51625">
        <w:rPr>
          <w:rFonts w:cstheme="minorHAnsi"/>
          <w:sz w:val="24"/>
          <w:szCs w:val="24"/>
        </w:rPr>
        <w:t>The Commissioner may issue a suppression order prohibiting or restricting the publication of any information or evidence given during a public examination if the Commissioner considers that the order is necessary:</w:t>
      </w:r>
    </w:p>
    <w:p w14:paraId="04AC46A0" w14:textId="77777777" w:rsidR="00405CDD" w:rsidRPr="00F51625" w:rsidRDefault="00405CDD" w:rsidP="006C6857">
      <w:pPr>
        <w:pStyle w:val="ListParagraph"/>
        <w:spacing w:after="0" w:line="276" w:lineRule="auto"/>
        <w:ind w:left="426"/>
        <w:jc w:val="both"/>
        <w:rPr>
          <w:rFonts w:cstheme="minorHAnsi"/>
          <w:sz w:val="24"/>
          <w:szCs w:val="24"/>
        </w:rPr>
      </w:pPr>
    </w:p>
    <w:p w14:paraId="601E1A53" w14:textId="77777777" w:rsidR="00405CDD" w:rsidRPr="00F51625" w:rsidRDefault="00405CDD" w:rsidP="006C6857">
      <w:pPr>
        <w:pStyle w:val="ListParagraph"/>
        <w:numPr>
          <w:ilvl w:val="0"/>
          <w:numId w:val="22"/>
        </w:numPr>
        <w:spacing w:after="0" w:line="276" w:lineRule="auto"/>
        <w:jc w:val="both"/>
        <w:rPr>
          <w:rFonts w:cstheme="minorHAnsi"/>
          <w:sz w:val="24"/>
          <w:szCs w:val="24"/>
        </w:rPr>
      </w:pPr>
      <w:r w:rsidRPr="00F51625">
        <w:rPr>
          <w:rFonts w:cstheme="minorHAnsi"/>
          <w:sz w:val="24"/>
          <w:szCs w:val="24"/>
        </w:rPr>
        <w:t>to prevent prejudice or hardship being caused to a person, including harm to their safety or reputation; or</w:t>
      </w:r>
    </w:p>
    <w:p w14:paraId="7DE4D6D0" w14:textId="77777777" w:rsidR="00405CDD" w:rsidRPr="00F51625" w:rsidRDefault="00405CDD" w:rsidP="006C6857">
      <w:pPr>
        <w:pStyle w:val="ListParagraph"/>
        <w:numPr>
          <w:ilvl w:val="0"/>
          <w:numId w:val="22"/>
        </w:numPr>
        <w:spacing w:after="0" w:line="276" w:lineRule="auto"/>
        <w:jc w:val="both"/>
        <w:rPr>
          <w:rFonts w:cstheme="minorHAnsi"/>
          <w:sz w:val="24"/>
          <w:szCs w:val="24"/>
        </w:rPr>
      </w:pPr>
      <w:r w:rsidRPr="00F51625">
        <w:rPr>
          <w:rFonts w:cstheme="minorHAnsi"/>
          <w:sz w:val="24"/>
          <w:szCs w:val="24"/>
        </w:rPr>
        <w:t>to avoid the possibility of prejudice to:</w:t>
      </w:r>
    </w:p>
    <w:p w14:paraId="4F11E2A5" w14:textId="77777777" w:rsidR="00405CDD" w:rsidRPr="00F51625" w:rsidRDefault="00405CDD" w:rsidP="006C6857">
      <w:pPr>
        <w:pStyle w:val="ListParagraph"/>
        <w:numPr>
          <w:ilvl w:val="1"/>
          <w:numId w:val="22"/>
        </w:numPr>
        <w:spacing w:after="0" w:line="276" w:lineRule="auto"/>
        <w:jc w:val="both"/>
        <w:rPr>
          <w:rFonts w:cstheme="minorHAnsi"/>
          <w:sz w:val="24"/>
          <w:szCs w:val="24"/>
        </w:rPr>
      </w:pPr>
      <w:r w:rsidRPr="00F51625">
        <w:rPr>
          <w:rFonts w:cstheme="minorHAnsi"/>
          <w:sz w:val="24"/>
          <w:szCs w:val="24"/>
        </w:rPr>
        <w:t>a legal proceeding; or</w:t>
      </w:r>
    </w:p>
    <w:p w14:paraId="7C30C228" w14:textId="55E23F7B" w:rsidR="00405CDD" w:rsidRPr="00F51625" w:rsidRDefault="00405CDD" w:rsidP="006C6857">
      <w:pPr>
        <w:pStyle w:val="ListParagraph"/>
        <w:numPr>
          <w:ilvl w:val="1"/>
          <w:numId w:val="22"/>
        </w:numPr>
        <w:spacing w:after="0" w:line="276" w:lineRule="auto"/>
        <w:jc w:val="both"/>
        <w:rPr>
          <w:rFonts w:cstheme="minorHAnsi"/>
          <w:sz w:val="24"/>
          <w:szCs w:val="24"/>
        </w:rPr>
      </w:pPr>
      <w:r w:rsidRPr="00F51625">
        <w:rPr>
          <w:rFonts w:cstheme="minorHAnsi"/>
          <w:sz w:val="24"/>
          <w:szCs w:val="24"/>
        </w:rPr>
        <w:lastRenderedPageBreak/>
        <w:t>an investigation by the Commission under the Act</w:t>
      </w:r>
      <w:r w:rsidR="00344143" w:rsidRPr="00F51625">
        <w:rPr>
          <w:rFonts w:cstheme="minorHAnsi"/>
          <w:sz w:val="24"/>
          <w:szCs w:val="24"/>
        </w:rPr>
        <w:t>.</w:t>
      </w:r>
      <w:r w:rsidRPr="00F51625">
        <w:rPr>
          <w:rStyle w:val="FootnoteReference"/>
          <w:rFonts w:cstheme="minorHAnsi"/>
          <w:sz w:val="24"/>
          <w:szCs w:val="24"/>
        </w:rPr>
        <w:footnoteReference w:id="28"/>
      </w:r>
    </w:p>
    <w:p w14:paraId="75958026" w14:textId="77777777" w:rsidR="00405CDD" w:rsidRPr="00F51625" w:rsidRDefault="00405CDD" w:rsidP="006C6857">
      <w:pPr>
        <w:pStyle w:val="ListParagraph"/>
        <w:spacing w:after="0" w:line="276" w:lineRule="auto"/>
        <w:ind w:left="426"/>
        <w:jc w:val="both"/>
        <w:rPr>
          <w:rFonts w:cstheme="minorHAnsi"/>
          <w:sz w:val="24"/>
          <w:szCs w:val="24"/>
        </w:rPr>
      </w:pPr>
    </w:p>
    <w:p w14:paraId="446F8628" w14:textId="30996F8E" w:rsidR="00FA2024" w:rsidRPr="00F51625" w:rsidRDefault="002D3FEA" w:rsidP="0038309B">
      <w:pPr>
        <w:spacing w:after="0" w:line="276" w:lineRule="auto"/>
        <w:ind w:left="720" w:hanging="720"/>
        <w:jc w:val="both"/>
        <w:rPr>
          <w:rFonts w:cstheme="minorHAnsi"/>
          <w:sz w:val="24"/>
          <w:szCs w:val="24"/>
        </w:rPr>
      </w:pPr>
      <w:r>
        <w:rPr>
          <w:rFonts w:cstheme="minorHAnsi"/>
          <w:sz w:val="24"/>
          <w:szCs w:val="24"/>
        </w:rPr>
        <w:t>8</w:t>
      </w:r>
      <w:r w:rsidR="0038309B" w:rsidRPr="00F51625">
        <w:rPr>
          <w:rFonts w:cstheme="minorHAnsi"/>
          <w:sz w:val="24"/>
          <w:szCs w:val="24"/>
        </w:rPr>
        <w:t>.5</w:t>
      </w:r>
      <w:r w:rsidR="0038309B" w:rsidRPr="00F51625">
        <w:rPr>
          <w:rFonts w:cstheme="minorHAnsi"/>
          <w:sz w:val="24"/>
          <w:szCs w:val="24"/>
        </w:rPr>
        <w:tab/>
      </w:r>
      <w:r w:rsidR="00FA2024" w:rsidRPr="00F51625">
        <w:rPr>
          <w:rFonts w:cstheme="minorHAnsi"/>
          <w:sz w:val="24"/>
          <w:szCs w:val="24"/>
        </w:rPr>
        <w:t>For example, a suppression order may be made to protect the identity of a person named in evidence but not the subject of a Commission investigation, to prevent the publication of an allegation before a response has been made, to protect trade secrets or law enforcement procedures, or for reasons of national security.</w:t>
      </w:r>
    </w:p>
    <w:p w14:paraId="3B05A248" w14:textId="77777777" w:rsidR="00FA2024" w:rsidRPr="00F51625" w:rsidRDefault="00FA2024" w:rsidP="0038309B">
      <w:pPr>
        <w:spacing w:after="0" w:line="276" w:lineRule="auto"/>
        <w:ind w:left="720" w:hanging="720"/>
        <w:jc w:val="both"/>
        <w:rPr>
          <w:rFonts w:cstheme="minorHAnsi"/>
          <w:sz w:val="24"/>
          <w:szCs w:val="24"/>
        </w:rPr>
      </w:pPr>
    </w:p>
    <w:p w14:paraId="5E1E68C5" w14:textId="44D5C03A" w:rsidR="0038309B" w:rsidRPr="00F51625" w:rsidRDefault="002D3FEA" w:rsidP="0038309B">
      <w:pPr>
        <w:spacing w:after="0" w:line="276" w:lineRule="auto"/>
        <w:ind w:left="720" w:hanging="720"/>
        <w:jc w:val="both"/>
        <w:rPr>
          <w:rFonts w:cstheme="minorHAnsi"/>
          <w:sz w:val="24"/>
          <w:szCs w:val="24"/>
        </w:rPr>
      </w:pPr>
      <w:r>
        <w:rPr>
          <w:rFonts w:cstheme="minorHAnsi"/>
          <w:sz w:val="24"/>
          <w:szCs w:val="24"/>
        </w:rPr>
        <w:t>8</w:t>
      </w:r>
      <w:r w:rsidR="00FA2024" w:rsidRPr="00F51625">
        <w:rPr>
          <w:rFonts w:cstheme="minorHAnsi"/>
          <w:sz w:val="24"/>
          <w:szCs w:val="24"/>
        </w:rPr>
        <w:t>.6</w:t>
      </w:r>
      <w:r w:rsidR="00FA2024" w:rsidRPr="00F51625">
        <w:rPr>
          <w:rFonts w:cstheme="minorHAnsi"/>
          <w:sz w:val="24"/>
          <w:szCs w:val="24"/>
        </w:rPr>
        <w:tab/>
      </w:r>
      <w:r w:rsidR="00405CDD" w:rsidRPr="00F51625">
        <w:rPr>
          <w:rFonts w:cstheme="minorHAnsi"/>
          <w:sz w:val="24"/>
          <w:szCs w:val="24"/>
        </w:rPr>
        <w:t xml:space="preserve">When a </w:t>
      </w:r>
      <w:r w:rsidR="00A10572">
        <w:rPr>
          <w:rFonts w:cstheme="minorHAnsi"/>
          <w:sz w:val="24"/>
          <w:szCs w:val="24"/>
        </w:rPr>
        <w:t>suppression</w:t>
      </w:r>
      <w:r w:rsidR="007412D8">
        <w:rPr>
          <w:rFonts w:cstheme="minorHAnsi"/>
          <w:sz w:val="24"/>
          <w:szCs w:val="24"/>
        </w:rPr>
        <w:t xml:space="preserve"> </w:t>
      </w:r>
      <w:r w:rsidR="00405CDD" w:rsidRPr="00F51625">
        <w:rPr>
          <w:rFonts w:cstheme="minorHAnsi"/>
          <w:sz w:val="24"/>
          <w:szCs w:val="24"/>
        </w:rPr>
        <w:t xml:space="preserve">order is made or varied it should be </w:t>
      </w:r>
      <w:r>
        <w:rPr>
          <w:rFonts w:cstheme="minorHAnsi"/>
          <w:sz w:val="24"/>
          <w:szCs w:val="24"/>
        </w:rPr>
        <w:t>placed</w:t>
      </w:r>
      <w:r w:rsidR="00405CDD" w:rsidRPr="00F51625">
        <w:rPr>
          <w:rFonts w:cstheme="minorHAnsi"/>
          <w:sz w:val="24"/>
          <w:szCs w:val="24"/>
        </w:rPr>
        <w:t xml:space="preserve"> onto the record by the Commissioner with an indication of the grounds on which it is made</w:t>
      </w:r>
      <w:r>
        <w:rPr>
          <w:rFonts w:cstheme="minorHAnsi"/>
          <w:sz w:val="24"/>
          <w:szCs w:val="24"/>
        </w:rPr>
        <w:t>.</w:t>
      </w:r>
      <w:r>
        <w:rPr>
          <w:rStyle w:val="FootnoteReference"/>
          <w:rFonts w:cstheme="minorHAnsi"/>
          <w:sz w:val="24"/>
          <w:szCs w:val="24"/>
        </w:rPr>
        <w:footnoteReference w:id="29"/>
      </w:r>
      <w:r w:rsidR="00405CDD" w:rsidRPr="00F51625">
        <w:rPr>
          <w:rFonts w:cstheme="minorHAnsi"/>
          <w:sz w:val="24"/>
          <w:szCs w:val="24"/>
        </w:rPr>
        <w:t xml:space="preserve">  </w:t>
      </w:r>
    </w:p>
    <w:p w14:paraId="7CD3D821" w14:textId="77777777" w:rsidR="0038309B" w:rsidRPr="00F51625" w:rsidRDefault="0038309B" w:rsidP="0038309B">
      <w:pPr>
        <w:spacing w:after="0" w:line="276" w:lineRule="auto"/>
        <w:ind w:left="720" w:hanging="720"/>
        <w:jc w:val="both"/>
        <w:rPr>
          <w:rFonts w:cstheme="minorHAnsi"/>
          <w:sz w:val="24"/>
          <w:szCs w:val="24"/>
        </w:rPr>
      </w:pPr>
    </w:p>
    <w:p w14:paraId="5D81D802" w14:textId="73B9EEBE" w:rsidR="00405CDD" w:rsidRPr="00F51625" w:rsidRDefault="002D3FEA" w:rsidP="0038309B">
      <w:pPr>
        <w:spacing w:after="0" w:line="276" w:lineRule="auto"/>
        <w:ind w:left="720" w:hanging="720"/>
        <w:jc w:val="both"/>
        <w:rPr>
          <w:rFonts w:cstheme="minorHAnsi"/>
          <w:sz w:val="24"/>
          <w:szCs w:val="24"/>
        </w:rPr>
      </w:pPr>
      <w:r>
        <w:rPr>
          <w:rFonts w:cstheme="minorHAnsi"/>
          <w:sz w:val="24"/>
          <w:szCs w:val="24"/>
        </w:rPr>
        <w:t>8</w:t>
      </w:r>
      <w:r w:rsidR="0038309B" w:rsidRPr="00F51625">
        <w:rPr>
          <w:rFonts w:cstheme="minorHAnsi"/>
          <w:sz w:val="24"/>
          <w:szCs w:val="24"/>
        </w:rPr>
        <w:t>.</w:t>
      </w:r>
      <w:r w:rsidR="00FA2024" w:rsidRPr="00F51625">
        <w:rPr>
          <w:rFonts w:cstheme="minorHAnsi"/>
          <w:sz w:val="24"/>
          <w:szCs w:val="24"/>
        </w:rPr>
        <w:t>7</w:t>
      </w:r>
      <w:r w:rsidR="0038309B" w:rsidRPr="00F51625">
        <w:rPr>
          <w:rFonts w:cstheme="minorHAnsi"/>
          <w:sz w:val="24"/>
          <w:szCs w:val="24"/>
        </w:rPr>
        <w:tab/>
      </w:r>
      <w:r w:rsidR="00405CDD" w:rsidRPr="00F51625">
        <w:rPr>
          <w:rFonts w:cstheme="minorHAnsi"/>
          <w:sz w:val="24"/>
          <w:szCs w:val="24"/>
        </w:rPr>
        <w:t xml:space="preserve">The </w:t>
      </w:r>
      <w:r>
        <w:rPr>
          <w:rFonts w:cstheme="minorHAnsi"/>
          <w:sz w:val="24"/>
          <w:szCs w:val="24"/>
        </w:rPr>
        <w:t xml:space="preserve">Commission (usually the </w:t>
      </w:r>
      <w:r w:rsidR="00405CDD" w:rsidRPr="00F51625">
        <w:rPr>
          <w:rFonts w:cstheme="minorHAnsi"/>
          <w:sz w:val="24"/>
          <w:szCs w:val="24"/>
        </w:rPr>
        <w:t xml:space="preserve">case </w:t>
      </w:r>
      <w:r w:rsidR="0038309B" w:rsidRPr="00F51625">
        <w:rPr>
          <w:rFonts w:cstheme="minorHAnsi"/>
          <w:sz w:val="24"/>
          <w:szCs w:val="24"/>
        </w:rPr>
        <w:t>lawyer</w:t>
      </w:r>
      <w:r>
        <w:rPr>
          <w:rFonts w:cstheme="minorHAnsi"/>
          <w:sz w:val="24"/>
          <w:szCs w:val="24"/>
        </w:rPr>
        <w:t>)</w:t>
      </w:r>
      <w:r w:rsidR="00405CDD" w:rsidRPr="00F51625">
        <w:rPr>
          <w:rFonts w:cstheme="minorHAnsi"/>
          <w:sz w:val="24"/>
          <w:szCs w:val="24"/>
        </w:rPr>
        <w:t xml:space="preserve"> </w:t>
      </w:r>
      <w:r>
        <w:rPr>
          <w:rFonts w:cstheme="minorHAnsi"/>
          <w:sz w:val="24"/>
          <w:szCs w:val="24"/>
        </w:rPr>
        <w:t>will</w:t>
      </w:r>
      <w:r w:rsidR="00405CDD" w:rsidRPr="00F51625">
        <w:rPr>
          <w:rFonts w:cstheme="minorHAnsi"/>
          <w:sz w:val="24"/>
          <w:szCs w:val="24"/>
        </w:rPr>
        <w:t xml:space="preserve"> take reasonable steps to notify any relevant people (such as anyone who was present in the hearing room when the relevant evidence was given but who left the hearing room before a suppression order was made), that the order was made.  </w:t>
      </w:r>
      <w:r>
        <w:rPr>
          <w:rFonts w:cstheme="minorHAnsi"/>
          <w:sz w:val="24"/>
          <w:szCs w:val="24"/>
        </w:rPr>
        <w:t>A</w:t>
      </w:r>
      <w:r w:rsidR="00405CDD" w:rsidRPr="00F51625">
        <w:rPr>
          <w:rFonts w:cstheme="minorHAnsi"/>
          <w:sz w:val="24"/>
          <w:szCs w:val="24"/>
        </w:rPr>
        <w:t xml:space="preserve"> notice about the suppression order </w:t>
      </w:r>
      <w:r>
        <w:rPr>
          <w:rFonts w:cstheme="minorHAnsi"/>
          <w:sz w:val="24"/>
          <w:szCs w:val="24"/>
        </w:rPr>
        <w:t xml:space="preserve">will be published </w:t>
      </w:r>
      <w:r w:rsidR="00405CDD" w:rsidRPr="00F51625">
        <w:rPr>
          <w:rFonts w:cstheme="minorHAnsi"/>
          <w:sz w:val="24"/>
          <w:szCs w:val="24"/>
        </w:rPr>
        <w:t>on the Commission’s website.</w:t>
      </w:r>
      <w:r w:rsidR="00405CDD" w:rsidRPr="00F51625">
        <w:rPr>
          <w:rStyle w:val="FootnoteReference"/>
          <w:rFonts w:cstheme="minorHAnsi"/>
          <w:sz w:val="24"/>
          <w:szCs w:val="24"/>
        </w:rPr>
        <w:footnoteReference w:id="30"/>
      </w:r>
    </w:p>
    <w:p w14:paraId="5948A9BB" w14:textId="77777777" w:rsidR="00405CDD" w:rsidRPr="00F51625" w:rsidRDefault="00405CDD" w:rsidP="006C6857">
      <w:pPr>
        <w:pStyle w:val="ListParagraph"/>
        <w:spacing w:after="0" w:line="276" w:lineRule="auto"/>
        <w:ind w:left="426"/>
        <w:jc w:val="both"/>
        <w:rPr>
          <w:rFonts w:cstheme="minorHAnsi"/>
          <w:sz w:val="24"/>
          <w:szCs w:val="24"/>
        </w:rPr>
      </w:pPr>
    </w:p>
    <w:p w14:paraId="53A43F14" w14:textId="62D1775B" w:rsidR="00405CDD" w:rsidRPr="00F51625" w:rsidRDefault="002D3FEA" w:rsidP="0038309B">
      <w:pPr>
        <w:spacing w:after="0" w:line="276" w:lineRule="auto"/>
        <w:ind w:left="720" w:hanging="720"/>
        <w:jc w:val="both"/>
        <w:rPr>
          <w:rFonts w:cstheme="minorHAnsi"/>
          <w:sz w:val="24"/>
          <w:szCs w:val="24"/>
        </w:rPr>
      </w:pPr>
      <w:r>
        <w:rPr>
          <w:rFonts w:cstheme="minorHAnsi"/>
          <w:sz w:val="24"/>
          <w:szCs w:val="24"/>
        </w:rPr>
        <w:t>8</w:t>
      </w:r>
      <w:r w:rsidR="0038309B" w:rsidRPr="00F51625">
        <w:rPr>
          <w:rFonts w:cstheme="minorHAnsi"/>
          <w:sz w:val="24"/>
          <w:szCs w:val="24"/>
        </w:rPr>
        <w:t>.</w:t>
      </w:r>
      <w:r w:rsidR="00FA2024" w:rsidRPr="00F51625">
        <w:rPr>
          <w:rFonts w:cstheme="minorHAnsi"/>
          <w:sz w:val="24"/>
          <w:szCs w:val="24"/>
        </w:rPr>
        <w:t>8</w:t>
      </w:r>
      <w:r w:rsidR="0038309B" w:rsidRPr="00F51625">
        <w:rPr>
          <w:rFonts w:cstheme="minorHAnsi"/>
          <w:sz w:val="24"/>
          <w:szCs w:val="24"/>
        </w:rPr>
        <w:tab/>
      </w:r>
      <w:r w:rsidR="00405CDD" w:rsidRPr="00F51625">
        <w:rPr>
          <w:rFonts w:cstheme="minorHAnsi"/>
          <w:sz w:val="24"/>
          <w:szCs w:val="24"/>
        </w:rPr>
        <w:t xml:space="preserve">If the suppression order is made in relation to information or evidence that is given by the Commission to another person, the Commission </w:t>
      </w:r>
      <w:r>
        <w:rPr>
          <w:rFonts w:cstheme="minorHAnsi"/>
          <w:sz w:val="24"/>
          <w:szCs w:val="24"/>
        </w:rPr>
        <w:t>will</w:t>
      </w:r>
      <w:r w:rsidR="00405CDD" w:rsidRPr="00F51625">
        <w:rPr>
          <w:rFonts w:cstheme="minorHAnsi"/>
          <w:sz w:val="24"/>
          <w:szCs w:val="24"/>
        </w:rPr>
        <w:t xml:space="preserve"> give a copy of the suppression order to the person.</w:t>
      </w:r>
      <w:r w:rsidR="00405CDD" w:rsidRPr="00F51625">
        <w:rPr>
          <w:rStyle w:val="FootnoteReference"/>
          <w:rFonts w:cstheme="minorHAnsi"/>
          <w:sz w:val="24"/>
          <w:szCs w:val="24"/>
        </w:rPr>
        <w:footnoteReference w:id="31"/>
      </w:r>
    </w:p>
    <w:p w14:paraId="75292B6B" w14:textId="77777777" w:rsidR="00405CDD" w:rsidRPr="00F51625" w:rsidRDefault="00405CDD" w:rsidP="0038309B">
      <w:pPr>
        <w:spacing w:after="0" w:line="276" w:lineRule="auto"/>
        <w:jc w:val="both"/>
        <w:rPr>
          <w:rFonts w:cstheme="minorHAnsi"/>
          <w:sz w:val="24"/>
          <w:szCs w:val="24"/>
        </w:rPr>
      </w:pPr>
    </w:p>
    <w:p w14:paraId="477393D8" w14:textId="7A8FF1E1" w:rsidR="00405CDD" w:rsidRPr="00F51625" w:rsidRDefault="002D3FEA" w:rsidP="0038309B">
      <w:pPr>
        <w:spacing w:after="0" w:line="276" w:lineRule="auto"/>
        <w:ind w:left="720" w:hanging="720"/>
        <w:jc w:val="both"/>
        <w:rPr>
          <w:rFonts w:cstheme="minorHAnsi"/>
          <w:sz w:val="24"/>
          <w:szCs w:val="24"/>
        </w:rPr>
      </w:pPr>
      <w:r>
        <w:rPr>
          <w:rFonts w:cstheme="minorHAnsi"/>
          <w:sz w:val="24"/>
          <w:szCs w:val="24"/>
        </w:rPr>
        <w:t>8</w:t>
      </w:r>
      <w:r w:rsidR="00FA2024" w:rsidRPr="00F51625">
        <w:rPr>
          <w:rFonts w:cstheme="minorHAnsi"/>
          <w:sz w:val="24"/>
          <w:szCs w:val="24"/>
        </w:rPr>
        <w:t>.9</w:t>
      </w:r>
      <w:r w:rsidR="0038309B" w:rsidRPr="00F51625">
        <w:rPr>
          <w:rFonts w:cstheme="minorHAnsi"/>
          <w:sz w:val="24"/>
          <w:szCs w:val="24"/>
        </w:rPr>
        <w:tab/>
      </w:r>
      <w:r w:rsidR="00405CDD" w:rsidRPr="00F51625">
        <w:rPr>
          <w:rFonts w:cstheme="minorHAnsi"/>
          <w:sz w:val="24"/>
          <w:szCs w:val="24"/>
        </w:rPr>
        <w:t>At the conclusion of an investigation, all outstanding suppression orders</w:t>
      </w:r>
      <w:r>
        <w:rPr>
          <w:rFonts w:cstheme="minorHAnsi"/>
          <w:sz w:val="24"/>
          <w:szCs w:val="24"/>
        </w:rPr>
        <w:t xml:space="preserve"> will be reviewed</w:t>
      </w:r>
      <w:r w:rsidR="00405CDD" w:rsidRPr="00F51625">
        <w:rPr>
          <w:rFonts w:cstheme="minorHAnsi"/>
          <w:sz w:val="24"/>
          <w:szCs w:val="24"/>
        </w:rPr>
        <w:t xml:space="preserve"> and</w:t>
      </w:r>
      <w:r>
        <w:rPr>
          <w:rFonts w:cstheme="minorHAnsi"/>
          <w:sz w:val="24"/>
          <w:szCs w:val="24"/>
        </w:rPr>
        <w:t>, where appropriate,</w:t>
      </w:r>
      <w:r w:rsidR="00405CDD" w:rsidRPr="00F51625">
        <w:rPr>
          <w:rFonts w:cstheme="minorHAnsi"/>
          <w:sz w:val="24"/>
          <w:szCs w:val="24"/>
        </w:rPr>
        <w:t xml:space="preserve"> the orders </w:t>
      </w:r>
      <w:r>
        <w:rPr>
          <w:rFonts w:cstheme="minorHAnsi"/>
          <w:sz w:val="24"/>
          <w:szCs w:val="24"/>
        </w:rPr>
        <w:t xml:space="preserve">will be </w:t>
      </w:r>
      <w:r w:rsidR="00405CDD" w:rsidRPr="00F51625">
        <w:rPr>
          <w:rFonts w:cstheme="minorHAnsi"/>
          <w:sz w:val="24"/>
          <w:szCs w:val="24"/>
        </w:rPr>
        <w:t xml:space="preserve">lifted or their duration prescribed by the Commissioner.  </w:t>
      </w:r>
      <w:r>
        <w:rPr>
          <w:rFonts w:cstheme="minorHAnsi"/>
          <w:sz w:val="24"/>
          <w:szCs w:val="24"/>
        </w:rPr>
        <w:t>If</w:t>
      </w:r>
      <w:r w:rsidR="00405CDD" w:rsidRPr="00F51625">
        <w:rPr>
          <w:rFonts w:cstheme="minorHAnsi"/>
          <w:sz w:val="24"/>
          <w:szCs w:val="24"/>
        </w:rPr>
        <w:t xml:space="preserve"> any exhibits are affected</w:t>
      </w:r>
      <w:r>
        <w:rPr>
          <w:rFonts w:cstheme="minorHAnsi"/>
          <w:sz w:val="24"/>
          <w:szCs w:val="24"/>
        </w:rPr>
        <w:t xml:space="preserve"> </w:t>
      </w:r>
      <w:r w:rsidR="00405CDD" w:rsidRPr="00F51625">
        <w:rPr>
          <w:rFonts w:cstheme="minorHAnsi"/>
          <w:sz w:val="24"/>
          <w:szCs w:val="24"/>
        </w:rPr>
        <w:t xml:space="preserve">the exhibit </w:t>
      </w:r>
      <w:r>
        <w:rPr>
          <w:rFonts w:cstheme="minorHAnsi"/>
          <w:sz w:val="24"/>
          <w:szCs w:val="24"/>
        </w:rPr>
        <w:t>will</w:t>
      </w:r>
      <w:r w:rsidR="00405CDD" w:rsidRPr="00F51625">
        <w:rPr>
          <w:rFonts w:cstheme="minorHAnsi"/>
          <w:sz w:val="24"/>
          <w:szCs w:val="24"/>
        </w:rPr>
        <w:t xml:space="preserve"> be mentioned specifically in any variation.</w:t>
      </w:r>
    </w:p>
    <w:p w14:paraId="37FB9591" w14:textId="77777777" w:rsidR="00405CDD" w:rsidRPr="00F51625" w:rsidRDefault="00405CDD" w:rsidP="006C6857">
      <w:pPr>
        <w:pStyle w:val="ListParagraph"/>
        <w:spacing w:after="0" w:line="276" w:lineRule="auto"/>
        <w:jc w:val="both"/>
        <w:rPr>
          <w:rFonts w:cstheme="minorHAnsi"/>
          <w:sz w:val="24"/>
          <w:szCs w:val="24"/>
        </w:rPr>
      </w:pPr>
    </w:p>
    <w:p w14:paraId="49A5BC2F" w14:textId="6134C002" w:rsidR="00405CDD" w:rsidRPr="00F51625" w:rsidRDefault="00405CDD" w:rsidP="0038309B">
      <w:pPr>
        <w:pStyle w:val="OMHeading3"/>
        <w:numPr>
          <w:ilvl w:val="0"/>
          <w:numId w:val="0"/>
        </w:numPr>
        <w:spacing w:line="276" w:lineRule="auto"/>
        <w:jc w:val="both"/>
        <w:rPr>
          <w:sz w:val="24"/>
          <w:szCs w:val="24"/>
        </w:rPr>
      </w:pPr>
      <w:bookmarkStart w:id="11" w:name="_Toc11247331"/>
      <w:r w:rsidRPr="00F51625">
        <w:rPr>
          <w:sz w:val="24"/>
          <w:szCs w:val="24"/>
        </w:rPr>
        <w:t>Making or varying a s</w:t>
      </w:r>
      <w:r w:rsidR="00A10572">
        <w:rPr>
          <w:sz w:val="24"/>
          <w:szCs w:val="24"/>
        </w:rPr>
        <w:t>uppression</w:t>
      </w:r>
      <w:r w:rsidR="007412D8">
        <w:rPr>
          <w:sz w:val="24"/>
          <w:szCs w:val="24"/>
        </w:rPr>
        <w:t xml:space="preserve"> </w:t>
      </w:r>
      <w:r w:rsidRPr="00F51625">
        <w:rPr>
          <w:sz w:val="24"/>
          <w:szCs w:val="24"/>
        </w:rPr>
        <w:t>order after a hearing has concluded</w:t>
      </w:r>
      <w:bookmarkEnd w:id="11"/>
    </w:p>
    <w:p w14:paraId="76312F1D" w14:textId="77777777" w:rsidR="00405CDD" w:rsidRPr="00F51625" w:rsidRDefault="00405CDD" w:rsidP="006C6857">
      <w:pPr>
        <w:pStyle w:val="ListParagraph"/>
        <w:spacing w:after="0" w:line="276" w:lineRule="auto"/>
        <w:ind w:left="426"/>
        <w:jc w:val="both"/>
        <w:rPr>
          <w:rFonts w:cstheme="minorHAnsi"/>
          <w:sz w:val="24"/>
          <w:szCs w:val="24"/>
        </w:rPr>
      </w:pPr>
    </w:p>
    <w:p w14:paraId="580048AF" w14:textId="664BA191" w:rsidR="0038309B" w:rsidRPr="00F51625" w:rsidRDefault="002D3FEA" w:rsidP="0038309B">
      <w:pPr>
        <w:spacing w:after="0" w:line="276" w:lineRule="auto"/>
        <w:ind w:left="720" w:hanging="720"/>
        <w:jc w:val="both"/>
        <w:rPr>
          <w:rFonts w:cstheme="minorHAnsi"/>
          <w:sz w:val="24"/>
          <w:szCs w:val="24"/>
        </w:rPr>
      </w:pPr>
      <w:r w:rsidRPr="007657F8">
        <w:rPr>
          <w:rFonts w:cstheme="minorHAnsi"/>
          <w:sz w:val="24"/>
          <w:szCs w:val="24"/>
        </w:rPr>
        <w:t>8</w:t>
      </w:r>
      <w:r w:rsidR="0038309B" w:rsidRPr="007657F8">
        <w:rPr>
          <w:rFonts w:cstheme="minorHAnsi"/>
          <w:sz w:val="24"/>
          <w:szCs w:val="24"/>
        </w:rPr>
        <w:t>.</w:t>
      </w:r>
      <w:r w:rsidR="00FA2024" w:rsidRPr="007657F8">
        <w:rPr>
          <w:rFonts w:cstheme="minorHAnsi"/>
          <w:sz w:val="24"/>
          <w:szCs w:val="24"/>
        </w:rPr>
        <w:t>10</w:t>
      </w:r>
      <w:r w:rsidR="0038309B" w:rsidRPr="007657F8">
        <w:rPr>
          <w:rFonts w:cstheme="minorHAnsi"/>
          <w:sz w:val="24"/>
          <w:szCs w:val="24"/>
        </w:rPr>
        <w:tab/>
      </w:r>
      <w:r w:rsidR="00405CDD" w:rsidRPr="007657F8">
        <w:rPr>
          <w:rFonts w:cstheme="minorHAnsi"/>
          <w:sz w:val="24"/>
          <w:szCs w:val="24"/>
        </w:rPr>
        <w:t xml:space="preserve">All </w:t>
      </w:r>
      <w:r w:rsidR="002B0725" w:rsidRPr="007657F8">
        <w:rPr>
          <w:rFonts w:cstheme="minorHAnsi"/>
          <w:sz w:val="24"/>
          <w:szCs w:val="24"/>
        </w:rPr>
        <w:t>applications to vary</w:t>
      </w:r>
      <w:r w:rsidR="00405CDD" w:rsidRPr="007657F8">
        <w:rPr>
          <w:rFonts w:cstheme="minorHAnsi"/>
          <w:sz w:val="24"/>
          <w:szCs w:val="24"/>
        </w:rPr>
        <w:t xml:space="preserve"> s</w:t>
      </w:r>
      <w:r w:rsidR="00A10572" w:rsidRPr="007657F8">
        <w:rPr>
          <w:rFonts w:cstheme="minorHAnsi"/>
          <w:sz w:val="24"/>
          <w:szCs w:val="24"/>
        </w:rPr>
        <w:t>uppression</w:t>
      </w:r>
      <w:r w:rsidR="007412D8" w:rsidRPr="007657F8">
        <w:rPr>
          <w:rFonts w:cstheme="minorHAnsi"/>
          <w:sz w:val="24"/>
          <w:szCs w:val="24"/>
        </w:rPr>
        <w:t xml:space="preserve"> </w:t>
      </w:r>
      <w:r w:rsidR="00405CDD" w:rsidRPr="007657F8">
        <w:rPr>
          <w:rFonts w:cstheme="minorHAnsi"/>
          <w:sz w:val="24"/>
          <w:szCs w:val="24"/>
        </w:rPr>
        <w:t>order after a hearing has concluded must be in writing</w:t>
      </w:r>
      <w:r w:rsidR="0038309B" w:rsidRPr="007657F8">
        <w:rPr>
          <w:rFonts w:cstheme="minorHAnsi"/>
          <w:sz w:val="24"/>
          <w:szCs w:val="24"/>
        </w:rPr>
        <w:t xml:space="preserve"> </w:t>
      </w:r>
      <w:r w:rsidR="00405CDD" w:rsidRPr="007657F8">
        <w:rPr>
          <w:rFonts w:cstheme="minorHAnsi"/>
          <w:sz w:val="24"/>
          <w:szCs w:val="24"/>
        </w:rPr>
        <w:t xml:space="preserve">and submitted to the Commission for </w:t>
      </w:r>
      <w:r w:rsidR="002B0725" w:rsidRPr="007657F8">
        <w:rPr>
          <w:rFonts w:cstheme="minorHAnsi"/>
          <w:sz w:val="24"/>
          <w:szCs w:val="24"/>
        </w:rPr>
        <w:t>determination by the Commissioner</w:t>
      </w:r>
      <w:r w:rsidR="00405CDD" w:rsidRPr="007657F8">
        <w:rPr>
          <w:rFonts w:cstheme="minorHAnsi"/>
          <w:sz w:val="24"/>
          <w:szCs w:val="24"/>
        </w:rPr>
        <w:t>.</w:t>
      </w:r>
      <w:r w:rsidR="002B0725" w:rsidRPr="007657F8">
        <w:rPr>
          <w:rFonts w:cstheme="minorHAnsi"/>
          <w:sz w:val="24"/>
          <w:szCs w:val="24"/>
        </w:rPr>
        <w:t xml:space="preserve">  All such variations will be recorded in writing.</w:t>
      </w:r>
    </w:p>
    <w:p w14:paraId="4BDCF388" w14:textId="77777777" w:rsidR="0038309B" w:rsidRPr="00F51625" w:rsidRDefault="0038309B" w:rsidP="0038309B">
      <w:pPr>
        <w:spacing w:after="0" w:line="276" w:lineRule="auto"/>
        <w:ind w:left="720" w:hanging="720"/>
        <w:jc w:val="both"/>
        <w:rPr>
          <w:rFonts w:cstheme="minorHAnsi"/>
          <w:sz w:val="24"/>
          <w:szCs w:val="24"/>
        </w:rPr>
      </w:pPr>
    </w:p>
    <w:p w14:paraId="25A541DC" w14:textId="6264E2F1" w:rsidR="00405CDD" w:rsidRPr="00F51625" w:rsidRDefault="002D3FEA" w:rsidP="0038309B">
      <w:pPr>
        <w:spacing w:after="0" w:line="276" w:lineRule="auto"/>
        <w:ind w:left="720" w:hanging="720"/>
        <w:jc w:val="both"/>
        <w:rPr>
          <w:rFonts w:cstheme="minorHAnsi"/>
          <w:sz w:val="24"/>
          <w:szCs w:val="24"/>
        </w:rPr>
      </w:pPr>
      <w:r>
        <w:rPr>
          <w:rFonts w:cstheme="minorHAnsi"/>
          <w:sz w:val="24"/>
          <w:szCs w:val="24"/>
        </w:rPr>
        <w:t>8</w:t>
      </w:r>
      <w:r w:rsidR="0038309B" w:rsidRPr="00F51625">
        <w:rPr>
          <w:rFonts w:cstheme="minorHAnsi"/>
          <w:sz w:val="24"/>
          <w:szCs w:val="24"/>
        </w:rPr>
        <w:t>.1</w:t>
      </w:r>
      <w:r w:rsidR="00FA2024" w:rsidRPr="00F51625">
        <w:rPr>
          <w:rFonts w:cstheme="minorHAnsi"/>
          <w:sz w:val="24"/>
          <w:szCs w:val="24"/>
        </w:rPr>
        <w:t>1</w:t>
      </w:r>
      <w:r w:rsidR="0038309B" w:rsidRPr="00F51625">
        <w:rPr>
          <w:rFonts w:cstheme="minorHAnsi"/>
          <w:sz w:val="24"/>
          <w:szCs w:val="24"/>
        </w:rPr>
        <w:tab/>
      </w:r>
      <w:r w:rsidR="00405CDD" w:rsidRPr="00F51625">
        <w:rPr>
          <w:rFonts w:cstheme="minorHAnsi"/>
          <w:sz w:val="24"/>
          <w:szCs w:val="24"/>
        </w:rPr>
        <w:t>Where a s</w:t>
      </w:r>
      <w:r w:rsidR="00A10572">
        <w:rPr>
          <w:rFonts w:cstheme="minorHAnsi"/>
          <w:sz w:val="24"/>
          <w:szCs w:val="24"/>
        </w:rPr>
        <w:t>uppression</w:t>
      </w:r>
      <w:r w:rsidR="007412D8">
        <w:rPr>
          <w:rFonts w:cstheme="minorHAnsi"/>
          <w:sz w:val="24"/>
          <w:szCs w:val="24"/>
        </w:rPr>
        <w:t xml:space="preserve"> </w:t>
      </w:r>
      <w:r w:rsidR="00405CDD" w:rsidRPr="00F51625">
        <w:rPr>
          <w:rFonts w:cstheme="minorHAnsi"/>
          <w:sz w:val="24"/>
          <w:szCs w:val="24"/>
        </w:rPr>
        <w:t>order or variation to a s</w:t>
      </w:r>
      <w:r w:rsidR="00A10572">
        <w:rPr>
          <w:rFonts w:cstheme="minorHAnsi"/>
          <w:sz w:val="24"/>
          <w:szCs w:val="24"/>
        </w:rPr>
        <w:t>uppression</w:t>
      </w:r>
      <w:r w:rsidR="007412D8">
        <w:rPr>
          <w:rFonts w:cstheme="minorHAnsi"/>
          <w:sz w:val="24"/>
          <w:szCs w:val="24"/>
        </w:rPr>
        <w:t xml:space="preserve"> </w:t>
      </w:r>
      <w:r w:rsidR="00405CDD" w:rsidRPr="00F51625">
        <w:rPr>
          <w:rFonts w:cstheme="minorHAnsi"/>
          <w:sz w:val="24"/>
          <w:szCs w:val="24"/>
        </w:rPr>
        <w:t xml:space="preserve">order is made after a hearing has concluded, the Commission officer responsible for seeking the direction or variation </w:t>
      </w:r>
      <w:r w:rsidR="002B0725">
        <w:rPr>
          <w:rFonts w:cstheme="minorHAnsi"/>
          <w:sz w:val="24"/>
          <w:szCs w:val="24"/>
        </w:rPr>
        <w:t>will</w:t>
      </w:r>
      <w:r w:rsidR="00405CDD" w:rsidRPr="00F51625">
        <w:rPr>
          <w:rFonts w:cstheme="minorHAnsi"/>
          <w:sz w:val="24"/>
          <w:szCs w:val="24"/>
        </w:rPr>
        <w:t xml:space="preserve"> ensure that details of the s</w:t>
      </w:r>
      <w:r w:rsidR="00A10572">
        <w:rPr>
          <w:rFonts w:cstheme="minorHAnsi"/>
          <w:sz w:val="24"/>
          <w:szCs w:val="24"/>
        </w:rPr>
        <w:t>uppression</w:t>
      </w:r>
      <w:r w:rsidR="007412D8">
        <w:rPr>
          <w:rFonts w:cstheme="minorHAnsi"/>
          <w:sz w:val="24"/>
          <w:szCs w:val="24"/>
        </w:rPr>
        <w:t xml:space="preserve"> </w:t>
      </w:r>
      <w:r w:rsidR="00405CDD" w:rsidRPr="00F51625">
        <w:rPr>
          <w:rFonts w:cstheme="minorHAnsi"/>
          <w:sz w:val="24"/>
          <w:szCs w:val="24"/>
        </w:rPr>
        <w:t xml:space="preserve">order or variation are recorded </w:t>
      </w:r>
      <w:r w:rsidR="00405CDD" w:rsidRPr="00F51625">
        <w:rPr>
          <w:rFonts w:cstheme="minorHAnsi"/>
          <w:sz w:val="24"/>
          <w:szCs w:val="24"/>
        </w:rPr>
        <w:lastRenderedPageBreak/>
        <w:t>against the relevant transcript session.  The publicly available transcript</w:t>
      </w:r>
      <w:r w:rsidR="002B0725">
        <w:rPr>
          <w:rFonts w:cstheme="minorHAnsi"/>
          <w:sz w:val="24"/>
          <w:szCs w:val="24"/>
        </w:rPr>
        <w:t xml:space="preserve"> will</w:t>
      </w:r>
      <w:r w:rsidR="00405CDD" w:rsidRPr="00F51625">
        <w:rPr>
          <w:rFonts w:cstheme="minorHAnsi"/>
          <w:sz w:val="24"/>
          <w:szCs w:val="24"/>
        </w:rPr>
        <w:t xml:space="preserve"> reflect any further direction or variation.</w:t>
      </w:r>
    </w:p>
    <w:p w14:paraId="6E1CD7B9" w14:textId="638CB709" w:rsidR="00405CDD" w:rsidRDefault="00405CDD" w:rsidP="006C6857">
      <w:pPr>
        <w:spacing w:line="276" w:lineRule="auto"/>
        <w:rPr>
          <w:rFonts w:cstheme="minorHAnsi"/>
        </w:rPr>
      </w:pPr>
      <w:r>
        <w:rPr>
          <w:rFonts w:cstheme="minorHAnsi"/>
        </w:rPr>
        <w:br w:type="page"/>
      </w:r>
    </w:p>
    <w:p w14:paraId="2856C497" w14:textId="3E6D1B8C" w:rsidR="00405CDD" w:rsidRDefault="00C85ED1" w:rsidP="00FD7DA8">
      <w:pPr>
        <w:pStyle w:val="Heading1"/>
        <w:rPr>
          <w:w w:val="105"/>
        </w:rPr>
      </w:pPr>
      <w:bookmarkStart w:id="12" w:name="_Toc64037632"/>
      <w:r>
        <w:rPr>
          <w:w w:val="105"/>
        </w:rPr>
        <w:lastRenderedPageBreak/>
        <w:t>9</w:t>
      </w:r>
      <w:r w:rsidR="00FD7DA8">
        <w:rPr>
          <w:w w:val="105"/>
        </w:rPr>
        <w:t>.</w:t>
      </w:r>
      <w:r w:rsidR="00FD7DA8">
        <w:rPr>
          <w:w w:val="105"/>
        </w:rPr>
        <w:tab/>
      </w:r>
      <w:r w:rsidR="00405CDD">
        <w:rPr>
          <w:w w:val="105"/>
        </w:rPr>
        <w:t>Contempt</w:t>
      </w:r>
      <w:bookmarkEnd w:id="12"/>
    </w:p>
    <w:p w14:paraId="7F4762B4" w14:textId="1DBB15D1" w:rsidR="00405CDD" w:rsidRDefault="00405CDD" w:rsidP="006C6857">
      <w:pPr>
        <w:tabs>
          <w:tab w:val="left" w:pos="1324"/>
          <w:tab w:val="left" w:pos="1325"/>
        </w:tabs>
        <w:spacing w:before="1" w:line="276" w:lineRule="auto"/>
        <w:ind w:right="166"/>
        <w:jc w:val="both"/>
        <w:rPr>
          <w:rFonts w:cstheme="minorHAnsi"/>
          <w:w w:val="105"/>
          <w:sz w:val="24"/>
          <w:szCs w:val="24"/>
        </w:rPr>
      </w:pPr>
    </w:p>
    <w:p w14:paraId="13BA99AE" w14:textId="77777777" w:rsidR="00405CDD" w:rsidRPr="00F51625" w:rsidRDefault="00405CDD" w:rsidP="00FD7DA8">
      <w:pPr>
        <w:pStyle w:val="OMHeading3"/>
        <w:numPr>
          <w:ilvl w:val="0"/>
          <w:numId w:val="0"/>
        </w:numPr>
        <w:spacing w:line="276" w:lineRule="auto"/>
        <w:jc w:val="both"/>
        <w:rPr>
          <w:sz w:val="24"/>
          <w:szCs w:val="24"/>
        </w:rPr>
      </w:pPr>
      <w:bookmarkStart w:id="13" w:name="_Toc11247333"/>
      <w:r w:rsidRPr="00F51625">
        <w:rPr>
          <w:sz w:val="24"/>
          <w:szCs w:val="24"/>
        </w:rPr>
        <w:t>General considerations</w:t>
      </w:r>
      <w:bookmarkEnd w:id="13"/>
    </w:p>
    <w:p w14:paraId="78A660B4" w14:textId="77777777" w:rsidR="00405CDD" w:rsidRPr="00F51625" w:rsidRDefault="00405CDD" w:rsidP="006C6857">
      <w:pPr>
        <w:pStyle w:val="ListParagraph"/>
        <w:spacing w:after="0" w:line="276" w:lineRule="auto"/>
        <w:ind w:left="426"/>
        <w:jc w:val="both"/>
        <w:rPr>
          <w:rFonts w:cstheme="minorHAnsi"/>
          <w:sz w:val="24"/>
          <w:szCs w:val="24"/>
        </w:rPr>
      </w:pPr>
    </w:p>
    <w:p w14:paraId="581A637E" w14:textId="31AB19E4" w:rsidR="00405CDD" w:rsidRPr="00F51625" w:rsidRDefault="00C85ED1" w:rsidP="00FD7DA8">
      <w:pPr>
        <w:spacing w:after="0" w:line="276" w:lineRule="auto"/>
        <w:ind w:left="720" w:hanging="720"/>
        <w:jc w:val="both"/>
        <w:rPr>
          <w:rFonts w:cstheme="minorHAnsi"/>
          <w:sz w:val="24"/>
          <w:szCs w:val="24"/>
        </w:rPr>
      </w:pPr>
      <w:r>
        <w:rPr>
          <w:rFonts w:cstheme="minorHAnsi"/>
          <w:sz w:val="24"/>
          <w:szCs w:val="24"/>
        </w:rPr>
        <w:t>9</w:t>
      </w:r>
      <w:r w:rsidR="00FD7DA8" w:rsidRPr="00F51625">
        <w:rPr>
          <w:rFonts w:cstheme="minorHAnsi"/>
          <w:sz w:val="24"/>
          <w:szCs w:val="24"/>
        </w:rPr>
        <w:t>.1</w:t>
      </w:r>
      <w:r w:rsidR="00FD7DA8" w:rsidRPr="00F51625">
        <w:rPr>
          <w:rFonts w:cstheme="minorHAnsi"/>
          <w:sz w:val="24"/>
          <w:szCs w:val="24"/>
        </w:rPr>
        <w:tab/>
      </w:r>
      <w:r w:rsidR="00405CDD" w:rsidRPr="00F51625">
        <w:rPr>
          <w:rFonts w:cstheme="minorHAnsi"/>
          <w:sz w:val="24"/>
          <w:szCs w:val="24"/>
        </w:rPr>
        <w:t>Conduct that may constitute contempt of the Commission is set out in s 166 of the Act.  The offence is committed where a person, without reasonable excuse:</w:t>
      </w:r>
      <w:r w:rsidR="00405CDD" w:rsidRPr="00F51625">
        <w:rPr>
          <w:rStyle w:val="FootnoteReference"/>
          <w:rFonts w:cstheme="minorHAnsi"/>
          <w:sz w:val="24"/>
          <w:szCs w:val="24"/>
        </w:rPr>
        <w:footnoteReference w:id="32"/>
      </w:r>
    </w:p>
    <w:p w14:paraId="0767C101" w14:textId="77777777" w:rsidR="00405CDD" w:rsidRPr="00F51625" w:rsidRDefault="00405CDD" w:rsidP="006C6857">
      <w:pPr>
        <w:pStyle w:val="ListParagraph"/>
        <w:spacing w:after="0" w:line="276" w:lineRule="auto"/>
        <w:ind w:left="426"/>
        <w:jc w:val="both"/>
        <w:rPr>
          <w:rFonts w:cstheme="minorHAnsi"/>
          <w:sz w:val="24"/>
          <w:szCs w:val="24"/>
        </w:rPr>
      </w:pPr>
    </w:p>
    <w:p w14:paraId="3263E9E1" w14:textId="268C60BA" w:rsidR="00405CDD" w:rsidRPr="00F51625" w:rsidRDefault="00405CDD" w:rsidP="006C6857">
      <w:pPr>
        <w:pStyle w:val="ListParagraph"/>
        <w:numPr>
          <w:ilvl w:val="0"/>
          <w:numId w:val="23"/>
        </w:numPr>
        <w:spacing w:after="0" w:line="276" w:lineRule="auto"/>
        <w:jc w:val="both"/>
        <w:rPr>
          <w:rFonts w:cstheme="minorHAnsi"/>
          <w:sz w:val="24"/>
          <w:szCs w:val="24"/>
        </w:rPr>
      </w:pPr>
      <w:r w:rsidRPr="00F51625">
        <w:rPr>
          <w:rFonts w:cstheme="minorHAnsi"/>
          <w:sz w:val="24"/>
          <w:szCs w:val="24"/>
        </w:rPr>
        <w:t xml:space="preserve">has been served with a preliminary </w:t>
      </w:r>
      <w:r w:rsidR="00AD58C8" w:rsidRPr="00F51625">
        <w:rPr>
          <w:rFonts w:cstheme="minorHAnsi"/>
          <w:sz w:val="24"/>
          <w:szCs w:val="24"/>
        </w:rPr>
        <w:t>examination</w:t>
      </w:r>
      <w:r w:rsidRPr="00F51625">
        <w:rPr>
          <w:rFonts w:cstheme="minorHAnsi"/>
          <w:sz w:val="24"/>
          <w:szCs w:val="24"/>
        </w:rPr>
        <w:t xml:space="preserve"> notice and refuses or fails to produce a document or other thing as required by the preliminary </w:t>
      </w:r>
      <w:r w:rsidR="00AD58C8" w:rsidRPr="00F51625">
        <w:rPr>
          <w:rFonts w:cstheme="minorHAnsi"/>
          <w:sz w:val="24"/>
          <w:szCs w:val="24"/>
        </w:rPr>
        <w:t>examination</w:t>
      </w:r>
      <w:r w:rsidRPr="00F51625">
        <w:rPr>
          <w:rFonts w:cstheme="minorHAnsi"/>
          <w:sz w:val="24"/>
          <w:szCs w:val="24"/>
        </w:rPr>
        <w:t xml:space="preserve"> notice; or</w:t>
      </w:r>
    </w:p>
    <w:p w14:paraId="3E101E27" w14:textId="77777777" w:rsidR="00405CDD" w:rsidRPr="00F51625" w:rsidRDefault="00405CDD" w:rsidP="006C6857">
      <w:pPr>
        <w:pStyle w:val="ListParagraph"/>
        <w:numPr>
          <w:ilvl w:val="0"/>
          <w:numId w:val="23"/>
        </w:numPr>
        <w:spacing w:after="0" w:line="276" w:lineRule="auto"/>
        <w:jc w:val="both"/>
        <w:rPr>
          <w:rFonts w:cstheme="minorHAnsi"/>
          <w:sz w:val="24"/>
          <w:szCs w:val="24"/>
        </w:rPr>
      </w:pPr>
      <w:r w:rsidRPr="00F51625">
        <w:rPr>
          <w:rFonts w:cstheme="minorHAnsi"/>
          <w:sz w:val="24"/>
          <w:szCs w:val="24"/>
        </w:rPr>
        <w:t xml:space="preserve">has been served with an examination summons and – </w:t>
      </w:r>
    </w:p>
    <w:p w14:paraId="0B61879A" w14:textId="77777777" w:rsidR="00405CDD" w:rsidRPr="00F51625" w:rsidRDefault="00405CDD" w:rsidP="006C6857">
      <w:pPr>
        <w:pStyle w:val="ListParagraph"/>
        <w:numPr>
          <w:ilvl w:val="1"/>
          <w:numId w:val="23"/>
        </w:numPr>
        <w:spacing w:after="0" w:line="276" w:lineRule="auto"/>
        <w:jc w:val="both"/>
        <w:rPr>
          <w:rFonts w:cstheme="minorHAnsi"/>
          <w:sz w:val="24"/>
          <w:szCs w:val="24"/>
        </w:rPr>
      </w:pPr>
      <w:r w:rsidRPr="00F51625">
        <w:rPr>
          <w:rFonts w:cstheme="minorHAnsi"/>
          <w:sz w:val="24"/>
          <w:szCs w:val="24"/>
        </w:rPr>
        <w:t>fails to attend the examination as required by the examination summons; or</w:t>
      </w:r>
    </w:p>
    <w:p w14:paraId="379BD2B9" w14:textId="77777777" w:rsidR="00405CDD" w:rsidRPr="00F51625" w:rsidRDefault="00405CDD" w:rsidP="006C6857">
      <w:pPr>
        <w:pStyle w:val="ListParagraph"/>
        <w:numPr>
          <w:ilvl w:val="1"/>
          <w:numId w:val="23"/>
        </w:numPr>
        <w:spacing w:after="0" w:line="276" w:lineRule="auto"/>
        <w:jc w:val="both"/>
        <w:rPr>
          <w:rFonts w:cstheme="minorHAnsi"/>
          <w:sz w:val="24"/>
          <w:szCs w:val="24"/>
        </w:rPr>
      </w:pPr>
      <w:r w:rsidRPr="00F51625">
        <w:rPr>
          <w:rFonts w:cstheme="minorHAnsi"/>
          <w:sz w:val="24"/>
          <w:szCs w:val="24"/>
        </w:rPr>
        <w:t xml:space="preserve">when appearing as a witness at the examination – </w:t>
      </w:r>
    </w:p>
    <w:p w14:paraId="6FEFCA63" w14:textId="77777777" w:rsidR="00405CDD" w:rsidRPr="00F51625" w:rsidRDefault="00405CDD" w:rsidP="006C6857">
      <w:pPr>
        <w:pStyle w:val="ListParagraph"/>
        <w:numPr>
          <w:ilvl w:val="3"/>
          <w:numId w:val="23"/>
        </w:numPr>
        <w:spacing w:after="0" w:line="276" w:lineRule="auto"/>
        <w:ind w:left="2552" w:hanging="425"/>
        <w:jc w:val="both"/>
        <w:rPr>
          <w:rFonts w:cstheme="minorHAnsi"/>
          <w:sz w:val="24"/>
          <w:szCs w:val="24"/>
        </w:rPr>
      </w:pPr>
      <w:r w:rsidRPr="00F51625">
        <w:rPr>
          <w:rFonts w:cstheme="minorHAnsi"/>
          <w:sz w:val="24"/>
          <w:szCs w:val="24"/>
        </w:rPr>
        <w:t>refuses or fails to take an oath when required; or</w:t>
      </w:r>
    </w:p>
    <w:p w14:paraId="5D34273B" w14:textId="77777777" w:rsidR="00405CDD" w:rsidRPr="00F51625" w:rsidRDefault="00405CDD" w:rsidP="006C6857">
      <w:pPr>
        <w:pStyle w:val="ListParagraph"/>
        <w:numPr>
          <w:ilvl w:val="3"/>
          <w:numId w:val="23"/>
        </w:numPr>
        <w:spacing w:after="0" w:line="276" w:lineRule="auto"/>
        <w:ind w:left="2552" w:hanging="425"/>
        <w:jc w:val="both"/>
        <w:rPr>
          <w:rFonts w:cstheme="minorHAnsi"/>
          <w:sz w:val="24"/>
          <w:szCs w:val="24"/>
        </w:rPr>
      </w:pPr>
      <w:r w:rsidRPr="00F51625">
        <w:rPr>
          <w:rFonts w:cstheme="minorHAnsi"/>
          <w:sz w:val="24"/>
          <w:szCs w:val="24"/>
        </w:rPr>
        <w:t>refuses or fails to answer a question relevant to the subject matter of the examination;</w:t>
      </w:r>
      <w:r w:rsidRPr="00F51625">
        <w:rPr>
          <w:rStyle w:val="FootnoteReference"/>
          <w:rFonts w:cstheme="minorHAnsi"/>
          <w:sz w:val="24"/>
          <w:szCs w:val="24"/>
        </w:rPr>
        <w:footnoteReference w:id="33"/>
      </w:r>
      <w:r w:rsidRPr="00F51625">
        <w:rPr>
          <w:rFonts w:cstheme="minorHAnsi"/>
          <w:sz w:val="24"/>
          <w:szCs w:val="24"/>
        </w:rPr>
        <w:t xml:space="preserve"> or</w:t>
      </w:r>
    </w:p>
    <w:p w14:paraId="34D1F899" w14:textId="77777777" w:rsidR="00405CDD" w:rsidRPr="00F51625" w:rsidRDefault="00405CDD" w:rsidP="006C6857">
      <w:pPr>
        <w:pStyle w:val="ListParagraph"/>
        <w:numPr>
          <w:ilvl w:val="3"/>
          <w:numId w:val="23"/>
        </w:numPr>
        <w:spacing w:after="0" w:line="276" w:lineRule="auto"/>
        <w:ind w:left="2552" w:hanging="425"/>
        <w:jc w:val="both"/>
        <w:rPr>
          <w:rFonts w:cstheme="minorHAnsi"/>
          <w:sz w:val="24"/>
          <w:szCs w:val="24"/>
        </w:rPr>
      </w:pPr>
      <w:r w:rsidRPr="00F51625">
        <w:rPr>
          <w:rFonts w:cstheme="minorHAnsi"/>
          <w:sz w:val="24"/>
          <w:szCs w:val="24"/>
        </w:rPr>
        <w:t>refuses or fails to produce a document or other thing as required by the examination summons; or</w:t>
      </w:r>
    </w:p>
    <w:p w14:paraId="763ACA37" w14:textId="77777777" w:rsidR="00405CDD" w:rsidRPr="00F51625" w:rsidRDefault="00405CDD" w:rsidP="006C6857">
      <w:pPr>
        <w:pStyle w:val="ListParagraph"/>
        <w:numPr>
          <w:ilvl w:val="0"/>
          <w:numId w:val="23"/>
        </w:numPr>
        <w:spacing w:after="0" w:line="276" w:lineRule="auto"/>
        <w:jc w:val="both"/>
        <w:rPr>
          <w:rFonts w:cstheme="minorHAnsi"/>
          <w:sz w:val="24"/>
          <w:szCs w:val="24"/>
        </w:rPr>
      </w:pPr>
      <w:r w:rsidRPr="00F51625">
        <w:rPr>
          <w:rFonts w:cstheme="minorHAnsi"/>
          <w:sz w:val="24"/>
          <w:szCs w:val="24"/>
        </w:rPr>
        <w:t>gives evidence at an examination that the person knows is false or misleading in a material particular; or</w:t>
      </w:r>
    </w:p>
    <w:p w14:paraId="486C8881" w14:textId="15445DD1" w:rsidR="00405CDD" w:rsidRPr="00F51625" w:rsidRDefault="00405CDD" w:rsidP="006C6857">
      <w:pPr>
        <w:pStyle w:val="ListParagraph"/>
        <w:numPr>
          <w:ilvl w:val="0"/>
          <w:numId w:val="23"/>
        </w:numPr>
        <w:spacing w:after="0" w:line="276" w:lineRule="auto"/>
        <w:jc w:val="both"/>
        <w:rPr>
          <w:rFonts w:cstheme="minorHAnsi"/>
          <w:sz w:val="24"/>
          <w:szCs w:val="24"/>
        </w:rPr>
      </w:pPr>
      <w:r w:rsidRPr="00F51625">
        <w:rPr>
          <w:rFonts w:cstheme="minorHAnsi"/>
          <w:sz w:val="24"/>
          <w:szCs w:val="24"/>
        </w:rPr>
        <w:t xml:space="preserve">obstructs or hinders the </w:t>
      </w:r>
      <w:r w:rsidR="00344143" w:rsidRPr="00F51625">
        <w:rPr>
          <w:rFonts w:cstheme="minorHAnsi"/>
          <w:sz w:val="24"/>
          <w:szCs w:val="24"/>
        </w:rPr>
        <w:t>C</w:t>
      </w:r>
      <w:r w:rsidRPr="00F51625">
        <w:rPr>
          <w:rFonts w:cstheme="minorHAnsi"/>
          <w:sz w:val="24"/>
          <w:szCs w:val="24"/>
        </w:rPr>
        <w:t xml:space="preserve">ommissioner in the performance of the </w:t>
      </w:r>
      <w:r w:rsidR="00344143" w:rsidRPr="00F51625">
        <w:rPr>
          <w:rFonts w:cstheme="minorHAnsi"/>
          <w:sz w:val="24"/>
          <w:szCs w:val="24"/>
        </w:rPr>
        <w:t>C</w:t>
      </w:r>
      <w:r w:rsidRPr="00F51625">
        <w:rPr>
          <w:rFonts w:cstheme="minorHAnsi"/>
          <w:sz w:val="24"/>
          <w:szCs w:val="24"/>
        </w:rPr>
        <w:t>ommissioner’s functions at an examination; or</w:t>
      </w:r>
    </w:p>
    <w:p w14:paraId="06BDA5B1" w14:textId="77777777" w:rsidR="00405CDD" w:rsidRPr="00F51625" w:rsidRDefault="00405CDD" w:rsidP="006C6857">
      <w:pPr>
        <w:pStyle w:val="ListParagraph"/>
        <w:numPr>
          <w:ilvl w:val="0"/>
          <w:numId w:val="23"/>
        </w:numPr>
        <w:spacing w:after="0" w:line="276" w:lineRule="auto"/>
        <w:jc w:val="both"/>
        <w:rPr>
          <w:rFonts w:cstheme="minorHAnsi"/>
          <w:sz w:val="24"/>
          <w:szCs w:val="24"/>
        </w:rPr>
      </w:pPr>
      <w:r w:rsidRPr="00F51625">
        <w:rPr>
          <w:rFonts w:cstheme="minorHAnsi"/>
          <w:sz w:val="24"/>
          <w:szCs w:val="24"/>
        </w:rPr>
        <w:t>disrupts an examination; or</w:t>
      </w:r>
    </w:p>
    <w:p w14:paraId="348A2F33" w14:textId="77777777" w:rsidR="00405CDD" w:rsidRPr="00F51625" w:rsidRDefault="00405CDD" w:rsidP="006C6857">
      <w:pPr>
        <w:pStyle w:val="ListParagraph"/>
        <w:numPr>
          <w:ilvl w:val="0"/>
          <w:numId w:val="23"/>
        </w:numPr>
        <w:spacing w:after="0" w:line="276" w:lineRule="auto"/>
        <w:jc w:val="both"/>
        <w:rPr>
          <w:rFonts w:cstheme="minorHAnsi"/>
          <w:sz w:val="24"/>
          <w:szCs w:val="24"/>
        </w:rPr>
      </w:pPr>
      <w:r w:rsidRPr="00F51625">
        <w:rPr>
          <w:rFonts w:cstheme="minorHAnsi"/>
          <w:sz w:val="24"/>
          <w:szCs w:val="24"/>
        </w:rPr>
        <w:t>threatens a person present at an examination.</w:t>
      </w:r>
    </w:p>
    <w:p w14:paraId="34417E56" w14:textId="77777777" w:rsidR="00405CDD" w:rsidRPr="00F51625" w:rsidRDefault="00405CDD" w:rsidP="006C6857">
      <w:pPr>
        <w:pStyle w:val="ListParagraph"/>
        <w:spacing w:after="0" w:line="276" w:lineRule="auto"/>
        <w:ind w:left="426"/>
        <w:jc w:val="both"/>
        <w:rPr>
          <w:rFonts w:cstheme="minorHAnsi"/>
          <w:color w:val="C00000"/>
          <w:sz w:val="24"/>
          <w:szCs w:val="24"/>
        </w:rPr>
      </w:pPr>
    </w:p>
    <w:p w14:paraId="128F939F" w14:textId="6AA7A8EF" w:rsidR="00FD7DA8" w:rsidRPr="00F51625" w:rsidRDefault="00C85ED1" w:rsidP="00FD7DA8">
      <w:pPr>
        <w:spacing w:line="276" w:lineRule="auto"/>
        <w:ind w:left="720" w:hanging="720"/>
        <w:jc w:val="both"/>
        <w:rPr>
          <w:rFonts w:cstheme="minorHAnsi"/>
          <w:sz w:val="24"/>
          <w:szCs w:val="24"/>
        </w:rPr>
      </w:pPr>
      <w:r>
        <w:rPr>
          <w:rFonts w:cstheme="minorHAnsi"/>
          <w:sz w:val="24"/>
          <w:szCs w:val="24"/>
        </w:rPr>
        <w:t>9</w:t>
      </w:r>
      <w:r w:rsidR="00FD7DA8" w:rsidRPr="00F51625">
        <w:rPr>
          <w:rFonts w:cstheme="minorHAnsi"/>
          <w:sz w:val="24"/>
          <w:szCs w:val="24"/>
        </w:rPr>
        <w:t>.2</w:t>
      </w:r>
      <w:r w:rsidR="00FD7DA8" w:rsidRPr="00F51625">
        <w:rPr>
          <w:rFonts w:cstheme="minorHAnsi"/>
          <w:sz w:val="24"/>
          <w:szCs w:val="24"/>
        </w:rPr>
        <w:tab/>
      </w:r>
      <w:r w:rsidR="00405CDD" w:rsidRPr="00F51625">
        <w:rPr>
          <w:rFonts w:cstheme="minorHAnsi"/>
          <w:sz w:val="24"/>
          <w:szCs w:val="24"/>
        </w:rPr>
        <w:t>Section 167 enables the Commission to apply to the Supreme Court to deal with an alleged contempt.  An application must be accompanied by a certificate (a contempt certificate) that states the grounds for making the application and the evidence in support of the application.  The Supreme Court is to deal with a contempt of the Commission as if it were a contempt of the Supreme Court.</w:t>
      </w:r>
    </w:p>
    <w:p w14:paraId="18BC1450" w14:textId="13BA9E6A" w:rsidR="00FD7DA8" w:rsidRPr="00F51625" w:rsidRDefault="00C85ED1" w:rsidP="00FD7DA8">
      <w:pPr>
        <w:spacing w:line="276" w:lineRule="auto"/>
        <w:ind w:left="720" w:hanging="720"/>
        <w:jc w:val="both"/>
        <w:rPr>
          <w:rFonts w:cstheme="minorHAnsi"/>
          <w:sz w:val="24"/>
          <w:szCs w:val="24"/>
        </w:rPr>
      </w:pPr>
      <w:r>
        <w:rPr>
          <w:rFonts w:cstheme="minorHAnsi"/>
          <w:sz w:val="24"/>
          <w:szCs w:val="24"/>
        </w:rPr>
        <w:t>9</w:t>
      </w:r>
      <w:r w:rsidR="00FD7DA8" w:rsidRPr="00F51625">
        <w:rPr>
          <w:rFonts w:cstheme="minorHAnsi"/>
          <w:sz w:val="24"/>
          <w:szCs w:val="24"/>
        </w:rPr>
        <w:t>.3</w:t>
      </w:r>
      <w:r w:rsidR="00FD7DA8" w:rsidRPr="00F51625">
        <w:rPr>
          <w:rFonts w:cstheme="minorHAnsi"/>
          <w:sz w:val="24"/>
          <w:szCs w:val="24"/>
        </w:rPr>
        <w:tab/>
      </w:r>
      <w:r w:rsidR="00405CDD" w:rsidRPr="00F51625">
        <w:rPr>
          <w:rFonts w:cstheme="minorHAnsi"/>
          <w:sz w:val="24"/>
          <w:szCs w:val="24"/>
        </w:rPr>
        <w:t>‘Offences’ of contempt of court are brought within the civil jurisdiction of the Supreme Court.  Despite this, the standard of proof for all contempts (both ‘civil’ and ‘criminal’) is beyond reasonable doubt and all elements of the offence must be proven.</w:t>
      </w:r>
      <w:r w:rsidR="00405CDD" w:rsidRPr="00F51625">
        <w:rPr>
          <w:rStyle w:val="FootnoteReference"/>
          <w:rFonts w:cstheme="minorHAnsi"/>
          <w:sz w:val="24"/>
          <w:szCs w:val="24"/>
        </w:rPr>
        <w:footnoteReference w:id="34"/>
      </w:r>
      <w:r w:rsidR="00405CDD" w:rsidRPr="00F51625">
        <w:rPr>
          <w:rFonts w:cstheme="minorHAnsi"/>
          <w:sz w:val="24"/>
          <w:szCs w:val="24"/>
        </w:rPr>
        <w:t xml:space="preserve">  </w:t>
      </w:r>
      <w:r w:rsidR="00405CDD" w:rsidRPr="00F51625">
        <w:rPr>
          <w:rFonts w:cstheme="minorHAnsi"/>
          <w:sz w:val="24"/>
          <w:szCs w:val="24"/>
        </w:rPr>
        <w:lastRenderedPageBreak/>
        <w:t xml:space="preserve">Contempt of court is a common law offence and there is no maximum penalty, subject to the </w:t>
      </w:r>
      <w:r w:rsidR="00405CDD" w:rsidRPr="00F51625">
        <w:rPr>
          <w:rFonts w:cstheme="minorHAnsi"/>
          <w:i/>
          <w:iCs/>
          <w:sz w:val="24"/>
          <w:szCs w:val="24"/>
        </w:rPr>
        <w:t>Bill of Rights 1688</w:t>
      </w:r>
      <w:r w:rsidR="00405CDD" w:rsidRPr="00F51625">
        <w:rPr>
          <w:rFonts w:cstheme="minorHAnsi"/>
          <w:sz w:val="24"/>
          <w:szCs w:val="24"/>
        </w:rPr>
        <w:t>.</w:t>
      </w:r>
      <w:r w:rsidR="00405CDD" w:rsidRPr="00F51625">
        <w:rPr>
          <w:rStyle w:val="FootnoteReference"/>
          <w:rFonts w:cstheme="minorHAnsi"/>
          <w:sz w:val="24"/>
          <w:szCs w:val="24"/>
        </w:rPr>
        <w:footnoteReference w:id="35"/>
      </w:r>
      <w:r w:rsidR="00405CDD" w:rsidRPr="00F51625">
        <w:rPr>
          <w:rFonts w:cstheme="minorHAnsi"/>
          <w:sz w:val="24"/>
          <w:szCs w:val="24"/>
        </w:rPr>
        <w:t xml:space="preserve">  However, r 2506(2) of the </w:t>
      </w:r>
      <w:r w:rsidR="00405CDD" w:rsidRPr="00F51625">
        <w:rPr>
          <w:rFonts w:cstheme="minorHAnsi"/>
          <w:i/>
          <w:iCs/>
          <w:sz w:val="24"/>
          <w:szCs w:val="24"/>
        </w:rPr>
        <w:t>Court Procedures Rules 2006</w:t>
      </w:r>
      <w:r w:rsidR="00405CDD" w:rsidRPr="00F51625">
        <w:rPr>
          <w:rFonts w:cstheme="minorHAnsi"/>
          <w:sz w:val="24"/>
          <w:szCs w:val="24"/>
        </w:rPr>
        <w:t xml:space="preserve"> </w:t>
      </w:r>
      <w:r w:rsidR="00344143" w:rsidRPr="00F51625">
        <w:rPr>
          <w:rFonts w:cstheme="minorHAnsi"/>
          <w:sz w:val="24"/>
          <w:szCs w:val="24"/>
        </w:rPr>
        <w:t xml:space="preserve">(ACT) </w:t>
      </w:r>
      <w:r w:rsidR="00405CDD" w:rsidRPr="00F51625">
        <w:rPr>
          <w:rFonts w:cstheme="minorHAnsi"/>
          <w:sz w:val="24"/>
          <w:szCs w:val="24"/>
        </w:rPr>
        <w:t>(</w:t>
      </w:r>
      <w:r w:rsidR="00405CDD" w:rsidRPr="00F51625">
        <w:rPr>
          <w:rFonts w:cstheme="minorHAnsi"/>
          <w:b/>
          <w:bCs/>
          <w:sz w:val="24"/>
          <w:szCs w:val="24"/>
        </w:rPr>
        <w:t>Rules</w:t>
      </w:r>
      <w:r w:rsidR="00405CDD" w:rsidRPr="00F51625">
        <w:rPr>
          <w:rFonts w:cstheme="minorHAnsi"/>
          <w:sz w:val="24"/>
          <w:szCs w:val="24"/>
        </w:rPr>
        <w:t>) states i</w:t>
      </w:r>
      <w:r w:rsidR="00405CDD" w:rsidRPr="00F51625">
        <w:rPr>
          <w:rFonts w:eastAsia="Times New Roman" w:cstheme="minorHAnsi"/>
          <w:sz w:val="24"/>
          <w:szCs w:val="24"/>
        </w:rPr>
        <w:t xml:space="preserve">f a person is found guilty of contempt, the court may punish the </w:t>
      </w:r>
      <w:r w:rsidR="00451B87" w:rsidRPr="00F51625">
        <w:rPr>
          <w:rFonts w:eastAsia="Times New Roman" w:cstheme="minorHAnsi"/>
          <w:sz w:val="24"/>
          <w:szCs w:val="24"/>
        </w:rPr>
        <w:t>person</w:t>
      </w:r>
      <w:r w:rsidR="00405CDD" w:rsidRPr="00F51625">
        <w:rPr>
          <w:rFonts w:eastAsia="Times New Roman" w:cstheme="minorHAnsi"/>
          <w:sz w:val="24"/>
          <w:szCs w:val="24"/>
        </w:rPr>
        <w:t xml:space="preserve"> by making an order that may be made under the </w:t>
      </w:r>
      <w:hyperlink r:id="rId8" w:tooltip="A2005-58" w:history="1">
        <w:r w:rsidR="00405CDD" w:rsidRPr="00F51625">
          <w:rPr>
            <w:rFonts w:eastAsia="Times New Roman" w:cstheme="minorHAnsi"/>
            <w:i/>
            <w:sz w:val="24"/>
            <w:szCs w:val="24"/>
          </w:rPr>
          <w:t>Crimes (Sentencing) Act 2005</w:t>
        </w:r>
      </w:hyperlink>
      <w:r w:rsidR="00344143" w:rsidRPr="00F51625">
        <w:rPr>
          <w:rFonts w:eastAsia="Times New Roman" w:cstheme="minorHAnsi"/>
          <w:i/>
          <w:sz w:val="24"/>
          <w:szCs w:val="24"/>
        </w:rPr>
        <w:t xml:space="preserve"> </w:t>
      </w:r>
      <w:r w:rsidR="00344143" w:rsidRPr="00F51625">
        <w:rPr>
          <w:rFonts w:eastAsia="Times New Roman" w:cstheme="minorHAnsi"/>
          <w:iCs/>
          <w:sz w:val="24"/>
          <w:szCs w:val="24"/>
        </w:rPr>
        <w:t>(ACT)</w:t>
      </w:r>
      <w:r w:rsidR="00405CDD" w:rsidRPr="00F51625">
        <w:rPr>
          <w:rFonts w:eastAsia="Times New Roman" w:cstheme="minorHAnsi"/>
          <w:sz w:val="24"/>
          <w:szCs w:val="24"/>
        </w:rPr>
        <w:t>.</w:t>
      </w:r>
    </w:p>
    <w:p w14:paraId="42831EB7" w14:textId="581B4D03" w:rsidR="00405CDD" w:rsidRPr="00943E60" w:rsidRDefault="00C85ED1" w:rsidP="00FD7DA8">
      <w:pPr>
        <w:spacing w:line="276" w:lineRule="auto"/>
        <w:ind w:left="720" w:hanging="720"/>
        <w:jc w:val="both"/>
        <w:rPr>
          <w:rFonts w:eastAsia="Times New Roman" w:cstheme="minorHAnsi"/>
          <w:sz w:val="24"/>
          <w:szCs w:val="24"/>
        </w:rPr>
      </w:pPr>
      <w:r>
        <w:rPr>
          <w:rFonts w:cstheme="minorHAnsi"/>
          <w:sz w:val="24"/>
          <w:szCs w:val="24"/>
        </w:rPr>
        <w:t>9</w:t>
      </w:r>
      <w:r w:rsidR="00FD7DA8" w:rsidRPr="00F51625">
        <w:rPr>
          <w:rFonts w:cstheme="minorHAnsi"/>
          <w:sz w:val="24"/>
          <w:szCs w:val="24"/>
        </w:rPr>
        <w:t>.4</w:t>
      </w:r>
      <w:r w:rsidR="00FD7DA8" w:rsidRPr="00F51625">
        <w:rPr>
          <w:rFonts w:cstheme="minorHAnsi"/>
          <w:sz w:val="24"/>
          <w:szCs w:val="24"/>
        </w:rPr>
        <w:tab/>
      </w:r>
      <w:r w:rsidR="00405CDD" w:rsidRPr="00F51625">
        <w:rPr>
          <w:rFonts w:cstheme="minorHAnsi"/>
          <w:sz w:val="24"/>
          <w:szCs w:val="24"/>
        </w:rPr>
        <w:t>Division 2.18.16 of the Rules outlines the procedure for the Supreme Court dealing with applications for contempt of the court.  Rule 2500 states that the division relates to:</w:t>
      </w:r>
    </w:p>
    <w:p w14:paraId="3B3E2ECB" w14:textId="77777777" w:rsidR="00405CDD" w:rsidRPr="0038534B" w:rsidRDefault="00405CDD" w:rsidP="006C6857">
      <w:pPr>
        <w:pStyle w:val="ListParagraph"/>
        <w:numPr>
          <w:ilvl w:val="0"/>
          <w:numId w:val="25"/>
        </w:numPr>
        <w:spacing w:after="200" w:line="276" w:lineRule="auto"/>
        <w:jc w:val="both"/>
        <w:rPr>
          <w:rFonts w:cstheme="minorHAnsi"/>
          <w:sz w:val="24"/>
          <w:szCs w:val="24"/>
        </w:rPr>
      </w:pPr>
      <w:r w:rsidRPr="0038534B">
        <w:rPr>
          <w:rFonts w:cstheme="minorHAnsi"/>
          <w:sz w:val="24"/>
          <w:szCs w:val="24"/>
        </w:rPr>
        <w:t>contempt for contravention of an order of the court or an undertaking given to the court;</w:t>
      </w:r>
    </w:p>
    <w:p w14:paraId="5B95F331" w14:textId="77777777" w:rsidR="00405CDD" w:rsidRPr="0038534B" w:rsidRDefault="00405CDD" w:rsidP="006C6857">
      <w:pPr>
        <w:pStyle w:val="ListParagraph"/>
        <w:numPr>
          <w:ilvl w:val="0"/>
          <w:numId w:val="25"/>
        </w:numPr>
        <w:spacing w:after="200" w:line="276" w:lineRule="auto"/>
        <w:jc w:val="both"/>
        <w:rPr>
          <w:rFonts w:cstheme="minorHAnsi"/>
          <w:sz w:val="24"/>
          <w:szCs w:val="24"/>
        </w:rPr>
      </w:pPr>
      <w:r w:rsidRPr="0038534B">
        <w:rPr>
          <w:rFonts w:cstheme="minorHAnsi"/>
          <w:sz w:val="24"/>
          <w:szCs w:val="24"/>
        </w:rPr>
        <w:t>contempt committed in the face or hearing of the court;</w:t>
      </w:r>
    </w:p>
    <w:p w14:paraId="0E0C0C5A" w14:textId="3C416C98" w:rsidR="006C362C" w:rsidRPr="0038534B" w:rsidRDefault="00405CDD" w:rsidP="006C6857">
      <w:pPr>
        <w:pStyle w:val="ListParagraph"/>
        <w:numPr>
          <w:ilvl w:val="0"/>
          <w:numId w:val="25"/>
        </w:numPr>
        <w:spacing w:after="200" w:line="276" w:lineRule="auto"/>
        <w:jc w:val="both"/>
        <w:rPr>
          <w:rFonts w:cstheme="minorHAnsi"/>
          <w:sz w:val="24"/>
          <w:szCs w:val="24"/>
        </w:rPr>
      </w:pPr>
      <w:r w:rsidRPr="0038534B">
        <w:rPr>
          <w:rFonts w:cstheme="minorHAnsi"/>
          <w:sz w:val="24"/>
          <w:szCs w:val="24"/>
        </w:rPr>
        <w:t>any other contempt of court</w:t>
      </w:r>
      <w:r w:rsidR="006C362C" w:rsidRPr="0038534B">
        <w:rPr>
          <w:rFonts w:cstheme="minorHAnsi"/>
          <w:sz w:val="24"/>
          <w:szCs w:val="24"/>
        </w:rPr>
        <w:t xml:space="preserve">; </w:t>
      </w:r>
    </w:p>
    <w:p w14:paraId="238519F1" w14:textId="54BF4247" w:rsidR="006C362C" w:rsidRPr="0038534B" w:rsidRDefault="006C362C" w:rsidP="006C6857">
      <w:pPr>
        <w:pStyle w:val="ListParagraph"/>
        <w:numPr>
          <w:ilvl w:val="0"/>
          <w:numId w:val="25"/>
        </w:numPr>
        <w:spacing w:after="200" w:line="276" w:lineRule="auto"/>
        <w:jc w:val="both"/>
        <w:rPr>
          <w:rFonts w:cstheme="minorHAnsi"/>
          <w:sz w:val="24"/>
          <w:szCs w:val="24"/>
        </w:rPr>
      </w:pPr>
      <w:r w:rsidRPr="0038534B">
        <w:rPr>
          <w:sz w:val="24"/>
          <w:szCs w:val="24"/>
        </w:rPr>
        <w:t xml:space="preserve">contempt of the Australian Crime Commission under the </w:t>
      </w:r>
      <w:r w:rsidRPr="0038534B">
        <w:rPr>
          <w:i/>
          <w:iCs/>
          <w:sz w:val="24"/>
          <w:szCs w:val="24"/>
        </w:rPr>
        <w:t>Australian Crime Commission Act 2002</w:t>
      </w:r>
      <w:r w:rsidRPr="0038534B">
        <w:rPr>
          <w:sz w:val="24"/>
          <w:szCs w:val="24"/>
        </w:rPr>
        <w:t xml:space="preserve"> (Cth), s 34A; and</w:t>
      </w:r>
    </w:p>
    <w:p w14:paraId="229F89A7" w14:textId="67EC6E91" w:rsidR="00405CDD" w:rsidRPr="0038534B" w:rsidRDefault="006C362C" w:rsidP="006C6857">
      <w:pPr>
        <w:pStyle w:val="ListParagraph"/>
        <w:numPr>
          <w:ilvl w:val="0"/>
          <w:numId w:val="25"/>
        </w:numPr>
        <w:spacing w:after="200" w:line="276" w:lineRule="auto"/>
        <w:jc w:val="both"/>
        <w:rPr>
          <w:rFonts w:cstheme="minorHAnsi"/>
          <w:sz w:val="24"/>
          <w:szCs w:val="24"/>
        </w:rPr>
      </w:pPr>
      <w:r w:rsidRPr="0038534B">
        <w:rPr>
          <w:sz w:val="24"/>
          <w:szCs w:val="24"/>
        </w:rPr>
        <w:t>contempt of the Commission under the Act (s 166).</w:t>
      </w:r>
      <w:r w:rsidR="00405CDD" w:rsidRPr="0038534B">
        <w:rPr>
          <w:rFonts w:cstheme="minorHAnsi"/>
          <w:sz w:val="24"/>
          <w:szCs w:val="24"/>
        </w:rPr>
        <w:t xml:space="preserve">  </w:t>
      </w:r>
    </w:p>
    <w:p w14:paraId="2561D4D5" w14:textId="77777777" w:rsidR="00405CDD" w:rsidRPr="00F51625" w:rsidRDefault="00405CDD" w:rsidP="006C6857">
      <w:pPr>
        <w:pStyle w:val="ListParagraph"/>
        <w:spacing w:after="0" w:line="276" w:lineRule="auto"/>
        <w:ind w:left="426"/>
        <w:jc w:val="both"/>
        <w:rPr>
          <w:rFonts w:cstheme="minorHAnsi"/>
          <w:color w:val="C00000"/>
          <w:sz w:val="24"/>
          <w:szCs w:val="24"/>
        </w:rPr>
      </w:pPr>
    </w:p>
    <w:p w14:paraId="352EC15A" w14:textId="77777777" w:rsidR="00405CDD" w:rsidRPr="00F51625" w:rsidRDefault="00405CDD" w:rsidP="00FD7DA8">
      <w:pPr>
        <w:pStyle w:val="OMHeading3"/>
        <w:numPr>
          <w:ilvl w:val="0"/>
          <w:numId w:val="0"/>
        </w:numPr>
        <w:spacing w:line="276" w:lineRule="auto"/>
        <w:jc w:val="both"/>
        <w:rPr>
          <w:sz w:val="24"/>
          <w:szCs w:val="24"/>
        </w:rPr>
      </w:pPr>
      <w:bookmarkStart w:id="14" w:name="_Toc11247334"/>
      <w:r w:rsidRPr="00F51625">
        <w:rPr>
          <w:sz w:val="24"/>
          <w:szCs w:val="24"/>
        </w:rPr>
        <w:t>Conduct constituting both contempt and an offence</w:t>
      </w:r>
      <w:bookmarkEnd w:id="14"/>
    </w:p>
    <w:p w14:paraId="5DBC6898" w14:textId="77777777" w:rsidR="00405CDD" w:rsidRPr="00F51625" w:rsidRDefault="00405CDD" w:rsidP="006C6857">
      <w:pPr>
        <w:pStyle w:val="ListParagraph"/>
        <w:spacing w:after="0" w:line="276" w:lineRule="auto"/>
        <w:ind w:left="426"/>
        <w:jc w:val="both"/>
        <w:rPr>
          <w:rFonts w:cstheme="minorHAnsi"/>
          <w:sz w:val="24"/>
          <w:szCs w:val="24"/>
        </w:rPr>
      </w:pPr>
    </w:p>
    <w:p w14:paraId="20057353" w14:textId="324A797A" w:rsidR="00405CDD" w:rsidRPr="00F51625" w:rsidRDefault="00C85ED1" w:rsidP="00FD7DA8">
      <w:pPr>
        <w:spacing w:after="0" w:line="276" w:lineRule="auto"/>
        <w:ind w:left="720" w:hanging="720"/>
        <w:jc w:val="both"/>
        <w:rPr>
          <w:rFonts w:cstheme="minorHAnsi"/>
          <w:sz w:val="24"/>
          <w:szCs w:val="24"/>
        </w:rPr>
      </w:pPr>
      <w:r>
        <w:rPr>
          <w:rFonts w:cstheme="minorHAnsi"/>
          <w:sz w:val="24"/>
          <w:szCs w:val="24"/>
        </w:rPr>
        <w:t>9</w:t>
      </w:r>
      <w:r w:rsidR="00FD7DA8" w:rsidRPr="00F51625">
        <w:rPr>
          <w:rFonts w:cstheme="minorHAnsi"/>
          <w:sz w:val="24"/>
          <w:szCs w:val="24"/>
        </w:rPr>
        <w:t>.5</w:t>
      </w:r>
      <w:r w:rsidR="00FD7DA8" w:rsidRPr="00F51625">
        <w:rPr>
          <w:rFonts w:cstheme="minorHAnsi"/>
          <w:sz w:val="24"/>
          <w:szCs w:val="24"/>
        </w:rPr>
        <w:tab/>
      </w:r>
      <w:r w:rsidR="00405CDD" w:rsidRPr="00F51625">
        <w:rPr>
          <w:rFonts w:cstheme="minorHAnsi"/>
          <w:sz w:val="24"/>
          <w:szCs w:val="24"/>
        </w:rPr>
        <w:t xml:space="preserve">Some of conduct which may constitute contempt may also be punishable as </w:t>
      </w:r>
      <w:r w:rsidR="00FD7DA8" w:rsidRPr="00F51625">
        <w:rPr>
          <w:rFonts w:cstheme="minorHAnsi"/>
          <w:sz w:val="24"/>
          <w:szCs w:val="24"/>
        </w:rPr>
        <w:t xml:space="preserve">a </w:t>
      </w:r>
      <w:r w:rsidR="00405CDD" w:rsidRPr="00F51625">
        <w:rPr>
          <w:rFonts w:cstheme="minorHAnsi"/>
          <w:sz w:val="24"/>
          <w:szCs w:val="24"/>
        </w:rPr>
        <w:t xml:space="preserve">criminal offence.  Section 170 of the Act provides that an act or omission that is punishable as an offence and a contempt may be punished as either, but not both.  </w:t>
      </w:r>
    </w:p>
    <w:p w14:paraId="0C260468" w14:textId="77777777" w:rsidR="00405CDD" w:rsidRPr="00F51625" w:rsidRDefault="00405CDD" w:rsidP="006C6857">
      <w:pPr>
        <w:pStyle w:val="ListParagraph"/>
        <w:spacing w:after="0" w:line="276" w:lineRule="auto"/>
        <w:ind w:left="426"/>
        <w:jc w:val="both"/>
        <w:rPr>
          <w:rFonts w:cstheme="minorHAnsi"/>
          <w:sz w:val="24"/>
          <w:szCs w:val="24"/>
        </w:rPr>
      </w:pPr>
    </w:p>
    <w:p w14:paraId="1EC6F691" w14:textId="51482811" w:rsidR="00FD7DA8" w:rsidRPr="00F51625" w:rsidRDefault="00C85ED1" w:rsidP="00FD7DA8">
      <w:pPr>
        <w:spacing w:after="0" w:line="276" w:lineRule="auto"/>
        <w:ind w:left="720" w:hanging="720"/>
        <w:jc w:val="both"/>
        <w:rPr>
          <w:rFonts w:cstheme="minorHAnsi"/>
          <w:sz w:val="24"/>
          <w:szCs w:val="24"/>
        </w:rPr>
      </w:pPr>
      <w:r>
        <w:rPr>
          <w:rFonts w:cstheme="minorHAnsi"/>
          <w:sz w:val="24"/>
          <w:szCs w:val="24"/>
        </w:rPr>
        <w:t>9</w:t>
      </w:r>
      <w:r w:rsidR="00FD7DA8" w:rsidRPr="00F51625">
        <w:rPr>
          <w:rFonts w:cstheme="minorHAnsi"/>
          <w:sz w:val="24"/>
          <w:szCs w:val="24"/>
        </w:rPr>
        <w:t>.6</w:t>
      </w:r>
      <w:r w:rsidR="00FD7DA8" w:rsidRPr="00F51625">
        <w:rPr>
          <w:rFonts w:cstheme="minorHAnsi"/>
          <w:sz w:val="24"/>
          <w:szCs w:val="24"/>
        </w:rPr>
        <w:tab/>
      </w:r>
      <w:r w:rsidR="00405CDD" w:rsidRPr="00F51625">
        <w:rPr>
          <w:rFonts w:cstheme="minorHAnsi"/>
          <w:sz w:val="24"/>
          <w:szCs w:val="24"/>
        </w:rPr>
        <w:t xml:space="preserve">Offences that may be committed during an examination include those in Chapter 7 of the </w:t>
      </w:r>
      <w:r w:rsidR="00405CDD" w:rsidRPr="00F51625">
        <w:rPr>
          <w:rFonts w:cstheme="minorHAnsi"/>
          <w:i/>
          <w:iCs/>
          <w:sz w:val="24"/>
          <w:szCs w:val="24"/>
        </w:rPr>
        <w:t>Criminal Code 2002</w:t>
      </w:r>
      <w:r w:rsidR="00344143" w:rsidRPr="00F51625">
        <w:rPr>
          <w:rFonts w:cstheme="minorHAnsi"/>
          <w:i/>
          <w:iCs/>
          <w:sz w:val="24"/>
          <w:szCs w:val="24"/>
        </w:rPr>
        <w:t xml:space="preserve"> </w:t>
      </w:r>
      <w:r w:rsidR="00344143" w:rsidRPr="00F51625">
        <w:rPr>
          <w:rFonts w:cstheme="minorHAnsi"/>
          <w:sz w:val="24"/>
          <w:szCs w:val="24"/>
        </w:rPr>
        <w:t>(ACT)</w:t>
      </w:r>
      <w:r w:rsidR="00405CDD" w:rsidRPr="00F51625">
        <w:rPr>
          <w:rFonts w:cstheme="minorHAnsi"/>
          <w:sz w:val="24"/>
          <w:szCs w:val="24"/>
        </w:rPr>
        <w:t xml:space="preserve"> (</w:t>
      </w:r>
      <w:r w:rsidR="00405CDD" w:rsidRPr="00F51625">
        <w:rPr>
          <w:rFonts w:cstheme="minorHAnsi"/>
          <w:b/>
          <w:bCs/>
          <w:sz w:val="24"/>
          <w:szCs w:val="24"/>
        </w:rPr>
        <w:t>Code</w:t>
      </w:r>
      <w:r w:rsidR="00405CDD" w:rsidRPr="00F51625">
        <w:rPr>
          <w:rFonts w:cstheme="minorHAnsi"/>
          <w:sz w:val="24"/>
          <w:szCs w:val="24"/>
        </w:rPr>
        <w:t>).  An examination before the Commission is a legal proceeding for the Code, Ch 7.</w:t>
      </w:r>
      <w:r w:rsidR="00405CDD" w:rsidRPr="00F51625">
        <w:rPr>
          <w:rStyle w:val="FootnoteReference"/>
          <w:rFonts w:cstheme="minorHAnsi"/>
          <w:sz w:val="24"/>
          <w:szCs w:val="24"/>
        </w:rPr>
        <w:footnoteReference w:id="36"/>
      </w:r>
      <w:r w:rsidR="00405CDD" w:rsidRPr="00F51625">
        <w:rPr>
          <w:rFonts w:cstheme="minorHAnsi"/>
          <w:sz w:val="24"/>
          <w:szCs w:val="24"/>
        </w:rPr>
        <w:t xml:space="preserve">  </w:t>
      </w:r>
    </w:p>
    <w:p w14:paraId="2B6D1DF4" w14:textId="77777777" w:rsidR="00FD7DA8" w:rsidRPr="00F51625" w:rsidRDefault="00FD7DA8" w:rsidP="00FD7DA8">
      <w:pPr>
        <w:spacing w:after="0" w:line="276" w:lineRule="auto"/>
        <w:ind w:left="720" w:hanging="720"/>
        <w:jc w:val="both"/>
        <w:rPr>
          <w:rFonts w:cstheme="minorHAnsi"/>
          <w:sz w:val="24"/>
          <w:szCs w:val="24"/>
        </w:rPr>
      </w:pPr>
    </w:p>
    <w:p w14:paraId="2EA87FB1" w14:textId="2BE1341F" w:rsidR="00405CDD" w:rsidRPr="00F51625" w:rsidRDefault="00C85ED1" w:rsidP="00FD7DA8">
      <w:pPr>
        <w:spacing w:after="0" w:line="276" w:lineRule="auto"/>
        <w:ind w:left="720" w:hanging="720"/>
        <w:jc w:val="both"/>
        <w:rPr>
          <w:rFonts w:cstheme="minorHAnsi"/>
          <w:sz w:val="24"/>
          <w:szCs w:val="24"/>
        </w:rPr>
      </w:pPr>
      <w:r>
        <w:rPr>
          <w:rFonts w:cstheme="minorHAnsi"/>
          <w:sz w:val="24"/>
          <w:szCs w:val="24"/>
        </w:rPr>
        <w:t>9</w:t>
      </w:r>
      <w:r w:rsidR="00FD7DA8" w:rsidRPr="00F51625">
        <w:rPr>
          <w:rFonts w:cstheme="minorHAnsi"/>
          <w:sz w:val="24"/>
          <w:szCs w:val="24"/>
        </w:rPr>
        <w:t>.7</w:t>
      </w:r>
      <w:r w:rsidR="00FD7DA8" w:rsidRPr="00F51625">
        <w:rPr>
          <w:rFonts w:cstheme="minorHAnsi"/>
          <w:sz w:val="24"/>
          <w:szCs w:val="24"/>
        </w:rPr>
        <w:tab/>
      </w:r>
      <w:r w:rsidR="00405CDD" w:rsidRPr="00F51625">
        <w:rPr>
          <w:rFonts w:cstheme="minorHAnsi"/>
          <w:sz w:val="24"/>
          <w:szCs w:val="24"/>
        </w:rPr>
        <w:t xml:space="preserve">Where a person engages in conduct which may be punishable as contempt or a specific offence, </w:t>
      </w:r>
      <w:r w:rsidR="009F1BD7" w:rsidRPr="00F51625">
        <w:rPr>
          <w:rFonts w:cstheme="minorHAnsi"/>
          <w:sz w:val="24"/>
          <w:szCs w:val="24"/>
        </w:rPr>
        <w:t>C</w:t>
      </w:r>
      <w:r w:rsidR="00405CDD" w:rsidRPr="00F51625">
        <w:rPr>
          <w:rFonts w:cstheme="minorHAnsi"/>
          <w:sz w:val="24"/>
          <w:szCs w:val="24"/>
        </w:rPr>
        <w:t xml:space="preserve">ounsel </w:t>
      </w:r>
      <w:r w:rsidR="009F1BD7" w:rsidRPr="00F51625">
        <w:rPr>
          <w:rFonts w:cstheme="minorHAnsi"/>
          <w:sz w:val="24"/>
          <w:szCs w:val="24"/>
        </w:rPr>
        <w:t>A</w:t>
      </w:r>
      <w:r w:rsidR="00405CDD" w:rsidRPr="00F51625">
        <w:rPr>
          <w:rFonts w:cstheme="minorHAnsi"/>
          <w:sz w:val="24"/>
          <w:szCs w:val="24"/>
        </w:rPr>
        <w:t>ssisting should be prepared to make submissions as to which avenue of punishment (if any) is the most appropriate, having regard to the purposes and objectives of the investigation.</w:t>
      </w:r>
    </w:p>
    <w:p w14:paraId="113768C5" w14:textId="77777777" w:rsidR="00405CDD" w:rsidRPr="00F51625" w:rsidRDefault="00405CDD" w:rsidP="006C6857">
      <w:pPr>
        <w:spacing w:after="0" w:line="276" w:lineRule="auto"/>
        <w:jc w:val="both"/>
        <w:rPr>
          <w:rFonts w:cstheme="minorHAnsi"/>
          <w:color w:val="C00000"/>
          <w:sz w:val="24"/>
          <w:szCs w:val="24"/>
        </w:rPr>
      </w:pPr>
    </w:p>
    <w:p w14:paraId="15BAFB47" w14:textId="689C350C" w:rsidR="00405CDD" w:rsidRPr="00F51625" w:rsidRDefault="00FD7DA8" w:rsidP="00C85ED1">
      <w:pPr>
        <w:pStyle w:val="OMHeading3"/>
        <w:keepNext/>
        <w:numPr>
          <w:ilvl w:val="0"/>
          <w:numId w:val="0"/>
        </w:numPr>
        <w:spacing w:line="276" w:lineRule="auto"/>
        <w:jc w:val="both"/>
        <w:rPr>
          <w:sz w:val="24"/>
          <w:szCs w:val="24"/>
        </w:rPr>
      </w:pPr>
      <w:bookmarkStart w:id="15" w:name="_Toc11247335"/>
      <w:r w:rsidRPr="00F51625">
        <w:rPr>
          <w:sz w:val="24"/>
          <w:szCs w:val="24"/>
        </w:rPr>
        <w:t>P</w:t>
      </w:r>
      <w:r w:rsidR="00405CDD" w:rsidRPr="00F51625">
        <w:rPr>
          <w:sz w:val="24"/>
          <w:szCs w:val="24"/>
        </w:rPr>
        <w:t>rocedure</w:t>
      </w:r>
      <w:bookmarkEnd w:id="15"/>
    </w:p>
    <w:p w14:paraId="41467EA0" w14:textId="77777777" w:rsidR="00405CDD" w:rsidRPr="00F51625" w:rsidRDefault="00405CDD" w:rsidP="00C85ED1">
      <w:pPr>
        <w:pStyle w:val="ListParagraph"/>
        <w:keepNext/>
        <w:spacing w:after="0" w:line="276" w:lineRule="auto"/>
        <w:ind w:left="425"/>
        <w:jc w:val="both"/>
        <w:rPr>
          <w:rFonts w:cstheme="minorHAnsi"/>
          <w:color w:val="C00000"/>
          <w:sz w:val="24"/>
          <w:szCs w:val="24"/>
        </w:rPr>
      </w:pPr>
    </w:p>
    <w:p w14:paraId="26902D11" w14:textId="63CCDACE" w:rsidR="006D2171" w:rsidRPr="007657F8" w:rsidRDefault="00C85ED1" w:rsidP="007657F8">
      <w:pPr>
        <w:spacing w:after="0" w:line="276" w:lineRule="auto"/>
        <w:ind w:left="720" w:hanging="720"/>
        <w:jc w:val="both"/>
        <w:rPr>
          <w:rFonts w:cstheme="minorHAnsi"/>
          <w:sz w:val="24"/>
          <w:szCs w:val="24"/>
        </w:rPr>
      </w:pPr>
      <w:r>
        <w:rPr>
          <w:rFonts w:cstheme="minorHAnsi"/>
          <w:sz w:val="24"/>
          <w:szCs w:val="24"/>
        </w:rPr>
        <w:t>9</w:t>
      </w:r>
      <w:r w:rsidR="00FD7DA8" w:rsidRPr="00F51625">
        <w:rPr>
          <w:rFonts w:cstheme="minorHAnsi"/>
          <w:sz w:val="24"/>
          <w:szCs w:val="24"/>
        </w:rPr>
        <w:t>.8</w:t>
      </w:r>
      <w:r w:rsidR="00FD7DA8" w:rsidRPr="00F51625">
        <w:rPr>
          <w:rFonts w:cstheme="minorHAnsi"/>
          <w:sz w:val="24"/>
          <w:szCs w:val="24"/>
        </w:rPr>
        <w:tab/>
      </w:r>
      <w:r w:rsidR="00405CDD" w:rsidRPr="00F51625">
        <w:rPr>
          <w:rFonts w:cstheme="minorHAnsi"/>
          <w:sz w:val="24"/>
          <w:szCs w:val="24"/>
        </w:rPr>
        <w:t xml:space="preserve">Where conduct </w:t>
      </w:r>
      <w:r>
        <w:rPr>
          <w:rFonts w:cstheme="minorHAnsi"/>
          <w:sz w:val="24"/>
          <w:szCs w:val="24"/>
        </w:rPr>
        <w:t xml:space="preserve">that may amount to </w:t>
      </w:r>
      <w:r w:rsidR="00405CDD" w:rsidRPr="00F51625">
        <w:rPr>
          <w:rFonts w:cstheme="minorHAnsi"/>
          <w:sz w:val="24"/>
          <w:szCs w:val="24"/>
        </w:rPr>
        <w:t>contempt of the Commission occurs in the actual course of a hearing,</w:t>
      </w:r>
      <w:r>
        <w:rPr>
          <w:rFonts w:cstheme="minorHAnsi"/>
          <w:sz w:val="24"/>
          <w:szCs w:val="24"/>
        </w:rPr>
        <w:t xml:space="preserve"> or otherwise,</w:t>
      </w:r>
      <w:r w:rsidR="00405CDD" w:rsidRPr="00F51625">
        <w:rPr>
          <w:rFonts w:cstheme="minorHAnsi"/>
          <w:sz w:val="24"/>
          <w:szCs w:val="24"/>
        </w:rPr>
        <w:t xml:space="preserve"> the Commissioner will determine the proposed course of action in dealing with that conduct.  </w:t>
      </w:r>
      <w:r w:rsidR="006D2171">
        <w:br w:type="page"/>
      </w:r>
    </w:p>
    <w:p w14:paraId="4D9AF247" w14:textId="1D9367C6" w:rsidR="006D2171" w:rsidRPr="006D2171" w:rsidRDefault="00876D96" w:rsidP="006D2171">
      <w:pPr>
        <w:pStyle w:val="Heading1"/>
      </w:pPr>
      <w:bookmarkStart w:id="16" w:name="_Toc64037633"/>
      <w:r>
        <w:lastRenderedPageBreak/>
        <w:t>10</w:t>
      </w:r>
      <w:r w:rsidR="006D2171" w:rsidRPr="006D2171">
        <w:t>.</w:t>
      </w:r>
      <w:r w:rsidR="006D2171" w:rsidRPr="006D2171">
        <w:tab/>
        <w:t>Closing submissions</w:t>
      </w:r>
      <w:bookmarkEnd w:id="16"/>
    </w:p>
    <w:p w14:paraId="1D9F6D20" w14:textId="77777777" w:rsidR="006D2171" w:rsidRDefault="006D2171" w:rsidP="006D2171">
      <w:pPr>
        <w:spacing w:after="0" w:line="276" w:lineRule="auto"/>
        <w:jc w:val="both"/>
        <w:rPr>
          <w:rFonts w:cstheme="minorHAnsi"/>
          <w:sz w:val="24"/>
          <w:szCs w:val="24"/>
        </w:rPr>
      </w:pPr>
    </w:p>
    <w:p w14:paraId="4B1A3BD2" w14:textId="4DC71107" w:rsidR="007763BD" w:rsidRDefault="004067D0" w:rsidP="007763BD">
      <w:pPr>
        <w:pStyle w:val="ListParagraph"/>
        <w:numPr>
          <w:ilvl w:val="1"/>
          <w:numId w:val="45"/>
        </w:numPr>
        <w:spacing w:after="0" w:line="276" w:lineRule="auto"/>
        <w:ind w:left="709" w:hanging="709"/>
        <w:jc w:val="both"/>
        <w:rPr>
          <w:rFonts w:cstheme="minorHAnsi"/>
          <w:sz w:val="24"/>
          <w:szCs w:val="24"/>
        </w:rPr>
      </w:pPr>
      <w:r>
        <w:rPr>
          <w:rFonts w:cstheme="minorHAnsi"/>
          <w:sz w:val="24"/>
          <w:szCs w:val="24"/>
        </w:rPr>
        <w:t>T</w:t>
      </w:r>
      <w:r w:rsidR="00332F5E">
        <w:rPr>
          <w:rFonts w:cstheme="minorHAnsi"/>
          <w:sz w:val="24"/>
          <w:szCs w:val="24"/>
        </w:rPr>
        <w:t>he</w:t>
      </w:r>
      <w:r w:rsidR="006410B0">
        <w:rPr>
          <w:rFonts w:cstheme="minorHAnsi"/>
          <w:sz w:val="24"/>
          <w:szCs w:val="24"/>
        </w:rPr>
        <w:t xml:space="preserve"> Commissioner </w:t>
      </w:r>
      <w:r w:rsidR="00332F5E">
        <w:rPr>
          <w:rFonts w:cstheme="minorHAnsi"/>
          <w:sz w:val="24"/>
          <w:szCs w:val="24"/>
        </w:rPr>
        <w:t>may</w:t>
      </w:r>
      <w:r w:rsidR="006410B0">
        <w:rPr>
          <w:rFonts w:cstheme="minorHAnsi"/>
          <w:sz w:val="24"/>
          <w:szCs w:val="24"/>
        </w:rPr>
        <w:t xml:space="preserve"> </w:t>
      </w:r>
      <w:r w:rsidR="00332F5E">
        <w:rPr>
          <w:rFonts w:cstheme="minorHAnsi"/>
          <w:sz w:val="24"/>
          <w:szCs w:val="24"/>
        </w:rPr>
        <w:t>direct that</w:t>
      </w:r>
      <w:r w:rsidR="006410B0">
        <w:rPr>
          <w:rFonts w:cstheme="minorHAnsi"/>
          <w:sz w:val="24"/>
          <w:szCs w:val="24"/>
        </w:rPr>
        <w:t xml:space="preserve"> </w:t>
      </w:r>
      <w:r w:rsidR="006D2171" w:rsidRPr="007763BD">
        <w:rPr>
          <w:rFonts w:cstheme="minorHAnsi"/>
          <w:sz w:val="24"/>
          <w:szCs w:val="24"/>
        </w:rPr>
        <w:t xml:space="preserve">closing submissions </w:t>
      </w:r>
      <w:r w:rsidR="00332F5E">
        <w:rPr>
          <w:rFonts w:cstheme="minorHAnsi"/>
          <w:sz w:val="24"/>
          <w:szCs w:val="24"/>
        </w:rPr>
        <w:t xml:space="preserve">be filed.  Closing submissions are </w:t>
      </w:r>
      <w:r w:rsidR="006D2171" w:rsidRPr="007763BD">
        <w:rPr>
          <w:rFonts w:cstheme="minorHAnsi"/>
          <w:sz w:val="24"/>
          <w:szCs w:val="24"/>
        </w:rPr>
        <w:t xml:space="preserve">to be made in writing.  </w:t>
      </w:r>
      <w:r w:rsidR="00332F5E">
        <w:rPr>
          <w:rFonts w:cstheme="minorHAnsi"/>
          <w:sz w:val="24"/>
          <w:szCs w:val="24"/>
        </w:rPr>
        <w:t xml:space="preserve">The Commissioner will set a timetable for the filing of closing submissions by Counsel Assisting and other relevant parties, with timeframes determined on a case-by-case basis.  </w:t>
      </w:r>
    </w:p>
    <w:p w14:paraId="699B73DB" w14:textId="77777777" w:rsidR="007763BD" w:rsidRDefault="007763BD" w:rsidP="007763BD">
      <w:pPr>
        <w:pStyle w:val="ListParagraph"/>
        <w:spacing w:after="0" w:line="276" w:lineRule="auto"/>
        <w:ind w:left="709"/>
        <w:jc w:val="both"/>
        <w:rPr>
          <w:rFonts w:cstheme="minorHAnsi"/>
          <w:sz w:val="24"/>
          <w:szCs w:val="24"/>
        </w:rPr>
      </w:pPr>
    </w:p>
    <w:p w14:paraId="5F699FCF" w14:textId="77777777" w:rsidR="007763BD" w:rsidRPr="007763BD" w:rsidRDefault="006D2171" w:rsidP="007763BD">
      <w:pPr>
        <w:pStyle w:val="ListParagraph"/>
        <w:numPr>
          <w:ilvl w:val="1"/>
          <w:numId w:val="45"/>
        </w:numPr>
        <w:spacing w:after="0" w:line="276" w:lineRule="auto"/>
        <w:ind w:left="709" w:hanging="709"/>
        <w:jc w:val="both"/>
        <w:rPr>
          <w:rFonts w:cstheme="minorHAnsi"/>
          <w:sz w:val="24"/>
          <w:szCs w:val="24"/>
        </w:rPr>
      </w:pPr>
      <w:r w:rsidRPr="007763BD">
        <w:rPr>
          <w:sz w:val="24"/>
          <w:szCs w:val="24"/>
        </w:rPr>
        <w:t>The Commissioner may limit the topics or issues which may be addressed and impose time or page limits on submissions.</w:t>
      </w:r>
    </w:p>
    <w:p w14:paraId="7224A9E7" w14:textId="77777777" w:rsidR="007763BD" w:rsidRPr="007763BD" w:rsidRDefault="007763BD" w:rsidP="007763BD">
      <w:pPr>
        <w:pStyle w:val="ListParagraph"/>
        <w:rPr>
          <w:sz w:val="24"/>
          <w:szCs w:val="24"/>
        </w:rPr>
      </w:pPr>
    </w:p>
    <w:p w14:paraId="5D238AD2" w14:textId="3A5E6328" w:rsidR="004067D0" w:rsidRPr="004067D0" w:rsidRDefault="00332F5E" w:rsidP="007763BD">
      <w:pPr>
        <w:pStyle w:val="ListParagraph"/>
        <w:numPr>
          <w:ilvl w:val="1"/>
          <w:numId w:val="45"/>
        </w:numPr>
        <w:spacing w:after="0" w:line="276" w:lineRule="auto"/>
        <w:ind w:left="709" w:hanging="709"/>
        <w:jc w:val="both"/>
        <w:rPr>
          <w:rFonts w:cstheme="minorHAnsi"/>
          <w:sz w:val="24"/>
          <w:szCs w:val="24"/>
        </w:rPr>
      </w:pPr>
      <w:r>
        <w:rPr>
          <w:sz w:val="24"/>
          <w:szCs w:val="24"/>
        </w:rPr>
        <w:t>A</w:t>
      </w:r>
      <w:r w:rsidR="006D2171" w:rsidRPr="007763BD">
        <w:rPr>
          <w:sz w:val="24"/>
          <w:szCs w:val="24"/>
        </w:rPr>
        <w:t xml:space="preserve"> suppression order </w:t>
      </w:r>
      <w:r>
        <w:rPr>
          <w:sz w:val="24"/>
          <w:szCs w:val="24"/>
        </w:rPr>
        <w:t>may</w:t>
      </w:r>
      <w:r w:rsidR="006D2171" w:rsidRPr="007763BD">
        <w:rPr>
          <w:sz w:val="24"/>
          <w:szCs w:val="24"/>
        </w:rPr>
        <w:t xml:space="preserve"> be made in relation to all written submissions. Ancillary orders may be made to permit publication of certain </w:t>
      </w:r>
      <w:r w:rsidR="004067D0">
        <w:rPr>
          <w:sz w:val="24"/>
          <w:szCs w:val="24"/>
        </w:rPr>
        <w:t xml:space="preserve">written </w:t>
      </w:r>
      <w:r w:rsidR="006D2171" w:rsidRPr="007763BD">
        <w:rPr>
          <w:sz w:val="24"/>
          <w:szCs w:val="24"/>
        </w:rPr>
        <w:t xml:space="preserve">submissions to specified parties to ensure procedural fairness. </w:t>
      </w:r>
    </w:p>
    <w:p w14:paraId="37917AF3" w14:textId="77777777" w:rsidR="004067D0" w:rsidRPr="00362C63" w:rsidRDefault="004067D0" w:rsidP="00362C63">
      <w:pPr>
        <w:pStyle w:val="ListParagraph"/>
        <w:rPr>
          <w:rFonts w:cstheme="minorHAnsi"/>
          <w:sz w:val="24"/>
          <w:szCs w:val="24"/>
        </w:rPr>
      </w:pPr>
    </w:p>
    <w:p w14:paraId="478A8EFC" w14:textId="07A3AD6C" w:rsidR="006D2171" w:rsidRPr="007763BD" w:rsidRDefault="004067D0" w:rsidP="007763BD">
      <w:pPr>
        <w:pStyle w:val="ListParagraph"/>
        <w:numPr>
          <w:ilvl w:val="1"/>
          <w:numId w:val="45"/>
        </w:numPr>
        <w:spacing w:after="0" w:line="276" w:lineRule="auto"/>
        <w:ind w:left="709" w:hanging="709"/>
        <w:jc w:val="both"/>
        <w:rPr>
          <w:rFonts w:cstheme="minorHAnsi"/>
          <w:sz w:val="24"/>
          <w:szCs w:val="24"/>
        </w:rPr>
      </w:pPr>
      <w:r>
        <w:rPr>
          <w:rFonts w:cstheme="minorHAnsi"/>
          <w:sz w:val="24"/>
          <w:szCs w:val="24"/>
        </w:rPr>
        <w:t xml:space="preserve">The Commissioner may direct that oral submissions </w:t>
      </w:r>
      <w:r w:rsidR="0028180A">
        <w:rPr>
          <w:rFonts w:cstheme="minorHAnsi"/>
          <w:sz w:val="24"/>
          <w:szCs w:val="24"/>
        </w:rPr>
        <w:t xml:space="preserve">are </w:t>
      </w:r>
      <w:r>
        <w:rPr>
          <w:rFonts w:cstheme="minorHAnsi"/>
          <w:sz w:val="24"/>
          <w:szCs w:val="24"/>
        </w:rPr>
        <w:t xml:space="preserve">also </w:t>
      </w:r>
      <w:r w:rsidR="0028180A">
        <w:rPr>
          <w:rFonts w:cstheme="minorHAnsi"/>
          <w:sz w:val="24"/>
          <w:szCs w:val="24"/>
        </w:rPr>
        <w:t xml:space="preserve">to </w:t>
      </w:r>
      <w:r>
        <w:rPr>
          <w:rFonts w:cstheme="minorHAnsi"/>
          <w:sz w:val="24"/>
          <w:szCs w:val="24"/>
        </w:rPr>
        <w:t>be made.</w:t>
      </w:r>
    </w:p>
    <w:p w14:paraId="4D659892" w14:textId="77777777" w:rsidR="00AE76C9" w:rsidRDefault="00AE76C9" w:rsidP="006D2171">
      <w:pPr>
        <w:spacing w:line="276" w:lineRule="auto"/>
      </w:pPr>
    </w:p>
    <w:sectPr w:rsidR="00AE76C9" w:rsidSect="009138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D8B0" w14:textId="77777777" w:rsidR="004B4001" w:rsidRDefault="004B4001" w:rsidP="005469C3">
      <w:pPr>
        <w:spacing w:after="0" w:line="240" w:lineRule="auto"/>
      </w:pPr>
      <w:r>
        <w:separator/>
      </w:r>
    </w:p>
  </w:endnote>
  <w:endnote w:type="continuationSeparator" w:id="0">
    <w:p w14:paraId="16ED25E7" w14:textId="77777777" w:rsidR="004B4001" w:rsidRDefault="004B4001" w:rsidP="0054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95A4" w14:textId="77777777" w:rsidR="00730688" w:rsidRDefault="00730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637181"/>
      <w:docPartObj>
        <w:docPartGallery w:val="Page Numbers (Bottom of Page)"/>
        <w:docPartUnique/>
      </w:docPartObj>
    </w:sdtPr>
    <w:sdtEndPr>
      <w:rPr>
        <w:color w:val="7F7F7F" w:themeColor="background1" w:themeShade="7F"/>
        <w:spacing w:val="60"/>
      </w:rPr>
    </w:sdtEndPr>
    <w:sdtContent>
      <w:p w14:paraId="052A79F7" w14:textId="77777777" w:rsidR="004B4001" w:rsidRDefault="004B400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959C79" w14:textId="407226F4" w:rsidR="004B4001" w:rsidRPr="00730688" w:rsidRDefault="00730688" w:rsidP="00730688">
    <w:pPr>
      <w:pStyle w:val="Footer"/>
      <w:jc w:val="center"/>
      <w:rPr>
        <w:rFonts w:ascii="Arial" w:hAnsi="Arial" w:cs="Arial"/>
        <w:sz w:val="14"/>
        <w:szCs w:val="24"/>
      </w:rPr>
    </w:pPr>
    <w:r w:rsidRPr="00730688">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9438" w14:textId="6C743069" w:rsidR="00730688" w:rsidRPr="00730688" w:rsidRDefault="00730688" w:rsidP="00730688">
    <w:pPr>
      <w:pStyle w:val="Footer"/>
      <w:jc w:val="center"/>
      <w:rPr>
        <w:rFonts w:ascii="Arial" w:hAnsi="Arial" w:cs="Arial"/>
        <w:sz w:val="14"/>
      </w:rPr>
    </w:pPr>
    <w:r w:rsidRPr="0073068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6EFB3" w14:textId="77777777" w:rsidR="004B4001" w:rsidRDefault="004B4001" w:rsidP="005469C3">
      <w:pPr>
        <w:spacing w:after="0" w:line="240" w:lineRule="auto"/>
      </w:pPr>
      <w:r>
        <w:separator/>
      </w:r>
    </w:p>
  </w:footnote>
  <w:footnote w:type="continuationSeparator" w:id="0">
    <w:p w14:paraId="3C873EB3" w14:textId="77777777" w:rsidR="004B4001" w:rsidRDefault="004B4001" w:rsidP="005469C3">
      <w:pPr>
        <w:spacing w:after="0" w:line="240" w:lineRule="auto"/>
      </w:pPr>
      <w:r>
        <w:continuationSeparator/>
      </w:r>
    </w:p>
  </w:footnote>
  <w:footnote w:id="1">
    <w:p w14:paraId="15919747" w14:textId="77777777" w:rsidR="004B4001" w:rsidRDefault="004B4001" w:rsidP="0025760F">
      <w:pPr>
        <w:pStyle w:val="FootnoteText"/>
      </w:pPr>
      <w:r>
        <w:rPr>
          <w:rStyle w:val="FootnoteReference"/>
        </w:rPr>
        <w:footnoteRef/>
      </w:r>
      <w:r>
        <w:t xml:space="preserve"> Explanatory Statement, Integrity Commission Bill 2018, p 3</w:t>
      </w:r>
    </w:p>
  </w:footnote>
  <w:footnote w:id="2">
    <w:p w14:paraId="0D653844" w14:textId="0643D7CA" w:rsidR="004B4001" w:rsidRPr="00693CDD" w:rsidRDefault="004B4001" w:rsidP="0025760F">
      <w:pPr>
        <w:pStyle w:val="FootnoteText"/>
      </w:pPr>
      <w:r>
        <w:rPr>
          <w:rStyle w:val="FootnoteReference"/>
        </w:rPr>
        <w:footnoteRef/>
      </w:r>
      <w:r>
        <w:t xml:space="preserve"> Section 23(1), </w:t>
      </w:r>
      <w:r w:rsidRPr="007A6FF7">
        <w:rPr>
          <w:i/>
          <w:iCs/>
        </w:rPr>
        <w:t>Integrity Commission Act 2018</w:t>
      </w:r>
      <w:r>
        <w:rPr>
          <w:i/>
          <w:iCs/>
        </w:rPr>
        <w:t xml:space="preserve">. </w:t>
      </w:r>
      <w:r>
        <w:t xml:space="preserve">All references to sections in these Guidelines are references to the </w:t>
      </w:r>
      <w:r w:rsidRPr="0038534B">
        <w:rPr>
          <w:i/>
          <w:iCs/>
        </w:rPr>
        <w:t>Integrity Commission Act 2018</w:t>
      </w:r>
      <w:r>
        <w:t>, unless otherwise specified.</w:t>
      </w:r>
    </w:p>
  </w:footnote>
  <w:footnote w:id="3">
    <w:p w14:paraId="10198F56" w14:textId="77777777" w:rsidR="004B4001" w:rsidRDefault="004B4001" w:rsidP="009E3536">
      <w:pPr>
        <w:pStyle w:val="FootnoteText"/>
      </w:pPr>
      <w:r>
        <w:rPr>
          <w:rStyle w:val="FootnoteReference"/>
        </w:rPr>
        <w:footnoteRef/>
      </w:r>
      <w:r>
        <w:t xml:space="preserve"> Section 141</w:t>
      </w:r>
    </w:p>
  </w:footnote>
  <w:footnote w:id="4">
    <w:p w14:paraId="14FCDCF1" w14:textId="093565DB" w:rsidR="004B4001" w:rsidRDefault="004B4001">
      <w:pPr>
        <w:pStyle w:val="FootnoteText"/>
      </w:pPr>
      <w:r>
        <w:rPr>
          <w:rStyle w:val="FootnoteReference"/>
        </w:rPr>
        <w:footnoteRef/>
      </w:r>
      <w:r>
        <w:t xml:space="preserve"> Section 143(1).</w:t>
      </w:r>
    </w:p>
  </w:footnote>
  <w:footnote w:id="5">
    <w:p w14:paraId="06A12095" w14:textId="321AF6EB" w:rsidR="004B4001" w:rsidRDefault="004B4001">
      <w:pPr>
        <w:pStyle w:val="FootnoteText"/>
      </w:pPr>
      <w:r>
        <w:rPr>
          <w:rStyle w:val="FootnoteReference"/>
        </w:rPr>
        <w:footnoteRef/>
      </w:r>
      <w:r>
        <w:t xml:space="preserve"> Section 144.</w:t>
      </w:r>
    </w:p>
  </w:footnote>
  <w:footnote w:id="6">
    <w:p w14:paraId="5BB3A358" w14:textId="5633CA78" w:rsidR="004B4001" w:rsidRDefault="004B4001">
      <w:pPr>
        <w:pStyle w:val="FootnoteText"/>
      </w:pPr>
      <w:r>
        <w:rPr>
          <w:rStyle w:val="FootnoteReference"/>
        </w:rPr>
        <w:footnoteRef/>
      </w:r>
      <w:r>
        <w:t xml:space="preserve"> Section 142(1).</w:t>
      </w:r>
    </w:p>
  </w:footnote>
  <w:footnote w:id="7">
    <w:p w14:paraId="6A6748BC" w14:textId="1C3ADBAF" w:rsidR="004B4001" w:rsidRDefault="004B4001">
      <w:pPr>
        <w:pStyle w:val="FootnoteText"/>
      </w:pPr>
      <w:r>
        <w:rPr>
          <w:rStyle w:val="FootnoteReference"/>
        </w:rPr>
        <w:footnoteRef/>
      </w:r>
      <w:r>
        <w:t xml:space="preserve"> Section 142(1)(a)</w:t>
      </w:r>
    </w:p>
  </w:footnote>
  <w:footnote w:id="8">
    <w:p w14:paraId="7A31242C" w14:textId="2341C0AE" w:rsidR="004B4001" w:rsidRDefault="004B4001">
      <w:pPr>
        <w:pStyle w:val="FootnoteText"/>
      </w:pPr>
      <w:r>
        <w:rPr>
          <w:rStyle w:val="FootnoteReference"/>
        </w:rPr>
        <w:footnoteRef/>
      </w:r>
      <w:r>
        <w:t xml:space="preserve"> Section 150(1)</w:t>
      </w:r>
    </w:p>
  </w:footnote>
  <w:footnote w:id="9">
    <w:p w14:paraId="7AC85A85" w14:textId="2C898CE8" w:rsidR="004B4001" w:rsidRDefault="004B4001">
      <w:pPr>
        <w:pStyle w:val="FootnoteText"/>
      </w:pPr>
      <w:r>
        <w:rPr>
          <w:rStyle w:val="FootnoteReference"/>
        </w:rPr>
        <w:footnoteRef/>
      </w:r>
      <w:r>
        <w:t xml:space="preserve"> Section 150(2)</w:t>
      </w:r>
    </w:p>
  </w:footnote>
  <w:footnote w:id="10">
    <w:p w14:paraId="30D1D96E" w14:textId="294A3B23" w:rsidR="004B4001" w:rsidRDefault="004B4001">
      <w:pPr>
        <w:pStyle w:val="FootnoteText"/>
      </w:pPr>
      <w:r>
        <w:rPr>
          <w:rStyle w:val="FootnoteReference"/>
        </w:rPr>
        <w:footnoteRef/>
      </w:r>
      <w:r>
        <w:t xml:space="preserve"> ss 148(3)(vi), 152</w:t>
      </w:r>
    </w:p>
  </w:footnote>
  <w:footnote w:id="11">
    <w:p w14:paraId="38897A6D" w14:textId="2930BB15" w:rsidR="004B4001" w:rsidRDefault="004B4001">
      <w:pPr>
        <w:pStyle w:val="FootnoteText"/>
      </w:pPr>
      <w:r>
        <w:rPr>
          <w:rStyle w:val="FootnoteReference"/>
        </w:rPr>
        <w:footnoteRef/>
      </w:r>
      <w:r>
        <w:t xml:space="preserve"> Section 193.</w:t>
      </w:r>
    </w:p>
  </w:footnote>
  <w:footnote w:id="12">
    <w:p w14:paraId="46C503D2" w14:textId="5D188294" w:rsidR="004B4001" w:rsidRDefault="004B4001">
      <w:pPr>
        <w:pStyle w:val="FootnoteText"/>
      </w:pPr>
      <w:r>
        <w:rPr>
          <w:rStyle w:val="FootnoteReference"/>
        </w:rPr>
        <w:footnoteRef/>
      </w:r>
      <w:r>
        <w:t xml:space="preserve"> s 152(4)</w:t>
      </w:r>
    </w:p>
  </w:footnote>
  <w:footnote w:id="13">
    <w:p w14:paraId="1F81C154" w14:textId="7890B47F" w:rsidR="004B4001" w:rsidRDefault="004B4001">
      <w:pPr>
        <w:pStyle w:val="FootnoteText"/>
      </w:pPr>
      <w:r>
        <w:rPr>
          <w:rStyle w:val="FootnoteReference"/>
        </w:rPr>
        <w:footnoteRef/>
      </w:r>
      <w:r>
        <w:t xml:space="preserve"> </w:t>
      </w:r>
      <w:r w:rsidRPr="00E0246B">
        <w:rPr>
          <w:rFonts w:cstheme="minorHAnsi"/>
        </w:rPr>
        <w:t xml:space="preserve">The rule in </w:t>
      </w:r>
      <w:r w:rsidRPr="00F51625">
        <w:rPr>
          <w:rFonts w:cstheme="minorHAnsi"/>
          <w:i/>
          <w:iCs/>
        </w:rPr>
        <w:t xml:space="preserve">Browne v Dunn </w:t>
      </w:r>
      <w:r w:rsidRPr="00E0246B">
        <w:rPr>
          <w:rFonts w:cstheme="minorHAnsi"/>
        </w:rPr>
        <w:t xml:space="preserve">states </w:t>
      </w:r>
      <w:r w:rsidRPr="00E0246B">
        <w:rPr>
          <w:rFonts w:cstheme="minorHAnsi"/>
          <w:color w:val="202124"/>
          <w:shd w:val="clear" w:color="auto" w:fill="FFFFFF"/>
        </w:rPr>
        <w:t>that if counsel intends to present evidence contradictory to a witness's testimony as part of his or her argument, he or she must put this version of events to the witness during cross-examination</w:t>
      </w:r>
      <w:r>
        <w:rPr>
          <w:rFonts w:cstheme="minorHAnsi"/>
          <w:color w:val="202124"/>
          <w:shd w:val="clear" w:color="auto" w:fill="FFFFFF"/>
        </w:rPr>
        <w:t>.</w:t>
      </w:r>
    </w:p>
  </w:footnote>
  <w:footnote w:id="14">
    <w:p w14:paraId="3BD3EA46" w14:textId="33EF74E0" w:rsidR="004B4001" w:rsidRDefault="004B4001" w:rsidP="00BF335F">
      <w:pPr>
        <w:pStyle w:val="FootnoteText"/>
      </w:pPr>
      <w:r>
        <w:rPr>
          <w:rStyle w:val="FootnoteReference"/>
        </w:rPr>
        <w:footnoteRef/>
      </w:r>
      <w:r>
        <w:t xml:space="preserve"> Section 156(2)</w:t>
      </w:r>
    </w:p>
  </w:footnote>
  <w:footnote w:id="15">
    <w:p w14:paraId="5D9383EE" w14:textId="4742EAC9" w:rsidR="004B4001" w:rsidRDefault="004B4001">
      <w:pPr>
        <w:pStyle w:val="FootnoteText"/>
      </w:pPr>
      <w:r>
        <w:rPr>
          <w:rStyle w:val="FootnoteReference"/>
        </w:rPr>
        <w:footnoteRef/>
      </w:r>
      <w:r>
        <w:t xml:space="preserve"> Section 148(3).</w:t>
      </w:r>
    </w:p>
  </w:footnote>
  <w:footnote w:id="16">
    <w:p w14:paraId="4949B4B9" w14:textId="77777777" w:rsidR="004B4001" w:rsidRDefault="004B4001" w:rsidP="004B4001">
      <w:pPr>
        <w:pStyle w:val="FootnoteText"/>
      </w:pPr>
      <w:r>
        <w:rPr>
          <w:rStyle w:val="FootnoteReference"/>
        </w:rPr>
        <w:footnoteRef/>
      </w:r>
      <w:r>
        <w:t xml:space="preserve"> Section 158(1)</w:t>
      </w:r>
    </w:p>
  </w:footnote>
  <w:footnote w:id="17">
    <w:p w14:paraId="2BA6F014" w14:textId="77777777" w:rsidR="004B4001" w:rsidRDefault="004B4001" w:rsidP="004B4001">
      <w:pPr>
        <w:pStyle w:val="FootnoteText"/>
      </w:pPr>
      <w:r>
        <w:rPr>
          <w:rStyle w:val="FootnoteReference"/>
        </w:rPr>
        <w:footnoteRef/>
      </w:r>
      <w:r>
        <w:t xml:space="preserve"> Section 158(2)(a)</w:t>
      </w:r>
    </w:p>
  </w:footnote>
  <w:footnote w:id="18">
    <w:p w14:paraId="3E55050F" w14:textId="77777777" w:rsidR="004B4001" w:rsidRDefault="004B4001" w:rsidP="004B4001">
      <w:pPr>
        <w:pStyle w:val="FootnoteText"/>
      </w:pPr>
      <w:r>
        <w:rPr>
          <w:rStyle w:val="FootnoteReference"/>
        </w:rPr>
        <w:footnoteRef/>
      </w:r>
      <w:r>
        <w:t xml:space="preserve"> Section 158(2)(b)</w:t>
      </w:r>
    </w:p>
  </w:footnote>
  <w:footnote w:id="19">
    <w:p w14:paraId="5EAFE976" w14:textId="77777777" w:rsidR="004B4001" w:rsidRDefault="004B4001" w:rsidP="004B4001">
      <w:pPr>
        <w:pStyle w:val="FootnoteText"/>
      </w:pPr>
      <w:r>
        <w:rPr>
          <w:rStyle w:val="FootnoteReference"/>
        </w:rPr>
        <w:footnoteRef/>
      </w:r>
      <w:r>
        <w:t xml:space="preserve"> Section 158(2)</w:t>
      </w:r>
    </w:p>
  </w:footnote>
  <w:footnote w:id="20">
    <w:p w14:paraId="3F4FC6DC" w14:textId="046391FE" w:rsidR="004B4001" w:rsidRDefault="004B4001" w:rsidP="00405CDD">
      <w:pPr>
        <w:pStyle w:val="FootnoteText"/>
      </w:pPr>
      <w:r>
        <w:rPr>
          <w:rStyle w:val="FootnoteReference"/>
        </w:rPr>
        <w:footnoteRef/>
      </w:r>
      <w:r>
        <w:t xml:space="preserve"> Section 175 – privileges disapplied under the Act</w:t>
      </w:r>
    </w:p>
  </w:footnote>
  <w:footnote w:id="21">
    <w:p w14:paraId="728CB09F" w14:textId="7AE45DDD" w:rsidR="004B4001" w:rsidRPr="0096340C" w:rsidRDefault="004B4001" w:rsidP="00405CDD">
      <w:pPr>
        <w:pStyle w:val="FootnoteText"/>
        <w:rPr>
          <w:lang w:val="en-US"/>
        </w:rPr>
      </w:pPr>
      <w:r>
        <w:rPr>
          <w:rStyle w:val="FootnoteReference"/>
        </w:rPr>
        <w:footnoteRef/>
      </w:r>
      <w:r>
        <w:t xml:space="preserve"> Section</w:t>
      </w:r>
      <w:r>
        <w:rPr>
          <w:lang w:val="en-US"/>
        </w:rPr>
        <w:t xml:space="preserve"> 174</w:t>
      </w:r>
    </w:p>
  </w:footnote>
  <w:footnote w:id="22">
    <w:p w14:paraId="1A60C7A3" w14:textId="25F1E804" w:rsidR="004B4001" w:rsidRDefault="004B4001" w:rsidP="00405CDD">
      <w:pPr>
        <w:pStyle w:val="FootnoteText"/>
      </w:pPr>
      <w:r>
        <w:rPr>
          <w:rStyle w:val="FootnoteReference"/>
        </w:rPr>
        <w:footnoteRef/>
      </w:r>
      <w:r>
        <w:t xml:space="preserve"> Section 161(2)</w:t>
      </w:r>
    </w:p>
  </w:footnote>
  <w:footnote w:id="23">
    <w:p w14:paraId="0DD78612" w14:textId="4C5E9753" w:rsidR="004B4001" w:rsidRDefault="004B4001" w:rsidP="00405CDD">
      <w:pPr>
        <w:pStyle w:val="FootnoteText"/>
      </w:pPr>
      <w:r>
        <w:rPr>
          <w:rStyle w:val="FootnoteReference"/>
        </w:rPr>
        <w:footnoteRef/>
      </w:r>
      <w:r>
        <w:t xml:space="preserve"> Section 161(4)</w:t>
      </w:r>
    </w:p>
  </w:footnote>
  <w:footnote w:id="24">
    <w:p w14:paraId="203F0974" w14:textId="63E03BFE" w:rsidR="004B4001" w:rsidRDefault="004B4001" w:rsidP="00405CDD">
      <w:pPr>
        <w:pStyle w:val="FootnoteText"/>
      </w:pPr>
      <w:r>
        <w:rPr>
          <w:rStyle w:val="FootnoteReference"/>
        </w:rPr>
        <w:footnoteRef/>
      </w:r>
      <w:r>
        <w:t xml:space="preserve"> Section 161(3)(b)</w:t>
      </w:r>
    </w:p>
  </w:footnote>
  <w:footnote w:id="25">
    <w:p w14:paraId="2D5A615D" w14:textId="2C6A6E3E" w:rsidR="004B4001" w:rsidRDefault="004B4001" w:rsidP="00405CDD">
      <w:pPr>
        <w:pStyle w:val="FootnoteText"/>
      </w:pPr>
      <w:r>
        <w:rPr>
          <w:rStyle w:val="FootnoteReference"/>
        </w:rPr>
        <w:footnoteRef/>
      </w:r>
      <w:r>
        <w:t xml:space="preserve"> Section 162(1)(a)</w:t>
      </w:r>
    </w:p>
  </w:footnote>
  <w:footnote w:id="26">
    <w:p w14:paraId="7F55E56D" w14:textId="0A141ABE" w:rsidR="004B4001" w:rsidRDefault="004B4001" w:rsidP="00405CDD">
      <w:pPr>
        <w:pStyle w:val="FootnoteText"/>
      </w:pPr>
      <w:r>
        <w:rPr>
          <w:rStyle w:val="FootnoteReference"/>
        </w:rPr>
        <w:footnoteRef/>
      </w:r>
      <w:r>
        <w:t xml:space="preserve"> Section 162(1)(b) &amp; (c)</w:t>
      </w:r>
    </w:p>
  </w:footnote>
  <w:footnote w:id="27">
    <w:p w14:paraId="5A2C8CC3" w14:textId="7F4ABB91" w:rsidR="004B4001" w:rsidRDefault="004B4001">
      <w:pPr>
        <w:pStyle w:val="FootnoteText"/>
      </w:pPr>
      <w:r>
        <w:rPr>
          <w:rStyle w:val="FootnoteReference"/>
        </w:rPr>
        <w:footnoteRef/>
      </w:r>
      <w:r>
        <w:t xml:space="preserve"> See, for example, </w:t>
      </w:r>
      <w:r w:rsidRPr="0091381B">
        <w:rPr>
          <w:i/>
          <w:iCs/>
        </w:rPr>
        <w:t>Obeid v Independent Commission Against Corruption</w:t>
      </w:r>
      <w:r>
        <w:t xml:space="preserve"> [2015] NSWSC 1891 and </w:t>
      </w:r>
      <w:r w:rsidRPr="0091381B">
        <w:rPr>
          <w:i/>
          <w:iCs/>
        </w:rPr>
        <w:t>Obeid v Ipp</w:t>
      </w:r>
      <w:r>
        <w:t xml:space="preserve"> (2016) 338 ALR 234.</w:t>
      </w:r>
    </w:p>
  </w:footnote>
  <w:footnote w:id="28">
    <w:p w14:paraId="13409A22" w14:textId="405292D0" w:rsidR="004B4001" w:rsidRDefault="004B4001" w:rsidP="00405CDD">
      <w:pPr>
        <w:pStyle w:val="FootnoteText"/>
      </w:pPr>
      <w:r>
        <w:rPr>
          <w:rStyle w:val="FootnoteReference"/>
        </w:rPr>
        <w:footnoteRef/>
      </w:r>
      <w:r>
        <w:t xml:space="preserve"> Section 154(1)</w:t>
      </w:r>
    </w:p>
  </w:footnote>
  <w:footnote w:id="29">
    <w:p w14:paraId="17915FEA" w14:textId="366B1372" w:rsidR="002D3FEA" w:rsidRDefault="002D3FEA">
      <w:pPr>
        <w:pStyle w:val="FootnoteText"/>
      </w:pPr>
      <w:r>
        <w:rPr>
          <w:rStyle w:val="FootnoteReference"/>
        </w:rPr>
        <w:footnoteRef/>
      </w:r>
      <w:r>
        <w:t xml:space="preserve"> Section</w:t>
      </w:r>
      <w:r w:rsidRPr="002D3FEA">
        <w:t xml:space="preserve"> 154(1)(a) and (b)</w:t>
      </w:r>
    </w:p>
  </w:footnote>
  <w:footnote w:id="30">
    <w:p w14:paraId="3065B643" w14:textId="3AD6FA59" w:rsidR="004B4001" w:rsidRDefault="004B4001" w:rsidP="00405CDD">
      <w:pPr>
        <w:pStyle w:val="FootnoteText"/>
      </w:pPr>
      <w:r>
        <w:rPr>
          <w:rStyle w:val="FootnoteReference"/>
        </w:rPr>
        <w:footnoteRef/>
      </w:r>
      <w:r>
        <w:t xml:space="preserve"> Section 154(4)</w:t>
      </w:r>
    </w:p>
  </w:footnote>
  <w:footnote w:id="31">
    <w:p w14:paraId="490DECC0" w14:textId="644EF86E" w:rsidR="004B4001" w:rsidRDefault="004B4001" w:rsidP="00405CDD">
      <w:pPr>
        <w:pStyle w:val="FootnoteText"/>
      </w:pPr>
      <w:r>
        <w:rPr>
          <w:rStyle w:val="FootnoteReference"/>
        </w:rPr>
        <w:footnoteRef/>
      </w:r>
      <w:r>
        <w:t xml:space="preserve"> Section 154(5)</w:t>
      </w:r>
    </w:p>
  </w:footnote>
  <w:footnote w:id="32">
    <w:p w14:paraId="11F32F12" w14:textId="77777777" w:rsidR="004B4001" w:rsidRPr="00F021AE" w:rsidRDefault="004B4001" w:rsidP="00405CDD">
      <w:pPr>
        <w:pStyle w:val="FootnoteText"/>
        <w:rPr>
          <w:lang w:val="en-US"/>
        </w:rPr>
      </w:pPr>
      <w:r>
        <w:rPr>
          <w:rStyle w:val="FootnoteReference"/>
        </w:rPr>
        <w:footnoteRef/>
      </w:r>
      <w:r>
        <w:t xml:space="preserve"> </w:t>
      </w:r>
      <w:r>
        <w:rPr>
          <w:lang w:val="en-US"/>
        </w:rPr>
        <w:t>See s 166(1)</w:t>
      </w:r>
    </w:p>
  </w:footnote>
  <w:footnote w:id="33">
    <w:p w14:paraId="39617A4A" w14:textId="77777777" w:rsidR="004B4001" w:rsidRPr="00475ED3" w:rsidRDefault="004B4001" w:rsidP="00405CDD">
      <w:pPr>
        <w:pStyle w:val="FootnoteText"/>
        <w:rPr>
          <w:lang w:val="en-US"/>
        </w:rPr>
      </w:pPr>
      <w:r>
        <w:rPr>
          <w:rStyle w:val="FootnoteReference"/>
        </w:rPr>
        <w:footnoteRef/>
      </w:r>
      <w:r>
        <w:t xml:space="preserve"> </w:t>
      </w:r>
      <w:r w:rsidRPr="00475ED3">
        <w:rPr>
          <w:rFonts w:cstheme="minorHAnsi"/>
        </w:rPr>
        <w:t xml:space="preserve">See </w:t>
      </w:r>
      <w:r w:rsidRPr="00475ED3">
        <w:rPr>
          <w:rFonts w:cstheme="minorHAnsi"/>
          <w:i/>
        </w:rPr>
        <w:t>Smith v The Queen</w:t>
      </w:r>
      <w:r w:rsidRPr="00475ED3">
        <w:rPr>
          <w:rFonts w:cstheme="minorHAnsi"/>
        </w:rPr>
        <w:t xml:space="preserve"> (1991) 25 NSWLR 1; </w:t>
      </w:r>
      <w:r w:rsidRPr="00475ED3">
        <w:rPr>
          <w:rFonts w:cstheme="minorHAnsi"/>
          <w:i/>
        </w:rPr>
        <w:t>DPP v Chidiac</w:t>
      </w:r>
      <w:r w:rsidRPr="00475ED3">
        <w:rPr>
          <w:rFonts w:cstheme="minorHAnsi"/>
        </w:rPr>
        <w:t xml:space="preserve"> (1991) 25 NSWLR 372</w:t>
      </w:r>
    </w:p>
  </w:footnote>
  <w:footnote w:id="34">
    <w:p w14:paraId="6B9D3DED" w14:textId="33BAA5EA" w:rsidR="004B4001" w:rsidRDefault="004B4001" w:rsidP="00405CDD">
      <w:pPr>
        <w:pStyle w:val="FootnoteText"/>
      </w:pPr>
      <w:r>
        <w:rPr>
          <w:rStyle w:val="FootnoteReference"/>
        </w:rPr>
        <w:footnoteRef/>
      </w:r>
      <w:r>
        <w:t xml:space="preserve"> </w:t>
      </w:r>
      <w:r w:rsidRPr="00EE164A">
        <w:rPr>
          <w:rStyle w:val="Emphasis"/>
          <w:color w:val="000000"/>
        </w:rPr>
        <w:t>Witham v Holloway</w:t>
      </w:r>
      <w:r w:rsidRPr="00EE164A">
        <w:rPr>
          <w:color w:val="000000"/>
        </w:rPr>
        <w:t> (1995) 183 CLR 525, 534</w:t>
      </w:r>
      <w:r>
        <w:rPr>
          <w:color w:val="000000"/>
        </w:rPr>
        <w:t>;</w:t>
      </w:r>
      <w:r w:rsidRPr="00EE164A">
        <w:rPr>
          <w:color w:val="000000"/>
        </w:rPr>
        <w:t> </w:t>
      </w:r>
      <w:r w:rsidRPr="00EE164A">
        <w:rPr>
          <w:rStyle w:val="Emphasis"/>
          <w:color w:val="000000"/>
        </w:rPr>
        <w:t>Fortune Holding Group Pty Ltd v Zhang (No 2)</w:t>
      </w:r>
      <w:r w:rsidRPr="00EE164A">
        <w:rPr>
          <w:color w:val="000000"/>
        </w:rPr>
        <w:t> [2017] VSC 738 at [28]-[29]</w:t>
      </w:r>
      <w:r>
        <w:rPr>
          <w:color w:val="000000"/>
        </w:rPr>
        <w:t>.</w:t>
      </w:r>
    </w:p>
  </w:footnote>
  <w:footnote w:id="35">
    <w:p w14:paraId="0A5D8D29" w14:textId="2D0369BD" w:rsidR="004B4001" w:rsidRDefault="004B4001" w:rsidP="00405CDD">
      <w:pPr>
        <w:pStyle w:val="FootnoteText"/>
      </w:pPr>
      <w:r>
        <w:rPr>
          <w:rStyle w:val="FootnoteReference"/>
        </w:rPr>
        <w:footnoteRef/>
      </w:r>
      <w:r>
        <w:t xml:space="preserve"> </w:t>
      </w:r>
      <w:r>
        <w:rPr>
          <w:i/>
          <w:iCs/>
        </w:rPr>
        <w:t>R v Smith</w:t>
      </w:r>
      <w:r>
        <w:t> (1991) 25 NSWLR 1 at 13.</w:t>
      </w:r>
    </w:p>
  </w:footnote>
  <w:footnote w:id="36">
    <w:p w14:paraId="3AB87CAB" w14:textId="449D7478" w:rsidR="004B4001" w:rsidRDefault="004B4001" w:rsidP="00405CDD">
      <w:pPr>
        <w:pStyle w:val="FootnoteText"/>
      </w:pPr>
      <w:r>
        <w:rPr>
          <w:rStyle w:val="FootnoteReference"/>
        </w:rPr>
        <w:footnoteRef/>
      </w:r>
      <w:r>
        <w:t xml:space="preserve"> Section 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B338" w14:textId="77777777" w:rsidR="00730688" w:rsidRDefault="00730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76A1" w14:textId="154293C0" w:rsidR="004B4001" w:rsidRDefault="004B4001" w:rsidP="0091381B">
    <w:pPr>
      <w:pStyle w:val="Header"/>
      <w:jc w:val="center"/>
    </w:pPr>
    <w:r>
      <w:rPr>
        <w:noProof/>
      </w:rPr>
      <w:drawing>
        <wp:inline distT="0" distB="0" distL="0" distR="0" wp14:anchorId="2B440673" wp14:editId="6BB8360D">
          <wp:extent cx="2523490" cy="42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3490" cy="421640"/>
                  </a:xfrm>
                  <a:prstGeom prst="rect">
                    <a:avLst/>
                  </a:prstGeom>
                  <a:noFill/>
                  <a:ln>
                    <a:noFill/>
                  </a:ln>
                </pic:spPr>
              </pic:pic>
            </a:graphicData>
          </a:graphic>
        </wp:inline>
      </w:drawing>
    </w:r>
  </w:p>
  <w:p w14:paraId="3CEAD15C" w14:textId="77777777" w:rsidR="004B4001" w:rsidRDefault="004B4001" w:rsidP="0091381B">
    <w:pPr>
      <w:pStyle w:val="Header"/>
      <w:jc w:val="center"/>
    </w:pPr>
  </w:p>
  <w:p w14:paraId="176E8C38" w14:textId="77777777" w:rsidR="004B4001" w:rsidRDefault="004B4001" w:rsidP="0091381B">
    <w:pPr>
      <w:pStyle w:val="Header"/>
      <w:jc w:val="center"/>
    </w:pPr>
  </w:p>
  <w:p w14:paraId="0705F300" w14:textId="77777777" w:rsidR="004B4001" w:rsidRDefault="004B4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3127" w14:textId="77777777" w:rsidR="00730688" w:rsidRDefault="0073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209D3"/>
    <w:multiLevelType w:val="hybridMultilevel"/>
    <w:tmpl w:val="0D1E7FC4"/>
    <w:lvl w:ilvl="0" w:tplc="951CDA9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4750155"/>
    <w:multiLevelType w:val="hybridMultilevel"/>
    <w:tmpl w:val="809427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82865A5"/>
    <w:multiLevelType w:val="hybridMultilevel"/>
    <w:tmpl w:val="4DE0EA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255BEA"/>
    <w:multiLevelType w:val="hybridMultilevel"/>
    <w:tmpl w:val="CE7E5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0562D5"/>
    <w:multiLevelType w:val="hybridMultilevel"/>
    <w:tmpl w:val="C764F06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C97071A"/>
    <w:multiLevelType w:val="hybridMultilevel"/>
    <w:tmpl w:val="A01E2306"/>
    <w:lvl w:ilvl="0" w:tplc="6E24C9A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C9C393A"/>
    <w:multiLevelType w:val="hybridMultilevel"/>
    <w:tmpl w:val="2D8CAC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D5C18EC"/>
    <w:multiLevelType w:val="hybridMultilevel"/>
    <w:tmpl w:val="BCC8D60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3356A2E"/>
    <w:multiLevelType w:val="hybridMultilevel"/>
    <w:tmpl w:val="2BAE36C4"/>
    <w:lvl w:ilvl="0" w:tplc="42A63E0C">
      <w:start w:val="1"/>
      <w:numFmt w:val="decimal"/>
      <w:lvlText w:val="(%1)"/>
      <w:lvlJc w:val="left"/>
      <w:pPr>
        <w:ind w:left="1440" w:hanging="360"/>
      </w:pPr>
      <w:rPr>
        <w:rFonts w:hint="default"/>
      </w:rPr>
    </w:lvl>
    <w:lvl w:ilvl="1" w:tplc="B4607CF4">
      <w:start w:val="1"/>
      <w:numFmt w:val="lowerLetter"/>
      <w:lvlText w:val="(%2)"/>
      <w:lvlJc w:val="left"/>
      <w:pPr>
        <w:ind w:left="2160" w:hanging="360"/>
      </w:pPr>
      <w:rPr>
        <w:rFonts w:hint="default"/>
      </w:rPr>
    </w:lvl>
    <w:lvl w:ilvl="2" w:tplc="42A63E0C">
      <w:start w:val="1"/>
      <w:numFmt w:val="decimal"/>
      <w:lvlText w:val="(%3)"/>
      <w:lvlJc w:val="left"/>
      <w:pPr>
        <w:ind w:left="3060" w:hanging="360"/>
      </w:pPr>
      <w:rPr>
        <w:rFonts w:hint="default"/>
      </w:rPr>
    </w:lvl>
    <w:lvl w:ilvl="3" w:tplc="547800B6">
      <w:start w:val="1"/>
      <w:numFmt w:val="lowerLetter"/>
      <w:lvlText w:val="(%4)"/>
      <w:lvlJc w:val="left"/>
      <w:pPr>
        <w:ind w:left="3600" w:hanging="360"/>
      </w:pPr>
      <w:rPr>
        <w:rFonts w:hint="default"/>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53D474A"/>
    <w:multiLevelType w:val="hybridMultilevel"/>
    <w:tmpl w:val="376A34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8144E67"/>
    <w:multiLevelType w:val="multilevel"/>
    <w:tmpl w:val="74682148"/>
    <w:lvl w:ilvl="0">
      <w:start w:val="1"/>
      <w:numFmt w:val="decimal"/>
      <w:pStyle w:val="OMHeading1"/>
      <w:lvlText w:val="%1."/>
      <w:lvlJc w:val="left"/>
      <w:pPr>
        <w:ind w:left="720" w:hanging="360"/>
      </w:pPr>
      <w:rPr>
        <w:rFonts w:hint="default"/>
      </w:rPr>
    </w:lvl>
    <w:lvl w:ilvl="1">
      <w:start w:val="1"/>
      <w:numFmt w:val="decimal"/>
      <w:pStyle w:val="OMHeading2"/>
      <w:isLgl/>
      <w:lvlText w:val="%1.%2"/>
      <w:lvlJc w:val="left"/>
      <w:pPr>
        <w:ind w:left="1080" w:hanging="720"/>
      </w:pPr>
      <w:rPr>
        <w:rFonts w:hint="default"/>
      </w:rPr>
    </w:lvl>
    <w:lvl w:ilvl="2">
      <w:start w:val="1"/>
      <w:numFmt w:val="decimal"/>
      <w:pStyle w:val="OMHeading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BD8358C"/>
    <w:multiLevelType w:val="hybridMultilevel"/>
    <w:tmpl w:val="E248754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0A156EC"/>
    <w:multiLevelType w:val="hybridMultilevel"/>
    <w:tmpl w:val="CDD05AB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0D46C55"/>
    <w:multiLevelType w:val="hybridMultilevel"/>
    <w:tmpl w:val="EF621600"/>
    <w:lvl w:ilvl="0" w:tplc="951CDA96">
      <w:start w:val="1"/>
      <w:numFmt w:val="lowerLetter"/>
      <w:lvlText w:val="(%1)"/>
      <w:lvlJc w:val="left"/>
      <w:pPr>
        <w:ind w:left="1506" w:hanging="360"/>
      </w:pPr>
      <w:rPr>
        <w:rFonts w:hint="default"/>
      </w:rPr>
    </w:lvl>
    <w:lvl w:ilvl="1" w:tplc="7DC8D156">
      <w:start w:val="1"/>
      <w:numFmt w:val="lowerRoman"/>
      <w:lvlText w:val="(%2)"/>
      <w:lvlJc w:val="left"/>
      <w:pPr>
        <w:ind w:left="2226" w:hanging="360"/>
      </w:pPr>
      <w:rPr>
        <w:rFonts w:hint="default"/>
      </w:r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4" w15:restartNumberingAfterBreak="0">
    <w:nsid w:val="32A21D11"/>
    <w:multiLevelType w:val="hybridMultilevel"/>
    <w:tmpl w:val="760628A2"/>
    <w:lvl w:ilvl="0" w:tplc="B4607CF4">
      <w:start w:val="1"/>
      <w:numFmt w:val="lowerLetter"/>
      <w:lvlText w:val="(%1)"/>
      <w:lvlJc w:val="left"/>
      <w:pPr>
        <w:ind w:left="2160" w:hanging="360"/>
      </w:pPr>
      <w:rPr>
        <w:rFonts w:hint="default"/>
      </w:rPr>
    </w:lvl>
    <w:lvl w:ilvl="1" w:tplc="5A200892">
      <w:start w:val="1"/>
      <w:numFmt w:val="lowerRoman"/>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32F9415B"/>
    <w:multiLevelType w:val="hybridMultilevel"/>
    <w:tmpl w:val="155011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9803326"/>
    <w:multiLevelType w:val="hybridMultilevel"/>
    <w:tmpl w:val="DBA4D89C"/>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933C0C"/>
    <w:multiLevelType w:val="hybridMultilevel"/>
    <w:tmpl w:val="751C4D00"/>
    <w:lvl w:ilvl="0" w:tplc="4A1810C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C460CBD"/>
    <w:multiLevelType w:val="hybridMultilevel"/>
    <w:tmpl w:val="E38067E2"/>
    <w:lvl w:ilvl="0" w:tplc="B4607CF4">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3C6A7A0F"/>
    <w:multiLevelType w:val="hybridMultilevel"/>
    <w:tmpl w:val="BF1E89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E754AB6"/>
    <w:multiLevelType w:val="hybridMultilevel"/>
    <w:tmpl w:val="B5983558"/>
    <w:lvl w:ilvl="0" w:tplc="04090001">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1" w15:restartNumberingAfterBreak="0">
    <w:nsid w:val="41BB6EB9"/>
    <w:multiLevelType w:val="hybridMultilevel"/>
    <w:tmpl w:val="F13C19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33B0277"/>
    <w:multiLevelType w:val="hybridMultilevel"/>
    <w:tmpl w:val="A0F0B118"/>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41B73BB"/>
    <w:multiLevelType w:val="hybridMultilevel"/>
    <w:tmpl w:val="52A6FE0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58D7384"/>
    <w:multiLevelType w:val="hybridMultilevel"/>
    <w:tmpl w:val="CC3CD9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46B43778"/>
    <w:multiLevelType w:val="hybridMultilevel"/>
    <w:tmpl w:val="48C4DA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BCC214A"/>
    <w:multiLevelType w:val="hybridMultilevel"/>
    <w:tmpl w:val="984661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EF24CB5"/>
    <w:multiLevelType w:val="hybridMultilevel"/>
    <w:tmpl w:val="CE9249A6"/>
    <w:lvl w:ilvl="0" w:tplc="04090017">
      <w:start w:val="1"/>
      <w:numFmt w:val="lowerLetter"/>
      <w:lvlText w:val="%1)"/>
      <w:lvlJc w:val="left"/>
      <w:pPr>
        <w:ind w:left="1474" w:hanging="360"/>
      </w:pPr>
      <w:rPr>
        <w:rFonts w:hint="default"/>
      </w:rPr>
    </w:lvl>
    <w:lvl w:ilvl="1" w:tplc="7DC8D156">
      <w:start w:val="1"/>
      <w:numFmt w:val="lowerRoman"/>
      <w:lvlText w:val="(%2)"/>
      <w:lvlJc w:val="left"/>
      <w:pPr>
        <w:ind w:left="2194" w:hanging="360"/>
      </w:pPr>
      <w:rPr>
        <w:rFonts w:hint="default"/>
      </w:rPr>
    </w:lvl>
    <w:lvl w:ilvl="2" w:tplc="04090005">
      <w:start w:val="1"/>
      <w:numFmt w:val="bullet"/>
      <w:lvlText w:val=""/>
      <w:lvlJc w:val="left"/>
      <w:pPr>
        <w:ind w:left="2914" w:hanging="360"/>
      </w:pPr>
      <w:rPr>
        <w:rFonts w:ascii="Wingdings" w:hAnsi="Wingdings" w:hint="default"/>
      </w:rPr>
    </w:lvl>
    <w:lvl w:ilvl="3" w:tplc="1512C844">
      <w:start w:val="1"/>
      <w:numFmt w:val="upperLetter"/>
      <w:lvlText w:val="(%4)"/>
      <w:lvlJc w:val="left"/>
      <w:pPr>
        <w:ind w:left="3634" w:hanging="360"/>
      </w:pPr>
      <w:rPr>
        <w:rFonts w:hint="default"/>
      </w:rPr>
    </w:lvl>
    <w:lvl w:ilvl="4" w:tplc="C0F863E0">
      <w:start w:val="1"/>
      <w:numFmt w:val="lowerLetter"/>
      <w:lvlText w:val="(%5)"/>
      <w:lvlJc w:val="left"/>
      <w:pPr>
        <w:ind w:left="4354" w:hanging="360"/>
      </w:pPr>
      <w:rPr>
        <w:rFonts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8" w15:restartNumberingAfterBreak="0">
    <w:nsid w:val="5640217D"/>
    <w:multiLevelType w:val="hybridMultilevel"/>
    <w:tmpl w:val="DB7010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7EF3EC7"/>
    <w:multiLevelType w:val="hybridMultilevel"/>
    <w:tmpl w:val="3646763E"/>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0" w15:restartNumberingAfterBreak="0">
    <w:nsid w:val="5B7A20DA"/>
    <w:multiLevelType w:val="multilevel"/>
    <w:tmpl w:val="F33E4D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2C5A26"/>
    <w:multiLevelType w:val="hybridMultilevel"/>
    <w:tmpl w:val="7414B8A8"/>
    <w:lvl w:ilvl="0" w:tplc="6FD26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CE3377"/>
    <w:multiLevelType w:val="hybridMultilevel"/>
    <w:tmpl w:val="17EE44DA"/>
    <w:lvl w:ilvl="0" w:tplc="5A20089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FE45BEE"/>
    <w:multiLevelType w:val="multilevel"/>
    <w:tmpl w:val="145C55D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F007C9"/>
    <w:multiLevelType w:val="hybridMultilevel"/>
    <w:tmpl w:val="97D07A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1EE0C72"/>
    <w:multiLevelType w:val="hybridMultilevel"/>
    <w:tmpl w:val="5CACBD2C"/>
    <w:lvl w:ilvl="0" w:tplc="951CDA9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4867ABB"/>
    <w:multiLevelType w:val="hybridMultilevel"/>
    <w:tmpl w:val="21809B5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4B4731A"/>
    <w:multiLevelType w:val="hybridMultilevel"/>
    <w:tmpl w:val="E6DC37E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AD23E3"/>
    <w:multiLevelType w:val="hybridMultilevel"/>
    <w:tmpl w:val="D2E66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7095C93"/>
    <w:multiLevelType w:val="multilevel"/>
    <w:tmpl w:val="64A468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8F48F8"/>
    <w:multiLevelType w:val="hybridMultilevel"/>
    <w:tmpl w:val="3FB20E7C"/>
    <w:lvl w:ilvl="0" w:tplc="5A20089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5B6675"/>
    <w:multiLevelType w:val="hybridMultilevel"/>
    <w:tmpl w:val="EA6246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B3868A2"/>
    <w:multiLevelType w:val="multilevel"/>
    <w:tmpl w:val="AB5EB480"/>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CF46682"/>
    <w:multiLevelType w:val="hybridMultilevel"/>
    <w:tmpl w:val="9294A8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4" w15:restartNumberingAfterBreak="0">
    <w:nsid w:val="7D4937D6"/>
    <w:multiLevelType w:val="multilevel"/>
    <w:tmpl w:val="864CA7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DB07E9"/>
    <w:multiLevelType w:val="multilevel"/>
    <w:tmpl w:val="6C8CB27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F4B3DC9"/>
    <w:multiLevelType w:val="hybridMultilevel"/>
    <w:tmpl w:val="291C67CC"/>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num w:numId="1">
    <w:abstractNumId w:val="25"/>
  </w:num>
  <w:num w:numId="2">
    <w:abstractNumId w:val="42"/>
  </w:num>
  <w:num w:numId="3">
    <w:abstractNumId w:val="37"/>
  </w:num>
  <w:num w:numId="4">
    <w:abstractNumId w:val="8"/>
  </w:num>
  <w:num w:numId="5">
    <w:abstractNumId w:val="29"/>
  </w:num>
  <w:num w:numId="6">
    <w:abstractNumId w:val="16"/>
  </w:num>
  <w:num w:numId="7">
    <w:abstractNumId w:val="22"/>
  </w:num>
  <w:num w:numId="8">
    <w:abstractNumId w:val="41"/>
  </w:num>
  <w:num w:numId="9">
    <w:abstractNumId w:val="10"/>
  </w:num>
  <w:num w:numId="10">
    <w:abstractNumId w:val="4"/>
  </w:num>
  <w:num w:numId="11">
    <w:abstractNumId w:val="32"/>
  </w:num>
  <w:num w:numId="12">
    <w:abstractNumId w:val="43"/>
  </w:num>
  <w:num w:numId="13">
    <w:abstractNumId w:val="7"/>
  </w:num>
  <w:num w:numId="14">
    <w:abstractNumId w:val="11"/>
  </w:num>
  <w:num w:numId="15">
    <w:abstractNumId w:val="1"/>
  </w:num>
  <w:num w:numId="16">
    <w:abstractNumId w:val="12"/>
  </w:num>
  <w:num w:numId="17">
    <w:abstractNumId w:val="19"/>
  </w:num>
  <w:num w:numId="18">
    <w:abstractNumId w:val="0"/>
  </w:num>
  <w:num w:numId="19">
    <w:abstractNumId w:val="46"/>
  </w:num>
  <w:num w:numId="20">
    <w:abstractNumId w:val="23"/>
  </w:num>
  <w:num w:numId="21">
    <w:abstractNumId w:val="20"/>
  </w:num>
  <w:num w:numId="22">
    <w:abstractNumId w:val="13"/>
  </w:num>
  <w:num w:numId="23">
    <w:abstractNumId w:val="27"/>
  </w:num>
  <w:num w:numId="24">
    <w:abstractNumId w:val="24"/>
  </w:num>
  <w:num w:numId="25">
    <w:abstractNumId w:val="35"/>
  </w:num>
  <w:num w:numId="26">
    <w:abstractNumId w:val="26"/>
  </w:num>
  <w:num w:numId="27">
    <w:abstractNumId w:val="5"/>
  </w:num>
  <w:num w:numId="28">
    <w:abstractNumId w:val="6"/>
  </w:num>
  <w:num w:numId="29">
    <w:abstractNumId w:val="36"/>
  </w:num>
  <w:num w:numId="30">
    <w:abstractNumId w:val="9"/>
  </w:num>
  <w:num w:numId="31">
    <w:abstractNumId w:val="38"/>
  </w:num>
  <w:num w:numId="32">
    <w:abstractNumId w:val="28"/>
  </w:num>
  <w:num w:numId="33">
    <w:abstractNumId w:val="15"/>
  </w:num>
  <w:num w:numId="34">
    <w:abstractNumId w:val="44"/>
  </w:num>
  <w:num w:numId="35">
    <w:abstractNumId w:val="3"/>
  </w:num>
  <w:num w:numId="36">
    <w:abstractNumId w:val="45"/>
  </w:num>
  <w:num w:numId="37">
    <w:abstractNumId w:val="21"/>
  </w:num>
  <w:num w:numId="38">
    <w:abstractNumId w:val="18"/>
  </w:num>
  <w:num w:numId="39">
    <w:abstractNumId w:val="14"/>
  </w:num>
  <w:num w:numId="40">
    <w:abstractNumId w:val="30"/>
  </w:num>
  <w:num w:numId="41">
    <w:abstractNumId w:val="17"/>
  </w:num>
  <w:num w:numId="42">
    <w:abstractNumId w:val="31"/>
  </w:num>
  <w:num w:numId="43">
    <w:abstractNumId w:val="40"/>
  </w:num>
  <w:num w:numId="44">
    <w:abstractNumId w:val="33"/>
  </w:num>
  <w:num w:numId="45">
    <w:abstractNumId w:val="39"/>
  </w:num>
  <w:num w:numId="46">
    <w:abstractNumId w:val="34"/>
  </w:num>
  <w:num w:numId="47">
    <w:abstractNumId w:val="2"/>
  </w:num>
  <w:num w:numId="48">
    <w:abstractNumId w:val="1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C3"/>
    <w:rsid w:val="000036C5"/>
    <w:rsid w:val="00022786"/>
    <w:rsid w:val="00030F64"/>
    <w:rsid w:val="00032782"/>
    <w:rsid w:val="00033DFD"/>
    <w:rsid w:val="000373B1"/>
    <w:rsid w:val="0004238A"/>
    <w:rsid w:val="000559C5"/>
    <w:rsid w:val="00060D36"/>
    <w:rsid w:val="00061593"/>
    <w:rsid w:val="0006179D"/>
    <w:rsid w:val="00062B17"/>
    <w:rsid w:val="000675BF"/>
    <w:rsid w:val="00071567"/>
    <w:rsid w:val="00080C6C"/>
    <w:rsid w:val="00094972"/>
    <w:rsid w:val="000A57A5"/>
    <w:rsid w:val="000A79AE"/>
    <w:rsid w:val="000A7E74"/>
    <w:rsid w:val="000C182D"/>
    <w:rsid w:val="000C2EE5"/>
    <w:rsid w:val="000C61F3"/>
    <w:rsid w:val="000D677E"/>
    <w:rsid w:val="000D7227"/>
    <w:rsid w:val="000E1250"/>
    <w:rsid w:val="000E56E6"/>
    <w:rsid w:val="000F0CBB"/>
    <w:rsid w:val="000F3C8F"/>
    <w:rsid w:val="000F53C6"/>
    <w:rsid w:val="000F691B"/>
    <w:rsid w:val="00100AD8"/>
    <w:rsid w:val="0010545B"/>
    <w:rsid w:val="00111E4E"/>
    <w:rsid w:val="0011489E"/>
    <w:rsid w:val="00137CAD"/>
    <w:rsid w:val="00142319"/>
    <w:rsid w:val="0015202C"/>
    <w:rsid w:val="00165F71"/>
    <w:rsid w:val="00186ED5"/>
    <w:rsid w:val="001950A0"/>
    <w:rsid w:val="001B79FB"/>
    <w:rsid w:val="001C1E73"/>
    <w:rsid w:val="001C38F0"/>
    <w:rsid w:val="001D5A8B"/>
    <w:rsid w:val="001D69FD"/>
    <w:rsid w:val="001D6CC2"/>
    <w:rsid w:val="001E2CDA"/>
    <w:rsid w:val="001F15A4"/>
    <w:rsid w:val="001F434C"/>
    <w:rsid w:val="00211424"/>
    <w:rsid w:val="00213399"/>
    <w:rsid w:val="00217F3E"/>
    <w:rsid w:val="00227918"/>
    <w:rsid w:val="00232B05"/>
    <w:rsid w:val="002424D0"/>
    <w:rsid w:val="00246B4C"/>
    <w:rsid w:val="002519AA"/>
    <w:rsid w:val="0025760F"/>
    <w:rsid w:val="00271B31"/>
    <w:rsid w:val="002815D9"/>
    <w:rsid w:val="0028180A"/>
    <w:rsid w:val="00286BAC"/>
    <w:rsid w:val="00292943"/>
    <w:rsid w:val="002A0243"/>
    <w:rsid w:val="002B0725"/>
    <w:rsid w:val="002C2B70"/>
    <w:rsid w:val="002C4D98"/>
    <w:rsid w:val="002C6AE9"/>
    <w:rsid w:val="002D3FEA"/>
    <w:rsid w:val="002E5B52"/>
    <w:rsid w:val="002F39E9"/>
    <w:rsid w:val="00301DC5"/>
    <w:rsid w:val="003143D9"/>
    <w:rsid w:val="00322A3D"/>
    <w:rsid w:val="003244D9"/>
    <w:rsid w:val="00324DD5"/>
    <w:rsid w:val="00332F5E"/>
    <w:rsid w:val="00335356"/>
    <w:rsid w:val="00344143"/>
    <w:rsid w:val="003623EF"/>
    <w:rsid w:val="00362C63"/>
    <w:rsid w:val="00371BB3"/>
    <w:rsid w:val="00374EE3"/>
    <w:rsid w:val="00377FBC"/>
    <w:rsid w:val="0038042B"/>
    <w:rsid w:val="00382ECB"/>
    <w:rsid w:val="0038309B"/>
    <w:rsid w:val="0038534B"/>
    <w:rsid w:val="00385609"/>
    <w:rsid w:val="00394CE9"/>
    <w:rsid w:val="00396AFE"/>
    <w:rsid w:val="00397C6D"/>
    <w:rsid w:val="003A05DB"/>
    <w:rsid w:val="003B511E"/>
    <w:rsid w:val="003C2AA6"/>
    <w:rsid w:val="003C590B"/>
    <w:rsid w:val="003C6076"/>
    <w:rsid w:val="003C78EE"/>
    <w:rsid w:val="003E7A5D"/>
    <w:rsid w:val="003F2E7F"/>
    <w:rsid w:val="00405CDD"/>
    <w:rsid w:val="004067D0"/>
    <w:rsid w:val="00412138"/>
    <w:rsid w:val="00421605"/>
    <w:rsid w:val="00421E81"/>
    <w:rsid w:val="00424A64"/>
    <w:rsid w:val="00424C69"/>
    <w:rsid w:val="004265AF"/>
    <w:rsid w:val="0043795A"/>
    <w:rsid w:val="004416B5"/>
    <w:rsid w:val="004425EC"/>
    <w:rsid w:val="0044587A"/>
    <w:rsid w:val="00451B87"/>
    <w:rsid w:val="0046671D"/>
    <w:rsid w:val="00485570"/>
    <w:rsid w:val="0049352F"/>
    <w:rsid w:val="004B4001"/>
    <w:rsid w:val="004B529F"/>
    <w:rsid w:val="004D112F"/>
    <w:rsid w:val="004D30CC"/>
    <w:rsid w:val="004E3098"/>
    <w:rsid w:val="004E5998"/>
    <w:rsid w:val="004F3B4A"/>
    <w:rsid w:val="004F4A4E"/>
    <w:rsid w:val="005139CF"/>
    <w:rsid w:val="005202D2"/>
    <w:rsid w:val="005377CC"/>
    <w:rsid w:val="005469C3"/>
    <w:rsid w:val="00546B71"/>
    <w:rsid w:val="00560782"/>
    <w:rsid w:val="005651A8"/>
    <w:rsid w:val="005744AE"/>
    <w:rsid w:val="005829D0"/>
    <w:rsid w:val="0058509A"/>
    <w:rsid w:val="005C16DD"/>
    <w:rsid w:val="005C4AC4"/>
    <w:rsid w:val="005C4EC9"/>
    <w:rsid w:val="005C55F4"/>
    <w:rsid w:val="005E0B29"/>
    <w:rsid w:val="005E7862"/>
    <w:rsid w:val="005F3453"/>
    <w:rsid w:val="005F3FA0"/>
    <w:rsid w:val="006129A1"/>
    <w:rsid w:val="00622ACA"/>
    <w:rsid w:val="00627446"/>
    <w:rsid w:val="0063211A"/>
    <w:rsid w:val="0063615F"/>
    <w:rsid w:val="006410B0"/>
    <w:rsid w:val="00645C2B"/>
    <w:rsid w:val="00661FBC"/>
    <w:rsid w:val="0067087E"/>
    <w:rsid w:val="00672C09"/>
    <w:rsid w:val="00674B6A"/>
    <w:rsid w:val="00676521"/>
    <w:rsid w:val="00692B1B"/>
    <w:rsid w:val="00693A07"/>
    <w:rsid w:val="00693CDD"/>
    <w:rsid w:val="0069475B"/>
    <w:rsid w:val="006A2201"/>
    <w:rsid w:val="006C1DA4"/>
    <w:rsid w:val="006C362C"/>
    <w:rsid w:val="006C6857"/>
    <w:rsid w:val="006C7D48"/>
    <w:rsid w:val="006D13CB"/>
    <w:rsid w:val="006D2171"/>
    <w:rsid w:val="006D5927"/>
    <w:rsid w:val="006D6BB4"/>
    <w:rsid w:val="006E48E5"/>
    <w:rsid w:val="00700D2A"/>
    <w:rsid w:val="00707DA8"/>
    <w:rsid w:val="00724C9C"/>
    <w:rsid w:val="0072600F"/>
    <w:rsid w:val="00727A20"/>
    <w:rsid w:val="00730688"/>
    <w:rsid w:val="007404CF"/>
    <w:rsid w:val="007412D8"/>
    <w:rsid w:val="007416E4"/>
    <w:rsid w:val="00746390"/>
    <w:rsid w:val="00765310"/>
    <w:rsid w:val="007657F8"/>
    <w:rsid w:val="007763BD"/>
    <w:rsid w:val="00784A96"/>
    <w:rsid w:val="00791D43"/>
    <w:rsid w:val="007973E4"/>
    <w:rsid w:val="007A7235"/>
    <w:rsid w:val="007B5438"/>
    <w:rsid w:val="007B6D21"/>
    <w:rsid w:val="007B7F26"/>
    <w:rsid w:val="007C7C9E"/>
    <w:rsid w:val="007E30C7"/>
    <w:rsid w:val="007E35FD"/>
    <w:rsid w:val="007E3EEF"/>
    <w:rsid w:val="007E7BC7"/>
    <w:rsid w:val="007F2255"/>
    <w:rsid w:val="007F40A6"/>
    <w:rsid w:val="007F5BF5"/>
    <w:rsid w:val="008033CB"/>
    <w:rsid w:val="00821CDF"/>
    <w:rsid w:val="00826EE7"/>
    <w:rsid w:val="00827576"/>
    <w:rsid w:val="00832244"/>
    <w:rsid w:val="0085111C"/>
    <w:rsid w:val="00852931"/>
    <w:rsid w:val="00870CA9"/>
    <w:rsid w:val="00871F35"/>
    <w:rsid w:val="00876D96"/>
    <w:rsid w:val="0088543E"/>
    <w:rsid w:val="008A06AC"/>
    <w:rsid w:val="008A44FE"/>
    <w:rsid w:val="008A58E6"/>
    <w:rsid w:val="008A5ACE"/>
    <w:rsid w:val="008B0829"/>
    <w:rsid w:val="008B5B95"/>
    <w:rsid w:val="008C1838"/>
    <w:rsid w:val="008C39DB"/>
    <w:rsid w:val="008C46D1"/>
    <w:rsid w:val="008C61AC"/>
    <w:rsid w:val="008E13ED"/>
    <w:rsid w:val="008E5F99"/>
    <w:rsid w:val="008E7528"/>
    <w:rsid w:val="008F76C9"/>
    <w:rsid w:val="00910923"/>
    <w:rsid w:val="00910FA3"/>
    <w:rsid w:val="0091381B"/>
    <w:rsid w:val="00913F8D"/>
    <w:rsid w:val="009260F4"/>
    <w:rsid w:val="009365D6"/>
    <w:rsid w:val="00943E60"/>
    <w:rsid w:val="00976624"/>
    <w:rsid w:val="0097677E"/>
    <w:rsid w:val="00984580"/>
    <w:rsid w:val="00987D86"/>
    <w:rsid w:val="009A6DE5"/>
    <w:rsid w:val="009A75E6"/>
    <w:rsid w:val="009C3D5B"/>
    <w:rsid w:val="009C3EB0"/>
    <w:rsid w:val="009C57E3"/>
    <w:rsid w:val="009D34C0"/>
    <w:rsid w:val="009D40C5"/>
    <w:rsid w:val="009D7AF5"/>
    <w:rsid w:val="009E3536"/>
    <w:rsid w:val="009E3ABE"/>
    <w:rsid w:val="009E6F47"/>
    <w:rsid w:val="009F1BD7"/>
    <w:rsid w:val="00A04848"/>
    <w:rsid w:val="00A06221"/>
    <w:rsid w:val="00A10572"/>
    <w:rsid w:val="00A331C1"/>
    <w:rsid w:val="00A35DCB"/>
    <w:rsid w:val="00A36804"/>
    <w:rsid w:val="00A437A3"/>
    <w:rsid w:val="00A47B98"/>
    <w:rsid w:val="00A5027C"/>
    <w:rsid w:val="00A52025"/>
    <w:rsid w:val="00A54413"/>
    <w:rsid w:val="00A61754"/>
    <w:rsid w:val="00A63EE5"/>
    <w:rsid w:val="00A65D3C"/>
    <w:rsid w:val="00A73D1F"/>
    <w:rsid w:val="00A93CC1"/>
    <w:rsid w:val="00A95BE9"/>
    <w:rsid w:val="00AA14B8"/>
    <w:rsid w:val="00AA6C87"/>
    <w:rsid w:val="00AC7286"/>
    <w:rsid w:val="00AC742C"/>
    <w:rsid w:val="00AD3AD7"/>
    <w:rsid w:val="00AD3FF6"/>
    <w:rsid w:val="00AD4B3F"/>
    <w:rsid w:val="00AD58C8"/>
    <w:rsid w:val="00AE0FCC"/>
    <w:rsid w:val="00AE4A64"/>
    <w:rsid w:val="00AE5775"/>
    <w:rsid w:val="00AE63EB"/>
    <w:rsid w:val="00AE76C9"/>
    <w:rsid w:val="00B0451F"/>
    <w:rsid w:val="00B05587"/>
    <w:rsid w:val="00B061DA"/>
    <w:rsid w:val="00B06978"/>
    <w:rsid w:val="00B24293"/>
    <w:rsid w:val="00B2436F"/>
    <w:rsid w:val="00B332FA"/>
    <w:rsid w:val="00B34E5D"/>
    <w:rsid w:val="00B35F6C"/>
    <w:rsid w:val="00B44EB0"/>
    <w:rsid w:val="00B4552D"/>
    <w:rsid w:val="00B510A1"/>
    <w:rsid w:val="00B52D72"/>
    <w:rsid w:val="00B555F9"/>
    <w:rsid w:val="00B558D6"/>
    <w:rsid w:val="00B61F3C"/>
    <w:rsid w:val="00B64C93"/>
    <w:rsid w:val="00B66C4B"/>
    <w:rsid w:val="00B671EA"/>
    <w:rsid w:val="00B70A0B"/>
    <w:rsid w:val="00B73EFB"/>
    <w:rsid w:val="00B828AF"/>
    <w:rsid w:val="00B87738"/>
    <w:rsid w:val="00B90FE5"/>
    <w:rsid w:val="00B950C0"/>
    <w:rsid w:val="00B954AC"/>
    <w:rsid w:val="00B9623D"/>
    <w:rsid w:val="00BA2BB6"/>
    <w:rsid w:val="00BB1BF5"/>
    <w:rsid w:val="00BC50C5"/>
    <w:rsid w:val="00BD2711"/>
    <w:rsid w:val="00BD406C"/>
    <w:rsid w:val="00BE7897"/>
    <w:rsid w:val="00BF1FBD"/>
    <w:rsid w:val="00BF335F"/>
    <w:rsid w:val="00BF3920"/>
    <w:rsid w:val="00C04ADE"/>
    <w:rsid w:val="00C16AD7"/>
    <w:rsid w:val="00C273B9"/>
    <w:rsid w:val="00C32B00"/>
    <w:rsid w:val="00C41982"/>
    <w:rsid w:val="00C44598"/>
    <w:rsid w:val="00C47D53"/>
    <w:rsid w:val="00C60550"/>
    <w:rsid w:val="00C75A51"/>
    <w:rsid w:val="00C82F0D"/>
    <w:rsid w:val="00C85ED1"/>
    <w:rsid w:val="00CA0AF3"/>
    <w:rsid w:val="00CB211D"/>
    <w:rsid w:val="00CB3D41"/>
    <w:rsid w:val="00CC2F88"/>
    <w:rsid w:val="00CC3EE6"/>
    <w:rsid w:val="00CD04E9"/>
    <w:rsid w:val="00CD64AF"/>
    <w:rsid w:val="00CE2C35"/>
    <w:rsid w:val="00CF2175"/>
    <w:rsid w:val="00CF4E8C"/>
    <w:rsid w:val="00D11A42"/>
    <w:rsid w:val="00D2312A"/>
    <w:rsid w:val="00D2433E"/>
    <w:rsid w:val="00D258F6"/>
    <w:rsid w:val="00D268BA"/>
    <w:rsid w:val="00D27C67"/>
    <w:rsid w:val="00D352BF"/>
    <w:rsid w:val="00D41F22"/>
    <w:rsid w:val="00D460A4"/>
    <w:rsid w:val="00D47F38"/>
    <w:rsid w:val="00D57627"/>
    <w:rsid w:val="00D60C0E"/>
    <w:rsid w:val="00D84122"/>
    <w:rsid w:val="00D92AEC"/>
    <w:rsid w:val="00D94C3C"/>
    <w:rsid w:val="00D969E6"/>
    <w:rsid w:val="00DA2F93"/>
    <w:rsid w:val="00DA3D41"/>
    <w:rsid w:val="00DC4C70"/>
    <w:rsid w:val="00DC5CB0"/>
    <w:rsid w:val="00DC762C"/>
    <w:rsid w:val="00DD1EDA"/>
    <w:rsid w:val="00DD46AB"/>
    <w:rsid w:val="00DE06DB"/>
    <w:rsid w:val="00E017FA"/>
    <w:rsid w:val="00E0246B"/>
    <w:rsid w:val="00E042E0"/>
    <w:rsid w:val="00E057E0"/>
    <w:rsid w:val="00E1586E"/>
    <w:rsid w:val="00E16FB5"/>
    <w:rsid w:val="00E26303"/>
    <w:rsid w:val="00E50FF0"/>
    <w:rsid w:val="00E548CA"/>
    <w:rsid w:val="00E72D64"/>
    <w:rsid w:val="00EB39AE"/>
    <w:rsid w:val="00EB751D"/>
    <w:rsid w:val="00EB7A73"/>
    <w:rsid w:val="00EC00AD"/>
    <w:rsid w:val="00EC1001"/>
    <w:rsid w:val="00EC4A7A"/>
    <w:rsid w:val="00EC4AB2"/>
    <w:rsid w:val="00EC5DD4"/>
    <w:rsid w:val="00EC7465"/>
    <w:rsid w:val="00ED2BEF"/>
    <w:rsid w:val="00ED524C"/>
    <w:rsid w:val="00EE083F"/>
    <w:rsid w:val="00EE7759"/>
    <w:rsid w:val="00F2304E"/>
    <w:rsid w:val="00F30A8A"/>
    <w:rsid w:val="00F31A45"/>
    <w:rsid w:val="00F32B40"/>
    <w:rsid w:val="00F4063A"/>
    <w:rsid w:val="00F416D7"/>
    <w:rsid w:val="00F45645"/>
    <w:rsid w:val="00F51625"/>
    <w:rsid w:val="00F5780D"/>
    <w:rsid w:val="00F63421"/>
    <w:rsid w:val="00F70E7B"/>
    <w:rsid w:val="00F97FF8"/>
    <w:rsid w:val="00FA1E87"/>
    <w:rsid w:val="00FA2024"/>
    <w:rsid w:val="00FA5777"/>
    <w:rsid w:val="00FB4DD2"/>
    <w:rsid w:val="00FB53AB"/>
    <w:rsid w:val="00FB7DC5"/>
    <w:rsid w:val="00FC0E59"/>
    <w:rsid w:val="00FD4926"/>
    <w:rsid w:val="00FD62AC"/>
    <w:rsid w:val="00FD7DA8"/>
    <w:rsid w:val="00FE5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4738DD"/>
  <w15:chartTrackingRefBased/>
  <w15:docId w15:val="{EACF4F67-DE2D-45C8-ADFC-EDD21E8A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C3"/>
  </w:style>
  <w:style w:type="paragraph" w:styleId="Heading1">
    <w:name w:val="heading 1"/>
    <w:basedOn w:val="Normal"/>
    <w:next w:val="Normal"/>
    <w:link w:val="Heading1Char"/>
    <w:uiPriority w:val="9"/>
    <w:qFormat/>
    <w:rsid w:val="00BF3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C3"/>
  </w:style>
  <w:style w:type="paragraph" w:styleId="Footer">
    <w:name w:val="footer"/>
    <w:basedOn w:val="Normal"/>
    <w:link w:val="FooterChar"/>
    <w:uiPriority w:val="99"/>
    <w:unhideWhenUsed/>
    <w:rsid w:val="00546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C3"/>
  </w:style>
  <w:style w:type="paragraph" w:styleId="FootnoteText">
    <w:name w:val="footnote text"/>
    <w:basedOn w:val="Normal"/>
    <w:link w:val="FootnoteTextChar"/>
    <w:unhideWhenUsed/>
    <w:rsid w:val="005469C3"/>
    <w:pPr>
      <w:spacing w:after="0" w:line="240" w:lineRule="auto"/>
    </w:pPr>
    <w:rPr>
      <w:sz w:val="20"/>
      <w:szCs w:val="20"/>
    </w:rPr>
  </w:style>
  <w:style w:type="character" w:customStyle="1" w:styleId="FootnoteTextChar">
    <w:name w:val="Footnote Text Char"/>
    <w:basedOn w:val="DefaultParagraphFont"/>
    <w:link w:val="FootnoteText"/>
    <w:uiPriority w:val="99"/>
    <w:rsid w:val="005469C3"/>
    <w:rPr>
      <w:sz w:val="20"/>
      <w:szCs w:val="20"/>
    </w:rPr>
  </w:style>
  <w:style w:type="character" w:styleId="FootnoteReference">
    <w:name w:val="footnote reference"/>
    <w:basedOn w:val="DefaultParagraphFont"/>
    <w:semiHidden/>
    <w:unhideWhenUsed/>
    <w:rsid w:val="005469C3"/>
    <w:rPr>
      <w:vertAlign w:val="superscript"/>
    </w:rPr>
  </w:style>
  <w:style w:type="paragraph" w:styleId="ListParagraph">
    <w:name w:val="List Paragraph"/>
    <w:basedOn w:val="Normal"/>
    <w:link w:val="ListParagraphChar"/>
    <w:uiPriority w:val="34"/>
    <w:qFormat/>
    <w:rsid w:val="005469C3"/>
    <w:pPr>
      <w:ind w:left="720"/>
      <w:contextualSpacing/>
    </w:pPr>
  </w:style>
  <w:style w:type="character" w:styleId="Hyperlink">
    <w:name w:val="Hyperlink"/>
    <w:basedOn w:val="DefaultParagraphFont"/>
    <w:uiPriority w:val="99"/>
    <w:unhideWhenUsed/>
    <w:rsid w:val="005469C3"/>
    <w:rPr>
      <w:color w:val="0563C1" w:themeColor="hyperlink"/>
      <w:u w:val="single"/>
    </w:rPr>
  </w:style>
  <w:style w:type="paragraph" w:customStyle="1" w:styleId="N-line3">
    <w:name w:val="N-line3"/>
    <w:basedOn w:val="Normal"/>
    <w:next w:val="Normal"/>
    <w:rsid w:val="005469C3"/>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5469C3"/>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5469C3"/>
    <w:pPr>
      <w:tabs>
        <w:tab w:val="left" w:pos="2600"/>
      </w:tabs>
      <w:spacing w:before="200" w:after="60" w:line="240" w:lineRule="auto"/>
      <w:jc w:val="both"/>
    </w:pPr>
    <w:rPr>
      <w:rFonts w:ascii="Arial" w:eastAsia="Times New Roman" w:hAnsi="Arial" w:cs="Times New Roman"/>
      <w:b/>
      <w:sz w:val="24"/>
      <w:szCs w:val="20"/>
    </w:rPr>
  </w:style>
  <w:style w:type="paragraph" w:styleId="Title">
    <w:name w:val="Title"/>
    <w:basedOn w:val="Normal"/>
    <w:next w:val="Normal"/>
    <w:link w:val="TitleChar"/>
    <w:uiPriority w:val="10"/>
    <w:qFormat/>
    <w:rsid w:val="005469C3"/>
    <w:pPr>
      <w:ind w:left="51"/>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5469C3"/>
    <w:rPr>
      <w:rFonts w:asciiTheme="majorHAnsi" w:eastAsiaTheme="majorEastAsia" w:hAnsiTheme="majorHAnsi" w:cstheme="majorBidi"/>
      <w:spacing w:val="-10"/>
      <w:kern w:val="28"/>
      <w:sz w:val="56"/>
      <w:szCs w:val="56"/>
      <w:lang w:eastAsia="en-AU"/>
    </w:rPr>
  </w:style>
  <w:style w:type="paragraph" w:styleId="TOC1">
    <w:name w:val="toc 1"/>
    <w:basedOn w:val="Normal"/>
    <w:next w:val="Normal"/>
    <w:autoRedefine/>
    <w:uiPriority w:val="39"/>
    <w:unhideWhenUsed/>
    <w:rsid w:val="005469C3"/>
    <w:pPr>
      <w:tabs>
        <w:tab w:val="left" w:pos="426"/>
        <w:tab w:val="right" w:leader="dot" w:pos="9038"/>
      </w:tabs>
      <w:spacing w:after="100"/>
    </w:pPr>
    <w:rPr>
      <w:rFonts w:ascii="Calibri" w:hAnsi="Calibri" w:cs="Calibri"/>
      <w:lang w:eastAsia="en-AU"/>
    </w:rPr>
  </w:style>
  <w:style w:type="paragraph" w:styleId="BalloonText">
    <w:name w:val="Balloon Text"/>
    <w:basedOn w:val="Normal"/>
    <w:link w:val="BalloonTextChar"/>
    <w:uiPriority w:val="99"/>
    <w:semiHidden/>
    <w:unhideWhenUsed/>
    <w:rsid w:val="002F3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E9"/>
    <w:rPr>
      <w:rFonts w:ascii="Segoe UI" w:hAnsi="Segoe UI" w:cs="Segoe UI"/>
      <w:sz w:val="18"/>
      <w:szCs w:val="18"/>
    </w:rPr>
  </w:style>
  <w:style w:type="paragraph" w:customStyle="1" w:styleId="OMHeading1">
    <w:name w:val="OM Heading 1"/>
    <w:basedOn w:val="ListParagraph"/>
    <w:qFormat/>
    <w:rsid w:val="00385609"/>
    <w:pPr>
      <w:numPr>
        <w:numId w:val="9"/>
      </w:numPr>
      <w:spacing w:after="0" w:line="240" w:lineRule="auto"/>
    </w:pPr>
    <w:rPr>
      <w:rFonts w:cstheme="minorHAnsi"/>
      <w:sz w:val="36"/>
      <w:szCs w:val="36"/>
    </w:rPr>
  </w:style>
  <w:style w:type="paragraph" w:customStyle="1" w:styleId="OMHeading2">
    <w:name w:val="OM Heading 2"/>
    <w:basedOn w:val="ListParagraph"/>
    <w:link w:val="OMHeading2Char"/>
    <w:qFormat/>
    <w:rsid w:val="00385609"/>
    <w:pPr>
      <w:numPr>
        <w:ilvl w:val="1"/>
        <w:numId w:val="9"/>
      </w:numPr>
      <w:spacing w:after="0" w:line="240" w:lineRule="auto"/>
    </w:pPr>
    <w:rPr>
      <w:rFonts w:cstheme="minorHAnsi"/>
      <w:b/>
      <w:sz w:val="28"/>
      <w:szCs w:val="28"/>
    </w:rPr>
  </w:style>
  <w:style w:type="character" w:customStyle="1" w:styleId="ListParagraphChar">
    <w:name w:val="List Paragraph Char"/>
    <w:basedOn w:val="DefaultParagraphFont"/>
    <w:link w:val="ListParagraph"/>
    <w:uiPriority w:val="34"/>
    <w:rsid w:val="00385609"/>
  </w:style>
  <w:style w:type="paragraph" w:customStyle="1" w:styleId="OMHeading3">
    <w:name w:val="OM Heading 3"/>
    <w:basedOn w:val="ListParagraph"/>
    <w:link w:val="OMHeading3Char"/>
    <w:qFormat/>
    <w:rsid w:val="00385609"/>
    <w:pPr>
      <w:numPr>
        <w:ilvl w:val="2"/>
        <w:numId w:val="9"/>
      </w:numPr>
      <w:spacing w:after="0" w:line="240" w:lineRule="auto"/>
    </w:pPr>
    <w:rPr>
      <w:rFonts w:cstheme="minorHAnsi"/>
      <w:b/>
    </w:rPr>
  </w:style>
  <w:style w:type="character" w:customStyle="1" w:styleId="OMHeading3Char">
    <w:name w:val="OM Heading 3 Char"/>
    <w:basedOn w:val="ListParagraphChar"/>
    <w:link w:val="OMHeading3"/>
    <w:rsid w:val="00385609"/>
    <w:rPr>
      <w:rFonts w:cstheme="minorHAnsi"/>
      <w:b/>
    </w:rPr>
  </w:style>
  <w:style w:type="character" w:styleId="CommentReference">
    <w:name w:val="annotation reference"/>
    <w:basedOn w:val="DefaultParagraphFont"/>
    <w:uiPriority w:val="99"/>
    <w:semiHidden/>
    <w:unhideWhenUsed/>
    <w:rsid w:val="00385609"/>
    <w:rPr>
      <w:sz w:val="16"/>
      <w:szCs w:val="16"/>
    </w:rPr>
  </w:style>
  <w:style w:type="paragraph" w:styleId="CommentText">
    <w:name w:val="annotation text"/>
    <w:basedOn w:val="Normal"/>
    <w:link w:val="CommentTextChar"/>
    <w:uiPriority w:val="99"/>
    <w:unhideWhenUsed/>
    <w:rsid w:val="00385609"/>
    <w:pPr>
      <w:spacing w:after="200" w:line="240" w:lineRule="auto"/>
    </w:pPr>
    <w:rPr>
      <w:sz w:val="20"/>
      <w:szCs w:val="20"/>
    </w:rPr>
  </w:style>
  <w:style w:type="character" w:customStyle="1" w:styleId="CommentTextChar">
    <w:name w:val="Comment Text Char"/>
    <w:basedOn w:val="DefaultParagraphFont"/>
    <w:link w:val="CommentText"/>
    <w:uiPriority w:val="99"/>
    <w:rsid w:val="00385609"/>
    <w:rPr>
      <w:sz w:val="20"/>
      <w:szCs w:val="20"/>
    </w:rPr>
  </w:style>
  <w:style w:type="paragraph" w:customStyle="1" w:styleId="Amain">
    <w:name w:val="A main"/>
    <w:basedOn w:val="Normal"/>
    <w:link w:val="AmainChar"/>
    <w:rsid w:val="00405CDD"/>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405CDD"/>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link w:val="AsubparaChar"/>
    <w:rsid w:val="00405CDD"/>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paragraph" w:customStyle="1" w:styleId="aNotepar">
    <w:name w:val="aNotepar"/>
    <w:basedOn w:val="Normal"/>
    <w:next w:val="Normal"/>
    <w:rsid w:val="00405CDD"/>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BoldItals">
    <w:name w:val="charBoldItals"/>
    <w:basedOn w:val="DefaultParagraphFont"/>
    <w:rsid w:val="00405CDD"/>
    <w:rPr>
      <w:b/>
      <w:i/>
    </w:rPr>
  </w:style>
  <w:style w:type="character" w:customStyle="1" w:styleId="charItals">
    <w:name w:val="charItals"/>
    <w:basedOn w:val="DefaultParagraphFont"/>
    <w:rsid w:val="00405CDD"/>
    <w:rPr>
      <w:i/>
    </w:rPr>
  </w:style>
  <w:style w:type="paragraph" w:customStyle="1" w:styleId="aNotesubpar">
    <w:name w:val="aNotesubpar"/>
    <w:basedOn w:val="Normal"/>
    <w:next w:val="Normal"/>
    <w:rsid w:val="00405CDD"/>
    <w:pPr>
      <w:spacing w:before="140" w:after="0" w:line="240" w:lineRule="auto"/>
      <w:ind w:left="294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405CDD"/>
    <w:rPr>
      <w:color w:val="0563C1" w:themeColor="hyperlink"/>
      <w:u w:val="none"/>
    </w:rPr>
  </w:style>
  <w:style w:type="character" w:customStyle="1" w:styleId="charCitHyperlinkItal">
    <w:name w:val="charCitHyperlinkItal"/>
    <w:basedOn w:val="Hyperlink"/>
    <w:uiPriority w:val="1"/>
    <w:rsid w:val="00405CDD"/>
    <w:rPr>
      <w:i/>
      <w:color w:val="0563C1" w:themeColor="hyperlink"/>
      <w:u w:val="none"/>
    </w:rPr>
  </w:style>
  <w:style w:type="character" w:customStyle="1" w:styleId="AmainChar">
    <w:name w:val="A main Char"/>
    <w:basedOn w:val="DefaultParagraphFont"/>
    <w:link w:val="Amain"/>
    <w:locked/>
    <w:rsid w:val="00405CDD"/>
    <w:rPr>
      <w:rFonts w:ascii="Times New Roman" w:eastAsia="Times New Roman" w:hAnsi="Times New Roman" w:cs="Times New Roman"/>
      <w:sz w:val="24"/>
      <w:szCs w:val="20"/>
    </w:rPr>
  </w:style>
  <w:style w:type="character" w:customStyle="1" w:styleId="AparaChar">
    <w:name w:val="A para Char"/>
    <w:basedOn w:val="DefaultParagraphFont"/>
    <w:link w:val="Apara"/>
    <w:locked/>
    <w:rsid w:val="00405CDD"/>
    <w:rPr>
      <w:rFonts w:ascii="Times New Roman" w:eastAsia="Times New Roman" w:hAnsi="Times New Roman" w:cs="Times New Roman"/>
      <w:sz w:val="24"/>
      <w:szCs w:val="20"/>
    </w:rPr>
  </w:style>
  <w:style w:type="character" w:customStyle="1" w:styleId="AsubparaChar">
    <w:name w:val="A subpara Char"/>
    <w:basedOn w:val="DefaultParagraphFont"/>
    <w:link w:val="Asubpara"/>
    <w:locked/>
    <w:rsid w:val="00405CDD"/>
    <w:rPr>
      <w:rFonts w:ascii="Times New Roman" w:eastAsia="Times New Roman" w:hAnsi="Times New Roman" w:cs="Times New Roman"/>
      <w:sz w:val="24"/>
      <w:szCs w:val="20"/>
    </w:rPr>
  </w:style>
  <w:style w:type="character" w:customStyle="1" w:styleId="OMHeading2Char">
    <w:name w:val="OM Heading 2 Char"/>
    <w:basedOn w:val="ListParagraphChar"/>
    <w:link w:val="OMHeading2"/>
    <w:rsid w:val="00405CDD"/>
    <w:rPr>
      <w:rFonts w:cstheme="minorHAnsi"/>
      <w:b/>
      <w:sz w:val="28"/>
      <w:szCs w:val="28"/>
    </w:rPr>
  </w:style>
  <w:style w:type="character" w:styleId="Emphasis">
    <w:name w:val="Emphasis"/>
    <w:basedOn w:val="DefaultParagraphFont"/>
    <w:uiPriority w:val="20"/>
    <w:qFormat/>
    <w:rsid w:val="00405CDD"/>
    <w:rPr>
      <w:i/>
      <w:iCs/>
    </w:rPr>
  </w:style>
  <w:style w:type="character" w:customStyle="1" w:styleId="Heading1Char">
    <w:name w:val="Heading 1 Char"/>
    <w:basedOn w:val="DefaultParagraphFont"/>
    <w:link w:val="Heading1"/>
    <w:uiPriority w:val="9"/>
    <w:rsid w:val="00BF335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4E3098"/>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4E3098"/>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uiPriority w:val="99"/>
    <w:semiHidden/>
    <w:unhideWhenUsed/>
    <w:rsid w:val="00D60C0E"/>
    <w:pPr>
      <w:spacing w:after="160"/>
    </w:pPr>
    <w:rPr>
      <w:b/>
      <w:bCs/>
    </w:rPr>
  </w:style>
  <w:style w:type="character" w:customStyle="1" w:styleId="CommentSubjectChar">
    <w:name w:val="Comment Subject Char"/>
    <w:basedOn w:val="CommentTextChar"/>
    <w:link w:val="CommentSubject"/>
    <w:uiPriority w:val="99"/>
    <w:semiHidden/>
    <w:rsid w:val="00D60C0E"/>
    <w:rPr>
      <w:b/>
      <w:bCs/>
      <w:sz w:val="20"/>
      <w:szCs w:val="20"/>
    </w:rPr>
  </w:style>
  <w:style w:type="paragraph" w:styleId="TOCHeading">
    <w:name w:val="TOC Heading"/>
    <w:basedOn w:val="Heading1"/>
    <w:next w:val="Normal"/>
    <w:uiPriority w:val="39"/>
    <w:unhideWhenUsed/>
    <w:qFormat/>
    <w:rsid w:val="00A5027C"/>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5-5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5CD19.AA17CA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B674-487B-4D0A-B016-981E41A1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5387</Words>
  <Characters>28195</Characters>
  <Application>Microsoft Office Word</Application>
  <DocSecurity>0</DocSecurity>
  <Lines>665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Melissa</dc:creator>
  <cp:keywords/>
  <dc:description/>
  <cp:lastModifiedBy>Moxon, KarenL</cp:lastModifiedBy>
  <cp:revision>4</cp:revision>
  <cp:lastPrinted>2021-02-18T00:39:00Z</cp:lastPrinted>
  <dcterms:created xsi:type="dcterms:W3CDTF">2021-03-01T00:51:00Z</dcterms:created>
  <dcterms:modified xsi:type="dcterms:W3CDTF">2021-03-01T00:51:00Z</dcterms:modified>
</cp:coreProperties>
</file>