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3E5C3" w14:textId="77777777" w:rsidR="00685BF9" w:rsidRPr="001D21AA" w:rsidRDefault="00685BF9" w:rsidP="00685BF9">
      <w:pPr>
        <w:spacing w:before="120"/>
        <w:rPr>
          <w:rFonts w:ascii="Arial" w:hAnsi="Arial" w:cs="Arial"/>
        </w:rPr>
      </w:pPr>
      <w:bookmarkStart w:id="0" w:name="_Toc44738651"/>
      <w:r w:rsidRPr="001D21AA">
        <w:rPr>
          <w:rFonts w:ascii="Arial" w:hAnsi="Arial" w:cs="Arial"/>
        </w:rPr>
        <w:t>Australian Capital Territory</w:t>
      </w:r>
    </w:p>
    <w:p w14:paraId="41721A9E" w14:textId="6DF3BCD2" w:rsidR="00685BF9" w:rsidRDefault="00685BF9" w:rsidP="00685BF9">
      <w:pPr>
        <w:spacing w:before="340"/>
        <w:rPr>
          <w:rFonts w:ascii="Arial" w:eastAsia="Times New Roman" w:hAnsi="Arial" w:cs="Times New Roman"/>
          <w:b/>
          <w:sz w:val="40"/>
          <w:szCs w:val="20"/>
        </w:rPr>
      </w:pPr>
      <w:r w:rsidRPr="00FB634E">
        <w:rPr>
          <w:rFonts w:ascii="Arial" w:eastAsia="Times New Roman" w:hAnsi="Arial" w:cs="Times New Roman"/>
          <w:b/>
          <w:sz w:val="40"/>
          <w:szCs w:val="20"/>
        </w:rPr>
        <w:t xml:space="preserve">Integrity Commission </w:t>
      </w:r>
      <w:r w:rsidR="00244F1C">
        <w:rPr>
          <w:rFonts w:ascii="Arial" w:eastAsia="Times New Roman" w:hAnsi="Arial" w:cs="Times New Roman"/>
          <w:b/>
          <w:sz w:val="40"/>
          <w:szCs w:val="20"/>
        </w:rPr>
        <w:t>(</w:t>
      </w:r>
      <w:r w:rsidR="005321B3">
        <w:rPr>
          <w:rFonts w:ascii="Arial" w:eastAsia="Times New Roman" w:hAnsi="Arial" w:cs="Times New Roman"/>
          <w:b/>
          <w:sz w:val="40"/>
          <w:szCs w:val="20"/>
        </w:rPr>
        <w:t>Examination</w:t>
      </w:r>
      <w:r w:rsidR="00244F1C">
        <w:rPr>
          <w:rFonts w:ascii="Arial" w:eastAsia="Times New Roman" w:hAnsi="Arial" w:cs="Times New Roman"/>
          <w:b/>
          <w:sz w:val="40"/>
          <w:szCs w:val="20"/>
        </w:rPr>
        <w:t>)</w:t>
      </w:r>
      <w:r w:rsidR="005321B3">
        <w:rPr>
          <w:rFonts w:ascii="Arial" w:eastAsia="Times New Roman" w:hAnsi="Arial" w:cs="Times New Roman"/>
          <w:b/>
          <w:sz w:val="40"/>
          <w:szCs w:val="20"/>
        </w:rPr>
        <w:t xml:space="preserve"> Guidelines</w:t>
      </w:r>
      <w:r w:rsidRPr="00FB634E">
        <w:rPr>
          <w:rFonts w:ascii="Arial" w:eastAsia="Times New Roman" w:hAnsi="Arial" w:cs="Times New Roman"/>
          <w:b/>
          <w:sz w:val="40"/>
          <w:szCs w:val="20"/>
        </w:rPr>
        <w:t xml:space="preserve"> 20</w:t>
      </w:r>
      <w:r>
        <w:rPr>
          <w:rFonts w:ascii="Arial" w:eastAsia="Times New Roman" w:hAnsi="Arial" w:cs="Times New Roman"/>
          <w:b/>
          <w:sz w:val="40"/>
          <w:szCs w:val="20"/>
        </w:rPr>
        <w:t>2</w:t>
      </w:r>
      <w:r w:rsidR="00FC5D9D">
        <w:rPr>
          <w:rFonts w:ascii="Arial" w:eastAsia="Times New Roman" w:hAnsi="Arial" w:cs="Times New Roman"/>
          <w:b/>
          <w:sz w:val="40"/>
          <w:szCs w:val="20"/>
        </w:rPr>
        <w:t>1</w:t>
      </w:r>
    </w:p>
    <w:p w14:paraId="517402C1" w14:textId="4200F76C" w:rsidR="00685BF9" w:rsidRPr="001D21AA" w:rsidRDefault="00685BF9" w:rsidP="00685BF9">
      <w:pPr>
        <w:spacing w:before="340"/>
        <w:rPr>
          <w:rFonts w:ascii="Arial" w:hAnsi="Arial" w:cs="Arial"/>
          <w:b/>
          <w:bCs/>
        </w:rPr>
      </w:pPr>
      <w:r w:rsidRPr="001D21AA">
        <w:rPr>
          <w:rFonts w:ascii="Arial" w:hAnsi="Arial" w:cs="Arial"/>
          <w:b/>
          <w:bCs/>
        </w:rPr>
        <w:t>Notifiable instrument NI20</w:t>
      </w:r>
      <w:r>
        <w:rPr>
          <w:rFonts w:ascii="Arial" w:hAnsi="Arial" w:cs="Arial"/>
          <w:b/>
          <w:bCs/>
        </w:rPr>
        <w:t>2</w:t>
      </w:r>
      <w:r w:rsidR="00C75B80">
        <w:rPr>
          <w:rFonts w:ascii="Arial" w:hAnsi="Arial" w:cs="Arial"/>
          <w:b/>
          <w:bCs/>
        </w:rPr>
        <w:t>1</w:t>
      </w:r>
      <w:r w:rsidRPr="001D21AA">
        <w:rPr>
          <w:rFonts w:ascii="Arial" w:hAnsi="Arial" w:cs="Arial"/>
          <w:b/>
          <w:bCs/>
        </w:rPr>
        <w:t>–</w:t>
      </w:r>
      <w:r w:rsidR="00B123DA">
        <w:rPr>
          <w:rFonts w:ascii="Arial" w:hAnsi="Arial" w:cs="Arial"/>
          <w:b/>
          <w:bCs/>
        </w:rPr>
        <w:t>133</w:t>
      </w:r>
    </w:p>
    <w:p w14:paraId="6A9A7A68" w14:textId="77777777" w:rsidR="00685BF9" w:rsidRPr="001D21AA" w:rsidRDefault="00685BF9" w:rsidP="00685BF9">
      <w:pPr>
        <w:pStyle w:val="madeunder"/>
        <w:spacing w:before="300" w:after="0"/>
      </w:pPr>
      <w:r w:rsidRPr="001D21AA">
        <w:t>made under the</w:t>
      </w:r>
    </w:p>
    <w:p w14:paraId="4356CEE2" w14:textId="7D2CA639" w:rsidR="00685BF9" w:rsidRPr="000F4A8C" w:rsidRDefault="00685BF9" w:rsidP="00685BF9">
      <w:pPr>
        <w:pStyle w:val="CoverActName"/>
        <w:spacing w:before="320" w:after="0"/>
        <w:rPr>
          <w:rFonts w:cs="Arial"/>
          <w:szCs w:val="24"/>
        </w:rPr>
      </w:pPr>
      <w:r w:rsidRPr="000F4A8C">
        <w:rPr>
          <w:rFonts w:cs="Arial"/>
          <w:i/>
          <w:iCs/>
          <w:szCs w:val="24"/>
        </w:rPr>
        <w:t>Integrity Commission Act 2018</w:t>
      </w:r>
      <w:r w:rsidRPr="000F4A8C">
        <w:rPr>
          <w:rFonts w:cs="Arial"/>
          <w:szCs w:val="24"/>
        </w:rPr>
        <w:t xml:space="preserve">, section </w:t>
      </w:r>
      <w:r w:rsidR="005321B3">
        <w:rPr>
          <w:rFonts w:cs="Arial"/>
          <w:szCs w:val="24"/>
        </w:rPr>
        <w:t>143(4)</w:t>
      </w:r>
      <w:r w:rsidRPr="000F4A8C">
        <w:rPr>
          <w:rFonts w:cs="Arial"/>
          <w:szCs w:val="24"/>
        </w:rPr>
        <w:t xml:space="preserve"> (</w:t>
      </w:r>
      <w:r w:rsidR="005321B3">
        <w:rPr>
          <w:rFonts w:cs="Arial"/>
          <w:szCs w:val="24"/>
        </w:rPr>
        <w:t>Examinations may be public or private</w:t>
      </w:r>
      <w:r w:rsidRPr="000F4A8C">
        <w:rPr>
          <w:rFonts w:cs="Arial"/>
          <w:szCs w:val="24"/>
        </w:rPr>
        <w:t>)</w:t>
      </w:r>
    </w:p>
    <w:p w14:paraId="744B8B8A" w14:textId="77777777" w:rsidR="00685BF9" w:rsidRPr="001D21AA" w:rsidRDefault="00685BF9" w:rsidP="00685BF9">
      <w:pPr>
        <w:pStyle w:val="N-line3"/>
        <w:pBdr>
          <w:bottom w:val="none" w:sz="0" w:space="0" w:color="auto"/>
        </w:pBdr>
        <w:spacing w:before="60"/>
      </w:pPr>
    </w:p>
    <w:p w14:paraId="11352C5D" w14:textId="77777777" w:rsidR="00685BF9" w:rsidRPr="001D21AA" w:rsidRDefault="00685BF9" w:rsidP="00685BF9">
      <w:pPr>
        <w:pStyle w:val="N-line3"/>
        <w:pBdr>
          <w:top w:val="single" w:sz="12" w:space="1" w:color="auto"/>
          <w:bottom w:val="none" w:sz="0" w:space="0" w:color="auto"/>
        </w:pBdr>
      </w:pPr>
    </w:p>
    <w:p w14:paraId="3FF3AFBF" w14:textId="77777777" w:rsidR="00685BF9" w:rsidRPr="001D21AA" w:rsidRDefault="00685BF9" w:rsidP="00685BF9">
      <w:pPr>
        <w:spacing w:before="60" w:after="60"/>
        <w:ind w:left="720" w:hanging="720"/>
        <w:rPr>
          <w:rFonts w:ascii="Arial" w:hAnsi="Arial" w:cs="Arial"/>
          <w:b/>
          <w:bCs/>
        </w:rPr>
      </w:pPr>
      <w:r w:rsidRPr="001D21AA">
        <w:rPr>
          <w:rFonts w:ascii="Arial" w:hAnsi="Arial" w:cs="Arial"/>
          <w:b/>
          <w:bCs/>
        </w:rPr>
        <w:t>1</w:t>
      </w:r>
      <w:r w:rsidRPr="001D21AA">
        <w:rPr>
          <w:rFonts w:ascii="Arial" w:hAnsi="Arial" w:cs="Arial"/>
          <w:b/>
          <w:bCs/>
        </w:rPr>
        <w:tab/>
        <w:t>Name of instrument</w:t>
      </w:r>
    </w:p>
    <w:p w14:paraId="02AA0290" w14:textId="48C41950" w:rsidR="00685BF9" w:rsidRPr="000F4A8C" w:rsidRDefault="00685BF9" w:rsidP="00685BF9">
      <w:pPr>
        <w:spacing w:before="140"/>
        <w:ind w:left="720"/>
        <w:rPr>
          <w:rFonts w:ascii="Times New Roman" w:hAnsi="Times New Roman" w:cs="Times New Roman"/>
        </w:rPr>
      </w:pPr>
      <w:r w:rsidRPr="000F4A8C">
        <w:rPr>
          <w:rFonts w:ascii="Times New Roman" w:hAnsi="Times New Roman" w:cs="Times New Roman"/>
        </w:rPr>
        <w:t xml:space="preserve">This instrument is the </w:t>
      </w:r>
      <w:r w:rsidRPr="000F4A8C">
        <w:rPr>
          <w:rFonts w:ascii="Times New Roman" w:hAnsi="Times New Roman" w:cs="Times New Roman"/>
          <w:i/>
        </w:rPr>
        <w:t xml:space="preserve">Integrity Commission </w:t>
      </w:r>
      <w:r w:rsidR="005321B3">
        <w:rPr>
          <w:rFonts w:ascii="Times New Roman" w:hAnsi="Times New Roman" w:cs="Times New Roman"/>
          <w:i/>
        </w:rPr>
        <w:t>(Examination) Guidelines</w:t>
      </w:r>
      <w:r w:rsidRPr="000F4A8C">
        <w:rPr>
          <w:rFonts w:ascii="Times New Roman" w:hAnsi="Times New Roman" w:cs="Times New Roman"/>
          <w:i/>
        </w:rPr>
        <w:t xml:space="preserve"> 202</w:t>
      </w:r>
      <w:r w:rsidR="00FC5D9D">
        <w:rPr>
          <w:rFonts w:ascii="Times New Roman" w:hAnsi="Times New Roman" w:cs="Times New Roman"/>
          <w:i/>
        </w:rPr>
        <w:t>1</w:t>
      </w:r>
      <w:r w:rsidRPr="000F4A8C">
        <w:rPr>
          <w:rFonts w:ascii="Times New Roman" w:hAnsi="Times New Roman" w:cs="Times New Roman"/>
          <w:i/>
        </w:rPr>
        <w:t>.</w:t>
      </w:r>
    </w:p>
    <w:p w14:paraId="4F310F6D" w14:textId="77777777" w:rsidR="00685BF9" w:rsidRPr="001D21AA" w:rsidRDefault="00685BF9" w:rsidP="00685BF9">
      <w:pPr>
        <w:spacing w:before="300"/>
        <w:ind w:left="720" w:hanging="720"/>
        <w:rPr>
          <w:rFonts w:ascii="Arial" w:hAnsi="Arial" w:cs="Arial"/>
          <w:b/>
          <w:bCs/>
        </w:rPr>
      </w:pPr>
      <w:r w:rsidRPr="001D21AA">
        <w:rPr>
          <w:rFonts w:ascii="Arial" w:hAnsi="Arial" w:cs="Arial"/>
          <w:b/>
          <w:bCs/>
        </w:rPr>
        <w:t>2</w:t>
      </w:r>
      <w:r w:rsidRPr="001D21AA">
        <w:rPr>
          <w:rFonts w:ascii="Arial" w:hAnsi="Arial" w:cs="Arial"/>
          <w:b/>
          <w:bCs/>
        </w:rPr>
        <w:tab/>
        <w:t xml:space="preserve">Commencement </w:t>
      </w:r>
    </w:p>
    <w:p w14:paraId="28299C85" w14:textId="77777777" w:rsidR="00685BF9" w:rsidRPr="000F4A8C" w:rsidRDefault="00685BF9" w:rsidP="00685BF9">
      <w:pPr>
        <w:spacing w:before="140"/>
        <w:ind w:left="720"/>
        <w:rPr>
          <w:rFonts w:ascii="Times New Roman" w:hAnsi="Times New Roman" w:cs="Times New Roman"/>
        </w:rPr>
      </w:pPr>
      <w:r w:rsidRPr="000F4A8C">
        <w:rPr>
          <w:rFonts w:ascii="Times New Roman" w:hAnsi="Times New Roman" w:cs="Times New Roman"/>
        </w:rPr>
        <w:t xml:space="preserve">This instrument commences on the day after notification. </w:t>
      </w:r>
    </w:p>
    <w:p w14:paraId="5F667594" w14:textId="77777777" w:rsidR="00685BF9" w:rsidRPr="001D21AA" w:rsidRDefault="00685BF9" w:rsidP="00685BF9">
      <w:pPr>
        <w:spacing w:before="300"/>
        <w:ind w:left="720" w:hanging="720"/>
        <w:rPr>
          <w:rFonts w:ascii="Arial" w:hAnsi="Arial" w:cs="Arial"/>
          <w:b/>
          <w:bCs/>
        </w:rPr>
      </w:pPr>
      <w:r w:rsidRPr="001D21AA">
        <w:rPr>
          <w:rFonts w:ascii="Arial" w:hAnsi="Arial" w:cs="Arial"/>
          <w:b/>
          <w:bCs/>
        </w:rPr>
        <w:t>3</w:t>
      </w:r>
      <w:r w:rsidRPr="001D21AA">
        <w:rPr>
          <w:rFonts w:ascii="Arial" w:hAnsi="Arial" w:cs="Arial"/>
          <w:b/>
          <w:bCs/>
        </w:rPr>
        <w:tab/>
      </w:r>
      <w:r>
        <w:rPr>
          <w:rFonts w:ascii="Arial" w:hAnsi="Arial" w:cs="Arial"/>
          <w:b/>
          <w:bCs/>
        </w:rPr>
        <w:t>Commission’s</w:t>
      </w:r>
      <w:r w:rsidRPr="001D21AA">
        <w:rPr>
          <w:rFonts w:ascii="Arial" w:hAnsi="Arial" w:cs="Arial"/>
          <w:b/>
          <w:bCs/>
        </w:rPr>
        <w:t xml:space="preserve"> Guidelines</w:t>
      </w:r>
    </w:p>
    <w:p w14:paraId="78B991BE" w14:textId="260BEE87" w:rsidR="00685BF9" w:rsidRPr="000F4A8C" w:rsidRDefault="00685BF9" w:rsidP="00685BF9">
      <w:pPr>
        <w:spacing w:before="140"/>
        <w:ind w:left="720"/>
        <w:rPr>
          <w:rFonts w:ascii="Times New Roman" w:hAnsi="Times New Roman" w:cs="Times New Roman"/>
        </w:rPr>
      </w:pPr>
      <w:r w:rsidRPr="000F4A8C">
        <w:rPr>
          <w:rFonts w:ascii="Times New Roman" w:hAnsi="Times New Roman" w:cs="Times New Roman"/>
        </w:rPr>
        <w:t xml:space="preserve">I make the </w:t>
      </w:r>
      <w:r w:rsidR="005321B3" w:rsidRPr="00C753DE">
        <w:rPr>
          <w:rFonts w:ascii="Times New Roman" w:hAnsi="Times New Roman" w:cs="Times New Roman"/>
          <w:i/>
          <w:iCs/>
        </w:rPr>
        <w:t>Integrity Commission (Examination) Guidelines 202</w:t>
      </w:r>
      <w:r w:rsidR="00FC5D9D">
        <w:rPr>
          <w:rFonts w:ascii="Times New Roman" w:hAnsi="Times New Roman" w:cs="Times New Roman"/>
          <w:i/>
          <w:iCs/>
        </w:rPr>
        <w:t>1</w:t>
      </w:r>
      <w:r w:rsidR="005321B3">
        <w:rPr>
          <w:rFonts w:ascii="Times New Roman" w:hAnsi="Times New Roman" w:cs="Times New Roman"/>
        </w:rPr>
        <w:t xml:space="preserve"> </w:t>
      </w:r>
      <w:r w:rsidRPr="000F4A8C">
        <w:rPr>
          <w:rFonts w:ascii="Times New Roman" w:hAnsi="Times New Roman" w:cs="Times New Roman"/>
        </w:rPr>
        <w:t>as set out at Schedule 1 to this instrument.</w:t>
      </w:r>
    </w:p>
    <w:bookmarkEnd w:id="0"/>
    <w:p w14:paraId="02192435" w14:textId="77777777" w:rsidR="00685BF9" w:rsidRPr="000F4A8C" w:rsidRDefault="00685BF9" w:rsidP="00685BF9">
      <w:pPr>
        <w:tabs>
          <w:tab w:val="left" w:pos="-720"/>
        </w:tabs>
        <w:suppressAutoHyphens/>
        <w:jc w:val="both"/>
        <w:rPr>
          <w:rFonts w:ascii="Times New Roman" w:hAnsi="Times New Roman" w:cs="Times New Roman"/>
          <w:spacing w:val="-3"/>
          <w:szCs w:val="24"/>
        </w:rPr>
      </w:pPr>
    </w:p>
    <w:p w14:paraId="198EB43D" w14:textId="77777777" w:rsidR="00685BF9" w:rsidRDefault="00685BF9" w:rsidP="00685BF9">
      <w:pPr>
        <w:tabs>
          <w:tab w:val="left" w:pos="-720"/>
        </w:tabs>
        <w:suppressAutoHyphens/>
        <w:jc w:val="both"/>
        <w:rPr>
          <w:rFonts w:ascii="Times New Roman" w:hAnsi="Times New Roman" w:cs="Times New Roman"/>
          <w:spacing w:val="-3"/>
          <w:szCs w:val="24"/>
        </w:rPr>
      </w:pPr>
    </w:p>
    <w:p w14:paraId="12A5375F" w14:textId="77777777" w:rsidR="00685BF9" w:rsidRPr="000F4A8C" w:rsidRDefault="00685BF9" w:rsidP="00685BF9">
      <w:pPr>
        <w:tabs>
          <w:tab w:val="left" w:pos="-720"/>
        </w:tabs>
        <w:suppressAutoHyphens/>
        <w:jc w:val="both"/>
        <w:rPr>
          <w:rFonts w:ascii="Times New Roman" w:hAnsi="Times New Roman" w:cs="Times New Roman"/>
          <w:spacing w:val="-3"/>
          <w:szCs w:val="24"/>
        </w:rPr>
      </w:pPr>
    </w:p>
    <w:p w14:paraId="6749EC42" w14:textId="3D325C9C" w:rsidR="00685BF9" w:rsidRPr="000F4A8C" w:rsidRDefault="00685BF9" w:rsidP="00685BF9">
      <w:pPr>
        <w:tabs>
          <w:tab w:val="left" w:pos="-720"/>
          <w:tab w:val="left" w:pos="0"/>
        </w:tabs>
        <w:suppressAutoHyphens/>
        <w:ind w:left="720" w:hanging="720"/>
        <w:rPr>
          <w:rFonts w:ascii="Times New Roman" w:hAnsi="Times New Roman" w:cs="Times New Roman"/>
          <w:spacing w:val="-3"/>
          <w:szCs w:val="24"/>
        </w:rPr>
      </w:pPr>
      <w:r w:rsidRPr="000F4A8C">
        <w:rPr>
          <w:rFonts w:ascii="Times New Roman" w:hAnsi="Times New Roman" w:cs="Times New Roman"/>
          <w:spacing w:val="-3"/>
          <w:szCs w:val="24"/>
        </w:rPr>
        <w:t xml:space="preserve">The Hon </w:t>
      </w:r>
      <w:r w:rsidR="0090453B">
        <w:rPr>
          <w:rFonts w:ascii="Times New Roman" w:hAnsi="Times New Roman" w:cs="Times New Roman"/>
          <w:spacing w:val="-3"/>
          <w:szCs w:val="24"/>
        </w:rPr>
        <w:t>M</w:t>
      </w:r>
      <w:r w:rsidRPr="000F4A8C">
        <w:rPr>
          <w:rFonts w:ascii="Times New Roman" w:hAnsi="Times New Roman" w:cs="Times New Roman"/>
          <w:spacing w:val="-3"/>
          <w:szCs w:val="24"/>
        </w:rPr>
        <w:t xml:space="preserve"> </w:t>
      </w:r>
      <w:r w:rsidR="0090453B">
        <w:rPr>
          <w:rFonts w:ascii="Times New Roman" w:hAnsi="Times New Roman" w:cs="Times New Roman"/>
          <w:spacing w:val="-3"/>
          <w:szCs w:val="24"/>
        </w:rPr>
        <w:t>Adams</w:t>
      </w:r>
      <w:r w:rsidR="0090453B" w:rsidRPr="000F4A8C">
        <w:rPr>
          <w:rFonts w:ascii="Times New Roman" w:hAnsi="Times New Roman" w:cs="Times New Roman"/>
          <w:spacing w:val="-3"/>
          <w:szCs w:val="24"/>
        </w:rPr>
        <w:t xml:space="preserve"> </w:t>
      </w:r>
      <w:r w:rsidRPr="000F4A8C">
        <w:rPr>
          <w:rFonts w:ascii="Times New Roman" w:hAnsi="Times New Roman" w:cs="Times New Roman"/>
          <w:spacing w:val="-3"/>
          <w:szCs w:val="24"/>
        </w:rPr>
        <w:t>QC</w:t>
      </w:r>
    </w:p>
    <w:p w14:paraId="19F99B63" w14:textId="4DADE8F7" w:rsidR="00685BF9" w:rsidRPr="000F4A8C" w:rsidRDefault="0018619F" w:rsidP="00685BF9">
      <w:pPr>
        <w:tabs>
          <w:tab w:val="left" w:pos="4320"/>
        </w:tabs>
        <w:rPr>
          <w:rFonts w:ascii="Times New Roman" w:hAnsi="Times New Roman" w:cs="Times New Roman"/>
        </w:rPr>
      </w:pPr>
      <w:r>
        <w:rPr>
          <w:rFonts w:ascii="Times New Roman" w:hAnsi="Times New Roman" w:cs="Times New Roman"/>
        </w:rPr>
        <w:t>Acting</w:t>
      </w:r>
      <w:r w:rsidR="0090453B">
        <w:rPr>
          <w:rFonts w:ascii="Times New Roman" w:hAnsi="Times New Roman" w:cs="Times New Roman"/>
        </w:rPr>
        <w:t xml:space="preserve"> </w:t>
      </w:r>
      <w:r w:rsidR="00685BF9" w:rsidRPr="000F4A8C">
        <w:rPr>
          <w:rFonts w:ascii="Times New Roman" w:hAnsi="Times New Roman" w:cs="Times New Roman"/>
        </w:rPr>
        <w:t>Commissioner</w:t>
      </w:r>
      <w:r w:rsidR="0090453B">
        <w:rPr>
          <w:rFonts w:ascii="Times New Roman" w:hAnsi="Times New Roman" w:cs="Times New Roman"/>
        </w:rPr>
        <w:br/>
        <w:t>ACT Integrity Commission</w:t>
      </w:r>
    </w:p>
    <w:p w14:paraId="17CADEAA" w14:textId="0D4F679C" w:rsidR="00685BF9" w:rsidRPr="000F4A8C" w:rsidRDefault="00242C36" w:rsidP="00685BF9">
      <w:pPr>
        <w:jc w:val="both"/>
        <w:rPr>
          <w:rFonts w:ascii="Times New Roman" w:hAnsi="Times New Roman" w:cs="Times New Roman"/>
          <w:b/>
          <w:bCs/>
          <w:sz w:val="24"/>
          <w:szCs w:val="24"/>
        </w:rPr>
      </w:pPr>
      <w:r>
        <w:rPr>
          <w:rFonts w:ascii="Times New Roman" w:hAnsi="Times New Roman" w:cs="Times New Roman"/>
          <w:b/>
          <w:bCs/>
          <w:sz w:val="24"/>
          <w:szCs w:val="24"/>
        </w:rPr>
        <w:t>3 March</w:t>
      </w:r>
      <w:r w:rsidR="00C75B80">
        <w:rPr>
          <w:rFonts w:ascii="Times New Roman" w:hAnsi="Times New Roman" w:cs="Times New Roman"/>
          <w:b/>
          <w:bCs/>
          <w:sz w:val="24"/>
          <w:szCs w:val="24"/>
        </w:rPr>
        <w:t xml:space="preserve"> 2021</w:t>
      </w:r>
    </w:p>
    <w:p w14:paraId="5CCCCDFD" w14:textId="77777777" w:rsidR="00685BF9" w:rsidRDefault="00685BF9" w:rsidP="00685BF9">
      <w:pPr>
        <w:rPr>
          <w:rFonts w:ascii="Arial" w:hAnsi="Arial" w:cs="Arial"/>
          <w:b/>
          <w:bCs/>
          <w:sz w:val="24"/>
          <w:szCs w:val="24"/>
        </w:rPr>
      </w:pPr>
      <w:r>
        <w:rPr>
          <w:rFonts w:ascii="Arial" w:hAnsi="Arial" w:cs="Arial"/>
          <w:b/>
          <w:bCs/>
          <w:sz w:val="24"/>
          <w:szCs w:val="24"/>
        </w:rPr>
        <w:br w:type="page"/>
      </w:r>
    </w:p>
    <w:p w14:paraId="38073F86" w14:textId="77777777" w:rsidR="00685BF9" w:rsidRDefault="00685BF9" w:rsidP="00685BF9">
      <w:pPr>
        <w:rPr>
          <w:rFonts w:cstheme="minorHAnsi"/>
          <w:sz w:val="24"/>
          <w:szCs w:val="24"/>
        </w:rPr>
      </w:pPr>
    </w:p>
    <w:p w14:paraId="091CBEA4" w14:textId="77777777" w:rsidR="00685BF9" w:rsidRDefault="00685BF9" w:rsidP="00685BF9">
      <w:pPr>
        <w:rPr>
          <w:rFonts w:cstheme="minorHAnsi"/>
          <w:sz w:val="24"/>
          <w:szCs w:val="24"/>
        </w:rPr>
      </w:pPr>
    </w:p>
    <w:p w14:paraId="2ECA4D94" w14:textId="77777777" w:rsidR="00685BF9" w:rsidRPr="00B801F0" w:rsidRDefault="00685BF9" w:rsidP="00685BF9">
      <w:pPr>
        <w:rPr>
          <w:rFonts w:cstheme="minorHAnsi"/>
          <w:b/>
          <w:bCs/>
          <w:sz w:val="24"/>
          <w:szCs w:val="24"/>
        </w:rPr>
      </w:pPr>
      <w:r w:rsidRPr="00B801F0">
        <w:rPr>
          <w:rFonts w:cstheme="minorHAnsi"/>
          <w:b/>
          <w:bCs/>
          <w:sz w:val="24"/>
          <w:szCs w:val="24"/>
        </w:rPr>
        <w:t>Schedule 1</w:t>
      </w:r>
    </w:p>
    <w:p w14:paraId="220F02DB" w14:textId="77777777" w:rsidR="00685BF9" w:rsidRDefault="00685BF9" w:rsidP="00685BF9">
      <w:pPr>
        <w:rPr>
          <w:rFonts w:cstheme="minorHAnsi"/>
          <w:sz w:val="24"/>
          <w:szCs w:val="24"/>
        </w:rPr>
      </w:pPr>
    </w:p>
    <w:p w14:paraId="34ED481A" w14:textId="77777777" w:rsidR="00685BF9" w:rsidRDefault="00685BF9" w:rsidP="00685BF9">
      <w:pPr>
        <w:rPr>
          <w:rFonts w:cstheme="minorHAnsi"/>
          <w:sz w:val="24"/>
          <w:szCs w:val="24"/>
        </w:rPr>
      </w:pPr>
    </w:p>
    <w:p w14:paraId="0DF3DE4C" w14:textId="77777777" w:rsidR="00685BF9" w:rsidRDefault="00685BF9" w:rsidP="00685BF9">
      <w:pPr>
        <w:rPr>
          <w:rFonts w:cstheme="minorHAnsi"/>
          <w:sz w:val="24"/>
          <w:szCs w:val="24"/>
        </w:rPr>
      </w:pPr>
    </w:p>
    <w:p w14:paraId="5FA3BCB5" w14:textId="77777777" w:rsidR="00685BF9" w:rsidRDefault="00685BF9" w:rsidP="00685BF9">
      <w:pPr>
        <w:rPr>
          <w:rFonts w:cstheme="minorHAnsi"/>
          <w:sz w:val="24"/>
          <w:szCs w:val="24"/>
        </w:rPr>
      </w:pPr>
    </w:p>
    <w:p w14:paraId="278B6750" w14:textId="3F968785" w:rsidR="00685BF9" w:rsidRPr="00B801F0" w:rsidRDefault="005321B3" w:rsidP="00685BF9">
      <w:pPr>
        <w:jc w:val="center"/>
        <w:rPr>
          <w:rFonts w:asciiTheme="majorHAnsi" w:eastAsia="Times New Roman" w:hAnsiTheme="majorHAnsi" w:cstheme="majorHAnsi"/>
          <w:sz w:val="72"/>
          <w:szCs w:val="72"/>
        </w:rPr>
      </w:pPr>
      <w:r>
        <w:rPr>
          <w:rFonts w:asciiTheme="majorHAnsi" w:eastAsia="Times New Roman" w:hAnsiTheme="majorHAnsi" w:cstheme="majorHAnsi"/>
          <w:sz w:val="72"/>
          <w:szCs w:val="72"/>
        </w:rPr>
        <w:t>Examination Guidelines</w:t>
      </w:r>
    </w:p>
    <w:p w14:paraId="2A072FB2" w14:textId="77777777" w:rsidR="00685BF9" w:rsidRDefault="00685BF9" w:rsidP="00685BF9">
      <w:pPr>
        <w:rPr>
          <w:lang w:eastAsia="en-AU"/>
        </w:rPr>
      </w:pPr>
    </w:p>
    <w:p w14:paraId="70BD8C03" w14:textId="77777777" w:rsidR="00685BF9" w:rsidRDefault="00685BF9" w:rsidP="00685BF9">
      <w:pPr>
        <w:rPr>
          <w:lang w:eastAsia="en-AU"/>
        </w:rPr>
      </w:pPr>
    </w:p>
    <w:p w14:paraId="32B152D1" w14:textId="38A9B81A" w:rsidR="00685BF9" w:rsidRPr="00153124" w:rsidRDefault="00242C36" w:rsidP="00685BF9">
      <w:pPr>
        <w:jc w:val="center"/>
        <w:rPr>
          <w:sz w:val="36"/>
          <w:szCs w:val="36"/>
          <w:lang w:eastAsia="en-AU"/>
        </w:rPr>
      </w:pPr>
      <w:r>
        <w:rPr>
          <w:sz w:val="36"/>
          <w:szCs w:val="36"/>
          <w:lang w:eastAsia="en-AU"/>
        </w:rPr>
        <w:t>March</w:t>
      </w:r>
      <w:r w:rsidR="00C75B80">
        <w:rPr>
          <w:sz w:val="36"/>
          <w:szCs w:val="36"/>
          <w:lang w:eastAsia="en-AU"/>
        </w:rPr>
        <w:t xml:space="preserve"> 2021</w:t>
      </w:r>
    </w:p>
    <w:p w14:paraId="57C2DBFD" w14:textId="77777777" w:rsidR="00685BF9" w:rsidRDefault="00685BF9" w:rsidP="00685BF9">
      <w:pPr>
        <w:rPr>
          <w:rFonts w:cstheme="minorHAnsi"/>
          <w:sz w:val="24"/>
          <w:szCs w:val="24"/>
        </w:rPr>
      </w:pPr>
      <w:r>
        <w:rPr>
          <w:rFonts w:cstheme="minorHAnsi"/>
          <w:sz w:val="24"/>
          <w:szCs w:val="24"/>
        </w:rPr>
        <w:br w:type="page"/>
      </w:r>
    </w:p>
    <w:p w14:paraId="697E5E5C" w14:textId="77777777" w:rsidR="00685BF9" w:rsidRPr="00126D35" w:rsidRDefault="00685BF9" w:rsidP="00685BF9">
      <w:pPr>
        <w:jc w:val="center"/>
        <w:rPr>
          <w:rFonts w:cstheme="minorHAnsi"/>
          <w:sz w:val="24"/>
          <w:szCs w:val="24"/>
        </w:rPr>
      </w:pPr>
    </w:p>
    <w:p w14:paraId="2FF6ED61" w14:textId="77777777" w:rsidR="00685BF9" w:rsidRDefault="00685BF9" w:rsidP="00685BF9">
      <w:pPr>
        <w:jc w:val="both"/>
        <w:rPr>
          <w:rFonts w:asciiTheme="majorHAnsi" w:hAnsiTheme="majorHAnsi" w:cstheme="majorHAnsi"/>
          <w:color w:val="2F5496" w:themeColor="accent1" w:themeShade="BF"/>
          <w:sz w:val="32"/>
          <w:szCs w:val="32"/>
        </w:rPr>
      </w:pPr>
    </w:p>
    <w:p w14:paraId="2EFD62AE" w14:textId="77777777" w:rsidR="00685BF9" w:rsidRPr="003D3C0C" w:rsidRDefault="00685BF9" w:rsidP="00685BF9">
      <w:pPr>
        <w:jc w:val="both"/>
        <w:rPr>
          <w:rFonts w:asciiTheme="majorHAnsi" w:hAnsiTheme="majorHAnsi" w:cstheme="majorHAnsi"/>
          <w:color w:val="2F5496" w:themeColor="accent1" w:themeShade="BF"/>
          <w:sz w:val="32"/>
          <w:szCs w:val="32"/>
        </w:rPr>
      </w:pPr>
      <w:r w:rsidRPr="003D3C0C">
        <w:rPr>
          <w:rFonts w:asciiTheme="majorHAnsi" w:hAnsiTheme="majorHAnsi" w:cstheme="majorHAnsi"/>
          <w:color w:val="2F5496" w:themeColor="accent1" w:themeShade="BF"/>
          <w:sz w:val="32"/>
          <w:szCs w:val="32"/>
        </w:rPr>
        <w:t xml:space="preserve">Table of Contents </w:t>
      </w:r>
    </w:p>
    <w:p w14:paraId="49BF68C7" w14:textId="77777777" w:rsidR="00685BF9" w:rsidRPr="00D202DE" w:rsidRDefault="00685BF9" w:rsidP="00685BF9">
      <w:pPr>
        <w:jc w:val="both"/>
        <w:rPr>
          <w:rFonts w:cstheme="minorHAnsi"/>
          <w:b/>
          <w:bCs/>
          <w:sz w:val="24"/>
          <w:szCs w:val="24"/>
        </w:rPr>
      </w:pPr>
    </w:p>
    <w:p w14:paraId="4F2383A4" w14:textId="77777777" w:rsidR="00685BF9" w:rsidRPr="00D202DE" w:rsidRDefault="0085503A" w:rsidP="00685BF9">
      <w:pPr>
        <w:pStyle w:val="TOC1"/>
        <w:rPr>
          <w:rFonts w:asciiTheme="minorHAnsi" w:eastAsiaTheme="minorEastAsia" w:hAnsiTheme="minorHAnsi" w:cstheme="minorBidi"/>
          <w:noProof/>
          <w:sz w:val="24"/>
          <w:szCs w:val="24"/>
        </w:rPr>
      </w:pPr>
      <w:hyperlink w:anchor="_Toc27399604" w:history="1">
        <w:r w:rsidR="00685BF9" w:rsidRPr="00D202DE">
          <w:rPr>
            <w:rStyle w:val="Hyperlink"/>
            <w:noProof/>
            <w:sz w:val="24"/>
            <w:szCs w:val="24"/>
            <w14:scene3d>
              <w14:camera w14:prst="orthographicFront"/>
              <w14:lightRig w14:rig="threePt" w14:dir="t">
                <w14:rot w14:lat="0" w14:lon="0" w14:rev="0"/>
              </w14:lightRig>
            </w14:scene3d>
          </w:rPr>
          <w:t>1.</w:t>
        </w:r>
        <w:r w:rsidR="00685BF9" w:rsidRPr="00D202DE">
          <w:rPr>
            <w:rFonts w:asciiTheme="minorHAnsi" w:eastAsiaTheme="minorEastAsia" w:hAnsiTheme="minorHAnsi" w:cstheme="minorBidi"/>
            <w:noProof/>
            <w:sz w:val="24"/>
            <w:szCs w:val="24"/>
          </w:rPr>
          <w:tab/>
        </w:r>
        <w:r w:rsidR="00685BF9" w:rsidRPr="00D202DE">
          <w:rPr>
            <w:rStyle w:val="Hyperlink"/>
            <w:noProof/>
            <w:sz w:val="24"/>
            <w:szCs w:val="24"/>
          </w:rPr>
          <w:t>Introduction</w:t>
        </w:r>
        <w:r w:rsidR="00685BF9" w:rsidRPr="00D202DE">
          <w:rPr>
            <w:noProof/>
            <w:webHidden/>
            <w:sz w:val="24"/>
            <w:szCs w:val="24"/>
          </w:rPr>
          <w:tab/>
          <w:t>4</w:t>
        </w:r>
      </w:hyperlink>
    </w:p>
    <w:p w14:paraId="207E1341" w14:textId="77777777" w:rsidR="00685BF9" w:rsidRPr="00D202DE" w:rsidRDefault="0085503A" w:rsidP="00685BF9">
      <w:pPr>
        <w:pStyle w:val="TOC1"/>
        <w:rPr>
          <w:rFonts w:asciiTheme="minorHAnsi" w:eastAsiaTheme="minorEastAsia" w:hAnsiTheme="minorHAnsi" w:cstheme="minorBidi"/>
          <w:noProof/>
          <w:sz w:val="24"/>
          <w:szCs w:val="24"/>
        </w:rPr>
      </w:pPr>
      <w:hyperlink w:anchor="_Toc27399605" w:history="1">
        <w:r w:rsidR="00685BF9" w:rsidRPr="00D202DE">
          <w:rPr>
            <w:rStyle w:val="Hyperlink"/>
            <w:noProof/>
            <w:sz w:val="24"/>
            <w:szCs w:val="24"/>
            <w14:scene3d>
              <w14:camera w14:prst="orthographicFront"/>
              <w14:lightRig w14:rig="threePt" w14:dir="t">
                <w14:rot w14:lat="0" w14:lon="0" w14:rev="0"/>
              </w14:lightRig>
            </w14:scene3d>
          </w:rPr>
          <w:t>2.</w:t>
        </w:r>
        <w:r w:rsidR="00685BF9" w:rsidRPr="00D202DE">
          <w:rPr>
            <w:rFonts w:asciiTheme="minorHAnsi" w:eastAsiaTheme="minorEastAsia" w:hAnsiTheme="minorHAnsi" w:cstheme="minorBidi"/>
            <w:noProof/>
            <w:sz w:val="24"/>
            <w:szCs w:val="24"/>
          </w:rPr>
          <w:tab/>
        </w:r>
        <w:r w:rsidR="00685BF9" w:rsidRPr="00D202DE">
          <w:rPr>
            <w:rStyle w:val="Hyperlink"/>
            <w:noProof/>
            <w:sz w:val="24"/>
            <w:szCs w:val="24"/>
          </w:rPr>
          <w:t xml:space="preserve">Legislation </w:t>
        </w:r>
        <w:r w:rsidR="00685BF9" w:rsidRPr="00D202DE">
          <w:rPr>
            <w:noProof/>
            <w:webHidden/>
            <w:sz w:val="24"/>
            <w:szCs w:val="24"/>
          </w:rPr>
          <w:tab/>
        </w:r>
      </w:hyperlink>
      <w:r w:rsidR="00685BF9" w:rsidRPr="00D202DE">
        <w:rPr>
          <w:noProof/>
          <w:sz w:val="24"/>
          <w:szCs w:val="24"/>
        </w:rPr>
        <w:t>5</w:t>
      </w:r>
    </w:p>
    <w:p w14:paraId="1FB574F0" w14:textId="18DEFA3B" w:rsidR="00685BF9" w:rsidRPr="00D202DE" w:rsidRDefault="0085503A" w:rsidP="00685BF9">
      <w:pPr>
        <w:pStyle w:val="TOC1"/>
        <w:rPr>
          <w:rFonts w:asciiTheme="minorHAnsi" w:eastAsiaTheme="minorEastAsia" w:hAnsiTheme="minorHAnsi" w:cstheme="minorBidi"/>
          <w:noProof/>
          <w:sz w:val="24"/>
          <w:szCs w:val="24"/>
        </w:rPr>
      </w:pPr>
      <w:hyperlink w:anchor="_Toc27399606" w:history="1">
        <w:r w:rsidR="00685BF9" w:rsidRPr="00D202DE">
          <w:rPr>
            <w:rStyle w:val="Hyperlink"/>
            <w:noProof/>
            <w:sz w:val="24"/>
            <w:szCs w:val="24"/>
            <w14:scene3d>
              <w14:camera w14:prst="orthographicFront"/>
              <w14:lightRig w14:rig="threePt" w14:dir="t">
                <w14:rot w14:lat="0" w14:lon="0" w14:rev="0"/>
              </w14:lightRig>
            </w14:scene3d>
          </w:rPr>
          <w:t>3.</w:t>
        </w:r>
        <w:r w:rsidR="00685BF9" w:rsidRPr="00D202DE">
          <w:rPr>
            <w:rFonts w:asciiTheme="minorHAnsi" w:eastAsiaTheme="minorEastAsia" w:hAnsiTheme="minorHAnsi" w:cstheme="minorBidi"/>
            <w:noProof/>
            <w:sz w:val="24"/>
            <w:szCs w:val="24"/>
          </w:rPr>
          <w:tab/>
        </w:r>
        <w:r w:rsidR="00C75B80">
          <w:rPr>
            <w:rStyle w:val="Hyperlink"/>
            <w:noProof/>
            <w:sz w:val="24"/>
            <w:szCs w:val="24"/>
          </w:rPr>
          <w:t>Considerations and procedure</w:t>
        </w:r>
        <w:r w:rsidR="00C75B80" w:rsidRPr="00D202DE">
          <w:rPr>
            <w:rStyle w:val="Hyperlink"/>
            <w:noProof/>
            <w:sz w:val="24"/>
            <w:szCs w:val="24"/>
          </w:rPr>
          <w:t xml:space="preserve"> </w:t>
        </w:r>
        <w:r w:rsidR="00685BF9" w:rsidRPr="00D202DE">
          <w:rPr>
            <w:noProof/>
            <w:webHidden/>
            <w:sz w:val="24"/>
            <w:szCs w:val="24"/>
          </w:rPr>
          <w:tab/>
        </w:r>
      </w:hyperlink>
      <w:r w:rsidR="00FC1BA6">
        <w:rPr>
          <w:noProof/>
          <w:sz w:val="24"/>
          <w:szCs w:val="24"/>
        </w:rPr>
        <w:t>8</w:t>
      </w:r>
    </w:p>
    <w:p w14:paraId="0F53EA3D" w14:textId="77777777" w:rsidR="00685BF9" w:rsidRPr="00D202DE" w:rsidRDefault="00685BF9" w:rsidP="00685BF9">
      <w:pPr>
        <w:pStyle w:val="TOC1"/>
        <w:rPr>
          <w:noProof/>
          <w:sz w:val="24"/>
          <w:szCs w:val="24"/>
        </w:rPr>
      </w:pPr>
    </w:p>
    <w:p w14:paraId="214DF1D7" w14:textId="77777777" w:rsidR="00685BF9" w:rsidRPr="00D202DE" w:rsidRDefault="00685BF9" w:rsidP="00685BF9">
      <w:pPr>
        <w:tabs>
          <w:tab w:val="left" w:pos="1324"/>
          <w:tab w:val="left" w:pos="1325"/>
        </w:tabs>
        <w:spacing w:before="1" w:line="249" w:lineRule="auto"/>
        <w:ind w:right="166"/>
        <w:jc w:val="both"/>
        <w:rPr>
          <w:rFonts w:cstheme="minorHAnsi"/>
          <w:w w:val="105"/>
          <w:sz w:val="24"/>
          <w:szCs w:val="24"/>
        </w:rPr>
      </w:pPr>
    </w:p>
    <w:p w14:paraId="46438A1D" w14:textId="77777777" w:rsidR="00685BF9" w:rsidRPr="00126D35" w:rsidRDefault="00685BF9" w:rsidP="00685BF9">
      <w:pPr>
        <w:jc w:val="both"/>
        <w:rPr>
          <w:rFonts w:cstheme="minorHAnsi"/>
          <w:b/>
          <w:bCs/>
          <w:sz w:val="24"/>
          <w:szCs w:val="24"/>
        </w:rPr>
      </w:pPr>
    </w:p>
    <w:p w14:paraId="28165F8A" w14:textId="77777777" w:rsidR="00685BF9" w:rsidRDefault="00685BF9" w:rsidP="00685BF9"/>
    <w:p w14:paraId="7D5C0546" w14:textId="77777777" w:rsidR="00685BF9" w:rsidRDefault="00685BF9" w:rsidP="00685BF9">
      <w:pPr>
        <w:jc w:val="both"/>
      </w:pPr>
      <w:r>
        <w:br w:type="page"/>
      </w:r>
    </w:p>
    <w:p w14:paraId="4E434DF5" w14:textId="77777777" w:rsidR="00685BF9" w:rsidRDefault="00685BF9" w:rsidP="00685BF9">
      <w:pPr>
        <w:pStyle w:val="Heading1"/>
        <w:numPr>
          <w:ilvl w:val="0"/>
          <w:numId w:val="2"/>
        </w:numPr>
        <w:jc w:val="both"/>
      </w:pPr>
      <w:r>
        <w:lastRenderedPageBreak/>
        <w:t>Introduction</w:t>
      </w:r>
    </w:p>
    <w:p w14:paraId="14A3E1A0" w14:textId="001AA88B" w:rsidR="005321B3" w:rsidRDefault="005321B3" w:rsidP="00242C36">
      <w:pPr>
        <w:jc w:val="both"/>
      </w:pPr>
    </w:p>
    <w:p w14:paraId="19C07E24" w14:textId="6946B833" w:rsidR="005321B3" w:rsidRPr="00E06771" w:rsidRDefault="00F22E2E" w:rsidP="00242C36">
      <w:pPr>
        <w:pStyle w:val="ListParagraph"/>
        <w:numPr>
          <w:ilvl w:val="1"/>
          <w:numId w:val="2"/>
        </w:numPr>
        <w:jc w:val="both"/>
        <w:rPr>
          <w:sz w:val="24"/>
          <w:szCs w:val="24"/>
        </w:rPr>
      </w:pPr>
      <w:r w:rsidRPr="00E06771">
        <w:rPr>
          <w:sz w:val="24"/>
          <w:szCs w:val="24"/>
        </w:rPr>
        <w:t>The ACT Integrity Commission (</w:t>
      </w:r>
      <w:r w:rsidR="00490AC9">
        <w:rPr>
          <w:sz w:val="24"/>
          <w:szCs w:val="24"/>
        </w:rPr>
        <w:t>‘</w:t>
      </w:r>
      <w:r w:rsidRPr="00FA1317">
        <w:rPr>
          <w:b/>
          <w:bCs/>
          <w:sz w:val="24"/>
          <w:szCs w:val="24"/>
        </w:rPr>
        <w:t>Commission</w:t>
      </w:r>
      <w:r w:rsidR="00490AC9">
        <w:rPr>
          <w:sz w:val="24"/>
          <w:szCs w:val="24"/>
        </w:rPr>
        <w:t>’</w:t>
      </w:r>
      <w:r w:rsidRPr="00E06771">
        <w:rPr>
          <w:sz w:val="24"/>
          <w:szCs w:val="24"/>
        </w:rPr>
        <w:t>) may conduct an investigation pursuant to s</w:t>
      </w:r>
      <w:r w:rsidR="00FC5D9D">
        <w:rPr>
          <w:sz w:val="24"/>
          <w:szCs w:val="24"/>
        </w:rPr>
        <w:t> </w:t>
      </w:r>
      <w:r w:rsidRPr="00E06771">
        <w:rPr>
          <w:sz w:val="24"/>
          <w:szCs w:val="24"/>
        </w:rPr>
        <w:t xml:space="preserve">100 of the </w:t>
      </w:r>
      <w:r w:rsidRPr="00E06771">
        <w:rPr>
          <w:i/>
          <w:iCs/>
          <w:sz w:val="24"/>
          <w:szCs w:val="24"/>
        </w:rPr>
        <w:t>Integrity Commission Act 2018</w:t>
      </w:r>
      <w:r w:rsidRPr="00E06771">
        <w:rPr>
          <w:sz w:val="24"/>
          <w:szCs w:val="24"/>
        </w:rPr>
        <w:t xml:space="preserve"> (ACT) (</w:t>
      </w:r>
      <w:r w:rsidR="00490AC9">
        <w:rPr>
          <w:sz w:val="24"/>
          <w:szCs w:val="24"/>
        </w:rPr>
        <w:t>‘</w:t>
      </w:r>
      <w:r w:rsidRPr="00FA1317">
        <w:rPr>
          <w:b/>
          <w:bCs/>
          <w:sz w:val="24"/>
          <w:szCs w:val="24"/>
        </w:rPr>
        <w:t>Act</w:t>
      </w:r>
      <w:r w:rsidR="00490AC9">
        <w:rPr>
          <w:sz w:val="24"/>
          <w:szCs w:val="24"/>
        </w:rPr>
        <w:t>’</w:t>
      </w:r>
      <w:r w:rsidRPr="00E06771">
        <w:rPr>
          <w:sz w:val="24"/>
          <w:szCs w:val="24"/>
        </w:rPr>
        <w:t xml:space="preserve">).  </w:t>
      </w:r>
      <w:r w:rsidR="0086578A">
        <w:rPr>
          <w:sz w:val="24"/>
          <w:szCs w:val="24"/>
        </w:rPr>
        <w:t>A</w:t>
      </w:r>
      <w:r w:rsidRPr="00E06771">
        <w:rPr>
          <w:sz w:val="24"/>
          <w:szCs w:val="24"/>
        </w:rPr>
        <w:t xml:space="preserve"> decision </w:t>
      </w:r>
      <w:r w:rsidR="0086578A">
        <w:rPr>
          <w:sz w:val="24"/>
          <w:szCs w:val="24"/>
        </w:rPr>
        <w:t xml:space="preserve">to conduct an investigation </w:t>
      </w:r>
      <w:r w:rsidRPr="00E06771">
        <w:rPr>
          <w:sz w:val="24"/>
          <w:szCs w:val="24"/>
        </w:rPr>
        <w:t>may occur after the receipt of a corruption report</w:t>
      </w:r>
      <w:r w:rsidRPr="00E06771">
        <w:rPr>
          <w:rStyle w:val="FootnoteReference"/>
          <w:sz w:val="24"/>
          <w:szCs w:val="24"/>
        </w:rPr>
        <w:footnoteReference w:id="1"/>
      </w:r>
      <w:r w:rsidRPr="00E06771">
        <w:rPr>
          <w:sz w:val="24"/>
          <w:szCs w:val="24"/>
        </w:rPr>
        <w:t xml:space="preserve"> or on the Commission’s own initiative.</w:t>
      </w:r>
      <w:r w:rsidRPr="00E06771">
        <w:rPr>
          <w:rStyle w:val="FootnoteReference"/>
          <w:sz w:val="24"/>
          <w:szCs w:val="24"/>
        </w:rPr>
        <w:footnoteReference w:id="2"/>
      </w:r>
      <w:r w:rsidRPr="00E06771">
        <w:rPr>
          <w:sz w:val="24"/>
          <w:szCs w:val="24"/>
        </w:rPr>
        <w:t xml:space="preserve">  </w:t>
      </w:r>
      <w:r w:rsidR="00B37875" w:rsidRPr="00E06771">
        <w:rPr>
          <w:sz w:val="24"/>
          <w:szCs w:val="24"/>
        </w:rPr>
        <w:t xml:space="preserve">Once </w:t>
      </w:r>
      <w:r w:rsidRPr="00E06771">
        <w:rPr>
          <w:sz w:val="24"/>
          <w:szCs w:val="24"/>
        </w:rPr>
        <w:t xml:space="preserve">a decision is made to </w:t>
      </w:r>
      <w:r w:rsidR="00E33F2B" w:rsidRPr="00E06771">
        <w:rPr>
          <w:sz w:val="24"/>
          <w:szCs w:val="24"/>
        </w:rPr>
        <w:t xml:space="preserve">conduct an investigation </w:t>
      </w:r>
      <w:r w:rsidR="0042659E" w:rsidRPr="00E06771">
        <w:rPr>
          <w:sz w:val="24"/>
          <w:szCs w:val="24"/>
        </w:rPr>
        <w:t xml:space="preserve">there are a number of powers available to </w:t>
      </w:r>
      <w:r w:rsidR="00E33F2B" w:rsidRPr="00E06771">
        <w:rPr>
          <w:sz w:val="24"/>
          <w:szCs w:val="24"/>
        </w:rPr>
        <w:t>the Commission to further</w:t>
      </w:r>
      <w:r w:rsidR="0042659E" w:rsidRPr="00E06771">
        <w:rPr>
          <w:sz w:val="24"/>
          <w:szCs w:val="24"/>
        </w:rPr>
        <w:t xml:space="preserve"> the investigation</w:t>
      </w:r>
      <w:r w:rsidR="005321B3" w:rsidRPr="00E06771">
        <w:rPr>
          <w:sz w:val="24"/>
          <w:szCs w:val="24"/>
        </w:rPr>
        <w:t>.</w:t>
      </w:r>
      <w:r w:rsidR="00E33F2B" w:rsidRPr="00E06771">
        <w:rPr>
          <w:sz w:val="24"/>
          <w:szCs w:val="24"/>
        </w:rPr>
        <w:t xml:space="preserve">  These include the power to conduct an examination.</w:t>
      </w:r>
      <w:r w:rsidR="0086578A">
        <w:rPr>
          <w:rStyle w:val="FootnoteReference"/>
          <w:sz w:val="24"/>
          <w:szCs w:val="24"/>
        </w:rPr>
        <w:footnoteReference w:id="3"/>
      </w:r>
      <w:r w:rsidR="00E33F2B" w:rsidRPr="00E06771">
        <w:rPr>
          <w:sz w:val="24"/>
          <w:szCs w:val="24"/>
        </w:rPr>
        <w:t xml:space="preserve">  </w:t>
      </w:r>
    </w:p>
    <w:p w14:paraId="6BE7644F" w14:textId="77777777" w:rsidR="005321B3" w:rsidRPr="00E06771" w:rsidRDefault="005321B3" w:rsidP="00242C36">
      <w:pPr>
        <w:pStyle w:val="ListParagraph"/>
        <w:ind w:left="360"/>
        <w:jc w:val="both"/>
        <w:rPr>
          <w:sz w:val="24"/>
          <w:szCs w:val="24"/>
        </w:rPr>
      </w:pPr>
    </w:p>
    <w:p w14:paraId="271E8103" w14:textId="1C94F4F0" w:rsidR="009A7B4A" w:rsidRPr="00E06771" w:rsidRDefault="005321B3" w:rsidP="00242C36">
      <w:pPr>
        <w:pStyle w:val="ListParagraph"/>
        <w:numPr>
          <w:ilvl w:val="1"/>
          <w:numId w:val="2"/>
        </w:numPr>
        <w:jc w:val="both"/>
        <w:rPr>
          <w:sz w:val="24"/>
          <w:szCs w:val="24"/>
        </w:rPr>
      </w:pPr>
      <w:r w:rsidRPr="00E06771">
        <w:rPr>
          <w:sz w:val="24"/>
          <w:szCs w:val="24"/>
        </w:rPr>
        <w:t xml:space="preserve">Part 3.6 of the Act relates to Commission examinations.  </w:t>
      </w:r>
      <w:r w:rsidR="00E33F2B" w:rsidRPr="00E06771">
        <w:rPr>
          <w:sz w:val="24"/>
          <w:szCs w:val="24"/>
        </w:rPr>
        <w:t xml:space="preserve">An examination summons issued pursuant to s 147 of the Act may require a person to, at a stated time and </w:t>
      </w:r>
      <w:r w:rsidR="008C06B5" w:rsidRPr="00E06771">
        <w:rPr>
          <w:sz w:val="24"/>
          <w:szCs w:val="24"/>
        </w:rPr>
        <w:t>place, appear at the Commission to give evidence</w:t>
      </w:r>
      <w:r w:rsidR="00490AC9">
        <w:rPr>
          <w:sz w:val="24"/>
          <w:szCs w:val="24"/>
        </w:rPr>
        <w:t>,</w:t>
      </w:r>
      <w:r w:rsidR="008C06B5" w:rsidRPr="00E06771">
        <w:rPr>
          <w:sz w:val="24"/>
          <w:szCs w:val="24"/>
        </w:rPr>
        <w:t xml:space="preserve"> produce a document or other thing to the Commission</w:t>
      </w:r>
      <w:r w:rsidR="00490AC9">
        <w:rPr>
          <w:sz w:val="24"/>
          <w:szCs w:val="24"/>
        </w:rPr>
        <w:t>, or both</w:t>
      </w:r>
      <w:r w:rsidR="008C06B5" w:rsidRPr="00E06771">
        <w:rPr>
          <w:sz w:val="24"/>
          <w:szCs w:val="24"/>
        </w:rPr>
        <w:t>.</w:t>
      </w:r>
      <w:r w:rsidR="00AE3AE2" w:rsidRPr="00E06771">
        <w:rPr>
          <w:rStyle w:val="FootnoteReference"/>
          <w:sz w:val="24"/>
          <w:szCs w:val="24"/>
        </w:rPr>
        <w:footnoteReference w:id="4"/>
      </w:r>
      <w:r w:rsidR="00AE3AE2" w:rsidRPr="00E06771">
        <w:rPr>
          <w:sz w:val="24"/>
          <w:szCs w:val="24"/>
        </w:rPr>
        <w:t xml:space="preserve">  </w:t>
      </w:r>
    </w:p>
    <w:p w14:paraId="584811CD" w14:textId="77777777" w:rsidR="009A7B4A" w:rsidRPr="00E06771" w:rsidRDefault="009A7B4A" w:rsidP="00242C36">
      <w:pPr>
        <w:pStyle w:val="ListParagraph"/>
        <w:jc w:val="both"/>
        <w:rPr>
          <w:sz w:val="24"/>
          <w:szCs w:val="24"/>
        </w:rPr>
      </w:pPr>
    </w:p>
    <w:p w14:paraId="0CC99D7F" w14:textId="3B465AC2" w:rsidR="00723426" w:rsidRPr="00B000B3" w:rsidRDefault="00AE3AE2" w:rsidP="00242C36">
      <w:pPr>
        <w:pStyle w:val="ListParagraph"/>
        <w:numPr>
          <w:ilvl w:val="1"/>
          <w:numId w:val="2"/>
        </w:numPr>
        <w:jc w:val="both"/>
        <w:rPr>
          <w:sz w:val="24"/>
          <w:szCs w:val="24"/>
        </w:rPr>
      </w:pPr>
      <w:r w:rsidRPr="00B000B3">
        <w:rPr>
          <w:sz w:val="24"/>
          <w:szCs w:val="24"/>
        </w:rPr>
        <w:t>An examination that involves a person giv</w:t>
      </w:r>
      <w:r w:rsidR="0086578A" w:rsidRPr="00B000B3">
        <w:rPr>
          <w:sz w:val="24"/>
          <w:szCs w:val="24"/>
        </w:rPr>
        <w:t>ing</w:t>
      </w:r>
      <w:r w:rsidRPr="00B000B3">
        <w:rPr>
          <w:sz w:val="24"/>
          <w:szCs w:val="24"/>
        </w:rPr>
        <w:t xml:space="preserve"> evidence at the Commission may be conducted in public or in private.</w:t>
      </w:r>
      <w:r w:rsidRPr="00B000B3">
        <w:rPr>
          <w:rStyle w:val="FootnoteReference"/>
          <w:sz w:val="24"/>
          <w:szCs w:val="24"/>
        </w:rPr>
        <w:footnoteReference w:id="5"/>
      </w:r>
      <w:r w:rsidRPr="00B000B3">
        <w:rPr>
          <w:sz w:val="24"/>
          <w:szCs w:val="24"/>
        </w:rPr>
        <w:t xml:space="preserve">  </w:t>
      </w:r>
      <w:r w:rsidR="00896AB5" w:rsidRPr="00B000B3">
        <w:rPr>
          <w:sz w:val="24"/>
          <w:szCs w:val="24"/>
        </w:rPr>
        <w:t>Each investigation concerns different issues, presents its own challenges, and is undertaken in its particular environment.  Thus, although it is possible to identify general principles which apply to the question whether an examination should be public or private, it is necessary to bear in mind that in every case these principles will vary in their applicability</w:t>
      </w:r>
      <w:r w:rsidR="00723426" w:rsidRPr="00B000B3">
        <w:rPr>
          <w:sz w:val="24"/>
          <w:szCs w:val="24"/>
        </w:rPr>
        <w:t xml:space="preserve"> and a judgment will need to be made by the Commissioner on a case by case basis as to what, in the end, the public interest requires.</w:t>
      </w:r>
      <w:r w:rsidR="00896AB5" w:rsidRPr="00B000B3">
        <w:rPr>
          <w:sz w:val="24"/>
          <w:szCs w:val="24"/>
        </w:rPr>
        <w:t xml:space="preserve"> </w:t>
      </w:r>
      <w:r w:rsidR="00723426" w:rsidRPr="00B000B3">
        <w:rPr>
          <w:sz w:val="24"/>
          <w:szCs w:val="24"/>
        </w:rPr>
        <w:t xml:space="preserve"> It is important to note at the outset that the public interest encompasses not only the purposes of the Commission’s investigations but also the protection of the human and civil rights of those who are subjected to its compulsory powers. </w:t>
      </w:r>
    </w:p>
    <w:p w14:paraId="2DABBC5F" w14:textId="77777777" w:rsidR="00723426" w:rsidRPr="00723426" w:rsidRDefault="00723426" w:rsidP="00242C36">
      <w:pPr>
        <w:pStyle w:val="ListParagraph"/>
        <w:jc w:val="both"/>
        <w:rPr>
          <w:sz w:val="24"/>
          <w:szCs w:val="24"/>
        </w:rPr>
      </w:pPr>
    </w:p>
    <w:p w14:paraId="0D477D8A" w14:textId="39EA56E4" w:rsidR="008C06B5" w:rsidRPr="00B000B3" w:rsidRDefault="009A7B4A" w:rsidP="00242C36">
      <w:pPr>
        <w:pStyle w:val="ListParagraph"/>
        <w:numPr>
          <w:ilvl w:val="1"/>
          <w:numId w:val="2"/>
        </w:numPr>
        <w:jc w:val="both"/>
        <w:rPr>
          <w:sz w:val="24"/>
          <w:szCs w:val="24"/>
        </w:rPr>
      </w:pPr>
      <w:r w:rsidRPr="00E06771">
        <w:rPr>
          <w:sz w:val="24"/>
          <w:szCs w:val="24"/>
        </w:rPr>
        <w:t xml:space="preserve">These Guidelines are made to </w:t>
      </w:r>
      <w:r w:rsidR="00896AB5" w:rsidRPr="00B000B3">
        <w:rPr>
          <w:sz w:val="24"/>
          <w:szCs w:val="24"/>
        </w:rPr>
        <w:t xml:space="preserve">inform the public about the matters that will be </w:t>
      </w:r>
      <w:r w:rsidR="001246C9">
        <w:rPr>
          <w:sz w:val="24"/>
          <w:szCs w:val="24"/>
        </w:rPr>
        <w:t>considered</w:t>
      </w:r>
      <w:r w:rsidR="00896AB5" w:rsidRPr="00B000B3">
        <w:rPr>
          <w:sz w:val="24"/>
          <w:szCs w:val="24"/>
        </w:rPr>
        <w:t xml:space="preserve"> in deciding whether an examination will be </w:t>
      </w:r>
      <w:r w:rsidR="00DB0E6F" w:rsidRPr="00B000B3">
        <w:rPr>
          <w:sz w:val="24"/>
          <w:szCs w:val="24"/>
        </w:rPr>
        <w:t>private or</w:t>
      </w:r>
      <w:r w:rsidR="00896AB5" w:rsidRPr="00B000B3">
        <w:rPr>
          <w:sz w:val="24"/>
          <w:szCs w:val="24"/>
        </w:rPr>
        <w:t xml:space="preserve"> public.</w:t>
      </w:r>
    </w:p>
    <w:p w14:paraId="5115D2ED" w14:textId="4D49A35E" w:rsidR="005321B3" w:rsidRPr="00E06771" w:rsidRDefault="005321B3" w:rsidP="00242C36">
      <w:pPr>
        <w:jc w:val="both"/>
        <w:rPr>
          <w:sz w:val="24"/>
          <w:szCs w:val="24"/>
        </w:rPr>
      </w:pPr>
    </w:p>
    <w:p w14:paraId="1D0D1BC0" w14:textId="5CCEF2D9" w:rsidR="009A7B4A" w:rsidRPr="00E06771" w:rsidRDefault="009A7B4A" w:rsidP="00242C36">
      <w:pPr>
        <w:jc w:val="both"/>
        <w:rPr>
          <w:sz w:val="24"/>
          <w:szCs w:val="24"/>
        </w:rPr>
      </w:pPr>
      <w:r w:rsidRPr="00E06771">
        <w:rPr>
          <w:sz w:val="24"/>
          <w:szCs w:val="24"/>
        </w:rPr>
        <w:br w:type="page"/>
      </w:r>
    </w:p>
    <w:p w14:paraId="0A474C45" w14:textId="1D425492" w:rsidR="005321B3" w:rsidRDefault="009A7B4A" w:rsidP="00242C36">
      <w:pPr>
        <w:pStyle w:val="Heading1"/>
        <w:jc w:val="both"/>
      </w:pPr>
      <w:r>
        <w:lastRenderedPageBreak/>
        <w:t>2.  Legislation</w:t>
      </w:r>
    </w:p>
    <w:p w14:paraId="14B31D3D" w14:textId="3675697A" w:rsidR="009A7B4A" w:rsidRDefault="009A7B4A" w:rsidP="00242C36">
      <w:pPr>
        <w:jc w:val="both"/>
      </w:pPr>
    </w:p>
    <w:p w14:paraId="515C4FA0" w14:textId="19855F73" w:rsidR="009A7B4A" w:rsidRPr="00E06771" w:rsidRDefault="009A7B4A" w:rsidP="00242C36">
      <w:pPr>
        <w:ind w:left="720" w:hanging="720"/>
        <w:jc w:val="both"/>
        <w:rPr>
          <w:sz w:val="24"/>
          <w:szCs w:val="24"/>
        </w:rPr>
      </w:pPr>
      <w:r w:rsidRPr="00E06771">
        <w:rPr>
          <w:sz w:val="24"/>
          <w:szCs w:val="24"/>
        </w:rPr>
        <w:t>2.1</w:t>
      </w:r>
      <w:r w:rsidRPr="00E06771">
        <w:rPr>
          <w:sz w:val="24"/>
          <w:szCs w:val="24"/>
        </w:rPr>
        <w:tab/>
        <w:t>Section 143 of the Act states the matters the Commission must consider when deciding whether to hold an examination in public or private:</w:t>
      </w:r>
    </w:p>
    <w:p w14:paraId="2F20B147" w14:textId="5AAFD9D3" w:rsidR="009A7B4A" w:rsidRPr="00242C36" w:rsidRDefault="009A7B4A" w:rsidP="00242C36">
      <w:pPr>
        <w:ind w:left="1080" w:hanging="360"/>
        <w:jc w:val="both"/>
        <w:rPr>
          <w:b/>
          <w:bCs/>
          <w:i/>
          <w:iCs/>
          <w:sz w:val="20"/>
          <w:szCs w:val="20"/>
        </w:rPr>
      </w:pPr>
      <w:r w:rsidRPr="00242C36">
        <w:rPr>
          <w:b/>
          <w:bCs/>
          <w:i/>
          <w:iCs/>
          <w:sz w:val="20"/>
          <w:szCs w:val="20"/>
        </w:rPr>
        <w:t>143</w:t>
      </w:r>
      <w:r w:rsidRPr="00242C36">
        <w:rPr>
          <w:b/>
          <w:bCs/>
          <w:i/>
          <w:iCs/>
          <w:sz w:val="20"/>
          <w:szCs w:val="20"/>
        </w:rPr>
        <w:tab/>
      </w:r>
      <w:r w:rsidRPr="00242C36">
        <w:rPr>
          <w:b/>
          <w:bCs/>
          <w:i/>
          <w:iCs/>
          <w:sz w:val="20"/>
          <w:szCs w:val="20"/>
        </w:rPr>
        <w:tab/>
        <w:t>Examinations may be public or private</w:t>
      </w:r>
    </w:p>
    <w:p w14:paraId="274464DF" w14:textId="5FEC0BD6" w:rsidR="009A7B4A" w:rsidRPr="00242C36" w:rsidRDefault="009A7B4A" w:rsidP="00242C36">
      <w:pPr>
        <w:ind w:left="1800" w:hanging="360"/>
        <w:jc w:val="both"/>
        <w:rPr>
          <w:i/>
          <w:iCs/>
          <w:sz w:val="20"/>
          <w:szCs w:val="20"/>
        </w:rPr>
      </w:pPr>
      <w:r w:rsidRPr="00242C36">
        <w:rPr>
          <w:i/>
          <w:iCs/>
          <w:sz w:val="20"/>
          <w:szCs w:val="20"/>
        </w:rPr>
        <w:t>(1)</w:t>
      </w:r>
      <w:r w:rsidRPr="00242C36">
        <w:rPr>
          <w:i/>
          <w:iCs/>
          <w:sz w:val="20"/>
          <w:szCs w:val="20"/>
        </w:rPr>
        <w:tab/>
        <w:t>An examination may be held in public or in private.</w:t>
      </w:r>
    </w:p>
    <w:p w14:paraId="7D8EF152" w14:textId="06814C64" w:rsidR="009A7B4A" w:rsidRPr="00242C36" w:rsidRDefault="009A7B4A" w:rsidP="00242C36">
      <w:pPr>
        <w:ind w:left="1800" w:hanging="360"/>
        <w:jc w:val="both"/>
        <w:rPr>
          <w:i/>
          <w:iCs/>
          <w:sz w:val="20"/>
          <w:szCs w:val="20"/>
        </w:rPr>
      </w:pPr>
      <w:r w:rsidRPr="00242C36">
        <w:rPr>
          <w:i/>
          <w:iCs/>
          <w:sz w:val="20"/>
          <w:szCs w:val="20"/>
        </w:rPr>
        <w:t>(2)</w:t>
      </w:r>
      <w:r w:rsidRPr="00242C36">
        <w:rPr>
          <w:i/>
          <w:iCs/>
          <w:sz w:val="20"/>
          <w:szCs w:val="20"/>
        </w:rPr>
        <w:tab/>
        <w:t>In deciding whether to hold an examination in public or in private, the Commission must consider whether:</w:t>
      </w:r>
    </w:p>
    <w:p w14:paraId="295C3B3F" w14:textId="0EE2D23B" w:rsidR="009A7B4A" w:rsidRPr="00242C36" w:rsidRDefault="009A7B4A" w:rsidP="00242C36">
      <w:pPr>
        <w:ind w:left="2160" w:hanging="360"/>
        <w:jc w:val="both"/>
        <w:rPr>
          <w:i/>
          <w:iCs/>
          <w:sz w:val="20"/>
          <w:szCs w:val="20"/>
        </w:rPr>
      </w:pPr>
      <w:r w:rsidRPr="00242C36">
        <w:rPr>
          <w:i/>
          <w:iCs/>
          <w:sz w:val="20"/>
          <w:szCs w:val="20"/>
        </w:rPr>
        <w:t>(a)</w:t>
      </w:r>
      <w:r w:rsidRPr="00242C36">
        <w:rPr>
          <w:i/>
          <w:iCs/>
          <w:sz w:val="20"/>
          <w:szCs w:val="20"/>
        </w:rPr>
        <w:tab/>
        <w:t>it is in the public interest to hold a public examination; and</w:t>
      </w:r>
    </w:p>
    <w:p w14:paraId="2EA7EB77" w14:textId="0AFD4EC5" w:rsidR="009A7B4A" w:rsidRPr="00242C36" w:rsidRDefault="009A7B4A" w:rsidP="00242C36">
      <w:pPr>
        <w:ind w:left="2160" w:hanging="360"/>
        <w:jc w:val="both"/>
        <w:rPr>
          <w:i/>
          <w:iCs/>
          <w:sz w:val="20"/>
          <w:szCs w:val="20"/>
        </w:rPr>
      </w:pPr>
      <w:r w:rsidRPr="00242C36">
        <w:rPr>
          <w:i/>
          <w:iCs/>
          <w:sz w:val="20"/>
          <w:szCs w:val="20"/>
        </w:rPr>
        <w:t>(b)</w:t>
      </w:r>
      <w:r w:rsidRPr="00242C36">
        <w:rPr>
          <w:i/>
          <w:iCs/>
          <w:sz w:val="20"/>
          <w:szCs w:val="20"/>
        </w:rPr>
        <w:tab/>
      </w:r>
      <w:r w:rsidR="00EA3671" w:rsidRPr="00242C36">
        <w:rPr>
          <w:i/>
          <w:iCs/>
          <w:sz w:val="20"/>
          <w:szCs w:val="20"/>
        </w:rPr>
        <w:t xml:space="preserve">a public examination can </w:t>
      </w:r>
      <w:r w:rsidR="00093A75" w:rsidRPr="00242C36">
        <w:rPr>
          <w:i/>
          <w:iCs/>
          <w:sz w:val="20"/>
          <w:szCs w:val="20"/>
        </w:rPr>
        <w:t xml:space="preserve">be held without unreasonably infringing a person’s human rights.  </w:t>
      </w:r>
    </w:p>
    <w:p w14:paraId="32C38381" w14:textId="7E91A395" w:rsidR="00FE7FD3" w:rsidRPr="00242C36" w:rsidRDefault="00FE7FD3" w:rsidP="00242C36">
      <w:pPr>
        <w:ind w:left="1800" w:hanging="360"/>
        <w:jc w:val="both"/>
        <w:rPr>
          <w:i/>
          <w:iCs/>
          <w:sz w:val="20"/>
          <w:szCs w:val="20"/>
        </w:rPr>
      </w:pPr>
      <w:r w:rsidRPr="00242C36">
        <w:rPr>
          <w:i/>
          <w:iCs/>
          <w:sz w:val="20"/>
          <w:szCs w:val="20"/>
        </w:rPr>
        <w:t>(3)</w:t>
      </w:r>
      <w:r w:rsidRPr="00242C36">
        <w:rPr>
          <w:i/>
          <w:iCs/>
          <w:sz w:val="20"/>
          <w:szCs w:val="20"/>
        </w:rPr>
        <w:tab/>
        <w:t>In deciding whether it is in the public interest to hold a public examination, the Commission may consider the following:</w:t>
      </w:r>
    </w:p>
    <w:p w14:paraId="343D89C2" w14:textId="3A19F75C" w:rsidR="00FE7FD3" w:rsidRPr="00242C36" w:rsidRDefault="00FE7FD3" w:rsidP="00242C36">
      <w:pPr>
        <w:ind w:left="2160" w:hanging="360"/>
        <w:jc w:val="both"/>
        <w:rPr>
          <w:i/>
          <w:iCs/>
          <w:sz w:val="20"/>
          <w:szCs w:val="20"/>
        </w:rPr>
      </w:pPr>
      <w:r w:rsidRPr="00242C36">
        <w:rPr>
          <w:i/>
          <w:iCs/>
          <w:sz w:val="20"/>
          <w:szCs w:val="20"/>
        </w:rPr>
        <w:t>(a)</w:t>
      </w:r>
      <w:r w:rsidRPr="00242C36">
        <w:rPr>
          <w:i/>
          <w:iCs/>
          <w:sz w:val="20"/>
          <w:szCs w:val="20"/>
        </w:rPr>
        <w:tab/>
        <w:t>whether the corrupt conduct is related to an individual and was an isolated incident or systemic in nature;</w:t>
      </w:r>
    </w:p>
    <w:p w14:paraId="1133629C" w14:textId="431595DF" w:rsidR="00FE7FD3" w:rsidRPr="00242C36" w:rsidRDefault="00FE7FD3" w:rsidP="00242C36">
      <w:pPr>
        <w:ind w:left="2160" w:hanging="360"/>
        <w:jc w:val="both"/>
        <w:rPr>
          <w:i/>
          <w:iCs/>
          <w:sz w:val="20"/>
          <w:szCs w:val="20"/>
        </w:rPr>
      </w:pPr>
      <w:r w:rsidRPr="00242C36">
        <w:rPr>
          <w:i/>
          <w:iCs/>
          <w:sz w:val="20"/>
          <w:szCs w:val="20"/>
        </w:rPr>
        <w:t>(b)</w:t>
      </w:r>
      <w:r w:rsidRPr="00242C36">
        <w:rPr>
          <w:i/>
          <w:iCs/>
          <w:sz w:val="20"/>
          <w:szCs w:val="20"/>
        </w:rPr>
        <w:tab/>
        <w:t>the benefit of exposing to the public, and making it aware of, corrupt conduct;</w:t>
      </w:r>
    </w:p>
    <w:p w14:paraId="2E235957" w14:textId="4E905A4E" w:rsidR="00FE7FD3" w:rsidRPr="00242C36" w:rsidRDefault="00FE7FD3" w:rsidP="00242C36">
      <w:pPr>
        <w:ind w:left="2160" w:hanging="360"/>
        <w:jc w:val="both"/>
        <w:rPr>
          <w:i/>
          <w:iCs/>
          <w:sz w:val="20"/>
          <w:szCs w:val="20"/>
        </w:rPr>
      </w:pPr>
      <w:r w:rsidRPr="00242C36">
        <w:rPr>
          <w:i/>
          <w:iCs/>
          <w:sz w:val="20"/>
          <w:szCs w:val="20"/>
        </w:rPr>
        <w:t>(c)</w:t>
      </w:r>
      <w:r w:rsidRPr="00242C36">
        <w:rPr>
          <w:i/>
          <w:iCs/>
          <w:sz w:val="20"/>
          <w:szCs w:val="20"/>
        </w:rPr>
        <w:tab/>
        <w:t>the seriousness of the matter being investigated.</w:t>
      </w:r>
    </w:p>
    <w:p w14:paraId="12E5417F" w14:textId="5E3BDC59" w:rsidR="003409D5" w:rsidRPr="00242C36" w:rsidRDefault="003409D5" w:rsidP="00242C36">
      <w:pPr>
        <w:ind w:left="1800" w:hanging="360"/>
        <w:jc w:val="both"/>
        <w:rPr>
          <w:i/>
          <w:iCs/>
          <w:sz w:val="20"/>
          <w:szCs w:val="20"/>
        </w:rPr>
      </w:pPr>
      <w:r w:rsidRPr="00242C36">
        <w:rPr>
          <w:i/>
          <w:iCs/>
          <w:sz w:val="20"/>
          <w:szCs w:val="20"/>
        </w:rPr>
        <w:t>(4)</w:t>
      </w:r>
      <w:r w:rsidRPr="00242C36">
        <w:rPr>
          <w:i/>
          <w:iCs/>
          <w:sz w:val="20"/>
          <w:szCs w:val="20"/>
        </w:rPr>
        <w:tab/>
        <w:t xml:space="preserve">The Commission may make guidelines about whether an examination should be held in public or in private (the </w:t>
      </w:r>
      <w:r w:rsidRPr="00242C36">
        <w:rPr>
          <w:b/>
          <w:bCs/>
          <w:i/>
          <w:iCs/>
          <w:sz w:val="20"/>
          <w:szCs w:val="20"/>
        </w:rPr>
        <w:t>examination guidelines</w:t>
      </w:r>
      <w:r w:rsidRPr="00242C36">
        <w:rPr>
          <w:i/>
          <w:iCs/>
          <w:sz w:val="20"/>
          <w:szCs w:val="20"/>
        </w:rPr>
        <w:t>).</w:t>
      </w:r>
    </w:p>
    <w:p w14:paraId="39811E58" w14:textId="3B48BB36" w:rsidR="003409D5" w:rsidRPr="00242C36" w:rsidRDefault="003409D5" w:rsidP="00242C36">
      <w:pPr>
        <w:ind w:left="1800" w:hanging="360"/>
        <w:jc w:val="both"/>
        <w:rPr>
          <w:i/>
          <w:iCs/>
          <w:sz w:val="20"/>
          <w:szCs w:val="20"/>
        </w:rPr>
      </w:pPr>
      <w:r w:rsidRPr="00242C36">
        <w:rPr>
          <w:i/>
          <w:iCs/>
          <w:sz w:val="20"/>
          <w:szCs w:val="20"/>
        </w:rPr>
        <w:t>(5)</w:t>
      </w:r>
      <w:r w:rsidRPr="00242C36">
        <w:rPr>
          <w:i/>
          <w:iCs/>
          <w:sz w:val="20"/>
          <w:szCs w:val="20"/>
        </w:rPr>
        <w:tab/>
        <w:t>The examination guidelines are a notifiable instrument.</w:t>
      </w:r>
    </w:p>
    <w:p w14:paraId="0A37CD6E" w14:textId="64E830E7" w:rsidR="00442603" w:rsidRDefault="00442603" w:rsidP="00242C36">
      <w:pPr>
        <w:ind w:left="720" w:hanging="720"/>
        <w:jc w:val="both"/>
        <w:rPr>
          <w:sz w:val="24"/>
          <w:szCs w:val="24"/>
        </w:rPr>
      </w:pPr>
      <w:r>
        <w:rPr>
          <w:sz w:val="24"/>
          <w:szCs w:val="24"/>
        </w:rPr>
        <w:t>2.2</w:t>
      </w:r>
      <w:r>
        <w:rPr>
          <w:sz w:val="24"/>
          <w:szCs w:val="24"/>
        </w:rPr>
        <w:tab/>
        <w:t xml:space="preserve">With regards to the </w:t>
      </w:r>
      <w:r w:rsidR="00212374" w:rsidRPr="00B000B3">
        <w:rPr>
          <w:sz w:val="24"/>
          <w:szCs w:val="24"/>
        </w:rPr>
        <w:t>issue</w:t>
      </w:r>
      <w:r w:rsidR="00490AC9">
        <w:rPr>
          <w:sz w:val="24"/>
          <w:szCs w:val="24"/>
        </w:rPr>
        <w:t xml:space="preserve"> </w:t>
      </w:r>
      <w:r w:rsidR="00B000B3">
        <w:rPr>
          <w:sz w:val="24"/>
          <w:szCs w:val="24"/>
        </w:rPr>
        <w:t xml:space="preserve">of </w:t>
      </w:r>
      <w:r w:rsidR="00490AC9">
        <w:rPr>
          <w:sz w:val="24"/>
          <w:szCs w:val="24"/>
        </w:rPr>
        <w:t xml:space="preserve">whether </w:t>
      </w:r>
      <w:r>
        <w:rPr>
          <w:sz w:val="24"/>
          <w:szCs w:val="24"/>
        </w:rPr>
        <w:t>a public examination can be held without unreasonably infringing a person’s human rights, the Explanatory Statement to the Integrity Commission Bill 2018 stated:</w:t>
      </w:r>
    </w:p>
    <w:p w14:paraId="0ED40A48" w14:textId="77777777" w:rsidR="00442603" w:rsidRDefault="00442603" w:rsidP="00242C36">
      <w:pPr>
        <w:ind w:left="1440"/>
        <w:jc w:val="both"/>
        <w:rPr>
          <w:i/>
          <w:iCs/>
          <w:sz w:val="24"/>
          <w:szCs w:val="24"/>
        </w:rPr>
      </w:pPr>
      <w:r w:rsidRPr="00442603">
        <w:rPr>
          <w:i/>
          <w:iCs/>
          <w:sz w:val="24"/>
          <w:szCs w:val="24"/>
        </w:rPr>
        <w:t xml:space="preserve">The Bill is drafted to be compatible with human rights as set out in the </w:t>
      </w:r>
      <w:r w:rsidRPr="0086578A">
        <w:rPr>
          <w:sz w:val="24"/>
          <w:szCs w:val="24"/>
        </w:rPr>
        <w:t>Human Rights Act 2004</w:t>
      </w:r>
      <w:r w:rsidRPr="00442603">
        <w:rPr>
          <w:i/>
          <w:iCs/>
          <w:sz w:val="24"/>
          <w:szCs w:val="24"/>
        </w:rPr>
        <w:t xml:space="preserve"> (HRA). Rights under the HRA may be limited if such limitations are reasonable and proportionate. Section 28 of the HRA sets out the criteria for determining if a limitation is reasonable including considering the purpose of the limitation and if the limitation is the least restrictive to achieve that purpose.   </w:t>
      </w:r>
    </w:p>
    <w:p w14:paraId="75A3D94E" w14:textId="0995DC2F" w:rsidR="00442603" w:rsidRDefault="00442603" w:rsidP="00242C36">
      <w:pPr>
        <w:ind w:left="1440"/>
        <w:jc w:val="both"/>
        <w:rPr>
          <w:i/>
          <w:iCs/>
          <w:sz w:val="24"/>
          <w:szCs w:val="24"/>
        </w:rPr>
      </w:pPr>
      <w:r w:rsidRPr="00442603">
        <w:rPr>
          <w:i/>
          <w:iCs/>
          <w:sz w:val="24"/>
          <w:szCs w:val="24"/>
        </w:rPr>
        <w:t>The Bill achieves an important purpose overall, as it supports the Government’s commitment to transparency and confidence in public administration within a framework where an individual’s privacy and reputation are reasonably protected in accordance with community expectations</w:t>
      </w:r>
      <w:r>
        <w:rPr>
          <w:i/>
          <w:iCs/>
          <w:sz w:val="24"/>
          <w:szCs w:val="24"/>
        </w:rPr>
        <w:t>.</w:t>
      </w:r>
      <w:r w:rsidRPr="00442603">
        <w:rPr>
          <w:i/>
          <w:iCs/>
          <w:sz w:val="24"/>
          <w:szCs w:val="24"/>
        </w:rPr>
        <w:t> </w:t>
      </w:r>
    </w:p>
    <w:p w14:paraId="70924438" w14:textId="1E78E0E1" w:rsidR="00442603" w:rsidRDefault="00442603" w:rsidP="00242C36">
      <w:pPr>
        <w:ind w:left="1440"/>
        <w:jc w:val="both"/>
        <w:rPr>
          <w:i/>
          <w:iCs/>
          <w:sz w:val="24"/>
          <w:szCs w:val="24"/>
        </w:rPr>
      </w:pPr>
      <w:r>
        <w:rPr>
          <w:i/>
          <w:iCs/>
          <w:sz w:val="24"/>
          <w:szCs w:val="24"/>
        </w:rPr>
        <w:t>…</w:t>
      </w:r>
    </w:p>
    <w:p w14:paraId="087E7B0D" w14:textId="725482D2" w:rsidR="004D225A" w:rsidRPr="00442603" w:rsidRDefault="00442603" w:rsidP="00242C36">
      <w:pPr>
        <w:ind w:left="1440"/>
        <w:jc w:val="both"/>
        <w:rPr>
          <w:i/>
          <w:iCs/>
          <w:sz w:val="24"/>
          <w:szCs w:val="24"/>
        </w:rPr>
      </w:pPr>
      <w:r w:rsidRPr="00442603">
        <w:rPr>
          <w:i/>
          <w:iCs/>
          <w:sz w:val="24"/>
          <w:szCs w:val="24"/>
        </w:rPr>
        <w:lastRenderedPageBreak/>
        <w:t>The Integrity Commission will be considered a ‘public authority’ under section 40(b) of the HRA, resulting in an obligation under section 40B for the Commission to act consistently with human rights legislative requirements. While this obligation exists under the HRA, throughout the Bill, a number of safeguards have been used where it may seem a person’s human rights are limited. These safeguards are used to ensure where a right is limited, it is through the least restrictive means of doing so.</w:t>
      </w:r>
      <w:r w:rsidRPr="00FA1317">
        <w:rPr>
          <w:rStyle w:val="FootnoteReference"/>
          <w:sz w:val="24"/>
          <w:szCs w:val="24"/>
        </w:rPr>
        <w:footnoteReference w:id="6"/>
      </w:r>
      <w:r w:rsidRPr="00442603">
        <w:rPr>
          <w:i/>
          <w:iCs/>
          <w:sz w:val="24"/>
          <w:szCs w:val="24"/>
        </w:rPr>
        <w:t>   </w:t>
      </w:r>
    </w:p>
    <w:p w14:paraId="3D8C7791" w14:textId="47B459E8" w:rsidR="00FC1BA6" w:rsidRDefault="00442603" w:rsidP="00242C36">
      <w:pPr>
        <w:ind w:left="720" w:hanging="720"/>
        <w:jc w:val="both"/>
        <w:rPr>
          <w:sz w:val="24"/>
          <w:szCs w:val="24"/>
        </w:rPr>
      </w:pPr>
      <w:r>
        <w:rPr>
          <w:sz w:val="24"/>
          <w:szCs w:val="24"/>
        </w:rPr>
        <w:t>2.3</w:t>
      </w:r>
      <w:r>
        <w:rPr>
          <w:sz w:val="24"/>
          <w:szCs w:val="24"/>
        </w:rPr>
        <w:tab/>
        <w:t xml:space="preserve">The </w:t>
      </w:r>
      <w:r w:rsidR="004D225A">
        <w:rPr>
          <w:sz w:val="24"/>
          <w:szCs w:val="24"/>
        </w:rPr>
        <w:t xml:space="preserve">power </w:t>
      </w:r>
      <w:r w:rsidR="00FC1BA6">
        <w:rPr>
          <w:sz w:val="24"/>
          <w:szCs w:val="24"/>
        </w:rPr>
        <w:t xml:space="preserve">in the Act to compel the attendance of witnesses </w:t>
      </w:r>
      <w:r w:rsidR="00F429E5" w:rsidRPr="00B000B3">
        <w:rPr>
          <w:sz w:val="24"/>
          <w:szCs w:val="24"/>
        </w:rPr>
        <w:t>and to conduct a</w:t>
      </w:r>
      <w:r w:rsidR="00B000B3">
        <w:rPr>
          <w:sz w:val="24"/>
          <w:szCs w:val="24"/>
        </w:rPr>
        <w:t>n examination, whether private or</w:t>
      </w:r>
      <w:r w:rsidR="00F429E5" w:rsidRPr="00B000B3">
        <w:rPr>
          <w:sz w:val="24"/>
          <w:szCs w:val="24"/>
        </w:rPr>
        <w:t xml:space="preserve"> public examination</w:t>
      </w:r>
      <w:r w:rsidR="00F429E5">
        <w:rPr>
          <w:b/>
          <w:bCs/>
          <w:sz w:val="24"/>
          <w:szCs w:val="24"/>
        </w:rPr>
        <w:t xml:space="preserve"> </w:t>
      </w:r>
      <w:r w:rsidR="00FC1BA6">
        <w:rPr>
          <w:sz w:val="24"/>
          <w:szCs w:val="24"/>
        </w:rPr>
        <w:t xml:space="preserve">may </w:t>
      </w:r>
      <w:r w:rsidR="00F429E5" w:rsidRPr="00B000B3">
        <w:rPr>
          <w:sz w:val="24"/>
          <w:szCs w:val="24"/>
        </w:rPr>
        <w:t>affect</w:t>
      </w:r>
      <w:r w:rsidR="00B000B3">
        <w:rPr>
          <w:sz w:val="24"/>
          <w:szCs w:val="24"/>
        </w:rPr>
        <w:t xml:space="preserve"> a n</w:t>
      </w:r>
      <w:r w:rsidR="00FC1BA6">
        <w:rPr>
          <w:sz w:val="24"/>
          <w:szCs w:val="24"/>
        </w:rPr>
        <w:t>umber of</w:t>
      </w:r>
      <w:r>
        <w:rPr>
          <w:sz w:val="24"/>
          <w:szCs w:val="24"/>
        </w:rPr>
        <w:t xml:space="preserve"> human right</w:t>
      </w:r>
      <w:r w:rsidR="00FC1BA6">
        <w:rPr>
          <w:sz w:val="24"/>
          <w:szCs w:val="24"/>
        </w:rPr>
        <w:t>s under the HRA.  These include</w:t>
      </w:r>
      <w:r w:rsidR="00490AC9">
        <w:rPr>
          <w:sz w:val="24"/>
          <w:szCs w:val="24"/>
        </w:rPr>
        <w:t xml:space="preserve"> the following provisions of the HRA</w:t>
      </w:r>
      <w:r w:rsidR="00FC1BA6">
        <w:rPr>
          <w:sz w:val="24"/>
          <w:szCs w:val="24"/>
        </w:rPr>
        <w:t>:</w:t>
      </w:r>
    </w:p>
    <w:p w14:paraId="72F6F618" w14:textId="1F373AF3" w:rsidR="00FC1BA6" w:rsidRDefault="00442603" w:rsidP="00242C36">
      <w:pPr>
        <w:pStyle w:val="ListParagraph"/>
        <w:numPr>
          <w:ilvl w:val="0"/>
          <w:numId w:val="15"/>
        </w:numPr>
        <w:jc w:val="both"/>
        <w:rPr>
          <w:sz w:val="24"/>
          <w:szCs w:val="24"/>
        </w:rPr>
      </w:pPr>
      <w:r w:rsidRPr="00FC1BA6">
        <w:rPr>
          <w:sz w:val="24"/>
          <w:szCs w:val="24"/>
        </w:rPr>
        <w:t xml:space="preserve">s 12 </w:t>
      </w:r>
      <w:r w:rsidR="00490AC9">
        <w:rPr>
          <w:sz w:val="24"/>
          <w:szCs w:val="24"/>
        </w:rPr>
        <w:t xml:space="preserve">– </w:t>
      </w:r>
      <w:r w:rsidRPr="00FC1BA6">
        <w:rPr>
          <w:sz w:val="24"/>
          <w:szCs w:val="24"/>
        </w:rPr>
        <w:t xml:space="preserve">a person’s right to not to have their privacy unlawfully or arbitrarily interfered with and </w:t>
      </w:r>
      <w:r w:rsidR="00FC1BA6">
        <w:rPr>
          <w:sz w:val="24"/>
          <w:szCs w:val="24"/>
        </w:rPr>
        <w:t xml:space="preserve">the right not to have their </w:t>
      </w:r>
      <w:r w:rsidRPr="00FC1BA6">
        <w:rPr>
          <w:sz w:val="24"/>
          <w:szCs w:val="24"/>
        </w:rPr>
        <w:t>reputation</w:t>
      </w:r>
      <w:r w:rsidR="00FC1BA6">
        <w:rPr>
          <w:sz w:val="24"/>
          <w:szCs w:val="24"/>
        </w:rPr>
        <w:t xml:space="preserve"> unlawfully attacked;</w:t>
      </w:r>
      <w:r w:rsidR="00F429E5">
        <w:rPr>
          <w:sz w:val="24"/>
          <w:szCs w:val="24"/>
        </w:rPr>
        <w:t xml:space="preserve"> and</w:t>
      </w:r>
    </w:p>
    <w:p w14:paraId="6027F135" w14:textId="57523032" w:rsidR="00FC1BA6" w:rsidRDefault="00FC1BA6" w:rsidP="00242C36">
      <w:pPr>
        <w:pStyle w:val="ListParagraph"/>
        <w:numPr>
          <w:ilvl w:val="0"/>
          <w:numId w:val="15"/>
        </w:numPr>
        <w:jc w:val="both"/>
        <w:rPr>
          <w:sz w:val="24"/>
          <w:szCs w:val="24"/>
        </w:rPr>
      </w:pPr>
      <w:r>
        <w:rPr>
          <w:sz w:val="24"/>
          <w:szCs w:val="24"/>
        </w:rPr>
        <w:t>s 13 – a person’s right to freedom of movement within the ACT</w:t>
      </w:r>
      <w:r w:rsidR="00F429E5">
        <w:rPr>
          <w:sz w:val="24"/>
          <w:szCs w:val="24"/>
        </w:rPr>
        <w:t>.</w:t>
      </w:r>
    </w:p>
    <w:p w14:paraId="60309693" w14:textId="29B2F06C" w:rsidR="00442603" w:rsidRPr="00E06771" w:rsidRDefault="00FC1BA6" w:rsidP="00242C36">
      <w:pPr>
        <w:ind w:left="720" w:hanging="720"/>
        <w:jc w:val="both"/>
        <w:rPr>
          <w:sz w:val="24"/>
          <w:szCs w:val="24"/>
        </w:rPr>
      </w:pPr>
      <w:r>
        <w:rPr>
          <w:sz w:val="24"/>
          <w:szCs w:val="24"/>
        </w:rPr>
        <w:t>2.4</w:t>
      </w:r>
      <w:r>
        <w:rPr>
          <w:sz w:val="24"/>
          <w:szCs w:val="24"/>
        </w:rPr>
        <w:tab/>
      </w:r>
      <w:r w:rsidR="003D688A">
        <w:rPr>
          <w:sz w:val="24"/>
          <w:szCs w:val="24"/>
        </w:rPr>
        <w:t>The</w:t>
      </w:r>
      <w:r w:rsidR="00442603">
        <w:rPr>
          <w:sz w:val="24"/>
          <w:szCs w:val="24"/>
        </w:rPr>
        <w:t xml:space="preserve"> </w:t>
      </w:r>
      <w:r>
        <w:rPr>
          <w:sz w:val="24"/>
          <w:szCs w:val="24"/>
        </w:rPr>
        <w:t>HRA</w:t>
      </w:r>
      <w:r w:rsidR="00442603">
        <w:rPr>
          <w:sz w:val="24"/>
          <w:szCs w:val="24"/>
        </w:rPr>
        <w:t xml:space="preserve"> provides that </w:t>
      </w:r>
      <w:r>
        <w:rPr>
          <w:sz w:val="24"/>
          <w:szCs w:val="24"/>
        </w:rPr>
        <w:t>human rights may be subject to reasonable limits set by laws that can be demonstrably justified in a free and democratic society.</w:t>
      </w:r>
      <w:r>
        <w:rPr>
          <w:rStyle w:val="FootnoteReference"/>
          <w:sz w:val="24"/>
          <w:szCs w:val="24"/>
        </w:rPr>
        <w:footnoteReference w:id="7"/>
      </w:r>
      <w:r>
        <w:rPr>
          <w:sz w:val="24"/>
          <w:szCs w:val="24"/>
        </w:rPr>
        <w:t xml:space="preserve">  The Explanatory Statement to the Integrity Commission Bill 2018 notes that certain limits on human rights may occur during a public examination and offers this explanation</w:t>
      </w:r>
      <w:r w:rsidR="00490AC9">
        <w:rPr>
          <w:sz w:val="24"/>
          <w:szCs w:val="24"/>
        </w:rPr>
        <w:t xml:space="preserve"> for those constraints</w:t>
      </w:r>
      <w:r>
        <w:rPr>
          <w:sz w:val="24"/>
          <w:szCs w:val="24"/>
        </w:rPr>
        <w:t>:</w:t>
      </w:r>
    </w:p>
    <w:p w14:paraId="6BEA0F50" w14:textId="77777777" w:rsidR="00FC1BA6" w:rsidRDefault="004D225A" w:rsidP="00242C36">
      <w:pPr>
        <w:ind w:left="1440"/>
        <w:jc w:val="both"/>
        <w:rPr>
          <w:i/>
          <w:iCs/>
          <w:sz w:val="24"/>
          <w:szCs w:val="24"/>
        </w:rPr>
      </w:pPr>
      <w:r w:rsidRPr="004D225A">
        <w:rPr>
          <w:i/>
          <w:iCs/>
          <w:sz w:val="24"/>
          <w:szCs w:val="24"/>
        </w:rPr>
        <w:t xml:space="preserve">The Bill provides that the Commission may hold public examinations with corresponding powers to compel the attendance of witnesses, and in doing so, may limit a number of rights under the HRA including to privacy, freedom of movement, fair trial and rights in criminal proceedings. </w:t>
      </w:r>
    </w:p>
    <w:p w14:paraId="6121976B" w14:textId="75C82BAD" w:rsidR="00FC1BA6" w:rsidRDefault="004D225A" w:rsidP="00242C36">
      <w:pPr>
        <w:ind w:left="1440"/>
        <w:jc w:val="both"/>
        <w:rPr>
          <w:i/>
          <w:iCs/>
          <w:sz w:val="24"/>
          <w:szCs w:val="24"/>
        </w:rPr>
      </w:pPr>
      <w:r w:rsidRPr="004D225A">
        <w:rPr>
          <w:i/>
          <w:iCs/>
          <w:sz w:val="24"/>
          <w:szCs w:val="24"/>
        </w:rPr>
        <w:t xml:space="preserve">The purpose of this limitation is to provide transparency in relation to scrutiny of the activities of the Integrity Commission and to ensure public confidence in its investigations into alleged corruption. In considering the submissions made to it, and the experiences of other bodies tasked with investigating corruption, the 2017 Select Committee concluded that the Integrity Commission should have the ability to hold public examinations for it to discharge its legitimate objectives of transparency and accountability of the conduct of the body, public confidence in its operations, the discovery of further evidence, the education of the public, and the general deterrent effect. The 2018 Select Committee reiterated their view that the legislation should be neutral as to whether a public or private examination be conducted. The 2017 Select Committee </w:t>
      </w:r>
      <w:r w:rsidRPr="004D225A">
        <w:rPr>
          <w:i/>
          <w:iCs/>
          <w:sz w:val="24"/>
          <w:szCs w:val="24"/>
        </w:rPr>
        <w:lastRenderedPageBreak/>
        <w:t xml:space="preserve">recommended that the </w:t>
      </w:r>
      <w:r w:rsidR="00242C36">
        <w:rPr>
          <w:i/>
          <w:iCs/>
          <w:sz w:val="24"/>
          <w:szCs w:val="24"/>
        </w:rPr>
        <w:t>I</w:t>
      </w:r>
      <w:r w:rsidRPr="004D225A">
        <w:rPr>
          <w:i/>
          <w:iCs/>
          <w:sz w:val="24"/>
          <w:szCs w:val="24"/>
        </w:rPr>
        <w:t xml:space="preserve">ntegrity Commission should have the power to hold public examinations. The decision on whether to hold public or private examinations should be informed by a public interest test.’ </w:t>
      </w:r>
    </w:p>
    <w:p w14:paraId="6BB09851" w14:textId="704A279D" w:rsidR="00FC1BA6" w:rsidRDefault="004D225A" w:rsidP="00242C36">
      <w:pPr>
        <w:ind w:left="1440"/>
        <w:jc w:val="both"/>
        <w:rPr>
          <w:i/>
          <w:iCs/>
          <w:sz w:val="24"/>
          <w:szCs w:val="24"/>
        </w:rPr>
      </w:pPr>
      <w:r w:rsidRPr="004D225A">
        <w:rPr>
          <w:i/>
          <w:iCs/>
          <w:sz w:val="24"/>
          <w:szCs w:val="24"/>
        </w:rPr>
        <w:t>The Bill contains a public interest test, which must be satisfied prior to the Commission being able to hold a public hearing that seek to protect the privacy and fair trial rights of individuals. In deciding whether it is in the public interest to hold a public examination, the commission may consider any of the following</w:t>
      </w:r>
      <w:r w:rsidR="00DB0E6F">
        <w:rPr>
          <w:i/>
          <w:iCs/>
          <w:sz w:val="24"/>
          <w:szCs w:val="24"/>
        </w:rPr>
        <w:t>:</w:t>
      </w:r>
      <w:r w:rsidRPr="004D225A">
        <w:rPr>
          <w:i/>
          <w:iCs/>
          <w:sz w:val="24"/>
          <w:szCs w:val="24"/>
        </w:rPr>
        <w:t xml:space="preserve"> whether the corrupt conduct was an isolated incident or systemic in nature, the benefit of exposing the examination to the public and making it aware of corrupt conduct, and the seriousness of the matter being investigated.   </w:t>
      </w:r>
    </w:p>
    <w:p w14:paraId="77754C5E" w14:textId="7F1D46A8" w:rsidR="00442603" w:rsidRPr="00FC1BA6" w:rsidRDefault="004D225A" w:rsidP="00242C36">
      <w:pPr>
        <w:ind w:left="1440"/>
        <w:jc w:val="both"/>
        <w:rPr>
          <w:i/>
          <w:iCs/>
          <w:sz w:val="24"/>
          <w:szCs w:val="24"/>
        </w:rPr>
      </w:pPr>
      <w:r w:rsidRPr="004D225A">
        <w:rPr>
          <w:i/>
          <w:iCs/>
          <w:sz w:val="24"/>
          <w:szCs w:val="24"/>
        </w:rPr>
        <w:t>One of the objects of the Bill is to achieve a balance between the public interest in exposing corruption in public administration and the public interest in avoiding undue prejudice to a person’s reputation.</w:t>
      </w:r>
      <w:r w:rsidR="00FC1BA6" w:rsidRPr="00B000B3">
        <w:rPr>
          <w:rStyle w:val="FootnoteReference"/>
          <w:sz w:val="24"/>
          <w:szCs w:val="24"/>
        </w:rPr>
        <w:footnoteReference w:id="8"/>
      </w:r>
    </w:p>
    <w:p w14:paraId="78B7EFC5" w14:textId="437640F1" w:rsidR="004D225A" w:rsidRDefault="004D225A" w:rsidP="00242C36">
      <w:pPr>
        <w:jc w:val="both"/>
      </w:pPr>
    </w:p>
    <w:p w14:paraId="2AA63871" w14:textId="77777777" w:rsidR="004D225A" w:rsidRDefault="004D225A" w:rsidP="00242C36">
      <w:pPr>
        <w:jc w:val="both"/>
        <w:rPr>
          <w:rFonts w:asciiTheme="majorHAnsi" w:eastAsiaTheme="majorEastAsia" w:hAnsiTheme="majorHAnsi" w:cstheme="majorBidi"/>
          <w:color w:val="2F5496" w:themeColor="accent1" w:themeShade="BF"/>
          <w:sz w:val="32"/>
          <w:szCs w:val="32"/>
        </w:rPr>
      </w:pPr>
    </w:p>
    <w:p w14:paraId="5F6B0C3F" w14:textId="77777777" w:rsidR="00FC1BA6" w:rsidRDefault="00FC1BA6" w:rsidP="00242C36">
      <w:pPr>
        <w:jc w:val="both"/>
        <w:rPr>
          <w:rFonts w:asciiTheme="majorHAnsi" w:eastAsiaTheme="majorEastAsia" w:hAnsiTheme="majorHAnsi" w:cstheme="majorBidi"/>
          <w:color w:val="2F5496" w:themeColor="accent1" w:themeShade="BF"/>
          <w:sz w:val="32"/>
          <w:szCs w:val="32"/>
        </w:rPr>
      </w:pPr>
      <w:r>
        <w:br w:type="page"/>
      </w:r>
    </w:p>
    <w:p w14:paraId="1767E6BA" w14:textId="4B0579DC" w:rsidR="003409D5" w:rsidRDefault="003409D5" w:rsidP="00242C36">
      <w:pPr>
        <w:pStyle w:val="Heading1"/>
        <w:jc w:val="both"/>
      </w:pPr>
      <w:r>
        <w:lastRenderedPageBreak/>
        <w:t>3.</w:t>
      </w:r>
      <w:r>
        <w:tab/>
      </w:r>
      <w:r w:rsidR="00C75B80">
        <w:t>Considerations and procedure</w:t>
      </w:r>
    </w:p>
    <w:p w14:paraId="2E22197B" w14:textId="77777777" w:rsidR="003409D5" w:rsidRDefault="003409D5" w:rsidP="00242C36">
      <w:pPr>
        <w:jc w:val="both"/>
      </w:pPr>
    </w:p>
    <w:p w14:paraId="7F5E3944" w14:textId="1CBFC22C" w:rsidR="003409D5" w:rsidRPr="00E06771" w:rsidRDefault="003409D5" w:rsidP="00242C36">
      <w:pPr>
        <w:jc w:val="both"/>
        <w:rPr>
          <w:b/>
          <w:bCs/>
          <w:sz w:val="24"/>
          <w:szCs w:val="24"/>
        </w:rPr>
      </w:pPr>
      <w:r w:rsidRPr="00E06771">
        <w:rPr>
          <w:b/>
          <w:bCs/>
          <w:sz w:val="24"/>
          <w:szCs w:val="24"/>
        </w:rPr>
        <w:t>General considerations</w:t>
      </w:r>
    </w:p>
    <w:p w14:paraId="6EF8B5D4" w14:textId="77777777" w:rsidR="003F5BF2" w:rsidRDefault="003409D5" w:rsidP="003F5BF2">
      <w:pPr>
        <w:ind w:left="426" w:hanging="426"/>
        <w:jc w:val="both"/>
        <w:rPr>
          <w:sz w:val="24"/>
          <w:szCs w:val="24"/>
        </w:rPr>
      </w:pPr>
      <w:r w:rsidRPr="00E06771">
        <w:rPr>
          <w:sz w:val="24"/>
          <w:szCs w:val="24"/>
        </w:rPr>
        <w:t>3.1</w:t>
      </w:r>
      <w:r w:rsidRPr="00E06771">
        <w:rPr>
          <w:sz w:val="24"/>
          <w:szCs w:val="24"/>
        </w:rPr>
        <w:tab/>
      </w:r>
      <w:r w:rsidR="00873C62" w:rsidRPr="00B000B3">
        <w:rPr>
          <w:sz w:val="24"/>
          <w:szCs w:val="24"/>
        </w:rPr>
        <w:t>The purpose of an examination, whether public or private, is to obtain evidence on oath or affirmation</w:t>
      </w:r>
      <w:r w:rsidR="00B000B3" w:rsidRPr="00B000B3">
        <w:rPr>
          <w:sz w:val="24"/>
          <w:szCs w:val="24"/>
        </w:rPr>
        <w:t>.  Penalties apply where evidence is not truthful or complete.  An examination</w:t>
      </w:r>
      <w:r w:rsidR="00873C62" w:rsidRPr="00B000B3">
        <w:rPr>
          <w:sz w:val="24"/>
          <w:szCs w:val="24"/>
        </w:rPr>
        <w:t xml:space="preserve"> also enables live questioning, which is a useful technique both for obtaining and testing evidence.  In appropriate cases, interested persons may also</w:t>
      </w:r>
      <w:r w:rsidR="00917237" w:rsidRPr="00B000B3">
        <w:rPr>
          <w:sz w:val="24"/>
          <w:szCs w:val="24"/>
        </w:rPr>
        <w:t>, reasonable grounds being demonstrated, be afforded</w:t>
      </w:r>
      <w:r w:rsidR="00873C62" w:rsidRPr="00B000B3">
        <w:rPr>
          <w:sz w:val="24"/>
          <w:szCs w:val="24"/>
        </w:rPr>
        <w:t xml:space="preserve"> this opportunity</w:t>
      </w:r>
      <w:r w:rsidR="00B000B3" w:rsidRPr="00B000B3">
        <w:rPr>
          <w:sz w:val="24"/>
          <w:szCs w:val="24"/>
        </w:rPr>
        <w:t xml:space="preserve"> through cross-examination</w:t>
      </w:r>
      <w:r w:rsidR="00873C62" w:rsidRPr="00B000B3">
        <w:rPr>
          <w:sz w:val="24"/>
          <w:szCs w:val="24"/>
        </w:rPr>
        <w:t xml:space="preserve">.  </w:t>
      </w:r>
      <w:r w:rsidR="00BD334C" w:rsidRPr="00B000B3">
        <w:rPr>
          <w:sz w:val="24"/>
          <w:szCs w:val="24"/>
        </w:rPr>
        <w:t>Whether a</w:t>
      </w:r>
      <w:r w:rsidR="00DB0E6F" w:rsidRPr="00B000B3">
        <w:rPr>
          <w:sz w:val="24"/>
          <w:szCs w:val="24"/>
        </w:rPr>
        <w:t>n</w:t>
      </w:r>
      <w:r w:rsidR="00BD334C" w:rsidRPr="00B000B3">
        <w:rPr>
          <w:sz w:val="24"/>
          <w:szCs w:val="24"/>
        </w:rPr>
        <w:t xml:space="preserve"> examination will be held will principally depend on the nature of the investigation and whether a less intrusive mode of obtaining information, such as an interview or obtaining a statement will be effective.  </w:t>
      </w:r>
      <w:r w:rsidR="00917237" w:rsidRPr="00B000B3">
        <w:rPr>
          <w:sz w:val="24"/>
          <w:szCs w:val="24"/>
        </w:rPr>
        <w:t>Different modes of information gathering are not mutually exclusive.  Cases vary so widely that more precise guidelines</w:t>
      </w:r>
      <w:r w:rsidR="00DB0E6F" w:rsidRPr="00B000B3">
        <w:rPr>
          <w:sz w:val="24"/>
          <w:szCs w:val="24"/>
        </w:rPr>
        <w:t xml:space="preserve"> as to when an examination will be held</w:t>
      </w:r>
      <w:r w:rsidR="00917237" w:rsidRPr="00B000B3">
        <w:rPr>
          <w:sz w:val="24"/>
          <w:szCs w:val="24"/>
        </w:rPr>
        <w:t xml:space="preserve"> cannot usefully be provided.</w:t>
      </w:r>
    </w:p>
    <w:p w14:paraId="44FA5F20" w14:textId="30979FD2" w:rsidR="00685BF9" w:rsidRPr="003F5BF2" w:rsidRDefault="003F5BF2" w:rsidP="003F5BF2">
      <w:pPr>
        <w:ind w:left="426" w:hanging="426"/>
        <w:jc w:val="both"/>
        <w:rPr>
          <w:sz w:val="24"/>
          <w:szCs w:val="24"/>
        </w:rPr>
      </w:pPr>
      <w:r>
        <w:rPr>
          <w:sz w:val="24"/>
          <w:szCs w:val="24"/>
        </w:rPr>
        <w:t>3.2</w:t>
      </w:r>
      <w:r>
        <w:rPr>
          <w:sz w:val="24"/>
          <w:szCs w:val="24"/>
        </w:rPr>
        <w:tab/>
      </w:r>
      <w:r w:rsidR="00B577EC" w:rsidRPr="00B000B3">
        <w:rPr>
          <w:sz w:val="24"/>
          <w:szCs w:val="24"/>
        </w:rPr>
        <w:t xml:space="preserve">The human rights the Commission is required </w:t>
      </w:r>
      <w:r w:rsidR="00B743EE">
        <w:rPr>
          <w:sz w:val="24"/>
          <w:szCs w:val="24"/>
        </w:rPr>
        <w:t>to not</w:t>
      </w:r>
      <w:r w:rsidR="00B577EC" w:rsidRPr="00B000B3">
        <w:rPr>
          <w:sz w:val="24"/>
          <w:szCs w:val="24"/>
        </w:rPr>
        <w:t xml:space="preserve"> unreasonably infringe will most often be those of the witness, but this will not always be the case.  The human rights of a person who might be affected by the publicity given to the evidence must also be considered.</w:t>
      </w:r>
      <w:r w:rsidR="00917237" w:rsidRPr="00B000B3">
        <w:rPr>
          <w:sz w:val="24"/>
          <w:szCs w:val="24"/>
        </w:rPr>
        <w:t xml:space="preserve">  </w:t>
      </w:r>
      <w:r w:rsidR="00B000B3" w:rsidRPr="00B000B3">
        <w:rPr>
          <w:sz w:val="24"/>
          <w:szCs w:val="24"/>
        </w:rPr>
        <w:t xml:space="preserve"> </w:t>
      </w:r>
    </w:p>
    <w:p w14:paraId="34AD2F5B" w14:textId="46E05A80" w:rsidR="00A90887" w:rsidRPr="00B000B3" w:rsidRDefault="003409D5" w:rsidP="00242C36">
      <w:pPr>
        <w:spacing w:after="0" w:line="240" w:lineRule="auto"/>
        <w:ind w:left="426" w:hanging="426"/>
        <w:jc w:val="both"/>
        <w:rPr>
          <w:rFonts w:cstheme="minorHAnsi"/>
          <w:sz w:val="24"/>
          <w:szCs w:val="24"/>
        </w:rPr>
      </w:pPr>
      <w:r w:rsidRPr="00E06771">
        <w:rPr>
          <w:rFonts w:cstheme="minorHAnsi"/>
          <w:sz w:val="24"/>
          <w:szCs w:val="24"/>
        </w:rPr>
        <w:t>3.</w:t>
      </w:r>
      <w:r w:rsidR="003F5BF2">
        <w:rPr>
          <w:rFonts w:cstheme="minorHAnsi"/>
          <w:sz w:val="24"/>
          <w:szCs w:val="24"/>
        </w:rPr>
        <w:t>3</w:t>
      </w:r>
      <w:r w:rsidRPr="00E06771">
        <w:rPr>
          <w:rFonts w:cstheme="minorHAnsi"/>
          <w:sz w:val="24"/>
          <w:szCs w:val="24"/>
        </w:rPr>
        <w:tab/>
      </w:r>
      <w:r w:rsidR="00685BF9" w:rsidRPr="00E06771">
        <w:rPr>
          <w:rFonts w:cstheme="minorHAnsi"/>
          <w:sz w:val="24"/>
          <w:szCs w:val="24"/>
        </w:rPr>
        <w:t xml:space="preserve">A public </w:t>
      </w:r>
      <w:r w:rsidRPr="00E06771">
        <w:rPr>
          <w:rFonts w:cstheme="minorHAnsi"/>
          <w:sz w:val="24"/>
          <w:szCs w:val="24"/>
        </w:rPr>
        <w:t>examination</w:t>
      </w:r>
      <w:r w:rsidR="00685BF9" w:rsidRPr="00E06771">
        <w:rPr>
          <w:rFonts w:cstheme="minorHAnsi"/>
          <w:sz w:val="24"/>
          <w:szCs w:val="24"/>
        </w:rPr>
        <w:t xml:space="preserve"> is </w:t>
      </w:r>
      <w:r w:rsidRPr="00E06771">
        <w:rPr>
          <w:rFonts w:cstheme="minorHAnsi"/>
          <w:sz w:val="24"/>
          <w:szCs w:val="24"/>
        </w:rPr>
        <w:t>open to</w:t>
      </w:r>
      <w:r w:rsidR="00490AC9">
        <w:rPr>
          <w:rFonts w:cstheme="minorHAnsi"/>
          <w:sz w:val="24"/>
          <w:szCs w:val="24"/>
        </w:rPr>
        <w:t xml:space="preserve"> the</w:t>
      </w:r>
      <w:r w:rsidRPr="00E06771">
        <w:rPr>
          <w:rFonts w:cstheme="minorHAnsi"/>
          <w:sz w:val="24"/>
          <w:szCs w:val="24"/>
        </w:rPr>
        <w:t xml:space="preserve"> </w:t>
      </w:r>
      <w:r w:rsidR="00685BF9" w:rsidRPr="00E06771">
        <w:rPr>
          <w:rFonts w:cstheme="minorHAnsi"/>
          <w:sz w:val="24"/>
          <w:szCs w:val="24"/>
        </w:rPr>
        <w:t xml:space="preserve">public but the Commission may determine to hold part of the </w:t>
      </w:r>
      <w:r w:rsidRPr="00E06771">
        <w:rPr>
          <w:rFonts w:cstheme="minorHAnsi"/>
          <w:sz w:val="24"/>
          <w:szCs w:val="24"/>
        </w:rPr>
        <w:t>examination</w:t>
      </w:r>
      <w:r w:rsidR="00685BF9" w:rsidRPr="00E06771">
        <w:rPr>
          <w:rFonts w:cstheme="minorHAnsi"/>
          <w:sz w:val="24"/>
          <w:szCs w:val="24"/>
        </w:rPr>
        <w:t xml:space="preserve"> in private if it considers that to do so is in the public interest.</w:t>
      </w:r>
      <w:r w:rsidR="00685BF9" w:rsidRPr="00E06771">
        <w:rPr>
          <w:rStyle w:val="FootnoteReference"/>
          <w:rFonts w:cstheme="minorHAnsi"/>
          <w:sz w:val="24"/>
          <w:szCs w:val="24"/>
        </w:rPr>
        <w:footnoteReference w:id="9"/>
      </w:r>
      <w:r w:rsidR="00A90887" w:rsidRPr="00B000B3">
        <w:rPr>
          <w:rFonts w:cstheme="minorHAnsi"/>
          <w:sz w:val="24"/>
          <w:szCs w:val="24"/>
        </w:rPr>
        <w:t>In some public examinations, a witness’ identity may</w:t>
      </w:r>
      <w:r w:rsidR="00E301D2" w:rsidRPr="00B000B3">
        <w:rPr>
          <w:rFonts w:cstheme="minorHAnsi"/>
          <w:sz w:val="24"/>
          <w:szCs w:val="24"/>
        </w:rPr>
        <w:t xml:space="preserve"> nevertheless</w:t>
      </w:r>
      <w:r w:rsidR="00A90887" w:rsidRPr="00B000B3">
        <w:rPr>
          <w:rFonts w:cstheme="minorHAnsi"/>
          <w:sz w:val="24"/>
          <w:szCs w:val="24"/>
        </w:rPr>
        <w:t xml:space="preserve"> be ano</w:t>
      </w:r>
      <w:r w:rsidR="00E301D2" w:rsidRPr="00B000B3">
        <w:rPr>
          <w:rFonts w:cstheme="minorHAnsi"/>
          <w:sz w:val="24"/>
          <w:szCs w:val="24"/>
        </w:rPr>
        <w:t>n</w:t>
      </w:r>
      <w:r w:rsidR="00A90887" w:rsidRPr="00B000B3">
        <w:rPr>
          <w:rFonts w:cstheme="minorHAnsi"/>
          <w:sz w:val="24"/>
          <w:szCs w:val="24"/>
        </w:rPr>
        <w:t xml:space="preserve">ymised and other steps taken </w:t>
      </w:r>
      <w:r w:rsidR="00E301D2" w:rsidRPr="00B000B3">
        <w:rPr>
          <w:rFonts w:cstheme="minorHAnsi"/>
          <w:sz w:val="24"/>
          <w:szCs w:val="24"/>
        </w:rPr>
        <w:t>to safeguard their privacy.  This might happen where, for example, it is in the public interest to hold the examination in public because of the nature of the issues being investigated or to demonstrate to the public that, in the particular case, the powers of the Commission are appropriately exercised</w:t>
      </w:r>
      <w:r w:rsidR="00DB0E6F" w:rsidRPr="00B000B3">
        <w:rPr>
          <w:rFonts w:cstheme="minorHAnsi"/>
          <w:sz w:val="24"/>
          <w:szCs w:val="24"/>
        </w:rPr>
        <w:t>,</w:t>
      </w:r>
      <w:r w:rsidR="00E301D2" w:rsidRPr="00B000B3">
        <w:rPr>
          <w:rFonts w:cstheme="minorHAnsi"/>
          <w:sz w:val="24"/>
          <w:szCs w:val="24"/>
        </w:rPr>
        <w:t xml:space="preserve"> whilst ensuring the witness’ or some other person’s human rights are not unreasonably infringed.</w:t>
      </w:r>
      <w:r w:rsidR="00B577EC" w:rsidRPr="00B000B3">
        <w:rPr>
          <w:rFonts w:cstheme="minorHAnsi"/>
          <w:sz w:val="24"/>
          <w:szCs w:val="24"/>
        </w:rPr>
        <w:t xml:space="preserve">  </w:t>
      </w:r>
    </w:p>
    <w:p w14:paraId="2A594270" w14:textId="77777777" w:rsidR="00A90887" w:rsidRDefault="00A90887" w:rsidP="00242C36">
      <w:pPr>
        <w:spacing w:after="0" w:line="240" w:lineRule="auto"/>
        <w:ind w:left="426" w:hanging="426"/>
        <w:jc w:val="both"/>
        <w:rPr>
          <w:rFonts w:cstheme="minorHAnsi"/>
          <w:sz w:val="24"/>
          <w:szCs w:val="24"/>
        </w:rPr>
      </w:pPr>
    </w:p>
    <w:p w14:paraId="6C0FB2DD" w14:textId="24493B81" w:rsidR="00A90887" w:rsidRPr="00ED14B1" w:rsidRDefault="00B000B3" w:rsidP="00242C36">
      <w:pPr>
        <w:spacing w:after="0" w:line="240" w:lineRule="auto"/>
        <w:ind w:left="426" w:hanging="426"/>
        <w:jc w:val="both"/>
        <w:rPr>
          <w:rFonts w:cstheme="minorHAnsi"/>
          <w:b/>
          <w:bCs/>
          <w:sz w:val="24"/>
          <w:szCs w:val="24"/>
        </w:rPr>
      </w:pPr>
      <w:r w:rsidRPr="00B000B3">
        <w:rPr>
          <w:rFonts w:cstheme="minorHAnsi"/>
          <w:sz w:val="24"/>
          <w:szCs w:val="24"/>
        </w:rPr>
        <w:t>3.</w:t>
      </w:r>
      <w:r w:rsidR="003F5BF2">
        <w:rPr>
          <w:rFonts w:cstheme="minorHAnsi"/>
          <w:sz w:val="24"/>
          <w:szCs w:val="24"/>
        </w:rPr>
        <w:t>4</w:t>
      </w:r>
      <w:r w:rsidRPr="00B000B3">
        <w:rPr>
          <w:rFonts w:cstheme="minorHAnsi"/>
          <w:sz w:val="24"/>
          <w:szCs w:val="24"/>
        </w:rPr>
        <w:tab/>
      </w:r>
      <w:r w:rsidR="00DB0E6F" w:rsidRPr="00B000B3">
        <w:rPr>
          <w:rFonts w:cstheme="minorHAnsi"/>
          <w:sz w:val="24"/>
          <w:szCs w:val="24"/>
        </w:rPr>
        <w:t xml:space="preserve">At the conclusion of an investigation the Commission is likely to require Counsel Assisting to make submissions to assist the Commission in the preparation of its Report.  The interested parties, particularly, those who may be subjected adverse comment, will be invited to respond.  These submissions will be in writing in the first </w:t>
      </w:r>
      <w:r w:rsidR="001246C9" w:rsidRPr="00B000B3">
        <w:rPr>
          <w:rFonts w:cstheme="minorHAnsi"/>
          <w:sz w:val="24"/>
          <w:szCs w:val="24"/>
        </w:rPr>
        <w:t>instance,</w:t>
      </w:r>
      <w:r w:rsidR="00DB0E6F" w:rsidRPr="00B000B3">
        <w:rPr>
          <w:rFonts w:cstheme="minorHAnsi"/>
          <w:sz w:val="24"/>
          <w:szCs w:val="24"/>
        </w:rPr>
        <w:t xml:space="preserve"> but the Commissioner </w:t>
      </w:r>
      <w:r>
        <w:rPr>
          <w:rFonts w:cstheme="minorHAnsi"/>
          <w:sz w:val="24"/>
          <w:szCs w:val="24"/>
        </w:rPr>
        <w:t>may</w:t>
      </w:r>
      <w:r w:rsidR="00DB0E6F" w:rsidRPr="00B000B3">
        <w:rPr>
          <w:rFonts w:cstheme="minorHAnsi"/>
          <w:sz w:val="24"/>
          <w:szCs w:val="24"/>
        </w:rPr>
        <w:t xml:space="preserve"> also require oral submissions</w:t>
      </w:r>
      <w:r w:rsidR="007E03B6" w:rsidRPr="00B000B3">
        <w:rPr>
          <w:rFonts w:cstheme="minorHAnsi"/>
          <w:sz w:val="24"/>
          <w:szCs w:val="24"/>
        </w:rPr>
        <w:t xml:space="preserve"> where the facts or proposed outcomes are controversial.  Even where public examinations have been held, submissions will usually be made in private to safeguard privacy.</w:t>
      </w:r>
      <w:r w:rsidR="007E03B6">
        <w:rPr>
          <w:rFonts w:cstheme="minorHAnsi"/>
          <w:b/>
          <w:bCs/>
          <w:sz w:val="24"/>
          <w:szCs w:val="24"/>
        </w:rPr>
        <w:t xml:space="preserve">  </w:t>
      </w:r>
      <w:r w:rsidR="00685BF9" w:rsidRPr="00E06771">
        <w:rPr>
          <w:rFonts w:cstheme="minorHAnsi"/>
          <w:sz w:val="24"/>
          <w:szCs w:val="24"/>
        </w:rPr>
        <w:t xml:space="preserve"> </w:t>
      </w:r>
    </w:p>
    <w:p w14:paraId="209CBE9C" w14:textId="77777777" w:rsidR="003409D5" w:rsidRPr="00E06771" w:rsidRDefault="003409D5" w:rsidP="00242C36">
      <w:pPr>
        <w:spacing w:after="0" w:line="240" w:lineRule="auto"/>
        <w:ind w:left="426" w:hanging="426"/>
        <w:jc w:val="both"/>
        <w:rPr>
          <w:rFonts w:cstheme="minorHAnsi"/>
          <w:sz w:val="24"/>
          <w:szCs w:val="24"/>
        </w:rPr>
      </w:pPr>
    </w:p>
    <w:p w14:paraId="25542E0C" w14:textId="4E9B60FF" w:rsidR="00685BF9" w:rsidRDefault="003409D5" w:rsidP="001246C9">
      <w:pPr>
        <w:keepNext/>
        <w:spacing w:after="0" w:line="240" w:lineRule="auto"/>
        <w:ind w:left="426" w:hanging="426"/>
        <w:jc w:val="both"/>
        <w:rPr>
          <w:rFonts w:cstheme="minorHAnsi"/>
          <w:sz w:val="24"/>
          <w:szCs w:val="24"/>
        </w:rPr>
      </w:pPr>
      <w:r w:rsidRPr="00E06771">
        <w:rPr>
          <w:rFonts w:cstheme="minorHAnsi"/>
          <w:sz w:val="24"/>
          <w:szCs w:val="24"/>
        </w:rPr>
        <w:lastRenderedPageBreak/>
        <w:t>3.</w:t>
      </w:r>
      <w:r w:rsidR="003F5BF2">
        <w:rPr>
          <w:rFonts w:cstheme="minorHAnsi"/>
          <w:sz w:val="24"/>
          <w:szCs w:val="24"/>
        </w:rPr>
        <w:t>5</w:t>
      </w:r>
      <w:r w:rsidRPr="00E06771">
        <w:rPr>
          <w:rFonts w:cstheme="minorHAnsi"/>
          <w:sz w:val="24"/>
          <w:szCs w:val="24"/>
        </w:rPr>
        <w:tab/>
      </w:r>
      <w:r w:rsidR="00685BF9" w:rsidRPr="00E06771">
        <w:rPr>
          <w:rFonts w:cstheme="minorHAnsi"/>
          <w:sz w:val="24"/>
          <w:szCs w:val="24"/>
        </w:rPr>
        <w:t xml:space="preserve">Considerations relevant to </w:t>
      </w:r>
      <w:r w:rsidR="00C75B80">
        <w:rPr>
          <w:rFonts w:cstheme="minorHAnsi"/>
          <w:sz w:val="24"/>
          <w:szCs w:val="24"/>
        </w:rPr>
        <w:t xml:space="preserve">the Commission’s decision about </w:t>
      </w:r>
      <w:r w:rsidRPr="00E06771">
        <w:rPr>
          <w:rFonts w:cstheme="minorHAnsi"/>
          <w:sz w:val="24"/>
          <w:szCs w:val="24"/>
        </w:rPr>
        <w:t>whether it is in the public interest to hold a public examination</w:t>
      </w:r>
      <w:r w:rsidR="00B01B93" w:rsidRPr="00E06771">
        <w:rPr>
          <w:rFonts w:cstheme="minorHAnsi"/>
          <w:sz w:val="24"/>
          <w:szCs w:val="24"/>
        </w:rPr>
        <w:t xml:space="preserve"> </w:t>
      </w:r>
      <w:r w:rsidR="00685BF9" w:rsidRPr="00E06771">
        <w:rPr>
          <w:rFonts w:cstheme="minorHAnsi"/>
          <w:sz w:val="24"/>
          <w:szCs w:val="24"/>
        </w:rPr>
        <w:t>include:</w:t>
      </w:r>
    </w:p>
    <w:p w14:paraId="575FCB78" w14:textId="77777777" w:rsidR="001246C9" w:rsidRDefault="001246C9" w:rsidP="001246C9">
      <w:pPr>
        <w:pStyle w:val="ListParagraph"/>
        <w:keepNext/>
        <w:spacing w:after="0" w:line="240" w:lineRule="auto"/>
        <w:ind w:left="1145"/>
        <w:jc w:val="both"/>
        <w:rPr>
          <w:rFonts w:cstheme="minorHAnsi"/>
          <w:sz w:val="24"/>
          <w:szCs w:val="24"/>
        </w:rPr>
      </w:pPr>
    </w:p>
    <w:p w14:paraId="200709E2" w14:textId="6BA295F5" w:rsidR="00B01B93" w:rsidRPr="001246C9" w:rsidRDefault="00B01B93" w:rsidP="001246C9">
      <w:pPr>
        <w:pStyle w:val="ListParagraph"/>
        <w:keepNext/>
        <w:numPr>
          <w:ilvl w:val="0"/>
          <w:numId w:val="7"/>
        </w:numPr>
        <w:spacing w:after="0" w:line="240" w:lineRule="auto"/>
        <w:ind w:left="1145" w:hanging="357"/>
        <w:jc w:val="both"/>
        <w:rPr>
          <w:rFonts w:cstheme="minorHAnsi"/>
          <w:sz w:val="24"/>
          <w:szCs w:val="24"/>
        </w:rPr>
      </w:pPr>
      <w:r w:rsidRPr="001246C9">
        <w:rPr>
          <w:rFonts w:cstheme="minorHAnsi"/>
          <w:sz w:val="24"/>
          <w:szCs w:val="24"/>
        </w:rPr>
        <w:t>whether the</w:t>
      </w:r>
      <w:r w:rsidR="00490AC9" w:rsidRPr="001246C9">
        <w:rPr>
          <w:rFonts w:cstheme="minorHAnsi"/>
          <w:sz w:val="24"/>
          <w:szCs w:val="24"/>
        </w:rPr>
        <w:t xml:space="preserve"> conduct under</w:t>
      </w:r>
      <w:r w:rsidRPr="001246C9">
        <w:rPr>
          <w:rFonts w:cstheme="minorHAnsi"/>
          <w:sz w:val="24"/>
          <w:szCs w:val="24"/>
        </w:rPr>
        <w:t xml:space="preserve"> investigation </w:t>
      </w:r>
      <w:r w:rsidR="00490AC9" w:rsidRPr="001246C9">
        <w:rPr>
          <w:rFonts w:cstheme="minorHAnsi"/>
          <w:sz w:val="24"/>
          <w:szCs w:val="24"/>
        </w:rPr>
        <w:t>is</w:t>
      </w:r>
      <w:r w:rsidRPr="001246C9">
        <w:rPr>
          <w:rFonts w:cstheme="minorHAnsi"/>
          <w:sz w:val="24"/>
          <w:szCs w:val="24"/>
        </w:rPr>
        <w:t xml:space="preserve"> an isolated incident or systemic in nature;</w:t>
      </w:r>
    </w:p>
    <w:p w14:paraId="297752C2" w14:textId="34174859" w:rsidR="00685BF9" w:rsidRPr="00E06771" w:rsidRDefault="00685BF9" w:rsidP="001246C9">
      <w:pPr>
        <w:pStyle w:val="ListParagraph"/>
        <w:keepNext/>
        <w:numPr>
          <w:ilvl w:val="0"/>
          <w:numId w:val="7"/>
        </w:numPr>
        <w:spacing w:after="0" w:line="240" w:lineRule="auto"/>
        <w:ind w:left="1145" w:hanging="357"/>
        <w:jc w:val="both"/>
        <w:rPr>
          <w:rFonts w:cstheme="minorHAnsi"/>
          <w:sz w:val="24"/>
          <w:szCs w:val="24"/>
        </w:rPr>
      </w:pPr>
      <w:r w:rsidRPr="00E06771">
        <w:rPr>
          <w:rFonts w:cstheme="minorHAnsi"/>
          <w:sz w:val="24"/>
          <w:szCs w:val="24"/>
        </w:rPr>
        <w:t xml:space="preserve">whether public exposure would be </w:t>
      </w:r>
      <w:r w:rsidR="00275DBE" w:rsidRPr="00B000B3">
        <w:rPr>
          <w:rFonts w:cstheme="minorHAnsi"/>
          <w:sz w:val="24"/>
          <w:szCs w:val="24"/>
        </w:rPr>
        <w:t>apt</w:t>
      </w:r>
      <w:r w:rsidRPr="00E06771">
        <w:rPr>
          <w:rFonts w:cstheme="minorHAnsi"/>
          <w:sz w:val="24"/>
          <w:szCs w:val="24"/>
        </w:rPr>
        <w:t xml:space="preserve"> to:</w:t>
      </w:r>
    </w:p>
    <w:p w14:paraId="61AEB27E" w14:textId="77777777" w:rsidR="00685BF9" w:rsidRPr="00E06771"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educate the public about serious corruption or systemic failures and issues;</w:t>
      </w:r>
    </w:p>
    <w:p w14:paraId="060279B2" w14:textId="0769B085" w:rsidR="00685BF9" w:rsidRPr="00E06771"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encourage others to come forward with information relevant to the investigation;</w:t>
      </w:r>
      <w:r w:rsidR="00490AC9">
        <w:rPr>
          <w:rFonts w:cstheme="minorHAnsi"/>
          <w:sz w:val="24"/>
          <w:szCs w:val="24"/>
        </w:rPr>
        <w:t xml:space="preserve"> </w:t>
      </w:r>
    </w:p>
    <w:p w14:paraId="2803670D" w14:textId="3786372B" w:rsidR="00685BF9" w:rsidRPr="00B000B3"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encourage public agencies to engage in reform and/or establish public understanding of why change is necessary</w:t>
      </w:r>
      <w:r w:rsidRPr="00B000B3">
        <w:rPr>
          <w:rFonts w:cstheme="minorHAnsi"/>
          <w:sz w:val="24"/>
          <w:szCs w:val="24"/>
        </w:rPr>
        <w:t>;</w:t>
      </w:r>
      <w:r w:rsidR="00275DBE" w:rsidRPr="00B000B3">
        <w:rPr>
          <w:rFonts w:cstheme="minorHAnsi"/>
          <w:sz w:val="24"/>
          <w:szCs w:val="24"/>
        </w:rPr>
        <w:t xml:space="preserve"> or</w:t>
      </w:r>
    </w:p>
    <w:p w14:paraId="228D50B1" w14:textId="1AB12E5A" w:rsidR="00275DBE" w:rsidRPr="00B000B3" w:rsidRDefault="00A7552D" w:rsidP="00242C36">
      <w:pPr>
        <w:pStyle w:val="ListParagraph"/>
        <w:numPr>
          <w:ilvl w:val="1"/>
          <w:numId w:val="7"/>
        </w:numPr>
        <w:spacing w:after="0" w:line="240" w:lineRule="auto"/>
        <w:jc w:val="both"/>
        <w:rPr>
          <w:rFonts w:cstheme="minorHAnsi"/>
          <w:sz w:val="24"/>
          <w:szCs w:val="24"/>
        </w:rPr>
      </w:pPr>
      <w:r w:rsidRPr="00B000B3">
        <w:rPr>
          <w:rFonts w:cstheme="minorHAnsi"/>
          <w:sz w:val="24"/>
          <w:szCs w:val="24"/>
        </w:rPr>
        <w:t>give</w:t>
      </w:r>
      <w:r w:rsidR="00275DBE" w:rsidRPr="00B000B3">
        <w:rPr>
          <w:rFonts w:cstheme="minorHAnsi"/>
          <w:sz w:val="24"/>
          <w:szCs w:val="24"/>
        </w:rPr>
        <w:t xml:space="preserve"> transparency</w:t>
      </w:r>
      <w:r w:rsidRPr="00B000B3">
        <w:rPr>
          <w:rFonts w:cstheme="minorHAnsi"/>
          <w:sz w:val="24"/>
          <w:szCs w:val="24"/>
        </w:rPr>
        <w:t xml:space="preserve"> to</w:t>
      </w:r>
      <w:r w:rsidR="00275DBE" w:rsidRPr="00B000B3">
        <w:rPr>
          <w:rFonts w:cstheme="minorHAnsi"/>
          <w:sz w:val="24"/>
          <w:szCs w:val="24"/>
        </w:rPr>
        <w:t xml:space="preserve"> and accountability</w:t>
      </w:r>
      <w:r w:rsidRPr="00B000B3">
        <w:rPr>
          <w:rFonts w:cstheme="minorHAnsi"/>
          <w:sz w:val="24"/>
          <w:szCs w:val="24"/>
        </w:rPr>
        <w:t xml:space="preserve"> for</w:t>
      </w:r>
      <w:r w:rsidR="00275DBE" w:rsidRPr="00B000B3">
        <w:rPr>
          <w:rFonts w:cstheme="minorHAnsi"/>
          <w:sz w:val="24"/>
          <w:szCs w:val="24"/>
        </w:rPr>
        <w:t xml:space="preserve"> the Commission’s use of its </w:t>
      </w:r>
      <w:r w:rsidR="007E03B6" w:rsidRPr="00B000B3">
        <w:rPr>
          <w:rFonts w:cstheme="minorHAnsi"/>
          <w:sz w:val="24"/>
          <w:szCs w:val="24"/>
        </w:rPr>
        <w:t>power to</w:t>
      </w:r>
      <w:r w:rsidR="00275DBE" w:rsidRPr="00B000B3">
        <w:rPr>
          <w:rFonts w:cstheme="minorHAnsi"/>
          <w:sz w:val="24"/>
          <w:szCs w:val="24"/>
        </w:rPr>
        <w:t xml:space="preserve"> conduct examinations;</w:t>
      </w:r>
    </w:p>
    <w:p w14:paraId="259518D8" w14:textId="77777777" w:rsidR="00685BF9" w:rsidRPr="00E06771" w:rsidRDefault="00685BF9" w:rsidP="00242C36">
      <w:pPr>
        <w:pStyle w:val="ListParagraph"/>
        <w:numPr>
          <w:ilvl w:val="0"/>
          <w:numId w:val="7"/>
        </w:numPr>
        <w:spacing w:after="0" w:line="240" w:lineRule="auto"/>
        <w:jc w:val="both"/>
        <w:rPr>
          <w:rFonts w:cstheme="minorHAnsi"/>
          <w:sz w:val="24"/>
          <w:szCs w:val="24"/>
        </w:rPr>
      </w:pPr>
      <w:r w:rsidRPr="00E06771">
        <w:rPr>
          <w:rFonts w:cstheme="minorHAnsi"/>
          <w:sz w:val="24"/>
          <w:szCs w:val="24"/>
        </w:rPr>
        <w:t>the seriousness and nature of the conduct alleged, for example:</w:t>
      </w:r>
    </w:p>
    <w:p w14:paraId="63E6D602" w14:textId="77777777" w:rsidR="00685BF9" w:rsidRPr="00E06771"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whether the conduct involves a criminal offence/s;</w:t>
      </w:r>
    </w:p>
    <w:p w14:paraId="29ACE5C4" w14:textId="77777777" w:rsidR="00685BF9" w:rsidRPr="00E06771"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the seniority or standing of the public official/s involved;</w:t>
      </w:r>
    </w:p>
    <w:p w14:paraId="68F75E47" w14:textId="0A51B813" w:rsidR="00685BF9" w:rsidRPr="00E06771"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the level of sophistication, organisation and planning</w:t>
      </w:r>
      <w:r w:rsidR="00490AC9">
        <w:rPr>
          <w:rFonts w:cstheme="minorHAnsi"/>
          <w:sz w:val="24"/>
          <w:szCs w:val="24"/>
        </w:rPr>
        <w:t xml:space="preserve"> involved</w:t>
      </w:r>
      <w:r w:rsidRPr="00E06771">
        <w:rPr>
          <w:rFonts w:cstheme="minorHAnsi"/>
          <w:sz w:val="24"/>
          <w:szCs w:val="24"/>
        </w:rPr>
        <w:t>;</w:t>
      </w:r>
      <w:r w:rsidR="00490AC9">
        <w:rPr>
          <w:rFonts w:cstheme="minorHAnsi"/>
          <w:sz w:val="24"/>
          <w:szCs w:val="24"/>
        </w:rPr>
        <w:t xml:space="preserve"> </w:t>
      </w:r>
      <w:r w:rsidR="00242C36">
        <w:rPr>
          <w:rFonts w:cstheme="minorHAnsi"/>
          <w:sz w:val="24"/>
          <w:szCs w:val="24"/>
        </w:rPr>
        <w:t>and</w:t>
      </w:r>
    </w:p>
    <w:p w14:paraId="74E8ADF8" w14:textId="77777777" w:rsidR="00685BF9" w:rsidRPr="00E06771"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the number of persons involved and whether the alleged conduct is systemic;</w:t>
      </w:r>
    </w:p>
    <w:p w14:paraId="1D66FDAE" w14:textId="29BAB127" w:rsidR="00685BF9" w:rsidRPr="00E06771" w:rsidRDefault="00685BF9" w:rsidP="00242C36">
      <w:pPr>
        <w:pStyle w:val="ListParagraph"/>
        <w:numPr>
          <w:ilvl w:val="0"/>
          <w:numId w:val="7"/>
        </w:numPr>
        <w:spacing w:after="0" w:line="240" w:lineRule="auto"/>
        <w:jc w:val="both"/>
        <w:rPr>
          <w:rFonts w:cstheme="minorHAnsi"/>
          <w:sz w:val="24"/>
          <w:szCs w:val="24"/>
        </w:rPr>
      </w:pPr>
      <w:r w:rsidRPr="00E06771">
        <w:rPr>
          <w:rFonts w:cstheme="minorHAnsi"/>
          <w:sz w:val="24"/>
          <w:szCs w:val="24"/>
        </w:rPr>
        <w:t xml:space="preserve">whether the allegations are already in the public domain and the public </w:t>
      </w:r>
      <w:r w:rsidR="003409D5" w:rsidRPr="00E06771">
        <w:rPr>
          <w:rFonts w:cstheme="minorHAnsi"/>
          <w:sz w:val="24"/>
          <w:szCs w:val="24"/>
        </w:rPr>
        <w:t>examination</w:t>
      </w:r>
      <w:r w:rsidRPr="00E06771">
        <w:rPr>
          <w:rFonts w:cstheme="minorHAnsi"/>
          <w:sz w:val="24"/>
          <w:szCs w:val="24"/>
        </w:rPr>
        <w:t xml:space="preserve"> would:</w:t>
      </w:r>
    </w:p>
    <w:p w14:paraId="131EB5FC" w14:textId="61E40607" w:rsidR="00685BF9" w:rsidRPr="00E06771"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 xml:space="preserve">provide a transparent mechanism for public officials and others to be </w:t>
      </w:r>
      <w:r w:rsidR="00490AC9">
        <w:rPr>
          <w:rFonts w:cstheme="minorHAnsi"/>
          <w:sz w:val="24"/>
          <w:szCs w:val="24"/>
        </w:rPr>
        <w:t xml:space="preserve">made </w:t>
      </w:r>
      <w:r w:rsidRPr="00E06771">
        <w:rPr>
          <w:rFonts w:cstheme="minorHAnsi"/>
          <w:sz w:val="24"/>
          <w:szCs w:val="24"/>
        </w:rPr>
        <w:t>publicly accountable for their actions;</w:t>
      </w:r>
      <w:r w:rsidR="00490AC9">
        <w:rPr>
          <w:rFonts w:cstheme="minorHAnsi"/>
          <w:sz w:val="24"/>
          <w:szCs w:val="24"/>
        </w:rPr>
        <w:t xml:space="preserve"> </w:t>
      </w:r>
      <w:r w:rsidR="00242C36">
        <w:rPr>
          <w:rFonts w:cstheme="minorHAnsi"/>
          <w:sz w:val="24"/>
          <w:szCs w:val="24"/>
        </w:rPr>
        <w:t>and</w:t>
      </w:r>
    </w:p>
    <w:p w14:paraId="1C3839C0" w14:textId="77777777" w:rsidR="00685BF9" w:rsidRPr="00E06771" w:rsidRDefault="00685BF9" w:rsidP="00242C36">
      <w:pPr>
        <w:pStyle w:val="ListParagraph"/>
        <w:numPr>
          <w:ilvl w:val="1"/>
          <w:numId w:val="7"/>
        </w:numPr>
        <w:spacing w:after="0" w:line="240" w:lineRule="auto"/>
        <w:jc w:val="both"/>
        <w:rPr>
          <w:rFonts w:cstheme="minorHAnsi"/>
          <w:sz w:val="24"/>
          <w:szCs w:val="24"/>
        </w:rPr>
      </w:pPr>
      <w:r w:rsidRPr="00E06771">
        <w:rPr>
          <w:rFonts w:cstheme="minorHAnsi"/>
          <w:sz w:val="24"/>
          <w:szCs w:val="24"/>
        </w:rPr>
        <w:t>enable persons the subject of the allegations, including false accusations or innuendo, an opportunity to provide an account;</w:t>
      </w:r>
    </w:p>
    <w:p w14:paraId="340C2CE1" w14:textId="1355C691" w:rsidR="00685BF9" w:rsidRPr="00E06771" w:rsidRDefault="00685BF9" w:rsidP="00242C36">
      <w:pPr>
        <w:pStyle w:val="ListParagraph"/>
        <w:numPr>
          <w:ilvl w:val="0"/>
          <w:numId w:val="7"/>
        </w:numPr>
        <w:spacing w:after="0" w:line="240" w:lineRule="auto"/>
        <w:jc w:val="both"/>
        <w:rPr>
          <w:rFonts w:cstheme="minorHAnsi"/>
          <w:sz w:val="24"/>
          <w:szCs w:val="24"/>
        </w:rPr>
      </w:pPr>
      <w:r w:rsidRPr="00E06771">
        <w:rPr>
          <w:rFonts w:cstheme="minorHAnsi"/>
          <w:sz w:val="24"/>
          <w:szCs w:val="24"/>
        </w:rPr>
        <w:t xml:space="preserve">the </w:t>
      </w:r>
      <w:r w:rsidR="00A7552D" w:rsidRPr="00B000B3">
        <w:rPr>
          <w:rFonts w:cstheme="minorHAnsi"/>
          <w:sz w:val="24"/>
          <w:szCs w:val="24"/>
        </w:rPr>
        <w:t>public interest</w:t>
      </w:r>
      <w:r w:rsidR="00A7552D">
        <w:rPr>
          <w:rFonts w:cstheme="minorHAnsi"/>
          <w:b/>
          <w:bCs/>
          <w:sz w:val="24"/>
          <w:szCs w:val="24"/>
        </w:rPr>
        <w:t xml:space="preserve"> </w:t>
      </w:r>
      <w:r w:rsidR="00242C36">
        <w:rPr>
          <w:rFonts w:cstheme="minorHAnsi"/>
          <w:sz w:val="24"/>
          <w:szCs w:val="24"/>
        </w:rPr>
        <w:t xml:space="preserve">in </w:t>
      </w:r>
      <w:r w:rsidRPr="00E06771">
        <w:rPr>
          <w:rFonts w:cstheme="minorHAnsi"/>
          <w:sz w:val="24"/>
          <w:szCs w:val="24"/>
        </w:rPr>
        <w:t xml:space="preserve">protecting the privacy of persons who may be </w:t>
      </w:r>
      <w:r w:rsidR="00A7552D" w:rsidRPr="00B000B3">
        <w:rPr>
          <w:rFonts w:cstheme="minorHAnsi"/>
          <w:sz w:val="24"/>
          <w:szCs w:val="24"/>
        </w:rPr>
        <w:t>witnesses or</w:t>
      </w:r>
      <w:r w:rsidR="00A7552D">
        <w:rPr>
          <w:rFonts w:cstheme="minorHAnsi"/>
          <w:b/>
          <w:bCs/>
          <w:sz w:val="24"/>
          <w:szCs w:val="24"/>
        </w:rPr>
        <w:t xml:space="preserve"> </w:t>
      </w:r>
      <w:r w:rsidRPr="00E06771">
        <w:rPr>
          <w:rFonts w:cstheme="minorHAnsi"/>
          <w:sz w:val="24"/>
          <w:szCs w:val="24"/>
        </w:rPr>
        <w:t xml:space="preserve">mentioned in a public </w:t>
      </w:r>
      <w:r w:rsidR="003409D5" w:rsidRPr="00E06771">
        <w:rPr>
          <w:rFonts w:cstheme="minorHAnsi"/>
          <w:sz w:val="24"/>
          <w:szCs w:val="24"/>
        </w:rPr>
        <w:t>examination</w:t>
      </w:r>
      <w:r w:rsidR="00442603">
        <w:rPr>
          <w:rFonts w:cstheme="minorHAnsi"/>
          <w:sz w:val="24"/>
          <w:szCs w:val="24"/>
        </w:rPr>
        <w:t xml:space="preserve"> and whether a suppression order issued under s 154 would alleviate these concerns</w:t>
      </w:r>
      <w:r w:rsidRPr="00E06771">
        <w:rPr>
          <w:rFonts w:cstheme="minorHAnsi"/>
          <w:sz w:val="24"/>
          <w:szCs w:val="24"/>
        </w:rPr>
        <w:t>;</w:t>
      </w:r>
      <w:r w:rsidR="00490AC9">
        <w:rPr>
          <w:rFonts w:cstheme="minorHAnsi"/>
          <w:sz w:val="24"/>
          <w:szCs w:val="24"/>
        </w:rPr>
        <w:t xml:space="preserve"> </w:t>
      </w:r>
    </w:p>
    <w:p w14:paraId="35E7222D" w14:textId="0B67F916" w:rsidR="00A32FD8" w:rsidRDefault="00A32FD8" w:rsidP="00242C36">
      <w:pPr>
        <w:pStyle w:val="ListParagraph"/>
        <w:spacing w:after="0" w:line="240" w:lineRule="auto"/>
        <w:ind w:left="1146"/>
        <w:jc w:val="both"/>
        <w:rPr>
          <w:rFonts w:cstheme="minorHAnsi"/>
          <w:sz w:val="24"/>
          <w:szCs w:val="24"/>
        </w:rPr>
      </w:pPr>
    </w:p>
    <w:p w14:paraId="2ECB6AF4" w14:textId="1D5D9BD7" w:rsidR="001246C9" w:rsidRPr="00E06771" w:rsidRDefault="001246C9" w:rsidP="001246C9">
      <w:pPr>
        <w:spacing w:after="0" w:line="240" w:lineRule="auto"/>
        <w:ind w:left="426" w:hanging="426"/>
        <w:jc w:val="both"/>
        <w:rPr>
          <w:rFonts w:cstheme="minorHAnsi"/>
          <w:sz w:val="24"/>
          <w:szCs w:val="24"/>
        </w:rPr>
      </w:pPr>
      <w:r>
        <w:rPr>
          <w:rFonts w:cstheme="minorHAnsi"/>
          <w:sz w:val="24"/>
          <w:szCs w:val="24"/>
        </w:rPr>
        <w:t>3.</w:t>
      </w:r>
      <w:r w:rsidR="003F5BF2">
        <w:rPr>
          <w:rFonts w:cstheme="minorHAnsi"/>
          <w:sz w:val="24"/>
          <w:szCs w:val="24"/>
        </w:rPr>
        <w:t>6</w:t>
      </w:r>
      <w:r>
        <w:rPr>
          <w:rFonts w:cstheme="minorHAnsi"/>
          <w:sz w:val="24"/>
          <w:szCs w:val="24"/>
        </w:rPr>
        <w:t xml:space="preserve"> </w:t>
      </w:r>
      <w:r>
        <w:rPr>
          <w:rFonts w:cstheme="minorHAnsi"/>
          <w:sz w:val="24"/>
          <w:szCs w:val="24"/>
        </w:rPr>
        <w:tab/>
      </w:r>
      <w:r w:rsidRPr="00C073D9">
        <w:rPr>
          <w:rFonts w:cstheme="minorHAnsi"/>
          <w:sz w:val="24"/>
          <w:szCs w:val="24"/>
        </w:rPr>
        <w:t>Where the Commissioner has formed a preliminary view that a public examination should be conducted, the proposed witness and interested persons will, unless there is a risk that the integrity of an investigation might be compromised, be notified of the prospect and invited to make written submissions on whether a public examination should be conducted.  The Commissioner will take the submissions into account in determining whether the examination will be held in public.  In the normal course, the Commissioner’s reasons for the decision will be reduced to writing and provided to the interested persons.</w:t>
      </w:r>
      <w:r>
        <w:rPr>
          <w:rFonts w:cstheme="minorHAnsi"/>
          <w:b/>
          <w:bCs/>
          <w:sz w:val="24"/>
          <w:szCs w:val="24"/>
        </w:rPr>
        <w:t xml:space="preserve"> </w:t>
      </w:r>
    </w:p>
    <w:p w14:paraId="32944032" w14:textId="77777777" w:rsidR="00685BF9" w:rsidRPr="00E06771" w:rsidRDefault="00685BF9" w:rsidP="00242C36">
      <w:pPr>
        <w:spacing w:after="0" w:line="240" w:lineRule="auto"/>
        <w:ind w:left="426"/>
        <w:jc w:val="both"/>
        <w:rPr>
          <w:rFonts w:cstheme="minorHAnsi"/>
          <w:sz w:val="24"/>
          <w:szCs w:val="24"/>
        </w:rPr>
      </w:pPr>
    </w:p>
    <w:p w14:paraId="7C6F8E7C" w14:textId="413C1162" w:rsidR="00685BF9" w:rsidRPr="00E06771" w:rsidRDefault="00685BF9" w:rsidP="001246C9">
      <w:pPr>
        <w:keepNext/>
        <w:spacing w:after="0" w:line="240" w:lineRule="auto"/>
        <w:jc w:val="both"/>
        <w:rPr>
          <w:rFonts w:cstheme="minorHAnsi"/>
          <w:b/>
          <w:bCs/>
          <w:sz w:val="24"/>
          <w:szCs w:val="24"/>
        </w:rPr>
      </w:pPr>
      <w:r w:rsidRPr="00E06771">
        <w:rPr>
          <w:rFonts w:cstheme="minorHAnsi"/>
          <w:b/>
          <w:bCs/>
          <w:sz w:val="24"/>
          <w:szCs w:val="24"/>
        </w:rPr>
        <w:lastRenderedPageBreak/>
        <w:t xml:space="preserve">Public </w:t>
      </w:r>
      <w:r w:rsidR="0086578A">
        <w:rPr>
          <w:rFonts w:cstheme="minorHAnsi"/>
          <w:b/>
          <w:bCs/>
          <w:sz w:val="24"/>
          <w:szCs w:val="24"/>
        </w:rPr>
        <w:t>Examinations</w:t>
      </w:r>
      <w:r w:rsidRPr="00E06771">
        <w:rPr>
          <w:rFonts w:cstheme="minorHAnsi"/>
          <w:b/>
          <w:bCs/>
          <w:sz w:val="24"/>
          <w:szCs w:val="24"/>
        </w:rPr>
        <w:t xml:space="preserve"> – notification </w:t>
      </w:r>
      <w:r w:rsidR="00490AC9">
        <w:rPr>
          <w:rFonts w:cstheme="minorHAnsi"/>
          <w:b/>
          <w:bCs/>
          <w:sz w:val="24"/>
          <w:szCs w:val="24"/>
        </w:rPr>
        <w:t xml:space="preserve">to </w:t>
      </w:r>
      <w:r w:rsidRPr="00E06771">
        <w:rPr>
          <w:rFonts w:cstheme="minorHAnsi"/>
          <w:b/>
          <w:bCs/>
          <w:sz w:val="24"/>
          <w:szCs w:val="24"/>
        </w:rPr>
        <w:t>Inspector</w:t>
      </w:r>
    </w:p>
    <w:p w14:paraId="5EBA2075" w14:textId="77777777" w:rsidR="00685BF9" w:rsidRPr="00E06771" w:rsidRDefault="00685BF9" w:rsidP="001246C9">
      <w:pPr>
        <w:keepNext/>
        <w:spacing w:after="0" w:line="240" w:lineRule="auto"/>
        <w:ind w:left="426"/>
        <w:jc w:val="both"/>
        <w:rPr>
          <w:rFonts w:cstheme="minorHAnsi"/>
          <w:sz w:val="24"/>
          <w:szCs w:val="24"/>
        </w:rPr>
      </w:pPr>
    </w:p>
    <w:p w14:paraId="257C1A9F" w14:textId="78F001FF" w:rsidR="00685BF9" w:rsidRPr="00E06771" w:rsidRDefault="00E06771" w:rsidP="001246C9">
      <w:pPr>
        <w:keepNext/>
        <w:spacing w:after="0" w:line="240" w:lineRule="auto"/>
        <w:ind w:left="426" w:hanging="426"/>
        <w:jc w:val="both"/>
        <w:rPr>
          <w:rFonts w:cstheme="minorHAnsi"/>
          <w:sz w:val="24"/>
          <w:szCs w:val="24"/>
        </w:rPr>
      </w:pPr>
      <w:r w:rsidRPr="00E06771">
        <w:rPr>
          <w:rFonts w:cstheme="minorHAnsi"/>
          <w:sz w:val="24"/>
          <w:szCs w:val="24"/>
        </w:rPr>
        <w:t>3.</w:t>
      </w:r>
      <w:r w:rsidR="003F5BF2">
        <w:rPr>
          <w:rFonts w:cstheme="minorHAnsi"/>
          <w:sz w:val="24"/>
          <w:szCs w:val="24"/>
        </w:rPr>
        <w:t>7</w:t>
      </w:r>
      <w:r w:rsidR="001246C9">
        <w:rPr>
          <w:rFonts w:cstheme="minorHAnsi"/>
          <w:sz w:val="24"/>
          <w:szCs w:val="24"/>
        </w:rPr>
        <w:tab/>
      </w:r>
      <w:r w:rsidR="00685BF9" w:rsidRPr="00E06771">
        <w:rPr>
          <w:rFonts w:cstheme="minorHAnsi"/>
          <w:sz w:val="24"/>
          <w:szCs w:val="24"/>
        </w:rPr>
        <w:t>Section 144 requires the Commission to provide the Inspector with a written report not less than 7 days before the day of a public hearing</w:t>
      </w:r>
      <w:r w:rsidR="00490AC9">
        <w:rPr>
          <w:rFonts w:cstheme="minorHAnsi"/>
          <w:sz w:val="24"/>
          <w:szCs w:val="24"/>
        </w:rPr>
        <w:t>,</w:t>
      </w:r>
      <w:r w:rsidR="00685BF9" w:rsidRPr="00E06771">
        <w:rPr>
          <w:rFonts w:cstheme="minorHAnsi"/>
          <w:sz w:val="24"/>
          <w:szCs w:val="24"/>
        </w:rPr>
        <w:t xml:space="preserve"> that states the following:</w:t>
      </w:r>
    </w:p>
    <w:p w14:paraId="251611BE" w14:textId="77777777" w:rsidR="00685BF9" w:rsidRPr="00E06771" w:rsidRDefault="00685BF9" w:rsidP="00242C36">
      <w:pPr>
        <w:spacing w:after="0" w:line="240" w:lineRule="auto"/>
        <w:ind w:left="426"/>
        <w:jc w:val="both"/>
        <w:rPr>
          <w:rFonts w:cstheme="minorHAnsi"/>
          <w:sz w:val="24"/>
          <w:szCs w:val="24"/>
        </w:rPr>
      </w:pPr>
    </w:p>
    <w:p w14:paraId="5AB3608B" w14:textId="77777777" w:rsidR="00685BF9" w:rsidRPr="00E06771" w:rsidRDefault="00685BF9" w:rsidP="00242C36">
      <w:pPr>
        <w:pStyle w:val="ListParagraph"/>
        <w:numPr>
          <w:ilvl w:val="0"/>
          <w:numId w:val="14"/>
        </w:numPr>
        <w:spacing w:after="0" w:line="240" w:lineRule="auto"/>
        <w:jc w:val="both"/>
        <w:rPr>
          <w:rFonts w:cstheme="minorHAnsi"/>
          <w:sz w:val="24"/>
          <w:szCs w:val="24"/>
        </w:rPr>
      </w:pPr>
      <w:r w:rsidRPr="00E06771">
        <w:rPr>
          <w:rFonts w:cstheme="minorHAnsi"/>
          <w:sz w:val="24"/>
          <w:szCs w:val="24"/>
        </w:rPr>
        <w:t>that the Commission intends to hold a public examination; and</w:t>
      </w:r>
    </w:p>
    <w:p w14:paraId="454646E3" w14:textId="3E9A56E1" w:rsidR="00AE76C9" w:rsidRPr="00242C36" w:rsidRDefault="00685BF9" w:rsidP="00242C36">
      <w:pPr>
        <w:pStyle w:val="ListParagraph"/>
        <w:numPr>
          <w:ilvl w:val="0"/>
          <w:numId w:val="14"/>
        </w:numPr>
        <w:spacing w:after="0" w:line="240" w:lineRule="auto"/>
        <w:jc w:val="both"/>
        <w:rPr>
          <w:rFonts w:cstheme="minorHAnsi"/>
          <w:sz w:val="24"/>
          <w:szCs w:val="24"/>
        </w:rPr>
      </w:pPr>
      <w:r w:rsidRPr="00E06771">
        <w:rPr>
          <w:rFonts w:cstheme="minorHAnsi"/>
          <w:sz w:val="24"/>
          <w:szCs w:val="24"/>
        </w:rPr>
        <w:t>the reasons why the Commission decided to hold a public examination.</w:t>
      </w:r>
    </w:p>
    <w:sectPr w:rsidR="00AE76C9" w:rsidRPr="00242C36" w:rsidSect="000F4A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995DB" w14:textId="77777777" w:rsidR="00AA2E5A" w:rsidRDefault="00AA2E5A" w:rsidP="00685BF9">
      <w:pPr>
        <w:spacing w:after="0" w:line="240" w:lineRule="auto"/>
      </w:pPr>
      <w:r>
        <w:separator/>
      </w:r>
    </w:p>
  </w:endnote>
  <w:endnote w:type="continuationSeparator" w:id="0">
    <w:p w14:paraId="7E376556" w14:textId="77777777" w:rsidR="00AA2E5A" w:rsidRDefault="00AA2E5A" w:rsidP="0068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BCCD" w14:textId="77777777" w:rsidR="00FA1317" w:rsidRDefault="00FA1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637181"/>
      <w:docPartObj>
        <w:docPartGallery w:val="Page Numbers (Bottom of Page)"/>
        <w:docPartUnique/>
      </w:docPartObj>
    </w:sdtPr>
    <w:sdtEndPr>
      <w:rPr>
        <w:color w:val="7F7F7F" w:themeColor="background1" w:themeShade="7F"/>
        <w:spacing w:val="60"/>
      </w:rPr>
    </w:sdtEndPr>
    <w:sdtContent>
      <w:p w14:paraId="1415911F" w14:textId="77777777" w:rsidR="003D3C0C" w:rsidRDefault="00344A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6D049E" w14:textId="24253F48" w:rsidR="001D047F" w:rsidRPr="0085503A" w:rsidRDefault="0085503A" w:rsidP="0085503A">
    <w:pPr>
      <w:pStyle w:val="Footer"/>
      <w:jc w:val="center"/>
      <w:rPr>
        <w:rFonts w:ascii="Arial" w:hAnsi="Arial" w:cs="Arial"/>
        <w:sz w:val="14"/>
        <w:szCs w:val="24"/>
      </w:rPr>
    </w:pPr>
    <w:r w:rsidRPr="0085503A">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1570" w14:textId="13D9C347" w:rsidR="00FA1317" w:rsidRPr="0085503A" w:rsidRDefault="0085503A" w:rsidP="0085503A">
    <w:pPr>
      <w:pStyle w:val="Footer"/>
      <w:jc w:val="center"/>
      <w:rPr>
        <w:rFonts w:ascii="Arial" w:hAnsi="Arial" w:cs="Arial"/>
        <w:sz w:val="14"/>
      </w:rPr>
    </w:pPr>
    <w:r w:rsidRPr="0085503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BE12" w14:textId="77777777" w:rsidR="00AA2E5A" w:rsidRDefault="00AA2E5A" w:rsidP="00685BF9">
      <w:pPr>
        <w:spacing w:after="0" w:line="240" w:lineRule="auto"/>
      </w:pPr>
      <w:r>
        <w:separator/>
      </w:r>
    </w:p>
  </w:footnote>
  <w:footnote w:type="continuationSeparator" w:id="0">
    <w:p w14:paraId="300BD809" w14:textId="77777777" w:rsidR="00AA2E5A" w:rsidRDefault="00AA2E5A" w:rsidP="00685BF9">
      <w:pPr>
        <w:spacing w:after="0" w:line="240" w:lineRule="auto"/>
      </w:pPr>
      <w:r>
        <w:continuationSeparator/>
      </w:r>
    </w:p>
  </w:footnote>
  <w:footnote w:id="1">
    <w:p w14:paraId="00BF2B94" w14:textId="29566475" w:rsidR="00F22E2E" w:rsidRDefault="00F22E2E" w:rsidP="00F22E2E">
      <w:pPr>
        <w:pStyle w:val="FootnoteText"/>
      </w:pPr>
      <w:r>
        <w:rPr>
          <w:rStyle w:val="FootnoteReference"/>
        </w:rPr>
        <w:footnoteRef/>
      </w:r>
      <w:r>
        <w:t xml:space="preserve"> </w:t>
      </w:r>
      <w:r w:rsidR="009828F0">
        <w:t xml:space="preserve">Section </w:t>
      </w:r>
      <w:r>
        <w:t xml:space="preserve">100, </w:t>
      </w:r>
      <w:r w:rsidRPr="005321B3">
        <w:rPr>
          <w:i/>
          <w:iCs/>
        </w:rPr>
        <w:t>Integrity Commission Act 2018</w:t>
      </w:r>
      <w:r>
        <w:t xml:space="preserve">. All references to sections in these Guidelines refer to the </w:t>
      </w:r>
      <w:r w:rsidRPr="005321B3">
        <w:rPr>
          <w:i/>
          <w:iCs/>
        </w:rPr>
        <w:t>Integrity Commission Act 2018</w:t>
      </w:r>
      <w:r>
        <w:t>, unless otherwise specified</w:t>
      </w:r>
      <w:r w:rsidR="00490AC9">
        <w:t>.</w:t>
      </w:r>
    </w:p>
  </w:footnote>
  <w:footnote w:id="2">
    <w:p w14:paraId="40F76F88" w14:textId="7258A69B" w:rsidR="00F22E2E" w:rsidRDefault="00F22E2E" w:rsidP="00F22E2E">
      <w:pPr>
        <w:pStyle w:val="FootnoteText"/>
      </w:pPr>
      <w:r>
        <w:rPr>
          <w:rStyle w:val="FootnoteReference"/>
        </w:rPr>
        <w:footnoteRef/>
      </w:r>
      <w:r>
        <w:t xml:space="preserve"> </w:t>
      </w:r>
      <w:r w:rsidR="009828F0">
        <w:t>Section</w:t>
      </w:r>
      <w:r>
        <w:t xml:space="preserve"> 101</w:t>
      </w:r>
    </w:p>
  </w:footnote>
  <w:footnote w:id="3">
    <w:p w14:paraId="3C03F6CE" w14:textId="4DFC7ACC" w:rsidR="0086578A" w:rsidRDefault="0086578A">
      <w:pPr>
        <w:pStyle w:val="FootnoteText"/>
      </w:pPr>
      <w:r>
        <w:rPr>
          <w:rStyle w:val="FootnoteReference"/>
        </w:rPr>
        <w:footnoteRef/>
      </w:r>
      <w:r>
        <w:t xml:space="preserve"> </w:t>
      </w:r>
      <w:r w:rsidR="009828F0">
        <w:t>Section</w:t>
      </w:r>
      <w:r>
        <w:t xml:space="preserve"> 140</w:t>
      </w:r>
    </w:p>
  </w:footnote>
  <w:footnote w:id="4">
    <w:p w14:paraId="226D9F47" w14:textId="69FFD2ED" w:rsidR="00AE3AE2" w:rsidRDefault="00AE3AE2">
      <w:pPr>
        <w:pStyle w:val="FootnoteText"/>
      </w:pPr>
      <w:r>
        <w:rPr>
          <w:rStyle w:val="FootnoteReference"/>
        </w:rPr>
        <w:footnoteRef/>
      </w:r>
      <w:r>
        <w:t xml:space="preserve"> </w:t>
      </w:r>
      <w:r w:rsidR="009828F0">
        <w:t>Section</w:t>
      </w:r>
      <w:r>
        <w:t xml:space="preserve"> 147</w:t>
      </w:r>
    </w:p>
  </w:footnote>
  <w:footnote w:id="5">
    <w:p w14:paraId="6ACC6B83" w14:textId="164BC0BE" w:rsidR="00AE3AE2" w:rsidRDefault="00AE3AE2">
      <w:pPr>
        <w:pStyle w:val="FootnoteText"/>
      </w:pPr>
      <w:r>
        <w:rPr>
          <w:rStyle w:val="FootnoteReference"/>
        </w:rPr>
        <w:footnoteRef/>
      </w:r>
      <w:r>
        <w:t xml:space="preserve"> </w:t>
      </w:r>
      <w:r w:rsidR="009828F0">
        <w:t>Section</w:t>
      </w:r>
      <w:r>
        <w:t xml:space="preserve"> 143(1)</w:t>
      </w:r>
    </w:p>
  </w:footnote>
  <w:footnote w:id="6">
    <w:p w14:paraId="18C9C845" w14:textId="77777777" w:rsidR="00442603" w:rsidRDefault="00442603" w:rsidP="00442603">
      <w:pPr>
        <w:pStyle w:val="FootnoteText"/>
      </w:pPr>
      <w:r>
        <w:rPr>
          <w:rStyle w:val="FootnoteReference"/>
        </w:rPr>
        <w:footnoteRef/>
      </w:r>
      <w:r>
        <w:t xml:space="preserve"> Explanatory Statement, Integrity Commission Bill 2018, pp 6-7</w:t>
      </w:r>
    </w:p>
  </w:footnote>
  <w:footnote w:id="7">
    <w:p w14:paraId="41980550" w14:textId="4352821F" w:rsidR="00FC1BA6" w:rsidRDefault="00FC1BA6">
      <w:pPr>
        <w:pStyle w:val="FootnoteText"/>
      </w:pPr>
      <w:r>
        <w:rPr>
          <w:rStyle w:val="FootnoteReference"/>
        </w:rPr>
        <w:footnoteRef/>
      </w:r>
      <w:r>
        <w:t xml:space="preserve"> </w:t>
      </w:r>
      <w:r w:rsidR="009828F0">
        <w:t xml:space="preserve">Section </w:t>
      </w:r>
      <w:r>
        <w:t xml:space="preserve">28, </w:t>
      </w:r>
      <w:r w:rsidRPr="00FC1BA6">
        <w:rPr>
          <w:i/>
          <w:iCs/>
        </w:rPr>
        <w:t>Human Rights Act 2004</w:t>
      </w:r>
    </w:p>
  </w:footnote>
  <w:footnote w:id="8">
    <w:p w14:paraId="3809F8F0" w14:textId="28C13074" w:rsidR="00FC1BA6" w:rsidRDefault="00FC1BA6">
      <w:pPr>
        <w:pStyle w:val="FootnoteText"/>
      </w:pPr>
      <w:r>
        <w:rPr>
          <w:rStyle w:val="FootnoteReference"/>
        </w:rPr>
        <w:footnoteRef/>
      </w:r>
      <w:r>
        <w:t xml:space="preserve"> Explanatory Statement, Integrity Commission Bill 2018, pp 18-19</w:t>
      </w:r>
    </w:p>
  </w:footnote>
  <w:footnote w:id="9">
    <w:p w14:paraId="730683C0" w14:textId="4CA070C6" w:rsidR="00685BF9" w:rsidRPr="002377E3" w:rsidRDefault="00685BF9" w:rsidP="00685BF9">
      <w:pPr>
        <w:pStyle w:val="FootnoteText"/>
        <w:rPr>
          <w:lang w:val="en-US"/>
        </w:rPr>
      </w:pPr>
      <w:r>
        <w:rPr>
          <w:rStyle w:val="FootnoteReference"/>
        </w:rPr>
        <w:footnoteRef/>
      </w:r>
      <w:r>
        <w:t xml:space="preserve"> </w:t>
      </w:r>
      <w:r w:rsidR="009828F0">
        <w:t>Sections</w:t>
      </w:r>
      <w:r>
        <w:rPr>
          <w:lang w:val="en-US"/>
        </w:rPr>
        <w:t xml:space="preserve"> 143 </w:t>
      </w:r>
      <w:r w:rsidR="00490AC9">
        <w:rPr>
          <w:lang w:val="en-US"/>
        </w:rPr>
        <w:t xml:space="preserve">and </w:t>
      </w:r>
      <w:r>
        <w:rPr>
          <w:lang w:val="en-US"/>
        </w:rPr>
        <w:t xml:space="preserve">146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8360" w14:textId="77777777" w:rsidR="00FA1317" w:rsidRDefault="00FA1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9239" w14:textId="57312144" w:rsidR="001D047F" w:rsidRDefault="00344AD1" w:rsidP="00365675">
    <w:pPr>
      <w:pStyle w:val="Header"/>
      <w:jc w:val="center"/>
    </w:pPr>
    <w:r>
      <w:rPr>
        <w:noProof/>
      </w:rPr>
      <w:drawing>
        <wp:inline distT="0" distB="0" distL="0" distR="0" wp14:anchorId="6DA3ACA1" wp14:editId="3B229DD1">
          <wp:extent cx="252349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3490" cy="421640"/>
                  </a:xfrm>
                  <a:prstGeom prst="rect">
                    <a:avLst/>
                  </a:prstGeom>
                  <a:noFill/>
                  <a:ln>
                    <a:noFill/>
                  </a:ln>
                </pic:spPr>
              </pic:pic>
            </a:graphicData>
          </a:graphic>
        </wp:inline>
      </w:drawing>
    </w:r>
  </w:p>
  <w:p w14:paraId="2A1566AE" w14:textId="77777777" w:rsidR="001D047F" w:rsidRDefault="0085503A" w:rsidP="00365675">
    <w:pPr>
      <w:pStyle w:val="Header"/>
      <w:jc w:val="center"/>
    </w:pPr>
  </w:p>
  <w:p w14:paraId="1210F01D" w14:textId="77777777" w:rsidR="007B4583" w:rsidRDefault="0085503A" w:rsidP="00365675">
    <w:pPr>
      <w:pStyle w:val="Header"/>
      <w:jc w:val="center"/>
    </w:pPr>
  </w:p>
  <w:p w14:paraId="2ED84647" w14:textId="5E752B46" w:rsidR="001D047F" w:rsidRDefault="005321B3" w:rsidP="007B4583">
    <w:pPr>
      <w:pStyle w:val="Header"/>
      <w:jc w:val="right"/>
      <w:rPr>
        <w:sz w:val="18"/>
        <w:szCs w:val="18"/>
      </w:rPr>
    </w:pPr>
    <w:r>
      <w:rPr>
        <w:sz w:val="18"/>
        <w:szCs w:val="18"/>
      </w:rPr>
      <w:t>Examination Guidelines</w:t>
    </w:r>
  </w:p>
  <w:p w14:paraId="3A0CDF0B" w14:textId="77777777" w:rsidR="00B801F0" w:rsidRDefault="0085503A" w:rsidP="007B4583">
    <w:pPr>
      <w:pStyle w:val="Header"/>
      <w:jc w:val="right"/>
      <w:rPr>
        <w:sz w:val="18"/>
        <w:szCs w:val="18"/>
      </w:rPr>
    </w:pPr>
  </w:p>
  <w:p w14:paraId="1AD58D41" w14:textId="77777777" w:rsidR="00B801F0" w:rsidRPr="007B4583" w:rsidRDefault="0085503A" w:rsidP="007B4583">
    <w:pPr>
      <w:pStyle w:val="Header"/>
      <w:jc w:val="right"/>
      <w:rPr>
        <w:sz w:val="18"/>
        <w:szCs w:val="18"/>
      </w:rPr>
    </w:pPr>
  </w:p>
  <w:p w14:paraId="0D98AB71" w14:textId="77777777" w:rsidR="001D047F" w:rsidRDefault="00855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62E9" w14:textId="77777777" w:rsidR="00153124" w:rsidRDefault="0085503A" w:rsidP="00153124">
    <w:pPr>
      <w:pStyle w:val="Header"/>
      <w:jc w:val="center"/>
    </w:pPr>
  </w:p>
  <w:p w14:paraId="6C184D3F" w14:textId="77777777" w:rsidR="00153124" w:rsidRDefault="0085503A" w:rsidP="00153124">
    <w:pPr>
      <w:pStyle w:val="Header"/>
      <w:jc w:val="center"/>
    </w:pPr>
  </w:p>
  <w:p w14:paraId="7B586A76" w14:textId="77777777" w:rsidR="00153124" w:rsidRPr="00153124" w:rsidRDefault="0085503A" w:rsidP="00153124">
    <w:pPr>
      <w:pStyle w:val="Header"/>
      <w:jc w:val="right"/>
      <w:rPr>
        <w:sz w:val="18"/>
        <w:szCs w:val="18"/>
      </w:rPr>
    </w:pPr>
  </w:p>
  <w:p w14:paraId="09F92562" w14:textId="77777777" w:rsidR="00153124" w:rsidRDefault="0085503A" w:rsidP="001531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1FD4"/>
    <w:multiLevelType w:val="hybridMultilevel"/>
    <w:tmpl w:val="8AF42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B49B1"/>
    <w:multiLevelType w:val="hybridMultilevel"/>
    <w:tmpl w:val="9D36ACB2"/>
    <w:lvl w:ilvl="0" w:tplc="0C090001">
      <w:start w:val="1"/>
      <w:numFmt w:val="bullet"/>
      <w:lvlText w:val=""/>
      <w:lvlJc w:val="left"/>
      <w:pPr>
        <w:ind w:left="3240" w:hanging="360"/>
      </w:pPr>
      <w:rPr>
        <w:rFonts w:ascii="Symbol" w:hAnsi="Symbol"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 w15:restartNumberingAfterBreak="0">
    <w:nsid w:val="112C66EC"/>
    <w:multiLevelType w:val="hybridMultilevel"/>
    <w:tmpl w:val="5B2E71B6"/>
    <w:lvl w:ilvl="0" w:tplc="0C090001">
      <w:start w:val="1"/>
      <w:numFmt w:val="bullet"/>
      <w:lvlText w:val=""/>
      <w:lvlJc w:val="left"/>
      <w:pPr>
        <w:ind w:left="1996" w:hanging="720"/>
      </w:pPr>
      <w:rPr>
        <w:rFonts w:ascii="Symbol" w:hAnsi="Symbol"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1A0562D5"/>
    <w:multiLevelType w:val="hybridMultilevel"/>
    <w:tmpl w:val="C764F06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1D22715"/>
    <w:multiLevelType w:val="hybridMultilevel"/>
    <w:tmpl w:val="D5A48832"/>
    <w:lvl w:ilvl="0" w:tplc="DB7EEE5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8144E67"/>
    <w:multiLevelType w:val="multilevel"/>
    <w:tmpl w:val="74682148"/>
    <w:lvl w:ilvl="0">
      <w:start w:val="1"/>
      <w:numFmt w:val="decimal"/>
      <w:pStyle w:val="OMHeading1"/>
      <w:lvlText w:val="%1."/>
      <w:lvlJc w:val="left"/>
      <w:pPr>
        <w:ind w:left="720" w:hanging="360"/>
      </w:pPr>
      <w:rPr>
        <w:rFonts w:hint="default"/>
      </w:rPr>
    </w:lvl>
    <w:lvl w:ilvl="1">
      <w:start w:val="1"/>
      <w:numFmt w:val="decimal"/>
      <w:pStyle w:val="OMHeading2"/>
      <w:isLgl/>
      <w:lvlText w:val="%1.%2"/>
      <w:lvlJc w:val="left"/>
      <w:pPr>
        <w:ind w:left="1080" w:hanging="720"/>
      </w:pPr>
      <w:rPr>
        <w:rFonts w:hint="default"/>
      </w:rPr>
    </w:lvl>
    <w:lvl w:ilvl="2">
      <w:start w:val="1"/>
      <w:numFmt w:val="decimal"/>
      <w:pStyle w:val="OMHeading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0D36781"/>
    <w:multiLevelType w:val="hybridMultilevel"/>
    <w:tmpl w:val="146245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5464382F"/>
    <w:multiLevelType w:val="hybridMultilevel"/>
    <w:tmpl w:val="5DDC3986"/>
    <w:lvl w:ilvl="0" w:tplc="EAAEC07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E63B78"/>
    <w:multiLevelType w:val="hybridMultilevel"/>
    <w:tmpl w:val="5D2A919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9" w15:restartNumberingAfterBreak="0">
    <w:nsid w:val="562B7FAB"/>
    <w:multiLevelType w:val="multilevel"/>
    <w:tmpl w:val="6D76D3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6827BC6"/>
    <w:multiLevelType w:val="hybridMultilevel"/>
    <w:tmpl w:val="15664F48"/>
    <w:lvl w:ilvl="0" w:tplc="646C143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59932CE5"/>
    <w:multiLevelType w:val="hybridMultilevel"/>
    <w:tmpl w:val="2FEE19D4"/>
    <w:lvl w:ilvl="0" w:tplc="42A63E0C">
      <w:start w:val="1"/>
      <w:numFmt w:val="decimal"/>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0956EE4"/>
    <w:multiLevelType w:val="hybridMultilevel"/>
    <w:tmpl w:val="CE5E719C"/>
    <w:lvl w:ilvl="0" w:tplc="C0F863E0">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C34433E"/>
    <w:multiLevelType w:val="hybridMultilevel"/>
    <w:tmpl w:val="B24C8068"/>
    <w:lvl w:ilvl="0" w:tplc="85A8E458">
      <w:start w:val="5"/>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5828BC"/>
    <w:multiLevelType w:val="hybridMultilevel"/>
    <w:tmpl w:val="00923516"/>
    <w:lvl w:ilvl="0" w:tplc="19C2AF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B3868A2"/>
    <w:multiLevelType w:val="multilevel"/>
    <w:tmpl w:val="AB5EB48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9"/>
  </w:num>
  <w:num w:numId="3">
    <w:abstractNumId w:val="0"/>
  </w:num>
  <w:num w:numId="4">
    <w:abstractNumId w:val="11"/>
  </w:num>
  <w:num w:numId="5">
    <w:abstractNumId w:val="10"/>
  </w:num>
  <w:num w:numId="6">
    <w:abstractNumId w:val="5"/>
  </w:num>
  <w:num w:numId="7">
    <w:abstractNumId w:val="3"/>
  </w:num>
  <w:num w:numId="8">
    <w:abstractNumId w:val="7"/>
  </w:num>
  <w:num w:numId="9">
    <w:abstractNumId w:val="13"/>
  </w:num>
  <w:num w:numId="10">
    <w:abstractNumId w:val="1"/>
  </w:num>
  <w:num w:numId="11">
    <w:abstractNumId w:val="8"/>
  </w:num>
  <w:num w:numId="12">
    <w:abstractNumId w:val="12"/>
  </w:num>
  <w:num w:numId="13">
    <w:abstractNumId w:val="14"/>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F9"/>
    <w:rsid w:val="000036C5"/>
    <w:rsid w:val="00022786"/>
    <w:rsid w:val="00032782"/>
    <w:rsid w:val="00033DFD"/>
    <w:rsid w:val="000373B1"/>
    <w:rsid w:val="0004238A"/>
    <w:rsid w:val="000559C5"/>
    <w:rsid w:val="00060D36"/>
    <w:rsid w:val="00061593"/>
    <w:rsid w:val="00062B17"/>
    <w:rsid w:val="00080C6C"/>
    <w:rsid w:val="000927E8"/>
    <w:rsid w:val="00093A75"/>
    <w:rsid w:val="000A57A5"/>
    <w:rsid w:val="000A7E74"/>
    <w:rsid w:val="000C182D"/>
    <w:rsid w:val="000C2EE5"/>
    <w:rsid w:val="000D677E"/>
    <w:rsid w:val="000D7227"/>
    <w:rsid w:val="000E1250"/>
    <w:rsid w:val="000E56E6"/>
    <w:rsid w:val="000F0CBB"/>
    <w:rsid w:val="000F3C8F"/>
    <w:rsid w:val="00100AD8"/>
    <w:rsid w:val="0010545B"/>
    <w:rsid w:val="00111E4E"/>
    <w:rsid w:val="0011489E"/>
    <w:rsid w:val="001246C9"/>
    <w:rsid w:val="00137CAD"/>
    <w:rsid w:val="0015202C"/>
    <w:rsid w:val="0018619F"/>
    <w:rsid w:val="001950A0"/>
    <w:rsid w:val="001B79FB"/>
    <w:rsid w:val="001C1E73"/>
    <w:rsid w:val="001C38F0"/>
    <w:rsid w:val="001C5F39"/>
    <w:rsid w:val="001D5A8B"/>
    <w:rsid w:val="001D69FD"/>
    <w:rsid w:val="001D6CC2"/>
    <w:rsid w:val="001E2CDA"/>
    <w:rsid w:val="001F15A4"/>
    <w:rsid w:val="00212374"/>
    <w:rsid w:val="00213399"/>
    <w:rsid w:val="00217F3E"/>
    <w:rsid w:val="00227918"/>
    <w:rsid w:val="00232B05"/>
    <w:rsid w:val="002424D0"/>
    <w:rsid w:val="00242C36"/>
    <w:rsid w:val="00244F1C"/>
    <w:rsid w:val="00246B4C"/>
    <w:rsid w:val="002519AA"/>
    <w:rsid w:val="00256E05"/>
    <w:rsid w:val="0026755D"/>
    <w:rsid w:val="00271B31"/>
    <w:rsid w:val="00275DBE"/>
    <w:rsid w:val="002815D9"/>
    <w:rsid w:val="00292943"/>
    <w:rsid w:val="002A0243"/>
    <w:rsid w:val="002A44D1"/>
    <w:rsid w:val="002C4D98"/>
    <w:rsid w:val="002C6AE9"/>
    <w:rsid w:val="002E5B52"/>
    <w:rsid w:val="00301DC5"/>
    <w:rsid w:val="003143D9"/>
    <w:rsid w:val="00322A3D"/>
    <w:rsid w:val="003244D9"/>
    <w:rsid w:val="00324DD5"/>
    <w:rsid w:val="00335356"/>
    <w:rsid w:val="003409D5"/>
    <w:rsid w:val="00344AD1"/>
    <w:rsid w:val="003623EF"/>
    <w:rsid w:val="00371BB3"/>
    <w:rsid w:val="00374EE3"/>
    <w:rsid w:val="00377FBC"/>
    <w:rsid w:val="0038042B"/>
    <w:rsid w:val="003816C0"/>
    <w:rsid w:val="00394CE9"/>
    <w:rsid w:val="00396AFE"/>
    <w:rsid w:val="00397C6D"/>
    <w:rsid w:val="003A05DB"/>
    <w:rsid w:val="003B511E"/>
    <w:rsid w:val="003C2AA6"/>
    <w:rsid w:val="003C590B"/>
    <w:rsid w:val="003C6076"/>
    <w:rsid w:val="003D688A"/>
    <w:rsid w:val="003F2E7F"/>
    <w:rsid w:val="003F5BF2"/>
    <w:rsid w:val="00412138"/>
    <w:rsid w:val="00421605"/>
    <w:rsid w:val="00421E81"/>
    <w:rsid w:val="00424A64"/>
    <w:rsid w:val="00424C69"/>
    <w:rsid w:val="0042659E"/>
    <w:rsid w:val="0043795A"/>
    <w:rsid w:val="004416B5"/>
    <w:rsid w:val="00442603"/>
    <w:rsid w:val="0044587A"/>
    <w:rsid w:val="0046671D"/>
    <w:rsid w:val="00485570"/>
    <w:rsid w:val="00490AC9"/>
    <w:rsid w:val="00491E5A"/>
    <w:rsid w:val="0049352F"/>
    <w:rsid w:val="004D112F"/>
    <w:rsid w:val="004D225A"/>
    <w:rsid w:val="004E5998"/>
    <w:rsid w:val="004F3B4A"/>
    <w:rsid w:val="004F4A4E"/>
    <w:rsid w:val="005139CF"/>
    <w:rsid w:val="005321B3"/>
    <w:rsid w:val="00546B71"/>
    <w:rsid w:val="00560782"/>
    <w:rsid w:val="005651A8"/>
    <w:rsid w:val="005744AE"/>
    <w:rsid w:val="005769A5"/>
    <w:rsid w:val="005829D0"/>
    <w:rsid w:val="005C16DD"/>
    <w:rsid w:val="005C4AC4"/>
    <w:rsid w:val="005C4EC9"/>
    <w:rsid w:val="005C55F4"/>
    <w:rsid w:val="005E0B29"/>
    <w:rsid w:val="005F3453"/>
    <w:rsid w:val="006129A1"/>
    <w:rsid w:val="00622ACA"/>
    <w:rsid w:val="00627446"/>
    <w:rsid w:val="0063211A"/>
    <w:rsid w:val="0063615F"/>
    <w:rsid w:val="00661FBC"/>
    <w:rsid w:val="0067087E"/>
    <w:rsid w:val="00672C09"/>
    <w:rsid w:val="00674B6A"/>
    <w:rsid w:val="00685BF9"/>
    <w:rsid w:val="00692B1B"/>
    <w:rsid w:val="00693A07"/>
    <w:rsid w:val="0069475B"/>
    <w:rsid w:val="006A2201"/>
    <w:rsid w:val="006C618E"/>
    <w:rsid w:val="006D6BB4"/>
    <w:rsid w:val="006E48E5"/>
    <w:rsid w:val="00700D2A"/>
    <w:rsid w:val="00707DA8"/>
    <w:rsid w:val="00723426"/>
    <w:rsid w:val="00724C9C"/>
    <w:rsid w:val="0072600F"/>
    <w:rsid w:val="00727A20"/>
    <w:rsid w:val="007404CF"/>
    <w:rsid w:val="007416E4"/>
    <w:rsid w:val="00746390"/>
    <w:rsid w:val="00765310"/>
    <w:rsid w:val="007973E4"/>
    <w:rsid w:val="007A7235"/>
    <w:rsid w:val="007B5438"/>
    <w:rsid w:val="007C7C9E"/>
    <w:rsid w:val="007E03B6"/>
    <w:rsid w:val="007E30C7"/>
    <w:rsid w:val="007E35FD"/>
    <w:rsid w:val="007E3EEF"/>
    <w:rsid w:val="007E7BC7"/>
    <w:rsid w:val="007F2255"/>
    <w:rsid w:val="008033CB"/>
    <w:rsid w:val="00821CDF"/>
    <w:rsid w:val="00826EE7"/>
    <w:rsid w:val="0085111C"/>
    <w:rsid w:val="00852931"/>
    <w:rsid w:val="0085503A"/>
    <w:rsid w:val="008643EE"/>
    <w:rsid w:val="0086578A"/>
    <w:rsid w:val="00871F35"/>
    <w:rsid w:val="00873C62"/>
    <w:rsid w:val="0088543E"/>
    <w:rsid w:val="00885516"/>
    <w:rsid w:val="00896AB5"/>
    <w:rsid w:val="008A06AC"/>
    <w:rsid w:val="008A44FE"/>
    <w:rsid w:val="008B0829"/>
    <w:rsid w:val="008B5B95"/>
    <w:rsid w:val="008C06B5"/>
    <w:rsid w:val="008C1838"/>
    <w:rsid w:val="008C39DB"/>
    <w:rsid w:val="008C46D1"/>
    <w:rsid w:val="008C61AC"/>
    <w:rsid w:val="008E13ED"/>
    <w:rsid w:val="008E5702"/>
    <w:rsid w:val="008E5F99"/>
    <w:rsid w:val="008E7528"/>
    <w:rsid w:val="008F76C9"/>
    <w:rsid w:val="00901CA2"/>
    <w:rsid w:val="0090453B"/>
    <w:rsid w:val="00910923"/>
    <w:rsid w:val="00910FA3"/>
    <w:rsid w:val="00913F8D"/>
    <w:rsid w:val="00917237"/>
    <w:rsid w:val="009260F4"/>
    <w:rsid w:val="009365D6"/>
    <w:rsid w:val="00954FD9"/>
    <w:rsid w:val="00976624"/>
    <w:rsid w:val="0097677E"/>
    <w:rsid w:val="009828F0"/>
    <w:rsid w:val="00984580"/>
    <w:rsid w:val="00987D86"/>
    <w:rsid w:val="009A6DE5"/>
    <w:rsid w:val="009A7B4A"/>
    <w:rsid w:val="009C3D5B"/>
    <w:rsid w:val="009C3EB0"/>
    <w:rsid w:val="009C57E3"/>
    <w:rsid w:val="009D34C0"/>
    <w:rsid w:val="009D40C5"/>
    <w:rsid w:val="009E3ABE"/>
    <w:rsid w:val="009E6F47"/>
    <w:rsid w:val="00A04848"/>
    <w:rsid w:val="00A06221"/>
    <w:rsid w:val="00A32FD8"/>
    <w:rsid w:val="00A331C1"/>
    <w:rsid w:val="00A35DCB"/>
    <w:rsid w:val="00A36804"/>
    <w:rsid w:val="00A437A3"/>
    <w:rsid w:val="00A47B98"/>
    <w:rsid w:val="00A52025"/>
    <w:rsid w:val="00A54413"/>
    <w:rsid w:val="00A61754"/>
    <w:rsid w:val="00A73D1F"/>
    <w:rsid w:val="00A7552D"/>
    <w:rsid w:val="00A75768"/>
    <w:rsid w:val="00A90887"/>
    <w:rsid w:val="00A93CC1"/>
    <w:rsid w:val="00A95BE9"/>
    <w:rsid w:val="00A9789D"/>
    <w:rsid w:val="00AA14B8"/>
    <w:rsid w:val="00AA2E5A"/>
    <w:rsid w:val="00AA6C87"/>
    <w:rsid w:val="00AC7286"/>
    <w:rsid w:val="00AD3AD7"/>
    <w:rsid w:val="00AD3FF6"/>
    <w:rsid w:val="00AD4B3F"/>
    <w:rsid w:val="00AE3AE2"/>
    <w:rsid w:val="00AE5775"/>
    <w:rsid w:val="00AE63EB"/>
    <w:rsid w:val="00AE76C9"/>
    <w:rsid w:val="00B000B3"/>
    <w:rsid w:val="00B01B93"/>
    <w:rsid w:val="00B05587"/>
    <w:rsid w:val="00B061DA"/>
    <w:rsid w:val="00B06978"/>
    <w:rsid w:val="00B123DA"/>
    <w:rsid w:val="00B24293"/>
    <w:rsid w:val="00B2436F"/>
    <w:rsid w:val="00B332FA"/>
    <w:rsid w:val="00B34E5D"/>
    <w:rsid w:val="00B35F6C"/>
    <w:rsid w:val="00B37875"/>
    <w:rsid w:val="00B44EB0"/>
    <w:rsid w:val="00B510A1"/>
    <w:rsid w:val="00B52D72"/>
    <w:rsid w:val="00B555F9"/>
    <w:rsid w:val="00B558D6"/>
    <w:rsid w:val="00B577EC"/>
    <w:rsid w:val="00B64C93"/>
    <w:rsid w:val="00B671EA"/>
    <w:rsid w:val="00B70A0B"/>
    <w:rsid w:val="00B73EFB"/>
    <w:rsid w:val="00B743EE"/>
    <w:rsid w:val="00B828AF"/>
    <w:rsid w:val="00B87738"/>
    <w:rsid w:val="00B90FE5"/>
    <w:rsid w:val="00B950C0"/>
    <w:rsid w:val="00B954AC"/>
    <w:rsid w:val="00B9623D"/>
    <w:rsid w:val="00BA2BB6"/>
    <w:rsid w:val="00BC50C5"/>
    <w:rsid w:val="00BD334C"/>
    <w:rsid w:val="00BD406C"/>
    <w:rsid w:val="00BE7897"/>
    <w:rsid w:val="00BF1FBD"/>
    <w:rsid w:val="00BF3920"/>
    <w:rsid w:val="00C073D9"/>
    <w:rsid w:val="00C16AD7"/>
    <w:rsid w:val="00C32B00"/>
    <w:rsid w:val="00C44598"/>
    <w:rsid w:val="00C47D53"/>
    <w:rsid w:val="00C60550"/>
    <w:rsid w:val="00C753DE"/>
    <w:rsid w:val="00C75A51"/>
    <w:rsid w:val="00C75B80"/>
    <w:rsid w:val="00C82F0D"/>
    <w:rsid w:val="00CA0AF3"/>
    <w:rsid w:val="00CB211D"/>
    <w:rsid w:val="00CC2F88"/>
    <w:rsid w:val="00CD04E9"/>
    <w:rsid w:val="00CE2C35"/>
    <w:rsid w:val="00CF2175"/>
    <w:rsid w:val="00D10113"/>
    <w:rsid w:val="00D2312A"/>
    <w:rsid w:val="00D2433E"/>
    <w:rsid w:val="00D258F6"/>
    <w:rsid w:val="00D268BA"/>
    <w:rsid w:val="00D352BF"/>
    <w:rsid w:val="00D41F22"/>
    <w:rsid w:val="00D460A4"/>
    <w:rsid w:val="00D47F38"/>
    <w:rsid w:val="00D72DDA"/>
    <w:rsid w:val="00D84122"/>
    <w:rsid w:val="00D92AEC"/>
    <w:rsid w:val="00D969E6"/>
    <w:rsid w:val="00DA3D41"/>
    <w:rsid w:val="00DB0E6F"/>
    <w:rsid w:val="00DC4C70"/>
    <w:rsid w:val="00DC5CB0"/>
    <w:rsid w:val="00DC762C"/>
    <w:rsid w:val="00DD1EDA"/>
    <w:rsid w:val="00DD295F"/>
    <w:rsid w:val="00DE06DB"/>
    <w:rsid w:val="00E017FA"/>
    <w:rsid w:val="00E042E0"/>
    <w:rsid w:val="00E057E0"/>
    <w:rsid w:val="00E06771"/>
    <w:rsid w:val="00E1586E"/>
    <w:rsid w:val="00E16FB5"/>
    <w:rsid w:val="00E26303"/>
    <w:rsid w:val="00E301D2"/>
    <w:rsid w:val="00E33F2B"/>
    <w:rsid w:val="00E50FF0"/>
    <w:rsid w:val="00E548CA"/>
    <w:rsid w:val="00E72D64"/>
    <w:rsid w:val="00E75020"/>
    <w:rsid w:val="00EA3671"/>
    <w:rsid w:val="00EB39AE"/>
    <w:rsid w:val="00EB751D"/>
    <w:rsid w:val="00EB7A73"/>
    <w:rsid w:val="00EC00AD"/>
    <w:rsid w:val="00EC4AB2"/>
    <w:rsid w:val="00EC7465"/>
    <w:rsid w:val="00ED14B1"/>
    <w:rsid w:val="00ED524C"/>
    <w:rsid w:val="00EE083F"/>
    <w:rsid w:val="00F037BF"/>
    <w:rsid w:val="00F22E2E"/>
    <w:rsid w:val="00F2304E"/>
    <w:rsid w:val="00F32B40"/>
    <w:rsid w:val="00F361EA"/>
    <w:rsid w:val="00F416D7"/>
    <w:rsid w:val="00F429E5"/>
    <w:rsid w:val="00F5780D"/>
    <w:rsid w:val="00F63421"/>
    <w:rsid w:val="00F70E7B"/>
    <w:rsid w:val="00FA1317"/>
    <w:rsid w:val="00FA5777"/>
    <w:rsid w:val="00FB53AB"/>
    <w:rsid w:val="00FB7DC5"/>
    <w:rsid w:val="00FC1BA6"/>
    <w:rsid w:val="00FC5D9D"/>
    <w:rsid w:val="00FD4926"/>
    <w:rsid w:val="00FD7BC7"/>
    <w:rsid w:val="00FE5672"/>
    <w:rsid w:val="00FE7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6BA6FF"/>
  <w15:chartTrackingRefBased/>
  <w15:docId w15:val="{28718962-47E2-4EF5-B9FA-94CE7A5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F9"/>
  </w:style>
  <w:style w:type="paragraph" w:styleId="Heading1">
    <w:name w:val="heading 1"/>
    <w:basedOn w:val="Normal"/>
    <w:next w:val="Normal"/>
    <w:link w:val="Heading1Char"/>
    <w:uiPriority w:val="9"/>
    <w:qFormat/>
    <w:rsid w:val="00685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BF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85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F9"/>
  </w:style>
  <w:style w:type="paragraph" w:styleId="Footer">
    <w:name w:val="footer"/>
    <w:basedOn w:val="Normal"/>
    <w:link w:val="FooterChar"/>
    <w:uiPriority w:val="99"/>
    <w:unhideWhenUsed/>
    <w:rsid w:val="00685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F9"/>
  </w:style>
  <w:style w:type="paragraph" w:styleId="FootnoteText">
    <w:name w:val="footnote text"/>
    <w:basedOn w:val="Normal"/>
    <w:link w:val="FootnoteTextChar"/>
    <w:unhideWhenUsed/>
    <w:rsid w:val="00685BF9"/>
    <w:pPr>
      <w:spacing w:after="0" w:line="240" w:lineRule="auto"/>
    </w:pPr>
    <w:rPr>
      <w:sz w:val="20"/>
      <w:szCs w:val="20"/>
    </w:rPr>
  </w:style>
  <w:style w:type="character" w:customStyle="1" w:styleId="FootnoteTextChar">
    <w:name w:val="Footnote Text Char"/>
    <w:basedOn w:val="DefaultParagraphFont"/>
    <w:link w:val="FootnoteText"/>
    <w:uiPriority w:val="99"/>
    <w:rsid w:val="00685BF9"/>
    <w:rPr>
      <w:sz w:val="20"/>
      <w:szCs w:val="20"/>
    </w:rPr>
  </w:style>
  <w:style w:type="character" w:styleId="FootnoteReference">
    <w:name w:val="footnote reference"/>
    <w:basedOn w:val="DefaultParagraphFont"/>
    <w:semiHidden/>
    <w:unhideWhenUsed/>
    <w:rsid w:val="00685BF9"/>
    <w:rPr>
      <w:vertAlign w:val="superscript"/>
    </w:rPr>
  </w:style>
  <w:style w:type="paragraph" w:styleId="ListParagraph">
    <w:name w:val="List Paragraph"/>
    <w:basedOn w:val="Normal"/>
    <w:link w:val="ListParagraphChar"/>
    <w:uiPriority w:val="34"/>
    <w:qFormat/>
    <w:rsid w:val="00685BF9"/>
    <w:pPr>
      <w:ind w:left="720"/>
      <w:contextualSpacing/>
    </w:pPr>
  </w:style>
  <w:style w:type="character" w:styleId="Hyperlink">
    <w:name w:val="Hyperlink"/>
    <w:basedOn w:val="DefaultParagraphFont"/>
    <w:uiPriority w:val="99"/>
    <w:unhideWhenUsed/>
    <w:rsid w:val="00685BF9"/>
    <w:rPr>
      <w:color w:val="0563C1" w:themeColor="hyperlink"/>
      <w:u w:val="single"/>
    </w:rPr>
  </w:style>
  <w:style w:type="paragraph" w:customStyle="1" w:styleId="N-line3">
    <w:name w:val="N-line3"/>
    <w:basedOn w:val="Normal"/>
    <w:next w:val="Normal"/>
    <w:rsid w:val="00685BF9"/>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85BF9"/>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85BF9"/>
    <w:pPr>
      <w:tabs>
        <w:tab w:val="left" w:pos="2600"/>
      </w:tabs>
      <w:spacing w:before="200" w:after="60" w:line="240" w:lineRule="auto"/>
      <w:jc w:val="both"/>
    </w:pPr>
    <w:rPr>
      <w:rFonts w:ascii="Arial" w:eastAsia="Times New Roman" w:hAnsi="Arial" w:cs="Times New Roman"/>
      <w:b/>
      <w:sz w:val="24"/>
      <w:szCs w:val="20"/>
    </w:rPr>
  </w:style>
  <w:style w:type="paragraph" w:styleId="TOC1">
    <w:name w:val="toc 1"/>
    <w:basedOn w:val="Normal"/>
    <w:next w:val="Normal"/>
    <w:autoRedefine/>
    <w:uiPriority w:val="39"/>
    <w:unhideWhenUsed/>
    <w:rsid w:val="00685BF9"/>
    <w:pPr>
      <w:tabs>
        <w:tab w:val="left" w:pos="426"/>
        <w:tab w:val="right" w:leader="dot" w:pos="9038"/>
      </w:tabs>
      <w:spacing w:after="100"/>
    </w:pPr>
    <w:rPr>
      <w:rFonts w:ascii="Calibri" w:hAnsi="Calibri" w:cs="Calibri"/>
      <w:lang w:eastAsia="en-AU"/>
    </w:rPr>
  </w:style>
  <w:style w:type="character" w:customStyle="1" w:styleId="ListParagraphChar">
    <w:name w:val="List Paragraph Char"/>
    <w:basedOn w:val="DefaultParagraphFont"/>
    <w:link w:val="ListParagraph"/>
    <w:uiPriority w:val="34"/>
    <w:rsid w:val="00685BF9"/>
  </w:style>
  <w:style w:type="paragraph" w:styleId="BalloonText">
    <w:name w:val="Balloon Text"/>
    <w:basedOn w:val="Normal"/>
    <w:link w:val="BalloonTextChar"/>
    <w:uiPriority w:val="99"/>
    <w:semiHidden/>
    <w:unhideWhenUsed/>
    <w:rsid w:val="006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F9"/>
    <w:rPr>
      <w:rFonts w:ascii="Segoe UI" w:hAnsi="Segoe UI" w:cs="Segoe UI"/>
      <w:sz w:val="18"/>
      <w:szCs w:val="18"/>
    </w:rPr>
  </w:style>
  <w:style w:type="character" w:styleId="CommentReference">
    <w:name w:val="annotation reference"/>
    <w:basedOn w:val="DefaultParagraphFont"/>
    <w:uiPriority w:val="99"/>
    <w:semiHidden/>
    <w:unhideWhenUsed/>
    <w:rsid w:val="00685BF9"/>
    <w:rPr>
      <w:sz w:val="16"/>
      <w:szCs w:val="16"/>
    </w:rPr>
  </w:style>
  <w:style w:type="paragraph" w:styleId="CommentText">
    <w:name w:val="annotation text"/>
    <w:basedOn w:val="Normal"/>
    <w:link w:val="CommentTextChar"/>
    <w:uiPriority w:val="99"/>
    <w:unhideWhenUsed/>
    <w:rsid w:val="00685BF9"/>
    <w:pPr>
      <w:spacing w:after="200" w:line="240" w:lineRule="auto"/>
    </w:pPr>
    <w:rPr>
      <w:sz w:val="20"/>
      <w:szCs w:val="20"/>
    </w:rPr>
  </w:style>
  <w:style w:type="character" w:customStyle="1" w:styleId="CommentTextChar">
    <w:name w:val="Comment Text Char"/>
    <w:basedOn w:val="DefaultParagraphFont"/>
    <w:link w:val="CommentText"/>
    <w:uiPriority w:val="99"/>
    <w:rsid w:val="00685BF9"/>
    <w:rPr>
      <w:sz w:val="20"/>
      <w:szCs w:val="20"/>
    </w:rPr>
  </w:style>
  <w:style w:type="paragraph" w:customStyle="1" w:styleId="OMHeading1">
    <w:name w:val="OM Heading 1"/>
    <w:basedOn w:val="ListParagraph"/>
    <w:qFormat/>
    <w:rsid w:val="00685BF9"/>
    <w:pPr>
      <w:numPr>
        <w:numId w:val="6"/>
      </w:numPr>
      <w:spacing w:after="0" w:line="240" w:lineRule="auto"/>
    </w:pPr>
    <w:rPr>
      <w:rFonts w:cstheme="minorHAnsi"/>
      <w:sz w:val="36"/>
      <w:szCs w:val="36"/>
    </w:rPr>
  </w:style>
  <w:style w:type="paragraph" w:customStyle="1" w:styleId="OMHeading2">
    <w:name w:val="OM Heading 2"/>
    <w:basedOn w:val="ListParagraph"/>
    <w:qFormat/>
    <w:rsid w:val="00685BF9"/>
    <w:pPr>
      <w:numPr>
        <w:ilvl w:val="1"/>
        <w:numId w:val="6"/>
      </w:numPr>
      <w:spacing w:after="0" w:line="240" w:lineRule="auto"/>
    </w:pPr>
    <w:rPr>
      <w:rFonts w:cstheme="minorHAnsi"/>
      <w:b/>
      <w:sz w:val="28"/>
      <w:szCs w:val="28"/>
    </w:rPr>
  </w:style>
  <w:style w:type="paragraph" w:customStyle="1" w:styleId="OMHeading3">
    <w:name w:val="OM Heading 3"/>
    <w:basedOn w:val="ListParagraph"/>
    <w:link w:val="OMHeading3Char"/>
    <w:qFormat/>
    <w:rsid w:val="00685BF9"/>
    <w:pPr>
      <w:numPr>
        <w:ilvl w:val="2"/>
        <w:numId w:val="6"/>
      </w:numPr>
      <w:spacing w:after="0" w:line="240" w:lineRule="auto"/>
    </w:pPr>
    <w:rPr>
      <w:rFonts w:cstheme="minorHAnsi"/>
      <w:b/>
    </w:rPr>
  </w:style>
  <w:style w:type="character" w:customStyle="1" w:styleId="OMHeading3Char">
    <w:name w:val="OM Heading 3 Char"/>
    <w:basedOn w:val="ListParagraphChar"/>
    <w:link w:val="OMHeading3"/>
    <w:rsid w:val="00685BF9"/>
    <w:rPr>
      <w:rFonts w:cstheme="minorHAnsi"/>
      <w:b/>
    </w:rPr>
  </w:style>
  <w:style w:type="paragraph" w:styleId="CommentSubject">
    <w:name w:val="annotation subject"/>
    <w:basedOn w:val="CommentText"/>
    <w:next w:val="CommentText"/>
    <w:link w:val="CommentSubjectChar"/>
    <w:uiPriority w:val="99"/>
    <w:semiHidden/>
    <w:unhideWhenUsed/>
    <w:rsid w:val="00490AC9"/>
    <w:pPr>
      <w:spacing w:after="160"/>
    </w:pPr>
    <w:rPr>
      <w:b/>
      <w:bCs/>
    </w:rPr>
  </w:style>
  <w:style w:type="character" w:customStyle="1" w:styleId="CommentSubjectChar">
    <w:name w:val="Comment Subject Char"/>
    <w:basedOn w:val="CommentTextChar"/>
    <w:link w:val="CommentSubject"/>
    <w:uiPriority w:val="99"/>
    <w:semiHidden/>
    <w:rsid w:val="00490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5CD19.AA17C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6D51-8BB0-4838-9C43-C76A4B88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2031</Words>
  <Characters>10781</Characters>
  <Application>Microsoft Office Word</Application>
  <DocSecurity>0</DocSecurity>
  <Lines>241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Melissa</dc:creator>
  <cp:keywords/>
  <dc:description/>
  <cp:lastModifiedBy>Moxon, KarenL</cp:lastModifiedBy>
  <cp:revision>4</cp:revision>
  <cp:lastPrinted>2020-11-12T01:08:00Z</cp:lastPrinted>
  <dcterms:created xsi:type="dcterms:W3CDTF">2021-03-03T00:55:00Z</dcterms:created>
  <dcterms:modified xsi:type="dcterms:W3CDTF">2021-03-03T00:55:00Z</dcterms:modified>
</cp:coreProperties>
</file>