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C95F9" w14:textId="77777777" w:rsidR="007247D1" w:rsidRPr="001D21AA" w:rsidRDefault="007247D1" w:rsidP="007247D1">
      <w:pPr>
        <w:spacing w:before="120" w:line="276" w:lineRule="auto"/>
        <w:rPr>
          <w:rFonts w:cs="Arial"/>
        </w:rPr>
      </w:pPr>
      <w:bookmarkStart w:id="0" w:name="_Toc44738651"/>
      <w:r w:rsidRPr="001D21AA">
        <w:rPr>
          <w:rFonts w:cs="Arial"/>
        </w:rPr>
        <w:t>Australian Capital Territory</w:t>
      </w:r>
    </w:p>
    <w:p w14:paraId="47225230" w14:textId="1D7C3B4A" w:rsidR="007247D1" w:rsidRPr="0073764F" w:rsidRDefault="005B7716" w:rsidP="0073764F">
      <w:pPr>
        <w:pStyle w:val="Billname"/>
        <w:spacing w:before="700"/>
      </w:pPr>
      <w:r w:rsidRPr="005B7716">
        <w:t>Public Interest Disclosure (Integrity Commission – Managing Disclosures and Conducting Investigations) Guidelines 2021</w:t>
      </w:r>
      <w:r w:rsidR="006712EF">
        <w:t>*</w:t>
      </w:r>
    </w:p>
    <w:p w14:paraId="0AB7E863" w14:textId="6E0D8DF9" w:rsidR="007247D1" w:rsidRPr="001D21AA" w:rsidRDefault="007247D1" w:rsidP="007247D1">
      <w:pPr>
        <w:spacing w:before="340" w:line="276" w:lineRule="auto"/>
        <w:rPr>
          <w:rFonts w:cs="Arial"/>
          <w:b/>
          <w:bCs/>
        </w:rPr>
      </w:pPr>
      <w:r w:rsidRPr="001D21AA">
        <w:rPr>
          <w:rFonts w:cs="Arial"/>
          <w:b/>
          <w:bCs/>
        </w:rPr>
        <w:t>Notifiable instrument NI20</w:t>
      </w:r>
      <w:r>
        <w:rPr>
          <w:rFonts w:cs="Arial"/>
          <w:b/>
          <w:bCs/>
        </w:rPr>
        <w:t>21</w:t>
      </w:r>
      <w:r w:rsidRPr="001D21AA">
        <w:rPr>
          <w:rFonts w:cs="Arial"/>
          <w:b/>
          <w:bCs/>
        </w:rPr>
        <w:t>–</w:t>
      </w:r>
      <w:r w:rsidR="00A81B12">
        <w:rPr>
          <w:rFonts w:cs="Arial"/>
          <w:b/>
          <w:bCs/>
        </w:rPr>
        <w:t>381</w:t>
      </w:r>
    </w:p>
    <w:p w14:paraId="4C5AD57C" w14:textId="77777777" w:rsidR="007247D1" w:rsidRPr="001D21AA" w:rsidRDefault="007247D1" w:rsidP="007247D1">
      <w:pPr>
        <w:pStyle w:val="madeunder"/>
        <w:spacing w:before="300" w:after="0" w:line="276" w:lineRule="auto"/>
      </w:pPr>
      <w:r w:rsidRPr="001D21AA">
        <w:t>made under the</w:t>
      </w:r>
    </w:p>
    <w:p w14:paraId="53BCE6BD" w14:textId="3D6CFDCA" w:rsidR="007247D1" w:rsidRPr="000F4A8C" w:rsidRDefault="007247D1" w:rsidP="007247D1">
      <w:pPr>
        <w:pStyle w:val="CoverActName"/>
        <w:spacing w:before="320" w:after="0" w:line="276" w:lineRule="auto"/>
        <w:rPr>
          <w:rFonts w:cs="Arial"/>
          <w:szCs w:val="24"/>
        </w:rPr>
      </w:pPr>
      <w:r>
        <w:rPr>
          <w:rFonts w:cs="Arial"/>
          <w:i/>
          <w:iCs/>
          <w:szCs w:val="24"/>
        </w:rPr>
        <w:t>Public Interest Disclosure Act</w:t>
      </w:r>
      <w:r w:rsidRPr="000F4A8C">
        <w:rPr>
          <w:rFonts w:cs="Arial"/>
          <w:i/>
          <w:iCs/>
          <w:szCs w:val="24"/>
        </w:rPr>
        <w:t xml:space="preserve"> </w:t>
      </w:r>
      <w:r>
        <w:rPr>
          <w:rFonts w:cs="Arial"/>
          <w:i/>
          <w:iCs/>
          <w:szCs w:val="24"/>
        </w:rPr>
        <w:t>2012</w:t>
      </w:r>
      <w:r w:rsidRPr="000F4A8C">
        <w:rPr>
          <w:rFonts w:cs="Arial"/>
          <w:szCs w:val="24"/>
        </w:rPr>
        <w:t xml:space="preserve">, section </w:t>
      </w:r>
      <w:r>
        <w:rPr>
          <w:rFonts w:cs="Arial"/>
          <w:szCs w:val="24"/>
        </w:rPr>
        <w:t>32</w:t>
      </w:r>
      <w:r w:rsidRPr="000F4A8C">
        <w:rPr>
          <w:rFonts w:cs="Arial"/>
          <w:szCs w:val="24"/>
        </w:rPr>
        <w:t xml:space="preserve"> (</w:t>
      </w:r>
      <w:r>
        <w:rPr>
          <w:rFonts w:cs="Arial"/>
          <w:szCs w:val="24"/>
        </w:rPr>
        <w:t>Integrity commissioner’s</w:t>
      </w:r>
      <w:r w:rsidRPr="000F4A8C">
        <w:rPr>
          <w:rFonts w:cs="Arial"/>
          <w:szCs w:val="24"/>
        </w:rPr>
        <w:t xml:space="preserve"> guidelines)</w:t>
      </w:r>
    </w:p>
    <w:p w14:paraId="10ECC1B2" w14:textId="77777777" w:rsidR="007247D1" w:rsidRPr="001D21AA" w:rsidRDefault="007247D1" w:rsidP="007247D1">
      <w:pPr>
        <w:pStyle w:val="N-line3"/>
        <w:pBdr>
          <w:bottom w:val="none" w:sz="0" w:space="0" w:color="auto"/>
        </w:pBdr>
        <w:spacing w:before="60" w:line="276" w:lineRule="auto"/>
      </w:pPr>
    </w:p>
    <w:p w14:paraId="65CF85C1" w14:textId="77777777" w:rsidR="007247D1" w:rsidRPr="001D21AA" w:rsidRDefault="007247D1" w:rsidP="007247D1">
      <w:pPr>
        <w:pStyle w:val="N-line3"/>
        <w:pBdr>
          <w:top w:val="single" w:sz="12" w:space="1" w:color="auto"/>
          <w:bottom w:val="none" w:sz="0" w:space="0" w:color="auto"/>
        </w:pBdr>
        <w:spacing w:line="276" w:lineRule="auto"/>
      </w:pPr>
    </w:p>
    <w:p w14:paraId="654B30E0" w14:textId="77777777" w:rsidR="007247D1" w:rsidRPr="001D21AA" w:rsidRDefault="007247D1" w:rsidP="007247D1">
      <w:pPr>
        <w:spacing w:before="60" w:after="60" w:line="276" w:lineRule="auto"/>
        <w:ind w:left="720" w:hanging="720"/>
        <w:rPr>
          <w:rFonts w:cs="Arial"/>
          <w:b/>
          <w:bCs/>
        </w:rPr>
      </w:pPr>
      <w:r w:rsidRPr="001D21AA">
        <w:rPr>
          <w:rFonts w:cs="Arial"/>
          <w:b/>
          <w:bCs/>
        </w:rPr>
        <w:t>1</w:t>
      </w:r>
      <w:r w:rsidRPr="001D21AA">
        <w:rPr>
          <w:rFonts w:cs="Arial"/>
          <w:b/>
          <w:bCs/>
        </w:rPr>
        <w:tab/>
        <w:t>Name of instrument</w:t>
      </w:r>
    </w:p>
    <w:p w14:paraId="109EF392" w14:textId="4BB9E0D9" w:rsidR="007247D1" w:rsidRPr="007247D1" w:rsidRDefault="007247D1" w:rsidP="007247D1">
      <w:pPr>
        <w:spacing w:before="140" w:line="276" w:lineRule="auto"/>
        <w:ind w:left="720"/>
        <w:rPr>
          <w:rFonts w:ascii="Times New Roman" w:hAnsi="Times New Roman" w:cs="Times New Roman"/>
          <w:i/>
          <w:iCs/>
        </w:rPr>
      </w:pPr>
      <w:r w:rsidRPr="000F4A8C">
        <w:rPr>
          <w:rFonts w:ascii="Times New Roman" w:hAnsi="Times New Roman" w:cs="Times New Roman"/>
        </w:rPr>
        <w:t xml:space="preserve">This instrument is the </w:t>
      </w:r>
      <w:r w:rsidR="005B7716" w:rsidRPr="005B7716">
        <w:rPr>
          <w:rFonts w:ascii="Times New Roman" w:hAnsi="Times New Roman" w:cs="Times New Roman"/>
          <w:i/>
          <w:iCs/>
        </w:rPr>
        <w:t>Public Interest Disclosure (Integrity Commission – Managing Disclosures and Conducting Investigations) Guidelines 2021</w:t>
      </w:r>
      <w:r w:rsidRPr="007247D1">
        <w:rPr>
          <w:rFonts w:ascii="Times New Roman" w:hAnsi="Times New Roman" w:cs="Times New Roman"/>
          <w:i/>
          <w:iCs/>
        </w:rPr>
        <w:t>.</w:t>
      </w:r>
    </w:p>
    <w:p w14:paraId="3CF2D49F" w14:textId="77777777" w:rsidR="007247D1" w:rsidRPr="001D21AA" w:rsidRDefault="007247D1" w:rsidP="007247D1">
      <w:pPr>
        <w:spacing w:before="300" w:line="276" w:lineRule="auto"/>
        <w:ind w:left="720" w:hanging="720"/>
        <w:rPr>
          <w:rFonts w:cs="Arial"/>
          <w:b/>
          <w:bCs/>
        </w:rPr>
      </w:pPr>
      <w:r w:rsidRPr="001D21AA">
        <w:rPr>
          <w:rFonts w:cs="Arial"/>
          <w:b/>
          <w:bCs/>
        </w:rPr>
        <w:t>2</w:t>
      </w:r>
      <w:r w:rsidRPr="001D21AA">
        <w:rPr>
          <w:rFonts w:cs="Arial"/>
          <w:b/>
          <w:bCs/>
        </w:rPr>
        <w:tab/>
        <w:t xml:space="preserve">Commencement </w:t>
      </w:r>
    </w:p>
    <w:p w14:paraId="4AD3B486" w14:textId="77777777" w:rsidR="007247D1" w:rsidRPr="000F4A8C" w:rsidRDefault="007247D1" w:rsidP="007247D1">
      <w:pPr>
        <w:spacing w:before="140" w:line="276" w:lineRule="auto"/>
        <w:ind w:left="720"/>
        <w:rPr>
          <w:rFonts w:ascii="Times New Roman" w:hAnsi="Times New Roman" w:cs="Times New Roman"/>
        </w:rPr>
      </w:pPr>
      <w:r w:rsidRPr="000F4A8C">
        <w:rPr>
          <w:rFonts w:ascii="Times New Roman" w:hAnsi="Times New Roman" w:cs="Times New Roman"/>
        </w:rPr>
        <w:t xml:space="preserve">This instrument commences on the day after notification. </w:t>
      </w:r>
    </w:p>
    <w:p w14:paraId="36C14D93" w14:textId="77777777" w:rsidR="007247D1" w:rsidRPr="001D21AA" w:rsidRDefault="007247D1" w:rsidP="007247D1">
      <w:pPr>
        <w:spacing w:before="300" w:line="276" w:lineRule="auto"/>
        <w:ind w:left="720" w:hanging="720"/>
        <w:rPr>
          <w:rFonts w:cs="Arial"/>
          <w:b/>
          <w:bCs/>
        </w:rPr>
      </w:pPr>
      <w:r w:rsidRPr="001D21AA">
        <w:rPr>
          <w:rFonts w:cs="Arial"/>
          <w:b/>
          <w:bCs/>
        </w:rPr>
        <w:t>3</w:t>
      </w:r>
      <w:r w:rsidRPr="001D21AA">
        <w:rPr>
          <w:rFonts w:cs="Arial"/>
          <w:b/>
          <w:bCs/>
        </w:rPr>
        <w:tab/>
      </w:r>
      <w:r>
        <w:rPr>
          <w:rFonts w:cs="Arial"/>
          <w:b/>
          <w:bCs/>
        </w:rPr>
        <w:t>Commission’s</w:t>
      </w:r>
      <w:r w:rsidRPr="001D21AA">
        <w:rPr>
          <w:rFonts w:cs="Arial"/>
          <w:b/>
          <w:bCs/>
        </w:rPr>
        <w:t xml:space="preserve"> Guidelines</w:t>
      </w:r>
    </w:p>
    <w:p w14:paraId="30C9D286" w14:textId="493CEEA2" w:rsidR="007247D1" w:rsidRPr="000F4A8C" w:rsidRDefault="007247D1" w:rsidP="007247D1">
      <w:pPr>
        <w:spacing w:before="140" w:line="276" w:lineRule="auto"/>
        <w:ind w:left="720"/>
        <w:rPr>
          <w:rFonts w:ascii="Times New Roman" w:hAnsi="Times New Roman" w:cs="Times New Roman"/>
        </w:rPr>
      </w:pPr>
      <w:r w:rsidRPr="000F4A8C">
        <w:rPr>
          <w:rFonts w:ascii="Times New Roman" w:hAnsi="Times New Roman" w:cs="Times New Roman"/>
        </w:rPr>
        <w:t>I make the</w:t>
      </w:r>
      <w:r>
        <w:rPr>
          <w:rFonts w:ascii="Times New Roman" w:hAnsi="Times New Roman" w:cs="Times New Roman"/>
        </w:rPr>
        <w:t xml:space="preserve"> </w:t>
      </w:r>
      <w:r w:rsidRPr="007247D1">
        <w:rPr>
          <w:rFonts w:ascii="Times New Roman" w:hAnsi="Times New Roman" w:cs="Times New Roman"/>
          <w:i/>
          <w:iCs/>
        </w:rPr>
        <w:t>Integrity Commission (Managing Disclosures and Conducting Investigations) Guidelines 202</w:t>
      </w:r>
      <w:r>
        <w:rPr>
          <w:rFonts w:ascii="Times New Roman" w:hAnsi="Times New Roman" w:cs="Times New Roman"/>
          <w:i/>
          <w:iCs/>
        </w:rPr>
        <w:t xml:space="preserve">1 </w:t>
      </w:r>
      <w:r w:rsidRPr="000F4A8C">
        <w:rPr>
          <w:rFonts w:ascii="Times New Roman" w:hAnsi="Times New Roman" w:cs="Times New Roman"/>
        </w:rPr>
        <w:t>as set out at Schedule 1 to this instrument.</w:t>
      </w:r>
    </w:p>
    <w:bookmarkEnd w:id="0"/>
    <w:p w14:paraId="499E3B84" w14:textId="77777777" w:rsidR="007247D1" w:rsidRPr="000F4A8C" w:rsidRDefault="007247D1" w:rsidP="007247D1">
      <w:pPr>
        <w:tabs>
          <w:tab w:val="left" w:pos="-720"/>
        </w:tabs>
        <w:suppressAutoHyphens/>
        <w:spacing w:line="276" w:lineRule="auto"/>
        <w:rPr>
          <w:rFonts w:ascii="Times New Roman" w:hAnsi="Times New Roman" w:cs="Times New Roman"/>
          <w:spacing w:val="-3"/>
          <w:szCs w:val="24"/>
        </w:rPr>
      </w:pPr>
    </w:p>
    <w:p w14:paraId="565E12D0" w14:textId="77777777" w:rsidR="007247D1" w:rsidRDefault="007247D1" w:rsidP="007247D1">
      <w:pPr>
        <w:tabs>
          <w:tab w:val="left" w:pos="-720"/>
        </w:tabs>
        <w:suppressAutoHyphens/>
        <w:spacing w:line="276" w:lineRule="auto"/>
        <w:rPr>
          <w:rFonts w:ascii="Times New Roman" w:hAnsi="Times New Roman" w:cs="Times New Roman"/>
          <w:spacing w:val="-3"/>
          <w:szCs w:val="24"/>
        </w:rPr>
      </w:pPr>
    </w:p>
    <w:p w14:paraId="7204A9EC" w14:textId="77777777" w:rsidR="007247D1" w:rsidRPr="000F4A8C" w:rsidRDefault="007247D1" w:rsidP="007247D1">
      <w:pPr>
        <w:tabs>
          <w:tab w:val="left" w:pos="-720"/>
        </w:tabs>
        <w:suppressAutoHyphens/>
        <w:spacing w:line="276" w:lineRule="auto"/>
        <w:rPr>
          <w:rFonts w:ascii="Times New Roman" w:hAnsi="Times New Roman" w:cs="Times New Roman"/>
          <w:spacing w:val="-3"/>
          <w:szCs w:val="24"/>
        </w:rPr>
      </w:pPr>
    </w:p>
    <w:p w14:paraId="37F7C64F" w14:textId="77777777" w:rsidR="007247D1" w:rsidRPr="000F4A8C" w:rsidRDefault="007247D1" w:rsidP="007247D1">
      <w:pPr>
        <w:tabs>
          <w:tab w:val="left" w:pos="-720"/>
          <w:tab w:val="left" w:pos="0"/>
        </w:tabs>
        <w:suppressAutoHyphens/>
        <w:spacing w:line="276" w:lineRule="auto"/>
        <w:ind w:left="720" w:hanging="720"/>
        <w:rPr>
          <w:rFonts w:ascii="Times New Roman" w:hAnsi="Times New Roman" w:cs="Times New Roman"/>
          <w:spacing w:val="-3"/>
          <w:szCs w:val="24"/>
        </w:rPr>
      </w:pPr>
      <w:r w:rsidRPr="000F4A8C">
        <w:rPr>
          <w:rFonts w:ascii="Times New Roman" w:hAnsi="Times New Roman" w:cs="Times New Roman"/>
          <w:spacing w:val="-3"/>
          <w:szCs w:val="24"/>
        </w:rPr>
        <w:t xml:space="preserve">The Hon </w:t>
      </w:r>
      <w:r>
        <w:rPr>
          <w:rFonts w:ascii="Times New Roman" w:hAnsi="Times New Roman" w:cs="Times New Roman"/>
          <w:spacing w:val="-3"/>
          <w:szCs w:val="24"/>
        </w:rPr>
        <w:t>Michael F Adams</w:t>
      </w:r>
      <w:r w:rsidRPr="000F4A8C">
        <w:rPr>
          <w:rFonts w:ascii="Times New Roman" w:hAnsi="Times New Roman" w:cs="Times New Roman"/>
          <w:spacing w:val="-3"/>
          <w:szCs w:val="24"/>
        </w:rPr>
        <w:t xml:space="preserve"> QC</w:t>
      </w:r>
    </w:p>
    <w:p w14:paraId="377F9D0A" w14:textId="3780D3A2" w:rsidR="007247D1" w:rsidRPr="000F4A8C" w:rsidRDefault="007247D1" w:rsidP="007247D1">
      <w:pPr>
        <w:tabs>
          <w:tab w:val="left" w:pos="4320"/>
        </w:tabs>
        <w:spacing w:line="276" w:lineRule="auto"/>
        <w:rPr>
          <w:rFonts w:ascii="Times New Roman" w:hAnsi="Times New Roman" w:cs="Times New Roman"/>
        </w:rPr>
      </w:pPr>
      <w:r w:rsidRPr="000F4A8C">
        <w:rPr>
          <w:rFonts w:ascii="Times New Roman" w:hAnsi="Times New Roman" w:cs="Times New Roman"/>
        </w:rPr>
        <w:t>Commissioner</w:t>
      </w:r>
      <w:r>
        <w:rPr>
          <w:rFonts w:ascii="Times New Roman" w:hAnsi="Times New Roman" w:cs="Times New Roman"/>
        </w:rPr>
        <w:br/>
        <w:t>ACT Integrity Commission</w:t>
      </w:r>
    </w:p>
    <w:p w14:paraId="35B86864" w14:textId="1120E91C" w:rsidR="007247D1" w:rsidRPr="000F4A8C" w:rsidRDefault="007247D1" w:rsidP="007247D1">
      <w:pPr>
        <w:spacing w:line="276" w:lineRule="auto"/>
        <w:rPr>
          <w:rFonts w:ascii="Times New Roman" w:hAnsi="Times New Roman" w:cs="Times New Roman"/>
          <w:b/>
          <w:bCs/>
          <w:sz w:val="24"/>
          <w:szCs w:val="24"/>
        </w:rPr>
      </w:pPr>
      <w:r>
        <w:rPr>
          <w:rFonts w:ascii="Times New Roman" w:hAnsi="Times New Roman" w:cs="Times New Roman"/>
          <w:b/>
          <w:bCs/>
          <w:sz w:val="24"/>
          <w:szCs w:val="24"/>
        </w:rPr>
        <w:t>2</w:t>
      </w:r>
      <w:r w:rsidR="00A81B12">
        <w:rPr>
          <w:rFonts w:ascii="Times New Roman" w:hAnsi="Times New Roman" w:cs="Times New Roman"/>
          <w:b/>
          <w:bCs/>
          <w:sz w:val="24"/>
          <w:szCs w:val="24"/>
        </w:rPr>
        <w:t>4</w:t>
      </w:r>
      <w:r>
        <w:rPr>
          <w:rFonts w:ascii="Times New Roman" w:hAnsi="Times New Roman" w:cs="Times New Roman"/>
          <w:b/>
          <w:bCs/>
          <w:sz w:val="24"/>
          <w:szCs w:val="24"/>
        </w:rPr>
        <w:t xml:space="preserve"> June 2021</w:t>
      </w:r>
    </w:p>
    <w:p w14:paraId="1C192C09" w14:textId="77777777" w:rsidR="00071FFB" w:rsidRDefault="00071FFB" w:rsidP="00ED2429">
      <w:pPr>
        <w:pStyle w:val="Title"/>
      </w:pPr>
    </w:p>
    <w:p w14:paraId="009B7E6C" w14:textId="645964B0" w:rsidR="005F384E" w:rsidRDefault="005F384E" w:rsidP="00ED2429">
      <w:pPr>
        <w:pStyle w:val="Title"/>
      </w:pPr>
    </w:p>
    <w:p w14:paraId="54789A37" w14:textId="77777777" w:rsidR="005F384E" w:rsidRDefault="005F384E">
      <w:pPr>
        <w:jc w:val="left"/>
        <w:rPr>
          <w:rFonts w:asciiTheme="majorHAnsi" w:eastAsiaTheme="majorEastAsia" w:hAnsiTheme="majorHAnsi" w:cstheme="majorBidi"/>
          <w:spacing w:val="-10"/>
          <w:kern w:val="28"/>
          <w:sz w:val="56"/>
          <w:szCs w:val="56"/>
        </w:rPr>
      </w:pPr>
      <w:r>
        <w:br w:type="page"/>
      </w:r>
    </w:p>
    <w:p w14:paraId="6B8DBB7D" w14:textId="77777777" w:rsidR="005F384E" w:rsidRDefault="005F384E" w:rsidP="005F384E">
      <w:pPr>
        <w:jc w:val="left"/>
        <w:rPr>
          <w:rFonts w:cs="Arial"/>
          <w:sz w:val="44"/>
          <w:szCs w:val="44"/>
        </w:rPr>
      </w:pPr>
    </w:p>
    <w:p w14:paraId="44B02732" w14:textId="0F0C3975" w:rsidR="005F384E" w:rsidRPr="007247D1" w:rsidRDefault="007247D1" w:rsidP="005F384E">
      <w:pPr>
        <w:jc w:val="left"/>
        <w:rPr>
          <w:rFonts w:cs="Arial"/>
          <w:sz w:val="44"/>
          <w:szCs w:val="44"/>
          <w:u w:val="single"/>
        </w:rPr>
      </w:pPr>
      <w:r w:rsidRPr="007247D1">
        <w:rPr>
          <w:rFonts w:cs="Arial"/>
          <w:sz w:val="44"/>
          <w:szCs w:val="44"/>
          <w:u w:val="single"/>
        </w:rPr>
        <w:t>Schedule 1</w:t>
      </w:r>
    </w:p>
    <w:p w14:paraId="7C531362" w14:textId="375EA36C" w:rsidR="00EB1550" w:rsidRPr="005F384E" w:rsidRDefault="002B2B3B" w:rsidP="005F384E">
      <w:pPr>
        <w:jc w:val="left"/>
        <w:rPr>
          <w:rFonts w:cs="Arial"/>
          <w:sz w:val="44"/>
          <w:szCs w:val="44"/>
        </w:rPr>
      </w:pPr>
      <w:r w:rsidRPr="005F384E">
        <w:rPr>
          <w:rFonts w:cs="Arial"/>
          <w:sz w:val="44"/>
          <w:szCs w:val="44"/>
        </w:rPr>
        <w:t>Public sector</w:t>
      </w:r>
      <w:r w:rsidR="00F3612B" w:rsidRPr="005F384E">
        <w:rPr>
          <w:rFonts w:cs="Arial"/>
          <w:sz w:val="44"/>
          <w:szCs w:val="44"/>
        </w:rPr>
        <w:t xml:space="preserve"> </w:t>
      </w:r>
      <w:r w:rsidRPr="005F384E">
        <w:rPr>
          <w:rFonts w:cs="Arial"/>
          <w:sz w:val="44"/>
          <w:szCs w:val="44"/>
        </w:rPr>
        <w:t>e</w:t>
      </w:r>
      <w:r w:rsidR="00F3612B" w:rsidRPr="005F384E">
        <w:rPr>
          <w:rFonts w:cs="Arial"/>
          <w:sz w:val="44"/>
          <w:szCs w:val="44"/>
        </w:rPr>
        <w:t>ntity</w:t>
      </w:r>
      <w:r w:rsidR="00985676" w:rsidRPr="005F384E">
        <w:rPr>
          <w:rFonts w:cs="Arial"/>
          <w:sz w:val="44"/>
          <w:szCs w:val="44"/>
        </w:rPr>
        <w:t xml:space="preserve"> guide to managing disclosures and </w:t>
      </w:r>
      <w:r w:rsidR="00964F24" w:rsidRPr="005F384E">
        <w:rPr>
          <w:rFonts w:cs="Arial"/>
          <w:sz w:val="44"/>
          <w:szCs w:val="44"/>
        </w:rPr>
        <w:t xml:space="preserve">conducting investigations under the </w:t>
      </w:r>
      <w:r w:rsidR="00964F24" w:rsidRPr="005F384E">
        <w:rPr>
          <w:rFonts w:cs="Arial"/>
          <w:i/>
          <w:iCs/>
          <w:sz w:val="44"/>
          <w:szCs w:val="44"/>
        </w:rPr>
        <w:t>Public Interest Disclosure Act 2012</w:t>
      </w:r>
    </w:p>
    <w:p w14:paraId="531EF421" w14:textId="65962FE1" w:rsidR="00A335EC" w:rsidRPr="00E02569" w:rsidRDefault="00D809C3" w:rsidP="00D809C3">
      <w:pPr>
        <w:rPr>
          <w:rFonts w:cs="Arial"/>
        </w:rPr>
      </w:pPr>
      <w:r w:rsidRPr="00E02569">
        <w:rPr>
          <w:rFonts w:cs="Arial"/>
        </w:rPr>
        <w:t xml:space="preserve">A guide </w:t>
      </w:r>
      <w:r w:rsidR="00985676" w:rsidRPr="00E02569">
        <w:rPr>
          <w:rFonts w:cs="Arial"/>
        </w:rPr>
        <w:t xml:space="preserve">for </w:t>
      </w:r>
      <w:r w:rsidR="002B2B3B" w:rsidRPr="00E02569">
        <w:rPr>
          <w:rFonts w:cs="Arial"/>
        </w:rPr>
        <w:t>public sector</w:t>
      </w:r>
      <w:r w:rsidR="00F73D24" w:rsidRPr="00E02569">
        <w:rPr>
          <w:rFonts w:cs="Arial"/>
        </w:rPr>
        <w:t xml:space="preserve"> </w:t>
      </w:r>
      <w:r w:rsidR="002B2B3B" w:rsidRPr="00E02569">
        <w:rPr>
          <w:rFonts w:cs="Arial"/>
        </w:rPr>
        <w:t>e</w:t>
      </w:r>
      <w:r w:rsidR="00F3612B" w:rsidRPr="00E02569">
        <w:rPr>
          <w:rFonts w:cs="Arial"/>
        </w:rPr>
        <w:t>ntities</w:t>
      </w:r>
      <w:r w:rsidR="00985676" w:rsidRPr="00E02569">
        <w:rPr>
          <w:rFonts w:cs="Arial"/>
        </w:rPr>
        <w:t xml:space="preserve"> to assist their administration of their obligations under the </w:t>
      </w:r>
      <w:r w:rsidR="00985676" w:rsidRPr="00E02569">
        <w:rPr>
          <w:rFonts w:cs="Arial"/>
          <w:i/>
          <w:iCs/>
        </w:rPr>
        <w:t>Public</w:t>
      </w:r>
      <w:r w:rsidR="007532CF" w:rsidRPr="00E02569">
        <w:rPr>
          <w:rFonts w:cs="Arial"/>
          <w:i/>
          <w:iCs/>
        </w:rPr>
        <w:t xml:space="preserve"> </w:t>
      </w:r>
      <w:r w:rsidR="00985676" w:rsidRPr="00E02569">
        <w:rPr>
          <w:rFonts w:cs="Arial"/>
          <w:i/>
          <w:iCs/>
        </w:rPr>
        <w:t>Interest</w:t>
      </w:r>
      <w:r w:rsidR="007532CF" w:rsidRPr="00E02569">
        <w:rPr>
          <w:rFonts w:cs="Arial"/>
          <w:i/>
          <w:iCs/>
        </w:rPr>
        <w:t xml:space="preserve"> </w:t>
      </w:r>
      <w:r w:rsidR="00985676" w:rsidRPr="00E02569">
        <w:rPr>
          <w:rFonts w:cs="Arial"/>
          <w:i/>
          <w:iCs/>
        </w:rPr>
        <w:t>Disclosure</w:t>
      </w:r>
      <w:r w:rsidR="007532CF" w:rsidRPr="00E02569">
        <w:rPr>
          <w:rFonts w:cs="Arial"/>
          <w:i/>
          <w:iCs/>
        </w:rPr>
        <w:t xml:space="preserve"> </w:t>
      </w:r>
      <w:r w:rsidR="00985676" w:rsidRPr="00E02569">
        <w:rPr>
          <w:rFonts w:cs="Arial"/>
          <w:i/>
          <w:iCs/>
        </w:rPr>
        <w:t>Act</w:t>
      </w:r>
      <w:r w:rsidR="007532CF" w:rsidRPr="00E02569">
        <w:rPr>
          <w:rFonts w:cs="Arial"/>
          <w:i/>
          <w:iCs/>
        </w:rPr>
        <w:t xml:space="preserve"> </w:t>
      </w:r>
      <w:r w:rsidR="00985676" w:rsidRPr="00E02569">
        <w:rPr>
          <w:rFonts w:cs="Arial"/>
          <w:i/>
          <w:iCs/>
        </w:rPr>
        <w:t>2012</w:t>
      </w:r>
      <w:r w:rsidR="00C62262" w:rsidRPr="00E02569">
        <w:rPr>
          <w:rFonts w:cs="Arial"/>
          <w:i/>
          <w:iCs/>
        </w:rPr>
        <w:t xml:space="preserve"> </w:t>
      </w:r>
      <w:r w:rsidR="00C62262" w:rsidRPr="00E02569">
        <w:rPr>
          <w:rFonts w:cs="Arial"/>
        </w:rPr>
        <w:t>(ACT)</w:t>
      </w:r>
      <w:r w:rsidR="00985676" w:rsidRPr="00E02569">
        <w:rPr>
          <w:rFonts w:cs="Arial"/>
        </w:rPr>
        <w:t>.</w:t>
      </w:r>
    </w:p>
    <w:p w14:paraId="476FB783" w14:textId="73E4C26B" w:rsidR="009E20B1" w:rsidRPr="00D809C3" w:rsidRDefault="009E20B1" w:rsidP="00D809C3">
      <w:pPr>
        <w:rPr>
          <w:i/>
          <w:iCs/>
        </w:rPr>
        <w:sectPr w:rsidR="009E20B1" w:rsidRPr="00D809C3" w:rsidSect="00240D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sdt>
      <w:sdtPr>
        <w:rPr>
          <w:rFonts w:eastAsiaTheme="minorHAnsi" w:cstheme="minorBidi"/>
          <w:smallCaps w:val="0"/>
          <w:color w:val="auto"/>
          <w:sz w:val="22"/>
          <w:szCs w:val="22"/>
          <w:lang w:val="en-AU"/>
        </w:rPr>
        <w:id w:val="-728384039"/>
        <w:docPartObj>
          <w:docPartGallery w:val="Table of Contents"/>
          <w:docPartUnique/>
        </w:docPartObj>
      </w:sdtPr>
      <w:sdtEndPr>
        <w:rPr>
          <w:b/>
          <w:bCs/>
          <w:noProof/>
          <w:sz w:val="20"/>
        </w:rPr>
      </w:sdtEndPr>
      <w:sdtContent>
        <w:p w14:paraId="13D567B5" w14:textId="06684C7E" w:rsidR="004D2639" w:rsidRDefault="004D2639" w:rsidP="007247D1">
          <w:pPr>
            <w:pStyle w:val="TOCHeading"/>
          </w:pPr>
          <w:r>
            <w:t>Contents</w:t>
          </w:r>
        </w:p>
        <w:p w14:paraId="110E2107" w14:textId="195FBB7A" w:rsidR="001641B4" w:rsidRDefault="004D2639">
          <w:pPr>
            <w:pStyle w:val="TOC1"/>
            <w:tabs>
              <w:tab w:val="right" w:leader="dot" w:pos="9016"/>
            </w:tabs>
            <w:rPr>
              <w:rFonts w:asciiTheme="minorHAnsi" w:eastAsiaTheme="minorEastAsia" w:hAnsiTheme="minorHAnsi"/>
              <w:noProof/>
              <w:sz w:val="22"/>
              <w:lang w:eastAsia="en-AU"/>
            </w:rPr>
          </w:pPr>
          <w:r>
            <w:fldChar w:fldCharType="begin"/>
          </w:r>
          <w:r>
            <w:instrText xml:space="preserve"> TOC \o "1-3" \h \z \u </w:instrText>
          </w:r>
          <w:r>
            <w:fldChar w:fldCharType="separate"/>
          </w:r>
          <w:hyperlink w:anchor="_Toc75255135" w:history="1">
            <w:r w:rsidR="001641B4" w:rsidRPr="00E62016">
              <w:rPr>
                <w:rStyle w:val="Hyperlink"/>
                <w:noProof/>
              </w:rPr>
              <w:t>Commissioner’s foreword</w:t>
            </w:r>
            <w:r w:rsidR="001641B4">
              <w:rPr>
                <w:noProof/>
                <w:webHidden/>
              </w:rPr>
              <w:tab/>
            </w:r>
            <w:r w:rsidR="001641B4">
              <w:rPr>
                <w:noProof/>
                <w:webHidden/>
              </w:rPr>
              <w:fldChar w:fldCharType="begin"/>
            </w:r>
            <w:r w:rsidR="001641B4">
              <w:rPr>
                <w:noProof/>
                <w:webHidden/>
              </w:rPr>
              <w:instrText xml:space="preserve"> PAGEREF _Toc75255135 \h </w:instrText>
            </w:r>
            <w:r w:rsidR="001641B4">
              <w:rPr>
                <w:noProof/>
                <w:webHidden/>
              </w:rPr>
            </w:r>
            <w:r w:rsidR="001641B4">
              <w:rPr>
                <w:noProof/>
                <w:webHidden/>
              </w:rPr>
              <w:fldChar w:fldCharType="separate"/>
            </w:r>
            <w:r w:rsidR="00245E6D">
              <w:rPr>
                <w:noProof/>
                <w:webHidden/>
              </w:rPr>
              <w:t>1</w:t>
            </w:r>
            <w:r w:rsidR="001641B4">
              <w:rPr>
                <w:noProof/>
                <w:webHidden/>
              </w:rPr>
              <w:fldChar w:fldCharType="end"/>
            </w:r>
          </w:hyperlink>
        </w:p>
        <w:p w14:paraId="6615BFDD" w14:textId="5F173627" w:rsidR="001641B4" w:rsidRDefault="00342157">
          <w:pPr>
            <w:pStyle w:val="TOC1"/>
            <w:tabs>
              <w:tab w:val="right" w:leader="dot" w:pos="9016"/>
            </w:tabs>
            <w:rPr>
              <w:rFonts w:asciiTheme="minorHAnsi" w:eastAsiaTheme="minorEastAsia" w:hAnsiTheme="minorHAnsi"/>
              <w:noProof/>
              <w:sz w:val="22"/>
              <w:lang w:eastAsia="en-AU"/>
            </w:rPr>
          </w:pPr>
          <w:hyperlink w:anchor="_Toc75255136" w:history="1">
            <w:r w:rsidR="001641B4" w:rsidRPr="00E62016">
              <w:rPr>
                <w:rStyle w:val="Hyperlink"/>
                <w:noProof/>
              </w:rPr>
              <w:t>Key terms</w:t>
            </w:r>
            <w:r w:rsidR="001641B4">
              <w:rPr>
                <w:noProof/>
                <w:webHidden/>
              </w:rPr>
              <w:tab/>
            </w:r>
            <w:r w:rsidR="001641B4">
              <w:rPr>
                <w:noProof/>
                <w:webHidden/>
              </w:rPr>
              <w:fldChar w:fldCharType="begin"/>
            </w:r>
            <w:r w:rsidR="001641B4">
              <w:rPr>
                <w:noProof/>
                <w:webHidden/>
              </w:rPr>
              <w:instrText xml:space="preserve"> PAGEREF _Toc75255136 \h </w:instrText>
            </w:r>
            <w:r w:rsidR="001641B4">
              <w:rPr>
                <w:noProof/>
                <w:webHidden/>
              </w:rPr>
            </w:r>
            <w:r w:rsidR="001641B4">
              <w:rPr>
                <w:noProof/>
                <w:webHidden/>
              </w:rPr>
              <w:fldChar w:fldCharType="separate"/>
            </w:r>
            <w:r w:rsidR="00245E6D">
              <w:rPr>
                <w:noProof/>
                <w:webHidden/>
              </w:rPr>
              <w:t>2</w:t>
            </w:r>
            <w:r w:rsidR="001641B4">
              <w:rPr>
                <w:noProof/>
                <w:webHidden/>
              </w:rPr>
              <w:fldChar w:fldCharType="end"/>
            </w:r>
          </w:hyperlink>
        </w:p>
        <w:p w14:paraId="6B6E7592" w14:textId="594BE2DF" w:rsidR="001641B4" w:rsidRDefault="00342157">
          <w:pPr>
            <w:pStyle w:val="TOC1"/>
            <w:tabs>
              <w:tab w:val="right" w:leader="dot" w:pos="9016"/>
            </w:tabs>
            <w:rPr>
              <w:rFonts w:asciiTheme="minorHAnsi" w:eastAsiaTheme="minorEastAsia" w:hAnsiTheme="minorHAnsi"/>
              <w:noProof/>
              <w:sz w:val="22"/>
              <w:lang w:eastAsia="en-AU"/>
            </w:rPr>
          </w:pPr>
          <w:hyperlink w:anchor="_Toc75255137" w:history="1">
            <w:r w:rsidR="001641B4" w:rsidRPr="00E62016">
              <w:rPr>
                <w:rStyle w:val="Hyperlink"/>
                <w:noProof/>
              </w:rPr>
              <w:t>An overview of the PID scheme</w:t>
            </w:r>
            <w:r w:rsidR="001641B4">
              <w:rPr>
                <w:noProof/>
                <w:webHidden/>
              </w:rPr>
              <w:tab/>
            </w:r>
            <w:r w:rsidR="001641B4">
              <w:rPr>
                <w:noProof/>
                <w:webHidden/>
              </w:rPr>
              <w:fldChar w:fldCharType="begin"/>
            </w:r>
            <w:r w:rsidR="001641B4">
              <w:rPr>
                <w:noProof/>
                <w:webHidden/>
              </w:rPr>
              <w:instrText xml:space="preserve"> PAGEREF _Toc75255137 \h </w:instrText>
            </w:r>
            <w:r w:rsidR="001641B4">
              <w:rPr>
                <w:noProof/>
                <w:webHidden/>
              </w:rPr>
            </w:r>
            <w:r w:rsidR="001641B4">
              <w:rPr>
                <w:noProof/>
                <w:webHidden/>
              </w:rPr>
              <w:fldChar w:fldCharType="separate"/>
            </w:r>
            <w:r w:rsidR="00245E6D">
              <w:rPr>
                <w:noProof/>
                <w:webHidden/>
              </w:rPr>
              <w:t>4</w:t>
            </w:r>
            <w:r w:rsidR="001641B4">
              <w:rPr>
                <w:noProof/>
                <w:webHidden/>
              </w:rPr>
              <w:fldChar w:fldCharType="end"/>
            </w:r>
          </w:hyperlink>
        </w:p>
        <w:p w14:paraId="07A15EA6" w14:textId="7A65471B" w:rsidR="001641B4" w:rsidRDefault="00342157">
          <w:pPr>
            <w:pStyle w:val="TOC2"/>
            <w:tabs>
              <w:tab w:val="right" w:leader="dot" w:pos="9016"/>
            </w:tabs>
            <w:rPr>
              <w:rFonts w:asciiTheme="minorHAnsi" w:eastAsiaTheme="minorEastAsia" w:hAnsiTheme="minorHAnsi"/>
              <w:noProof/>
              <w:sz w:val="22"/>
              <w:lang w:eastAsia="en-AU"/>
            </w:rPr>
          </w:pPr>
          <w:hyperlink w:anchor="_Toc75255138" w:history="1">
            <w:r w:rsidR="001641B4" w:rsidRPr="00E62016">
              <w:rPr>
                <w:rStyle w:val="Hyperlink"/>
                <w:noProof/>
              </w:rPr>
              <w:t>The role of the Commission</w:t>
            </w:r>
            <w:r w:rsidR="001641B4">
              <w:rPr>
                <w:noProof/>
                <w:webHidden/>
              </w:rPr>
              <w:tab/>
            </w:r>
            <w:r w:rsidR="001641B4">
              <w:rPr>
                <w:noProof/>
                <w:webHidden/>
              </w:rPr>
              <w:fldChar w:fldCharType="begin"/>
            </w:r>
            <w:r w:rsidR="001641B4">
              <w:rPr>
                <w:noProof/>
                <w:webHidden/>
              </w:rPr>
              <w:instrText xml:space="preserve"> PAGEREF _Toc75255138 \h </w:instrText>
            </w:r>
            <w:r w:rsidR="001641B4">
              <w:rPr>
                <w:noProof/>
                <w:webHidden/>
              </w:rPr>
            </w:r>
            <w:r w:rsidR="001641B4">
              <w:rPr>
                <w:noProof/>
                <w:webHidden/>
              </w:rPr>
              <w:fldChar w:fldCharType="separate"/>
            </w:r>
            <w:r w:rsidR="00245E6D">
              <w:rPr>
                <w:noProof/>
                <w:webHidden/>
              </w:rPr>
              <w:t>4</w:t>
            </w:r>
            <w:r w:rsidR="001641B4">
              <w:rPr>
                <w:noProof/>
                <w:webHidden/>
              </w:rPr>
              <w:fldChar w:fldCharType="end"/>
            </w:r>
          </w:hyperlink>
        </w:p>
        <w:p w14:paraId="54B8BC7A" w14:textId="6D0A737E" w:rsidR="001641B4" w:rsidRDefault="00342157">
          <w:pPr>
            <w:pStyle w:val="TOC2"/>
            <w:tabs>
              <w:tab w:val="right" w:leader="dot" w:pos="9016"/>
            </w:tabs>
            <w:rPr>
              <w:rFonts w:asciiTheme="minorHAnsi" w:eastAsiaTheme="minorEastAsia" w:hAnsiTheme="minorHAnsi"/>
              <w:noProof/>
              <w:sz w:val="22"/>
              <w:lang w:eastAsia="en-AU"/>
            </w:rPr>
          </w:pPr>
          <w:hyperlink w:anchor="_Toc75255139" w:history="1">
            <w:r w:rsidR="001641B4" w:rsidRPr="00E62016">
              <w:rPr>
                <w:rStyle w:val="Hyperlink"/>
                <w:noProof/>
              </w:rPr>
              <w:t>What are PIDs and why do we need disclosers?</w:t>
            </w:r>
            <w:r w:rsidR="001641B4">
              <w:rPr>
                <w:noProof/>
                <w:webHidden/>
              </w:rPr>
              <w:tab/>
            </w:r>
            <w:r w:rsidR="001641B4">
              <w:rPr>
                <w:noProof/>
                <w:webHidden/>
              </w:rPr>
              <w:fldChar w:fldCharType="begin"/>
            </w:r>
            <w:r w:rsidR="001641B4">
              <w:rPr>
                <w:noProof/>
                <w:webHidden/>
              </w:rPr>
              <w:instrText xml:space="preserve"> PAGEREF _Toc75255139 \h </w:instrText>
            </w:r>
            <w:r w:rsidR="001641B4">
              <w:rPr>
                <w:noProof/>
                <w:webHidden/>
              </w:rPr>
            </w:r>
            <w:r w:rsidR="001641B4">
              <w:rPr>
                <w:noProof/>
                <w:webHidden/>
              </w:rPr>
              <w:fldChar w:fldCharType="separate"/>
            </w:r>
            <w:r w:rsidR="00245E6D">
              <w:rPr>
                <w:noProof/>
                <w:webHidden/>
              </w:rPr>
              <w:t>5</w:t>
            </w:r>
            <w:r w:rsidR="001641B4">
              <w:rPr>
                <w:noProof/>
                <w:webHidden/>
              </w:rPr>
              <w:fldChar w:fldCharType="end"/>
            </w:r>
          </w:hyperlink>
        </w:p>
        <w:p w14:paraId="4E237AAC" w14:textId="7702E54C" w:rsidR="001641B4" w:rsidRDefault="00342157">
          <w:pPr>
            <w:pStyle w:val="TOC2"/>
            <w:tabs>
              <w:tab w:val="right" w:leader="dot" w:pos="9016"/>
            </w:tabs>
            <w:rPr>
              <w:rFonts w:asciiTheme="minorHAnsi" w:eastAsiaTheme="minorEastAsia" w:hAnsiTheme="minorHAnsi"/>
              <w:noProof/>
              <w:sz w:val="22"/>
              <w:lang w:eastAsia="en-AU"/>
            </w:rPr>
          </w:pPr>
          <w:hyperlink w:anchor="_Toc75255140" w:history="1">
            <w:r w:rsidR="001641B4" w:rsidRPr="00E62016">
              <w:rPr>
                <w:rStyle w:val="Hyperlink"/>
                <w:noProof/>
              </w:rPr>
              <w:t>How are PIDs made?</w:t>
            </w:r>
            <w:r w:rsidR="001641B4">
              <w:rPr>
                <w:noProof/>
                <w:webHidden/>
              </w:rPr>
              <w:tab/>
            </w:r>
            <w:r w:rsidR="001641B4">
              <w:rPr>
                <w:noProof/>
                <w:webHidden/>
              </w:rPr>
              <w:fldChar w:fldCharType="begin"/>
            </w:r>
            <w:r w:rsidR="001641B4">
              <w:rPr>
                <w:noProof/>
                <w:webHidden/>
              </w:rPr>
              <w:instrText xml:space="preserve"> PAGEREF _Toc75255140 \h </w:instrText>
            </w:r>
            <w:r w:rsidR="001641B4">
              <w:rPr>
                <w:noProof/>
                <w:webHidden/>
              </w:rPr>
            </w:r>
            <w:r w:rsidR="001641B4">
              <w:rPr>
                <w:noProof/>
                <w:webHidden/>
              </w:rPr>
              <w:fldChar w:fldCharType="separate"/>
            </w:r>
            <w:r w:rsidR="00245E6D">
              <w:rPr>
                <w:noProof/>
                <w:webHidden/>
              </w:rPr>
              <w:t>5</w:t>
            </w:r>
            <w:r w:rsidR="001641B4">
              <w:rPr>
                <w:noProof/>
                <w:webHidden/>
              </w:rPr>
              <w:fldChar w:fldCharType="end"/>
            </w:r>
          </w:hyperlink>
        </w:p>
        <w:p w14:paraId="4225F6F8" w14:textId="63093A6F" w:rsidR="001641B4" w:rsidRDefault="00342157">
          <w:pPr>
            <w:pStyle w:val="TOC2"/>
            <w:tabs>
              <w:tab w:val="right" w:leader="dot" w:pos="9016"/>
            </w:tabs>
            <w:rPr>
              <w:rFonts w:asciiTheme="minorHAnsi" w:eastAsiaTheme="minorEastAsia" w:hAnsiTheme="minorHAnsi"/>
              <w:noProof/>
              <w:sz w:val="22"/>
              <w:lang w:eastAsia="en-AU"/>
            </w:rPr>
          </w:pPr>
          <w:hyperlink w:anchor="_Toc75255141" w:history="1">
            <w:r w:rsidR="001641B4" w:rsidRPr="00E62016">
              <w:rPr>
                <w:rStyle w:val="Hyperlink"/>
                <w:noProof/>
              </w:rPr>
              <w:t>What kind of report is required for a PID?</w:t>
            </w:r>
            <w:r w:rsidR="001641B4">
              <w:rPr>
                <w:noProof/>
                <w:webHidden/>
              </w:rPr>
              <w:tab/>
            </w:r>
            <w:r w:rsidR="001641B4">
              <w:rPr>
                <w:noProof/>
                <w:webHidden/>
              </w:rPr>
              <w:fldChar w:fldCharType="begin"/>
            </w:r>
            <w:r w:rsidR="001641B4">
              <w:rPr>
                <w:noProof/>
                <w:webHidden/>
              </w:rPr>
              <w:instrText xml:space="preserve"> PAGEREF _Toc75255141 \h </w:instrText>
            </w:r>
            <w:r w:rsidR="001641B4">
              <w:rPr>
                <w:noProof/>
                <w:webHidden/>
              </w:rPr>
            </w:r>
            <w:r w:rsidR="001641B4">
              <w:rPr>
                <w:noProof/>
                <w:webHidden/>
              </w:rPr>
              <w:fldChar w:fldCharType="separate"/>
            </w:r>
            <w:r w:rsidR="00245E6D">
              <w:rPr>
                <w:noProof/>
                <w:webHidden/>
              </w:rPr>
              <w:t>6</w:t>
            </w:r>
            <w:r w:rsidR="001641B4">
              <w:rPr>
                <w:noProof/>
                <w:webHidden/>
              </w:rPr>
              <w:fldChar w:fldCharType="end"/>
            </w:r>
          </w:hyperlink>
        </w:p>
        <w:p w14:paraId="458063CE" w14:textId="632FC913" w:rsidR="001641B4" w:rsidRDefault="00342157">
          <w:pPr>
            <w:pStyle w:val="TOC3"/>
            <w:tabs>
              <w:tab w:val="right" w:leader="dot" w:pos="9016"/>
            </w:tabs>
            <w:rPr>
              <w:rFonts w:asciiTheme="minorHAnsi" w:eastAsiaTheme="minorEastAsia" w:hAnsiTheme="minorHAnsi"/>
              <w:noProof/>
              <w:sz w:val="22"/>
              <w:lang w:eastAsia="en-AU"/>
            </w:rPr>
          </w:pPr>
          <w:hyperlink w:anchor="_Toc75255142" w:history="1">
            <w:r w:rsidR="001641B4" w:rsidRPr="00E62016">
              <w:rPr>
                <w:rStyle w:val="Hyperlink"/>
                <w:noProof/>
              </w:rPr>
              <w:t>Maladministration</w:t>
            </w:r>
            <w:r w:rsidR="001641B4">
              <w:rPr>
                <w:noProof/>
                <w:webHidden/>
              </w:rPr>
              <w:tab/>
            </w:r>
            <w:r w:rsidR="001641B4">
              <w:rPr>
                <w:noProof/>
                <w:webHidden/>
              </w:rPr>
              <w:fldChar w:fldCharType="begin"/>
            </w:r>
            <w:r w:rsidR="001641B4">
              <w:rPr>
                <w:noProof/>
                <w:webHidden/>
              </w:rPr>
              <w:instrText xml:space="preserve"> PAGEREF _Toc75255142 \h </w:instrText>
            </w:r>
            <w:r w:rsidR="001641B4">
              <w:rPr>
                <w:noProof/>
                <w:webHidden/>
              </w:rPr>
            </w:r>
            <w:r w:rsidR="001641B4">
              <w:rPr>
                <w:noProof/>
                <w:webHidden/>
              </w:rPr>
              <w:fldChar w:fldCharType="separate"/>
            </w:r>
            <w:r w:rsidR="00245E6D">
              <w:rPr>
                <w:noProof/>
                <w:webHidden/>
              </w:rPr>
              <w:t>7</w:t>
            </w:r>
            <w:r w:rsidR="001641B4">
              <w:rPr>
                <w:noProof/>
                <w:webHidden/>
              </w:rPr>
              <w:fldChar w:fldCharType="end"/>
            </w:r>
          </w:hyperlink>
        </w:p>
        <w:p w14:paraId="6981BC43" w14:textId="7C781CDA" w:rsidR="001641B4" w:rsidRDefault="00342157">
          <w:pPr>
            <w:pStyle w:val="TOC3"/>
            <w:tabs>
              <w:tab w:val="right" w:leader="dot" w:pos="9016"/>
            </w:tabs>
            <w:rPr>
              <w:rFonts w:asciiTheme="minorHAnsi" w:eastAsiaTheme="minorEastAsia" w:hAnsiTheme="minorHAnsi"/>
              <w:noProof/>
              <w:sz w:val="22"/>
              <w:lang w:eastAsia="en-AU"/>
            </w:rPr>
          </w:pPr>
          <w:hyperlink w:anchor="_Toc75255143" w:history="1">
            <w:r w:rsidR="001641B4" w:rsidRPr="00E62016">
              <w:rPr>
                <w:rStyle w:val="Hyperlink"/>
                <w:noProof/>
              </w:rPr>
              <w:t>Substantial and specific danger to public health or safety, or the environment</w:t>
            </w:r>
            <w:r w:rsidR="001641B4">
              <w:rPr>
                <w:noProof/>
                <w:webHidden/>
              </w:rPr>
              <w:tab/>
            </w:r>
            <w:r w:rsidR="001641B4">
              <w:rPr>
                <w:noProof/>
                <w:webHidden/>
              </w:rPr>
              <w:fldChar w:fldCharType="begin"/>
            </w:r>
            <w:r w:rsidR="001641B4">
              <w:rPr>
                <w:noProof/>
                <w:webHidden/>
              </w:rPr>
              <w:instrText xml:space="preserve"> PAGEREF _Toc75255143 \h </w:instrText>
            </w:r>
            <w:r w:rsidR="001641B4">
              <w:rPr>
                <w:noProof/>
                <w:webHidden/>
              </w:rPr>
            </w:r>
            <w:r w:rsidR="001641B4">
              <w:rPr>
                <w:noProof/>
                <w:webHidden/>
              </w:rPr>
              <w:fldChar w:fldCharType="separate"/>
            </w:r>
            <w:r w:rsidR="00245E6D">
              <w:rPr>
                <w:noProof/>
                <w:webHidden/>
              </w:rPr>
              <w:t>7</w:t>
            </w:r>
            <w:r w:rsidR="001641B4">
              <w:rPr>
                <w:noProof/>
                <w:webHidden/>
              </w:rPr>
              <w:fldChar w:fldCharType="end"/>
            </w:r>
          </w:hyperlink>
        </w:p>
        <w:p w14:paraId="31203BCB" w14:textId="533F11C2" w:rsidR="001641B4" w:rsidRDefault="00342157">
          <w:pPr>
            <w:pStyle w:val="TOC2"/>
            <w:tabs>
              <w:tab w:val="right" w:leader="dot" w:pos="9016"/>
            </w:tabs>
            <w:rPr>
              <w:rFonts w:asciiTheme="minorHAnsi" w:eastAsiaTheme="minorEastAsia" w:hAnsiTheme="minorHAnsi"/>
              <w:noProof/>
              <w:sz w:val="22"/>
              <w:lang w:eastAsia="en-AU"/>
            </w:rPr>
          </w:pPr>
          <w:hyperlink w:anchor="_Toc75255144" w:history="1">
            <w:r w:rsidR="001641B4" w:rsidRPr="00E62016">
              <w:rPr>
                <w:rStyle w:val="Hyperlink"/>
                <w:noProof/>
              </w:rPr>
              <w:t>Who can a report be made to?</w:t>
            </w:r>
            <w:r w:rsidR="001641B4">
              <w:rPr>
                <w:noProof/>
                <w:webHidden/>
              </w:rPr>
              <w:tab/>
            </w:r>
            <w:r w:rsidR="001641B4">
              <w:rPr>
                <w:noProof/>
                <w:webHidden/>
              </w:rPr>
              <w:fldChar w:fldCharType="begin"/>
            </w:r>
            <w:r w:rsidR="001641B4">
              <w:rPr>
                <w:noProof/>
                <w:webHidden/>
              </w:rPr>
              <w:instrText xml:space="preserve"> PAGEREF _Toc75255144 \h </w:instrText>
            </w:r>
            <w:r w:rsidR="001641B4">
              <w:rPr>
                <w:noProof/>
                <w:webHidden/>
              </w:rPr>
            </w:r>
            <w:r w:rsidR="001641B4">
              <w:rPr>
                <w:noProof/>
                <w:webHidden/>
              </w:rPr>
              <w:fldChar w:fldCharType="separate"/>
            </w:r>
            <w:r w:rsidR="00245E6D">
              <w:rPr>
                <w:noProof/>
                <w:webHidden/>
              </w:rPr>
              <w:t>8</w:t>
            </w:r>
            <w:r w:rsidR="001641B4">
              <w:rPr>
                <w:noProof/>
                <w:webHidden/>
              </w:rPr>
              <w:fldChar w:fldCharType="end"/>
            </w:r>
          </w:hyperlink>
        </w:p>
        <w:p w14:paraId="3CA2B256" w14:textId="324DCD20" w:rsidR="001641B4" w:rsidRDefault="00342157">
          <w:pPr>
            <w:pStyle w:val="TOC2"/>
            <w:tabs>
              <w:tab w:val="right" w:leader="dot" w:pos="9016"/>
            </w:tabs>
            <w:rPr>
              <w:rFonts w:asciiTheme="minorHAnsi" w:eastAsiaTheme="minorEastAsia" w:hAnsiTheme="minorHAnsi"/>
              <w:noProof/>
              <w:sz w:val="22"/>
              <w:lang w:eastAsia="en-AU"/>
            </w:rPr>
          </w:pPr>
          <w:hyperlink w:anchor="_Toc75255145" w:history="1">
            <w:r w:rsidR="001641B4" w:rsidRPr="00E62016">
              <w:rPr>
                <w:rStyle w:val="Hyperlink"/>
                <w:noProof/>
              </w:rPr>
              <w:t>When can PIDs be made or referred to a third party?</w:t>
            </w:r>
            <w:r w:rsidR="001641B4">
              <w:rPr>
                <w:noProof/>
                <w:webHidden/>
              </w:rPr>
              <w:tab/>
            </w:r>
            <w:r w:rsidR="001641B4">
              <w:rPr>
                <w:noProof/>
                <w:webHidden/>
              </w:rPr>
              <w:fldChar w:fldCharType="begin"/>
            </w:r>
            <w:r w:rsidR="001641B4">
              <w:rPr>
                <w:noProof/>
                <w:webHidden/>
              </w:rPr>
              <w:instrText xml:space="preserve"> PAGEREF _Toc75255145 \h </w:instrText>
            </w:r>
            <w:r w:rsidR="001641B4">
              <w:rPr>
                <w:noProof/>
                <w:webHidden/>
              </w:rPr>
            </w:r>
            <w:r w:rsidR="001641B4">
              <w:rPr>
                <w:noProof/>
                <w:webHidden/>
              </w:rPr>
              <w:fldChar w:fldCharType="separate"/>
            </w:r>
            <w:r w:rsidR="00245E6D">
              <w:rPr>
                <w:noProof/>
                <w:webHidden/>
              </w:rPr>
              <w:t>9</w:t>
            </w:r>
            <w:r w:rsidR="001641B4">
              <w:rPr>
                <w:noProof/>
                <w:webHidden/>
              </w:rPr>
              <w:fldChar w:fldCharType="end"/>
            </w:r>
          </w:hyperlink>
        </w:p>
        <w:p w14:paraId="48A0740B" w14:textId="4B36DB9B" w:rsidR="001641B4" w:rsidRDefault="00342157">
          <w:pPr>
            <w:pStyle w:val="TOC3"/>
            <w:tabs>
              <w:tab w:val="right" w:leader="dot" w:pos="9016"/>
            </w:tabs>
            <w:rPr>
              <w:rFonts w:asciiTheme="minorHAnsi" w:eastAsiaTheme="minorEastAsia" w:hAnsiTheme="minorHAnsi"/>
              <w:noProof/>
              <w:sz w:val="22"/>
              <w:lang w:eastAsia="en-AU"/>
            </w:rPr>
          </w:pPr>
          <w:hyperlink w:anchor="_Toc75255146" w:history="1">
            <w:r w:rsidR="001641B4" w:rsidRPr="00E62016">
              <w:rPr>
                <w:rStyle w:val="Hyperlink"/>
                <w:noProof/>
              </w:rPr>
              <w:t>Making a report to a third party</w:t>
            </w:r>
            <w:r w:rsidR="001641B4">
              <w:rPr>
                <w:noProof/>
                <w:webHidden/>
              </w:rPr>
              <w:tab/>
            </w:r>
            <w:r w:rsidR="001641B4">
              <w:rPr>
                <w:noProof/>
                <w:webHidden/>
              </w:rPr>
              <w:fldChar w:fldCharType="begin"/>
            </w:r>
            <w:r w:rsidR="001641B4">
              <w:rPr>
                <w:noProof/>
                <w:webHidden/>
              </w:rPr>
              <w:instrText xml:space="preserve"> PAGEREF _Toc75255146 \h </w:instrText>
            </w:r>
            <w:r w:rsidR="001641B4">
              <w:rPr>
                <w:noProof/>
                <w:webHidden/>
              </w:rPr>
            </w:r>
            <w:r w:rsidR="001641B4">
              <w:rPr>
                <w:noProof/>
                <w:webHidden/>
              </w:rPr>
              <w:fldChar w:fldCharType="separate"/>
            </w:r>
            <w:r w:rsidR="00245E6D">
              <w:rPr>
                <w:noProof/>
                <w:webHidden/>
              </w:rPr>
              <w:t>9</w:t>
            </w:r>
            <w:r w:rsidR="001641B4">
              <w:rPr>
                <w:noProof/>
                <w:webHidden/>
              </w:rPr>
              <w:fldChar w:fldCharType="end"/>
            </w:r>
          </w:hyperlink>
        </w:p>
        <w:p w14:paraId="4E90ABED" w14:textId="1DCB798D" w:rsidR="001641B4" w:rsidRDefault="00342157">
          <w:pPr>
            <w:pStyle w:val="TOC3"/>
            <w:tabs>
              <w:tab w:val="right" w:leader="dot" w:pos="9016"/>
            </w:tabs>
            <w:rPr>
              <w:rFonts w:asciiTheme="minorHAnsi" w:eastAsiaTheme="minorEastAsia" w:hAnsiTheme="minorHAnsi"/>
              <w:noProof/>
              <w:sz w:val="22"/>
              <w:lang w:eastAsia="en-AU"/>
            </w:rPr>
          </w:pPr>
          <w:hyperlink w:anchor="_Toc75255147" w:history="1">
            <w:r w:rsidR="001641B4" w:rsidRPr="00E62016">
              <w:rPr>
                <w:rStyle w:val="Hyperlink"/>
                <w:noProof/>
              </w:rPr>
              <w:t>Where an existing PID may be provided to a third party</w:t>
            </w:r>
            <w:r w:rsidR="001641B4">
              <w:rPr>
                <w:noProof/>
                <w:webHidden/>
              </w:rPr>
              <w:tab/>
            </w:r>
            <w:r w:rsidR="001641B4">
              <w:rPr>
                <w:noProof/>
                <w:webHidden/>
              </w:rPr>
              <w:fldChar w:fldCharType="begin"/>
            </w:r>
            <w:r w:rsidR="001641B4">
              <w:rPr>
                <w:noProof/>
                <w:webHidden/>
              </w:rPr>
              <w:instrText xml:space="preserve"> PAGEREF _Toc75255147 \h </w:instrText>
            </w:r>
            <w:r w:rsidR="001641B4">
              <w:rPr>
                <w:noProof/>
                <w:webHidden/>
              </w:rPr>
            </w:r>
            <w:r w:rsidR="001641B4">
              <w:rPr>
                <w:noProof/>
                <w:webHidden/>
              </w:rPr>
              <w:fldChar w:fldCharType="separate"/>
            </w:r>
            <w:r w:rsidR="00245E6D">
              <w:rPr>
                <w:noProof/>
                <w:webHidden/>
              </w:rPr>
              <w:t>9</w:t>
            </w:r>
            <w:r w:rsidR="001641B4">
              <w:rPr>
                <w:noProof/>
                <w:webHidden/>
              </w:rPr>
              <w:fldChar w:fldCharType="end"/>
            </w:r>
          </w:hyperlink>
        </w:p>
        <w:p w14:paraId="1F208C73" w14:textId="11BA619C" w:rsidR="001641B4" w:rsidRDefault="00342157">
          <w:pPr>
            <w:pStyle w:val="TOC2"/>
            <w:tabs>
              <w:tab w:val="right" w:leader="dot" w:pos="9016"/>
            </w:tabs>
            <w:rPr>
              <w:rFonts w:asciiTheme="minorHAnsi" w:eastAsiaTheme="minorEastAsia" w:hAnsiTheme="minorHAnsi"/>
              <w:noProof/>
              <w:sz w:val="22"/>
              <w:lang w:eastAsia="en-AU"/>
            </w:rPr>
          </w:pPr>
          <w:hyperlink w:anchor="_Toc75255148" w:history="1">
            <w:r w:rsidR="001641B4" w:rsidRPr="00E62016">
              <w:rPr>
                <w:rStyle w:val="Hyperlink"/>
                <w:noProof/>
              </w:rPr>
              <w:t>What is not disclosable conduct?</w:t>
            </w:r>
            <w:r w:rsidR="001641B4">
              <w:rPr>
                <w:noProof/>
                <w:webHidden/>
              </w:rPr>
              <w:tab/>
            </w:r>
            <w:r w:rsidR="001641B4">
              <w:rPr>
                <w:noProof/>
                <w:webHidden/>
              </w:rPr>
              <w:fldChar w:fldCharType="begin"/>
            </w:r>
            <w:r w:rsidR="001641B4">
              <w:rPr>
                <w:noProof/>
                <w:webHidden/>
              </w:rPr>
              <w:instrText xml:space="preserve"> PAGEREF _Toc75255148 \h </w:instrText>
            </w:r>
            <w:r w:rsidR="001641B4">
              <w:rPr>
                <w:noProof/>
                <w:webHidden/>
              </w:rPr>
            </w:r>
            <w:r w:rsidR="001641B4">
              <w:rPr>
                <w:noProof/>
                <w:webHidden/>
              </w:rPr>
              <w:fldChar w:fldCharType="separate"/>
            </w:r>
            <w:r w:rsidR="00245E6D">
              <w:rPr>
                <w:noProof/>
                <w:webHidden/>
              </w:rPr>
              <w:t>10</w:t>
            </w:r>
            <w:r w:rsidR="001641B4">
              <w:rPr>
                <w:noProof/>
                <w:webHidden/>
              </w:rPr>
              <w:fldChar w:fldCharType="end"/>
            </w:r>
          </w:hyperlink>
        </w:p>
        <w:p w14:paraId="3EB8DA17" w14:textId="7019A584" w:rsidR="001641B4" w:rsidRDefault="00342157">
          <w:pPr>
            <w:pStyle w:val="TOC2"/>
            <w:tabs>
              <w:tab w:val="right" w:leader="dot" w:pos="9016"/>
            </w:tabs>
            <w:rPr>
              <w:rFonts w:asciiTheme="minorHAnsi" w:eastAsiaTheme="minorEastAsia" w:hAnsiTheme="minorHAnsi"/>
              <w:noProof/>
              <w:sz w:val="22"/>
              <w:lang w:eastAsia="en-AU"/>
            </w:rPr>
          </w:pPr>
          <w:hyperlink w:anchor="_Toc75255149" w:history="1">
            <w:r w:rsidR="001641B4" w:rsidRPr="00E62016">
              <w:rPr>
                <w:rStyle w:val="Hyperlink"/>
                <w:noProof/>
              </w:rPr>
              <w:t>What protections do PID disclosers get?</w:t>
            </w:r>
            <w:r w:rsidR="001641B4">
              <w:rPr>
                <w:noProof/>
                <w:webHidden/>
              </w:rPr>
              <w:tab/>
            </w:r>
            <w:r w:rsidR="001641B4">
              <w:rPr>
                <w:noProof/>
                <w:webHidden/>
              </w:rPr>
              <w:fldChar w:fldCharType="begin"/>
            </w:r>
            <w:r w:rsidR="001641B4">
              <w:rPr>
                <w:noProof/>
                <w:webHidden/>
              </w:rPr>
              <w:instrText xml:space="preserve"> PAGEREF _Toc75255149 \h </w:instrText>
            </w:r>
            <w:r w:rsidR="001641B4">
              <w:rPr>
                <w:noProof/>
                <w:webHidden/>
              </w:rPr>
            </w:r>
            <w:r w:rsidR="001641B4">
              <w:rPr>
                <w:noProof/>
                <w:webHidden/>
              </w:rPr>
              <w:fldChar w:fldCharType="separate"/>
            </w:r>
            <w:r w:rsidR="00245E6D">
              <w:rPr>
                <w:noProof/>
                <w:webHidden/>
              </w:rPr>
              <w:t>12</w:t>
            </w:r>
            <w:r w:rsidR="001641B4">
              <w:rPr>
                <w:noProof/>
                <w:webHidden/>
              </w:rPr>
              <w:fldChar w:fldCharType="end"/>
            </w:r>
          </w:hyperlink>
        </w:p>
        <w:p w14:paraId="549374AD" w14:textId="5841C34A" w:rsidR="001641B4" w:rsidRDefault="00342157">
          <w:pPr>
            <w:pStyle w:val="TOC3"/>
            <w:tabs>
              <w:tab w:val="right" w:leader="dot" w:pos="9016"/>
            </w:tabs>
            <w:rPr>
              <w:rFonts w:asciiTheme="minorHAnsi" w:eastAsiaTheme="minorEastAsia" w:hAnsiTheme="minorHAnsi"/>
              <w:noProof/>
              <w:sz w:val="22"/>
              <w:lang w:eastAsia="en-AU"/>
            </w:rPr>
          </w:pPr>
          <w:hyperlink w:anchor="_Toc75255150" w:history="1">
            <w:r w:rsidR="001641B4" w:rsidRPr="00E62016">
              <w:rPr>
                <w:rStyle w:val="Hyperlink"/>
                <w:noProof/>
              </w:rPr>
              <w:t>Immunity from liability</w:t>
            </w:r>
            <w:r w:rsidR="001641B4">
              <w:rPr>
                <w:noProof/>
                <w:webHidden/>
              </w:rPr>
              <w:tab/>
            </w:r>
            <w:r w:rsidR="001641B4">
              <w:rPr>
                <w:noProof/>
                <w:webHidden/>
              </w:rPr>
              <w:fldChar w:fldCharType="begin"/>
            </w:r>
            <w:r w:rsidR="001641B4">
              <w:rPr>
                <w:noProof/>
                <w:webHidden/>
              </w:rPr>
              <w:instrText xml:space="preserve"> PAGEREF _Toc75255150 \h </w:instrText>
            </w:r>
            <w:r w:rsidR="001641B4">
              <w:rPr>
                <w:noProof/>
                <w:webHidden/>
              </w:rPr>
            </w:r>
            <w:r w:rsidR="001641B4">
              <w:rPr>
                <w:noProof/>
                <w:webHidden/>
              </w:rPr>
              <w:fldChar w:fldCharType="separate"/>
            </w:r>
            <w:r w:rsidR="00245E6D">
              <w:rPr>
                <w:noProof/>
                <w:webHidden/>
              </w:rPr>
              <w:t>12</w:t>
            </w:r>
            <w:r w:rsidR="001641B4">
              <w:rPr>
                <w:noProof/>
                <w:webHidden/>
              </w:rPr>
              <w:fldChar w:fldCharType="end"/>
            </w:r>
          </w:hyperlink>
        </w:p>
        <w:p w14:paraId="37F00643" w14:textId="0159EB29" w:rsidR="001641B4" w:rsidRDefault="00342157">
          <w:pPr>
            <w:pStyle w:val="TOC3"/>
            <w:tabs>
              <w:tab w:val="right" w:leader="dot" w:pos="9016"/>
            </w:tabs>
            <w:rPr>
              <w:rFonts w:asciiTheme="minorHAnsi" w:eastAsiaTheme="minorEastAsia" w:hAnsiTheme="minorHAnsi"/>
              <w:noProof/>
              <w:sz w:val="22"/>
              <w:lang w:eastAsia="en-AU"/>
            </w:rPr>
          </w:pPr>
          <w:hyperlink w:anchor="_Toc75255151" w:history="1">
            <w:r w:rsidR="001641B4" w:rsidRPr="00E62016">
              <w:rPr>
                <w:rStyle w:val="Hyperlink"/>
                <w:noProof/>
              </w:rPr>
              <w:t>Protection from ‘detrimental action’</w:t>
            </w:r>
            <w:r w:rsidR="001641B4">
              <w:rPr>
                <w:noProof/>
                <w:webHidden/>
              </w:rPr>
              <w:tab/>
            </w:r>
            <w:r w:rsidR="001641B4">
              <w:rPr>
                <w:noProof/>
                <w:webHidden/>
              </w:rPr>
              <w:fldChar w:fldCharType="begin"/>
            </w:r>
            <w:r w:rsidR="001641B4">
              <w:rPr>
                <w:noProof/>
                <w:webHidden/>
              </w:rPr>
              <w:instrText xml:space="preserve"> PAGEREF _Toc75255151 \h </w:instrText>
            </w:r>
            <w:r w:rsidR="001641B4">
              <w:rPr>
                <w:noProof/>
                <w:webHidden/>
              </w:rPr>
            </w:r>
            <w:r w:rsidR="001641B4">
              <w:rPr>
                <w:noProof/>
                <w:webHidden/>
              </w:rPr>
              <w:fldChar w:fldCharType="separate"/>
            </w:r>
            <w:r w:rsidR="00245E6D">
              <w:rPr>
                <w:noProof/>
                <w:webHidden/>
              </w:rPr>
              <w:t>13</w:t>
            </w:r>
            <w:r w:rsidR="001641B4">
              <w:rPr>
                <w:noProof/>
                <w:webHidden/>
              </w:rPr>
              <w:fldChar w:fldCharType="end"/>
            </w:r>
          </w:hyperlink>
        </w:p>
        <w:p w14:paraId="0E2D0405" w14:textId="7787BD30" w:rsidR="001641B4" w:rsidRDefault="00342157">
          <w:pPr>
            <w:pStyle w:val="TOC3"/>
            <w:tabs>
              <w:tab w:val="right" w:leader="dot" w:pos="9016"/>
            </w:tabs>
            <w:rPr>
              <w:rFonts w:asciiTheme="minorHAnsi" w:eastAsiaTheme="minorEastAsia" w:hAnsiTheme="minorHAnsi"/>
              <w:noProof/>
              <w:sz w:val="22"/>
              <w:lang w:eastAsia="en-AU"/>
            </w:rPr>
          </w:pPr>
          <w:hyperlink w:anchor="_Toc75255152" w:history="1">
            <w:r w:rsidR="001641B4" w:rsidRPr="00E62016">
              <w:rPr>
                <w:rStyle w:val="Hyperlink"/>
                <w:noProof/>
              </w:rPr>
              <w:t>Consequences for taking detrimental action</w:t>
            </w:r>
            <w:r w:rsidR="001641B4">
              <w:rPr>
                <w:noProof/>
                <w:webHidden/>
              </w:rPr>
              <w:tab/>
            </w:r>
            <w:r w:rsidR="001641B4">
              <w:rPr>
                <w:noProof/>
                <w:webHidden/>
              </w:rPr>
              <w:fldChar w:fldCharType="begin"/>
            </w:r>
            <w:r w:rsidR="001641B4">
              <w:rPr>
                <w:noProof/>
                <w:webHidden/>
              </w:rPr>
              <w:instrText xml:space="preserve"> PAGEREF _Toc75255152 \h </w:instrText>
            </w:r>
            <w:r w:rsidR="001641B4">
              <w:rPr>
                <w:noProof/>
                <w:webHidden/>
              </w:rPr>
            </w:r>
            <w:r w:rsidR="001641B4">
              <w:rPr>
                <w:noProof/>
                <w:webHidden/>
              </w:rPr>
              <w:fldChar w:fldCharType="separate"/>
            </w:r>
            <w:r w:rsidR="00245E6D">
              <w:rPr>
                <w:noProof/>
                <w:webHidden/>
              </w:rPr>
              <w:t>14</w:t>
            </w:r>
            <w:r w:rsidR="001641B4">
              <w:rPr>
                <w:noProof/>
                <w:webHidden/>
              </w:rPr>
              <w:fldChar w:fldCharType="end"/>
            </w:r>
          </w:hyperlink>
        </w:p>
        <w:p w14:paraId="6FFFF8D3" w14:textId="25F37C3E" w:rsidR="001641B4" w:rsidRDefault="00342157">
          <w:pPr>
            <w:pStyle w:val="TOC3"/>
            <w:tabs>
              <w:tab w:val="right" w:leader="dot" w:pos="9016"/>
            </w:tabs>
            <w:rPr>
              <w:rFonts w:asciiTheme="minorHAnsi" w:eastAsiaTheme="minorEastAsia" w:hAnsiTheme="minorHAnsi"/>
              <w:noProof/>
              <w:sz w:val="22"/>
              <w:lang w:eastAsia="en-AU"/>
            </w:rPr>
          </w:pPr>
          <w:hyperlink w:anchor="_Toc75255153" w:history="1">
            <w:r w:rsidR="001641B4" w:rsidRPr="00E62016">
              <w:rPr>
                <w:rStyle w:val="Hyperlink"/>
                <w:noProof/>
              </w:rPr>
              <w:t>Protection from the misuse of protected information</w:t>
            </w:r>
            <w:r w:rsidR="001641B4">
              <w:rPr>
                <w:noProof/>
                <w:webHidden/>
              </w:rPr>
              <w:tab/>
            </w:r>
            <w:r w:rsidR="001641B4">
              <w:rPr>
                <w:noProof/>
                <w:webHidden/>
              </w:rPr>
              <w:fldChar w:fldCharType="begin"/>
            </w:r>
            <w:r w:rsidR="001641B4">
              <w:rPr>
                <w:noProof/>
                <w:webHidden/>
              </w:rPr>
              <w:instrText xml:space="preserve"> PAGEREF _Toc75255153 \h </w:instrText>
            </w:r>
            <w:r w:rsidR="001641B4">
              <w:rPr>
                <w:noProof/>
                <w:webHidden/>
              </w:rPr>
            </w:r>
            <w:r w:rsidR="001641B4">
              <w:rPr>
                <w:noProof/>
                <w:webHidden/>
              </w:rPr>
              <w:fldChar w:fldCharType="separate"/>
            </w:r>
            <w:r w:rsidR="00245E6D">
              <w:rPr>
                <w:noProof/>
                <w:webHidden/>
              </w:rPr>
              <w:t>15</w:t>
            </w:r>
            <w:r w:rsidR="001641B4">
              <w:rPr>
                <w:noProof/>
                <w:webHidden/>
              </w:rPr>
              <w:fldChar w:fldCharType="end"/>
            </w:r>
          </w:hyperlink>
        </w:p>
        <w:p w14:paraId="49F99BA8" w14:textId="23D3C62D" w:rsidR="001641B4" w:rsidRDefault="00342157">
          <w:pPr>
            <w:pStyle w:val="TOC3"/>
            <w:tabs>
              <w:tab w:val="right" w:leader="dot" w:pos="9016"/>
            </w:tabs>
            <w:rPr>
              <w:rFonts w:asciiTheme="minorHAnsi" w:eastAsiaTheme="minorEastAsia" w:hAnsiTheme="minorHAnsi"/>
              <w:noProof/>
              <w:sz w:val="22"/>
              <w:lang w:eastAsia="en-AU"/>
            </w:rPr>
          </w:pPr>
          <w:hyperlink w:anchor="_Toc75255154" w:history="1">
            <w:r w:rsidR="001641B4" w:rsidRPr="00E62016">
              <w:rPr>
                <w:rStyle w:val="Hyperlink"/>
                <w:noProof/>
              </w:rPr>
              <w:t>Protection for witnesses</w:t>
            </w:r>
            <w:r w:rsidR="001641B4">
              <w:rPr>
                <w:noProof/>
                <w:webHidden/>
              </w:rPr>
              <w:tab/>
            </w:r>
            <w:r w:rsidR="001641B4">
              <w:rPr>
                <w:noProof/>
                <w:webHidden/>
              </w:rPr>
              <w:fldChar w:fldCharType="begin"/>
            </w:r>
            <w:r w:rsidR="001641B4">
              <w:rPr>
                <w:noProof/>
                <w:webHidden/>
              </w:rPr>
              <w:instrText xml:space="preserve"> PAGEREF _Toc75255154 \h </w:instrText>
            </w:r>
            <w:r w:rsidR="001641B4">
              <w:rPr>
                <w:noProof/>
                <w:webHidden/>
              </w:rPr>
            </w:r>
            <w:r w:rsidR="001641B4">
              <w:rPr>
                <w:noProof/>
                <w:webHidden/>
              </w:rPr>
              <w:fldChar w:fldCharType="separate"/>
            </w:r>
            <w:r w:rsidR="00245E6D">
              <w:rPr>
                <w:noProof/>
                <w:webHidden/>
              </w:rPr>
              <w:t>15</w:t>
            </w:r>
            <w:r w:rsidR="001641B4">
              <w:rPr>
                <w:noProof/>
                <w:webHidden/>
              </w:rPr>
              <w:fldChar w:fldCharType="end"/>
            </w:r>
          </w:hyperlink>
        </w:p>
        <w:p w14:paraId="07D5502E" w14:textId="01512FEA" w:rsidR="001641B4" w:rsidRDefault="00342157">
          <w:pPr>
            <w:pStyle w:val="TOC1"/>
            <w:tabs>
              <w:tab w:val="right" w:leader="dot" w:pos="9016"/>
            </w:tabs>
            <w:rPr>
              <w:rFonts w:asciiTheme="minorHAnsi" w:eastAsiaTheme="minorEastAsia" w:hAnsiTheme="minorHAnsi"/>
              <w:noProof/>
              <w:sz w:val="22"/>
              <w:lang w:eastAsia="en-AU"/>
            </w:rPr>
          </w:pPr>
          <w:hyperlink w:anchor="_Toc75255155" w:history="1">
            <w:r w:rsidR="001641B4" w:rsidRPr="00E62016">
              <w:rPr>
                <w:rStyle w:val="Hyperlink"/>
                <w:noProof/>
              </w:rPr>
              <w:t>The obligations of entities under the PID scheme</w:t>
            </w:r>
            <w:r w:rsidR="001641B4">
              <w:rPr>
                <w:noProof/>
                <w:webHidden/>
              </w:rPr>
              <w:tab/>
            </w:r>
            <w:r w:rsidR="001641B4">
              <w:rPr>
                <w:noProof/>
                <w:webHidden/>
              </w:rPr>
              <w:fldChar w:fldCharType="begin"/>
            </w:r>
            <w:r w:rsidR="001641B4">
              <w:rPr>
                <w:noProof/>
                <w:webHidden/>
              </w:rPr>
              <w:instrText xml:space="preserve"> PAGEREF _Toc75255155 \h </w:instrText>
            </w:r>
            <w:r w:rsidR="001641B4">
              <w:rPr>
                <w:noProof/>
                <w:webHidden/>
              </w:rPr>
            </w:r>
            <w:r w:rsidR="001641B4">
              <w:rPr>
                <w:noProof/>
                <w:webHidden/>
              </w:rPr>
              <w:fldChar w:fldCharType="separate"/>
            </w:r>
            <w:r w:rsidR="00245E6D">
              <w:rPr>
                <w:noProof/>
                <w:webHidden/>
              </w:rPr>
              <w:t>16</w:t>
            </w:r>
            <w:r w:rsidR="001641B4">
              <w:rPr>
                <w:noProof/>
                <w:webHidden/>
              </w:rPr>
              <w:fldChar w:fldCharType="end"/>
            </w:r>
          </w:hyperlink>
        </w:p>
        <w:p w14:paraId="1D71A784" w14:textId="1F9BC47B" w:rsidR="001641B4" w:rsidRDefault="00342157">
          <w:pPr>
            <w:pStyle w:val="TOC2"/>
            <w:tabs>
              <w:tab w:val="right" w:leader="dot" w:pos="9016"/>
            </w:tabs>
            <w:rPr>
              <w:rFonts w:asciiTheme="minorHAnsi" w:eastAsiaTheme="minorEastAsia" w:hAnsiTheme="minorHAnsi"/>
              <w:noProof/>
              <w:sz w:val="22"/>
              <w:lang w:eastAsia="en-AU"/>
            </w:rPr>
          </w:pPr>
          <w:hyperlink w:anchor="_Toc75255156" w:history="1">
            <w:r w:rsidR="001641B4" w:rsidRPr="00E62016">
              <w:rPr>
                <w:rStyle w:val="Hyperlink"/>
                <w:noProof/>
              </w:rPr>
              <w:t>The delegation of powers under the PID Act</w:t>
            </w:r>
            <w:r w:rsidR="001641B4">
              <w:rPr>
                <w:noProof/>
                <w:webHidden/>
              </w:rPr>
              <w:tab/>
            </w:r>
            <w:r w:rsidR="001641B4">
              <w:rPr>
                <w:noProof/>
                <w:webHidden/>
              </w:rPr>
              <w:fldChar w:fldCharType="begin"/>
            </w:r>
            <w:r w:rsidR="001641B4">
              <w:rPr>
                <w:noProof/>
                <w:webHidden/>
              </w:rPr>
              <w:instrText xml:space="preserve"> PAGEREF _Toc75255156 \h </w:instrText>
            </w:r>
            <w:r w:rsidR="001641B4">
              <w:rPr>
                <w:noProof/>
                <w:webHidden/>
              </w:rPr>
            </w:r>
            <w:r w:rsidR="001641B4">
              <w:rPr>
                <w:noProof/>
                <w:webHidden/>
              </w:rPr>
              <w:fldChar w:fldCharType="separate"/>
            </w:r>
            <w:r w:rsidR="00245E6D">
              <w:rPr>
                <w:noProof/>
                <w:webHidden/>
              </w:rPr>
              <w:t>16</w:t>
            </w:r>
            <w:r w:rsidR="001641B4">
              <w:rPr>
                <w:noProof/>
                <w:webHidden/>
              </w:rPr>
              <w:fldChar w:fldCharType="end"/>
            </w:r>
          </w:hyperlink>
        </w:p>
        <w:p w14:paraId="2C342C46" w14:textId="2801F770" w:rsidR="001641B4" w:rsidRDefault="00342157">
          <w:pPr>
            <w:pStyle w:val="TOC2"/>
            <w:tabs>
              <w:tab w:val="right" w:leader="dot" w:pos="9016"/>
            </w:tabs>
            <w:rPr>
              <w:rFonts w:asciiTheme="minorHAnsi" w:eastAsiaTheme="minorEastAsia" w:hAnsiTheme="minorHAnsi"/>
              <w:noProof/>
              <w:sz w:val="22"/>
              <w:lang w:eastAsia="en-AU"/>
            </w:rPr>
          </w:pPr>
          <w:hyperlink w:anchor="_Toc75255157" w:history="1">
            <w:r w:rsidR="001641B4" w:rsidRPr="00E62016">
              <w:rPr>
                <w:rStyle w:val="Hyperlink"/>
                <w:noProof/>
              </w:rPr>
              <w:t>The nomination of disclosure officers</w:t>
            </w:r>
            <w:r w:rsidR="001641B4">
              <w:rPr>
                <w:noProof/>
                <w:webHidden/>
              </w:rPr>
              <w:tab/>
            </w:r>
            <w:r w:rsidR="001641B4">
              <w:rPr>
                <w:noProof/>
                <w:webHidden/>
              </w:rPr>
              <w:fldChar w:fldCharType="begin"/>
            </w:r>
            <w:r w:rsidR="001641B4">
              <w:rPr>
                <w:noProof/>
                <w:webHidden/>
              </w:rPr>
              <w:instrText xml:space="preserve"> PAGEREF _Toc75255157 \h </w:instrText>
            </w:r>
            <w:r w:rsidR="001641B4">
              <w:rPr>
                <w:noProof/>
                <w:webHidden/>
              </w:rPr>
            </w:r>
            <w:r w:rsidR="001641B4">
              <w:rPr>
                <w:noProof/>
                <w:webHidden/>
              </w:rPr>
              <w:fldChar w:fldCharType="separate"/>
            </w:r>
            <w:r w:rsidR="00245E6D">
              <w:rPr>
                <w:noProof/>
                <w:webHidden/>
              </w:rPr>
              <w:t>16</w:t>
            </w:r>
            <w:r w:rsidR="001641B4">
              <w:rPr>
                <w:noProof/>
                <w:webHidden/>
              </w:rPr>
              <w:fldChar w:fldCharType="end"/>
            </w:r>
          </w:hyperlink>
        </w:p>
        <w:p w14:paraId="6893518B" w14:textId="1FDC0656" w:rsidR="001641B4" w:rsidRDefault="00342157">
          <w:pPr>
            <w:pStyle w:val="TOC3"/>
            <w:tabs>
              <w:tab w:val="right" w:leader="dot" w:pos="9016"/>
            </w:tabs>
            <w:rPr>
              <w:rFonts w:asciiTheme="minorHAnsi" w:eastAsiaTheme="minorEastAsia" w:hAnsiTheme="minorHAnsi"/>
              <w:noProof/>
              <w:sz w:val="22"/>
              <w:lang w:eastAsia="en-AU"/>
            </w:rPr>
          </w:pPr>
          <w:hyperlink w:anchor="_Toc75255158" w:history="1">
            <w:r w:rsidR="001641B4" w:rsidRPr="00E62016">
              <w:rPr>
                <w:rStyle w:val="Hyperlink"/>
                <w:noProof/>
              </w:rPr>
              <w:t>Who should be nominated as a disclosure officer?</w:t>
            </w:r>
            <w:r w:rsidR="001641B4">
              <w:rPr>
                <w:noProof/>
                <w:webHidden/>
              </w:rPr>
              <w:tab/>
            </w:r>
            <w:r w:rsidR="001641B4">
              <w:rPr>
                <w:noProof/>
                <w:webHidden/>
              </w:rPr>
              <w:fldChar w:fldCharType="begin"/>
            </w:r>
            <w:r w:rsidR="001641B4">
              <w:rPr>
                <w:noProof/>
                <w:webHidden/>
              </w:rPr>
              <w:instrText xml:space="preserve"> PAGEREF _Toc75255158 \h </w:instrText>
            </w:r>
            <w:r w:rsidR="001641B4">
              <w:rPr>
                <w:noProof/>
                <w:webHidden/>
              </w:rPr>
            </w:r>
            <w:r w:rsidR="001641B4">
              <w:rPr>
                <w:noProof/>
                <w:webHidden/>
              </w:rPr>
              <w:fldChar w:fldCharType="separate"/>
            </w:r>
            <w:r w:rsidR="00245E6D">
              <w:rPr>
                <w:noProof/>
                <w:webHidden/>
              </w:rPr>
              <w:t>16</w:t>
            </w:r>
            <w:r w:rsidR="001641B4">
              <w:rPr>
                <w:noProof/>
                <w:webHidden/>
              </w:rPr>
              <w:fldChar w:fldCharType="end"/>
            </w:r>
          </w:hyperlink>
        </w:p>
        <w:p w14:paraId="76AC32B6" w14:textId="64F59387" w:rsidR="001641B4" w:rsidRDefault="00342157">
          <w:pPr>
            <w:pStyle w:val="TOC3"/>
            <w:tabs>
              <w:tab w:val="right" w:leader="dot" w:pos="9016"/>
            </w:tabs>
            <w:rPr>
              <w:rFonts w:asciiTheme="minorHAnsi" w:eastAsiaTheme="minorEastAsia" w:hAnsiTheme="minorHAnsi"/>
              <w:noProof/>
              <w:sz w:val="22"/>
              <w:lang w:eastAsia="en-AU"/>
            </w:rPr>
          </w:pPr>
          <w:hyperlink w:anchor="_Toc75255159" w:history="1">
            <w:r w:rsidR="001641B4" w:rsidRPr="00E62016">
              <w:rPr>
                <w:rStyle w:val="Hyperlink"/>
                <w:noProof/>
              </w:rPr>
              <w:t>Disclosure officers in small public sector entities</w:t>
            </w:r>
            <w:r w:rsidR="001641B4">
              <w:rPr>
                <w:noProof/>
                <w:webHidden/>
              </w:rPr>
              <w:tab/>
            </w:r>
            <w:r w:rsidR="001641B4">
              <w:rPr>
                <w:noProof/>
                <w:webHidden/>
              </w:rPr>
              <w:fldChar w:fldCharType="begin"/>
            </w:r>
            <w:r w:rsidR="001641B4">
              <w:rPr>
                <w:noProof/>
                <w:webHidden/>
              </w:rPr>
              <w:instrText xml:space="preserve"> PAGEREF _Toc75255159 \h </w:instrText>
            </w:r>
            <w:r w:rsidR="001641B4">
              <w:rPr>
                <w:noProof/>
                <w:webHidden/>
              </w:rPr>
            </w:r>
            <w:r w:rsidR="001641B4">
              <w:rPr>
                <w:noProof/>
                <w:webHidden/>
              </w:rPr>
              <w:fldChar w:fldCharType="separate"/>
            </w:r>
            <w:r w:rsidR="00245E6D">
              <w:rPr>
                <w:noProof/>
                <w:webHidden/>
              </w:rPr>
              <w:t>17</w:t>
            </w:r>
            <w:r w:rsidR="001641B4">
              <w:rPr>
                <w:noProof/>
                <w:webHidden/>
              </w:rPr>
              <w:fldChar w:fldCharType="end"/>
            </w:r>
          </w:hyperlink>
        </w:p>
        <w:p w14:paraId="47225B90" w14:textId="3F2AF938" w:rsidR="001641B4" w:rsidRDefault="00342157">
          <w:pPr>
            <w:pStyle w:val="TOC3"/>
            <w:tabs>
              <w:tab w:val="right" w:leader="dot" w:pos="9016"/>
            </w:tabs>
            <w:rPr>
              <w:rFonts w:asciiTheme="minorHAnsi" w:eastAsiaTheme="minorEastAsia" w:hAnsiTheme="minorHAnsi"/>
              <w:noProof/>
              <w:sz w:val="22"/>
              <w:lang w:eastAsia="en-AU"/>
            </w:rPr>
          </w:pPr>
          <w:hyperlink w:anchor="_Toc75255160" w:history="1">
            <w:r w:rsidR="001641B4" w:rsidRPr="00E62016">
              <w:rPr>
                <w:rStyle w:val="Hyperlink"/>
                <w:noProof/>
              </w:rPr>
              <w:t>Disclosure officer networks</w:t>
            </w:r>
            <w:r w:rsidR="001641B4">
              <w:rPr>
                <w:noProof/>
                <w:webHidden/>
              </w:rPr>
              <w:tab/>
            </w:r>
            <w:r w:rsidR="001641B4">
              <w:rPr>
                <w:noProof/>
                <w:webHidden/>
              </w:rPr>
              <w:fldChar w:fldCharType="begin"/>
            </w:r>
            <w:r w:rsidR="001641B4">
              <w:rPr>
                <w:noProof/>
                <w:webHidden/>
              </w:rPr>
              <w:instrText xml:space="preserve"> PAGEREF _Toc75255160 \h </w:instrText>
            </w:r>
            <w:r w:rsidR="001641B4">
              <w:rPr>
                <w:noProof/>
                <w:webHidden/>
              </w:rPr>
            </w:r>
            <w:r w:rsidR="001641B4">
              <w:rPr>
                <w:noProof/>
                <w:webHidden/>
              </w:rPr>
              <w:fldChar w:fldCharType="separate"/>
            </w:r>
            <w:r w:rsidR="00245E6D">
              <w:rPr>
                <w:noProof/>
                <w:webHidden/>
              </w:rPr>
              <w:t>17</w:t>
            </w:r>
            <w:r w:rsidR="001641B4">
              <w:rPr>
                <w:noProof/>
                <w:webHidden/>
              </w:rPr>
              <w:fldChar w:fldCharType="end"/>
            </w:r>
          </w:hyperlink>
        </w:p>
        <w:p w14:paraId="0C1F8F70" w14:textId="4B02C830" w:rsidR="001641B4" w:rsidRDefault="00342157">
          <w:pPr>
            <w:pStyle w:val="TOC3"/>
            <w:tabs>
              <w:tab w:val="right" w:leader="dot" w:pos="9016"/>
            </w:tabs>
            <w:rPr>
              <w:rFonts w:asciiTheme="minorHAnsi" w:eastAsiaTheme="minorEastAsia" w:hAnsiTheme="minorHAnsi"/>
              <w:noProof/>
              <w:sz w:val="22"/>
              <w:lang w:eastAsia="en-AU"/>
            </w:rPr>
          </w:pPr>
          <w:hyperlink w:anchor="_Toc75255161" w:history="1">
            <w:r w:rsidR="001641B4" w:rsidRPr="00E62016">
              <w:rPr>
                <w:rStyle w:val="Hyperlink"/>
                <w:noProof/>
              </w:rPr>
              <w:t>What information is required to be collected about disclosure officers?</w:t>
            </w:r>
            <w:r w:rsidR="001641B4">
              <w:rPr>
                <w:noProof/>
                <w:webHidden/>
              </w:rPr>
              <w:tab/>
            </w:r>
            <w:r w:rsidR="001641B4">
              <w:rPr>
                <w:noProof/>
                <w:webHidden/>
              </w:rPr>
              <w:fldChar w:fldCharType="begin"/>
            </w:r>
            <w:r w:rsidR="001641B4">
              <w:rPr>
                <w:noProof/>
                <w:webHidden/>
              </w:rPr>
              <w:instrText xml:space="preserve"> PAGEREF _Toc75255161 \h </w:instrText>
            </w:r>
            <w:r w:rsidR="001641B4">
              <w:rPr>
                <w:noProof/>
                <w:webHidden/>
              </w:rPr>
            </w:r>
            <w:r w:rsidR="001641B4">
              <w:rPr>
                <w:noProof/>
                <w:webHidden/>
              </w:rPr>
              <w:fldChar w:fldCharType="separate"/>
            </w:r>
            <w:r w:rsidR="00245E6D">
              <w:rPr>
                <w:noProof/>
                <w:webHidden/>
              </w:rPr>
              <w:t>17</w:t>
            </w:r>
            <w:r w:rsidR="001641B4">
              <w:rPr>
                <w:noProof/>
                <w:webHidden/>
              </w:rPr>
              <w:fldChar w:fldCharType="end"/>
            </w:r>
          </w:hyperlink>
        </w:p>
        <w:p w14:paraId="31CE7349" w14:textId="297D0F9A" w:rsidR="001641B4" w:rsidRDefault="00342157">
          <w:pPr>
            <w:pStyle w:val="TOC3"/>
            <w:tabs>
              <w:tab w:val="right" w:leader="dot" w:pos="9016"/>
            </w:tabs>
            <w:rPr>
              <w:rFonts w:asciiTheme="minorHAnsi" w:eastAsiaTheme="minorEastAsia" w:hAnsiTheme="minorHAnsi"/>
              <w:noProof/>
              <w:sz w:val="22"/>
              <w:lang w:eastAsia="en-AU"/>
            </w:rPr>
          </w:pPr>
          <w:hyperlink w:anchor="_Toc75255162" w:history="1">
            <w:r w:rsidR="001641B4" w:rsidRPr="00E62016">
              <w:rPr>
                <w:rStyle w:val="Hyperlink"/>
                <w:noProof/>
              </w:rPr>
              <w:t>Publishing the contact details on the public sector entity’s website and notifying the Commission</w:t>
            </w:r>
            <w:r w:rsidR="001641B4">
              <w:rPr>
                <w:noProof/>
                <w:webHidden/>
              </w:rPr>
              <w:tab/>
            </w:r>
            <w:r w:rsidR="001641B4">
              <w:rPr>
                <w:noProof/>
                <w:webHidden/>
              </w:rPr>
              <w:fldChar w:fldCharType="begin"/>
            </w:r>
            <w:r w:rsidR="001641B4">
              <w:rPr>
                <w:noProof/>
                <w:webHidden/>
              </w:rPr>
              <w:instrText xml:space="preserve"> PAGEREF _Toc75255162 \h </w:instrText>
            </w:r>
            <w:r w:rsidR="001641B4">
              <w:rPr>
                <w:noProof/>
                <w:webHidden/>
              </w:rPr>
            </w:r>
            <w:r w:rsidR="001641B4">
              <w:rPr>
                <w:noProof/>
                <w:webHidden/>
              </w:rPr>
              <w:fldChar w:fldCharType="separate"/>
            </w:r>
            <w:r w:rsidR="00245E6D">
              <w:rPr>
                <w:noProof/>
                <w:webHidden/>
              </w:rPr>
              <w:t>17</w:t>
            </w:r>
            <w:r w:rsidR="001641B4">
              <w:rPr>
                <w:noProof/>
                <w:webHidden/>
              </w:rPr>
              <w:fldChar w:fldCharType="end"/>
            </w:r>
          </w:hyperlink>
        </w:p>
        <w:p w14:paraId="582988D1" w14:textId="1780438E" w:rsidR="001641B4" w:rsidRDefault="00342157">
          <w:pPr>
            <w:pStyle w:val="TOC2"/>
            <w:tabs>
              <w:tab w:val="right" w:leader="dot" w:pos="9016"/>
            </w:tabs>
            <w:rPr>
              <w:rFonts w:asciiTheme="minorHAnsi" w:eastAsiaTheme="minorEastAsia" w:hAnsiTheme="minorHAnsi"/>
              <w:noProof/>
              <w:sz w:val="22"/>
              <w:lang w:eastAsia="en-AU"/>
            </w:rPr>
          </w:pPr>
          <w:hyperlink w:anchor="_Toc75255163" w:history="1">
            <w:r w:rsidR="001641B4" w:rsidRPr="00E62016">
              <w:rPr>
                <w:rStyle w:val="Hyperlink"/>
                <w:noProof/>
              </w:rPr>
              <w:t>Establishing systems to manage and report on disclosures of disclosable conduct and PIDs</w:t>
            </w:r>
            <w:r w:rsidR="001641B4">
              <w:rPr>
                <w:noProof/>
                <w:webHidden/>
              </w:rPr>
              <w:tab/>
            </w:r>
            <w:r w:rsidR="001641B4">
              <w:rPr>
                <w:noProof/>
                <w:webHidden/>
              </w:rPr>
              <w:fldChar w:fldCharType="begin"/>
            </w:r>
            <w:r w:rsidR="001641B4">
              <w:rPr>
                <w:noProof/>
                <w:webHidden/>
              </w:rPr>
              <w:instrText xml:space="preserve"> PAGEREF _Toc75255163 \h </w:instrText>
            </w:r>
            <w:r w:rsidR="001641B4">
              <w:rPr>
                <w:noProof/>
                <w:webHidden/>
              </w:rPr>
            </w:r>
            <w:r w:rsidR="001641B4">
              <w:rPr>
                <w:noProof/>
                <w:webHidden/>
              </w:rPr>
              <w:fldChar w:fldCharType="separate"/>
            </w:r>
            <w:r w:rsidR="00245E6D">
              <w:rPr>
                <w:noProof/>
                <w:webHidden/>
              </w:rPr>
              <w:t>18</w:t>
            </w:r>
            <w:r w:rsidR="001641B4">
              <w:rPr>
                <w:noProof/>
                <w:webHidden/>
              </w:rPr>
              <w:fldChar w:fldCharType="end"/>
            </w:r>
          </w:hyperlink>
        </w:p>
        <w:p w14:paraId="4C7296D6" w14:textId="393D71C6" w:rsidR="001641B4" w:rsidRDefault="00342157">
          <w:pPr>
            <w:pStyle w:val="TOC2"/>
            <w:tabs>
              <w:tab w:val="right" w:leader="dot" w:pos="9016"/>
            </w:tabs>
            <w:rPr>
              <w:rFonts w:asciiTheme="minorHAnsi" w:eastAsiaTheme="minorEastAsia" w:hAnsiTheme="minorHAnsi"/>
              <w:noProof/>
              <w:sz w:val="22"/>
              <w:lang w:eastAsia="en-AU"/>
            </w:rPr>
          </w:pPr>
          <w:hyperlink w:anchor="_Toc75255164" w:history="1">
            <w:r w:rsidR="001641B4" w:rsidRPr="00E62016">
              <w:rPr>
                <w:rStyle w:val="Hyperlink"/>
                <w:noProof/>
              </w:rPr>
              <w:t>Investigating PIDs</w:t>
            </w:r>
            <w:r w:rsidR="001641B4">
              <w:rPr>
                <w:noProof/>
                <w:webHidden/>
              </w:rPr>
              <w:tab/>
            </w:r>
            <w:r w:rsidR="001641B4">
              <w:rPr>
                <w:noProof/>
                <w:webHidden/>
              </w:rPr>
              <w:fldChar w:fldCharType="begin"/>
            </w:r>
            <w:r w:rsidR="001641B4">
              <w:rPr>
                <w:noProof/>
                <w:webHidden/>
              </w:rPr>
              <w:instrText xml:space="preserve"> PAGEREF _Toc75255164 \h </w:instrText>
            </w:r>
            <w:r w:rsidR="001641B4">
              <w:rPr>
                <w:noProof/>
                <w:webHidden/>
              </w:rPr>
            </w:r>
            <w:r w:rsidR="001641B4">
              <w:rPr>
                <w:noProof/>
                <w:webHidden/>
              </w:rPr>
              <w:fldChar w:fldCharType="separate"/>
            </w:r>
            <w:r w:rsidR="00245E6D">
              <w:rPr>
                <w:noProof/>
                <w:webHidden/>
              </w:rPr>
              <w:t>18</w:t>
            </w:r>
            <w:r w:rsidR="001641B4">
              <w:rPr>
                <w:noProof/>
                <w:webHidden/>
              </w:rPr>
              <w:fldChar w:fldCharType="end"/>
            </w:r>
          </w:hyperlink>
        </w:p>
        <w:p w14:paraId="63117292" w14:textId="0317CD27" w:rsidR="001641B4" w:rsidRDefault="00342157">
          <w:pPr>
            <w:pStyle w:val="TOC2"/>
            <w:tabs>
              <w:tab w:val="right" w:leader="dot" w:pos="9016"/>
            </w:tabs>
            <w:rPr>
              <w:rFonts w:asciiTheme="minorHAnsi" w:eastAsiaTheme="minorEastAsia" w:hAnsiTheme="minorHAnsi"/>
              <w:noProof/>
              <w:sz w:val="22"/>
              <w:lang w:eastAsia="en-AU"/>
            </w:rPr>
          </w:pPr>
          <w:hyperlink w:anchor="_Toc75255165" w:history="1">
            <w:r w:rsidR="001641B4" w:rsidRPr="00E62016">
              <w:rPr>
                <w:rStyle w:val="Hyperlink"/>
                <w:noProof/>
              </w:rPr>
              <w:t>Ensuring staff are aware of the PID scheme and understand their obligations and options</w:t>
            </w:r>
            <w:r w:rsidR="001641B4">
              <w:rPr>
                <w:noProof/>
                <w:webHidden/>
              </w:rPr>
              <w:tab/>
            </w:r>
            <w:r w:rsidR="001641B4">
              <w:rPr>
                <w:noProof/>
                <w:webHidden/>
              </w:rPr>
              <w:fldChar w:fldCharType="begin"/>
            </w:r>
            <w:r w:rsidR="001641B4">
              <w:rPr>
                <w:noProof/>
                <w:webHidden/>
              </w:rPr>
              <w:instrText xml:space="preserve"> PAGEREF _Toc75255165 \h </w:instrText>
            </w:r>
            <w:r w:rsidR="001641B4">
              <w:rPr>
                <w:noProof/>
                <w:webHidden/>
              </w:rPr>
            </w:r>
            <w:r w:rsidR="001641B4">
              <w:rPr>
                <w:noProof/>
                <w:webHidden/>
              </w:rPr>
              <w:fldChar w:fldCharType="separate"/>
            </w:r>
            <w:r w:rsidR="00245E6D">
              <w:rPr>
                <w:noProof/>
                <w:webHidden/>
              </w:rPr>
              <w:t>18</w:t>
            </w:r>
            <w:r w:rsidR="001641B4">
              <w:rPr>
                <w:noProof/>
                <w:webHidden/>
              </w:rPr>
              <w:fldChar w:fldCharType="end"/>
            </w:r>
          </w:hyperlink>
        </w:p>
        <w:p w14:paraId="2F653B48" w14:textId="39071257" w:rsidR="001641B4" w:rsidRDefault="00342157">
          <w:pPr>
            <w:pStyle w:val="TOC2"/>
            <w:tabs>
              <w:tab w:val="right" w:leader="dot" w:pos="9016"/>
            </w:tabs>
            <w:rPr>
              <w:rFonts w:asciiTheme="minorHAnsi" w:eastAsiaTheme="minorEastAsia" w:hAnsiTheme="minorHAnsi"/>
              <w:noProof/>
              <w:sz w:val="22"/>
              <w:lang w:eastAsia="en-AU"/>
            </w:rPr>
          </w:pPr>
          <w:hyperlink w:anchor="_Toc75255166" w:history="1">
            <w:r w:rsidR="001641B4" w:rsidRPr="00E62016">
              <w:rPr>
                <w:rStyle w:val="Hyperlink"/>
                <w:noProof/>
              </w:rPr>
              <w:t>Keeping the discloser and the Commission informed</w:t>
            </w:r>
            <w:r w:rsidR="001641B4">
              <w:rPr>
                <w:noProof/>
                <w:webHidden/>
              </w:rPr>
              <w:tab/>
            </w:r>
            <w:r w:rsidR="001641B4">
              <w:rPr>
                <w:noProof/>
                <w:webHidden/>
              </w:rPr>
              <w:fldChar w:fldCharType="begin"/>
            </w:r>
            <w:r w:rsidR="001641B4">
              <w:rPr>
                <w:noProof/>
                <w:webHidden/>
              </w:rPr>
              <w:instrText xml:space="preserve"> PAGEREF _Toc75255166 \h </w:instrText>
            </w:r>
            <w:r w:rsidR="001641B4">
              <w:rPr>
                <w:noProof/>
                <w:webHidden/>
              </w:rPr>
            </w:r>
            <w:r w:rsidR="001641B4">
              <w:rPr>
                <w:noProof/>
                <w:webHidden/>
              </w:rPr>
              <w:fldChar w:fldCharType="separate"/>
            </w:r>
            <w:r w:rsidR="00245E6D">
              <w:rPr>
                <w:noProof/>
                <w:webHidden/>
              </w:rPr>
              <w:t>19</w:t>
            </w:r>
            <w:r w:rsidR="001641B4">
              <w:rPr>
                <w:noProof/>
                <w:webHidden/>
              </w:rPr>
              <w:fldChar w:fldCharType="end"/>
            </w:r>
          </w:hyperlink>
        </w:p>
        <w:p w14:paraId="59A016BE" w14:textId="6DF5AB2E" w:rsidR="001641B4" w:rsidRDefault="00342157">
          <w:pPr>
            <w:pStyle w:val="TOC1"/>
            <w:tabs>
              <w:tab w:val="right" w:leader="dot" w:pos="9016"/>
            </w:tabs>
            <w:rPr>
              <w:rFonts w:asciiTheme="minorHAnsi" w:eastAsiaTheme="minorEastAsia" w:hAnsiTheme="minorHAnsi"/>
              <w:noProof/>
              <w:sz w:val="22"/>
              <w:lang w:eastAsia="en-AU"/>
            </w:rPr>
          </w:pPr>
          <w:hyperlink w:anchor="_Toc75255167" w:history="1">
            <w:r w:rsidR="001641B4" w:rsidRPr="00E62016">
              <w:rPr>
                <w:rStyle w:val="Hyperlink"/>
                <w:noProof/>
              </w:rPr>
              <w:t>Receiving and assessing disclosures</w:t>
            </w:r>
            <w:r w:rsidR="001641B4">
              <w:rPr>
                <w:noProof/>
                <w:webHidden/>
              </w:rPr>
              <w:tab/>
            </w:r>
            <w:r w:rsidR="001641B4">
              <w:rPr>
                <w:noProof/>
                <w:webHidden/>
              </w:rPr>
              <w:fldChar w:fldCharType="begin"/>
            </w:r>
            <w:r w:rsidR="001641B4">
              <w:rPr>
                <w:noProof/>
                <w:webHidden/>
              </w:rPr>
              <w:instrText xml:space="preserve"> PAGEREF _Toc75255167 \h </w:instrText>
            </w:r>
            <w:r w:rsidR="001641B4">
              <w:rPr>
                <w:noProof/>
                <w:webHidden/>
              </w:rPr>
            </w:r>
            <w:r w:rsidR="001641B4">
              <w:rPr>
                <w:noProof/>
                <w:webHidden/>
              </w:rPr>
              <w:fldChar w:fldCharType="separate"/>
            </w:r>
            <w:r w:rsidR="00245E6D">
              <w:rPr>
                <w:noProof/>
                <w:webHidden/>
              </w:rPr>
              <w:t>20</w:t>
            </w:r>
            <w:r w:rsidR="001641B4">
              <w:rPr>
                <w:noProof/>
                <w:webHidden/>
              </w:rPr>
              <w:fldChar w:fldCharType="end"/>
            </w:r>
          </w:hyperlink>
        </w:p>
        <w:p w14:paraId="6D954BD7" w14:textId="61207965" w:rsidR="001641B4" w:rsidRDefault="00342157">
          <w:pPr>
            <w:pStyle w:val="TOC2"/>
            <w:tabs>
              <w:tab w:val="right" w:leader="dot" w:pos="9016"/>
            </w:tabs>
            <w:rPr>
              <w:rFonts w:asciiTheme="minorHAnsi" w:eastAsiaTheme="minorEastAsia" w:hAnsiTheme="minorHAnsi"/>
              <w:noProof/>
              <w:sz w:val="22"/>
              <w:lang w:eastAsia="en-AU"/>
            </w:rPr>
          </w:pPr>
          <w:hyperlink w:anchor="_Toc75255168" w:history="1">
            <w:r w:rsidR="001641B4" w:rsidRPr="00E62016">
              <w:rPr>
                <w:rStyle w:val="Hyperlink"/>
                <w:noProof/>
              </w:rPr>
              <w:t>Dealing with disclosers</w:t>
            </w:r>
            <w:r w:rsidR="001641B4">
              <w:rPr>
                <w:noProof/>
                <w:webHidden/>
              </w:rPr>
              <w:tab/>
            </w:r>
            <w:r w:rsidR="001641B4">
              <w:rPr>
                <w:noProof/>
                <w:webHidden/>
              </w:rPr>
              <w:fldChar w:fldCharType="begin"/>
            </w:r>
            <w:r w:rsidR="001641B4">
              <w:rPr>
                <w:noProof/>
                <w:webHidden/>
              </w:rPr>
              <w:instrText xml:space="preserve"> PAGEREF _Toc75255168 \h </w:instrText>
            </w:r>
            <w:r w:rsidR="001641B4">
              <w:rPr>
                <w:noProof/>
                <w:webHidden/>
              </w:rPr>
            </w:r>
            <w:r w:rsidR="001641B4">
              <w:rPr>
                <w:noProof/>
                <w:webHidden/>
              </w:rPr>
              <w:fldChar w:fldCharType="separate"/>
            </w:r>
            <w:r w:rsidR="00245E6D">
              <w:rPr>
                <w:noProof/>
                <w:webHidden/>
              </w:rPr>
              <w:t>20</w:t>
            </w:r>
            <w:r w:rsidR="001641B4">
              <w:rPr>
                <w:noProof/>
                <w:webHidden/>
              </w:rPr>
              <w:fldChar w:fldCharType="end"/>
            </w:r>
          </w:hyperlink>
        </w:p>
        <w:p w14:paraId="138B68A0" w14:textId="2CD8F354" w:rsidR="001641B4" w:rsidRDefault="00342157">
          <w:pPr>
            <w:pStyle w:val="TOC3"/>
            <w:tabs>
              <w:tab w:val="right" w:leader="dot" w:pos="9016"/>
            </w:tabs>
            <w:rPr>
              <w:rFonts w:asciiTheme="minorHAnsi" w:eastAsiaTheme="minorEastAsia" w:hAnsiTheme="minorHAnsi"/>
              <w:noProof/>
              <w:sz w:val="22"/>
              <w:lang w:eastAsia="en-AU"/>
            </w:rPr>
          </w:pPr>
          <w:hyperlink w:anchor="_Toc75255169" w:history="1">
            <w:r w:rsidR="001641B4" w:rsidRPr="00E62016">
              <w:rPr>
                <w:rStyle w:val="Hyperlink"/>
                <w:noProof/>
              </w:rPr>
              <w:t>Specific guidance for managers or supervisors</w:t>
            </w:r>
            <w:r w:rsidR="001641B4">
              <w:rPr>
                <w:noProof/>
                <w:webHidden/>
              </w:rPr>
              <w:tab/>
            </w:r>
            <w:r w:rsidR="001641B4">
              <w:rPr>
                <w:noProof/>
                <w:webHidden/>
              </w:rPr>
              <w:fldChar w:fldCharType="begin"/>
            </w:r>
            <w:r w:rsidR="001641B4">
              <w:rPr>
                <w:noProof/>
                <w:webHidden/>
              </w:rPr>
              <w:instrText xml:space="preserve"> PAGEREF _Toc75255169 \h </w:instrText>
            </w:r>
            <w:r w:rsidR="001641B4">
              <w:rPr>
                <w:noProof/>
                <w:webHidden/>
              </w:rPr>
            </w:r>
            <w:r w:rsidR="001641B4">
              <w:rPr>
                <w:noProof/>
                <w:webHidden/>
              </w:rPr>
              <w:fldChar w:fldCharType="separate"/>
            </w:r>
            <w:r w:rsidR="00245E6D">
              <w:rPr>
                <w:noProof/>
                <w:webHidden/>
              </w:rPr>
              <w:t>20</w:t>
            </w:r>
            <w:r w:rsidR="001641B4">
              <w:rPr>
                <w:noProof/>
                <w:webHidden/>
              </w:rPr>
              <w:fldChar w:fldCharType="end"/>
            </w:r>
          </w:hyperlink>
        </w:p>
        <w:p w14:paraId="66397CCB" w14:textId="52A33A8B" w:rsidR="001641B4" w:rsidRDefault="00342157">
          <w:pPr>
            <w:pStyle w:val="TOC3"/>
            <w:tabs>
              <w:tab w:val="right" w:leader="dot" w:pos="9016"/>
            </w:tabs>
            <w:rPr>
              <w:rFonts w:asciiTheme="minorHAnsi" w:eastAsiaTheme="minorEastAsia" w:hAnsiTheme="minorHAnsi"/>
              <w:noProof/>
              <w:sz w:val="22"/>
              <w:lang w:eastAsia="en-AU"/>
            </w:rPr>
          </w:pPr>
          <w:hyperlink w:anchor="_Toc75255170" w:history="1">
            <w:r w:rsidR="001641B4" w:rsidRPr="00E62016">
              <w:rPr>
                <w:rStyle w:val="Hyperlink"/>
                <w:noProof/>
              </w:rPr>
              <w:t>Specific guidance for members of public sector entity governing boards</w:t>
            </w:r>
            <w:r w:rsidR="001641B4">
              <w:rPr>
                <w:noProof/>
                <w:webHidden/>
              </w:rPr>
              <w:tab/>
            </w:r>
            <w:r w:rsidR="001641B4">
              <w:rPr>
                <w:noProof/>
                <w:webHidden/>
              </w:rPr>
              <w:fldChar w:fldCharType="begin"/>
            </w:r>
            <w:r w:rsidR="001641B4">
              <w:rPr>
                <w:noProof/>
                <w:webHidden/>
              </w:rPr>
              <w:instrText xml:space="preserve"> PAGEREF _Toc75255170 \h </w:instrText>
            </w:r>
            <w:r w:rsidR="001641B4">
              <w:rPr>
                <w:noProof/>
                <w:webHidden/>
              </w:rPr>
            </w:r>
            <w:r w:rsidR="001641B4">
              <w:rPr>
                <w:noProof/>
                <w:webHidden/>
              </w:rPr>
              <w:fldChar w:fldCharType="separate"/>
            </w:r>
            <w:r w:rsidR="00245E6D">
              <w:rPr>
                <w:noProof/>
                <w:webHidden/>
              </w:rPr>
              <w:t>21</w:t>
            </w:r>
            <w:r w:rsidR="001641B4">
              <w:rPr>
                <w:noProof/>
                <w:webHidden/>
              </w:rPr>
              <w:fldChar w:fldCharType="end"/>
            </w:r>
          </w:hyperlink>
        </w:p>
        <w:p w14:paraId="46755A34" w14:textId="7BDDBA88" w:rsidR="001641B4" w:rsidRDefault="00342157">
          <w:pPr>
            <w:pStyle w:val="TOC3"/>
            <w:tabs>
              <w:tab w:val="right" w:leader="dot" w:pos="9016"/>
            </w:tabs>
            <w:rPr>
              <w:rFonts w:asciiTheme="minorHAnsi" w:eastAsiaTheme="minorEastAsia" w:hAnsiTheme="minorHAnsi"/>
              <w:noProof/>
              <w:sz w:val="22"/>
              <w:lang w:eastAsia="en-AU"/>
            </w:rPr>
          </w:pPr>
          <w:hyperlink w:anchor="_Toc75255171" w:history="1">
            <w:r w:rsidR="001641B4" w:rsidRPr="00E62016">
              <w:rPr>
                <w:rStyle w:val="Hyperlink"/>
                <w:noProof/>
              </w:rPr>
              <w:t>Specific guidance for officials who oversee specific functions</w:t>
            </w:r>
            <w:r w:rsidR="001641B4">
              <w:rPr>
                <w:noProof/>
                <w:webHidden/>
              </w:rPr>
              <w:tab/>
            </w:r>
            <w:r w:rsidR="001641B4">
              <w:rPr>
                <w:noProof/>
                <w:webHidden/>
              </w:rPr>
              <w:fldChar w:fldCharType="begin"/>
            </w:r>
            <w:r w:rsidR="001641B4">
              <w:rPr>
                <w:noProof/>
                <w:webHidden/>
              </w:rPr>
              <w:instrText xml:space="preserve"> PAGEREF _Toc75255171 \h </w:instrText>
            </w:r>
            <w:r w:rsidR="001641B4">
              <w:rPr>
                <w:noProof/>
                <w:webHidden/>
              </w:rPr>
            </w:r>
            <w:r w:rsidR="001641B4">
              <w:rPr>
                <w:noProof/>
                <w:webHidden/>
              </w:rPr>
              <w:fldChar w:fldCharType="separate"/>
            </w:r>
            <w:r w:rsidR="00245E6D">
              <w:rPr>
                <w:noProof/>
                <w:webHidden/>
              </w:rPr>
              <w:t>21</w:t>
            </w:r>
            <w:r w:rsidR="001641B4">
              <w:rPr>
                <w:noProof/>
                <w:webHidden/>
              </w:rPr>
              <w:fldChar w:fldCharType="end"/>
            </w:r>
          </w:hyperlink>
        </w:p>
        <w:p w14:paraId="1F124A4B" w14:textId="221BE5F0" w:rsidR="001641B4" w:rsidRDefault="00342157">
          <w:pPr>
            <w:pStyle w:val="TOC3"/>
            <w:tabs>
              <w:tab w:val="right" w:leader="dot" w:pos="9016"/>
            </w:tabs>
            <w:rPr>
              <w:rFonts w:asciiTheme="minorHAnsi" w:eastAsiaTheme="minorEastAsia" w:hAnsiTheme="minorHAnsi"/>
              <w:noProof/>
              <w:sz w:val="22"/>
              <w:lang w:eastAsia="en-AU"/>
            </w:rPr>
          </w:pPr>
          <w:hyperlink w:anchor="_Toc75255172" w:history="1">
            <w:r w:rsidR="001641B4" w:rsidRPr="00E62016">
              <w:rPr>
                <w:rStyle w:val="Hyperlink"/>
                <w:noProof/>
              </w:rPr>
              <w:t>Do the discloser’s motivations matter?</w:t>
            </w:r>
            <w:r w:rsidR="001641B4">
              <w:rPr>
                <w:noProof/>
                <w:webHidden/>
              </w:rPr>
              <w:tab/>
            </w:r>
            <w:r w:rsidR="001641B4">
              <w:rPr>
                <w:noProof/>
                <w:webHidden/>
              </w:rPr>
              <w:fldChar w:fldCharType="begin"/>
            </w:r>
            <w:r w:rsidR="001641B4">
              <w:rPr>
                <w:noProof/>
                <w:webHidden/>
              </w:rPr>
              <w:instrText xml:space="preserve"> PAGEREF _Toc75255172 \h </w:instrText>
            </w:r>
            <w:r w:rsidR="001641B4">
              <w:rPr>
                <w:noProof/>
                <w:webHidden/>
              </w:rPr>
            </w:r>
            <w:r w:rsidR="001641B4">
              <w:rPr>
                <w:noProof/>
                <w:webHidden/>
              </w:rPr>
              <w:fldChar w:fldCharType="separate"/>
            </w:r>
            <w:r w:rsidR="00245E6D">
              <w:rPr>
                <w:noProof/>
                <w:webHidden/>
              </w:rPr>
              <w:t>21</w:t>
            </w:r>
            <w:r w:rsidR="001641B4">
              <w:rPr>
                <w:noProof/>
                <w:webHidden/>
              </w:rPr>
              <w:fldChar w:fldCharType="end"/>
            </w:r>
          </w:hyperlink>
        </w:p>
        <w:p w14:paraId="1BB8EB13" w14:textId="6861B832" w:rsidR="001641B4" w:rsidRDefault="00342157">
          <w:pPr>
            <w:pStyle w:val="TOC3"/>
            <w:tabs>
              <w:tab w:val="right" w:leader="dot" w:pos="9016"/>
            </w:tabs>
            <w:rPr>
              <w:rFonts w:asciiTheme="minorHAnsi" w:eastAsiaTheme="minorEastAsia" w:hAnsiTheme="minorHAnsi"/>
              <w:noProof/>
              <w:sz w:val="22"/>
              <w:lang w:eastAsia="en-AU"/>
            </w:rPr>
          </w:pPr>
          <w:hyperlink w:anchor="_Toc75255173" w:history="1">
            <w:r w:rsidR="001641B4" w:rsidRPr="00E62016">
              <w:rPr>
                <w:rStyle w:val="Hyperlink"/>
                <w:noProof/>
              </w:rPr>
              <w:t>Does the disclosure need to be in writing?</w:t>
            </w:r>
            <w:r w:rsidR="001641B4">
              <w:rPr>
                <w:noProof/>
                <w:webHidden/>
              </w:rPr>
              <w:tab/>
            </w:r>
            <w:r w:rsidR="001641B4">
              <w:rPr>
                <w:noProof/>
                <w:webHidden/>
              </w:rPr>
              <w:fldChar w:fldCharType="begin"/>
            </w:r>
            <w:r w:rsidR="001641B4">
              <w:rPr>
                <w:noProof/>
                <w:webHidden/>
              </w:rPr>
              <w:instrText xml:space="preserve"> PAGEREF _Toc75255173 \h </w:instrText>
            </w:r>
            <w:r w:rsidR="001641B4">
              <w:rPr>
                <w:noProof/>
                <w:webHidden/>
              </w:rPr>
            </w:r>
            <w:r w:rsidR="001641B4">
              <w:rPr>
                <w:noProof/>
                <w:webHidden/>
              </w:rPr>
              <w:fldChar w:fldCharType="separate"/>
            </w:r>
            <w:r w:rsidR="00245E6D">
              <w:rPr>
                <w:noProof/>
                <w:webHidden/>
              </w:rPr>
              <w:t>21</w:t>
            </w:r>
            <w:r w:rsidR="001641B4">
              <w:rPr>
                <w:noProof/>
                <w:webHidden/>
              </w:rPr>
              <w:fldChar w:fldCharType="end"/>
            </w:r>
          </w:hyperlink>
        </w:p>
        <w:p w14:paraId="201F0ADA" w14:textId="2F193BBD" w:rsidR="001641B4" w:rsidRDefault="00342157">
          <w:pPr>
            <w:pStyle w:val="TOC3"/>
            <w:tabs>
              <w:tab w:val="right" w:leader="dot" w:pos="9016"/>
            </w:tabs>
            <w:rPr>
              <w:rFonts w:asciiTheme="minorHAnsi" w:eastAsiaTheme="minorEastAsia" w:hAnsiTheme="minorHAnsi"/>
              <w:noProof/>
              <w:sz w:val="22"/>
              <w:lang w:eastAsia="en-AU"/>
            </w:rPr>
          </w:pPr>
          <w:hyperlink w:anchor="_Toc75255174" w:history="1">
            <w:r w:rsidR="001641B4" w:rsidRPr="00E62016">
              <w:rPr>
                <w:rStyle w:val="Hyperlink"/>
                <w:noProof/>
              </w:rPr>
              <w:t>Can disclosers be anonymous?</w:t>
            </w:r>
            <w:r w:rsidR="001641B4">
              <w:rPr>
                <w:noProof/>
                <w:webHidden/>
              </w:rPr>
              <w:tab/>
            </w:r>
            <w:r w:rsidR="001641B4">
              <w:rPr>
                <w:noProof/>
                <w:webHidden/>
              </w:rPr>
              <w:fldChar w:fldCharType="begin"/>
            </w:r>
            <w:r w:rsidR="001641B4">
              <w:rPr>
                <w:noProof/>
                <w:webHidden/>
              </w:rPr>
              <w:instrText xml:space="preserve"> PAGEREF _Toc75255174 \h </w:instrText>
            </w:r>
            <w:r w:rsidR="001641B4">
              <w:rPr>
                <w:noProof/>
                <w:webHidden/>
              </w:rPr>
            </w:r>
            <w:r w:rsidR="001641B4">
              <w:rPr>
                <w:noProof/>
                <w:webHidden/>
              </w:rPr>
              <w:fldChar w:fldCharType="separate"/>
            </w:r>
            <w:r w:rsidR="00245E6D">
              <w:rPr>
                <w:noProof/>
                <w:webHidden/>
              </w:rPr>
              <w:t>22</w:t>
            </w:r>
            <w:r w:rsidR="001641B4">
              <w:rPr>
                <w:noProof/>
                <w:webHidden/>
              </w:rPr>
              <w:fldChar w:fldCharType="end"/>
            </w:r>
          </w:hyperlink>
        </w:p>
        <w:p w14:paraId="61F00397" w14:textId="4EC02CB3" w:rsidR="001641B4" w:rsidRDefault="00342157">
          <w:pPr>
            <w:pStyle w:val="TOC2"/>
            <w:tabs>
              <w:tab w:val="right" w:leader="dot" w:pos="9016"/>
            </w:tabs>
            <w:rPr>
              <w:rFonts w:asciiTheme="minorHAnsi" w:eastAsiaTheme="minorEastAsia" w:hAnsiTheme="minorHAnsi"/>
              <w:noProof/>
              <w:sz w:val="22"/>
              <w:lang w:eastAsia="en-AU"/>
            </w:rPr>
          </w:pPr>
          <w:hyperlink w:anchor="_Toc75255175" w:history="1">
            <w:r w:rsidR="001641B4" w:rsidRPr="00E62016">
              <w:rPr>
                <w:rStyle w:val="Hyperlink"/>
                <w:noProof/>
              </w:rPr>
              <w:t>Assessing disclosures</w:t>
            </w:r>
            <w:r w:rsidR="001641B4">
              <w:rPr>
                <w:noProof/>
                <w:webHidden/>
              </w:rPr>
              <w:tab/>
            </w:r>
            <w:r w:rsidR="001641B4">
              <w:rPr>
                <w:noProof/>
                <w:webHidden/>
              </w:rPr>
              <w:fldChar w:fldCharType="begin"/>
            </w:r>
            <w:r w:rsidR="001641B4">
              <w:rPr>
                <w:noProof/>
                <w:webHidden/>
              </w:rPr>
              <w:instrText xml:space="preserve"> PAGEREF _Toc75255175 \h </w:instrText>
            </w:r>
            <w:r w:rsidR="001641B4">
              <w:rPr>
                <w:noProof/>
                <w:webHidden/>
              </w:rPr>
            </w:r>
            <w:r w:rsidR="001641B4">
              <w:rPr>
                <w:noProof/>
                <w:webHidden/>
              </w:rPr>
              <w:fldChar w:fldCharType="separate"/>
            </w:r>
            <w:r w:rsidR="00245E6D">
              <w:rPr>
                <w:noProof/>
                <w:webHidden/>
              </w:rPr>
              <w:t>22</w:t>
            </w:r>
            <w:r w:rsidR="001641B4">
              <w:rPr>
                <w:noProof/>
                <w:webHidden/>
              </w:rPr>
              <w:fldChar w:fldCharType="end"/>
            </w:r>
          </w:hyperlink>
        </w:p>
        <w:p w14:paraId="4FC6B31D" w14:textId="20E2AD49" w:rsidR="001641B4" w:rsidRDefault="00342157">
          <w:pPr>
            <w:pStyle w:val="TOC3"/>
            <w:tabs>
              <w:tab w:val="right" w:leader="dot" w:pos="9016"/>
            </w:tabs>
            <w:rPr>
              <w:rFonts w:asciiTheme="minorHAnsi" w:eastAsiaTheme="minorEastAsia" w:hAnsiTheme="minorHAnsi"/>
              <w:noProof/>
              <w:sz w:val="22"/>
              <w:lang w:eastAsia="en-AU"/>
            </w:rPr>
          </w:pPr>
          <w:hyperlink w:anchor="_Toc75255176" w:history="1">
            <w:r w:rsidR="001641B4" w:rsidRPr="00E62016">
              <w:rPr>
                <w:rStyle w:val="Hyperlink"/>
                <w:noProof/>
              </w:rPr>
              <w:t>What if the report is about the Commission?</w:t>
            </w:r>
            <w:r w:rsidR="001641B4">
              <w:rPr>
                <w:noProof/>
                <w:webHidden/>
              </w:rPr>
              <w:tab/>
            </w:r>
            <w:r w:rsidR="001641B4">
              <w:rPr>
                <w:noProof/>
                <w:webHidden/>
              </w:rPr>
              <w:fldChar w:fldCharType="begin"/>
            </w:r>
            <w:r w:rsidR="001641B4">
              <w:rPr>
                <w:noProof/>
                <w:webHidden/>
              </w:rPr>
              <w:instrText xml:space="preserve"> PAGEREF _Toc75255176 \h </w:instrText>
            </w:r>
            <w:r w:rsidR="001641B4">
              <w:rPr>
                <w:noProof/>
                <w:webHidden/>
              </w:rPr>
            </w:r>
            <w:r w:rsidR="001641B4">
              <w:rPr>
                <w:noProof/>
                <w:webHidden/>
              </w:rPr>
              <w:fldChar w:fldCharType="separate"/>
            </w:r>
            <w:r w:rsidR="00245E6D">
              <w:rPr>
                <w:noProof/>
                <w:webHidden/>
              </w:rPr>
              <w:t>22</w:t>
            </w:r>
            <w:r w:rsidR="001641B4">
              <w:rPr>
                <w:noProof/>
                <w:webHidden/>
              </w:rPr>
              <w:fldChar w:fldCharType="end"/>
            </w:r>
          </w:hyperlink>
        </w:p>
        <w:p w14:paraId="14D231A9" w14:textId="35EA9B99" w:rsidR="001641B4" w:rsidRDefault="00342157">
          <w:pPr>
            <w:pStyle w:val="TOC3"/>
            <w:tabs>
              <w:tab w:val="right" w:leader="dot" w:pos="9016"/>
            </w:tabs>
            <w:rPr>
              <w:rFonts w:asciiTheme="minorHAnsi" w:eastAsiaTheme="minorEastAsia" w:hAnsiTheme="minorHAnsi"/>
              <w:noProof/>
              <w:sz w:val="22"/>
              <w:lang w:eastAsia="en-AU"/>
            </w:rPr>
          </w:pPr>
          <w:hyperlink w:anchor="_Toc75255177" w:history="1">
            <w:r w:rsidR="001641B4" w:rsidRPr="00E62016">
              <w:rPr>
                <w:rStyle w:val="Hyperlink"/>
                <w:noProof/>
              </w:rPr>
              <w:t>Is the disclosure officer satisfied on reasonable grounds the conduct refers to disclosable conduct and was made in good faith?</w:t>
            </w:r>
            <w:r w:rsidR="001641B4">
              <w:rPr>
                <w:noProof/>
                <w:webHidden/>
              </w:rPr>
              <w:tab/>
            </w:r>
            <w:r w:rsidR="001641B4">
              <w:rPr>
                <w:noProof/>
                <w:webHidden/>
              </w:rPr>
              <w:fldChar w:fldCharType="begin"/>
            </w:r>
            <w:r w:rsidR="001641B4">
              <w:rPr>
                <w:noProof/>
                <w:webHidden/>
              </w:rPr>
              <w:instrText xml:space="preserve"> PAGEREF _Toc75255177 \h </w:instrText>
            </w:r>
            <w:r w:rsidR="001641B4">
              <w:rPr>
                <w:noProof/>
                <w:webHidden/>
              </w:rPr>
            </w:r>
            <w:r w:rsidR="001641B4">
              <w:rPr>
                <w:noProof/>
                <w:webHidden/>
              </w:rPr>
              <w:fldChar w:fldCharType="separate"/>
            </w:r>
            <w:r w:rsidR="00245E6D">
              <w:rPr>
                <w:noProof/>
                <w:webHidden/>
              </w:rPr>
              <w:t>22</w:t>
            </w:r>
            <w:r w:rsidR="001641B4">
              <w:rPr>
                <w:noProof/>
                <w:webHidden/>
              </w:rPr>
              <w:fldChar w:fldCharType="end"/>
            </w:r>
          </w:hyperlink>
        </w:p>
        <w:p w14:paraId="5EC7D6DE" w14:textId="222D7C20" w:rsidR="001641B4" w:rsidRDefault="00342157">
          <w:pPr>
            <w:pStyle w:val="TOC3"/>
            <w:tabs>
              <w:tab w:val="right" w:leader="dot" w:pos="9016"/>
            </w:tabs>
            <w:rPr>
              <w:rFonts w:asciiTheme="minorHAnsi" w:eastAsiaTheme="minorEastAsia" w:hAnsiTheme="minorHAnsi"/>
              <w:noProof/>
              <w:sz w:val="22"/>
              <w:lang w:eastAsia="en-AU"/>
            </w:rPr>
          </w:pPr>
          <w:hyperlink w:anchor="_Toc75255178" w:history="1">
            <w:r w:rsidR="001641B4" w:rsidRPr="00E62016">
              <w:rPr>
                <w:rStyle w:val="Hyperlink"/>
                <w:noProof/>
              </w:rPr>
              <w:t>Conducting further enquiries to assist an assessment</w:t>
            </w:r>
            <w:r w:rsidR="001641B4">
              <w:rPr>
                <w:noProof/>
                <w:webHidden/>
              </w:rPr>
              <w:tab/>
            </w:r>
            <w:r w:rsidR="001641B4">
              <w:rPr>
                <w:noProof/>
                <w:webHidden/>
              </w:rPr>
              <w:fldChar w:fldCharType="begin"/>
            </w:r>
            <w:r w:rsidR="001641B4">
              <w:rPr>
                <w:noProof/>
                <w:webHidden/>
              </w:rPr>
              <w:instrText xml:space="preserve"> PAGEREF _Toc75255178 \h </w:instrText>
            </w:r>
            <w:r w:rsidR="001641B4">
              <w:rPr>
                <w:noProof/>
                <w:webHidden/>
              </w:rPr>
            </w:r>
            <w:r w:rsidR="001641B4">
              <w:rPr>
                <w:noProof/>
                <w:webHidden/>
              </w:rPr>
              <w:fldChar w:fldCharType="separate"/>
            </w:r>
            <w:r w:rsidR="00245E6D">
              <w:rPr>
                <w:noProof/>
                <w:webHidden/>
              </w:rPr>
              <w:t>23</w:t>
            </w:r>
            <w:r w:rsidR="001641B4">
              <w:rPr>
                <w:noProof/>
                <w:webHidden/>
              </w:rPr>
              <w:fldChar w:fldCharType="end"/>
            </w:r>
          </w:hyperlink>
        </w:p>
        <w:p w14:paraId="338ADE83" w14:textId="512B6F4A" w:rsidR="001641B4" w:rsidRDefault="00342157">
          <w:pPr>
            <w:pStyle w:val="TOC3"/>
            <w:tabs>
              <w:tab w:val="right" w:leader="dot" w:pos="9016"/>
            </w:tabs>
            <w:rPr>
              <w:rFonts w:asciiTheme="minorHAnsi" w:eastAsiaTheme="minorEastAsia" w:hAnsiTheme="minorHAnsi"/>
              <w:noProof/>
              <w:sz w:val="22"/>
              <w:lang w:eastAsia="en-AU"/>
            </w:rPr>
          </w:pPr>
          <w:hyperlink w:anchor="_Toc75255179" w:history="1">
            <w:r w:rsidR="001641B4" w:rsidRPr="00E62016">
              <w:rPr>
                <w:rStyle w:val="Hyperlink"/>
                <w:noProof/>
              </w:rPr>
              <w:t>Where the discloser has performance or behavioural issues unrelated to the PID</w:t>
            </w:r>
            <w:r w:rsidR="001641B4">
              <w:rPr>
                <w:noProof/>
                <w:webHidden/>
              </w:rPr>
              <w:tab/>
            </w:r>
            <w:r w:rsidR="001641B4">
              <w:rPr>
                <w:noProof/>
                <w:webHidden/>
              </w:rPr>
              <w:fldChar w:fldCharType="begin"/>
            </w:r>
            <w:r w:rsidR="001641B4">
              <w:rPr>
                <w:noProof/>
                <w:webHidden/>
              </w:rPr>
              <w:instrText xml:space="preserve"> PAGEREF _Toc75255179 \h </w:instrText>
            </w:r>
            <w:r w:rsidR="001641B4">
              <w:rPr>
                <w:noProof/>
                <w:webHidden/>
              </w:rPr>
            </w:r>
            <w:r w:rsidR="001641B4">
              <w:rPr>
                <w:noProof/>
                <w:webHidden/>
              </w:rPr>
              <w:fldChar w:fldCharType="separate"/>
            </w:r>
            <w:r w:rsidR="00245E6D">
              <w:rPr>
                <w:noProof/>
                <w:webHidden/>
              </w:rPr>
              <w:t>23</w:t>
            </w:r>
            <w:r w:rsidR="001641B4">
              <w:rPr>
                <w:noProof/>
                <w:webHidden/>
              </w:rPr>
              <w:fldChar w:fldCharType="end"/>
            </w:r>
          </w:hyperlink>
        </w:p>
        <w:p w14:paraId="71871596" w14:textId="0299F7FB" w:rsidR="001641B4" w:rsidRDefault="00342157">
          <w:pPr>
            <w:pStyle w:val="TOC3"/>
            <w:tabs>
              <w:tab w:val="right" w:leader="dot" w:pos="9016"/>
            </w:tabs>
            <w:rPr>
              <w:rFonts w:asciiTheme="minorHAnsi" w:eastAsiaTheme="minorEastAsia" w:hAnsiTheme="minorHAnsi"/>
              <w:noProof/>
              <w:sz w:val="22"/>
              <w:lang w:eastAsia="en-AU"/>
            </w:rPr>
          </w:pPr>
          <w:hyperlink w:anchor="_Toc75255180" w:history="1">
            <w:r w:rsidR="001641B4" w:rsidRPr="00E62016">
              <w:rPr>
                <w:rStyle w:val="Hyperlink"/>
                <w:noProof/>
              </w:rPr>
              <w:t>Timeliness of the assessment process</w:t>
            </w:r>
            <w:r w:rsidR="001641B4">
              <w:rPr>
                <w:noProof/>
                <w:webHidden/>
              </w:rPr>
              <w:tab/>
            </w:r>
            <w:r w:rsidR="001641B4">
              <w:rPr>
                <w:noProof/>
                <w:webHidden/>
              </w:rPr>
              <w:fldChar w:fldCharType="begin"/>
            </w:r>
            <w:r w:rsidR="001641B4">
              <w:rPr>
                <w:noProof/>
                <w:webHidden/>
              </w:rPr>
              <w:instrText xml:space="preserve"> PAGEREF _Toc75255180 \h </w:instrText>
            </w:r>
            <w:r w:rsidR="001641B4">
              <w:rPr>
                <w:noProof/>
                <w:webHidden/>
              </w:rPr>
            </w:r>
            <w:r w:rsidR="001641B4">
              <w:rPr>
                <w:noProof/>
                <w:webHidden/>
              </w:rPr>
              <w:fldChar w:fldCharType="separate"/>
            </w:r>
            <w:r w:rsidR="00245E6D">
              <w:rPr>
                <w:noProof/>
                <w:webHidden/>
              </w:rPr>
              <w:t>24</w:t>
            </w:r>
            <w:r w:rsidR="001641B4">
              <w:rPr>
                <w:noProof/>
                <w:webHidden/>
              </w:rPr>
              <w:fldChar w:fldCharType="end"/>
            </w:r>
          </w:hyperlink>
        </w:p>
        <w:p w14:paraId="66541F10" w14:textId="72C8FCBE" w:rsidR="001641B4" w:rsidRDefault="00342157">
          <w:pPr>
            <w:pStyle w:val="TOC3"/>
            <w:tabs>
              <w:tab w:val="right" w:leader="dot" w:pos="9016"/>
            </w:tabs>
            <w:rPr>
              <w:rFonts w:asciiTheme="minorHAnsi" w:eastAsiaTheme="minorEastAsia" w:hAnsiTheme="minorHAnsi"/>
              <w:noProof/>
              <w:sz w:val="22"/>
              <w:lang w:eastAsia="en-AU"/>
            </w:rPr>
          </w:pPr>
          <w:hyperlink w:anchor="_Toc75255181" w:history="1">
            <w:r w:rsidR="001641B4" w:rsidRPr="00E62016">
              <w:rPr>
                <w:rStyle w:val="Hyperlink"/>
                <w:noProof/>
              </w:rPr>
              <w:t>Referring the disclosure of disclosable conduct to the Commission</w:t>
            </w:r>
            <w:r w:rsidR="001641B4">
              <w:rPr>
                <w:noProof/>
                <w:webHidden/>
              </w:rPr>
              <w:tab/>
            </w:r>
            <w:r w:rsidR="001641B4">
              <w:rPr>
                <w:noProof/>
                <w:webHidden/>
              </w:rPr>
              <w:fldChar w:fldCharType="begin"/>
            </w:r>
            <w:r w:rsidR="001641B4">
              <w:rPr>
                <w:noProof/>
                <w:webHidden/>
              </w:rPr>
              <w:instrText xml:space="preserve"> PAGEREF _Toc75255181 \h </w:instrText>
            </w:r>
            <w:r w:rsidR="001641B4">
              <w:rPr>
                <w:noProof/>
                <w:webHidden/>
              </w:rPr>
            </w:r>
            <w:r w:rsidR="001641B4">
              <w:rPr>
                <w:noProof/>
                <w:webHidden/>
              </w:rPr>
              <w:fldChar w:fldCharType="separate"/>
            </w:r>
            <w:r w:rsidR="00245E6D">
              <w:rPr>
                <w:noProof/>
                <w:webHidden/>
              </w:rPr>
              <w:t>24</w:t>
            </w:r>
            <w:r w:rsidR="001641B4">
              <w:rPr>
                <w:noProof/>
                <w:webHidden/>
              </w:rPr>
              <w:fldChar w:fldCharType="end"/>
            </w:r>
          </w:hyperlink>
        </w:p>
        <w:p w14:paraId="4438A784" w14:textId="62ADEE38" w:rsidR="001641B4" w:rsidRDefault="00342157">
          <w:pPr>
            <w:pStyle w:val="TOC3"/>
            <w:tabs>
              <w:tab w:val="right" w:leader="dot" w:pos="9016"/>
            </w:tabs>
            <w:rPr>
              <w:rFonts w:asciiTheme="minorHAnsi" w:eastAsiaTheme="minorEastAsia" w:hAnsiTheme="minorHAnsi"/>
              <w:noProof/>
              <w:sz w:val="22"/>
              <w:lang w:eastAsia="en-AU"/>
            </w:rPr>
          </w:pPr>
          <w:hyperlink w:anchor="_Toc75255182" w:history="1">
            <w:r w:rsidR="001641B4" w:rsidRPr="00E62016">
              <w:rPr>
                <w:rStyle w:val="Hyperlink"/>
                <w:noProof/>
              </w:rPr>
              <w:t>Notifying the discloser of the assessment</w:t>
            </w:r>
            <w:r w:rsidR="001641B4">
              <w:rPr>
                <w:noProof/>
                <w:webHidden/>
              </w:rPr>
              <w:tab/>
            </w:r>
            <w:r w:rsidR="001641B4">
              <w:rPr>
                <w:noProof/>
                <w:webHidden/>
              </w:rPr>
              <w:fldChar w:fldCharType="begin"/>
            </w:r>
            <w:r w:rsidR="001641B4">
              <w:rPr>
                <w:noProof/>
                <w:webHidden/>
              </w:rPr>
              <w:instrText xml:space="preserve"> PAGEREF _Toc75255182 \h </w:instrText>
            </w:r>
            <w:r w:rsidR="001641B4">
              <w:rPr>
                <w:noProof/>
                <w:webHidden/>
              </w:rPr>
            </w:r>
            <w:r w:rsidR="001641B4">
              <w:rPr>
                <w:noProof/>
                <w:webHidden/>
              </w:rPr>
              <w:fldChar w:fldCharType="separate"/>
            </w:r>
            <w:r w:rsidR="00245E6D">
              <w:rPr>
                <w:noProof/>
                <w:webHidden/>
              </w:rPr>
              <w:t>24</w:t>
            </w:r>
            <w:r w:rsidR="001641B4">
              <w:rPr>
                <w:noProof/>
                <w:webHidden/>
              </w:rPr>
              <w:fldChar w:fldCharType="end"/>
            </w:r>
          </w:hyperlink>
        </w:p>
        <w:p w14:paraId="4C7F52B6" w14:textId="77648C72" w:rsidR="001641B4" w:rsidRDefault="00342157">
          <w:pPr>
            <w:pStyle w:val="TOC3"/>
            <w:tabs>
              <w:tab w:val="right" w:leader="dot" w:pos="9016"/>
            </w:tabs>
            <w:rPr>
              <w:rFonts w:asciiTheme="minorHAnsi" w:eastAsiaTheme="minorEastAsia" w:hAnsiTheme="minorHAnsi"/>
              <w:noProof/>
              <w:sz w:val="22"/>
              <w:lang w:eastAsia="en-AU"/>
            </w:rPr>
          </w:pPr>
          <w:hyperlink w:anchor="_Toc75255183" w:history="1">
            <w:r w:rsidR="001641B4" w:rsidRPr="00E62016">
              <w:rPr>
                <w:rStyle w:val="Hyperlink"/>
                <w:noProof/>
              </w:rPr>
              <w:t>The assessment process</w:t>
            </w:r>
            <w:r w:rsidR="001641B4">
              <w:rPr>
                <w:noProof/>
                <w:webHidden/>
              </w:rPr>
              <w:tab/>
            </w:r>
            <w:r w:rsidR="001641B4">
              <w:rPr>
                <w:noProof/>
                <w:webHidden/>
              </w:rPr>
              <w:fldChar w:fldCharType="begin"/>
            </w:r>
            <w:r w:rsidR="001641B4">
              <w:rPr>
                <w:noProof/>
                <w:webHidden/>
              </w:rPr>
              <w:instrText xml:space="preserve"> PAGEREF _Toc75255183 \h </w:instrText>
            </w:r>
            <w:r w:rsidR="001641B4">
              <w:rPr>
                <w:noProof/>
                <w:webHidden/>
              </w:rPr>
            </w:r>
            <w:r w:rsidR="001641B4">
              <w:rPr>
                <w:noProof/>
                <w:webHidden/>
              </w:rPr>
              <w:fldChar w:fldCharType="separate"/>
            </w:r>
            <w:r w:rsidR="00245E6D">
              <w:rPr>
                <w:noProof/>
                <w:webHidden/>
              </w:rPr>
              <w:t>25</w:t>
            </w:r>
            <w:r w:rsidR="001641B4">
              <w:rPr>
                <w:noProof/>
                <w:webHidden/>
              </w:rPr>
              <w:fldChar w:fldCharType="end"/>
            </w:r>
          </w:hyperlink>
        </w:p>
        <w:p w14:paraId="4B94EF33" w14:textId="57948CE7" w:rsidR="001641B4" w:rsidRDefault="00342157">
          <w:pPr>
            <w:pStyle w:val="TOC1"/>
            <w:tabs>
              <w:tab w:val="right" w:leader="dot" w:pos="9016"/>
            </w:tabs>
            <w:rPr>
              <w:rFonts w:asciiTheme="minorHAnsi" w:eastAsiaTheme="minorEastAsia" w:hAnsiTheme="minorHAnsi"/>
              <w:noProof/>
              <w:sz w:val="22"/>
              <w:lang w:eastAsia="en-AU"/>
            </w:rPr>
          </w:pPr>
          <w:hyperlink w:anchor="_Toc75255184" w:history="1">
            <w:r w:rsidR="001641B4" w:rsidRPr="00E62016">
              <w:rPr>
                <w:rStyle w:val="Hyperlink"/>
                <w:noProof/>
              </w:rPr>
              <w:t>Investigating disclosures</w:t>
            </w:r>
            <w:r w:rsidR="001641B4">
              <w:rPr>
                <w:noProof/>
                <w:webHidden/>
              </w:rPr>
              <w:tab/>
            </w:r>
            <w:r w:rsidR="001641B4">
              <w:rPr>
                <w:noProof/>
                <w:webHidden/>
              </w:rPr>
              <w:fldChar w:fldCharType="begin"/>
            </w:r>
            <w:r w:rsidR="001641B4">
              <w:rPr>
                <w:noProof/>
                <w:webHidden/>
              </w:rPr>
              <w:instrText xml:space="preserve"> PAGEREF _Toc75255184 \h </w:instrText>
            </w:r>
            <w:r w:rsidR="001641B4">
              <w:rPr>
                <w:noProof/>
                <w:webHidden/>
              </w:rPr>
            </w:r>
            <w:r w:rsidR="001641B4">
              <w:rPr>
                <w:noProof/>
                <w:webHidden/>
              </w:rPr>
              <w:fldChar w:fldCharType="separate"/>
            </w:r>
            <w:r w:rsidR="00245E6D">
              <w:rPr>
                <w:noProof/>
                <w:webHidden/>
              </w:rPr>
              <w:t>26</w:t>
            </w:r>
            <w:r w:rsidR="001641B4">
              <w:rPr>
                <w:noProof/>
                <w:webHidden/>
              </w:rPr>
              <w:fldChar w:fldCharType="end"/>
            </w:r>
          </w:hyperlink>
        </w:p>
        <w:p w14:paraId="2BA964A0" w14:textId="7E192F5C" w:rsidR="001641B4" w:rsidRDefault="00342157">
          <w:pPr>
            <w:pStyle w:val="TOC2"/>
            <w:tabs>
              <w:tab w:val="right" w:leader="dot" w:pos="9016"/>
            </w:tabs>
            <w:rPr>
              <w:rFonts w:asciiTheme="minorHAnsi" w:eastAsiaTheme="minorEastAsia" w:hAnsiTheme="minorHAnsi"/>
              <w:noProof/>
              <w:sz w:val="22"/>
              <w:lang w:eastAsia="en-AU"/>
            </w:rPr>
          </w:pPr>
          <w:hyperlink w:anchor="_Toc75255185" w:history="1">
            <w:r w:rsidR="001641B4" w:rsidRPr="00E62016">
              <w:rPr>
                <w:rStyle w:val="Hyperlink"/>
                <w:noProof/>
              </w:rPr>
              <w:t>The obligation to keep the discloser and the Commission informed</w:t>
            </w:r>
            <w:r w:rsidR="001641B4">
              <w:rPr>
                <w:noProof/>
                <w:webHidden/>
              </w:rPr>
              <w:tab/>
            </w:r>
            <w:r w:rsidR="001641B4">
              <w:rPr>
                <w:noProof/>
                <w:webHidden/>
              </w:rPr>
              <w:fldChar w:fldCharType="begin"/>
            </w:r>
            <w:r w:rsidR="001641B4">
              <w:rPr>
                <w:noProof/>
                <w:webHidden/>
              </w:rPr>
              <w:instrText xml:space="preserve"> PAGEREF _Toc75255185 \h </w:instrText>
            </w:r>
            <w:r w:rsidR="001641B4">
              <w:rPr>
                <w:noProof/>
                <w:webHidden/>
              </w:rPr>
            </w:r>
            <w:r w:rsidR="001641B4">
              <w:rPr>
                <w:noProof/>
                <w:webHidden/>
              </w:rPr>
              <w:fldChar w:fldCharType="separate"/>
            </w:r>
            <w:r w:rsidR="00245E6D">
              <w:rPr>
                <w:noProof/>
                <w:webHidden/>
              </w:rPr>
              <w:t>26</w:t>
            </w:r>
            <w:r w:rsidR="001641B4">
              <w:rPr>
                <w:noProof/>
                <w:webHidden/>
              </w:rPr>
              <w:fldChar w:fldCharType="end"/>
            </w:r>
          </w:hyperlink>
        </w:p>
        <w:p w14:paraId="1C861396" w14:textId="364CF4FC" w:rsidR="001641B4" w:rsidRDefault="00342157">
          <w:pPr>
            <w:pStyle w:val="TOC3"/>
            <w:tabs>
              <w:tab w:val="right" w:leader="dot" w:pos="9016"/>
            </w:tabs>
            <w:rPr>
              <w:rFonts w:asciiTheme="minorHAnsi" w:eastAsiaTheme="minorEastAsia" w:hAnsiTheme="minorHAnsi"/>
              <w:noProof/>
              <w:sz w:val="22"/>
              <w:lang w:eastAsia="en-AU"/>
            </w:rPr>
          </w:pPr>
          <w:hyperlink w:anchor="_Toc75255186" w:history="1">
            <w:r w:rsidR="001641B4" w:rsidRPr="00E62016">
              <w:rPr>
                <w:rStyle w:val="Hyperlink"/>
                <w:noProof/>
              </w:rPr>
              <w:t>Keeping the discloser informed</w:t>
            </w:r>
            <w:r w:rsidR="001641B4">
              <w:rPr>
                <w:noProof/>
                <w:webHidden/>
              </w:rPr>
              <w:tab/>
            </w:r>
            <w:r w:rsidR="001641B4">
              <w:rPr>
                <w:noProof/>
                <w:webHidden/>
              </w:rPr>
              <w:fldChar w:fldCharType="begin"/>
            </w:r>
            <w:r w:rsidR="001641B4">
              <w:rPr>
                <w:noProof/>
                <w:webHidden/>
              </w:rPr>
              <w:instrText xml:space="preserve"> PAGEREF _Toc75255186 \h </w:instrText>
            </w:r>
            <w:r w:rsidR="001641B4">
              <w:rPr>
                <w:noProof/>
                <w:webHidden/>
              </w:rPr>
            </w:r>
            <w:r w:rsidR="001641B4">
              <w:rPr>
                <w:noProof/>
                <w:webHidden/>
              </w:rPr>
              <w:fldChar w:fldCharType="separate"/>
            </w:r>
            <w:r w:rsidR="00245E6D">
              <w:rPr>
                <w:noProof/>
                <w:webHidden/>
              </w:rPr>
              <w:t>26</w:t>
            </w:r>
            <w:r w:rsidR="001641B4">
              <w:rPr>
                <w:noProof/>
                <w:webHidden/>
              </w:rPr>
              <w:fldChar w:fldCharType="end"/>
            </w:r>
          </w:hyperlink>
        </w:p>
        <w:p w14:paraId="5EAA2394" w14:textId="54675EB2" w:rsidR="001641B4" w:rsidRDefault="00342157">
          <w:pPr>
            <w:pStyle w:val="TOC3"/>
            <w:tabs>
              <w:tab w:val="right" w:leader="dot" w:pos="9016"/>
            </w:tabs>
            <w:rPr>
              <w:rFonts w:asciiTheme="minorHAnsi" w:eastAsiaTheme="minorEastAsia" w:hAnsiTheme="minorHAnsi"/>
              <w:noProof/>
              <w:sz w:val="22"/>
              <w:lang w:eastAsia="en-AU"/>
            </w:rPr>
          </w:pPr>
          <w:hyperlink w:anchor="_Toc75255187" w:history="1">
            <w:r w:rsidR="001641B4" w:rsidRPr="00E62016">
              <w:rPr>
                <w:rStyle w:val="Hyperlink"/>
                <w:noProof/>
              </w:rPr>
              <w:t>Keeping the Commission informed</w:t>
            </w:r>
            <w:r w:rsidR="001641B4">
              <w:rPr>
                <w:noProof/>
                <w:webHidden/>
              </w:rPr>
              <w:tab/>
            </w:r>
            <w:r w:rsidR="001641B4">
              <w:rPr>
                <w:noProof/>
                <w:webHidden/>
              </w:rPr>
              <w:fldChar w:fldCharType="begin"/>
            </w:r>
            <w:r w:rsidR="001641B4">
              <w:rPr>
                <w:noProof/>
                <w:webHidden/>
              </w:rPr>
              <w:instrText xml:space="preserve"> PAGEREF _Toc75255187 \h </w:instrText>
            </w:r>
            <w:r w:rsidR="001641B4">
              <w:rPr>
                <w:noProof/>
                <w:webHidden/>
              </w:rPr>
            </w:r>
            <w:r w:rsidR="001641B4">
              <w:rPr>
                <w:noProof/>
                <w:webHidden/>
              </w:rPr>
              <w:fldChar w:fldCharType="separate"/>
            </w:r>
            <w:r w:rsidR="00245E6D">
              <w:rPr>
                <w:noProof/>
                <w:webHidden/>
              </w:rPr>
              <w:t>26</w:t>
            </w:r>
            <w:r w:rsidR="001641B4">
              <w:rPr>
                <w:noProof/>
                <w:webHidden/>
              </w:rPr>
              <w:fldChar w:fldCharType="end"/>
            </w:r>
          </w:hyperlink>
        </w:p>
        <w:p w14:paraId="4023C68C" w14:textId="6B914478" w:rsidR="001641B4" w:rsidRDefault="00342157">
          <w:pPr>
            <w:pStyle w:val="TOC2"/>
            <w:tabs>
              <w:tab w:val="right" w:leader="dot" w:pos="9016"/>
            </w:tabs>
            <w:rPr>
              <w:rFonts w:asciiTheme="minorHAnsi" w:eastAsiaTheme="minorEastAsia" w:hAnsiTheme="minorHAnsi"/>
              <w:noProof/>
              <w:sz w:val="22"/>
              <w:lang w:eastAsia="en-AU"/>
            </w:rPr>
          </w:pPr>
          <w:hyperlink w:anchor="_Toc75255188" w:history="1">
            <w:r w:rsidR="001641B4" w:rsidRPr="00E62016">
              <w:rPr>
                <w:rStyle w:val="Hyperlink"/>
                <w:noProof/>
              </w:rPr>
              <w:t>How to investigate under the PID Act</w:t>
            </w:r>
            <w:r w:rsidR="001641B4">
              <w:rPr>
                <w:noProof/>
                <w:webHidden/>
              </w:rPr>
              <w:tab/>
            </w:r>
            <w:r w:rsidR="001641B4">
              <w:rPr>
                <w:noProof/>
                <w:webHidden/>
              </w:rPr>
              <w:fldChar w:fldCharType="begin"/>
            </w:r>
            <w:r w:rsidR="001641B4">
              <w:rPr>
                <w:noProof/>
                <w:webHidden/>
              </w:rPr>
              <w:instrText xml:space="preserve"> PAGEREF _Toc75255188 \h </w:instrText>
            </w:r>
            <w:r w:rsidR="001641B4">
              <w:rPr>
                <w:noProof/>
                <w:webHidden/>
              </w:rPr>
            </w:r>
            <w:r w:rsidR="001641B4">
              <w:rPr>
                <w:noProof/>
                <w:webHidden/>
              </w:rPr>
              <w:fldChar w:fldCharType="separate"/>
            </w:r>
            <w:r w:rsidR="00245E6D">
              <w:rPr>
                <w:noProof/>
                <w:webHidden/>
              </w:rPr>
              <w:t>27</w:t>
            </w:r>
            <w:r w:rsidR="001641B4">
              <w:rPr>
                <w:noProof/>
                <w:webHidden/>
              </w:rPr>
              <w:fldChar w:fldCharType="end"/>
            </w:r>
          </w:hyperlink>
        </w:p>
        <w:p w14:paraId="3784C446" w14:textId="6015418D" w:rsidR="001641B4" w:rsidRDefault="00342157">
          <w:pPr>
            <w:pStyle w:val="TOC3"/>
            <w:tabs>
              <w:tab w:val="right" w:leader="dot" w:pos="9016"/>
            </w:tabs>
            <w:rPr>
              <w:rFonts w:asciiTheme="minorHAnsi" w:eastAsiaTheme="minorEastAsia" w:hAnsiTheme="minorHAnsi"/>
              <w:noProof/>
              <w:sz w:val="22"/>
              <w:lang w:eastAsia="en-AU"/>
            </w:rPr>
          </w:pPr>
          <w:hyperlink w:anchor="_Toc75255189" w:history="1">
            <w:r w:rsidR="001641B4" w:rsidRPr="00E62016">
              <w:rPr>
                <w:rStyle w:val="Hyperlink"/>
                <w:noProof/>
              </w:rPr>
              <w:t>What should an investigation seek to reveal?</w:t>
            </w:r>
            <w:r w:rsidR="001641B4">
              <w:rPr>
                <w:noProof/>
                <w:webHidden/>
              </w:rPr>
              <w:tab/>
            </w:r>
            <w:r w:rsidR="001641B4">
              <w:rPr>
                <w:noProof/>
                <w:webHidden/>
              </w:rPr>
              <w:fldChar w:fldCharType="begin"/>
            </w:r>
            <w:r w:rsidR="001641B4">
              <w:rPr>
                <w:noProof/>
                <w:webHidden/>
              </w:rPr>
              <w:instrText xml:space="preserve"> PAGEREF _Toc75255189 \h </w:instrText>
            </w:r>
            <w:r w:rsidR="001641B4">
              <w:rPr>
                <w:noProof/>
                <w:webHidden/>
              </w:rPr>
            </w:r>
            <w:r w:rsidR="001641B4">
              <w:rPr>
                <w:noProof/>
                <w:webHidden/>
              </w:rPr>
              <w:fldChar w:fldCharType="separate"/>
            </w:r>
            <w:r w:rsidR="00245E6D">
              <w:rPr>
                <w:noProof/>
                <w:webHidden/>
              </w:rPr>
              <w:t>27</w:t>
            </w:r>
            <w:r w:rsidR="001641B4">
              <w:rPr>
                <w:noProof/>
                <w:webHidden/>
              </w:rPr>
              <w:fldChar w:fldCharType="end"/>
            </w:r>
          </w:hyperlink>
        </w:p>
        <w:p w14:paraId="7B6A7BFB" w14:textId="15B727C3" w:rsidR="001641B4" w:rsidRDefault="00342157">
          <w:pPr>
            <w:pStyle w:val="TOC3"/>
            <w:tabs>
              <w:tab w:val="right" w:leader="dot" w:pos="9016"/>
            </w:tabs>
            <w:rPr>
              <w:rFonts w:asciiTheme="minorHAnsi" w:eastAsiaTheme="minorEastAsia" w:hAnsiTheme="minorHAnsi"/>
              <w:noProof/>
              <w:sz w:val="22"/>
              <w:lang w:eastAsia="en-AU"/>
            </w:rPr>
          </w:pPr>
          <w:hyperlink w:anchor="_Toc75255190" w:history="1">
            <w:r w:rsidR="001641B4" w:rsidRPr="00E62016">
              <w:rPr>
                <w:rStyle w:val="Hyperlink"/>
                <w:noProof/>
              </w:rPr>
              <w:t>What sort of investigation is required?</w:t>
            </w:r>
            <w:r w:rsidR="001641B4">
              <w:rPr>
                <w:noProof/>
                <w:webHidden/>
              </w:rPr>
              <w:tab/>
            </w:r>
            <w:r w:rsidR="001641B4">
              <w:rPr>
                <w:noProof/>
                <w:webHidden/>
              </w:rPr>
              <w:fldChar w:fldCharType="begin"/>
            </w:r>
            <w:r w:rsidR="001641B4">
              <w:rPr>
                <w:noProof/>
                <w:webHidden/>
              </w:rPr>
              <w:instrText xml:space="preserve"> PAGEREF _Toc75255190 \h </w:instrText>
            </w:r>
            <w:r w:rsidR="001641B4">
              <w:rPr>
                <w:noProof/>
                <w:webHidden/>
              </w:rPr>
            </w:r>
            <w:r w:rsidR="001641B4">
              <w:rPr>
                <w:noProof/>
                <w:webHidden/>
              </w:rPr>
              <w:fldChar w:fldCharType="separate"/>
            </w:r>
            <w:r w:rsidR="00245E6D">
              <w:rPr>
                <w:noProof/>
                <w:webHidden/>
              </w:rPr>
              <w:t>27</w:t>
            </w:r>
            <w:r w:rsidR="001641B4">
              <w:rPr>
                <w:noProof/>
                <w:webHidden/>
              </w:rPr>
              <w:fldChar w:fldCharType="end"/>
            </w:r>
          </w:hyperlink>
        </w:p>
        <w:p w14:paraId="3F23421F" w14:textId="2BFCFB01" w:rsidR="001641B4" w:rsidRDefault="00342157">
          <w:pPr>
            <w:pStyle w:val="TOC3"/>
            <w:tabs>
              <w:tab w:val="right" w:leader="dot" w:pos="9016"/>
            </w:tabs>
            <w:rPr>
              <w:rFonts w:asciiTheme="minorHAnsi" w:eastAsiaTheme="minorEastAsia" w:hAnsiTheme="minorHAnsi"/>
              <w:noProof/>
              <w:sz w:val="22"/>
              <w:lang w:eastAsia="en-AU"/>
            </w:rPr>
          </w:pPr>
          <w:hyperlink w:anchor="_Toc75255191" w:history="1">
            <w:r w:rsidR="001641B4" w:rsidRPr="00E62016">
              <w:rPr>
                <w:rStyle w:val="Hyperlink"/>
                <w:noProof/>
              </w:rPr>
              <w:t>The appointment of an investigator</w:t>
            </w:r>
            <w:r w:rsidR="001641B4">
              <w:rPr>
                <w:noProof/>
                <w:webHidden/>
              </w:rPr>
              <w:tab/>
            </w:r>
            <w:r w:rsidR="001641B4">
              <w:rPr>
                <w:noProof/>
                <w:webHidden/>
              </w:rPr>
              <w:fldChar w:fldCharType="begin"/>
            </w:r>
            <w:r w:rsidR="001641B4">
              <w:rPr>
                <w:noProof/>
                <w:webHidden/>
              </w:rPr>
              <w:instrText xml:space="preserve"> PAGEREF _Toc75255191 \h </w:instrText>
            </w:r>
            <w:r w:rsidR="001641B4">
              <w:rPr>
                <w:noProof/>
                <w:webHidden/>
              </w:rPr>
            </w:r>
            <w:r w:rsidR="001641B4">
              <w:rPr>
                <w:noProof/>
                <w:webHidden/>
              </w:rPr>
              <w:fldChar w:fldCharType="separate"/>
            </w:r>
            <w:r w:rsidR="00245E6D">
              <w:rPr>
                <w:noProof/>
                <w:webHidden/>
              </w:rPr>
              <w:t>28</w:t>
            </w:r>
            <w:r w:rsidR="001641B4">
              <w:rPr>
                <w:noProof/>
                <w:webHidden/>
              </w:rPr>
              <w:fldChar w:fldCharType="end"/>
            </w:r>
          </w:hyperlink>
        </w:p>
        <w:p w14:paraId="46AC7581" w14:textId="468C6038" w:rsidR="001641B4" w:rsidRDefault="00342157">
          <w:pPr>
            <w:pStyle w:val="TOC3"/>
            <w:tabs>
              <w:tab w:val="right" w:leader="dot" w:pos="9016"/>
            </w:tabs>
            <w:rPr>
              <w:rFonts w:asciiTheme="minorHAnsi" w:eastAsiaTheme="minorEastAsia" w:hAnsiTheme="minorHAnsi"/>
              <w:noProof/>
              <w:sz w:val="22"/>
              <w:lang w:eastAsia="en-AU"/>
            </w:rPr>
          </w:pPr>
          <w:hyperlink w:anchor="_Toc75255192" w:history="1">
            <w:r w:rsidR="001641B4" w:rsidRPr="00E62016">
              <w:rPr>
                <w:rStyle w:val="Hyperlink"/>
                <w:noProof/>
              </w:rPr>
              <w:t>Advising the discloser of the investigation</w:t>
            </w:r>
            <w:r w:rsidR="001641B4">
              <w:rPr>
                <w:noProof/>
                <w:webHidden/>
              </w:rPr>
              <w:tab/>
            </w:r>
            <w:r w:rsidR="001641B4">
              <w:rPr>
                <w:noProof/>
                <w:webHidden/>
              </w:rPr>
              <w:fldChar w:fldCharType="begin"/>
            </w:r>
            <w:r w:rsidR="001641B4">
              <w:rPr>
                <w:noProof/>
                <w:webHidden/>
              </w:rPr>
              <w:instrText xml:space="preserve"> PAGEREF _Toc75255192 \h </w:instrText>
            </w:r>
            <w:r w:rsidR="001641B4">
              <w:rPr>
                <w:noProof/>
                <w:webHidden/>
              </w:rPr>
            </w:r>
            <w:r w:rsidR="001641B4">
              <w:rPr>
                <w:noProof/>
                <w:webHidden/>
              </w:rPr>
              <w:fldChar w:fldCharType="separate"/>
            </w:r>
            <w:r w:rsidR="00245E6D">
              <w:rPr>
                <w:noProof/>
                <w:webHidden/>
              </w:rPr>
              <w:t>29</w:t>
            </w:r>
            <w:r w:rsidR="001641B4">
              <w:rPr>
                <w:noProof/>
                <w:webHidden/>
              </w:rPr>
              <w:fldChar w:fldCharType="end"/>
            </w:r>
          </w:hyperlink>
        </w:p>
        <w:p w14:paraId="6124B253" w14:textId="69D23D45" w:rsidR="001641B4" w:rsidRDefault="00342157">
          <w:pPr>
            <w:pStyle w:val="TOC3"/>
            <w:tabs>
              <w:tab w:val="right" w:leader="dot" w:pos="9016"/>
            </w:tabs>
            <w:rPr>
              <w:rFonts w:asciiTheme="minorHAnsi" w:eastAsiaTheme="minorEastAsia" w:hAnsiTheme="minorHAnsi"/>
              <w:noProof/>
              <w:sz w:val="22"/>
              <w:lang w:eastAsia="en-AU"/>
            </w:rPr>
          </w:pPr>
          <w:hyperlink w:anchor="_Toc75255193" w:history="1">
            <w:r w:rsidR="001641B4" w:rsidRPr="00E62016">
              <w:rPr>
                <w:rStyle w:val="Hyperlink"/>
                <w:noProof/>
              </w:rPr>
              <w:t>The legal powers of the investigator to obtain information</w:t>
            </w:r>
            <w:r w:rsidR="001641B4">
              <w:rPr>
                <w:noProof/>
                <w:webHidden/>
              </w:rPr>
              <w:tab/>
            </w:r>
            <w:r w:rsidR="001641B4">
              <w:rPr>
                <w:noProof/>
                <w:webHidden/>
              </w:rPr>
              <w:fldChar w:fldCharType="begin"/>
            </w:r>
            <w:r w:rsidR="001641B4">
              <w:rPr>
                <w:noProof/>
                <w:webHidden/>
              </w:rPr>
              <w:instrText xml:space="preserve"> PAGEREF _Toc75255193 \h </w:instrText>
            </w:r>
            <w:r w:rsidR="001641B4">
              <w:rPr>
                <w:noProof/>
                <w:webHidden/>
              </w:rPr>
            </w:r>
            <w:r w:rsidR="001641B4">
              <w:rPr>
                <w:noProof/>
                <w:webHidden/>
              </w:rPr>
              <w:fldChar w:fldCharType="separate"/>
            </w:r>
            <w:r w:rsidR="00245E6D">
              <w:rPr>
                <w:noProof/>
                <w:webHidden/>
              </w:rPr>
              <w:t>29</w:t>
            </w:r>
            <w:r w:rsidR="001641B4">
              <w:rPr>
                <w:noProof/>
                <w:webHidden/>
              </w:rPr>
              <w:fldChar w:fldCharType="end"/>
            </w:r>
          </w:hyperlink>
        </w:p>
        <w:p w14:paraId="57D9F989" w14:textId="67FF537F" w:rsidR="001641B4" w:rsidRDefault="00342157">
          <w:pPr>
            <w:pStyle w:val="TOC3"/>
            <w:tabs>
              <w:tab w:val="right" w:leader="dot" w:pos="9016"/>
            </w:tabs>
            <w:rPr>
              <w:rFonts w:asciiTheme="minorHAnsi" w:eastAsiaTheme="minorEastAsia" w:hAnsiTheme="minorHAnsi"/>
              <w:noProof/>
              <w:sz w:val="22"/>
              <w:lang w:eastAsia="en-AU"/>
            </w:rPr>
          </w:pPr>
          <w:hyperlink w:anchor="_Toc75255194" w:history="1">
            <w:r w:rsidR="001641B4" w:rsidRPr="00E62016">
              <w:rPr>
                <w:rStyle w:val="Hyperlink"/>
                <w:noProof/>
              </w:rPr>
              <w:t>When to notify the respondent of the investigation</w:t>
            </w:r>
            <w:r w:rsidR="001641B4">
              <w:rPr>
                <w:noProof/>
                <w:webHidden/>
              </w:rPr>
              <w:tab/>
            </w:r>
            <w:r w:rsidR="001641B4">
              <w:rPr>
                <w:noProof/>
                <w:webHidden/>
              </w:rPr>
              <w:fldChar w:fldCharType="begin"/>
            </w:r>
            <w:r w:rsidR="001641B4">
              <w:rPr>
                <w:noProof/>
                <w:webHidden/>
              </w:rPr>
              <w:instrText xml:space="preserve"> PAGEREF _Toc75255194 \h </w:instrText>
            </w:r>
            <w:r w:rsidR="001641B4">
              <w:rPr>
                <w:noProof/>
                <w:webHidden/>
              </w:rPr>
            </w:r>
            <w:r w:rsidR="001641B4">
              <w:rPr>
                <w:noProof/>
                <w:webHidden/>
              </w:rPr>
              <w:fldChar w:fldCharType="separate"/>
            </w:r>
            <w:r w:rsidR="00245E6D">
              <w:rPr>
                <w:noProof/>
                <w:webHidden/>
              </w:rPr>
              <w:t>29</w:t>
            </w:r>
            <w:r w:rsidR="001641B4">
              <w:rPr>
                <w:noProof/>
                <w:webHidden/>
              </w:rPr>
              <w:fldChar w:fldCharType="end"/>
            </w:r>
          </w:hyperlink>
        </w:p>
        <w:p w14:paraId="6046DF60" w14:textId="7AEA3B63" w:rsidR="001641B4" w:rsidRDefault="00342157">
          <w:pPr>
            <w:pStyle w:val="TOC3"/>
            <w:tabs>
              <w:tab w:val="right" w:leader="dot" w:pos="9016"/>
            </w:tabs>
            <w:rPr>
              <w:rFonts w:asciiTheme="minorHAnsi" w:eastAsiaTheme="minorEastAsia" w:hAnsiTheme="minorHAnsi"/>
              <w:noProof/>
              <w:sz w:val="22"/>
              <w:lang w:eastAsia="en-AU"/>
            </w:rPr>
          </w:pPr>
          <w:hyperlink w:anchor="_Toc75255195" w:history="1">
            <w:r w:rsidR="001641B4" w:rsidRPr="00E62016">
              <w:rPr>
                <w:rStyle w:val="Hyperlink"/>
                <w:noProof/>
              </w:rPr>
              <w:t>Interviewing witnesses, the discloser and respondents</w:t>
            </w:r>
            <w:r w:rsidR="001641B4">
              <w:rPr>
                <w:noProof/>
                <w:webHidden/>
              </w:rPr>
              <w:tab/>
            </w:r>
            <w:r w:rsidR="001641B4">
              <w:rPr>
                <w:noProof/>
                <w:webHidden/>
              </w:rPr>
              <w:fldChar w:fldCharType="begin"/>
            </w:r>
            <w:r w:rsidR="001641B4">
              <w:rPr>
                <w:noProof/>
                <w:webHidden/>
              </w:rPr>
              <w:instrText xml:space="preserve"> PAGEREF _Toc75255195 \h </w:instrText>
            </w:r>
            <w:r w:rsidR="001641B4">
              <w:rPr>
                <w:noProof/>
                <w:webHidden/>
              </w:rPr>
            </w:r>
            <w:r w:rsidR="001641B4">
              <w:rPr>
                <w:noProof/>
                <w:webHidden/>
              </w:rPr>
              <w:fldChar w:fldCharType="separate"/>
            </w:r>
            <w:r w:rsidR="00245E6D">
              <w:rPr>
                <w:noProof/>
                <w:webHidden/>
              </w:rPr>
              <w:t>29</w:t>
            </w:r>
            <w:r w:rsidR="001641B4">
              <w:rPr>
                <w:noProof/>
                <w:webHidden/>
              </w:rPr>
              <w:fldChar w:fldCharType="end"/>
            </w:r>
          </w:hyperlink>
        </w:p>
        <w:p w14:paraId="19F44137" w14:textId="059AFE6E" w:rsidR="001641B4" w:rsidRDefault="00342157">
          <w:pPr>
            <w:pStyle w:val="TOC3"/>
            <w:tabs>
              <w:tab w:val="right" w:leader="dot" w:pos="9016"/>
            </w:tabs>
            <w:rPr>
              <w:rFonts w:asciiTheme="minorHAnsi" w:eastAsiaTheme="minorEastAsia" w:hAnsiTheme="minorHAnsi"/>
              <w:noProof/>
              <w:sz w:val="22"/>
              <w:lang w:eastAsia="en-AU"/>
            </w:rPr>
          </w:pPr>
          <w:hyperlink w:anchor="_Toc75255196" w:history="1">
            <w:r w:rsidR="001641B4" w:rsidRPr="00E62016">
              <w:rPr>
                <w:rStyle w:val="Hyperlink"/>
                <w:noProof/>
              </w:rPr>
              <w:t>Procedural fairness</w:t>
            </w:r>
            <w:r w:rsidR="001641B4">
              <w:rPr>
                <w:noProof/>
                <w:webHidden/>
              </w:rPr>
              <w:tab/>
            </w:r>
            <w:r w:rsidR="001641B4">
              <w:rPr>
                <w:noProof/>
                <w:webHidden/>
              </w:rPr>
              <w:fldChar w:fldCharType="begin"/>
            </w:r>
            <w:r w:rsidR="001641B4">
              <w:rPr>
                <w:noProof/>
                <w:webHidden/>
              </w:rPr>
              <w:instrText xml:space="preserve"> PAGEREF _Toc75255196 \h </w:instrText>
            </w:r>
            <w:r w:rsidR="001641B4">
              <w:rPr>
                <w:noProof/>
                <w:webHidden/>
              </w:rPr>
            </w:r>
            <w:r w:rsidR="001641B4">
              <w:rPr>
                <w:noProof/>
                <w:webHidden/>
              </w:rPr>
              <w:fldChar w:fldCharType="separate"/>
            </w:r>
            <w:r w:rsidR="00245E6D">
              <w:rPr>
                <w:noProof/>
                <w:webHidden/>
              </w:rPr>
              <w:t>30</w:t>
            </w:r>
            <w:r w:rsidR="001641B4">
              <w:rPr>
                <w:noProof/>
                <w:webHidden/>
              </w:rPr>
              <w:fldChar w:fldCharType="end"/>
            </w:r>
          </w:hyperlink>
        </w:p>
        <w:p w14:paraId="4A769E91" w14:textId="250E090A" w:rsidR="001641B4" w:rsidRDefault="00342157">
          <w:pPr>
            <w:pStyle w:val="TOC3"/>
            <w:tabs>
              <w:tab w:val="right" w:leader="dot" w:pos="9016"/>
            </w:tabs>
            <w:rPr>
              <w:rFonts w:asciiTheme="minorHAnsi" w:eastAsiaTheme="minorEastAsia" w:hAnsiTheme="minorHAnsi"/>
              <w:noProof/>
              <w:sz w:val="22"/>
              <w:lang w:eastAsia="en-AU"/>
            </w:rPr>
          </w:pPr>
          <w:hyperlink w:anchor="_Toc75255197" w:history="1">
            <w:r w:rsidR="001641B4" w:rsidRPr="00E62016">
              <w:rPr>
                <w:rStyle w:val="Hyperlink"/>
                <w:noProof/>
              </w:rPr>
              <w:t>Ensuring confidentiality of the investigation</w:t>
            </w:r>
            <w:r w:rsidR="001641B4">
              <w:rPr>
                <w:noProof/>
                <w:webHidden/>
              </w:rPr>
              <w:tab/>
            </w:r>
            <w:r w:rsidR="001641B4">
              <w:rPr>
                <w:noProof/>
                <w:webHidden/>
              </w:rPr>
              <w:fldChar w:fldCharType="begin"/>
            </w:r>
            <w:r w:rsidR="001641B4">
              <w:rPr>
                <w:noProof/>
                <w:webHidden/>
              </w:rPr>
              <w:instrText xml:space="preserve"> PAGEREF _Toc75255197 \h </w:instrText>
            </w:r>
            <w:r w:rsidR="001641B4">
              <w:rPr>
                <w:noProof/>
                <w:webHidden/>
              </w:rPr>
            </w:r>
            <w:r w:rsidR="001641B4">
              <w:rPr>
                <w:noProof/>
                <w:webHidden/>
              </w:rPr>
              <w:fldChar w:fldCharType="separate"/>
            </w:r>
            <w:r w:rsidR="00245E6D">
              <w:rPr>
                <w:noProof/>
                <w:webHidden/>
              </w:rPr>
              <w:t>31</w:t>
            </w:r>
            <w:r w:rsidR="001641B4">
              <w:rPr>
                <w:noProof/>
                <w:webHidden/>
              </w:rPr>
              <w:fldChar w:fldCharType="end"/>
            </w:r>
          </w:hyperlink>
        </w:p>
        <w:p w14:paraId="43ADF45F" w14:textId="40BF95EB" w:rsidR="001641B4" w:rsidRDefault="00342157">
          <w:pPr>
            <w:pStyle w:val="TOC3"/>
            <w:tabs>
              <w:tab w:val="right" w:leader="dot" w:pos="9016"/>
            </w:tabs>
            <w:rPr>
              <w:rFonts w:asciiTheme="minorHAnsi" w:eastAsiaTheme="minorEastAsia" w:hAnsiTheme="minorHAnsi"/>
              <w:noProof/>
              <w:sz w:val="22"/>
              <w:lang w:eastAsia="en-AU"/>
            </w:rPr>
          </w:pPr>
          <w:hyperlink w:anchor="_Toc75255198" w:history="1">
            <w:r w:rsidR="001641B4" w:rsidRPr="00E62016">
              <w:rPr>
                <w:rStyle w:val="Hyperlink"/>
                <w:noProof/>
              </w:rPr>
              <w:t>Investigation time limits</w:t>
            </w:r>
            <w:r w:rsidR="001641B4">
              <w:rPr>
                <w:noProof/>
                <w:webHidden/>
              </w:rPr>
              <w:tab/>
            </w:r>
            <w:r w:rsidR="001641B4">
              <w:rPr>
                <w:noProof/>
                <w:webHidden/>
              </w:rPr>
              <w:fldChar w:fldCharType="begin"/>
            </w:r>
            <w:r w:rsidR="001641B4">
              <w:rPr>
                <w:noProof/>
                <w:webHidden/>
              </w:rPr>
              <w:instrText xml:space="preserve"> PAGEREF _Toc75255198 \h </w:instrText>
            </w:r>
            <w:r w:rsidR="001641B4">
              <w:rPr>
                <w:noProof/>
                <w:webHidden/>
              </w:rPr>
            </w:r>
            <w:r w:rsidR="001641B4">
              <w:rPr>
                <w:noProof/>
                <w:webHidden/>
              </w:rPr>
              <w:fldChar w:fldCharType="separate"/>
            </w:r>
            <w:r w:rsidR="00245E6D">
              <w:rPr>
                <w:noProof/>
                <w:webHidden/>
              </w:rPr>
              <w:t>31</w:t>
            </w:r>
            <w:r w:rsidR="001641B4">
              <w:rPr>
                <w:noProof/>
                <w:webHidden/>
              </w:rPr>
              <w:fldChar w:fldCharType="end"/>
            </w:r>
          </w:hyperlink>
        </w:p>
        <w:p w14:paraId="0384B63C" w14:textId="6BCCAD72" w:rsidR="001641B4" w:rsidRDefault="00342157">
          <w:pPr>
            <w:pStyle w:val="TOC3"/>
            <w:tabs>
              <w:tab w:val="right" w:leader="dot" w:pos="9016"/>
            </w:tabs>
            <w:rPr>
              <w:rFonts w:asciiTheme="minorHAnsi" w:eastAsiaTheme="minorEastAsia" w:hAnsiTheme="minorHAnsi"/>
              <w:noProof/>
              <w:sz w:val="22"/>
              <w:lang w:eastAsia="en-AU"/>
            </w:rPr>
          </w:pPr>
          <w:hyperlink w:anchor="_Toc75255199" w:history="1">
            <w:r w:rsidR="001641B4" w:rsidRPr="00E62016">
              <w:rPr>
                <w:rStyle w:val="Hyperlink"/>
                <w:noProof/>
              </w:rPr>
              <w:t>Minimising impacts arising from the investigation</w:t>
            </w:r>
            <w:r w:rsidR="001641B4">
              <w:rPr>
                <w:noProof/>
                <w:webHidden/>
              </w:rPr>
              <w:tab/>
            </w:r>
            <w:r w:rsidR="001641B4">
              <w:rPr>
                <w:noProof/>
                <w:webHidden/>
              </w:rPr>
              <w:fldChar w:fldCharType="begin"/>
            </w:r>
            <w:r w:rsidR="001641B4">
              <w:rPr>
                <w:noProof/>
                <w:webHidden/>
              </w:rPr>
              <w:instrText xml:space="preserve"> PAGEREF _Toc75255199 \h </w:instrText>
            </w:r>
            <w:r w:rsidR="001641B4">
              <w:rPr>
                <w:noProof/>
                <w:webHidden/>
              </w:rPr>
            </w:r>
            <w:r w:rsidR="001641B4">
              <w:rPr>
                <w:noProof/>
                <w:webHidden/>
              </w:rPr>
              <w:fldChar w:fldCharType="separate"/>
            </w:r>
            <w:r w:rsidR="00245E6D">
              <w:rPr>
                <w:noProof/>
                <w:webHidden/>
              </w:rPr>
              <w:t>32</w:t>
            </w:r>
            <w:r w:rsidR="001641B4">
              <w:rPr>
                <w:noProof/>
                <w:webHidden/>
              </w:rPr>
              <w:fldChar w:fldCharType="end"/>
            </w:r>
          </w:hyperlink>
        </w:p>
        <w:p w14:paraId="154FC77C" w14:textId="14B8F6D2" w:rsidR="001641B4" w:rsidRDefault="00342157">
          <w:pPr>
            <w:pStyle w:val="TOC3"/>
            <w:tabs>
              <w:tab w:val="right" w:leader="dot" w:pos="9016"/>
            </w:tabs>
            <w:rPr>
              <w:rFonts w:asciiTheme="minorHAnsi" w:eastAsiaTheme="minorEastAsia" w:hAnsiTheme="minorHAnsi"/>
              <w:noProof/>
              <w:sz w:val="22"/>
              <w:lang w:eastAsia="en-AU"/>
            </w:rPr>
          </w:pPr>
          <w:hyperlink w:anchor="_Toc75255200" w:history="1">
            <w:r w:rsidR="001641B4" w:rsidRPr="00E62016">
              <w:rPr>
                <w:rStyle w:val="Hyperlink"/>
                <w:noProof/>
              </w:rPr>
              <w:t>The investigation report</w:t>
            </w:r>
            <w:r w:rsidR="001641B4">
              <w:rPr>
                <w:noProof/>
                <w:webHidden/>
              </w:rPr>
              <w:tab/>
            </w:r>
            <w:r w:rsidR="001641B4">
              <w:rPr>
                <w:noProof/>
                <w:webHidden/>
              </w:rPr>
              <w:fldChar w:fldCharType="begin"/>
            </w:r>
            <w:r w:rsidR="001641B4">
              <w:rPr>
                <w:noProof/>
                <w:webHidden/>
              </w:rPr>
              <w:instrText xml:space="preserve"> PAGEREF _Toc75255200 \h </w:instrText>
            </w:r>
            <w:r w:rsidR="001641B4">
              <w:rPr>
                <w:noProof/>
                <w:webHidden/>
              </w:rPr>
            </w:r>
            <w:r w:rsidR="001641B4">
              <w:rPr>
                <w:noProof/>
                <w:webHidden/>
              </w:rPr>
              <w:fldChar w:fldCharType="separate"/>
            </w:r>
            <w:r w:rsidR="00245E6D">
              <w:rPr>
                <w:noProof/>
                <w:webHidden/>
              </w:rPr>
              <w:t>32</w:t>
            </w:r>
            <w:r w:rsidR="001641B4">
              <w:rPr>
                <w:noProof/>
                <w:webHidden/>
              </w:rPr>
              <w:fldChar w:fldCharType="end"/>
            </w:r>
          </w:hyperlink>
        </w:p>
        <w:p w14:paraId="30A48F8D" w14:textId="5C6D282F" w:rsidR="001641B4" w:rsidRDefault="00342157">
          <w:pPr>
            <w:pStyle w:val="TOC3"/>
            <w:tabs>
              <w:tab w:val="right" w:leader="dot" w:pos="9016"/>
            </w:tabs>
            <w:rPr>
              <w:rFonts w:asciiTheme="minorHAnsi" w:eastAsiaTheme="minorEastAsia" w:hAnsiTheme="minorHAnsi"/>
              <w:noProof/>
              <w:sz w:val="22"/>
              <w:lang w:eastAsia="en-AU"/>
            </w:rPr>
          </w:pPr>
          <w:hyperlink w:anchor="_Toc75255201" w:history="1">
            <w:r w:rsidR="001641B4" w:rsidRPr="00E62016">
              <w:rPr>
                <w:rStyle w:val="Hyperlink"/>
                <w:noProof/>
              </w:rPr>
              <w:t>The need to protect the identity of disclosers</w:t>
            </w:r>
            <w:r w:rsidR="001641B4">
              <w:rPr>
                <w:noProof/>
                <w:webHidden/>
              </w:rPr>
              <w:tab/>
            </w:r>
            <w:r w:rsidR="001641B4">
              <w:rPr>
                <w:noProof/>
                <w:webHidden/>
              </w:rPr>
              <w:fldChar w:fldCharType="begin"/>
            </w:r>
            <w:r w:rsidR="001641B4">
              <w:rPr>
                <w:noProof/>
                <w:webHidden/>
              </w:rPr>
              <w:instrText xml:space="preserve"> PAGEREF _Toc75255201 \h </w:instrText>
            </w:r>
            <w:r w:rsidR="001641B4">
              <w:rPr>
                <w:noProof/>
                <w:webHidden/>
              </w:rPr>
            </w:r>
            <w:r w:rsidR="001641B4">
              <w:rPr>
                <w:noProof/>
                <w:webHidden/>
              </w:rPr>
              <w:fldChar w:fldCharType="separate"/>
            </w:r>
            <w:r w:rsidR="00245E6D">
              <w:rPr>
                <w:noProof/>
                <w:webHidden/>
              </w:rPr>
              <w:t>34</w:t>
            </w:r>
            <w:r w:rsidR="001641B4">
              <w:rPr>
                <w:noProof/>
                <w:webHidden/>
              </w:rPr>
              <w:fldChar w:fldCharType="end"/>
            </w:r>
          </w:hyperlink>
        </w:p>
        <w:p w14:paraId="3423F435" w14:textId="75270B96" w:rsidR="001641B4" w:rsidRDefault="00342157">
          <w:pPr>
            <w:pStyle w:val="TOC2"/>
            <w:tabs>
              <w:tab w:val="right" w:leader="dot" w:pos="9016"/>
            </w:tabs>
            <w:rPr>
              <w:rFonts w:asciiTheme="minorHAnsi" w:eastAsiaTheme="minorEastAsia" w:hAnsiTheme="minorHAnsi"/>
              <w:noProof/>
              <w:sz w:val="22"/>
              <w:lang w:eastAsia="en-AU"/>
            </w:rPr>
          </w:pPr>
          <w:hyperlink w:anchor="_Toc75255202" w:history="1">
            <w:r w:rsidR="001641B4" w:rsidRPr="00E62016">
              <w:rPr>
                <w:rStyle w:val="Hyperlink"/>
                <w:noProof/>
              </w:rPr>
              <w:t>When and how to end an investigation</w:t>
            </w:r>
            <w:r w:rsidR="001641B4">
              <w:rPr>
                <w:noProof/>
                <w:webHidden/>
              </w:rPr>
              <w:tab/>
            </w:r>
            <w:r w:rsidR="001641B4">
              <w:rPr>
                <w:noProof/>
                <w:webHidden/>
              </w:rPr>
              <w:fldChar w:fldCharType="begin"/>
            </w:r>
            <w:r w:rsidR="001641B4">
              <w:rPr>
                <w:noProof/>
                <w:webHidden/>
              </w:rPr>
              <w:instrText xml:space="preserve"> PAGEREF _Toc75255202 \h </w:instrText>
            </w:r>
            <w:r w:rsidR="001641B4">
              <w:rPr>
                <w:noProof/>
                <w:webHidden/>
              </w:rPr>
            </w:r>
            <w:r w:rsidR="001641B4">
              <w:rPr>
                <w:noProof/>
                <w:webHidden/>
              </w:rPr>
              <w:fldChar w:fldCharType="separate"/>
            </w:r>
            <w:r w:rsidR="00245E6D">
              <w:rPr>
                <w:noProof/>
                <w:webHidden/>
              </w:rPr>
              <w:t>35</w:t>
            </w:r>
            <w:r w:rsidR="001641B4">
              <w:rPr>
                <w:noProof/>
                <w:webHidden/>
              </w:rPr>
              <w:fldChar w:fldCharType="end"/>
            </w:r>
          </w:hyperlink>
        </w:p>
        <w:p w14:paraId="625C62E1" w14:textId="32A39B73" w:rsidR="001641B4" w:rsidRDefault="00342157">
          <w:pPr>
            <w:pStyle w:val="TOC1"/>
            <w:tabs>
              <w:tab w:val="right" w:leader="dot" w:pos="9016"/>
            </w:tabs>
            <w:rPr>
              <w:rFonts w:asciiTheme="minorHAnsi" w:eastAsiaTheme="minorEastAsia" w:hAnsiTheme="minorHAnsi"/>
              <w:noProof/>
              <w:sz w:val="22"/>
              <w:lang w:eastAsia="en-AU"/>
            </w:rPr>
          </w:pPr>
          <w:hyperlink w:anchor="_Toc75255203" w:history="1">
            <w:r w:rsidR="001641B4" w:rsidRPr="00E62016">
              <w:rPr>
                <w:rStyle w:val="Hyperlink"/>
                <w:noProof/>
              </w:rPr>
              <w:t>Concluding an investigation and administrative protocols</w:t>
            </w:r>
            <w:r w:rsidR="001641B4">
              <w:rPr>
                <w:noProof/>
                <w:webHidden/>
              </w:rPr>
              <w:tab/>
            </w:r>
            <w:r w:rsidR="001641B4">
              <w:rPr>
                <w:noProof/>
                <w:webHidden/>
              </w:rPr>
              <w:fldChar w:fldCharType="begin"/>
            </w:r>
            <w:r w:rsidR="001641B4">
              <w:rPr>
                <w:noProof/>
                <w:webHidden/>
              </w:rPr>
              <w:instrText xml:space="preserve"> PAGEREF _Toc75255203 \h </w:instrText>
            </w:r>
            <w:r w:rsidR="001641B4">
              <w:rPr>
                <w:noProof/>
                <w:webHidden/>
              </w:rPr>
            </w:r>
            <w:r w:rsidR="001641B4">
              <w:rPr>
                <w:noProof/>
                <w:webHidden/>
              </w:rPr>
              <w:fldChar w:fldCharType="separate"/>
            </w:r>
            <w:r w:rsidR="00245E6D">
              <w:rPr>
                <w:noProof/>
                <w:webHidden/>
              </w:rPr>
              <w:t>38</w:t>
            </w:r>
            <w:r w:rsidR="001641B4">
              <w:rPr>
                <w:noProof/>
                <w:webHidden/>
              </w:rPr>
              <w:fldChar w:fldCharType="end"/>
            </w:r>
          </w:hyperlink>
        </w:p>
        <w:p w14:paraId="0D4A3279" w14:textId="3035AD1A" w:rsidR="001641B4" w:rsidRDefault="00342157">
          <w:pPr>
            <w:pStyle w:val="TOC2"/>
            <w:tabs>
              <w:tab w:val="right" w:leader="dot" w:pos="9016"/>
            </w:tabs>
            <w:rPr>
              <w:rFonts w:asciiTheme="minorHAnsi" w:eastAsiaTheme="minorEastAsia" w:hAnsiTheme="minorHAnsi"/>
              <w:noProof/>
              <w:sz w:val="22"/>
              <w:lang w:eastAsia="en-AU"/>
            </w:rPr>
          </w:pPr>
          <w:hyperlink w:anchor="_Toc75255204" w:history="1">
            <w:r w:rsidR="001641B4" w:rsidRPr="00E62016">
              <w:rPr>
                <w:rStyle w:val="Hyperlink"/>
                <w:noProof/>
              </w:rPr>
              <w:t>Notifying the discloser, the respondent, and the Commission of the conclusion of the matter</w:t>
            </w:r>
            <w:r w:rsidR="001641B4">
              <w:rPr>
                <w:noProof/>
                <w:webHidden/>
              </w:rPr>
              <w:tab/>
            </w:r>
            <w:r w:rsidR="001641B4">
              <w:rPr>
                <w:noProof/>
                <w:webHidden/>
              </w:rPr>
              <w:fldChar w:fldCharType="begin"/>
            </w:r>
            <w:r w:rsidR="001641B4">
              <w:rPr>
                <w:noProof/>
                <w:webHidden/>
              </w:rPr>
              <w:instrText xml:space="preserve"> PAGEREF _Toc75255204 \h </w:instrText>
            </w:r>
            <w:r w:rsidR="001641B4">
              <w:rPr>
                <w:noProof/>
                <w:webHidden/>
              </w:rPr>
            </w:r>
            <w:r w:rsidR="001641B4">
              <w:rPr>
                <w:noProof/>
                <w:webHidden/>
              </w:rPr>
              <w:fldChar w:fldCharType="separate"/>
            </w:r>
            <w:r w:rsidR="00245E6D">
              <w:rPr>
                <w:noProof/>
                <w:webHidden/>
              </w:rPr>
              <w:t>38</w:t>
            </w:r>
            <w:r w:rsidR="001641B4">
              <w:rPr>
                <w:noProof/>
                <w:webHidden/>
              </w:rPr>
              <w:fldChar w:fldCharType="end"/>
            </w:r>
          </w:hyperlink>
        </w:p>
        <w:p w14:paraId="727F1289" w14:textId="2C5F4901" w:rsidR="001641B4" w:rsidRDefault="00342157">
          <w:pPr>
            <w:pStyle w:val="TOC3"/>
            <w:tabs>
              <w:tab w:val="right" w:leader="dot" w:pos="9016"/>
            </w:tabs>
            <w:rPr>
              <w:rFonts w:asciiTheme="minorHAnsi" w:eastAsiaTheme="minorEastAsia" w:hAnsiTheme="minorHAnsi"/>
              <w:noProof/>
              <w:sz w:val="22"/>
              <w:lang w:eastAsia="en-AU"/>
            </w:rPr>
          </w:pPr>
          <w:hyperlink w:anchor="_Toc75255205" w:history="1">
            <w:r w:rsidR="001641B4" w:rsidRPr="00E62016">
              <w:rPr>
                <w:rStyle w:val="Hyperlink"/>
                <w:noProof/>
              </w:rPr>
              <w:t>Notifying the discloser</w:t>
            </w:r>
            <w:r w:rsidR="001641B4">
              <w:rPr>
                <w:noProof/>
                <w:webHidden/>
              </w:rPr>
              <w:tab/>
            </w:r>
            <w:r w:rsidR="001641B4">
              <w:rPr>
                <w:noProof/>
                <w:webHidden/>
              </w:rPr>
              <w:fldChar w:fldCharType="begin"/>
            </w:r>
            <w:r w:rsidR="001641B4">
              <w:rPr>
                <w:noProof/>
                <w:webHidden/>
              </w:rPr>
              <w:instrText xml:space="preserve"> PAGEREF _Toc75255205 \h </w:instrText>
            </w:r>
            <w:r w:rsidR="001641B4">
              <w:rPr>
                <w:noProof/>
                <w:webHidden/>
              </w:rPr>
            </w:r>
            <w:r w:rsidR="001641B4">
              <w:rPr>
                <w:noProof/>
                <w:webHidden/>
              </w:rPr>
              <w:fldChar w:fldCharType="separate"/>
            </w:r>
            <w:r w:rsidR="00245E6D">
              <w:rPr>
                <w:noProof/>
                <w:webHidden/>
              </w:rPr>
              <w:t>38</w:t>
            </w:r>
            <w:r w:rsidR="001641B4">
              <w:rPr>
                <w:noProof/>
                <w:webHidden/>
              </w:rPr>
              <w:fldChar w:fldCharType="end"/>
            </w:r>
          </w:hyperlink>
        </w:p>
        <w:p w14:paraId="0FF71605" w14:textId="0E06309C" w:rsidR="001641B4" w:rsidRDefault="00342157">
          <w:pPr>
            <w:pStyle w:val="TOC3"/>
            <w:tabs>
              <w:tab w:val="right" w:leader="dot" w:pos="9016"/>
            </w:tabs>
            <w:rPr>
              <w:rFonts w:asciiTheme="minorHAnsi" w:eastAsiaTheme="minorEastAsia" w:hAnsiTheme="minorHAnsi"/>
              <w:noProof/>
              <w:sz w:val="22"/>
              <w:lang w:eastAsia="en-AU"/>
            </w:rPr>
          </w:pPr>
          <w:hyperlink w:anchor="_Toc75255206" w:history="1">
            <w:r w:rsidR="001641B4" w:rsidRPr="00E62016">
              <w:rPr>
                <w:rStyle w:val="Hyperlink"/>
                <w:noProof/>
              </w:rPr>
              <w:t>Notifying the respondent</w:t>
            </w:r>
            <w:r w:rsidR="001641B4">
              <w:rPr>
                <w:noProof/>
                <w:webHidden/>
              </w:rPr>
              <w:tab/>
            </w:r>
            <w:r w:rsidR="001641B4">
              <w:rPr>
                <w:noProof/>
                <w:webHidden/>
              </w:rPr>
              <w:fldChar w:fldCharType="begin"/>
            </w:r>
            <w:r w:rsidR="001641B4">
              <w:rPr>
                <w:noProof/>
                <w:webHidden/>
              </w:rPr>
              <w:instrText xml:space="preserve"> PAGEREF _Toc75255206 \h </w:instrText>
            </w:r>
            <w:r w:rsidR="001641B4">
              <w:rPr>
                <w:noProof/>
                <w:webHidden/>
              </w:rPr>
            </w:r>
            <w:r w:rsidR="001641B4">
              <w:rPr>
                <w:noProof/>
                <w:webHidden/>
              </w:rPr>
              <w:fldChar w:fldCharType="separate"/>
            </w:r>
            <w:r w:rsidR="00245E6D">
              <w:rPr>
                <w:noProof/>
                <w:webHidden/>
              </w:rPr>
              <w:t>38</w:t>
            </w:r>
            <w:r w:rsidR="001641B4">
              <w:rPr>
                <w:noProof/>
                <w:webHidden/>
              </w:rPr>
              <w:fldChar w:fldCharType="end"/>
            </w:r>
          </w:hyperlink>
        </w:p>
        <w:p w14:paraId="15148839" w14:textId="3761D17F" w:rsidR="001641B4" w:rsidRDefault="00342157">
          <w:pPr>
            <w:pStyle w:val="TOC3"/>
            <w:tabs>
              <w:tab w:val="right" w:leader="dot" w:pos="9016"/>
            </w:tabs>
            <w:rPr>
              <w:rFonts w:asciiTheme="minorHAnsi" w:eastAsiaTheme="minorEastAsia" w:hAnsiTheme="minorHAnsi"/>
              <w:noProof/>
              <w:sz w:val="22"/>
              <w:lang w:eastAsia="en-AU"/>
            </w:rPr>
          </w:pPr>
          <w:hyperlink w:anchor="_Toc75255207" w:history="1">
            <w:r w:rsidR="001641B4" w:rsidRPr="00E62016">
              <w:rPr>
                <w:rStyle w:val="Hyperlink"/>
                <w:noProof/>
              </w:rPr>
              <w:t>Notifying the Commission</w:t>
            </w:r>
            <w:r w:rsidR="001641B4">
              <w:rPr>
                <w:noProof/>
                <w:webHidden/>
              </w:rPr>
              <w:tab/>
            </w:r>
            <w:r w:rsidR="001641B4">
              <w:rPr>
                <w:noProof/>
                <w:webHidden/>
              </w:rPr>
              <w:fldChar w:fldCharType="begin"/>
            </w:r>
            <w:r w:rsidR="001641B4">
              <w:rPr>
                <w:noProof/>
                <w:webHidden/>
              </w:rPr>
              <w:instrText xml:space="preserve"> PAGEREF _Toc75255207 \h </w:instrText>
            </w:r>
            <w:r w:rsidR="001641B4">
              <w:rPr>
                <w:noProof/>
                <w:webHidden/>
              </w:rPr>
            </w:r>
            <w:r w:rsidR="001641B4">
              <w:rPr>
                <w:noProof/>
                <w:webHidden/>
              </w:rPr>
              <w:fldChar w:fldCharType="separate"/>
            </w:r>
            <w:r w:rsidR="00245E6D">
              <w:rPr>
                <w:noProof/>
                <w:webHidden/>
              </w:rPr>
              <w:t>40</w:t>
            </w:r>
            <w:r w:rsidR="001641B4">
              <w:rPr>
                <w:noProof/>
                <w:webHidden/>
              </w:rPr>
              <w:fldChar w:fldCharType="end"/>
            </w:r>
          </w:hyperlink>
        </w:p>
        <w:p w14:paraId="4FBAB458" w14:textId="37A03754" w:rsidR="001641B4" w:rsidRDefault="00342157">
          <w:pPr>
            <w:pStyle w:val="TOC2"/>
            <w:tabs>
              <w:tab w:val="right" w:leader="dot" w:pos="9016"/>
            </w:tabs>
            <w:rPr>
              <w:rFonts w:asciiTheme="minorHAnsi" w:eastAsiaTheme="minorEastAsia" w:hAnsiTheme="minorHAnsi"/>
              <w:noProof/>
              <w:sz w:val="22"/>
              <w:lang w:eastAsia="en-AU"/>
            </w:rPr>
          </w:pPr>
          <w:hyperlink w:anchor="_Toc75255208" w:history="1">
            <w:r w:rsidR="001641B4" w:rsidRPr="00E62016">
              <w:rPr>
                <w:rStyle w:val="Hyperlink"/>
                <w:noProof/>
              </w:rPr>
              <w:t>The requirement for a public sector entity to take action</w:t>
            </w:r>
            <w:r w:rsidR="001641B4">
              <w:rPr>
                <w:noProof/>
                <w:webHidden/>
              </w:rPr>
              <w:tab/>
            </w:r>
            <w:r w:rsidR="001641B4">
              <w:rPr>
                <w:noProof/>
                <w:webHidden/>
              </w:rPr>
              <w:fldChar w:fldCharType="begin"/>
            </w:r>
            <w:r w:rsidR="001641B4">
              <w:rPr>
                <w:noProof/>
                <w:webHidden/>
              </w:rPr>
              <w:instrText xml:space="preserve"> PAGEREF _Toc75255208 \h </w:instrText>
            </w:r>
            <w:r w:rsidR="001641B4">
              <w:rPr>
                <w:noProof/>
                <w:webHidden/>
              </w:rPr>
            </w:r>
            <w:r w:rsidR="001641B4">
              <w:rPr>
                <w:noProof/>
                <w:webHidden/>
              </w:rPr>
              <w:fldChar w:fldCharType="separate"/>
            </w:r>
            <w:r w:rsidR="00245E6D">
              <w:rPr>
                <w:noProof/>
                <w:webHidden/>
              </w:rPr>
              <w:t>40</w:t>
            </w:r>
            <w:r w:rsidR="001641B4">
              <w:rPr>
                <w:noProof/>
                <w:webHidden/>
              </w:rPr>
              <w:fldChar w:fldCharType="end"/>
            </w:r>
          </w:hyperlink>
        </w:p>
        <w:p w14:paraId="48A5724E" w14:textId="6CD56820" w:rsidR="001641B4" w:rsidRDefault="00342157">
          <w:pPr>
            <w:pStyle w:val="TOC2"/>
            <w:tabs>
              <w:tab w:val="right" w:leader="dot" w:pos="9016"/>
            </w:tabs>
            <w:rPr>
              <w:rFonts w:asciiTheme="minorHAnsi" w:eastAsiaTheme="minorEastAsia" w:hAnsiTheme="minorHAnsi"/>
              <w:noProof/>
              <w:sz w:val="22"/>
              <w:lang w:eastAsia="en-AU"/>
            </w:rPr>
          </w:pPr>
          <w:hyperlink w:anchor="_Toc75255209" w:history="1">
            <w:r w:rsidR="001641B4" w:rsidRPr="00E62016">
              <w:rPr>
                <w:rStyle w:val="Hyperlink"/>
                <w:noProof/>
              </w:rPr>
              <w:t>How to manage an investigation where the allegations are not substantiated</w:t>
            </w:r>
            <w:r w:rsidR="001641B4">
              <w:rPr>
                <w:noProof/>
                <w:webHidden/>
              </w:rPr>
              <w:tab/>
            </w:r>
            <w:r w:rsidR="001641B4">
              <w:rPr>
                <w:noProof/>
                <w:webHidden/>
              </w:rPr>
              <w:fldChar w:fldCharType="begin"/>
            </w:r>
            <w:r w:rsidR="001641B4">
              <w:rPr>
                <w:noProof/>
                <w:webHidden/>
              </w:rPr>
              <w:instrText xml:space="preserve"> PAGEREF _Toc75255209 \h </w:instrText>
            </w:r>
            <w:r w:rsidR="001641B4">
              <w:rPr>
                <w:noProof/>
                <w:webHidden/>
              </w:rPr>
            </w:r>
            <w:r w:rsidR="001641B4">
              <w:rPr>
                <w:noProof/>
                <w:webHidden/>
              </w:rPr>
              <w:fldChar w:fldCharType="separate"/>
            </w:r>
            <w:r w:rsidR="00245E6D">
              <w:rPr>
                <w:noProof/>
                <w:webHidden/>
              </w:rPr>
              <w:t>41</w:t>
            </w:r>
            <w:r w:rsidR="001641B4">
              <w:rPr>
                <w:noProof/>
                <w:webHidden/>
              </w:rPr>
              <w:fldChar w:fldCharType="end"/>
            </w:r>
          </w:hyperlink>
        </w:p>
        <w:p w14:paraId="0E1EE81D" w14:textId="0B557E56" w:rsidR="001641B4" w:rsidRDefault="00342157">
          <w:pPr>
            <w:pStyle w:val="TOC2"/>
            <w:tabs>
              <w:tab w:val="right" w:leader="dot" w:pos="9016"/>
            </w:tabs>
            <w:rPr>
              <w:rFonts w:asciiTheme="minorHAnsi" w:eastAsiaTheme="minorEastAsia" w:hAnsiTheme="minorHAnsi"/>
              <w:noProof/>
              <w:sz w:val="22"/>
              <w:lang w:eastAsia="en-AU"/>
            </w:rPr>
          </w:pPr>
          <w:hyperlink w:anchor="_Toc75255210" w:history="1">
            <w:r w:rsidR="001641B4" w:rsidRPr="00E62016">
              <w:rPr>
                <w:rStyle w:val="Hyperlink"/>
                <w:noProof/>
              </w:rPr>
              <w:t>How to assist a discloser who is displeased with the outcome of an investigation</w:t>
            </w:r>
            <w:r w:rsidR="001641B4">
              <w:rPr>
                <w:noProof/>
                <w:webHidden/>
              </w:rPr>
              <w:tab/>
            </w:r>
            <w:r w:rsidR="001641B4">
              <w:rPr>
                <w:noProof/>
                <w:webHidden/>
              </w:rPr>
              <w:fldChar w:fldCharType="begin"/>
            </w:r>
            <w:r w:rsidR="001641B4">
              <w:rPr>
                <w:noProof/>
                <w:webHidden/>
              </w:rPr>
              <w:instrText xml:space="preserve"> PAGEREF _Toc75255210 \h </w:instrText>
            </w:r>
            <w:r w:rsidR="001641B4">
              <w:rPr>
                <w:noProof/>
                <w:webHidden/>
              </w:rPr>
            </w:r>
            <w:r w:rsidR="001641B4">
              <w:rPr>
                <w:noProof/>
                <w:webHidden/>
              </w:rPr>
              <w:fldChar w:fldCharType="separate"/>
            </w:r>
            <w:r w:rsidR="00245E6D">
              <w:rPr>
                <w:noProof/>
                <w:webHidden/>
              </w:rPr>
              <w:t>41</w:t>
            </w:r>
            <w:r w:rsidR="001641B4">
              <w:rPr>
                <w:noProof/>
                <w:webHidden/>
              </w:rPr>
              <w:fldChar w:fldCharType="end"/>
            </w:r>
          </w:hyperlink>
        </w:p>
        <w:p w14:paraId="52BB68D7" w14:textId="75B9385D" w:rsidR="001641B4" w:rsidRDefault="00342157">
          <w:pPr>
            <w:pStyle w:val="TOC2"/>
            <w:tabs>
              <w:tab w:val="right" w:leader="dot" w:pos="9016"/>
            </w:tabs>
            <w:rPr>
              <w:rFonts w:asciiTheme="minorHAnsi" w:eastAsiaTheme="minorEastAsia" w:hAnsiTheme="minorHAnsi"/>
              <w:noProof/>
              <w:sz w:val="22"/>
              <w:lang w:eastAsia="en-AU"/>
            </w:rPr>
          </w:pPr>
          <w:hyperlink w:anchor="_Toc75255211" w:history="1">
            <w:r w:rsidR="001641B4" w:rsidRPr="00E62016">
              <w:rPr>
                <w:rStyle w:val="Hyperlink"/>
                <w:noProof/>
              </w:rPr>
              <w:t>The necessity of maintaining adequate records</w:t>
            </w:r>
            <w:r w:rsidR="001641B4">
              <w:rPr>
                <w:noProof/>
                <w:webHidden/>
              </w:rPr>
              <w:tab/>
            </w:r>
            <w:r w:rsidR="001641B4">
              <w:rPr>
                <w:noProof/>
                <w:webHidden/>
              </w:rPr>
              <w:fldChar w:fldCharType="begin"/>
            </w:r>
            <w:r w:rsidR="001641B4">
              <w:rPr>
                <w:noProof/>
                <w:webHidden/>
              </w:rPr>
              <w:instrText xml:space="preserve"> PAGEREF _Toc75255211 \h </w:instrText>
            </w:r>
            <w:r w:rsidR="001641B4">
              <w:rPr>
                <w:noProof/>
                <w:webHidden/>
              </w:rPr>
            </w:r>
            <w:r w:rsidR="001641B4">
              <w:rPr>
                <w:noProof/>
                <w:webHidden/>
              </w:rPr>
              <w:fldChar w:fldCharType="separate"/>
            </w:r>
            <w:r w:rsidR="00245E6D">
              <w:rPr>
                <w:noProof/>
                <w:webHidden/>
              </w:rPr>
              <w:t>42</w:t>
            </w:r>
            <w:r w:rsidR="001641B4">
              <w:rPr>
                <w:noProof/>
                <w:webHidden/>
              </w:rPr>
              <w:fldChar w:fldCharType="end"/>
            </w:r>
          </w:hyperlink>
        </w:p>
        <w:p w14:paraId="7AB1E4CE" w14:textId="3A09315F" w:rsidR="001641B4" w:rsidRDefault="00342157">
          <w:pPr>
            <w:pStyle w:val="TOC2"/>
            <w:tabs>
              <w:tab w:val="right" w:leader="dot" w:pos="9016"/>
            </w:tabs>
            <w:rPr>
              <w:rFonts w:asciiTheme="minorHAnsi" w:eastAsiaTheme="minorEastAsia" w:hAnsiTheme="minorHAnsi"/>
              <w:noProof/>
              <w:sz w:val="22"/>
              <w:lang w:eastAsia="en-AU"/>
            </w:rPr>
          </w:pPr>
          <w:hyperlink w:anchor="_Toc75255212" w:history="1">
            <w:r w:rsidR="001641B4" w:rsidRPr="00E62016">
              <w:rPr>
                <w:rStyle w:val="Hyperlink"/>
                <w:noProof/>
              </w:rPr>
              <w:t>Can FOI applicants seek access to investigation reports?</w:t>
            </w:r>
            <w:r w:rsidR="001641B4">
              <w:rPr>
                <w:noProof/>
                <w:webHidden/>
              </w:rPr>
              <w:tab/>
            </w:r>
            <w:r w:rsidR="001641B4">
              <w:rPr>
                <w:noProof/>
                <w:webHidden/>
              </w:rPr>
              <w:fldChar w:fldCharType="begin"/>
            </w:r>
            <w:r w:rsidR="001641B4">
              <w:rPr>
                <w:noProof/>
                <w:webHidden/>
              </w:rPr>
              <w:instrText xml:space="preserve"> PAGEREF _Toc75255212 \h </w:instrText>
            </w:r>
            <w:r w:rsidR="001641B4">
              <w:rPr>
                <w:noProof/>
                <w:webHidden/>
              </w:rPr>
            </w:r>
            <w:r w:rsidR="001641B4">
              <w:rPr>
                <w:noProof/>
                <w:webHidden/>
              </w:rPr>
              <w:fldChar w:fldCharType="separate"/>
            </w:r>
            <w:r w:rsidR="00245E6D">
              <w:rPr>
                <w:noProof/>
                <w:webHidden/>
              </w:rPr>
              <w:t>42</w:t>
            </w:r>
            <w:r w:rsidR="001641B4">
              <w:rPr>
                <w:noProof/>
                <w:webHidden/>
              </w:rPr>
              <w:fldChar w:fldCharType="end"/>
            </w:r>
          </w:hyperlink>
        </w:p>
        <w:p w14:paraId="15A3B7D6" w14:textId="71F1D20E" w:rsidR="001641B4" w:rsidRDefault="00342157">
          <w:pPr>
            <w:pStyle w:val="TOC2"/>
            <w:tabs>
              <w:tab w:val="right" w:leader="dot" w:pos="9016"/>
            </w:tabs>
            <w:rPr>
              <w:rFonts w:asciiTheme="minorHAnsi" w:eastAsiaTheme="minorEastAsia" w:hAnsiTheme="minorHAnsi"/>
              <w:noProof/>
              <w:sz w:val="22"/>
              <w:lang w:eastAsia="en-AU"/>
            </w:rPr>
          </w:pPr>
          <w:hyperlink w:anchor="_Toc75255213" w:history="1">
            <w:r w:rsidR="001641B4" w:rsidRPr="00E62016">
              <w:rPr>
                <w:rStyle w:val="Hyperlink"/>
                <w:noProof/>
              </w:rPr>
              <w:t>The need for entities to monitor PIDs and improve their administration</w:t>
            </w:r>
            <w:r w:rsidR="001641B4">
              <w:rPr>
                <w:noProof/>
                <w:webHidden/>
              </w:rPr>
              <w:tab/>
            </w:r>
            <w:r w:rsidR="001641B4">
              <w:rPr>
                <w:noProof/>
                <w:webHidden/>
              </w:rPr>
              <w:fldChar w:fldCharType="begin"/>
            </w:r>
            <w:r w:rsidR="001641B4">
              <w:rPr>
                <w:noProof/>
                <w:webHidden/>
              </w:rPr>
              <w:instrText xml:space="preserve"> PAGEREF _Toc75255213 \h </w:instrText>
            </w:r>
            <w:r w:rsidR="001641B4">
              <w:rPr>
                <w:noProof/>
                <w:webHidden/>
              </w:rPr>
            </w:r>
            <w:r w:rsidR="001641B4">
              <w:rPr>
                <w:noProof/>
                <w:webHidden/>
              </w:rPr>
              <w:fldChar w:fldCharType="separate"/>
            </w:r>
            <w:r w:rsidR="00245E6D">
              <w:rPr>
                <w:noProof/>
                <w:webHidden/>
              </w:rPr>
              <w:t>43</w:t>
            </w:r>
            <w:r w:rsidR="001641B4">
              <w:rPr>
                <w:noProof/>
                <w:webHidden/>
              </w:rPr>
              <w:fldChar w:fldCharType="end"/>
            </w:r>
          </w:hyperlink>
        </w:p>
        <w:p w14:paraId="44D0501A" w14:textId="20E6B654" w:rsidR="001641B4" w:rsidRDefault="00342157">
          <w:pPr>
            <w:pStyle w:val="TOC1"/>
            <w:tabs>
              <w:tab w:val="right" w:leader="dot" w:pos="9016"/>
            </w:tabs>
            <w:rPr>
              <w:rFonts w:asciiTheme="minorHAnsi" w:eastAsiaTheme="minorEastAsia" w:hAnsiTheme="minorHAnsi"/>
              <w:noProof/>
              <w:sz w:val="22"/>
              <w:lang w:eastAsia="en-AU"/>
            </w:rPr>
          </w:pPr>
          <w:hyperlink w:anchor="_Toc75255214" w:history="1">
            <w:r w:rsidR="001641B4" w:rsidRPr="00E62016">
              <w:rPr>
                <w:rStyle w:val="Hyperlink"/>
                <w:noProof/>
              </w:rPr>
              <w:t>Risk assessments, practical support and preventing detriment</w:t>
            </w:r>
            <w:r w:rsidR="001641B4">
              <w:rPr>
                <w:noProof/>
                <w:webHidden/>
              </w:rPr>
              <w:tab/>
            </w:r>
            <w:r w:rsidR="001641B4">
              <w:rPr>
                <w:noProof/>
                <w:webHidden/>
              </w:rPr>
              <w:fldChar w:fldCharType="begin"/>
            </w:r>
            <w:r w:rsidR="001641B4">
              <w:rPr>
                <w:noProof/>
                <w:webHidden/>
              </w:rPr>
              <w:instrText xml:space="preserve"> PAGEREF _Toc75255214 \h </w:instrText>
            </w:r>
            <w:r w:rsidR="001641B4">
              <w:rPr>
                <w:noProof/>
                <w:webHidden/>
              </w:rPr>
            </w:r>
            <w:r w:rsidR="001641B4">
              <w:rPr>
                <w:noProof/>
                <w:webHidden/>
              </w:rPr>
              <w:fldChar w:fldCharType="separate"/>
            </w:r>
            <w:r w:rsidR="00245E6D">
              <w:rPr>
                <w:noProof/>
                <w:webHidden/>
              </w:rPr>
              <w:t>44</w:t>
            </w:r>
            <w:r w:rsidR="001641B4">
              <w:rPr>
                <w:noProof/>
                <w:webHidden/>
              </w:rPr>
              <w:fldChar w:fldCharType="end"/>
            </w:r>
          </w:hyperlink>
        </w:p>
        <w:p w14:paraId="069DDA9A" w14:textId="0216015B" w:rsidR="001641B4" w:rsidRDefault="00342157">
          <w:pPr>
            <w:pStyle w:val="TOC2"/>
            <w:tabs>
              <w:tab w:val="right" w:leader="dot" w:pos="9016"/>
            </w:tabs>
            <w:rPr>
              <w:rFonts w:asciiTheme="minorHAnsi" w:eastAsiaTheme="minorEastAsia" w:hAnsiTheme="minorHAnsi"/>
              <w:noProof/>
              <w:sz w:val="22"/>
              <w:lang w:eastAsia="en-AU"/>
            </w:rPr>
          </w:pPr>
          <w:hyperlink w:anchor="_Toc75255215" w:history="1">
            <w:r w:rsidR="001641B4" w:rsidRPr="00E62016">
              <w:rPr>
                <w:rStyle w:val="Hyperlink"/>
                <w:noProof/>
              </w:rPr>
              <w:t>Risk assessments and disclosers</w:t>
            </w:r>
            <w:r w:rsidR="001641B4">
              <w:rPr>
                <w:noProof/>
                <w:webHidden/>
              </w:rPr>
              <w:tab/>
            </w:r>
            <w:r w:rsidR="001641B4">
              <w:rPr>
                <w:noProof/>
                <w:webHidden/>
              </w:rPr>
              <w:fldChar w:fldCharType="begin"/>
            </w:r>
            <w:r w:rsidR="001641B4">
              <w:rPr>
                <w:noProof/>
                <w:webHidden/>
              </w:rPr>
              <w:instrText xml:space="preserve"> PAGEREF _Toc75255215 \h </w:instrText>
            </w:r>
            <w:r w:rsidR="001641B4">
              <w:rPr>
                <w:noProof/>
                <w:webHidden/>
              </w:rPr>
            </w:r>
            <w:r w:rsidR="001641B4">
              <w:rPr>
                <w:noProof/>
                <w:webHidden/>
              </w:rPr>
              <w:fldChar w:fldCharType="separate"/>
            </w:r>
            <w:r w:rsidR="00245E6D">
              <w:rPr>
                <w:noProof/>
                <w:webHidden/>
              </w:rPr>
              <w:t>44</w:t>
            </w:r>
            <w:r w:rsidR="001641B4">
              <w:rPr>
                <w:noProof/>
                <w:webHidden/>
              </w:rPr>
              <w:fldChar w:fldCharType="end"/>
            </w:r>
          </w:hyperlink>
        </w:p>
        <w:p w14:paraId="70D801A9" w14:textId="37BCEA8C" w:rsidR="001641B4" w:rsidRDefault="00342157">
          <w:pPr>
            <w:pStyle w:val="TOC3"/>
            <w:tabs>
              <w:tab w:val="right" w:leader="dot" w:pos="9016"/>
            </w:tabs>
            <w:rPr>
              <w:rFonts w:asciiTheme="minorHAnsi" w:eastAsiaTheme="minorEastAsia" w:hAnsiTheme="minorHAnsi"/>
              <w:noProof/>
              <w:sz w:val="22"/>
              <w:lang w:eastAsia="en-AU"/>
            </w:rPr>
          </w:pPr>
          <w:hyperlink w:anchor="_Toc75255216" w:history="1">
            <w:r w:rsidR="001641B4" w:rsidRPr="00E62016">
              <w:rPr>
                <w:rStyle w:val="Hyperlink"/>
                <w:noProof/>
              </w:rPr>
              <w:t>Identifying risks</w:t>
            </w:r>
            <w:r w:rsidR="001641B4">
              <w:rPr>
                <w:noProof/>
                <w:webHidden/>
              </w:rPr>
              <w:tab/>
            </w:r>
            <w:r w:rsidR="001641B4">
              <w:rPr>
                <w:noProof/>
                <w:webHidden/>
              </w:rPr>
              <w:fldChar w:fldCharType="begin"/>
            </w:r>
            <w:r w:rsidR="001641B4">
              <w:rPr>
                <w:noProof/>
                <w:webHidden/>
              </w:rPr>
              <w:instrText xml:space="preserve"> PAGEREF _Toc75255216 \h </w:instrText>
            </w:r>
            <w:r w:rsidR="001641B4">
              <w:rPr>
                <w:noProof/>
                <w:webHidden/>
              </w:rPr>
            </w:r>
            <w:r w:rsidR="001641B4">
              <w:rPr>
                <w:noProof/>
                <w:webHidden/>
              </w:rPr>
              <w:fldChar w:fldCharType="separate"/>
            </w:r>
            <w:r w:rsidR="00245E6D">
              <w:rPr>
                <w:noProof/>
                <w:webHidden/>
              </w:rPr>
              <w:t>45</w:t>
            </w:r>
            <w:r w:rsidR="001641B4">
              <w:rPr>
                <w:noProof/>
                <w:webHidden/>
              </w:rPr>
              <w:fldChar w:fldCharType="end"/>
            </w:r>
          </w:hyperlink>
        </w:p>
        <w:p w14:paraId="29C4A7AF" w14:textId="4E10EE08" w:rsidR="001641B4" w:rsidRDefault="00342157">
          <w:pPr>
            <w:pStyle w:val="TOC3"/>
            <w:tabs>
              <w:tab w:val="right" w:leader="dot" w:pos="9016"/>
            </w:tabs>
            <w:rPr>
              <w:rFonts w:asciiTheme="minorHAnsi" w:eastAsiaTheme="minorEastAsia" w:hAnsiTheme="minorHAnsi"/>
              <w:noProof/>
              <w:sz w:val="22"/>
              <w:lang w:eastAsia="en-AU"/>
            </w:rPr>
          </w:pPr>
          <w:hyperlink w:anchor="_Toc75255217" w:history="1">
            <w:r w:rsidR="001641B4" w:rsidRPr="00E62016">
              <w:rPr>
                <w:rStyle w:val="Hyperlink"/>
                <w:noProof/>
              </w:rPr>
              <w:t>Assessing risks</w:t>
            </w:r>
            <w:r w:rsidR="001641B4">
              <w:rPr>
                <w:noProof/>
                <w:webHidden/>
              </w:rPr>
              <w:tab/>
            </w:r>
            <w:r w:rsidR="001641B4">
              <w:rPr>
                <w:noProof/>
                <w:webHidden/>
              </w:rPr>
              <w:fldChar w:fldCharType="begin"/>
            </w:r>
            <w:r w:rsidR="001641B4">
              <w:rPr>
                <w:noProof/>
                <w:webHidden/>
              </w:rPr>
              <w:instrText xml:space="preserve"> PAGEREF _Toc75255217 \h </w:instrText>
            </w:r>
            <w:r w:rsidR="001641B4">
              <w:rPr>
                <w:noProof/>
                <w:webHidden/>
              </w:rPr>
            </w:r>
            <w:r w:rsidR="001641B4">
              <w:rPr>
                <w:noProof/>
                <w:webHidden/>
              </w:rPr>
              <w:fldChar w:fldCharType="separate"/>
            </w:r>
            <w:r w:rsidR="00245E6D">
              <w:rPr>
                <w:noProof/>
                <w:webHidden/>
              </w:rPr>
              <w:t>46</w:t>
            </w:r>
            <w:r w:rsidR="001641B4">
              <w:rPr>
                <w:noProof/>
                <w:webHidden/>
              </w:rPr>
              <w:fldChar w:fldCharType="end"/>
            </w:r>
          </w:hyperlink>
        </w:p>
        <w:p w14:paraId="78619EA4" w14:textId="43D5B901" w:rsidR="001641B4" w:rsidRDefault="00342157">
          <w:pPr>
            <w:pStyle w:val="TOC3"/>
            <w:tabs>
              <w:tab w:val="right" w:leader="dot" w:pos="9016"/>
            </w:tabs>
            <w:rPr>
              <w:rFonts w:asciiTheme="minorHAnsi" w:eastAsiaTheme="minorEastAsia" w:hAnsiTheme="minorHAnsi"/>
              <w:noProof/>
              <w:sz w:val="22"/>
              <w:lang w:eastAsia="en-AU"/>
            </w:rPr>
          </w:pPr>
          <w:hyperlink w:anchor="_Toc75255218" w:history="1">
            <w:r w:rsidR="001641B4" w:rsidRPr="00E62016">
              <w:rPr>
                <w:rStyle w:val="Hyperlink"/>
                <w:noProof/>
              </w:rPr>
              <w:t>Controlling risks</w:t>
            </w:r>
            <w:r w:rsidR="001641B4">
              <w:rPr>
                <w:noProof/>
                <w:webHidden/>
              </w:rPr>
              <w:tab/>
            </w:r>
            <w:r w:rsidR="001641B4">
              <w:rPr>
                <w:noProof/>
                <w:webHidden/>
              </w:rPr>
              <w:fldChar w:fldCharType="begin"/>
            </w:r>
            <w:r w:rsidR="001641B4">
              <w:rPr>
                <w:noProof/>
                <w:webHidden/>
              </w:rPr>
              <w:instrText xml:space="preserve"> PAGEREF _Toc75255218 \h </w:instrText>
            </w:r>
            <w:r w:rsidR="001641B4">
              <w:rPr>
                <w:noProof/>
                <w:webHidden/>
              </w:rPr>
            </w:r>
            <w:r w:rsidR="001641B4">
              <w:rPr>
                <w:noProof/>
                <w:webHidden/>
              </w:rPr>
              <w:fldChar w:fldCharType="separate"/>
            </w:r>
            <w:r w:rsidR="00245E6D">
              <w:rPr>
                <w:noProof/>
                <w:webHidden/>
              </w:rPr>
              <w:t>46</w:t>
            </w:r>
            <w:r w:rsidR="001641B4">
              <w:rPr>
                <w:noProof/>
                <w:webHidden/>
              </w:rPr>
              <w:fldChar w:fldCharType="end"/>
            </w:r>
          </w:hyperlink>
        </w:p>
        <w:p w14:paraId="540FF103" w14:textId="0E1C3EF3" w:rsidR="001641B4" w:rsidRDefault="00342157">
          <w:pPr>
            <w:pStyle w:val="TOC3"/>
            <w:tabs>
              <w:tab w:val="right" w:leader="dot" w:pos="9016"/>
            </w:tabs>
            <w:rPr>
              <w:rFonts w:asciiTheme="minorHAnsi" w:eastAsiaTheme="minorEastAsia" w:hAnsiTheme="minorHAnsi"/>
              <w:noProof/>
              <w:sz w:val="22"/>
              <w:lang w:eastAsia="en-AU"/>
            </w:rPr>
          </w:pPr>
          <w:hyperlink w:anchor="_Toc75255219" w:history="1">
            <w:r w:rsidR="001641B4" w:rsidRPr="00E62016">
              <w:rPr>
                <w:rStyle w:val="Hyperlink"/>
                <w:noProof/>
              </w:rPr>
              <w:t>Monitoring and reviewing risks</w:t>
            </w:r>
            <w:r w:rsidR="001641B4">
              <w:rPr>
                <w:noProof/>
                <w:webHidden/>
              </w:rPr>
              <w:tab/>
            </w:r>
            <w:r w:rsidR="001641B4">
              <w:rPr>
                <w:noProof/>
                <w:webHidden/>
              </w:rPr>
              <w:fldChar w:fldCharType="begin"/>
            </w:r>
            <w:r w:rsidR="001641B4">
              <w:rPr>
                <w:noProof/>
                <w:webHidden/>
              </w:rPr>
              <w:instrText xml:space="preserve"> PAGEREF _Toc75255219 \h </w:instrText>
            </w:r>
            <w:r w:rsidR="001641B4">
              <w:rPr>
                <w:noProof/>
                <w:webHidden/>
              </w:rPr>
            </w:r>
            <w:r w:rsidR="001641B4">
              <w:rPr>
                <w:noProof/>
                <w:webHidden/>
              </w:rPr>
              <w:fldChar w:fldCharType="separate"/>
            </w:r>
            <w:r w:rsidR="00245E6D">
              <w:rPr>
                <w:noProof/>
                <w:webHidden/>
              </w:rPr>
              <w:t>47</w:t>
            </w:r>
            <w:r w:rsidR="001641B4">
              <w:rPr>
                <w:noProof/>
                <w:webHidden/>
              </w:rPr>
              <w:fldChar w:fldCharType="end"/>
            </w:r>
          </w:hyperlink>
        </w:p>
        <w:p w14:paraId="029DEE9D" w14:textId="537ED1F0" w:rsidR="001641B4" w:rsidRDefault="00342157">
          <w:pPr>
            <w:pStyle w:val="TOC3"/>
            <w:tabs>
              <w:tab w:val="right" w:leader="dot" w:pos="9016"/>
            </w:tabs>
            <w:rPr>
              <w:rFonts w:asciiTheme="minorHAnsi" w:eastAsiaTheme="minorEastAsia" w:hAnsiTheme="minorHAnsi"/>
              <w:noProof/>
              <w:sz w:val="22"/>
              <w:lang w:eastAsia="en-AU"/>
            </w:rPr>
          </w:pPr>
          <w:hyperlink w:anchor="_Toc75255220" w:history="1">
            <w:r w:rsidR="001641B4" w:rsidRPr="00E62016">
              <w:rPr>
                <w:rStyle w:val="Hyperlink"/>
                <w:noProof/>
              </w:rPr>
              <w:t>Risk assessments where the discloser is anonymous</w:t>
            </w:r>
            <w:r w:rsidR="001641B4">
              <w:rPr>
                <w:noProof/>
                <w:webHidden/>
              </w:rPr>
              <w:tab/>
            </w:r>
            <w:r w:rsidR="001641B4">
              <w:rPr>
                <w:noProof/>
                <w:webHidden/>
              </w:rPr>
              <w:fldChar w:fldCharType="begin"/>
            </w:r>
            <w:r w:rsidR="001641B4">
              <w:rPr>
                <w:noProof/>
                <w:webHidden/>
              </w:rPr>
              <w:instrText xml:space="preserve"> PAGEREF _Toc75255220 \h </w:instrText>
            </w:r>
            <w:r w:rsidR="001641B4">
              <w:rPr>
                <w:noProof/>
                <w:webHidden/>
              </w:rPr>
            </w:r>
            <w:r w:rsidR="001641B4">
              <w:rPr>
                <w:noProof/>
                <w:webHidden/>
              </w:rPr>
              <w:fldChar w:fldCharType="separate"/>
            </w:r>
            <w:r w:rsidR="00245E6D">
              <w:rPr>
                <w:noProof/>
                <w:webHidden/>
              </w:rPr>
              <w:t>47</w:t>
            </w:r>
            <w:r w:rsidR="001641B4">
              <w:rPr>
                <w:noProof/>
                <w:webHidden/>
              </w:rPr>
              <w:fldChar w:fldCharType="end"/>
            </w:r>
          </w:hyperlink>
        </w:p>
        <w:p w14:paraId="7FD7AD6F" w14:textId="57AD0BE1" w:rsidR="001641B4" w:rsidRDefault="00342157">
          <w:pPr>
            <w:pStyle w:val="TOC3"/>
            <w:tabs>
              <w:tab w:val="right" w:leader="dot" w:pos="9016"/>
            </w:tabs>
            <w:rPr>
              <w:rFonts w:asciiTheme="minorHAnsi" w:eastAsiaTheme="minorEastAsia" w:hAnsiTheme="minorHAnsi"/>
              <w:noProof/>
              <w:sz w:val="22"/>
              <w:lang w:eastAsia="en-AU"/>
            </w:rPr>
          </w:pPr>
          <w:hyperlink w:anchor="_Toc75255221" w:history="1">
            <w:r w:rsidR="001641B4" w:rsidRPr="00E62016">
              <w:rPr>
                <w:rStyle w:val="Hyperlink"/>
                <w:noProof/>
              </w:rPr>
              <w:t>Risk assessment for those who do not have an employment or contractual nexus with a public sector entity</w:t>
            </w:r>
            <w:r w:rsidR="001641B4">
              <w:rPr>
                <w:noProof/>
                <w:webHidden/>
              </w:rPr>
              <w:tab/>
            </w:r>
            <w:r w:rsidR="001641B4">
              <w:rPr>
                <w:noProof/>
                <w:webHidden/>
              </w:rPr>
              <w:fldChar w:fldCharType="begin"/>
            </w:r>
            <w:r w:rsidR="001641B4">
              <w:rPr>
                <w:noProof/>
                <w:webHidden/>
              </w:rPr>
              <w:instrText xml:space="preserve"> PAGEREF _Toc75255221 \h </w:instrText>
            </w:r>
            <w:r w:rsidR="001641B4">
              <w:rPr>
                <w:noProof/>
                <w:webHidden/>
              </w:rPr>
            </w:r>
            <w:r w:rsidR="001641B4">
              <w:rPr>
                <w:noProof/>
                <w:webHidden/>
              </w:rPr>
              <w:fldChar w:fldCharType="separate"/>
            </w:r>
            <w:r w:rsidR="00245E6D">
              <w:rPr>
                <w:noProof/>
                <w:webHidden/>
              </w:rPr>
              <w:t>47</w:t>
            </w:r>
            <w:r w:rsidR="001641B4">
              <w:rPr>
                <w:noProof/>
                <w:webHidden/>
              </w:rPr>
              <w:fldChar w:fldCharType="end"/>
            </w:r>
          </w:hyperlink>
        </w:p>
        <w:p w14:paraId="10258892" w14:textId="760E4A89" w:rsidR="001641B4" w:rsidRDefault="00342157">
          <w:pPr>
            <w:pStyle w:val="TOC2"/>
            <w:tabs>
              <w:tab w:val="right" w:leader="dot" w:pos="9016"/>
            </w:tabs>
            <w:rPr>
              <w:rFonts w:asciiTheme="minorHAnsi" w:eastAsiaTheme="minorEastAsia" w:hAnsiTheme="minorHAnsi"/>
              <w:noProof/>
              <w:sz w:val="22"/>
              <w:lang w:eastAsia="en-AU"/>
            </w:rPr>
          </w:pPr>
          <w:hyperlink w:anchor="_Toc75255222" w:history="1">
            <w:r w:rsidR="001641B4" w:rsidRPr="00E62016">
              <w:rPr>
                <w:rStyle w:val="Hyperlink"/>
                <w:noProof/>
              </w:rPr>
              <w:t>Risk assessments not limited to the discloser</w:t>
            </w:r>
            <w:r w:rsidR="001641B4">
              <w:rPr>
                <w:noProof/>
                <w:webHidden/>
              </w:rPr>
              <w:tab/>
            </w:r>
            <w:r w:rsidR="001641B4">
              <w:rPr>
                <w:noProof/>
                <w:webHidden/>
              </w:rPr>
              <w:fldChar w:fldCharType="begin"/>
            </w:r>
            <w:r w:rsidR="001641B4">
              <w:rPr>
                <w:noProof/>
                <w:webHidden/>
              </w:rPr>
              <w:instrText xml:space="preserve"> PAGEREF _Toc75255222 \h </w:instrText>
            </w:r>
            <w:r w:rsidR="001641B4">
              <w:rPr>
                <w:noProof/>
                <w:webHidden/>
              </w:rPr>
            </w:r>
            <w:r w:rsidR="001641B4">
              <w:rPr>
                <w:noProof/>
                <w:webHidden/>
              </w:rPr>
              <w:fldChar w:fldCharType="separate"/>
            </w:r>
            <w:r w:rsidR="00245E6D">
              <w:rPr>
                <w:noProof/>
                <w:webHidden/>
              </w:rPr>
              <w:t>48</w:t>
            </w:r>
            <w:r w:rsidR="001641B4">
              <w:rPr>
                <w:noProof/>
                <w:webHidden/>
              </w:rPr>
              <w:fldChar w:fldCharType="end"/>
            </w:r>
          </w:hyperlink>
        </w:p>
        <w:p w14:paraId="0AF4FC38" w14:textId="71149478" w:rsidR="001641B4" w:rsidRDefault="00342157">
          <w:pPr>
            <w:pStyle w:val="TOC2"/>
            <w:tabs>
              <w:tab w:val="right" w:leader="dot" w:pos="9016"/>
            </w:tabs>
            <w:rPr>
              <w:rFonts w:asciiTheme="minorHAnsi" w:eastAsiaTheme="minorEastAsia" w:hAnsiTheme="minorHAnsi"/>
              <w:noProof/>
              <w:sz w:val="22"/>
              <w:lang w:eastAsia="en-AU"/>
            </w:rPr>
          </w:pPr>
          <w:hyperlink w:anchor="_Toc75255223" w:history="1">
            <w:r w:rsidR="001641B4" w:rsidRPr="00E62016">
              <w:rPr>
                <w:rStyle w:val="Hyperlink"/>
                <w:noProof/>
              </w:rPr>
              <w:t>Practical support</w:t>
            </w:r>
            <w:r w:rsidR="001641B4">
              <w:rPr>
                <w:noProof/>
                <w:webHidden/>
              </w:rPr>
              <w:tab/>
            </w:r>
            <w:r w:rsidR="001641B4">
              <w:rPr>
                <w:noProof/>
                <w:webHidden/>
              </w:rPr>
              <w:fldChar w:fldCharType="begin"/>
            </w:r>
            <w:r w:rsidR="001641B4">
              <w:rPr>
                <w:noProof/>
                <w:webHidden/>
              </w:rPr>
              <w:instrText xml:space="preserve"> PAGEREF _Toc75255223 \h </w:instrText>
            </w:r>
            <w:r w:rsidR="001641B4">
              <w:rPr>
                <w:noProof/>
                <w:webHidden/>
              </w:rPr>
            </w:r>
            <w:r w:rsidR="001641B4">
              <w:rPr>
                <w:noProof/>
                <w:webHidden/>
              </w:rPr>
              <w:fldChar w:fldCharType="separate"/>
            </w:r>
            <w:r w:rsidR="00245E6D">
              <w:rPr>
                <w:noProof/>
                <w:webHidden/>
              </w:rPr>
              <w:t>49</w:t>
            </w:r>
            <w:r w:rsidR="001641B4">
              <w:rPr>
                <w:noProof/>
                <w:webHidden/>
              </w:rPr>
              <w:fldChar w:fldCharType="end"/>
            </w:r>
          </w:hyperlink>
        </w:p>
        <w:p w14:paraId="737CA624" w14:textId="7DFD91F9" w:rsidR="001641B4" w:rsidRDefault="00342157">
          <w:pPr>
            <w:pStyle w:val="TOC3"/>
            <w:tabs>
              <w:tab w:val="right" w:leader="dot" w:pos="9016"/>
            </w:tabs>
            <w:rPr>
              <w:rFonts w:asciiTheme="minorHAnsi" w:eastAsiaTheme="minorEastAsia" w:hAnsiTheme="minorHAnsi"/>
              <w:noProof/>
              <w:sz w:val="22"/>
              <w:lang w:eastAsia="en-AU"/>
            </w:rPr>
          </w:pPr>
          <w:hyperlink w:anchor="_Toc75255224" w:history="1">
            <w:r w:rsidR="001641B4" w:rsidRPr="00E62016">
              <w:rPr>
                <w:rStyle w:val="Hyperlink"/>
                <w:noProof/>
              </w:rPr>
              <w:t>Supporting the discloser throughout the process</w:t>
            </w:r>
            <w:r w:rsidR="001641B4">
              <w:rPr>
                <w:noProof/>
                <w:webHidden/>
              </w:rPr>
              <w:tab/>
            </w:r>
            <w:r w:rsidR="001641B4">
              <w:rPr>
                <w:noProof/>
                <w:webHidden/>
              </w:rPr>
              <w:fldChar w:fldCharType="begin"/>
            </w:r>
            <w:r w:rsidR="001641B4">
              <w:rPr>
                <w:noProof/>
                <w:webHidden/>
              </w:rPr>
              <w:instrText xml:space="preserve"> PAGEREF _Toc75255224 \h </w:instrText>
            </w:r>
            <w:r w:rsidR="001641B4">
              <w:rPr>
                <w:noProof/>
                <w:webHidden/>
              </w:rPr>
            </w:r>
            <w:r w:rsidR="001641B4">
              <w:rPr>
                <w:noProof/>
                <w:webHidden/>
              </w:rPr>
              <w:fldChar w:fldCharType="separate"/>
            </w:r>
            <w:r w:rsidR="00245E6D">
              <w:rPr>
                <w:noProof/>
                <w:webHidden/>
              </w:rPr>
              <w:t>49</w:t>
            </w:r>
            <w:r w:rsidR="001641B4">
              <w:rPr>
                <w:noProof/>
                <w:webHidden/>
              </w:rPr>
              <w:fldChar w:fldCharType="end"/>
            </w:r>
          </w:hyperlink>
        </w:p>
        <w:p w14:paraId="0FFE9CF4" w14:textId="304FD47E" w:rsidR="001641B4" w:rsidRDefault="00342157">
          <w:pPr>
            <w:pStyle w:val="TOC3"/>
            <w:tabs>
              <w:tab w:val="right" w:leader="dot" w:pos="9016"/>
            </w:tabs>
            <w:rPr>
              <w:rFonts w:asciiTheme="minorHAnsi" w:eastAsiaTheme="minorEastAsia" w:hAnsiTheme="minorHAnsi"/>
              <w:noProof/>
              <w:sz w:val="22"/>
              <w:lang w:eastAsia="en-AU"/>
            </w:rPr>
          </w:pPr>
          <w:hyperlink w:anchor="_Toc75255225" w:history="1">
            <w:r w:rsidR="001641B4" w:rsidRPr="00E62016">
              <w:rPr>
                <w:rStyle w:val="Hyperlink"/>
                <w:noProof/>
              </w:rPr>
              <w:t>Supporting the respondent throughout the process</w:t>
            </w:r>
            <w:r w:rsidR="001641B4">
              <w:rPr>
                <w:noProof/>
                <w:webHidden/>
              </w:rPr>
              <w:tab/>
            </w:r>
            <w:r w:rsidR="001641B4">
              <w:rPr>
                <w:noProof/>
                <w:webHidden/>
              </w:rPr>
              <w:fldChar w:fldCharType="begin"/>
            </w:r>
            <w:r w:rsidR="001641B4">
              <w:rPr>
                <w:noProof/>
                <w:webHidden/>
              </w:rPr>
              <w:instrText xml:space="preserve"> PAGEREF _Toc75255225 \h </w:instrText>
            </w:r>
            <w:r w:rsidR="001641B4">
              <w:rPr>
                <w:noProof/>
                <w:webHidden/>
              </w:rPr>
            </w:r>
            <w:r w:rsidR="001641B4">
              <w:rPr>
                <w:noProof/>
                <w:webHidden/>
              </w:rPr>
              <w:fldChar w:fldCharType="separate"/>
            </w:r>
            <w:r w:rsidR="00245E6D">
              <w:rPr>
                <w:noProof/>
                <w:webHidden/>
              </w:rPr>
              <w:t>49</w:t>
            </w:r>
            <w:r w:rsidR="001641B4">
              <w:rPr>
                <w:noProof/>
                <w:webHidden/>
              </w:rPr>
              <w:fldChar w:fldCharType="end"/>
            </w:r>
          </w:hyperlink>
        </w:p>
        <w:p w14:paraId="35D80971" w14:textId="4AEDF86D" w:rsidR="001641B4" w:rsidRDefault="00342157">
          <w:pPr>
            <w:pStyle w:val="TOC1"/>
            <w:tabs>
              <w:tab w:val="right" w:leader="dot" w:pos="9016"/>
            </w:tabs>
            <w:rPr>
              <w:rFonts w:asciiTheme="minorHAnsi" w:eastAsiaTheme="minorEastAsia" w:hAnsiTheme="minorHAnsi"/>
              <w:noProof/>
              <w:sz w:val="22"/>
              <w:lang w:eastAsia="en-AU"/>
            </w:rPr>
          </w:pPr>
          <w:hyperlink w:anchor="_Toc75255226" w:history="1">
            <w:r w:rsidR="001641B4" w:rsidRPr="00E62016">
              <w:rPr>
                <w:rStyle w:val="Hyperlink"/>
                <w:noProof/>
              </w:rPr>
              <w:t>The role of the Ombudsman and the courts</w:t>
            </w:r>
            <w:r w:rsidR="001641B4">
              <w:rPr>
                <w:noProof/>
                <w:webHidden/>
              </w:rPr>
              <w:tab/>
            </w:r>
            <w:r w:rsidR="001641B4">
              <w:rPr>
                <w:noProof/>
                <w:webHidden/>
              </w:rPr>
              <w:fldChar w:fldCharType="begin"/>
            </w:r>
            <w:r w:rsidR="001641B4">
              <w:rPr>
                <w:noProof/>
                <w:webHidden/>
              </w:rPr>
              <w:instrText xml:space="preserve"> PAGEREF _Toc75255226 \h </w:instrText>
            </w:r>
            <w:r w:rsidR="001641B4">
              <w:rPr>
                <w:noProof/>
                <w:webHidden/>
              </w:rPr>
            </w:r>
            <w:r w:rsidR="001641B4">
              <w:rPr>
                <w:noProof/>
                <w:webHidden/>
              </w:rPr>
              <w:fldChar w:fldCharType="separate"/>
            </w:r>
            <w:r w:rsidR="00245E6D">
              <w:rPr>
                <w:noProof/>
                <w:webHidden/>
              </w:rPr>
              <w:t>51</w:t>
            </w:r>
            <w:r w:rsidR="001641B4">
              <w:rPr>
                <w:noProof/>
                <w:webHidden/>
              </w:rPr>
              <w:fldChar w:fldCharType="end"/>
            </w:r>
          </w:hyperlink>
        </w:p>
        <w:p w14:paraId="3BEF14DC" w14:textId="66EFD171" w:rsidR="001641B4" w:rsidRDefault="00342157">
          <w:pPr>
            <w:pStyle w:val="TOC2"/>
            <w:tabs>
              <w:tab w:val="right" w:leader="dot" w:pos="9016"/>
            </w:tabs>
            <w:rPr>
              <w:rFonts w:asciiTheme="minorHAnsi" w:eastAsiaTheme="minorEastAsia" w:hAnsiTheme="minorHAnsi"/>
              <w:noProof/>
              <w:sz w:val="22"/>
              <w:lang w:eastAsia="en-AU"/>
            </w:rPr>
          </w:pPr>
          <w:hyperlink w:anchor="_Toc75255227" w:history="1">
            <w:r w:rsidR="001641B4" w:rsidRPr="00E62016">
              <w:rPr>
                <w:rStyle w:val="Hyperlink"/>
                <w:noProof/>
              </w:rPr>
              <w:t>The role of the Ombudsman</w:t>
            </w:r>
            <w:r w:rsidR="001641B4">
              <w:rPr>
                <w:noProof/>
                <w:webHidden/>
              </w:rPr>
              <w:tab/>
            </w:r>
            <w:r w:rsidR="001641B4">
              <w:rPr>
                <w:noProof/>
                <w:webHidden/>
              </w:rPr>
              <w:fldChar w:fldCharType="begin"/>
            </w:r>
            <w:r w:rsidR="001641B4">
              <w:rPr>
                <w:noProof/>
                <w:webHidden/>
              </w:rPr>
              <w:instrText xml:space="preserve"> PAGEREF _Toc75255227 \h </w:instrText>
            </w:r>
            <w:r w:rsidR="001641B4">
              <w:rPr>
                <w:noProof/>
                <w:webHidden/>
              </w:rPr>
            </w:r>
            <w:r w:rsidR="001641B4">
              <w:rPr>
                <w:noProof/>
                <w:webHidden/>
              </w:rPr>
              <w:fldChar w:fldCharType="separate"/>
            </w:r>
            <w:r w:rsidR="00245E6D">
              <w:rPr>
                <w:noProof/>
                <w:webHidden/>
              </w:rPr>
              <w:t>51</w:t>
            </w:r>
            <w:r w:rsidR="001641B4">
              <w:rPr>
                <w:noProof/>
                <w:webHidden/>
              </w:rPr>
              <w:fldChar w:fldCharType="end"/>
            </w:r>
          </w:hyperlink>
        </w:p>
        <w:p w14:paraId="5E000979" w14:textId="1A303FFA" w:rsidR="001641B4" w:rsidRDefault="00342157">
          <w:pPr>
            <w:pStyle w:val="TOC2"/>
            <w:tabs>
              <w:tab w:val="right" w:leader="dot" w:pos="9016"/>
            </w:tabs>
            <w:rPr>
              <w:rFonts w:asciiTheme="minorHAnsi" w:eastAsiaTheme="minorEastAsia" w:hAnsiTheme="minorHAnsi"/>
              <w:noProof/>
              <w:sz w:val="22"/>
              <w:lang w:eastAsia="en-AU"/>
            </w:rPr>
          </w:pPr>
          <w:hyperlink w:anchor="_Toc75255228" w:history="1">
            <w:r w:rsidR="001641B4" w:rsidRPr="00E62016">
              <w:rPr>
                <w:rStyle w:val="Hyperlink"/>
                <w:noProof/>
              </w:rPr>
              <w:t>Access to courts</w:t>
            </w:r>
            <w:r w:rsidR="001641B4">
              <w:rPr>
                <w:noProof/>
                <w:webHidden/>
              </w:rPr>
              <w:tab/>
            </w:r>
            <w:r w:rsidR="001641B4">
              <w:rPr>
                <w:noProof/>
                <w:webHidden/>
              </w:rPr>
              <w:fldChar w:fldCharType="begin"/>
            </w:r>
            <w:r w:rsidR="001641B4">
              <w:rPr>
                <w:noProof/>
                <w:webHidden/>
              </w:rPr>
              <w:instrText xml:space="preserve"> PAGEREF _Toc75255228 \h </w:instrText>
            </w:r>
            <w:r w:rsidR="001641B4">
              <w:rPr>
                <w:noProof/>
                <w:webHidden/>
              </w:rPr>
            </w:r>
            <w:r w:rsidR="001641B4">
              <w:rPr>
                <w:noProof/>
                <w:webHidden/>
              </w:rPr>
              <w:fldChar w:fldCharType="separate"/>
            </w:r>
            <w:r w:rsidR="00245E6D">
              <w:rPr>
                <w:noProof/>
                <w:webHidden/>
              </w:rPr>
              <w:t>51</w:t>
            </w:r>
            <w:r w:rsidR="001641B4">
              <w:rPr>
                <w:noProof/>
                <w:webHidden/>
              </w:rPr>
              <w:fldChar w:fldCharType="end"/>
            </w:r>
          </w:hyperlink>
        </w:p>
        <w:p w14:paraId="427840B9" w14:textId="2FC4FFE6" w:rsidR="001641B4" w:rsidRDefault="00342157">
          <w:pPr>
            <w:pStyle w:val="TOC1"/>
            <w:tabs>
              <w:tab w:val="right" w:leader="dot" w:pos="9016"/>
            </w:tabs>
            <w:rPr>
              <w:rFonts w:asciiTheme="minorHAnsi" w:eastAsiaTheme="minorEastAsia" w:hAnsiTheme="minorHAnsi"/>
              <w:noProof/>
              <w:sz w:val="22"/>
              <w:lang w:eastAsia="en-AU"/>
            </w:rPr>
          </w:pPr>
          <w:hyperlink w:anchor="_Toc75255229" w:history="1">
            <w:r w:rsidR="001641B4" w:rsidRPr="00E62016">
              <w:rPr>
                <w:rStyle w:val="Hyperlink"/>
                <w:noProof/>
              </w:rPr>
              <w:t>Getting help with the scheme</w:t>
            </w:r>
            <w:r w:rsidR="001641B4">
              <w:rPr>
                <w:noProof/>
                <w:webHidden/>
              </w:rPr>
              <w:tab/>
            </w:r>
            <w:r w:rsidR="001641B4">
              <w:rPr>
                <w:noProof/>
                <w:webHidden/>
              </w:rPr>
              <w:fldChar w:fldCharType="begin"/>
            </w:r>
            <w:r w:rsidR="001641B4">
              <w:rPr>
                <w:noProof/>
                <w:webHidden/>
              </w:rPr>
              <w:instrText xml:space="preserve"> PAGEREF _Toc75255229 \h </w:instrText>
            </w:r>
            <w:r w:rsidR="001641B4">
              <w:rPr>
                <w:noProof/>
                <w:webHidden/>
              </w:rPr>
            </w:r>
            <w:r w:rsidR="001641B4">
              <w:rPr>
                <w:noProof/>
                <w:webHidden/>
              </w:rPr>
              <w:fldChar w:fldCharType="separate"/>
            </w:r>
            <w:r w:rsidR="00245E6D">
              <w:rPr>
                <w:noProof/>
                <w:webHidden/>
              </w:rPr>
              <w:t>52</w:t>
            </w:r>
            <w:r w:rsidR="001641B4">
              <w:rPr>
                <w:noProof/>
                <w:webHidden/>
              </w:rPr>
              <w:fldChar w:fldCharType="end"/>
            </w:r>
          </w:hyperlink>
        </w:p>
        <w:p w14:paraId="1A57C3EA" w14:textId="6982D3D6" w:rsidR="001641B4" w:rsidRDefault="00342157">
          <w:pPr>
            <w:pStyle w:val="TOC1"/>
            <w:tabs>
              <w:tab w:val="right" w:leader="dot" w:pos="9016"/>
            </w:tabs>
            <w:rPr>
              <w:rFonts w:asciiTheme="minorHAnsi" w:eastAsiaTheme="minorEastAsia" w:hAnsiTheme="minorHAnsi"/>
              <w:noProof/>
              <w:sz w:val="22"/>
              <w:lang w:eastAsia="en-AU"/>
            </w:rPr>
          </w:pPr>
          <w:hyperlink w:anchor="_Toc75255230" w:history="1">
            <w:r w:rsidR="001641B4" w:rsidRPr="00E62016">
              <w:rPr>
                <w:rStyle w:val="Hyperlink"/>
                <w:noProof/>
              </w:rPr>
              <w:t>Related material</w:t>
            </w:r>
            <w:r w:rsidR="001641B4">
              <w:rPr>
                <w:noProof/>
                <w:webHidden/>
              </w:rPr>
              <w:tab/>
            </w:r>
            <w:r w:rsidR="001641B4">
              <w:rPr>
                <w:noProof/>
                <w:webHidden/>
              </w:rPr>
              <w:fldChar w:fldCharType="begin"/>
            </w:r>
            <w:r w:rsidR="001641B4">
              <w:rPr>
                <w:noProof/>
                <w:webHidden/>
              </w:rPr>
              <w:instrText xml:space="preserve"> PAGEREF _Toc75255230 \h </w:instrText>
            </w:r>
            <w:r w:rsidR="001641B4">
              <w:rPr>
                <w:noProof/>
                <w:webHidden/>
              </w:rPr>
            </w:r>
            <w:r w:rsidR="001641B4">
              <w:rPr>
                <w:noProof/>
                <w:webHidden/>
              </w:rPr>
              <w:fldChar w:fldCharType="separate"/>
            </w:r>
            <w:r w:rsidR="00245E6D">
              <w:rPr>
                <w:noProof/>
                <w:webHidden/>
              </w:rPr>
              <w:t>53</w:t>
            </w:r>
            <w:r w:rsidR="001641B4">
              <w:rPr>
                <w:noProof/>
                <w:webHidden/>
              </w:rPr>
              <w:fldChar w:fldCharType="end"/>
            </w:r>
          </w:hyperlink>
        </w:p>
        <w:p w14:paraId="34039F28" w14:textId="0083FD32" w:rsidR="001641B4" w:rsidRDefault="00342157">
          <w:pPr>
            <w:pStyle w:val="TOC1"/>
            <w:tabs>
              <w:tab w:val="right" w:leader="dot" w:pos="9016"/>
            </w:tabs>
            <w:rPr>
              <w:rFonts w:asciiTheme="minorHAnsi" w:eastAsiaTheme="minorEastAsia" w:hAnsiTheme="minorHAnsi"/>
              <w:noProof/>
              <w:sz w:val="22"/>
              <w:lang w:eastAsia="en-AU"/>
            </w:rPr>
          </w:pPr>
          <w:hyperlink w:anchor="_Toc75255231" w:history="1">
            <w:r w:rsidR="001641B4" w:rsidRPr="00E62016">
              <w:rPr>
                <w:rStyle w:val="Hyperlink"/>
                <w:noProof/>
              </w:rPr>
              <w:t>Document information</w:t>
            </w:r>
            <w:r w:rsidR="001641B4">
              <w:rPr>
                <w:noProof/>
                <w:webHidden/>
              </w:rPr>
              <w:tab/>
            </w:r>
            <w:r w:rsidR="001641B4">
              <w:rPr>
                <w:noProof/>
                <w:webHidden/>
              </w:rPr>
              <w:fldChar w:fldCharType="begin"/>
            </w:r>
            <w:r w:rsidR="001641B4">
              <w:rPr>
                <w:noProof/>
                <w:webHidden/>
              </w:rPr>
              <w:instrText xml:space="preserve"> PAGEREF _Toc75255231 \h </w:instrText>
            </w:r>
            <w:r w:rsidR="001641B4">
              <w:rPr>
                <w:noProof/>
                <w:webHidden/>
              </w:rPr>
            </w:r>
            <w:r w:rsidR="001641B4">
              <w:rPr>
                <w:noProof/>
                <w:webHidden/>
              </w:rPr>
              <w:fldChar w:fldCharType="separate"/>
            </w:r>
            <w:r w:rsidR="00245E6D">
              <w:rPr>
                <w:noProof/>
                <w:webHidden/>
              </w:rPr>
              <w:t>53</w:t>
            </w:r>
            <w:r w:rsidR="001641B4">
              <w:rPr>
                <w:noProof/>
                <w:webHidden/>
              </w:rPr>
              <w:fldChar w:fldCharType="end"/>
            </w:r>
          </w:hyperlink>
        </w:p>
        <w:p w14:paraId="09FD8F63" w14:textId="7D9A139D" w:rsidR="001641B4" w:rsidRDefault="00342157">
          <w:pPr>
            <w:pStyle w:val="TOC1"/>
            <w:tabs>
              <w:tab w:val="right" w:leader="dot" w:pos="9016"/>
            </w:tabs>
            <w:rPr>
              <w:rFonts w:asciiTheme="minorHAnsi" w:eastAsiaTheme="minorEastAsia" w:hAnsiTheme="minorHAnsi"/>
              <w:noProof/>
              <w:sz w:val="22"/>
              <w:lang w:eastAsia="en-AU"/>
            </w:rPr>
          </w:pPr>
          <w:hyperlink w:anchor="_Toc75255232" w:history="1">
            <w:r w:rsidR="001641B4" w:rsidRPr="00E62016">
              <w:rPr>
                <w:rStyle w:val="Hyperlink"/>
                <w:noProof/>
              </w:rPr>
              <w:t>Version history</w:t>
            </w:r>
            <w:r w:rsidR="001641B4">
              <w:rPr>
                <w:noProof/>
                <w:webHidden/>
              </w:rPr>
              <w:tab/>
            </w:r>
            <w:r w:rsidR="001641B4">
              <w:rPr>
                <w:noProof/>
                <w:webHidden/>
              </w:rPr>
              <w:fldChar w:fldCharType="begin"/>
            </w:r>
            <w:r w:rsidR="001641B4">
              <w:rPr>
                <w:noProof/>
                <w:webHidden/>
              </w:rPr>
              <w:instrText xml:space="preserve"> PAGEREF _Toc75255232 \h </w:instrText>
            </w:r>
            <w:r w:rsidR="001641B4">
              <w:rPr>
                <w:noProof/>
                <w:webHidden/>
              </w:rPr>
            </w:r>
            <w:r w:rsidR="001641B4">
              <w:rPr>
                <w:noProof/>
                <w:webHidden/>
              </w:rPr>
              <w:fldChar w:fldCharType="separate"/>
            </w:r>
            <w:r w:rsidR="00245E6D">
              <w:rPr>
                <w:noProof/>
                <w:webHidden/>
              </w:rPr>
              <w:t>53</w:t>
            </w:r>
            <w:r w:rsidR="001641B4">
              <w:rPr>
                <w:noProof/>
                <w:webHidden/>
              </w:rPr>
              <w:fldChar w:fldCharType="end"/>
            </w:r>
          </w:hyperlink>
        </w:p>
        <w:p w14:paraId="5F7271E0" w14:textId="57DFBAC0" w:rsidR="001641B4" w:rsidRDefault="00342157">
          <w:pPr>
            <w:pStyle w:val="TOC1"/>
            <w:tabs>
              <w:tab w:val="right" w:leader="dot" w:pos="9016"/>
            </w:tabs>
            <w:rPr>
              <w:rFonts w:asciiTheme="minorHAnsi" w:eastAsiaTheme="minorEastAsia" w:hAnsiTheme="minorHAnsi"/>
              <w:noProof/>
              <w:sz w:val="22"/>
              <w:lang w:eastAsia="en-AU"/>
            </w:rPr>
          </w:pPr>
          <w:hyperlink w:anchor="_Toc75255233" w:history="1">
            <w:r w:rsidR="001641B4" w:rsidRPr="00E62016">
              <w:rPr>
                <w:rStyle w:val="Hyperlink"/>
                <w:noProof/>
              </w:rPr>
              <w:t>Appendix A: Records management structure</w:t>
            </w:r>
            <w:r w:rsidR="001641B4">
              <w:rPr>
                <w:noProof/>
                <w:webHidden/>
              </w:rPr>
              <w:tab/>
            </w:r>
            <w:r w:rsidR="001641B4">
              <w:rPr>
                <w:noProof/>
                <w:webHidden/>
              </w:rPr>
              <w:fldChar w:fldCharType="begin"/>
            </w:r>
            <w:r w:rsidR="001641B4">
              <w:rPr>
                <w:noProof/>
                <w:webHidden/>
              </w:rPr>
              <w:instrText xml:space="preserve"> PAGEREF _Toc75255233 \h </w:instrText>
            </w:r>
            <w:r w:rsidR="001641B4">
              <w:rPr>
                <w:noProof/>
                <w:webHidden/>
              </w:rPr>
            </w:r>
            <w:r w:rsidR="001641B4">
              <w:rPr>
                <w:noProof/>
                <w:webHidden/>
              </w:rPr>
              <w:fldChar w:fldCharType="separate"/>
            </w:r>
            <w:r w:rsidR="00245E6D">
              <w:rPr>
                <w:noProof/>
                <w:webHidden/>
              </w:rPr>
              <w:t>54</w:t>
            </w:r>
            <w:r w:rsidR="001641B4">
              <w:rPr>
                <w:noProof/>
                <w:webHidden/>
              </w:rPr>
              <w:fldChar w:fldCharType="end"/>
            </w:r>
          </w:hyperlink>
        </w:p>
        <w:p w14:paraId="44877EF5" w14:textId="242B9A5E" w:rsidR="001641B4" w:rsidRDefault="00342157">
          <w:pPr>
            <w:pStyle w:val="TOC1"/>
            <w:tabs>
              <w:tab w:val="right" w:leader="dot" w:pos="9016"/>
            </w:tabs>
            <w:rPr>
              <w:rFonts w:asciiTheme="minorHAnsi" w:eastAsiaTheme="minorEastAsia" w:hAnsiTheme="minorHAnsi"/>
              <w:noProof/>
              <w:sz w:val="22"/>
              <w:lang w:eastAsia="en-AU"/>
            </w:rPr>
          </w:pPr>
          <w:hyperlink w:anchor="_Toc75255234" w:history="1">
            <w:r w:rsidR="001641B4" w:rsidRPr="00E62016">
              <w:rPr>
                <w:rStyle w:val="Hyperlink"/>
                <w:noProof/>
              </w:rPr>
              <w:t>Appendix B: Risk Reprisal Management Plan Template</w:t>
            </w:r>
            <w:r w:rsidR="001641B4">
              <w:rPr>
                <w:noProof/>
                <w:webHidden/>
              </w:rPr>
              <w:tab/>
            </w:r>
            <w:r w:rsidR="001641B4">
              <w:rPr>
                <w:noProof/>
                <w:webHidden/>
              </w:rPr>
              <w:fldChar w:fldCharType="begin"/>
            </w:r>
            <w:r w:rsidR="001641B4">
              <w:rPr>
                <w:noProof/>
                <w:webHidden/>
              </w:rPr>
              <w:instrText xml:space="preserve"> PAGEREF _Toc75255234 \h </w:instrText>
            </w:r>
            <w:r w:rsidR="001641B4">
              <w:rPr>
                <w:noProof/>
                <w:webHidden/>
              </w:rPr>
            </w:r>
            <w:r w:rsidR="001641B4">
              <w:rPr>
                <w:noProof/>
                <w:webHidden/>
              </w:rPr>
              <w:fldChar w:fldCharType="separate"/>
            </w:r>
            <w:r w:rsidR="00245E6D">
              <w:rPr>
                <w:noProof/>
                <w:webHidden/>
              </w:rPr>
              <w:t>55</w:t>
            </w:r>
            <w:r w:rsidR="001641B4">
              <w:rPr>
                <w:noProof/>
                <w:webHidden/>
              </w:rPr>
              <w:fldChar w:fldCharType="end"/>
            </w:r>
          </w:hyperlink>
        </w:p>
        <w:p w14:paraId="1D1E5C04" w14:textId="19C09F28" w:rsidR="001641B4" w:rsidRDefault="00342157">
          <w:pPr>
            <w:pStyle w:val="TOC1"/>
            <w:tabs>
              <w:tab w:val="right" w:leader="dot" w:pos="9016"/>
            </w:tabs>
            <w:rPr>
              <w:rFonts w:asciiTheme="minorHAnsi" w:eastAsiaTheme="minorEastAsia" w:hAnsiTheme="minorHAnsi"/>
              <w:noProof/>
              <w:sz w:val="22"/>
              <w:lang w:eastAsia="en-AU"/>
            </w:rPr>
          </w:pPr>
          <w:hyperlink w:anchor="_Toc75255235" w:history="1">
            <w:r w:rsidR="001641B4" w:rsidRPr="00E62016">
              <w:rPr>
                <w:rStyle w:val="Hyperlink"/>
                <w:rFonts w:cs="Arial"/>
                <w:noProof/>
              </w:rPr>
              <w:t>Appendix C: Referral letter template</w:t>
            </w:r>
            <w:r w:rsidR="001641B4">
              <w:rPr>
                <w:noProof/>
                <w:webHidden/>
              </w:rPr>
              <w:tab/>
            </w:r>
            <w:r w:rsidR="001641B4">
              <w:rPr>
                <w:noProof/>
                <w:webHidden/>
              </w:rPr>
              <w:fldChar w:fldCharType="begin"/>
            </w:r>
            <w:r w:rsidR="001641B4">
              <w:rPr>
                <w:noProof/>
                <w:webHidden/>
              </w:rPr>
              <w:instrText xml:space="preserve"> PAGEREF _Toc75255235 \h </w:instrText>
            </w:r>
            <w:r w:rsidR="001641B4">
              <w:rPr>
                <w:noProof/>
                <w:webHidden/>
              </w:rPr>
            </w:r>
            <w:r w:rsidR="001641B4">
              <w:rPr>
                <w:noProof/>
                <w:webHidden/>
              </w:rPr>
              <w:fldChar w:fldCharType="separate"/>
            </w:r>
            <w:r w:rsidR="00245E6D">
              <w:rPr>
                <w:noProof/>
                <w:webHidden/>
              </w:rPr>
              <w:t>57</w:t>
            </w:r>
            <w:r w:rsidR="001641B4">
              <w:rPr>
                <w:noProof/>
                <w:webHidden/>
              </w:rPr>
              <w:fldChar w:fldCharType="end"/>
            </w:r>
          </w:hyperlink>
        </w:p>
        <w:p w14:paraId="30BCC538" w14:textId="7B4F6C62" w:rsidR="001641B4" w:rsidRDefault="00342157">
          <w:pPr>
            <w:pStyle w:val="TOC1"/>
            <w:tabs>
              <w:tab w:val="right" w:leader="dot" w:pos="9016"/>
            </w:tabs>
            <w:rPr>
              <w:rFonts w:asciiTheme="minorHAnsi" w:eastAsiaTheme="minorEastAsia" w:hAnsiTheme="minorHAnsi"/>
              <w:noProof/>
              <w:sz w:val="22"/>
              <w:lang w:eastAsia="en-AU"/>
            </w:rPr>
          </w:pPr>
          <w:hyperlink w:anchor="_Toc75255236" w:history="1">
            <w:r w:rsidR="001641B4" w:rsidRPr="00E62016">
              <w:rPr>
                <w:rStyle w:val="Hyperlink"/>
                <w:rFonts w:cs="Arial"/>
                <w:noProof/>
              </w:rPr>
              <w:t>Appendix D: Notification letter template</w:t>
            </w:r>
            <w:r w:rsidR="001641B4">
              <w:rPr>
                <w:noProof/>
                <w:webHidden/>
              </w:rPr>
              <w:tab/>
            </w:r>
            <w:r w:rsidR="001641B4">
              <w:rPr>
                <w:noProof/>
                <w:webHidden/>
              </w:rPr>
              <w:fldChar w:fldCharType="begin"/>
            </w:r>
            <w:r w:rsidR="001641B4">
              <w:rPr>
                <w:noProof/>
                <w:webHidden/>
              </w:rPr>
              <w:instrText xml:space="preserve"> PAGEREF _Toc75255236 \h </w:instrText>
            </w:r>
            <w:r w:rsidR="001641B4">
              <w:rPr>
                <w:noProof/>
                <w:webHidden/>
              </w:rPr>
            </w:r>
            <w:r w:rsidR="001641B4">
              <w:rPr>
                <w:noProof/>
                <w:webHidden/>
              </w:rPr>
              <w:fldChar w:fldCharType="separate"/>
            </w:r>
            <w:r w:rsidR="00245E6D">
              <w:rPr>
                <w:noProof/>
                <w:webHidden/>
              </w:rPr>
              <w:t>59</w:t>
            </w:r>
            <w:r w:rsidR="001641B4">
              <w:rPr>
                <w:noProof/>
                <w:webHidden/>
              </w:rPr>
              <w:fldChar w:fldCharType="end"/>
            </w:r>
          </w:hyperlink>
        </w:p>
        <w:p w14:paraId="54E6BEEC" w14:textId="66108542" w:rsidR="001641B4" w:rsidRDefault="00342157">
          <w:pPr>
            <w:pStyle w:val="TOC1"/>
            <w:tabs>
              <w:tab w:val="right" w:leader="dot" w:pos="9016"/>
            </w:tabs>
            <w:rPr>
              <w:rFonts w:asciiTheme="minorHAnsi" w:eastAsiaTheme="minorEastAsia" w:hAnsiTheme="minorHAnsi"/>
              <w:noProof/>
              <w:sz w:val="22"/>
              <w:lang w:eastAsia="en-AU"/>
            </w:rPr>
          </w:pPr>
          <w:hyperlink w:anchor="_Toc75255237" w:history="1">
            <w:r w:rsidR="001641B4" w:rsidRPr="00E62016">
              <w:rPr>
                <w:rStyle w:val="Hyperlink"/>
                <w:rFonts w:cs="Arial"/>
                <w:noProof/>
              </w:rPr>
              <w:t>Appendix E: Indicators of a higher risk of reprisal or workplace conflict</w:t>
            </w:r>
            <w:r w:rsidR="001641B4">
              <w:rPr>
                <w:noProof/>
                <w:webHidden/>
              </w:rPr>
              <w:tab/>
            </w:r>
            <w:r w:rsidR="001641B4">
              <w:rPr>
                <w:noProof/>
                <w:webHidden/>
              </w:rPr>
              <w:fldChar w:fldCharType="begin"/>
            </w:r>
            <w:r w:rsidR="001641B4">
              <w:rPr>
                <w:noProof/>
                <w:webHidden/>
              </w:rPr>
              <w:instrText xml:space="preserve"> PAGEREF _Toc75255237 \h </w:instrText>
            </w:r>
            <w:r w:rsidR="001641B4">
              <w:rPr>
                <w:noProof/>
                <w:webHidden/>
              </w:rPr>
            </w:r>
            <w:r w:rsidR="001641B4">
              <w:rPr>
                <w:noProof/>
                <w:webHidden/>
              </w:rPr>
              <w:fldChar w:fldCharType="separate"/>
            </w:r>
            <w:r w:rsidR="00245E6D">
              <w:rPr>
                <w:noProof/>
                <w:webHidden/>
              </w:rPr>
              <w:t>61</w:t>
            </w:r>
            <w:r w:rsidR="001641B4">
              <w:rPr>
                <w:noProof/>
                <w:webHidden/>
              </w:rPr>
              <w:fldChar w:fldCharType="end"/>
            </w:r>
          </w:hyperlink>
        </w:p>
        <w:p w14:paraId="33374BD0" w14:textId="3AC21325" w:rsidR="001641B4" w:rsidRDefault="00342157">
          <w:pPr>
            <w:pStyle w:val="TOC1"/>
            <w:tabs>
              <w:tab w:val="right" w:leader="dot" w:pos="9016"/>
            </w:tabs>
            <w:rPr>
              <w:rFonts w:asciiTheme="minorHAnsi" w:eastAsiaTheme="minorEastAsia" w:hAnsiTheme="minorHAnsi"/>
              <w:noProof/>
              <w:sz w:val="22"/>
              <w:lang w:eastAsia="en-AU"/>
            </w:rPr>
          </w:pPr>
          <w:hyperlink w:anchor="_Toc75255238" w:history="1">
            <w:r w:rsidR="001641B4" w:rsidRPr="00E62016">
              <w:rPr>
                <w:rStyle w:val="Hyperlink"/>
                <w:rFonts w:cs="Arial"/>
                <w:noProof/>
              </w:rPr>
              <w:t>Appendix F: Final investigation report summary sheet</w:t>
            </w:r>
            <w:r w:rsidR="001641B4">
              <w:rPr>
                <w:noProof/>
                <w:webHidden/>
              </w:rPr>
              <w:tab/>
            </w:r>
            <w:r w:rsidR="001641B4">
              <w:rPr>
                <w:noProof/>
                <w:webHidden/>
              </w:rPr>
              <w:fldChar w:fldCharType="begin"/>
            </w:r>
            <w:r w:rsidR="001641B4">
              <w:rPr>
                <w:noProof/>
                <w:webHidden/>
              </w:rPr>
              <w:instrText xml:space="preserve"> PAGEREF _Toc75255238 \h </w:instrText>
            </w:r>
            <w:r w:rsidR="001641B4">
              <w:rPr>
                <w:noProof/>
                <w:webHidden/>
              </w:rPr>
            </w:r>
            <w:r w:rsidR="001641B4">
              <w:rPr>
                <w:noProof/>
                <w:webHidden/>
              </w:rPr>
              <w:fldChar w:fldCharType="separate"/>
            </w:r>
            <w:r w:rsidR="00245E6D">
              <w:rPr>
                <w:noProof/>
                <w:webHidden/>
              </w:rPr>
              <w:t>62</w:t>
            </w:r>
            <w:r w:rsidR="001641B4">
              <w:rPr>
                <w:noProof/>
                <w:webHidden/>
              </w:rPr>
              <w:fldChar w:fldCharType="end"/>
            </w:r>
          </w:hyperlink>
        </w:p>
        <w:p w14:paraId="6B642980" w14:textId="2A515023" w:rsidR="001641B4" w:rsidRDefault="00342157">
          <w:pPr>
            <w:pStyle w:val="TOC1"/>
            <w:tabs>
              <w:tab w:val="right" w:leader="dot" w:pos="9016"/>
            </w:tabs>
            <w:rPr>
              <w:rFonts w:asciiTheme="minorHAnsi" w:eastAsiaTheme="minorEastAsia" w:hAnsiTheme="minorHAnsi"/>
              <w:noProof/>
              <w:sz w:val="22"/>
              <w:lang w:eastAsia="en-AU"/>
            </w:rPr>
          </w:pPr>
          <w:hyperlink w:anchor="_Toc75255239" w:history="1">
            <w:r w:rsidR="001641B4" w:rsidRPr="00E62016">
              <w:rPr>
                <w:rStyle w:val="Hyperlink"/>
                <w:noProof/>
              </w:rPr>
              <w:t>Appendix G: Example investigation report template</w:t>
            </w:r>
            <w:r w:rsidR="001641B4">
              <w:rPr>
                <w:noProof/>
                <w:webHidden/>
              </w:rPr>
              <w:tab/>
            </w:r>
            <w:r w:rsidR="001641B4">
              <w:rPr>
                <w:noProof/>
                <w:webHidden/>
              </w:rPr>
              <w:fldChar w:fldCharType="begin"/>
            </w:r>
            <w:r w:rsidR="001641B4">
              <w:rPr>
                <w:noProof/>
                <w:webHidden/>
              </w:rPr>
              <w:instrText xml:space="preserve"> PAGEREF _Toc75255239 \h </w:instrText>
            </w:r>
            <w:r w:rsidR="001641B4">
              <w:rPr>
                <w:noProof/>
                <w:webHidden/>
              </w:rPr>
            </w:r>
            <w:r w:rsidR="001641B4">
              <w:rPr>
                <w:noProof/>
                <w:webHidden/>
              </w:rPr>
              <w:fldChar w:fldCharType="separate"/>
            </w:r>
            <w:r w:rsidR="00245E6D">
              <w:rPr>
                <w:noProof/>
                <w:webHidden/>
              </w:rPr>
              <w:t>65</w:t>
            </w:r>
            <w:r w:rsidR="001641B4">
              <w:rPr>
                <w:noProof/>
                <w:webHidden/>
              </w:rPr>
              <w:fldChar w:fldCharType="end"/>
            </w:r>
          </w:hyperlink>
        </w:p>
        <w:p w14:paraId="7C990384" w14:textId="14FA76FA" w:rsidR="001641B4" w:rsidRDefault="00342157">
          <w:pPr>
            <w:pStyle w:val="TOC1"/>
            <w:tabs>
              <w:tab w:val="right" w:leader="dot" w:pos="9016"/>
            </w:tabs>
            <w:rPr>
              <w:rFonts w:asciiTheme="minorHAnsi" w:eastAsiaTheme="minorEastAsia" w:hAnsiTheme="minorHAnsi"/>
              <w:noProof/>
              <w:sz w:val="22"/>
              <w:lang w:eastAsia="en-AU"/>
            </w:rPr>
          </w:pPr>
          <w:hyperlink w:anchor="_Toc75255240" w:history="1">
            <w:r w:rsidR="001641B4" w:rsidRPr="00E62016">
              <w:rPr>
                <w:rStyle w:val="Hyperlink"/>
                <w:noProof/>
              </w:rPr>
              <w:t>Appendix H: Public interest disclosure initial assessment form</w:t>
            </w:r>
            <w:r w:rsidR="001641B4">
              <w:rPr>
                <w:noProof/>
                <w:webHidden/>
              </w:rPr>
              <w:tab/>
            </w:r>
            <w:r w:rsidR="001641B4">
              <w:rPr>
                <w:noProof/>
                <w:webHidden/>
              </w:rPr>
              <w:fldChar w:fldCharType="begin"/>
            </w:r>
            <w:r w:rsidR="001641B4">
              <w:rPr>
                <w:noProof/>
                <w:webHidden/>
              </w:rPr>
              <w:instrText xml:space="preserve"> PAGEREF _Toc75255240 \h </w:instrText>
            </w:r>
            <w:r w:rsidR="001641B4">
              <w:rPr>
                <w:noProof/>
                <w:webHidden/>
              </w:rPr>
            </w:r>
            <w:r w:rsidR="001641B4">
              <w:rPr>
                <w:noProof/>
                <w:webHidden/>
              </w:rPr>
              <w:fldChar w:fldCharType="separate"/>
            </w:r>
            <w:r w:rsidR="00245E6D">
              <w:rPr>
                <w:noProof/>
                <w:webHidden/>
              </w:rPr>
              <w:t>70</w:t>
            </w:r>
            <w:r w:rsidR="001641B4">
              <w:rPr>
                <w:noProof/>
                <w:webHidden/>
              </w:rPr>
              <w:fldChar w:fldCharType="end"/>
            </w:r>
          </w:hyperlink>
        </w:p>
        <w:p w14:paraId="7CF85920" w14:textId="1528CE13" w:rsidR="004D2639" w:rsidRDefault="004D2639">
          <w:r>
            <w:rPr>
              <w:b/>
              <w:bCs/>
              <w:noProof/>
            </w:rPr>
            <w:fldChar w:fldCharType="end"/>
          </w:r>
        </w:p>
      </w:sdtContent>
    </w:sdt>
    <w:p w14:paraId="139DB790" w14:textId="77777777" w:rsidR="00F81E99" w:rsidRDefault="00F81E99" w:rsidP="007247D1">
      <w:pPr>
        <w:pStyle w:val="Heading2"/>
        <w:sectPr w:rsidR="00F81E99" w:rsidSect="00240DCD">
          <w:footerReference w:type="default" r:id="rId14"/>
          <w:footerReference w:type="first" r:id="rId15"/>
          <w:pgSz w:w="11906" w:h="16838"/>
          <w:pgMar w:top="1440" w:right="1440" w:bottom="1440" w:left="1440" w:header="708" w:footer="708" w:gutter="0"/>
          <w:pgNumType w:start="1"/>
          <w:cols w:space="708"/>
          <w:titlePg/>
          <w:docGrid w:linePitch="360"/>
        </w:sectPr>
      </w:pPr>
    </w:p>
    <w:p w14:paraId="29AA3B9B" w14:textId="540F28CF" w:rsidR="008B442E" w:rsidRPr="007247D1" w:rsidRDefault="008B442E" w:rsidP="007247D1">
      <w:pPr>
        <w:pStyle w:val="Heading1"/>
      </w:pPr>
      <w:bookmarkStart w:id="1" w:name="_Toc67903957"/>
      <w:bookmarkStart w:id="2" w:name="_Toc75255135"/>
      <w:r w:rsidRPr="007247D1">
        <w:lastRenderedPageBreak/>
        <w:t xml:space="preserve">Commissioner’s </w:t>
      </w:r>
      <w:r w:rsidR="00CD04C2" w:rsidRPr="007247D1">
        <w:t>foreword</w:t>
      </w:r>
      <w:bookmarkEnd w:id="1"/>
      <w:bookmarkEnd w:id="2"/>
    </w:p>
    <w:p w14:paraId="548A530C" w14:textId="62A115F6" w:rsidR="00C3279A" w:rsidRDefault="00C136CF" w:rsidP="00196570">
      <w:r>
        <w:t xml:space="preserve">The </w:t>
      </w:r>
      <w:r>
        <w:rPr>
          <w:i/>
          <w:iCs/>
        </w:rPr>
        <w:t>Public Interest Disclosure Act 2012</w:t>
      </w:r>
      <w:r>
        <w:t xml:space="preserve"> (ACT) (‘</w:t>
      </w:r>
      <w:r>
        <w:rPr>
          <w:b/>
          <w:bCs/>
        </w:rPr>
        <w:t>PID Act</w:t>
      </w:r>
      <w:r>
        <w:t xml:space="preserve">’) provides the legal framework for </w:t>
      </w:r>
      <w:r w:rsidR="00C3279A">
        <w:t xml:space="preserve">determining what </w:t>
      </w:r>
      <w:r w:rsidR="002E6320">
        <w:t xml:space="preserve">disclosures </w:t>
      </w:r>
      <w:r w:rsidR="00C3279A">
        <w:t>qualif</w:t>
      </w:r>
      <w:r w:rsidR="0088362F">
        <w:t>y</w:t>
      </w:r>
      <w:r w:rsidR="00C3279A">
        <w:t xml:space="preserve"> as public interest disclosure</w:t>
      </w:r>
      <w:r w:rsidR="0088362F">
        <w:t>s</w:t>
      </w:r>
      <w:r w:rsidR="00C3279A">
        <w:t xml:space="preserve"> (‘</w:t>
      </w:r>
      <w:r w:rsidR="00C3279A" w:rsidRPr="00C3279A">
        <w:rPr>
          <w:b/>
          <w:bCs/>
        </w:rPr>
        <w:t>PID</w:t>
      </w:r>
      <w:r w:rsidR="00C3279A">
        <w:t xml:space="preserve">’) and </w:t>
      </w:r>
      <w:r w:rsidR="00B2504C">
        <w:t>the</w:t>
      </w:r>
      <w:r w:rsidR="00C3279A">
        <w:t xml:space="preserve"> protections</w:t>
      </w:r>
      <w:r w:rsidR="00B2504C">
        <w:t xml:space="preserve"> given</w:t>
      </w:r>
      <w:r w:rsidR="00C3279A">
        <w:t xml:space="preserve"> to disclosers</w:t>
      </w:r>
      <w:r w:rsidR="00591AF0">
        <w:t>, who may be public officials or private individuals</w:t>
      </w:r>
      <w:r>
        <w:t xml:space="preserve">. </w:t>
      </w:r>
      <w:r w:rsidR="00C3279A">
        <w:t xml:space="preserve">The essential purpose of the PID Act is to </w:t>
      </w:r>
      <w:r w:rsidR="00441929">
        <w:t xml:space="preserve">encourage people who become aware of misconduct in the public sector to come forward. It does this by </w:t>
      </w:r>
      <w:r w:rsidR="00C3279A">
        <w:t>protect</w:t>
      </w:r>
      <w:r w:rsidR="00441929">
        <w:t>ing</w:t>
      </w:r>
      <w:r w:rsidR="00C3279A">
        <w:t xml:space="preserve"> </w:t>
      </w:r>
      <w:r w:rsidR="00441929">
        <w:t xml:space="preserve">them </w:t>
      </w:r>
      <w:r w:rsidR="00C3279A">
        <w:t xml:space="preserve">from any retribution, reprisal, or retaliatory actions </w:t>
      </w:r>
      <w:r w:rsidR="00591AF0">
        <w:t xml:space="preserve">to which </w:t>
      </w:r>
      <w:r w:rsidR="00C3279A">
        <w:t xml:space="preserve">they might be exposed by making reports and to ensure </w:t>
      </w:r>
      <w:r w:rsidR="00591AF0">
        <w:t xml:space="preserve">that </w:t>
      </w:r>
      <w:r w:rsidR="00C3279A">
        <w:t>appropriate investigations of their information is undertaken. PIDs must be about substantial problems concerning maladministration, threats to public health or safety, or the environment. ACT public sector entities play a critical role under the PID Act as receivers of initial reports</w:t>
      </w:r>
      <w:r w:rsidR="00A22DC1">
        <w:t xml:space="preserve"> and </w:t>
      </w:r>
      <w:r w:rsidR="00C3279A">
        <w:t>investigating those which qualify as PIDs</w:t>
      </w:r>
      <w:r w:rsidR="00591AF0">
        <w:t xml:space="preserve"> </w:t>
      </w:r>
      <w:r w:rsidR="00441929">
        <w:t xml:space="preserve">as well as </w:t>
      </w:r>
      <w:r w:rsidR="00591AF0">
        <w:t>protecting disclosers from retribution or retaliation</w:t>
      </w:r>
      <w:r w:rsidR="00C3279A">
        <w:t>.</w:t>
      </w:r>
    </w:p>
    <w:p w14:paraId="6C881A5C" w14:textId="622A74DC" w:rsidR="00196570" w:rsidRPr="00196570" w:rsidRDefault="00C136CF" w:rsidP="00196570">
      <w:r>
        <w:t>The</w:t>
      </w:r>
      <w:r w:rsidR="00196570">
        <w:t xml:space="preserve"> </w:t>
      </w:r>
      <w:r w:rsidR="0088362F">
        <w:t>ACT Integrity Commission (‘</w:t>
      </w:r>
      <w:r w:rsidR="00196570" w:rsidRPr="0088362F">
        <w:rPr>
          <w:b/>
          <w:bCs/>
        </w:rPr>
        <w:t>Commission</w:t>
      </w:r>
      <w:r w:rsidR="0088362F">
        <w:t>’)</w:t>
      </w:r>
      <w:r w:rsidR="00196570">
        <w:t xml:space="preserve"> </w:t>
      </w:r>
      <w:r>
        <w:t>is required to issue</w:t>
      </w:r>
      <w:r w:rsidR="00196570">
        <w:t xml:space="preserve"> guidelines to assist </w:t>
      </w:r>
      <w:r>
        <w:t>public sector entities</w:t>
      </w:r>
      <w:r w:rsidR="00196570">
        <w:t xml:space="preserve"> in dealing with reports of wrongdoing which may be PIDs</w:t>
      </w:r>
      <w:r w:rsidR="00591AF0">
        <w:t>,</w:t>
      </w:r>
      <w:r w:rsidR="00196570">
        <w:t xml:space="preserve"> how </w:t>
      </w:r>
      <w:r w:rsidR="00C3279A">
        <w:t>disclosures</w:t>
      </w:r>
      <w:r w:rsidR="00196570">
        <w:t xml:space="preserve"> must </w:t>
      </w:r>
      <w:r>
        <w:t>be investigated</w:t>
      </w:r>
      <w:r w:rsidR="00591AF0">
        <w:t xml:space="preserve"> and how disclosers are to be protected</w:t>
      </w:r>
      <w:r w:rsidR="00196570">
        <w:t xml:space="preserve">. These guidelines provide practical advice, as well as an overview of how the PID Act </w:t>
      </w:r>
      <w:r w:rsidR="002E6320">
        <w:t>operates in practice</w:t>
      </w:r>
      <w:r w:rsidR="00196570">
        <w:t>.</w:t>
      </w:r>
    </w:p>
    <w:p w14:paraId="25B0F616" w14:textId="71A5F51A" w:rsidR="001E1456" w:rsidRDefault="00D730EE" w:rsidP="00576428">
      <w:r>
        <w:t xml:space="preserve">Ensuring that </w:t>
      </w:r>
      <w:r w:rsidR="00C136CF">
        <w:t>reports of wrongdoing</w:t>
      </w:r>
      <w:r>
        <w:t xml:space="preserve"> are investigated appropriately is critical to the overall operation of the PID scheme. </w:t>
      </w:r>
      <w:r w:rsidR="00242426">
        <w:t>Rigorously i</w:t>
      </w:r>
      <w:r>
        <w:t xml:space="preserve">nvestigating </w:t>
      </w:r>
      <w:r w:rsidR="00B60A24">
        <w:t xml:space="preserve">reports of public sector wrongdoing </w:t>
      </w:r>
      <w:r w:rsidR="00B2504C">
        <w:t>provides</w:t>
      </w:r>
      <w:r>
        <w:t xml:space="preserve"> confidence that wrongdoing within our public sector will </w:t>
      </w:r>
      <w:r w:rsidR="00B60A24">
        <w:t xml:space="preserve">be identified, </w:t>
      </w:r>
      <w:r w:rsidR="006605B9">
        <w:t>corrected,</w:t>
      </w:r>
      <w:r w:rsidR="00B60A24">
        <w:t xml:space="preserve"> and prevented</w:t>
      </w:r>
      <w:r>
        <w:t>.</w:t>
      </w:r>
    </w:p>
    <w:p w14:paraId="089C8637" w14:textId="11D1FB29" w:rsidR="00BD139C" w:rsidRDefault="00B60A24" w:rsidP="00BD139C">
      <w:r>
        <w:t>It is the responsibility of all</w:t>
      </w:r>
      <w:r w:rsidR="00BD139C">
        <w:t xml:space="preserve"> citizens to speak up if they witness, or suspect, wrongdoing. Whistle-blowers</w:t>
      </w:r>
      <w:r>
        <w:t>, in particular,</w:t>
      </w:r>
      <w:r w:rsidR="00BD139C">
        <w:t xml:space="preserve"> play </w:t>
      </w:r>
      <w:r>
        <w:t>an important role</w:t>
      </w:r>
      <w:r w:rsidR="00BD139C">
        <w:t xml:space="preserve"> in ensuring </w:t>
      </w:r>
      <w:r w:rsidR="00441929">
        <w:t>government</w:t>
      </w:r>
      <w:r w:rsidR="00BD139C">
        <w:t xml:space="preserve"> remains accountable, </w:t>
      </w:r>
      <w:r w:rsidR="006605B9">
        <w:t>transparent,</w:t>
      </w:r>
      <w:r w:rsidR="00BD139C">
        <w:t xml:space="preserve"> and responsive to scrutiny. The PID Act provides critical </w:t>
      </w:r>
      <w:r w:rsidR="00591AF0">
        <w:t xml:space="preserve">statutory </w:t>
      </w:r>
      <w:r w:rsidR="00BD139C">
        <w:t>protections to those brave enough to speak out.</w:t>
      </w:r>
    </w:p>
    <w:p w14:paraId="6898BB75" w14:textId="60DC01D8" w:rsidR="00530026" w:rsidRPr="00591AF0" w:rsidRDefault="00591AF0" w:rsidP="008B442E">
      <w:r>
        <w:t>It is worth noting that the PID Act is only a part, albeit important, of the framework for dealing with mismanagement within the ACT public sector. Every employee has the duty of reporting and/or dealing with unethical or harmful conduct that could adversely affect the functions of a public sector entity</w:t>
      </w:r>
      <w:r w:rsidR="006605B9">
        <w:t>, e</w:t>
      </w:r>
      <w:r>
        <w:t>ven where the conduct does not come within the PID Act. Furthermore, it is serious misconduct for a public official to take adverse actions against an employee for performing this duty,</w:t>
      </w:r>
      <w:r w:rsidR="00A22DC1">
        <w:t xml:space="preserve"> capable of constituting a criminal offence and</w:t>
      </w:r>
      <w:r>
        <w:t xml:space="preserve"> possibly </w:t>
      </w:r>
      <w:r w:rsidR="00A22DC1">
        <w:t xml:space="preserve">also </w:t>
      </w:r>
      <w:r>
        <w:t>amount</w:t>
      </w:r>
      <w:r w:rsidR="006605B9">
        <w:t>ing</w:t>
      </w:r>
      <w:r>
        <w:t xml:space="preserve"> to corrupt conduct within the meaning of the </w:t>
      </w:r>
      <w:r>
        <w:rPr>
          <w:i/>
          <w:iCs/>
        </w:rPr>
        <w:t>Integrity Commission Act 2018</w:t>
      </w:r>
      <w:r w:rsidR="006605B9">
        <w:t xml:space="preserve"> (ACT)</w:t>
      </w:r>
      <w:r>
        <w:t>.</w:t>
      </w:r>
    </w:p>
    <w:p w14:paraId="03FF53CB" w14:textId="753E3A3B" w:rsidR="00B51628" w:rsidRDefault="00B51628" w:rsidP="008B442E"/>
    <w:p w14:paraId="6F4CDF12" w14:textId="73169645" w:rsidR="00B51628" w:rsidRDefault="00B51628" w:rsidP="008B442E"/>
    <w:p w14:paraId="448FC216" w14:textId="6AEAD6E0" w:rsidR="00B51628" w:rsidRDefault="00BA58FF" w:rsidP="008B442E">
      <w:r w:rsidRPr="00664086">
        <w:t xml:space="preserve">The Hon </w:t>
      </w:r>
      <w:r w:rsidR="00664086" w:rsidRPr="00664086">
        <w:t xml:space="preserve">Michael </w:t>
      </w:r>
      <w:r w:rsidR="00A22DC1">
        <w:t xml:space="preserve">F </w:t>
      </w:r>
      <w:r w:rsidR="00664086" w:rsidRPr="00664086">
        <w:t>Adams</w:t>
      </w:r>
      <w:r w:rsidR="005714AF" w:rsidRPr="00664086">
        <w:t xml:space="preserve"> QC</w:t>
      </w:r>
    </w:p>
    <w:p w14:paraId="104CC1A8" w14:textId="3B5FA968" w:rsidR="0009588C" w:rsidRDefault="0009588C" w:rsidP="008B442E">
      <w:r>
        <w:t>Commissioner</w:t>
      </w:r>
    </w:p>
    <w:p w14:paraId="0A841FD9" w14:textId="6D3A03ED" w:rsidR="00B609D5" w:rsidRDefault="0009588C" w:rsidP="008B442E">
      <w:pPr>
        <w:sectPr w:rsidR="00B609D5" w:rsidSect="00240DCD">
          <w:footerReference w:type="default" r:id="rId16"/>
          <w:pgSz w:w="11906" w:h="16838"/>
          <w:pgMar w:top="1440" w:right="1440" w:bottom="1440" w:left="1440" w:header="708" w:footer="708" w:gutter="0"/>
          <w:pgNumType w:start="1"/>
          <w:cols w:space="708"/>
          <w:titlePg/>
          <w:docGrid w:linePitch="360"/>
        </w:sectPr>
      </w:pPr>
      <w:r>
        <w:t>ACT Integrity Commission</w:t>
      </w:r>
    </w:p>
    <w:p w14:paraId="407DE8D4" w14:textId="2B75ED96" w:rsidR="005714AF" w:rsidRDefault="00B609D5" w:rsidP="007247D1">
      <w:pPr>
        <w:pStyle w:val="Heading1"/>
      </w:pPr>
      <w:bookmarkStart w:id="3" w:name="_Toc67903958"/>
      <w:bookmarkStart w:id="4" w:name="_Toc75255136"/>
      <w:r>
        <w:lastRenderedPageBreak/>
        <w:t>Key terms</w:t>
      </w:r>
      <w:bookmarkEnd w:id="3"/>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1B22D0" w14:paraId="262122F3" w14:textId="77777777" w:rsidTr="004B66CD">
        <w:tc>
          <w:tcPr>
            <w:tcW w:w="1491" w:type="pct"/>
            <w:shd w:val="clear" w:color="auto" w:fill="000000" w:themeFill="text1"/>
          </w:tcPr>
          <w:p w14:paraId="54170E94" w14:textId="77777777" w:rsidR="001B22D0" w:rsidRPr="001B22D0" w:rsidRDefault="001B22D0" w:rsidP="001B22D0">
            <w:pPr>
              <w:rPr>
                <w:b/>
                <w:bCs/>
                <w:color w:val="FFFFFF" w:themeColor="background1"/>
              </w:rPr>
            </w:pPr>
            <w:r w:rsidRPr="001B22D0">
              <w:rPr>
                <w:b/>
                <w:bCs/>
                <w:color w:val="FFFFFF" w:themeColor="background1"/>
              </w:rPr>
              <w:t>Term</w:t>
            </w:r>
          </w:p>
        </w:tc>
        <w:tc>
          <w:tcPr>
            <w:tcW w:w="3509" w:type="pct"/>
            <w:shd w:val="clear" w:color="auto" w:fill="000000" w:themeFill="text1"/>
          </w:tcPr>
          <w:p w14:paraId="13971584" w14:textId="77777777" w:rsidR="001B22D0" w:rsidRPr="001B22D0" w:rsidRDefault="001B22D0" w:rsidP="001B22D0">
            <w:pPr>
              <w:rPr>
                <w:b/>
                <w:bCs/>
                <w:color w:val="FFFFFF" w:themeColor="background1"/>
              </w:rPr>
            </w:pPr>
            <w:r w:rsidRPr="001B22D0">
              <w:rPr>
                <w:b/>
                <w:bCs/>
                <w:color w:val="FFFFFF" w:themeColor="background1"/>
              </w:rPr>
              <w:t>Description</w:t>
            </w:r>
          </w:p>
        </w:tc>
      </w:tr>
      <w:tr w:rsidR="001B22D0" w14:paraId="28A1FB64" w14:textId="77777777" w:rsidTr="004B66CD">
        <w:trPr>
          <w:trHeight w:val="925"/>
        </w:trPr>
        <w:tc>
          <w:tcPr>
            <w:tcW w:w="1491" w:type="pct"/>
          </w:tcPr>
          <w:p w14:paraId="60468E61" w14:textId="77777777" w:rsidR="001B22D0" w:rsidRDefault="001B22D0" w:rsidP="0088362F">
            <w:pPr>
              <w:jc w:val="left"/>
            </w:pPr>
            <w:r>
              <w:t>ACT Public Service (‘</w:t>
            </w:r>
            <w:r>
              <w:rPr>
                <w:b/>
                <w:bCs/>
              </w:rPr>
              <w:t>ACTPS</w:t>
            </w:r>
            <w:r>
              <w:t>’)</w:t>
            </w:r>
          </w:p>
        </w:tc>
        <w:tc>
          <w:tcPr>
            <w:tcW w:w="3509" w:type="pct"/>
          </w:tcPr>
          <w:p w14:paraId="0DD111BB" w14:textId="6529410C" w:rsidR="001B22D0" w:rsidRDefault="001B22D0" w:rsidP="004B66CD">
            <w:pPr>
              <w:spacing w:after="120"/>
            </w:pPr>
            <w:r>
              <w:t>T</w:t>
            </w:r>
            <w:r w:rsidRPr="008A268B">
              <w:t>he ACT Public Service</w:t>
            </w:r>
            <w:r>
              <w:t xml:space="preserve"> </w:t>
            </w:r>
            <w:r w:rsidRPr="008A268B">
              <w:t xml:space="preserve">is established under section 12(1) of the </w:t>
            </w:r>
            <w:r w:rsidRPr="00492022">
              <w:rPr>
                <w:i/>
                <w:iCs/>
              </w:rPr>
              <w:t>Public Sector Management Act 1994</w:t>
            </w:r>
            <w:r>
              <w:t xml:space="preserve"> (ACT)</w:t>
            </w:r>
            <w:r w:rsidR="00750738">
              <w:t xml:space="preserve"> (‘</w:t>
            </w:r>
            <w:r w:rsidR="00750738">
              <w:rPr>
                <w:b/>
                <w:bCs/>
              </w:rPr>
              <w:t>PSM Act</w:t>
            </w:r>
            <w:r w:rsidR="00750738">
              <w:t>’)</w:t>
            </w:r>
            <w:r w:rsidRPr="008A268B">
              <w:t>. The ACTPS is made up of the administrative units declared under the Administrative Arrangements</w:t>
            </w:r>
            <w:r>
              <w:t xml:space="preserve"> as they exist from time to time.</w:t>
            </w:r>
          </w:p>
        </w:tc>
      </w:tr>
      <w:tr w:rsidR="001B22D0" w14:paraId="112A31A6" w14:textId="77777777" w:rsidTr="004B66CD">
        <w:trPr>
          <w:trHeight w:val="5065"/>
        </w:trPr>
        <w:tc>
          <w:tcPr>
            <w:tcW w:w="1491" w:type="pct"/>
          </w:tcPr>
          <w:p w14:paraId="6935F79A" w14:textId="77777777" w:rsidR="001B22D0" w:rsidRDefault="001B22D0" w:rsidP="001B22D0">
            <w:r>
              <w:t>ACTPS entity</w:t>
            </w:r>
          </w:p>
        </w:tc>
        <w:tc>
          <w:tcPr>
            <w:tcW w:w="3509" w:type="pct"/>
          </w:tcPr>
          <w:p w14:paraId="12AA1494" w14:textId="77777777" w:rsidR="008D2BEF" w:rsidRPr="00492022" w:rsidRDefault="008D2BEF" w:rsidP="008D2BEF">
            <w:r>
              <w:t>These fall into five different categories:</w:t>
            </w:r>
          </w:p>
          <w:p w14:paraId="21E42EAF" w14:textId="7C201A08" w:rsidR="008D2BEF" w:rsidRDefault="008D2BEF" w:rsidP="00061417">
            <w:pPr>
              <w:pStyle w:val="ListParagraph"/>
              <w:numPr>
                <w:ilvl w:val="0"/>
                <w:numId w:val="20"/>
              </w:numPr>
              <w:spacing w:before="120" w:after="0" w:line="240" w:lineRule="auto"/>
              <w:ind w:left="360"/>
            </w:pPr>
            <w:r w:rsidRPr="00287FCE">
              <w:t>Administrative units</w:t>
            </w:r>
            <w:r w:rsidRPr="008A268B">
              <w:t xml:space="preserve"> (e</w:t>
            </w:r>
            <w:r w:rsidR="00750738">
              <w:t>g</w:t>
            </w:r>
            <w:r w:rsidRPr="008A268B">
              <w:t xml:space="preserve"> Chief Minister, Treasury and Economic Development Directorate, Justice and Community Safety Directorate, ACT Health</w:t>
            </w:r>
            <w:r>
              <w:t xml:space="preserve"> </w:t>
            </w:r>
            <w:r w:rsidRPr="008A268B">
              <w:t>Directorate, etc);</w:t>
            </w:r>
          </w:p>
          <w:p w14:paraId="49DFBCE6" w14:textId="5B033F50" w:rsidR="008D2BEF" w:rsidRDefault="008D2BEF" w:rsidP="00061417">
            <w:pPr>
              <w:pStyle w:val="ListParagraph"/>
              <w:numPr>
                <w:ilvl w:val="0"/>
                <w:numId w:val="20"/>
              </w:numPr>
              <w:spacing w:before="120" w:after="0" w:line="240" w:lineRule="auto"/>
              <w:ind w:left="360"/>
            </w:pPr>
            <w:r w:rsidRPr="00287FCE">
              <w:t>Territory authorities</w:t>
            </w:r>
            <w:r w:rsidRPr="008A268B">
              <w:t xml:space="preserve"> (bodies established for a public purpose under an Act, e</w:t>
            </w:r>
            <w:r w:rsidR="00750738">
              <w:t>g</w:t>
            </w:r>
            <w:r w:rsidRPr="008A268B">
              <w:t xml:space="preserve"> Canberra Institute of Technology, ACT Insurance Authority, Teacher Quality Institute, Cemeteries Authority, etc);</w:t>
            </w:r>
          </w:p>
          <w:p w14:paraId="275EAEC7" w14:textId="7E0ED6DA" w:rsidR="008D2BEF" w:rsidRDefault="008D2BEF" w:rsidP="00061417">
            <w:pPr>
              <w:pStyle w:val="ListParagraph"/>
              <w:numPr>
                <w:ilvl w:val="0"/>
                <w:numId w:val="20"/>
              </w:numPr>
              <w:spacing w:before="120" w:after="0" w:line="240" w:lineRule="auto"/>
              <w:ind w:left="360"/>
            </w:pPr>
            <w:r w:rsidRPr="00492022">
              <w:t>Territory</w:t>
            </w:r>
            <w:r w:rsidRPr="00492022">
              <w:rPr>
                <w:rFonts w:ascii="Times New Roman" w:hAnsi="Times New Roman" w:cs="Times New Roman"/>
              </w:rPr>
              <w:t>‐</w:t>
            </w:r>
            <w:r w:rsidRPr="00492022">
              <w:t>owned corporations or their subsidiaries</w:t>
            </w:r>
            <w:r w:rsidRPr="008A268B">
              <w:t xml:space="preserve"> (corporations established under</w:t>
            </w:r>
            <w:r>
              <w:t xml:space="preserve"> </w:t>
            </w:r>
            <w:r w:rsidRPr="008A268B">
              <w:t>the</w:t>
            </w:r>
            <w:r>
              <w:t xml:space="preserve"> </w:t>
            </w:r>
            <w:r w:rsidRPr="0088362F">
              <w:rPr>
                <w:i/>
                <w:iCs/>
              </w:rPr>
              <w:t>Territory</w:t>
            </w:r>
            <w:r w:rsidRPr="0088362F">
              <w:rPr>
                <w:rFonts w:ascii="Times New Roman" w:hAnsi="Times New Roman" w:cs="Times New Roman"/>
                <w:i/>
                <w:iCs/>
              </w:rPr>
              <w:t>‐</w:t>
            </w:r>
            <w:r w:rsidRPr="0088362F">
              <w:rPr>
                <w:i/>
                <w:iCs/>
              </w:rPr>
              <w:t>Owned Corporations Act 1990</w:t>
            </w:r>
            <w:r w:rsidRPr="008A268B">
              <w:t xml:space="preserve"> </w:t>
            </w:r>
            <w:r>
              <w:t xml:space="preserve">(ACT) </w:t>
            </w:r>
            <w:r w:rsidRPr="008A268B">
              <w:t>e</w:t>
            </w:r>
            <w:r w:rsidR="00750738">
              <w:t>g</w:t>
            </w:r>
            <w:r w:rsidR="0088362F">
              <w:t> </w:t>
            </w:r>
            <w:r w:rsidRPr="008A268B">
              <w:t>Icon Water Limited);</w:t>
            </w:r>
          </w:p>
          <w:p w14:paraId="7663DF5B" w14:textId="5ED18B15" w:rsidR="008D2BEF" w:rsidRDefault="008D2BEF" w:rsidP="00061417">
            <w:pPr>
              <w:pStyle w:val="ListParagraph"/>
              <w:numPr>
                <w:ilvl w:val="0"/>
                <w:numId w:val="20"/>
              </w:numPr>
              <w:spacing w:before="120" w:after="0" w:line="240" w:lineRule="auto"/>
              <w:ind w:left="360"/>
            </w:pPr>
            <w:r w:rsidRPr="00287FCE">
              <w:t>Territory instrumentalities</w:t>
            </w:r>
            <w:r>
              <w:t xml:space="preserve"> (</w:t>
            </w:r>
            <w:r w:rsidRPr="008A268B">
              <w:t xml:space="preserve">corporations established under the </w:t>
            </w:r>
            <w:r w:rsidRPr="009E113B">
              <w:rPr>
                <w:i/>
                <w:iCs/>
              </w:rPr>
              <w:t>Corporations Act 2001</w:t>
            </w:r>
            <w:r>
              <w:rPr>
                <w:i/>
                <w:iCs/>
              </w:rPr>
              <w:t xml:space="preserve"> </w:t>
            </w:r>
            <w:r>
              <w:t xml:space="preserve">(Cth) </w:t>
            </w:r>
            <w:r w:rsidRPr="008A268B">
              <w:t>or another Act or statutory instrument that are</w:t>
            </w:r>
            <w:r>
              <w:t>:</w:t>
            </w:r>
          </w:p>
          <w:p w14:paraId="707CA8CE" w14:textId="77777777" w:rsidR="008D2BEF" w:rsidRDefault="008D2BEF" w:rsidP="00061417">
            <w:pPr>
              <w:pStyle w:val="ListParagraph"/>
              <w:numPr>
                <w:ilvl w:val="1"/>
                <w:numId w:val="20"/>
              </w:numPr>
              <w:spacing w:before="120" w:after="0" w:line="240" w:lineRule="auto"/>
              <w:ind w:left="1080"/>
            </w:pPr>
            <w:r w:rsidRPr="008A268B">
              <w:t xml:space="preserve">subject to control or direction by a Minister; or </w:t>
            </w:r>
          </w:p>
          <w:p w14:paraId="7964E5B0" w14:textId="77777777" w:rsidR="008D2BEF" w:rsidRDefault="008D2BEF" w:rsidP="00061417">
            <w:pPr>
              <w:pStyle w:val="ListParagraph"/>
              <w:numPr>
                <w:ilvl w:val="1"/>
                <w:numId w:val="20"/>
              </w:numPr>
              <w:spacing w:before="120" w:after="0" w:line="240" w:lineRule="auto"/>
              <w:ind w:left="1080"/>
            </w:pPr>
            <w:r w:rsidRPr="008A268B">
              <w:t>composed of people whose majority are appointed by</w:t>
            </w:r>
            <w:r>
              <w:t>:</w:t>
            </w:r>
          </w:p>
          <w:p w14:paraId="2ECC7EB5" w14:textId="77777777" w:rsidR="008D2BEF" w:rsidRDefault="008D2BEF" w:rsidP="00061417">
            <w:pPr>
              <w:pStyle w:val="ListParagraph"/>
              <w:numPr>
                <w:ilvl w:val="2"/>
                <w:numId w:val="20"/>
              </w:numPr>
              <w:spacing w:before="120" w:after="0" w:line="240" w:lineRule="auto"/>
              <w:ind w:left="1800"/>
            </w:pPr>
            <w:r w:rsidRPr="008A268B">
              <w:t>a Minister</w:t>
            </w:r>
            <w:r>
              <w:t>;</w:t>
            </w:r>
          </w:p>
          <w:p w14:paraId="7625C3A3" w14:textId="77777777" w:rsidR="008D2BEF" w:rsidRDefault="008D2BEF" w:rsidP="00061417">
            <w:pPr>
              <w:pStyle w:val="ListParagraph"/>
              <w:numPr>
                <w:ilvl w:val="2"/>
                <w:numId w:val="20"/>
              </w:numPr>
              <w:spacing w:before="120" w:after="0" w:line="240" w:lineRule="auto"/>
              <w:ind w:left="1800"/>
            </w:pPr>
            <w:r w:rsidRPr="008A268B">
              <w:t>the Head of Service</w:t>
            </w:r>
            <w:r>
              <w:t>;</w:t>
            </w:r>
          </w:p>
          <w:p w14:paraId="21CF34E9" w14:textId="77777777" w:rsidR="008D2BEF" w:rsidRDefault="008D2BEF" w:rsidP="00061417">
            <w:pPr>
              <w:pStyle w:val="ListParagraph"/>
              <w:numPr>
                <w:ilvl w:val="2"/>
                <w:numId w:val="20"/>
              </w:numPr>
              <w:spacing w:before="120" w:after="0" w:line="240" w:lineRule="auto"/>
              <w:ind w:left="1800"/>
            </w:pPr>
            <w:r w:rsidRPr="008A268B">
              <w:t>a director-general</w:t>
            </w:r>
            <w:r>
              <w:t>; or</w:t>
            </w:r>
          </w:p>
          <w:p w14:paraId="252D8951" w14:textId="77777777" w:rsidR="008D2BEF" w:rsidRDefault="008D2BEF" w:rsidP="00061417">
            <w:pPr>
              <w:pStyle w:val="ListParagraph"/>
              <w:numPr>
                <w:ilvl w:val="2"/>
                <w:numId w:val="20"/>
              </w:numPr>
              <w:spacing w:before="120" w:after="0" w:line="240" w:lineRule="auto"/>
              <w:ind w:left="1800"/>
            </w:pPr>
            <w:r w:rsidRPr="008A268B">
              <w:t>a statutory office-holder</w:t>
            </w:r>
            <w:r>
              <w:t>); and</w:t>
            </w:r>
          </w:p>
          <w:p w14:paraId="21F36303" w14:textId="305DFE15" w:rsidR="001B22D0" w:rsidRDefault="008D2BEF" w:rsidP="004B66CD">
            <w:pPr>
              <w:pStyle w:val="ListParagraph"/>
              <w:numPr>
                <w:ilvl w:val="0"/>
                <w:numId w:val="20"/>
              </w:numPr>
              <w:spacing w:after="120" w:line="240" w:lineRule="auto"/>
              <w:ind w:left="357" w:hanging="357"/>
              <w:contextualSpacing w:val="0"/>
            </w:pPr>
            <w:r w:rsidRPr="00760255">
              <w:t>Statutory office-holders</w:t>
            </w:r>
            <w:r w:rsidRPr="008A268B">
              <w:t xml:space="preserve"> (e</w:t>
            </w:r>
            <w:r w:rsidR="00750738">
              <w:t>g</w:t>
            </w:r>
            <w:r w:rsidRPr="008A268B">
              <w:t xml:space="preserve"> ACT Ombudsman, Auditor</w:t>
            </w:r>
            <w:r w:rsidRPr="004B66CD">
              <w:rPr>
                <w:rFonts w:ascii="Cambria Math" w:hAnsi="Cambria Math" w:cs="Cambria Math"/>
              </w:rPr>
              <w:t>‐</w:t>
            </w:r>
            <w:r w:rsidRPr="008A268B">
              <w:t>General, Commissioner for Revenue, Director of Public Prosecutions, Registrar</w:t>
            </w:r>
            <w:r w:rsidRPr="004B66CD">
              <w:rPr>
                <w:rFonts w:ascii="Cambria Math" w:hAnsi="Cambria Math" w:cs="Cambria Math"/>
              </w:rPr>
              <w:t>‐</w:t>
            </w:r>
            <w:r w:rsidRPr="008A268B">
              <w:t>General, Human Rights Commissioner, Public Trustee</w:t>
            </w:r>
            <w:r>
              <w:t xml:space="preserve"> </w:t>
            </w:r>
            <w:r w:rsidRPr="008A268B">
              <w:t>and Guardian, Electoral Commissioner, Work Safety Commissioner, Conservator of Flora and Fauna,</w:t>
            </w:r>
            <w:r>
              <w:t xml:space="preserve"> </w:t>
            </w:r>
            <w:r w:rsidRPr="008A268B">
              <w:t>the Clerk of the</w:t>
            </w:r>
            <w:r>
              <w:t xml:space="preserve"> </w:t>
            </w:r>
            <w:r w:rsidRPr="008A268B">
              <w:t>Legislative Assembly etc</w:t>
            </w:r>
            <w:r>
              <w:t>).</w:t>
            </w:r>
          </w:p>
        </w:tc>
      </w:tr>
      <w:tr w:rsidR="008D2BEF" w14:paraId="658AD916" w14:textId="77777777" w:rsidTr="004B66CD">
        <w:tc>
          <w:tcPr>
            <w:tcW w:w="1491" w:type="pct"/>
          </w:tcPr>
          <w:p w14:paraId="3DF42B30" w14:textId="536CF0CA" w:rsidR="008D2BEF" w:rsidRDefault="008D2BEF" w:rsidP="008D2BEF">
            <w:r>
              <w:t>Disclosable conduct</w:t>
            </w:r>
          </w:p>
        </w:tc>
        <w:tc>
          <w:tcPr>
            <w:tcW w:w="3509" w:type="pct"/>
          </w:tcPr>
          <w:p w14:paraId="5B2996CB" w14:textId="155E67A7" w:rsidR="008D2BEF" w:rsidRDefault="008D2BEF" w:rsidP="004B66CD">
            <w:pPr>
              <w:spacing w:after="120"/>
              <w:contextualSpacing/>
            </w:pPr>
            <w:r>
              <w:t>Conduct which involves either maladministration, or a substantial and specific danger to public health or safety, or the environment.</w:t>
            </w:r>
          </w:p>
        </w:tc>
      </w:tr>
      <w:tr w:rsidR="008D2BEF" w14:paraId="31800DC6" w14:textId="77777777" w:rsidTr="004B66CD">
        <w:tc>
          <w:tcPr>
            <w:tcW w:w="1491" w:type="pct"/>
          </w:tcPr>
          <w:p w14:paraId="1ABF72B1" w14:textId="77777777" w:rsidR="008D2BEF" w:rsidRDefault="008D2BEF" w:rsidP="008D2BEF">
            <w:r>
              <w:t>Discloser</w:t>
            </w:r>
          </w:p>
        </w:tc>
        <w:tc>
          <w:tcPr>
            <w:tcW w:w="3509" w:type="pct"/>
          </w:tcPr>
          <w:p w14:paraId="3D9FAB6B" w14:textId="77777777" w:rsidR="008D2BEF" w:rsidRDefault="008D2BEF" w:rsidP="004B66CD">
            <w:pPr>
              <w:spacing w:after="120"/>
              <w:contextualSpacing/>
            </w:pPr>
            <w:r>
              <w:t>A person who makes a disclosure.</w:t>
            </w:r>
          </w:p>
        </w:tc>
      </w:tr>
      <w:tr w:rsidR="008D2BEF" w14:paraId="5303E4CD" w14:textId="77777777" w:rsidTr="004B66CD">
        <w:tc>
          <w:tcPr>
            <w:tcW w:w="1491" w:type="pct"/>
          </w:tcPr>
          <w:p w14:paraId="189D3FF8" w14:textId="77777777" w:rsidR="008D2BEF" w:rsidRDefault="008D2BEF" w:rsidP="008D2BEF">
            <w:r>
              <w:t>Disclosure</w:t>
            </w:r>
          </w:p>
        </w:tc>
        <w:tc>
          <w:tcPr>
            <w:tcW w:w="3509" w:type="pct"/>
          </w:tcPr>
          <w:p w14:paraId="63ABDB2B" w14:textId="77777777" w:rsidR="008D2BEF" w:rsidRDefault="008D2BEF" w:rsidP="004B66CD">
            <w:pPr>
              <w:spacing w:after="120"/>
              <w:contextualSpacing/>
            </w:pPr>
            <w:r>
              <w:t>A report regarding suspected disclosable conduct.</w:t>
            </w:r>
          </w:p>
        </w:tc>
      </w:tr>
      <w:tr w:rsidR="008D2BEF" w14:paraId="5651EBE3" w14:textId="77777777" w:rsidTr="004B66CD">
        <w:tc>
          <w:tcPr>
            <w:tcW w:w="1491" w:type="pct"/>
          </w:tcPr>
          <w:p w14:paraId="576D60B1" w14:textId="77777777" w:rsidR="008D2BEF" w:rsidRDefault="008D2BEF" w:rsidP="008D2BEF">
            <w:r>
              <w:t>Disclosure Officer</w:t>
            </w:r>
          </w:p>
        </w:tc>
        <w:tc>
          <w:tcPr>
            <w:tcW w:w="3509" w:type="pct"/>
          </w:tcPr>
          <w:p w14:paraId="1A234670" w14:textId="754DB50B" w:rsidR="008D2BEF" w:rsidRPr="00750738" w:rsidRDefault="008D2BEF" w:rsidP="004B66CD">
            <w:pPr>
              <w:spacing w:after="120"/>
              <w:contextualSpacing/>
            </w:pPr>
            <w:r>
              <w:t>A person nominated by a public sector entity to receive disclosures, or a person specified in section</w:t>
            </w:r>
            <w:r w:rsidR="00750738">
              <w:t xml:space="preserve"> </w:t>
            </w:r>
            <w:r>
              <w:t xml:space="preserve">11 of the </w:t>
            </w:r>
            <w:r w:rsidR="00750738">
              <w:t>PID Act.</w:t>
            </w:r>
          </w:p>
        </w:tc>
      </w:tr>
      <w:tr w:rsidR="008D2BEF" w14:paraId="4930D315" w14:textId="77777777" w:rsidTr="004B66CD">
        <w:tc>
          <w:tcPr>
            <w:tcW w:w="1491" w:type="pct"/>
          </w:tcPr>
          <w:p w14:paraId="1FD33BF5" w14:textId="1A1271D1" w:rsidR="008D2BEF" w:rsidRDefault="008D2BEF" w:rsidP="008D2BEF">
            <w:pPr>
              <w:jc w:val="left"/>
            </w:pPr>
            <w:r>
              <w:t>Integrity Commission (‘</w:t>
            </w:r>
            <w:r>
              <w:rPr>
                <w:b/>
                <w:bCs/>
              </w:rPr>
              <w:t>the Commission</w:t>
            </w:r>
            <w:r>
              <w:t>’)</w:t>
            </w:r>
          </w:p>
        </w:tc>
        <w:tc>
          <w:tcPr>
            <w:tcW w:w="3509" w:type="pct"/>
          </w:tcPr>
          <w:p w14:paraId="05AFED57" w14:textId="77777777" w:rsidR="008D2BEF" w:rsidRDefault="008D2BEF" w:rsidP="004B66CD">
            <w:pPr>
              <w:spacing w:after="120"/>
              <w:contextualSpacing/>
            </w:pPr>
            <w:r>
              <w:t>The Commission is comprised of the Commissioner(s) and is supported by staff.</w:t>
            </w:r>
          </w:p>
        </w:tc>
      </w:tr>
      <w:tr w:rsidR="008D2BEF" w14:paraId="56C449F9" w14:textId="77777777" w:rsidTr="004B66CD">
        <w:tc>
          <w:tcPr>
            <w:tcW w:w="1491" w:type="pct"/>
          </w:tcPr>
          <w:p w14:paraId="711EBA79" w14:textId="77777777" w:rsidR="008D2BEF" w:rsidRDefault="008D2BEF" w:rsidP="008D2BEF">
            <w:pPr>
              <w:jc w:val="left"/>
            </w:pPr>
            <w:r>
              <w:t>Integrity Commissioner</w:t>
            </w:r>
          </w:p>
        </w:tc>
        <w:tc>
          <w:tcPr>
            <w:tcW w:w="3509" w:type="pct"/>
          </w:tcPr>
          <w:p w14:paraId="42E498BC" w14:textId="2714EFA5" w:rsidR="008D2BEF" w:rsidRDefault="008D2BEF" w:rsidP="004B66CD">
            <w:pPr>
              <w:spacing w:after="120"/>
              <w:contextualSpacing/>
            </w:pPr>
            <w:r>
              <w:t>The Integrity Commissioner is the head of the Commission</w:t>
            </w:r>
            <w:r w:rsidR="00750738">
              <w:t>, referred to in this document as ‘the Commissioner’.</w:t>
            </w:r>
          </w:p>
        </w:tc>
      </w:tr>
      <w:tr w:rsidR="008D2BEF" w14:paraId="3C804A52" w14:textId="77777777" w:rsidTr="004B66CD">
        <w:tc>
          <w:tcPr>
            <w:tcW w:w="1491" w:type="pct"/>
          </w:tcPr>
          <w:p w14:paraId="4356C1F4" w14:textId="77777777" w:rsidR="008D2BEF" w:rsidRPr="00CC5018" w:rsidRDefault="008D2BEF" w:rsidP="008D2BEF">
            <w:pPr>
              <w:jc w:val="left"/>
            </w:pPr>
            <w:r w:rsidRPr="00CC5018">
              <w:t xml:space="preserve">Investigating </w:t>
            </w:r>
            <w:r>
              <w:t>entity</w:t>
            </w:r>
          </w:p>
        </w:tc>
        <w:tc>
          <w:tcPr>
            <w:tcW w:w="3509" w:type="pct"/>
          </w:tcPr>
          <w:p w14:paraId="725B8814" w14:textId="41E487FB" w:rsidR="008D2BEF" w:rsidRPr="00CC5018" w:rsidRDefault="00010A73" w:rsidP="004B66CD">
            <w:pPr>
              <w:spacing w:after="120"/>
              <w:contextualSpacing/>
            </w:pPr>
            <w:r>
              <w:t>An i</w:t>
            </w:r>
            <w:r w:rsidR="008D2BEF" w:rsidRPr="00CC5018">
              <w:t xml:space="preserve">nvestigating </w:t>
            </w:r>
            <w:r>
              <w:t>entity is a</w:t>
            </w:r>
            <w:r w:rsidR="008D2BEF" w:rsidRPr="00CC5018">
              <w:t xml:space="preserve"> </w:t>
            </w:r>
            <w:r w:rsidR="008D2BEF">
              <w:t>public sector</w:t>
            </w:r>
            <w:r w:rsidR="008D2BEF" w:rsidRPr="00CC5018">
              <w:t xml:space="preserve"> entity which </w:t>
            </w:r>
            <w:r w:rsidR="008D2BEF">
              <w:t>investigate</w:t>
            </w:r>
            <w:r>
              <w:t>s</w:t>
            </w:r>
            <w:r w:rsidR="008D2BEF">
              <w:t xml:space="preserve"> disclosures</w:t>
            </w:r>
            <w:r>
              <w:t xml:space="preserve"> which the Commission has assessed as qualifying as a PID</w:t>
            </w:r>
            <w:r w:rsidR="008D2BEF">
              <w:t>.</w:t>
            </w:r>
          </w:p>
        </w:tc>
      </w:tr>
      <w:tr w:rsidR="008D2BEF" w14:paraId="4BBE6F79" w14:textId="77777777" w:rsidTr="004B66CD">
        <w:tc>
          <w:tcPr>
            <w:tcW w:w="1491" w:type="pct"/>
          </w:tcPr>
          <w:p w14:paraId="20B00ABA" w14:textId="77777777" w:rsidR="008D2BEF" w:rsidRDefault="008D2BEF" w:rsidP="008D2BEF">
            <w:pPr>
              <w:jc w:val="left"/>
            </w:pPr>
            <w:r>
              <w:t>Legislative Assembly entity</w:t>
            </w:r>
          </w:p>
        </w:tc>
        <w:tc>
          <w:tcPr>
            <w:tcW w:w="3509" w:type="pct"/>
          </w:tcPr>
          <w:p w14:paraId="1C983A5E" w14:textId="2066D900" w:rsidR="008D2BEF" w:rsidRDefault="008D2BEF" w:rsidP="004B66CD">
            <w:pPr>
              <w:spacing w:after="120"/>
              <w:contextualSpacing/>
            </w:pPr>
            <w:r>
              <w:t xml:space="preserve">A Legislative Assembly </w:t>
            </w:r>
            <w:r w:rsidR="00750738">
              <w:t>e</w:t>
            </w:r>
            <w:r>
              <w:t>ntity is any of the following:</w:t>
            </w:r>
          </w:p>
          <w:p w14:paraId="1703F5DA" w14:textId="77777777" w:rsidR="008D2BEF" w:rsidRDefault="008D2BEF" w:rsidP="004B66CD">
            <w:pPr>
              <w:pStyle w:val="ListParagraph"/>
              <w:numPr>
                <w:ilvl w:val="0"/>
                <w:numId w:val="40"/>
              </w:numPr>
              <w:spacing w:after="120"/>
            </w:pPr>
            <w:r>
              <w:t>a member of the Legislative Assembly;</w:t>
            </w:r>
          </w:p>
          <w:p w14:paraId="0DFB6D89" w14:textId="77777777" w:rsidR="008D2BEF" w:rsidRDefault="008D2BEF" w:rsidP="004B66CD">
            <w:pPr>
              <w:pStyle w:val="ListParagraph"/>
              <w:numPr>
                <w:ilvl w:val="0"/>
                <w:numId w:val="40"/>
              </w:numPr>
              <w:spacing w:after="120"/>
            </w:pPr>
            <w:r>
              <w:t>the Office of the Legislative Assembly;</w:t>
            </w:r>
          </w:p>
          <w:p w14:paraId="01A5E33C" w14:textId="6A21EB7F" w:rsidR="008D2BEF" w:rsidRDefault="008D2BEF" w:rsidP="004B66CD">
            <w:pPr>
              <w:pStyle w:val="ListParagraph"/>
              <w:numPr>
                <w:ilvl w:val="0"/>
                <w:numId w:val="40"/>
              </w:numPr>
              <w:spacing w:after="120"/>
            </w:pPr>
            <w:r>
              <w:t xml:space="preserve">a person employed under the </w:t>
            </w:r>
            <w:r w:rsidRPr="00750738">
              <w:rPr>
                <w:i/>
                <w:iCs/>
              </w:rPr>
              <w:t>Legislative Assembly (Members' Staff) Act 1989</w:t>
            </w:r>
            <w:r w:rsidR="00750738">
              <w:t xml:space="preserve"> (ACT)</w:t>
            </w:r>
            <w:r>
              <w:t>; or</w:t>
            </w:r>
          </w:p>
          <w:p w14:paraId="540B2CB1" w14:textId="77777777" w:rsidR="008D2BEF" w:rsidRDefault="008D2BEF" w:rsidP="004B66CD">
            <w:pPr>
              <w:pStyle w:val="ListParagraph"/>
              <w:numPr>
                <w:ilvl w:val="0"/>
                <w:numId w:val="40"/>
              </w:numPr>
              <w:spacing w:after="120"/>
            </w:pPr>
            <w:r>
              <w:t>an officer of the Assembly.</w:t>
            </w:r>
          </w:p>
        </w:tc>
      </w:tr>
      <w:tr w:rsidR="008D2BEF" w14:paraId="658B45E3" w14:textId="77777777" w:rsidTr="004B66CD">
        <w:tc>
          <w:tcPr>
            <w:tcW w:w="1491" w:type="pct"/>
          </w:tcPr>
          <w:p w14:paraId="63C74CD9" w14:textId="77777777" w:rsidR="008D2BEF" w:rsidRPr="00D22CC3" w:rsidRDefault="008D2BEF" w:rsidP="008D2BEF">
            <w:pPr>
              <w:jc w:val="left"/>
            </w:pPr>
            <w:r>
              <w:lastRenderedPageBreak/>
              <w:t>Member of the Legislative Assembly (‘</w:t>
            </w:r>
            <w:r>
              <w:rPr>
                <w:b/>
                <w:bCs/>
              </w:rPr>
              <w:t>MLA</w:t>
            </w:r>
            <w:r>
              <w:t>’)</w:t>
            </w:r>
          </w:p>
        </w:tc>
        <w:tc>
          <w:tcPr>
            <w:tcW w:w="3509" w:type="pct"/>
          </w:tcPr>
          <w:p w14:paraId="6FDBFD24" w14:textId="52374774" w:rsidR="008D2BEF" w:rsidRDefault="00010A73" w:rsidP="004B66CD">
            <w:pPr>
              <w:spacing w:after="120"/>
              <w:contextualSpacing/>
            </w:pPr>
            <w:r>
              <w:t>An e</w:t>
            </w:r>
            <w:r w:rsidR="008D2BEF">
              <w:t>lected representative sitting in the ACT Legislative Assembly</w:t>
            </w:r>
            <w:r>
              <w:t>.</w:t>
            </w:r>
          </w:p>
        </w:tc>
      </w:tr>
      <w:tr w:rsidR="008D2BEF" w14:paraId="09495631" w14:textId="77777777" w:rsidTr="004B66CD">
        <w:tc>
          <w:tcPr>
            <w:tcW w:w="1491" w:type="pct"/>
          </w:tcPr>
          <w:p w14:paraId="2B050064" w14:textId="77777777" w:rsidR="008D2BEF" w:rsidRDefault="008D2BEF" w:rsidP="008D2BEF">
            <w:pPr>
              <w:jc w:val="left"/>
            </w:pPr>
            <w:r>
              <w:t>Procedural fairness</w:t>
            </w:r>
          </w:p>
        </w:tc>
        <w:tc>
          <w:tcPr>
            <w:tcW w:w="3509" w:type="pct"/>
          </w:tcPr>
          <w:p w14:paraId="79ECB785" w14:textId="5876EF02" w:rsidR="008D2BEF" w:rsidRDefault="0088362F" w:rsidP="004B66CD">
            <w:pPr>
              <w:spacing w:after="120"/>
              <w:contextualSpacing/>
            </w:pPr>
            <w:r>
              <w:t>‘</w:t>
            </w:r>
            <w:r w:rsidR="008D2BEF" w:rsidRPr="005D431A">
              <w:t>Procedural fairness’ means acting fairly in administrative decision making. It relates to the fairness of the procedure by which a decision is made, and not the fairness in a substantive sense of that decision.</w:t>
            </w:r>
            <w:r w:rsidR="008D2BEF">
              <w:rPr>
                <w:rStyle w:val="FootnoteReference"/>
              </w:rPr>
              <w:footnoteReference w:id="1"/>
            </w:r>
            <w:r w:rsidR="008D2BEF">
              <w:t xml:space="preserve"> Generally, this means providing to people against whom adverse findings </w:t>
            </w:r>
            <w:r w:rsidR="00750738">
              <w:t>may</w:t>
            </w:r>
            <w:r w:rsidR="008D2BEF">
              <w:t xml:space="preserve"> be made </w:t>
            </w:r>
            <w:r w:rsidR="00750738">
              <w:t xml:space="preserve">an </w:t>
            </w:r>
            <w:r w:rsidR="008D2BEF">
              <w:t>opportunity to be heard.</w:t>
            </w:r>
          </w:p>
        </w:tc>
      </w:tr>
      <w:tr w:rsidR="00EE69D9" w14:paraId="1F320454" w14:textId="77777777" w:rsidTr="004B66CD">
        <w:tc>
          <w:tcPr>
            <w:tcW w:w="1491" w:type="pct"/>
          </w:tcPr>
          <w:p w14:paraId="243F6055" w14:textId="5DAA88F7" w:rsidR="00EE69D9" w:rsidRDefault="00EE69D9" w:rsidP="008D2BEF">
            <w:pPr>
              <w:jc w:val="left"/>
            </w:pPr>
            <w:r>
              <w:t>Protected information</w:t>
            </w:r>
          </w:p>
        </w:tc>
        <w:tc>
          <w:tcPr>
            <w:tcW w:w="3509" w:type="pct"/>
          </w:tcPr>
          <w:p w14:paraId="2E5F75AC" w14:textId="6E3C984D" w:rsidR="00EE69D9" w:rsidRDefault="0095686F" w:rsidP="004B66CD">
            <w:pPr>
              <w:spacing w:after="120"/>
              <w:contextualSpacing/>
            </w:pPr>
            <w:r w:rsidRPr="0095686F">
              <w:t>Protected information is information obtained through the exercise of a function under the PID Act.</w:t>
            </w:r>
          </w:p>
        </w:tc>
      </w:tr>
      <w:tr w:rsidR="008D2BEF" w14:paraId="2F08C8C7" w14:textId="77777777" w:rsidTr="004B66CD">
        <w:tc>
          <w:tcPr>
            <w:tcW w:w="1491" w:type="pct"/>
          </w:tcPr>
          <w:p w14:paraId="5D7C466E" w14:textId="77777777" w:rsidR="008D2BEF" w:rsidRPr="008661D4" w:rsidRDefault="008D2BEF" w:rsidP="008D2BEF">
            <w:pPr>
              <w:jc w:val="left"/>
            </w:pPr>
            <w:r>
              <w:t>Public Interest Disclosure (‘</w:t>
            </w:r>
            <w:r>
              <w:rPr>
                <w:b/>
                <w:bCs/>
              </w:rPr>
              <w:t>PID</w:t>
            </w:r>
            <w:r>
              <w:t>’)</w:t>
            </w:r>
          </w:p>
        </w:tc>
        <w:tc>
          <w:tcPr>
            <w:tcW w:w="3509" w:type="pct"/>
          </w:tcPr>
          <w:p w14:paraId="03A6BF62" w14:textId="77777777" w:rsidR="008D2BEF" w:rsidRDefault="008D2BEF" w:rsidP="004B66CD">
            <w:pPr>
              <w:spacing w:after="120"/>
              <w:contextualSpacing/>
            </w:pPr>
            <w:r>
              <w:t>A PID is a special type of complaint relating to maladministration or threats to public health or safety, or the environment.</w:t>
            </w:r>
          </w:p>
        </w:tc>
      </w:tr>
      <w:tr w:rsidR="008D2BEF" w14:paraId="4550015E" w14:textId="77777777" w:rsidTr="004B66CD">
        <w:tc>
          <w:tcPr>
            <w:tcW w:w="1491" w:type="pct"/>
          </w:tcPr>
          <w:p w14:paraId="7F0B3A47" w14:textId="77777777" w:rsidR="008D2BEF" w:rsidRDefault="008D2BEF" w:rsidP="008D2BEF">
            <w:r>
              <w:t>Public official</w:t>
            </w:r>
          </w:p>
        </w:tc>
        <w:tc>
          <w:tcPr>
            <w:tcW w:w="3509" w:type="pct"/>
          </w:tcPr>
          <w:p w14:paraId="6CC7BAA3" w14:textId="43A52229" w:rsidR="008D2BEF" w:rsidRDefault="008D2BEF" w:rsidP="004B66CD">
            <w:pPr>
              <w:spacing w:after="120"/>
              <w:contextualSpacing/>
            </w:pPr>
            <w:r>
              <w:t>A</w:t>
            </w:r>
            <w:r w:rsidRPr="002620CD">
              <w:t xml:space="preserve"> person who is or has been an employee of a public sector entity; or a contractor, employee of a contractor</w:t>
            </w:r>
            <w:r>
              <w:t>,</w:t>
            </w:r>
            <w:r w:rsidRPr="002620CD">
              <w:t xml:space="preserve"> or volunteer exercising a function of </w:t>
            </w:r>
            <w:r w:rsidR="00750738">
              <w:t>a</w:t>
            </w:r>
            <w:r w:rsidRPr="002620CD">
              <w:t xml:space="preserve"> public sector entity</w:t>
            </w:r>
            <w:r>
              <w:t>.</w:t>
            </w:r>
          </w:p>
        </w:tc>
      </w:tr>
      <w:tr w:rsidR="008D2BEF" w14:paraId="7D805FD9" w14:textId="77777777" w:rsidTr="004B66CD">
        <w:tc>
          <w:tcPr>
            <w:tcW w:w="1491" w:type="pct"/>
          </w:tcPr>
          <w:p w14:paraId="29513A42" w14:textId="77777777" w:rsidR="008D2BEF" w:rsidRDefault="008D2BEF" w:rsidP="008D2BEF">
            <w:pPr>
              <w:jc w:val="left"/>
            </w:pPr>
            <w:r>
              <w:t>Public sector entity</w:t>
            </w:r>
          </w:p>
        </w:tc>
        <w:tc>
          <w:tcPr>
            <w:tcW w:w="3509" w:type="pct"/>
          </w:tcPr>
          <w:p w14:paraId="2C34B7EA" w14:textId="77777777" w:rsidR="008D2BEF" w:rsidRDefault="008D2BEF" w:rsidP="004B66CD">
            <w:pPr>
              <w:spacing w:after="120"/>
              <w:contextualSpacing/>
            </w:pPr>
            <w:r>
              <w:t>Either a Legislative Assembly entity or an ACTPS entity.</w:t>
            </w:r>
          </w:p>
        </w:tc>
      </w:tr>
      <w:tr w:rsidR="008D2BEF" w14:paraId="14E59B94" w14:textId="77777777" w:rsidTr="004B66CD">
        <w:tc>
          <w:tcPr>
            <w:tcW w:w="1491" w:type="pct"/>
          </w:tcPr>
          <w:p w14:paraId="40EA11DA" w14:textId="77777777" w:rsidR="008D2BEF" w:rsidRDefault="008D2BEF" w:rsidP="008D2BEF">
            <w:r>
              <w:t>Receiving officer</w:t>
            </w:r>
          </w:p>
        </w:tc>
        <w:tc>
          <w:tcPr>
            <w:tcW w:w="3509" w:type="pct"/>
          </w:tcPr>
          <w:p w14:paraId="6EBBA226" w14:textId="77777777" w:rsidR="008D2BEF" w:rsidRDefault="008D2BEF" w:rsidP="004B66CD">
            <w:pPr>
              <w:spacing w:after="120"/>
              <w:contextualSpacing/>
            </w:pPr>
            <w:r>
              <w:t>An aggregate term describing officials who are in receipt of disclosures. Receiving officers include:</w:t>
            </w:r>
          </w:p>
          <w:p w14:paraId="2F48705C" w14:textId="77777777" w:rsidR="008D2BEF" w:rsidRDefault="008D2BEF" w:rsidP="004B66CD">
            <w:pPr>
              <w:pStyle w:val="ListParagraph"/>
              <w:numPr>
                <w:ilvl w:val="0"/>
                <w:numId w:val="20"/>
              </w:numPr>
              <w:spacing w:after="120"/>
            </w:pPr>
            <w:r>
              <w:t>disclosure officers;</w:t>
            </w:r>
          </w:p>
          <w:p w14:paraId="090B4A46" w14:textId="77777777" w:rsidR="008D2BEF" w:rsidRDefault="008D2BEF" w:rsidP="004B66CD">
            <w:pPr>
              <w:pStyle w:val="ListParagraph"/>
              <w:numPr>
                <w:ilvl w:val="0"/>
                <w:numId w:val="20"/>
              </w:numPr>
              <w:spacing w:after="120"/>
            </w:pPr>
            <w:r>
              <w:t>managers and supervisors;</w:t>
            </w:r>
          </w:p>
          <w:p w14:paraId="112D1289" w14:textId="4A1454E5" w:rsidR="008D2BEF" w:rsidRDefault="008D2BEF" w:rsidP="004B66CD">
            <w:pPr>
              <w:pStyle w:val="ListParagraph"/>
              <w:numPr>
                <w:ilvl w:val="0"/>
                <w:numId w:val="20"/>
              </w:numPr>
              <w:spacing w:after="120"/>
            </w:pPr>
            <w:r>
              <w:t xml:space="preserve">officials whose area of functional responsibility concerns the subject of the disclosure; </w:t>
            </w:r>
            <w:r w:rsidR="00750738">
              <w:t>and</w:t>
            </w:r>
          </w:p>
          <w:p w14:paraId="092CC09A" w14:textId="77777777" w:rsidR="008D2BEF" w:rsidRDefault="008D2BEF" w:rsidP="004B66CD">
            <w:pPr>
              <w:pStyle w:val="ListParagraph"/>
              <w:numPr>
                <w:ilvl w:val="0"/>
                <w:numId w:val="20"/>
              </w:numPr>
              <w:spacing w:after="120"/>
            </w:pPr>
            <w:r>
              <w:t>any other party whom the PID Act describes as being competent to receive disclosures.</w:t>
            </w:r>
          </w:p>
        </w:tc>
      </w:tr>
      <w:tr w:rsidR="008D2BEF" w14:paraId="35A98741" w14:textId="77777777" w:rsidTr="004B66CD">
        <w:trPr>
          <w:trHeight w:val="826"/>
        </w:trPr>
        <w:tc>
          <w:tcPr>
            <w:tcW w:w="1491" w:type="pct"/>
          </w:tcPr>
          <w:p w14:paraId="478E491E" w14:textId="77777777" w:rsidR="008D2BEF" w:rsidRDefault="008D2BEF" w:rsidP="008D2BEF">
            <w:r>
              <w:t>Respondent</w:t>
            </w:r>
          </w:p>
        </w:tc>
        <w:tc>
          <w:tcPr>
            <w:tcW w:w="3509" w:type="pct"/>
          </w:tcPr>
          <w:p w14:paraId="3897E143" w14:textId="77777777" w:rsidR="008D2BEF" w:rsidRDefault="008D2BEF" w:rsidP="004B66CD">
            <w:pPr>
              <w:spacing w:after="120"/>
              <w:contextualSpacing/>
            </w:pPr>
            <w:r>
              <w:t>A person against whom allegations are made (ie the person who is alleged to be responsible for the wrongdoing). They are called a respondent because they must respond to the allegations put to them.</w:t>
            </w:r>
          </w:p>
        </w:tc>
      </w:tr>
      <w:tr w:rsidR="008D2BEF" w14:paraId="742EEB57" w14:textId="77777777" w:rsidTr="004B66CD">
        <w:tc>
          <w:tcPr>
            <w:tcW w:w="1491" w:type="pct"/>
          </w:tcPr>
          <w:p w14:paraId="43B6A021" w14:textId="77777777" w:rsidR="008D2BEF" w:rsidRDefault="008D2BEF" w:rsidP="008D2BEF">
            <w:pPr>
              <w:jc w:val="left"/>
            </w:pPr>
            <w:r w:rsidRPr="007B4B94">
              <w:t>Senior Executives with Responsibility for Business Integrity and Risk (</w:t>
            </w:r>
            <w:r>
              <w:t>‘</w:t>
            </w:r>
            <w:r w:rsidRPr="00FD0463">
              <w:rPr>
                <w:b/>
                <w:bCs/>
              </w:rPr>
              <w:t>SERBIR</w:t>
            </w:r>
            <w:r>
              <w:t>’</w:t>
            </w:r>
            <w:r w:rsidRPr="007B4B94">
              <w:t>)</w:t>
            </w:r>
          </w:p>
        </w:tc>
        <w:tc>
          <w:tcPr>
            <w:tcW w:w="3509" w:type="pct"/>
          </w:tcPr>
          <w:p w14:paraId="5029F1D2" w14:textId="1A5565F4" w:rsidR="008D2BEF" w:rsidRDefault="008D2BEF" w:rsidP="004B66CD">
            <w:pPr>
              <w:spacing w:after="120"/>
              <w:contextualSpacing/>
            </w:pPr>
            <w:r>
              <w:t>S</w:t>
            </w:r>
            <w:r w:rsidRPr="002620CD">
              <w:t>enior executives who are</w:t>
            </w:r>
            <w:r>
              <w:t xml:space="preserve"> </w:t>
            </w:r>
            <w:r w:rsidRPr="002620CD">
              <w:t>tasked with upholding and managing risks to public sector integrity</w:t>
            </w:r>
            <w:r w:rsidR="0088362F">
              <w:t>.</w:t>
            </w:r>
          </w:p>
        </w:tc>
      </w:tr>
      <w:tr w:rsidR="008D2BEF" w14:paraId="4736502B" w14:textId="77777777" w:rsidTr="004B66CD">
        <w:tc>
          <w:tcPr>
            <w:tcW w:w="1491" w:type="pct"/>
          </w:tcPr>
          <w:p w14:paraId="47075194" w14:textId="77777777" w:rsidR="008D2BEF" w:rsidRDefault="008D2BEF" w:rsidP="008D2BEF">
            <w:r>
              <w:t>Third parties</w:t>
            </w:r>
          </w:p>
        </w:tc>
        <w:tc>
          <w:tcPr>
            <w:tcW w:w="3509" w:type="pct"/>
          </w:tcPr>
          <w:p w14:paraId="7ED18709" w14:textId="593505C0" w:rsidR="008D2BEF" w:rsidRDefault="008D2BEF" w:rsidP="004B66CD">
            <w:pPr>
              <w:spacing w:after="120"/>
              <w:contextualSpacing/>
            </w:pPr>
            <w:r>
              <w:t>Members of the Legislative Assembly or journalists</w:t>
            </w:r>
            <w:r w:rsidR="0088362F">
              <w:t>.</w:t>
            </w:r>
          </w:p>
        </w:tc>
      </w:tr>
      <w:tr w:rsidR="008D2BEF" w14:paraId="36ADD304" w14:textId="77777777" w:rsidTr="004B66CD">
        <w:tc>
          <w:tcPr>
            <w:tcW w:w="1491" w:type="pct"/>
          </w:tcPr>
          <w:p w14:paraId="09AE4AAE" w14:textId="77777777" w:rsidR="008D2BEF" w:rsidRDefault="008D2BEF" w:rsidP="008D2BEF">
            <w:r>
              <w:t>Whistle-blowers</w:t>
            </w:r>
          </w:p>
        </w:tc>
        <w:tc>
          <w:tcPr>
            <w:tcW w:w="3509" w:type="pct"/>
          </w:tcPr>
          <w:p w14:paraId="7E73AC81" w14:textId="77777777" w:rsidR="008D2BEF" w:rsidRDefault="008D2BEF" w:rsidP="004B66CD">
            <w:pPr>
              <w:spacing w:after="120"/>
              <w:contextualSpacing/>
            </w:pPr>
            <w:r>
              <w:t>Colloquial term used to describe disclosers.</w:t>
            </w:r>
          </w:p>
        </w:tc>
      </w:tr>
    </w:tbl>
    <w:p w14:paraId="557804EB" w14:textId="77777777" w:rsidR="00DC1211" w:rsidRDefault="00DC1211" w:rsidP="00B609D5">
      <w:pPr>
        <w:sectPr w:rsidR="00DC1211" w:rsidSect="00240DCD">
          <w:pgSz w:w="11906" w:h="16838"/>
          <w:pgMar w:top="1440" w:right="1440" w:bottom="1440" w:left="1440" w:header="708" w:footer="708" w:gutter="0"/>
          <w:cols w:space="708"/>
          <w:titlePg/>
          <w:docGrid w:linePitch="360"/>
        </w:sectPr>
      </w:pPr>
    </w:p>
    <w:p w14:paraId="5D59AF58" w14:textId="0A04E269" w:rsidR="00985676" w:rsidRDefault="00985676" w:rsidP="007247D1">
      <w:pPr>
        <w:pStyle w:val="Heading1"/>
      </w:pPr>
      <w:bookmarkStart w:id="5" w:name="_Related_material"/>
      <w:bookmarkStart w:id="6" w:name="_Toc67903959"/>
      <w:bookmarkStart w:id="7" w:name="_Toc75255137"/>
      <w:bookmarkStart w:id="8" w:name="_Ref57126278"/>
      <w:bookmarkEnd w:id="5"/>
      <w:r>
        <w:lastRenderedPageBreak/>
        <w:t xml:space="preserve">An overview of the </w:t>
      </w:r>
      <w:r w:rsidR="008661D4">
        <w:t>PID</w:t>
      </w:r>
      <w:r>
        <w:t xml:space="preserve"> scheme</w:t>
      </w:r>
      <w:bookmarkEnd w:id="6"/>
      <w:bookmarkEnd w:id="7"/>
    </w:p>
    <w:p w14:paraId="77847FCB" w14:textId="604555A6" w:rsidR="0088362F" w:rsidRDefault="0088362F" w:rsidP="00C62262">
      <w:r>
        <w:t>The Commission is required to make guidelines about the investigation of PIDs and the way in which disclosures under the PID Act are dealt with by public sector entities, members of the Legislative Assembly and journalists</w:t>
      </w:r>
      <w:r w:rsidR="008A7FDA">
        <w:t>. These guidelines deal with the former; it is envisaged that guidelines concerning the latter will shortly be issued.</w:t>
      </w:r>
    </w:p>
    <w:p w14:paraId="6A197ECB" w14:textId="21299860" w:rsidR="003A6F98" w:rsidRPr="00CA19BB" w:rsidRDefault="003A6F98" w:rsidP="00C62262">
      <w:r>
        <w:t xml:space="preserve">The following section provides a brief overview of the </w:t>
      </w:r>
      <w:r w:rsidR="005C1A71">
        <w:t xml:space="preserve">PID </w:t>
      </w:r>
      <w:r>
        <w:t xml:space="preserve">Act and how it operates. </w:t>
      </w:r>
      <w:r w:rsidR="00584931">
        <w:t xml:space="preserve">A short outline of the Commission’s role under the PID Act is also provided. </w:t>
      </w:r>
      <w:r>
        <w:t xml:space="preserve">These concepts </w:t>
      </w:r>
      <w:r w:rsidR="004609A2">
        <w:t>are more fully explored in the Commission’s</w:t>
      </w:r>
      <w:r w:rsidR="00802E70">
        <w:t xml:space="preserve"> </w:t>
      </w:r>
      <w:r w:rsidR="004609A2">
        <w:t xml:space="preserve">related materials which </w:t>
      </w:r>
      <w:r w:rsidR="00B60A24">
        <w:t xml:space="preserve">are </w:t>
      </w:r>
      <w:r w:rsidR="004609A2">
        <w:t xml:space="preserve">for the benefit of disclosers and </w:t>
      </w:r>
      <w:r w:rsidR="00D22CC3">
        <w:t>MLAs</w:t>
      </w:r>
      <w:r w:rsidR="004609A2">
        <w:t xml:space="preserve"> (see</w:t>
      </w:r>
      <w:r w:rsidR="0007570C">
        <w:t xml:space="preserve"> </w:t>
      </w:r>
      <w:r w:rsidR="0007570C" w:rsidRPr="0007570C">
        <w:rPr>
          <w:b/>
          <w:bCs/>
        </w:rPr>
        <w:fldChar w:fldCharType="begin"/>
      </w:r>
      <w:r w:rsidR="0007570C" w:rsidRPr="0007570C">
        <w:rPr>
          <w:b/>
          <w:bCs/>
        </w:rPr>
        <w:instrText xml:space="preserve"> REF _Ref65657123 \h </w:instrText>
      </w:r>
      <w:r w:rsidR="0007570C">
        <w:rPr>
          <w:b/>
          <w:bCs/>
        </w:rPr>
        <w:instrText xml:space="preserve"> \* MERGEFORMAT </w:instrText>
      </w:r>
      <w:r w:rsidR="0007570C" w:rsidRPr="0007570C">
        <w:rPr>
          <w:b/>
          <w:bCs/>
        </w:rPr>
      </w:r>
      <w:r w:rsidR="0007570C" w:rsidRPr="0007570C">
        <w:rPr>
          <w:b/>
          <w:bCs/>
        </w:rPr>
        <w:fldChar w:fldCharType="separate"/>
      </w:r>
      <w:r w:rsidR="00245E6D" w:rsidRPr="00245E6D">
        <w:rPr>
          <w:b/>
          <w:bCs/>
        </w:rPr>
        <w:t>Related material</w:t>
      </w:r>
      <w:r w:rsidR="0007570C" w:rsidRPr="0007570C">
        <w:rPr>
          <w:b/>
          <w:bCs/>
        </w:rPr>
        <w:fldChar w:fldCharType="end"/>
      </w:r>
      <w:r w:rsidR="00CA19BB">
        <w:t>).</w:t>
      </w:r>
    </w:p>
    <w:p w14:paraId="5847DAE4" w14:textId="77777777" w:rsidR="00F46B93" w:rsidRDefault="00F46B93" w:rsidP="007247D1">
      <w:pPr>
        <w:pStyle w:val="Heading2"/>
      </w:pPr>
      <w:bookmarkStart w:id="9" w:name="_Toc57188845"/>
      <w:bookmarkStart w:id="10" w:name="_Ref66728207"/>
      <w:bookmarkStart w:id="11" w:name="_Toc67903960"/>
      <w:bookmarkStart w:id="12" w:name="_Toc75255138"/>
      <w:r>
        <w:t xml:space="preserve">The role of the </w:t>
      </w:r>
      <w:bookmarkEnd w:id="9"/>
      <w:r>
        <w:t>Commission</w:t>
      </w:r>
      <w:bookmarkEnd w:id="10"/>
      <w:bookmarkEnd w:id="11"/>
      <w:bookmarkEnd w:id="12"/>
    </w:p>
    <w:p w14:paraId="57A54055" w14:textId="444BF11F" w:rsidR="00F46B93" w:rsidRDefault="00F46B93" w:rsidP="00F46B93">
      <w:r>
        <w:t>The Commission’s primary functions under the PID Act are</w:t>
      </w:r>
      <w:r w:rsidR="00EE69D9">
        <w:t xml:space="preserve"> to</w:t>
      </w:r>
      <w:r>
        <w:t>:</w:t>
      </w:r>
    </w:p>
    <w:p w14:paraId="303171C5" w14:textId="023581D2" w:rsidR="004B6541" w:rsidRDefault="004B6541" w:rsidP="00F46B93">
      <w:pPr>
        <w:pStyle w:val="ListParagraph"/>
        <w:numPr>
          <w:ilvl w:val="0"/>
          <w:numId w:val="5"/>
        </w:numPr>
      </w:pPr>
      <w:r>
        <w:t>make procedures for dealing with PID Act disclosures</w:t>
      </w:r>
      <w:r w:rsidR="008A7FDA">
        <w:t>;</w:t>
      </w:r>
      <w:r w:rsidR="008A7FDA" w:rsidRPr="008A7FDA">
        <w:rPr>
          <w:rStyle w:val="FootnoteReference"/>
        </w:rPr>
        <w:t xml:space="preserve"> </w:t>
      </w:r>
      <w:r w:rsidR="008A7FDA">
        <w:rPr>
          <w:rStyle w:val="FootnoteReference"/>
        </w:rPr>
        <w:footnoteReference w:id="2"/>
      </w:r>
    </w:p>
    <w:p w14:paraId="79A1DF1B" w14:textId="535D8D9D" w:rsidR="00F46B93" w:rsidRDefault="00EE69D9" w:rsidP="00F46B93">
      <w:pPr>
        <w:pStyle w:val="ListParagraph"/>
        <w:numPr>
          <w:ilvl w:val="0"/>
          <w:numId w:val="5"/>
        </w:numPr>
      </w:pPr>
      <w:r>
        <w:t xml:space="preserve">decide </w:t>
      </w:r>
      <w:r w:rsidR="00F46B93">
        <w:t xml:space="preserve">whether a disclosure qualifies as a PID; </w:t>
      </w:r>
      <w:r w:rsidR="008A7FDA">
        <w:t>and</w:t>
      </w:r>
    </w:p>
    <w:p w14:paraId="51F91408" w14:textId="6911EC3B" w:rsidR="00F46B93" w:rsidRDefault="00F46B93" w:rsidP="00F46B93">
      <w:pPr>
        <w:pStyle w:val="ListParagraph"/>
        <w:numPr>
          <w:ilvl w:val="0"/>
          <w:numId w:val="5"/>
        </w:numPr>
      </w:pPr>
      <w:r>
        <w:t>where a disclosure does qualif</w:t>
      </w:r>
      <w:r w:rsidR="008A7FDA">
        <w:t>y</w:t>
      </w:r>
      <w:r>
        <w:t xml:space="preserve"> as a PID, </w:t>
      </w:r>
      <w:r w:rsidR="00441929">
        <w:t xml:space="preserve">decide </w:t>
      </w:r>
      <w:r>
        <w:t>which public sector entity (including the Commission) is best placed to investigate it</w:t>
      </w:r>
      <w:r w:rsidR="008A7FDA">
        <w:t>.</w:t>
      </w:r>
    </w:p>
    <w:p w14:paraId="5B824F3F" w14:textId="28390CD5" w:rsidR="00F46B93" w:rsidRDefault="00F46B93" w:rsidP="00F46B93">
      <w:bookmarkStart w:id="13" w:name="_Hlk66454516"/>
      <w:r>
        <w:t>In addition, the Commission has an oversight function of all investigations under the PID Act and can review, at any time:</w:t>
      </w:r>
    </w:p>
    <w:p w14:paraId="312703A5" w14:textId="3DA2F66A" w:rsidR="00F46B93" w:rsidRDefault="00F46B93" w:rsidP="00F46B93">
      <w:pPr>
        <w:pStyle w:val="ListParagraph"/>
        <w:numPr>
          <w:ilvl w:val="0"/>
          <w:numId w:val="2"/>
        </w:numPr>
      </w:pPr>
      <w:r>
        <w:t xml:space="preserve">decisions to end investigations </w:t>
      </w:r>
      <w:r w:rsidR="00C1149C">
        <w:t>of disclosures</w:t>
      </w:r>
      <w:r>
        <w:t>;</w:t>
      </w:r>
      <w:r>
        <w:rPr>
          <w:rStyle w:val="FootnoteReference"/>
        </w:rPr>
        <w:footnoteReference w:id="3"/>
      </w:r>
    </w:p>
    <w:p w14:paraId="40C3B007" w14:textId="77777777" w:rsidR="00F46B93" w:rsidRDefault="00F46B93" w:rsidP="00F46B93">
      <w:pPr>
        <w:pStyle w:val="ListParagraph"/>
        <w:numPr>
          <w:ilvl w:val="0"/>
          <w:numId w:val="2"/>
        </w:numPr>
      </w:pPr>
      <w:r>
        <w:t>decisions to decline to investigate disclosures;</w:t>
      </w:r>
      <w:r>
        <w:rPr>
          <w:rStyle w:val="FootnoteReference"/>
        </w:rPr>
        <w:footnoteReference w:id="4"/>
      </w:r>
    </w:p>
    <w:p w14:paraId="2E44C347" w14:textId="350F5A6C" w:rsidR="00F46B93" w:rsidRDefault="00F46B93" w:rsidP="00F46B93">
      <w:pPr>
        <w:pStyle w:val="ListParagraph"/>
        <w:numPr>
          <w:ilvl w:val="0"/>
          <w:numId w:val="2"/>
        </w:numPr>
      </w:pPr>
      <w:r>
        <w:t>actions taken in relation to PIDs or disclosures about disclosable conduct;</w:t>
      </w:r>
      <w:r>
        <w:rPr>
          <w:rStyle w:val="FootnoteReference"/>
        </w:rPr>
        <w:footnoteReference w:id="5"/>
      </w:r>
      <w:r>
        <w:t xml:space="preserve"> </w:t>
      </w:r>
    </w:p>
    <w:p w14:paraId="1F044041" w14:textId="45D8BBD5" w:rsidR="00F46B93" w:rsidRDefault="00F46B93" w:rsidP="00F46B93">
      <w:pPr>
        <w:pStyle w:val="ListParagraph"/>
        <w:numPr>
          <w:ilvl w:val="0"/>
          <w:numId w:val="2"/>
        </w:numPr>
      </w:pPr>
      <w:r>
        <w:t>actions proposed to be taken in relation to PIDs or disclosures about disclosable conduct</w:t>
      </w:r>
      <w:r w:rsidR="00332AB7">
        <w:t>;</w:t>
      </w:r>
      <w:r w:rsidR="00332AB7" w:rsidRPr="00332AB7">
        <w:rPr>
          <w:rStyle w:val="FootnoteReference"/>
        </w:rPr>
        <w:t xml:space="preserve"> </w:t>
      </w:r>
      <w:r w:rsidR="00332AB7">
        <w:rPr>
          <w:rStyle w:val="FootnoteReference"/>
        </w:rPr>
        <w:footnoteReference w:id="6"/>
      </w:r>
      <w:r w:rsidR="00332AB7">
        <w:t xml:space="preserve"> and</w:t>
      </w:r>
    </w:p>
    <w:p w14:paraId="26AAA2C3" w14:textId="07FBEFA1" w:rsidR="00332AB7" w:rsidRDefault="00EE69D9" w:rsidP="00F46B93">
      <w:pPr>
        <w:pStyle w:val="ListParagraph"/>
        <w:numPr>
          <w:ilvl w:val="0"/>
          <w:numId w:val="2"/>
        </w:numPr>
      </w:pPr>
      <w:r>
        <w:t>measures implemented by investigating entities to protect disclosers, witnesses or respondents</w:t>
      </w:r>
      <w:r w:rsidR="00332AB7">
        <w:t>.</w:t>
      </w:r>
    </w:p>
    <w:p w14:paraId="0121BFB4" w14:textId="77777777" w:rsidR="00F46B93" w:rsidRDefault="00F46B93" w:rsidP="00F46B93">
      <w:r>
        <w:t>In reviewing such actions or decisions, the Commission can ask anyone to provide information relevant to the review, including protected information.</w:t>
      </w:r>
      <w:r>
        <w:rPr>
          <w:rStyle w:val="FootnoteReference"/>
        </w:rPr>
        <w:footnoteReference w:id="7"/>
      </w:r>
      <w:r>
        <w:t xml:space="preserve"> Public officials must comply with all requests by the Commission.</w:t>
      </w:r>
      <w:r>
        <w:rPr>
          <w:rStyle w:val="FootnoteReference"/>
        </w:rPr>
        <w:footnoteReference w:id="8"/>
      </w:r>
    </w:p>
    <w:p w14:paraId="06C417D0" w14:textId="77777777" w:rsidR="00F46B93" w:rsidRDefault="00F46B93" w:rsidP="00F46B93">
      <w:r>
        <w:t>The Commission may, following a review:</w:t>
      </w:r>
    </w:p>
    <w:p w14:paraId="2BD23B9D" w14:textId="77777777" w:rsidR="00F46B93" w:rsidRDefault="00F46B93" w:rsidP="00F46B93">
      <w:pPr>
        <w:pStyle w:val="ListParagraph"/>
        <w:numPr>
          <w:ilvl w:val="0"/>
          <w:numId w:val="2"/>
        </w:numPr>
      </w:pPr>
      <w:r>
        <w:t>amend a decision or action taken under the PID Act;</w:t>
      </w:r>
      <w:r>
        <w:rPr>
          <w:rStyle w:val="FootnoteReference"/>
        </w:rPr>
        <w:footnoteReference w:id="9"/>
      </w:r>
    </w:p>
    <w:p w14:paraId="3B45CC17" w14:textId="77777777" w:rsidR="00F46B93" w:rsidRDefault="00F46B93" w:rsidP="00F46B93">
      <w:pPr>
        <w:pStyle w:val="ListParagraph"/>
        <w:numPr>
          <w:ilvl w:val="0"/>
          <w:numId w:val="2"/>
        </w:numPr>
      </w:pPr>
      <w:r>
        <w:t>set aside a decision and substitute a new decision made under the PID Act;</w:t>
      </w:r>
      <w:r>
        <w:rPr>
          <w:rStyle w:val="FootnoteReference"/>
        </w:rPr>
        <w:footnoteReference w:id="10"/>
      </w:r>
      <w:r>
        <w:t xml:space="preserve"> or</w:t>
      </w:r>
    </w:p>
    <w:p w14:paraId="7FB36C93" w14:textId="77777777" w:rsidR="00F46B93" w:rsidRDefault="00F46B93" w:rsidP="00F46B93">
      <w:pPr>
        <w:pStyle w:val="ListParagraph"/>
        <w:numPr>
          <w:ilvl w:val="0"/>
          <w:numId w:val="2"/>
        </w:numPr>
      </w:pPr>
      <w:r>
        <w:t>take no action.</w:t>
      </w:r>
      <w:r>
        <w:rPr>
          <w:rStyle w:val="FootnoteReference"/>
        </w:rPr>
        <w:footnoteReference w:id="11"/>
      </w:r>
    </w:p>
    <w:p w14:paraId="2159403C" w14:textId="77777777" w:rsidR="00F46B93" w:rsidRDefault="00F46B93" w:rsidP="00F46B93">
      <w:r>
        <w:t>The Commission may issue directions to an official or public sector entity to take, or not take, action in respect of any disclosable conduct subject to review.</w:t>
      </w:r>
      <w:r>
        <w:rPr>
          <w:rStyle w:val="FootnoteReference"/>
        </w:rPr>
        <w:footnoteReference w:id="12"/>
      </w:r>
    </w:p>
    <w:p w14:paraId="780208F2" w14:textId="77777777" w:rsidR="00F46B93" w:rsidRDefault="00F46B93" w:rsidP="00F46B93">
      <w:r>
        <w:t>Where the Commission exercises any of the powers described above (except where the Commission chooses to take no action), the Commission must advise the discloser of the proposed action and provide reasons for the decision.</w:t>
      </w:r>
      <w:r>
        <w:rPr>
          <w:rStyle w:val="FootnoteReference"/>
        </w:rPr>
        <w:footnoteReference w:id="13"/>
      </w:r>
    </w:p>
    <w:p w14:paraId="011E333D" w14:textId="304CD3BF" w:rsidR="00F46B93" w:rsidRDefault="00F46B93" w:rsidP="00F46B93">
      <w:r>
        <w:lastRenderedPageBreak/>
        <w:t xml:space="preserve">The Commission may also prepare a report in respect of </w:t>
      </w:r>
      <w:r w:rsidR="0024575E">
        <w:t xml:space="preserve">a public sector </w:t>
      </w:r>
      <w:r>
        <w:t>entity’s handling of a PID for the</w:t>
      </w:r>
      <w:r w:rsidR="007532CF">
        <w:t xml:space="preserve"> </w:t>
      </w:r>
      <w:r>
        <w:t>Minister, who is obliged to table the report within nine sitting days of receiving it.</w:t>
      </w:r>
      <w:r>
        <w:rPr>
          <w:rStyle w:val="FootnoteReference"/>
        </w:rPr>
        <w:footnoteReference w:id="14"/>
      </w:r>
    </w:p>
    <w:p w14:paraId="7EA0606E" w14:textId="30049BF6" w:rsidR="00F46B93" w:rsidRDefault="00F46B93" w:rsidP="00F46B93">
      <w:r>
        <w:t>The Commission is also responsible for all annual reporting in respect of the PID Act.</w:t>
      </w:r>
      <w:r>
        <w:rPr>
          <w:rStyle w:val="FootnoteReference"/>
        </w:rPr>
        <w:footnoteReference w:id="15"/>
      </w:r>
      <w:r>
        <w:t xml:space="preserve"> It is also the</w:t>
      </w:r>
      <w:r w:rsidR="007532CF">
        <w:t xml:space="preserve"> </w:t>
      </w:r>
      <w:r>
        <w:t>Commission’s responsibility to publish guidelines and provide education in respect of the PID Act.</w:t>
      </w:r>
    </w:p>
    <w:p w14:paraId="4EA293A3" w14:textId="466E2A3B" w:rsidR="00C47E3E" w:rsidRDefault="00C47E3E" w:rsidP="007247D1">
      <w:pPr>
        <w:pStyle w:val="Heading2"/>
      </w:pPr>
      <w:bookmarkStart w:id="14" w:name="_Toc67903961"/>
      <w:bookmarkStart w:id="15" w:name="_Toc75255139"/>
      <w:bookmarkEnd w:id="13"/>
      <w:r>
        <w:t xml:space="preserve">What are </w:t>
      </w:r>
      <w:r w:rsidR="008661D4">
        <w:t>PID</w:t>
      </w:r>
      <w:r>
        <w:t xml:space="preserve">s </w:t>
      </w:r>
      <w:r w:rsidRPr="0087701B">
        <w:t>and</w:t>
      </w:r>
      <w:r>
        <w:t xml:space="preserve"> why do we need disclosers?</w:t>
      </w:r>
      <w:bookmarkEnd w:id="14"/>
      <w:bookmarkEnd w:id="15"/>
    </w:p>
    <w:p w14:paraId="2650B6B7" w14:textId="5E6DC171" w:rsidR="008158EF" w:rsidRDefault="008158EF" w:rsidP="008158EF">
      <w:bookmarkStart w:id="16" w:name="_Hlk62201539"/>
      <w:r>
        <w:t xml:space="preserve">PIDs are a special type of report which </w:t>
      </w:r>
      <w:r w:rsidR="00441929">
        <w:t xml:space="preserve">attracts </w:t>
      </w:r>
      <w:r>
        <w:t xml:space="preserve">protection </w:t>
      </w:r>
      <w:r w:rsidR="00441929">
        <w:t xml:space="preserve">for </w:t>
      </w:r>
      <w:r>
        <w:t xml:space="preserve">those who make them. In the ACT, when reports refer to particular subjects and make specific allegations, they may fall into this special category. People who make PIDs are called ‘disclosers’ but are more commonly known as ‘whistle-blowers’. They play a critical role in ensuring that the administration of </w:t>
      </w:r>
      <w:r w:rsidR="008A7FDA">
        <w:t>g</w:t>
      </w:r>
      <w:r>
        <w:t>overnment is transparent, and that public sector wrongdoing is investigated and corrected. It is because of this important role that laws have been made to protect them.</w:t>
      </w:r>
    </w:p>
    <w:p w14:paraId="017E5557" w14:textId="1BFC1532" w:rsidR="008158EF" w:rsidRDefault="008158EF" w:rsidP="008158EF">
      <w:r>
        <w:t>Reporting suspected wrongdoing is essential to maintaining the integrity of the functioning of the ACT</w:t>
      </w:r>
      <w:r w:rsidR="007532CF">
        <w:t xml:space="preserve"> </w:t>
      </w:r>
      <w:r>
        <w:t xml:space="preserve">Government and public service. By making </w:t>
      </w:r>
      <w:r w:rsidR="00FB1A06">
        <w:t>reports of wrongdoing</w:t>
      </w:r>
      <w:r>
        <w:t xml:space="preserve">, </w:t>
      </w:r>
      <w:r w:rsidR="00C62262">
        <w:t>disclosers</w:t>
      </w:r>
      <w:r>
        <w:t xml:space="preserve"> may help to:</w:t>
      </w:r>
    </w:p>
    <w:p w14:paraId="669C8953" w14:textId="77777777" w:rsidR="008158EF" w:rsidRDefault="008158EF" w:rsidP="008158EF">
      <w:pPr>
        <w:pStyle w:val="ListParagraph"/>
        <w:numPr>
          <w:ilvl w:val="0"/>
          <w:numId w:val="3"/>
        </w:numPr>
      </w:pPr>
      <w:r>
        <w:t>fix maladministration;</w:t>
      </w:r>
    </w:p>
    <w:p w14:paraId="1E4D2121" w14:textId="77777777" w:rsidR="008158EF" w:rsidRDefault="008158EF" w:rsidP="008158EF">
      <w:pPr>
        <w:pStyle w:val="ListParagraph"/>
        <w:numPr>
          <w:ilvl w:val="0"/>
          <w:numId w:val="3"/>
        </w:numPr>
      </w:pPr>
      <w:r>
        <w:t>prevent dangers to people or the environment;</w:t>
      </w:r>
    </w:p>
    <w:p w14:paraId="0FFCA41E" w14:textId="51B9933C" w:rsidR="008158EF" w:rsidRDefault="008158EF" w:rsidP="008158EF">
      <w:pPr>
        <w:pStyle w:val="ListParagraph"/>
        <w:numPr>
          <w:ilvl w:val="0"/>
          <w:numId w:val="3"/>
        </w:numPr>
      </w:pPr>
      <w:r>
        <w:t>improve public administration; and</w:t>
      </w:r>
    </w:p>
    <w:p w14:paraId="6A30BE0E" w14:textId="2273DC8D" w:rsidR="008158EF" w:rsidRDefault="00B60A24" w:rsidP="008158EF">
      <w:pPr>
        <w:pStyle w:val="ListParagraph"/>
        <w:numPr>
          <w:ilvl w:val="0"/>
          <w:numId w:val="3"/>
        </w:numPr>
      </w:pPr>
      <w:r>
        <w:t>bring to account</w:t>
      </w:r>
      <w:r w:rsidR="008158EF">
        <w:t xml:space="preserve"> people who have committed </w:t>
      </w:r>
      <w:r>
        <w:t xml:space="preserve">or permitted </w:t>
      </w:r>
      <w:r w:rsidR="008158EF">
        <w:t>wrongdoing.</w:t>
      </w:r>
    </w:p>
    <w:bookmarkEnd w:id="16"/>
    <w:p w14:paraId="2C4D8FFC" w14:textId="1D8C212F" w:rsidR="00F05F08" w:rsidRPr="00C47E3E" w:rsidRDefault="00FB1A06" w:rsidP="00C47E3E">
      <w:r>
        <w:t>The PID Act is not</w:t>
      </w:r>
      <w:r w:rsidR="00C47E3E">
        <w:t xml:space="preserve"> always the most appropriate mechanism by which to report or respond to alleged wrongdoing. The critical </w:t>
      </w:r>
      <w:r w:rsidR="00441929">
        <w:t xml:space="preserve">factor that </w:t>
      </w:r>
      <w:r w:rsidR="00C47E3E">
        <w:t xml:space="preserve">distinguishes a PID from other types of complaints is that </w:t>
      </w:r>
      <w:r w:rsidR="00F05F08">
        <w:t>they must concern</w:t>
      </w:r>
      <w:r w:rsidR="00C47E3E">
        <w:t xml:space="preserve"> </w:t>
      </w:r>
      <w:r w:rsidR="00D22CC3">
        <w:t>‘</w:t>
      </w:r>
      <w:r w:rsidR="00C47E3E">
        <w:t>disclosable conduct</w:t>
      </w:r>
      <w:r w:rsidR="00D22CC3">
        <w:t>’</w:t>
      </w:r>
      <w:r w:rsidR="00F05F08">
        <w:t xml:space="preserve">, which relates to substantial and specific maladministration, threats to public health or safety, or the environment. </w:t>
      </w:r>
      <w:r w:rsidR="00D22CC3">
        <w:t>D</w:t>
      </w:r>
      <w:r w:rsidR="00C47E3E">
        <w:t xml:space="preserve">isclosable conduct generally excludes industrial concerns or individual workplace grievances. </w:t>
      </w:r>
      <w:r w:rsidR="00D22CC3">
        <w:t>This</w:t>
      </w:r>
      <w:r w:rsidR="00C47E3E">
        <w:t xml:space="preserve"> typically means that the alleged conduct </w:t>
      </w:r>
      <w:r w:rsidR="00F05F08">
        <w:t>will</w:t>
      </w:r>
      <w:r w:rsidR="00C47E3E">
        <w:t xml:space="preserve"> be </w:t>
      </w:r>
      <w:r w:rsidR="00F05F08">
        <w:t>significant</w:t>
      </w:r>
      <w:r w:rsidR="001723F0">
        <w:t xml:space="preserve"> and</w:t>
      </w:r>
      <w:r w:rsidR="00664564">
        <w:t xml:space="preserve"> have an effect beyond the </w:t>
      </w:r>
      <w:r w:rsidR="00B53FAE">
        <w:t>discloser alone</w:t>
      </w:r>
      <w:r w:rsidR="00E11F97">
        <w:t>.</w:t>
      </w:r>
      <w:r w:rsidR="00F05F08">
        <w:t xml:space="preserve"> </w:t>
      </w:r>
    </w:p>
    <w:p w14:paraId="0C931E83" w14:textId="3664BD3C" w:rsidR="00C47E3E" w:rsidRDefault="002D0DB6" w:rsidP="007247D1">
      <w:pPr>
        <w:pStyle w:val="Heading2"/>
      </w:pPr>
      <w:bookmarkStart w:id="17" w:name="_Toc67903962"/>
      <w:bookmarkStart w:id="18" w:name="_Toc75255140"/>
      <w:r>
        <w:t xml:space="preserve">How are </w:t>
      </w:r>
      <w:r w:rsidR="008661D4">
        <w:t>PID</w:t>
      </w:r>
      <w:r>
        <w:t>s made?</w:t>
      </w:r>
      <w:bookmarkEnd w:id="17"/>
      <w:bookmarkEnd w:id="18"/>
    </w:p>
    <w:p w14:paraId="27981F06" w14:textId="405619C2" w:rsidR="009C70A4" w:rsidRDefault="009C70A4" w:rsidP="002D0DB6">
      <w:r>
        <w:t>A PID is a report, made by anyone,</w:t>
      </w:r>
      <w:r w:rsidR="00F05F08">
        <w:t xml:space="preserve"> not necessarily a public official,</w:t>
      </w:r>
      <w:r>
        <w:t xml:space="preserve"> regarding suspected wrongdoing in </w:t>
      </w:r>
      <w:r w:rsidR="00327BE4">
        <w:t>a</w:t>
      </w:r>
      <w:r w:rsidR="000F51C3">
        <w:t xml:space="preserve"> public sector entity</w:t>
      </w:r>
      <w:r>
        <w:t xml:space="preserve">. The Commission is responsible for determining </w:t>
      </w:r>
      <w:r w:rsidR="00DA1DB7">
        <w:t>whether a report qualifies as a PID</w:t>
      </w:r>
      <w:r>
        <w:t>.</w:t>
      </w:r>
      <w:r>
        <w:rPr>
          <w:rStyle w:val="FootnoteReference"/>
        </w:rPr>
        <w:footnoteReference w:id="16"/>
      </w:r>
    </w:p>
    <w:p w14:paraId="148E0FB7" w14:textId="2F717784" w:rsidR="007C1BB9" w:rsidRDefault="002D0DB6" w:rsidP="00474EE5">
      <w:r>
        <w:t xml:space="preserve">The elements of making a disclosure </w:t>
      </w:r>
      <w:r w:rsidR="00D22CC3">
        <w:t>under</w:t>
      </w:r>
      <w:r>
        <w:t xml:space="preserve"> the </w:t>
      </w:r>
      <w:r w:rsidR="00A63705">
        <w:t xml:space="preserve">PID </w:t>
      </w:r>
      <w:r>
        <w:t>Act are summarised below, with additional details in the pages following</w:t>
      </w:r>
      <w:r w:rsidR="00370F9F">
        <w:t xml:space="preserve"> (see </w:t>
      </w:r>
      <w:r w:rsidR="00370F9F" w:rsidRPr="00370F9F">
        <w:rPr>
          <w:b/>
          <w:bCs/>
        </w:rPr>
        <w:fldChar w:fldCharType="begin"/>
      </w:r>
      <w:r w:rsidR="00370F9F" w:rsidRPr="00370F9F">
        <w:rPr>
          <w:b/>
          <w:bCs/>
        </w:rPr>
        <w:instrText xml:space="preserve"> REF _Ref73459643 \h </w:instrText>
      </w:r>
      <w:r w:rsidR="00370F9F">
        <w:rPr>
          <w:b/>
          <w:bCs/>
        </w:rPr>
        <w:instrText xml:space="preserve"> \* MERGEFORMAT </w:instrText>
      </w:r>
      <w:r w:rsidR="00370F9F" w:rsidRPr="00370F9F">
        <w:rPr>
          <w:b/>
          <w:bCs/>
        </w:rPr>
      </w:r>
      <w:r w:rsidR="00370F9F" w:rsidRPr="00370F9F">
        <w:rPr>
          <w:b/>
          <w:bCs/>
        </w:rPr>
        <w:fldChar w:fldCharType="separate"/>
      </w:r>
      <w:r w:rsidR="00245E6D" w:rsidRPr="00245E6D">
        <w:rPr>
          <w:b/>
          <w:bCs/>
        </w:rPr>
        <w:t>Does the disclosure need to be in writing?</w:t>
      </w:r>
      <w:r w:rsidR="00370F9F" w:rsidRPr="00370F9F">
        <w:rPr>
          <w:b/>
          <w:bCs/>
        </w:rPr>
        <w:fldChar w:fldCharType="end"/>
      </w:r>
      <w:r w:rsidR="00370F9F">
        <w:t xml:space="preserve"> and </w:t>
      </w:r>
      <w:r w:rsidR="00370F9F" w:rsidRPr="00370F9F">
        <w:rPr>
          <w:b/>
          <w:bCs/>
        </w:rPr>
        <w:fldChar w:fldCharType="begin"/>
      </w:r>
      <w:r w:rsidR="00370F9F" w:rsidRPr="00370F9F">
        <w:rPr>
          <w:b/>
          <w:bCs/>
        </w:rPr>
        <w:instrText xml:space="preserve"> REF _Ref73459660 \h </w:instrText>
      </w:r>
      <w:r w:rsidR="00370F9F">
        <w:rPr>
          <w:b/>
          <w:bCs/>
        </w:rPr>
        <w:instrText xml:space="preserve"> \* MERGEFORMAT </w:instrText>
      </w:r>
      <w:r w:rsidR="00370F9F" w:rsidRPr="00370F9F">
        <w:rPr>
          <w:b/>
          <w:bCs/>
        </w:rPr>
      </w:r>
      <w:r w:rsidR="00370F9F" w:rsidRPr="00370F9F">
        <w:rPr>
          <w:b/>
          <w:bCs/>
        </w:rPr>
        <w:fldChar w:fldCharType="separate"/>
      </w:r>
      <w:r w:rsidR="00245E6D" w:rsidRPr="00245E6D">
        <w:rPr>
          <w:b/>
          <w:bCs/>
        </w:rPr>
        <w:t>What kind of report is required for a PID?</w:t>
      </w:r>
      <w:r w:rsidR="00370F9F" w:rsidRPr="00370F9F">
        <w:rPr>
          <w:b/>
          <w:bCs/>
        </w:rPr>
        <w:fldChar w:fldCharType="end"/>
      </w:r>
      <w:r w:rsidR="00370F9F">
        <w:t>).</w:t>
      </w:r>
    </w:p>
    <w:p w14:paraId="259674AD" w14:textId="77777777" w:rsidR="007C1BB9" w:rsidRDefault="007C1BB9" w:rsidP="00474EE5"/>
    <w:p w14:paraId="5708316D" w14:textId="77777777" w:rsidR="007C1BB9" w:rsidRDefault="007C1BB9" w:rsidP="00474EE5"/>
    <w:p w14:paraId="3C3B901E" w14:textId="4226F674" w:rsidR="007C1BB9" w:rsidRDefault="007C1BB9" w:rsidP="00474EE5"/>
    <w:p w14:paraId="6BC984D9" w14:textId="0121E0DB" w:rsidR="00370F9F" w:rsidRDefault="00370F9F" w:rsidP="00474EE5"/>
    <w:p w14:paraId="1D811CC9" w14:textId="0E5A4E2F" w:rsidR="00370F9F" w:rsidRDefault="00370F9F" w:rsidP="00474EE5"/>
    <w:p w14:paraId="1DBF14E7" w14:textId="36E1296E" w:rsidR="00370F9F" w:rsidRDefault="00370F9F" w:rsidP="007C1BB9">
      <w:pPr>
        <w:pStyle w:val="Caption"/>
      </w:pPr>
    </w:p>
    <w:p w14:paraId="76FF304F" w14:textId="36ED2E40" w:rsidR="005C73EB" w:rsidRDefault="005C73EB" w:rsidP="005C73EB"/>
    <w:p w14:paraId="4414284A" w14:textId="545A6CF5" w:rsidR="005C73EB" w:rsidRDefault="005C73EB" w:rsidP="005C73EB"/>
    <w:p w14:paraId="2C12D72F" w14:textId="69D5FA4B" w:rsidR="005C73EB" w:rsidRDefault="005C73EB" w:rsidP="005C73EB"/>
    <w:p w14:paraId="50EFEF61" w14:textId="77777777" w:rsidR="005C73EB" w:rsidRPr="005C73EB" w:rsidRDefault="005C73EB" w:rsidP="005C73EB"/>
    <w:p w14:paraId="6ACC272D" w14:textId="22493F08" w:rsidR="007C1BB9" w:rsidRDefault="007C1BB9" w:rsidP="007C1BB9">
      <w:pPr>
        <w:pStyle w:val="Caption"/>
      </w:pPr>
      <w:r>
        <w:lastRenderedPageBreak/>
        <w:t xml:space="preserve">Table </w:t>
      </w:r>
      <w:r w:rsidR="00342157">
        <w:fldChar w:fldCharType="begin"/>
      </w:r>
      <w:r w:rsidR="00342157">
        <w:instrText xml:space="preserve"> SEQ Table \* ARABIC </w:instrText>
      </w:r>
      <w:r w:rsidR="00342157">
        <w:fldChar w:fldCharType="separate"/>
      </w:r>
      <w:r w:rsidR="00245E6D">
        <w:rPr>
          <w:noProof/>
        </w:rPr>
        <w:t>1</w:t>
      </w:r>
      <w:r w:rsidR="00342157">
        <w:rPr>
          <w:noProof/>
        </w:rPr>
        <w:fldChar w:fldCharType="end"/>
      </w:r>
      <w:r>
        <w:t xml:space="preserve">: </w:t>
      </w:r>
      <w:r w:rsidRPr="00DC73D6">
        <w:t>The elements of making a PID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335EC" w14:paraId="517C71F6" w14:textId="77777777" w:rsidTr="00986511">
        <w:tc>
          <w:tcPr>
            <w:tcW w:w="9016" w:type="dxa"/>
            <w:shd w:val="clear" w:color="auto" w:fill="004854"/>
            <w:vAlign w:val="center"/>
          </w:tcPr>
          <w:p w14:paraId="5681ED60" w14:textId="72AC4A15" w:rsidR="00A335EC" w:rsidRPr="00A335EC" w:rsidRDefault="00A335EC" w:rsidP="00474EE5">
            <w:pPr>
              <w:spacing w:line="276" w:lineRule="auto"/>
              <w:jc w:val="left"/>
              <w:rPr>
                <w:color w:val="FFFFFF" w:themeColor="background1"/>
                <w:sz w:val="28"/>
                <w:szCs w:val="28"/>
              </w:rPr>
            </w:pPr>
            <w:r w:rsidRPr="00A335EC">
              <w:rPr>
                <w:color w:val="FFFFFF" w:themeColor="background1"/>
                <w:sz w:val="28"/>
                <w:szCs w:val="28"/>
              </w:rPr>
              <w:t>Report by anyone</w:t>
            </w:r>
          </w:p>
        </w:tc>
      </w:tr>
      <w:tr w:rsidR="00A335EC" w14:paraId="07F6E557" w14:textId="77777777" w:rsidTr="00474EE5">
        <w:tc>
          <w:tcPr>
            <w:tcW w:w="9016" w:type="dxa"/>
            <w:vAlign w:val="center"/>
          </w:tcPr>
          <w:p w14:paraId="2E2CCE66" w14:textId="1AB3982C" w:rsidR="00A335EC" w:rsidRPr="00A335EC" w:rsidRDefault="00A335EC" w:rsidP="00474EE5">
            <w:pPr>
              <w:pStyle w:val="ListParagraph"/>
              <w:numPr>
                <w:ilvl w:val="0"/>
                <w:numId w:val="48"/>
              </w:numPr>
              <w:spacing w:line="276" w:lineRule="auto"/>
              <w:jc w:val="left"/>
              <w:rPr>
                <w:sz w:val="24"/>
                <w:szCs w:val="24"/>
              </w:rPr>
            </w:pPr>
            <w:r w:rsidRPr="00A335EC">
              <w:rPr>
                <w:sz w:val="24"/>
                <w:szCs w:val="24"/>
              </w:rPr>
              <w:t>Anyone can make a report under the PID Act.</w:t>
            </w:r>
          </w:p>
        </w:tc>
      </w:tr>
      <w:tr w:rsidR="00A335EC" w14:paraId="2A901437" w14:textId="77777777" w:rsidTr="00986511">
        <w:tc>
          <w:tcPr>
            <w:tcW w:w="9016" w:type="dxa"/>
            <w:shd w:val="clear" w:color="auto" w:fill="004854"/>
            <w:vAlign w:val="center"/>
          </w:tcPr>
          <w:p w14:paraId="25C8FC9F" w14:textId="40FEAAC8" w:rsidR="00A335EC" w:rsidRPr="00A335EC" w:rsidRDefault="00A335EC" w:rsidP="00474EE5">
            <w:pPr>
              <w:spacing w:line="276" w:lineRule="auto"/>
              <w:jc w:val="left"/>
              <w:rPr>
                <w:color w:val="FFFFFF" w:themeColor="background1"/>
                <w:sz w:val="28"/>
                <w:szCs w:val="28"/>
              </w:rPr>
            </w:pPr>
            <w:r w:rsidRPr="00A335EC">
              <w:rPr>
                <w:color w:val="FFFFFF" w:themeColor="background1"/>
                <w:sz w:val="28"/>
                <w:szCs w:val="28"/>
              </w:rPr>
              <w:t>About ACT public sector wrongdoing</w:t>
            </w:r>
          </w:p>
        </w:tc>
      </w:tr>
      <w:tr w:rsidR="00A335EC" w14:paraId="443E1159" w14:textId="77777777" w:rsidTr="00474EE5">
        <w:tc>
          <w:tcPr>
            <w:tcW w:w="9016" w:type="dxa"/>
            <w:vAlign w:val="center"/>
          </w:tcPr>
          <w:p w14:paraId="60F1B6D2" w14:textId="77777777" w:rsidR="00A335EC" w:rsidRPr="00A335EC" w:rsidRDefault="00A335EC" w:rsidP="00474EE5">
            <w:pPr>
              <w:pStyle w:val="ListParagraph"/>
              <w:numPr>
                <w:ilvl w:val="0"/>
                <w:numId w:val="46"/>
              </w:numPr>
              <w:spacing w:line="276" w:lineRule="auto"/>
              <w:jc w:val="left"/>
              <w:rPr>
                <w:sz w:val="24"/>
                <w:szCs w:val="24"/>
              </w:rPr>
            </w:pPr>
            <w:r w:rsidRPr="00A335EC">
              <w:rPr>
                <w:sz w:val="24"/>
                <w:szCs w:val="24"/>
              </w:rPr>
              <w:t>Can relate to a public sector entity, contractor or public official.</w:t>
            </w:r>
          </w:p>
          <w:p w14:paraId="74643B26" w14:textId="11D51702" w:rsidR="00A335EC" w:rsidRPr="00A335EC" w:rsidRDefault="00A335EC" w:rsidP="00474EE5">
            <w:pPr>
              <w:pStyle w:val="ListParagraph"/>
              <w:numPr>
                <w:ilvl w:val="0"/>
                <w:numId w:val="46"/>
              </w:numPr>
              <w:spacing w:line="276" w:lineRule="auto"/>
              <w:jc w:val="left"/>
              <w:rPr>
                <w:sz w:val="24"/>
                <w:szCs w:val="24"/>
              </w:rPr>
            </w:pPr>
            <w:r w:rsidRPr="00A335EC">
              <w:rPr>
                <w:sz w:val="24"/>
                <w:szCs w:val="24"/>
              </w:rPr>
              <w:t>The wrongdoing must be about maladministration, threats to public safety and health, or a threat to the environment.</w:t>
            </w:r>
          </w:p>
        </w:tc>
      </w:tr>
      <w:tr w:rsidR="00A335EC" w14:paraId="6C023E09" w14:textId="77777777" w:rsidTr="00986511">
        <w:tc>
          <w:tcPr>
            <w:tcW w:w="9016" w:type="dxa"/>
            <w:shd w:val="clear" w:color="auto" w:fill="004854"/>
            <w:vAlign w:val="center"/>
          </w:tcPr>
          <w:p w14:paraId="1C2C5694" w14:textId="2CE065ED" w:rsidR="00A335EC" w:rsidRPr="00A335EC" w:rsidRDefault="00A335EC" w:rsidP="00474EE5">
            <w:pPr>
              <w:spacing w:line="276" w:lineRule="auto"/>
              <w:jc w:val="left"/>
              <w:rPr>
                <w:color w:val="FFFFFF" w:themeColor="background1"/>
                <w:sz w:val="28"/>
                <w:szCs w:val="28"/>
              </w:rPr>
            </w:pPr>
            <w:r w:rsidRPr="00A335EC">
              <w:rPr>
                <w:color w:val="FFFFFF" w:themeColor="background1"/>
                <w:sz w:val="28"/>
                <w:szCs w:val="28"/>
              </w:rPr>
              <w:t>Made to the right person</w:t>
            </w:r>
          </w:p>
        </w:tc>
      </w:tr>
      <w:tr w:rsidR="00A335EC" w14:paraId="44DDDBB1" w14:textId="77777777" w:rsidTr="00474EE5">
        <w:tc>
          <w:tcPr>
            <w:tcW w:w="9016" w:type="dxa"/>
            <w:vAlign w:val="center"/>
          </w:tcPr>
          <w:p w14:paraId="75053D35" w14:textId="77777777" w:rsidR="00A335EC" w:rsidRPr="00A335EC" w:rsidRDefault="00A335EC" w:rsidP="00474EE5">
            <w:pPr>
              <w:pStyle w:val="ListParagraph"/>
              <w:numPr>
                <w:ilvl w:val="0"/>
                <w:numId w:val="47"/>
              </w:numPr>
              <w:spacing w:line="276" w:lineRule="auto"/>
              <w:jc w:val="left"/>
              <w:rPr>
                <w:sz w:val="24"/>
                <w:szCs w:val="24"/>
              </w:rPr>
            </w:pPr>
            <w:r w:rsidRPr="00A335EC">
              <w:rPr>
                <w:sz w:val="24"/>
                <w:szCs w:val="24"/>
              </w:rPr>
              <w:t>Disclosure officer;</w:t>
            </w:r>
          </w:p>
          <w:p w14:paraId="650A0F37" w14:textId="649FAC16" w:rsidR="00A335EC" w:rsidRPr="00A335EC" w:rsidRDefault="00A335EC" w:rsidP="00474EE5">
            <w:pPr>
              <w:pStyle w:val="ListParagraph"/>
              <w:numPr>
                <w:ilvl w:val="0"/>
                <w:numId w:val="47"/>
              </w:numPr>
              <w:spacing w:line="276" w:lineRule="auto"/>
              <w:jc w:val="left"/>
              <w:rPr>
                <w:sz w:val="24"/>
                <w:szCs w:val="24"/>
              </w:rPr>
            </w:pPr>
            <w:r w:rsidRPr="00A335EC">
              <w:rPr>
                <w:sz w:val="24"/>
                <w:szCs w:val="24"/>
              </w:rPr>
              <w:t>Minister; or</w:t>
            </w:r>
          </w:p>
          <w:p w14:paraId="4DF69FA6" w14:textId="5C99A2F4" w:rsidR="00A335EC" w:rsidRPr="00A335EC" w:rsidRDefault="00A335EC" w:rsidP="00474EE5">
            <w:pPr>
              <w:pStyle w:val="ListParagraph"/>
              <w:numPr>
                <w:ilvl w:val="0"/>
                <w:numId w:val="47"/>
              </w:numPr>
              <w:spacing w:line="276" w:lineRule="auto"/>
              <w:jc w:val="left"/>
              <w:rPr>
                <w:sz w:val="24"/>
                <w:szCs w:val="24"/>
              </w:rPr>
            </w:pPr>
            <w:r w:rsidRPr="00A335EC">
              <w:rPr>
                <w:sz w:val="24"/>
                <w:szCs w:val="24"/>
              </w:rPr>
              <w:t>If the discloser is a public official for a public sector entity:</w:t>
            </w:r>
          </w:p>
          <w:p w14:paraId="2D12CA0B" w14:textId="437D26CB" w:rsidR="00A335EC" w:rsidRPr="00A335EC" w:rsidRDefault="00A335EC" w:rsidP="00474EE5">
            <w:pPr>
              <w:pStyle w:val="ListParagraph"/>
              <w:numPr>
                <w:ilvl w:val="1"/>
                <w:numId w:val="47"/>
              </w:numPr>
              <w:spacing w:line="276" w:lineRule="auto"/>
              <w:ind w:left="738"/>
              <w:jc w:val="left"/>
              <w:rPr>
                <w:sz w:val="24"/>
                <w:szCs w:val="24"/>
              </w:rPr>
            </w:pPr>
            <w:r w:rsidRPr="00A335EC">
              <w:rPr>
                <w:sz w:val="24"/>
                <w:szCs w:val="24"/>
              </w:rPr>
              <w:t>The discloser</w:t>
            </w:r>
            <w:r w:rsidR="007C1BB9">
              <w:rPr>
                <w:sz w:val="24"/>
                <w:szCs w:val="24"/>
              </w:rPr>
              <w:t>’</w:t>
            </w:r>
            <w:r w:rsidRPr="00A335EC">
              <w:rPr>
                <w:sz w:val="24"/>
                <w:szCs w:val="24"/>
              </w:rPr>
              <w:t>s supervisor, manager or other specified senior leaders within the public sector entity they work for.</w:t>
            </w:r>
          </w:p>
        </w:tc>
      </w:tr>
      <w:tr w:rsidR="00A335EC" w14:paraId="11E1F0DE" w14:textId="77777777" w:rsidTr="00986511">
        <w:tc>
          <w:tcPr>
            <w:tcW w:w="9016" w:type="dxa"/>
            <w:shd w:val="clear" w:color="auto" w:fill="004854"/>
            <w:vAlign w:val="center"/>
          </w:tcPr>
          <w:p w14:paraId="0E41EB06" w14:textId="0DDF69E3" w:rsidR="00A335EC" w:rsidRPr="00A335EC" w:rsidRDefault="00A335EC" w:rsidP="00474EE5">
            <w:pPr>
              <w:spacing w:line="276" w:lineRule="auto"/>
              <w:jc w:val="left"/>
              <w:rPr>
                <w:color w:val="FFFFFF" w:themeColor="background1"/>
                <w:sz w:val="28"/>
                <w:szCs w:val="28"/>
              </w:rPr>
            </w:pPr>
            <w:r w:rsidRPr="00A335EC">
              <w:rPr>
                <w:color w:val="FFFFFF" w:themeColor="background1"/>
                <w:sz w:val="28"/>
                <w:szCs w:val="28"/>
              </w:rPr>
              <w:t>OR made to a journalist or MLA</w:t>
            </w:r>
          </w:p>
        </w:tc>
      </w:tr>
      <w:tr w:rsidR="00A335EC" w14:paraId="3591CC27" w14:textId="77777777" w:rsidTr="00474EE5">
        <w:tc>
          <w:tcPr>
            <w:tcW w:w="9016" w:type="dxa"/>
            <w:vAlign w:val="center"/>
          </w:tcPr>
          <w:p w14:paraId="23E22428" w14:textId="30219D4C" w:rsidR="00A335EC" w:rsidRPr="00A335EC" w:rsidRDefault="00A335EC" w:rsidP="00474EE5">
            <w:pPr>
              <w:pStyle w:val="ListParagraph"/>
              <w:keepNext/>
              <w:numPr>
                <w:ilvl w:val="0"/>
                <w:numId w:val="49"/>
              </w:numPr>
              <w:spacing w:line="276" w:lineRule="auto"/>
              <w:jc w:val="left"/>
              <w:rPr>
                <w:sz w:val="24"/>
                <w:szCs w:val="24"/>
              </w:rPr>
            </w:pPr>
            <w:r w:rsidRPr="00A335EC">
              <w:rPr>
                <w:sz w:val="24"/>
                <w:szCs w:val="24"/>
              </w:rPr>
              <w:t>Where the PID has not been actioned or responded to within the required timeframes</w:t>
            </w:r>
            <w:r w:rsidR="007C1BB9">
              <w:rPr>
                <w:sz w:val="24"/>
                <w:szCs w:val="24"/>
              </w:rPr>
              <w:t>.</w:t>
            </w:r>
          </w:p>
        </w:tc>
      </w:tr>
    </w:tbl>
    <w:p w14:paraId="0C04D30F" w14:textId="77777777" w:rsidR="007C1BB9" w:rsidRDefault="007C1BB9" w:rsidP="007C1BB9">
      <w:bookmarkStart w:id="19" w:name="_Toc62135999"/>
      <w:bookmarkStart w:id="20" w:name="_Ref65659986"/>
      <w:bookmarkStart w:id="21" w:name="_Ref67902528"/>
      <w:bookmarkStart w:id="22" w:name="_Toc67903963"/>
      <w:bookmarkStart w:id="23" w:name="_Hlk62204378"/>
      <w:bookmarkStart w:id="24" w:name="_Ref57115165"/>
      <w:bookmarkStart w:id="25" w:name="_Ref57118555"/>
      <w:bookmarkStart w:id="26" w:name="_Toc57188816"/>
    </w:p>
    <w:p w14:paraId="6651B848" w14:textId="3507EC66" w:rsidR="002835FE" w:rsidRDefault="002835FE" w:rsidP="007247D1">
      <w:pPr>
        <w:pStyle w:val="Heading2"/>
      </w:pPr>
      <w:bookmarkStart w:id="27" w:name="_Ref73459660"/>
      <w:bookmarkStart w:id="28" w:name="_Toc75255141"/>
      <w:r>
        <w:t xml:space="preserve">What kind of </w:t>
      </w:r>
      <w:r w:rsidR="009C70A4">
        <w:t>report</w:t>
      </w:r>
      <w:r>
        <w:t xml:space="preserve"> is required for a PID?</w:t>
      </w:r>
      <w:bookmarkEnd w:id="19"/>
      <w:bookmarkEnd w:id="20"/>
      <w:bookmarkEnd w:id="21"/>
      <w:bookmarkEnd w:id="22"/>
      <w:bookmarkEnd w:id="27"/>
      <w:bookmarkEnd w:id="28"/>
    </w:p>
    <w:p w14:paraId="7D9B163A" w14:textId="07B5025D" w:rsidR="009C70A4" w:rsidRDefault="009C70A4" w:rsidP="009C70A4">
      <w:pPr>
        <w:rPr>
          <w:iCs/>
        </w:rPr>
      </w:pPr>
      <w:bookmarkStart w:id="29" w:name="_Ref57015366"/>
      <w:bookmarkStart w:id="30" w:name="_Toc62136000"/>
      <w:bookmarkStart w:id="31" w:name="_Hlk62204417"/>
      <w:bookmarkEnd w:id="23"/>
      <w:r w:rsidRPr="00037E3F">
        <w:t xml:space="preserve">The first element of a PID is </w:t>
      </w:r>
      <w:r w:rsidR="00010A73">
        <w:t>a</w:t>
      </w:r>
      <w:r w:rsidRPr="00037E3F">
        <w:t xml:space="preserve"> </w:t>
      </w:r>
      <w:r>
        <w:t xml:space="preserve">report </w:t>
      </w:r>
      <w:r w:rsidRPr="00037E3F">
        <w:t xml:space="preserve">made by a </w:t>
      </w:r>
      <w:r>
        <w:t>discloser</w:t>
      </w:r>
      <w:r w:rsidRPr="00037E3F">
        <w:t xml:space="preserve">. The PID Act provides that any person may </w:t>
      </w:r>
      <w:r>
        <w:t>report</w:t>
      </w:r>
      <w:r w:rsidRPr="00037E3F">
        <w:t xml:space="preserve"> </w:t>
      </w:r>
      <w:r>
        <w:t>‘</w:t>
      </w:r>
      <w:r w:rsidRPr="00037E3F">
        <w:t>disclosable conduct</w:t>
      </w:r>
      <w:r>
        <w:t>’</w:t>
      </w:r>
      <w:r w:rsidRPr="00037E3F">
        <w:t>.</w:t>
      </w:r>
      <w:r>
        <w:rPr>
          <w:rStyle w:val="FootnoteReference"/>
        </w:rPr>
        <w:footnoteReference w:id="17"/>
      </w:r>
      <w:r w:rsidRPr="00037E3F">
        <w:t xml:space="preserve"> Disclosable conduct</w:t>
      </w:r>
      <w:r w:rsidRPr="00E11D77">
        <w:rPr>
          <w:iCs/>
        </w:rPr>
        <w:t xml:space="preserve"> </w:t>
      </w:r>
      <w:r>
        <w:rPr>
          <w:iCs/>
        </w:rPr>
        <w:t>is</w:t>
      </w:r>
      <w:r w:rsidR="00010A73">
        <w:rPr>
          <w:iCs/>
        </w:rPr>
        <w:t xml:space="preserve"> about</w:t>
      </w:r>
      <w:r>
        <w:rPr>
          <w:iCs/>
        </w:rPr>
        <w:t>:</w:t>
      </w:r>
    </w:p>
    <w:p w14:paraId="41B0A3CF" w14:textId="75568C4C" w:rsidR="009C70A4" w:rsidRDefault="00242426" w:rsidP="00061417">
      <w:pPr>
        <w:pStyle w:val="ListParagraph"/>
        <w:numPr>
          <w:ilvl w:val="0"/>
          <w:numId w:val="22"/>
        </w:numPr>
        <w:rPr>
          <w:iCs/>
        </w:rPr>
      </w:pPr>
      <w:r>
        <w:rPr>
          <w:iCs/>
        </w:rPr>
        <w:t xml:space="preserve">an </w:t>
      </w:r>
      <w:r w:rsidR="009C70A4" w:rsidRPr="003E30D7">
        <w:rPr>
          <w:iCs/>
        </w:rPr>
        <w:t>action</w:t>
      </w:r>
      <w:r w:rsidR="009C70A4">
        <w:rPr>
          <w:iCs/>
        </w:rPr>
        <w:t>;</w:t>
      </w:r>
    </w:p>
    <w:p w14:paraId="3089160A" w14:textId="0B119A3E" w:rsidR="009C70A4" w:rsidRDefault="00242426" w:rsidP="00061417">
      <w:pPr>
        <w:pStyle w:val="ListParagraph"/>
        <w:numPr>
          <w:ilvl w:val="0"/>
          <w:numId w:val="22"/>
        </w:numPr>
        <w:rPr>
          <w:iCs/>
        </w:rPr>
      </w:pPr>
      <w:r>
        <w:rPr>
          <w:iCs/>
        </w:rPr>
        <w:t xml:space="preserve">a </w:t>
      </w:r>
      <w:r w:rsidR="009C70A4">
        <w:rPr>
          <w:iCs/>
        </w:rPr>
        <w:t>policy;</w:t>
      </w:r>
    </w:p>
    <w:p w14:paraId="161F4F4F" w14:textId="4D8F4729" w:rsidR="009C70A4" w:rsidRDefault="00242426" w:rsidP="00061417">
      <w:pPr>
        <w:pStyle w:val="ListParagraph"/>
        <w:numPr>
          <w:ilvl w:val="0"/>
          <w:numId w:val="22"/>
        </w:numPr>
        <w:rPr>
          <w:iCs/>
        </w:rPr>
      </w:pPr>
      <w:r>
        <w:rPr>
          <w:iCs/>
        </w:rPr>
        <w:t xml:space="preserve">a </w:t>
      </w:r>
      <w:r w:rsidR="009C70A4">
        <w:rPr>
          <w:iCs/>
        </w:rPr>
        <w:t>practice; or</w:t>
      </w:r>
    </w:p>
    <w:p w14:paraId="4A323CBA" w14:textId="687C252A" w:rsidR="009C70A4" w:rsidRDefault="00242426" w:rsidP="00061417">
      <w:pPr>
        <w:pStyle w:val="ListParagraph"/>
        <w:numPr>
          <w:ilvl w:val="0"/>
          <w:numId w:val="22"/>
        </w:numPr>
        <w:rPr>
          <w:iCs/>
        </w:rPr>
      </w:pPr>
      <w:r>
        <w:rPr>
          <w:iCs/>
        </w:rPr>
        <w:t xml:space="preserve">a </w:t>
      </w:r>
      <w:r w:rsidR="009C70A4">
        <w:rPr>
          <w:iCs/>
        </w:rPr>
        <w:t>procedure</w:t>
      </w:r>
    </w:p>
    <w:p w14:paraId="045079CD" w14:textId="0FD73F94" w:rsidR="009C70A4" w:rsidRPr="003E30D7" w:rsidRDefault="009C70A4" w:rsidP="009C70A4">
      <w:pPr>
        <w:rPr>
          <w:iCs/>
        </w:rPr>
      </w:pPr>
      <w:r>
        <w:rPr>
          <w:iCs/>
        </w:rPr>
        <w:t xml:space="preserve">of </w:t>
      </w:r>
      <w:r w:rsidR="00706384" w:rsidRPr="003E30D7">
        <w:rPr>
          <w:iCs/>
        </w:rPr>
        <w:t>a</w:t>
      </w:r>
      <w:r w:rsidRPr="003E30D7">
        <w:rPr>
          <w:iCs/>
        </w:rPr>
        <w:t xml:space="preserve"> </w:t>
      </w:r>
      <w:r w:rsidR="000F51C3">
        <w:rPr>
          <w:iCs/>
        </w:rPr>
        <w:t>public sector entity</w:t>
      </w:r>
      <w:r w:rsidRPr="003E30D7">
        <w:rPr>
          <w:iCs/>
        </w:rPr>
        <w:t xml:space="preserve">, or </w:t>
      </w:r>
      <w:r>
        <w:rPr>
          <w:iCs/>
        </w:rPr>
        <w:t>person who works for a</w:t>
      </w:r>
      <w:r w:rsidRPr="003E30D7">
        <w:rPr>
          <w:iCs/>
        </w:rPr>
        <w:t xml:space="preserve"> </w:t>
      </w:r>
      <w:r w:rsidR="000F51C3">
        <w:rPr>
          <w:iCs/>
        </w:rPr>
        <w:t>public sector entity</w:t>
      </w:r>
      <w:r w:rsidRPr="003E30D7">
        <w:rPr>
          <w:iCs/>
        </w:rPr>
        <w:t>, that:</w:t>
      </w:r>
    </w:p>
    <w:p w14:paraId="1E5D52DD" w14:textId="77777777" w:rsidR="009C70A4" w:rsidRPr="003F5F89" w:rsidRDefault="009C70A4" w:rsidP="00061417">
      <w:pPr>
        <w:pStyle w:val="ListParagraph"/>
        <w:numPr>
          <w:ilvl w:val="0"/>
          <w:numId w:val="22"/>
        </w:numPr>
        <w:rPr>
          <w:iCs/>
        </w:rPr>
      </w:pPr>
      <w:r w:rsidRPr="003F5F89">
        <w:rPr>
          <w:iCs/>
        </w:rPr>
        <w:t xml:space="preserve">is maladministration; or </w:t>
      </w:r>
    </w:p>
    <w:p w14:paraId="7D40B442" w14:textId="77777777" w:rsidR="009C70A4" w:rsidRPr="003F5F89" w:rsidRDefault="009C70A4" w:rsidP="00061417">
      <w:pPr>
        <w:pStyle w:val="ListParagraph"/>
        <w:numPr>
          <w:ilvl w:val="0"/>
          <w:numId w:val="22"/>
        </w:numPr>
        <w:rPr>
          <w:iCs/>
        </w:rPr>
      </w:pPr>
      <w:r w:rsidRPr="003F5F89">
        <w:rPr>
          <w:iCs/>
        </w:rPr>
        <w:t>results in a substantial and specific danger to public health or safety, or the environment.</w:t>
      </w:r>
      <w:r w:rsidRPr="003F5F89">
        <w:rPr>
          <w:rStyle w:val="FootnoteReference"/>
          <w:iCs/>
        </w:rPr>
        <w:footnoteReference w:id="18"/>
      </w:r>
    </w:p>
    <w:p w14:paraId="36504F39" w14:textId="333F6BF2" w:rsidR="009C70A4" w:rsidRDefault="009C70A4" w:rsidP="009C70A4">
      <w:r>
        <w:t xml:space="preserve">A </w:t>
      </w:r>
      <w:r w:rsidR="00E37FD5">
        <w:t>report</w:t>
      </w:r>
      <w:r>
        <w:t xml:space="preserve"> may be about the conduct of employees, or those responsible for, </w:t>
      </w:r>
      <w:r w:rsidR="000F51C3">
        <w:t>a public sector entity</w:t>
      </w:r>
      <w:r>
        <w:t>. They can also be about the actions of contractors, sub</w:t>
      </w:r>
      <w:r>
        <w:rPr>
          <w:rFonts w:ascii="Times New Roman" w:hAnsi="Times New Roman" w:cs="Times New Roman"/>
        </w:rPr>
        <w:t>‐</w:t>
      </w:r>
      <w:r>
        <w:t>contractors, consultants</w:t>
      </w:r>
      <w:r w:rsidR="00C1099B">
        <w:t>,</w:t>
      </w:r>
      <w:r>
        <w:t xml:space="preserve"> and volunteers working on ACT Government sponsored projects or on programs funded by the ACT</w:t>
      </w:r>
      <w:r w:rsidR="007532CF">
        <w:t xml:space="preserve"> </w:t>
      </w:r>
      <w:r>
        <w:t>Government. This includes not</w:t>
      </w:r>
      <w:r>
        <w:rPr>
          <w:rFonts w:ascii="Times New Roman" w:hAnsi="Times New Roman" w:cs="Times New Roman"/>
        </w:rPr>
        <w:t>‐</w:t>
      </w:r>
      <w:r>
        <w:t>for</w:t>
      </w:r>
      <w:r>
        <w:rPr>
          <w:rFonts w:ascii="Times New Roman" w:hAnsi="Times New Roman" w:cs="Times New Roman"/>
        </w:rPr>
        <w:t>‐</w:t>
      </w:r>
      <w:r>
        <w:t>profit or other non</w:t>
      </w:r>
      <w:r>
        <w:rPr>
          <w:rFonts w:ascii="Times New Roman" w:hAnsi="Times New Roman" w:cs="Times New Roman"/>
        </w:rPr>
        <w:t>‐</w:t>
      </w:r>
      <w:r>
        <w:t xml:space="preserve">government entities providing a public service to the community under a contract with </w:t>
      </w:r>
      <w:r w:rsidR="000F51C3">
        <w:t>a public sector entity</w:t>
      </w:r>
      <w:r>
        <w:t>.</w:t>
      </w:r>
    </w:p>
    <w:p w14:paraId="41FC124D" w14:textId="33460952" w:rsidR="009C70A4" w:rsidRDefault="009C70A4" w:rsidP="009C70A4">
      <w:r>
        <w:t xml:space="preserve">A report might relate to events </w:t>
      </w:r>
      <w:r w:rsidR="007C1BB9">
        <w:t>that</w:t>
      </w:r>
      <w:r>
        <w:t xml:space="preserve"> are happening (or are </w:t>
      </w:r>
      <w:r w:rsidR="00550A52">
        <w:t>reasonably</w:t>
      </w:r>
      <w:r>
        <w:t xml:space="preserve"> suspected of happening) now, occurred in the past, or may happen in the future.</w:t>
      </w:r>
    </w:p>
    <w:p w14:paraId="7E56F095" w14:textId="5074484F" w:rsidR="009C70A4" w:rsidRDefault="009C70A4" w:rsidP="009C70A4">
      <w:r>
        <w:t xml:space="preserve">A </w:t>
      </w:r>
      <w:r w:rsidR="001E2394">
        <w:t>discloser</w:t>
      </w:r>
      <w:r>
        <w:t xml:space="preserve"> may make a report even if they are not able to identify who is responsible for the alleged conduct.</w:t>
      </w:r>
    </w:p>
    <w:p w14:paraId="68587172" w14:textId="1FBF37CE" w:rsidR="009C70A4" w:rsidRDefault="009C70A4" w:rsidP="009C70A4">
      <w:r>
        <w:t xml:space="preserve">There is no requirement that a </w:t>
      </w:r>
      <w:r w:rsidR="001E2394">
        <w:t>discloser</w:t>
      </w:r>
      <w:r>
        <w:t xml:space="preserve"> say they are making a PID or even mention the PID Act. </w:t>
      </w:r>
      <w:r w:rsidR="001E2394">
        <w:t>Disclosers</w:t>
      </w:r>
      <w:r w:rsidR="007532CF">
        <w:t xml:space="preserve"> </w:t>
      </w:r>
      <w:r>
        <w:t>may not even know they have made a PID.</w:t>
      </w:r>
    </w:p>
    <w:p w14:paraId="05CC8BF8" w14:textId="77777777" w:rsidR="005C73EB" w:rsidRDefault="005C73EB" w:rsidP="009C70A4"/>
    <w:p w14:paraId="42A7C70F" w14:textId="77777777" w:rsidR="002371DD" w:rsidRDefault="002371DD" w:rsidP="002371DD">
      <w:pPr>
        <w:pStyle w:val="Heading3"/>
      </w:pPr>
      <w:bookmarkStart w:id="32" w:name="_Toc62136006"/>
      <w:bookmarkStart w:id="33" w:name="_Toc67903964"/>
      <w:bookmarkStart w:id="34" w:name="_Toc75255142"/>
      <w:bookmarkStart w:id="35" w:name="_Hlk62205003"/>
      <w:r>
        <w:lastRenderedPageBreak/>
        <w:t>Maladministration</w:t>
      </w:r>
      <w:bookmarkEnd w:id="32"/>
      <w:bookmarkEnd w:id="33"/>
      <w:bookmarkEnd w:id="34"/>
    </w:p>
    <w:p w14:paraId="4745597B" w14:textId="7D1530B5" w:rsidR="002371DD" w:rsidRPr="004F1675" w:rsidRDefault="002371DD" w:rsidP="002371DD">
      <w:bookmarkStart w:id="36" w:name="_Toc62136007"/>
      <w:bookmarkStart w:id="37" w:name="_Hlk62205064"/>
      <w:bookmarkEnd w:id="35"/>
      <w:r>
        <w:t>‘Maladministration’ is c</w:t>
      </w:r>
      <w:r w:rsidRPr="004F1675">
        <w:t>onduct</w:t>
      </w:r>
      <w:r w:rsidR="00010A73">
        <w:t>,</w:t>
      </w:r>
      <w:r w:rsidRPr="004F1675">
        <w:t xml:space="preserve"> </w:t>
      </w:r>
      <w:r w:rsidR="00010A73">
        <w:t>a</w:t>
      </w:r>
      <w:r w:rsidRPr="004F1675">
        <w:t xml:space="preserve"> policy, practice or procedure that</w:t>
      </w:r>
      <w:r>
        <w:t>:</w:t>
      </w:r>
    </w:p>
    <w:p w14:paraId="4A86A5B1" w14:textId="77777777" w:rsidR="002371DD" w:rsidRPr="003F5F89" w:rsidRDefault="002371DD" w:rsidP="00061417">
      <w:pPr>
        <w:pStyle w:val="ListParagraph"/>
        <w:numPr>
          <w:ilvl w:val="0"/>
          <w:numId w:val="37"/>
        </w:numPr>
      </w:pPr>
      <w:r w:rsidRPr="003F5F89">
        <w:t xml:space="preserve">results in a substantial mismanagement of public resources or public funds; or </w:t>
      </w:r>
    </w:p>
    <w:p w14:paraId="2A8F4142" w14:textId="77777777" w:rsidR="002371DD" w:rsidRPr="004F1675" w:rsidRDefault="002371DD" w:rsidP="00061417">
      <w:pPr>
        <w:pStyle w:val="ListParagraph"/>
        <w:numPr>
          <w:ilvl w:val="0"/>
          <w:numId w:val="37"/>
        </w:numPr>
      </w:pPr>
      <w:r w:rsidRPr="003F5F89">
        <w:t>involves substantial mismanagement in the performance of official functions.</w:t>
      </w:r>
      <w:r w:rsidRPr="003F5F89">
        <w:rPr>
          <w:rStyle w:val="FootnoteReference"/>
        </w:rPr>
        <w:footnoteReference w:id="19"/>
      </w:r>
    </w:p>
    <w:p w14:paraId="77F1C9F2" w14:textId="074CF7DB" w:rsidR="00DA1DB7" w:rsidRDefault="002371DD" w:rsidP="002371DD">
      <w:r>
        <w:t xml:space="preserve">Maladministration requires ‘substantial mismanagement’. For example, should a manager be making poor decisions resulting in wastage of hundreds of thousands of dollars, it would amount to substantial mismanagement. Alternatively, where the report </w:t>
      </w:r>
      <w:r w:rsidR="00C1099B">
        <w:t xml:space="preserve">is </w:t>
      </w:r>
      <w:r>
        <w:t xml:space="preserve">about the limited private use of a </w:t>
      </w:r>
      <w:r w:rsidR="00441929">
        <w:t>government</w:t>
      </w:r>
      <w:r>
        <w:t xml:space="preserve"> vehicle by a public official, this would be unlikely to amount to substantial mismanagement.</w:t>
      </w:r>
      <w:r w:rsidR="00DA1DB7">
        <w:t xml:space="preserve"> Committing, or allow</w:t>
      </w:r>
      <w:r w:rsidR="00332AB7">
        <w:t>ing an</w:t>
      </w:r>
      <w:r w:rsidR="00DA1DB7">
        <w:t>other to commit, racial or sexual discrimination could well also amount to substantial mismanagement.</w:t>
      </w:r>
    </w:p>
    <w:p w14:paraId="5C7D5CFE" w14:textId="4A309017" w:rsidR="00211338" w:rsidRDefault="00DA1DB7" w:rsidP="002371DD">
      <w:r>
        <w:t>Amongst the matters</w:t>
      </w:r>
      <w:r w:rsidR="00211338">
        <w:t xml:space="preserve"> which may</w:t>
      </w:r>
      <w:r>
        <w:t xml:space="preserve"> be considered when deciding whether the alleged maladministration is substantial</w:t>
      </w:r>
      <w:r w:rsidR="00211338">
        <w:t xml:space="preserve"> include assessing whether the conduct:</w:t>
      </w:r>
    </w:p>
    <w:p w14:paraId="41450EDB" w14:textId="0AEDA01C" w:rsidR="00211338" w:rsidRDefault="00DA1DB7" w:rsidP="00061417">
      <w:pPr>
        <w:pStyle w:val="ListParagraph"/>
        <w:numPr>
          <w:ilvl w:val="0"/>
          <w:numId w:val="37"/>
        </w:numPr>
      </w:pPr>
      <w:r>
        <w:t>is one-off or systemic</w:t>
      </w:r>
      <w:r w:rsidR="00211338">
        <w:t>;</w:t>
      </w:r>
    </w:p>
    <w:p w14:paraId="3FDCE80F" w14:textId="305E7EA2" w:rsidR="00211338" w:rsidRDefault="00211338" w:rsidP="00061417">
      <w:pPr>
        <w:pStyle w:val="ListParagraph"/>
        <w:numPr>
          <w:ilvl w:val="0"/>
          <w:numId w:val="37"/>
        </w:numPr>
      </w:pPr>
      <w:r>
        <w:t>has caused significant financial damage;</w:t>
      </w:r>
    </w:p>
    <w:p w14:paraId="37EF163E" w14:textId="342CDDB3" w:rsidR="00211338" w:rsidRDefault="00DA1DB7" w:rsidP="00061417">
      <w:pPr>
        <w:pStyle w:val="ListParagraph"/>
        <w:numPr>
          <w:ilvl w:val="0"/>
          <w:numId w:val="37"/>
        </w:numPr>
      </w:pPr>
      <w:r>
        <w:t xml:space="preserve">has caused significant </w:t>
      </w:r>
      <w:r w:rsidR="00211338">
        <w:t xml:space="preserve">personal </w:t>
      </w:r>
      <w:r>
        <w:t>damage or injury</w:t>
      </w:r>
      <w:r w:rsidR="00211338">
        <w:t>;</w:t>
      </w:r>
      <w:r>
        <w:t xml:space="preserve"> or </w:t>
      </w:r>
    </w:p>
    <w:p w14:paraId="35FD2C4D" w14:textId="14A89BD4" w:rsidR="00DA1DB7" w:rsidRDefault="00DA1DB7" w:rsidP="00061417">
      <w:pPr>
        <w:pStyle w:val="ListParagraph"/>
        <w:numPr>
          <w:ilvl w:val="0"/>
          <w:numId w:val="37"/>
        </w:numPr>
      </w:pPr>
      <w:r>
        <w:t>has created significant reputational or litigation risks.</w:t>
      </w:r>
    </w:p>
    <w:p w14:paraId="37FD56DD" w14:textId="2C52B29A" w:rsidR="00DA1DB7" w:rsidRDefault="00DA1DB7" w:rsidP="002371DD">
      <w:r>
        <w:t>This is an indicative</w:t>
      </w:r>
      <w:r w:rsidR="00010A73">
        <w:t>,</w:t>
      </w:r>
      <w:r>
        <w:t xml:space="preserve"> not </w:t>
      </w:r>
      <w:r w:rsidR="00211338">
        <w:t>exhaustive</w:t>
      </w:r>
      <w:r w:rsidR="00010A73">
        <w:t>,</w:t>
      </w:r>
      <w:r>
        <w:t xml:space="preserve"> list</w:t>
      </w:r>
      <w:r w:rsidR="00242426">
        <w:t xml:space="preserve"> demonstrating</w:t>
      </w:r>
      <w:r>
        <w:t xml:space="preserve"> the wide reach of the PID </w:t>
      </w:r>
      <w:r w:rsidR="00211338">
        <w:t>scheme.</w:t>
      </w:r>
    </w:p>
    <w:p w14:paraId="47AA3AEB" w14:textId="77777777" w:rsidR="002371DD" w:rsidRDefault="002371DD" w:rsidP="002371DD">
      <w:pPr>
        <w:pStyle w:val="Heading3"/>
      </w:pPr>
      <w:bookmarkStart w:id="38" w:name="_Toc67903965"/>
      <w:bookmarkStart w:id="39" w:name="_Toc75255143"/>
      <w:r>
        <w:t>Substantial and specific danger to public health or safety, or the environment</w:t>
      </w:r>
      <w:bookmarkEnd w:id="36"/>
      <w:bookmarkEnd w:id="38"/>
      <w:bookmarkEnd w:id="39"/>
    </w:p>
    <w:bookmarkEnd w:id="37"/>
    <w:p w14:paraId="500C1907" w14:textId="77777777" w:rsidR="002371DD" w:rsidRPr="003F5F89" w:rsidRDefault="002371DD" w:rsidP="002371DD">
      <w:r>
        <w:t xml:space="preserve">‘Substantial and </w:t>
      </w:r>
      <w:r w:rsidRPr="003F5F89">
        <w:t xml:space="preserve">specific danger’ refers to a situation where the conduct of a public official, or a policy, practice or procedure, </w:t>
      </w:r>
      <w:r>
        <w:t>risks damaging</w:t>
      </w:r>
      <w:r w:rsidRPr="003F5F89">
        <w:t xml:space="preserve"> </w:t>
      </w:r>
      <w:r>
        <w:t>‘public health or safety’</w:t>
      </w:r>
      <w:r w:rsidRPr="003F5F89">
        <w:t xml:space="preserve"> or the environment. </w:t>
      </w:r>
      <w:r>
        <w:t>‘P</w:t>
      </w:r>
      <w:r w:rsidRPr="003F5F89">
        <w:t>ublic health or safety</w:t>
      </w:r>
      <w:r>
        <w:t xml:space="preserve">’ refers to </w:t>
      </w:r>
      <w:r w:rsidRPr="003F5F89">
        <w:t>the health or safety of people:</w:t>
      </w:r>
    </w:p>
    <w:p w14:paraId="7B2912AE" w14:textId="42A7A39E" w:rsidR="002371DD" w:rsidRPr="003F5F89" w:rsidRDefault="002371DD" w:rsidP="00061417">
      <w:pPr>
        <w:pStyle w:val="ListParagraph"/>
        <w:numPr>
          <w:ilvl w:val="0"/>
          <w:numId w:val="38"/>
        </w:numPr>
        <w:ind w:left="714" w:hanging="357"/>
      </w:pPr>
      <w:r w:rsidRPr="003F5F89">
        <w:t>under lawful care or control;</w:t>
      </w:r>
    </w:p>
    <w:p w14:paraId="71BEA80D" w14:textId="77777777" w:rsidR="002371DD" w:rsidRPr="003F5F89" w:rsidRDefault="002371DD" w:rsidP="00061417">
      <w:pPr>
        <w:pStyle w:val="ListParagraph"/>
        <w:numPr>
          <w:ilvl w:val="0"/>
          <w:numId w:val="38"/>
        </w:numPr>
        <w:ind w:left="714" w:hanging="357"/>
      </w:pPr>
      <w:r w:rsidRPr="003F5F89">
        <w:t xml:space="preserve">using community facilities or services; or </w:t>
      </w:r>
    </w:p>
    <w:p w14:paraId="3A41EAE4" w14:textId="77777777" w:rsidR="002371DD" w:rsidRPr="003F5F89" w:rsidRDefault="002371DD" w:rsidP="00061417">
      <w:pPr>
        <w:pStyle w:val="ListParagraph"/>
        <w:numPr>
          <w:ilvl w:val="0"/>
          <w:numId w:val="38"/>
        </w:numPr>
        <w:ind w:left="714" w:hanging="357"/>
      </w:pPr>
      <w:r w:rsidRPr="003F5F89">
        <w:t>in workplaces.</w:t>
      </w:r>
      <w:r w:rsidRPr="003F5F89">
        <w:rPr>
          <w:rStyle w:val="FootnoteReference"/>
        </w:rPr>
        <w:footnoteReference w:id="20"/>
      </w:r>
    </w:p>
    <w:p w14:paraId="0DDD0386" w14:textId="2D2AE63F" w:rsidR="002371DD" w:rsidRDefault="002371DD" w:rsidP="002371DD">
      <w:r>
        <w:t xml:space="preserve">As with maladministration, the report must relate to ‘substantial’ danger. Substantial in this context is determined not only by how likely it is to occur, but also by </w:t>
      </w:r>
      <w:r w:rsidR="001D7B9D">
        <w:t xml:space="preserve">its potential </w:t>
      </w:r>
      <w:r>
        <w:t>consequences. For example, any conduct which puts even one person’s life in danger</w:t>
      </w:r>
      <w:r w:rsidR="00441929">
        <w:t xml:space="preserve"> or at risk of serious injury</w:t>
      </w:r>
      <w:r>
        <w:t xml:space="preserve"> is substantial. </w:t>
      </w:r>
      <w:r w:rsidR="00441929">
        <w:t>Even w</w:t>
      </w:r>
      <w:r>
        <w:t xml:space="preserve">here conduct puts </w:t>
      </w:r>
      <w:r w:rsidR="001D7B9D">
        <w:t>many</w:t>
      </w:r>
      <w:r>
        <w:t xml:space="preserve"> people at a risk of</w:t>
      </w:r>
      <w:r w:rsidR="00370F9F">
        <w:t xml:space="preserve"> minor</w:t>
      </w:r>
      <w:r>
        <w:t xml:space="preserve"> injury, this also may be substantial (for example, releasing a mild irritant into a communal waterway). </w:t>
      </w:r>
    </w:p>
    <w:p w14:paraId="72DCE539" w14:textId="3A4446F1" w:rsidR="002371DD" w:rsidRPr="007E1311" w:rsidRDefault="002371DD" w:rsidP="002371DD">
      <w:bookmarkStart w:id="40" w:name="_Hlk65221798"/>
      <w:r>
        <w:t>‘Specific’ requires that the conduct be capable of a reasonably precise description. This means that vague or imprecise reports of dangers to public health</w:t>
      </w:r>
      <w:r w:rsidR="00C62262">
        <w:t xml:space="preserve"> or</w:t>
      </w:r>
      <w:r>
        <w:t xml:space="preserve"> safety</w:t>
      </w:r>
      <w:r w:rsidR="00C62262">
        <w:t>,</w:t>
      </w:r>
      <w:r>
        <w:t xml:space="preserve"> or the environment will probably not amount to disclosable conduct. For example, were a </w:t>
      </w:r>
      <w:r w:rsidR="00C62262">
        <w:t>discloser</w:t>
      </w:r>
      <w:r>
        <w:t xml:space="preserve"> to allege imminent unspecified dangers due to a proposed project but is unable to provide any useful information as to what those dangers are, this is unlikely to be disclosable conduct.</w:t>
      </w:r>
    </w:p>
    <w:bookmarkEnd w:id="40"/>
    <w:p w14:paraId="7E551412" w14:textId="77777777" w:rsidR="00706384" w:rsidRDefault="00706384">
      <w:pPr>
        <w:jc w:val="left"/>
        <w:rPr>
          <w:rFonts w:eastAsiaTheme="majorEastAsia" w:cstheme="majorBidi"/>
          <w:color w:val="2F5496" w:themeColor="accent1" w:themeShade="BF"/>
          <w:sz w:val="26"/>
          <w:szCs w:val="26"/>
        </w:rPr>
      </w:pPr>
      <w:r>
        <w:br w:type="page"/>
      </w:r>
    </w:p>
    <w:p w14:paraId="67A62CA6" w14:textId="4FAEC1FE" w:rsidR="002835FE" w:rsidRDefault="002835FE" w:rsidP="007247D1">
      <w:pPr>
        <w:pStyle w:val="Heading2"/>
      </w:pPr>
      <w:bookmarkStart w:id="41" w:name="_Toc67903966"/>
      <w:bookmarkStart w:id="42" w:name="_Ref73526551"/>
      <w:bookmarkStart w:id="43" w:name="_Toc75255144"/>
      <w:r>
        <w:lastRenderedPageBreak/>
        <w:t xml:space="preserve">Who can a </w:t>
      </w:r>
      <w:r w:rsidR="001E2394">
        <w:t>report</w:t>
      </w:r>
      <w:r>
        <w:t xml:space="preserve"> be made to?</w:t>
      </w:r>
      <w:bookmarkEnd w:id="29"/>
      <w:bookmarkEnd w:id="30"/>
      <w:bookmarkEnd w:id="41"/>
      <w:bookmarkEnd w:id="42"/>
      <w:bookmarkEnd w:id="43"/>
    </w:p>
    <w:p w14:paraId="0731F950" w14:textId="668973C2" w:rsidR="001E2394" w:rsidRDefault="001E2394" w:rsidP="001E2394">
      <w:r>
        <w:t xml:space="preserve">For a report to </w:t>
      </w:r>
      <w:r w:rsidR="001D7B9D">
        <w:t>qualify as a</w:t>
      </w:r>
      <w:r>
        <w:t xml:space="preserve"> PID, it must also be made </w:t>
      </w:r>
      <w:r w:rsidR="001D7B9D">
        <w:t>to</w:t>
      </w:r>
      <w:r>
        <w:t xml:space="preserve"> </w:t>
      </w:r>
      <w:r w:rsidR="00010A73">
        <w:t>a person</w:t>
      </w:r>
      <w:r>
        <w:t xml:space="preserve"> responsible for receiving reports. These </w:t>
      </w:r>
      <w:r w:rsidR="00010A73">
        <w:t>people</w:t>
      </w:r>
      <w:r w:rsidR="000D3918">
        <w:t xml:space="preserve"> </w:t>
      </w:r>
      <w:r>
        <w:t>are called ‘disclosure officers’. They are:</w:t>
      </w:r>
    </w:p>
    <w:p w14:paraId="233620AC" w14:textId="3888D2E2" w:rsidR="001E2394" w:rsidRDefault="00010A73" w:rsidP="00061417">
      <w:pPr>
        <w:pStyle w:val="ListParagraph"/>
        <w:numPr>
          <w:ilvl w:val="0"/>
          <w:numId w:val="21"/>
        </w:numPr>
      </w:pPr>
      <w:r>
        <w:t>f</w:t>
      </w:r>
      <w:r w:rsidR="001E2394">
        <w:t xml:space="preserve">or reports relating to </w:t>
      </w:r>
      <w:r w:rsidR="000D3918">
        <w:t>a public sector entity</w:t>
      </w:r>
      <w:r w:rsidR="001E2394">
        <w:t>:</w:t>
      </w:r>
    </w:p>
    <w:p w14:paraId="6E901935" w14:textId="77777777" w:rsidR="001E2394" w:rsidRDefault="001E2394" w:rsidP="00061417">
      <w:pPr>
        <w:pStyle w:val="ListParagraph"/>
        <w:numPr>
          <w:ilvl w:val="1"/>
          <w:numId w:val="21"/>
        </w:numPr>
      </w:pPr>
      <w:r>
        <w:t>the Auditor-General;</w:t>
      </w:r>
    </w:p>
    <w:p w14:paraId="29240556" w14:textId="77777777" w:rsidR="001E2394" w:rsidRDefault="001E2394" w:rsidP="00061417">
      <w:pPr>
        <w:pStyle w:val="ListParagraph"/>
        <w:numPr>
          <w:ilvl w:val="1"/>
          <w:numId w:val="21"/>
        </w:numPr>
      </w:pPr>
      <w:r>
        <w:t>the Ombudsman; or</w:t>
      </w:r>
    </w:p>
    <w:p w14:paraId="65ED6A1D" w14:textId="7A177BA0" w:rsidR="001E2394" w:rsidRDefault="001E2394" w:rsidP="00061417">
      <w:pPr>
        <w:pStyle w:val="ListParagraph"/>
        <w:numPr>
          <w:ilvl w:val="1"/>
          <w:numId w:val="21"/>
        </w:numPr>
      </w:pPr>
      <w:r>
        <w:t>the Commission</w:t>
      </w:r>
      <w:r w:rsidR="00010A73">
        <w:t>;</w:t>
      </w:r>
    </w:p>
    <w:p w14:paraId="600CCB60" w14:textId="6CEB415D" w:rsidR="001E2394" w:rsidRDefault="00010A73" w:rsidP="00061417">
      <w:pPr>
        <w:pStyle w:val="ListParagraph"/>
        <w:numPr>
          <w:ilvl w:val="0"/>
          <w:numId w:val="21"/>
        </w:numPr>
      </w:pPr>
      <w:r>
        <w:t>f</w:t>
      </w:r>
      <w:r w:rsidR="001E2394">
        <w:t xml:space="preserve">or reports relating </w:t>
      </w:r>
      <w:r w:rsidR="001E2394" w:rsidRPr="003E30D7">
        <w:t>only</w:t>
      </w:r>
      <w:r w:rsidR="001E2394">
        <w:t xml:space="preserve"> to an ACTPS </w:t>
      </w:r>
      <w:r w:rsidR="000F51C3">
        <w:t>e</w:t>
      </w:r>
      <w:r w:rsidR="001E2394">
        <w:t>ntity:</w:t>
      </w:r>
    </w:p>
    <w:p w14:paraId="65E310D8" w14:textId="77777777" w:rsidR="001E2394" w:rsidRDefault="001E2394" w:rsidP="00061417">
      <w:pPr>
        <w:pStyle w:val="ListParagraph"/>
        <w:numPr>
          <w:ilvl w:val="1"/>
          <w:numId w:val="21"/>
        </w:numPr>
      </w:pPr>
      <w:r>
        <w:t>the Public Sector Standards Commissioner;</w:t>
      </w:r>
    </w:p>
    <w:p w14:paraId="530A08AE" w14:textId="77777777" w:rsidR="001E2394" w:rsidRDefault="001E2394" w:rsidP="00061417">
      <w:pPr>
        <w:pStyle w:val="ListParagraph"/>
        <w:numPr>
          <w:ilvl w:val="1"/>
          <w:numId w:val="21"/>
        </w:numPr>
      </w:pPr>
      <w:r>
        <w:t>the Head of Service;</w:t>
      </w:r>
    </w:p>
    <w:p w14:paraId="42FBEFB9" w14:textId="5E178471" w:rsidR="001E2394" w:rsidRDefault="001E2394" w:rsidP="00061417">
      <w:pPr>
        <w:pStyle w:val="ListParagraph"/>
        <w:numPr>
          <w:ilvl w:val="1"/>
          <w:numId w:val="21"/>
        </w:numPr>
      </w:pPr>
      <w:r>
        <w:t xml:space="preserve">the Head of an ACTPS </w:t>
      </w:r>
      <w:r w:rsidR="000F51C3">
        <w:t>e</w:t>
      </w:r>
      <w:r>
        <w:t>ntity; or</w:t>
      </w:r>
    </w:p>
    <w:p w14:paraId="5628775A" w14:textId="221246BC" w:rsidR="001E2394" w:rsidRDefault="001E2394" w:rsidP="00061417">
      <w:pPr>
        <w:pStyle w:val="ListParagraph"/>
        <w:numPr>
          <w:ilvl w:val="1"/>
          <w:numId w:val="21"/>
        </w:numPr>
      </w:pPr>
      <w:r>
        <w:t xml:space="preserve">a person nominated to be a disclosure officer for an ACTPS </w:t>
      </w:r>
      <w:r w:rsidR="000F51C3">
        <w:t>e</w:t>
      </w:r>
      <w:r>
        <w:t>ntity</w:t>
      </w:r>
      <w:r w:rsidR="00010A73">
        <w:t>;</w:t>
      </w:r>
    </w:p>
    <w:p w14:paraId="6977AE28" w14:textId="03B404A1" w:rsidR="001E2394" w:rsidRDefault="00010A73" w:rsidP="00061417">
      <w:pPr>
        <w:pStyle w:val="ListParagraph"/>
        <w:numPr>
          <w:ilvl w:val="0"/>
          <w:numId w:val="21"/>
        </w:numPr>
      </w:pPr>
      <w:r>
        <w:t>f</w:t>
      </w:r>
      <w:r w:rsidR="001E2394">
        <w:t xml:space="preserve">or reports relating </w:t>
      </w:r>
      <w:r w:rsidR="001E2394" w:rsidRPr="003E30D7">
        <w:t>only</w:t>
      </w:r>
      <w:r w:rsidR="001E2394" w:rsidRPr="0053678B">
        <w:t xml:space="preserve"> </w:t>
      </w:r>
      <w:r w:rsidR="001E2394">
        <w:t xml:space="preserve">to a Legislative Assembly </w:t>
      </w:r>
      <w:r w:rsidR="000F51C3">
        <w:t>e</w:t>
      </w:r>
      <w:r w:rsidR="001E2394">
        <w:t>ntity:</w:t>
      </w:r>
    </w:p>
    <w:p w14:paraId="2F61150A" w14:textId="77777777" w:rsidR="001E2394" w:rsidRDefault="001E2394" w:rsidP="00061417">
      <w:pPr>
        <w:pStyle w:val="ListParagraph"/>
        <w:numPr>
          <w:ilvl w:val="1"/>
          <w:numId w:val="21"/>
        </w:numPr>
      </w:pPr>
      <w:r>
        <w:t>the Clerk of the Legislative Assembly; or</w:t>
      </w:r>
    </w:p>
    <w:p w14:paraId="3A70F8AD" w14:textId="247F1AB1" w:rsidR="001E2394" w:rsidRDefault="001E2394" w:rsidP="00061417">
      <w:pPr>
        <w:pStyle w:val="ListParagraph"/>
        <w:numPr>
          <w:ilvl w:val="1"/>
          <w:numId w:val="21"/>
        </w:numPr>
      </w:pPr>
      <w:r>
        <w:t xml:space="preserve">a person nominated to be a disclosure officer for a Legislative Assembly </w:t>
      </w:r>
      <w:r w:rsidR="000F51C3">
        <w:t>e</w:t>
      </w:r>
      <w:r>
        <w:t>ntity.</w:t>
      </w:r>
      <w:r>
        <w:rPr>
          <w:rStyle w:val="FootnoteReference"/>
        </w:rPr>
        <w:footnoteReference w:id="21"/>
      </w:r>
    </w:p>
    <w:p w14:paraId="29CA8181" w14:textId="1EF0EF19" w:rsidR="002835FE" w:rsidRDefault="0091417A" w:rsidP="002835FE">
      <w:r>
        <w:t xml:space="preserve">The </w:t>
      </w:r>
      <w:r w:rsidR="00B53FAE">
        <w:t>websites</w:t>
      </w:r>
      <w:r>
        <w:t xml:space="preserve"> of </w:t>
      </w:r>
      <w:r w:rsidR="004D158C">
        <w:t>public sector</w:t>
      </w:r>
      <w:r w:rsidR="00680302">
        <w:t xml:space="preserve"> entities</w:t>
      </w:r>
      <w:r w:rsidR="00B53FAE">
        <w:t xml:space="preserve"> </w:t>
      </w:r>
      <w:r w:rsidR="00B53FAE" w:rsidRPr="001E2394">
        <w:t>must</w:t>
      </w:r>
      <w:r w:rsidR="00B53FAE">
        <w:rPr>
          <w:b/>
          <w:bCs/>
        </w:rPr>
        <w:t xml:space="preserve"> </w:t>
      </w:r>
      <w:r w:rsidR="00B53FAE">
        <w:t xml:space="preserve">provide contact details for all nominated disclosure </w:t>
      </w:r>
      <w:r w:rsidR="00E739F7">
        <w:t>officers</w:t>
      </w:r>
      <w:r w:rsidR="00B53FAE">
        <w:t>.</w:t>
      </w:r>
      <w:r w:rsidR="002835FE">
        <w:t xml:space="preserve"> </w:t>
      </w:r>
      <w:r w:rsidR="001E2394">
        <w:t>The</w:t>
      </w:r>
      <w:r w:rsidR="007532CF">
        <w:t xml:space="preserve"> </w:t>
      </w:r>
      <w:r w:rsidR="001E2394">
        <w:t>Commission’s</w:t>
      </w:r>
      <w:r w:rsidR="007532CF">
        <w:t xml:space="preserve"> </w:t>
      </w:r>
      <w:r w:rsidR="001E2394">
        <w:t>website also has a list of people that have been nominated as disclosure officers.</w:t>
      </w:r>
    </w:p>
    <w:p w14:paraId="58D6FE10" w14:textId="126BE669" w:rsidR="002835FE" w:rsidRDefault="002835FE" w:rsidP="002835FE">
      <w:r>
        <w:t xml:space="preserve">In addition to disclosure officers, </w:t>
      </w:r>
      <w:r w:rsidR="001E2394">
        <w:t>disclosers can make reports to</w:t>
      </w:r>
      <w:r>
        <w:t>:</w:t>
      </w:r>
    </w:p>
    <w:p w14:paraId="3CA2CBB3" w14:textId="77777777" w:rsidR="001E2394" w:rsidRPr="004F1675" w:rsidRDefault="001E2394" w:rsidP="00061417">
      <w:pPr>
        <w:pStyle w:val="ListParagraph"/>
        <w:numPr>
          <w:ilvl w:val="0"/>
          <w:numId w:val="35"/>
        </w:numPr>
      </w:pPr>
      <w:bookmarkStart w:id="44" w:name="_Ref64275954"/>
      <w:bookmarkEnd w:id="31"/>
      <w:r w:rsidRPr="004F1675">
        <w:t xml:space="preserve">a Minister; or </w:t>
      </w:r>
    </w:p>
    <w:p w14:paraId="4C6D607A" w14:textId="2C224A23" w:rsidR="001E2394" w:rsidRPr="004F1675" w:rsidRDefault="001E2394" w:rsidP="00061417">
      <w:pPr>
        <w:pStyle w:val="ListParagraph"/>
        <w:numPr>
          <w:ilvl w:val="0"/>
          <w:numId w:val="35"/>
        </w:numPr>
      </w:pPr>
      <w:r w:rsidRPr="004F1675">
        <w:t xml:space="preserve">if the </w:t>
      </w:r>
      <w:r>
        <w:t>discloser</w:t>
      </w:r>
      <w:r w:rsidRPr="004F1675">
        <w:t xml:space="preserve"> </w:t>
      </w:r>
      <w:r>
        <w:t>works</w:t>
      </w:r>
      <w:r w:rsidRPr="004F1675">
        <w:t xml:space="preserve"> for a </w:t>
      </w:r>
      <w:r w:rsidR="002A3697">
        <w:t>public sector entity</w:t>
      </w:r>
      <w:r>
        <w:t>:</w:t>
      </w:r>
      <w:r w:rsidRPr="004F1675">
        <w:t xml:space="preserve"> </w:t>
      </w:r>
    </w:p>
    <w:p w14:paraId="1B1B08FB" w14:textId="1BBECF9A" w:rsidR="001E2394" w:rsidRPr="004F1675" w:rsidRDefault="001E2394" w:rsidP="00061417">
      <w:pPr>
        <w:pStyle w:val="ListParagraph"/>
        <w:numPr>
          <w:ilvl w:val="1"/>
          <w:numId w:val="35"/>
        </w:numPr>
      </w:pPr>
      <w:r>
        <w:t>their supervisor or manager;</w:t>
      </w:r>
    </w:p>
    <w:p w14:paraId="773444CB" w14:textId="501BAF92" w:rsidR="001E2394" w:rsidRPr="004F1675" w:rsidRDefault="001E2394" w:rsidP="00061417">
      <w:pPr>
        <w:pStyle w:val="ListParagraph"/>
        <w:numPr>
          <w:ilvl w:val="1"/>
          <w:numId w:val="35"/>
        </w:numPr>
      </w:pPr>
      <w:r>
        <w:t xml:space="preserve">a member of the </w:t>
      </w:r>
      <w:r w:rsidR="002A3697">
        <w:t>public sector entity’s</w:t>
      </w:r>
      <w:r>
        <w:t xml:space="preserve"> governing board (if applicable)</w:t>
      </w:r>
      <w:r w:rsidRPr="004F1675">
        <w:t xml:space="preserve">; or </w:t>
      </w:r>
    </w:p>
    <w:p w14:paraId="2B40281E" w14:textId="6791C30D" w:rsidR="001E2394" w:rsidRPr="004F1675" w:rsidRDefault="001E2394" w:rsidP="00061417">
      <w:pPr>
        <w:pStyle w:val="ListParagraph"/>
        <w:numPr>
          <w:ilvl w:val="1"/>
          <w:numId w:val="35"/>
        </w:numPr>
      </w:pPr>
      <w:r>
        <w:t>someone at the</w:t>
      </w:r>
      <w:r w:rsidRPr="004F1675">
        <w:t xml:space="preserve"> </w:t>
      </w:r>
      <w:r w:rsidR="002A3697">
        <w:t>public sector entity</w:t>
      </w:r>
      <w:r w:rsidRPr="004F1675">
        <w:t xml:space="preserve"> who</w:t>
      </w:r>
      <w:r>
        <w:t xml:space="preserve"> deals with the issues the discloser’s report raises</w:t>
      </w:r>
      <w:r w:rsidRPr="004F1675">
        <w:t>.</w:t>
      </w:r>
      <w:r>
        <w:rPr>
          <w:rStyle w:val="FootnoteReference"/>
        </w:rPr>
        <w:footnoteReference w:id="22"/>
      </w:r>
    </w:p>
    <w:p w14:paraId="245CBC37" w14:textId="27FDD8BE" w:rsidR="001E2394" w:rsidRDefault="001E2394" w:rsidP="001E2394">
      <w:r>
        <w:t xml:space="preserve">The PID Act defines ‘public officials’ as a </w:t>
      </w:r>
      <w:r w:rsidR="00526BB4">
        <w:t xml:space="preserve">person </w:t>
      </w:r>
      <w:r>
        <w:t>who is, or has been:</w:t>
      </w:r>
    </w:p>
    <w:p w14:paraId="14AD4627" w14:textId="4E9D2A52" w:rsidR="001E2394" w:rsidRDefault="001E2394" w:rsidP="00061417">
      <w:pPr>
        <w:pStyle w:val="ListParagraph"/>
        <w:numPr>
          <w:ilvl w:val="0"/>
          <w:numId w:val="36"/>
        </w:numPr>
      </w:pPr>
      <w:r>
        <w:t xml:space="preserve">an employee of a </w:t>
      </w:r>
      <w:r w:rsidR="000F51C3">
        <w:t>public sector entity</w:t>
      </w:r>
      <w:r>
        <w:t>;</w:t>
      </w:r>
      <w:r>
        <w:rPr>
          <w:rStyle w:val="FootnoteReference"/>
        </w:rPr>
        <w:footnoteReference w:id="23"/>
      </w:r>
      <w:r>
        <w:t xml:space="preserve"> or</w:t>
      </w:r>
    </w:p>
    <w:p w14:paraId="5668F42C" w14:textId="1CCF3232" w:rsidR="001E2394" w:rsidRDefault="001E2394" w:rsidP="00061417">
      <w:pPr>
        <w:pStyle w:val="ListParagraph"/>
        <w:numPr>
          <w:ilvl w:val="0"/>
          <w:numId w:val="36"/>
        </w:numPr>
      </w:pPr>
      <w:r>
        <w:t xml:space="preserve">a contractor, employee of a contractor or volunteer at a </w:t>
      </w:r>
      <w:r w:rsidR="000F51C3">
        <w:t>public sector entity</w:t>
      </w:r>
      <w:r>
        <w:t>.</w:t>
      </w:r>
      <w:r>
        <w:rPr>
          <w:rStyle w:val="FootnoteReference"/>
        </w:rPr>
        <w:footnoteReference w:id="24"/>
      </w:r>
    </w:p>
    <w:p w14:paraId="32101ACE" w14:textId="77777777" w:rsidR="00706384" w:rsidRDefault="00706384">
      <w:pPr>
        <w:jc w:val="left"/>
        <w:rPr>
          <w:rFonts w:eastAsiaTheme="majorEastAsia" w:cstheme="majorBidi"/>
          <w:color w:val="2F5496" w:themeColor="accent1" w:themeShade="BF"/>
          <w:sz w:val="26"/>
          <w:szCs w:val="26"/>
        </w:rPr>
      </w:pPr>
      <w:r>
        <w:br w:type="page"/>
      </w:r>
    </w:p>
    <w:p w14:paraId="1FFE00F4" w14:textId="20EFFED6" w:rsidR="00F24759" w:rsidRDefault="00F24759" w:rsidP="007247D1">
      <w:pPr>
        <w:pStyle w:val="Heading2"/>
      </w:pPr>
      <w:bookmarkStart w:id="45" w:name="_Toc67903967"/>
      <w:bookmarkStart w:id="46" w:name="_Toc75255145"/>
      <w:r>
        <w:lastRenderedPageBreak/>
        <w:t xml:space="preserve">When can </w:t>
      </w:r>
      <w:r w:rsidR="002835FE">
        <w:t>PIDs</w:t>
      </w:r>
      <w:r>
        <w:t xml:space="preserve"> be </w:t>
      </w:r>
      <w:r w:rsidR="002835FE">
        <w:t xml:space="preserve">made or </w:t>
      </w:r>
      <w:r>
        <w:t>referred to a third party</w:t>
      </w:r>
      <w:bookmarkEnd w:id="24"/>
      <w:bookmarkEnd w:id="25"/>
      <w:bookmarkEnd w:id="26"/>
      <w:bookmarkEnd w:id="44"/>
      <w:r w:rsidR="00881E00">
        <w:t>?</w:t>
      </w:r>
      <w:bookmarkEnd w:id="45"/>
      <w:bookmarkEnd w:id="46"/>
    </w:p>
    <w:p w14:paraId="10217A71" w14:textId="1CFEF368" w:rsidR="00595BE4" w:rsidRDefault="00595BE4" w:rsidP="00595BE4">
      <w:bookmarkStart w:id="47" w:name="_Toc57188817"/>
      <w:r>
        <w:t xml:space="preserve">Part 5 of the PID Act outlines </w:t>
      </w:r>
      <w:r w:rsidR="001E2394">
        <w:t>when</w:t>
      </w:r>
      <w:r>
        <w:t xml:space="preserve"> </w:t>
      </w:r>
      <w:r w:rsidR="00E37FD5">
        <w:t>disclosures</w:t>
      </w:r>
      <w:r>
        <w:t xml:space="preserve"> can be made or referred to </w:t>
      </w:r>
      <w:r w:rsidR="001E2394">
        <w:t>‘</w:t>
      </w:r>
      <w:r>
        <w:t>third parties</w:t>
      </w:r>
      <w:r w:rsidR="001E2394">
        <w:t>’</w:t>
      </w:r>
      <w:r>
        <w:t xml:space="preserve">. </w:t>
      </w:r>
      <w:r w:rsidR="001E2394">
        <w:t>Third parties are</w:t>
      </w:r>
      <w:r>
        <w:t xml:space="preserve"> </w:t>
      </w:r>
      <w:r w:rsidR="000D3918">
        <w:t xml:space="preserve">defined as </w:t>
      </w:r>
      <w:r>
        <w:t xml:space="preserve">journalists </w:t>
      </w:r>
      <w:r w:rsidR="000D3918">
        <w:t>or</w:t>
      </w:r>
      <w:r>
        <w:t xml:space="preserve"> MLAs.</w:t>
      </w:r>
    </w:p>
    <w:p w14:paraId="6F63023C" w14:textId="4E84FA62" w:rsidR="00595BE4" w:rsidRDefault="00595BE4" w:rsidP="00595BE4">
      <w:pPr>
        <w:tabs>
          <w:tab w:val="left" w:pos="6096"/>
        </w:tabs>
      </w:pPr>
      <w:r>
        <w:t>There are two broad situations where</w:t>
      </w:r>
      <w:r w:rsidR="00242426">
        <w:t xml:space="preserve"> information or materials can be referred to</w:t>
      </w:r>
      <w:r>
        <w:t xml:space="preserve"> third parties</w:t>
      </w:r>
      <w:r w:rsidR="00BF0EF2">
        <w:t xml:space="preserve"> and retain the statutory protections</w:t>
      </w:r>
      <w:r w:rsidR="00242426">
        <w:t>:</w:t>
      </w:r>
    </w:p>
    <w:p w14:paraId="3D3B4EFE" w14:textId="722BA11F" w:rsidR="001E2394" w:rsidRDefault="001E2394" w:rsidP="001E2394">
      <w:pPr>
        <w:pStyle w:val="ListParagraph"/>
        <w:numPr>
          <w:ilvl w:val="0"/>
          <w:numId w:val="2"/>
        </w:numPr>
      </w:pPr>
      <w:r>
        <w:t>where a report of disclosable conduct has not been handled appropriately</w:t>
      </w:r>
      <w:r w:rsidR="00CC2D0D">
        <w:t>;</w:t>
      </w:r>
      <w:r>
        <w:t xml:space="preserve"> or </w:t>
      </w:r>
    </w:p>
    <w:p w14:paraId="27523314" w14:textId="07B70BE5" w:rsidR="001E2394" w:rsidRDefault="001E2394" w:rsidP="001E2394">
      <w:pPr>
        <w:pStyle w:val="ListParagraph"/>
        <w:numPr>
          <w:ilvl w:val="0"/>
          <w:numId w:val="2"/>
        </w:numPr>
      </w:pPr>
      <w:r>
        <w:t>where a PID has not been handled appropriately.</w:t>
      </w:r>
    </w:p>
    <w:p w14:paraId="140403E7" w14:textId="45CF159D" w:rsidR="001E2394" w:rsidRDefault="001E2394" w:rsidP="001E2394">
      <w:r>
        <w:t>The first of these is where a report</w:t>
      </w:r>
      <w:r w:rsidR="00980900">
        <w:t>,</w:t>
      </w:r>
      <w:r>
        <w:t xml:space="preserve"> which the Commission has not yet assessed as a PID</w:t>
      </w:r>
      <w:r w:rsidR="00980900">
        <w:t>,</w:t>
      </w:r>
      <w:r>
        <w:t xml:space="preserve"> has been mishandled. The second </w:t>
      </w:r>
      <w:r w:rsidR="00242426">
        <w:t>is</w:t>
      </w:r>
      <w:r>
        <w:t xml:space="preserve"> where </w:t>
      </w:r>
      <w:r w:rsidR="00BF5015">
        <w:t xml:space="preserve">an investigating entity has mishandled the investigation of the information disclosed in a PID. </w:t>
      </w:r>
    </w:p>
    <w:p w14:paraId="79167DBF" w14:textId="0B06C999" w:rsidR="001E2394" w:rsidRPr="003E30D7" w:rsidRDefault="001E2394" w:rsidP="001E2394">
      <w:pPr>
        <w:rPr>
          <w:b/>
          <w:bCs/>
        </w:rPr>
      </w:pPr>
      <w:r>
        <w:t xml:space="preserve">In both instances, the opportunity to give information about the </w:t>
      </w:r>
      <w:r w:rsidR="00706E8B">
        <w:t>disclosure</w:t>
      </w:r>
      <w:r>
        <w:t xml:space="preserve"> to a third party arises where the discloser has not received updates within the required timeframe. </w:t>
      </w:r>
      <w:r w:rsidR="00BF0EF2">
        <w:t xml:space="preserve">Where this occurs, the </w:t>
      </w:r>
      <w:r>
        <w:t xml:space="preserve">discloser receives all </w:t>
      </w:r>
      <w:r w:rsidR="00BF0EF2">
        <w:t>the PID Act</w:t>
      </w:r>
      <w:r>
        <w:t xml:space="preserve"> protections.</w:t>
      </w:r>
      <w:r>
        <w:rPr>
          <w:rStyle w:val="FootnoteReference"/>
        </w:rPr>
        <w:footnoteReference w:id="25"/>
      </w:r>
    </w:p>
    <w:p w14:paraId="36164011" w14:textId="334C9C5B" w:rsidR="00595BE4" w:rsidRDefault="00595BE4" w:rsidP="0087701B">
      <w:pPr>
        <w:pStyle w:val="Heading3"/>
      </w:pPr>
      <w:bookmarkStart w:id="48" w:name="_Toc62136002"/>
      <w:bookmarkStart w:id="49" w:name="_Ref64900976"/>
      <w:bookmarkStart w:id="50" w:name="_Ref64901058"/>
      <w:bookmarkStart w:id="51" w:name="_Toc67903968"/>
      <w:bookmarkStart w:id="52" w:name="_Ref73524537"/>
      <w:bookmarkStart w:id="53" w:name="_Toc75255146"/>
      <w:bookmarkStart w:id="54" w:name="_Ref75266742"/>
      <w:bookmarkStart w:id="55" w:name="_Ref57017621"/>
      <w:bookmarkStart w:id="56" w:name="_Toc57188818"/>
      <w:bookmarkStart w:id="57" w:name="_Hlk62204715"/>
      <w:bookmarkStart w:id="58" w:name="_Ref57022474"/>
      <w:bookmarkEnd w:id="47"/>
      <w:r>
        <w:t xml:space="preserve">Making a </w:t>
      </w:r>
      <w:r w:rsidR="007121C6">
        <w:t>report</w:t>
      </w:r>
      <w:r>
        <w:t xml:space="preserve"> to a third party</w:t>
      </w:r>
      <w:bookmarkEnd w:id="48"/>
      <w:bookmarkEnd w:id="49"/>
      <w:bookmarkEnd w:id="50"/>
      <w:bookmarkEnd w:id="51"/>
      <w:bookmarkEnd w:id="52"/>
      <w:bookmarkEnd w:id="53"/>
      <w:bookmarkEnd w:id="54"/>
    </w:p>
    <w:p w14:paraId="3C0B207F" w14:textId="3BF80C0F" w:rsidR="001E2394" w:rsidRDefault="001E2394" w:rsidP="001E2394">
      <w:bookmarkStart w:id="59" w:name="_Toc62136003"/>
      <w:bookmarkStart w:id="60" w:name="_Ref57188504"/>
      <w:bookmarkStart w:id="61" w:name="_Toc57188819"/>
      <w:bookmarkStart w:id="62" w:name="_Ref59095639"/>
      <w:bookmarkEnd w:id="55"/>
      <w:bookmarkEnd w:id="56"/>
      <w:bookmarkEnd w:id="57"/>
      <w:r>
        <w:t xml:space="preserve">A discloser </w:t>
      </w:r>
      <w:r w:rsidR="00242426">
        <w:t>who</w:t>
      </w:r>
      <w:r>
        <w:t xml:space="preserve"> report</w:t>
      </w:r>
      <w:r w:rsidR="00242426">
        <w:t>s</w:t>
      </w:r>
      <w:r>
        <w:t xml:space="preserve"> wrongdoing to a third party</w:t>
      </w:r>
      <w:r w:rsidR="00605BB4">
        <w:t xml:space="preserve"> </w:t>
      </w:r>
      <w:r w:rsidR="00BF5015">
        <w:t>is</w:t>
      </w:r>
      <w:r w:rsidR="00605BB4">
        <w:t xml:space="preserve"> entitled to the </w:t>
      </w:r>
      <w:r w:rsidR="00370F9F">
        <w:t xml:space="preserve">PID Act </w:t>
      </w:r>
      <w:r w:rsidR="00605BB4">
        <w:t>protections</w:t>
      </w:r>
      <w:r>
        <w:t xml:space="preserve"> where they have already reported the alleged wrongdoing to an appropriate entity, is not anonymous and </w:t>
      </w:r>
      <w:r w:rsidR="00370F9F">
        <w:t>has</w:t>
      </w:r>
      <w:r>
        <w:t xml:space="preserve"> not received within three months:</w:t>
      </w:r>
    </w:p>
    <w:p w14:paraId="11EA81C1" w14:textId="77777777" w:rsidR="001E2394" w:rsidRDefault="001E2394" w:rsidP="001E2394">
      <w:pPr>
        <w:pStyle w:val="ListParagraph"/>
        <w:numPr>
          <w:ilvl w:val="0"/>
          <w:numId w:val="2"/>
        </w:numPr>
      </w:pPr>
      <w:r>
        <w:t>a notice</w:t>
      </w:r>
      <w:r>
        <w:rPr>
          <w:rStyle w:val="FootnoteReference"/>
        </w:rPr>
        <w:footnoteReference w:id="26"/>
      </w:r>
      <w:r>
        <w:t xml:space="preserve"> that the report has been assessed as not being a PID; or</w:t>
      </w:r>
    </w:p>
    <w:p w14:paraId="6C8085E1" w14:textId="77777777" w:rsidR="001E2394" w:rsidRDefault="001E2394" w:rsidP="001E2394">
      <w:pPr>
        <w:pStyle w:val="ListParagraph"/>
        <w:numPr>
          <w:ilvl w:val="0"/>
          <w:numId w:val="2"/>
        </w:numPr>
      </w:pPr>
      <w:r>
        <w:t>a notice</w:t>
      </w:r>
      <w:r>
        <w:rPr>
          <w:rStyle w:val="FootnoteReference"/>
        </w:rPr>
        <w:footnoteReference w:id="27"/>
      </w:r>
      <w:r>
        <w:t xml:space="preserve"> confirming that an investigation will be undertaken.</w:t>
      </w:r>
      <w:r>
        <w:rPr>
          <w:rStyle w:val="FootnoteReference"/>
        </w:rPr>
        <w:footnoteReference w:id="28"/>
      </w:r>
    </w:p>
    <w:p w14:paraId="199CEE7E" w14:textId="35F37570" w:rsidR="001E2394" w:rsidRDefault="00605BB4" w:rsidP="001E2394">
      <w:r>
        <w:t>A</w:t>
      </w:r>
      <w:r w:rsidR="001E2394">
        <w:t xml:space="preserve"> report made to a third party in accordance </w:t>
      </w:r>
      <w:r w:rsidR="001D7B9D">
        <w:t xml:space="preserve">with </w:t>
      </w:r>
      <w:r w:rsidR="001E2394">
        <w:t>these requirements is deemed to be a PID.</w:t>
      </w:r>
      <w:r w:rsidR="001E2394">
        <w:rPr>
          <w:rStyle w:val="FootnoteReference"/>
        </w:rPr>
        <w:footnoteReference w:id="29"/>
      </w:r>
      <w:r w:rsidR="001E2394">
        <w:t xml:space="preserve"> The</w:t>
      </w:r>
      <w:r w:rsidR="00BF5015">
        <w:t xml:space="preserve"> </w:t>
      </w:r>
      <w:r w:rsidR="001E2394">
        <w:t>discloser must</w:t>
      </w:r>
      <w:r>
        <w:t>,</w:t>
      </w:r>
      <w:r w:rsidR="001E2394">
        <w:t xml:space="preserve"> however</w:t>
      </w:r>
      <w:r>
        <w:t>,</w:t>
      </w:r>
      <w:r w:rsidR="001E2394">
        <w:t xml:space="preserve"> ensure they only report information </w:t>
      </w:r>
      <w:r w:rsidR="001D7B9D">
        <w:t>reasonably necessary to show the conduct is disclosable</w:t>
      </w:r>
      <w:r w:rsidR="000D3918">
        <w:t xml:space="preserve"> conduct</w:t>
      </w:r>
      <w:r w:rsidR="001E2394">
        <w:t>.</w:t>
      </w:r>
      <w:r w:rsidR="001E2394">
        <w:rPr>
          <w:rStyle w:val="FootnoteReference"/>
        </w:rPr>
        <w:footnoteReference w:id="30"/>
      </w:r>
    </w:p>
    <w:p w14:paraId="53BCC15E" w14:textId="77777777" w:rsidR="00595BE4" w:rsidRDefault="00595BE4" w:rsidP="0087701B">
      <w:pPr>
        <w:pStyle w:val="Heading3"/>
      </w:pPr>
      <w:bookmarkStart w:id="63" w:name="_Toc67903969"/>
      <w:bookmarkStart w:id="64" w:name="_Toc75255147"/>
      <w:r>
        <w:t>Where an existing PID may be provided to a third party</w:t>
      </w:r>
      <w:bookmarkEnd w:id="59"/>
      <w:bookmarkEnd w:id="63"/>
      <w:bookmarkEnd w:id="64"/>
    </w:p>
    <w:p w14:paraId="0886E304" w14:textId="75B926E2" w:rsidR="002371DD" w:rsidRDefault="002371DD" w:rsidP="002371DD">
      <w:bookmarkStart w:id="65" w:name="_Ref65480519"/>
      <w:bookmarkStart w:id="66" w:name="_Ref57034100"/>
      <w:bookmarkStart w:id="67" w:name="_Toc57188820"/>
      <w:bookmarkEnd w:id="58"/>
      <w:bookmarkEnd w:id="60"/>
      <w:bookmarkEnd w:id="61"/>
      <w:bookmarkEnd w:id="62"/>
      <w:r>
        <w:t xml:space="preserve">After the Commission has told a third party their report is a PID and </w:t>
      </w:r>
      <w:r w:rsidR="000D3918">
        <w:t>it</w:t>
      </w:r>
      <w:r w:rsidR="00C3279A">
        <w:t xml:space="preserve"> will</w:t>
      </w:r>
      <w:r>
        <w:t xml:space="preserve"> be investigated,</w:t>
      </w:r>
      <w:r>
        <w:rPr>
          <w:rStyle w:val="FootnoteReference"/>
        </w:rPr>
        <w:footnoteReference w:id="31"/>
      </w:r>
      <w:r w:rsidRPr="00184AFA">
        <w:t xml:space="preserve"> </w:t>
      </w:r>
      <w:r>
        <w:t>the discloser must be told about the progress (or outcome) of the investigation at least once every three months.</w:t>
      </w:r>
      <w:r>
        <w:rPr>
          <w:rStyle w:val="FootnoteReference"/>
        </w:rPr>
        <w:footnoteReference w:id="32"/>
      </w:r>
      <w:r>
        <w:t xml:space="preserve"> Where the discloser is not updated, </w:t>
      </w:r>
      <w:r w:rsidR="00605BB4">
        <w:t>if</w:t>
      </w:r>
      <w:r w:rsidR="009929AA">
        <w:t xml:space="preserve"> the</w:t>
      </w:r>
      <w:r>
        <w:t xml:space="preserve"> discloser give</w:t>
      </w:r>
      <w:r w:rsidR="00605BB4">
        <w:t>s</w:t>
      </w:r>
      <w:r>
        <w:t xml:space="preserve"> the PID to a third party</w:t>
      </w:r>
      <w:r w:rsidR="00605BB4">
        <w:t xml:space="preserve"> the protections will still apply</w:t>
      </w:r>
      <w:r>
        <w:t>.</w:t>
      </w:r>
      <w:r>
        <w:rPr>
          <w:rStyle w:val="FootnoteReference"/>
        </w:rPr>
        <w:footnoteReference w:id="33"/>
      </w:r>
    </w:p>
    <w:p w14:paraId="39BFB5D8" w14:textId="78F672D8" w:rsidR="002371DD" w:rsidRDefault="002371DD" w:rsidP="002371DD">
      <w:r>
        <w:t xml:space="preserve">Alternatively, </w:t>
      </w:r>
      <w:r w:rsidR="00605BB4">
        <w:t xml:space="preserve">where </w:t>
      </w:r>
      <w:r>
        <w:t>a discloser give</w:t>
      </w:r>
      <w:r w:rsidR="00605BB4">
        <w:t>s</w:t>
      </w:r>
      <w:r>
        <w:t xml:space="preserve"> a PID to a third party </w:t>
      </w:r>
      <w:r w:rsidR="00C3279A">
        <w:t>following an investigation</w:t>
      </w:r>
      <w:r>
        <w:t xml:space="preserve"> </w:t>
      </w:r>
      <w:r w:rsidR="009929AA">
        <w:t>and</w:t>
      </w:r>
      <w:r>
        <w:t xml:space="preserve">: </w:t>
      </w:r>
    </w:p>
    <w:p w14:paraId="0AAFEB73" w14:textId="33020CC2" w:rsidR="002371DD" w:rsidRDefault="002371DD" w:rsidP="00061417">
      <w:pPr>
        <w:pStyle w:val="ListParagraph"/>
        <w:numPr>
          <w:ilvl w:val="0"/>
          <w:numId w:val="23"/>
        </w:numPr>
      </w:pPr>
      <w:r>
        <w:t xml:space="preserve">clear evidence was found that the wrongdoing alleged by the discloser has, or was likely to have, occurred; </w:t>
      </w:r>
      <w:r w:rsidR="009929AA">
        <w:t>or</w:t>
      </w:r>
    </w:p>
    <w:p w14:paraId="19E8554D" w14:textId="1D71F1D8" w:rsidR="002371DD" w:rsidRDefault="002371DD" w:rsidP="00061417">
      <w:pPr>
        <w:pStyle w:val="ListParagraph"/>
        <w:numPr>
          <w:ilvl w:val="0"/>
          <w:numId w:val="22"/>
        </w:numPr>
      </w:pPr>
      <w:r>
        <w:t>the discloser is told that no action will be taken in relation to the wrongdoing</w:t>
      </w:r>
      <w:r w:rsidR="004645C0">
        <w:t>,</w:t>
      </w:r>
      <w:r>
        <w:rPr>
          <w:rStyle w:val="FootnoteReference"/>
        </w:rPr>
        <w:footnoteReference w:id="34"/>
      </w:r>
    </w:p>
    <w:p w14:paraId="2435E17C" w14:textId="12A11801" w:rsidR="00605BB4" w:rsidRDefault="00605BB4" w:rsidP="00605BB4">
      <w:r>
        <w:t>the discloser will still be protected.</w:t>
      </w:r>
    </w:p>
    <w:p w14:paraId="011D1922" w14:textId="44CCB402" w:rsidR="002371DD" w:rsidRDefault="002371DD" w:rsidP="002371DD">
      <w:r>
        <w:t xml:space="preserve">In both cases, the discloser must ensure that they only report information </w:t>
      </w:r>
      <w:r w:rsidR="004F2BD6">
        <w:t>reasonably related to the disclosure</w:t>
      </w:r>
      <w:r>
        <w:t>.</w:t>
      </w:r>
      <w:r>
        <w:rPr>
          <w:rStyle w:val="FootnoteReference"/>
        </w:rPr>
        <w:footnoteReference w:id="35"/>
      </w:r>
    </w:p>
    <w:p w14:paraId="1F65608C" w14:textId="77777777" w:rsidR="00595BE4" w:rsidRPr="006765E7" w:rsidRDefault="00595BE4" w:rsidP="007247D1">
      <w:pPr>
        <w:pStyle w:val="Heading2"/>
      </w:pPr>
      <w:bookmarkStart w:id="68" w:name="_Ref57016906"/>
      <w:bookmarkStart w:id="69" w:name="_Toc62136008"/>
      <w:bookmarkStart w:id="70" w:name="_Ref64273134"/>
      <w:bookmarkStart w:id="71" w:name="_Toc67903971"/>
      <w:bookmarkStart w:id="72" w:name="_Toc75255148"/>
      <w:bookmarkStart w:id="73" w:name="_Hlk62205177"/>
      <w:bookmarkEnd w:id="65"/>
      <w:bookmarkEnd w:id="66"/>
      <w:bookmarkEnd w:id="67"/>
      <w:r>
        <w:lastRenderedPageBreak/>
        <w:t>What is not disclosable conduct</w:t>
      </w:r>
      <w:bookmarkEnd w:id="68"/>
      <w:r>
        <w:t>?</w:t>
      </w:r>
      <w:bookmarkEnd w:id="69"/>
      <w:bookmarkEnd w:id="70"/>
      <w:bookmarkEnd w:id="71"/>
      <w:bookmarkEnd w:id="72"/>
    </w:p>
    <w:bookmarkEnd w:id="73"/>
    <w:p w14:paraId="61943BFD" w14:textId="2DF6B8B2" w:rsidR="002371DD" w:rsidRPr="002F326E" w:rsidRDefault="004F2BD6" w:rsidP="002371DD">
      <w:pPr>
        <w:rPr>
          <w:iCs/>
        </w:rPr>
      </w:pPr>
      <w:r>
        <w:t>A report</w:t>
      </w:r>
      <w:r w:rsidR="002371DD">
        <w:t xml:space="preserve"> about something that is not disclosable conduct</w:t>
      </w:r>
      <w:r>
        <w:t xml:space="preserve"> does not qualify as a PID</w:t>
      </w:r>
      <w:r w:rsidR="002371DD">
        <w:t xml:space="preserve">. </w:t>
      </w:r>
      <w:r>
        <w:t>An</w:t>
      </w:r>
      <w:r w:rsidR="002371DD" w:rsidRPr="002F326E">
        <w:rPr>
          <w:iCs/>
        </w:rPr>
        <w:t xml:space="preserve"> action</w:t>
      </w:r>
      <w:r w:rsidR="004645C0">
        <w:rPr>
          <w:iCs/>
        </w:rPr>
        <w:t>,</w:t>
      </w:r>
      <w:r w:rsidR="002371DD" w:rsidRPr="002F326E">
        <w:rPr>
          <w:iCs/>
        </w:rPr>
        <w:t xml:space="preserve"> policy</w:t>
      </w:r>
      <w:r>
        <w:rPr>
          <w:iCs/>
        </w:rPr>
        <w:t>,</w:t>
      </w:r>
      <w:r w:rsidR="002371DD" w:rsidRPr="002F326E">
        <w:rPr>
          <w:iCs/>
        </w:rPr>
        <w:t xml:space="preserve"> practice or procedure of a </w:t>
      </w:r>
      <w:r w:rsidR="000F51C3">
        <w:rPr>
          <w:iCs/>
        </w:rPr>
        <w:t>public sector entity</w:t>
      </w:r>
      <w:r w:rsidR="002371DD" w:rsidRPr="002F326E">
        <w:rPr>
          <w:iCs/>
        </w:rPr>
        <w:t xml:space="preserve">, or a public official for </w:t>
      </w:r>
      <w:r w:rsidR="000F51C3">
        <w:rPr>
          <w:iCs/>
        </w:rPr>
        <w:t>a public sector entity</w:t>
      </w:r>
      <w:r w:rsidR="002371DD" w:rsidRPr="002F326E">
        <w:rPr>
          <w:iCs/>
        </w:rPr>
        <w:t>, that</w:t>
      </w:r>
      <w:r w:rsidR="002371DD">
        <w:rPr>
          <w:iCs/>
        </w:rPr>
        <w:t>:</w:t>
      </w:r>
    </w:p>
    <w:p w14:paraId="0ECE3646" w14:textId="1E5D1E73" w:rsidR="002371DD" w:rsidRPr="003F5F89" w:rsidRDefault="002371DD" w:rsidP="00061417">
      <w:pPr>
        <w:pStyle w:val="ListParagraph"/>
        <w:numPr>
          <w:ilvl w:val="0"/>
          <w:numId w:val="39"/>
        </w:numPr>
        <w:rPr>
          <w:iCs/>
        </w:rPr>
      </w:pPr>
      <w:r w:rsidRPr="003F5F89">
        <w:rPr>
          <w:iCs/>
        </w:rPr>
        <w:t>relates to a</w:t>
      </w:r>
      <w:r>
        <w:rPr>
          <w:iCs/>
        </w:rPr>
        <w:t xml:space="preserve"> discloser’s</w:t>
      </w:r>
      <w:r w:rsidRPr="003F5F89">
        <w:rPr>
          <w:iCs/>
        </w:rPr>
        <w:t xml:space="preserve"> personal work-related grievance; or </w:t>
      </w:r>
    </w:p>
    <w:p w14:paraId="4146B9A8" w14:textId="6D1853DC" w:rsidR="004F2BD6" w:rsidRDefault="002371DD" w:rsidP="00061417">
      <w:pPr>
        <w:pStyle w:val="ListParagraph"/>
        <w:numPr>
          <w:ilvl w:val="0"/>
          <w:numId w:val="39"/>
        </w:numPr>
        <w:rPr>
          <w:iCs/>
        </w:rPr>
      </w:pPr>
      <w:r w:rsidRPr="003F5F89">
        <w:rPr>
          <w:iCs/>
        </w:rPr>
        <w:t>is to give effect to a policy about amounts, purposes or priorities of public expenditure</w:t>
      </w:r>
      <w:r w:rsidR="004645C0">
        <w:rPr>
          <w:iCs/>
        </w:rPr>
        <w:t>,</w:t>
      </w:r>
    </w:p>
    <w:p w14:paraId="1804DB59" w14:textId="36D1674A" w:rsidR="002371DD" w:rsidRPr="004F2BD6" w:rsidRDefault="004F2BD6" w:rsidP="004F2BD6">
      <w:pPr>
        <w:rPr>
          <w:iCs/>
        </w:rPr>
      </w:pPr>
      <w:r>
        <w:rPr>
          <w:iCs/>
        </w:rPr>
        <w:t xml:space="preserve">is not disclosable conduct for the purposes of </w:t>
      </w:r>
      <w:r w:rsidR="004645C0">
        <w:rPr>
          <w:iCs/>
        </w:rPr>
        <w:t xml:space="preserve">the </w:t>
      </w:r>
      <w:r>
        <w:rPr>
          <w:iCs/>
        </w:rPr>
        <w:t xml:space="preserve">PID </w:t>
      </w:r>
      <w:r w:rsidR="004645C0">
        <w:rPr>
          <w:iCs/>
        </w:rPr>
        <w:t>Act</w:t>
      </w:r>
      <w:r>
        <w:rPr>
          <w:iCs/>
        </w:rPr>
        <w:t>.</w:t>
      </w:r>
      <w:r w:rsidR="002371DD" w:rsidRPr="003F5F89">
        <w:rPr>
          <w:rStyle w:val="FootnoteReference"/>
          <w:iCs/>
        </w:rPr>
        <w:footnoteReference w:id="36"/>
      </w:r>
    </w:p>
    <w:p w14:paraId="1A64568B" w14:textId="308981F0" w:rsidR="002371DD" w:rsidRPr="00223763" w:rsidRDefault="002371DD" w:rsidP="002371DD">
      <w:r w:rsidRPr="00223763">
        <w:t>PIDs are generally not</w:t>
      </w:r>
      <w:r w:rsidR="004645C0">
        <w:t xml:space="preserve"> an</w:t>
      </w:r>
      <w:r>
        <w:t xml:space="preserve"> appropriate</w:t>
      </w:r>
      <w:r w:rsidR="004645C0">
        <w:t xml:space="preserve"> vehicle</w:t>
      </w:r>
      <w:r>
        <w:t xml:space="preserve"> to</w:t>
      </w:r>
      <w:r w:rsidRPr="00223763">
        <w:t xml:space="preserve"> </w:t>
      </w:r>
      <w:r>
        <w:t>resolve</w:t>
      </w:r>
      <w:r w:rsidRPr="00223763">
        <w:t xml:space="preserve"> individual workplace issues. The Public Sector Standards Commissioner has issued clear guidance regarding what is not likely to amount to a PID</w:t>
      </w:r>
      <w:r>
        <w:t>, which the Commission endorses:</w:t>
      </w:r>
      <w:r w:rsidRPr="002F326E">
        <w:rPr>
          <w:rStyle w:val="FootnoteReference"/>
          <w:iCs/>
        </w:rPr>
        <w:footnoteReference w:id="37"/>
      </w:r>
    </w:p>
    <w:p w14:paraId="1658DFAD" w14:textId="29BE481F" w:rsidR="002371DD" w:rsidRPr="00C62262" w:rsidRDefault="002371DD" w:rsidP="002371DD">
      <w:pPr>
        <w:ind w:left="720"/>
        <w:rPr>
          <w:iCs/>
          <w:szCs w:val="20"/>
        </w:rPr>
      </w:pPr>
      <w:r w:rsidRPr="00C62262">
        <w:rPr>
          <w:iCs/>
          <w:szCs w:val="20"/>
        </w:rPr>
        <w:t>Matters that affect only personal or private interests are unlikely to be a PID. Complaints relating to individual employment and industrial matters, isolated allegations of bullying or harassment, personnel matters, individual performance management concerns and individual workplace health or safety concerns would generally not be considered a PID and are best dealt with through other means...A PID is not a mechanism for solving a personal grievance. It is a process within government to deal with matters of a serious nature which if resolved would increase trust and confidence in the integrity and probity structures</w:t>
      </w:r>
      <w:r w:rsidR="004F2BD6">
        <w:rPr>
          <w:iCs/>
          <w:szCs w:val="20"/>
        </w:rPr>
        <w:t>…[of government].</w:t>
      </w:r>
    </w:p>
    <w:p w14:paraId="6A89A6C5" w14:textId="4E88B36D" w:rsidR="006E741A" w:rsidRDefault="002371DD" w:rsidP="002371DD">
      <w:r>
        <w:t>A good question to ask in determining whether the discloser’s report is about disclosable conduct is whether their concerns have (or potentially have) a widespread impact. This does not mean issues which may be affecting the discloser personally are not PIDs, but if they affect only the discloser it is less likely they will be PIDs.</w:t>
      </w:r>
    </w:p>
    <w:p w14:paraId="6D58493E" w14:textId="0646A02C" w:rsidR="006E741A" w:rsidRDefault="006E741A">
      <w:pPr>
        <w:jc w:val="left"/>
      </w:pPr>
      <w:r>
        <w:br w:type="page"/>
      </w:r>
    </w:p>
    <w:p w14:paraId="4040BAC1" w14:textId="6BBAFF32" w:rsidR="00E64792" w:rsidRDefault="00E64792" w:rsidP="00E64792">
      <w:pPr>
        <w:pStyle w:val="Caption"/>
      </w:pPr>
      <w:r>
        <w:lastRenderedPageBreak/>
        <w:t xml:space="preserve">Table </w:t>
      </w:r>
      <w:r w:rsidR="00342157">
        <w:fldChar w:fldCharType="begin"/>
      </w:r>
      <w:r w:rsidR="00342157">
        <w:instrText xml:space="preserve"> SEQ Table \* ARABIC </w:instrText>
      </w:r>
      <w:r w:rsidR="00342157">
        <w:fldChar w:fldCharType="separate"/>
      </w:r>
      <w:r w:rsidR="00245E6D">
        <w:rPr>
          <w:noProof/>
        </w:rPr>
        <w:t>2</w:t>
      </w:r>
      <w:r w:rsidR="00342157">
        <w:rPr>
          <w:noProof/>
        </w:rPr>
        <w:fldChar w:fldCharType="end"/>
      </w:r>
      <w:r>
        <w:t>: Determining whether the discloser's concerns are likely to be a PID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13965" w:rsidRPr="005C73EB" w14:paraId="77F780DB" w14:textId="77777777" w:rsidTr="00986511">
        <w:tc>
          <w:tcPr>
            <w:tcW w:w="9016" w:type="dxa"/>
            <w:shd w:val="clear" w:color="auto" w:fill="004854"/>
          </w:tcPr>
          <w:p w14:paraId="26FAA0CC" w14:textId="3535F053" w:rsidR="00613965" w:rsidRPr="005C73EB" w:rsidRDefault="00613965" w:rsidP="00613965">
            <w:pPr>
              <w:pStyle w:val="BodyText"/>
              <w:rPr>
                <w:rFonts w:ascii="Arial" w:hAnsi="Arial" w:cs="Arial"/>
                <w:color w:val="FFFFFF" w:themeColor="background1"/>
                <w:sz w:val="28"/>
                <w:szCs w:val="28"/>
              </w:rPr>
            </w:pPr>
            <w:bookmarkStart w:id="74" w:name="_Toc67903972"/>
            <w:r w:rsidRPr="005C73EB">
              <w:rPr>
                <w:rFonts w:ascii="Arial" w:hAnsi="Arial" w:cs="Arial"/>
                <w:color w:val="FFFFFF" w:themeColor="background1"/>
                <w:sz w:val="28"/>
                <w:szCs w:val="28"/>
              </w:rPr>
              <w:t xml:space="preserve">Reports regarding </w:t>
            </w:r>
            <w:r w:rsidRPr="005C73EB">
              <w:rPr>
                <w:rFonts w:ascii="Arial" w:hAnsi="Arial" w:cs="Arial"/>
                <w:b/>
                <w:bCs/>
                <w:color w:val="FFFFFF" w:themeColor="background1"/>
                <w:sz w:val="28"/>
                <w:szCs w:val="28"/>
              </w:rPr>
              <w:t xml:space="preserve">substantial maladministration </w:t>
            </w:r>
            <w:r w:rsidRPr="005C73EB">
              <w:rPr>
                <w:rFonts w:ascii="Arial" w:hAnsi="Arial" w:cs="Arial"/>
                <w:color w:val="FFFFFF" w:themeColor="background1"/>
                <w:sz w:val="28"/>
                <w:szCs w:val="28"/>
              </w:rPr>
              <w:t>may be PIDs</w:t>
            </w:r>
          </w:p>
        </w:tc>
      </w:tr>
      <w:tr w:rsidR="00613965" w:rsidRPr="005C73EB" w14:paraId="321B9E00" w14:textId="77777777" w:rsidTr="006E741A">
        <w:tc>
          <w:tcPr>
            <w:tcW w:w="9016" w:type="dxa"/>
          </w:tcPr>
          <w:p w14:paraId="6006513F" w14:textId="77777777" w:rsidR="00613965" w:rsidRPr="005C73EB" w:rsidRDefault="00613965" w:rsidP="00613965">
            <w:pPr>
              <w:pStyle w:val="BodyText"/>
              <w:rPr>
                <w:rFonts w:ascii="Arial" w:hAnsi="Arial" w:cs="Arial"/>
                <w:sz w:val="24"/>
                <w:szCs w:val="24"/>
              </w:rPr>
            </w:pPr>
            <w:r w:rsidRPr="005C73EB">
              <w:rPr>
                <w:rFonts w:ascii="Arial" w:hAnsi="Arial" w:cs="Arial"/>
                <w:sz w:val="24"/>
                <w:szCs w:val="24"/>
              </w:rPr>
              <w:t>Issues relating to the action, or inaction, of a public sector entity or public official that are of a serious nature, unjust, unreasonable, improperly discriminatory or involve dishonesty are likely to constitute substantial maladministration. This includes acts, decisions, advice or omissions, which:</w:t>
            </w:r>
          </w:p>
          <w:p w14:paraId="6D67BBEB" w14:textId="77777777" w:rsidR="00613965" w:rsidRPr="005C73EB" w:rsidRDefault="00613965" w:rsidP="00061417">
            <w:pPr>
              <w:pStyle w:val="BodyText"/>
              <w:numPr>
                <w:ilvl w:val="0"/>
                <w:numId w:val="41"/>
              </w:numPr>
              <w:rPr>
                <w:rFonts w:ascii="Arial" w:hAnsi="Arial" w:cs="Arial"/>
                <w:sz w:val="24"/>
                <w:szCs w:val="24"/>
              </w:rPr>
            </w:pPr>
            <w:r w:rsidRPr="005C73EB">
              <w:rPr>
                <w:rFonts w:ascii="Arial" w:hAnsi="Arial" w:cs="Arial"/>
                <w:sz w:val="24"/>
                <w:szCs w:val="24"/>
              </w:rPr>
              <w:t>violate administrative fairness;</w:t>
            </w:r>
          </w:p>
          <w:p w14:paraId="3FA12500" w14:textId="77777777" w:rsidR="00613965" w:rsidRPr="005C73EB" w:rsidRDefault="00613965" w:rsidP="00061417">
            <w:pPr>
              <w:pStyle w:val="BodyText"/>
              <w:numPr>
                <w:ilvl w:val="0"/>
                <w:numId w:val="41"/>
              </w:numPr>
              <w:rPr>
                <w:rFonts w:ascii="Arial" w:hAnsi="Arial" w:cs="Arial"/>
                <w:sz w:val="24"/>
                <w:szCs w:val="24"/>
              </w:rPr>
            </w:pPr>
            <w:r w:rsidRPr="005C73EB">
              <w:rPr>
                <w:rFonts w:ascii="Arial" w:hAnsi="Arial" w:cs="Arial"/>
                <w:sz w:val="24"/>
                <w:szCs w:val="24"/>
              </w:rPr>
              <w:t>contradict the principles of fairness or equity;</w:t>
            </w:r>
          </w:p>
          <w:p w14:paraId="241549F1" w14:textId="77777777" w:rsidR="00613965" w:rsidRPr="005C73EB" w:rsidRDefault="00613965" w:rsidP="00061417">
            <w:pPr>
              <w:pStyle w:val="BodyText"/>
              <w:numPr>
                <w:ilvl w:val="0"/>
                <w:numId w:val="41"/>
              </w:numPr>
              <w:rPr>
                <w:rFonts w:ascii="Arial" w:hAnsi="Arial" w:cs="Arial"/>
                <w:sz w:val="24"/>
                <w:szCs w:val="24"/>
              </w:rPr>
            </w:pPr>
            <w:r w:rsidRPr="005C73EB">
              <w:rPr>
                <w:rFonts w:ascii="Arial" w:hAnsi="Arial" w:cs="Arial"/>
                <w:sz w:val="24"/>
                <w:szCs w:val="24"/>
              </w:rPr>
              <w:t>are inconsistent with policies or procedures;</w:t>
            </w:r>
          </w:p>
          <w:p w14:paraId="5FC26D54" w14:textId="77777777" w:rsidR="00613965" w:rsidRPr="005C73EB" w:rsidRDefault="00613965" w:rsidP="00061417">
            <w:pPr>
              <w:pStyle w:val="BodyText"/>
              <w:numPr>
                <w:ilvl w:val="0"/>
                <w:numId w:val="41"/>
              </w:numPr>
              <w:rPr>
                <w:rFonts w:ascii="Arial" w:hAnsi="Arial" w:cs="Arial"/>
                <w:sz w:val="24"/>
                <w:szCs w:val="24"/>
              </w:rPr>
            </w:pPr>
            <w:r w:rsidRPr="005C73EB">
              <w:rPr>
                <w:rFonts w:ascii="Arial" w:hAnsi="Arial" w:cs="Arial"/>
                <w:sz w:val="24"/>
                <w:szCs w:val="24"/>
              </w:rPr>
              <w:t>demonstrate negligence, or the absence of proper care or attention; or</w:t>
            </w:r>
          </w:p>
          <w:p w14:paraId="6D174E16" w14:textId="38B8D747" w:rsidR="00613965" w:rsidRPr="005C73EB" w:rsidRDefault="00613965" w:rsidP="00061417">
            <w:pPr>
              <w:pStyle w:val="BodyText"/>
              <w:numPr>
                <w:ilvl w:val="0"/>
                <w:numId w:val="41"/>
              </w:numPr>
              <w:rPr>
                <w:rFonts w:ascii="Arial" w:hAnsi="Arial" w:cs="Arial"/>
              </w:rPr>
            </w:pPr>
            <w:r w:rsidRPr="005C73EB">
              <w:rPr>
                <w:rFonts w:ascii="Arial" w:hAnsi="Arial" w:cs="Arial"/>
                <w:sz w:val="24"/>
                <w:szCs w:val="24"/>
              </w:rPr>
              <w:t>involve excessive use of authority or where authority is used to intimidate, harass or subject someone to unreasonable conditions.</w:t>
            </w:r>
          </w:p>
        </w:tc>
      </w:tr>
      <w:tr w:rsidR="00613965" w:rsidRPr="005C73EB" w14:paraId="722F861F" w14:textId="77777777" w:rsidTr="00986511">
        <w:tc>
          <w:tcPr>
            <w:tcW w:w="9016" w:type="dxa"/>
            <w:shd w:val="clear" w:color="auto" w:fill="004854"/>
          </w:tcPr>
          <w:p w14:paraId="68893127" w14:textId="5FCDC261" w:rsidR="00613965" w:rsidRPr="005C73EB" w:rsidRDefault="00613965" w:rsidP="00613965">
            <w:pPr>
              <w:pStyle w:val="BodyText"/>
              <w:rPr>
                <w:rFonts w:ascii="Arial" w:hAnsi="Arial" w:cs="Arial"/>
                <w:color w:val="FFFFFF" w:themeColor="background1"/>
                <w:sz w:val="28"/>
                <w:szCs w:val="28"/>
              </w:rPr>
            </w:pPr>
            <w:r w:rsidRPr="005C73EB">
              <w:rPr>
                <w:rFonts w:ascii="Arial" w:hAnsi="Arial" w:cs="Arial"/>
                <w:color w:val="FFFFFF" w:themeColor="background1"/>
                <w:sz w:val="28"/>
                <w:szCs w:val="28"/>
              </w:rPr>
              <w:t xml:space="preserve">Reports regarding </w:t>
            </w:r>
            <w:r w:rsidRPr="005C73EB">
              <w:rPr>
                <w:rFonts w:ascii="Arial" w:hAnsi="Arial" w:cs="Arial"/>
                <w:b/>
                <w:bCs/>
                <w:color w:val="FFFFFF" w:themeColor="background1"/>
                <w:sz w:val="28"/>
                <w:szCs w:val="28"/>
              </w:rPr>
              <w:t xml:space="preserve">substantial and specific dangers to the health or safety of the community or environment </w:t>
            </w:r>
            <w:r w:rsidRPr="005C73EB">
              <w:rPr>
                <w:rFonts w:ascii="Arial" w:hAnsi="Arial" w:cs="Arial"/>
                <w:color w:val="FFFFFF" w:themeColor="background1"/>
                <w:sz w:val="28"/>
                <w:szCs w:val="28"/>
              </w:rPr>
              <w:t>may be PIDs</w:t>
            </w:r>
          </w:p>
        </w:tc>
      </w:tr>
      <w:tr w:rsidR="00613965" w:rsidRPr="005C73EB" w14:paraId="46830B22" w14:textId="77777777" w:rsidTr="006E741A">
        <w:tc>
          <w:tcPr>
            <w:tcW w:w="9016" w:type="dxa"/>
          </w:tcPr>
          <w:p w14:paraId="2439551D" w14:textId="024162E1" w:rsidR="00613965" w:rsidRPr="005C73EB" w:rsidRDefault="00613965" w:rsidP="00613965">
            <w:pPr>
              <w:pStyle w:val="BodyText"/>
              <w:rPr>
                <w:rFonts w:ascii="Arial" w:hAnsi="Arial" w:cs="Arial"/>
                <w:sz w:val="24"/>
                <w:szCs w:val="24"/>
              </w:rPr>
            </w:pPr>
            <w:r w:rsidRPr="005C73EB">
              <w:rPr>
                <w:rFonts w:ascii="Arial" w:hAnsi="Arial" w:cs="Arial"/>
                <w:sz w:val="24"/>
                <w:szCs w:val="24"/>
              </w:rPr>
              <w:t xml:space="preserve">This is where the action, or inaction, of a public sector entity or public official puts either the community or the environment at risk of </w:t>
            </w:r>
            <w:r w:rsidR="00BF0EF2" w:rsidRPr="005C73EB">
              <w:rPr>
                <w:rFonts w:ascii="Arial" w:hAnsi="Arial" w:cs="Arial"/>
                <w:sz w:val="24"/>
                <w:szCs w:val="24"/>
              </w:rPr>
              <w:t xml:space="preserve">significant and clearly identified </w:t>
            </w:r>
            <w:r w:rsidRPr="005C73EB">
              <w:rPr>
                <w:rFonts w:ascii="Arial" w:hAnsi="Arial" w:cs="Arial"/>
                <w:sz w:val="24"/>
                <w:szCs w:val="24"/>
              </w:rPr>
              <w:t>harm.</w:t>
            </w:r>
          </w:p>
        </w:tc>
      </w:tr>
      <w:tr w:rsidR="006E741A" w:rsidRPr="005C73EB" w14:paraId="6A6B2346" w14:textId="77777777" w:rsidTr="00986511">
        <w:tc>
          <w:tcPr>
            <w:tcW w:w="9016" w:type="dxa"/>
            <w:shd w:val="clear" w:color="auto" w:fill="004854"/>
          </w:tcPr>
          <w:p w14:paraId="2C4EE9C6" w14:textId="2FBFC98B" w:rsidR="00613965" w:rsidRPr="005C73EB" w:rsidRDefault="00613965" w:rsidP="00613965">
            <w:pPr>
              <w:pStyle w:val="BodyText"/>
              <w:rPr>
                <w:rFonts w:ascii="Arial" w:hAnsi="Arial" w:cs="Arial"/>
                <w:color w:val="FFFFFF" w:themeColor="background1"/>
                <w:sz w:val="28"/>
                <w:szCs w:val="28"/>
              </w:rPr>
            </w:pPr>
            <w:r w:rsidRPr="005C73EB">
              <w:rPr>
                <w:rFonts w:ascii="Arial" w:hAnsi="Arial" w:cs="Arial"/>
                <w:color w:val="FFFFFF" w:themeColor="background1"/>
                <w:sz w:val="28"/>
                <w:szCs w:val="28"/>
              </w:rPr>
              <w:t xml:space="preserve">Reports regarding </w:t>
            </w:r>
            <w:r w:rsidRPr="005C73EB">
              <w:rPr>
                <w:rFonts w:ascii="Arial" w:hAnsi="Arial" w:cs="Arial"/>
                <w:b/>
                <w:bCs/>
                <w:color w:val="FFFFFF" w:themeColor="background1"/>
                <w:sz w:val="28"/>
                <w:szCs w:val="28"/>
              </w:rPr>
              <w:t>workplace complaints or grievances</w:t>
            </w:r>
            <w:r w:rsidRPr="005C73EB">
              <w:rPr>
                <w:rFonts w:ascii="Arial" w:hAnsi="Arial" w:cs="Arial"/>
                <w:color w:val="FFFFFF" w:themeColor="background1"/>
                <w:sz w:val="28"/>
                <w:szCs w:val="28"/>
              </w:rPr>
              <w:t xml:space="preserve"> are unlikely to be PIDs</w:t>
            </w:r>
          </w:p>
        </w:tc>
      </w:tr>
      <w:tr w:rsidR="00613965" w:rsidRPr="005C73EB" w14:paraId="3106357C" w14:textId="77777777" w:rsidTr="006E741A">
        <w:tc>
          <w:tcPr>
            <w:tcW w:w="9016" w:type="dxa"/>
          </w:tcPr>
          <w:p w14:paraId="46719BEA" w14:textId="77777777" w:rsidR="00613965" w:rsidRPr="005C73EB" w:rsidRDefault="00613965" w:rsidP="00613965">
            <w:pPr>
              <w:pStyle w:val="BodyText"/>
              <w:rPr>
                <w:rFonts w:ascii="Arial" w:hAnsi="Arial" w:cs="Arial"/>
                <w:sz w:val="24"/>
                <w:szCs w:val="24"/>
              </w:rPr>
            </w:pPr>
            <w:r w:rsidRPr="005C73EB">
              <w:rPr>
                <w:rFonts w:ascii="Arial" w:hAnsi="Arial" w:cs="Arial"/>
                <w:sz w:val="24"/>
                <w:szCs w:val="24"/>
              </w:rPr>
              <w:t>A report is unlikely to be a PID where the issue relates to:</w:t>
            </w:r>
          </w:p>
          <w:p w14:paraId="0F773009" w14:textId="77777777" w:rsidR="00613965" w:rsidRPr="005C73EB" w:rsidRDefault="00613965" w:rsidP="00061417">
            <w:pPr>
              <w:pStyle w:val="BodyText"/>
              <w:numPr>
                <w:ilvl w:val="0"/>
                <w:numId w:val="42"/>
              </w:numPr>
              <w:rPr>
                <w:rFonts w:ascii="Arial" w:hAnsi="Arial" w:cs="Arial"/>
                <w:sz w:val="24"/>
                <w:szCs w:val="24"/>
              </w:rPr>
            </w:pPr>
            <w:r w:rsidRPr="005C73EB">
              <w:rPr>
                <w:rFonts w:ascii="Arial" w:hAnsi="Arial" w:cs="Arial"/>
                <w:sz w:val="24"/>
                <w:szCs w:val="24"/>
              </w:rPr>
              <w:t>industrial matters such as overtime, workloads or working conditions;</w:t>
            </w:r>
          </w:p>
          <w:p w14:paraId="6A7A7C71" w14:textId="77777777" w:rsidR="00613965" w:rsidRPr="005C73EB" w:rsidRDefault="00613965" w:rsidP="00061417">
            <w:pPr>
              <w:pStyle w:val="BodyText"/>
              <w:numPr>
                <w:ilvl w:val="0"/>
                <w:numId w:val="42"/>
              </w:numPr>
              <w:rPr>
                <w:rFonts w:ascii="Arial" w:hAnsi="Arial" w:cs="Arial"/>
                <w:sz w:val="24"/>
                <w:szCs w:val="24"/>
              </w:rPr>
            </w:pPr>
            <w:r w:rsidRPr="005C73EB">
              <w:rPr>
                <w:rFonts w:ascii="Arial" w:hAnsi="Arial" w:cs="Arial"/>
                <w:sz w:val="24"/>
                <w:szCs w:val="24"/>
              </w:rPr>
              <w:t>individual allegations of bullying, harassment or discrimination;</w:t>
            </w:r>
          </w:p>
          <w:p w14:paraId="7804FD93" w14:textId="77777777" w:rsidR="00613965" w:rsidRPr="005C73EB" w:rsidRDefault="00613965" w:rsidP="00061417">
            <w:pPr>
              <w:pStyle w:val="BodyText"/>
              <w:numPr>
                <w:ilvl w:val="0"/>
                <w:numId w:val="42"/>
              </w:numPr>
              <w:rPr>
                <w:rFonts w:ascii="Arial" w:hAnsi="Arial" w:cs="Arial"/>
                <w:sz w:val="24"/>
                <w:szCs w:val="24"/>
              </w:rPr>
            </w:pPr>
            <w:r w:rsidRPr="005C73EB">
              <w:rPr>
                <w:rFonts w:ascii="Arial" w:hAnsi="Arial" w:cs="Arial"/>
                <w:sz w:val="24"/>
                <w:szCs w:val="24"/>
              </w:rPr>
              <w:t>the conduct of an individual and the consequences are not substantial, systemic or widespread;</w:t>
            </w:r>
          </w:p>
          <w:p w14:paraId="7280DA46" w14:textId="77777777" w:rsidR="00613965" w:rsidRPr="005C73EB" w:rsidRDefault="00613965" w:rsidP="00061417">
            <w:pPr>
              <w:pStyle w:val="BodyText"/>
              <w:numPr>
                <w:ilvl w:val="0"/>
                <w:numId w:val="42"/>
              </w:numPr>
              <w:rPr>
                <w:rFonts w:ascii="Arial" w:hAnsi="Arial" w:cs="Arial"/>
                <w:sz w:val="24"/>
                <w:szCs w:val="24"/>
              </w:rPr>
            </w:pPr>
            <w:r w:rsidRPr="005C73EB">
              <w:rPr>
                <w:rFonts w:ascii="Arial" w:hAnsi="Arial" w:cs="Arial"/>
                <w:sz w:val="24"/>
                <w:szCs w:val="24"/>
              </w:rPr>
              <w:t>concerns arising from an underperformance or performance management process; or</w:t>
            </w:r>
          </w:p>
          <w:p w14:paraId="2B35262C" w14:textId="1D32B27F" w:rsidR="00613965" w:rsidRPr="005C73EB" w:rsidRDefault="00613965" w:rsidP="00061417">
            <w:pPr>
              <w:pStyle w:val="BodyText"/>
              <w:numPr>
                <w:ilvl w:val="0"/>
                <w:numId w:val="42"/>
              </w:numPr>
              <w:rPr>
                <w:rFonts w:ascii="Arial" w:hAnsi="Arial" w:cs="Arial"/>
              </w:rPr>
            </w:pPr>
            <w:r w:rsidRPr="005C73EB">
              <w:rPr>
                <w:rFonts w:ascii="Arial" w:hAnsi="Arial" w:cs="Arial"/>
                <w:sz w:val="24"/>
                <w:szCs w:val="24"/>
              </w:rPr>
              <w:t>an official failing to exercise their duties without reasonable care or skill, and the consequences are localised.</w:t>
            </w:r>
          </w:p>
        </w:tc>
      </w:tr>
      <w:tr w:rsidR="00613965" w:rsidRPr="005C73EB" w14:paraId="3C535BA1" w14:textId="77777777" w:rsidTr="00986511">
        <w:tc>
          <w:tcPr>
            <w:tcW w:w="9016" w:type="dxa"/>
            <w:shd w:val="clear" w:color="auto" w:fill="004854"/>
          </w:tcPr>
          <w:p w14:paraId="563EA52C" w14:textId="5E8FD8B0" w:rsidR="00613965" w:rsidRPr="005C73EB" w:rsidRDefault="00613965" w:rsidP="00613965">
            <w:pPr>
              <w:pStyle w:val="BodyText"/>
              <w:rPr>
                <w:rFonts w:ascii="Arial" w:hAnsi="Arial" w:cs="Arial"/>
                <w:sz w:val="28"/>
                <w:szCs w:val="28"/>
              </w:rPr>
            </w:pPr>
            <w:r w:rsidRPr="005C73EB">
              <w:rPr>
                <w:rFonts w:ascii="Arial" w:hAnsi="Arial" w:cs="Arial"/>
                <w:color w:val="FFFFFF" w:themeColor="background1"/>
                <w:sz w:val="28"/>
                <w:szCs w:val="28"/>
              </w:rPr>
              <w:t xml:space="preserve">Reports regarding conduct giving effect to ACT Government policy about </w:t>
            </w:r>
            <w:r w:rsidRPr="005C73EB">
              <w:rPr>
                <w:rFonts w:ascii="Arial" w:hAnsi="Arial" w:cs="Arial"/>
                <w:b/>
                <w:bCs/>
                <w:color w:val="FFFFFF" w:themeColor="background1"/>
                <w:sz w:val="28"/>
                <w:szCs w:val="28"/>
              </w:rPr>
              <w:t>amounts, purposes or priorities of public expenditure</w:t>
            </w:r>
            <w:r w:rsidRPr="005C73EB">
              <w:rPr>
                <w:rFonts w:ascii="Arial" w:hAnsi="Arial" w:cs="Arial"/>
                <w:color w:val="FFFFFF" w:themeColor="background1"/>
                <w:sz w:val="28"/>
                <w:szCs w:val="28"/>
              </w:rPr>
              <w:t xml:space="preserve"> are unlikely to be PIDs</w:t>
            </w:r>
          </w:p>
        </w:tc>
      </w:tr>
      <w:tr w:rsidR="00613965" w:rsidRPr="005C73EB" w14:paraId="1EA32F3B" w14:textId="77777777" w:rsidTr="006E741A">
        <w:tc>
          <w:tcPr>
            <w:tcW w:w="9016" w:type="dxa"/>
          </w:tcPr>
          <w:p w14:paraId="2893A553" w14:textId="77777777" w:rsidR="00613965" w:rsidRPr="005C73EB" w:rsidRDefault="00613965" w:rsidP="00613965">
            <w:pPr>
              <w:pStyle w:val="BodyText"/>
              <w:rPr>
                <w:rFonts w:ascii="Arial" w:hAnsi="Arial" w:cs="Arial"/>
                <w:sz w:val="24"/>
                <w:szCs w:val="24"/>
              </w:rPr>
            </w:pPr>
            <w:r w:rsidRPr="005C73EB">
              <w:rPr>
                <w:rFonts w:ascii="Arial" w:hAnsi="Arial" w:cs="Arial"/>
                <w:sz w:val="24"/>
                <w:szCs w:val="24"/>
              </w:rPr>
              <w:t>A report is unlikely to be a PID where the issue relates to:</w:t>
            </w:r>
          </w:p>
          <w:p w14:paraId="433A2975" w14:textId="1EE6D3F0" w:rsidR="00613965" w:rsidRPr="005C73EB" w:rsidRDefault="00613965" w:rsidP="00061417">
            <w:pPr>
              <w:pStyle w:val="BodyText"/>
              <w:numPr>
                <w:ilvl w:val="0"/>
                <w:numId w:val="43"/>
              </w:numPr>
              <w:rPr>
                <w:rFonts w:ascii="Arial" w:hAnsi="Arial" w:cs="Arial"/>
                <w:sz w:val="24"/>
                <w:szCs w:val="24"/>
              </w:rPr>
            </w:pPr>
            <w:r w:rsidRPr="005C73EB">
              <w:rPr>
                <w:rFonts w:ascii="Arial" w:hAnsi="Arial" w:cs="Arial"/>
                <w:sz w:val="24"/>
                <w:szCs w:val="24"/>
              </w:rPr>
              <w:t>the budgeted or spent expenditure allocated to a function of the ACT Government;</w:t>
            </w:r>
            <w:r w:rsidR="00E64792" w:rsidRPr="005C73EB">
              <w:rPr>
                <w:rFonts w:ascii="Arial" w:hAnsi="Arial" w:cs="Arial"/>
                <w:sz w:val="24"/>
                <w:szCs w:val="24"/>
              </w:rPr>
              <w:t xml:space="preserve"> or</w:t>
            </w:r>
          </w:p>
          <w:p w14:paraId="0F35D118" w14:textId="5103BBCC" w:rsidR="00613965" w:rsidRPr="005C73EB" w:rsidRDefault="00613965" w:rsidP="00061417">
            <w:pPr>
              <w:pStyle w:val="BodyText"/>
              <w:keepNext/>
              <w:numPr>
                <w:ilvl w:val="0"/>
                <w:numId w:val="43"/>
              </w:numPr>
              <w:rPr>
                <w:rFonts w:ascii="Arial" w:hAnsi="Arial" w:cs="Arial"/>
              </w:rPr>
            </w:pPr>
            <w:r w:rsidRPr="005C73EB">
              <w:rPr>
                <w:rFonts w:ascii="Arial" w:hAnsi="Arial" w:cs="Arial"/>
                <w:sz w:val="24"/>
                <w:szCs w:val="24"/>
              </w:rPr>
              <w:t>the purposes or priorities of budgeted or spent expenditure relating to a function of the ACT Government.</w:t>
            </w:r>
          </w:p>
        </w:tc>
      </w:tr>
    </w:tbl>
    <w:p w14:paraId="7427C202" w14:textId="1A52A4B0" w:rsidR="00595BE4" w:rsidRDefault="00595BE4" w:rsidP="007247D1">
      <w:pPr>
        <w:pStyle w:val="Heading2"/>
      </w:pPr>
      <w:bookmarkStart w:id="75" w:name="_Ref57188375"/>
      <w:bookmarkStart w:id="76" w:name="_Ref57188426"/>
      <w:bookmarkStart w:id="77" w:name="_Ref57188650"/>
      <w:bookmarkStart w:id="78" w:name="_Toc62136014"/>
      <w:bookmarkStart w:id="79" w:name="_Ref73525266"/>
      <w:bookmarkStart w:id="80" w:name="_Toc75255149"/>
      <w:bookmarkStart w:id="81" w:name="_Toc57188840"/>
      <w:r>
        <w:lastRenderedPageBreak/>
        <w:t>What protections do PID disclosers get?</w:t>
      </w:r>
      <w:bookmarkEnd w:id="74"/>
      <w:bookmarkEnd w:id="75"/>
      <w:bookmarkEnd w:id="76"/>
      <w:bookmarkEnd w:id="77"/>
      <w:bookmarkEnd w:id="78"/>
      <w:bookmarkEnd w:id="79"/>
      <w:bookmarkEnd w:id="80"/>
    </w:p>
    <w:p w14:paraId="60EEEDA1" w14:textId="2DD35D01" w:rsidR="008158EF" w:rsidRDefault="008158EF" w:rsidP="008158EF">
      <w:bookmarkStart w:id="82" w:name="_Toc64964682"/>
      <w:bookmarkStart w:id="83" w:name="_Toc57188841"/>
      <w:bookmarkStart w:id="84" w:name="_Hlk64027623"/>
      <w:bookmarkEnd w:id="81"/>
      <w:r>
        <w:t xml:space="preserve">The protections for disclosers are split into three categories: </w:t>
      </w:r>
    </w:p>
    <w:p w14:paraId="491F2F93" w14:textId="0143B777" w:rsidR="008158EF" w:rsidRDefault="008158EF" w:rsidP="008158EF">
      <w:pPr>
        <w:pStyle w:val="ListParagraph"/>
        <w:numPr>
          <w:ilvl w:val="0"/>
          <w:numId w:val="1"/>
        </w:numPr>
      </w:pPr>
      <w:r>
        <w:t>certain limit</w:t>
      </w:r>
      <w:r w:rsidR="00DE17B8">
        <w:t>ations</w:t>
      </w:r>
      <w:r>
        <w:t xml:space="preserve"> on liability;</w:t>
      </w:r>
      <w:r>
        <w:rPr>
          <w:rStyle w:val="FootnoteReference"/>
        </w:rPr>
        <w:footnoteReference w:id="38"/>
      </w:r>
    </w:p>
    <w:p w14:paraId="4C70FE6E" w14:textId="77777777" w:rsidR="008158EF" w:rsidRDefault="008158EF" w:rsidP="008158EF">
      <w:pPr>
        <w:pStyle w:val="ListParagraph"/>
        <w:numPr>
          <w:ilvl w:val="0"/>
          <w:numId w:val="1"/>
        </w:numPr>
      </w:pPr>
      <w:r>
        <w:t>protection from detrimental action;</w:t>
      </w:r>
      <w:r>
        <w:rPr>
          <w:rStyle w:val="FootnoteReference"/>
        </w:rPr>
        <w:footnoteReference w:id="39"/>
      </w:r>
      <w:r>
        <w:t xml:space="preserve"> and</w:t>
      </w:r>
    </w:p>
    <w:p w14:paraId="25DDAE9C" w14:textId="402416EE" w:rsidR="008158EF" w:rsidRDefault="008158EF" w:rsidP="008158EF">
      <w:pPr>
        <w:pStyle w:val="ListParagraph"/>
        <w:numPr>
          <w:ilvl w:val="0"/>
          <w:numId w:val="1"/>
        </w:numPr>
      </w:pPr>
      <w:r>
        <w:t>protection against the misuse of protected information.</w:t>
      </w:r>
      <w:r>
        <w:rPr>
          <w:rStyle w:val="FootnoteReference"/>
        </w:rPr>
        <w:footnoteReference w:id="40"/>
      </w:r>
    </w:p>
    <w:p w14:paraId="43908E97" w14:textId="6923440E" w:rsidR="005534EA" w:rsidRDefault="005534EA" w:rsidP="005534EA">
      <w:r w:rsidRPr="00605BB4">
        <w:rPr>
          <w:b/>
          <w:bCs/>
        </w:rPr>
        <w:t>Important:</w:t>
      </w:r>
      <w:r w:rsidRPr="00605BB4">
        <w:t xml:space="preserve"> The PID Act places no limitations on who may make disclosures. The protections apply to all those who make disclosures which qualify as PIDs</w:t>
      </w:r>
      <w:r w:rsidR="002F221F">
        <w:t>.</w:t>
      </w:r>
      <w:r w:rsidR="00E11CF2" w:rsidRPr="00605BB4">
        <w:t xml:space="preserve"> </w:t>
      </w:r>
      <w:r w:rsidR="002F221F">
        <w:t>D</w:t>
      </w:r>
      <w:r w:rsidR="00E11CF2" w:rsidRPr="00605BB4">
        <w:t>etrimental action (described below) is not limited only to employment or contractual retaliation.</w:t>
      </w:r>
    </w:p>
    <w:p w14:paraId="08F6BADC" w14:textId="0CBB57B3" w:rsidR="007646EB" w:rsidRPr="007646EB" w:rsidRDefault="007646EB" w:rsidP="005534EA">
      <w:r>
        <w:rPr>
          <w:b/>
          <w:bCs/>
        </w:rPr>
        <w:t>Important:</w:t>
      </w:r>
      <w:r>
        <w:t xml:space="preserve"> Witnesses who assist investigations are protected from civil and criminal liability where they give information, produce documents or answer questions to assist the investigation of a disclosure.</w:t>
      </w:r>
      <w:r>
        <w:rPr>
          <w:rStyle w:val="FootnoteReference"/>
        </w:rPr>
        <w:footnoteReference w:id="41"/>
      </w:r>
    </w:p>
    <w:p w14:paraId="31B83C96" w14:textId="6643EC4C" w:rsidR="00302A5F" w:rsidRDefault="00302A5F" w:rsidP="00302A5F">
      <w:pPr>
        <w:pStyle w:val="Heading3"/>
      </w:pPr>
      <w:bookmarkStart w:id="85" w:name="_Toc67903973"/>
      <w:bookmarkStart w:id="86" w:name="_Toc75255150"/>
      <w:r w:rsidRPr="00605BB4">
        <w:t>Immunity from liability</w:t>
      </w:r>
      <w:bookmarkEnd w:id="82"/>
      <w:bookmarkEnd w:id="85"/>
      <w:bookmarkEnd w:id="86"/>
    </w:p>
    <w:p w14:paraId="03F9068F" w14:textId="3815FD1B" w:rsidR="00302A5F" w:rsidRDefault="008158EF" w:rsidP="00302A5F">
      <w:r>
        <w:t>Disclosers</w:t>
      </w:r>
      <w:r w:rsidR="00302A5F">
        <w:t xml:space="preserve"> do not, in making the PID, commit:</w:t>
      </w:r>
      <w:r w:rsidR="002F221F" w:rsidRPr="002F221F">
        <w:rPr>
          <w:rStyle w:val="FootnoteReference"/>
        </w:rPr>
        <w:t xml:space="preserve"> </w:t>
      </w:r>
      <w:r w:rsidR="002F221F" w:rsidRPr="003F5F89">
        <w:rPr>
          <w:rStyle w:val="FootnoteReference"/>
        </w:rPr>
        <w:footnoteReference w:id="42"/>
      </w:r>
    </w:p>
    <w:p w14:paraId="037D5B0B" w14:textId="4B369A4D" w:rsidR="00302A5F" w:rsidRPr="003F5F89" w:rsidRDefault="00302A5F" w:rsidP="00061417">
      <w:pPr>
        <w:pStyle w:val="ListParagraph"/>
        <w:numPr>
          <w:ilvl w:val="0"/>
          <w:numId w:val="27"/>
        </w:numPr>
      </w:pPr>
      <w:r w:rsidRPr="003F5F89">
        <w:t xml:space="preserve">a breach of confidence; </w:t>
      </w:r>
    </w:p>
    <w:p w14:paraId="7B1A6639" w14:textId="03A95D70" w:rsidR="00302A5F" w:rsidRPr="003F5F89" w:rsidRDefault="00302A5F" w:rsidP="00061417">
      <w:pPr>
        <w:pStyle w:val="ListParagraph"/>
        <w:numPr>
          <w:ilvl w:val="0"/>
          <w:numId w:val="27"/>
        </w:numPr>
      </w:pPr>
      <w:r w:rsidRPr="003F5F89">
        <w:t xml:space="preserve">a breach of professional etiquette or ethics; </w:t>
      </w:r>
    </w:p>
    <w:p w14:paraId="3ED07F82" w14:textId="77777777" w:rsidR="00302A5F" w:rsidRPr="003F5F89" w:rsidRDefault="00302A5F" w:rsidP="00061417">
      <w:pPr>
        <w:pStyle w:val="ListParagraph"/>
        <w:numPr>
          <w:ilvl w:val="0"/>
          <w:numId w:val="27"/>
        </w:numPr>
      </w:pPr>
      <w:r w:rsidRPr="003F5F89">
        <w:t xml:space="preserve">a breach of a rule of professional conduct; or </w:t>
      </w:r>
    </w:p>
    <w:p w14:paraId="5FB88028" w14:textId="7620C75D" w:rsidR="00302A5F" w:rsidRPr="003F5F89" w:rsidRDefault="00302A5F" w:rsidP="00061417">
      <w:pPr>
        <w:pStyle w:val="ListParagraph"/>
        <w:numPr>
          <w:ilvl w:val="0"/>
          <w:numId w:val="27"/>
        </w:numPr>
      </w:pPr>
      <w:r w:rsidRPr="003F5F89">
        <w:t>if the disclosure is made in relation to a member of the Legislative Assembly—a contempt of the Assembly.</w:t>
      </w:r>
    </w:p>
    <w:p w14:paraId="196695F0" w14:textId="54725052" w:rsidR="008158EF" w:rsidRPr="008F24E0" w:rsidRDefault="008158EF" w:rsidP="008158EF">
      <w:r w:rsidRPr="008158EF">
        <w:rPr>
          <w:b/>
          <w:bCs/>
        </w:rPr>
        <w:t>Important:</w:t>
      </w:r>
      <w:r>
        <w:t xml:space="preserve"> </w:t>
      </w:r>
      <w:r w:rsidR="00605BB4">
        <w:t>T</w:t>
      </w:r>
      <w:r>
        <w:t xml:space="preserve">he immunity protections of the PID Act </w:t>
      </w:r>
      <w:r w:rsidRPr="008158EF">
        <w:rPr>
          <w:b/>
          <w:bCs/>
        </w:rPr>
        <w:t>do not extend to breaches of legal professional privilege</w:t>
      </w:r>
      <w:r w:rsidRPr="005A46E9">
        <w:t>.</w:t>
      </w:r>
    </w:p>
    <w:p w14:paraId="441967E1" w14:textId="1E4B5D4C" w:rsidR="00302A5F" w:rsidRDefault="00302A5F" w:rsidP="00302A5F">
      <w:r>
        <w:t>In addition:</w:t>
      </w:r>
    </w:p>
    <w:p w14:paraId="1DB30B6A" w14:textId="77777777" w:rsidR="00302A5F" w:rsidRDefault="00302A5F" w:rsidP="00061417">
      <w:pPr>
        <w:pStyle w:val="ListParagraph"/>
        <w:numPr>
          <w:ilvl w:val="0"/>
          <w:numId w:val="24"/>
        </w:numPr>
      </w:pPr>
      <w:r>
        <w:t>disclosers do not incur civil or criminal liability only because of the making of a PID;</w:t>
      </w:r>
      <w:r>
        <w:rPr>
          <w:rStyle w:val="FootnoteReference"/>
        </w:rPr>
        <w:footnoteReference w:id="43"/>
      </w:r>
      <w:r>
        <w:t xml:space="preserve"> and</w:t>
      </w:r>
    </w:p>
    <w:p w14:paraId="78C9B1D4" w14:textId="13724B33" w:rsidR="00302A5F" w:rsidRDefault="00302A5F" w:rsidP="00061417">
      <w:pPr>
        <w:pStyle w:val="ListParagraph"/>
        <w:numPr>
          <w:ilvl w:val="0"/>
          <w:numId w:val="24"/>
        </w:numPr>
      </w:pPr>
      <w:r>
        <w:t>where the discloser is a public official,</w:t>
      </w:r>
      <w:r>
        <w:rPr>
          <w:rStyle w:val="FootnoteReference"/>
        </w:rPr>
        <w:footnoteReference w:id="44"/>
      </w:r>
      <w:r>
        <w:t xml:space="preserve"> they are not liable to administrative or disciplinary action, or dismissal, only because of the making of </w:t>
      </w:r>
      <w:r w:rsidR="00DE17B8">
        <w:t xml:space="preserve">a </w:t>
      </w:r>
      <w:r>
        <w:t>PID.</w:t>
      </w:r>
      <w:r>
        <w:rPr>
          <w:rStyle w:val="FootnoteReference"/>
        </w:rPr>
        <w:footnoteReference w:id="45"/>
      </w:r>
    </w:p>
    <w:p w14:paraId="75DE97C3" w14:textId="77777777" w:rsidR="002F221F" w:rsidRDefault="008158EF" w:rsidP="008158EF">
      <w:r>
        <w:t>In summary, the PID Act supports disclosers by</w:t>
      </w:r>
      <w:r w:rsidR="002F221F">
        <w:t>:</w:t>
      </w:r>
    </w:p>
    <w:p w14:paraId="5C8D3AFD" w14:textId="455945C4" w:rsidR="002F221F" w:rsidRDefault="008158EF" w:rsidP="00061417">
      <w:pPr>
        <w:pStyle w:val="ListParagraph"/>
        <w:numPr>
          <w:ilvl w:val="0"/>
          <w:numId w:val="44"/>
        </w:numPr>
      </w:pPr>
      <w:r>
        <w:t>protecting them from suffering legally</w:t>
      </w:r>
      <w:r w:rsidR="00910105">
        <w:t xml:space="preserve"> or</w:t>
      </w:r>
      <w:r>
        <w:t xml:space="preserve"> professionally</w:t>
      </w:r>
      <w:r w:rsidR="002F221F">
        <w:t>;</w:t>
      </w:r>
    </w:p>
    <w:p w14:paraId="69D6248A" w14:textId="14E107C0" w:rsidR="002F221F" w:rsidRDefault="00910105" w:rsidP="00061417">
      <w:pPr>
        <w:pStyle w:val="ListParagraph"/>
        <w:numPr>
          <w:ilvl w:val="0"/>
          <w:numId w:val="44"/>
        </w:numPr>
      </w:pPr>
      <w:r>
        <w:t xml:space="preserve">criminally penalising </w:t>
      </w:r>
      <w:r w:rsidRPr="002F221F">
        <w:rPr>
          <w:b/>
          <w:bCs/>
        </w:rPr>
        <w:t>any person</w:t>
      </w:r>
      <w:r>
        <w:t>, including officials, who take</w:t>
      </w:r>
      <w:r w:rsidR="002F221F">
        <w:t>s</w:t>
      </w:r>
      <w:r>
        <w:t xml:space="preserve"> detrimental action against a discloser for making it</w:t>
      </w:r>
      <w:r w:rsidR="002F221F">
        <w:t>;</w:t>
      </w:r>
      <w:r>
        <w:rPr>
          <w:rStyle w:val="FootnoteReference"/>
        </w:rPr>
        <w:footnoteReference w:id="46"/>
      </w:r>
      <w:r>
        <w:t xml:space="preserve"> </w:t>
      </w:r>
      <w:r w:rsidR="002F221F">
        <w:t>or</w:t>
      </w:r>
    </w:p>
    <w:p w14:paraId="72553B40" w14:textId="17F3080D" w:rsidR="008158EF" w:rsidRDefault="002F221F" w:rsidP="00061417">
      <w:pPr>
        <w:pStyle w:val="ListParagraph"/>
        <w:numPr>
          <w:ilvl w:val="0"/>
          <w:numId w:val="44"/>
        </w:numPr>
      </w:pPr>
      <w:r>
        <w:t>p</w:t>
      </w:r>
      <w:r w:rsidR="00910105">
        <w:t>ermitting the recovery of damages by civil action</w:t>
      </w:r>
      <w:r w:rsidR="008158EF">
        <w:t xml:space="preserve">. </w:t>
      </w:r>
    </w:p>
    <w:p w14:paraId="5059C92A" w14:textId="063CCAEF" w:rsidR="008158EF" w:rsidRDefault="008158EF" w:rsidP="008158EF">
      <w:r>
        <w:t xml:space="preserve">Disclosers are also protected from defamation claims </w:t>
      </w:r>
      <w:r w:rsidR="002F221F">
        <w:t>that</w:t>
      </w:r>
      <w:r>
        <w:t xml:space="preserve"> relate to their making of a PID.</w:t>
      </w:r>
      <w:r>
        <w:rPr>
          <w:rStyle w:val="FootnoteReference"/>
        </w:rPr>
        <w:footnoteReference w:id="47"/>
      </w:r>
      <w:r>
        <w:t xml:space="preserve"> This means that if disclosers make a PID about someone else, they are protected against claims of defamation.</w:t>
      </w:r>
    </w:p>
    <w:p w14:paraId="52965406" w14:textId="7C33C6A1" w:rsidR="00E11CF2" w:rsidRPr="00605BB4" w:rsidRDefault="00E11CF2" w:rsidP="008158EF">
      <w:r w:rsidRPr="00605BB4">
        <w:rPr>
          <w:b/>
          <w:bCs/>
        </w:rPr>
        <w:t>Important:</w:t>
      </w:r>
      <w:r w:rsidRPr="00605BB4">
        <w:t xml:space="preserve"> </w:t>
      </w:r>
      <w:r w:rsidR="002F221F">
        <w:t>T</w:t>
      </w:r>
      <w:r w:rsidRPr="00605BB4">
        <w:t>ypically, this immunity would apply to those with an employment or contractual nexus with a public sector entity (</w:t>
      </w:r>
      <w:r w:rsidR="00575158" w:rsidRPr="00605BB4">
        <w:t>ie</w:t>
      </w:r>
      <w:r w:rsidRPr="00605BB4">
        <w:t xml:space="preserve"> an official who reports wrongdoing within the</w:t>
      </w:r>
      <w:r w:rsidR="002F221F">
        <w:t xml:space="preserve"> public sector </w:t>
      </w:r>
      <w:r w:rsidRPr="00605BB4">
        <w:t>entity</w:t>
      </w:r>
      <w:r w:rsidR="002F221F">
        <w:t xml:space="preserve"> which employs them</w:t>
      </w:r>
      <w:r w:rsidRPr="00605BB4">
        <w:t>)</w:t>
      </w:r>
      <w:r w:rsidR="002F221F">
        <w:t>. However,</w:t>
      </w:r>
      <w:r w:rsidR="00CE5055" w:rsidRPr="00605BB4">
        <w:t xml:space="preserve"> it is equally applicable to those who do not have any such nexus. </w:t>
      </w:r>
    </w:p>
    <w:p w14:paraId="1F873796" w14:textId="1AEAAC39" w:rsidR="008158EF" w:rsidRDefault="008158EF" w:rsidP="008158EF">
      <w:r w:rsidRPr="00605BB4">
        <w:rPr>
          <w:b/>
          <w:bCs/>
        </w:rPr>
        <w:t>Note:</w:t>
      </w:r>
      <w:r w:rsidRPr="00605BB4">
        <w:t xml:space="preserve"> These protections relate only to the making of the PID. Liability</w:t>
      </w:r>
      <w:r>
        <w:t xml:space="preserve"> arising from any other conduct of the discloser does not attract these protections.</w:t>
      </w:r>
      <w:r>
        <w:rPr>
          <w:rStyle w:val="FootnoteReference"/>
        </w:rPr>
        <w:footnoteReference w:id="48"/>
      </w:r>
      <w:r>
        <w:t xml:space="preserve"> This means that disclosers who have engaged in </w:t>
      </w:r>
      <w:r>
        <w:lastRenderedPageBreak/>
        <w:t>wrongdoing themselves may still be liable for that wrongdoing, despite having made a PID</w:t>
      </w:r>
      <w:r w:rsidR="002F221F">
        <w:t xml:space="preserve"> about that conduct</w:t>
      </w:r>
      <w:r>
        <w:t>.</w:t>
      </w:r>
    </w:p>
    <w:p w14:paraId="216C3B7A" w14:textId="5C4A9AED" w:rsidR="008158EF" w:rsidRDefault="008158EF" w:rsidP="008158EF">
      <w:bookmarkStart w:id="87" w:name="_Hlk71534081"/>
      <w:r>
        <w:rPr>
          <w:b/>
          <w:bCs/>
        </w:rPr>
        <w:t xml:space="preserve">Note: </w:t>
      </w:r>
      <w:r>
        <w:t xml:space="preserve">These protections may be lost if a court determines that the </w:t>
      </w:r>
      <w:r w:rsidR="00C62262">
        <w:t>discloser</w:t>
      </w:r>
      <w:r>
        <w:t xml:space="preserve"> has provided false or misleading information to the </w:t>
      </w:r>
      <w:r w:rsidR="002F221F">
        <w:t xml:space="preserve">PID </w:t>
      </w:r>
      <w:r>
        <w:t>investigator, or where the discloser’s report is vexatious.</w:t>
      </w:r>
      <w:r>
        <w:rPr>
          <w:rStyle w:val="FootnoteReference"/>
        </w:rPr>
        <w:footnoteReference w:id="49"/>
      </w:r>
      <w:r>
        <w:t xml:space="preserve"> However, the protection continue</w:t>
      </w:r>
      <w:r w:rsidR="00BF0EF2">
        <w:t>s</w:t>
      </w:r>
      <w:r>
        <w:t xml:space="preserve"> if the court determines that that conduct has not materially prejudiced the investigation and is of a minor nature.</w:t>
      </w:r>
    </w:p>
    <w:p w14:paraId="1481A6F4" w14:textId="77777777" w:rsidR="00302A5F" w:rsidRDefault="00302A5F" w:rsidP="00302A5F">
      <w:pPr>
        <w:pStyle w:val="Heading3"/>
      </w:pPr>
      <w:bookmarkStart w:id="88" w:name="_Toc64964683"/>
      <w:bookmarkStart w:id="89" w:name="_Toc67903974"/>
      <w:bookmarkStart w:id="90" w:name="_Toc75255151"/>
      <w:bookmarkStart w:id="91" w:name="_Ref57115610"/>
      <w:bookmarkStart w:id="92" w:name="_Ref57117407"/>
      <w:bookmarkStart w:id="93" w:name="_Toc57188843"/>
      <w:bookmarkEnd w:id="83"/>
      <w:bookmarkEnd w:id="84"/>
      <w:bookmarkEnd w:id="87"/>
      <w:r>
        <w:t>Protection from ‘detrimental action’</w:t>
      </w:r>
      <w:bookmarkEnd w:id="88"/>
      <w:bookmarkEnd w:id="89"/>
      <w:bookmarkEnd w:id="90"/>
    </w:p>
    <w:p w14:paraId="4A4D2900" w14:textId="77777777" w:rsidR="00B040CE" w:rsidRPr="002F221F" w:rsidRDefault="00B040CE" w:rsidP="00B040CE">
      <w:r w:rsidRPr="002F221F">
        <w:t>Disclosers are protected from ‘detrimental action’ being taken against them.</w:t>
      </w:r>
      <w:r w:rsidRPr="002F221F">
        <w:rPr>
          <w:rStyle w:val="FootnoteReference"/>
        </w:rPr>
        <w:t xml:space="preserve"> </w:t>
      </w:r>
      <w:r w:rsidRPr="002F221F">
        <w:t>Detrimental action includes any action undertaken by any person that involves:</w:t>
      </w:r>
    </w:p>
    <w:p w14:paraId="45A4CA24" w14:textId="77777777" w:rsidR="00F31D5C" w:rsidRPr="002F221F" w:rsidRDefault="00F31D5C" w:rsidP="00061417">
      <w:pPr>
        <w:pStyle w:val="ListParagraph"/>
        <w:numPr>
          <w:ilvl w:val="0"/>
          <w:numId w:val="28"/>
        </w:numPr>
      </w:pPr>
      <w:r w:rsidRPr="002F221F">
        <w:t>discriminating against a person by treating, or proposing to treat, the person unfavourably in relation to the person’s reputation, career, profession, employment or trade;</w:t>
      </w:r>
    </w:p>
    <w:p w14:paraId="5DEBA796" w14:textId="77777777" w:rsidR="00F31D5C" w:rsidRPr="002F221F" w:rsidRDefault="00F31D5C" w:rsidP="00061417">
      <w:pPr>
        <w:pStyle w:val="ListParagraph"/>
        <w:numPr>
          <w:ilvl w:val="0"/>
          <w:numId w:val="28"/>
        </w:numPr>
      </w:pPr>
      <w:r w:rsidRPr="002F221F">
        <w:t xml:space="preserve">harassing or intimidating a person; </w:t>
      </w:r>
    </w:p>
    <w:p w14:paraId="3488FD89" w14:textId="77777777" w:rsidR="00F31D5C" w:rsidRPr="002F221F" w:rsidRDefault="00F31D5C" w:rsidP="00061417">
      <w:pPr>
        <w:pStyle w:val="ListParagraph"/>
        <w:numPr>
          <w:ilvl w:val="0"/>
          <w:numId w:val="28"/>
        </w:numPr>
      </w:pPr>
      <w:r w:rsidRPr="002F221F">
        <w:t xml:space="preserve">injuring a person; or </w:t>
      </w:r>
    </w:p>
    <w:p w14:paraId="067334A9" w14:textId="3997D174" w:rsidR="00F31D5C" w:rsidRPr="002F221F" w:rsidRDefault="00F31D5C" w:rsidP="00061417">
      <w:pPr>
        <w:pStyle w:val="ListParagraph"/>
        <w:numPr>
          <w:ilvl w:val="0"/>
          <w:numId w:val="28"/>
        </w:numPr>
      </w:pPr>
      <w:r w:rsidRPr="002F221F">
        <w:t>damaging a person’s property</w:t>
      </w:r>
      <w:r w:rsidR="002F221F">
        <w:t>;</w:t>
      </w:r>
      <w:r w:rsidRPr="002F221F">
        <w:rPr>
          <w:rStyle w:val="FootnoteReference"/>
        </w:rPr>
        <w:footnoteReference w:id="50"/>
      </w:r>
    </w:p>
    <w:p w14:paraId="4A4BDE49" w14:textId="77777777" w:rsidR="00B040CE" w:rsidRPr="002F221F" w:rsidRDefault="00B040CE" w:rsidP="00B040CE">
      <w:r w:rsidRPr="002F221F">
        <w:t>in response to:</w:t>
      </w:r>
    </w:p>
    <w:p w14:paraId="5B9B6605" w14:textId="0C2CE663" w:rsidR="00B040CE" w:rsidRPr="002F221F" w:rsidRDefault="00B040CE" w:rsidP="00061417">
      <w:pPr>
        <w:pStyle w:val="ListParagraph"/>
        <w:numPr>
          <w:ilvl w:val="0"/>
          <w:numId w:val="30"/>
        </w:numPr>
      </w:pPr>
      <w:r w:rsidRPr="002F221F">
        <w:t xml:space="preserve">a person making a </w:t>
      </w:r>
      <w:r w:rsidR="00B05481">
        <w:t>PID</w:t>
      </w:r>
      <w:r w:rsidRPr="002F221F">
        <w:t>;</w:t>
      </w:r>
    </w:p>
    <w:p w14:paraId="73A5A867" w14:textId="6177441B" w:rsidR="00B040CE" w:rsidRPr="002F221F" w:rsidRDefault="00B040CE" w:rsidP="00061417">
      <w:pPr>
        <w:pStyle w:val="ListParagraph"/>
        <w:numPr>
          <w:ilvl w:val="0"/>
          <w:numId w:val="30"/>
        </w:numPr>
      </w:pPr>
      <w:r w:rsidRPr="002F221F">
        <w:t xml:space="preserve">a person intending to make a </w:t>
      </w:r>
      <w:r w:rsidR="00B05481">
        <w:t>PID</w:t>
      </w:r>
      <w:r w:rsidRPr="002F221F">
        <w:t>;</w:t>
      </w:r>
    </w:p>
    <w:p w14:paraId="353A6869" w14:textId="5253B598" w:rsidR="00B040CE" w:rsidRPr="002F221F" w:rsidRDefault="00B040CE" w:rsidP="00061417">
      <w:pPr>
        <w:pStyle w:val="ListParagraph"/>
        <w:numPr>
          <w:ilvl w:val="0"/>
          <w:numId w:val="30"/>
        </w:numPr>
      </w:pPr>
      <w:r w:rsidRPr="002F221F">
        <w:t xml:space="preserve">a belief that a person has made a </w:t>
      </w:r>
      <w:r w:rsidR="00B05481">
        <w:t>PID</w:t>
      </w:r>
      <w:r w:rsidRPr="002F221F">
        <w:t xml:space="preserve">; </w:t>
      </w:r>
      <w:r w:rsidR="002F221F">
        <w:t>or</w:t>
      </w:r>
    </w:p>
    <w:p w14:paraId="1CC45AB0" w14:textId="03ABDB35" w:rsidR="00B040CE" w:rsidRPr="002F221F" w:rsidRDefault="00B040CE" w:rsidP="00061417">
      <w:pPr>
        <w:pStyle w:val="ListParagraph"/>
        <w:numPr>
          <w:ilvl w:val="0"/>
          <w:numId w:val="30"/>
        </w:numPr>
      </w:pPr>
      <w:r w:rsidRPr="002F221F">
        <w:t xml:space="preserve">a belief that a person intends to make a </w:t>
      </w:r>
      <w:r w:rsidR="00B05481">
        <w:t>PID</w:t>
      </w:r>
      <w:r w:rsidRPr="002F221F">
        <w:t>.</w:t>
      </w:r>
      <w:r w:rsidRPr="002F221F">
        <w:rPr>
          <w:rStyle w:val="FootnoteReference"/>
        </w:rPr>
        <w:footnoteReference w:id="51"/>
      </w:r>
      <w:r w:rsidRPr="002F221F">
        <w:t xml:space="preserve"> </w:t>
      </w:r>
    </w:p>
    <w:p w14:paraId="26E0FE2A" w14:textId="3F72874C" w:rsidR="00B05481" w:rsidRPr="00B05481" w:rsidRDefault="00B05481" w:rsidP="00CE5055">
      <w:r>
        <w:rPr>
          <w:b/>
          <w:bCs/>
        </w:rPr>
        <w:t>Note:</w:t>
      </w:r>
      <w:r>
        <w:t xml:space="preserve"> Persons who make bona fide disclosures which, in the result, are not assessed to be PIDs do not have the protections of the PID Act but will be entitled to their employment rights. If the disclosure is assessed to be a corruption report under the </w:t>
      </w:r>
      <w:r>
        <w:rPr>
          <w:i/>
          <w:iCs/>
        </w:rPr>
        <w:t>Integrity Commission Act 2018</w:t>
      </w:r>
      <w:r>
        <w:t xml:space="preserve"> (</w:t>
      </w:r>
      <w:r w:rsidR="004E6247">
        <w:t>‘</w:t>
      </w:r>
      <w:r w:rsidR="004E6247" w:rsidRPr="004E6247">
        <w:rPr>
          <w:b/>
          <w:bCs/>
        </w:rPr>
        <w:t xml:space="preserve">IC </w:t>
      </w:r>
      <w:r w:rsidRPr="004E6247">
        <w:rPr>
          <w:b/>
          <w:bCs/>
        </w:rPr>
        <w:t>ACT</w:t>
      </w:r>
      <w:r w:rsidR="004E6247">
        <w:t>’</w:t>
      </w:r>
      <w:r>
        <w:t>) the protections afforded by that Act will apply.</w:t>
      </w:r>
    </w:p>
    <w:p w14:paraId="0172DA39" w14:textId="2DEDE85B" w:rsidR="00BA3A76" w:rsidRPr="00605BB4" w:rsidRDefault="00CE5055" w:rsidP="00CE5055">
      <w:r w:rsidRPr="00605BB4">
        <w:t xml:space="preserve">Detrimental action is best understood broadly </w:t>
      </w:r>
      <w:r w:rsidR="00BA3A76" w:rsidRPr="00605BB4">
        <w:t>and</w:t>
      </w:r>
      <w:r w:rsidRPr="00605BB4">
        <w:t xml:space="preserve"> refer</w:t>
      </w:r>
      <w:r w:rsidR="00BA3A76" w:rsidRPr="00605BB4">
        <w:t>s</w:t>
      </w:r>
      <w:r w:rsidRPr="00605BB4">
        <w:t xml:space="preserve"> to any conduct </w:t>
      </w:r>
      <w:r w:rsidR="00B05481">
        <w:t>that</w:t>
      </w:r>
      <w:r w:rsidRPr="00605BB4">
        <w:t xml:space="preserve"> is taken against a discloser with the intention of harming them. For example, conduct which proposes to treat a person ‘unfavourably’ could encompass a wide range of potential actions which vary in their impact and significance. </w:t>
      </w:r>
      <w:r w:rsidR="008F3AE5" w:rsidRPr="00605BB4">
        <w:t>It would include taking action against a person other than the discloser (for example, retaliating against the spouse of the discloser).</w:t>
      </w:r>
      <w:r w:rsidR="00BA3A76" w:rsidRPr="00605BB4">
        <w:t xml:space="preserve"> Detrimental action may also be taken against those who are not public sector officials or contractors, for example, by harassing a discloser who is a member of the public.</w:t>
      </w:r>
    </w:p>
    <w:p w14:paraId="79127F83" w14:textId="1C3961DC" w:rsidR="00BA3A76" w:rsidRPr="00605BB4" w:rsidRDefault="00BA3A76" w:rsidP="00CE5055">
      <w:r w:rsidRPr="00605BB4">
        <w:rPr>
          <w:b/>
          <w:bCs/>
        </w:rPr>
        <w:t>Example</w:t>
      </w:r>
      <w:r w:rsidRPr="00605BB4">
        <w:t>: It would be detrimental action if a contractor has their contract with a public sector entity cancelled (or not renewed where it would typically be renewed) in response to their making a disclosure.</w:t>
      </w:r>
    </w:p>
    <w:p w14:paraId="606C0132" w14:textId="5514B8F0" w:rsidR="00BA3A76" w:rsidRPr="00605BB4" w:rsidRDefault="00BA3A76" w:rsidP="00CE5055">
      <w:r w:rsidRPr="00605BB4">
        <w:rPr>
          <w:b/>
          <w:bCs/>
        </w:rPr>
        <w:t xml:space="preserve">Example: </w:t>
      </w:r>
      <w:r w:rsidRPr="00605BB4">
        <w:t>It would be detrimental action to ‘manage out’ an official in response to their making a disclosure.</w:t>
      </w:r>
    </w:p>
    <w:p w14:paraId="1707AA14" w14:textId="10114308" w:rsidR="00BA3A76" w:rsidRDefault="00BA3A76" w:rsidP="00CE5055">
      <w:r w:rsidRPr="00605BB4">
        <w:rPr>
          <w:b/>
          <w:bCs/>
        </w:rPr>
        <w:t>Example</w:t>
      </w:r>
      <w:r w:rsidRPr="00605BB4">
        <w:t>: It would be detrimental action to make threats</w:t>
      </w:r>
      <w:r w:rsidR="005B76C4" w:rsidRPr="00605BB4">
        <w:t xml:space="preserve"> to a member of the public</w:t>
      </w:r>
      <w:r w:rsidRPr="00605BB4">
        <w:t xml:space="preserve"> (such as </w:t>
      </w:r>
      <w:r w:rsidR="00AA316A" w:rsidRPr="00605BB4">
        <w:t>a representation</w:t>
      </w:r>
      <w:r w:rsidRPr="00605BB4">
        <w:t xml:space="preserve"> that </w:t>
      </w:r>
      <w:r w:rsidR="00256410" w:rsidRPr="00605BB4">
        <w:t>a</w:t>
      </w:r>
      <w:r w:rsidRPr="00605BB4">
        <w:t xml:space="preserve"> licence application would be delayed or denied unreasonably) in relation </w:t>
      </w:r>
      <w:r w:rsidR="005B76C4" w:rsidRPr="00605BB4">
        <w:t>to their making a disclosure.</w:t>
      </w:r>
    </w:p>
    <w:p w14:paraId="01454D45" w14:textId="5F7474F7" w:rsidR="004B66CD" w:rsidRDefault="004B66CD" w:rsidP="00CE5055"/>
    <w:p w14:paraId="11B80039" w14:textId="57F7AFCD" w:rsidR="004B66CD" w:rsidRDefault="004B66CD" w:rsidP="00CE5055"/>
    <w:p w14:paraId="54203040" w14:textId="7A6A33D7" w:rsidR="004B66CD" w:rsidRDefault="004B66CD" w:rsidP="00CE5055"/>
    <w:p w14:paraId="5753A8C1" w14:textId="77777777" w:rsidR="004B66CD" w:rsidRDefault="004B66CD" w:rsidP="00CE5055"/>
    <w:p w14:paraId="1E5884F7" w14:textId="77777777" w:rsidR="00063EE1" w:rsidRPr="00063EE1" w:rsidRDefault="00063EE1" w:rsidP="00063EE1">
      <w:pPr>
        <w:pStyle w:val="Heading4"/>
      </w:pPr>
      <w:bookmarkStart w:id="94" w:name="_Toc67904003"/>
      <w:r w:rsidRPr="00063EE1">
        <w:lastRenderedPageBreak/>
        <w:t>What is not detrimental action?</w:t>
      </w:r>
      <w:bookmarkEnd w:id="94"/>
    </w:p>
    <w:p w14:paraId="44F1CC2D" w14:textId="77777777" w:rsidR="00063EE1" w:rsidRPr="00063EE1" w:rsidRDefault="00063EE1" w:rsidP="00063EE1">
      <w:bookmarkStart w:id="95" w:name="_Hlk66450882"/>
      <w:r w:rsidRPr="00063EE1">
        <w:t>Administrative or related action taken to protect the discloser is not detrimental action. This would arise where, for example, it is necessary to transfer the discloser from their immediate work area to protect them. Such a situation may arise where the discloser has made a PID regarding their work area’s practices or referred to the conduct of a colleague within their work area, and the identified risk is such that the only treatment available is to move them. It is important that this is communicated to the discloser to guard against any perceptions of victimisation or punishment.</w:t>
      </w:r>
      <w:r w:rsidRPr="00063EE1">
        <w:rPr>
          <w:rStyle w:val="FootnoteReference"/>
        </w:rPr>
        <w:footnoteReference w:id="52"/>
      </w:r>
      <w:r w:rsidRPr="00063EE1">
        <w:t xml:space="preserve"> </w:t>
      </w:r>
    </w:p>
    <w:p w14:paraId="0B32A907" w14:textId="2B1CE854" w:rsidR="00063EE1" w:rsidRPr="00063EE1" w:rsidRDefault="00063EE1" w:rsidP="00063EE1">
      <w:r w:rsidRPr="00063EE1">
        <w:t xml:space="preserve">In addition, it is not detrimental action to manage the conduct or performance of a discloser where there </w:t>
      </w:r>
      <w:r>
        <w:t>are</w:t>
      </w:r>
      <w:r w:rsidRPr="00063EE1">
        <w:t xml:space="preserve"> unrelated performance or conduct concerns </w:t>
      </w:r>
      <w:r>
        <w:t>about</w:t>
      </w:r>
      <w:r w:rsidRPr="00063EE1">
        <w:t xml:space="preserve"> the discloser (see </w:t>
      </w:r>
      <w:r w:rsidR="003E5967" w:rsidRPr="003E5967">
        <w:rPr>
          <w:b/>
          <w:bCs/>
        </w:rPr>
        <w:fldChar w:fldCharType="begin"/>
      </w:r>
      <w:r w:rsidR="003E5967" w:rsidRPr="003E5967">
        <w:rPr>
          <w:b/>
          <w:bCs/>
        </w:rPr>
        <w:instrText xml:space="preserve"> REF _Ref63066322 \h  \* MERGEFORMAT </w:instrText>
      </w:r>
      <w:r w:rsidR="003E5967" w:rsidRPr="003E5967">
        <w:rPr>
          <w:b/>
          <w:bCs/>
        </w:rPr>
      </w:r>
      <w:r w:rsidR="003E5967" w:rsidRPr="003E5967">
        <w:rPr>
          <w:b/>
          <w:bCs/>
        </w:rPr>
        <w:fldChar w:fldCharType="separate"/>
      </w:r>
      <w:r w:rsidR="00245E6D" w:rsidRPr="00245E6D">
        <w:rPr>
          <w:b/>
          <w:bCs/>
        </w:rPr>
        <w:t>Where the discloser has performance or behavioural issues unrelated to the PID</w:t>
      </w:r>
      <w:r w:rsidR="003E5967" w:rsidRPr="003E5967">
        <w:rPr>
          <w:b/>
          <w:bCs/>
        </w:rPr>
        <w:fldChar w:fldCharType="end"/>
      </w:r>
      <w:r w:rsidRPr="00063EE1">
        <w:t>).</w:t>
      </w:r>
    </w:p>
    <w:p w14:paraId="318B1A61" w14:textId="1586D21F" w:rsidR="00063EE1" w:rsidRPr="00063EE1" w:rsidRDefault="00063EE1" w:rsidP="00063EE1">
      <w:r w:rsidRPr="00063EE1">
        <w:rPr>
          <w:b/>
          <w:bCs/>
        </w:rPr>
        <w:t>Example:</w:t>
      </w:r>
      <w:r w:rsidRPr="00063EE1">
        <w:t xml:space="preserve"> A</w:t>
      </w:r>
      <w:r>
        <w:t>’s</w:t>
      </w:r>
      <w:r w:rsidRPr="00063EE1">
        <w:t xml:space="preserve"> disclosure concerning B</w:t>
      </w:r>
      <w:r>
        <w:t xml:space="preserve"> is</w:t>
      </w:r>
      <w:r w:rsidRPr="00063EE1">
        <w:t xml:space="preserve"> assessed </w:t>
      </w:r>
      <w:r>
        <w:t>to be</w:t>
      </w:r>
      <w:r w:rsidRPr="00063EE1">
        <w:t xml:space="preserve"> a PID</w:t>
      </w:r>
      <w:r>
        <w:t>,</w:t>
      </w:r>
      <w:r w:rsidRPr="00063EE1">
        <w:t xml:space="preserve"> and </w:t>
      </w:r>
      <w:r>
        <w:t xml:space="preserve">the matter </w:t>
      </w:r>
      <w:r w:rsidRPr="00063EE1">
        <w:t xml:space="preserve">undergoes a risk assessment. A has performance </w:t>
      </w:r>
      <w:r>
        <w:t>issues</w:t>
      </w:r>
      <w:r w:rsidRPr="00063EE1">
        <w:t xml:space="preserve">, unrelated to the PID, and management strategies are implemented to address those issues – independently of the PID process. This is not detrimental action unless it can be </w:t>
      </w:r>
      <w:r>
        <w:t>e</w:t>
      </w:r>
      <w:r w:rsidRPr="00063EE1">
        <w:t>stablished that the actions taken to manage A’s underperformance were taken in response, or partial response, to their making a PID.</w:t>
      </w:r>
    </w:p>
    <w:p w14:paraId="407FD4DA" w14:textId="1ED232DB" w:rsidR="00063EE1" w:rsidRPr="00063EE1" w:rsidRDefault="00063EE1" w:rsidP="00063EE1">
      <w:r w:rsidRPr="00063EE1">
        <w:t xml:space="preserve">Further, where the discloser has made a disclosure which reveals or contains information which suggests wrongdoing or performance </w:t>
      </w:r>
      <w:r>
        <w:t>issues</w:t>
      </w:r>
      <w:r w:rsidRPr="00063EE1">
        <w:t xml:space="preserve"> on the part of the discloser, taking action to correct these issues is not detrimental action. </w:t>
      </w:r>
    </w:p>
    <w:bookmarkEnd w:id="95"/>
    <w:p w14:paraId="03159254" w14:textId="77777777" w:rsidR="00063EE1" w:rsidRDefault="00063EE1" w:rsidP="00063EE1">
      <w:r w:rsidRPr="00063EE1">
        <w:rPr>
          <w:b/>
          <w:bCs/>
        </w:rPr>
        <w:t xml:space="preserve">Note: </w:t>
      </w:r>
      <w:r w:rsidRPr="00063EE1">
        <w:t>A discloser may request some form of immunity or liability shield when making their disclosure. Whether this is accepted or taken into account in any subsequent investigation or sanction, is a matter for the investigating entity (for example, if sanctioning an employee, the decision maker may take into account the cooperation of the discloser and/or their bringing to light the subject of the PID).</w:t>
      </w:r>
    </w:p>
    <w:p w14:paraId="2E8B9A41" w14:textId="43EE6A39" w:rsidR="00B05481" w:rsidRPr="00605BB4" w:rsidRDefault="00B05481" w:rsidP="00B05481">
      <w:pPr>
        <w:pStyle w:val="Heading3"/>
      </w:pPr>
      <w:bookmarkStart w:id="96" w:name="_Toc75255152"/>
      <w:r>
        <w:t>Consequences for taking detrimental action</w:t>
      </w:r>
      <w:bookmarkEnd w:id="96"/>
    </w:p>
    <w:p w14:paraId="00E31C91" w14:textId="4B3F86E4" w:rsidR="00302A5F" w:rsidRPr="004677AD" w:rsidRDefault="00302A5F" w:rsidP="00302A5F">
      <w:r w:rsidRPr="004677AD">
        <w:t>A person (referred to in the PID Act as a ‘retaliator’) commits a</w:t>
      </w:r>
      <w:r w:rsidR="008809E5" w:rsidRPr="004677AD">
        <w:t xml:space="preserve"> criminal</w:t>
      </w:r>
      <w:r w:rsidRPr="004677AD">
        <w:t xml:space="preserve"> offence where they take, or threaten to take, detrimental action against a person who has, or they believe to have, made or intended to make a PID. A penalty of up to 1 year of imprisonment and/or a 100-penalty unit fine applies.</w:t>
      </w:r>
      <w:r w:rsidR="003D747A" w:rsidRPr="004677AD">
        <w:rPr>
          <w:rStyle w:val="FootnoteReference"/>
        </w:rPr>
        <w:footnoteReference w:id="53"/>
      </w:r>
    </w:p>
    <w:p w14:paraId="23CBA026" w14:textId="6159B295" w:rsidR="00302A5F" w:rsidRPr="004677AD" w:rsidRDefault="00302A5F" w:rsidP="00302A5F">
      <w:pPr>
        <w:rPr>
          <w:b/>
          <w:bCs/>
        </w:rPr>
      </w:pPr>
      <w:r w:rsidRPr="004677AD">
        <w:rPr>
          <w:b/>
          <w:bCs/>
        </w:rPr>
        <w:t xml:space="preserve">It is a serious offence to take detrimental action against a person as a result of them making a PID. Where it occurs, and if brought to the attention of the Commission, the matter will be referred to the ACT Director of Public Prosecutions to consider </w:t>
      </w:r>
      <w:r w:rsidR="004677AD" w:rsidRPr="004677AD">
        <w:rPr>
          <w:b/>
          <w:bCs/>
        </w:rPr>
        <w:t xml:space="preserve">prosecuting the </w:t>
      </w:r>
      <w:r w:rsidR="009929AA">
        <w:rPr>
          <w:b/>
          <w:bCs/>
        </w:rPr>
        <w:t>retaliator</w:t>
      </w:r>
      <w:r w:rsidRPr="004677AD">
        <w:rPr>
          <w:b/>
          <w:bCs/>
        </w:rPr>
        <w:t>.</w:t>
      </w:r>
    </w:p>
    <w:p w14:paraId="3899F6D6" w14:textId="3A7F9599" w:rsidR="00F31D5C" w:rsidRPr="004677AD" w:rsidRDefault="00B05481" w:rsidP="00302A5F">
      <w:r>
        <w:t>The prohibition of d</w:t>
      </w:r>
      <w:r w:rsidR="00F31D5C" w:rsidRPr="004677AD">
        <w:t>etrimental action is not limited to the person against whom a PID was, or intended to be, made. For example, where X makes a disclosure about Y and Z takes detrimental action against X in response, Z has committed an offence.</w:t>
      </w:r>
      <w:r w:rsidR="00F31D5C" w:rsidRPr="004677AD">
        <w:rPr>
          <w:rStyle w:val="FootnoteReference"/>
        </w:rPr>
        <w:footnoteReference w:id="54"/>
      </w:r>
    </w:p>
    <w:p w14:paraId="55CBA87D" w14:textId="6C4BC4AC" w:rsidR="00302A5F" w:rsidRPr="004677AD" w:rsidRDefault="00302A5F" w:rsidP="00302A5F">
      <w:r w:rsidRPr="004677AD">
        <w:t xml:space="preserve">Those who suffer detriment </w:t>
      </w:r>
      <w:r w:rsidR="00B96772" w:rsidRPr="004677AD">
        <w:t>because of</w:t>
      </w:r>
      <w:r w:rsidRPr="004677AD">
        <w:t xml:space="preserve"> detrimental action may recover damages.</w:t>
      </w:r>
      <w:r w:rsidRPr="004677AD">
        <w:rPr>
          <w:rStyle w:val="FootnoteReference"/>
        </w:rPr>
        <w:footnoteReference w:id="55"/>
      </w:r>
      <w:r w:rsidRPr="004677AD">
        <w:t xml:space="preserve"> This means if a discloser suffers losses as a result of detrimental action being taken against them, they may sue the person who has taken detrimental action and recover those losses. </w:t>
      </w:r>
    </w:p>
    <w:p w14:paraId="010BB68B" w14:textId="563536E4" w:rsidR="00302A5F" w:rsidRDefault="00302A5F" w:rsidP="00302A5F">
      <w:r w:rsidRPr="004677AD">
        <w:t>The ACT Supreme Court can make orders</w:t>
      </w:r>
      <w:r w:rsidR="008809E5" w:rsidRPr="004677AD">
        <w:t>,</w:t>
      </w:r>
      <w:r w:rsidRPr="004677AD">
        <w:t xml:space="preserve"> including injunctions, to either remedy any detrimental action already taken or prevent detrimental action from occurring.</w:t>
      </w:r>
      <w:r w:rsidRPr="004677AD">
        <w:rPr>
          <w:rStyle w:val="FootnoteReference"/>
        </w:rPr>
        <w:footnoteReference w:id="56"/>
      </w:r>
      <w:r w:rsidRPr="004677AD">
        <w:t xml:space="preserve"> The Commission, discloser, or person to whom the detrimental action is directed may apply for such an order. This means that if someone takes detrimental action, or is expected to take detrimental action, the ACT Supreme Court can intervene on the discloser’s (or other relevant part</w:t>
      </w:r>
      <w:r w:rsidR="007771B0">
        <w:t>y’s</w:t>
      </w:r>
      <w:r w:rsidRPr="004677AD">
        <w:t>) behalf.</w:t>
      </w:r>
    </w:p>
    <w:p w14:paraId="5287AD88" w14:textId="7E497318" w:rsidR="004B66CD" w:rsidRDefault="004B66CD" w:rsidP="00302A5F"/>
    <w:p w14:paraId="62D1616B" w14:textId="77777777" w:rsidR="004B66CD" w:rsidRPr="004677AD" w:rsidRDefault="004B66CD" w:rsidP="00302A5F"/>
    <w:p w14:paraId="36AFFC03" w14:textId="77777777" w:rsidR="00595BE4" w:rsidRDefault="00595BE4" w:rsidP="0087701B">
      <w:pPr>
        <w:pStyle w:val="Heading3"/>
      </w:pPr>
      <w:bookmarkStart w:id="97" w:name="_Toc62136018"/>
      <w:bookmarkStart w:id="98" w:name="_Toc67903975"/>
      <w:bookmarkStart w:id="99" w:name="_Toc75255153"/>
      <w:bookmarkStart w:id="100" w:name="_Hlk62208325"/>
      <w:bookmarkStart w:id="101" w:name="_Ref61857862"/>
      <w:bookmarkEnd w:id="91"/>
      <w:bookmarkEnd w:id="92"/>
      <w:bookmarkEnd w:id="93"/>
      <w:r>
        <w:lastRenderedPageBreak/>
        <w:t>Protection from the misuse of protected information</w:t>
      </w:r>
      <w:bookmarkEnd w:id="97"/>
      <w:bookmarkEnd w:id="98"/>
      <w:bookmarkEnd w:id="99"/>
    </w:p>
    <w:p w14:paraId="27811088" w14:textId="7880F8C8" w:rsidR="009C70A4" w:rsidRDefault="009C70A4" w:rsidP="009C70A4">
      <w:r>
        <w:t xml:space="preserve">Those with responsibilities under the PID Act (such as the Commission, </w:t>
      </w:r>
      <w:r w:rsidR="00B72F4E">
        <w:t>public sector entities</w:t>
      </w:r>
      <w:r>
        <w:t xml:space="preserve"> </w:t>
      </w:r>
      <w:r w:rsidR="00063EE1">
        <w:t>and</w:t>
      </w:r>
      <w:r>
        <w:t xml:space="preserve"> disclosure officers) must not use or share ‘protected information’ recklessly.</w:t>
      </w:r>
      <w:r>
        <w:rPr>
          <w:rStyle w:val="FootnoteReference"/>
        </w:rPr>
        <w:footnoteReference w:id="57"/>
      </w:r>
      <w:r>
        <w:t xml:space="preserve"> </w:t>
      </w:r>
      <w:r w:rsidRPr="0095686F">
        <w:t>Protected information is information obtained through the exercise of a function under the PID Act.</w:t>
      </w:r>
      <w:r>
        <w:t xml:space="preserve"> This would include, for example, the discloser’s identity. Recklessly means not treating the information carefully and properly.</w:t>
      </w:r>
    </w:p>
    <w:p w14:paraId="1D63EC14" w14:textId="0C42A3C7" w:rsidR="009C70A4" w:rsidRDefault="009C70A4" w:rsidP="009C70A4">
      <w:r>
        <w:t xml:space="preserve">Subject to a lawful excuse (such as using the information to investigate the </w:t>
      </w:r>
      <w:r w:rsidR="00C3279A">
        <w:t xml:space="preserve">disclosure </w:t>
      </w:r>
      <w:r>
        <w:t>or where a court requires it), the reckless use or divulging of protected information carries a penalty of 6 months imprisonment, or a 50-penalty unit fine for the person who has been reckless.</w:t>
      </w:r>
    </w:p>
    <w:p w14:paraId="1D64775C" w14:textId="7391C47C" w:rsidR="009C70A4" w:rsidRDefault="009C70A4" w:rsidP="009C70A4">
      <w:r>
        <w:t xml:space="preserve">This offence ensures that those who manage and investigate </w:t>
      </w:r>
      <w:r w:rsidR="00C3279A">
        <w:t xml:space="preserve">disclosures </w:t>
      </w:r>
      <w:r>
        <w:t>must be careful to do so confidential</w:t>
      </w:r>
      <w:r w:rsidR="004E3C4E">
        <w:t>ly</w:t>
      </w:r>
      <w:r>
        <w:t>.</w:t>
      </w:r>
    </w:p>
    <w:p w14:paraId="3346A014" w14:textId="77777777" w:rsidR="004E3C4E" w:rsidRDefault="004E3C4E" w:rsidP="004E3C4E">
      <w:pPr>
        <w:pStyle w:val="Heading3"/>
      </w:pPr>
      <w:bookmarkStart w:id="102" w:name="_Toc67903976"/>
      <w:bookmarkStart w:id="103" w:name="_Toc75255154"/>
      <w:r>
        <w:t>Protection for witnesses</w:t>
      </w:r>
      <w:bookmarkEnd w:id="102"/>
      <w:bookmarkEnd w:id="103"/>
    </w:p>
    <w:p w14:paraId="0F25AC10" w14:textId="06A916D5" w:rsidR="004E3C4E" w:rsidRPr="005730E8" w:rsidRDefault="004E3C4E" w:rsidP="009C70A4">
      <w:r>
        <w:t xml:space="preserve">Individuals who help </w:t>
      </w:r>
      <w:r w:rsidR="006B35BF">
        <w:t xml:space="preserve">investigations of </w:t>
      </w:r>
      <w:r w:rsidR="00063EE1">
        <w:t>PIDs</w:t>
      </w:r>
      <w:r>
        <w:t xml:space="preserve"> are protected against criminal and civil liability in relation to the help they provide.</w:t>
      </w:r>
      <w:r>
        <w:rPr>
          <w:rStyle w:val="FootnoteReference"/>
        </w:rPr>
        <w:footnoteReference w:id="58"/>
      </w:r>
      <w:r>
        <w:t xml:space="preserve"> However, as with disclosers, this </w:t>
      </w:r>
      <w:r w:rsidR="00BF0EF2">
        <w:t xml:space="preserve">protection </w:t>
      </w:r>
      <w:r>
        <w:t xml:space="preserve">does not extend to </w:t>
      </w:r>
      <w:r w:rsidR="00BF0EF2">
        <w:t xml:space="preserve">dealing appropriately with </w:t>
      </w:r>
      <w:r>
        <w:t>the conduct of the witness themselves (</w:t>
      </w:r>
      <w:r w:rsidR="00575158">
        <w:t>e</w:t>
      </w:r>
      <w:r w:rsidR="00BF0EF2">
        <w:t>g</w:t>
      </w:r>
      <w:r>
        <w:t xml:space="preserve"> if their help reveals wrongdoing on their part).</w:t>
      </w:r>
      <w:r>
        <w:rPr>
          <w:rStyle w:val="FootnoteReference"/>
        </w:rPr>
        <w:footnoteReference w:id="59"/>
      </w:r>
    </w:p>
    <w:bookmarkEnd w:id="100"/>
    <w:p w14:paraId="4987A427" w14:textId="77777777" w:rsidR="009F1984" w:rsidRDefault="009F1984" w:rsidP="002F62F7">
      <w:pPr>
        <w:rPr>
          <w:smallCaps/>
        </w:rPr>
        <w:sectPr w:rsidR="009F1984" w:rsidSect="00240DCD">
          <w:pgSz w:w="11906" w:h="16838"/>
          <w:pgMar w:top="1440" w:right="1440" w:bottom="1440" w:left="1440" w:header="708" w:footer="708" w:gutter="0"/>
          <w:cols w:space="708"/>
          <w:titlePg/>
          <w:docGrid w:linePitch="360"/>
        </w:sectPr>
      </w:pPr>
    </w:p>
    <w:p w14:paraId="5D95708D" w14:textId="6E9F44C5" w:rsidR="00985676" w:rsidRDefault="00985676" w:rsidP="007247D1">
      <w:pPr>
        <w:pStyle w:val="Heading1"/>
      </w:pPr>
      <w:bookmarkStart w:id="104" w:name="_Toc67903977"/>
      <w:bookmarkStart w:id="105" w:name="_Toc75255155"/>
      <w:r>
        <w:lastRenderedPageBreak/>
        <w:t xml:space="preserve">The obligations of entities under the </w:t>
      </w:r>
      <w:r w:rsidR="008661D4">
        <w:t>PID</w:t>
      </w:r>
      <w:r>
        <w:t xml:space="preserve"> scheme</w:t>
      </w:r>
      <w:bookmarkEnd w:id="101"/>
      <w:bookmarkEnd w:id="104"/>
      <w:bookmarkEnd w:id="105"/>
    </w:p>
    <w:p w14:paraId="6F1E2D1A" w14:textId="3709EB1F" w:rsidR="003D747A" w:rsidRDefault="003D747A" w:rsidP="003D747A">
      <w:r>
        <w:t>The following section provides an overview of the obligations that public sector entities have under the PID Act. Topics covered include:</w:t>
      </w:r>
    </w:p>
    <w:p w14:paraId="128DE43F" w14:textId="1A18275B" w:rsidR="003D747A" w:rsidRDefault="003D747A" w:rsidP="00061417">
      <w:pPr>
        <w:pStyle w:val="ListParagraph"/>
        <w:numPr>
          <w:ilvl w:val="0"/>
          <w:numId w:val="28"/>
        </w:numPr>
      </w:pPr>
      <w:r>
        <w:t xml:space="preserve">how </w:t>
      </w:r>
      <w:r w:rsidR="00C07552">
        <w:t xml:space="preserve">public sector </w:t>
      </w:r>
      <w:r>
        <w:t>entities may delegate powers;</w:t>
      </w:r>
    </w:p>
    <w:p w14:paraId="16696586" w14:textId="5D1BCBE1" w:rsidR="003D747A" w:rsidRDefault="003D747A" w:rsidP="00061417">
      <w:pPr>
        <w:pStyle w:val="ListParagraph"/>
        <w:numPr>
          <w:ilvl w:val="0"/>
          <w:numId w:val="28"/>
        </w:numPr>
      </w:pPr>
      <w:r>
        <w:t xml:space="preserve">the need for </w:t>
      </w:r>
      <w:r w:rsidR="00C07552">
        <w:t xml:space="preserve">public sector </w:t>
      </w:r>
      <w:r>
        <w:t>entities to nominate disclosure officers;</w:t>
      </w:r>
    </w:p>
    <w:p w14:paraId="3FDF3FD3" w14:textId="13D2826D" w:rsidR="003D747A" w:rsidRDefault="003D747A" w:rsidP="00061417">
      <w:pPr>
        <w:pStyle w:val="ListParagraph"/>
        <w:numPr>
          <w:ilvl w:val="0"/>
          <w:numId w:val="28"/>
        </w:numPr>
      </w:pPr>
      <w:r>
        <w:t xml:space="preserve">the need for </w:t>
      </w:r>
      <w:r w:rsidR="00C07552">
        <w:t xml:space="preserve">public sector </w:t>
      </w:r>
      <w:r>
        <w:t>entities to follow these guidelines;</w:t>
      </w:r>
    </w:p>
    <w:p w14:paraId="363D9F04" w14:textId="36AF9A1F" w:rsidR="003D747A" w:rsidRDefault="003D747A" w:rsidP="00061417">
      <w:pPr>
        <w:pStyle w:val="ListParagraph"/>
        <w:numPr>
          <w:ilvl w:val="0"/>
          <w:numId w:val="28"/>
        </w:numPr>
      </w:pPr>
      <w:r>
        <w:t xml:space="preserve">the requirement that </w:t>
      </w:r>
      <w:r w:rsidR="00C07552">
        <w:t xml:space="preserve">public sector </w:t>
      </w:r>
      <w:r>
        <w:t>entities have to investigate any disclosures referred to them by the Commission;</w:t>
      </w:r>
    </w:p>
    <w:p w14:paraId="05B1BB4C" w14:textId="683A8E77" w:rsidR="008E0ACF" w:rsidRDefault="008E0ACF" w:rsidP="00061417">
      <w:pPr>
        <w:pStyle w:val="ListParagraph"/>
        <w:numPr>
          <w:ilvl w:val="0"/>
          <w:numId w:val="28"/>
        </w:numPr>
      </w:pPr>
      <w:r>
        <w:t>protective arrangements;</w:t>
      </w:r>
    </w:p>
    <w:p w14:paraId="5751B14C" w14:textId="4757EBF4" w:rsidR="003D747A" w:rsidRDefault="003D747A" w:rsidP="00061417">
      <w:pPr>
        <w:pStyle w:val="ListParagraph"/>
        <w:numPr>
          <w:ilvl w:val="0"/>
          <w:numId w:val="28"/>
        </w:numPr>
      </w:pPr>
      <w:r>
        <w:t>the need to raise awareness of the PID scheme; and</w:t>
      </w:r>
    </w:p>
    <w:p w14:paraId="1303CFC7" w14:textId="2A1AC08B" w:rsidR="003D747A" w:rsidRPr="003D747A" w:rsidRDefault="003D747A" w:rsidP="00061417">
      <w:pPr>
        <w:pStyle w:val="ListParagraph"/>
        <w:numPr>
          <w:ilvl w:val="0"/>
          <w:numId w:val="28"/>
        </w:numPr>
      </w:pPr>
      <w:r>
        <w:t xml:space="preserve">the requirement that </w:t>
      </w:r>
      <w:r w:rsidR="00C07552">
        <w:t xml:space="preserve">investigating </w:t>
      </w:r>
      <w:r>
        <w:t>entities keep the Commission updated regarding any ongoing investigations of disclosable conduct.</w:t>
      </w:r>
    </w:p>
    <w:p w14:paraId="5CCC8A52" w14:textId="7E5D214D" w:rsidR="002F2354" w:rsidRDefault="00276984" w:rsidP="007247D1">
      <w:pPr>
        <w:pStyle w:val="Heading2"/>
      </w:pPr>
      <w:bookmarkStart w:id="106" w:name="_Toc67903978"/>
      <w:bookmarkStart w:id="107" w:name="_Toc75255156"/>
      <w:r>
        <w:t>The delegation of powers under the</w:t>
      </w:r>
      <w:r w:rsidR="00A63705">
        <w:t xml:space="preserve"> PID</w:t>
      </w:r>
      <w:r>
        <w:t xml:space="preserve"> Act</w:t>
      </w:r>
      <w:bookmarkEnd w:id="106"/>
      <w:bookmarkEnd w:id="107"/>
    </w:p>
    <w:p w14:paraId="3980BABC" w14:textId="52552242" w:rsidR="00276984" w:rsidRPr="00555DCC" w:rsidRDefault="00276984" w:rsidP="00F73D24">
      <w:r w:rsidRPr="00555DCC">
        <w:t>While not expressly dealt with in the</w:t>
      </w:r>
      <w:r w:rsidR="00351358" w:rsidRPr="00555DCC">
        <w:t xml:space="preserve"> PID</w:t>
      </w:r>
      <w:r w:rsidRPr="00555DCC">
        <w:t xml:space="preserve"> Act</w:t>
      </w:r>
      <w:r w:rsidR="00F73D24" w:rsidRPr="00555DCC">
        <w:t>,</w:t>
      </w:r>
      <w:r w:rsidRPr="00555DCC">
        <w:t xml:space="preserve"> the </w:t>
      </w:r>
      <w:r w:rsidR="00063EE1">
        <w:t>PSM Act</w:t>
      </w:r>
      <w:r w:rsidRPr="00555DCC">
        <w:t xml:space="preserve"> provides that a </w:t>
      </w:r>
      <w:r w:rsidR="00F73D24" w:rsidRPr="00555DCC">
        <w:t>D</w:t>
      </w:r>
      <w:r w:rsidRPr="00555DCC">
        <w:t>irector-</w:t>
      </w:r>
      <w:r w:rsidR="00F73D24" w:rsidRPr="00555DCC">
        <w:t>G</w:t>
      </w:r>
      <w:r w:rsidRPr="00555DCC">
        <w:t>eneral may</w:t>
      </w:r>
      <w:r w:rsidR="00F73D24" w:rsidRPr="00555DCC">
        <w:t xml:space="preserve"> </w:t>
      </w:r>
      <w:r w:rsidRPr="00555DCC">
        <w:t xml:space="preserve">delegate to a public employee or another person a function given to the </w:t>
      </w:r>
      <w:r w:rsidR="00E44FB9" w:rsidRPr="00555DCC">
        <w:t>D</w:t>
      </w:r>
      <w:r w:rsidRPr="00555DCC">
        <w:t>irector-</w:t>
      </w:r>
      <w:r w:rsidR="00E44FB9" w:rsidRPr="00555DCC">
        <w:t>G</w:t>
      </w:r>
      <w:r w:rsidRPr="00555DCC">
        <w:t xml:space="preserve">eneral under </w:t>
      </w:r>
      <w:r w:rsidR="00F73D24" w:rsidRPr="00555DCC">
        <w:t>that</w:t>
      </w:r>
      <w:r w:rsidRPr="00555DCC">
        <w:t xml:space="preserve"> Act or any other law applying in the ACT</w:t>
      </w:r>
      <w:r w:rsidR="00351358" w:rsidRPr="00555DCC">
        <w:t>.</w:t>
      </w:r>
      <w:r w:rsidR="00351358" w:rsidRPr="00555DCC">
        <w:rPr>
          <w:rStyle w:val="FootnoteReference"/>
        </w:rPr>
        <w:footnoteReference w:id="60"/>
      </w:r>
    </w:p>
    <w:p w14:paraId="78D4CA4B" w14:textId="2DA116D0" w:rsidR="00276984" w:rsidRDefault="00351358" w:rsidP="00276984">
      <w:r>
        <w:t>The</w:t>
      </w:r>
      <w:r w:rsidR="00276984">
        <w:t xml:space="preserve"> </w:t>
      </w:r>
      <w:r w:rsidR="00276984">
        <w:rPr>
          <w:i/>
          <w:iCs/>
        </w:rPr>
        <w:t>Legislation Act 2001</w:t>
      </w:r>
      <w:r>
        <w:t xml:space="preserve"> (ACT)</w:t>
      </w:r>
      <w:r w:rsidR="00276984">
        <w:t xml:space="preserve"> </w:t>
      </w:r>
      <w:r w:rsidR="007771B0">
        <w:t>(‘</w:t>
      </w:r>
      <w:r w:rsidR="007771B0">
        <w:rPr>
          <w:b/>
          <w:bCs/>
        </w:rPr>
        <w:t xml:space="preserve">Legislation </w:t>
      </w:r>
      <w:r w:rsidR="007771B0" w:rsidRPr="007771B0">
        <w:rPr>
          <w:b/>
          <w:bCs/>
        </w:rPr>
        <w:t>Act</w:t>
      </w:r>
      <w:r w:rsidR="007771B0">
        <w:t xml:space="preserve">’) </w:t>
      </w:r>
      <w:r w:rsidR="00276984" w:rsidRPr="007771B0">
        <w:t>deals</w:t>
      </w:r>
      <w:r w:rsidR="00276984">
        <w:t xml:space="preserve"> with the formality and procedural requirements </w:t>
      </w:r>
      <w:r w:rsidR="00525DAF">
        <w:t>of making such delegations.</w:t>
      </w:r>
      <w:r>
        <w:rPr>
          <w:rStyle w:val="FootnoteReference"/>
        </w:rPr>
        <w:footnoteReference w:id="61"/>
      </w:r>
    </w:p>
    <w:p w14:paraId="7400912A" w14:textId="57A6EFBC" w:rsidR="00525DAF" w:rsidRPr="00525DAF" w:rsidRDefault="00525DAF" w:rsidP="00276984">
      <w:r>
        <w:t xml:space="preserve">It is </w:t>
      </w:r>
      <w:r w:rsidRPr="00F73D24">
        <w:t>recommended</w:t>
      </w:r>
      <w:r>
        <w:t xml:space="preserve"> that </w:t>
      </w:r>
      <w:r w:rsidR="00E810E0">
        <w:t xml:space="preserve">heads of </w:t>
      </w:r>
      <w:r w:rsidR="00B72F4E">
        <w:t>public sector entities</w:t>
      </w:r>
      <w:r>
        <w:t xml:space="preserve"> delegate their powers under the </w:t>
      </w:r>
      <w:r w:rsidR="0087701B">
        <w:t xml:space="preserve">PID </w:t>
      </w:r>
      <w:r>
        <w:t xml:space="preserve">Act to </w:t>
      </w:r>
      <w:r w:rsidR="008809E5">
        <w:t xml:space="preserve">the </w:t>
      </w:r>
      <w:r w:rsidR="007771B0">
        <w:t>Senior Executives with Responsibility for Business Integrity and Risk (‘</w:t>
      </w:r>
      <w:r w:rsidR="00063EE1" w:rsidRPr="007771B0">
        <w:rPr>
          <w:b/>
          <w:bCs/>
        </w:rPr>
        <w:t>SERBIR</w:t>
      </w:r>
      <w:r w:rsidR="007771B0">
        <w:t>’)</w:t>
      </w:r>
      <w:r w:rsidR="008809E5">
        <w:t xml:space="preserve"> </w:t>
      </w:r>
      <w:r w:rsidR="008809E5" w:rsidRPr="008809E5">
        <w:t>for</w:t>
      </w:r>
      <w:r w:rsidR="008809E5">
        <w:t xml:space="preserve"> their entity</w:t>
      </w:r>
      <w:r>
        <w:t xml:space="preserve"> (including arrangements relating to the nomination of disclosure officers), in accordance with the </w:t>
      </w:r>
      <w:r w:rsidR="00063EE1">
        <w:t>PSM Act</w:t>
      </w:r>
      <w:r>
        <w:t xml:space="preserve"> and </w:t>
      </w:r>
      <w:r w:rsidRPr="007771B0">
        <w:t>Legislation Act</w:t>
      </w:r>
      <w:r w:rsidR="007771B0" w:rsidRPr="007771B0">
        <w:t>.</w:t>
      </w:r>
    </w:p>
    <w:p w14:paraId="1DA95E5F" w14:textId="27FAD510" w:rsidR="002F2354" w:rsidRDefault="002F2354" w:rsidP="007247D1">
      <w:pPr>
        <w:pStyle w:val="Heading2"/>
      </w:pPr>
      <w:bookmarkStart w:id="108" w:name="_Toc67903979"/>
      <w:bookmarkStart w:id="109" w:name="_Toc75255157"/>
      <w:r>
        <w:t>The nomination of disclosure officers</w:t>
      </w:r>
      <w:bookmarkEnd w:id="108"/>
      <w:bookmarkEnd w:id="109"/>
    </w:p>
    <w:p w14:paraId="3FDCC28B" w14:textId="43397CAF" w:rsidR="002F2354" w:rsidRDefault="00757D51" w:rsidP="002F2354">
      <w:r>
        <w:t>The PID Act</w:t>
      </w:r>
      <w:r w:rsidR="002F2354">
        <w:t xml:space="preserve"> requires that </w:t>
      </w:r>
      <w:r w:rsidR="00B72F4E">
        <w:t xml:space="preserve">public sector </w:t>
      </w:r>
      <w:r w:rsidR="00B40C77">
        <w:t>enti</w:t>
      </w:r>
      <w:r w:rsidR="003D747A">
        <w:t>ties</w:t>
      </w:r>
      <w:r w:rsidR="002F2354">
        <w:t>:</w:t>
      </w:r>
    </w:p>
    <w:p w14:paraId="4E107215" w14:textId="74EA723C" w:rsidR="002F2354" w:rsidRPr="00F73D24" w:rsidRDefault="002F2354" w:rsidP="00061417">
      <w:pPr>
        <w:pStyle w:val="ListParagraph"/>
        <w:numPr>
          <w:ilvl w:val="0"/>
          <w:numId w:val="29"/>
        </w:numPr>
      </w:pPr>
      <w:r w:rsidRPr="00F73D24">
        <w:t xml:space="preserve">nominate at least </w:t>
      </w:r>
      <w:r w:rsidR="00063EE1">
        <w:t>one</w:t>
      </w:r>
      <w:r w:rsidRPr="00F73D24">
        <w:t xml:space="preserve"> person to be a disclosure officer for disclosures of disclosable conduct; </w:t>
      </w:r>
    </w:p>
    <w:p w14:paraId="6B8117EF" w14:textId="028C9ECD" w:rsidR="002F2354" w:rsidRPr="00F73D24" w:rsidRDefault="002F2354" w:rsidP="00061417">
      <w:pPr>
        <w:pStyle w:val="ListParagraph"/>
        <w:numPr>
          <w:ilvl w:val="0"/>
          <w:numId w:val="29"/>
        </w:numPr>
      </w:pPr>
      <w:r w:rsidRPr="00F73D24">
        <w:t xml:space="preserve">publish the </w:t>
      </w:r>
      <w:r w:rsidR="00B40C77">
        <w:t xml:space="preserve">contact details for all nominated </w:t>
      </w:r>
      <w:r w:rsidRPr="00F73D24">
        <w:t xml:space="preserve">disclosure officers on the </w:t>
      </w:r>
      <w:r w:rsidR="00063EE1">
        <w:t xml:space="preserve">public sector </w:t>
      </w:r>
      <w:r w:rsidRPr="00F73D24">
        <w:t>entity’s website; and</w:t>
      </w:r>
    </w:p>
    <w:p w14:paraId="065EE866" w14:textId="0AE8AE02" w:rsidR="002F2354" w:rsidRPr="00F73D24" w:rsidRDefault="002F2354" w:rsidP="00061417">
      <w:pPr>
        <w:pStyle w:val="ListParagraph"/>
        <w:numPr>
          <w:ilvl w:val="0"/>
          <w:numId w:val="29"/>
        </w:numPr>
        <w:rPr>
          <w:szCs w:val="20"/>
        </w:rPr>
      </w:pPr>
      <w:r w:rsidRPr="00F73D24">
        <w:t xml:space="preserve">give the </w:t>
      </w:r>
      <w:r w:rsidR="00B40C77">
        <w:t xml:space="preserve">contact details of all </w:t>
      </w:r>
      <w:r w:rsidRPr="00F73D24">
        <w:t xml:space="preserve">disclosure officers </w:t>
      </w:r>
      <w:r w:rsidR="00B40C77">
        <w:t>to the Commission</w:t>
      </w:r>
      <w:r w:rsidRPr="00F73D24">
        <w:t>.</w:t>
      </w:r>
      <w:r w:rsidR="00757D51" w:rsidRPr="00F73D24">
        <w:rPr>
          <w:rStyle w:val="FootnoteReference"/>
        </w:rPr>
        <w:footnoteReference w:id="62"/>
      </w:r>
    </w:p>
    <w:p w14:paraId="51F63888" w14:textId="237FAA58" w:rsidR="00122164" w:rsidRDefault="00122164" w:rsidP="0087701B">
      <w:pPr>
        <w:pStyle w:val="Heading3"/>
      </w:pPr>
      <w:bookmarkStart w:id="110" w:name="_Toc67903980"/>
      <w:bookmarkStart w:id="111" w:name="_Toc75255158"/>
      <w:r>
        <w:t>Who should be nominated as a disclosure officer?</w:t>
      </w:r>
      <w:bookmarkEnd w:id="110"/>
      <w:bookmarkEnd w:id="111"/>
    </w:p>
    <w:p w14:paraId="2DC61A36" w14:textId="079499E2" w:rsidR="002F2354" w:rsidRDefault="002F2354" w:rsidP="002F2354">
      <w:r>
        <w:t>It is recommended that at least one of the nominated disclosure officers be the</w:t>
      </w:r>
      <w:r w:rsidR="00485194">
        <w:t xml:space="preserve"> </w:t>
      </w:r>
      <w:r w:rsidR="002B2B3B">
        <w:t>public sector</w:t>
      </w:r>
      <w:r>
        <w:t xml:space="preserve"> </w:t>
      </w:r>
      <w:r w:rsidR="002B2B3B">
        <w:t>e</w:t>
      </w:r>
      <w:r w:rsidR="00485194">
        <w:t>ntity’s</w:t>
      </w:r>
      <w:r>
        <w:t xml:space="preserve"> </w:t>
      </w:r>
      <w:r w:rsidR="00063EE1">
        <w:t>SERBIR</w:t>
      </w:r>
      <w:r>
        <w:t>.</w:t>
      </w:r>
      <w:r w:rsidR="009711F1">
        <w:rPr>
          <w:rStyle w:val="FootnoteReference"/>
        </w:rPr>
        <w:footnoteReference w:id="63"/>
      </w:r>
      <w:r>
        <w:t xml:space="preserve"> It is also recommended that </w:t>
      </w:r>
      <w:r w:rsidR="002B2B3B">
        <w:t>public sector entities</w:t>
      </w:r>
      <w:r>
        <w:t xml:space="preserve"> appoint more than one disclosure officer, preferably across various business lines and at differing classifications.</w:t>
      </w:r>
      <w:r w:rsidR="00FC0DAD">
        <w:t xml:space="preserve"> </w:t>
      </w:r>
      <w:r w:rsidR="00122164">
        <w:t xml:space="preserve">While it is common that </w:t>
      </w:r>
      <w:r w:rsidR="00B72F4E">
        <w:t>public sector entities</w:t>
      </w:r>
      <w:r w:rsidR="00122164">
        <w:t xml:space="preserve"> appoint senior officials to hold the role of disclosure officer, disclosers may find discussing their concerns with such </w:t>
      </w:r>
      <w:r w:rsidR="00485194">
        <w:t xml:space="preserve">senior </w:t>
      </w:r>
      <w:r w:rsidR="008E0ACF">
        <w:t>officials</w:t>
      </w:r>
      <w:r w:rsidR="00485194">
        <w:t xml:space="preserve"> </w:t>
      </w:r>
      <w:r w:rsidR="00122164">
        <w:t xml:space="preserve">intimidating. </w:t>
      </w:r>
    </w:p>
    <w:p w14:paraId="2B3E9D8D" w14:textId="540E6A96" w:rsidR="004B66CD" w:rsidRDefault="00FC0DAD" w:rsidP="002F2354">
      <w:r>
        <w:t xml:space="preserve">There is no specific or recommended number of disclosure officers, but </w:t>
      </w:r>
      <w:r w:rsidR="00B72F4E">
        <w:t>public sector entities</w:t>
      </w:r>
      <w:r>
        <w:t xml:space="preserve"> should ensure there is appropriate coverage across the </w:t>
      </w:r>
      <w:r w:rsidR="001B31F1">
        <w:t>business,</w:t>
      </w:r>
      <w:r>
        <w:t xml:space="preserve"> </w:t>
      </w:r>
      <w:r w:rsidR="00930029">
        <w:t>so</w:t>
      </w:r>
      <w:r>
        <w:t xml:space="preserve"> disclosers are not discouraged</w:t>
      </w:r>
      <w:r w:rsidR="00E810E0">
        <w:t>,</w:t>
      </w:r>
      <w:r>
        <w:t xml:space="preserve"> </w:t>
      </w:r>
      <w:r w:rsidR="00E810E0">
        <w:t>n</w:t>
      </w:r>
      <w:r>
        <w:t>or nominated</w:t>
      </w:r>
      <w:r w:rsidR="007532CF">
        <w:t xml:space="preserve"> </w:t>
      </w:r>
      <w:r>
        <w:t>officers overwhelmed.</w:t>
      </w:r>
    </w:p>
    <w:p w14:paraId="481BCDB7" w14:textId="77777777" w:rsidR="004B66CD" w:rsidRDefault="004B66CD" w:rsidP="002F2354"/>
    <w:p w14:paraId="19C98BA5" w14:textId="65EC4D53" w:rsidR="0024302C" w:rsidRDefault="0024302C" w:rsidP="0087701B">
      <w:pPr>
        <w:pStyle w:val="Heading3"/>
      </w:pPr>
      <w:bookmarkStart w:id="112" w:name="_Toc67903981"/>
      <w:bookmarkStart w:id="113" w:name="_Toc75255159"/>
      <w:r>
        <w:lastRenderedPageBreak/>
        <w:t xml:space="preserve">Disclosure officers in small </w:t>
      </w:r>
      <w:r w:rsidR="002B2B3B">
        <w:t>public sector</w:t>
      </w:r>
      <w:r>
        <w:t xml:space="preserve"> </w:t>
      </w:r>
      <w:r w:rsidR="002B2B3B">
        <w:t>e</w:t>
      </w:r>
      <w:r>
        <w:t>ntities</w:t>
      </w:r>
      <w:bookmarkEnd w:id="112"/>
      <w:bookmarkEnd w:id="113"/>
    </w:p>
    <w:p w14:paraId="36FB0466" w14:textId="3B93DFEE" w:rsidR="0024302C" w:rsidRDefault="0024302C" w:rsidP="0024302C">
      <w:r>
        <w:t xml:space="preserve">Where </w:t>
      </w:r>
      <w:r w:rsidR="00B72F4E">
        <w:t>a public sector entity</w:t>
      </w:r>
      <w:r>
        <w:t xml:space="preserve"> is small</w:t>
      </w:r>
      <w:r w:rsidR="00E810E0">
        <w:t>,</w:t>
      </w:r>
      <w:r>
        <w:t xml:space="preserve"> it may not be practical to nominate disclosure officers across business lines and/or classification levels. In such agencies, the only practical solution may be to nominate the </w:t>
      </w:r>
      <w:r w:rsidR="008809E5">
        <w:t>entity’s</w:t>
      </w:r>
      <w:r>
        <w:t xml:space="preserve"> </w:t>
      </w:r>
      <w:r w:rsidR="00063EE1">
        <w:t>SERBIR</w:t>
      </w:r>
      <w:r>
        <w:t>, CEO or similar.</w:t>
      </w:r>
    </w:p>
    <w:p w14:paraId="489468FD" w14:textId="66643F69" w:rsidR="0024302C" w:rsidRDefault="0024302C" w:rsidP="0024302C">
      <w:r>
        <w:t xml:space="preserve">Given this reality, the Commission </w:t>
      </w:r>
      <w:r w:rsidRPr="00930029">
        <w:t>recommends</w:t>
      </w:r>
      <w:r>
        <w:t xml:space="preserve"> that such </w:t>
      </w:r>
      <w:r w:rsidR="00B72F4E">
        <w:t>public sector entities</w:t>
      </w:r>
      <w:r>
        <w:t xml:space="preserve"> make clear on either their intranet, or public facing internet pages, that disclosures can be made</w:t>
      </w:r>
      <w:r w:rsidR="00063EE1">
        <w:t xml:space="preserve"> to others</w:t>
      </w:r>
      <w:r w:rsidR="001B31F1">
        <w:t>,</w:t>
      </w:r>
      <w:r w:rsidR="00930029">
        <w:t xml:space="preserve"> </w:t>
      </w:r>
      <w:r w:rsidR="00757D51">
        <w:t>in addition to the</w:t>
      </w:r>
      <w:r w:rsidR="001B31F1">
        <w:t>ir</w:t>
      </w:r>
      <w:r w:rsidR="00757D51">
        <w:t xml:space="preserve"> nominated</w:t>
      </w:r>
      <w:r w:rsidR="007532CF">
        <w:t xml:space="preserve"> </w:t>
      </w:r>
      <w:r w:rsidR="00757D51">
        <w:t>disclosure officer</w:t>
      </w:r>
      <w:r w:rsidR="00E810E0">
        <w:t>(</w:t>
      </w:r>
      <w:r w:rsidR="00757D51">
        <w:t>s</w:t>
      </w:r>
      <w:r w:rsidR="00E810E0">
        <w:t xml:space="preserve">), </w:t>
      </w:r>
      <w:r w:rsidR="00063EE1">
        <w:t>being</w:t>
      </w:r>
      <w:r>
        <w:t>:</w:t>
      </w:r>
    </w:p>
    <w:p w14:paraId="628C9FAA" w14:textId="5740B32A" w:rsidR="0024302C" w:rsidRDefault="0024302C" w:rsidP="008D1DE6">
      <w:pPr>
        <w:pStyle w:val="ListParagraph"/>
        <w:numPr>
          <w:ilvl w:val="0"/>
          <w:numId w:val="2"/>
        </w:numPr>
      </w:pPr>
      <w:r>
        <w:t>any disclosure officer within the ACT; or</w:t>
      </w:r>
    </w:p>
    <w:p w14:paraId="468BBCFD" w14:textId="79D109C9" w:rsidR="0024302C" w:rsidRDefault="0024302C" w:rsidP="008D1DE6">
      <w:pPr>
        <w:pStyle w:val="ListParagraph"/>
        <w:numPr>
          <w:ilvl w:val="0"/>
          <w:numId w:val="2"/>
        </w:numPr>
      </w:pPr>
      <w:r>
        <w:t>the Commission directly.</w:t>
      </w:r>
    </w:p>
    <w:p w14:paraId="63714A38" w14:textId="3F327CF5" w:rsidR="0024302C" w:rsidRPr="0024302C" w:rsidRDefault="0024302C" w:rsidP="0024302C">
      <w:r>
        <w:t xml:space="preserve">If this approach is taken, the </w:t>
      </w:r>
      <w:r w:rsidR="00B72F4E">
        <w:t>public sector entity</w:t>
      </w:r>
      <w:r>
        <w:t xml:space="preserve"> should provide a link or other direction to the relevant resource (typically</w:t>
      </w:r>
      <w:r w:rsidR="008809E5">
        <w:t>,</w:t>
      </w:r>
      <w:r>
        <w:t xml:space="preserve"> the Commission’s webpage).</w:t>
      </w:r>
    </w:p>
    <w:p w14:paraId="33605162" w14:textId="3DED88A4" w:rsidR="00FC0DAD" w:rsidRDefault="00FC0DAD" w:rsidP="0087701B">
      <w:pPr>
        <w:pStyle w:val="Heading3"/>
      </w:pPr>
      <w:bookmarkStart w:id="114" w:name="_Toc67903982"/>
      <w:bookmarkStart w:id="115" w:name="_Toc75255160"/>
      <w:r>
        <w:t>Disclosure officer networks</w:t>
      </w:r>
      <w:bookmarkEnd w:id="114"/>
      <w:bookmarkEnd w:id="115"/>
    </w:p>
    <w:p w14:paraId="04382F29" w14:textId="0A51A01C" w:rsidR="00FC0DAD" w:rsidRDefault="00FC0DAD" w:rsidP="00FC0DAD">
      <w:r>
        <w:t>It is recommended that</w:t>
      </w:r>
      <w:r w:rsidR="008809E5">
        <w:t>,</w:t>
      </w:r>
      <w:r>
        <w:t xml:space="preserve"> where </w:t>
      </w:r>
      <w:r w:rsidR="00B72F4E">
        <w:t>public sector entities</w:t>
      </w:r>
      <w:r>
        <w:t xml:space="preserve"> have more than one disclosure officer, they establish a</w:t>
      </w:r>
      <w:r w:rsidR="001B31F1">
        <w:t>n internal</w:t>
      </w:r>
      <w:r>
        <w:t xml:space="preserve"> network or forum in which PID issues can be discussed frankly. These forums could, for example, </w:t>
      </w:r>
      <w:r w:rsidR="008809E5">
        <w:t>consider</w:t>
      </w:r>
      <w:r>
        <w:t xml:space="preserve"> whether the current administrative arrangements are working, what sorts of issues are being raised</w:t>
      </w:r>
      <w:r w:rsidR="00063EE1">
        <w:t>,</w:t>
      </w:r>
      <w:r>
        <w:t xml:space="preserve"> and whether there are proactive measures </w:t>
      </w:r>
      <w:r w:rsidR="00C07552">
        <w:t>that</w:t>
      </w:r>
      <w:r>
        <w:t xml:space="preserve"> can </w:t>
      </w:r>
      <w:r w:rsidR="00C07552">
        <w:t xml:space="preserve">be </w:t>
      </w:r>
      <w:r>
        <w:t>take</w:t>
      </w:r>
      <w:r w:rsidR="00C07552">
        <w:t>n</w:t>
      </w:r>
      <w:r>
        <w:t xml:space="preserve"> to improve operations (either in relation to the PID scheme or its business delivery). Such meetings need not be frequent or formal – it is</w:t>
      </w:r>
      <w:r w:rsidR="008809E5">
        <w:t>,</w:t>
      </w:r>
      <w:r>
        <w:t xml:space="preserve"> however</w:t>
      </w:r>
      <w:r w:rsidR="008809E5">
        <w:t>,</w:t>
      </w:r>
      <w:r>
        <w:t xml:space="preserve"> recommended that such meetings occur </w:t>
      </w:r>
      <w:r w:rsidRPr="001B31F1">
        <w:t>at least once per year</w:t>
      </w:r>
      <w:r>
        <w:t>.</w:t>
      </w:r>
    </w:p>
    <w:p w14:paraId="5BAA3C75" w14:textId="33BE62AF" w:rsidR="00CC5018" w:rsidRPr="00CC5018" w:rsidRDefault="00CC5018" w:rsidP="00FC0DAD">
      <w:r>
        <w:rPr>
          <w:b/>
          <w:bCs/>
        </w:rPr>
        <w:t>Important</w:t>
      </w:r>
      <w:r>
        <w:t xml:space="preserve">: Where this option is pursued, </w:t>
      </w:r>
      <w:r w:rsidR="00646DCC">
        <w:t>public sector</w:t>
      </w:r>
      <w:r w:rsidR="00680302">
        <w:t xml:space="preserve"> entities</w:t>
      </w:r>
      <w:r>
        <w:t xml:space="preserve"> </w:t>
      </w:r>
      <w:r w:rsidR="008E0ACF">
        <w:t>can</w:t>
      </w:r>
      <w:r>
        <w:t xml:space="preserve"> notify the Commission of any meetings </w:t>
      </w:r>
      <w:r w:rsidR="008E0ACF">
        <w:t>so that</w:t>
      </w:r>
      <w:r w:rsidR="00A53BF5">
        <w:t xml:space="preserve"> </w:t>
      </w:r>
      <w:r>
        <w:t xml:space="preserve">Commission staff will be able to attend (if </w:t>
      </w:r>
      <w:r w:rsidR="001B31F1">
        <w:t>desired</w:t>
      </w:r>
      <w:r>
        <w:t xml:space="preserve">) to answer questions that disclosure </w:t>
      </w:r>
      <w:r w:rsidR="00E256E7">
        <w:t>officers</w:t>
      </w:r>
      <w:r>
        <w:t xml:space="preserve"> may have.</w:t>
      </w:r>
    </w:p>
    <w:p w14:paraId="378E7BC2" w14:textId="19C7D511" w:rsidR="00024DA8" w:rsidRDefault="00024DA8" w:rsidP="0087701B">
      <w:pPr>
        <w:pStyle w:val="Heading3"/>
      </w:pPr>
      <w:bookmarkStart w:id="116" w:name="_Toc67903983"/>
      <w:bookmarkStart w:id="117" w:name="_Toc75255161"/>
      <w:r>
        <w:t xml:space="preserve">What information is required to be collected </w:t>
      </w:r>
      <w:r w:rsidR="00063EE1">
        <w:t>about</w:t>
      </w:r>
      <w:r>
        <w:t xml:space="preserve"> disclosure officers?</w:t>
      </w:r>
      <w:bookmarkEnd w:id="116"/>
      <w:bookmarkEnd w:id="117"/>
    </w:p>
    <w:p w14:paraId="0E9C54D8" w14:textId="2245AEAA" w:rsidR="00024DA8" w:rsidRDefault="00B72F4E" w:rsidP="00024DA8">
      <w:r>
        <w:t>Public sector entities</w:t>
      </w:r>
      <w:r w:rsidR="00024DA8">
        <w:t xml:space="preserve"> are required to collect </w:t>
      </w:r>
      <w:r w:rsidR="00A53BF5">
        <w:t xml:space="preserve">sufficient </w:t>
      </w:r>
      <w:r w:rsidR="00024DA8">
        <w:t>information</w:t>
      </w:r>
      <w:r w:rsidR="006F5BEA">
        <w:t xml:space="preserve"> about their disclosure officers, and make</w:t>
      </w:r>
      <w:r w:rsidR="00527842">
        <w:t xml:space="preserve"> it readily available,</w:t>
      </w:r>
      <w:r w:rsidR="00024DA8">
        <w:t xml:space="preserve"> to ensure that potential disclosers can easily make disclosures</w:t>
      </w:r>
      <w:r w:rsidR="00063EE1">
        <w:t>,</w:t>
      </w:r>
      <w:r w:rsidR="00024DA8">
        <w:t xml:space="preserve"> and select whom they would feel most comfortable making their disclosure to. This would require</w:t>
      </w:r>
      <w:r w:rsidR="00527842">
        <w:t>,</w:t>
      </w:r>
      <w:r w:rsidR="00024DA8">
        <w:t xml:space="preserve"> at a minimum</w:t>
      </w:r>
      <w:r w:rsidR="00527842">
        <w:t>,</w:t>
      </w:r>
      <w:r w:rsidR="00024DA8">
        <w:t xml:space="preserve"> the</w:t>
      </w:r>
      <w:r w:rsidR="001F33FF">
        <w:t xml:space="preserve"> collection of the</w:t>
      </w:r>
      <w:r w:rsidR="00024DA8">
        <w:t xml:space="preserve"> nominated disclosure officer’s:</w:t>
      </w:r>
    </w:p>
    <w:p w14:paraId="1DF68F2E" w14:textId="1C6427C3" w:rsidR="00024DA8" w:rsidRDefault="009711F1" w:rsidP="008D1DE6">
      <w:pPr>
        <w:pStyle w:val="ListParagraph"/>
        <w:numPr>
          <w:ilvl w:val="0"/>
          <w:numId w:val="4"/>
        </w:numPr>
      </w:pPr>
      <w:r>
        <w:t>n</w:t>
      </w:r>
      <w:r w:rsidR="00024DA8">
        <w:t>ame</w:t>
      </w:r>
      <w:r>
        <w:t>;</w:t>
      </w:r>
    </w:p>
    <w:p w14:paraId="3A9F288A" w14:textId="069B522C" w:rsidR="00024DA8" w:rsidRDefault="009711F1" w:rsidP="008D1DE6">
      <w:pPr>
        <w:pStyle w:val="ListParagraph"/>
        <w:numPr>
          <w:ilvl w:val="0"/>
          <w:numId w:val="4"/>
        </w:numPr>
      </w:pPr>
      <w:r>
        <w:t>r</w:t>
      </w:r>
      <w:r w:rsidR="00024DA8">
        <w:t>ole</w:t>
      </w:r>
      <w:r>
        <w:t>;</w:t>
      </w:r>
    </w:p>
    <w:p w14:paraId="5BDCC2DD" w14:textId="746162DB" w:rsidR="00024DA8" w:rsidRDefault="009711F1" w:rsidP="008D1DE6">
      <w:pPr>
        <w:pStyle w:val="ListParagraph"/>
        <w:numPr>
          <w:ilvl w:val="0"/>
          <w:numId w:val="4"/>
        </w:numPr>
      </w:pPr>
      <w:r>
        <w:t>w</w:t>
      </w:r>
      <w:r w:rsidR="00024DA8">
        <w:t>ork location</w:t>
      </w:r>
      <w:r>
        <w:t>;</w:t>
      </w:r>
    </w:p>
    <w:p w14:paraId="6133C240" w14:textId="27A8776D" w:rsidR="00024DA8" w:rsidRDefault="009711F1" w:rsidP="008D1DE6">
      <w:pPr>
        <w:pStyle w:val="ListParagraph"/>
        <w:numPr>
          <w:ilvl w:val="0"/>
          <w:numId w:val="4"/>
        </w:numPr>
      </w:pPr>
      <w:r>
        <w:t>p</w:t>
      </w:r>
      <w:r w:rsidR="00024DA8">
        <w:t>hone number</w:t>
      </w:r>
      <w:r w:rsidR="007771B0">
        <w:t xml:space="preserve"> (ie their desk/office number)</w:t>
      </w:r>
      <w:r>
        <w:t>;</w:t>
      </w:r>
    </w:p>
    <w:p w14:paraId="1BBD3870" w14:textId="2888C786" w:rsidR="00024DA8" w:rsidRDefault="009711F1" w:rsidP="008D1DE6">
      <w:pPr>
        <w:pStyle w:val="ListParagraph"/>
        <w:numPr>
          <w:ilvl w:val="0"/>
          <w:numId w:val="4"/>
        </w:numPr>
      </w:pPr>
      <w:r>
        <w:t>e</w:t>
      </w:r>
      <w:r w:rsidR="00024DA8">
        <w:t>mail address</w:t>
      </w:r>
      <w:r>
        <w:t>; and</w:t>
      </w:r>
    </w:p>
    <w:p w14:paraId="29677087" w14:textId="20D453D4" w:rsidR="00024DA8" w:rsidRDefault="009711F1" w:rsidP="008D1DE6">
      <w:pPr>
        <w:pStyle w:val="ListParagraph"/>
        <w:numPr>
          <w:ilvl w:val="0"/>
          <w:numId w:val="4"/>
        </w:numPr>
      </w:pPr>
      <w:r>
        <w:t>p</w:t>
      </w:r>
      <w:r w:rsidR="00024DA8">
        <w:t>ostal address</w:t>
      </w:r>
      <w:r>
        <w:t>.</w:t>
      </w:r>
    </w:p>
    <w:p w14:paraId="7991D61E" w14:textId="499A6326" w:rsidR="00024DA8" w:rsidRPr="00024DA8" w:rsidRDefault="00024DA8" w:rsidP="00024DA8">
      <w:r>
        <w:t xml:space="preserve">It is </w:t>
      </w:r>
      <w:r w:rsidRPr="00527842">
        <w:t>recommended</w:t>
      </w:r>
      <w:r>
        <w:rPr>
          <w:b/>
          <w:bCs/>
        </w:rPr>
        <w:t xml:space="preserve"> </w:t>
      </w:r>
      <w:r>
        <w:t xml:space="preserve">that </w:t>
      </w:r>
      <w:r w:rsidR="00B72F4E">
        <w:t>public sector entities</w:t>
      </w:r>
      <w:r>
        <w:t xml:space="preserve"> establish a PID group email address (</w:t>
      </w:r>
      <w:r w:rsidR="00575158">
        <w:t>ie</w:t>
      </w:r>
      <w:r w:rsidR="00D9426C">
        <w:t> </w:t>
      </w:r>
      <w:r w:rsidRPr="00024DA8">
        <w:t>PID.entityname@act.gov.au</w:t>
      </w:r>
      <w:r>
        <w:t xml:space="preserve"> or similar) which includes all </w:t>
      </w:r>
      <w:r w:rsidR="00063EE1">
        <w:t>its</w:t>
      </w:r>
      <w:r>
        <w:t xml:space="preserve"> nominated disclosure officers</w:t>
      </w:r>
      <w:r w:rsidR="001F33FF">
        <w:t xml:space="preserve"> in a group</w:t>
      </w:r>
      <w:r>
        <w:t>. This will be particularly helpful where the discloser wishes to make an anonymous disclosure.</w:t>
      </w:r>
      <w:r w:rsidR="00C9500D">
        <w:t xml:space="preserve"> Where an entity adopts a group email inbox, it should develop procedures to ensure that </w:t>
      </w:r>
      <w:r w:rsidR="00A53BF5">
        <w:t xml:space="preserve">the </w:t>
      </w:r>
      <w:r w:rsidR="00C9500D">
        <w:t xml:space="preserve">inbox is regularly monitored and that reports are allocated to appropriate disclosure officers </w:t>
      </w:r>
      <w:r w:rsidR="008809E5">
        <w:t>in</w:t>
      </w:r>
      <w:r w:rsidR="00C9500D">
        <w:t xml:space="preserve"> a timely fashion.</w:t>
      </w:r>
    </w:p>
    <w:p w14:paraId="29A2BB3B" w14:textId="489B59D4" w:rsidR="00122164" w:rsidRDefault="00122164" w:rsidP="0087701B">
      <w:pPr>
        <w:pStyle w:val="Heading3"/>
      </w:pPr>
      <w:bookmarkStart w:id="118" w:name="_Toc67903984"/>
      <w:bookmarkStart w:id="119" w:name="_Toc75255162"/>
      <w:r>
        <w:t xml:space="preserve">Publishing the contact details on the </w:t>
      </w:r>
      <w:r w:rsidR="00063EE1">
        <w:t xml:space="preserve">public sector </w:t>
      </w:r>
      <w:r w:rsidR="00024DA8">
        <w:t>entity’s</w:t>
      </w:r>
      <w:r>
        <w:t xml:space="preserve"> website</w:t>
      </w:r>
      <w:r w:rsidR="00024DA8">
        <w:t xml:space="preserve"> and notifying the Commission</w:t>
      </w:r>
      <w:bookmarkEnd w:id="118"/>
      <w:bookmarkEnd w:id="119"/>
    </w:p>
    <w:p w14:paraId="5FC5BC0D" w14:textId="71CB987A" w:rsidR="005763C6" w:rsidRDefault="005763C6" w:rsidP="00EB3E4B">
      <w:pPr>
        <w:pStyle w:val="Heading4"/>
      </w:pPr>
      <w:r>
        <w:t>Entity website</w:t>
      </w:r>
    </w:p>
    <w:p w14:paraId="3A063438" w14:textId="2A2CB957" w:rsidR="005763C6" w:rsidRPr="00CB35BD" w:rsidRDefault="00122164" w:rsidP="00122164">
      <w:r>
        <w:t xml:space="preserve">Where the </w:t>
      </w:r>
      <w:r w:rsidR="00B72F4E">
        <w:t>public sector entity</w:t>
      </w:r>
      <w:r>
        <w:t xml:space="preserve"> has a </w:t>
      </w:r>
      <w:r w:rsidR="00646DCC">
        <w:t>website,</w:t>
      </w:r>
      <w:r w:rsidR="00B72F4E">
        <w:t xml:space="preserve"> it</w:t>
      </w:r>
      <w:r>
        <w:t xml:space="preserve"> </w:t>
      </w:r>
      <w:r w:rsidRPr="00527842">
        <w:t>must</w:t>
      </w:r>
      <w:r>
        <w:t xml:space="preserve"> publish the contact details for all disclosure officers on </w:t>
      </w:r>
      <w:r w:rsidR="00646DCC">
        <w:t>it</w:t>
      </w:r>
      <w:r>
        <w:t>.</w:t>
      </w:r>
      <w:r w:rsidR="00E256E7">
        <w:rPr>
          <w:rStyle w:val="FootnoteReference"/>
        </w:rPr>
        <w:footnoteReference w:id="64"/>
      </w:r>
      <w:r>
        <w:t xml:space="preserve"> </w:t>
      </w:r>
      <w:r w:rsidR="00024DA8">
        <w:t xml:space="preserve">If an entity has established a group PID email account as recommended above, this should also be listed on the entity’s website. </w:t>
      </w:r>
      <w:r w:rsidR="00B72F4E">
        <w:t>Public sector entities</w:t>
      </w:r>
      <w:r w:rsidR="001B4472">
        <w:t xml:space="preserve"> </w:t>
      </w:r>
      <w:r w:rsidR="001B4472" w:rsidRPr="00527842">
        <w:t>must</w:t>
      </w:r>
      <w:r w:rsidR="001B4472">
        <w:t xml:space="preserve"> ensure</w:t>
      </w:r>
      <w:r w:rsidR="00527842">
        <w:t xml:space="preserve"> </w:t>
      </w:r>
      <w:r w:rsidR="001B4472">
        <w:t>that the contact details for all their disclosure officers remain current.</w:t>
      </w:r>
      <w:r w:rsidR="00CB35BD">
        <w:t xml:space="preserve"> The Commission </w:t>
      </w:r>
      <w:r w:rsidR="008E0ACF">
        <w:t>will</w:t>
      </w:r>
      <w:r w:rsidR="00CB35BD">
        <w:t xml:space="preserve"> from time to time review </w:t>
      </w:r>
      <w:r w:rsidR="00B72F4E">
        <w:t>public sector entities’</w:t>
      </w:r>
      <w:r w:rsidR="00CB35BD">
        <w:t xml:space="preserve"> websites and verify their currency against records the Commission holds.</w:t>
      </w:r>
    </w:p>
    <w:p w14:paraId="200ADCD5" w14:textId="3CC58424" w:rsidR="001F33FF" w:rsidRPr="001F33FF" w:rsidRDefault="001F33FF" w:rsidP="00122164">
      <w:r>
        <w:rPr>
          <w:b/>
          <w:bCs/>
        </w:rPr>
        <w:lastRenderedPageBreak/>
        <w:t>Important:</w:t>
      </w:r>
      <w:r>
        <w:t xml:space="preserve"> Even where a</w:t>
      </w:r>
      <w:r w:rsidR="00B72F4E">
        <w:t xml:space="preserve"> public sector entity </w:t>
      </w:r>
      <w:r>
        <w:t xml:space="preserve">has established a group PID email account, </w:t>
      </w:r>
      <w:r w:rsidR="008E0ACF">
        <w:t>it is</w:t>
      </w:r>
      <w:r>
        <w:t xml:space="preserve"> still </w:t>
      </w:r>
      <w:r w:rsidR="00063EE1">
        <w:t>obliged</w:t>
      </w:r>
      <w:r>
        <w:t xml:space="preserve"> to ensure that all contact details for all disclosure officers are available online.</w:t>
      </w:r>
    </w:p>
    <w:p w14:paraId="7DC0160E" w14:textId="77777777" w:rsidR="00E15E57" w:rsidRDefault="00122164" w:rsidP="00122164">
      <w:r>
        <w:t xml:space="preserve">It is </w:t>
      </w:r>
      <w:r w:rsidRPr="00527842">
        <w:t>recommended</w:t>
      </w:r>
      <w:r>
        <w:t xml:space="preserve"> that </w:t>
      </w:r>
      <w:r w:rsidR="00024DA8">
        <w:t xml:space="preserve">the entity </w:t>
      </w:r>
      <w:r w:rsidR="00527842">
        <w:t xml:space="preserve">also </w:t>
      </w:r>
      <w:r w:rsidR="00024DA8">
        <w:t xml:space="preserve">has a ‘PID’ page which provides some basic information regarding the </w:t>
      </w:r>
      <w:r w:rsidR="00A63705">
        <w:t xml:space="preserve">PID </w:t>
      </w:r>
      <w:r w:rsidR="00024DA8">
        <w:t xml:space="preserve">Act to accompany disclosure officer details. </w:t>
      </w:r>
      <w:r w:rsidR="009D1582">
        <w:t xml:space="preserve">This need not be </w:t>
      </w:r>
      <w:r w:rsidR="00CB35BD">
        <w:t>a separate</w:t>
      </w:r>
      <w:r w:rsidR="005763C6">
        <w:t xml:space="preserve"> website</w:t>
      </w:r>
      <w:r w:rsidR="009D1582">
        <w:t xml:space="preserve"> section, but may reside on a ‘complaints’, ‘integrity’</w:t>
      </w:r>
      <w:r w:rsidR="005763C6">
        <w:t>, ‘contact us’ or similar</w:t>
      </w:r>
      <w:r w:rsidR="009D1582">
        <w:t xml:space="preserve"> page. </w:t>
      </w:r>
      <w:r w:rsidR="00E15E57">
        <w:t>Information that would be expected on such a page includes (but is not limited to):</w:t>
      </w:r>
    </w:p>
    <w:p w14:paraId="5D39B7ED" w14:textId="77777777" w:rsidR="00E15E57" w:rsidRDefault="00E15E57" w:rsidP="00E15E57">
      <w:pPr>
        <w:pStyle w:val="ListParagraph"/>
        <w:numPr>
          <w:ilvl w:val="0"/>
          <w:numId w:val="4"/>
        </w:numPr>
      </w:pPr>
      <w:r>
        <w:t>contact details for disclosure officers;</w:t>
      </w:r>
    </w:p>
    <w:p w14:paraId="38E16A57" w14:textId="70E0C233" w:rsidR="00E15E57" w:rsidRDefault="00E15E57" w:rsidP="00E15E57">
      <w:pPr>
        <w:pStyle w:val="ListParagraph"/>
        <w:numPr>
          <w:ilvl w:val="0"/>
          <w:numId w:val="4"/>
        </w:numPr>
      </w:pPr>
      <w:r>
        <w:t xml:space="preserve">a brief overview of what a PID is, and how people may </w:t>
      </w:r>
      <w:r w:rsidR="00C07552">
        <w:t>report wrongdoing</w:t>
      </w:r>
      <w:r>
        <w:t>; and</w:t>
      </w:r>
    </w:p>
    <w:p w14:paraId="1DD344DE" w14:textId="4ECC60C6" w:rsidR="00122164" w:rsidRDefault="00E15E57" w:rsidP="00E15E57">
      <w:pPr>
        <w:pStyle w:val="ListParagraph"/>
        <w:numPr>
          <w:ilvl w:val="0"/>
          <w:numId w:val="4"/>
        </w:numPr>
      </w:pPr>
      <w:r>
        <w:t>contact details for the Commission.</w:t>
      </w:r>
    </w:p>
    <w:p w14:paraId="2757E7D9" w14:textId="04E8D080" w:rsidR="005763C6" w:rsidRDefault="005763C6" w:rsidP="00EB3E4B">
      <w:pPr>
        <w:pStyle w:val="Heading4"/>
      </w:pPr>
      <w:r>
        <w:t>Notifying the Commission of all disclosure officers</w:t>
      </w:r>
    </w:p>
    <w:p w14:paraId="29B71893" w14:textId="72938288" w:rsidR="005763C6" w:rsidRDefault="00E256E7" w:rsidP="005763C6">
      <w:r>
        <w:t>The PID Act</w:t>
      </w:r>
      <w:r w:rsidR="005763C6">
        <w:t xml:space="preserve"> </w:t>
      </w:r>
      <w:r w:rsidR="00A53BF5">
        <w:t xml:space="preserve">requires </w:t>
      </w:r>
      <w:r w:rsidR="005763C6">
        <w:t>the Commission to publish on its website the contact details for all nominated disclosure officers.</w:t>
      </w:r>
      <w:r>
        <w:rPr>
          <w:rStyle w:val="FootnoteReference"/>
        </w:rPr>
        <w:footnoteReference w:id="65"/>
      </w:r>
      <w:r w:rsidR="005763C6">
        <w:t xml:space="preserve"> As soon as possible following </w:t>
      </w:r>
      <w:r w:rsidR="00FE0763">
        <w:t>a</w:t>
      </w:r>
      <w:r w:rsidR="001B4472">
        <w:t xml:space="preserve"> disclosure officer being nominated</w:t>
      </w:r>
      <w:r w:rsidR="00FE0763">
        <w:t xml:space="preserve">, </w:t>
      </w:r>
      <w:r w:rsidR="00B72F4E">
        <w:t>public sector entities</w:t>
      </w:r>
      <w:r w:rsidR="00FE0763">
        <w:t xml:space="preserve"> </w:t>
      </w:r>
      <w:r w:rsidR="00FE0763" w:rsidRPr="00527842">
        <w:t>must</w:t>
      </w:r>
      <w:r w:rsidR="00FE0763">
        <w:t xml:space="preserve"> provide the contact details </w:t>
      </w:r>
      <w:r w:rsidR="00A53BF5">
        <w:t xml:space="preserve">of their disclosure officers </w:t>
      </w:r>
      <w:r w:rsidR="00FE0763">
        <w:t xml:space="preserve">to the Commission. </w:t>
      </w:r>
    </w:p>
    <w:p w14:paraId="66BF95E2" w14:textId="595F7595" w:rsidR="00FE0763" w:rsidRPr="00FE0763" w:rsidRDefault="00B72F4E" w:rsidP="005763C6">
      <w:r>
        <w:t>Public sector entities</w:t>
      </w:r>
      <w:r w:rsidR="00FE0763">
        <w:t xml:space="preserve"> </w:t>
      </w:r>
      <w:r w:rsidR="00FE0763" w:rsidRPr="00527842">
        <w:t>must</w:t>
      </w:r>
      <w:r w:rsidR="00FE0763">
        <w:rPr>
          <w:b/>
          <w:bCs/>
        </w:rPr>
        <w:t xml:space="preserve"> </w:t>
      </w:r>
      <w:r w:rsidR="00FE0763">
        <w:t>notify the Commission of any changes to their nominated disclosure officer details as soon as possible</w:t>
      </w:r>
      <w:r w:rsidR="00F035CF">
        <w:t xml:space="preserve"> (eg where individuals cease to be disclosure officers or where new disclosure officers are appointed)</w:t>
      </w:r>
      <w:r w:rsidR="00FE0763">
        <w:t>.</w:t>
      </w:r>
    </w:p>
    <w:p w14:paraId="35ACD254" w14:textId="079C5B6F" w:rsidR="00674A56" w:rsidRDefault="00674A56" w:rsidP="007247D1">
      <w:pPr>
        <w:pStyle w:val="Heading2"/>
      </w:pPr>
      <w:bookmarkStart w:id="120" w:name="_Toc67903986"/>
      <w:bookmarkStart w:id="121" w:name="_Toc75255163"/>
      <w:r>
        <w:t xml:space="preserve">Establishing systems to manage and report on disclosures of disclosable conduct and </w:t>
      </w:r>
      <w:r w:rsidR="008661D4">
        <w:t>PID</w:t>
      </w:r>
      <w:r>
        <w:t>s</w:t>
      </w:r>
      <w:bookmarkEnd w:id="120"/>
      <w:bookmarkEnd w:id="121"/>
    </w:p>
    <w:p w14:paraId="6DDBB225" w14:textId="336FEB5A" w:rsidR="00674A56" w:rsidRDefault="00B72F4E" w:rsidP="00674A56">
      <w:r>
        <w:t>Public sector entities</w:t>
      </w:r>
      <w:r w:rsidR="00674A56">
        <w:t xml:space="preserve"> </w:t>
      </w:r>
      <w:r w:rsidR="00674A56" w:rsidRPr="00527842">
        <w:t>must</w:t>
      </w:r>
      <w:r w:rsidR="00674A56">
        <w:t xml:space="preserve"> have appropriate systems in place to ensure</w:t>
      </w:r>
      <w:r w:rsidR="00B02D4D">
        <w:t xml:space="preserve"> that </w:t>
      </w:r>
      <w:r w:rsidR="00527842">
        <w:t>they</w:t>
      </w:r>
      <w:r w:rsidR="00B02D4D">
        <w:t xml:space="preserve"> can produce accurate reporting regarding disclosures of disclosable conduct and </w:t>
      </w:r>
      <w:r w:rsidR="008661D4">
        <w:t>PID</w:t>
      </w:r>
      <w:r w:rsidR="00B02D4D">
        <w:t>s.</w:t>
      </w:r>
    </w:p>
    <w:p w14:paraId="635D5B93" w14:textId="32553079" w:rsidR="00B02D4D" w:rsidRDefault="00B72F4E" w:rsidP="00674A56">
      <w:r>
        <w:t>Public sector entities</w:t>
      </w:r>
      <w:r w:rsidR="00B02D4D">
        <w:t xml:space="preserve"> </w:t>
      </w:r>
      <w:r w:rsidR="00B02D4D" w:rsidRPr="00527842">
        <w:t>must</w:t>
      </w:r>
      <w:r w:rsidR="00B02D4D">
        <w:t xml:space="preserve"> have appropriate systems in place to manage and acquit all disclosures of disclosable conduct </w:t>
      </w:r>
      <w:r w:rsidR="00F035CF">
        <w:t>and</w:t>
      </w:r>
      <w:r w:rsidR="00B02D4D">
        <w:t xml:space="preserve"> </w:t>
      </w:r>
      <w:r w:rsidR="008661D4">
        <w:t>PID</w:t>
      </w:r>
      <w:r w:rsidR="00B02D4D">
        <w:t xml:space="preserve">s </w:t>
      </w:r>
      <w:r w:rsidR="00527842">
        <w:t>they receive.</w:t>
      </w:r>
      <w:r w:rsidR="00B02D4D">
        <w:t xml:space="preserve"> </w:t>
      </w:r>
    </w:p>
    <w:p w14:paraId="2CE711B5" w14:textId="138C6845" w:rsidR="00B02D4D" w:rsidRPr="00B02D4D" w:rsidRDefault="00B72F4E" w:rsidP="00674A56">
      <w:r>
        <w:t>Public sector entities</w:t>
      </w:r>
      <w:r w:rsidR="00B02D4D">
        <w:t xml:space="preserve"> </w:t>
      </w:r>
      <w:r w:rsidR="00B02D4D" w:rsidRPr="00527842">
        <w:t>must</w:t>
      </w:r>
      <w:r w:rsidR="00B02D4D">
        <w:t xml:space="preserve"> ensure </w:t>
      </w:r>
      <w:r w:rsidR="00527842">
        <w:t>that their</w:t>
      </w:r>
      <w:r w:rsidR="00B02D4D">
        <w:t xml:space="preserve"> reporting and/or management systems have appropriate access controls and protocols to ensure that the privacy of all those involved is </w:t>
      </w:r>
      <w:r w:rsidR="002B422D">
        <w:t>protected</w:t>
      </w:r>
      <w:r w:rsidR="00B02D4D">
        <w:t>.</w:t>
      </w:r>
    </w:p>
    <w:p w14:paraId="65E00B53" w14:textId="0DAA27BA" w:rsidR="00B02D4D" w:rsidRPr="00B02D4D" w:rsidRDefault="00B02D4D" w:rsidP="00674A56">
      <w:r>
        <w:rPr>
          <w:b/>
          <w:bCs/>
        </w:rPr>
        <w:t>Suggestion</w:t>
      </w:r>
      <w:r>
        <w:t xml:space="preserve">: Where </w:t>
      </w:r>
      <w:r w:rsidR="00B72F4E">
        <w:t>a public sector entity</w:t>
      </w:r>
      <w:r>
        <w:t xml:space="preserve"> does not have a case management system </w:t>
      </w:r>
      <w:r w:rsidR="00F035CF">
        <w:t>that</w:t>
      </w:r>
      <w:r>
        <w:t xml:space="preserve"> can be adapted for </w:t>
      </w:r>
      <w:r w:rsidR="00C07552">
        <w:t>activities</w:t>
      </w:r>
      <w:r>
        <w:t xml:space="preserve"> under the </w:t>
      </w:r>
      <w:r w:rsidR="009711F1">
        <w:t xml:space="preserve">PID </w:t>
      </w:r>
      <w:r>
        <w:t xml:space="preserve">Act, the Commission recommends </w:t>
      </w:r>
      <w:r w:rsidR="00527842">
        <w:t>they</w:t>
      </w:r>
      <w:r>
        <w:t xml:space="preserve"> </w:t>
      </w:r>
      <w:r w:rsidR="00430D3C">
        <w:t xml:space="preserve">make use of the ACT </w:t>
      </w:r>
      <w:r w:rsidR="00527842">
        <w:t>G</w:t>
      </w:r>
      <w:r w:rsidR="00430D3C">
        <w:t>overnment</w:t>
      </w:r>
      <w:r w:rsidR="00527842">
        <w:t>’</w:t>
      </w:r>
      <w:r w:rsidR="00430D3C">
        <w:t xml:space="preserve">s document management system. The Commission also recommends that </w:t>
      </w:r>
      <w:r w:rsidR="00B72F4E">
        <w:t>public sector entities</w:t>
      </w:r>
      <w:r w:rsidR="00430D3C">
        <w:t xml:space="preserve"> develop a spreadsheet or similar to track all </w:t>
      </w:r>
      <w:r w:rsidR="008661D4">
        <w:t>PID</w:t>
      </w:r>
      <w:r w:rsidR="00430D3C">
        <w:t>s or disclosures of disclosable conduct for which that entity has responsibility. A</w:t>
      </w:r>
      <w:r w:rsidR="007532CF">
        <w:t xml:space="preserve"> </w:t>
      </w:r>
      <w:r w:rsidR="00430D3C">
        <w:t xml:space="preserve">suggested approach </w:t>
      </w:r>
      <w:r w:rsidR="00527842">
        <w:t>appears</w:t>
      </w:r>
      <w:r w:rsidR="00430D3C">
        <w:t xml:space="preserve"> at</w:t>
      </w:r>
      <w:r w:rsidR="009F5985">
        <w:t xml:space="preserve"> </w:t>
      </w:r>
      <w:r w:rsidR="003E5967" w:rsidRPr="003E5967">
        <w:rPr>
          <w:b/>
          <w:bCs/>
        </w:rPr>
        <w:fldChar w:fldCharType="begin"/>
      </w:r>
      <w:r w:rsidR="003E5967" w:rsidRPr="003E5967">
        <w:rPr>
          <w:b/>
          <w:bCs/>
        </w:rPr>
        <w:instrText xml:space="preserve"> REF _Ref61853394 \h  \* MERGEFORMAT </w:instrText>
      </w:r>
      <w:r w:rsidR="003E5967" w:rsidRPr="003E5967">
        <w:rPr>
          <w:b/>
          <w:bCs/>
        </w:rPr>
      </w:r>
      <w:r w:rsidR="003E5967" w:rsidRPr="003E5967">
        <w:rPr>
          <w:b/>
          <w:bCs/>
        </w:rPr>
        <w:fldChar w:fldCharType="separate"/>
      </w:r>
      <w:r w:rsidR="00245E6D" w:rsidRPr="00245E6D">
        <w:rPr>
          <w:b/>
          <w:bCs/>
        </w:rPr>
        <w:t>Appendix A: Records management structure</w:t>
      </w:r>
      <w:r w:rsidR="003E5967" w:rsidRPr="003E5967">
        <w:rPr>
          <w:b/>
          <w:bCs/>
        </w:rPr>
        <w:fldChar w:fldCharType="end"/>
      </w:r>
      <w:r w:rsidR="009F5985" w:rsidRPr="009F5985">
        <w:t>.</w:t>
      </w:r>
    </w:p>
    <w:p w14:paraId="0E712024" w14:textId="39653988" w:rsidR="00FE0763" w:rsidRDefault="00FE0763" w:rsidP="007247D1">
      <w:pPr>
        <w:pStyle w:val="Heading2"/>
      </w:pPr>
      <w:bookmarkStart w:id="122" w:name="_Ref61518026"/>
      <w:bookmarkStart w:id="123" w:name="_Toc67903987"/>
      <w:bookmarkStart w:id="124" w:name="_Toc75255164"/>
      <w:r>
        <w:t xml:space="preserve">Investigating </w:t>
      </w:r>
      <w:r w:rsidR="008661D4">
        <w:t>PID</w:t>
      </w:r>
      <w:r>
        <w:t>s</w:t>
      </w:r>
      <w:bookmarkEnd w:id="122"/>
      <w:bookmarkEnd w:id="123"/>
      <w:bookmarkEnd w:id="124"/>
    </w:p>
    <w:p w14:paraId="06B3DFB6" w14:textId="403A88FD" w:rsidR="00077AB5" w:rsidRPr="0057255D" w:rsidRDefault="00E256E7" w:rsidP="00077AB5">
      <w:pPr>
        <w:rPr>
          <w:b/>
          <w:bCs/>
        </w:rPr>
      </w:pPr>
      <w:r>
        <w:t>The PID</w:t>
      </w:r>
      <w:r w:rsidR="0057255D">
        <w:t xml:space="preserve"> Act provides that </w:t>
      </w:r>
      <w:r w:rsidR="00646DCC">
        <w:t>public sector</w:t>
      </w:r>
      <w:r w:rsidR="00680302">
        <w:t xml:space="preserve"> entities</w:t>
      </w:r>
      <w:r w:rsidR="0057255D">
        <w:t xml:space="preserve"> </w:t>
      </w:r>
      <w:r w:rsidR="0057255D" w:rsidRPr="00706F9A">
        <w:t>must</w:t>
      </w:r>
      <w:r w:rsidR="0057255D">
        <w:t xml:space="preserve"> investigate all disclosures </w:t>
      </w:r>
      <w:r w:rsidR="00706F9A">
        <w:t xml:space="preserve">which they </w:t>
      </w:r>
      <w:r w:rsidR="00C105A2">
        <w:t>receive</w:t>
      </w:r>
      <w:r w:rsidR="00B314B8">
        <w:t>,</w:t>
      </w:r>
      <w:r w:rsidR="0057255D">
        <w:t xml:space="preserve"> and that such investigations </w:t>
      </w:r>
      <w:r w:rsidR="0057255D" w:rsidRPr="00706F9A">
        <w:t>must</w:t>
      </w:r>
      <w:r w:rsidR="0057255D">
        <w:t xml:space="preserve"> comply with the rules of natural justice and procedural fairness.</w:t>
      </w:r>
      <w:r>
        <w:rPr>
          <w:rStyle w:val="FootnoteReference"/>
        </w:rPr>
        <w:footnoteReference w:id="66"/>
      </w:r>
      <w:r w:rsidR="0057255D">
        <w:t xml:space="preserve"> Detailed guidance </w:t>
      </w:r>
      <w:r w:rsidR="00B314B8">
        <w:t>about</w:t>
      </w:r>
      <w:r w:rsidR="0057255D">
        <w:t xml:space="preserve"> the conduct of investigations is covered in </w:t>
      </w:r>
      <w:r w:rsidR="003E5967" w:rsidRPr="003E5967">
        <w:rPr>
          <w:b/>
          <w:bCs/>
        </w:rPr>
        <w:fldChar w:fldCharType="begin"/>
      </w:r>
      <w:r w:rsidR="003E5967" w:rsidRPr="003E5967">
        <w:rPr>
          <w:b/>
          <w:bCs/>
        </w:rPr>
        <w:instrText xml:space="preserve"> REF _Ref66727601 \h  \* MERGEFORMAT </w:instrText>
      </w:r>
      <w:r w:rsidR="003E5967" w:rsidRPr="003E5967">
        <w:rPr>
          <w:b/>
          <w:bCs/>
        </w:rPr>
      </w:r>
      <w:r w:rsidR="003E5967" w:rsidRPr="003E5967">
        <w:rPr>
          <w:b/>
          <w:bCs/>
        </w:rPr>
        <w:fldChar w:fldCharType="separate"/>
      </w:r>
      <w:r w:rsidR="00245E6D" w:rsidRPr="00245E6D">
        <w:rPr>
          <w:b/>
          <w:bCs/>
        </w:rPr>
        <w:t>Investigating disclosures</w:t>
      </w:r>
      <w:r w:rsidR="003E5967" w:rsidRPr="003E5967">
        <w:rPr>
          <w:b/>
          <w:bCs/>
        </w:rPr>
        <w:fldChar w:fldCharType="end"/>
      </w:r>
      <w:r w:rsidR="003E5967">
        <w:rPr>
          <w:b/>
          <w:bCs/>
        </w:rPr>
        <w:t>.</w:t>
      </w:r>
    </w:p>
    <w:p w14:paraId="06976258" w14:textId="44487897" w:rsidR="00FE0763" w:rsidRDefault="00FE0763" w:rsidP="007247D1">
      <w:pPr>
        <w:pStyle w:val="Heading2"/>
      </w:pPr>
      <w:bookmarkStart w:id="125" w:name="_Toc67903988"/>
      <w:bookmarkStart w:id="126" w:name="_Toc75255165"/>
      <w:r>
        <w:t>Ensuring staff are aware of the</w:t>
      </w:r>
      <w:r w:rsidR="00706F9A">
        <w:t xml:space="preserve"> PID</w:t>
      </w:r>
      <w:r>
        <w:t xml:space="preserve"> scheme and understand their obligations and options</w:t>
      </w:r>
      <w:bookmarkEnd w:id="125"/>
      <w:bookmarkEnd w:id="126"/>
    </w:p>
    <w:p w14:paraId="4E6D9AC1" w14:textId="03062D3D" w:rsidR="009F6346" w:rsidRPr="00CB35BD" w:rsidRDefault="009F6346" w:rsidP="00FE0763">
      <w:r>
        <w:t xml:space="preserve">It is </w:t>
      </w:r>
      <w:r w:rsidRPr="00706F9A">
        <w:t>recommended</w:t>
      </w:r>
      <w:r>
        <w:rPr>
          <w:b/>
          <w:bCs/>
        </w:rPr>
        <w:t xml:space="preserve"> </w:t>
      </w:r>
      <w:r>
        <w:t xml:space="preserve">that </w:t>
      </w:r>
      <w:r w:rsidR="00B72F4E">
        <w:t>public sector entities</w:t>
      </w:r>
      <w:r>
        <w:t xml:space="preserve"> have communication and education materials regarding the </w:t>
      </w:r>
      <w:r w:rsidR="00B314B8">
        <w:t>PID</w:t>
      </w:r>
      <w:r w:rsidR="007532CF">
        <w:t xml:space="preserve"> </w:t>
      </w:r>
      <w:r>
        <w:t xml:space="preserve">scheme. </w:t>
      </w:r>
      <w:r w:rsidR="00F035CF">
        <w:t>This</w:t>
      </w:r>
      <w:r>
        <w:t xml:space="preserve"> could include wallpapers, all</w:t>
      </w:r>
      <w:r w:rsidR="00B314B8">
        <w:t>-</w:t>
      </w:r>
      <w:r>
        <w:t>staff emails and/or standard talking points for team meetings or similar.</w:t>
      </w:r>
      <w:r w:rsidR="00CB35BD">
        <w:t xml:space="preserve"> The Commission develops these </w:t>
      </w:r>
      <w:r w:rsidR="00B314B8">
        <w:t xml:space="preserve">types </w:t>
      </w:r>
      <w:r w:rsidR="00CB35BD">
        <w:t>of materials from time and time for dissemination.</w:t>
      </w:r>
    </w:p>
    <w:p w14:paraId="62A48500" w14:textId="0D17F62A" w:rsidR="009F6346" w:rsidRDefault="00867E19" w:rsidP="00FE0763">
      <w:r>
        <w:t>Public sector entities</w:t>
      </w:r>
      <w:r w:rsidR="009F6346">
        <w:t xml:space="preserve"> </w:t>
      </w:r>
      <w:r w:rsidR="009F6346" w:rsidRPr="00706F9A">
        <w:t>must</w:t>
      </w:r>
      <w:r w:rsidR="009F6346">
        <w:t xml:space="preserve"> have in place protocols </w:t>
      </w:r>
      <w:r w:rsidR="008809E5">
        <w:t xml:space="preserve">and training </w:t>
      </w:r>
      <w:r w:rsidR="009F6346">
        <w:t xml:space="preserve">to ensure that those with responsibilities under the </w:t>
      </w:r>
      <w:r w:rsidR="00B314B8">
        <w:t>PID</w:t>
      </w:r>
      <w:r w:rsidR="007532CF">
        <w:t xml:space="preserve"> </w:t>
      </w:r>
      <w:r w:rsidR="009F6346">
        <w:t xml:space="preserve">scheme understand their obligations and the broad operation of the </w:t>
      </w:r>
      <w:r w:rsidR="00561647">
        <w:t xml:space="preserve">PID </w:t>
      </w:r>
      <w:r w:rsidR="009F6346">
        <w:t xml:space="preserve">Act. This includes those with managerial or supervisory responsibilities, </w:t>
      </w:r>
      <w:r w:rsidR="00F035CF">
        <w:t xml:space="preserve">and those </w:t>
      </w:r>
      <w:r w:rsidR="009F6346">
        <w:t xml:space="preserve">who may </w:t>
      </w:r>
      <w:r w:rsidR="00706F9A">
        <w:t>receive</w:t>
      </w:r>
      <w:r w:rsidR="009F6346">
        <w:t xml:space="preserve"> disclosures.</w:t>
      </w:r>
      <w:r w:rsidR="00CB35BD">
        <w:t xml:space="preserve"> </w:t>
      </w:r>
    </w:p>
    <w:p w14:paraId="6EFC6933" w14:textId="55FDE4BF" w:rsidR="00FE0763" w:rsidRPr="00FE0763" w:rsidRDefault="007D1054" w:rsidP="007247D1">
      <w:pPr>
        <w:pStyle w:val="Heading2"/>
      </w:pPr>
      <w:bookmarkStart w:id="127" w:name="_Ref63951816"/>
      <w:bookmarkStart w:id="128" w:name="_Toc67903989"/>
      <w:bookmarkStart w:id="129" w:name="_Toc75255166"/>
      <w:r>
        <w:lastRenderedPageBreak/>
        <w:t>Keeping the discloser and the Commission informed</w:t>
      </w:r>
      <w:bookmarkEnd w:id="127"/>
      <w:bookmarkEnd w:id="128"/>
      <w:bookmarkEnd w:id="129"/>
    </w:p>
    <w:p w14:paraId="4F8FE059" w14:textId="32A9A526" w:rsidR="003D5C80" w:rsidRDefault="00877051" w:rsidP="00FE0763">
      <w:r>
        <w:t>The PID</w:t>
      </w:r>
      <w:r w:rsidR="00B23C41">
        <w:t xml:space="preserve"> Act </w:t>
      </w:r>
      <w:r w:rsidR="00B314B8">
        <w:t>requires an</w:t>
      </w:r>
      <w:r w:rsidR="003D5C80">
        <w:t xml:space="preserve"> </w:t>
      </w:r>
      <w:r w:rsidR="00680302">
        <w:t>investigating entity</w:t>
      </w:r>
      <w:r w:rsidR="003D5C80">
        <w:t xml:space="preserve"> to keep the discloser informed about the status of any investigation at least once every three months.</w:t>
      </w:r>
      <w:r w:rsidR="00E256E7">
        <w:rPr>
          <w:rStyle w:val="FootnoteReference"/>
        </w:rPr>
        <w:footnoteReference w:id="67"/>
      </w:r>
    </w:p>
    <w:p w14:paraId="119EF4AD" w14:textId="540C4307" w:rsidR="005B6CCE" w:rsidRPr="00A43D28" w:rsidRDefault="005B6CCE" w:rsidP="00561647">
      <w:pPr>
        <w:pStyle w:val="BodyText"/>
        <w:jc w:val="both"/>
        <w:rPr>
          <w:rFonts w:ascii="Arial" w:hAnsi="Arial" w:cs="Arial"/>
        </w:rPr>
      </w:pPr>
      <w:r w:rsidRPr="00A43D28">
        <w:rPr>
          <w:rFonts w:ascii="Arial" w:hAnsi="Arial" w:cs="Arial"/>
          <w:b/>
          <w:bCs/>
        </w:rPr>
        <w:t xml:space="preserve">Example: </w:t>
      </w:r>
      <w:r w:rsidRPr="00A43D28">
        <w:rPr>
          <w:rFonts w:ascii="Arial" w:hAnsi="Arial" w:cs="Arial"/>
        </w:rPr>
        <w:t xml:space="preserve">X’s disclosure was assessed as being a PID on 1 January. Y was obliged to provide an update to X on 1 </w:t>
      </w:r>
      <w:r w:rsidR="00F035CF" w:rsidRPr="00A43D28">
        <w:rPr>
          <w:rFonts w:ascii="Arial" w:hAnsi="Arial" w:cs="Arial"/>
        </w:rPr>
        <w:t>April</w:t>
      </w:r>
      <w:r w:rsidRPr="00A43D28">
        <w:rPr>
          <w:rFonts w:ascii="Arial" w:hAnsi="Arial" w:cs="Arial"/>
        </w:rPr>
        <w:t xml:space="preserve">. Y notifies X of a significant update on 1 February. Y is no longer obliged to notify X of an update on 1 </w:t>
      </w:r>
      <w:r w:rsidR="00F035CF" w:rsidRPr="00A43D28">
        <w:rPr>
          <w:rFonts w:ascii="Arial" w:hAnsi="Arial" w:cs="Arial"/>
        </w:rPr>
        <w:t>April</w:t>
      </w:r>
      <w:r w:rsidRPr="00A43D28">
        <w:rPr>
          <w:rFonts w:ascii="Arial" w:hAnsi="Arial" w:cs="Arial"/>
        </w:rPr>
        <w:t xml:space="preserve">. Instead, Y is now obliged to provide another update to X </w:t>
      </w:r>
      <w:r w:rsidRPr="00A43D28">
        <w:rPr>
          <w:rFonts w:ascii="Arial" w:hAnsi="Arial" w:cs="Arial"/>
          <w:b/>
          <w:bCs/>
        </w:rPr>
        <w:t>no later than</w:t>
      </w:r>
      <w:r w:rsidRPr="00A43D28">
        <w:rPr>
          <w:rFonts w:ascii="Arial" w:hAnsi="Arial" w:cs="Arial"/>
        </w:rPr>
        <w:t xml:space="preserve"> 1</w:t>
      </w:r>
      <w:r w:rsidR="00D9426C">
        <w:rPr>
          <w:rFonts w:ascii="Arial" w:hAnsi="Arial" w:cs="Arial"/>
        </w:rPr>
        <w:t> </w:t>
      </w:r>
      <w:r w:rsidR="00706F9A" w:rsidRPr="00A43D28">
        <w:rPr>
          <w:rFonts w:ascii="Arial" w:hAnsi="Arial" w:cs="Arial"/>
        </w:rPr>
        <w:t>May</w:t>
      </w:r>
      <w:r w:rsidRPr="00A43D28">
        <w:rPr>
          <w:rFonts w:ascii="Arial" w:hAnsi="Arial" w:cs="Arial"/>
        </w:rPr>
        <w:t>.</w:t>
      </w:r>
    </w:p>
    <w:p w14:paraId="1458E7A6" w14:textId="04FA48CC" w:rsidR="00890C84" w:rsidRPr="00A43D28" w:rsidRDefault="00890C84" w:rsidP="00561647">
      <w:pPr>
        <w:pStyle w:val="BodyText"/>
        <w:jc w:val="both"/>
        <w:rPr>
          <w:rFonts w:ascii="Arial" w:hAnsi="Arial" w:cs="Arial"/>
          <w:sz w:val="24"/>
          <w:szCs w:val="24"/>
        </w:rPr>
      </w:pPr>
      <w:r w:rsidRPr="00A43D28">
        <w:rPr>
          <w:rFonts w:ascii="Arial" w:hAnsi="Arial" w:cs="Arial"/>
          <w:b/>
          <w:bCs/>
        </w:rPr>
        <w:t>Note:</w:t>
      </w:r>
      <w:r w:rsidRPr="00A43D28">
        <w:rPr>
          <w:rFonts w:ascii="Arial" w:hAnsi="Arial" w:cs="Arial"/>
        </w:rPr>
        <w:t xml:space="preserve"> Section 151 of the Legislation Act</w:t>
      </w:r>
      <w:r w:rsidRPr="00A43D28">
        <w:rPr>
          <w:rFonts w:ascii="Arial" w:hAnsi="Arial" w:cs="Arial"/>
          <w:i/>
          <w:iCs/>
        </w:rPr>
        <w:t xml:space="preserve"> </w:t>
      </w:r>
      <w:r w:rsidRPr="00A43D28">
        <w:rPr>
          <w:rFonts w:ascii="Arial" w:hAnsi="Arial" w:cs="Arial"/>
        </w:rPr>
        <w:t>provides that this timing does not include the day on which the disclosure was made.</w:t>
      </w:r>
    </w:p>
    <w:p w14:paraId="4CD7E5FD" w14:textId="66CAE758" w:rsidR="005B6CCE" w:rsidRPr="00FE0763" w:rsidRDefault="0057255D" w:rsidP="00FE0763">
      <w:r>
        <w:t>Detailed guidance</w:t>
      </w:r>
      <w:r w:rsidR="009F6346">
        <w:t xml:space="preserve"> regarding when and how to keep disclosers informed throughout the course of an investigation is available at </w:t>
      </w:r>
      <w:r w:rsidR="00E771E8" w:rsidRPr="00E771E8">
        <w:rPr>
          <w:b/>
          <w:bCs/>
        </w:rPr>
        <w:fldChar w:fldCharType="begin"/>
      </w:r>
      <w:r w:rsidR="00E771E8" w:rsidRPr="00E771E8">
        <w:rPr>
          <w:b/>
          <w:bCs/>
        </w:rPr>
        <w:instrText xml:space="preserve"> REF _Ref62484949 \h  \* MERGEFORMAT </w:instrText>
      </w:r>
      <w:r w:rsidR="00E771E8" w:rsidRPr="00E771E8">
        <w:rPr>
          <w:b/>
          <w:bCs/>
        </w:rPr>
      </w:r>
      <w:r w:rsidR="00E771E8" w:rsidRPr="00E771E8">
        <w:rPr>
          <w:b/>
          <w:bCs/>
        </w:rPr>
        <w:fldChar w:fldCharType="separate"/>
      </w:r>
      <w:r w:rsidR="00245E6D" w:rsidRPr="00245E6D">
        <w:rPr>
          <w:b/>
          <w:bCs/>
        </w:rPr>
        <w:t>Keeping the discloser informed</w:t>
      </w:r>
      <w:r w:rsidR="00E771E8" w:rsidRPr="00E771E8">
        <w:rPr>
          <w:b/>
          <w:bCs/>
        </w:rPr>
        <w:fldChar w:fldCharType="end"/>
      </w:r>
      <w:r w:rsidR="00E771E8">
        <w:rPr>
          <w:b/>
          <w:bCs/>
        </w:rPr>
        <w:t xml:space="preserve"> </w:t>
      </w:r>
      <w:r w:rsidR="0051434F" w:rsidRPr="00405063">
        <w:t>below</w:t>
      </w:r>
      <w:r w:rsidR="009F6346">
        <w:rPr>
          <w:b/>
          <w:bCs/>
        </w:rPr>
        <w:t>.</w:t>
      </w:r>
    </w:p>
    <w:p w14:paraId="73C90188" w14:textId="77777777" w:rsidR="009F1984" w:rsidRDefault="009F1984" w:rsidP="007247D1">
      <w:pPr>
        <w:pStyle w:val="Heading1"/>
        <w:sectPr w:rsidR="009F1984" w:rsidSect="00240DCD">
          <w:pgSz w:w="11906" w:h="16838"/>
          <w:pgMar w:top="1440" w:right="1440" w:bottom="1440" w:left="1440" w:header="708" w:footer="708" w:gutter="0"/>
          <w:cols w:space="708"/>
          <w:titlePg/>
          <w:docGrid w:linePitch="360"/>
        </w:sectPr>
      </w:pPr>
    </w:p>
    <w:p w14:paraId="7A37FBDC" w14:textId="73B14C4C" w:rsidR="00985676" w:rsidRDefault="00985676" w:rsidP="007247D1">
      <w:pPr>
        <w:pStyle w:val="Heading1"/>
      </w:pPr>
      <w:bookmarkStart w:id="130" w:name="_Toc67903990"/>
      <w:bookmarkStart w:id="131" w:name="_Toc75255167"/>
      <w:r>
        <w:lastRenderedPageBreak/>
        <w:t xml:space="preserve">Receiving and assessing </w:t>
      </w:r>
      <w:r w:rsidR="009F6346">
        <w:t>disclosures</w:t>
      </w:r>
      <w:bookmarkEnd w:id="130"/>
      <w:bookmarkEnd w:id="131"/>
    </w:p>
    <w:p w14:paraId="5F852D14" w14:textId="7357ED2F" w:rsidR="00E87D15" w:rsidRDefault="008A0B21" w:rsidP="00E87D15">
      <w:r>
        <w:t xml:space="preserve">The following section </w:t>
      </w:r>
      <w:r w:rsidR="00C105A2">
        <w:t>provides</w:t>
      </w:r>
      <w:r>
        <w:t xml:space="preserve"> guidance </w:t>
      </w:r>
      <w:r w:rsidR="00830069">
        <w:t>about</w:t>
      </w:r>
      <w:r>
        <w:t xml:space="preserve"> how those who may </w:t>
      </w:r>
      <w:r w:rsidR="00C105A2">
        <w:t>receive</w:t>
      </w:r>
      <w:r>
        <w:t xml:space="preserve"> disclosures</w:t>
      </w:r>
      <w:r w:rsidR="00EE2F59">
        <w:t xml:space="preserve"> </w:t>
      </w:r>
      <w:r w:rsidR="00705360">
        <w:t>should</w:t>
      </w:r>
      <w:r w:rsidR="00E87D15">
        <w:t>:</w:t>
      </w:r>
    </w:p>
    <w:p w14:paraId="36839D6E" w14:textId="066C1CAB" w:rsidR="00E87D15" w:rsidRDefault="00C105A2" w:rsidP="008D1DE6">
      <w:pPr>
        <w:pStyle w:val="ListParagraph"/>
        <w:numPr>
          <w:ilvl w:val="0"/>
          <w:numId w:val="4"/>
        </w:numPr>
      </w:pPr>
      <w:r>
        <w:t>d</w:t>
      </w:r>
      <w:r w:rsidR="00E87D15">
        <w:t>eal with disclosers</w:t>
      </w:r>
      <w:r w:rsidR="001D09D0">
        <w:t>;</w:t>
      </w:r>
    </w:p>
    <w:p w14:paraId="2F209C79" w14:textId="6AAD42B2" w:rsidR="00E87D15" w:rsidRDefault="00C105A2" w:rsidP="008D1DE6">
      <w:pPr>
        <w:pStyle w:val="ListParagraph"/>
        <w:numPr>
          <w:ilvl w:val="0"/>
          <w:numId w:val="4"/>
        </w:numPr>
      </w:pPr>
      <w:r>
        <w:t>a</w:t>
      </w:r>
      <w:r w:rsidR="00E87D15">
        <w:t>ssess disclosures</w:t>
      </w:r>
      <w:r w:rsidR="001D09D0">
        <w:t>; and</w:t>
      </w:r>
    </w:p>
    <w:p w14:paraId="2C326815" w14:textId="44A072CE" w:rsidR="00E87D15" w:rsidRDefault="00C105A2" w:rsidP="008D1DE6">
      <w:pPr>
        <w:pStyle w:val="ListParagraph"/>
        <w:numPr>
          <w:ilvl w:val="0"/>
          <w:numId w:val="4"/>
        </w:numPr>
      </w:pPr>
      <w:r>
        <w:t>r</w:t>
      </w:r>
      <w:r w:rsidR="00E87D15">
        <w:t>efer disclosures to the Commission</w:t>
      </w:r>
      <w:r w:rsidR="001D09D0">
        <w:t>.</w:t>
      </w:r>
    </w:p>
    <w:p w14:paraId="05907520" w14:textId="3C8A07D9" w:rsidR="009F244F" w:rsidRPr="007D0DA3" w:rsidRDefault="009F244F" w:rsidP="009F244F">
      <w:r>
        <w:rPr>
          <w:b/>
          <w:bCs/>
        </w:rPr>
        <w:t>Note:</w:t>
      </w:r>
      <w:r>
        <w:t xml:space="preserve"> The Commission has prepared a</w:t>
      </w:r>
      <w:r w:rsidR="007771B0">
        <w:t>n</w:t>
      </w:r>
      <w:r>
        <w:t xml:space="preserve"> assessment form</w:t>
      </w:r>
      <w:r w:rsidR="007771B0">
        <w:t xml:space="preserve"> template</w:t>
      </w:r>
      <w:r>
        <w:t xml:space="preserve"> which disclosure officers may adapt for use in managing the receipt of disclosures (see </w:t>
      </w:r>
      <w:r w:rsidR="00D9426C" w:rsidRPr="00D9426C">
        <w:rPr>
          <w:b/>
          <w:bCs/>
        </w:rPr>
        <w:fldChar w:fldCharType="begin"/>
      </w:r>
      <w:r w:rsidR="00D9426C" w:rsidRPr="00D9426C">
        <w:rPr>
          <w:b/>
          <w:bCs/>
        </w:rPr>
        <w:instrText xml:space="preserve"> REF _Ref64886499 \h </w:instrText>
      </w:r>
      <w:r w:rsidR="00D9426C">
        <w:rPr>
          <w:b/>
          <w:bCs/>
        </w:rPr>
        <w:instrText xml:space="preserve"> \* MERGEFORMAT </w:instrText>
      </w:r>
      <w:r w:rsidR="00D9426C" w:rsidRPr="00D9426C">
        <w:rPr>
          <w:b/>
          <w:bCs/>
        </w:rPr>
      </w:r>
      <w:r w:rsidR="00D9426C" w:rsidRPr="00D9426C">
        <w:rPr>
          <w:b/>
          <w:bCs/>
        </w:rPr>
        <w:fldChar w:fldCharType="separate"/>
      </w:r>
      <w:r w:rsidR="00245E6D" w:rsidRPr="00245E6D">
        <w:rPr>
          <w:b/>
          <w:bCs/>
        </w:rPr>
        <w:t>Appendix H: Public interest disclosure initial assessment form</w:t>
      </w:r>
      <w:r w:rsidR="00D9426C" w:rsidRPr="00D9426C">
        <w:rPr>
          <w:b/>
          <w:bCs/>
        </w:rPr>
        <w:fldChar w:fldCharType="end"/>
      </w:r>
      <w:r w:rsidRPr="007D0DA3">
        <w:t>).</w:t>
      </w:r>
    </w:p>
    <w:p w14:paraId="0042BFE3" w14:textId="3D7664A0" w:rsidR="00890C84" w:rsidRPr="00890C84" w:rsidRDefault="00890C84" w:rsidP="009F244F">
      <w:r w:rsidRPr="007D0DA3">
        <w:rPr>
          <w:b/>
          <w:bCs/>
        </w:rPr>
        <w:t>Important:</w:t>
      </w:r>
      <w:r w:rsidRPr="007D0DA3">
        <w:t xml:space="preserve"> Disclosures may be received by </w:t>
      </w:r>
      <w:r w:rsidR="00980FA3" w:rsidRPr="007D0DA3">
        <w:t>those who are not</w:t>
      </w:r>
      <w:r w:rsidRPr="007D0DA3">
        <w:t xml:space="preserve"> nominated disclosure. The </w:t>
      </w:r>
      <w:r w:rsidR="00E771E8">
        <w:t xml:space="preserve">section </w:t>
      </w:r>
      <w:r w:rsidR="00E771E8" w:rsidRPr="00E771E8">
        <w:rPr>
          <w:b/>
          <w:bCs/>
        </w:rPr>
        <w:fldChar w:fldCharType="begin"/>
      </w:r>
      <w:r w:rsidR="00E771E8" w:rsidRPr="00E771E8">
        <w:rPr>
          <w:b/>
          <w:bCs/>
        </w:rPr>
        <w:instrText xml:space="preserve"> REF _Ref73526551 \h </w:instrText>
      </w:r>
      <w:r w:rsidR="00E771E8">
        <w:rPr>
          <w:b/>
          <w:bCs/>
        </w:rPr>
        <w:instrText xml:space="preserve"> \* MERGEFORMAT </w:instrText>
      </w:r>
      <w:r w:rsidR="00E771E8" w:rsidRPr="00E771E8">
        <w:rPr>
          <w:b/>
          <w:bCs/>
        </w:rPr>
      </w:r>
      <w:r w:rsidR="00E771E8" w:rsidRPr="00E771E8">
        <w:rPr>
          <w:b/>
          <w:bCs/>
        </w:rPr>
        <w:fldChar w:fldCharType="separate"/>
      </w:r>
      <w:r w:rsidR="00245E6D" w:rsidRPr="00245E6D">
        <w:rPr>
          <w:b/>
          <w:bCs/>
        </w:rPr>
        <w:t xml:space="preserve">Who can a report be </w:t>
      </w:r>
      <w:r w:rsidR="00245E6D">
        <w:t>made to?</w:t>
      </w:r>
      <w:r w:rsidR="00E771E8" w:rsidRPr="00E771E8">
        <w:rPr>
          <w:b/>
          <w:bCs/>
        </w:rPr>
        <w:fldChar w:fldCharType="end"/>
      </w:r>
      <w:r w:rsidR="00E771E8">
        <w:t xml:space="preserve"> </w:t>
      </w:r>
      <w:r w:rsidRPr="007D0DA3">
        <w:t>provides details of these. As the treatment of disclosures should be handled consistently regardless of who receives them, the following sections refer to ‘</w:t>
      </w:r>
      <w:r w:rsidRPr="007D0DA3">
        <w:rPr>
          <w:b/>
          <w:bCs/>
        </w:rPr>
        <w:t>receiving officers</w:t>
      </w:r>
      <w:r w:rsidRPr="007D0DA3">
        <w:t>’</w:t>
      </w:r>
      <w:r>
        <w:t xml:space="preserve"> – which covers all those who may receive disclosures.</w:t>
      </w:r>
    </w:p>
    <w:p w14:paraId="30C452B8" w14:textId="6503129A" w:rsidR="00E87D15" w:rsidRDefault="00E87D15" w:rsidP="007247D1">
      <w:pPr>
        <w:pStyle w:val="Heading2"/>
      </w:pPr>
      <w:bookmarkStart w:id="132" w:name="_Ref61861988"/>
      <w:bookmarkStart w:id="133" w:name="_Toc67903991"/>
      <w:bookmarkStart w:id="134" w:name="_Toc75255168"/>
      <w:r>
        <w:t>Dealing with disclosers</w:t>
      </w:r>
      <w:bookmarkEnd w:id="132"/>
      <w:bookmarkEnd w:id="133"/>
      <w:bookmarkEnd w:id="134"/>
    </w:p>
    <w:p w14:paraId="41ED984E" w14:textId="1C7864EE" w:rsidR="009A0A73" w:rsidRDefault="009A0A73" w:rsidP="009A0A73">
      <w:r>
        <w:t>When dealing with disclosers</w:t>
      </w:r>
      <w:r w:rsidR="00705360">
        <w:t>,</w:t>
      </w:r>
      <w:r>
        <w:t xml:space="preserve"> it is important that sufficient information is obtained </w:t>
      </w:r>
      <w:r w:rsidR="00C105A2">
        <w:t xml:space="preserve">from them </w:t>
      </w:r>
      <w:r>
        <w:t xml:space="preserve">to </w:t>
      </w:r>
      <w:r w:rsidR="00C105A2">
        <w:t>identify</w:t>
      </w:r>
      <w:r>
        <w:t xml:space="preserve"> whether </w:t>
      </w:r>
      <w:r w:rsidR="00740018">
        <w:t xml:space="preserve">the disclosure is about disclosable conduct. </w:t>
      </w:r>
      <w:r w:rsidR="00C9133E">
        <w:t>Receiving</w:t>
      </w:r>
      <w:r w:rsidR="00740018">
        <w:t xml:space="preserve"> officer</w:t>
      </w:r>
      <w:r w:rsidR="00C9133E">
        <w:t>s should</w:t>
      </w:r>
      <w:r w:rsidR="00740018">
        <w:t xml:space="preserve"> obtain</w:t>
      </w:r>
      <w:r w:rsidR="00C105A2">
        <w:t>,</w:t>
      </w:r>
      <w:r w:rsidR="00740018">
        <w:t xml:space="preserve"> at a minimum, the following information from the discloser:</w:t>
      </w:r>
    </w:p>
    <w:p w14:paraId="5C09E5D3" w14:textId="44CA86BC" w:rsidR="00740018" w:rsidRDefault="00740018" w:rsidP="00061417">
      <w:pPr>
        <w:pStyle w:val="ListParagraph"/>
        <w:numPr>
          <w:ilvl w:val="0"/>
          <w:numId w:val="8"/>
        </w:numPr>
      </w:pPr>
      <w:r>
        <w:t>their name and contact details</w:t>
      </w:r>
      <w:r w:rsidR="00984D4E">
        <w:t>;</w:t>
      </w:r>
    </w:p>
    <w:p w14:paraId="02C2A560" w14:textId="289FB7CF" w:rsidR="00740018" w:rsidRDefault="00740018" w:rsidP="00061417">
      <w:pPr>
        <w:pStyle w:val="ListParagraph"/>
        <w:numPr>
          <w:ilvl w:val="0"/>
          <w:numId w:val="8"/>
        </w:numPr>
      </w:pPr>
      <w:r>
        <w:t>the nature of the suspected wrongdoing</w:t>
      </w:r>
      <w:r w:rsidR="00984D4E">
        <w:t>;</w:t>
      </w:r>
    </w:p>
    <w:p w14:paraId="004EFF90" w14:textId="2ABBCA2D" w:rsidR="00740018" w:rsidRDefault="00740018" w:rsidP="00061417">
      <w:pPr>
        <w:pStyle w:val="ListParagraph"/>
        <w:numPr>
          <w:ilvl w:val="0"/>
          <w:numId w:val="8"/>
        </w:numPr>
      </w:pPr>
      <w:r>
        <w:t>who they believe committed the suspected wrongdoing</w:t>
      </w:r>
      <w:r w:rsidR="00984D4E">
        <w:t>;</w:t>
      </w:r>
    </w:p>
    <w:p w14:paraId="71AEE6D1" w14:textId="53CE17FF" w:rsidR="00740018" w:rsidRDefault="00740018" w:rsidP="00061417">
      <w:pPr>
        <w:pStyle w:val="ListParagraph"/>
        <w:numPr>
          <w:ilvl w:val="0"/>
          <w:numId w:val="8"/>
        </w:numPr>
      </w:pPr>
      <w:r>
        <w:t>when and where the suspected wrongdoing occurred</w:t>
      </w:r>
      <w:r w:rsidR="00984D4E">
        <w:t>;</w:t>
      </w:r>
    </w:p>
    <w:p w14:paraId="5DD9D6E8" w14:textId="247B7239" w:rsidR="00740018" w:rsidRDefault="00740018" w:rsidP="00061417">
      <w:pPr>
        <w:pStyle w:val="ListParagraph"/>
        <w:numPr>
          <w:ilvl w:val="0"/>
          <w:numId w:val="8"/>
        </w:numPr>
      </w:pPr>
      <w:r>
        <w:t>how they became aware of the suspected wrongdoing</w:t>
      </w:r>
      <w:r w:rsidR="00984D4E">
        <w:t>;</w:t>
      </w:r>
    </w:p>
    <w:p w14:paraId="09165D06" w14:textId="2ED9AD5B" w:rsidR="00740018" w:rsidRDefault="00740018" w:rsidP="00061417">
      <w:pPr>
        <w:pStyle w:val="ListParagraph"/>
        <w:numPr>
          <w:ilvl w:val="0"/>
          <w:numId w:val="8"/>
        </w:numPr>
      </w:pPr>
      <w:r>
        <w:t>whether the suspected wrongdoing has been reported to anyone else</w:t>
      </w:r>
      <w:r w:rsidR="00984D4E">
        <w:t>;</w:t>
      </w:r>
    </w:p>
    <w:p w14:paraId="39FB6162" w14:textId="5E1EB431" w:rsidR="00740018" w:rsidRDefault="00740018" w:rsidP="00061417">
      <w:pPr>
        <w:pStyle w:val="ListParagraph"/>
        <w:numPr>
          <w:ilvl w:val="0"/>
          <w:numId w:val="8"/>
        </w:numPr>
      </w:pPr>
      <w:r>
        <w:t xml:space="preserve">if </w:t>
      </w:r>
      <w:r w:rsidR="00890C84">
        <w:t>a report has been made,</w:t>
      </w:r>
      <w:r>
        <w:t xml:space="preserve"> what that </w:t>
      </w:r>
      <w:r w:rsidR="00890C84">
        <w:t xml:space="preserve">other </w:t>
      </w:r>
      <w:r>
        <w:t xml:space="preserve">person </w:t>
      </w:r>
      <w:r w:rsidR="00705360">
        <w:t xml:space="preserve">has </w:t>
      </w:r>
      <w:r>
        <w:t xml:space="preserve">done to fix, stop or prevent </w:t>
      </w:r>
      <w:r w:rsidR="00890C84">
        <w:t xml:space="preserve">the </w:t>
      </w:r>
      <w:r w:rsidR="00B02CD9">
        <w:t>wrongdoing</w:t>
      </w:r>
      <w:r w:rsidR="00984D4E">
        <w:t>; and</w:t>
      </w:r>
    </w:p>
    <w:p w14:paraId="24DE3AA6" w14:textId="0D5F6A4D" w:rsidR="00740018" w:rsidRDefault="00740018" w:rsidP="00061417">
      <w:pPr>
        <w:pStyle w:val="ListParagraph"/>
        <w:numPr>
          <w:ilvl w:val="0"/>
          <w:numId w:val="8"/>
        </w:numPr>
      </w:pPr>
      <w:r>
        <w:t xml:space="preserve">whether </w:t>
      </w:r>
      <w:r w:rsidR="00B02CD9">
        <w:t>the discloser is</w:t>
      </w:r>
      <w:r>
        <w:t xml:space="preserve"> concerned about </w:t>
      </w:r>
      <w:r w:rsidR="002B422D">
        <w:t>reprisal</w:t>
      </w:r>
      <w:r>
        <w:t xml:space="preserve"> </w:t>
      </w:r>
      <w:r w:rsidR="002B422D">
        <w:t>because of</w:t>
      </w:r>
      <w:r>
        <w:t xml:space="preserve"> making a disclosure</w:t>
      </w:r>
      <w:r w:rsidR="00984D4E">
        <w:t>.</w:t>
      </w:r>
    </w:p>
    <w:p w14:paraId="2DF4649F" w14:textId="49CF5136" w:rsidR="00740018" w:rsidRDefault="00BC4BD9" w:rsidP="009A0A73">
      <w:r>
        <w:t xml:space="preserve">Where applicable, </w:t>
      </w:r>
      <w:r w:rsidR="00EE2F59">
        <w:t>receiving officers</w:t>
      </w:r>
      <w:r>
        <w:t xml:space="preserve"> should also seek any supporting correspondence or other documents, such as file notes or a diary of events, and the names of any people who witnessed the conduct or who may be able to verify what the discloser is saying.</w:t>
      </w:r>
    </w:p>
    <w:p w14:paraId="4E3B6501" w14:textId="0CB57871" w:rsidR="008D047B" w:rsidRPr="008D047B" w:rsidRDefault="008D047B" w:rsidP="009A0A73">
      <w:r>
        <w:t xml:space="preserve">It is also important that the receiving officer checks on the welfare of the discloser. The section </w:t>
      </w:r>
      <w:r w:rsidR="00E771E8" w:rsidRPr="00E771E8">
        <w:rPr>
          <w:b/>
          <w:bCs/>
        </w:rPr>
        <w:fldChar w:fldCharType="begin"/>
      </w:r>
      <w:r w:rsidR="00E771E8" w:rsidRPr="00E771E8">
        <w:rPr>
          <w:b/>
          <w:bCs/>
        </w:rPr>
        <w:instrText xml:space="preserve"> REF _Ref67902430 \h  \* MERGEFORMAT </w:instrText>
      </w:r>
      <w:r w:rsidR="00E771E8" w:rsidRPr="00E771E8">
        <w:rPr>
          <w:b/>
          <w:bCs/>
        </w:rPr>
      </w:r>
      <w:r w:rsidR="00E771E8" w:rsidRPr="00E771E8">
        <w:rPr>
          <w:b/>
          <w:bCs/>
        </w:rPr>
        <w:fldChar w:fldCharType="separate"/>
      </w:r>
      <w:r w:rsidR="00245E6D" w:rsidRPr="00245E6D">
        <w:rPr>
          <w:b/>
          <w:bCs/>
        </w:rPr>
        <w:t>Supporting the discloser throughout the process</w:t>
      </w:r>
      <w:r w:rsidR="00E771E8" w:rsidRPr="00E771E8">
        <w:rPr>
          <w:b/>
          <w:bCs/>
        </w:rPr>
        <w:fldChar w:fldCharType="end"/>
      </w:r>
      <w:r w:rsidR="00E771E8">
        <w:rPr>
          <w:b/>
          <w:bCs/>
        </w:rPr>
        <w:t xml:space="preserve"> </w:t>
      </w:r>
      <w:r>
        <w:t xml:space="preserve">provides some guidance </w:t>
      </w:r>
      <w:r w:rsidR="007771B0">
        <w:t>about</w:t>
      </w:r>
      <w:r>
        <w:t xml:space="preserve"> how to do this.</w:t>
      </w:r>
    </w:p>
    <w:p w14:paraId="1C83FEFB" w14:textId="2C4F9916" w:rsidR="009C4181" w:rsidRPr="009C4181" w:rsidRDefault="007A3049" w:rsidP="0087701B">
      <w:pPr>
        <w:pStyle w:val="Heading3"/>
      </w:pPr>
      <w:bookmarkStart w:id="135" w:name="_Toc67903992"/>
      <w:bookmarkStart w:id="136" w:name="_Toc75255169"/>
      <w:r>
        <w:t>Specific g</w:t>
      </w:r>
      <w:r w:rsidR="009C4181">
        <w:t>uidance for managers or supervisors</w:t>
      </w:r>
      <w:bookmarkEnd w:id="135"/>
      <w:bookmarkEnd w:id="136"/>
      <w:r w:rsidR="008D71AB">
        <w:t xml:space="preserve"> </w:t>
      </w:r>
    </w:p>
    <w:p w14:paraId="75C2FEBC" w14:textId="7270BA3E" w:rsidR="00E87D15" w:rsidRDefault="009C4181" w:rsidP="00B61AB1">
      <w:r>
        <w:t>As stated in</w:t>
      </w:r>
      <w:r w:rsidR="00B61AB1">
        <w:t xml:space="preserve"> </w:t>
      </w:r>
      <w:r w:rsidR="00E771E8" w:rsidRPr="00E771E8">
        <w:rPr>
          <w:b/>
          <w:bCs/>
        </w:rPr>
        <w:fldChar w:fldCharType="begin"/>
      </w:r>
      <w:r w:rsidR="00E771E8" w:rsidRPr="00E771E8">
        <w:rPr>
          <w:b/>
          <w:bCs/>
        </w:rPr>
        <w:instrText xml:space="preserve"> REF _Ref73526612 \h  \* MERGEFORMAT </w:instrText>
      </w:r>
      <w:r w:rsidR="00E771E8" w:rsidRPr="00E771E8">
        <w:rPr>
          <w:b/>
          <w:bCs/>
        </w:rPr>
      </w:r>
      <w:r w:rsidR="00E771E8" w:rsidRPr="00E771E8">
        <w:rPr>
          <w:b/>
          <w:bCs/>
        </w:rPr>
        <w:fldChar w:fldCharType="separate"/>
      </w:r>
      <w:r w:rsidR="00245E6D" w:rsidRPr="00245E6D">
        <w:rPr>
          <w:b/>
          <w:bCs/>
        </w:rPr>
        <w:t>Does the disclosure need to be in writing?</w:t>
      </w:r>
      <w:r w:rsidR="00E771E8" w:rsidRPr="00E771E8">
        <w:rPr>
          <w:b/>
          <w:bCs/>
        </w:rPr>
        <w:fldChar w:fldCharType="end"/>
      </w:r>
      <w:r w:rsidR="00E771E8">
        <w:rPr>
          <w:b/>
          <w:bCs/>
        </w:rPr>
        <w:t xml:space="preserve"> </w:t>
      </w:r>
      <w:r w:rsidR="003F77B8">
        <w:t xml:space="preserve">and </w:t>
      </w:r>
      <w:r w:rsidR="00E771E8" w:rsidRPr="00E771E8">
        <w:rPr>
          <w:b/>
          <w:bCs/>
        </w:rPr>
        <w:fldChar w:fldCharType="begin"/>
      </w:r>
      <w:r w:rsidR="00E771E8" w:rsidRPr="00E771E8">
        <w:rPr>
          <w:b/>
          <w:bCs/>
        </w:rPr>
        <w:instrText xml:space="preserve"> REF _Ref73459660 \h  \* MERGEFORMAT </w:instrText>
      </w:r>
      <w:r w:rsidR="00E771E8" w:rsidRPr="00E771E8">
        <w:rPr>
          <w:b/>
          <w:bCs/>
        </w:rPr>
      </w:r>
      <w:r w:rsidR="00E771E8" w:rsidRPr="00E771E8">
        <w:rPr>
          <w:b/>
          <w:bCs/>
        </w:rPr>
        <w:fldChar w:fldCharType="separate"/>
      </w:r>
      <w:r w:rsidR="00245E6D" w:rsidRPr="00245E6D">
        <w:rPr>
          <w:b/>
          <w:bCs/>
        </w:rPr>
        <w:t>What kind of report is required for a PID?</w:t>
      </w:r>
      <w:r w:rsidR="00E771E8" w:rsidRPr="00E771E8">
        <w:rPr>
          <w:b/>
          <w:bCs/>
        </w:rPr>
        <w:fldChar w:fldCharType="end"/>
      </w:r>
      <w:r w:rsidR="00B61AB1" w:rsidRPr="003A2671">
        <w:t>,</w:t>
      </w:r>
      <w:r>
        <w:rPr>
          <w:b/>
          <w:bCs/>
        </w:rPr>
        <w:t xml:space="preserve"> </w:t>
      </w:r>
      <w:r>
        <w:t xml:space="preserve">disclosures </w:t>
      </w:r>
      <w:r w:rsidR="00C105A2">
        <w:t>do not</w:t>
      </w:r>
      <w:r>
        <w:t xml:space="preserve"> need to be in a particular format or expressed as being a disclosure by a discloser. The result of this is that many interactions between supervisors and their staff could in fact be disclosures (if they relate to disclosable conduct</w:t>
      </w:r>
      <w:r w:rsidR="00C105A2">
        <w:t>)</w:t>
      </w:r>
      <w:r w:rsidR="00B61AB1">
        <w:t xml:space="preserve">. </w:t>
      </w:r>
      <w:r>
        <w:t xml:space="preserve">The </w:t>
      </w:r>
      <w:r w:rsidR="00984D4E">
        <w:t xml:space="preserve">PID </w:t>
      </w:r>
      <w:r>
        <w:t xml:space="preserve">Act provides the following example, which indicates what sort of </w:t>
      </w:r>
      <w:r w:rsidR="00B02CD9">
        <w:t xml:space="preserve">relatively informal </w:t>
      </w:r>
      <w:r>
        <w:t xml:space="preserve">statements may </w:t>
      </w:r>
      <w:r w:rsidR="00A41963">
        <w:t>be</w:t>
      </w:r>
      <w:r>
        <w:t xml:space="preserve"> disclosures</w:t>
      </w:r>
      <w:r w:rsidR="00A41963">
        <w:t xml:space="preserve"> and will need to be referred to a disclosure officer</w:t>
      </w:r>
      <w:r>
        <w:t>:</w:t>
      </w:r>
    </w:p>
    <w:p w14:paraId="27A8999A" w14:textId="77777777" w:rsidR="009C4181" w:rsidRPr="003A2671" w:rsidRDefault="009C4181" w:rsidP="009C4181">
      <w:pPr>
        <w:ind w:left="720"/>
        <w:rPr>
          <w:b/>
          <w:bCs/>
          <w:szCs w:val="20"/>
        </w:rPr>
      </w:pPr>
      <w:r w:rsidRPr="003A2671">
        <w:rPr>
          <w:b/>
          <w:bCs/>
          <w:szCs w:val="20"/>
        </w:rPr>
        <w:t>Example</w:t>
      </w:r>
    </w:p>
    <w:p w14:paraId="4B325DC2" w14:textId="150134B3" w:rsidR="009C4181" w:rsidRPr="0087701B" w:rsidRDefault="009C4181" w:rsidP="009C4181">
      <w:pPr>
        <w:ind w:left="720"/>
      </w:pPr>
      <w:r w:rsidRPr="003A2671">
        <w:rPr>
          <w:szCs w:val="20"/>
        </w:rPr>
        <w:t>Tranh comments to her supervisor during a coffee break that she believes there are a number of significant irregularities in the ordering of office supplies for her business unit. Tranh does not ask or infer that the irregularities should be investigated.</w:t>
      </w:r>
      <w:r w:rsidRPr="0087701B">
        <w:rPr>
          <w:rStyle w:val="FootnoteReference"/>
        </w:rPr>
        <w:footnoteReference w:id="68"/>
      </w:r>
    </w:p>
    <w:p w14:paraId="473EE59F" w14:textId="69FAAF8B" w:rsidR="009C4181" w:rsidRDefault="00A41963" w:rsidP="009C4181">
      <w:r>
        <w:t xml:space="preserve">In the above example, the supervisor </w:t>
      </w:r>
      <w:r w:rsidRPr="00BB1514">
        <w:t>must</w:t>
      </w:r>
      <w:r>
        <w:t xml:space="preserve"> make a written record of Tranh’s comments </w:t>
      </w:r>
      <w:r w:rsidR="00BE36B6">
        <w:t>because it was an oral report</w:t>
      </w:r>
      <w:r w:rsidR="004E4B5C">
        <w:t>.</w:t>
      </w:r>
      <w:r w:rsidR="00877051">
        <w:rPr>
          <w:rStyle w:val="FootnoteReference"/>
        </w:rPr>
        <w:footnoteReference w:id="69"/>
      </w:r>
      <w:r w:rsidR="004E4B5C">
        <w:t xml:space="preserve"> The written record is then deemed to be the disclosure of disclosable conduct</w:t>
      </w:r>
      <w:r w:rsidR="00C105A2">
        <w:t>,</w:t>
      </w:r>
      <w:r w:rsidR="00877051">
        <w:rPr>
          <w:rStyle w:val="FootnoteReference"/>
        </w:rPr>
        <w:footnoteReference w:id="70"/>
      </w:r>
      <w:r w:rsidR="004E4B5C">
        <w:t xml:space="preserve"> which </w:t>
      </w:r>
      <w:r w:rsidR="004E4B5C">
        <w:lastRenderedPageBreak/>
        <w:t>the supervisor must refer to a disclosure officer (where the supervisor is not themselves a disclosure officer</w:t>
      </w:r>
      <w:r w:rsidR="00C105A2">
        <w:t>)</w:t>
      </w:r>
      <w:r w:rsidR="004E4B5C">
        <w:t>.</w:t>
      </w:r>
      <w:r w:rsidR="00877051">
        <w:rPr>
          <w:rStyle w:val="FootnoteReference"/>
        </w:rPr>
        <w:footnoteReference w:id="71"/>
      </w:r>
    </w:p>
    <w:p w14:paraId="011FB9D3" w14:textId="381A9877" w:rsidR="00007B57" w:rsidRDefault="007A3049" w:rsidP="0087701B">
      <w:pPr>
        <w:pStyle w:val="Heading3"/>
      </w:pPr>
      <w:bookmarkStart w:id="137" w:name="_Toc67903993"/>
      <w:bookmarkStart w:id="138" w:name="_Toc75255170"/>
      <w:r>
        <w:t>Specific g</w:t>
      </w:r>
      <w:r w:rsidR="00007B57">
        <w:t xml:space="preserve">uidance for members of public </w:t>
      </w:r>
      <w:r w:rsidR="00867E19">
        <w:t xml:space="preserve">sector </w:t>
      </w:r>
      <w:r w:rsidR="00007B57">
        <w:t>entity governing boards</w:t>
      </w:r>
      <w:bookmarkEnd w:id="137"/>
      <w:bookmarkEnd w:id="138"/>
    </w:p>
    <w:p w14:paraId="0AB52835" w14:textId="02A64213" w:rsidR="00007B57" w:rsidRDefault="00007B57" w:rsidP="00B314B8">
      <w:r>
        <w:t>Disclosures may be made to members of governing boards, where a</w:t>
      </w:r>
      <w:r w:rsidR="00867E19">
        <w:t xml:space="preserve"> public sector entity </w:t>
      </w:r>
      <w:r>
        <w:t>has a governing</w:t>
      </w:r>
      <w:r w:rsidR="007532CF">
        <w:t xml:space="preserve"> </w:t>
      </w:r>
      <w:r>
        <w:t>board.</w:t>
      </w:r>
      <w:r w:rsidR="00877051">
        <w:rPr>
          <w:rStyle w:val="FootnoteReference"/>
        </w:rPr>
        <w:footnoteReference w:id="72"/>
      </w:r>
      <w:r>
        <w:t xml:space="preserve"> </w:t>
      </w:r>
      <w:r w:rsidR="00BE36B6">
        <w:t xml:space="preserve">A link to a list of ACT government boards is in the </w:t>
      </w:r>
      <w:r w:rsidR="003E5967" w:rsidRPr="003E5967">
        <w:rPr>
          <w:b/>
          <w:bCs/>
        </w:rPr>
        <w:fldChar w:fldCharType="begin"/>
      </w:r>
      <w:r w:rsidR="003E5967" w:rsidRPr="003E5967">
        <w:rPr>
          <w:b/>
          <w:bCs/>
        </w:rPr>
        <w:instrText xml:space="preserve"> REF _Ref65657123 \h  \* MERGEFORMAT </w:instrText>
      </w:r>
      <w:r w:rsidR="003E5967" w:rsidRPr="003E5967">
        <w:rPr>
          <w:b/>
          <w:bCs/>
        </w:rPr>
      </w:r>
      <w:r w:rsidR="003E5967" w:rsidRPr="003E5967">
        <w:rPr>
          <w:b/>
          <w:bCs/>
        </w:rPr>
        <w:fldChar w:fldCharType="separate"/>
      </w:r>
      <w:r w:rsidR="00245E6D" w:rsidRPr="00245E6D">
        <w:rPr>
          <w:b/>
          <w:bCs/>
        </w:rPr>
        <w:t>Related material</w:t>
      </w:r>
      <w:r w:rsidR="003E5967" w:rsidRPr="003E5967">
        <w:rPr>
          <w:b/>
          <w:bCs/>
        </w:rPr>
        <w:fldChar w:fldCharType="end"/>
      </w:r>
      <w:r w:rsidR="003E5967">
        <w:rPr>
          <w:b/>
          <w:bCs/>
        </w:rPr>
        <w:t>.</w:t>
      </w:r>
    </w:p>
    <w:p w14:paraId="69CA1E6A" w14:textId="31C7575D" w:rsidR="009A0A73" w:rsidRDefault="00BE36B6" w:rsidP="00007B57">
      <w:r>
        <w:t xml:space="preserve">As </w:t>
      </w:r>
      <w:r w:rsidR="00C105A2">
        <w:t>with</w:t>
      </w:r>
      <w:r>
        <w:t xml:space="preserve"> supervisors and managers, where a member of </w:t>
      </w:r>
      <w:r w:rsidR="00867E19">
        <w:t>a public sector entity</w:t>
      </w:r>
      <w:r>
        <w:t xml:space="preserve"> governing board receives a </w:t>
      </w:r>
      <w:r w:rsidR="009A0A73">
        <w:t>disclosure,</w:t>
      </w:r>
      <w:r>
        <w:t xml:space="preserve"> they </w:t>
      </w:r>
      <w:r w:rsidRPr="007264FA">
        <w:t>must</w:t>
      </w:r>
      <w:r>
        <w:t xml:space="preserve"> refer it to a disclosure officer. </w:t>
      </w:r>
      <w:r w:rsidR="009A0A73">
        <w:t>Also,</w:t>
      </w:r>
      <w:r>
        <w:t xml:space="preserve"> as above, where that disclosure was received orally, the board member must make a written record of the disclosure</w:t>
      </w:r>
      <w:r w:rsidR="009A0A73">
        <w:t xml:space="preserve"> to provide to the disclosure officer.</w:t>
      </w:r>
    </w:p>
    <w:p w14:paraId="1BF4BBA2" w14:textId="283B9284" w:rsidR="0085183E" w:rsidRDefault="007A3049" w:rsidP="0087701B">
      <w:pPr>
        <w:pStyle w:val="Heading3"/>
      </w:pPr>
      <w:bookmarkStart w:id="139" w:name="_Toc67903994"/>
      <w:bookmarkStart w:id="140" w:name="_Toc75255171"/>
      <w:r>
        <w:t>Specific g</w:t>
      </w:r>
      <w:r w:rsidR="0085183E">
        <w:t>uidance for officials who oversee specific functions</w:t>
      </w:r>
      <w:bookmarkEnd w:id="139"/>
      <w:bookmarkEnd w:id="140"/>
    </w:p>
    <w:p w14:paraId="2CCD843C" w14:textId="71A86941" w:rsidR="0085183E" w:rsidRDefault="0085183E" w:rsidP="0085183E">
      <w:r>
        <w:t>Disclosers may also make disclosures to</w:t>
      </w:r>
      <w:r w:rsidR="00C105A2">
        <w:t xml:space="preserve"> an</w:t>
      </w:r>
      <w:r>
        <w:t xml:space="preserve"> </w:t>
      </w:r>
      <w:r w:rsidR="00C105A2">
        <w:t>o</w:t>
      </w:r>
      <w:r w:rsidRPr="0085183E">
        <w:t xml:space="preserve">fficial of </w:t>
      </w:r>
      <w:r w:rsidR="00867E19">
        <w:t>a public sector entity</w:t>
      </w:r>
      <w:r w:rsidRPr="0085183E">
        <w:t xml:space="preserve"> who has </w:t>
      </w:r>
      <w:r>
        <w:t>t</w:t>
      </w:r>
      <w:r w:rsidRPr="0085183E">
        <w:t xml:space="preserve">he function of receiving information of the kind being disclosed or </w:t>
      </w:r>
      <w:r w:rsidR="00646DCC" w:rsidRPr="0085183E">
        <w:t>acting</w:t>
      </w:r>
      <w:r w:rsidRPr="0085183E">
        <w:t xml:space="preserve"> in relation to that kind of information.</w:t>
      </w:r>
      <w:r w:rsidR="0087701B">
        <w:rPr>
          <w:rStyle w:val="FootnoteReference"/>
        </w:rPr>
        <w:footnoteReference w:id="73"/>
      </w:r>
      <w:r w:rsidR="00740018">
        <w:t xml:space="preserve"> </w:t>
      </w:r>
      <w:r w:rsidR="00646DCC">
        <w:t>This means</w:t>
      </w:r>
      <w:r w:rsidR="00740018">
        <w:t xml:space="preserve"> that if X comes to Y and reports a problem (which may be a disclosure), and it is generally Y’s job to deal with that </w:t>
      </w:r>
      <w:r w:rsidR="00EE2F59">
        <w:t xml:space="preserve">type of </w:t>
      </w:r>
      <w:r w:rsidR="00740018">
        <w:t>problem, this may be a disclosure under the</w:t>
      </w:r>
      <w:r w:rsidR="00EE2F59">
        <w:t xml:space="preserve"> PID</w:t>
      </w:r>
      <w:r w:rsidR="00740018">
        <w:t xml:space="preserve"> Act. If this is the case, the </w:t>
      </w:r>
      <w:r w:rsidR="00B02CD9">
        <w:t>receiving officer</w:t>
      </w:r>
      <w:r w:rsidR="00740018">
        <w:t xml:space="preserve"> must make a record of the disclosure and provide it to a disclosure officer as soon as possible.</w:t>
      </w:r>
    </w:p>
    <w:p w14:paraId="4AB27C7E" w14:textId="0FF8AE35" w:rsidR="007A3049" w:rsidRDefault="007A3049" w:rsidP="0087701B">
      <w:pPr>
        <w:pStyle w:val="Heading3"/>
      </w:pPr>
      <w:bookmarkStart w:id="141" w:name="_Ref61603723"/>
      <w:bookmarkStart w:id="142" w:name="_Toc67903995"/>
      <w:bookmarkStart w:id="143" w:name="_Toc75255172"/>
      <w:r>
        <w:t>Do the discloser</w:t>
      </w:r>
      <w:r w:rsidR="00C105A2">
        <w:t>’</w:t>
      </w:r>
      <w:r>
        <w:t>s motivations matter?</w:t>
      </w:r>
      <w:bookmarkEnd w:id="141"/>
      <w:bookmarkEnd w:id="142"/>
      <w:bookmarkEnd w:id="143"/>
    </w:p>
    <w:p w14:paraId="37FBA70E" w14:textId="343981FD" w:rsidR="007A3049" w:rsidRDefault="007A3049" w:rsidP="007A3049">
      <w:r>
        <w:t xml:space="preserve">The discloser’s motive or intention </w:t>
      </w:r>
      <w:r w:rsidR="00BF2BF8">
        <w:t xml:space="preserve">is relevant but </w:t>
      </w:r>
      <w:r>
        <w:t>does not</w:t>
      </w:r>
      <w:r w:rsidR="00BF2BF8">
        <w:t xml:space="preserve"> solely</w:t>
      </w:r>
      <w:r>
        <w:t xml:space="preserve"> determine whether investigation is warranted. There can often be a history of conflict in a workplace, particularly if the person has tried to report wrongdoing in the past and they feel their concerns have been dismissed or ignored. This does not mean that their disclosure should be discounted. </w:t>
      </w:r>
    </w:p>
    <w:p w14:paraId="0311AF0A" w14:textId="2FD99BAD" w:rsidR="00B27D26" w:rsidRDefault="00B27D26" w:rsidP="00B27D26">
      <w:r>
        <w:t xml:space="preserve">It is common that disclosers may have reached the ‘end of the line’ after having made several attempts to express their </w:t>
      </w:r>
      <w:r w:rsidR="00C105A2">
        <w:t>concerns</w:t>
      </w:r>
      <w:r w:rsidR="00BF2BF8">
        <w:t>,</w:t>
      </w:r>
      <w:r w:rsidR="00C105A2">
        <w:t xml:space="preserve"> and</w:t>
      </w:r>
      <w:r>
        <w:t xml:space="preserve"> </w:t>
      </w:r>
      <w:r w:rsidR="00BF2BF8">
        <w:t>then</w:t>
      </w:r>
      <w:r>
        <w:t xml:space="preserve"> identified the </w:t>
      </w:r>
      <w:r w:rsidR="00EE2F59">
        <w:t xml:space="preserve">PID </w:t>
      </w:r>
      <w:r>
        <w:t xml:space="preserve">scheme as a potential resolution pathway. This </w:t>
      </w:r>
      <w:r w:rsidRPr="00C105A2">
        <w:t>must not</w:t>
      </w:r>
      <w:r>
        <w:t xml:space="preserve"> be taken to mean that the issue is trivial, or otherwise frivolous. Merely because others</w:t>
      </w:r>
      <w:r w:rsidR="00585DB6">
        <w:t>,</w:t>
      </w:r>
      <w:r>
        <w:t xml:space="preserve"> to whom the discloser may have directed their concerns</w:t>
      </w:r>
      <w:r w:rsidR="00585DB6">
        <w:t>,</w:t>
      </w:r>
      <w:r>
        <w:t xml:space="preserve"> have </w:t>
      </w:r>
      <w:r w:rsidR="00BF0EF2">
        <w:t xml:space="preserve">decided </w:t>
      </w:r>
      <w:r>
        <w:t xml:space="preserve">the matter </w:t>
      </w:r>
      <w:r w:rsidR="00BF0EF2">
        <w:t xml:space="preserve">does </w:t>
      </w:r>
      <w:r>
        <w:t xml:space="preserve">not warrant further </w:t>
      </w:r>
      <w:r w:rsidRPr="00C105A2">
        <w:t xml:space="preserve">action does not impact </w:t>
      </w:r>
      <w:r>
        <w:t>whether the matter may be a PID.</w:t>
      </w:r>
    </w:p>
    <w:p w14:paraId="3EF25D01" w14:textId="15D42AAB" w:rsidR="00B27D26" w:rsidRDefault="00B27D26" w:rsidP="00B27D26">
      <w:r>
        <w:t xml:space="preserve">It is also common that disclosers may be having their performance or professional conduct questioned and that they are currently subject to administrative review (for example, a </w:t>
      </w:r>
      <w:r w:rsidR="007264FA">
        <w:t>c</w:t>
      </w:r>
      <w:r>
        <w:t xml:space="preserve">ode of </w:t>
      </w:r>
      <w:r w:rsidR="007264FA">
        <w:t>c</w:t>
      </w:r>
      <w:r>
        <w:t xml:space="preserve">onduct investigation or formal performance improvement process). </w:t>
      </w:r>
      <w:r w:rsidR="00BF0EF2">
        <w:t>D</w:t>
      </w:r>
      <w:r w:rsidR="00EE2F59">
        <w:t xml:space="preserve">isclosers may make a disclosure </w:t>
      </w:r>
      <w:r w:rsidR="009929AA">
        <w:t>in</w:t>
      </w:r>
      <w:r w:rsidR="00EE2F59">
        <w:t xml:space="preserve"> </w:t>
      </w:r>
      <w:r w:rsidR="009929AA">
        <w:t>retaliation for</w:t>
      </w:r>
      <w:r w:rsidR="004677AD">
        <w:t xml:space="preserve"> such</w:t>
      </w:r>
      <w:r w:rsidR="00EE2F59">
        <w:t xml:space="preserve"> processes, or otherwise</w:t>
      </w:r>
      <w:r w:rsidR="00646DCC">
        <w:t xml:space="preserve"> seek to</w:t>
      </w:r>
      <w:r w:rsidR="00EE2F59">
        <w:t xml:space="preserve"> </w:t>
      </w:r>
      <w:r w:rsidR="004677AD">
        <w:t>direct</w:t>
      </w:r>
      <w:r w:rsidR="00EE2F59">
        <w:t xml:space="preserve"> attention</w:t>
      </w:r>
      <w:r w:rsidR="004677AD">
        <w:t xml:space="preserve"> away</w:t>
      </w:r>
      <w:r w:rsidR="00EE2F59">
        <w:t xml:space="preserve"> from </w:t>
      </w:r>
      <w:r w:rsidR="009929AA">
        <w:t>them</w:t>
      </w:r>
      <w:r w:rsidR="00EE2F59">
        <w:t>. Some disclosers mistakenly believe that the act of making the disclosure may stay or otherwise interrupt any such processes.</w:t>
      </w:r>
    </w:p>
    <w:p w14:paraId="77B6CE6D" w14:textId="4D7AB6C7" w:rsidR="007A3049" w:rsidRDefault="00EE2F59" w:rsidP="007A3049">
      <w:r>
        <w:t>Regardless, receiving officers</w:t>
      </w:r>
      <w:r w:rsidR="007A3049">
        <w:t xml:space="preserve"> must be careful to look at the substance of the report rather than focusing on what they believe to be the person’s motive for reporting. When taking information from the discloser, it</w:t>
      </w:r>
      <w:r w:rsidR="00646DCC">
        <w:t xml:space="preserve"> </w:t>
      </w:r>
      <w:r w:rsidR="007A3049">
        <w:t>is</w:t>
      </w:r>
      <w:r w:rsidR="00646DCC">
        <w:t xml:space="preserve"> </w:t>
      </w:r>
      <w:r w:rsidR="007A3049">
        <w:t>important to emphasise to the person that they should try to remain factual and focus on the issues related to the suspected wrongdoing rather than being emotive about individuals.</w:t>
      </w:r>
      <w:r w:rsidR="00CC5018">
        <w:rPr>
          <w:rStyle w:val="FootnoteReference"/>
        </w:rPr>
        <w:footnoteReference w:id="74"/>
      </w:r>
    </w:p>
    <w:p w14:paraId="72916131" w14:textId="675394D2" w:rsidR="00984D4E" w:rsidRDefault="00984D4E" w:rsidP="0087701B">
      <w:pPr>
        <w:pStyle w:val="Heading3"/>
      </w:pPr>
      <w:bookmarkStart w:id="144" w:name="_Toc62136011"/>
      <w:bookmarkStart w:id="145" w:name="_Ref65659837"/>
      <w:bookmarkStart w:id="146" w:name="_Toc67903996"/>
      <w:bookmarkStart w:id="147" w:name="_Ref73459643"/>
      <w:bookmarkStart w:id="148" w:name="_Ref73526612"/>
      <w:bookmarkStart w:id="149" w:name="_Toc75255173"/>
      <w:r>
        <w:t xml:space="preserve">Does the disclosure </w:t>
      </w:r>
      <w:r w:rsidR="007B3E8F">
        <w:t>need</w:t>
      </w:r>
      <w:r>
        <w:t xml:space="preserve"> to be in writing?</w:t>
      </w:r>
      <w:bookmarkEnd w:id="144"/>
      <w:bookmarkEnd w:id="145"/>
      <w:bookmarkEnd w:id="146"/>
      <w:bookmarkEnd w:id="147"/>
      <w:bookmarkEnd w:id="148"/>
      <w:bookmarkEnd w:id="149"/>
    </w:p>
    <w:p w14:paraId="4E4A99B9" w14:textId="2C6612AD" w:rsidR="00984D4E" w:rsidRDefault="00984D4E" w:rsidP="00984D4E">
      <w:r>
        <w:t>The PID Act places no limitations on the form of disclosure.</w:t>
      </w:r>
      <w:r w:rsidR="00877051">
        <w:rPr>
          <w:rStyle w:val="FootnoteReference"/>
        </w:rPr>
        <w:footnoteReference w:id="75"/>
      </w:r>
      <w:r>
        <w:t xml:space="preserve"> This means disclosers can make a disclosure orally or in writing. Disclosures can be made using any form of communication platform, including email, fax, </w:t>
      </w:r>
      <w:r w:rsidR="002B422D">
        <w:t>letter,</w:t>
      </w:r>
      <w:r>
        <w:t xml:space="preserve"> or phone. </w:t>
      </w:r>
      <w:r w:rsidR="00EE2F59">
        <w:t xml:space="preserve">In short, any form of communication may amount to a </w:t>
      </w:r>
      <w:r w:rsidR="007B3E8F">
        <w:t>disclosure</w:t>
      </w:r>
      <w:r w:rsidR="00EE2F59">
        <w:t>.</w:t>
      </w:r>
    </w:p>
    <w:p w14:paraId="54A7AD2B" w14:textId="6EB2938C" w:rsidR="00C105A2" w:rsidRDefault="009D442A" w:rsidP="00984D4E">
      <w:r>
        <w:t>Receiving officers should also encourage disclosers (where the disclosure was not made via electronic means) to keep their own records in relation to their disclosure. Such records may be of assistance to the discloser should they need to invoke any of the protections under the PID Act.</w:t>
      </w:r>
    </w:p>
    <w:p w14:paraId="2A327D2D" w14:textId="77777777" w:rsidR="00984D4E" w:rsidRDefault="00984D4E" w:rsidP="0087701B">
      <w:pPr>
        <w:pStyle w:val="Heading3"/>
      </w:pPr>
      <w:bookmarkStart w:id="150" w:name="_Toc62136012"/>
      <w:bookmarkStart w:id="151" w:name="_Toc67903997"/>
      <w:bookmarkStart w:id="152" w:name="_Ref71719108"/>
      <w:bookmarkStart w:id="153" w:name="_Toc75255174"/>
      <w:r>
        <w:lastRenderedPageBreak/>
        <w:t>Can disclosers be anonymous?</w:t>
      </w:r>
      <w:bookmarkEnd w:id="150"/>
      <w:bookmarkEnd w:id="151"/>
      <w:bookmarkEnd w:id="152"/>
      <w:bookmarkEnd w:id="153"/>
    </w:p>
    <w:p w14:paraId="37CABF98" w14:textId="7FA362CA" w:rsidR="00EE2F59" w:rsidRDefault="00984D4E" w:rsidP="00984D4E">
      <w:r>
        <w:t>Disclosers can remain anonymous if they wish.</w:t>
      </w:r>
      <w:r w:rsidR="00877051">
        <w:rPr>
          <w:rStyle w:val="FootnoteReference"/>
        </w:rPr>
        <w:footnoteReference w:id="76"/>
      </w:r>
      <w:r>
        <w:t xml:space="preserve"> </w:t>
      </w:r>
      <w:r w:rsidR="00C15F95">
        <w:t xml:space="preserve">Receiving officers </w:t>
      </w:r>
      <w:r w:rsidR="00C15F95" w:rsidRPr="00C105A2">
        <w:t>should</w:t>
      </w:r>
      <w:r w:rsidR="00C15F95">
        <w:t xml:space="preserve"> however </w:t>
      </w:r>
      <w:r w:rsidR="0090461C">
        <w:t>encourage the discloser (if the discloser made their disclosure orally or provided a method of return correspondence) to consent to receiving updates or be in communication.</w:t>
      </w:r>
    </w:p>
    <w:p w14:paraId="79E0C1E5" w14:textId="58AD0792" w:rsidR="0090461C" w:rsidRPr="0090461C" w:rsidRDefault="00984D4E" w:rsidP="00984D4E">
      <w:r>
        <w:t xml:space="preserve">Anonymous disclosures give rise to difficulties in the assessment and disposal of PIDs. </w:t>
      </w:r>
      <w:r w:rsidR="0090461C">
        <w:t xml:space="preserve">This is because relevant information and clarification regarding the subject of the disclosure may not be available. It </w:t>
      </w:r>
      <w:r w:rsidR="007B3E8F">
        <w:t>should</w:t>
      </w:r>
      <w:r w:rsidR="0090461C">
        <w:t xml:space="preserve"> be remembered that where a discloser has sought anonymity, and the </w:t>
      </w:r>
      <w:r w:rsidR="00680302">
        <w:t>investigating entity</w:t>
      </w:r>
      <w:r w:rsidR="0090461C">
        <w:t xml:space="preserve"> deems this to render any subsequent investigation impracticable, the</w:t>
      </w:r>
      <w:r w:rsidR="00BF2BF8">
        <w:t xml:space="preserve"> investigating</w:t>
      </w:r>
      <w:r w:rsidR="0090461C">
        <w:t xml:space="preserve"> </w:t>
      </w:r>
      <w:r w:rsidR="008D4DC4">
        <w:t>entity</w:t>
      </w:r>
      <w:r w:rsidR="0090461C">
        <w:t xml:space="preserve"> may discontinue the investigation without further action (see</w:t>
      </w:r>
      <w:r w:rsidR="00256410">
        <w:t xml:space="preserve"> </w:t>
      </w:r>
      <w:r w:rsidR="007B3E8F" w:rsidRPr="007B3E8F">
        <w:rPr>
          <w:b/>
          <w:bCs/>
        </w:rPr>
        <w:fldChar w:fldCharType="begin"/>
      </w:r>
      <w:r w:rsidR="007B3E8F" w:rsidRPr="007B3E8F">
        <w:rPr>
          <w:b/>
          <w:bCs/>
        </w:rPr>
        <w:instrText xml:space="preserve"> REF _Ref67902509 \h  \* MERGEFORMAT </w:instrText>
      </w:r>
      <w:r w:rsidR="007B3E8F" w:rsidRPr="007B3E8F">
        <w:rPr>
          <w:b/>
          <w:bCs/>
        </w:rPr>
      </w:r>
      <w:r w:rsidR="007B3E8F" w:rsidRPr="007B3E8F">
        <w:rPr>
          <w:b/>
          <w:bCs/>
        </w:rPr>
        <w:fldChar w:fldCharType="separate"/>
      </w:r>
      <w:r w:rsidR="00245E6D" w:rsidRPr="00245E6D">
        <w:rPr>
          <w:b/>
          <w:bCs/>
        </w:rPr>
        <w:t>When and how to end an investigation</w:t>
      </w:r>
      <w:r w:rsidR="007B3E8F" w:rsidRPr="007B3E8F">
        <w:rPr>
          <w:b/>
          <w:bCs/>
        </w:rPr>
        <w:fldChar w:fldCharType="end"/>
      </w:r>
      <w:r w:rsidR="0090461C">
        <w:t>).</w:t>
      </w:r>
    </w:p>
    <w:p w14:paraId="6DF8FC2A" w14:textId="0EA2FDC4" w:rsidR="00984D4E" w:rsidRPr="0090461C" w:rsidRDefault="0090461C" w:rsidP="00240499">
      <w:r>
        <w:t>Anonymous disclosures may also preclude the discloser</w:t>
      </w:r>
      <w:r w:rsidR="00BF2BF8">
        <w:t xml:space="preserve"> from </w:t>
      </w:r>
      <w:r w:rsidR="008E0ACF">
        <w:t xml:space="preserve">obtaining PID protections should they </w:t>
      </w:r>
      <w:r>
        <w:t>disclose either a PID or disclosure to a third party</w:t>
      </w:r>
      <w:r w:rsidR="00240499">
        <w:t>.</w:t>
      </w:r>
      <w:r w:rsidR="00FB69B8">
        <w:t xml:space="preserve"> This is because by making the disclosure anonymously, investigating entities and/or the Commission will be unable to provide the required updates</w:t>
      </w:r>
      <w:r w:rsidR="007B3E8F">
        <w:t>.</w:t>
      </w:r>
    </w:p>
    <w:p w14:paraId="493C8D5E" w14:textId="59D0FB09" w:rsidR="009B3B4B" w:rsidRDefault="009B3B4B" w:rsidP="007247D1">
      <w:pPr>
        <w:pStyle w:val="Heading2"/>
      </w:pPr>
      <w:bookmarkStart w:id="154" w:name="_Toc67903998"/>
      <w:bookmarkStart w:id="155" w:name="_Toc75255175"/>
      <w:r>
        <w:t>Assessing disclosures</w:t>
      </w:r>
      <w:bookmarkEnd w:id="154"/>
      <w:bookmarkEnd w:id="155"/>
    </w:p>
    <w:p w14:paraId="19C81A4E" w14:textId="6120A768" w:rsidR="00AB0939" w:rsidRDefault="00AB0939" w:rsidP="009B3B4B">
      <w:r>
        <w:t>The disclosure officer</w:t>
      </w:r>
      <w:r w:rsidR="00FB69B8">
        <w:t>’s task</w:t>
      </w:r>
      <w:r>
        <w:t xml:space="preserve"> is to assess whether a disclosure is about disclosable conduct</w:t>
      </w:r>
      <w:r w:rsidR="00FB69B8">
        <w:t xml:space="preserve"> and whether it was made in good faith</w:t>
      </w:r>
      <w:r>
        <w:t>.</w:t>
      </w:r>
      <w:r>
        <w:rPr>
          <w:rStyle w:val="FootnoteReference"/>
        </w:rPr>
        <w:footnoteReference w:id="77"/>
      </w:r>
      <w:r>
        <w:t xml:space="preserve"> If the disclosure officer is satisfied on reasonable grounds that it is, they must refer the disclosure to the Commission to assess whether it qualifies as a PID.</w:t>
      </w:r>
      <w:r>
        <w:rPr>
          <w:rStyle w:val="FootnoteReference"/>
        </w:rPr>
        <w:footnoteReference w:id="78"/>
      </w:r>
    </w:p>
    <w:p w14:paraId="50ACBCE9" w14:textId="18FCF6DE" w:rsidR="00AB0939" w:rsidRPr="00AB0939" w:rsidRDefault="00AB0939" w:rsidP="009B3B4B">
      <w:r>
        <w:rPr>
          <w:b/>
          <w:bCs/>
        </w:rPr>
        <w:t xml:space="preserve">Exception: </w:t>
      </w:r>
      <w:r>
        <w:t>Where the disclosure relates to the conduct of the Commissioner, or staff of the Commission, the disclosure officer must refer the disclosure to the Inspector</w:t>
      </w:r>
      <w:r w:rsidR="0013649A">
        <w:t xml:space="preserve"> of the Commission (‘</w:t>
      </w:r>
      <w:r w:rsidR="0013649A" w:rsidRPr="0013649A">
        <w:rPr>
          <w:b/>
          <w:bCs/>
        </w:rPr>
        <w:t>Inspector</w:t>
      </w:r>
      <w:r w:rsidR="0013649A">
        <w:t>’)</w:t>
      </w:r>
      <w:r>
        <w:t>.</w:t>
      </w:r>
    </w:p>
    <w:p w14:paraId="6FE00192" w14:textId="322D6CF7" w:rsidR="0090461C" w:rsidRDefault="0090461C" w:rsidP="00B93A62">
      <w:r>
        <w:rPr>
          <w:b/>
          <w:bCs/>
        </w:rPr>
        <w:t>Note</w:t>
      </w:r>
      <w:r>
        <w:t xml:space="preserve">: </w:t>
      </w:r>
      <w:r w:rsidR="00AB0939">
        <w:t>Only a</w:t>
      </w:r>
      <w:r>
        <w:t xml:space="preserve"> </w:t>
      </w:r>
      <w:r w:rsidR="00CA0EAF">
        <w:t xml:space="preserve">disclosure officer </w:t>
      </w:r>
      <w:r w:rsidR="00AB0939">
        <w:t>may</w:t>
      </w:r>
      <w:r w:rsidR="00CA0EAF">
        <w:t xml:space="preserve"> perform this </w:t>
      </w:r>
      <w:r w:rsidR="00AB0939">
        <w:t>assessment</w:t>
      </w:r>
      <w:r w:rsidR="00CA0EAF">
        <w:t xml:space="preserve">. Where the disclosure was received by a receiving officer who </w:t>
      </w:r>
      <w:r w:rsidR="00CA0EAF" w:rsidRPr="009D442A">
        <w:t>is not</w:t>
      </w:r>
      <w:r w:rsidR="00CA0EAF">
        <w:t xml:space="preserve"> a disclosure officer, they </w:t>
      </w:r>
      <w:r w:rsidR="00CA0EAF" w:rsidRPr="009D442A">
        <w:t>must</w:t>
      </w:r>
      <w:r w:rsidR="00CA0EAF">
        <w:rPr>
          <w:b/>
          <w:bCs/>
        </w:rPr>
        <w:t xml:space="preserve"> </w:t>
      </w:r>
      <w:r w:rsidR="00CA0EAF">
        <w:t>refer the disclosure to a disclosure officer.</w:t>
      </w:r>
    </w:p>
    <w:p w14:paraId="5F41D3E9" w14:textId="189FB86A" w:rsidR="008E0ACF" w:rsidRDefault="008E0ACF" w:rsidP="00B93A62">
      <w:r>
        <w:rPr>
          <w:b/>
          <w:bCs/>
        </w:rPr>
        <w:t>Important</w:t>
      </w:r>
      <w:r>
        <w:t>: There is no need for a disclosure officer to consider whether the disclosure is, or may be, a</w:t>
      </w:r>
      <w:r w:rsidR="00B34E5E">
        <w:t xml:space="preserve"> </w:t>
      </w:r>
      <w:r>
        <w:t xml:space="preserve">PID. Only the Commission can determine whether a disclosure about disclosable conduct </w:t>
      </w:r>
      <w:r w:rsidR="007264FA">
        <w:t>qualifies a</w:t>
      </w:r>
      <w:r>
        <w:t>s a PID.</w:t>
      </w:r>
    </w:p>
    <w:p w14:paraId="0D24F0C5" w14:textId="77777777" w:rsidR="00094098" w:rsidRPr="00094098" w:rsidRDefault="00094098" w:rsidP="00094098">
      <w:pPr>
        <w:pStyle w:val="Heading3"/>
      </w:pPr>
      <w:bookmarkStart w:id="156" w:name="_Toc67903970"/>
      <w:bookmarkStart w:id="157" w:name="_Toc75255176"/>
      <w:r w:rsidRPr="00094098">
        <w:t>What if the report is about the Commission?</w:t>
      </w:r>
      <w:bookmarkEnd w:id="156"/>
      <w:bookmarkEnd w:id="157"/>
    </w:p>
    <w:p w14:paraId="5D356E6F" w14:textId="2EB1DA51" w:rsidR="00094098" w:rsidRDefault="00094098" w:rsidP="00094098">
      <w:bookmarkStart w:id="158" w:name="_Ref64273098"/>
      <w:bookmarkStart w:id="159" w:name="_Hlk62204975"/>
      <w:r w:rsidRPr="00094098">
        <w:t xml:space="preserve">Where a report relates to the Commission, investigating entities </w:t>
      </w:r>
      <w:r w:rsidR="0013649A">
        <w:t xml:space="preserve">must </w:t>
      </w:r>
      <w:r w:rsidRPr="00094098">
        <w:t xml:space="preserve">give it to the Inspector. All reports concerning the Commission will be treated as a complaint under the </w:t>
      </w:r>
      <w:r w:rsidR="0013649A" w:rsidRPr="0013649A">
        <w:t>IC Act</w:t>
      </w:r>
      <w:r w:rsidRPr="00094098">
        <w:t>.</w:t>
      </w:r>
      <w:r w:rsidRPr="00094098">
        <w:rPr>
          <w:rStyle w:val="FootnoteReference"/>
        </w:rPr>
        <w:footnoteReference w:id="79"/>
      </w:r>
    </w:p>
    <w:p w14:paraId="42727A46" w14:textId="3DC61BB2" w:rsidR="005E3CF6" w:rsidRDefault="005E3CF6" w:rsidP="005E3CF6">
      <w:pPr>
        <w:pStyle w:val="Heading3"/>
      </w:pPr>
      <w:bookmarkStart w:id="160" w:name="_Ref71719070"/>
      <w:bookmarkStart w:id="161" w:name="_Toc75255177"/>
      <w:bookmarkEnd w:id="158"/>
      <w:bookmarkEnd w:id="159"/>
      <w:r>
        <w:t>Is the disclosure officer satisfied on reasonable grounds the conduct refers to disclosable conduct and was made in good faith?</w:t>
      </w:r>
      <w:bookmarkEnd w:id="160"/>
      <w:bookmarkEnd w:id="161"/>
    </w:p>
    <w:p w14:paraId="4E17D3E6" w14:textId="1440F7CE" w:rsidR="005E3CF6" w:rsidRDefault="005E3CF6" w:rsidP="005E3CF6">
      <w:r>
        <w:t>In substance, the disclosure officer must be satisfied on reasonable grounds that the disclosure, if true, is about disclosable conduct and is made in good faith.</w:t>
      </w:r>
    </w:p>
    <w:p w14:paraId="4383A54F" w14:textId="07759467" w:rsidR="005E3CF6" w:rsidRDefault="005E3CF6" w:rsidP="005E3CF6">
      <w:r>
        <w:t>The satisfaction required is the personal opinion or judgment of the disclosure officer, but the reasonableness of the grounds is an objective standard requiring consideration to be given to the information that has been disclosed. The assessment is to test whether it can reasonably be regarded as fulfilling the statutory description of disclosable conduct on the assumption that it is true.</w:t>
      </w:r>
      <w:r>
        <w:rPr>
          <w:rStyle w:val="FootnoteReference"/>
        </w:rPr>
        <w:footnoteReference w:id="80"/>
      </w:r>
      <w:r>
        <w:t xml:space="preserve"> As a practical matter, the test will be satisfied if the disclosure officer considers that there are reasonable grounds for concluding that the disclosure is about disclosable conduct and is made in good faith. The mere fact that there are </w:t>
      </w:r>
      <w:r w:rsidR="00BF0EF2">
        <w:t xml:space="preserve">also </w:t>
      </w:r>
      <w:r>
        <w:t>reasonable grounds for not so concluding will not mean that the conditions are not fulfilled.</w:t>
      </w:r>
    </w:p>
    <w:p w14:paraId="2C69A2F7" w14:textId="6A4F3524" w:rsidR="005E3CF6" w:rsidRDefault="005E3CF6" w:rsidP="005E3CF6">
      <w:r>
        <w:t xml:space="preserve">Having been satisfied that the subject matter of the disclosure concerns disclosable conduct, it is necessary for the disclosure officer to then consider whether it has been made ‘in good faith’. This is not directed to the motive for making the disclosure. The ‘good faith’ involved here is that the discloser </w:t>
      </w:r>
      <w:r>
        <w:lastRenderedPageBreak/>
        <w:t>has a genuine belief or reasonable suspicion that the facts alleged are true. Disclosers will often have mixed motives for coming forward. Of course, where a discloser is motivated by malice, for example, the question whether they do actually believe or reasonably suspect that the information they disclose is true requires a close examination. Here again, the disclosure officer does not need to be certain that this requirement is fulfilled. They need only to be satisfied on reasonable grounds that it is. Put another way, if the disclosure officer thinks that it is reasonably possible that the disclosure is made in good faith, this would usually suffice.</w:t>
      </w:r>
    </w:p>
    <w:p w14:paraId="007E0A1D" w14:textId="26C004BB" w:rsidR="00C85FDE" w:rsidRPr="005E3CF6" w:rsidRDefault="00C85FDE" w:rsidP="00CA0EAF">
      <w:r w:rsidRPr="005E3CF6">
        <w:rPr>
          <w:b/>
          <w:bCs/>
        </w:rPr>
        <w:t>Example</w:t>
      </w:r>
      <w:r w:rsidRPr="005E3CF6">
        <w:t>: X discloses to disclosure officer Y th</w:t>
      </w:r>
      <w:r w:rsidR="002A353B" w:rsidRPr="005E3CF6">
        <w:t>a</w:t>
      </w:r>
      <w:r w:rsidRPr="005E3CF6">
        <w:t xml:space="preserve">t maladministration is occurring in entity Z. </w:t>
      </w:r>
      <w:r w:rsidR="00094098" w:rsidRPr="005E3CF6">
        <w:t>If</w:t>
      </w:r>
      <w:r w:rsidRPr="005E3CF6">
        <w:t xml:space="preserve"> X has used the correct terminology, and framed the disclosure appropriately, it would objectively be a disclosure about disclosable conduct. Y however must be satisfied </w:t>
      </w:r>
      <w:r w:rsidR="008809E5" w:rsidRPr="005E3CF6">
        <w:t xml:space="preserve">on reasonable grounds </w:t>
      </w:r>
      <w:r w:rsidRPr="005E3CF6">
        <w:t xml:space="preserve">that X’s disclosure is in fact about disclosable conduct. Y queries X for further information, which tends to show that the disclosure is not about maladministration of the type contemplated by the </w:t>
      </w:r>
      <w:r w:rsidR="007E29CB" w:rsidRPr="005E3CF6">
        <w:t xml:space="preserve">PID </w:t>
      </w:r>
      <w:r w:rsidRPr="005E3CF6">
        <w:t xml:space="preserve">Act. Following this line of inquiry, Y </w:t>
      </w:r>
      <w:r w:rsidR="008D4DC4" w:rsidRPr="005E3CF6">
        <w:t>may not be</w:t>
      </w:r>
      <w:r w:rsidRPr="005E3CF6">
        <w:t xml:space="preserve"> satisfied that the disclosure concerns disclosable conduct (even if X disagrees with Y).</w:t>
      </w:r>
    </w:p>
    <w:p w14:paraId="0D06CBB6" w14:textId="44CAE253" w:rsidR="00564A82" w:rsidRPr="00564A82" w:rsidRDefault="00564A82" w:rsidP="006B4E72">
      <w:r w:rsidRPr="005E3CF6">
        <w:rPr>
          <w:b/>
          <w:bCs/>
        </w:rPr>
        <w:t>Example:</w:t>
      </w:r>
      <w:r w:rsidRPr="005E3CF6">
        <w:t xml:space="preserve"> X discloses to</w:t>
      </w:r>
      <w:r w:rsidR="004B6644" w:rsidRPr="005E3CF6">
        <w:t xml:space="preserve"> disclosure officer</w:t>
      </w:r>
      <w:r w:rsidRPr="005E3CF6">
        <w:t xml:space="preserve"> Y that Z is engaging in maladministration. Z had previously made allegations against X concerning unrelated conduct, which resulted in X being subject to disciplinary action. </w:t>
      </w:r>
      <w:r w:rsidR="004B6644" w:rsidRPr="005E3CF6">
        <w:t xml:space="preserve">It is clear to Y that X is motivated by malice towards Z, due to the way Y described Z. However, X has provided </w:t>
      </w:r>
      <w:r w:rsidR="00FB69B8">
        <w:t xml:space="preserve">a </w:t>
      </w:r>
      <w:r w:rsidR="004B6644" w:rsidRPr="005E3CF6">
        <w:t xml:space="preserve">clear and compelling statement which leads to Y being satisfied, on reasonable grounds, that X </w:t>
      </w:r>
      <w:r w:rsidR="00BF0EF2">
        <w:t xml:space="preserve">genuinely </w:t>
      </w:r>
      <w:r w:rsidR="004B6644" w:rsidRPr="005E3CF6">
        <w:t xml:space="preserve">believes Z to have engaged in maladministration. Y </w:t>
      </w:r>
      <w:r w:rsidR="00BF0EF2">
        <w:t>should</w:t>
      </w:r>
      <w:r w:rsidR="00BF0EF2" w:rsidRPr="005E3CF6">
        <w:t xml:space="preserve"> </w:t>
      </w:r>
      <w:r w:rsidR="004B6644" w:rsidRPr="005E3CF6">
        <w:t>assess the disclosure as having been made in good faith.</w:t>
      </w:r>
    </w:p>
    <w:p w14:paraId="69D78E2B" w14:textId="5B283B25" w:rsidR="00B249C2" w:rsidRDefault="00B249C2" w:rsidP="0087701B">
      <w:pPr>
        <w:pStyle w:val="Heading3"/>
      </w:pPr>
      <w:bookmarkStart w:id="162" w:name="_Toc67904001"/>
      <w:bookmarkStart w:id="163" w:name="_Toc75255178"/>
      <w:r>
        <w:t xml:space="preserve">Conducting further enquiries </w:t>
      </w:r>
      <w:r w:rsidR="00907B85">
        <w:t>to assist an assessment</w:t>
      </w:r>
      <w:bookmarkEnd w:id="162"/>
      <w:bookmarkEnd w:id="163"/>
    </w:p>
    <w:p w14:paraId="3171DABA" w14:textId="052C6882" w:rsidR="00907B85" w:rsidRDefault="00907B85" w:rsidP="00907B85">
      <w:r>
        <w:t xml:space="preserve">Disclosure officers </w:t>
      </w:r>
      <w:r w:rsidRPr="001F50B4">
        <w:t>may</w:t>
      </w:r>
      <w:r>
        <w:t xml:space="preserve"> conduct limited further enquires to assist in their assessment as to whether a disclosure is about disclosable conduct. Disclosure officers </w:t>
      </w:r>
      <w:r w:rsidRPr="001F50B4">
        <w:t>may</w:t>
      </w:r>
      <w:r>
        <w:t xml:space="preserve"> also seek </w:t>
      </w:r>
      <w:r w:rsidR="00CA0EAF">
        <w:t>guidance</w:t>
      </w:r>
      <w:r>
        <w:t xml:space="preserve"> from the Commission should they need it.</w:t>
      </w:r>
    </w:p>
    <w:p w14:paraId="55F4C080" w14:textId="7A273CA8" w:rsidR="001D09D0" w:rsidRDefault="001D09D0" w:rsidP="00907B85">
      <w:r>
        <w:t>This does not mean that disclosure officers should conduct an investigation (preliminary or otherwise). Limited further inquiries</w:t>
      </w:r>
      <w:r w:rsidR="007E29CB">
        <w:t xml:space="preserve"> </w:t>
      </w:r>
      <w:r w:rsidR="006F5F5A">
        <w:t>mean</w:t>
      </w:r>
      <w:r>
        <w:t xml:space="preserve"> gathering basic additional facts which will allow the discloser</w:t>
      </w:r>
      <w:r w:rsidR="008D4DC4">
        <w:t>’</w:t>
      </w:r>
      <w:r>
        <w:t>s concerns to be more fully understood.</w:t>
      </w:r>
      <w:r w:rsidR="001F50B4">
        <w:t xml:space="preserve"> In undertaking further enquiries, the disclosure officer should be careful not </w:t>
      </w:r>
      <w:r w:rsidR="00AB0939">
        <w:t xml:space="preserve">to </w:t>
      </w:r>
      <w:r w:rsidR="001F50B4">
        <w:t xml:space="preserve">prejudice any future </w:t>
      </w:r>
      <w:r w:rsidR="006F5F5A">
        <w:t>investigation or</w:t>
      </w:r>
      <w:r w:rsidR="001F50B4">
        <w:t xml:space="preserve"> breach the confidentiality requirements imposed by the PID</w:t>
      </w:r>
      <w:r w:rsidR="0072657D">
        <w:t> </w:t>
      </w:r>
      <w:r w:rsidR="001F50B4">
        <w:t>Act.</w:t>
      </w:r>
    </w:p>
    <w:p w14:paraId="67BAED46" w14:textId="059A646B" w:rsidR="007E29CB" w:rsidRDefault="007E29CB" w:rsidP="00907B85">
      <w:r>
        <w:rPr>
          <w:b/>
          <w:bCs/>
        </w:rPr>
        <w:t>Example</w:t>
      </w:r>
      <w:r>
        <w:t xml:space="preserve">: X discloses to Y that an unknown official is </w:t>
      </w:r>
      <w:r w:rsidR="00AB0939">
        <w:t>engaging</w:t>
      </w:r>
      <w:r>
        <w:t xml:space="preserve"> in conduct which puts </w:t>
      </w:r>
      <w:r w:rsidR="00054006">
        <w:t xml:space="preserve">the environment </w:t>
      </w:r>
      <w:r>
        <w:t xml:space="preserve">at risk. X describes a uniform to </w:t>
      </w:r>
      <w:r w:rsidR="00054006">
        <w:t>Y,</w:t>
      </w:r>
      <w:r>
        <w:t xml:space="preserve"> which X alleges to be that of </w:t>
      </w:r>
      <w:r w:rsidR="00867E19">
        <w:t>a public sector entity</w:t>
      </w:r>
      <w:r>
        <w:t xml:space="preserve">. Y </w:t>
      </w:r>
      <w:r w:rsidRPr="001F50B4">
        <w:t>may</w:t>
      </w:r>
      <w:r>
        <w:t xml:space="preserve"> conduct limited enquires to determine </w:t>
      </w:r>
      <w:r w:rsidR="002B422D">
        <w:t>whether</w:t>
      </w:r>
      <w:r>
        <w:t xml:space="preserve"> the uniform is in fact that of </w:t>
      </w:r>
      <w:r w:rsidR="00867E19">
        <w:t>a public sector entity</w:t>
      </w:r>
      <w:r>
        <w:t xml:space="preserve">. This </w:t>
      </w:r>
      <w:r w:rsidRPr="001F50B4">
        <w:t>may</w:t>
      </w:r>
      <w:r>
        <w:t xml:space="preserve"> include internet searches or similar. Y discovers that the uniform does relate to </w:t>
      </w:r>
      <w:r w:rsidR="00867E19">
        <w:t>a public sector entity</w:t>
      </w:r>
      <w:r>
        <w:t xml:space="preserve">. </w:t>
      </w:r>
      <w:r w:rsidR="00AB0939">
        <w:t xml:space="preserve">Y </w:t>
      </w:r>
      <w:r w:rsidR="0013649A">
        <w:t>should</w:t>
      </w:r>
      <w:r w:rsidR="00AB0939">
        <w:t xml:space="preserve"> not however</w:t>
      </w:r>
      <w:r w:rsidR="0013649A">
        <w:t>,</w:t>
      </w:r>
      <w:r w:rsidR="00AB0939">
        <w:t xml:space="preserve"> then go on to make enquires about what the unknown official may or may not be doing. </w:t>
      </w:r>
      <w:r>
        <w:t xml:space="preserve">Y </w:t>
      </w:r>
      <w:r w:rsidR="0013649A">
        <w:t>should</w:t>
      </w:r>
      <w:r>
        <w:t xml:space="preserve"> provide this information to assist the Commission in determining how to respond to the allegations.</w:t>
      </w:r>
      <w:r w:rsidR="00AB0939">
        <w:t xml:space="preserve"> </w:t>
      </w:r>
    </w:p>
    <w:p w14:paraId="63EA82FB" w14:textId="39AF2523" w:rsidR="00586A01" w:rsidRDefault="00586A01" w:rsidP="0087701B">
      <w:pPr>
        <w:pStyle w:val="Heading3"/>
      </w:pPr>
      <w:bookmarkStart w:id="164" w:name="_Ref63066322"/>
      <w:bookmarkStart w:id="165" w:name="_Toc67904004"/>
      <w:bookmarkStart w:id="166" w:name="_Toc75255179"/>
      <w:bookmarkStart w:id="167" w:name="_Toc60753372"/>
      <w:r>
        <w:t>Where the discloser has performance or behaviour</w:t>
      </w:r>
      <w:r w:rsidR="00AB0939">
        <w:t>al</w:t>
      </w:r>
      <w:r>
        <w:t xml:space="preserve"> </w:t>
      </w:r>
      <w:r w:rsidR="00AB0939">
        <w:t>issues</w:t>
      </w:r>
      <w:r>
        <w:t xml:space="preserve"> unrelated to the PID</w:t>
      </w:r>
      <w:bookmarkEnd w:id="164"/>
      <w:bookmarkEnd w:id="165"/>
      <w:bookmarkEnd w:id="166"/>
    </w:p>
    <w:p w14:paraId="36AFC687" w14:textId="365958C1" w:rsidR="00586A01" w:rsidRDefault="00586A01" w:rsidP="007E29CB">
      <w:r>
        <w:t>The PID Act does not</w:t>
      </w:r>
      <w:r w:rsidR="000E34F9">
        <w:t xml:space="preserve"> </w:t>
      </w:r>
      <w:r>
        <w:t>prevent supervisors and managers from addressing workplace behaviours</w:t>
      </w:r>
      <w:r w:rsidR="00EC098C">
        <w:t xml:space="preserve"> that</w:t>
      </w:r>
      <w:r w:rsidR="00FD25A8">
        <w:t xml:space="preserve">, </w:t>
      </w:r>
      <w:r w:rsidR="00BF0EF2">
        <w:t>for</w:t>
      </w:r>
      <w:r w:rsidR="00FD25A8">
        <w:t xml:space="preserve"> independent managerial or administrative reasons</w:t>
      </w:r>
      <w:r w:rsidR="00EC098C">
        <w:t xml:space="preserve"> may need to change, or which require disciplinary action</w:t>
      </w:r>
      <w:r>
        <w:t>. In addition</w:t>
      </w:r>
      <w:r w:rsidR="000E34F9">
        <w:t xml:space="preserve">, </w:t>
      </w:r>
      <w:r>
        <w:t xml:space="preserve">the mere making of a PID does not absolve the discloser of their own wrongdoing where </w:t>
      </w:r>
      <w:r w:rsidR="00AB0939">
        <w:t>it is</w:t>
      </w:r>
      <w:r>
        <w:t xml:space="preserve"> </w:t>
      </w:r>
      <w:r w:rsidR="00094098">
        <w:t xml:space="preserve">the </w:t>
      </w:r>
      <w:r>
        <w:t>subject of the PID.</w:t>
      </w:r>
    </w:p>
    <w:p w14:paraId="105FFFBD" w14:textId="707C0D7F" w:rsidR="00586A01" w:rsidRDefault="00586A01" w:rsidP="007E29CB">
      <w:r w:rsidRPr="008822C8">
        <w:t>However</w:t>
      </w:r>
      <w:r w:rsidR="000E34F9">
        <w:t>,</w:t>
      </w:r>
      <w:r w:rsidRPr="008822C8">
        <w:t xml:space="preserve"> the making of the disclosure may be considered a mitigating factor in the context of, for example, </w:t>
      </w:r>
      <w:r w:rsidR="00EC098C">
        <w:t>considering whether</w:t>
      </w:r>
      <w:r w:rsidRPr="008822C8">
        <w:t xml:space="preserve"> to sanction th</w:t>
      </w:r>
      <w:r w:rsidR="00AB0939">
        <w:t>at</w:t>
      </w:r>
      <w:r w:rsidRPr="008822C8">
        <w:t xml:space="preserve"> employee</w:t>
      </w:r>
      <w:r w:rsidR="000E34F9">
        <w:t xml:space="preserve"> who made the disclosure</w:t>
      </w:r>
      <w:r w:rsidR="00EC098C">
        <w:t xml:space="preserve"> and, if so, the extent of the sanction</w:t>
      </w:r>
      <w:r w:rsidRPr="008822C8">
        <w:t xml:space="preserve">. Further, </w:t>
      </w:r>
      <w:r w:rsidR="007157B8" w:rsidRPr="008822C8">
        <w:t>disclosure officers</w:t>
      </w:r>
      <w:r w:rsidRPr="008822C8">
        <w:t xml:space="preserve"> may </w:t>
      </w:r>
      <w:r w:rsidR="000E34F9">
        <w:t>receive</w:t>
      </w:r>
      <w:r w:rsidRPr="008822C8">
        <w:t xml:space="preserve"> a request from a discloser to immunise or minimise their liability </w:t>
      </w:r>
      <w:r w:rsidR="000E34F9">
        <w:t>in return for making</w:t>
      </w:r>
      <w:r w:rsidRPr="008822C8">
        <w:t xml:space="preserve"> a disclosure. For</w:t>
      </w:r>
      <w:r w:rsidR="007532CF">
        <w:t xml:space="preserve"> </w:t>
      </w:r>
      <w:r w:rsidRPr="008822C8">
        <w:t>example, a discloser may indicate that</w:t>
      </w:r>
      <w:r w:rsidR="00BF0EF2">
        <w:t>,</w:t>
      </w:r>
      <w:r w:rsidRPr="008822C8">
        <w:t xml:space="preserve"> while they have themselves be</w:t>
      </w:r>
      <w:r w:rsidR="000E34F9">
        <w:t>en</w:t>
      </w:r>
      <w:r w:rsidRPr="008822C8">
        <w:t xml:space="preserve"> somehow involved in wrongdoing, they would be prepared to disclose significant or systemic wrongdoing should the </w:t>
      </w:r>
      <w:r w:rsidR="00867443">
        <w:t>public sector</w:t>
      </w:r>
      <w:r w:rsidR="00680302">
        <w:t xml:space="preserve"> entity</w:t>
      </w:r>
      <w:r w:rsidRPr="008822C8">
        <w:t xml:space="preserve"> agree to take into account their making a disclosure. </w:t>
      </w:r>
      <w:r w:rsidR="002B422D" w:rsidRPr="008822C8">
        <w:t>These</w:t>
      </w:r>
      <w:r w:rsidRPr="008822C8">
        <w:t xml:space="preserve"> are </w:t>
      </w:r>
      <w:r w:rsidR="000E34F9">
        <w:t xml:space="preserve">complicated issues, and a disclosure officer </w:t>
      </w:r>
      <w:r w:rsidR="00EC098C">
        <w:t xml:space="preserve">should not offer </w:t>
      </w:r>
      <w:r w:rsidR="002A353B">
        <w:t>disclosers</w:t>
      </w:r>
      <w:r w:rsidR="00EC098C">
        <w:t xml:space="preserve"> any guarantees, unless expressly authorised to do so by an officer with appropriate authority to </w:t>
      </w:r>
      <w:r w:rsidR="002A353B">
        <w:t>give</w:t>
      </w:r>
      <w:r w:rsidR="00EC098C">
        <w:t xml:space="preserve"> such guarantees.</w:t>
      </w:r>
      <w:r w:rsidR="000E34F9">
        <w:t xml:space="preserve"> </w:t>
      </w:r>
      <w:r w:rsidR="00680302">
        <w:t>Investigating entities</w:t>
      </w:r>
      <w:r w:rsidR="000E34F9">
        <w:t xml:space="preserve"> should be wary of making any promises or giving any </w:t>
      </w:r>
      <w:r w:rsidR="002A353B">
        <w:lastRenderedPageBreak/>
        <w:t>undertakings</w:t>
      </w:r>
      <w:r w:rsidR="000E34F9">
        <w:t xml:space="preserve"> to disclosers about how the discloser’s own conduct will be handled</w:t>
      </w:r>
      <w:r w:rsidRPr="008822C8">
        <w:t xml:space="preserve">. </w:t>
      </w:r>
      <w:r w:rsidR="00680302">
        <w:t>Investigating entities</w:t>
      </w:r>
      <w:r w:rsidRPr="008822C8">
        <w:t xml:space="preserve"> may, at any point, seek guidance from the Commission </w:t>
      </w:r>
      <w:r w:rsidR="000E34F9">
        <w:t>when such issues arise.</w:t>
      </w:r>
    </w:p>
    <w:p w14:paraId="4DE2AF34" w14:textId="458C224F" w:rsidR="00586A01" w:rsidRDefault="000E34F9" w:rsidP="007E29CB">
      <w:bookmarkStart w:id="168" w:name="_Hlk66451434"/>
      <w:r>
        <w:t>Note</w:t>
      </w:r>
      <w:r w:rsidR="003E1BC5">
        <w:t>,</w:t>
      </w:r>
      <w:r w:rsidR="00586A01">
        <w:t xml:space="preserve"> however, any form of disciplinary action or investigation which</w:t>
      </w:r>
      <w:r w:rsidR="00EC098C">
        <w:t xml:space="preserve"> happens to</w:t>
      </w:r>
      <w:r w:rsidR="00586A01">
        <w:t xml:space="preserve"> closely follow a disclosure may be perceive</w:t>
      </w:r>
      <w:r w:rsidR="007157B8">
        <w:t>d</w:t>
      </w:r>
      <w:r w:rsidR="00586A01">
        <w:t xml:space="preserve"> by the discloser </w:t>
      </w:r>
      <w:r>
        <w:t>as</w:t>
      </w:r>
      <w:r w:rsidR="00586A01">
        <w:t xml:space="preserve"> a form of </w:t>
      </w:r>
      <w:r w:rsidR="007157B8">
        <w:t>detrimental</w:t>
      </w:r>
      <w:r w:rsidR="00586A01">
        <w:t xml:space="preserve"> action (whether </w:t>
      </w:r>
      <w:r w:rsidR="00EC098C">
        <w:t>reasonably so or not</w:t>
      </w:r>
      <w:r w:rsidR="00586A01">
        <w:t xml:space="preserve">). </w:t>
      </w:r>
      <w:bookmarkEnd w:id="168"/>
      <w:r w:rsidR="00586A01">
        <w:t xml:space="preserve">As such, </w:t>
      </w:r>
      <w:r w:rsidR="007157B8">
        <w:t xml:space="preserve">when an </w:t>
      </w:r>
      <w:r w:rsidR="00680302">
        <w:t>investigating entity</w:t>
      </w:r>
      <w:r w:rsidR="007157B8">
        <w:t xml:space="preserve"> intends to take, or has taken, </w:t>
      </w:r>
      <w:r w:rsidR="005656C1">
        <w:t>action in response to an employee</w:t>
      </w:r>
      <w:r>
        <w:t>’</w:t>
      </w:r>
      <w:r w:rsidR="00586A01">
        <w:t>s</w:t>
      </w:r>
      <w:r w:rsidR="005656C1">
        <w:t xml:space="preserve"> unrelated performance or behaviour</w:t>
      </w:r>
      <w:r w:rsidR="007532CF">
        <w:t xml:space="preserve"> </w:t>
      </w:r>
      <w:r w:rsidR="005656C1">
        <w:t>concerns they</w:t>
      </w:r>
      <w:r w:rsidR="00586A01">
        <w:t xml:space="preserve"> </w:t>
      </w:r>
      <w:r w:rsidR="00586A01" w:rsidRPr="000E34F9">
        <w:t>must</w:t>
      </w:r>
      <w:r w:rsidR="00586A01">
        <w:t>:</w:t>
      </w:r>
    </w:p>
    <w:p w14:paraId="0C684AEA" w14:textId="1A85AB21" w:rsidR="00586A01" w:rsidRDefault="000E34F9" w:rsidP="008D1DE6">
      <w:pPr>
        <w:pStyle w:val="ListParagraph"/>
        <w:numPr>
          <w:ilvl w:val="0"/>
          <w:numId w:val="5"/>
        </w:numPr>
      </w:pPr>
      <w:r>
        <w:t>c</w:t>
      </w:r>
      <w:r w:rsidR="002B422D">
        <w:t>learly demonstrate</w:t>
      </w:r>
      <w:r w:rsidR="00586A01">
        <w:t xml:space="preserve"> the grounds on which the investigation or disciplinary action is founded;</w:t>
      </w:r>
    </w:p>
    <w:p w14:paraId="180EB180" w14:textId="77777777" w:rsidR="00586A01" w:rsidRDefault="00586A01" w:rsidP="008D1DE6">
      <w:pPr>
        <w:pStyle w:val="ListParagraph"/>
        <w:numPr>
          <w:ilvl w:val="0"/>
          <w:numId w:val="5"/>
        </w:numPr>
      </w:pPr>
      <w:r>
        <w:t>ensure that any proposed action to be taken in response is proportionate and reasonable;</w:t>
      </w:r>
    </w:p>
    <w:p w14:paraId="06BC41B6" w14:textId="1CAEAC59" w:rsidR="00586A01" w:rsidRDefault="000E34F9" w:rsidP="008D1DE6">
      <w:pPr>
        <w:pStyle w:val="ListParagraph"/>
        <w:numPr>
          <w:ilvl w:val="0"/>
          <w:numId w:val="5"/>
        </w:numPr>
      </w:pPr>
      <w:r>
        <w:t xml:space="preserve">ensure </w:t>
      </w:r>
      <w:r w:rsidR="00586A01">
        <w:t xml:space="preserve">that the proportionate and reasonable action proposed is not </w:t>
      </w:r>
      <w:r w:rsidR="00BF0EF2">
        <w:t xml:space="preserve">a response </w:t>
      </w:r>
      <w:r w:rsidR="00586A01">
        <w:t>to the making of the disclosure</w:t>
      </w:r>
      <w:r w:rsidR="00EC098C">
        <w:t xml:space="preserve"> (except in the sense that it may be moderated</w:t>
      </w:r>
      <w:r w:rsidR="00AB0939">
        <w:t xml:space="preserve"> by the making of the disclosure</w:t>
      </w:r>
      <w:r w:rsidR="00EC098C">
        <w:t>)</w:t>
      </w:r>
      <w:r w:rsidR="00586A01">
        <w:t>; and</w:t>
      </w:r>
    </w:p>
    <w:p w14:paraId="7F319E28" w14:textId="5B780E8D" w:rsidR="00586A01" w:rsidRPr="004D6B1C" w:rsidRDefault="000E34F9" w:rsidP="008D1DE6">
      <w:pPr>
        <w:pStyle w:val="ListParagraph"/>
        <w:numPr>
          <w:ilvl w:val="0"/>
          <w:numId w:val="5"/>
        </w:numPr>
      </w:pPr>
      <w:r>
        <w:t xml:space="preserve">ensure </w:t>
      </w:r>
      <w:r w:rsidR="00586A01">
        <w:t xml:space="preserve">that the investigation and/or action proposed is conducted in accordance with the </w:t>
      </w:r>
      <w:r w:rsidR="00680302">
        <w:t xml:space="preserve">investigating entity’s </w:t>
      </w:r>
      <w:r w:rsidR="00586A01">
        <w:t>relevant procedures for dealing with misconduct or underperformance.</w:t>
      </w:r>
    </w:p>
    <w:p w14:paraId="3926AB41" w14:textId="475B31E9" w:rsidR="006C5368" w:rsidRDefault="006C5368" w:rsidP="0087701B">
      <w:pPr>
        <w:pStyle w:val="Heading3"/>
      </w:pPr>
      <w:bookmarkStart w:id="169" w:name="_Ref63951769"/>
      <w:bookmarkStart w:id="170" w:name="_Toc67904006"/>
      <w:bookmarkStart w:id="171" w:name="_Toc75255180"/>
      <w:bookmarkEnd w:id="167"/>
      <w:r>
        <w:t>Timeliness of the assessment process</w:t>
      </w:r>
      <w:bookmarkEnd w:id="169"/>
      <w:bookmarkEnd w:id="170"/>
      <w:bookmarkEnd w:id="171"/>
    </w:p>
    <w:p w14:paraId="10969BC0" w14:textId="29D70C83" w:rsidR="006C5368" w:rsidRDefault="002770E6" w:rsidP="00BD18DC">
      <w:r>
        <w:t xml:space="preserve">The </w:t>
      </w:r>
      <w:r w:rsidR="005656C1">
        <w:t xml:space="preserve">PID </w:t>
      </w:r>
      <w:r>
        <w:t xml:space="preserve">Act is silent as to how long a disclosure officer </w:t>
      </w:r>
      <w:r w:rsidR="00111F36">
        <w:t>has to</w:t>
      </w:r>
      <w:r>
        <w:t xml:space="preserve"> assess a disclosure. However, the </w:t>
      </w:r>
      <w:r w:rsidR="005656C1">
        <w:t xml:space="preserve">PID </w:t>
      </w:r>
      <w:r>
        <w:t xml:space="preserve">Act does require a disclosure officer </w:t>
      </w:r>
      <w:r w:rsidR="00AB0939">
        <w:t>to</w:t>
      </w:r>
      <w:r w:rsidR="004570D9">
        <w:rPr>
          <w:b/>
          <w:bCs/>
        </w:rPr>
        <w:t xml:space="preserve"> </w:t>
      </w:r>
      <w:r w:rsidR="004570D9">
        <w:t>notify the Commission of a disclosure about disclosable conduct</w:t>
      </w:r>
      <w:r>
        <w:t xml:space="preserve"> ‘as soon as possible’ after receiving the disclosure.</w:t>
      </w:r>
      <w:r w:rsidR="004570D9">
        <w:rPr>
          <w:rStyle w:val="FootnoteReference"/>
        </w:rPr>
        <w:footnoteReference w:id="81"/>
      </w:r>
      <w:r>
        <w:t xml:space="preserve"> </w:t>
      </w:r>
      <w:r w:rsidR="00EC098C">
        <w:t xml:space="preserve">This should be understood as being as soon as is practically possible. </w:t>
      </w:r>
      <w:r>
        <w:t>Further, the discloser is entitled to provide a disclosure of disclosable conduct to a third party if they do not receive a s</w:t>
      </w:r>
      <w:r w:rsidR="005656C1">
        <w:t>ection</w:t>
      </w:r>
      <w:r>
        <w:t xml:space="preserve"> 17B or 19A notice </w:t>
      </w:r>
      <w:r w:rsidR="00111F36">
        <w:t xml:space="preserve">in the specified </w:t>
      </w:r>
      <w:r w:rsidR="00313688">
        <w:t>period</w:t>
      </w:r>
      <w:r w:rsidR="00111F36">
        <w:t xml:space="preserve"> </w:t>
      </w:r>
      <w:r>
        <w:t>(which either confirms or rejects the disclosure as a disclosure about disclosable conduct).</w:t>
      </w:r>
      <w:r w:rsidR="004570D9">
        <w:rPr>
          <w:rStyle w:val="FootnoteReference"/>
        </w:rPr>
        <w:footnoteReference w:id="82"/>
      </w:r>
    </w:p>
    <w:p w14:paraId="71670C62" w14:textId="6C157871" w:rsidR="002770E6" w:rsidRDefault="002770E6" w:rsidP="00BD18DC">
      <w:r>
        <w:t xml:space="preserve">Therefore, the disclosure officer </w:t>
      </w:r>
      <w:r w:rsidR="00EC098C">
        <w:t xml:space="preserve">should </w:t>
      </w:r>
      <w:r>
        <w:t>assess the disclosure</w:t>
      </w:r>
      <w:r w:rsidR="00111F36">
        <w:t xml:space="preserve"> </w:t>
      </w:r>
      <w:r w:rsidR="00EC098C">
        <w:t>as a priority</w:t>
      </w:r>
      <w:r>
        <w:t xml:space="preserve"> to ensure compliance with the </w:t>
      </w:r>
      <w:r w:rsidR="005656C1">
        <w:t xml:space="preserve">PID </w:t>
      </w:r>
      <w:r>
        <w:t>Act, and to maintain confidence in the scheme.</w:t>
      </w:r>
    </w:p>
    <w:p w14:paraId="31B7ED28" w14:textId="5E744313" w:rsidR="00BE0FD5" w:rsidRDefault="00BE0FD5" w:rsidP="0087701B">
      <w:pPr>
        <w:pStyle w:val="Heading3"/>
      </w:pPr>
      <w:bookmarkStart w:id="172" w:name="_Toc67904007"/>
      <w:bookmarkStart w:id="173" w:name="_Toc75255181"/>
      <w:r>
        <w:t>Referring the disclosure of disclosable conduct to the Commission</w:t>
      </w:r>
      <w:bookmarkEnd w:id="172"/>
      <w:bookmarkEnd w:id="173"/>
    </w:p>
    <w:p w14:paraId="7811E395" w14:textId="10408089" w:rsidR="00BE0FD5" w:rsidRDefault="00BE0FD5" w:rsidP="00BE0FD5">
      <w:r>
        <w:t xml:space="preserve">The disclosure officer </w:t>
      </w:r>
      <w:r w:rsidRPr="00111F36">
        <w:t>must</w:t>
      </w:r>
      <w:r>
        <w:t xml:space="preserve">, if the disclosure is </w:t>
      </w:r>
      <w:r w:rsidR="002A353B">
        <w:t>found</w:t>
      </w:r>
      <w:r>
        <w:t xml:space="preserve"> to be about disclosable conduct, refer the disclosure to the Commission</w:t>
      </w:r>
      <w:r w:rsidR="00094098">
        <w:t xml:space="preserve"> who will assess whether it qualifies as a PID</w:t>
      </w:r>
      <w:r w:rsidR="00AB0939">
        <w:t>. This should be done</w:t>
      </w:r>
      <w:r>
        <w:t xml:space="preserve"> </w:t>
      </w:r>
      <w:r w:rsidR="00111F36">
        <w:t>in writing</w:t>
      </w:r>
      <w:r w:rsidR="00AB0939">
        <w:t>.</w:t>
      </w:r>
      <w:r>
        <w:t xml:space="preserve"> This </w:t>
      </w:r>
      <w:r w:rsidR="00AB0939">
        <w:t xml:space="preserve">written </w:t>
      </w:r>
      <w:r>
        <w:t xml:space="preserve">referral </w:t>
      </w:r>
      <w:r w:rsidRPr="00111F36">
        <w:t>must</w:t>
      </w:r>
      <w:r>
        <w:t xml:space="preserve"> contain:</w:t>
      </w:r>
    </w:p>
    <w:p w14:paraId="7ACA100E" w14:textId="640850A4" w:rsidR="00AB0939" w:rsidRDefault="00AB0939" w:rsidP="00061417">
      <w:pPr>
        <w:pStyle w:val="ListParagraph"/>
        <w:numPr>
          <w:ilvl w:val="0"/>
          <w:numId w:val="9"/>
        </w:numPr>
      </w:pPr>
      <w:r>
        <w:t>the disclosure;</w:t>
      </w:r>
    </w:p>
    <w:p w14:paraId="2BC0EE65" w14:textId="306A584B" w:rsidR="00BE0FD5" w:rsidRDefault="00BE0FD5" w:rsidP="00061417">
      <w:pPr>
        <w:pStyle w:val="ListParagraph"/>
        <w:numPr>
          <w:ilvl w:val="0"/>
          <w:numId w:val="9"/>
        </w:numPr>
      </w:pPr>
      <w:r>
        <w:t xml:space="preserve">the disclosure </w:t>
      </w:r>
      <w:r w:rsidR="002B422D">
        <w:t>officer’s</w:t>
      </w:r>
      <w:r>
        <w:t xml:space="preserve"> assessment</w:t>
      </w:r>
      <w:r w:rsidR="005656C1">
        <w:t>;</w:t>
      </w:r>
    </w:p>
    <w:p w14:paraId="5966C5A2" w14:textId="22B639DB" w:rsidR="00BE0FD5" w:rsidRDefault="00BE0FD5" w:rsidP="00061417">
      <w:pPr>
        <w:pStyle w:val="ListParagraph"/>
        <w:numPr>
          <w:ilvl w:val="0"/>
          <w:numId w:val="9"/>
        </w:numPr>
      </w:pPr>
      <w:r>
        <w:t xml:space="preserve">contact details for the </w:t>
      </w:r>
      <w:r w:rsidR="00111F36">
        <w:t>discloser</w:t>
      </w:r>
      <w:r>
        <w:t xml:space="preserve"> (where not anonymous)</w:t>
      </w:r>
      <w:r w:rsidR="005656C1">
        <w:t>;</w:t>
      </w:r>
    </w:p>
    <w:p w14:paraId="0ABD426D" w14:textId="1371B108" w:rsidR="00BE0FD5" w:rsidRDefault="00BE0FD5" w:rsidP="00061417">
      <w:pPr>
        <w:pStyle w:val="ListParagraph"/>
        <w:numPr>
          <w:ilvl w:val="0"/>
          <w:numId w:val="9"/>
        </w:numPr>
      </w:pPr>
      <w:r>
        <w:t xml:space="preserve">all materials provided by the discloser in </w:t>
      </w:r>
      <w:r w:rsidR="00B2575D">
        <w:t>connection with</w:t>
      </w:r>
      <w:r>
        <w:t xml:space="preserve"> their disclosure</w:t>
      </w:r>
      <w:r w:rsidR="005656C1">
        <w:t>;</w:t>
      </w:r>
    </w:p>
    <w:p w14:paraId="6C6347A6" w14:textId="44FBC3C9" w:rsidR="00BE0FD5" w:rsidRDefault="00BE0FD5" w:rsidP="00061417">
      <w:pPr>
        <w:pStyle w:val="ListParagraph"/>
        <w:numPr>
          <w:ilvl w:val="0"/>
          <w:numId w:val="9"/>
        </w:numPr>
      </w:pPr>
      <w:r>
        <w:t xml:space="preserve">any materials gathered by the disclosure officer </w:t>
      </w:r>
      <w:r w:rsidR="00B2575D">
        <w:t>that</w:t>
      </w:r>
      <w:r>
        <w:t xml:space="preserve"> support</w:t>
      </w:r>
      <w:r w:rsidR="00B2575D">
        <w:t>s</w:t>
      </w:r>
      <w:r>
        <w:t xml:space="preserve"> their assessment of the disclosure</w:t>
      </w:r>
      <w:r w:rsidR="005656C1">
        <w:t>; and</w:t>
      </w:r>
    </w:p>
    <w:p w14:paraId="07B94388" w14:textId="53B539B7" w:rsidR="00BE0FD5" w:rsidRPr="00BE0FD5" w:rsidRDefault="00BE0FD5" w:rsidP="00061417">
      <w:pPr>
        <w:pStyle w:val="ListParagraph"/>
        <w:numPr>
          <w:ilvl w:val="0"/>
          <w:numId w:val="9"/>
        </w:numPr>
      </w:pPr>
      <w:r>
        <w:t>any other relevant information.</w:t>
      </w:r>
    </w:p>
    <w:p w14:paraId="28496622" w14:textId="7A4DF491" w:rsidR="00BE0FD5" w:rsidRPr="00BE0FD5" w:rsidRDefault="00BE0FD5" w:rsidP="00BE0FD5">
      <w:r>
        <w:t xml:space="preserve">The Commission has prepared a template referral letter which </w:t>
      </w:r>
      <w:r w:rsidR="00867E19">
        <w:t>public sector entities</w:t>
      </w:r>
      <w:r>
        <w:t xml:space="preserve"> may adapt for this purpose</w:t>
      </w:r>
      <w:r w:rsidR="007811F9">
        <w:t xml:space="preserve"> at </w:t>
      </w:r>
      <w:r w:rsidR="00EC75C2" w:rsidRPr="00EC75C2">
        <w:rPr>
          <w:b/>
          <w:bCs/>
        </w:rPr>
        <w:fldChar w:fldCharType="begin"/>
      </w:r>
      <w:r w:rsidR="00EC75C2" w:rsidRPr="00EC75C2">
        <w:rPr>
          <w:b/>
          <w:bCs/>
        </w:rPr>
        <w:instrText xml:space="preserve"> REF _Ref73460858 \h  \* MERGEFORMAT </w:instrText>
      </w:r>
      <w:r w:rsidR="00EC75C2" w:rsidRPr="00EC75C2">
        <w:rPr>
          <w:b/>
          <w:bCs/>
        </w:rPr>
      </w:r>
      <w:r w:rsidR="00EC75C2" w:rsidRPr="00EC75C2">
        <w:rPr>
          <w:b/>
          <w:bCs/>
        </w:rPr>
        <w:fldChar w:fldCharType="separate"/>
      </w:r>
      <w:r w:rsidR="00245E6D" w:rsidRPr="00245E6D">
        <w:rPr>
          <w:b/>
          <w:bCs/>
        </w:rPr>
        <w:t>Appendix C: Referral letter template</w:t>
      </w:r>
      <w:r w:rsidR="00EC75C2" w:rsidRPr="00EC75C2">
        <w:rPr>
          <w:b/>
          <w:bCs/>
        </w:rPr>
        <w:fldChar w:fldCharType="end"/>
      </w:r>
      <w:r w:rsidR="007811F9">
        <w:rPr>
          <w:b/>
          <w:bCs/>
        </w:rPr>
        <w:t>.</w:t>
      </w:r>
    </w:p>
    <w:p w14:paraId="1ED4F580" w14:textId="77FE10E9" w:rsidR="00BE0FD5" w:rsidRDefault="00BE0FD5" w:rsidP="0087701B">
      <w:pPr>
        <w:pStyle w:val="Heading3"/>
      </w:pPr>
      <w:bookmarkStart w:id="174" w:name="_Toc67904008"/>
      <w:bookmarkStart w:id="175" w:name="_Toc75255182"/>
      <w:r>
        <w:t xml:space="preserve">Notifying the discloser of </w:t>
      </w:r>
      <w:r w:rsidR="00054006">
        <w:t>the</w:t>
      </w:r>
      <w:r>
        <w:t xml:space="preserve"> assessment</w:t>
      </w:r>
      <w:bookmarkEnd w:id="174"/>
      <w:bookmarkEnd w:id="175"/>
    </w:p>
    <w:p w14:paraId="664A722E" w14:textId="5E21B284" w:rsidR="00BE0FD5" w:rsidRDefault="00BE0FD5" w:rsidP="00BE0FD5">
      <w:r>
        <w:t xml:space="preserve">Disclosure officers </w:t>
      </w:r>
      <w:r w:rsidRPr="00111F36">
        <w:t>must</w:t>
      </w:r>
      <w:r>
        <w:t xml:space="preserve"> notify the discloser of the outcome of any assessment of their </w:t>
      </w:r>
      <w:r w:rsidRPr="00111F36">
        <w:t>disclosure in writing. Disclosure</w:t>
      </w:r>
      <w:r>
        <w:t xml:space="preserve"> officers </w:t>
      </w:r>
      <w:r w:rsidRPr="00111F36">
        <w:t>must</w:t>
      </w:r>
      <w:r>
        <w:t xml:space="preserve"> keep, for the relevant file, a copy of the</w:t>
      </w:r>
      <w:r w:rsidR="00111F36">
        <w:t>se</w:t>
      </w:r>
      <w:r>
        <w:t xml:space="preserve"> </w:t>
      </w:r>
      <w:r w:rsidR="00111F36">
        <w:t>notifications.</w:t>
      </w:r>
    </w:p>
    <w:p w14:paraId="7793089A" w14:textId="2AED7147" w:rsidR="00907B85" w:rsidRPr="00907B85" w:rsidRDefault="00907B85" w:rsidP="00BE0FD5">
      <w:r>
        <w:t xml:space="preserve">If the disclosure officer has assessed the disclosure as not being about disclosable conduct, they must provide reasons for </w:t>
      </w:r>
      <w:r w:rsidR="005656C1">
        <w:t>their</w:t>
      </w:r>
      <w:r>
        <w:t xml:space="preserve"> assessment. Merely restating </w:t>
      </w:r>
      <w:r w:rsidR="00E97098">
        <w:t xml:space="preserve">the </w:t>
      </w:r>
      <w:r>
        <w:t>legislati</w:t>
      </w:r>
      <w:r w:rsidR="00E97098">
        <w:t xml:space="preserve">ve criteria </w:t>
      </w:r>
      <w:r>
        <w:t>is insufficient</w:t>
      </w:r>
      <w:r w:rsidR="00AD32CF">
        <w:t>;</w:t>
      </w:r>
      <w:r w:rsidR="00E97098">
        <w:t xml:space="preserve"> </w:t>
      </w:r>
      <w:r w:rsidR="00094098">
        <w:t>the factual basis for the disclosure officer’s assessment is required. This need not be drawn out</w:t>
      </w:r>
      <w:r w:rsidR="00AD32CF">
        <w:t>,</w:t>
      </w:r>
      <w:r w:rsidR="00094098">
        <w:t xml:space="preserve"> however</w:t>
      </w:r>
      <w:r w:rsidR="00AD32CF">
        <w:t>;</w:t>
      </w:r>
      <w:r w:rsidR="00E97098">
        <w:t xml:space="preserve"> a brief explanation </w:t>
      </w:r>
      <w:r w:rsidR="002A353B">
        <w:t>will</w:t>
      </w:r>
      <w:r w:rsidR="00E97098">
        <w:t xml:space="preserve"> suffice</w:t>
      </w:r>
      <w:r>
        <w:t xml:space="preserve">. </w:t>
      </w:r>
      <w:r w:rsidR="00AD32CF">
        <w:t>T</w:t>
      </w:r>
      <w:r>
        <w:t xml:space="preserve">he disclosure officer </w:t>
      </w:r>
      <w:r w:rsidR="00111F36">
        <w:t>should</w:t>
      </w:r>
      <w:r w:rsidR="00AD32CF">
        <w:t xml:space="preserve"> then</w:t>
      </w:r>
      <w:r>
        <w:t xml:space="preserve"> consider whether an alternative </w:t>
      </w:r>
      <w:r w:rsidR="00111F36">
        <w:t>resolution framework could address the discloser’s concerns.</w:t>
      </w:r>
      <w:r w:rsidR="00453AC2">
        <w:t xml:space="preserve"> At all events, the information supplied may need to be considered for management reasons and</w:t>
      </w:r>
      <w:r w:rsidR="00FD25A8">
        <w:t>,</w:t>
      </w:r>
      <w:r w:rsidR="00453AC2">
        <w:t xml:space="preserve"> if so, passed to a relevant officer for action.</w:t>
      </w:r>
    </w:p>
    <w:p w14:paraId="775AE5AF" w14:textId="2742143F" w:rsidR="00B61AB1" w:rsidRDefault="00BE0FD5" w:rsidP="008E6DD9">
      <w:pPr>
        <w:rPr>
          <w:b/>
          <w:bCs/>
        </w:rPr>
      </w:pPr>
      <w:r>
        <w:lastRenderedPageBreak/>
        <w:t xml:space="preserve">The Commission has prepared a template notification letter which </w:t>
      </w:r>
      <w:r w:rsidR="00867E19">
        <w:t xml:space="preserve">public sector </w:t>
      </w:r>
      <w:r w:rsidR="005D431A">
        <w:t>entities</w:t>
      </w:r>
      <w:r>
        <w:t xml:space="preserve"> may adapt for this purpose</w:t>
      </w:r>
      <w:r w:rsidR="007811F9">
        <w:t xml:space="preserve"> at </w:t>
      </w:r>
      <w:r w:rsidR="008D10A2" w:rsidRPr="008D10A2">
        <w:rPr>
          <w:b/>
          <w:bCs/>
        </w:rPr>
        <w:fldChar w:fldCharType="begin"/>
      </w:r>
      <w:r w:rsidR="008D10A2" w:rsidRPr="008D10A2">
        <w:rPr>
          <w:b/>
          <w:bCs/>
        </w:rPr>
        <w:instrText xml:space="preserve"> REF _Ref73460803 \h  \* MERGEFORMAT </w:instrText>
      </w:r>
      <w:r w:rsidR="008D10A2" w:rsidRPr="008D10A2">
        <w:rPr>
          <w:b/>
          <w:bCs/>
        </w:rPr>
      </w:r>
      <w:r w:rsidR="008D10A2" w:rsidRPr="008D10A2">
        <w:rPr>
          <w:b/>
          <w:bCs/>
        </w:rPr>
        <w:fldChar w:fldCharType="separate"/>
      </w:r>
      <w:r w:rsidR="00245E6D" w:rsidRPr="00245E6D">
        <w:rPr>
          <w:b/>
          <w:bCs/>
        </w:rPr>
        <w:t>Appendix D: Notification letter template</w:t>
      </w:r>
      <w:r w:rsidR="008D10A2" w:rsidRPr="008D10A2">
        <w:rPr>
          <w:b/>
          <w:bCs/>
        </w:rPr>
        <w:fldChar w:fldCharType="end"/>
      </w:r>
      <w:r w:rsidR="007811F9">
        <w:rPr>
          <w:b/>
          <w:bCs/>
        </w:rPr>
        <w:t>.</w:t>
      </w:r>
    </w:p>
    <w:p w14:paraId="5D9B2318" w14:textId="77777777" w:rsidR="0072657D" w:rsidRDefault="0072657D" w:rsidP="008E6DD9">
      <w:pPr>
        <w:rPr>
          <w:rFonts w:eastAsiaTheme="majorEastAsia" w:cstheme="majorBidi"/>
          <w:color w:val="1F3763" w:themeColor="accent1" w:themeShade="7F"/>
          <w:sz w:val="24"/>
          <w:szCs w:val="24"/>
        </w:rPr>
      </w:pPr>
    </w:p>
    <w:p w14:paraId="094646AB" w14:textId="2241B9A6" w:rsidR="00744129" w:rsidRDefault="00961B00" w:rsidP="0087701B">
      <w:pPr>
        <w:pStyle w:val="Heading3"/>
      </w:pPr>
      <w:bookmarkStart w:id="176" w:name="_Toc67904009"/>
      <w:bookmarkStart w:id="177" w:name="_Toc75255183"/>
      <w:r>
        <w:t>The</w:t>
      </w:r>
      <w:r w:rsidR="00744129">
        <w:t xml:space="preserve"> assessment process</w:t>
      </w:r>
      <w:bookmarkEnd w:id="176"/>
      <w:bookmarkEnd w:id="177"/>
    </w:p>
    <w:p w14:paraId="754E0F67" w14:textId="416A1B04" w:rsidR="008932E2" w:rsidRPr="008932E2" w:rsidRDefault="008932E2" w:rsidP="008932E2">
      <w:r>
        <w:t xml:space="preserve">The following table outlines </w:t>
      </w:r>
      <w:r w:rsidR="00B2575D">
        <w:t>the</w:t>
      </w:r>
      <w:r>
        <w:t xml:space="preserve"> process </w:t>
      </w:r>
      <w:r w:rsidR="00B2575D">
        <w:t>described above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312"/>
      </w:tblGrid>
      <w:tr w:rsidR="00744129" w:rsidRPr="00744129" w14:paraId="6B160546" w14:textId="77777777" w:rsidTr="005656C1">
        <w:trPr>
          <w:tblHeader/>
        </w:trPr>
        <w:tc>
          <w:tcPr>
            <w:tcW w:w="704" w:type="dxa"/>
            <w:shd w:val="clear" w:color="auto" w:fill="000000" w:themeFill="text1"/>
          </w:tcPr>
          <w:p w14:paraId="088303F3" w14:textId="5A92CE80" w:rsidR="00744129" w:rsidRPr="00744129" w:rsidRDefault="00744129" w:rsidP="00744129">
            <w:pPr>
              <w:rPr>
                <w:b/>
                <w:bCs/>
                <w:color w:val="FFFFFF" w:themeColor="background1"/>
              </w:rPr>
            </w:pPr>
            <w:r w:rsidRPr="00744129">
              <w:rPr>
                <w:b/>
                <w:bCs/>
                <w:color w:val="FFFFFF" w:themeColor="background1"/>
              </w:rPr>
              <w:t>Step</w:t>
            </w:r>
          </w:p>
        </w:tc>
        <w:tc>
          <w:tcPr>
            <w:tcW w:w="8312" w:type="dxa"/>
            <w:shd w:val="clear" w:color="auto" w:fill="000000" w:themeFill="text1"/>
          </w:tcPr>
          <w:p w14:paraId="253B32BB" w14:textId="7451C988" w:rsidR="00744129" w:rsidRPr="00744129" w:rsidRDefault="00744129" w:rsidP="00744129">
            <w:pPr>
              <w:rPr>
                <w:b/>
                <w:bCs/>
                <w:color w:val="FFFFFF" w:themeColor="background1"/>
              </w:rPr>
            </w:pPr>
            <w:r w:rsidRPr="00744129">
              <w:rPr>
                <w:b/>
                <w:bCs/>
                <w:color w:val="FFFFFF" w:themeColor="background1"/>
              </w:rPr>
              <w:t>Description</w:t>
            </w:r>
          </w:p>
        </w:tc>
      </w:tr>
      <w:tr w:rsidR="00744129" w14:paraId="3593100B" w14:textId="77777777" w:rsidTr="00094098">
        <w:trPr>
          <w:trHeight w:val="3508"/>
        </w:trPr>
        <w:tc>
          <w:tcPr>
            <w:tcW w:w="704" w:type="dxa"/>
          </w:tcPr>
          <w:p w14:paraId="46D54A5C" w14:textId="339957FD" w:rsidR="00744129" w:rsidRDefault="00744129" w:rsidP="00744129">
            <w:r>
              <w:t>1.</w:t>
            </w:r>
          </w:p>
        </w:tc>
        <w:tc>
          <w:tcPr>
            <w:tcW w:w="8312" w:type="dxa"/>
          </w:tcPr>
          <w:p w14:paraId="490E745B" w14:textId="77777777" w:rsidR="00744129" w:rsidRDefault="00744129" w:rsidP="00744129">
            <w:r>
              <w:t>A person makes a disclosure…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043"/>
            </w:tblGrid>
            <w:tr w:rsidR="00744129" w:rsidRPr="00744129" w14:paraId="6EF7E7B4" w14:textId="77777777" w:rsidTr="005656C1">
              <w:tc>
                <w:tcPr>
                  <w:tcW w:w="4043" w:type="dxa"/>
                  <w:shd w:val="clear" w:color="auto" w:fill="000000" w:themeFill="text1"/>
                </w:tcPr>
                <w:p w14:paraId="74DC2535" w14:textId="460B7509" w:rsidR="00744129" w:rsidRPr="00744129" w:rsidRDefault="00744129" w:rsidP="00744129">
                  <w:pPr>
                    <w:rPr>
                      <w:b/>
                      <w:bCs/>
                      <w:color w:val="FFFFFF" w:themeColor="background1"/>
                    </w:rPr>
                  </w:pPr>
                  <w:r w:rsidRPr="00744129">
                    <w:rPr>
                      <w:b/>
                      <w:bCs/>
                      <w:color w:val="FFFFFF" w:themeColor="background1"/>
                    </w:rPr>
                    <w:t>If the disclosure was made to…</w:t>
                  </w:r>
                </w:p>
              </w:tc>
              <w:tc>
                <w:tcPr>
                  <w:tcW w:w="4043" w:type="dxa"/>
                  <w:shd w:val="clear" w:color="auto" w:fill="000000" w:themeFill="text1"/>
                </w:tcPr>
                <w:p w14:paraId="3C8C5724" w14:textId="18997719" w:rsidR="00744129" w:rsidRPr="00744129" w:rsidRDefault="00744129" w:rsidP="00744129">
                  <w:pPr>
                    <w:rPr>
                      <w:b/>
                      <w:bCs/>
                      <w:color w:val="FFFFFF" w:themeColor="background1"/>
                    </w:rPr>
                  </w:pPr>
                  <w:r w:rsidRPr="00744129">
                    <w:rPr>
                      <w:b/>
                      <w:bCs/>
                      <w:color w:val="FFFFFF" w:themeColor="background1"/>
                    </w:rPr>
                    <w:t>Then…</w:t>
                  </w:r>
                </w:p>
              </w:tc>
            </w:tr>
            <w:tr w:rsidR="00744129" w14:paraId="22D47A3E" w14:textId="77777777" w:rsidTr="005656C1">
              <w:tc>
                <w:tcPr>
                  <w:tcW w:w="4043" w:type="dxa"/>
                </w:tcPr>
                <w:p w14:paraId="3780C63F" w14:textId="3AACB4A8" w:rsidR="00744129" w:rsidRDefault="00961B00" w:rsidP="00744129">
                  <w:r>
                    <w:t>A</w:t>
                  </w:r>
                  <w:r w:rsidR="00744129">
                    <w:t xml:space="preserve"> disclosure officer…</w:t>
                  </w:r>
                </w:p>
              </w:tc>
              <w:tc>
                <w:tcPr>
                  <w:tcW w:w="4043" w:type="dxa"/>
                </w:tcPr>
                <w:p w14:paraId="6242416A" w14:textId="11DB6BF4" w:rsidR="00744129" w:rsidRPr="00744129" w:rsidRDefault="00744129" w:rsidP="00744129">
                  <w:r>
                    <w:rPr>
                      <w:b/>
                      <w:bCs/>
                    </w:rPr>
                    <w:t>Proceed to step 2.</w:t>
                  </w:r>
                </w:p>
              </w:tc>
            </w:tr>
            <w:tr w:rsidR="00744129" w14:paraId="62590B5A" w14:textId="77777777" w:rsidTr="005656C1">
              <w:tc>
                <w:tcPr>
                  <w:tcW w:w="4043" w:type="dxa"/>
                </w:tcPr>
                <w:p w14:paraId="4C62643B" w14:textId="6389B4A0" w:rsidR="00744129" w:rsidRDefault="00961B00" w:rsidP="00744129">
                  <w:r>
                    <w:t>A</w:t>
                  </w:r>
                  <w:r w:rsidR="00744129">
                    <w:t xml:space="preserve"> person other than a disclosure officer</w:t>
                  </w:r>
                  <w:r>
                    <w:t>…</w:t>
                  </w:r>
                </w:p>
              </w:tc>
              <w:tc>
                <w:tcPr>
                  <w:tcW w:w="4043" w:type="dxa"/>
                </w:tcPr>
                <w:p w14:paraId="6D5714FD" w14:textId="77777777" w:rsidR="00744129" w:rsidRDefault="00744129" w:rsidP="00744129">
                  <w:r>
                    <w:t>Provide to an authorised disclosure officer.</w:t>
                  </w:r>
                </w:p>
                <w:p w14:paraId="73E93374" w14:textId="3C0FA710" w:rsidR="00744129" w:rsidRDefault="00744129" w:rsidP="00744129">
                  <w:r>
                    <w:rPr>
                      <w:b/>
                      <w:bCs/>
                    </w:rPr>
                    <w:t xml:space="preserve">Important: </w:t>
                  </w:r>
                  <w:r>
                    <w:t>If the disclosure was made orally, it must be reduced to writing</w:t>
                  </w:r>
                  <w:r w:rsidR="00B2575D">
                    <w:t xml:space="preserve"> by the receiving officer</w:t>
                  </w:r>
                  <w:r>
                    <w:t>.</w:t>
                  </w:r>
                </w:p>
                <w:p w14:paraId="75ABFEC0" w14:textId="5DDB2027" w:rsidR="00744129" w:rsidRPr="00744129" w:rsidRDefault="00961B00" w:rsidP="00744129">
                  <w:r>
                    <w:rPr>
                      <w:b/>
                      <w:bCs/>
                    </w:rPr>
                    <w:t xml:space="preserve">No further action required of the </w:t>
                  </w:r>
                  <w:r w:rsidR="00B2575D">
                    <w:rPr>
                      <w:b/>
                      <w:bCs/>
                    </w:rPr>
                    <w:t>receiving officer</w:t>
                  </w:r>
                  <w:r>
                    <w:rPr>
                      <w:b/>
                      <w:bCs/>
                    </w:rPr>
                    <w:t xml:space="preserve"> under the PID Act.</w:t>
                  </w:r>
                </w:p>
              </w:tc>
            </w:tr>
          </w:tbl>
          <w:p w14:paraId="7F92960B" w14:textId="4FDF6ABB" w:rsidR="00744129" w:rsidRDefault="00744129" w:rsidP="00744129"/>
        </w:tc>
      </w:tr>
      <w:tr w:rsidR="00744129" w14:paraId="23189D7E" w14:textId="77777777" w:rsidTr="00333BE5">
        <w:trPr>
          <w:trHeight w:val="3114"/>
        </w:trPr>
        <w:tc>
          <w:tcPr>
            <w:tcW w:w="704" w:type="dxa"/>
          </w:tcPr>
          <w:p w14:paraId="087BB37C" w14:textId="37D86B11" w:rsidR="00744129" w:rsidRDefault="00721F22" w:rsidP="00744129">
            <w:r>
              <w:t>2</w:t>
            </w:r>
            <w:r w:rsidR="004372F4">
              <w:t>.</w:t>
            </w:r>
          </w:p>
        </w:tc>
        <w:tc>
          <w:tcPr>
            <w:tcW w:w="8312" w:type="dxa"/>
          </w:tcPr>
          <w:p w14:paraId="456C0A3A" w14:textId="6ED38991" w:rsidR="00744129" w:rsidRDefault="005656C1" w:rsidP="00744129">
            <w:r>
              <w:t xml:space="preserve">The disclosure officer </w:t>
            </w:r>
            <w:r w:rsidR="00961B00">
              <w:t xml:space="preserve">considers whether </w:t>
            </w:r>
            <w:r w:rsidR="00721F22">
              <w:t>they are satisfied on reasonable grounds</w:t>
            </w:r>
            <w:r w:rsidR="004372F4">
              <w:t xml:space="preserve"> that the disclosure is about disclosable 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043"/>
            </w:tblGrid>
            <w:tr w:rsidR="004372F4" w:rsidRPr="00744129" w14:paraId="0FDC5DA9" w14:textId="77777777" w:rsidTr="005656C1">
              <w:tc>
                <w:tcPr>
                  <w:tcW w:w="4043" w:type="dxa"/>
                  <w:shd w:val="clear" w:color="auto" w:fill="000000" w:themeFill="text1"/>
                </w:tcPr>
                <w:p w14:paraId="2615A616" w14:textId="7EE3DBF5" w:rsidR="004372F4" w:rsidRPr="00744129" w:rsidRDefault="004372F4" w:rsidP="004372F4">
                  <w:pPr>
                    <w:rPr>
                      <w:b/>
                      <w:bCs/>
                      <w:color w:val="FFFFFF" w:themeColor="background1"/>
                    </w:rPr>
                  </w:pPr>
                  <w:r>
                    <w:rPr>
                      <w:b/>
                      <w:bCs/>
                      <w:color w:val="FFFFFF" w:themeColor="background1"/>
                    </w:rPr>
                    <w:t>If</w:t>
                  </w:r>
                  <w:r w:rsidR="00B2575D">
                    <w:rPr>
                      <w:b/>
                      <w:bCs/>
                      <w:color w:val="FFFFFF" w:themeColor="background1"/>
                    </w:rPr>
                    <w:t xml:space="preserve"> </w:t>
                  </w:r>
                  <w:r w:rsidR="00094098">
                    <w:rPr>
                      <w:b/>
                      <w:bCs/>
                      <w:color w:val="FFFFFF" w:themeColor="background1"/>
                    </w:rPr>
                    <w:t>satisfied</w:t>
                  </w:r>
                  <w:r>
                    <w:rPr>
                      <w:b/>
                      <w:bCs/>
                      <w:color w:val="FFFFFF" w:themeColor="background1"/>
                    </w:rPr>
                    <w:t xml:space="preserve"> </w:t>
                  </w:r>
                  <w:r w:rsidR="00721F22">
                    <w:rPr>
                      <w:b/>
                      <w:bCs/>
                      <w:color w:val="FFFFFF" w:themeColor="background1"/>
                    </w:rPr>
                    <w:t>the disclosure is…</w:t>
                  </w:r>
                </w:p>
              </w:tc>
              <w:tc>
                <w:tcPr>
                  <w:tcW w:w="4043" w:type="dxa"/>
                  <w:shd w:val="clear" w:color="auto" w:fill="000000" w:themeFill="text1"/>
                </w:tcPr>
                <w:p w14:paraId="279164FF" w14:textId="77777777" w:rsidR="004372F4" w:rsidRPr="00744129" w:rsidRDefault="004372F4" w:rsidP="004372F4">
                  <w:pPr>
                    <w:rPr>
                      <w:b/>
                      <w:bCs/>
                      <w:color w:val="FFFFFF" w:themeColor="background1"/>
                    </w:rPr>
                  </w:pPr>
                  <w:r w:rsidRPr="00744129">
                    <w:rPr>
                      <w:b/>
                      <w:bCs/>
                      <w:color w:val="FFFFFF" w:themeColor="background1"/>
                    </w:rPr>
                    <w:t>Then…</w:t>
                  </w:r>
                </w:p>
              </w:tc>
            </w:tr>
            <w:tr w:rsidR="004372F4" w14:paraId="3067FF88" w14:textId="77777777" w:rsidTr="005656C1">
              <w:tc>
                <w:tcPr>
                  <w:tcW w:w="4043" w:type="dxa"/>
                </w:tcPr>
                <w:p w14:paraId="1401D9C4" w14:textId="77777777" w:rsidR="004372F4" w:rsidRDefault="004372F4" w:rsidP="004372F4">
                  <w:r>
                    <w:t>About disclosable conduct…</w:t>
                  </w:r>
                </w:p>
              </w:tc>
              <w:tc>
                <w:tcPr>
                  <w:tcW w:w="4043" w:type="dxa"/>
                </w:tcPr>
                <w:p w14:paraId="260BDE9D" w14:textId="31282152" w:rsidR="004372F4" w:rsidRPr="00744129" w:rsidRDefault="004372F4" w:rsidP="004372F4">
                  <w:r>
                    <w:rPr>
                      <w:b/>
                      <w:bCs/>
                    </w:rPr>
                    <w:t xml:space="preserve">Proceed to step </w:t>
                  </w:r>
                  <w:r w:rsidR="00721F22">
                    <w:rPr>
                      <w:b/>
                      <w:bCs/>
                    </w:rPr>
                    <w:t>3</w:t>
                  </w:r>
                  <w:r>
                    <w:rPr>
                      <w:b/>
                      <w:bCs/>
                    </w:rPr>
                    <w:t>.</w:t>
                  </w:r>
                </w:p>
              </w:tc>
            </w:tr>
            <w:tr w:rsidR="004372F4" w14:paraId="42739990" w14:textId="77777777" w:rsidTr="005656C1">
              <w:tc>
                <w:tcPr>
                  <w:tcW w:w="4043" w:type="dxa"/>
                </w:tcPr>
                <w:p w14:paraId="20C2DDB9" w14:textId="77777777" w:rsidR="004372F4" w:rsidRDefault="004372F4" w:rsidP="004372F4">
                  <w:r>
                    <w:t>Not about disclosable conduct…</w:t>
                  </w:r>
                </w:p>
              </w:tc>
              <w:tc>
                <w:tcPr>
                  <w:tcW w:w="4043" w:type="dxa"/>
                </w:tcPr>
                <w:p w14:paraId="6EC0C976" w14:textId="57886D38" w:rsidR="004372F4" w:rsidRDefault="00B2575D" w:rsidP="004372F4">
                  <w:r>
                    <w:t>Notify</w:t>
                  </w:r>
                  <w:r w:rsidR="004372F4">
                    <w:t xml:space="preserve"> the discloser</w:t>
                  </w:r>
                  <w:r w:rsidR="00721F22">
                    <w:t xml:space="preserve"> and provide them reasons.</w:t>
                  </w:r>
                </w:p>
                <w:p w14:paraId="74FDAA1A" w14:textId="27D2D250" w:rsidR="004372F4" w:rsidRPr="004372F4" w:rsidRDefault="00961B00" w:rsidP="004372F4">
                  <w:pPr>
                    <w:rPr>
                      <w:b/>
                      <w:bCs/>
                    </w:rPr>
                  </w:pPr>
                  <w:r>
                    <w:rPr>
                      <w:b/>
                      <w:bCs/>
                    </w:rPr>
                    <w:t>No further action required of the disclosure officer under the PID Act.</w:t>
                  </w:r>
                </w:p>
              </w:tc>
            </w:tr>
          </w:tbl>
          <w:p w14:paraId="0CA14D21" w14:textId="099C1F5E" w:rsidR="004372F4" w:rsidRDefault="004372F4" w:rsidP="00744129"/>
        </w:tc>
      </w:tr>
      <w:tr w:rsidR="00744129" w14:paraId="46AA394A" w14:textId="77777777" w:rsidTr="00333BE5">
        <w:trPr>
          <w:trHeight w:val="3100"/>
        </w:trPr>
        <w:tc>
          <w:tcPr>
            <w:tcW w:w="704" w:type="dxa"/>
          </w:tcPr>
          <w:p w14:paraId="025EAE96" w14:textId="2C448CAE" w:rsidR="00744129" w:rsidRDefault="00721F22" w:rsidP="00744129">
            <w:r>
              <w:t>3</w:t>
            </w:r>
            <w:r w:rsidR="00BD18DC">
              <w:t>.</w:t>
            </w:r>
          </w:p>
        </w:tc>
        <w:tc>
          <w:tcPr>
            <w:tcW w:w="8312" w:type="dxa"/>
          </w:tcPr>
          <w:p w14:paraId="0641F564" w14:textId="457FEA2C" w:rsidR="00744129" w:rsidRDefault="005656C1" w:rsidP="00744129">
            <w:r>
              <w:t xml:space="preserve">The disclosure officer </w:t>
            </w:r>
            <w:r w:rsidR="00961B00">
              <w:t xml:space="preserve">considers whether </w:t>
            </w:r>
            <w:r>
              <w:t>they</w:t>
            </w:r>
            <w:r w:rsidR="00BD18DC">
              <w:t xml:space="preserve"> are satisfied</w:t>
            </w:r>
            <w:r w:rsidR="00721F22">
              <w:t xml:space="preserve"> on reasonable grounds</w:t>
            </w:r>
            <w:r w:rsidR="00BD18DC">
              <w:t xml:space="preserve"> that the disclosure was made in good faith: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043"/>
            </w:tblGrid>
            <w:tr w:rsidR="00BD18DC" w:rsidRPr="00744129" w14:paraId="319A8881" w14:textId="77777777" w:rsidTr="005656C1">
              <w:tc>
                <w:tcPr>
                  <w:tcW w:w="4043" w:type="dxa"/>
                  <w:shd w:val="clear" w:color="auto" w:fill="000000" w:themeFill="text1"/>
                </w:tcPr>
                <w:p w14:paraId="1E9FC233" w14:textId="7DE59485" w:rsidR="00BD18DC" w:rsidRPr="00744129" w:rsidRDefault="00721F22" w:rsidP="00BD18DC">
                  <w:pPr>
                    <w:rPr>
                      <w:b/>
                      <w:bCs/>
                      <w:color w:val="FFFFFF" w:themeColor="background1"/>
                    </w:rPr>
                  </w:pPr>
                  <w:r>
                    <w:rPr>
                      <w:b/>
                      <w:bCs/>
                      <w:color w:val="FFFFFF" w:themeColor="background1"/>
                    </w:rPr>
                    <w:t xml:space="preserve">If </w:t>
                  </w:r>
                  <w:r w:rsidR="00B2575D">
                    <w:rPr>
                      <w:b/>
                      <w:bCs/>
                      <w:color w:val="FFFFFF" w:themeColor="background1"/>
                    </w:rPr>
                    <w:t xml:space="preserve">satisfied </w:t>
                  </w:r>
                  <w:r>
                    <w:rPr>
                      <w:b/>
                      <w:bCs/>
                      <w:color w:val="FFFFFF" w:themeColor="background1"/>
                    </w:rPr>
                    <w:t>the disclosure was…</w:t>
                  </w:r>
                </w:p>
              </w:tc>
              <w:tc>
                <w:tcPr>
                  <w:tcW w:w="4043" w:type="dxa"/>
                  <w:shd w:val="clear" w:color="auto" w:fill="000000" w:themeFill="text1"/>
                </w:tcPr>
                <w:p w14:paraId="71E9CE41" w14:textId="77777777" w:rsidR="00BD18DC" w:rsidRPr="00744129" w:rsidRDefault="00BD18DC" w:rsidP="00BD18DC">
                  <w:pPr>
                    <w:rPr>
                      <w:b/>
                      <w:bCs/>
                      <w:color w:val="FFFFFF" w:themeColor="background1"/>
                    </w:rPr>
                  </w:pPr>
                  <w:r w:rsidRPr="00744129">
                    <w:rPr>
                      <w:b/>
                      <w:bCs/>
                      <w:color w:val="FFFFFF" w:themeColor="background1"/>
                    </w:rPr>
                    <w:t>Then…</w:t>
                  </w:r>
                </w:p>
              </w:tc>
            </w:tr>
            <w:tr w:rsidR="00BD18DC" w14:paraId="40ED1811" w14:textId="77777777" w:rsidTr="005656C1">
              <w:tc>
                <w:tcPr>
                  <w:tcW w:w="4043" w:type="dxa"/>
                </w:tcPr>
                <w:p w14:paraId="10737E21" w14:textId="01FA9ECD" w:rsidR="00BD18DC" w:rsidRDefault="00BD18DC" w:rsidP="00BD18DC">
                  <w:r>
                    <w:t>Made in good faith…</w:t>
                  </w:r>
                </w:p>
              </w:tc>
              <w:tc>
                <w:tcPr>
                  <w:tcW w:w="4043" w:type="dxa"/>
                </w:tcPr>
                <w:p w14:paraId="39BA737B" w14:textId="6E4FEB55" w:rsidR="00BD18DC" w:rsidRPr="00744129" w:rsidRDefault="00BD18DC" w:rsidP="00BD18DC">
                  <w:r>
                    <w:rPr>
                      <w:b/>
                      <w:bCs/>
                    </w:rPr>
                    <w:t xml:space="preserve">Proceed to step </w:t>
                  </w:r>
                  <w:r w:rsidR="00721F22">
                    <w:rPr>
                      <w:b/>
                      <w:bCs/>
                    </w:rPr>
                    <w:t>4</w:t>
                  </w:r>
                  <w:r>
                    <w:rPr>
                      <w:b/>
                      <w:bCs/>
                    </w:rPr>
                    <w:t>.</w:t>
                  </w:r>
                </w:p>
              </w:tc>
            </w:tr>
            <w:tr w:rsidR="00BD18DC" w14:paraId="3A7CCD2A" w14:textId="77777777" w:rsidTr="005656C1">
              <w:tc>
                <w:tcPr>
                  <w:tcW w:w="4043" w:type="dxa"/>
                </w:tcPr>
                <w:p w14:paraId="62C10A9B" w14:textId="06717100" w:rsidR="00961B00" w:rsidRPr="00961B00" w:rsidRDefault="00BD18DC" w:rsidP="00BD18DC">
                  <w:r>
                    <w:t>Not made in good faith.</w:t>
                  </w:r>
                </w:p>
              </w:tc>
              <w:tc>
                <w:tcPr>
                  <w:tcW w:w="4043" w:type="dxa"/>
                </w:tcPr>
                <w:p w14:paraId="069434BB" w14:textId="601DF728" w:rsidR="00961B00" w:rsidRDefault="00B2575D" w:rsidP="00961B00">
                  <w:r>
                    <w:t>Notify</w:t>
                  </w:r>
                  <w:r w:rsidR="00961B00">
                    <w:t xml:space="preserve"> the discloser</w:t>
                  </w:r>
                  <w:r w:rsidR="00721F22">
                    <w:t xml:space="preserve"> and provide them reasons.</w:t>
                  </w:r>
                </w:p>
                <w:p w14:paraId="5A5CF055" w14:textId="789FB622" w:rsidR="00BD18DC" w:rsidRPr="00BD18DC" w:rsidRDefault="00961B00" w:rsidP="00961B00">
                  <w:pPr>
                    <w:rPr>
                      <w:b/>
                      <w:bCs/>
                    </w:rPr>
                  </w:pPr>
                  <w:r>
                    <w:rPr>
                      <w:b/>
                      <w:bCs/>
                    </w:rPr>
                    <w:t>No further action required of the disclosure officer under the PID Act.</w:t>
                  </w:r>
                </w:p>
              </w:tc>
            </w:tr>
          </w:tbl>
          <w:p w14:paraId="055C72BC" w14:textId="05B184D8" w:rsidR="00BD18DC" w:rsidRDefault="00BD18DC" w:rsidP="00744129"/>
        </w:tc>
      </w:tr>
      <w:tr w:rsidR="00744129" w14:paraId="4B871DC0" w14:textId="77777777" w:rsidTr="005656C1">
        <w:tc>
          <w:tcPr>
            <w:tcW w:w="704" w:type="dxa"/>
          </w:tcPr>
          <w:p w14:paraId="49505AAF" w14:textId="0F0D9ABA" w:rsidR="00744129" w:rsidRDefault="00721F22" w:rsidP="00744129">
            <w:r>
              <w:t>4</w:t>
            </w:r>
            <w:r w:rsidR="00B30600">
              <w:t>.</w:t>
            </w:r>
          </w:p>
        </w:tc>
        <w:tc>
          <w:tcPr>
            <w:tcW w:w="8312" w:type="dxa"/>
          </w:tcPr>
          <w:p w14:paraId="30ED809C" w14:textId="070F0D14" w:rsidR="00744129" w:rsidRDefault="005656C1" w:rsidP="00744129">
            <w:r>
              <w:t>The disclosure officer f</w:t>
            </w:r>
            <w:r w:rsidR="00B30600">
              <w:t>orward</w:t>
            </w:r>
            <w:r>
              <w:t>s</w:t>
            </w:r>
            <w:r w:rsidR="00B30600">
              <w:t xml:space="preserve"> the disclosure, the discloser</w:t>
            </w:r>
            <w:r w:rsidR="00853666">
              <w:t>’</w:t>
            </w:r>
            <w:r w:rsidR="00B30600">
              <w:t>s contact details (if applicable)</w:t>
            </w:r>
            <w:r w:rsidR="00B2575D">
              <w:t xml:space="preserve">, and all other relevant information </w:t>
            </w:r>
            <w:r w:rsidR="00B30600">
              <w:t>to the Commission for assessment.</w:t>
            </w:r>
          </w:p>
          <w:p w14:paraId="1AFD2BDA" w14:textId="605293EA" w:rsidR="009A210A" w:rsidRDefault="009A210A" w:rsidP="00744129">
            <w:r>
              <w:t>The disclosure officer notifies the discloser (if applicable) that the disclosure has been referred to the Commission for assessment.</w:t>
            </w:r>
          </w:p>
          <w:p w14:paraId="2AB3B72E" w14:textId="67757A46" w:rsidR="00B30600" w:rsidRPr="00B30600" w:rsidRDefault="009A210A" w:rsidP="00744129">
            <w:r>
              <w:rPr>
                <w:b/>
                <w:bCs/>
              </w:rPr>
              <w:t>No further action required of the disclosure officer under the PID Act.</w:t>
            </w:r>
          </w:p>
        </w:tc>
      </w:tr>
    </w:tbl>
    <w:p w14:paraId="5FF527F7" w14:textId="77777777" w:rsidR="009F1984" w:rsidRDefault="009F1984" w:rsidP="009F1984">
      <w:pPr>
        <w:sectPr w:rsidR="009F1984" w:rsidSect="00240DCD">
          <w:pgSz w:w="11906" w:h="16838"/>
          <w:pgMar w:top="1440" w:right="1440" w:bottom="1440" w:left="1440" w:header="708" w:footer="708" w:gutter="0"/>
          <w:cols w:space="708"/>
          <w:titlePg/>
          <w:docGrid w:linePitch="360"/>
        </w:sectPr>
      </w:pPr>
    </w:p>
    <w:p w14:paraId="6CEDEF46" w14:textId="7AD02A3B" w:rsidR="00FE70B8" w:rsidRDefault="00FE70B8" w:rsidP="007247D1">
      <w:pPr>
        <w:pStyle w:val="Heading1"/>
      </w:pPr>
      <w:bookmarkStart w:id="178" w:name="_Ref65659431"/>
      <w:bookmarkStart w:id="179" w:name="_Ref66727601"/>
      <w:bookmarkStart w:id="180" w:name="_Toc67904010"/>
      <w:bookmarkStart w:id="181" w:name="_Toc75255184"/>
      <w:r>
        <w:lastRenderedPageBreak/>
        <w:t xml:space="preserve">Investigating </w:t>
      </w:r>
      <w:bookmarkEnd w:id="178"/>
      <w:r w:rsidR="006B35BF">
        <w:t>disclosures</w:t>
      </w:r>
      <w:bookmarkEnd w:id="179"/>
      <w:bookmarkEnd w:id="180"/>
      <w:bookmarkEnd w:id="181"/>
    </w:p>
    <w:p w14:paraId="74DEE506" w14:textId="067A428A" w:rsidR="004754DF" w:rsidRDefault="00B249C2" w:rsidP="00B249C2">
      <w:r>
        <w:t>The following section outlines a recommend</w:t>
      </w:r>
      <w:r w:rsidR="00453AC2">
        <w:t>ed</w:t>
      </w:r>
      <w:r>
        <w:t xml:space="preserve"> approach for </w:t>
      </w:r>
      <w:r w:rsidR="00680302">
        <w:t>investigating entities</w:t>
      </w:r>
      <w:r>
        <w:t xml:space="preserve"> to follow when investigating </w:t>
      </w:r>
      <w:r w:rsidR="00D71B0E">
        <w:t>PIDs</w:t>
      </w:r>
      <w:r>
        <w:t xml:space="preserve">. </w:t>
      </w:r>
      <w:r w:rsidR="00680302">
        <w:t>Investigating entities</w:t>
      </w:r>
      <w:r w:rsidR="004754DF">
        <w:t xml:space="preserve"> </w:t>
      </w:r>
      <w:r w:rsidR="004754DF" w:rsidRPr="00C3279A">
        <w:t>must</w:t>
      </w:r>
      <w:r w:rsidR="004754DF">
        <w:rPr>
          <w:b/>
          <w:bCs/>
        </w:rPr>
        <w:t xml:space="preserve"> </w:t>
      </w:r>
      <w:r w:rsidR="004754DF">
        <w:t xml:space="preserve">investigate all </w:t>
      </w:r>
      <w:r w:rsidR="00D71B0E">
        <w:t>PIDs</w:t>
      </w:r>
      <w:r w:rsidR="00C3279A">
        <w:t xml:space="preserve"> </w:t>
      </w:r>
      <w:r w:rsidR="004754DF">
        <w:t>refer</w:t>
      </w:r>
      <w:r w:rsidR="00853666">
        <w:t>r</w:t>
      </w:r>
      <w:r w:rsidR="004754DF">
        <w:t>ed to them by the Commission.</w:t>
      </w:r>
    </w:p>
    <w:p w14:paraId="2C1A9AA4" w14:textId="3B7FFFEC" w:rsidR="00B249C2" w:rsidRDefault="004754DF" w:rsidP="00B249C2">
      <w:r>
        <w:t xml:space="preserve">This section provides </w:t>
      </w:r>
      <w:r w:rsidR="004A12DF">
        <w:t>guidance</w:t>
      </w:r>
      <w:r>
        <w:t xml:space="preserve"> relating to:</w:t>
      </w:r>
    </w:p>
    <w:p w14:paraId="4CED090D" w14:textId="3A61BF3B" w:rsidR="0035257A" w:rsidRDefault="0035257A" w:rsidP="0035257A">
      <w:pPr>
        <w:pStyle w:val="ListParagraph"/>
        <w:numPr>
          <w:ilvl w:val="0"/>
          <w:numId w:val="5"/>
        </w:numPr>
      </w:pPr>
      <w:r>
        <w:t xml:space="preserve">the obligations of </w:t>
      </w:r>
      <w:r w:rsidR="00680302">
        <w:t>investigating entities</w:t>
      </w:r>
      <w:r>
        <w:t xml:space="preserve"> to keep disclosers informed of the investigation’s progress;</w:t>
      </w:r>
    </w:p>
    <w:p w14:paraId="447EBB87" w14:textId="59B2CAB2" w:rsidR="0035257A" w:rsidRDefault="0035257A" w:rsidP="0035257A">
      <w:pPr>
        <w:pStyle w:val="ListParagraph"/>
        <w:numPr>
          <w:ilvl w:val="0"/>
          <w:numId w:val="5"/>
        </w:numPr>
      </w:pPr>
      <w:r>
        <w:t xml:space="preserve">the obligations </w:t>
      </w:r>
      <w:r w:rsidR="00453AC2">
        <w:t>of</w:t>
      </w:r>
      <w:r>
        <w:t xml:space="preserve"> </w:t>
      </w:r>
      <w:r w:rsidR="00680302">
        <w:t>investigating entities</w:t>
      </w:r>
      <w:r>
        <w:t xml:space="preserve"> to keep the Commission informed and updated;</w:t>
      </w:r>
    </w:p>
    <w:p w14:paraId="25FDA11C" w14:textId="08290056" w:rsidR="004754DF" w:rsidRDefault="004754DF" w:rsidP="008D1DE6">
      <w:pPr>
        <w:pStyle w:val="ListParagraph"/>
        <w:numPr>
          <w:ilvl w:val="0"/>
          <w:numId w:val="5"/>
        </w:numPr>
      </w:pPr>
      <w:r>
        <w:t>what to do if the disclosure relates to corrupt or criminal conduct</w:t>
      </w:r>
      <w:r w:rsidR="00C92023">
        <w:t>;</w:t>
      </w:r>
    </w:p>
    <w:p w14:paraId="1D1B4AE7" w14:textId="6DA324CD" w:rsidR="004754DF" w:rsidRDefault="004754DF" w:rsidP="008D1DE6">
      <w:pPr>
        <w:pStyle w:val="ListParagraph"/>
        <w:numPr>
          <w:ilvl w:val="0"/>
          <w:numId w:val="5"/>
        </w:numPr>
      </w:pPr>
      <w:r>
        <w:t>the conduct and outcomes of a typical investigation</w:t>
      </w:r>
      <w:r w:rsidR="006B35BF">
        <w:t xml:space="preserve"> under the PID Act</w:t>
      </w:r>
      <w:r w:rsidR="00C92023">
        <w:t>;</w:t>
      </w:r>
    </w:p>
    <w:p w14:paraId="0C83B8FB" w14:textId="0368FF1C" w:rsidR="00672D97" w:rsidRDefault="00672D97" w:rsidP="008D1DE6">
      <w:pPr>
        <w:pStyle w:val="ListParagraph"/>
        <w:numPr>
          <w:ilvl w:val="0"/>
          <w:numId w:val="5"/>
        </w:numPr>
      </w:pPr>
      <w:r>
        <w:t>the need to protect disclosers and witnesses</w:t>
      </w:r>
      <w:r w:rsidR="00C92023">
        <w:t>;</w:t>
      </w:r>
    </w:p>
    <w:p w14:paraId="6E0F7D68" w14:textId="75A30883" w:rsidR="0035257A" w:rsidRDefault="0035257A" w:rsidP="0035257A">
      <w:pPr>
        <w:pStyle w:val="ListParagraph"/>
        <w:numPr>
          <w:ilvl w:val="0"/>
          <w:numId w:val="5"/>
        </w:numPr>
      </w:pPr>
      <w:r>
        <w:t>the need to respond to any investigation findings; and</w:t>
      </w:r>
    </w:p>
    <w:p w14:paraId="4E7EBD3E" w14:textId="6E2E002F" w:rsidR="006621A4" w:rsidRDefault="006621A4" w:rsidP="008D1DE6">
      <w:pPr>
        <w:pStyle w:val="ListParagraph"/>
        <w:numPr>
          <w:ilvl w:val="0"/>
          <w:numId w:val="5"/>
        </w:numPr>
      </w:pPr>
      <w:r>
        <w:t xml:space="preserve">timeframes under the </w:t>
      </w:r>
      <w:r w:rsidR="00A63705">
        <w:t xml:space="preserve">PID </w:t>
      </w:r>
      <w:r>
        <w:t xml:space="preserve">Act and the rights of disclosers to provide </w:t>
      </w:r>
      <w:r w:rsidR="008661D4">
        <w:t>PID</w:t>
      </w:r>
      <w:r>
        <w:t>s to third parties</w:t>
      </w:r>
      <w:r w:rsidR="0035257A">
        <w:t>.</w:t>
      </w:r>
    </w:p>
    <w:p w14:paraId="36798343" w14:textId="346A1EA0" w:rsidR="00522FF9" w:rsidRDefault="00522FF9" w:rsidP="007247D1">
      <w:pPr>
        <w:pStyle w:val="Heading2"/>
      </w:pPr>
      <w:bookmarkStart w:id="182" w:name="_Ref62486573"/>
      <w:bookmarkStart w:id="183" w:name="_Toc67904011"/>
      <w:bookmarkStart w:id="184" w:name="_Toc75255185"/>
      <w:r>
        <w:t>The obligation to keep the discloser and the Commission informed</w:t>
      </w:r>
      <w:bookmarkEnd w:id="182"/>
      <w:bookmarkEnd w:id="183"/>
      <w:bookmarkEnd w:id="184"/>
    </w:p>
    <w:p w14:paraId="26D1E7B0" w14:textId="6BA1B85D" w:rsidR="00AC516C" w:rsidRDefault="00680302" w:rsidP="00522FF9">
      <w:r>
        <w:t>Investigating entities</w:t>
      </w:r>
      <w:r w:rsidR="00106619">
        <w:t xml:space="preserve"> have reporting obligations</w:t>
      </w:r>
      <w:r w:rsidR="00AC516C">
        <w:t>, outlined below,</w:t>
      </w:r>
      <w:r w:rsidR="00106619">
        <w:t xml:space="preserve"> to the person who made the </w:t>
      </w:r>
      <w:r w:rsidR="006B35BF">
        <w:t>disclosure</w:t>
      </w:r>
      <w:r w:rsidR="00D71B0E">
        <w:t>,</w:t>
      </w:r>
      <w:r w:rsidR="00106619">
        <w:t xml:space="preserve"> </w:t>
      </w:r>
      <w:r w:rsidR="00106619" w:rsidRPr="001B44A9">
        <w:t>and</w:t>
      </w:r>
      <w:r w:rsidR="00106619">
        <w:t xml:space="preserve"> the Commission</w:t>
      </w:r>
      <w:r w:rsidR="00D71B0E">
        <w:t>,</w:t>
      </w:r>
      <w:r w:rsidR="00106619">
        <w:t xml:space="preserve"> regarding the progress of any investigations under their control</w:t>
      </w:r>
      <w:r w:rsidR="00AC516C">
        <w:t xml:space="preserve">. </w:t>
      </w:r>
    </w:p>
    <w:p w14:paraId="5C6B037E" w14:textId="7CFE38B0" w:rsidR="00106619" w:rsidRDefault="00106619" w:rsidP="0087701B">
      <w:pPr>
        <w:pStyle w:val="Heading3"/>
      </w:pPr>
      <w:bookmarkStart w:id="185" w:name="_Ref62484949"/>
      <w:bookmarkStart w:id="186" w:name="_Toc67904012"/>
      <w:bookmarkStart w:id="187" w:name="_Toc75255186"/>
      <w:r>
        <w:t>Keeping the discloser informed</w:t>
      </w:r>
      <w:bookmarkEnd w:id="185"/>
      <w:bookmarkEnd w:id="186"/>
      <w:bookmarkEnd w:id="187"/>
    </w:p>
    <w:p w14:paraId="07560D8E" w14:textId="178CC0B7" w:rsidR="00106619" w:rsidRDefault="00106619" w:rsidP="00522FF9">
      <w:r>
        <w:t>The PID Act oblig</w:t>
      </w:r>
      <w:r w:rsidR="00D71B0E">
        <w:t>e</w:t>
      </w:r>
      <w:r>
        <w:t xml:space="preserve">s </w:t>
      </w:r>
      <w:r w:rsidR="00680302">
        <w:t>investigating entities</w:t>
      </w:r>
      <w:r>
        <w:t xml:space="preserve"> to update the discloser (where the discloser is identifiable) about:</w:t>
      </w:r>
    </w:p>
    <w:p w14:paraId="094678C0" w14:textId="1121339E" w:rsidR="00106619" w:rsidRPr="00F45CD7" w:rsidRDefault="00106619" w:rsidP="008D1DE6">
      <w:pPr>
        <w:pStyle w:val="ListParagraph"/>
        <w:numPr>
          <w:ilvl w:val="0"/>
          <w:numId w:val="5"/>
        </w:numPr>
      </w:pPr>
      <w:r w:rsidRPr="00F45CD7">
        <w:t xml:space="preserve">whether the </w:t>
      </w:r>
      <w:r w:rsidR="006B35BF">
        <w:t>investigation</w:t>
      </w:r>
      <w:r w:rsidRPr="00F45CD7">
        <w:t xml:space="preserve"> has</w:t>
      </w:r>
      <w:r w:rsidR="00D71B0E">
        <w:t xml:space="preserve"> ceased and the allegation(s)</w:t>
      </w:r>
      <w:r w:rsidRPr="00F45CD7">
        <w:t xml:space="preserve"> dismissed</w:t>
      </w:r>
      <w:r w:rsidR="002F6B64" w:rsidRPr="00F45CD7">
        <w:t>, and</w:t>
      </w:r>
      <w:r w:rsidR="00D633C4">
        <w:t xml:space="preserve"> if so,</w:t>
      </w:r>
      <w:r w:rsidR="002F6B64" w:rsidRPr="00F45CD7">
        <w:t xml:space="preserve"> the reason</w:t>
      </w:r>
      <w:r w:rsidR="00853666">
        <w:t>(s)</w:t>
      </w:r>
      <w:r w:rsidRPr="00F45CD7">
        <w:t>;</w:t>
      </w:r>
      <w:r w:rsidR="004570D9">
        <w:rPr>
          <w:rStyle w:val="FootnoteReference"/>
        </w:rPr>
        <w:footnoteReference w:id="83"/>
      </w:r>
      <w:r w:rsidRPr="00F45CD7">
        <w:t xml:space="preserve"> </w:t>
      </w:r>
    </w:p>
    <w:p w14:paraId="1CFF91DD" w14:textId="41C5E301" w:rsidR="00C92023" w:rsidRPr="00F45CD7" w:rsidRDefault="00106619" w:rsidP="008D1DE6">
      <w:pPr>
        <w:pStyle w:val="ListParagraph"/>
        <w:numPr>
          <w:ilvl w:val="0"/>
          <w:numId w:val="5"/>
        </w:numPr>
      </w:pPr>
      <w:r w:rsidRPr="00F45CD7">
        <w:t xml:space="preserve">the progress of </w:t>
      </w:r>
      <w:r w:rsidRPr="0035257A">
        <w:t>investigations at least every three months</w:t>
      </w:r>
      <w:r w:rsidRPr="00F45CD7">
        <w:t>;</w:t>
      </w:r>
      <w:r w:rsidR="004570D9">
        <w:rPr>
          <w:rStyle w:val="FootnoteReference"/>
        </w:rPr>
        <w:footnoteReference w:id="84"/>
      </w:r>
      <w:r w:rsidRPr="00F45CD7">
        <w:t xml:space="preserve"> </w:t>
      </w:r>
    </w:p>
    <w:p w14:paraId="2452BCB3" w14:textId="02CD113C" w:rsidR="00106619" w:rsidRPr="00F45CD7" w:rsidRDefault="00C92023" w:rsidP="008D1DE6">
      <w:pPr>
        <w:pStyle w:val="ListParagraph"/>
        <w:numPr>
          <w:ilvl w:val="0"/>
          <w:numId w:val="5"/>
        </w:numPr>
      </w:pPr>
      <w:r w:rsidRPr="00F45CD7">
        <w:t>whether the</w:t>
      </w:r>
      <w:r w:rsidR="006B35BF">
        <w:t>ir</w:t>
      </w:r>
      <w:r w:rsidRPr="00F45CD7">
        <w:t xml:space="preserve"> </w:t>
      </w:r>
      <w:r w:rsidR="006B35BF">
        <w:t>disclosure</w:t>
      </w:r>
      <w:r w:rsidRPr="00F45CD7">
        <w:t xml:space="preserve"> has been referred to the chief police officer;</w:t>
      </w:r>
      <w:r w:rsidR="004570D9">
        <w:rPr>
          <w:rStyle w:val="FootnoteReference"/>
        </w:rPr>
        <w:footnoteReference w:id="85"/>
      </w:r>
      <w:r w:rsidRPr="00F45CD7">
        <w:t xml:space="preserve"> </w:t>
      </w:r>
      <w:r w:rsidR="002F6B64" w:rsidRPr="00F45CD7">
        <w:t>and</w:t>
      </w:r>
    </w:p>
    <w:p w14:paraId="4455DA27" w14:textId="505ADB52" w:rsidR="00106619" w:rsidRPr="00F45CD7" w:rsidRDefault="00106619" w:rsidP="008D1DE6">
      <w:pPr>
        <w:pStyle w:val="ListParagraph"/>
        <w:numPr>
          <w:ilvl w:val="0"/>
          <w:numId w:val="5"/>
        </w:numPr>
      </w:pPr>
      <w:r w:rsidRPr="00F45CD7">
        <w:t>the outcomes of any concluded investigations (</w:t>
      </w:r>
      <w:r w:rsidR="00575158">
        <w:t>ie</w:t>
      </w:r>
      <w:r w:rsidRPr="00F45CD7">
        <w:t xml:space="preserve"> the findings of the investigation)</w:t>
      </w:r>
      <w:r w:rsidR="002F6B64" w:rsidRPr="00F45CD7">
        <w:t>.</w:t>
      </w:r>
      <w:r w:rsidR="004570D9">
        <w:rPr>
          <w:rStyle w:val="FootnoteReference"/>
        </w:rPr>
        <w:footnoteReference w:id="86"/>
      </w:r>
    </w:p>
    <w:p w14:paraId="4D6968DC" w14:textId="3B16E701" w:rsidR="002F6B64" w:rsidRDefault="002F6B64" w:rsidP="002F6B64">
      <w:r w:rsidRPr="00F45CD7">
        <w:rPr>
          <w:b/>
          <w:bCs/>
        </w:rPr>
        <w:t>Note</w:t>
      </w:r>
      <w:r w:rsidRPr="00F45CD7">
        <w:t>: The requirement to keep disclosers</w:t>
      </w:r>
      <w:r>
        <w:t xml:space="preserve"> informed at least once every three months does not preclude an investigator from updating the discloser more often. Where updates are provided to disclosers prior to the three-month deadline, investigators are obliged to inform the discloser of any updates within the next three months. </w:t>
      </w:r>
      <w:r w:rsidR="00D633C4">
        <w:t>Information that might adversely affect the investigation should not be disclosed in the update.</w:t>
      </w:r>
    </w:p>
    <w:p w14:paraId="46E38212" w14:textId="4B38E27E" w:rsidR="002F6B64" w:rsidRDefault="002F6B64" w:rsidP="002F6B64">
      <w:r w:rsidRPr="002F6B64">
        <w:rPr>
          <w:b/>
          <w:bCs/>
        </w:rPr>
        <w:t>Important</w:t>
      </w:r>
      <w:r>
        <w:t xml:space="preserve">: If the investigator fails to keep the discloser informed of the progress of an investigation, the discloser may be able </w:t>
      </w:r>
      <w:r w:rsidR="00453AC2">
        <w:t xml:space="preserve">to obtain PID Act protections by disclosing </w:t>
      </w:r>
      <w:r w:rsidR="00D71B0E">
        <w:t xml:space="preserve">the PID </w:t>
      </w:r>
      <w:r w:rsidR="00453AC2">
        <w:t>to</w:t>
      </w:r>
      <w:r>
        <w:t xml:space="preserve"> a </w:t>
      </w:r>
      <w:r w:rsidR="004A12DF">
        <w:t>third party</w:t>
      </w:r>
      <w:r w:rsidR="004570D9">
        <w:t>.</w:t>
      </w:r>
      <w:r w:rsidR="004570D9">
        <w:rPr>
          <w:rStyle w:val="FootnoteReference"/>
        </w:rPr>
        <w:footnoteReference w:id="87"/>
      </w:r>
    </w:p>
    <w:p w14:paraId="501A0778" w14:textId="70237FD8" w:rsidR="00853666" w:rsidRDefault="00C92023" w:rsidP="002F6B64">
      <w:r>
        <w:rPr>
          <w:b/>
          <w:bCs/>
        </w:rPr>
        <w:t>Important:</w:t>
      </w:r>
      <w:r>
        <w:t xml:space="preserve"> The obligation to keep the discloser informed does not apply where the discloser is anonymous or has asked to not be kept informed. </w:t>
      </w:r>
    </w:p>
    <w:p w14:paraId="6C3961E0" w14:textId="237ECC2A" w:rsidR="00106619" w:rsidRDefault="00A94933" w:rsidP="0087701B">
      <w:pPr>
        <w:pStyle w:val="Heading3"/>
      </w:pPr>
      <w:bookmarkStart w:id="188" w:name="_Ref64278302"/>
      <w:bookmarkStart w:id="189" w:name="_Toc67904013"/>
      <w:bookmarkStart w:id="190" w:name="_Toc75255187"/>
      <w:r>
        <w:t>Keeping the Commission informed</w:t>
      </w:r>
      <w:bookmarkEnd w:id="188"/>
      <w:bookmarkEnd w:id="189"/>
      <w:bookmarkEnd w:id="190"/>
    </w:p>
    <w:p w14:paraId="3D1FDA30" w14:textId="7AF2691F" w:rsidR="00E56760" w:rsidRDefault="00E56760" w:rsidP="00A94933">
      <w:r>
        <w:t xml:space="preserve">The Commission is responsible for the administration of the PID Act. This includes overseeing all investigations under the PID Act. </w:t>
      </w:r>
    </w:p>
    <w:p w14:paraId="526B1989" w14:textId="2CC94F3C" w:rsidR="00A94933" w:rsidRDefault="00E56760" w:rsidP="00A94933">
      <w:r>
        <w:t>To allow the Commission to satisfy its oversight functions, t</w:t>
      </w:r>
      <w:r w:rsidR="00F13FA4">
        <w:t xml:space="preserve">he PID Act requires </w:t>
      </w:r>
      <w:r w:rsidR="00680302">
        <w:t>investigating entities</w:t>
      </w:r>
      <w:r w:rsidR="0048506F">
        <w:t xml:space="preserve"> </w:t>
      </w:r>
      <w:r w:rsidR="00F45CD7">
        <w:t xml:space="preserve">to </w:t>
      </w:r>
      <w:r w:rsidR="0048506F">
        <w:t>notify the Commission of:</w:t>
      </w:r>
    </w:p>
    <w:p w14:paraId="151D5AFF" w14:textId="267BC622" w:rsidR="0048506F" w:rsidRDefault="0048506F" w:rsidP="008D1DE6">
      <w:pPr>
        <w:pStyle w:val="ListParagraph"/>
        <w:numPr>
          <w:ilvl w:val="0"/>
          <w:numId w:val="5"/>
        </w:numPr>
      </w:pPr>
      <w:r>
        <w:t>the progress and outcome of any investigation</w:t>
      </w:r>
      <w:r w:rsidR="006B35BF">
        <w:t>s</w:t>
      </w:r>
      <w:r>
        <w:t>;</w:t>
      </w:r>
      <w:r w:rsidR="004570D9">
        <w:rPr>
          <w:rStyle w:val="FootnoteReference"/>
        </w:rPr>
        <w:footnoteReference w:id="88"/>
      </w:r>
    </w:p>
    <w:p w14:paraId="492006FC" w14:textId="2BF8BDA3" w:rsidR="0048506F" w:rsidRDefault="0048506F" w:rsidP="008D1DE6">
      <w:pPr>
        <w:pStyle w:val="ListParagraph"/>
        <w:numPr>
          <w:ilvl w:val="0"/>
          <w:numId w:val="5"/>
        </w:numPr>
      </w:pPr>
      <w:r>
        <w:t>where a PID has been referred to the chief police officer;</w:t>
      </w:r>
      <w:r w:rsidR="004570D9">
        <w:rPr>
          <w:rStyle w:val="FootnoteReference"/>
        </w:rPr>
        <w:footnoteReference w:id="89"/>
      </w:r>
    </w:p>
    <w:p w14:paraId="6B36F94B" w14:textId="7D762A13" w:rsidR="0048506F" w:rsidRDefault="0048506F" w:rsidP="008D1DE6">
      <w:pPr>
        <w:pStyle w:val="ListParagraph"/>
        <w:numPr>
          <w:ilvl w:val="0"/>
          <w:numId w:val="5"/>
        </w:numPr>
      </w:pPr>
      <w:r>
        <w:t>any action taken, or proposed to be taken, in response to the discloser’s allegations;</w:t>
      </w:r>
      <w:r w:rsidR="004570D9">
        <w:rPr>
          <w:rStyle w:val="FootnoteReference"/>
        </w:rPr>
        <w:footnoteReference w:id="90"/>
      </w:r>
      <w:r>
        <w:t xml:space="preserve"> </w:t>
      </w:r>
      <w:r w:rsidR="0094768F">
        <w:t>and</w:t>
      </w:r>
    </w:p>
    <w:p w14:paraId="583B079C" w14:textId="1E631AA7" w:rsidR="0094768F" w:rsidRDefault="0094768F" w:rsidP="008D1DE6">
      <w:pPr>
        <w:pStyle w:val="ListParagraph"/>
        <w:numPr>
          <w:ilvl w:val="0"/>
          <w:numId w:val="5"/>
        </w:numPr>
      </w:pPr>
      <w:r>
        <w:lastRenderedPageBreak/>
        <w:t xml:space="preserve">the </w:t>
      </w:r>
      <w:r w:rsidR="00D71B0E">
        <w:t>cessation</w:t>
      </w:r>
      <w:r>
        <w:t xml:space="preserve"> of a</w:t>
      </w:r>
      <w:r w:rsidR="006B35BF">
        <w:t>n</w:t>
      </w:r>
      <w:r>
        <w:t xml:space="preserve"> investigation</w:t>
      </w:r>
      <w:r w:rsidR="00D71B0E">
        <w:t xml:space="preserve"> and the dismissal of the allegation(s)</w:t>
      </w:r>
      <w:r>
        <w:t xml:space="preserve">, </w:t>
      </w:r>
      <w:r w:rsidR="0035257A">
        <w:t>including</w:t>
      </w:r>
      <w:r>
        <w:t xml:space="preserve"> the s 20 grounds and reasons for the dismissal.</w:t>
      </w:r>
      <w:r w:rsidR="004570D9">
        <w:rPr>
          <w:rStyle w:val="FootnoteReference"/>
        </w:rPr>
        <w:footnoteReference w:id="91"/>
      </w:r>
    </w:p>
    <w:p w14:paraId="11C54847" w14:textId="38270A87" w:rsidR="00D633C4" w:rsidRPr="00D633C4" w:rsidRDefault="00D633C4" w:rsidP="0094768F">
      <w:r>
        <w:rPr>
          <w:b/>
          <w:bCs/>
        </w:rPr>
        <w:t>Note</w:t>
      </w:r>
      <w:r>
        <w:t xml:space="preserve">: The Commission may seek information </w:t>
      </w:r>
      <w:r w:rsidR="00E56760">
        <w:t xml:space="preserve">other </w:t>
      </w:r>
      <w:r>
        <w:t>than that listed above</w:t>
      </w:r>
      <w:r w:rsidR="00E56760">
        <w:t>, pursuant to its oversight functions.</w:t>
      </w:r>
    </w:p>
    <w:p w14:paraId="3A54C96F" w14:textId="069F209F" w:rsidR="0094768F" w:rsidRPr="00F35F72" w:rsidRDefault="00E56760" w:rsidP="0094768F">
      <w:r>
        <w:t>The</w:t>
      </w:r>
      <w:r w:rsidR="00F35F72">
        <w:t xml:space="preserve"> Commission </w:t>
      </w:r>
      <w:r w:rsidR="00F35F72" w:rsidRPr="0035257A">
        <w:t>recommends</w:t>
      </w:r>
      <w:r w:rsidR="00F35F72">
        <w:t xml:space="preserve"> that </w:t>
      </w:r>
      <w:r w:rsidR="00680302">
        <w:t>investigating entities</w:t>
      </w:r>
      <w:r w:rsidR="00F35F72">
        <w:t xml:space="preserve"> include the Commission in any correspondence sent to the discloser under section 23 of the PID Act. Alternatively, </w:t>
      </w:r>
      <w:r w:rsidR="00680302">
        <w:t>investigating entities</w:t>
      </w:r>
      <w:r w:rsidR="00F35F72">
        <w:t xml:space="preserve"> may </w:t>
      </w:r>
      <w:r w:rsidR="00453AC2">
        <w:t>write directly to update</w:t>
      </w:r>
      <w:r w:rsidR="00F35F72">
        <w:t xml:space="preserve"> the Commission </w:t>
      </w:r>
      <w:r w:rsidR="0035257A">
        <w:t>about</w:t>
      </w:r>
      <w:r w:rsidR="00F35F72">
        <w:t xml:space="preserve"> relevant events.</w:t>
      </w:r>
    </w:p>
    <w:p w14:paraId="4D933A8E" w14:textId="449AB48B" w:rsidR="00522FF9" w:rsidRDefault="0050172E" w:rsidP="007247D1">
      <w:pPr>
        <w:pStyle w:val="Heading2"/>
      </w:pPr>
      <w:bookmarkStart w:id="191" w:name="_Toc67904015"/>
      <w:bookmarkStart w:id="192" w:name="_Toc75255188"/>
      <w:r>
        <w:t xml:space="preserve">How to </w:t>
      </w:r>
      <w:r w:rsidR="00B536F3">
        <w:t>investigate</w:t>
      </w:r>
      <w:r>
        <w:t xml:space="preserve"> under the PID Act</w:t>
      </w:r>
      <w:bookmarkEnd w:id="191"/>
      <w:bookmarkEnd w:id="192"/>
    </w:p>
    <w:p w14:paraId="22707799" w14:textId="41358E9F" w:rsidR="009C4880" w:rsidRDefault="003D197F" w:rsidP="0050172E">
      <w:r>
        <w:t>The</w:t>
      </w:r>
      <w:r w:rsidR="0050172E">
        <w:t xml:space="preserve"> PID Act requires that </w:t>
      </w:r>
      <w:r w:rsidR="00680302">
        <w:t>investigating entities</w:t>
      </w:r>
      <w:r w:rsidR="0050172E">
        <w:t xml:space="preserve"> investigate in accordance with the principles of natural justice and procedural fairness.</w:t>
      </w:r>
      <w:r>
        <w:rPr>
          <w:rStyle w:val="FootnoteReference"/>
        </w:rPr>
        <w:footnoteReference w:id="92"/>
      </w:r>
      <w:r w:rsidR="0050172E">
        <w:t xml:space="preserve"> The following </w:t>
      </w:r>
      <w:r w:rsidR="00130385">
        <w:t xml:space="preserve">sections outline the procedural and administrative requirements for conducting an investigation under the PID Act. </w:t>
      </w:r>
    </w:p>
    <w:p w14:paraId="4A6019A1" w14:textId="5A0DB8FB" w:rsidR="0050172E" w:rsidRDefault="00B536F3" w:rsidP="0050172E">
      <w:r>
        <w:t>The</w:t>
      </w:r>
      <w:r w:rsidR="00130385">
        <w:t xml:space="preserve"> investigative approach or method adopted by an </w:t>
      </w:r>
      <w:r w:rsidR="00680302">
        <w:t>investigating entity</w:t>
      </w:r>
      <w:r w:rsidR="00130385">
        <w:t xml:space="preserve"> is a matter for </w:t>
      </w:r>
      <w:r w:rsidR="00C2143E">
        <w:t>it</w:t>
      </w:r>
      <w:r w:rsidR="00130385">
        <w:t>. However, the following provides some important requirements unique to the PID Act</w:t>
      </w:r>
      <w:r w:rsidR="00C2143E">
        <w:t>,</w:t>
      </w:r>
      <w:r w:rsidR="00130385">
        <w:t xml:space="preserve"> and recommendations to assist </w:t>
      </w:r>
      <w:r w:rsidR="00680302">
        <w:t>investigating entities</w:t>
      </w:r>
      <w:r w:rsidR="00130385">
        <w:t xml:space="preserve"> avoid common investigative errors.</w:t>
      </w:r>
    </w:p>
    <w:p w14:paraId="732C916C" w14:textId="063E4A2D" w:rsidR="001455ED" w:rsidRPr="001455ED" w:rsidRDefault="001455ED" w:rsidP="0050172E">
      <w:r>
        <w:rPr>
          <w:b/>
          <w:bCs/>
        </w:rPr>
        <w:t>Note</w:t>
      </w:r>
      <w:r>
        <w:t>: The following sections use the terms ‘public sector entity’ and ‘investigating entity’</w:t>
      </w:r>
      <w:r w:rsidR="000F268A">
        <w:t>,</w:t>
      </w:r>
      <w:r>
        <w:t xml:space="preserve"> which are similar, but slightly different. The PID Act provides that a public sector entity (</w:t>
      </w:r>
      <w:r w:rsidR="000F268A">
        <w:t>and</w:t>
      </w:r>
      <w:r>
        <w:t xml:space="preserve"> the Commission) becomes an investigating entity when investigating disclosures.</w:t>
      </w:r>
      <w:r>
        <w:rPr>
          <w:rStyle w:val="FootnoteReference"/>
        </w:rPr>
        <w:footnoteReference w:id="93"/>
      </w:r>
      <w:r w:rsidR="00867443">
        <w:t xml:space="preserve"> As a result, where the following sections refer to an investigating entity, this is in relation to an entity which is investigating a disclosure. </w:t>
      </w:r>
    </w:p>
    <w:p w14:paraId="49519641" w14:textId="28BCAEFB" w:rsidR="002B23ED" w:rsidRDefault="002B23ED" w:rsidP="0087701B">
      <w:pPr>
        <w:pStyle w:val="Heading3"/>
      </w:pPr>
      <w:bookmarkStart w:id="193" w:name="_Toc67904016"/>
      <w:bookmarkStart w:id="194" w:name="_Toc75255189"/>
      <w:r>
        <w:t>What should a</w:t>
      </w:r>
      <w:r w:rsidR="00C3279A">
        <w:t>n</w:t>
      </w:r>
      <w:r>
        <w:t xml:space="preserve"> investigation seek to reveal?</w:t>
      </w:r>
      <w:bookmarkEnd w:id="193"/>
      <w:bookmarkEnd w:id="194"/>
    </w:p>
    <w:p w14:paraId="56CA0627" w14:textId="7DFB02D8" w:rsidR="002B23ED" w:rsidRDefault="002B23ED" w:rsidP="002B23ED">
      <w:r>
        <w:t>The primary function of any investigation</w:t>
      </w:r>
      <w:r w:rsidR="00C35D74">
        <w:t xml:space="preserve"> under the PID Act</w:t>
      </w:r>
      <w:r>
        <w:t xml:space="preserve"> is to determine what, if any, disclosable conduct has occurred.</w:t>
      </w:r>
      <w:r w:rsidR="00F1375D">
        <w:t xml:space="preserve"> </w:t>
      </w:r>
      <w:r w:rsidR="001B63B9">
        <w:t xml:space="preserve">A </w:t>
      </w:r>
      <w:r w:rsidR="00333BE5">
        <w:t>PID</w:t>
      </w:r>
      <w:r w:rsidR="00F1375D">
        <w:t xml:space="preserve"> </w:t>
      </w:r>
      <w:r w:rsidR="001B63B9">
        <w:t>referred</w:t>
      </w:r>
      <w:r w:rsidR="00F1375D">
        <w:t xml:space="preserve"> </w:t>
      </w:r>
      <w:r w:rsidR="00333BE5">
        <w:t xml:space="preserve">to </w:t>
      </w:r>
      <w:r w:rsidR="007532CF">
        <w:t>an</w:t>
      </w:r>
      <w:r w:rsidR="00F1375D">
        <w:t xml:space="preserve"> </w:t>
      </w:r>
      <w:r w:rsidR="00680302">
        <w:t>investigating entity</w:t>
      </w:r>
      <w:r w:rsidR="00F1375D">
        <w:t xml:space="preserve"> by the Commission</w:t>
      </w:r>
      <w:r w:rsidR="001B63B9">
        <w:t xml:space="preserve"> </w:t>
      </w:r>
      <w:r w:rsidR="00A841D2">
        <w:t xml:space="preserve">must be </w:t>
      </w:r>
      <w:r w:rsidR="00ED32E5">
        <w:t>investigated.</w:t>
      </w:r>
      <w:r w:rsidR="00F1375D">
        <w:t xml:space="preserve"> Should the </w:t>
      </w:r>
      <w:r w:rsidR="000F268A">
        <w:t>investigation reveal</w:t>
      </w:r>
      <w:r w:rsidR="00F1375D">
        <w:t xml:space="preserve"> additional instances of disclosable conduct these</w:t>
      </w:r>
      <w:r w:rsidR="000F268A">
        <w:t>,</w:t>
      </w:r>
      <w:r w:rsidR="00F1375D">
        <w:t xml:space="preserve"> too</w:t>
      </w:r>
      <w:r w:rsidR="000F268A">
        <w:t>,</w:t>
      </w:r>
      <w:r w:rsidR="00F1375D">
        <w:t xml:space="preserve"> </w:t>
      </w:r>
      <w:r w:rsidR="001B63B9">
        <w:t>should</w:t>
      </w:r>
      <w:r w:rsidR="00F1375D">
        <w:t xml:space="preserve"> be </w:t>
      </w:r>
      <w:r w:rsidR="00A841D2">
        <w:t>examined</w:t>
      </w:r>
      <w:r w:rsidR="00F1375D">
        <w:t xml:space="preserve"> and responded to </w:t>
      </w:r>
      <w:r w:rsidR="000F268A">
        <w:t xml:space="preserve">either </w:t>
      </w:r>
      <w:r w:rsidR="00F1375D">
        <w:t>within the same investigation</w:t>
      </w:r>
      <w:r w:rsidR="000F268A">
        <w:t>, or separately</w:t>
      </w:r>
      <w:r w:rsidR="00F1375D">
        <w:t xml:space="preserve">. </w:t>
      </w:r>
      <w:r w:rsidR="00C633F3">
        <w:t>I</w:t>
      </w:r>
      <w:r w:rsidR="000F268A">
        <w:t xml:space="preserve">t is not necessary to report the independent investigation to the discloser. </w:t>
      </w:r>
      <w:r w:rsidR="00C633F3">
        <w:t>O</w:t>
      </w:r>
      <w:r w:rsidR="00333BE5">
        <w:t xml:space="preserve">ther conduct </w:t>
      </w:r>
      <w:r w:rsidR="000F268A">
        <w:t>that</w:t>
      </w:r>
      <w:r w:rsidR="00333BE5">
        <w:t xml:space="preserve"> does not qualify as disclosable </w:t>
      </w:r>
      <w:r w:rsidR="00ED32E5">
        <w:t>conduct,</w:t>
      </w:r>
      <w:r w:rsidR="00333BE5">
        <w:t xml:space="preserve"> </w:t>
      </w:r>
      <w:r w:rsidR="000F268A">
        <w:t xml:space="preserve">but </w:t>
      </w:r>
      <w:r w:rsidR="00333BE5">
        <w:t xml:space="preserve">which is brought to light by the investigation, </w:t>
      </w:r>
      <w:r w:rsidR="00ED32E5">
        <w:t>may</w:t>
      </w:r>
      <w:r w:rsidR="00333BE5">
        <w:t xml:space="preserve"> also be examined by the investigating entity if justified.</w:t>
      </w:r>
    </w:p>
    <w:p w14:paraId="095DCA54" w14:textId="59B77096" w:rsidR="00F1375D" w:rsidRPr="00F1375D" w:rsidRDefault="00F1375D" w:rsidP="002B23ED">
      <w:r>
        <w:rPr>
          <w:b/>
          <w:bCs/>
        </w:rPr>
        <w:t>Important</w:t>
      </w:r>
      <w:r>
        <w:t xml:space="preserve">: Should the </w:t>
      </w:r>
      <w:r w:rsidR="00680302">
        <w:t>investigating entity</w:t>
      </w:r>
      <w:r>
        <w:t xml:space="preserve"> </w:t>
      </w:r>
      <w:r w:rsidR="00A841D2">
        <w:t>identify</w:t>
      </w:r>
      <w:r>
        <w:t xml:space="preserve"> additional instances of disclosable conduct </w:t>
      </w:r>
      <w:r w:rsidRPr="00A841D2">
        <w:t>which were not raised</w:t>
      </w:r>
      <w:r>
        <w:t xml:space="preserve"> by the discloser, the discloser still receives all the protections under </w:t>
      </w:r>
      <w:r w:rsidR="00BD79BC">
        <w:t>the PID Act.</w:t>
      </w:r>
      <w:r w:rsidR="00C35D74">
        <w:t xml:space="preserve"> Detrimental action relates to action </w:t>
      </w:r>
      <w:r w:rsidR="001B63B9">
        <w:t>taken</w:t>
      </w:r>
      <w:r w:rsidR="00C35D74">
        <w:t xml:space="preserve"> in response to a disclosure being made, not the information disclosed.</w:t>
      </w:r>
    </w:p>
    <w:p w14:paraId="303DB74C" w14:textId="570F1ECC" w:rsidR="00EA6FAC" w:rsidRDefault="00EA6FAC" w:rsidP="0087701B">
      <w:pPr>
        <w:pStyle w:val="Heading3"/>
      </w:pPr>
      <w:bookmarkStart w:id="195" w:name="_Ref63685969"/>
      <w:bookmarkStart w:id="196" w:name="_Toc67904017"/>
      <w:bookmarkStart w:id="197" w:name="_Toc75255190"/>
      <w:r>
        <w:t>What sort of investigation is required?</w:t>
      </w:r>
      <w:bookmarkEnd w:id="195"/>
      <w:bookmarkEnd w:id="196"/>
      <w:bookmarkEnd w:id="197"/>
    </w:p>
    <w:p w14:paraId="7A1D4F2C" w14:textId="19743298" w:rsidR="00AF13D9" w:rsidRDefault="00C35D74" w:rsidP="00AF13D9">
      <w:r>
        <w:t>Investigating</w:t>
      </w:r>
      <w:r w:rsidR="00F1375D">
        <w:t xml:space="preserve"> </w:t>
      </w:r>
      <w:r w:rsidR="00C3279A">
        <w:t xml:space="preserve">under the PID Act </w:t>
      </w:r>
      <w:r w:rsidR="00F1375D">
        <w:t xml:space="preserve">does not grant any particular powers </w:t>
      </w:r>
      <w:r w:rsidR="000E6E18">
        <w:t xml:space="preserve">to investigate the subject of the </w:t>
      </w:r>
      <w:r w:rsidR="00C3279A">
        <w:t>disclosure</w:t>
      </w:r>
      <w:r w:rsidR="000F268A">
        <w:t>. It</w:t>
      </w:r>
      <w:r w:rsidR="000E6E18">
        <w:t xml:space="preserve"> instead provides protections to </w:t>
      </w:r>
      <w:r w:rsidR="00C3279A">
        <w:t>disclosers</w:t>
      </w:r>
      <w:r w:rsidR="000E6E18">
        <w:t xml:space="preserve"> or </w:t>
      </w:r>
      <w:r w:rsidR="00C3279A">
        <w:t xml:space="preserve">those who </w:t>
      </w:r>
      <w:r w:rsidR="000E6E18">
        <w:t>assist with investigation</w:t>
      </w:r>
      <w:r w:rsidR="00C3279A">
        <w:t>s</w:t>
      </w:r>
      <w:r w:rsidR="000E6E18">
        <w:t>.</w:t>
      </w:r>
      <w:r w:rsidR="00AE7BA0">
        <w:t xml:space="preserve"> </w:t>
      </w:r>
    </w:p>
    <w:p w14:paraId="07AEB036" w14:textId="0D149BA2" w:rsidR="00446A57" w:rsidRDefault="00A841D2" w:rsidP="009A3073">
      <w:r>
        <w:t>A</w:t>
      </w:r>
      <w:r w:rsidR="00C3279A">
        <w:t>n</w:t>
      </w:r>
      <w:r w:rsidR="000E6E18">
        <w:t xml:space="preserve"> investigation</w:t>
      </w:r>
      <w:r w:rsidR="00C3279A">
        <w:t xml:space="preserve"> under the PID Act</w:t>
      </w:r>
      <w:r w:rsidR="000E6E18">
        <w:t xml:space="preserve"> requires the investigation </w:t>
      </w:r>
      <w:r w:rsidR="002F7C8E">
        <w:t xml:space="preserve">to </w:t>
      </w:r>
      <w:r w:rsidR="000E6E18">
        <w:t>be conducted in accordance with the principles of</w:t>
      </w:r>
      <w:r w:rsidR="000F268A">
        <w:t xml:space="preserve"> </w:t>
      </w:r>
      <w:r w:rsidR="000E6E18">
        <w:t>natural justice and</w:t>
      </w:r>
      <w:r w:rsidR="000F268A">
        <w:t xml:space="preserve"> </w:t>
      </w:r>
      <w:r w:rsidR="000E6E18">
        <w:t>procedural fairness.</w:t>
      </w:r>
      <w:r w:rsidR="00ED32E5">
        <w:t xml:space="preserve"> </w:t>
      </w:r>
      <w:r w:rsidR="001B65DC">
        <w:t>That means</w:t>
      </w:r>
      <w:r w:rsidR="00446A57">
        <w:t xml:space="preserve"> that those who</w:t>
      </w:r>
      <w:r w:rsidR="001B65DC">
        <w:t xml:space="preserve">se rights or interests may be affected by </w:t>
      </w:r>
      <w:r w:rsidR="00446A57">
        <w:t>the investigation</w:t>
      </w:r>
      <w:r w:rsidR="00881595">
        <w:t>,</w:t>
      </w:r>
      <w:r w:rsidR="00446A57">
        <w:t xml:space="preserve"> particularly the respondent</w:t>
      </w:r>
      <w:r w:rsidR="00AC516C">
        <w:t>(</w:t>
      </w:r>
      <w:r w:rsidR="00446A57">
        <w:t>s</w:t>
      </w:r>
      <w:r w:rsidR="00AC516C">
        <w:t>)</w:t>
      </w:r>
      <w:r w:rsidR="00881595">
        <w:t xml:space="preserve">, </w:t>
      </w:r>
      <w:r w:rsidR="00446A57">
        <w:t xml:space="preserve">are </w:t>
      </w:r>
      <w:r w:rsidR="001B65DC">
        <w:t>given an opportunity to be heard on those issues</w:t>
      </w:r>
      <w:r w:rsidR="009A3073">
        <w:t xml:space="preserve"> </w:t>
      </w:r>
      <w:r w:rsidR="002F7C8E">
        <w:t xml:space="preserve">before a relevant decision is made </w:t>
      </w:r>
      <w:r w:rsidR="009A3073">
        <w:t xml:space="preserve">(see </w:t>
      </w:r>
      <w:r w:rsidR="0072657D" w:rsidRPr="0072657D">
        <w:rPr>
          <w:b/>
          <w:bCs/>
        </w:rPr>
        <w:fldChar w:fldCharType="begin"/>
      </w:r>
      <w:r w:rsidR="0072657D" w:rsidRPr="0072657D">
        <w:rPr>
          <w:b/>
          <w:bCs/>
        </w:rPr>
        <w:instrText xml:space="preserve"> REF _Ref62634106 \h </w:instrText>
      </w:r>
      <w:r w:rsidR="0072657D">
        <w:rPr>
          <w:b/>
          <w:bCs/>
        </w:rPr>
        <w:instrText xml:space="preserve"> \* MERGEFORMAT </w:instrText>
      </w:r>
      <w:r w:rsidR="0072657D" w:rsidRPr="0072657D">
        <w:rPr>
          <w:b/>
          <w:bCs/>
        </w:rPr>
      </w:r>
      <w:r w:rsidR="0072657D" w:rsidRPr="0072657D">
        <w:rPr>
          <w:b/>
          <w:bCs/>
        </w:rPr>
        <w:fldChar w:fldCharType="separate"/>
      </w:r>
      <w:r w:rsidR="00245E6D" w:rsidRPr="00245E6D">
        <w:rPr>
          <w:b/>
          <w:bCs/>
        </w:rPr>
        <w:t>Procedural fairness</w:t>
      </w:r>
      <w:r w:rsidR="0072657D" w:rsidRPr="0072657D">
        <w:rPr>
          <w:b/>
          <w:bCs/>
        </w:rPr>
        <w:fldChar w:fldCharType="end"/>
      </w:r>
      <w:r w:rsidR="009A3073">
        <w:t>)</w:t>
      </w:r>
      <w:r w:rsidR="001B65DC">
        <w:t>.</w:t>
      </w:r>
      <w:r w:rsidR="00446A57">
        <w:t xml:space="preserve"> </w:t>
      </w:r>
    </w:p>
    <w:p w14:paraId="486046EF" w14:textId="145465C8" w:rsidR="002C38A1" w:rsidRDefault="00FB1A06" w:rsidP="00446A57">
      <w:r>
        <w:t>Investigating entities</w:t>
      </w:r>
      <w:r w:rsidR="002C38A1">
        <w:t xml:space="preserve"> may refer to the </w:t>
      </w:r>
      <w:r w:rsidR="002C38A1">
        <w:rPr>
          <w:i/>
          <w:iCs/>
        </w:rPr>
        <w:t>Australian Government Investigation Standards 2011</w:t>
      </w:r>
      <w:r w:rsidR="00996585" w:rsidRPr="00996585">
        <w:rPr>
          <w:rStyle w:val="FootnoteReference"/>
        </w:rPr>
        <w:footnoteReference w:id="94"/>
      </w:r>
      <w:r w:rsidR="002C38A1">
        <w:t xml:space="preserve"> for guidance as to the proper conduct of a</w:t>
      </w:r>
      <w:r w:rsidR="001B65DC">
        <w:t>n internal</w:t>
      </w:r>
      <w:r w:rsidR="002C38A1">
        <w:t xml:space="preserve"> government investigation (see </w:t>
      </w:r>
      <w:r w:rsidR="0072657D" w:rsidRPr="0072657D">
        <w:rPr>
          <w:b/>
          <w:bCs/>
        </w:rPr>
        <w:fldChar w:fldCharType="begin"/>
      </w:r>
      <w:r w:rsidR="0072657D" w:rsidRPr="0072657D">
        <w:rPr>
          <w:b/>
          <w:bCs/>
        </w:rPr>
        <w:instrText xml:space="preserve"> REF _Ref65657123 \h </w:instrText>
      </w:r>
      <w:r w:rsidR="0072657D">
        <w:rPr>
          <w:b/>
          <w:bCs/>
        </w:rPr>
        <w:instrText xml:space="preserve"> \* MERGEFORMAT </w:instrText>
      </w:r>
      <w:r w:rsidR="0072657D" w:rsidRPr="0072657D">
        <w:rPr>
          <w:b/>
          <w:bCs/>
        </w:rPr>
      </w:r>
      <w:r w:rsidR="0072657D" w:rsidRPr="0072657D">
        <w:rPr>
          <w:b/>
          <w:bCs/>
        </w:rPr>
        <w:fldChar w:fldCharType="separate"/>
      </w:r>
      <w:r w:rsidR="00245E6D" w:rsidRPr="00245E6D">
        <w:rPr>
          <w:b/>
          <w:bCs/>
        </w:rPr>
        <w:t>Related material</w:t>
      </w:r>
      <w:r w:rsidR="0072657D" w:rsidRPr="0072657D">
        <w:rPr>
          <w:b/>
          <w:bCs/>
        </w:rPr>
        <w:fldChar w:fldCharType="end"/>
      </w:r>
      <w:r w:rsidR="003F77B8">
        <w:t xml:space="preserve">). </w:t>
      </w:r>
      <w:r w:rsidR="00573A55">
        <w:t>While developed for the Commonwealth in relation to the investigation of fraud</w:t>
      </w:r>
      <w:r w:rsidR="001B65DC">
        <w:t>,</w:t>
      </w:r>
      <w:r w:rsidR="00573A55">
        <w:t xml:space="preserve"> it provide</w:t>
      </w:r>
      <w:r w:rsidR="002F7C8E">
        <w:t>s</w:t>
      </w:r>
      <w:r w:rsidR="00573A55">
        <w:t xml:space="preserve"> material which could be adapted for a</w:t>
      </w:r>
      <w:r w:rsidR="00C3279A">
        <w:t>n</w:t>
      </w:r>
      <w:r w:rsidR="00573A55">
        <w:t xml:space="preserve"> investigation</w:t>
      </w:r>
      <w:r w:rsidR="00C3279A">
        <w:t xml:space="preserve"> under the PID Act</w:t>
      </w:r>
      <w:r w:rsidR="00573A55">
        <w:t>.</w:t>
      </w:r>
    </w:p>
    <w:p w14:paraId="3AF719A7" w14:textId="5B647C6B" w:rsidR="00573A55" w:rsidRDefault="00573A55" w:rsidP="00446A57">
      <w:r>
        <w:lastRenderedPageBreak/>
        <w:t xml:space="preserve">As with any type of investigation, </w:t>
      </w:r>
      <w:r w:rsidR="00680302">
        <w:t>investigating entities</w:t>
      </w:r>
      <w:r>
        <w:t xml:space="preserve"> </w:t>
      </w:r>
      <w:r w:rsidRPr="004F6A08">
        <w:t>must</w:t>
      </w:r>
      <w:r>
        <w:t xml:space="preserve"> ensure they maintain adequate records</w:t>
      </w:r>
      <w:r w:rsidR="001B65DC">
        <w:t>,</w:t>
      </w:r>
      <w:r>
        <w:t xml:space="preserve"> and </w:t>
      </w:r>
      <w:r w:rsidR="001B65DC">
        <w:t xml:space="preserve">at the end, </w:t>
      </w:r>
      <w:r>
        <w:t xml:space="preserve">produce a report which clearly outlines </w:t>
      </w:r>
      <w:r w:rsidR="004F6A08">
        <w:t xml:space="preserve">its findings, with reasons, and </w:t>
      </w:r>
      <w:r>
        <w:t xml:space="preserve">the reasons for taking, or not taking, any action in response to </w:t>
      </w:r>
      <w:r w:rsidR="000F268A">
        <w:t>the</w:t>
      </w:r>
      <w:r w:rsidR="004F6A08">
        <w:t xml:space="preserve"> findings</w:t>
      </w:r>
      <w:r>
        <w:t>.</w:t>
      </w:r>
    </w:p>
    <w:p w14:paraId="3905FE85" w14:textId="5DDCC1A9" w:rsidR="000F268A" w:rsidRPr="00573A55" w:rsidRDefault="000F268A" w:rsidP="00446A57">
      <w:r>
        <w:t xml:space="preserve">Natural justice requires that investigations be conducted by an unbiased person, free of any conflict of interest. Mere apprehension of bias is technically </w:t>
      </w:r>
      <w:r w:rsidR="00ED32E5">
        <w:t>immaterial but</w:t>
      </w:r>
      <w:r>
        <w:t xml:space="preserve"> should be avoided if it is practica</w:t>
      </w:r>
      <w:r w:rsidR="00421AD6">
        <w:t>l</w:t>
      </w:r>
      <w:r>
        <w:t xml:space="preserve"> to do so.</w:t>
      </w:r>
    </w:p>
    <w:p w14:paraId="5C491D8B" w14:textId="161AC483" w:rsidR="00EA6FAC" w:rsidRDefault="00EA6FAC" w:rsidP="00EB3E4B">
      <w:pPr>
        <w:pStyle w:val="Heading4"/>
      </w:pPr>
      <w:r>
        <w:t>Where it is clear or later discovered that a different investigation is required</w:t>
      </w:r>
    </w:p>
    <w:p w14:paraId="5EE9FE0A" w14:textId="2E35E178" w:rsidR="00AE7BA0" w:rsidRDefault="00AE7BA0" w:rsidP="00AE7BA0">
      <w:r>
        <w:t xml:space="preserve">Where the investigation reveals or otherwise indicates corrupt or criminal conduct, the </w:t>
      </w:r>
      <w:r w:rsidR="00680302">
        <w:t>investigating entity</w:t>
      </w:r>
      <w:r>
        <w:t xml:space="preserve"> </w:t>
      </w:r>
      <w:r w:rsidRPr="004F6A08">
        <w:t>must</w:t>
      </w:r>
      <w:r>
        <w:t xml:space="preserve"> </w:t>
      </w:r>
      <w:r w:rsidR="004F6A08">
        <w:t>pause</w:t>
      </w:r>
      <w:r>
        <w:t xml:space="preserve"> the investigation and refer the </w:t>
      </w:r>
      <w:r w:rsidR="00C3279A">
        <w:t>disclosure</w:t>
      </w:r>
      <w:r>
        <w:t xml:space="preserve"> to the entity which is most appropriate to investigate such </w:t>
      </w:r>
      <w:r w:rsidRPr="005B2BD9">
        <w:t>claims</w:t>
      </w:r>
      <w:r w:rsidR="000F268A" w:rsidRPr="005B2BD9">
        <w:t xml:space="preserve"> </w:t>
      </w:r>
      <w:r w:rsidRPr="005B2BD9">
        <w:t>(see</w:t>
      </w:r>
      <w:r w:rsidR="00256410" w:rsidRPr="005B2BD9">
        <w:t xml:space="preserve"> </w:t>
      </w:r>
      <w:r w:rsidR="0072657D" w:rsidRPr="0072657D">
        <w:rPr>
          <w:b/>
          <w:bCs/>
        </w:rPr>
        <w:fldChar w:fldCharType="begin"/>
      </w:r>
      <w:r w:rsidR="0072657D" w:rsidRPr="0072657D">
        <w:rPr>
          <w:b/>
          <w:bCs/>
        </w:rPr>
        <w:instrText xml:space="preserve"> REF _Ref67902509 \h </w:instrText>
      </w:r>
      <w:r w:rsidR="0072657D">
        <w:rPr>
          <w:b/>
          <w:bCs/>
        </w:rPr>
        <w:instrText xml:space="preserve"> \* MERGEFORMAT </w:instrText>
      </w:r>
      <w:r w:rsidR="0072657D" w:rsidRPr="0072657D">
        <w:rPr>
          <w:b/>
          <w:bCs/>
        </w:rPr>
      </w:r>
      <w:r w:rsidR="0072657D" w:rsidRPr="0072657D">
        <w:rPr>
          <w:b/>
          <w:bCs/>
        </w:rPr>
        <w:fldChar w:fldCharType="separate"/>
      </w:r>
      <w:r w:rsidR="00245E6D" w:rsidRPr="00245E6D">
        <w:rPr>
          <w:b/>
          <w:bCs/>
        </w:rPr>
        <w:t>When and how to end an investigation</w:t>
      </w:r>
      <w:r w:rsidR="0072657D" w:rsidRPr="0072657D">
        <w:rPr>
          <w:b/>
          <w:bCs/>
        </w:rPr>
        <w:fldChar w:fldCharType="end"/>
      </w:r>
      <w:r w:rsidRPr="005B2BD9">
        <w:t>).</w:t>
      </w:r>
      <w:r>
        <w:t xml:space="preserve"> </w:t>
      </w:r>
    </w:p>
    <w:p w14:paraId="5AC81B25" w14:textId="4979B56D" w:rsidR="00AE7BA0" w:rsidRPr="00577373" w:rsidRDefault="004F6A08" w:rsidP="00AE7BA0">
      <w:r>
        <w:t>Where</w:t>
      </w:r>
      <w:r w:rsidR="00AE7BA0">
        <w:t xml:space="preserve"> the investigation reveals a threat to health</w:t>
      </w:r>
      <w:r w:rsidR="003A2671">
        <w:t xml:space="preserve"> or</w:t>
      </w:r>
      <w:r w:rsidR="00405063">
        <w:t xml:space="preserve"> </w:t>
      </w:r>
      <w:r w:rsidR="00AE7BA0">
        <w:t>safety</w:t>
      </w:r>
      <w:r w:rsidR="003A2671">
        <w:t>,</w:t>
      </w:r>
      <w:r w:rsidR="00AE7BA0">
        <w:t xml:space="preserve"> or the environment</w:t>
      </w:r>
      <w:r>
        <w:t>,</w:t>
      </w:r>
      <w:r w:rsidR="00AE7BA0">
        <w:t xml:space="preserve"> which may require redress under a separate legislative head (for example, the </w:t>
      </w:r>
      <w:r w:rsidR="00AE7BA0">
        <w:rPr>
          <w:i/>
          <w:iCs/>
        </w:rPr>
        <w:t>Work Health and Safety Act 2011</w:t>
      </w:r>
      <w:r w:rsidR="00AE7BA0">
        <w:t xml:space="preserve"> </w:t>
      </w:r>
      <w:r w:rsidR="006143A3">
        <w:t xml:space="preserve">(ACT) </w:t>
      </w:r>
      <w:r w:rsidR="00AE7BA0">
        <w:t xml:space="preserve">or the </w:t>
      </w:r>
      <w:r w:rsidR="00AE7BA0">
        <w:rPr>
          <w:i/>
          <w:iCs/>
        </w:rPr>
        <w:t>Environment</w:t>
      </w:r>
      <w:r w:rsidR="007532CF">
        <w:rPr>
          <w:i/>
          <w:iCs/>
        </w:rPr>
        <w:t xml:space="preserve"> </w:t>
      </w:r>
      <w:r w:rsidR="00AE7BA0">
        <w:rPr>
          <w:i/>
          <w:iCs/>
        </w:rPr>
        <w:t>Protection Act 1997</w:t>
      </w:r>
      <w:r w:rsidR="006143A3">
        <w:rPr>
          <w:i/>
          <w:iCs/>
        </w:rPr>
        <w:t xml:space="preserve"> </w:t>
      </w:r>
      <w:r w:rsidR="006143A3">
        <w:t>(ACT)</w:t>
      </w:r>
      <w:r w:rsidR="00AE7BA0">
        <w:t>)</w:t>
      </w:r>
      <w:r w:rsidR="000F268A">
        <w:t>,</w:t>
      </w:r>
      <w:r w:rsidR="006143A3">
        <w:rPr>
          <w:rStyle w:val="FootnoteReference"/>
        </w:rPr>
        <w:footnoteReference w:id="95"/>
      </w:r>
      <w:r w:rsidR="00AE7BA0">
        <w:t xml:space="preserve"> </w:t>
      </w:r>
      <w:r w:rsidR="00C3279A">
        <w:t>i</w:t>
      </w:r>
      <w:r w:rsidR="00680302">
        <w:t xml:space="preserve">nvestigating </w:t>
      </w:r>
      <w:r w:rsidR="00C3279A">
        <w:t>entities</w:t>
      </w:r>
      <w:r w:rsidR="00577373">
        <w:t xml:space="preserve"> </w:t>
      </w:r>
      <w:r w:rsidR="00577373" w:rsidRPr="004F6A08">
        <w:t>must</w:t>
      </w:r>
      <w:r w:rsidR="00577373">
        <w:t xml:space="preserve"> also ensure they satisfy </w:t>
      </w:r>
      <w:r>
        <w:t>any other</w:t>
      </w:r>
      <w:r w:rsidR="00577373">
        <w:t xml:space="preserve"> existing legislative obligations (for example, mandatory reporting requirements)</w:t>
      </w:r>
      <w:r>
        <w:t>. However,</w:t>
      </w:r>
      <w:r w:rsidR="00577373">
        <w:t xml:space="preserve"> in doing so, </w:t>
      </w:r>
      <w:r>
        <w:t xml:space="preserve">they must adhere to their PID Act obligations, including the need </w:t>
      </w:r>
      <w:r w:rsidR="00F3612B">
        <w:t>to protect</w:t>
      </w:r>
      <w:r w:rsidR="00577373">
        <w:t xml:space="preserve"> the identity of the discloser and/or the fact of a </w:t>
      </w:r>
      <w:r w:rsidR="00C3279A">
        <w:t>disclosure</w:t>
      </w:r>
      <w:r w:rsidR="00577373">
        <w:t xml:space="preserve"> being made.</w:t>
      </w:r>
    </w:p>
    <w:p w14:paraId="0AC4E59C" w14:textId="34590F26" w:rsidR="00130385" w:rsidRDefault="00130385" w:rsidP="0087701B">
      <w:pPr>
        <w:pStyle w:val="Heading3"/>
      </w:pPr>
      <w:bookmarkStart w:id="198" w:name="_Ref63685707"/>
      <w:bookmarkStart w:id="199" w:name="_Toc67904018"/>
      <w:bookmarkStart w:id="200" w:name="_Toc75255191"/>
      <w:r>
        <w:t>The appointment of an investigator</w:t>
      </w:r>
      <w:bookmarkEnd w:id="198"/>
      <w:bookmarkEnd w:id="199"/>
      <w:bookmarkEnd w:id="200"/>
    </w:p>
    <w:p w14:paraId="73D6B1A6" w14:textId="2F1C9594" w:rsidR="003C67F0" w:rsidRPr="00921E42" w:rsidRDefault="00577373" w:rsidP="00EA6FAC">
      <w:r w:rsidRPr="00921E42">
        <w:t xml:space="preserve">The </w:t>
      </w:r>
      <w:r w:rsidR="00680302">
        <w:t>investigating entity</w:t>
      </w:r>
      <w:r w:rsidRPr="00921E42">
        <w:t xml:space="preserve"> must appoint a suitable </w:t>
      </w:r>
      <w:r w:rsidR="002F7C8E">
        <w:t>officer</w:t>
      </w:r>
      <w:r w:rsidRPr="00921E42">
        <w:t xml:space="preserve"> to </w:t>
      </w:r>
      <w:r w:rsidR="002F7C8E">
        <w:t>investigate</w:t>
      </w:r>
      <w:r w:rsidRPr="00921E42">
        <w:t xml:space="preserve"> the allegations within the PID. </w:t>
      </w:r>
      <w:r w:rsidR="003C67F0" w:rsidRPr="00921E42">
        <w:t xml:space="preserve">This must be a person who is sufficiently removed from the work area in question, and must not be involved, mentioned or otherwise involved in the subject of the PID. Further, the investigator must not have any real, </w:t>
      </w:r>
      <w:r w:rsidR="00B536F3" w:rsidRPr="00921E42">
        <w:t>perceived,</w:t>
      </w:r>
      <w:r w:rsidR="003C67F0" w:rsidRPr="00921E42">
        <w:t xml:space="preserve"> or potential conflicts of interest with any of the parties mentioned or otherwise involved in the subject of the PID. </w:t>
      </w:r>
      <w:r w:rsidR="000F268A">
        <w:t>An independent private investigator may be appropriate where there are no suitable internal people</w:t>
      </w:r>
      <w:r w:rsidR="00B132D1">
        <w:t xml:space="preserve"> (ie a law or workplace investigations firm).</w:t>
      </w:r>
    </w:p>
    <w:p w14:paraId="5D50357F" w14:textId="7EBDB1FA" w:rsidR="00A71EF1" w:rsidRDefault="003C67F0" w:rsidP="00EA6FAC">
      <w:r w:rsidRPr="003C67F0">
        <w:t>While</w:t>
      </w:r>
      <w:r>
        <w:t xml:space="preserve"> the investigator need not be a person trained in the conduct of investigations, the investigator </w:t>
      </w:r>
      <w:r w:rsidR="007F50E5">
        <w:t xml:space="preserve">must, for obvious reasons, </w:t>
      </w:r>
      <w:r w:rsidR="002F7C8E">
        <w:t>have</w:t>
      </w:r>
      <w:r>
        <w:t xml:space="preserve"> sufficient </w:t>
      </w:r>
      <w:r w:rsidR="002F7C8E">
        <w:t>competence</w:t>
      </w:r>
      <w:r>
        <w:t xml:space="preserve"> to </w:t>
      </w:r>
      <w:r w:rsidR="007F50E5">
        <w:t>carry out</w:t>
      </w:r>
      <w:r>
        <w:t xml:space="preserve"> the investigation and the </w:t>
      </w:r>
      <w:r w:rsidR="00680302">
        <w:t>investigating entity’s</w:t>
      </w:r>
      <w:r>
        <w:t xml:space="preserve"> obligations under the PID Act. </w:t>
      </w:r>
      <w:r w:rsidR="00A71EF1">
        <w:t xml:space="preserve">For example, where the PID relates to the alleged mismanagement of a project it </w:t>
      </w:r>
      <w:r w:rsidR="007F50E5">
        <w:t>would likely</w:t>
      </w:r>
      <w:r w:rsidR="00A71EF1">
        <w:t xml:space="preserve"> be appropriate to appoint as investigator a person with knowledge of such projects. </w:t>
      </w:r>
    </w:p>
    <w:p w14:paraId="5741C2ED" w14:textId="6662054E" w:rsidR="003C67F0" w:rsidRDefault="003C67F0" w:rsidP="00EA6FAC">
      <w:r>
        <w:t xml:space="preserve">The </w:t>
      </w:r>
      <w:r w:rsidRPr="006831BF">
        <w:t xml:space="preserve">investigator must be aware of the </w:t>
      </w:r>
      <w:r w:rsidR="00680302">
        <w:t>investigating entity’s</w:t>
      </w:r>
      <w:r w:rsidRPr="006831BF">
        <w:t xml:space="preserve"> obligations under the PID Act (for example, to notify the discloser at least every three months</w:t>
      </w:r>
      <w:r>
        <w:t xml:space="preserve"> of the investigation’s progress</w:t>
      </w:r>
      <w:r w:rsidR="00ED32E5">
        <w:t>) and</w:t>
      </w:r>
      <w:r w:rsidR="00462FB0">
        <w:t xml:space="preserve"> </w:t>
      </w:r>
      <w:r w:rsidR="007F50E5">
        <w:t>comply with them.</w:t>
      </w:r>
    </w:p>
    <w:p w14:paraId="0853B02E" w14:textId="72DC519C" w:rsidR="00EA6FAC" w:rsidRDefault="00EA6FAC" w:rsidP="00EB3E4B">
      <w:pPr>
        <w:pStyle w:val="Heading4"/>
      </w:pPr>
      <w:r>
        <w:t>Delegating the investigation function to a contractor</w:t>
      </w:r>
    </w:p>
    <w:p w14:paraId="68E0B168" w14:textId="18F8304B" w:rsidR="00A71EF1" w:rsidRDefault="003C67F0" w:rsidP="003C67F0">
      <w:r>
        <w:t xml:space="preserve">The PID Act does not prohibit the delegation of an investigation function to a contractor or other party external to the </w:t>
      </w:r>
      <w:r w:rsidR="00680302">
        <w:t>investigating entity</w:t>
      </w:r>
      <w:r>
        <w:t>.</w:t>
      </w:r>
      <w:r w:rsidR="00A71EF1">
        <w:t xml:space="preserve"> Indeed, this may be necessary where, for example, the scope of the investigation is beyond the resources of the </w:t>
      </w:r>
      <w:r w:rsidR="00680302">
        <w:t>investigating entity</w:t>
      </w:r>
      <w:r w:rsidR="00A71EF1">
        <w:t xml:space="preserve"> to </w:t>
      </w:r>
      <w:r w:rsidR="00B536F3">
        <w:t>acquit</w:t>
      </w:r>
      <w:r w:rsidR="00A71EF1">
        <w:t xml:space="preserve">. </w:t>
      </w:r>
      <w:r w:rsidR="002F7C8E">
        <w:t>S</w:t>
      </w:r>
      <w:r w:rsidR="00A71EF1">
        <w:t xml:space="preserve">hould the </w:t>
      </w:r>
      <w:r w:rsidR="00680302">
        <w:t>investigating entity</w:t>
      </w:r>
      <w:r w:rsidR="00A71EF1">
        <w:t xml:space="preserve"> be a small </w:t>
      </w:r>
      <w:r w:rsidR="00867E19">
        <w:t>public sector entity</w:t>
      </w:r>
      <w:r w:rsidR="00A71EF1">
        <w:t>, and it would be impossible to investigate the matter due to conflicts of interest</w:t>
      </w:r>
      <w:r w:rsidR="00DB658C">
        <w:t>,</w:t>
      </w:r>
      <w:r w:rsidR="00A71EF1">
        <w:t xml:space="preserve"> it may be appropriate to appoint an external investigator.</w:t>
      </w:r>
    </w:p>
    <w:p w14:paraId="4F9662A4" w14:textId="5D32BFE5" w:rsidR="009C4880" w:rsidRDefault="006831BF" w:rsidP="003C67F0">
      <w:r>
        <w:t>T</w:t>
      </w:r>
      <w:r w:rsidR="00A71EF1">
        <w:t xml:space="preserve">ypically, the need to appoint an external investigator or similar </w:t>
      </w:r>
      <w:r>
        <w:t>will</w:t>
      </w:r>
      <w:r w:rsidR="00A71EF1">
        <w:t xml:space="preserve"> have been identified at the referral stage of the PID (</w:t>
      </w:r>
      <w:r w:rsidR="00575158">
        <w:t>ie</w:t>
      </w:r>
      <w:r>
        <w:t xml:space="preserve"> following</w:t>
      </w:r>
      <w:r w:rsidR="00A71EF1">
        <w:t xml:space="preserve"> a </w:t>
      </w:r>
      <w:r w:rsidR="007F50E5">
        <w:t>consultation</w:t>
      </w:r>
      <w:r w:rsidR="00A71EF1">
        <w:t xml:space="preserve"> between the Commission and the receiving </w:t>
      </w:r>
      <w:r w:rsidR="00680302">
        <w:t>investigating entity</w:t>
      </w:r>
      <w:r w:rsidR="00A71EF1">
        <w:t>)</w:t>
      </w:r>
      <w:r>
        <w:t xml:space="preserve">. </w:t>
      </w:r>
      <w:r w:rsidR="00F3612B">
        <w:t>However,</w:t>
      </w:r>
      <w:r w:rsidR="00A71EF1">
        <w:t xml:space="preserve"> it is possible that</w:t>
      </w:r>
      <w:r w:rsidR="002F7C8E">
        <w:t>,</w:t>
      </w:r>
      <w:r w:rsidR="00A71EF1">
        <w:t xml:space="preserve"> through the course of the investigation, it becomes apparent that is no longer appropriate for the </w:t>
      </w:r>
      <w:r w:rsidR="00680302">
        <w:t>investigating entity</w:t>
      </w:r>
      <w:r w:rsidR="00A71EF1">
        <w:t xml:space="preserve"> to continue its investigation</w:t>
      </w:r>
      <w:r>
        <w:t xml:space="preserve">, and an external investigator ought </w:t>
      </w:r>
      <w:r w:rsidR="00DB658C">
        <w:t xml:space="preserve">to </w:t>
      </w:r>
      <w:r>
        <w:t>be appointed.</w:t>
      </w:r>
    </w:p>
    <w:p w14:paraId="740F2E0B" w14:textId="3777CC8C" w:rsidR="00A71EF1" w:rsidRDefault="009C4880" w:rsidP="003C67F0">
      <w:r>
        <w:rPr>
          <w:b/>
          <w:bCs/>
        </w:rPr>
        <w:t>Note:</w:t>
      </w:r>
      <w:r>
        <w:t xml:space="preserve"> </w:t>
      </w:r>
      <w:r w:rsidR="00A71EF1">
        <w:t xml:space="preserve">Prior to </w:t>
      </w:r>
      <w:r w:rsidR="00313688">
        <w:t>deciding</w:t>
      </w:r>
      <w:r w:rsidR="00A71EF1">
        <w:t xml:space="preserve"> to commit resources for external investigation, the Commission </w:t>
      </w:r>
      <w:r w:rsidR="00A71EF1" w:rsidRPr="006831BF">
        <w:t>recommends</w:t>
      </w:r>
      <w:r w:rsidR="00A71EF1">
        <w:t xml:space="preserve"> the </w:t>
      </w:r>
      <w:r w:rsidR="00680302">
        <w:t>investigating entity</w:t>
      </w:r>
      <w:r w:rsidR="00A71EF1">
        <w:t xml:space="preserve"> consult with the Commission to see if there is another </w:t>
      </w:r>
      <w:r w:rsidR="00867E19">
        <w:t>public sector entity</w:t>
      </w:r>
      <w:r w:rsidR="00A71EF1">
        <w:t xml:space="preserve"> (or the Commission itself) which has the resources </w:t>
      </w:r>
      <w:r w:rsidR="00B132D1">
        <w:t xml:space="preserve">and/or expertise </w:t>
      </w:r>
      <w:r w:rsidR="00A71EF1">
        <w:t xml:space="preserve">to </w:t>
      </w:r>
      <w:r w:rsidR="00B132D1">
        <w:t>conduct</w:t>
      </w:r>
      <w:r w:rsidR="00A71EF1">
        <w:t xml:space="preserve"> the investigation.</w:t>
      </w:r>
      <w:r>
        <w:t xml:space="preserve"> </w:t>
      </w:r>
    </w:p>
    <w:p w14:paraId="09EEF25A" w14:textId="77777777" w:rsidR="0028046B" w:rsidRPr="00A71EF1" w:rsidRDefault="0028046B" w:rsidP="003C67F0"/>
    <w:p w14:paraId="78EE3A71" w14:textId="3F23D560" w:rsidR="00130385" w:rsidRDefault="00130385" w:rsidP="0087701B">
      <w:pPr>
        <w:pStyle w:val="Heading3"/>
      </w:pPr>
      <w:bookmarkStart w:id="201" w:name="_Toc67904019"/>
      <w:bookmarkStart w:id="202" w:name="_Toc75255192"/>
      <w:r>
        <w:lastRenderedPageBreak/>
        <w:t>Advising the discloser of the investigation</w:t>
      </w:r>
      <w:bookmarkEnd w:id="201"/>
      <w:bookmarkEnd w:id="202"/>
    </w:p>
    <w:p w14:paraId="5CBD9339" w14:textId="75B56B6B" w:rsidR="00A71EF1" w:rsidRDefault="002C38A1" w:rsidP="00A71EF1">
      <w:r>
        <w:t>Section 19</w:t>
      </w:r>
      <w:r w:rsidR="00C3279A">
        <w:t>A</w:t>
      </w:r>
      <w:r>
        <w:t xml:space="preserve"> of the PID Act requires the Commission to notify the </w:t>
      </w:r>
      <w:r w:rsidR="00313688">
        <w:t>discloser:</w:t>
      </w:r>
    </w:p>
    <w:p w14:paraId="1922CC0B" w14:textId="0B9C65AF" w:rsidR="002C38A1" w:rsidRDefault="0006188A" w:rsidP="008D1DE6">
      <w:pPr>
        <w:pStyle w:val="ListParagraph"/>
        <w:numPr>
          <w:ilvl w:val="0"/>
          <w:numId w:val="5"/>
        </w:numPr>
      </w:pPr>
      <w:r>
        <w:t xml:space="preserve">that </w:t>
      </w:r>
      <w:r w:rsidR="002C38A1">
        <w:t xml:space="preserve">the </w:t>
      </w:r>
      <w:r w:rsidR="00C3279A">
        <w:t>disclosure</w:t>
      </w:r>
      <w:r w:rsidR="002C38A1">
        <w:t xml:space="preserve"> will be investigated;</w:t>
      </w:r>
    </w:p>
    <w:p w14:paraId="3241AB54" w14:textId="3BF44DD3" w:rsidR="002C38A1" w:rsidRDefault="00881595" w:rsidP="008D1DE6">
      <w:pPr>
        <w:pStyle w:val="ListParagraph"/>
        <w:numPr>
          <w:ilvl w:val="0"/>
          <w:numId w:val="5"/>
        </w:numPr>
      </w:pPr>
      <w:r>
        <w:t xml:space="preserve">which </w:t>
      </w:r>
      <w:r w:rsidR="00B132D1">
        <w:t xml:space="preserve">investigating </w:t>
      </w:r>
      <w:r>
        <w:t xml:space="preserve">entity will investigate </w:t>
      </w:r>
      <w:r w:rsidR="002C38A1">
        <w:t xml:space="preserve">the </w:t>
      </w:r>
      <w:r w:rsidR="00C3279A">
        <w:t>disclosure</w:t>
      </w:r>
      <w:r w:rsidR="002C38A1">
        <w:t>; and</w:t>
      </w:r>
    </w:p>
    <w:p w14:paraId="2ACCAFF4" w14:textId="17727D5D" w:rsidR="002C38A1" w:rsidRDefault="002C38A1" w:rsidP="008D1DE6">
      <w:pPr>
        <w:pStyle w:val="ListParagraph"/>
        <w:numPr>
          <w:ilvl w:val="0"/>
          <w:numId w:val="5"/>
        </w:numPr>
      </w:pPr>
      <w:r>
        <w:t>relevant dates and other particulars.</w:t>
      </w:r>
    </w:p>
    <w:p w14:paraId="1E4015A1" w14:textId="09544036" w:rsidR="002C38A1" w:rsidRPr="002C38A1" w:rsidRDefault="00912956" w:rsidP="002C38A1">
      <w:r>
        <w:t>Thus</w:t>
      </w:r>
      <w:r w:rsidR="002C38A1">
        <w:t xml:space="preserve">, the </w:t>
      </w:r>
      <w:r w:rsidR="00680302">
        <w:t>investigating entity</w:t>
      </w:r>
      <w:r w:rsidR="002C38A1">
        <w:t xml:space="preserve"> is not obliged to notify the discloser that the investigation will take place</w:t>
      </w:r>
      <w:r w:rsidR="009C4880">
        <w:t xml:space="preserve"> (as they will have already been notified by the Commission)</w:t>
      </w:r>
      <w:r w:rsidR="002C38A1">
        <w:t xml:space="preserve">. However, the Commission </w:t>
      </w:r>
      <w:r w:rsidR="002C38A1" w:rsidRPr="006831BF">
        <w:t>recommends</w:t>
      </w:r>
      <w:r w:rsidR="002C38A1">
        <w:t xml:space="preserve"> that the investigator contact the discloser shortly after the </w:t>
      </w:r>
      <w:r w:rsidR="009C4880">
        <w:t>referral</w:t>
      </w:r>
      <w:r w:rsidR="002C38A1">
        <w:t xml:space="preserve"> to introduce themselves and provide the discloser an opportunity to ask any questions they may have.</w:t>
      </w:r>
    </w:p>
    <w:p w14:paraId="3706BF7E" w14:textId="650E9823" w:rsidR="00EA6FAC" w:rsidRDefault="00EA6FAC" w:rsidP="0087701B">
      <w:pPr>
        <w:pStyle w:val="Heading3"/>
      </w:pPr>
      <w:bookmarkStart w:id="203" w:name="_Toc67904020"/>
      <w:bookmarkStart w:id="204" w:name="_Toc75255193"/>
      <w:r>
        <w:t>The legal powers of the investigator to obtain information</w:t>
      </w:r>
      <w:bookmarkEnd w:id="203"/>
      <w:bookmarkEnd w:id="204"/>
    </w:p>
    <w:p w14:paraId="7BEF617C" w14:textId="39591FC5" w:rsidR="002C38A1" w:rsidRDefault="005D431A" w:rsidP="002C38A1">
      <w:r w:rsidRPr="005D431A">
        <w:t>Investigations of disclosable conduct do not provide</w:t>
      </w:r>
      <w:r w:rsidR="00750DA3" w:rsidRPr="005D431A">
        <w:t xml:space="preserve"> any form of compulsory or other coercive powers by which information may be obtained. Further, </w:t>
      </w:r>
      <w:r w:rsidR="002F7C8E">
        <w:t>the PID Act does not impose an</w:t>
      </w:r>
      <w:r w:rsidR="00750DA3" w:rsidRPr="005D431A">
        <w:t xml:space="preserve"> obligation on </w:t>
      </w:r>
      <w:r w:rsidR="002F7C8E">
        <w:t>anyone</w:t>
      </w:r>
      <w:r w:rsidR="00750DA3" w:rsidRPr="005D431A">
        <w:t xml:space="preserve"> to assist </w:t>
      </w:r>
      <w:r w:rsidR="006831BF" w:rsidRPr="005D431A">
        <w:t xml:space="preserve">or participate in </w:t>
      </w:r>
      <w:r w:rsidR="002F7C8E">
        <w:t>an</w:t>
      </w:r>
      <w:r w:rsidR="00750DA3" w:rsidRPr="005D431A">
        <w:t xml:space="preserve"> investigation</w:t>
      </w:r>
      <w:r w:rsidRPr="005D431A">
        <w:t xml:space="preserve"> – even when requested to do so by an investigating entity.</w:t>
      </w:r>
    </w:p>
    <w:p w14:paraId="1BDF3A61" w14:textId="569F5BC1" w:rsidR="00750DA3" w:rsidRDefault="00750DA3" w:rsidP="002C38A1">
      <w:r>
        <w:rPr>
          <w:b/>
          <w:bCs/>
        </w:rPr>
        <w:t>Note:</w:t>
      </w:r>
      <w:r>
        <w:t xml:space="preserve"> The PID Act </w:t>
      </w:r>
      <w:r w:rsidR="00912956">
        <w:t>gives</w:t>
      </w:r>
      <w:r>
        <w:t xml:space="preserve"> protections to witnesses from any civil or criminal liability resulting from their assistance to a</w:t>
      </w:r>
      <w:r w:rsidR="006605B9">
        <w:t>n</w:t>
      </w:r>
      <w:r>
        <w:t xml:space="preserve"> investigation. </w:t>
      </w:r>
      <w:r w:rsidR="007849F2">
        <w:t>Reminding witnesses of this may encourage them to provide information they would otherwise be reluctant to</w:t>
      </w:r>
      <w:r w:rsidR="00912956">
        <w:t xml:space="preserve"> provide.</w:t>
      </w:r>
    </w:p>
    <w:p w14:paraId="2A9F8511" w14:textId="02581B01" w:rsidR="007849F2" w:rsidRPr="007849F2" w:rsidRDefault="003B3A07" w:rsidP="002C38A1">
      <w:r>
        <w:t>Investigating entities</w:t>
      </w:r>
      <w:r w:rsidR="00750DA3">
        <w:t xml:space="preserve"> may direct relevant staff to participate in </w:t>
      </w:r>
      <w:r w:rsidR="00027B98">
        <w:t xml:space="preserve">and cooperate with </w:t>
      </w:r>
      <w:r w:rsidR="00750DA3">
        <w:t>an investigation</w:t>
      </w:r>
      <w:r w:rsidR="00E506B3">
        <w:t xml:space="preserve"> in accordance with their </w:t>
      </w:r>
      <w:r w:rsidR="00027B98">
        <w:t>duties</w:t>
      </w:r>
      <w:r w:rsidR="007849F2">
        <w:t xml:space="preserve"> as </w:t>
      </w:r>
      <w:r w:rsidR="00027B98">
        <w:t>employees</w:t>
      </w:r>
      <w:r w:rsidR="007849F2">
        <w:t xml:space="preserve">. </w:t>
      </w:r>
      <w:r w:rsidR="00027B98">
        <w:t>Such a</w:t>
      </w:r>
      <w:r w:rsidR="007849F2">
        <w:t xml:space="preserve"> direction </w:t>
      </w:r>
      <w:r w:rsidR="00C94C0F">
        <w:t xml:space="preserve">may </w:t>
      </w:r>
      <w:r w:rsidR="00027B98">
        <w:t xml:space="preserve">well </w:t>
      </w:r>
      <w:r w:rsidR="00C94C0F">
        <w:t>be</w:t>
      </w:r>
      <w:r w:rsidR="007849F2">
        <w:t xml:space="preserve"> a reasonable and lawful direction. Should an employee fail to follow a reasonable and lawful direction, they may be </w:t>
      </w:r>
      <w:r w:rsidR="009C4880">
        <w:t>engaging</w:t>
      </w:r>
      <w:r w:rsidR="007849F2">
        <w:t xml:space="preserve"> </w:t>
      </w:r>
      <w:r w:rsidR="009C4880">
        <w:t>in</w:t>
      </w:r>
      <w:r w:rsidR="007849F2">
        <w:t xml:space="preserve"> misconduct. </w:t>
      </w:r>
      <w:r w:rsidR="00C633F3">
        <w:t>S</w:t>
      </w:r>
      <w:r w:rsidR="007849F2">
        <w:t xml:space="preserve">tandard considerations as to whether a professional standards investigation should proceed </w:t>
      </w:r>
      <w:r w:rsidR="00462FB0">
        <w:t>may</w:t>
      </w:r>
      <w:r w:rsidR="007849F2">
        <w:t xml:space="preserve"> be </w:t>
      </w:r>
      <w:r w:rsidR="00462FB0">
        <w:t>applied</w:t>
      </w:r>
      <w:r w:rsidR="007849F2">
        <w:t>.</w:t>
      </w:r>
    </w:p>
    <w:p w14:paraId="5763D9ED" w14:textId="353585EE" w:rsidR="00EA6FAC" w:rsidRDefault="00EA6FAC" w:rsidP="0087701B">
      <w:pPr>
        <w:pStyle w:val="Heading3"/>
      </w:pPr>
      <w:bookmarkStart w:id="205" w:name="_Ref63779822"/>
      <w:bookmarkStart w:id="206" w:name="_Toc67904021"/>
      <w:bookmarkStart w:id="207" w:name="_Toc75255194"/>
      <w:r>
        <w:t>When to notify the respondent of the investigation</w:t>
      </w:r>
      <w:bookmarkEnd w:id="205"/>
      <w:bookmarkEnd w:id="206"/>
      <w:bookmarkEnd w:id="207"/>
    </w:p>
    <w:p w14:paraId="0A23E790" w14:textId="690E1CE0" w:rsidR="009A3073" w:rsidRDefault="001949BA" w:rsidP="009A3073">
      <w:r>
        <w:t xml:space="preserve">The respondent </w:t>
      </w:r>
      <w:r w:rsidRPr="006831BF">
        <w:t>must</w:t>
      </w:r>
      <w:r>
        <w:rPr>
          <w:b/>
          <w:bCs/>
        </w:rPr>
        <w:t xml:space="preserve"> </w:t>
      </w:r>
      <w:r>
        <w:t xml:space="preserve">be notified where </w:t>
      </w:r>
      <w:r w:rsidR="00912956">
        <w:t>decisions</w:t>
      </w:r>
      <w:r>
        <w:t xml:space="preserve"> are</w:t>
      </w:r>
      <w:r w:rsidR="00912956">
        <w:t xml:space="preserve"> </w:t>
      </w:r>
      <w:r w:rsidR="00B132D1" w:rsidRPr="005B2BD9">
        <w:t>contemplated</w:t>
      </w:r>
      <w:r w:rsidRPr="005B2BD9">
        <w:t xml:space="preserve"> such that procedural fairness would require </w:t>
      </w:r>
      <w:r w:rsidR="006831BF" w:rsidRPr="005B2BD9">
        <w:t xml:space="preserve">them to have an opportunity to </w:t>
      </w:r>
      <w:r w:rsidR="00881595" w:rsidRPr="005B2BD9">
        <w:t>be heard</w:t>
      </w:r>
      <w:r w:rsidR="009A3073" w:rsidRPr="005B2BD9">
        <w:t xml:space="preserve"> </w:t>
      </w:r>
      <w:r w:rsidR="00B132D1" w:rsidRPr="005B2BD9">
        <w:t xml:space="preserve">before a decision is made </w:t>
      </w:r>
      <w:r w:rsidR="009A3073" w:rsidRPr="005B2BD9">
        <w:t xml:space="preserve">(see </w:t>
      </w:r>
      <w:r w:rsidR="0072657D">
        <w:fldChar w:fldCharType="begin"/>
      </w:r>
      <w:r w:rsidR="0072657D">
        <w:instrText xml:space="preserve"> REF _Ref62634106 \h  \* MERGEFORMAT </w:instrText>
      </w:r>
      <w:r w:rsidR="0072657D">
        <w:fldChar w:fldCharType="separate"/>
      </w:r>
      <w:r w:rsidR="00245E6D" w:rsidRPr="00245E6D">
        <w:rPr>
          <w:b/>
          <w:bCs/>
        </w:rPr>
        <w:t>Procedural fairness</w:t>
      </w:r>
      <w:r w:rsidR="0072657D">
        <w:fldChar w:fldCharType="end"/>
      </w:r>
      <w:r w:rsidR="009A3073" w:rsidRPr="005B2BD9">
        <w:t>)</w:t>
      </w:r>
      <w:r w:rsidRPr="005B2BD9">
        <w:t xml:space="preserve">. </w:t>
      </w:r>
      <w:r w:rsidR="00C8774A" w:rsidRPr="005B2BD9">
        <w:t>The</w:t>
      </w:r>
      <w:r w:rsidR="00C8774A" w:rsidRPr="00C8774A">
        <w:t xml:space="preserve"> obligation of procedural fairness is imposed on the relevant decision-maker in relation to any action that might be taken against a person whose conduct has been impugned. </w:t>
      </w:r>
      <w:r w:rsidR="00027B98" w:rsidRPr="00C8774A">
        <w:t>An investigator</w:t>
      </w:r>
      <w:r w:rsidR="00C633F3">
        <w:t>, as such,</w:t>
      </w:r>
      <w:r w:rsidR="00027B98" w:rsidRPr="00C8774A">
        <w:t xml:space="preserve"> does not have an obligation for reasons of procedural fairness to inform a person of a potential adverse finding. </w:t>
      </w:r>
      <w:r w:rsidR="00881595" w:rsidRPr="00C8774A">
        <w:t>However, it would</w:t>
      </w:r>
      <w:r w:rsidR="00C8774A" w:rsidRPr="00C8774A">
        <w:t xml:space="preserve"> be usually</w:t>
      </w:r>
      <w:r w:rsidR="00027B98" w:rsidRPr="00C8774A">
        <w:t xml:space="preserve"> part of the investigation to seek explanation from a person whose conduct is or might be impugned </w:t>
      </w:r>
      <w:r w:rsidR="00C8774A" w:rsidRPr="00C8774A">
        <w:t xml:space="preserve">as to </w:t>
      </w:r>
      <w:r w:rsidR="00027B98" w:rsidRPr="00C8774A">
        <w:t>that conduct and matters relevant to it</w:t>
      </w:r>
      <w:r w:rsidR="009A3073" w:rsidRPr="00C8774A">
        <w:t>. Whenever a</w:t>
      </w:r>
      <w:r w:rsidR="00027B98" w:rsidRPr="00C8774A">
        <w:t>n</w:t>
      </w:r>
      <w:r w:rsidR="009A3073" w:rsidRPr="00C8774A">
        <w:t xml:space="preserve"> investigation suggests or otherwise points to wrongdoing on the part of the respondent, it is critical that the respondent be provided the</w:t>
      </w:r>
      <w:r w:rsidR="009A3073">
        <w:t xml:space="preserve"> opportunity to </w:t>
      </w:r>
      <w:r w:rsidR="00912956">
        <w:t>respond before any such information is acted on</w:t>
      </w:r>
      <w:r w:rsidR="009A3073">
        <w:t xml:space="preserve">. </w:t>
      </w:r>
    </w:p>
    <w:p w14:paraId="6E72A1E0" w14:textId="0910B941" w:rsidR="009A3073" w:rsidRDefault="009A3073" w:rsidP="007849F2">
      <w:r>
        <w:t>The</w:t>
      </w:r>
      <w:r w:rsidR="001949BA">
        <w:t xml:space="preserve"> only circumstance in which the respondent need not be notified of the investigation </w:t>
      </w:r>
      <w:r w:rsidR="00B132D1">
        <w:t xml:space="preserve">(and the allegation(s) underpinning it) </w:t>
      </w:r>
      <w:r w:rsidR="001949BA">
        <w:t xml:space="preserve">is one in which no </w:t>
      </w:r>
      <w:r w:rsidR="00912956">
        <w:t xml:space="preserve">adverse </w:t>
      </w:r>
      <w:r w:rsidR="001949BA">
        <w:t xml:space="preserve">findings are </w:t>
      </w:r>
      <w:r w:rsidR="00B132D1">
        <w:t>contemplated</w:t>
      </w:r>
      <w:r w:rsidR="001949BA">
        <w:t xml:space="preserve"> and the </w:t>
      </w:r>
      <w:r w:rsidR="00ED32E5">
        <w:t>alleged conduct</w:t>
      </w:r>
      <w:r w:rsidR="001949BA">
        <w:t xml:space="preserve"> is found to be unsubstantiated. </w:t>
      </w:r>
      <w:r w:rsidR="00912956">
        <w:t xml:space="preserve">This is not </w:t>
      </w:r>
      <w:r w:rsidR="00313688">
        <w:t>suggesting</w:t>
      </w:r>
      <w:r w:rsidR="00912956">
        <w:t xml:space="preserve"> as a matter of law that some managerial or administrative action (of course, not detrimental to the discloser) should not be taken if it is considered desirable to do so.</w:t>
      </w:r>
      <w:r w:rsidR="00027B98">
        <w:t xml:space="preserve"> In such an event, standard protocols about notice should be complied with.</w:t>
      </w:r>
      <w:r w:rsidR="00B132D1">
        <w:t xml:space="preserve"> Public sector entities should also proceed with caution if that managerial/administrative action may be perceived as adverse to the ‘respondent’, and the respondent later finds out about an investigation of which they were not notified.</w:t>
      </w:r>
    </w:p>
    <w:p w14:paraId="7DD8E5AE" w14:textId="7BE5FE66" w:rsidR="00944791" w:rsidRDefault="001949BA" w:rsidP="007849F2">
      <w:r>
        <w:t xml:space="preserve">More details concerning notifying the respondent are below in </w:t>
      </w:r>
      <w:r w:rsidR="0072657D" w:rsidRPr="0072657D">
        <w:rPr>
          <w:b/>
          <w:bCs/>
        </w:rPr>
        <w:fldChar w:fldCharType="begin"/>
      </w:r>
      <w:r w:rsidR="0072657D" w:rsidRPr="0072657D">
        <w:rPr>
          <w:b/>
          <w:bCs/>
        </w:rPr>
        <w:instrText xml:space="preserve"> REF _Ref63411661 \h </w:instrText>
      </w:r>
      <w:r w:rsidR="0072657D">
        <w:rPr>
          <w:b/>
          <w:bCs/>
        </w:rPr>
        <w:instrText xml:space="preserve"> \* MERGEFORMAT </w:instrText>
      </w:r>
      <w:r w:rsidR="0072657D" w:rsidRPr="0072657D">
        <w:rPr>
          <w:b/>
          <w:bCs/>
        </w:rPr>
      </w:r>
      <w:r w:rsidR="0072657D" w:rsidRPr="0072657D">
        <w:rPr>
          <w:b/>
          <w:bCs/>
        </w:rPr>
        <w:fldChar w:fldCharType="separate"/>
      </w:r>
      <w:r w:rsidR="00245E6D" w:rsidRPr="00245E6D">
        <w:rPr>
          <w:b/>
          <w:bCs/>
        </w:rPr>
        <w:t>Notifying the respondent</w:t>
      </w:r>
      <w:r w:rsidR="0072657D" w:rsidRPr="0072657D">
        <w:rPr>
          <w:b/>
          <w:bCs/>
        </w:rPr>
        <w:fldChar w:fldCharType="end"/>
      </w:r>
      <w:r>
        <w:t>.</w:t>
      </w:r>
    </w:p>
    <w:p w14:paraId="04ECC396" w14:textId="28938C4C" w:rsidR="00EA6FAC" w:rsidRDefault="00EA6FAC" w:rsidP="0087701B">
      <w:pPr>
        <w:pStyle w:val="Heading3"/>
      </w:pPr>
      <w:bookmarkStart w:id="208" w:name="_Toc67904022"/>
      <w:bookmarkStart w:id="209" w:name="_Toc75255195"/>
      <w:r>
        <w:t xml:space="preserve">Interviewing witnesses, the discloser </w:t>
      </w:r>
      <w:r w:rsidR="00B132D1">
        <w:t>and</w:t>
      </w:r>
      <w:r>
        <w:t xml:space="preserve"> respondents</w:t>
      </w:r>
      <w:bookmarkEnd w:id="208"/>
      <w:bookmarkEnd w:id="209"/>
    </w:p>
    <w:p w14:paraId="7274F7E1" w14:textId="3F7A1374" w:rsidR="007B551B" w:rsidRDefault="00B64693" w:rsidP="00B64693">
      <w:r>
        <w:t>Interviewing witnesses, the discloser and respondents will often form a crucial part of the investigation</w:t>
      </w:r>
      <w:r w:rsidR="00462FB0">
        <w:t xml:space="preserve"> </w:t>
      </w:r>
      <w:r>
        <w:t xml:space="preserve">process. </w:t>
      </w:r>
      <w:r w:rsidR="007B551B">
        <w:t xml:space="preserve">Interviewing need not be a formal </w:t>
      </w:r>
      <w:r w:rsidR="007508EB">
        <w:t>process and</w:t>
      </w:r>
      <w:r w:rsidR="007B551B">
        <w:t xml:space="preserve"> may be conducted over the phone or via video-conferencing facilities. </w:t>
      </w:r>
      <w:r w:rsidR="006831BF">
        <w:t>T</w:t>
      </w:r>
      <w:r w:rsidR="007B551B">
        <w:t xml:space="preserve">he </w:t>
      </w:r>
      <w:r>
        <w:t xml:space="preserve">PID Act does not </w:t>
      </w:r>
      <w:r w:rsidR="006831BF">
        <w:t>specify how</w:t>
      </w:r>
      <w:r>
        <w:t xml:space="preserve"> an interview</w:t>
      </w:r>
      <w:r w:rsidR="006831BF">
        <w:t xml:space="preserve"> ought </w:t>
      </w:r>
      <w:r w:rsidR="00175968">
        <w:t>to be</w:t>
      </w:r>
      <w:r w:rsidR="006831BF">
        <w:t xml:space="preserve"> conducted</w:t>
      </w:r>
      <w:r>
        <w:t xml:space="preserve">. </w:t>
      </w:r>
      <w:r w:rsidR="00175968">
        <w:t>However,</w:t>
      </w:r>
      <w:r w:rsidR="007B551B">
        <w:t xml:space="preserve"> an </w:t>
      </w:r>
      <w:r w:rsidR="003B3A07">
        <w:t>investigating entity</w:t>
      </w:r>
      <w:r w:rsidR="007B551B">
        <w:t xml:space="preserve"> should ensure:</w:t>
      </w:r>
    </w:p>
    <w:p w14:paraId="32538EC0" w14:textId="5B34E804" w:rsidR="007B551B" w:rsidRDefault="00175968" w:rsidP="008D1DE6">
      <w:pPr>
        <w:pStyle w:val="ListParagraph"/>
        <w:numPr>
          <w:ilvl w:val="0"/>
          <w:numId w:val="5"/>
        </w:numPr>
      </w:pPr>
      <w:r>
        <w:t xml:space="preserve">they </w:t>
      </w:r>
      <w:r w:rsidR="007B551B">
        <w:t xml:space="preserve">explain </w:t>
      </w:r>
      <w:r w:rsidR="00B132D1">
        <w:t xml:space="preserve">to the interviewees </w:t>
      </w:r>
      <w:r w:rsidR="007B551B">
        <w:t>why they are conducting the interview;</w:t>
      </w:r>
    </w:p>
    <w:p w14:paraId="44EE8796" w14:textId="17B5B633" w:rsidR="007B551B" w:rsidRDefault="007B551B" w:rsidP="008D1DE6">
      <w:pPr>
        <w:pStyle w:val="ListParagraph"/>
        <w:numPr>
          <w:ilvl w:val="0"/>
          <w:numId w:val="5"/>
        </w:numPr>
      </w:pPr>
      <w:r>
        <w:t xml:space="preserve">the interviewee understands the role of the interviewer, and the PID Act in a general sense; </w:t>
      </w:r>
    </w:p>
    <w:p w14:paraId="484456FF" w14:textId="1BDA1DBF" w:rsidR="007B551B" w:rsidRDefault="00175968" w:rsidP="008D1DE6">
      <w:pPr>
        <w:pStyle w:val="ListParagraph"/>
        <w:numPr>
          <w:ilvl w:val="0"/>
          <w:numId w:val="5"/>
        </w:numPr>
      </w:pPr>
      <w:r>
        <w:lastRenderedPageBreak/>
        <w:t>they emphasise</w:t>
      </w:r>
      <w:r w:rsidR="007B551B">
        <w:t xml:space="preserve"> the need for confidentiality and the prohibition on detrimental action against an actual or suspected discloser</w:t>
      </w:r>
      <w:r w:rsidR="00027B98">
        <w:t>; and</w:t>
      </w:r>
    </w:p>
    <w:p w14:paraId="19B3DC51" w14:textId="0500EC29" w:rsidR="00027B98" w:rsidRDefault="00027B98" w:rsidP="008D1DE6">
      <w:pPr>
        <w:pStyle w:val="ListParagraph"/>
        <w:numPr>
          <w:ilvl w:val="0"/>
          <w:numId w:val="5"/>
        </w:numPr>
      </w:pPr>
      <w:r w:rsidRPr="00C8774A">
        <w:t>the interviewee is told about any employment obligations</w:t>
      </w:r>
      <w:r w:rsidR="00B132D1">
        <w:t xml:space="preserve"> requiring them to cooperate</w:t>
      </w:r>
      <w:r w:rsidRPr="00C8774A">
        <w:t xml:space="preserve"> and the consequences of </w:t>
      </w:r>
      <w:r w:rsidR="00B132D1">
        <w:t>refusing</w:t>
      </w:r>
      <w:r w:rsidRPr="00C8774A">
        <w:t xml:space="preserve"> to do so, but otherwise that they have no legal obligation to cooperate.</w:t>
      </w:r>
    </w:p>
    <w:p w14:paraId="0F708C95" w14:textId="3740C32C" w:rsidR="00C633F3" w:rsidRPr="00C8774A" w:rsidRDefault="00C633F3" w:rsidP="008D1DE6">
      <w:pPr>
        <w:pStyle w:val="ListParagraph"/>
        <w:numPr>
          <w:ilvl w:val="0"/>
          <w:numId w:val="5"/>
        </w:numPr>
      </w:pPr>
      <w:r>
        <w:t>in some cases, a refusal to answer questions may reasonably be regarded as adversely affecting credibility.</w:t>
      </w:r>
    </w:p>
    <w:p w14:paraId="322B2E16" w14:textId="1B467C59" w:rsidR="007B551B" w:rsidRDefault="00175968" w:rsidP="00B64693">
      <w:r>
        <w:t>When interviewing a witness or discloser, t</w:t>
      </w:r>
      <w:r w:rsidR="007B551B">
        <w:t xml:space="preserve">he interviewer </w:t>
      </w:r>
      <w:r w:rsidR="007B551B" w:rsidRPr="00175968">
        <w:t>must</w:t>
      </w:r>
      <w:r w:rsidR="007B551B">
        <w:t xml:space="preserve"> ensure they </w:t>
      </w:r>
      <w:r>
        <w:t>notify</w:t>
      </w:r>
      <w:r w:rsidR="007B551B">
        <w:t xml:space="preserve"> the interviewee that any answers they provide are protected under the PID Act. Doing so will</w:t>
      </w:r>
      <w:r w:rsidR="00912956">
        <w:t xml:space="preserve"> hopefully</w:t>
      </w:r>
      <w:r w:rsidR="007B551B">
        <w:t xml:space="preserve"> encourage the interviewee to provide </w:t>
      </w:r>
      <w:r>
        <w:t>accurate and comprehensive</w:t>
      </w:r>
      <w:r w:rsidR="007B551B">
        <w:t xml:space="preserve"> responses to the interviewer’s queries.</w:t>
      </w:r>
    </w:p>
    <w:p w14:paraId="2805C290" w14:textId="3734392B" w:rsidR="007B551B" w:rsidRDefault="007B551B" w:rsidP="00B64693">
      <w:r>
        <w:t xml:space="preserve">The investigator must ensure they make a record of any </w:t>
      </w:r>
      <w:r w:rsidR="000D4C8E">
        <w:t>interviews</w:t>
      </w:r>
      <w:r>
        <w:t xml:space="preserve"> they undertake. This can take the form either of a written record (</w:t>
      </w:r>
      <w:r w:rsidR="00B35C45">
        <w:t>eg</w:t>
      </w:r>
      <w:r>
        <w:t xml:space="preserve"> a file note) or, where the consent of the subject is given, an </w:t>
      </w:r>
      <w:r w:rsidR="007508EB">
        <w:t>audio or audio-visual</w:t>
      </w:r>
      <w:r>
        <w:t xml:space="preserve"> recording.</w:t>
      </w:r>
      <w:r w:rsidR="000D4C8E">
        <w:t xml:space="preserve"> </w:t>
      </w:r>
      <w:r w:rsidR="00B35C45">
        <w:t>Investigators must</w:t>
      </w:r>
      <w:r w:rsidR="00912956">
        <w:t xml:space="preserve"> </w:t>
      </w:r>
      <w:r w:rsidR="000D4C8E">
        <w:t>seek the consent of interview</w:t>
      </w:r>
      <w:r w:rsidR="00FE44F6">
        <w:t xml:space="preserve">ees </w:t>
      </w:r>
      <w:r w:rsidR="000D4C8E">
        <w:t xml:space="preserve">to </w:t>
      </w:r>
      <w:r w:rsidR="00FE44F6">
        <w:t>make an audio or audio-visual recording of</w:t>
      </w:r>
      <w:r w:rsidR="000D4C8E">
        <w:t xml:space="preserve"> any interviews</w:t>
      </w:r>
      <w:r w:rsidR="00B35C45">
        <w:t>, so as to comply with prohibitions on surveillance devices.</w:t>
      </w:r>
    </w:p>
    <w:p w14:paraId="6730E286" w14:textId="6AF63C9D" w:rsidR="00294A49" w:rsidRDefault="00294A49" w:rsidP="00B64693">
      <w:r>
        <w:t>It is best practice that the interview</w:t>
      </w:r>
      <w:r w:rsidR="00FE44F6">
        <w:t xml:space="preserve">ees </w:t>
      </w:r>
      <w:r>
        <w:t xml:space="preserve">be invited, at the </w:t>
      </w:r>
      <w:r w:rsidR="00175968">
        <w:t>end</w:t>
      </w:r>
      <w:r>
        <w:t xml:space="preserve"> of the interview, to provide any final statements or views which the </w:t>
      </w:r>
      <w:r w:rsidR="00FE44F6">
        <w:t>interviewee</w:t>
      </w:r>
      <w:r>
        <w:t xml:space="preserve"> considers relevant or important.</w:t>
      </w:r>
    </w:p>
    <w:p w14:paraId="4C3324A6" w14:textId="36689035" w:rsidR="005C2C02" w:rsidRPr="0060798D" w:rsidRDefault="005C2C02" w:rsidP="00B64693">
      <w:r>
        <w:rPr>
          <w:b/>
          <w:bCs/>
        </w:rPr>
        <w:t>Important:</w:t>
      </w:r>
      <w:r w:rsidR="0060798D">
        <w:t xml:space="preserve"> When interviewing </w:t>
      </w:r>
      <w:r w:rsidR="00462FB0">
        <w:t>subjects,</w:t>
      </w:r>
      <w:r w:rsidR="0060798D">
        <w:t xml:space="preserve"> it is important to remind them of the need for </w:t>
      </w:r>
      <w:r w:rsidR="00B35C45">
        <w:t>confidentiality</w:t>
      </w:r>
      <w:r w:rsidR="0060798D">
        <w:t xml:space="preserve"> and not to tell anyone about their participation in an investigation. This applies also, where applicable, to any support persons who may be present.</w:t>
      </w:r>
    </w:p>
    <w:p w14:paraId="0BEC7EBA" w14:textId="7A194C52" w:rsidR="007B551B" w:rsidRDefault="00175968" w:rsidP="003F77B8">
      <w:r>
        <w:rPr>
          <w:b/>
          <w:bCs/>
        </w:rPr>
        <w:t>Note</w:t>
      </w:r>
      <w:r w:rsidR="00294A49">
        <w:rPr>
          <w:b/>
          <w:bCs/>
        </w:rPr>
        <w:t xml:space="preserve">: </w:t>
      </w:r>
      <w:r w:rsidR="00294A49">
        <w:t>Part</w:t>
      </w:r>
      <w:r w:rsidR="007B551B">
        <w:t xml:space="preserve"> 3 of the</w:t>
      </w:r>
      <w:r w:rsidR="00B64693">
        <w:t xml:space="preserve"> Commonwealth </w:t>
      </w:r>
      <w:r w:rsidR="00B64693">
        <w:rPr>
          <w:i/>
          <w:iCs/>
        </w:rPr>
        <w:t>Public Interest Disclosure Standard 2013</w:t>
      </w:r>
      <w:r w:rsidR="007B551B">
        <w:t xml:space="preserve"> provides </w:t>
      </w:r>
      <w:r w:rsidR="00ED32E5">
        <w:t xml:space="preserve">guidance </w:t>
      </w:r>
      <w:r w:rsidR="007B551B">
        <w:t xml:space="preserve">which may be of assistance to </w:t>
      </w:r>
      <w:r w:rsidR="003B3A07">
        <w:t>investigating entities</w:t>
      </w:r>
      <w:r w:rsidR="00294A49">
        <w:t xml:space="preserve"> in conducting interviews</w:t>
      </w:r>
      <w:r w:rsidR="00B35C45">
        <w:t xml:space="preserve"> (see </w:t>
      </w:r>
      <w:r w:rsidR="00944791" w:rsidRPr="00944791">
        <w:rPr>
          <w:b/>
          <w:bCs/>
        </w:rPr>
        <w:fldChar w:fldCharType="begin"/>
      </w:r>
      <w:r w:rsidR="00944791" w:rsidRPr="00944791">
        <w:rPr>
          <w:b/>
          <w:bCs/>
        </w:rPr>
        <w:instrText xml:space="preserve"> REF _Ref65657123 \h </w:instrText>
      </w:r>
      <w:r w:rsidR="00944791">
        <w:rPr>
          <w:b/>
          <w:bCs/>
        </w:rPr>
        <w:instrText xml:space="preserve"> \* MERGEFORMAT </w:instrText>
      </w:r>
      <w:r w:rsidR="00944791" w:rsidRPr="00944791">
        <w:rPr>
          <w:b/>
          <w:bCs/>
        </w:rPr>
      </w:r>
      <w:r w:rsidR="00944791" w:rsidRPr="00944791">
        <w:rPr>
          <w:b/>
          <w:bCs/>
        </w:rPr>
        <w:fldChar w:fldCharType="separate"/>
      </w:r>
      <w:r w:rsidR="00245E6D" w:rsidRPr="00245E6D">
        <w:rPr>
          <w:b/>
          <w:bCs/>
        </w:rPr>
        <w:t>Related material</w:t>
      </w:r>
      <w:r w:rsidR="00944791" w:rsidRPr="00944791">
        <w:rPr>
          <w:b/>
          <w:bCs/>
        </w:rPr>
        <w:fldChar w:fldCharType="end"/>
      </w:r>
      <w:r w:rsidR="00B35C45">
        <w:t>)</w:t>
      </w:r>
      <w:r w:rsidR="00294A49">
        <w:t>.</w:t>
      </w:r>
      <w:r w:rsidR="00B35C45">
        <w:rPr>
          <w:rStyle w:val="FootnoteReference"/>
        </w:rPr>
        <w:footnoteReference w:id="96"/>
      </w:r>
    </w:p>
    <w:p w14:paraId="4CCE0EA1" w14:textId="55817291" w:rsidR="00EA6FAC" w:rsidRDefault="00EA6FAC" w:rsidP="0087701B">
      <w:pPr>
        <w:pStyle w:val="Heading3"/>
      </w:pPr>
      <w:bookmarkStart w:id="210" w:name="_Ref62634106"/>
      <w:bookmarkStart w:id="211" w:name="_Ref65160433"/>
      <w:bookmarkStart w:id="212" w:name="_Toc67904023"/>
      <w:bookmarkStart w:id="213" w:name="_Toc75255196"/>
      <w:r>
        <w:t>Procedural fairness</w:t>
      </w:r>
      <w:bookmarkEnd w:id="210"/>
      <w:bookmarkEnd w:id="211"/>
      <w:bookmarkEnd w:id="212"/>
      <w:bookmarkEnd w:id="213"/>
    </w:p>
    <w:p w14:paraId="0DA61994" w14:textId="63A72FA1" w:rsidR="009B7DF1" w:rsidRDefault="00D8719A" w:rsidP="009B7DF1">
      <w:r>
        <w:t>The</w:t>
      </w:r>
      <w:r w:rsidR="009B7DF1">
        <w:t xml:space="preserve"> </w:t>
      </w:r>
      <w:r w:rsidR="003B3A07">
        <w:t>investigating entity</w:t>
      </w:r>
      <w:r w:rsidR="009B7DF1">
        <w:t xml:space="preserve"> must ensure that a person against whom </w:t>
      </w:r>
      <w:r>
        <w:t>possible adverse findings</w:t>
      </w:r>
      <w:r w:rsidR="009B7DF1">
        <w:t xml:space="preserve"> are </w:t>
      </w:r>
      <w:r>
        <w:t xml:space="preserve">to be </w:t>
      </w:r>
      <w:r w:rsidR="009B7DF1">
        <w:t xml:space="preserve">made is accorded procedural fairness (also known as ‘natural justice’). If adverse information </w:t>
      </w:r>
      <w:r w:rsidR="007508EB">
        <w:t>becomes known</w:t>
      </w:r>
      <w:r w:rsidR="009B7DF1">
        <w:t xml:space="preserve"> about others </w:t>
      </w:r>
      <w:r w:rsidR="00707154">
        <w:t>during</w:t>
      </w:r>
      <w:r w:rsidR="009B7DF1">
        <w:t xml:space="preserve"> the investigation</w:t>
      </w:r>
      <w:r>
        <w:t>, and that information may inform an adverse finding or outcome for them,</w:t>
      </w:r>
      <w:r w:rsidR="009B7DF1">
        <w:t xml:space="preserve"> </w:t>
      </w:r>
      <w:r w:rsidR="00707154">
        <w:t>those people</w:t>
      </w:r>
      <w:r w:rsidR="009B7DF1">
        <w:t xml:space="preserve"> are also entitled to procedural fairness. This could include the discloser.</w:t>
      </w:r>
    </w:p>
    <w:p w14:paraId="58019C0E" w14:textId="64B705FF" w:rsidR="009B7DF1" w:rsidRDefault="009B7DF1" w:rsidP="009B7DF1">
      <w:r>
        <w:t xml:space="preserve">What procedural fairness requires varies with the circumstances, but </w:t>
      </w:r>
      <w:r w:rsidR="007508EB">
        <w:t>it</w:t>
      </w:r>
      <w:r>
        <w:t xml:space="preserve"> means</w:t>
      </w:r>
      <w:r w:rsidR="00B35C45">
        <w:t xml:space="preserve">, in substance, </w:t>
      </w:r>
      <w:r>
        <w:t>that the person is entitled to:</w:t>
      </w:r>
    </w:p>
    <w:p w14:paraId="25006370" w14:textId="5F02AB08" w:rsidR="009B7DF1" w:rsidRDefault="009B7DF1" w:rsidP="00061417">
      <w:pPr>
        <w:pStyle w:val="ListParagraph"/>
        <w:numPr>
          <w:ilvl w:val="0"/>
          <w:numId w:val="17"/>
        </w:numPr>
      </w:pPr>
      <w:r>
        <w:t>have a decision-maker act fairly and without bias;</w:t>
      </w:r>
    </w:p>
    <w:p w14:paraId="1AF37650" w14:textId="038049E0" w:rsidR="009B7DF1" w:rsidRDefault="009B7DF1" w:rsidP="00061417">
      <w:pPr>
        <w:pStyle w:val="ListParagraph"/>
        <w:numPr>
          <w:ilvl w:val="0"/>
          <w:numId w:val="17"/>
        </w:numPr>
      </w:pPr>
      <w:r>
        <w:t xml:space="preserve">know the substance of allegations and evidence against them </w:t>
      </w:r>
      <w:r w:rsidR="00C633F3">
        <w:t xml:space="preserve">before </w:t>
      </w:r>
      <w:r>
        <w:t xml:space="preserve">an adverse finding is going to be made about </w:t>
      </w:r>
      <w:r w:rsidR="00B35C45">
        <w:t>them</w:t>
      </w:r>
      <w:r>
        <w:t>; and</w:t>
      </w:r>
    </w:p>
    <w:p w14:paraId="090E9E80" w14:textId="53F746A0" w:rsidR="009B7DF1" w:rsidRDefault="009B7DF1" w:rsidP="00061417">
      <w:pPr>
        <w:pStyle w:val="ListParagraph"/>
        <w:numPr>
          <w:ilvl w:val="0"/>
          <w:numId w:val="17"/>
        </w:numPr>
      </w:pPr>
      <w:r>
        <w:t>have a reasonable opportunity to respond</w:t>
      </w:r>
      <w:r w:rsidR="00C633F3">
        <w:t xml:space="preserve"> before the finding is made</w:t>
      </w:r>
      <w:r>
        <w:t>.</w:t>
      </w:r>
    </w:p>
    <w:p w14:paraId="3A0ABADB" w14:textId="17E70967" w:rsidR="00366CB4" w:rsidRPr="004E12C5" w:rsidRDefault="00366CB4" w:rsidP="00366CB4">
      <w:r w:rsidRPr="004E12C5">
        <w:t>The investigator is not a decision-maker for the purposes of the rules of procedural fairness</w:t>
      </w:r>
      <w:r w:rsidR="00B35C45">
        <w:t>. However,</w:t>
      </w:r>
      <w:r w:rsidRPr="004E12C5">
        <w:t xml:space="preserve"> as already mentioned, an adequate and fairly conducted investigation should involve obtaining from any person whose conduct may be impugned an explanation of the relevant facts</w:t>
      </w:r>
      <w:r w:rsidR="00B35C45">
        <w:t xml:space="preserve"> or their version of events</w:t>
      </w:r>
      <w:r w:rsidRPr="004E12C5">
        <w:t>.</w:t>
      </w:r>
    </w:p>
    <w:p w14:paraId="415978B0" w14:textId="060EE5EE" w:rsidR="00366CB4" w:rsidRDefault="00366CB4" w:rsidP="00366CB4">
      <w:r w:rsidRPr="004E12C5">
        <w:t>Where an adverse decision is being contemplated, the applicable employment arrangements may well mandate a process that includes giving the employee an opportunity to be heard. This process will suffice where it is followed. In the absence of such an arrangement (as where the person affected is not covered by such arrangements) procedural fairness must be nevertheless afforded before a decision is made.</w:t>
      </w:r>
    </w:p>
    <w:p w14:paraId="04979D8D" w14:textId="4783E5A4" w:rsidR="00944791" w:rsidRDefault="00944791" w:rsidP="00366CB4"/>
    <w:p w14:paraId="2A0D9FFE" w14:textId="77777777" w:rsidR="00944791" w:rsidRDefault="00944791" w:rsidP="00366CB4"/>
    <w:p w14:paraId="06F52D45" w14:textId="39E1FD15" w:rsidR="00EA6FAC" w:rsidRPr="00EA6FAC" w:rsidRDefault="00EA6FAC" w:rsidP="0087701B">
      <w:pPr>
        <w:pStyle w:val="Heading3"/>
      </w:pPr>
      <w:bookmarkStart w:id="214" w:name="_Ref64028896"/>
      <w:bookmarkStart w:id="215" w:name="_Toc67904024"/>
      <w:bookmarkStart w:id="216" w:name="_Toc75255197"/>
      <w:r>
        <w:lastRenderedPageBreak/>
        <w:t>Ensuring confidentiality of the investigation</w:t>
      </w:r>
      <w:bookmarkEnd w:id="214"/>
      <w:bookmarkEnd w:id="215"/>
      <w:bookmarkEnd w:id="216"/>
      <w:r>
        <w:t xml:space="preserve"> </w:t>
      </w:r>
    </w:p>
    <w:p w14:paraId="723CF8F9" w14:textId="6C6E9B69" w:rsidR="001D7145" w:rsidRDefault="00996585" w:rsidP="00B00F29">
      <w:bookmarkStart w:id="217" w:name="_Ref61867398"/>
      <w:r>
        <w:t>The</w:t>
      </w:r>
      <w:r w:rsidR="0042531D">
        <w:t xml:space="preserve"> PID Act provides for the offence of </w:t>
      </w:r>
      <w:r w:rsidR="006E18B3">
        <w:t xml:space="preserve">recklessly </w:t>
      </w:r>
      <w:r w:rsidR="0042531D">
        <w:t>using or divulging protection information.</w:t>
      </w:r>
      <w:r>
        <w:rPr>
          <w:rStyle w:val="FootnoteReference"/>
        </w:rPr>
        <w:footnoteReference w:id="97"/>
      </w:r>
      <w:r w:rsidR="0042531D">
        <w:t xml:space="preserve"> Protected</w:t>
      </w:r>
      <w:r w:rsidR="00462FB0">
        <w:t xml:space="preserve"> </w:t>
      </w:r>
      <w:r w:rsidR="0042531D">
        <w:t>information under the PID Act is</w:t>
      </w:r>
      <w:r w:rsidR="00C72BD6">
        <w:t xml:space="preserve"> </w:t>
      </w:r>
      <w:r w:rsidR="00C72BD6" w:rsidRPr="00C72BD6">
        <w:t>information about a person that is disclosed to, or obtained by, a person</w:t>
      </w:r>
      <w:r w:rsidR="00D8719A">
        <w:t xml:space="preserve"> </w:t>
      </w:r>
      <w:r w:rsidR="00C72BD6" w:rsidRPr="00C72BD6">
        <w:t xml:space="preserve">because of the exercise of a function under </w:t>
      </w:r>
      <w:r w:rsidR="00C72BD6">
        <w:t>the PID</w:t>
      </w:r>
      <w:r w:rsidR="00C72BD6" w:rsidRPr="00C72BD6">
        <w:t xml:space="preserve"> Act.</w:t>
      </w:r>
      <w:r w:rsidR="00C72BD6">
        <w:rPr>
          <w:rStyle w:val="FootnoteReference"/>
        </w:rPr>
        <w:footnoteReference w:id="98"/>
      </w:r>
      <w:r w:rsidR="006E18B3">
        <w:t xml:space="preserve"> In short, where someone obtains information about another person in relation to a PID </w:t>
      </w:r>
      <w:r w:rsidR="001D7145">
        <w:t>by exercising a function under the PID Act, they must ensure they treat that information carefully</w:t>
      </w:r>
      <w:r w:rsidR="00D8719A">
        <w:t xml:space="preserve"> and confidentially</w:t>
      </w:r>
      <w:r w:rsidR="001D7145">
        <w:t xml:space="preserve">. In addition, </w:t>
      </w:r>
      <w:r w:rsidR="00504F19">
        <w:t>much</w:t>
      </w:r>
      <w:r w:rsidR="001D7145">
        <w:t xml:space="preserve"> of the risk</w:t>
      </w:r>
      <w:r w:rsidR="00504F19">
        <w:t xml:space="preserve"> </w:t>
      </w:r>
      <w:r w:rsidR="001D7145">
        <w:t xml:space="preserve">of detrimental action </w:t>
      </w:r>
      <w:r w:rsidR="00495F26">
        <w:t>can be minimised if the</w:t>
      </w:r>
      <w:r w:rsidR="00B35C45">
        <w:t xml:space="preserve"> fact of the</w:t>
      </w:r>
      <w:r w:rsidR="00495F26">
        <w:t xml:space="preserve"> investigation and identities of those involved are kept as confidential as possible.</w:t>
      </w:r>
    </w:p>
    <w:p w14:paraId="37F6D021" w14:textId="39FFF78F" w:rsidR="00495F26" w:rsidRDefault="00495F26" w:rsidP="00B00F29">
      <w:r>
        <w:t>The PID Act allow</w:t>
      </w:r>
      <w:r w:rsidR="00D8719A">
        <w:t>s</w:t>
      </w:r>
      <w:r>
        <w:t xml:space="preserve"> for </w:t>
      </w:r>
      <w:r w:rsidR="00D8719A">
        <w:t xml:space="preserve">protected </w:t>
      </w:r>
      <w:r>
        <w:t>information to be shared where the information is used or divulged:</w:t>
      </w:r>
    </w:p>
    <w:p w14:paraId="38E58067" w14:textId="44B8D865" w:rsidR="00495F26" w:rsidRDefault="00495F26" w:rsidP="00061417">
      <w:pPr>
        <w:pStyle w:val="ListParagraph"/>
        <w:numPr>
          <w:ilvl w:val="0"/>
          <w:numId w:val="18"/>
        </w:numPr>
      </w:pPr>
      <w:r w:rsidRPr="00495F26">
        <w:t xml:space="preserve">under </w:t>
      </w:r>
      <w:r w:rsidR="00D8719A">
        <w:t>the PID</w:t>
      </w:r>
      <w:r w:rsidRPr="00495F26">
        <w:t xml:space="preserve"> Act or another </w:t>
      </w:r>
      <w:r w:rsidR="00D8719A">
        <w:t>T</w:t>
      </w:r>
      <w:r w:rsidRPr="00495F26">
        <w:t>erritory law;</w:t>
      </w:r>
      <w:r>
        <w:rPr>
          <w:rStyle w:val="FootnoteReference"/>
        </w:rPr>
        <w:footnoteReference w:id="99"/>
      </w:r>
      <w:r w:rsidRPr="00495F26">
        <w:t xml:space="preserve"> </w:t>
      </w:r>
    </w:p>
    <w:p w14:paraId="09135C4F" w14:textId="2E02F176" w:rsidR="00495F26" w:rsidRDefault="00495F26" w:rsidP="00061417">
      <w:pPr>
        <w:pStyle w:val="ListParagraph"/>
        <w:numPr>
          <w:ilvl w:val="0"/>
          <w:numId w:val="18"/>
        </w:numPr>
      </w:pPr>
      <w:r w:rsidRPr="00495F26">
        <w:t>in relation to the exercise of a function</w:t>
      </w:r>
      <w:r>
        <w:t xml:space="preserve"> </w:t>
      </w:r>
      <w:r w:rsidRPr="00495F26">
        <w:t xml:space="preserve">under </w:t>
      </w:r>
      <w:r>
        <w:t>the PID</w:t>
      </w:r>
      <w:r w:rsidRPr="00495F26">
        <w:t xml:space="preserve"> Act or another </w:t>
      </w:r>
      <w:r w:rsidR="00D8719A">
        <w:t>T</w:t>
      </w:r>
      <w:r w:rsidRPr="00495F26">
        <w:t>erritory law</w:t>
      </w:r>
      <w:r>
        <w:t>;</w:t>
      </w:r>
      <w:r>
        <w:rPr>
          <w:rStyle w:val="FootnoteReference"/>
        </w:rPr>
        <w:footnoteReference w:id="100"/>
      </w:r>
    </w:p>
    <w:p w14:paraId="7A69B410" w14:textId="60472E60" w:rsidR="00495F26" w:rsidRDefault="00495F26" w:rsidP="00061417">
      <w:pPr>
        <w:pStyle w:val="ListParagraph"/>
        <w:numPr>
          <w:ilvl w:val="0"/>
          <w:numId w:val="18"/>
        </w:numPr>
      </w:pPr>
      <w:r w:rsidRPr="00495F26">
        <w:t>in a court proceeding</w:t>
      </w:r>
      <w:r>
        <w:t>;</w:t>
      </w:r>
      <w:r w:rsidR="00996585" w:rsidRPr="00996585">
        <w:rPr>
          <w:rStyle w:val="FootnoteReference"/>
        </w:rPr>
        <w:t xml:space="preserve"> </w:t>
      </w:r>
      <w:r w:rsidR="00996585">
        <w:rPr>
          <w:rStyle w:val="FootnoteReference"/>
        </w:rPr>
        <w:footnoteReference w:id="101"/>
      </w:r>
      <w:r>
        <w:t xml:space="preserve"> </w:t>
      </w:r>
      <w:r w:rsidR="00FE44F6">
        <w:t>or</w:t>
      </w:r>
    </w:p>
    <w:p w14:paraId="3EF9E7E3" w14:textId="2721376C" w:rsidR="00495F26" w:rsidRDefault="00495F26" w:rsidP="00061417">
      <w:pPr>
        <w:pStyle w:val="ListParagraph"/>
        <w:numPr>
          <w:ilvl w:val="0"/>
          <w:numId w:val="18"/>
        </w:numPr>
      </w:pPr>
      <w:r>
        <w:t>with the consent of the person to whom the information relates.</w:t>
      </w:r>
      <w:r>
        <w:rPr>
          <w:rStyle w:val="FootnoteReference"/>
        </w:rPr>
        <w:footnoteReference w:id="102"/>
      </w:r>
    </w:p>
    <w:p w14:paraId="04D36353" w14:textId="366DCB65" w:rsidR="00495F26" w:rsidRDefault="00495F26" w:rsidP="00495F26">
      <w:r>
        <w:t xml:space="preserve">To satisfy these confidentiality requirements, and to minimise the possibility of detrimental action </w:t>
      </w:r>
      <w:r w:rsidR="00504F19">
        <w:t xml:space="preserve">being taken </w:t>
      </w:r>
      <w:r>
        <w:t>against the discloser</w:t>
      </w:r>
      <w:r w:rsidR="00504F19">
        <w:t xml:space="preserve"> (or general detriment to</w:t>
      </w:r>
      <w:r>
        <w:t xml:space="preserve"> witnesses</w:t>
      </w:r>
      <w:r w:rsidR="00504F19">
        <w:t>)</w:t>
      </w:r>
      <w:r>
        <w:t xml:space="preserve">, </w:t>
      </w:r>
      <w:r w:rsidR="003B3A07">
        <w:t>investigating entities</w:t>
      </w:r>
      <w:r>
        <w:t xml:space="preserve"> should establish a secure record</w:t>
      </w:r>
      <w:r w:rsidR="00504F19">
        <w:t xml:space="preserve"> keeping</w:t>
      </w:r>
      <w:r>
        <w:t xml:space="preserve"> system. </w:t>
      </w:r>
      <w:r w:rsidR="003B3A07">
        <w:t xml:space="preserve">Investigating </w:t>
      </w:r>
      <w:r w:rsidR="004C5F65">
        <w:t>entities</w:t>
      </w:r>
      <w:r>
        <w:t xml:space="preserve"> should ensure that:</w:t>
      </w:r>
    </w:p>
    <w:p w14:paraId="3C962A5D" w14:textId="022C6FC4" w:rsidR="00495F26" w:rsidRDefault="00495F26" w:rsidP="00061417">
      <w:pPr>
        <w:pStyle w:val="ListParagraph"/>
        <w:numPr>
          <w:ilvl w:val="0"/>
          <w:numId w:val="19"/>
        </w:numPr>
      </w:pPr>
      <w:r>
        <w:t xml:space="preserve">all paper and electronic documents and files are secure and only able to be accessed </w:t>
      </w:r>
      <w:r w:rsidR="00D8719A">
        <w:t xml:space="preserve">by </w:t>
      </w:r>
      <w:r>
        <w:t xml:space="preserve">those with a </w:t>
      </w:r>
      <w:r w:rsidR="00504F19">
        <w:t>need-to-know and</w:t>
      </w:r>
      <w:r w:rsidR="00912956">
        <w:t xml:space="preserve"> </w:t>
      </w:r>
      <w:r w:rsidR="00B35C45">
        <w:t>authority</w:t>
      </w:r>
      <w:r w:rsidR="00912956">
        <w:t xml:space="preserve"> to do so</w:t>
      </w:r>
      <w:r>
        <w:t>;</w:t>
      </w:r>
    </w:p>
    <w:p w14:paraId="67E40900" w14:textId="7D6A9411" w:rsidR="00495F26" w:rsidRDefault="00495F26" w:rsidP="00061417">
      <w:pPr>
        <w:pStyle w:val="ListParagraph"/>
        <w:numPr>
          <w:ilvl w:val="0"/>
          <w:numId w:val="19"/>
        </w:numPr>
      </w:pPr>
      <w:r>
        <w:t>other materials</w:t>
      </w:r>
      <w:r w:rsidR="00D8719A">
        <w:t>,</w:t>
      </w:r>
      <w:r>
        <w:t xml:space="preserve"> such as interview tapes</w:t>
      </w:r>
      <w:r w:rsidR="00D8719A">
        <w:t>,</w:t>
      </w:r>
      <w:r>
        <w:t xml:space="preserve"> are stored securely with access only by those with a need</w:t>
      </w:r>
      <w:r w:rsidR="00FE44F6">
        <w:t>-</w:t>
      </w:r>
      <w:r>
        <w:t>to</w:t>
      </w:r>
      <w:r w:rsidR="00FE44F6">
        <w:t>-</w:t>
      </w:r>
      <w:r>
        <w:t>know</w:t>
      </w:r>
      <w:r w:rsidR="00912956">
        <w:t xml:space="preserve"> and </w:t>
      </w:r>
      <w:r w:rsidR="00B35C45">
        <w:t>authority</w:t>
      </w:r>
      <w:r w:rsidR="00912956">
        <w:t xml:space="preserve"> to do so</w:t>
      </w:r>
      <w:r>
        <w:t>; and</w:t>
      </w:r>
    </w:p>
    <w:p w14:paraId="323A2F53" w14:textId="7DC86C32" w:rsidR="00495F26" w:rsidRDefault="00495F26" w:rsidP="00061417">
      <w:pPr>
        <w:pStyle w:val="ListParagraph"/>
        <w:numPr>
          <w:ilvl w:val="0"/>
          <w:numId w:val="19"/>
        </w:numPr>
      </w:pPr>
      <w:r>
        <w:t>communications and documents relating to the investigation are not sent to an email address to which other staff have access</w:t>
      </w:r>
      <w:r w:rsidR="00504F19">
        <w:t>,</w:t>
      </w:r>
      <w:r>
        <w:t xml:space="preserve"> or to a printer or fax machine in </w:t>
      </w:r>
      <w:r w:rsidR="007508EB">
        <w:t>an unsecured area</w:t>
      </w:r>
      <w:r>
        <w:t>.</w:t>
      </w:r>
    </w:p>
    <w:p w14:paraId="4058032D" w14:textId="03162C21" w:rsidR="00495F26" w:rsidRPr="00A42290" w:rsidRDefault="00495F26" w:rsidP="00495F26">
      <w:r>
        <w:t xml:space="preserve">The identity of a person who is the subject of allegations or an investigation should be protected as much as </w:t>
      </w:r>
      <w:r w:rsidR="00C633F3">
        <w:t xml:space="preserve">is </w:t>
      </w:r>
      <w:r>
        <w:t xml:space="preserve">practicable. Information that identifies them should only be passed to those involved in the investigation or in taking other necessary action under the PID Act (such as action to minimise the risk of </w:t>
      </w:r>
      <w:r w:rsidR="00D935B4">
        <w:t>detrimental</w:t>
      </w:r>
      <w:r w:rsidR="00462FB0">
        <w:t xml:space="preserve"> </w:t>
      </w:r>
      <w:r w:rsidR="00D935B4">
        <w:t>action being taken</w:t>
      </w:r>
      <w:r>
        <w:t xml:space="preserve"> against the discloser).</w:t>
      </w:r>
      <w:r w:rsidR="00361370">
        <w:rPr>
          <w:rStyle w:val="FootnoteReference"/>
        </w:rPr>
        <w:footnoteReference w:id="103"/>
      </w:r>
      <w:r w:rsidR="00D8719A">
        <w:t xml:space="preserve"> However, there may be legitimate reasons why the identi</w:t>
      </w:r>
      <w:r w:rsidR="00B35C45">
        <w:t>t</w:t>
      </w:r>
      <w:r w:rsidR="00D8719A">
        <w:t xml:space="preserve">y of persons involved may have to become known (see </w:t>
      </w:r>
      <w:r w:rsidR="00EF0377" w:rsidRPr="00EF0377">
        <w:rPr>
          <w:b/>
          <w:bCs/>
        </w:rPr>
        <w:fldChar w:fldCharType="begin"/>
      </w:r>
      <w:r w:rsidR="00EF0377" w:rsidRPr="00EF0377">
        <w:rPr>
          <w:b/>
          <w:bCs/>
        </w:rPr>
        <w:instrText xml:space="preserve"> REF _Ref63241809 \h </w:instrText>
      </w:r>
      <w:r w:rsidR="00EF0377">
        <w:rPr>
          <w:b/>
          <w:bCs/>
        </w:rPr>
        <w:instrText xml:space="preserve"> \* MERGEFORMAT </w:instrText>
      </w:r>
      <w:r w:rsidR="00EF0377" w:rsidRPr="00EF0377">
        <w:rPr>
          <w:b/>
          <w:bCs/>
        </w:rPr>
      </w:r>
      <w:r w:rsidR="00EF0377" w:rsidRPr="00EF0377">
        <w:rPr>
          <w:b/>
          <w:bCs/>
        </w:rPr>
        <w:fldChar w:fldCharType="separate"/>
      </w:r>
      <w:r w:rsidR="00245E6D" w:rsidRPr="00245E6D">
        <w:rPr>
          <w:b/>
          <w:bCs/>
        </w:rPr>
        <w:t>The need to protect the identity of disclosers</w:t>
      </w:r>
      <w:r w:rsidR="00EF0377" w:rsidRPr="00EF0377">
        <w:rPr>
          <w:b/>
          <w:bCs/>
        </w:rPr>
        <w:fldChar w:fldCharType="end"/>
      </w:r>
      <w:r w:rsidR="00A42290">
        <w:t>).</w:t>
      </w:r>
    </w:p>
    <w:p w14:paraId="7ECD9CE8" w14:textId="7D437A81" w:rsidR="00EA6FAC" w:rsidRDefault="006605B9" w:rsidP="0087701B">
      <w:pPr>
        <w:pStyle w:val="Heading3"/>
      </w:pPr>
      <w:bookmarkStart w:id="218" w:name="_Toc67904025"/>
      <w:bookmarkStart w:id="219" w:name="_Toc75255198"/>
      <w:r>
        <w:t>I</w:t>
      </w:r>
      <w:r w:rsidR="00EA6FAC">
        <w:t>nvestigation time limits</w:t>
      </w:r>
      <w:bookmarkEnd w:id="218"/>
      <w:bookmarkEnd w:id="219"/>
    </w:p>
    <w:p w14:paraId="33C8143C" w14:textId="077AF675" w:rsidR="00587652" w:rsidRDefault="00587652" w:rsidP="00BD79BC">
      <w:r>
        <w:t xml:space="preserve">The PID Act does not dictate </w:t>
      </w:r>
      <w:r w:rsidR="002F25D3">
        <w:t>a</w:t>
      </w:r>
      <w:r>
        <w:t xml:space="preserve"> maximum time in which a</w:t>
      </w:r>
      <w:r w:rsidR="006605B9">
        <w:t xml:space="preserve">n </w:t>
      </w:r>
      <w:r>
        <w:t>investigation must conclude. The only time limitation relevant to a</w:t>
      </w:r>
      <w:r w:rsidR="006605B9">
        <w:t>n</w:t>
      </w:r>
      <w:r>
        <w:t xml:space="preserve"> investigation are the </w:t>
      </w:r>
      <w:r w:rsidR="002F25D3">
        <w:t xml:space="preserve">quarterly </w:t>
      </w:r>
      <w:r>
        <w:t xml:space="preserve">notification obligations that </w:t>
      </w:r>
      <w:r w:rsidR="003B3A07">
        <w:t>investigating entities</w:t>
      </w:r>
      <w:r>
        <w:t xml:space="preserve"> have to disclosers </w:t>
      </w:r>
      <w:r w:rsidR="002F25D3">
        <w:t xml:space="preserve">(see </w:t>
      </w:r>
      <w:r w:rsidR="005D41A2" w:rsidRPr="005D41A2">
        <w:rPr>
          <w:b/>
          <w:bCs/>
        </w:rPr>
        <w:fldChar w:fldCharType="begin"/>
      </w:r>
      <w:r w:rsidR="005D41A2" w:rsidRPr="005D41A2">
        <w:rPr>
          <w:b/>
          <w:bCs/>
        </w:rPr>
        <w:instrText xml:space="preserve"> REF _Ref63951816 \h </w:instrText>
      </w:r>
      <w:r w:rsidR="005D41A2">
        <w:rPr>
          <w:b/>
          <w:bCs/>
        </w:rPr>
        <w:instrText xml:space="preserve"> \* MERGEFORMAT </w:instrText>
      </w:r>
      <w:r w:rsidR="005D41A2" w:rsidRPr="005D41A2">
        <w:rPr>
          <w:b/>
          <w:bCs/>
        </w:rPr>
      </w:r>
      <w:r w:rsidR="005D41A2" w:rsidRPr="005D41A2">
        <w:rPr>
          <w:b/>
          <w:bCs/>
        </w:rPr>
        <w:fldChar w:fldCharType="separate"/>
      </w:r>
      <w:r w:rsidR="00245E6D" w:rsidRPr="00245E6D">
        <w:rPr>
          <w:b/>
          <w:bCs/>
        </w:rPr>
        <w:t>Keeping the discloser and the Commission informed</w:t>
      </w:r>
      <w:r w:rsidR="005D41A2" w:rsidRPr="005D41A2">
        <w:rPr>
          <w:b/>
          <w:bCs/>
        </w:rPr>
        <w:fldChar w:fldCharType="end"/>
      </w:r>
      <w:r w:rsidR="002F25D3">
        <w:t xml:space="preserve">). </w:t>
      </w:r>
      <w:r w:rsidR="004E12C5" w:rsidRPr="00DF2DF4">
        <w:t xml:space="preserve">Despite there being no statutory time frame in which to complete an investigation, </w:t>
      </w:r>
      <w:r w:rsidR="004E12C5">
        <w:t>it is obvious</w:t>
      </w:r>
      <w:r w:rsidR="004E12C5" w:rsidRPr="00DF2DF4">
        <w:t xml:space="preserve"> that investigations</w:t>
      </w:r>
      <w:r w:rsidR="004E12C5">
        <w:t xml:space="preserve"> should</w:t>
      </w:r>
      <w:r w:rsidR="004E12C5" w:rsidRPr="00DF2DF4">
        <w:t xml:space="preserve"> be completed in as timely a fashion as </w:t>
      </w:r>
      <w:r w:rsidR="004E12C5">
        <w:t>practicable</w:t>
      </w:r>
      <w:r w:rsidR="004E12C5" w:rsidRPr="00DF2DF4">
        <w:t xml:space="preserve">. </w:t>
      </w:r>
    </w:p>
    <w:p w14:paraId="2664A095" w14:textId="0AAB8557" w:rsidR="00A42290" w:rsidRPr="00DF2DF4" w:rsidRDefault="00A42290" w:rsidP="00BD79BC">
      <w:r>
        <w:rPr>
          <w:b/>
          <w:bCs/>
        </w:rPr>
        <w:t>Note</w:t>
      </w:r>
      <w:r>
        <w:t xml:space="preserve">: While the PID Act specifies updates at least quarterly, nothing prevents the </w:t>
      </w:r>
      <w:r w:rsidR="003B3A07">
        <w:t>investigating entity</w:t>
      </w:r>
      <w:r>
        <w:t xml:space="preserve"> from providing them more frequently. Research shows that disclosers may become dissatisfied if they feel nothing is happening in response to their report.</w:t>
      </w:r>
      <w:r>
        <w:rPr>
          <w:rStyle w:val="FootnoteReference"/>
        </w:rPr>
        <w:footnoteReference w:id="104"/>
      </w:r>
      <w:r>
        <w:t xml:space="preserve"> </w:t>
      </w:r>
      <w:r w:rsidR="00DF2DF4">
        <w:t>Where disclosers are dissatisfied, there may be a heightened risk that negative</w:t>
      </w:r>
      <w:r w:rsidR="00462FB0">
        <w:t xml:space="preserve"> </w:t>
      </w:r>
      <w:r w:rsidR="00DF2DF4">
        <w:t>workplace issues may arise (</w:t>
      </w:r>
      <w:r w:rsidR="00575158">
        <w:t>ie</w:t>
      </w:r>
      <w:r w:rsidR="00DF2DF4">
        <w:t xml:space="preserve"> underperformance). The Commission recommends that </w:t>
      </w:r>
      <w:r w:rsidR="003B3A07">
        <w:t xml:space="preserve">investigating </w:t>
      </w:r>
      <w:r w:rsidR="00B35C45">
        <w:t>entities</w:t>
      </w:r>
      <w:r w:rsidR="00DF2DF4">
        <w:t xml:space="preserve"> maintain regular contact with disclosers to prevent their </w:t>
      </w:r>
      <w:r w:rsidR="00504F19">
        <w:t>dissatisfaction</w:t>
      </w:r>
      <w:r w:rsidR="00DF2DF4">
        <w:t>. This would include notifying them as soon as possible following significant events</w:t>
      </w:r>
      <w:r w:rsidR="00B35C45">
        <w:t xml:space="preserve"> – </w:t>
      </w:r>
      <w:r w:rsidR="00313688">
        <w:t>like</w:t>
      </w:r>
      <w:r w:rsidR="00DF2DF4">
        <w:t xml:space="preserve"> the Commission’s recommendation to notify the discloser of the appointment of an investigator (see</w:t>
      </w:r>
      <w:r w:rsidR="00EF0377">
        <w:t> </w:t>
      </w:r>
      <w:r w:rsidR="00EF0377" w:rsidRPr="00EF0377">
        <w:rPr>
          <w:b/>
          <w:bCs/>
        </w:rPr>
        <w:fldChar w:fldCharType="begin"/>
      </w:r>
      <w:r w:rsidR="00EF0377" w:rsidRPr="00EF0377">
        <w:rPr>
          <w:b/>
          <w:bCs/>
        </w:rPr>
        <w:instrText xml:space="preserve"> REF _Ref63685707 \h </w:instrText>
      </w:r>
      <w:r w:rsidR="00EF0377">
        <w:rPr>
          <w:b/>
          <w:bCs/>
        </w:rPr>
        <w:instrText xml:space="preserve"> \* MERGEFORMAT </w:instrText>
      </w:r>
      <w:r w:rsidR="00EF0377" w:rsidRPr="00EF0377">
        <w:rPr>
          <w:b/>
          <w:bCs/>
        </w:rPr>
      </w:r>
      <w:r w:rsidR="00EF0377" w:rsidRPr="00EF0377">
        <w:rPr>
          <w:b/>
          <w:bCs/>
        </w:rPr>
        <w:fldChar w:fldCharType="separate"/>
      </w:r>
      <w:r w:rsidR="00245E6D" w:rsidRPr="00245E6D">
        <w:rPr>
          <w:b/>
          <w:bCs/>
        </w:rPr>
        <w:t>The appointment of an</w:t>
      </w:r>
      <w:r w:rsidR="00245E6D">
        <w:t xml:space="preserve"> investigator</w:t>
      </w:r>
      <w:r w:rsidR="00EF0377" w:rsidRPr="00EF0377">
        <w:rPr>
          <w:b/>
          <w:bCs/>
        </w:rPr>
        <w:fldChar w:fldCharType="end"/>
      </w:r>
      <w:r w:rsidR="00DF2DF4">
        <w:t>).</w:t>
      </w:r>
    </w:p>
    <w:p w14:paraId="6D135E93" w14:textId="306F470E" w:rsidR="00EA6FAC" w:rsidRDefault="00EA6FAC" w:rsidP="0087701B">
      <w:pPr>
        <w:pStyle w:val="Heading3"/>
      </w:pPr>
      <w:bookmarkStart w:id="220" w:name="_Toc67904026"/>
      <w:bookmarkStart w:id="221" w:name="_Toc75255199"/>
      <w:r>
        <w:lastRenderedPageBreak/>
        <w:t>Minimising impacts arising from the investigation</w:t>
      </w:r>
      <w:bookmarkEnd w:id="220"/>
      <w:bookmarkEnd w:id="221"/>
    </w:p>
    <w:p w14:paraId="2E5EA790" w14:textId="5022A617" w:rsidR="002F25D3" w:rsidRDefault="002F25D3" w:rsidP="00B00F29">
      <w:r w:rsidRPr="002F25D3">
        <w:t xml:space="preserve">It is common that other staff within a work area </w:t>
      </w:r>
      <w:r w:rsidR="00DF2DF4">
        <w:t xml:space="preserve">will </w:t>
      </w:r>
      <w:r w:rsidRPr="002F25D3">
        <w:t>become aware of a</w:t>
      </w:r>
      <w:r w:rsidR="006605B9">
        <w:t>n</w:t>
      </w:r>
      <w:r w:rsidRPr="002F25D3">
        <w:t xml:space="preserve"> investigation. This is particularly the case when parties external to the work area begin asking questions and/or conducting</w:t>
      </w:r>
      <w:r w:rsidR="00462FB0">
        <w:t xml:space="preserve"> </w:t>
      </w:r>
      <w:r w:rsidRPr="002F25D3">
        <w:t>interviews.</w:t>
      </w:r>
      <w:r>
        <w:t xml:space="preserve"> </w:t>
      </w:r>
      <w:r w:rsidR="00C1505F">
        <w:t xml:space="preserve">It is </w:t>
      </w:r>
      <w:r w:rsidR="00C633F3">
        <w:t xml:space="preserve">difficult </w:t>
      </w:r>
      <w:r w:rsidR="00C1505F">
        <w:t xml:space="preserve">to predict how staff will react </w:t>
      </w:r>
      <w:r w:rsidR="001B412B">
        <w:t>in this situation</w:t>
      </w:r>
      <w:r w:rsidR="00C1505F">
        <w:t>. It is</w:t>
      </w:r>
      <w:r w:rsidR="00C75BA2">
        <w:t>,</w:t>
      </w:r>
      <w:r w:rsidR="00C1505F">
        <w:t xml:space="preserve"> however</w:t>
      </w:r>
      <w:r w:rsidR="00C75BA2">
        <w:t>,</w:t>
      </w:r>
      <w:r w:rsidR="00C1505F">
        <w:t xml:space="preserve"> </w:t>
      </w:r>
      <w:r w:rsidR="001B412B">
        <w:t>to be expected</w:t>
      </w:r>
      <w:r w:rsidR="00C1505F">
        <w:t xml:space="preserve"> that tensions may arise, which may have adverse</w:t>
      </w:r>
      <w:r w:rsidR="00462FB0">
        <w:t xml:space="preserve"> </w:t>
      </w:r>
      <w:r w:rsidR="00C1505F">
        <w:t>consequences on the workplace</w:t>
      </w:r>
      <w:r w:rsidR="001B412B">
        <w:t xml:space="preserve"> if </w:t>
      </w:r>
      <w:r w:rsidR="00C633F3">
        <w:t>ignored</w:t>
      </w:r>
      <w:r w:rsidR="00C1505F">
        <w:t>.</w:t>
      </w:r>
      <w:r w:rsidR="008822C8">
        <w:rPr>
          <w:rStyle w:val="FootnoteReference"/>
        </w:rPr>
        <w:footnoteReference w:id="105"/>
      </w:r>
    </w:p>
    <w:p w14:paraId="7A895452" w14:textId="6F0B83B5" w:rsidR="00C1505F" w:rsidRPr="00DF2DF4" w:rsidRDefault="00912956" w:rsidP="00B00F29">
      <w:r>
        <w:t>While</w:t>
      </w:r>
      <w:r w:rsidR="00C1505F">
        <w:t xml:space="preserve"> it may be appropriate for an investigator or manager to reveal, at a team meeting or similar, that </w:t>
      </w:r>
      <w:r w:rsidR="00C3279A">
        <w:t>an investigation is underway</w:t>
      </w:r>
      <w:r w:rsidR="00C75BA2">
        <w:t>,</w:t>
      </w:r>
      <w:r w:rsidR="00C1505F" w:rsidRPr="00DF2DF4">
        <w:t xml:space="preserve"> no information which </w:t>
      </w:r>
      <w:r w:rsidR="00B35C45">
        <w:t>could</w:t>
      </w:r>
      <w:r w:rsidR="00C1505F" w:rsidRPr="00DF2DF4">
        <w:t xml:space="preserve"> identify the discloser should be shared in such a forum. </w:t>
      </w:r>
      <w:r w:rsidR="00DF2DF4">
        <w:t>The ‘need</w:t>
      </w:r>
      <w:r w:rsidR="00504F19">
        <w:t>-</w:t>
      </w:r>
      <w:r w:rsidR="00DF2DF4">
        <w:t>to</w:t>
      </w:r>
      <w:r w:rsidR="00504F19">
        <w:t>-</w:t>
      </w:r>
      <w:r w:rsidR="00DF2DF4">
        <w:t>know’ principle should be borne in mind at all times.</w:t>
      </w:r>
    </w:p>
    <w:p w14:paraId="665E8CBB" w14:textId="26F62019" w:rsidR="00C1505F" w:rsidRPr="00C1505F" w:rsidRDefault="00C1505F" w:rsidP="00B00F29">
      <w:r>
        <w:t>Those involved in the investigation (</w:t>
      </w:r>
      <w:r w:rsidR="00B35C45">
        <w:t>eg</w:t>
      </w:r>
      <w:r>
        <w:t xml:space="preserve"> witnesses) </w:t>
      </w:r>
      <w:r w:rsidRPr="00DF2DF4">
        <w:t>must</w:t>
      </w:r>
      <w:r>
        <w:t xml:space="preserve"> be </w:t>
      </w:r>
      <w:r w:rsidR="00DF2DF4">
        <w:t>warned that</w:t>
      </w:r>
      <w:r>
        <w:t xml:space="preserve"> th</w:t>
      </w:r>
      <w:r w:rsidR="0020684F">
        <w:t>ey must not discuss the details of the investigation and that taking detrimental action against a discloser (or suspected discloser) is an offence.</w:t>
      </w:r>
    </w:p>
    <w:p w14:paraId="3E78BB93" w14:textId="034980A5" w:rsidR="00EA6FAC" w:rsidRDefault="00EA6FAC" w:rsidP="0087701B">
      <w:pPr>
        <w:pStyle w:val="Heading3"/>
      </w:pPr>
      <w:bookmarkStart w:id="222" w:name="_Toc67904027"/>
      <w:bookmarkStart w:id="223" w:name="_Toc75255200"/>
      <w:r>
        <w:t>The investigation report</w:t>
      </w:r>
      <w:bookmarkEnd w:id="222"/>
      <w:bookmarkEnd w:id="223"/>
    </w:p>
    <w:p w14:paraId="541264BC" w14:textId="430F1060" w:rsidR="0020684F" w:rsidRDefault="0020684F" w:rsidP="0020684F">
      <w:r>
        <w:t>The product of a</w:t>
      </w:r>
      <w:r w:rsidR="00DC04F5">
        <w:t>n</w:t>
      </w:r>
      <w:r>
        <w:t xml:space="preserve"> investigation</w:t>
      </w:r>
      <w:r w:rsidR="00DC04F5">
        <w:t xml:space="preserve"> of disclosable conduct</w:t>
      </w:r>
      <w:r>
        <w:t xml:space="preserve"> </w:t>
      </w:r>
      <w:r w:rsidR="00DF2DF4">
        <w:t>should be</w:t>
      </w:r>
      <w:r>
        <w:t xml:space="preserve"> a</w:t>
      </w:r>
      <w:r w:rsidR="008E5288">
        <w:t>n</w:t>
      </w:r>
      <w:r>
        <w:t xml:space="preserve"> investigation report. The</w:t>
      </w:r>
      <w:r w:rsidR="00EF0377">
        <w:t> </w:t>
      </w:r>
      <w:r w:rsidR="008E5288">
        <w:t>investigation report</w:t>
      </w:r>
      <w:r>
        <w:t xml:space="preserve"> </w:t>
      </w:r>
      <w:r w:rsidR="008E5288">
        <w:t xml:space="preserve">should </w:t>
      </w:r>
      <w:r>
        <w:t>outline:</w:t>
      </w:r>
    </w:p>
    <w:p w14:paraId="504477BD" w14:textId="049DBCA2" w:rsidR="00EA46BD" w:rsidRDefault="00EA46BD" w:rsidP="00061417">
      <w:pPr>
        <w:pStyle w:val="ListParagraph"/>
        <w:numPr>
          <w:ilvl w:val="0"/>
          <w:numId w:val="19"/>
        </w:numPr>
      </w:pPr>
      <w:r>
        <w:t>the allegations;</w:t>
      </w:r>
    </w:p>
    <w:p w14:paraId="7DB51183" w14:textId="63D46E5B" w:rsidR="0020684F" w:rsidRDefault="0020684F" w:rsidP="00061417">
      <w:pPr>
        <w:pStyle w:val="ListParagraph"/>
        <w:numPr>
          <w:ilvl w:val="0"/>
          <w:numId w:val="19"/>
        </w:numPr>
      </w:pPr>
      <w:r>
        <w:t>the subject of the PID</w:t>
      </w:r>
      <w:r w:rsidR="00AE133C">
        <w:t xml:space="preserve"> (if different to the allegations)</w:t>
      </w:r>
      <w:r>
        <w:t>;</w:t>
      </w:r>
    </w:p>
    <w:p w14:paraId="4A2B75B9" w14:textId="067CAB33" w:rsidR="0020684F" w:rsidRDefault="0020684F" w:rsidP="00061417">
      <w:pPr>
        <w:pStyle w:val="ListParagraph"/>
        <w:numPr>
          <w:ilvl w:val="0"/>
          <w:numId w:val="19"/>
        </w:numPr>
      </w:pPr>
      <w:r>
        <w:t>the investigation approach;</w:t>
      </w:r>
    </w:p>
    <w:p w14:paraId="15856082" w14:textId="77C07DBE" w:rsidR="0020684F" w:rsidRDefault="0020684F" w:rsidP="00061417">
      <w:pPr>
        <w:pStyle w:val="ListParagraph"/>
        <w:numPr>
          <w:ilvl w:val="0"/>
          <w:numId w:val="19"/>
        </w:numPr>
      </w:pPr>
      <w:r>
        <w:t>the evidence collected;</w:t>
      </w:r>
    </w:p>
    <w:p w14:paraId="4B855EFB" w14:textId="59EF272C" w:rsidR="00EA46BD" w:rsidRDefault="00EA46BD" w:rsidP="00061417">
      <w:pPr>
        <w:pStyle w:val="ListParagraph"/>
        <w:numPr>
          <w:ilvl w:val="0"/>
          <w:numId w:val="19"/>
        </w:numPr>
      </w:pPr>
      <w:r>
        <w:t>analysis of the evidence collected;</w:t>
      </w:r>
    </w:p>
    <w:p w14:paraId="7828D0CB" w14:textId="0C7824CF" w:rsidR="0020684F" w:rsidRDefault="0020684F" w:rsidP="00061417">
      <w:pPr>
        <w:pStyle w:val="ListParagraph"/>
        <w:numPr>
          <w:ilvl w:val="0"/>
          <w:numId w:val="19"/>
        </w:numPr>
      </w:pPr>
      <w:r>
        <w:t>the findings of the investigator; and</w:t>
      </w:r>
    </w:p>
    <w:p w14:paraId="78572C03" w14:textId="782DD1B5" w:rsidR="0020684F" w:rsidRDefault="0020684F" w:rsidP="00061417">
      <w:pPr>
        <w:pStyle w:val="ListParagraph"/>
        <w:numPr>
          <w:ilvl w:val="0"/>
          <w:numId w:val="19"/>
        </w:numPr>
      </w:pPr>
      <w:r>
        <w:t>the recommended response to the findings</w:t>
      </w:r>
      <w:r w:rsidR="00C633F3">
        <w:t xml:space="preserve"> dealing with the impugned conduct, if any (but not as to any potential disciplinary action)</w:t>
      </w:r>
      <w:r>
        <w:t>.</w:t>
      </w:r>
    </w:p>
    <w:p w14:paraId="55541987" w14:textId="7FEBE113" w:rsidR="0020684F" w:rsidRPr="0020684F" w:rsidRDefault="0020684F" w:rsidP="0020684F">
      <w:r>
        <w:t xml:space="preserve">The </w:t>
      </w:r>
      <w:r w:rsidR="008E5288">
        <w:t>investigation report</w:t>
      </w:r>
      <w:r>
        <w:t xml:space="preserve"> must be a complete document which permits</w:t>
      </w:r>
      <w:r w:rsidR="00BE3F28">
        <w:t xml:space="preserve"> </w:t>
      </w:r>
      <w:r w:rsidR="001B412B">
        <w:t>the</w:t>
      </w:r>
      <w:r>
        <w:t xml:space="preserve"> reader to understand the issues and the findings without needing to refer to external material</w:t>
      </w:r>
      <w:r w:rsidR="00AE133C">
        <w:t xml:space="preserve"> or confer with the investigator</w:t>
      </w:r>
      <w:r>
        <w:t xml:space="preserve">. </w:t>
      </w:r>
      <w:r w:rsidR="00EA46BD">
        <w:t>Outlined below are</w:t>
      </w:r>
      <w:r w:rsidR="00956AE8">
        <w:t xml:space="preserve"> some additional considerations to be </w:t>
      </w:r>
      <w:r w:rsidR="00C633F3">
        <w:t>borne in mind when preparing</w:t>
      </w:r>
      <w:r w:rsidR="00956AE8">
        <w:t xml:space="preserve"> </w:t>
      </w:r>
      <w:r w:rsidR="00462FB0">
        <w:t>an</w:t>
      </w:r>
      <w:r w:rsidR="00956AE8">
        <w:t xml:space="preserve"> </w:t>
      </w:r>
      <w:r w:rsidR="008E5288">
        <w:t>investigation report</w:t>
      </w:r>
      <w:r w:rsidR="00912956">
        <w:t xml:space="preserve">. Aside from being necessary to fulfil the ultimate purpose of the PID Act, </w:t>
      </w:r>
      <w:r w:rsidR="00FE44F6">
        <w:t>there are</w:t>
      </w:r>
      <w:r w:rsidR="00912956">
        <w:t xml:space="preserve"> also essential to enable the Commission to perform its supervisory function.</w:t>
      </w:r>
    </w:p>
    <w:p w14:paraId="6E909A51" w14:textId="11DF2E73" w:rsidR="00EA6FAC" w:rsidRDefault="00EA6FAC" w:rsidP="00EB3E4B">
      <w:pPr>
        <w:pStyle w:val="Heading4"/>
      </w:pPr>
      <w:r>
        <w:t>Findings of fact</w:t>
      </w:r>
    </w:p>
    <w:p w14:paraId="1A81B4B4" w14:textId="75B22E9E" w:rsidR="00956AE8" w:rsidRDefault="00956AE8" w:rsidP="00956AE8">
      <w:r w:rsidRPr="00112511">
        <w:t>The primary task of a</w:t>
      </w:r>
      <w:r w:rsidR="006605B9">
        <w:t>n</w:t>
      </w:r>
      <w:r w:rsidRPr="00112511">
        <w:t xml:space="preserve"> investigation is to determine what, if any, disclosable conduct occurred. Therefore, a</w:t>
      </w:r>
      <w:r w:rsidR="008E5288">
        <w:t>n</w:t>
      </w:r>
      <w:r w:rsidRPr="00112511">
        <w:t xml:space="preserve"> </w:t>
      </w:r>
      <w:r w:rsidR="008E5288">
        <w:t>investigation report</w:t>
      </w:r>
      <w:r w:rsidRPr="00112511">
        <w:t xml:space="preserve"> must contain findings </w:t>
      </w:r>
      <w:r w:rsidR="00EA46BD" w:rsidRPr="00112511">
        <w:t>that</w:t>
      </w:r>
      <w:r w:rsidR="00112511" w:rsidRPr="00112511">
        <w:t xml:space="preserve"> </w:t>
      </w:r>
      <w:r w:rsidRPr="00112511">
        <w:t>disclosable conduct</w:t>
      </w:r>
      <w:r w:rsidR="00EA46BD" w:rsidRPr="00112511">
        <w:t xml:space="preserve"> did or did not occur</w:t>
      </w:r>
      <w:r w:rsidR="00C633F3">
        <w:t xml:space="preserve"> or cannot be determined</w:t>
      </w:r>
      <w:r w:rsidRPr="00112511">
        <w:t>.</w:t>
      </w:r>
      <w:r w:rsidR="00462FB0">
        <w:t xml:space="preserve"> All findings </w:t>
      </w:r>
      <w:r w:rsidR="00462FB0" w:rsidRPr="00EA46BD">
        <w:t xml:space="preserve">must be </w:t>
      </w:r>
      <w:r w:rsidR="00C633F3">
        <w:t>explained by reference to the</w:t>
      </w:r>
      <w:r w:rsidR="00462FB0" w:rsidRPr="00EA46BD">
        <w:t xml:space="preserve"> evidence.</w:t>
      </w:r>
      <w:r w:rsidR="00462FB0">
        <w:rPr>
          <w:rStyle w:val="FootnoteReference"/>
        </w:rPr>
        <w:footnoteReference w:id="106"/>
      </w:r>
      <w:r w:rsidR="00462FB0">
        <w:t xml:space="preserve"> </w:t>
      </w:r>
    </w:p>
    <w:p w14:paraId="66BFAD18" w14:textId="2945EBB5" w:rsidR="00956AE8" w:rsidRDefault="00956AE8" w:rsidP="00956AE8">
      <w:r>
        <w:t xml:space="preserve">It is also critical that findings regarding any detrimental action be included in the </w:t>
      </w:r>
      <w:r w:rsidR="008E5288">
        <w:t>investigation report</w:t>
      </w:r>
      <w:r>
        <w:t xml:space="preserve">. While the discloser </w:t>
      </w:r>
      <w:r w:rsidR="00361370">
        <w:t xml:space="preserve">(or the Commission) </w:t>
      </w:r>
      <w:r>
        <w:t xml:space="preserve">may seek redress independently of the </w:t>
      </w:r>
      <w:r w:rsidR="003B3A07">
        <w:t>investigating entity</w:t>
      </w:r>
      <w:r>
        <w:t xml:space="preserve">, the </w:t>
      </w:r>
      <w:r w:rsidR="008E5288">
        <w:t>investigation report</w:t>
      </w:r>
      <w:r>
        <w:t xml:space="preserve"> </w:t>
      </w:r>
      <w:r w:rsidRPr="00F3612B">
        <w:t>must</w:t>
      </w:r>
      <w:r>
        <w:t xml:space="preserve"> outline any detrimental action </w:t>
      </w:r>
      <w:r w:rsidR="00602639">
        <w:t>risks which are</w:t>
      </w:r>
      <w:r>
        <w:t xml:space="preserve"> likely to have occurred.</w:t>
      </w:r>
      <w:r w:rsidR="00AE133C">
        <w:t xml:space="preserve"> Further</w:t>
      </w:r>
      <w:r w:rsidR="00EF0377">
        <w:t> </w:t>
      </w:r>
      <w:r w:rsidR="00AE133C">
        <w:t>suggestions about this are below.</w:t>
      </w:r>
    </w:p>
    <w:p w14:paraId="4B5D2758" w14:textId="20F875BA" w:rsidR="00956AE8" w:rsidRDefault="00956AE8" w:rsidP="00EB3E4B">
      <w:pPr>
        <w:pStyle w:val="Heading4"/>
      </w:pPr>
      <w:r>
        <w:t>Recommendations and actions</w:t>
      </w:r>
    </w:p>
    <w:p w14:paraId="76C92F2B" w14:textId="6CB4FDDE" w:rsidR="00956AE8" w:rsidRDefault="00C633F3" w:rsidP="00956AE8">
      <w:r>
        <w:t>I</w:t>
      </w:r>
      <w:r w:rsidR="008E5288">
        <w:t>nvestigation report</w:t>
      </w:r>
      <w:r w:rsidR="00956AE8">
        <w:t xml:space="preserve">s </w:t>
      </w:r>
      <w:r w:rsidR="00EB3E4B">
        <w:t>that</w:t>
      </w:r>
      <w:r w:rsidR="00956AE8">
        <w:t xml:space="preserve"> </w:t>
      </w:r>
      <w:r w:rsidR="00EB3E4B">
        <w:t>make</w:t>
      </w:r>
      <w:r w:rsidR="00956AE8">
        <w:t xml:space="preserve"> findings of disclosable conduct must contain recommendations, </w:t>
      </w:r>
      <w:r>
        <w:t xml:space="preserve">outlining </w:t>
      </w:r>
      <w:r w:rsidR="00AE133C">
        <w:t xml:space="preserve">suggested </w:t>
      </w:r>
      <w:r w:rsidR="00956AE8">
        <w:t xml:space="preserve">actions to be taken in response to </w:t>
      </w:r>
      <w:r w:rsidR="00EA46BD">
        <w:t xml:space="preserve">the </w:t>
      </w:r>
      <w:r w:rsidR="00956AE8">
        <w:t>disclosable</w:t>
      </w:r>
      <w:r w:rsidR="00EA46BD">
        <w:t xml:space="preserve"> </w:t>
      </w:r>
      <w:r w:rsidR="00956AE8">
        <w:t>conduct</w:t>
      </w:r>
      <w:r>
        <w:t xml:space="preserve"> (but not as to any</w:t>
      </w:r>
      <w:r w:rsidR="00B86462">
        <w:t xml:space="preserve"> potential disciplinary action)</w:t>
      </w:r>
      <w:r w:rsidR="00956AE8">
        <w:t xml:space="preserve">. This will assist </w:t>
      </w:r>
      <w:r w:rsidR="003B3A07">
        <w:t>investigating entities</w:t>
      </w:r>
      <w:r w:rsidR="00956AE8">
        <w:t xml:space="preserve"> to satisfy their obligations to take action in response to any findings.</w:t>
      </w:r>
      <w:r w:rsidR="00EB61A1">
        <w:rPr>
          <w:rStyle w:val="FootnoteReference"/>
        </w:rPr>
        <w:footnoteReference w:id="107"/>
      </w:r>
    </w:p>
    <w:p w14:paraId="4B63C93E" w14:textId="36157DA6" w:rsidR="00E417ED" w:rsidRDefault="00E417ED" w:rsidP="00956AE8">
      <w:r>
        <w:t xml:space="preserve">Any recommendations </w:t>
      </w:r>
      <w:r w:rsidR="00EA46BD">
        <w:t>made must</w:t>
      </w:r>
      <w:r>
        <w:t xml:space="preserve"> be </w:t>
      </w:r>
      <w:r w:rsidR="005C60CC">
        <w:t>proportionate</w:t>
      </w:r>
      <w:r>
        <w:t xml:space="preserve"> and relevant to the disclosable conduct. For</w:t>
      </w:r>
      <w:r w:rsidR="00EF0377">
        <w:t> </w:t>
      </w:r>
      <w:r>
        <w:t>example, where it is revealed that a system failure enabled the conduct to occur (</w:t>
      </w:r>
      <w:r w:rsidR="00575158">
        <w:t>eg</w:t>
      </w:r>
      <w:r>
        <w:t xml:space="preserve"> a lack of controls or other design</w:t>
      </w:r>
      <w:r w:rsidR="00462FB0">
        <w:t xml:space="preserve"> </w:t>
      </w:r>
      <w:r>
        <w:t>flaw) a relevant and proportionate recommendation would be to have the system failure addressed.</w:t>
      </w:r>
    </w:p>
    <w:p w14:paraId="1E99615B" w14:textId="77777777" w:rsidR="00AE133C" w:rsidRDefault="00AE133C" w:rsidP="00AE133C">
      <w:pPr>
        <w:pStyle w:val="Heading5"/>
      </w:pPr>
      <w:r>
        <w:lastRenderedPageBreak/>
        <w:t>Detrimental action against the discloser</w:t>
      </w:r>
    </w:p>
    <w:p w14:paraId="7D388FA2" w14:textId="77777777" w:rsidR="00AE133C" w:rsidRDefault="00AE133C" w:rsidP="00AE133C">
      <w:r>
        <w:t>The investigation report should outline how the investigating entity managed the risk of detrimental action being taken against the discloser.</w:t>
      </w:r>
      <w:r>
        <w:rPr>
          <w:rStyle w:val="FootnoteReference"/>
        </w:rPr>
        <w:footnoteReference w:id="108"/>
      </w:r>
      <w:r>
        <w:t xml:space="preserve"> It should also state whether detrimental action allegations were made, either by the discloser or another party, and how the investigating entity responded.</w:t>
      </w:r>
    </w:p>
    <w:p w14:paraId="7DEB472A" w14:textId="7C7642DE" w:rsidR="00AE133C" w:rsidRPr="0020684F" w:rsidRDefault="00AE133C" w:rsidP="00AE133C">
      <w:r>
        <w:t>While managing the risk of detrimental action is an ongoing obligation</w:t>
      </w:r>
      <w:r w:rsidR="00FE44F6">
        <w:t>,</w:t>
      </w:r>
      <w:r>
        <w:t xml:space="preserve"> which extends beyond the conclusion of the investigation, it is critical that a record </w:t>
      </w:r>
      <w:r w:rsidR="00B86462">
        <w:t>of</w:t>
      </w:r>
      <w:r>
        <w:t xml:space="preserve"> any alleged detrimental action</w:t>
      </w:r>
      <w:r w:rsidR="00B86462">
        <w:t xml:space="preserve"> and the response to it is made</w:t>
      </w:r>
      <w:r>
        <w:t xml:space="preserve">. This will assist the discloser in seeking redress should </w:t>
      </w:r>
      <w:r w:rsidR="00B86462">
        <w:t xml:space="preserve">detrimental action </w:t>
      </w:r>
      <w:r>
        <w:t xml:space="preserve">occur </w:t>
      </w:r>
      <w:r w:rsidR="00B86462">
        <w:t>and enable</w:t>
      </w:r>
      <w:r>
        <w:t xml:space="preserve"> the investigating entity grounds to </w:t>
      </w:r>
      <w:r w:rsidR="00B86462">
        <w:t>deal with</w:t>
      </w:r>
      <w:r>
        <w:t xml:space="preserve"> suggestions they did not act to prevent detrimental action occurring</w:t>
      </w:r>
      <w:r w:rsidR="00B86462">
        <w:t xml:space="preserve"> or minimise it as much as reasonably practicable</w:t>
      </w:r>
      <w:r>
        <w:t>.</w:t>
      </w:r>
    </w:p>
    <w:p w14:paraId="6CEF9511" w14:textId="603D9C41" w:rsidR="005C60CC" w:rsidRDefault="005C60CC" w:rsidP="00AE133C">
      <w:pPr>
        <w:pStyle w:val="Heading5"/>
      </w:pPr>
      <w:r>
        <w:t>Disciplining of those responsible for the disclosable conduct</w:t>
      </w:r>
    </w:p>
    <w:p w14:paraId="4F0237B2" w14:textId="429D7E22" w:rsidR="00E417ED" w:rsidRDefault="00EB61A1" w:rsidP="00956AE8">
      <w:r>
        <w:t>Those</w:t>
      </w:r>
      <w:r w:rsidR="00E417ED">
        <w:t xml:space="preserve"> </w:t>
      </w:r>
      <w:r w:rsidR="00EA46BD">
        <w:t>found to be</w:t>
      </w:r>
      <w:r w:rsidR="00E417ED">
        <w:t xml:space="preserve"> responsible for disclosable conduct </w:t>
      </w:r>
      <w:r w:rsidR="00E417ED" w:rsidRPr="00EA46BD">
        <w:t>must</w:t>
      </w:r>
      <w:r w:rsidR="00E417ED">
        <w:t xml:space="preserve"> be disciplined.</w:t>
      </w:r>
      <w:r>
        <w:rPr>
          <w:rStyle w:val="FootnoteReference"/>
        </w:rPr>
        <w:footnoteReference w:id="109"/>
      </w:r>
      <w:r w:rsidR="00E417ED">
        <w:t xml:space="preserve"> </w:t>
      </w:r>
      <w:r w:rsidR="00333BE5">
        <w:t xml:space="preserve">This is scarcely surprising considering the nature of disclosable conduct, which involves matters significantly detrimental to the public interest. </w:t>
      </w:r>
      <w:r w:rsidR="005C60CC">
        <w:t xml:space="preserve">Given that most, if not all, options for disciplining </w:t>
      </w:r>
      <w:r w:rsidR="00867E19">
        <w:t>public officials</w:t>
      </w:r>
      <w:r w:rsidR="005C60CC">
        <w:t xml:space="preserve"> reside within the </w:t>
      </w:r>
      <w:r w:rsidR="00AE133C">
        <w:t>PSM Act</w:t>
      </w:r>
      <w:r w:rsidR="00501021">
        <w:t xml:space="preserve"> and</w:t>
      </w:r>
      <w:r>
        <w:t>/</w:t>
      </w:r>
      <w:r w:rsidR="00501021">
        <w:t>or relevant enterprise agreement</w:t>
      </w:r>
      <w:r w:rsidR="005C60CC">
        <w:t xml:space="preserve">, a defensible recommendation would </w:t>
      </w:r>
      <w:r w:rsidR="00B86462">
        <w:t xml:space="preserve">usually </w:t>
      </w:r>
      <w:r w:rsidR="005C60CC">
        <w:t>be to have the matter referred to the Public Sector Standards Commissioner for consideration.</w:t>
      </w:r>
    </w:p>
    <w:p w14:paraId="235166DD" w14:textId="725DE7F7" w:rsidR="00956AE8" w:rsidRDefault="005C60CC" w:rsidP="00956AE8">
      <w:r>
        <w:t xml:space="preserve">However, it is </w:t>
      </w:r>
      <w:r w:rsidR="00333BE5">
        <w:t>in</w:t>
      </w:r>
      <w:r>
        <w:t xml:space="preserve"> the discretion of the </w:t>
      </w:r>
      <w:r w:rsidR="00313688">
        <w:t>h</w:t>
      </w:r>
      <w:r>
        <w:t xml:space="preserve">ead </w:t>
      </w:r>
      <w:r w:rsidR="00EA46BD">
        <w:t xml:space="preserve">of a </w:t>
      </w:r>
      <w:r w:rsidR="001C16C1">
        <w:t>public sector</w:t>
      </w:r>
      <w:r w:rsidR="00867E19">
        <w:t xml:space="preserve"> entity</w:t>
      </w:r>
      <w:r w:rsidR="00EA46BD">
        <w:t xml:space="preserve"> </w:t>
      </w:r>
      <w:r>
        <w:t xml:space="preserve">to </w:t>
      </w:r>
      <w:r w:rsidR="00FE44F6">
        <w:t xml:space="preserve">determine </w:t>
      </w:r>
      <w:r>
        <w:t xml:space="preserve">what </w:t>
      </w:r>
      <w:r w:rsidR="00EA46BD">
        <w:t>will constitute sufficient and appropriate disciplinary action</w:t>
      </w:r>
      <w:r>
        <w:t>. Where, for example, disclosable conduct was found but</w:t>
      </w:r>
      <w:r w:rsidR="00333BE5">
        <w:t>, as it happened,</w:t>
      </w:r>
      <w:r>
        <w:t xml:space="preserve"> considered minor, it may be appropriate to </w:t>
      </w:r>
      <w:r w:rsidR="00072D48">
        <w:t>discipline</w:t>
      </w:r>
      <w:r>
        <w:t xml:space="preserve"> the responsible individual internally. This could, for example, take the form of a warning or placing restrictions on the responsible officer’s work. The Commission </w:t>
      </w:r>
      <w:r w:rsidRPr="00EA46BD">
        <w:t>recommend</w:t>
      </w:r>
      <w:r w:rsidR="00C22BA9">
        <w:t>s</w:t>
      </w:r>
      <w:r>
        <w:t xml:space="preserve"> that the </w:t>
      </w:r>
      <w:r w:rsidR="003B3A07">
        <w:t>investigating entity</w:t>
      </w:r>
      <w:r>
        <w:t xml:space="preserve"> engage with the Public Sector Standards Commissioner for advice as to </w:t>
      </w:r>
      <w:r w:rsidR="00602639">
        <w:t>what</w:t>
      </w:r>
      <w:r>
        <w:t xml:space="preserve"> course would be appropriate.</w:t>
      </w:r>
    </w:p>
    <w:p w14:paraId="71BF839D" w14:textId="2AF3B9E0" w:rsidR="00EA6FAC" w:rsidRDefault="00EA6FAC" w:rsidP="00EB3E4B">
      <w:pPr>
        <w:pStyle w:val="Heading4"/>
      </w:pPr>
      <w:r>
        <w:t>Providing copies of the investigation report</w:t>
      </w:r>
    </w:p>
    <w:p w14:paraId="0469CBE3" w14:textId="77380ACA" w:rsidR="005C60CC" w:rsidRPr="005C60CC" w:rsidRDefault="005C60CC" w:rsidP="005C60CC">
      <w:r>
        <w:t xml:space="preserve">While the PID Act does not </w:t>
      </w:r>
      <w:r w:rsidR="00C22BA9">
        <w:t>impose an</w:t>
      </w:r>
      <w:r>
        <w:t xml:space="preserve"> obligation to provide the </w:t>
      </w:r>
      <w:r w:rsidR="008E5288">
        <w:t>investigation report</w:t>
      </w:r>
      <w:r>
        <w:t xml:space="preserve"> to a discloser, the Commission </w:t>
      </w:r>
      <w:r w:rsidRPr="00EA46BD">
        <w:t>recommends</w:t>
      </w:r>
      <w:r>
        <w:t xml:space="preserve"> that disclosers be provided </w:t>
      </w:r>
      <w:r w:rsidR="00EA46BD">
        <w:t>with a copy</w:t>
      </w:r>
      <w:r w:rsidR="00C22BA9">
        <w:t>,</w:t>
      </w:r>
      <w:r w:rsidR="00602639">
        <w:t xml:space="preserve"> unless there are good reasons, such as privacy or </w:t>
      </w:r>
      <w:r w:rsidR="00AE133C">
        <w:t xml:space="preserve">the protection of </w:t>
      </w:r>
      <w:r w:rsidR="00602639">
        <w:t>investigative methods, which need confidentiality to be preserved</w:t>
      </w:r>
      <w:r>
        <w:t xml:space="preserve">. </w:t>
      </w:r>
      <w:r w:rsidR="003A5665">
        <w:t>In all other cases w</w:t>
      </w:r>
      <w:r>
        <w:t xml:space="preserve">here </w:t>
      </w:r>
      <w:r w:rsidR="00BE3F28">
        <w:t xml:space="preserve">the </w:t>
      </w:r>
      <w:r>
        <w:t>respondent</w:t>
      </w:r>
      <w:r w:rsidR="0076068A">
        <w:t>(</w:t>
      </w:r>
      <w:r>
        <w:t>s</w:t>
      </w:r>
      <w:r w:rsidR="0076068A">
        <w:t>)</w:t>
      </w:r>
      <w:r>
        <w:t xml:space="preserve"> are aware of the investigation, the Commission also </w:t>
      </w:r>
      <w:r w:rsidRPr="003A5665">
        <w:t>recommends</w:t>
      </w:r>
      <w:r>
        <w:t xml:space="preserve"> they be provided a copy of the </w:t>
      </w:r>
      <w:r w:rsidR="008E5288">
        <w:t>investigation report</w:t>
      </w:r>
      <w:r>
        <w:t xml:space="preserve">. By providing those involved in the process copies of the </w:t>
      </w:r>
      <w:r w:rsidR="008E5288">
        <w:t>investigation report</w:t>
      </w:r>
      <w:r>
        <w:t xml:space="preserve">, it will raise confidence in the investigation process and may address concerns regarding the conduct of the investigation. </w:t>
      </w:r>
      <w:r w:rsidR="003A5665">
        <w:t xml:space="preserve">It will also discharge the </w:t>
      </w:r>
      <w:r w:rsidR="003B3A07">
        <w:t>investigating entity’s</w:t>
      </w:r>
      <w:r w:rsidR="003A5665">
        <w:t xml:space="preserve"> procedural fairness obligations.</w:t>
      </w:r>
    </w:p>
    <w:p w14:paraId="21627E6E" w14:textId="33F3FBEE" w:rsidR="005C60CC" w:rsidRDefault="00991179" w:rsidP="005C60CC">
      <w:r>
        <w:rPr>
          <w:b/>
          <w:bCs/>
        </w:rPr>
        <w:t>Note</w:t>
      </w:r>
      <w:r w:rsidR="005C60CC">
        <w:rPr>
          <w:b/>
          <w:bCs/>
        </w:rPr>
        <w:t>:</w:t>
      </w:r>
      <w:r w:rsidR="005C60CC">
        <w:t xml:space="preserve"> </w:t>
      </w:r>
      <w:r>
        <w:t xml:space="preserve">While it is the </w:t>
      </w:r>
      <w:r w:rsidR="00C22BA9">
        <w:t>usual</w:t>
      </w:r>
      <w:r>
        <w:t xml:space="preserve"> position that </w:t>
      </w:r>
      <w:r w:rsidR="008E5288">
        <w:t>investigation report</w:t>
      </w:r>
      <w:r>
        <w:t>s be provided to the discloser and/or respondent</w:t>
      </w:r>
      <w:r w:rsidR="0076068A">
        <w:t>(</w:t>
      </w:r>
      <w:r>
        <w:t>s</w:t>
      </w:r>
      <w:r w:rsidR="0076068A">
        <w:t>)</w:t>
      </w:r>
      <w:r>
        <w:t>, in some circumstances redactions of personal information may be required. For example, where the identified</w:t>
      </w:r>
      <w:r w:rsidR="00462FB0">
        <w:t xml:space="preserve"> </w:t>
      </w:r>
      <w:r>
        <w:t xml:space="preserve">risk of detrimental action being taken against the discloser is high. </w:t>
      </w:r>
      <w:r w:rsidR="005C60CC">
        <w:t xml:space="preserve">The Commission </w:t>
      </w:r>
      <w:r w:rsidR="005C60CC" w:rsidRPr="003A5665">
        <w:t>recommends</w:t>
      </w:r>
      <w:r w:rsidR="005C60CC">
        <w:t xml:space="preserve"> that </w:t>
      </w:r>
      <w:r>
        <w:t>where such risks may be present</w:t>
      </w:r>
      <w:r w:rsidR="005C60CC">
        <w:t xml:space="preserve">, the </w:t>
      </w:r>
      <w:r w:rsidR="003B3A07">
        <w:t>investigating entity</w:t>
      </w:r>
      <w:r w:rsidR="005C60CC">
        <w:t xml:space="preserve"> seek advice from </w:t>
      </w:r>
      <w:r w:rsidR="00BE3F28">
        <w:t>its</w:t>
      </w:r>
      <w:r w:rsidR="003A5665">
        <w:t xml:space="preserve"> </w:t>
      </w:r>
      <w:r w:rsidR="004E12C5">
        <w:t>l</w:t>
      </w:r>
      <w:r w:rsidR="003A5665">
        <w:t>egal team, as well as its</w:t>
      </w:r>
      <w:r w:rsidR="005C60CC">
        <w:t xml:space="preserve"> internal </w:t>
      </w:r>
      <w:r w:rsidR="004E12C5">
        <w:t>f</w:t>
      </w:r>
      <w:r w:rsidR="005C60CC">
        <w:t>reedom</w:t>
      </w:r>
      <w:r w:rsidR="007532CF">
        <w:t xml:space="preserve"> </w:t>
      </w:r>
      <w:r w:rsidR="005C60CC">
        <w:t xml:space="preserve">of </w:t>
      </w:r>
      <w:r w:rsidR="004E12C5">
        <w:t>i</w:t>
      </w:r>
      <w:r w:rsidR="005C60CC">
        <w:t xml:space="preserve">nformation or </w:t>
      </w:r>
      <w:r w:rsidR="004E12C5">
        <w:t>p</w:t>
      </w:r>
      <w:r w:rsidR="005C60CC">
        <w:t>rivacy teams.</w:t>
      </w:r>
    </w:p>
    <w:p w14:paraId="3214B71F" w14:textId="68355A73" w:rsidR="00EF0377" w:rsidRDefault="00EF0377" w:rsidP="005C60CC"/>
    <w:p w14:paraId="61DBDCBF" w14:textId="023C78A0" w:rsidR="00EF0377" w:rsidRDefault="00EF0377" w:rsidP="005C60CC"/>
    <w:p w14:paraId="64EC36D7" w14:textId="7C9F6E43" w:rsidR="00EF0377" w:rsidRDefault="00EF0377" w:rsidP="005C60CC"/>
    <w:p w14:paraId="0B55F335" w14:textId="07C02A89" w:rsidR="00EF0377" w:rsidRDefault="00EF0377" w:rsidP="005C60CC"/>
    <w:p w14:paraId="722C8A21" w14:textId="0CC45527" w:rsidR="00EF0377" w:rsidRDefault="00EF0377" w:rsidP="005C60CC"/>
    <w:p w14:paraId="63037E2D" w14:textId="23191E72" w:rsidR="00EF0377" w:rsidRDefault="00EF0377" w:rsidP="005C60CC"/>
    <w:p w14:paraId="15B1BACE" w14:textId="5DF661A2" w:rsidR="00EF0377" w:rsidRDefault="00EF0377" w:rsidP="005C60CC"/>
    <w:p w14:paraId="500C65DB" w14:textId="77777777" w:rsidR="00EF0377" w:rsidRPr="005C60CC" w:rsidRDefault="00EF0377" w:rsidP="005C60CC"/>
    <w:p w14:paraId="09801550" w14:textId="331217DF" w:rsidR="00D47698" w:rsidRDefault="00D47698" w:rsidP="0087701B">
      <w:pPr>
        <w:pStyle w:val="Heading3"/>
      </w:pPr>
      <w:bookmarkStart w:id="224" w:name="_Ref63241809"/>
      <w:bookmarkStart w:id="225" w:name="_Toc67904028"/>
      <w:bookmarkStart w:id="226" w:name="_Toc75255201"/>
      <w:bookmarkEnd w:id="217"/>
      <w:r>
        <w:lastRenderedPageBreak/>
        <w:t>The need to protect the identity of disclosers</w:t>
      </w:r>
      <w:bookmarkEnd w:id="224"/>
      <w:bookmarkEnd w:id="225"/>
      <w:bookmarkEnd w:id="226"/>
    </w:p>
    <w:p w14:paraId="6A73CE96" w14:textId="486307F7" w:rsidR="00112511" w:rsidRDefault="003B3A07" w:rsidP="00802EE9">
      <w:r>
        <w:t>Investigating entities</w:t>
      </w:r>
      <w:r w:rsidR="00D47698">
        <w:t xml:space="preserve"> and disclosure officers must take reasonable steps to protect the identity of disclosers. </w:t>
      </w:r>
      <w:r w:rsidR="000F43C1">
        <w:t>The PID Act</w:t>
      </w:r>
      <w:r w:rsidR="00D47698">
        <w:t xml:space="preserve"> provides that the reckless misuse of</w:t>
      </w:r>
      <w:r w:rsidR="00112511">
        <w:t xml:space="preserve"> protected</w:t>
      </w:r>
      <w:r w:rsidR="00D47698">
        <w:t xml:space="preserve"> information is a criminal offence, for which either the disclosure officer</w:t>
      </w:r>
      <w:r w:rsidR="00AE133C">
        <w:t>,</w:t>
      </w:r>
      <w:r w:rsidR="00D47698">
        <w:t xml:space="preserve"> or person responsible for misusing the discloser</w:t>
      </w:r>
      <w:r w:rsidR="003A5665">
        <w:t>’</w:t>
      </w:r>
      <w:r w:rsidR="00D47698">
        <w:t>s information</w:t>
      </w:r>
      <w:r w:rsidR="00AE133C">
        <w:t>,</w:t>
      </w:r>
      <w:r w:rsidR="00D47698">
        <w:t xml:space="preserve"> is personally liable</w:t>
      </w:r>
      <w:r w:rsidR="00802EE9">
        <w:t>.</w:t>
      </w:r>
      <w:r w:rsidR="00112511">
        <w:t xml:space="preserve"> </w:t>
      </w:r>
      <w:r w:rsidR="00257C34">
        <w:t xml:space="preserve">Protected information would include information </w:t>
      </w:r>
      <w:r w:rsidR="00AE133C">
        <w:t>that</w:t>
      </w:r>
      <w:r w:rsidR="00257C34">
        <w:t xml:space="preserve"> identifies, or could readily identify, the discloser.</w:t>
      </w:r>
      <w:r w:rsidR="00257C34">
        <w:rPr>
          <w:rStyle w:val="FootnoteReference"/>
        </w:rPr>
        <w:footnoteReference w:id="110"/>
      </w:r>
    </w:p>
    <w:p w14:paraId="64B7EFD7" w14:textId="6C1068FD" w:rsidR="00257C34" w:rsidRDefault="00CB0673" w:rsidP="00802EE9">
      <w:r>
        <w:rPr>
          <w:b/>
          <w:bCs/>
        </w:rPr>
        <w:t>Important:</w:t>
      </w:r>
      <w:r>
        <w:t xml:space="preserve"> </w:t>
      </w:r>
      <w:r w:rsidR="00257C34">
        <w:t>The reckless use of protected information carries a penalty of six months imprisonment, a 50-penalty unit fine, or both.</w:t>
      </w:r>
      <w:r w:rsidR="00257C34">
        <w:rPr>
          <w:rStyle w:val="FootnoteReference"/>
        </w:rPr>
        <w:footnoteReference w:id="111"/>
      </w:r>
    </w:p>
    <w:p w14:paraId="79BA1855" w14:textId="17269549" w:rsidR="00CB0673" w:rsidRDefault="00112511" w:rsidP="00112511">
      <w:r>
        <w:t xml:space="preserve">However, the </w:t>
      </w:r>
      <w:r w:rsidR="00CB0673">
        <w:t>offence of using or divulging protected information does not apply if the information is used or divulged:</w:t>
      </w:r>
    </w:p>
    <w:p w14:paraId="712FEA9A" w14:textId="0B9DD5DF" w:rsidR="00CB0673" w:rsidRDefault="00CB0673" w:rsidP="00061417">
      <w:pPr>
        <w:pStyle w:val="ListParagraph"/>
        <w:numPr>
          <w:ilvl w:val="0"/>
          <w:numId w:val="19"/>
        </w:numPr>
      </w:pPr>
      <w:r>
        <w:t xml:space="preserve">under the PID Act or another </w:t>
      </w:r>
      <w:r w:rsidR="00AE133C">
        <w:t>T</w:t>
      </w:r>
      <w:r>
        <w:t>erritory law;</w:t>
      </w:r>
      <w:r>
        <w:rPr>
          <w:rStyle w:val="FootnoteReference"/>
        </w:rPr>
        <w:footnoteReference w:id="112"/>
      </w:r>
      <w:r>
        <w:t xml:space="preserve"> </w:t>
      </w:r>
    </w:p>
    <w:p w14:paraId="23870402" w14:textId="66A68BDE" w:rsidR="00CB0673" w:rsidRDefault="00CB0673" w:rsidP="00061417">
      <w:pPr>
        <w:pStyle w:val="ListParagraph"/>
        <w:numPr>
          <w:ilvl w:val="0"/>
          <w:numId w:val="19"/>
        </w:numPr>
      </w:pPr>
      <w:r>
        <w:t xml:space="preserve">in relation to the exercise of a function (by those with functions) under the PID Act or another </w:t>
      </w:r>
      <w:r w:rsidR="00AE133C">
        <w:t>T</w:t>
      </w:r>
      <w:r>
        <w:t>erritory law;</w:t>
      </w:r>
      <w:r>
        <w:rPr>
          <w:rStyle w:val="FootnoteReference"/>
        </w:rPr>
        <w:footnoteReference w:id="113"/>
      </w:r>
    </w:p>
    <w:p w14:paraId="7B006525" w14:textId="0915F975" w:rsidR="00112511" w:rsidRDefault="00CB0673" w:rsidP="00061417">
      <w:pPr>
        <w:pStyle w:val="ListParagraph"/>
        <w:numPr>
          <w:ilvl w:val="0"/>
          <w:numId w:val="19"/>
        </w:numPr>
      </w:pPr>
      <w:r>
        <w:t>in a court proceeding;</w:t>
      </w:r>
      <w:r>
        <w:rPr>
          <w:rStyle w:val="FootnoteReference"/>
        </w:rPr>
        <w:footnoteReference w:id="114"/>
      </w:r>
      <w:r>
        <w:t xml:space="preserve"> or</w:t>
      </w:r>
    </w:p>
    <w:p w14:paraId="5918C35C" w14:textId="52224A3C" w:rsidR="00CB0673" w:rsidRDefault="00CB0673" w:rsidP="00061417">
      <w:pPr>
        <w:pStyle w:val="ListParagraph"/>
        <w:numPr>
          <w:ilvl w:val="0"/>
          <w:numId w:val="19"/>
        </w:numPr>
      </w:pPr>
      <w:r>
        <w:t>with the consent of the person about whom the protected information relates.</w:t>
      </w:r>
      <w:r>
        <w:rPr>
          <w:rStyle w:val="FootnoteReference"/>
        </w:rPr>
        <w:footnoteReference w:id="115"/>
      </w:r>
    </w:p>
    <w:p w14:paraId="54A93919" w14:textId="6B583ADE" w:rsidR="00112511" w:rsidRPr="00CB0673" w:rsidRDefault="00CB0673" w:rsidP="00D47698">
      <w:r w:rsidRPr="00CB0673">
        <w:rPr>
          <w:b/>
          <w:bCs/>
        </w:rPr>
        <w:t>Example:</w:t>
      </w:r>
      <w:r>
        <w:rPr>
          <w:b/>
          <w:bCs/>
        </w:rPr>
        <w:t xml:space="preserve"> </w:t>
      </w:r>
      <w:r>
        <w:t>Disclosure officers are required to provide to the Commission the discloser</w:t>
      </w:r>
      <w:r w:rsidR="00333BE5">
        <w:t>’</w:t>
      </w:r>
      <w:r>
        <w:t>s name and contact details when referring a disclosure of disclosable conduct to the Commission.</w:t>
      </w:r>
      <w:r>
        <w:rPr>
          <w:rStyle w:val="FootnoteReference"/>
        </w:rPr>
        <w:footnoteReference w:id="116"/>
      </w:r>
      <w:r>
        <w:t xml:space="preserve"> This is not </w:t>
      </w:r>
      <w:r w:rsidR="001927D3">
        <w:t>an offence, as the sharing of the discloser’s contact details are expressly required by the PID Act.</w:t>
      </w:r>
      <w:r w:rsidR="001927D3">
        <w:rPr>
          <w:rStyle w:val="FootnoteReference"/>
        </w:rPr>
        <w:footnoteReference w:id="117"/>
      </w:r>
    </w:p>
    <w:p w14:paraId="26EC45AB" w14:textId="1798D250" w:rsidR="00D47698" w:rsidRDefault="00D47698" w:rsidP="00D47698">
      <w:r>
        <w:t>Further, to effectively investigate some disclosures it may be necessary that the identity of the discloser be communicated to third parties</w:t>
      </w:r>
      <w:r w:rsidR="00AE133C">
        <w:t>.</w:t>
      </w:r>
      <w:r w:rsidR="00C22BA9">
        <w:t xml:space="preserve"> </w:t>
      </w:r>
      <w:r w:rsidR="00AE133C">
        <w:t>F</w:t>
      </w:r>
      <w:r>
        <w:t xml:space="preserve">or example, where it is feared that it would be unsafe for the discloser to continue working in their current workplace </w:t>
      </w:r>
      <w:r w:rsidR="007508EB">
        <w:t>because of</w:t>
      </w:r>
      <w:r>
        <w:t xml:space="preserve"> the disclosure and/or the nature of the alleged</w:t>
      </w:r>
      <w:r w:rsidR="00064049">
        <w:t xml:space="preserve"> </w:t>
      </w:r>
      <w:r>
        <w:t>conduct</w:t>
      </w:r>
      <w:r w:rsidR="00AE133C">
        <w:t xml:space="preserve"> it will be necessary to inform relevant others</w:t>
      </w:r>
      <w:r>
        <w:t xml:space="preserve">. In such circumstances the </w:t>
      </w:r>
      <w:r w:rsidR="003B3A07">
        <w:t>investigating entity</w:t>
      </w:r>
      <w:r>
        <w:t xml:space="preserve"> or disclosure officer </w:t>
      </w:r>
      <w:r w:rsidR="00B86462">
        <w:t xml:space="preserve">should </w:t>
      </w:r>
      <w:r>
        <w:t>liaise with the discloser to discuss appropriate options.</w:t>
      </w:r>
      <w:r w:rsidR="003A5665">
        <w:t xml:space="preserve"> In addition, </w:t>
      </w:r>
      <w:r w:rsidR="00003037">
        <w:t>to</w:t>
      </w:r>
      <w:r w:rsidR="003A5665">
        <w:t xml:space="preserve"> afford a respondent procedural fairness, the circumstances of the matter might require the identity of the discloser to be revealed to them.</w:t>
      </w:r>
      <w:r w:rsidR="00AE133C">
        <w:t xml:space="preserve"> The discloser should be warned about this.</w:t>
      </w:r>
    </w:p>
    <w:p w14:paraId="51396F76" w14:textId="6C054635" w:rsidR="00D47698" w:rsidRPr="002241DA" w:rsidRDefault="00D47698" w:rsidP="00D47698">
      <w:r>
        <w:t xml:space="preserve">Finally, in addition to the protections specified in the </w:t>
      </w:r>
      <w:r w:rsidR="00A63705">
        <w:t xml:space="preserve">PID </w:t>
      </w:r>
      <w:r>
        <w:t xml:space="preserve">Act, all public officials performing functions under the </w:t>
      </w:r>
      <w:r w:rsidR="00BE3F28">
        <w:t xml:space="preserve">PID </w:t>
      </w:r>
      <w:r>
        <w:t xml:space="preserve">Act have additional obligations to ensure their use of personal information is consistent with the principles in the </w:t>
      </w:r>
      <w:r>
        <w:rPr>
          <w:i/>
          <w:iCs/>
        </w:rPr>
        <w:t>Information Privacy Act 2014</w:t>
      </w:r>
      <w:r w:rsidR="001C16C1">
        <w:t xml:space="preserve"> (ACT)</w:t>
      </w:r>
      <w:r>
        <w:t>.</w:t>
      </w:r>
    </w:p>
    <w:p w14:paraId="7C327825" w14:textId="77777777" w:rsidR="00D47698" w:rsidRDefault="00D47698" w:rsidP="00EB3E4B">
      <w:pPr>
        <w:pStyle w:val="Heading4"/>
      </w:pPr>
      <w:bookmarkStart w:id="227" w:name="_Toc57188842"/>
      <w:bookmarkStart w:id="228" w:name="_Ref73525304"/>
      <w:r>
        <w:t>Protection for witnesses</w:t>
      </w:r>
      <w:bookmarkEnd w:id="227"/>
      <w:bookmarkEnd w:id="228"/>
    </w:p>
    <w:p w14:paraId="373827FE" w14:textId="13EC2E0D" w:rsidR="00D47698" w:rsidRDefault="00D47698" w:rsidP="00D47698">
      <w:r>
        <w:t>Individuals who assist in the investigation of PIDs are protected against criminal and civil liability resulting from assistance</w:t>
      </w:r>
      <w:r w:rsidR="00AE133C">
        <w:t xml:space="preserve"> they give</w:t>
      </w:r>
      <w:r>
        <w:t xml:space="preserve"> to that investigation.</w:t>
      </w:r>
      <w:r w:rsidR="000F43C1">
        <w:rPr>
          <w:rStyle w:val="FootnoteReference"/>
        </w:rPr>
        <w:footnoteReference w:id="118"/>
      </w:r>
      <w:r>
        <w:t xml:space="preserve"> However, as with disclosers, this indemnification does not extend to the conduct </w:t>
      </w:r>
      <w:r w:rsidR="002B00E9">
        <w:t xml:space="preserve">(aside from their assistance to the investigation) </w:t>
      </w:r>
      <w:r>
        <w:t>of the witness (</w:t>
      </w:r>
      <w:r w:rsidR="00AE133C">
        <w:t>eg</w:t>
      </w:r>
      <w:r>
        <w:t xml:space="preserve"> if the assistance reveals misconduct on the part of the witness).</w:t>
      </w:r>
      <w:r w:rsidR="000F43C1">
        <w:rPr>
          <w:rStyle w:val="FootnoteReference"/>
        </w:rPr>
        <w:footnoteReference w:id="119"/>
      </w:r>
    </w:p>
    <w:p w14:paraId="66AF554E" w14:textId="29751C3A" w:rsidR="00EF0377" w:rsidRDefault="00EF0377" w:rsidP="00D47698"/>
    <w:p w14:paraId="0CC89592" w14:textId="57626BEB" w:rsidR="00EF0377" w:rsidRDefault="00EF0377" w:rsidP="00D47698"/>
    <w:p w14:paraId="75D302B7" w14:textId="221C5E9C" w:rsidR="00EF0377" w:rsidRDefault="00EF0377" w:rsidP="00D47698"/>
    <w:p w14:paraId="35665AD1" w14:textId="77777777" w:rsidR="00EF0377" w:rsidRDefault="00EF0377" w:rsidP="00D47698"/>
    <w:p w14:paraId="04429DDD" w14:textId="77777777" w:rsidR="000658D1" w:rsidRDefault="000658D1" w:rsidP="007247D1">
      <w:pPr>
        <w:pStyle w:val="Heading2"/>
      </w:pPr>
      <w:bookmarkStart w:id="229" w:name="_Ref63148759"/>
      <w:bookmarkStart w:id="230" w:name="_Ref67902509"/>
      <w:bookmarkStart w:id="231" w:name="_Toc67904014"/>
      <w:bookmarkStart w:id="232" w:name="_Toc75255202"/>
      <w:r>
        <w:lastRenderedPageBreak/>
        <w:t>When and how to end a</w:t>
      </w:r>
      <w:bookmarkEnd w:id="229"/>
      <w:r>
        <w:t>n investigation</w:t>
      </w:r>
      <w:bookmarkEnd w:id="230"/>
      <w:bookmarkEnd w:id="231"/>
      <w:bookmarkEnd w:id="232"/>
    </w:p>
    <w:p w14:paraId="0AAEE242" w14:textId="77777777" w:rsidR="000658D1" w:rsidRDefault="000658D1" w:rsidP="000658D1">
      <w:r>
        <w:t>An investigating entity may end an investigation where it is reasonably satisfied:</w:t>
      </w:r>
    </w:p>
    <w:p w14:paraId="722AAF94" w14:textId="77777777" w:rsidR="000658D1" w:rsidRDefault="000658D1" w:rsidP="000658D1">
      <w:pPr>
        <w:pStyle w:val="ListParagraph"/>
        <w:numPr>
          <w:ilvl w:val="0"/>
          <w:numId w:val="5"/>
        </w:numPr>
      </w:pPr>
      <w:r>
        <w:t>it is impractical to investigate the matter due to the discloser’s anonymity;</w:t>
      </w:r>
      <w:r>
        <w:rPr>
          <w:rStyle w:val="FootnoteReference"/>
        </w:rPr>
        <w:footnoteReference w:id="120"/>
      </w:r>
    </w:p>
    <w:p w14:paraId="6A9EA40B" w14:textId="77777777" w:rsidR="000658D1" w:rsidRDefault="000658D1" w:rsidP="000658D1">
      <w:pPr>
        <w:pStyle w:val="ListParagraph"/>
        <w:numPr>
          <w:ilvl w:val="0"/>
          <w:numId w:val="5"/>
        </w:numPr>
      </w:pPr>
      <w:r>
        <w:t>it is impractical to continue investigating the disclosure where the discloser fails to help the investigation;</w:t>
      </w:r>
      <w:r>
        <w:rPr>
          <w:rStyle w:val="FootnoteReference"/>
        </w:rPr>
        <w:footnoteReference w:id="121"/>
      </w:r>
    </w:p>
    <w:p w14:paraId="63082DC2" w14:textId="77777777" w:rsidR="000658D1" w:rsidRDefault="000658D1" w:rsidP="000658D1">
      <w:pPr>
        <w:pStyle w:val="ListParagraph"/>
        <w:numPr>
          <w:ilvl w:val="0"/>
          <w:numId w:val="5"/>
        </w:numPr>
      </w:pPr>
      <w:r>
        <w:t>the information disclosed is wrong and an investigation is not warranted;</w:t>
      </w:r>
      <w:r>
        <w:rPr>
          <w:rStyle w:val="FootnoteReference"/>
        </w:rPr>
        <w:footnoteReference w:id="122"/>
      </w:r>
    </w:p>
    <w:p w14:paraId="4BD05DAB" w14:textId="77777777" w:rsidR="000658D1" w:rsidRDefault="000658D1" w:rsidP="000658D1">
      <w:pPr>
        <w:pStyle w:val="ListParagraph"/>
        <w:numPr>
          <w:ilvl w:val="0"/>
          <w:numId w:val="5"/>
        </w:numPr>
      </w:pPr>
      <w:r>
        <w:t>the age of the disclosed information is such that it is impractical to investigate the disclosure;</w:t>
      </w:r>
      <w:r>
        <w:rPr>
          <w:rStyle w:val="FootnoteReference"/>
        </w:rPr>
        <w:footnoteReference w:id="123"/>
      </w:r>
      <w:r>
        <w:t xml:space="preserve"> or</w:t>
      </w:r>
    </w:p>
    <w:p w14:paraId="13A63C12" w14:textId="77777777" w:rsidR="000658D1" w:rsidRDefault="000658D1" w:rsidP="000658D1">
      <w:pPr>
        <w:pStyle w:val="ListParagraph"/>
        <w:numPr>
          <w:ilvl w:val="0"/>
          <w:numId w:val="5"/>
        </w:numPr>
      </w:pPr>
      <w:r>
        <w:t>there is a more appropriate way to address the alleged conduct which is the subject of the disclosure.</w:t>
      </w:r>
      <w:r>
        <w:rPr>
          <w:rStyle w:val="FootnoteReference"/>
        </w:rPr>
        <w:footnoteReference w:id="124"/>
      </w:r>
    </w:p>
    <w:p w14:paraId="6B5B34EF" w14:textId="77777777" w:rsidR="000658D1" w:rsidRDefault="000658D1" w:rsidP="000658D1">
      <w:r>
        <w:t xml:space="preserve">An investigating entity </w:t>
      </w:r>
      <w:r w:rsidRPr="00253DE8">
        <w:t>may</w:t>
      </w:r>
      <w:r>
        <w:t xml:space="preserve"> invoke any of the above at any point throughout the course of an investigation in the appropriate circumstances.</w:t>
      </w:r>
    </w:p>
    <w:p w14:paraId="250AB015" w14:textId="77777777" w:rsidR="000658D1" w:rsidRDefault="000658D1" w:rsidP="000658D1">
      <w:r>
        <w:t xml:space="preserve">The investigating entity may also end an investigation </w:t>
      </w:r>
      <w:r w:rsidRPr="00AC516C">
        <w:t>where the discloser withdraws the disclosure, and nothing remains which warrants investigation</w:t>
      </w:r>
      <w:r>
        <w:t>.</w:t>
      </w:r>
      <w:r w:rsidRPr="00AC516C">
        <w:rPr>
          <w:rStyle w:val="FootnoteReference"/>
        </w:rPr>
        <w:footnoteReference w:id="125"/>
      </w:r>
    </w:p>
    <w:p w14:paraId="2611E7D4" w14:textId="77777777" w:rsidR="000658D1" w:rsidRDefault="000658D1" w:rsidP="000658D1">
      <w:r>
        <w:t>Where an investigating entity is considering ending an investigation, the investigating entity should provide to the discloser (where the discloser is not anonymous) the opportunity to correct the defect(s) which the investigating entity considers provide a reasonable basis for ceasing the investigation.</w:t>
      </w:r>
    </w:p>
    <w:p w14:paraId="17F76D76" w14:textId="77777777" w:rsidR="000658D1" w:rsidRDefault="000658D1" w:rsidP="000658D1">
      <w:pPr>
        <w:rPr>
          <w:b/>
          <w:bCs/>
        </w:rPr>
      </w:pPr>
      <w:r>
        <w:t xml:space="preserve">An investigating entity </w:t>
      </w:r>
      <w:r w:rsidRPr="00253DE8">
        <w:t>must</w:t>
      </w:r>
      <w:r>
        <w:t xml:space="preserve"> provide to the discloser notice where a decision to end the investigation has been taken.</w:t>
      </w:r>
      <w:r>
        <w:rPr>
          <w:rStyle w:val="FootnoteReference"/>
        </w:rPr>
        <w:footnoteReference w:id="126"/>
      </w:r>
      <w:r>
        <w:t xml:space="preserve"> The notice cannot merely restate the legislative basis on which the investigation has ended but must also include the factual basis for the discontinuance. </w:t>
      </w:r>
    </w:p>
    <w:p w14:paraId="0A2EF940" w14:textId="1AF230CC" w:rsidR="000658D1" w:rsidRPr="001B0310" w:rsidRDefault="000658D1" w:rsidP="000658D1">
      <w:r>
        <w:rPr>
          <w:b/>
          <w:bCs/>
        </w:rPr>
        <w:t>Note</w:t>
      </w:r>
      <w:r>
        <w:t>: Investigating entities must notify the discloser and the Commission of where an investigation has ended (see</w:t>
      </w:r>
      <w:r w:rsidR="005D41A2">
        <w:t xml:space="preserve"> </w:t>
      </w:r>
      <w:r w:rsidR="005D41A2" w:rsidRPr="005D41A2">
        <w:rPr>
          <w:b/>
          <w:bCs/>
        </w:rPr>
        <w:fldChar w:fldCharType="begin"/>
      </w:r>
      <w:r w:rsidR="005D41A2" w:rsidRPr="005D41A2">
        <w:rPr>
          <w:b/>
          <w:bCs/>
        </w:rPr>
        <w:instrText xml:space="preserve"> REF _Ref63951816 \h </w:instrText>
      </w:r>
      <w:r w:rsidR="005D41A2">
        <w:rPr>
          <w:b/>
          <w:bCs/>
        </w:rPr>
        <w:instrText xml:space="preserve"> \* MERGEFORMAT </w:instrText>
      </w:r>
      <w:r w:rsidR="005D41A2" w:rsidRPr="005D41A2">
        <w:rPr>
          <w:b/>
          <w:bCs/>
        </w:rPr>
      </w:r>
      <w:r w:rsidR="005D41A2" w:rsidRPr="005D41A2">
        <w:rPr>
          <w:b/>
          <w:bCs/>
        </w:rPr>
        <w:fldChar w:fldCharType="separate"/>
      </w:r>
      <w:r w:rsidR="00245E6D" w:rsidRPr="00245E6D">
        <w:rPr>
          <w:b/>
          <w:bCs/>
        </w:rPr>
        <w:t>Keeping the discloser and the Commission informed</w:t>
      </w:r>
      <w:r w:rsidR="005D41A2" w:rsidRPr="005D41A2">
        <w:rPr>
          <w:b/>
          <w:bCs/>
        </w:rPr>
        <w:fldChar w:fldCharType="end"/>
      </w:r>
      <w:r>
        <w:t>).</w:t>
      </w:r>
    </w:p>
    <w:p w14:paraId="471CB443" w14:textId="77777777" w:rsidR="000658D1" w:rsidRDefault="000658D1" w:rsidP="000658D1">
      <w:pPr>
        <w:pStyle w:val="Heading4"/>
      </w:pPr>
      <w:r>
        <w:t>Withdrawal of the disclosure</w:t>
      </w:r>
    </w:p>
    <w:p w14:paraId="333C4808" w14:textId="77777777" w:rsidR="000658D1" w:rsidRDefault="000658D1" w:rsidP="000658D1">
      <w:r>
        <w:t>Where the discloser has expressed either an:</w:t>
      </w:r>
    </w:p>
    <w:p w14:paraId="2AA41EA5" w14:textId="77777777" w:rsidR="000658D1" w:rsidRDefault="000658D1" w:rsidP="000658D1">
      <w:pPr>
        <w:pStyle w:val="ListParagraph"/>
        <w:numPr>
          <w:ilvl w:val="0"/>
          <w:numId w:val="5"/>
        </w:numPr>
      </w:pPr>
      <w:r>
        <w:t xml:space="preserve">explicit retraction of their disclosure; or </w:t>
      </w:r>
    </w:p>
    <w:p w14:paraId="75385B35" w14:textId="77777777" w:rsidR="000658D1" w:rsidRDefault="000658D1" w:rsidP="000658D1">
      <w:pPr>
        <w:pStyle w:val="ListParagraph"/>
        <w:numPr>
          <w:ilvl w:val="0"/>
          <w:numId w:val="5"/>
        </w:numPr>
      </w:pPr>
      <w:r>
        <w:t xml:space="preserve">otherwise represented that they do not wish the disclosure they made be investigated; </w:t>
      </w:r>
    </w:p>
    <w:p w14:paraId="0E0FF419" w14:textId="77777777" w:rsidR="000658D1" w:rsidRDefault="000658D1" w:rsidP="000658D1">
      <w:r w:rsidRPr="00253DE8">
        <w:t>and</w:t>
      </w:r>
      <w:r>
        <w:t xml:space="preserve"> the investigating entity is reasonably satisfied there is nothing remaining which warrants investigation, the investigating entity </w:t>
      </w:r>
      <w:r w:rsidRPr="00253DE8">
        <w:t>may</w:t>
      </w:r>
      <w:r>
        <w:t xml:space="preserve"> end the investigation.</w:t>
      </w:r>
      <w:r>
        <w:rPr>
          <w:rStyle w:val="FootnoteReference"/>
        </w:rPr>
        <w:footnoteReference w:id="127"/>
      </w:r>
      <w:r>
        <w:t xml:space="preserve"> </w:t>
      </w:r>
    </w:p>
    <w:p w14:paraId="15140FAB" w14:textId="014E675A" w:rsidR="000658D1" w:rsidRDefault="000658D1" w:rsidP="000658D1">
      <w:r>
        <w:t xml:space="preserve">A disclosure withdrawal may occur where, for example, a disclosure was made unintentionally by an official to their supervisor, manager or person who has functional responsibility for addressing the type of conduct (see </w:t>
      </w:r>
      <w:r w:rsidR="00EF0377" w:rsidRPr="00EF0377">
        <w:rPr>
          <w:b/>
          <w:bCs/>
        </w:rPr>
        <w:fldChar w:fldCharType="begin"/>
      </w:r>
      <w:r w:rsidR="00EF0377" w:rsidRPr="00EF0377">
        <w:rPr>
          <w:b/>
          <w:bCs/>
        </w:rPr>
        <w:instrText xml:space="preserve"> REF _Ref61861988 \h </w:instrText>
      </w:r>
      <w:r w:rsidR="00EF0377">
        <w:rPr>
          <w:b/>
          <w:bCs/>
        </w:rPr>
        <w:instrText xml:space="preserve"> \* MERGEFORMAT </w:instrText>
      </w:r>
      <w:r w:rsidR="00EF0377" w:rsidRPr="00EF0377">
        <w:rPr>
          <w:b/>
          <w:bCs/>
        </w:rPr>
      </w:r>
      <w:r w:rsidR="00EF0377" w:rsidRPr="00EF0377">
        <w:rPr>
          <w:b/>
          <w:bCs/>
        </w:rPr>
        <w:fldChar w:fldCharType="separate"/>
      </w:r>
      <w:r w:rsidR="00245E6D" w:rsidRPr="00245E6D">
        <w:rPr>
          <w:b/>
          <w:bCs/>
        </w:rPr>
        <w:t>Dealing with disclosers</w:t>
      </w:r>
      <w:r w:rsidR="00EF0377" w:rsidRPr="00EF0377">
        <w:rPr>
          <w:b/>
          <w:bCs/>
        </w:rPr>
        <w:fldChar w:fldCharType="end"/>
      </w:r>
      <w:r>
        <w:t>). Two common reasons why a discloser may seek to withdraw a disclosure include the discloser fearing their own misconduct being revealed and/or perceived reprisal action.</w:t>
      </w:r>
    </w:p>
    <w:p w14:paraId="3DA9C985" w14:textId="77777777" w:rsidR="000658D1" w:rsidRDefault="000658D1" w:rsidP="000658D1">
      <w:r>
        <w:t xml:space="preserve">Although the PID Act contemplates the possibility of withdrawal, it does not specify a process by which a disclosure is to be withdrawn. Withdrawal does not have </w:t>
      </w:r>
      <w:r w:rsidRPr="007321D1">
        <w:t xml:space="preserve">the </w:t>
      </w:r>
      <w:r>
        <w:t xml:space="preserve">automatic </w:t>
      </w:r>
      <w:r w:rsidRPr="007321D1">
        <w:t xml:space="preserve">effect of stopping an investigation. Instead, the </w:t>
      </w:r>
      <w:r>
        <w:t>investigating entity</w:t>
      </w:r>
      <w:r w:rsidRPr="007321D1">
        <w:t xml:space="preserve"> must focus on whether there is anything remaining which warrants investigation. The proper question to ask is whether the investigation should continue despite </w:t>
      </w:r>
      <w:r>
        <w:t>withdrawal</w:t>
      </w:r>
      <w:r w:rsidRPr="007321D1">
        <w:t xml:space="preserve"> </w:t>
      </w:r>
      <w:r>
        <w:t xml:space="preserve">of </w:t>
      </w:r>
      <w:r w:rsidRPr="007321D1">
        <w:t>the disclosure. As</w:t>
      </w:r>
      <w:r>
        <w:t xml:space="preserve"> </w:t>
      </w:r>
      <w:r w:rsidRPr="007321D1">
        <w:t>the</w:t>
      </w:r>
      <w:r>
        <w:t xml:space="preserve"> </w:t>
      </w:r>
      <w:r w:rsidRPr="007321D1">
        <w:t xml:space="preserve">Commission has already assessed the disclosure to </w:t>
      </w:r>
      <w:r>
        <w:t>qualify as</w:t>
      </w:r>
      <w:r w:rsidRPr="007321D1">
        <w:t xml:space="preserve"> a PID, in most cases there will be something which warrants investigation.</w:t>
      </w:r>
    </w:p>
    <w:p w14:paraId="35A4C836" w14:textId="77777777" w:rsidR="000658D1" w:rsidRPr="00271619" w:rsidRDefault="000658D1" w:rsidP="000658D1">
      <w:r>
        <w:rPr>
          <w:b/>
          <w:bCs/>
        </w:rPr>
        <w:lastRenderedPageBreak/>
        <w:t>Important</w:t>
      </w:r>
      <w:r>
        <w:t>: The withdrawal of a disclosure does not change the qualification of the disclosure as a PID, and the discloser retains all statutory protections.</w:t>
      </w:r>
    </w:p>
    <w:p w14:paraId="0DA191BE" w14:textId="77777777" w:rsidR="000658D1" w:rsidRDefault="000658D1" w:rsidP="000658D1">
      <w:pPr>
        <w:pStyle w:val="Heading4"/>
      </w:pPr>
      <w:r>
        <w:t>Impracticability due to discloser’s anonymity</w:t>
      </w:r>
    </w:p>
    <w:p w14:paraId="0A60DC80" w14:textId="77777777" w:rsidR="000658D1" w:rsidRDefault="000658D1" w:rsidP="000658D1">
      <w:r>
        <w:t>Where the investigating entity is reasonably satisfied that, due to the discloser making an anonymous disclosure, it would be impractical to investigate the disclosure, the investigating entity may end the investigation.</w:t>
      </w:r>
      <w:r>
        <w:rPr>
          <w:rStyle w:val="FootnoteReference"/>
        </w:rPr>
        <w:footnoteReference w:id="128"/>
      </w:r>
    </w:p>
    <w:p w14:paraId="40F7D000" w14:textId="1B44D8EE" w:rsidR="000658D1" w:rsidRDefault="000658D1" w:rsidP="000658D1">
      <w:r>
        <w:t xml:space="preserve">It should be noted the PID Act expressly permits anonymous disclosures. The mere fact that a disclosure was made anonymously does not indicate that a less than comprehensive investigation is warranted. In considering whether to discontinue an investigation due to the anonymity of the discloser, the investigating entity will need to consider the practicality of commencing, or continuing, an investigation without the assistance of the discloser. The considerations are similar to where a disclosure may need to end due to the non-cooperation of the discloser (see </w:t>
      </w:r>
      <w:r w:rsidR="00D05E14" w:rsidRPr="00D05E14">
        <w:rPr>
          <w:b/>
          <w:bCs/>
        </w:rPr>
        <w:fldChar w:fldCharType="begin"/>
      </w:r>
      <w:r w:rsidR="00D05E14" w:rsidRPr="00D05E14">
        <w:rPr>
          <w:b/>
          <w:bCs/>
        </w:rPr>
        <w:instrText xml:space="preserve"> REF _Ref64277426 \h </w:instrText>
      </w:r>
      <w:r w:rsidR="00D05E14">
        <w:rPr>
          <w:b/>
          <w:bCs/>
        </w:rPr>
        <w:instrText xml:space="preserve"> \* MERGEFORMAT </w:instrText>
      </w:r>
      <w:r w:rsidR="00D05E14" w:rsidRPr="00D05E14">
        <w:rPr>
          <w:b/>
          <w:bCs/>
        </w:rPr>
      </w:r>
      <w:r w:rsidR="00D05E14" w:rsidRPr="00D05E14">
        <w:rPr>
          <w:b/>
          <w:bCs/>
        </w:rPr>
        <w:fldChar w:fldCharType="separate"/>
      </w:r>
      <w:r w:rsidR="00245E6D" w:rsidRPr="00245E6D">
        <w:rPr>
          <w:b/>
          <w:bCs/>
        </w:rPr>
        <w:t>The discloser fails to cooperate with the investigation</w:t>
      </w:r>
      <w:r w:rsidR="00D05E14" w:rsidRPr="00D05E14">
        <w:rPr>
          <w:b/>
          <w:bCs/>
        </w:rPr>
        <w:fldChar w:fldCharType="end"/>
      </w:r>
      <w:r>
        <w:t>).</w:t>
      </w:r>
    </w:p>
    <w:p w14:paraId="7DF35DFF" w14:textId="77777777" w:rsidR="000658D1" w:rsidRDefault="000658D1" w:rsidP="000658D1">
      <w:r>
        <w:t>Impracticality does not arise where the discloser, despite claiming anonymity, has provided an alternative method of communication (eg a pseudonym or temporary email account).</w:t>
      </w:r>
    </w:p>
    <w:p w14:paraId="7C6A0335" w14:textId="77777777" w:rsidR="000658D1" w:rsidRDefault="000658D1" w:rsidP="000658D1">
      <w:r>
        <w:t>Accordingly, before deciding to not investigate, or stop investigating on the ground of impracticality, the investigating entity should consider the adequacy of the information provided and whether the discloser’s involvement in the investigation is essential. If other witnesses can be identified, or an investigation can be conducted by, for example, examining documents or electronic records, this should occur, so long as that type of investigation is practicable.</w:t>
      </w:r>
    </w:p>
    <w:p w14:paraId="0A0A06F6" w14:textId="77777777" w:rsidR="000658D1" w:rsidRDefault="000658D1" w:rsidP="000658D1">
      <w:pPr>
        <w:pStyle w:val="Heading4"/>
      </w:pPr>
      <w:bookmarkStart w:id="233" w:name="_Ref64277426"/>
      <w:r>
        <w:t>The discloser fails to cooperate with the investigation</w:t>
      </w:r>
      <w:bookmarkEnd w:id="233"/>
    </w:p>
    <w:p w14:paraId="3DB9C4D6" w14:textId="77777777" w:rsidR="000658D1" w:rsidRDefault="000658D1" w:rsidP="000658D1">
      <w:r>
        <w:t>An investigating entity may decide not to investigate a disclosure (or stop investigating it) if an investigation is impracticable because the discloser refuses, fails or is unable to give the investigator relevant information or assistance.</w:t>
      </w:r>
      <w:r>
        <w:rPr>
          <w:rStyle w:val="FootnoteReference"/>
        </w:rPr>
        <w:footnoteReference w:id="129"/>
      </w:r>
      <w:r>
        <w:t xml:space="preserve"> To rely on this ground, the investigating entity must have actually requested information or assistance from the discloser, and the lack of information or assistance must make it impractical to investigate the disclosure. It is not sufficient to presume the non-cooperation of a discloser.</w:t>
      </w:r>
    </w:p>
    <w:p w14:paraId="1AC12BCC" w14:textId="77777777" w:rsidR="000658D1" w:rsidRDefault="000658D1" w:rsidP="000658D1">
      <w:r>
        <w:t>As in instances where the anonymity of the discloser hinders any proposed or current investigation, the investigating entity must consider whether the discloser’s involvement in the investigation is essential or whether there are other sources of information reasonably available to the investigation.</w:t>
      </w:r>
    </w:p>
    <w:p w14:paraId="7FB9F3B8" w14:textId="77777777" w:rsidR="000658D1" w:rsidRDefault="000658D1" w:rsidP="000658D1">
      <w:pPr>
        <w:pStyle w:val="Heading4"/>
      </w:pPr>
      <w:r>
        <w:t>Where the information disclosed is wrong and an investigation is unwarranted</w:t>
      </w:r>
    </w:p>
    <w:p w14:paraId="1BC7C60B" w14:textId="77777777" w:rsidR="000658D1" w:rsidRDefault="000658D1" w:rsidP="000658D1">
      <w:r>
        <w:t>An investigating entity may decide to discontinue or not commence an investigation where the information provided by the discloser is wrong, and an investigation (or further investigation) is not warranted.</w:t>
      </w:r>
      <w:r>
        <w:rPr>
          <w:rStyle w:val="FootnoteReference"/>
        </w:rPr>
        <w:footnoteReference w:id="130"/>
      </w:r>
      <w:r>
        <w:t xml:space="preserve"> This ground is mostly self-explanatory. Of course, where X has disclosed that a certain form of conduct had occurred, but enquiries establish that the conduct did not, or could not, have occurred, the investigation is complete. </w:t>
      </w:r>
    </w:p>
    <w:p w14:paraId="5A05528F" w14:textId="77777777" w:rsidR="000658D1" w:rsidRDefault="000658D1" w:rsidP="000658D1">
      <w:r>
        <w:t>It will usually be necessary to raise with the discloser the matters that indicate that the information provided was wrong, or not established to be correct, in order to ensure that this was not the result of some omission or misunderstanding before regarding the investigation as completed.</w:t>
      </w:r>
    </w:p>
    <w:p w14:paraId="193D2B7E" w14:textId="77777777" w:rsidR="000658D1" w:rsidRDefault="000658D1" w:rsidP="000658D1">
      <w:pPr>
        <w:pStyle w:val="Heading4"/>
      </w:pPr>
      <w:r>
        <w:t>The age of the information renders an investigation impracticable</w:t>
      </w:r>
    </w:p>
    <w:p w14:paraId="5ABA37B2" w14:textId="77777777" w:rsidR="000658D1" w:rsidRDefault="000658D1" w:rsidP="000658D1">
      <w:r>
        <w:t>The investigating entity may decide not to investigate a disclosure (or stop investigating it) if an investigation is impractical because of the age of the information.</w:t>
      </w:r>
      <w:r>
        <w:rPr>
          <w:rStyle w:val="FootnoteReference"/>
        </w:rPr>
        <w:footnoteReference w:id="131"/>
      </w:r>
      <w:r>
        <w:t xml:space="preserve"> There is no time limit for making a disclosure. However, if the disclosure relates to matters that occurred a long time ago, it may be difficult to locate and interview witnesses and relevant records may have been destroyed. Mere difficulty in </w:t>
      </w:r>
      <w:r>
        <w:lastRenderedPageBreak/>
        <w:t>investigating would not generally be sufficient to meet this ground. The investigating entity should consider what evidence is required and whether it is practical to access it.</w:t>
      </w:r>
    </w:p>
    <w:p w14:paraId="34F786F9" w14:textId="77777777" w:rsidR="000658D1" w:rsidRDefault="000658D1" w:rsidP="000658D1">
      <w:pPr>
        <w:pStyle w:val="Heading4"/>
      </w:pPr>
      <w:bookmarkStart w:id="234" w:name="_Ref64278978"/>
      <w:r>
        <w:t>Where a more appropriate framework exists to resolve the discloser’s concerns</w:t>
      </w:r>
      <w:bookmarkEnd w:id="234"/>
    </w:p>
    <w:p w14:paraId="1701DA19" w14:textId="77777777" w:rsidR="000658D1" w:rsidRDefault="000658D1" w:rsidP="000658D1">
      <w:r>
        <w:t>An investigating entity may dismiss an investigation where it is reasonably satisfied that there is a better way to resolve the conduct of concern.</w:t>
      </w:r>
      <w:r>
        <w:rPr>
          <w:rStyle w:val="FootnoteReference"/>
        </w:rPr>
        <w:footnoteReference w:id="132"/>
      </w:r>
      <w:r>
        <w:t xml:space="preserve"> This may arise, for example, where the conduct related to a workplace dispute involving systemic issues and mediation could resolve them. Alternatively, where the conduct reveals criminal or corrupt conduct, it would not be appropriate to continue the investigation as a PID, and it must be referred to an appropriate entity with the relevant investigative powers (for example the chief police officer, or the Commission).</w:t>
      </w:r>
    </w:p>
    <w:p w14:paraId="3D18AA2E" w14:textId="77777777" w:rsidR="000658D1" w:rsidRPr="00240299" w:rsidRDefault="000658D1" w:rsidP="000658D1">
      <w:r w:rsidRPr="00240299">
        <w:t>If the PID is referred to another entity which is better placed to address the alleged conduct, the discloser must be notified.</w:t>
      </w:r>
    </w:p>
    <w:p w14:paraId="764569EB" w14:textId="77777777" w:rsidR="000658D1" w:rsidRDefault="000658D1" w:rsidP="000658D1">
      <w:r>
        <w:t>In practice, these circumstances are only likely to arise during an investigation where further information comes to light. This is because, prior to an investigating entity receiving a PID for investigation, the Commission will have assessed it and decided the appropriate investigative entity.</w:t>
      </w:r>
    </w:p>
    <w:p w14:paraId="5FFD59F3" w14:textId="77777777" w:rsidR="000658D1" w:rsidRPr="009C4880" w:rsidRDefault="000658D1" w:rsidP="000658D1">
      <w:pPr>
        <w:pStyle w:val="Heading4"/>
      </w:pPr>
      <w:r w:rsidRPr="009C4880">
        <w:t xml:space="preserve">The need to notify the Commission that the </w:t>
      </w:r>
      <w:r>
        <w:t>investigation</w:t>
      </w:r>
      <w:r w:rsidRPr="009C4880">
        <w:t xml:space="preserve"> has been </w:t>
      </w:r>
      <w:r>
        <w:t>discontinued</w:t>
      </w:r>
    </w:p>
    <w:p w14:paraId="1570A99A" w14:textId="1AE3B5CA" w:rsidR="000658D1" w:rsidRDefault="000658D1" w:rsidP="000658D1">
      <w:r>
        <w:t>Investigating entities</w:t>
      </w:r>
      <w:r w:rsidRPr="009C4880">
        <w:t xml:space="preserve"> </w:t>
      </w:r>
      <w:r w:rsidRPr="001D583B">
        <w:t>must</w:t>
      </w:r>
      <w:r w:rsidRPr="009C4880">
        <w:t xml:space="preserve"> notify the Commission </w:t>
      </w:r>
      <w:r>
        <w:t>where an investigation has been</w:t>
      </w:r>
      <w:r w:rsidRPr="009C4880">
        <w:t xml:space="preserve"> </w:t>
      </w:r>
      <w:r>
        <w:t>discontinued</w:t>
      </w:r>
      <w:r w:rsidRPr="009C4880">
        <w:t xml:space="preserve"> and the reasons for </w:t>
      </w:r>
      <w:r>
        <w:t>it</w:t>
      </w:r>
      <w:r w:rsidRPr="009C4880">
        <w:t>. This must be accompanied by a PID acquittal template</w:t>
      </w:r>
      <w:r>
        <w:t xml:space="preserve"> (see </w:t>
      </w:r>
      <w:r w:rsidR="005D41A2" w:rsidRPr="005D41A2">
        <w:rPr>
          <w:b/>
          <w:bCs/>
        </w:rPr>
        <w:fldChar w:fldCharType="begin"/>
      </w:r>
      <w:r w:rsidR="005D41A2" w:rsidRPr="005D41A2">
        <w:rPr>
          <w:b/>
          <w:bCs/>
        </w:rPr>
        <w:instrText xml:space="preserve"> REF _Ref63151977 \h </w:instrText>
      </w:r>
      <w:r w:rsidR="005D41A2">
        <w:rPr>
          <w:b/>
          <w:bCs/>
        </w:rPr>
        <w:instrText xml:space="preserve"> \* MERGEFORMAT </w:instrText>
      </w:r>
      <w:r w:rsidR="005D41A2" w:rsidRPr="005D41A2">
        <w:rPr>
          <w:b/>
          <w:bCs/>
        </w:rPr>
      </w:r>
      <w:r w:rsidR="005D41A2" w:rsidRPr="005D41A2">
        <w:rPr>
          <w:b/>
          <w:bCs/>
        </w:rPr>
        <w:fldChar w:fldCharType="separate"/>
      </w:r>
      <w:r w:rsidR="00245E6D" w:rsidRPr="00245E6D">
        <w:rPr>
          <w:rFonts w:cs="Arial"/>
          <w:b/>
          <w:bCs/>
        </w:rPr>
        <w:t>Appendix F: Final investigation report summary sheet</w:t>
      </w:r>
      <w:r w:rsidR="005D41A2" w:rsidRPr="005D41A2">
        <w:rPr>
          <w:b/>
          <w:bCs/>
        </w:rPr>
        <w:fldChar w:fldCharType="end"/>
      </w:r>
      <w:r>
        <w:t>)</w:t>
      </w:r>
      <w:r w:rsidRPr="009C4880">
        <w:t>, which provides the Commission</w:t>
      </w:r>
      <w:r>
        <w:t xml:space="preserve"> with</w:t>
      </w:r>
      <w:r w:rsidRPr="009C4880">
        <w:t xml:space="preserve"> the necessary information to complete its annual reporting requirements under the PID Act (see </w:t>
      </w:r>
      <w:r w:rsidR="005D41A2" w:rsidRPr="005D41A2">
        <w:rPr>
          <w:b/>
          <w:bCs/>
        </w:rPr>
        <w:fldChar w:fldCharType="begin"/>
      </w:r>
      <w:r w:rsidR="005D41A2" w:rsidRPr="005D41A2">
        <w:rPr>
          <w:b/>
          <w:bCs/>
        </w:rPr>
        <w:instrText xml:space="preserve"> REF _Ref64278302 \h </w:instrText>
      </w:r>
      <w:r w:rsidR="005D41A2">
        <w:rPr>
          <w:b/>
          <w:bCs/>
        </w:rPr>
        <w:instrText xml:space="preserve"> \* MERGEFORMAT </w:instrText>
      </w:r>
      <w:r w:rsidR="005D41A2" w:rsidRPr="005D41A2">
        <w:rPr>
          <w:b/>
          <w:bCs/>
        </w:rPr>
      </w:r>
      <w:r w:rsidR="005D41A2" w:rsidRPr="005D41A2">
        <w:rPr>
          <w:b/>
          <w:bCs/>
        </w:rPr>
        <w:fldChar w:fldCharType="separate"/>
      </w:r>
      <w:r w:rsidR="00245E6D" w:rsidRPr="00245E6D">
        <w:rPr>
          <w:b/>
          <w:bCs/>
        </w:rPr>
        <w:t>Keeping the Commission informed</w:t>
      </w:r>
      <w:r w:rsidR="005D41A2" w:rsidRPr="005D41A2">
        <w:rPr>
          <w:b/>
          <w:bCs/>
        </w:rPr>
        <w:fldChar w:fldCharType="end"/>
      </w:r>
      <w:r w:rsidRPr="009C4880">
        <w:t>).</w:t>
      </w:r>
    </w:p>
    <w:p w14:paraId="023618C6" w14:textId="21A924F6" w:rsidR="000658D1" w:rsidRPr="000658D1" w:rsidRDefault="000658D1" w:rsidP="000658D1">
      <w:pPr>
        <w:sectPr w:rsidR="000658D1" w:rsidRPr="000658D1" w:rsidSect="00240DCD">
          <w:pgSz w:w="11906" w:h="16838"/>
          <w:pgMar w:top="1440" w:right="1440" w:bottom="1440" w:left="1440" w:header="708" w:footer="708" w:gutter="0"/>
          <w:cols w:space="708"/>
          <w:titlePg/>
          <w:docGrid w:linePitch="360"/>
        </w:sectPr>
      </w:pPr>
    </w:p>
    <w:p w14:paraId="3C652959" w14:textId="0B25E9DB" w:rsidR="00EA6FAC" w:rsidRDefault="00EA6FAC" w:rsidP="007247D1">
      <w:pPr>
        <w:pStyle w:val="Heading1"/>
      </w:pPr>
      <w:bookmarkStart w:id="235" w:name="_Toc67904029"/>
      <w:bookmarkStart w:id="236" w:name="_Toc75255203"/>
      <w:r>
        <w:lastRenderedPageBreak/>
        <w:t>Concluding a</w:t>
      </w:r>
      <w:r w:rsidR="006605B9">
        <w:t>n</w:t>
      </w:r>
      <w:r>
        <w:t xml:space="preserve"> </w:t>
      </w:r>
      <w:r w:rsidRPr="00EB3E4B">
        <w:t>investigation</w:t>
      </w:r>
      <w:r>
        <w:t xml:space="preserve"> and administrative protocols</w:t>
      </w:r>
      <w:bookmarkEnd w:id="235"/>
      <w:bookmarkEnd w:id="236"/>
    </w:p>
    <w:p w14:paraId="70F905BB" w14:textId="7F6966E1" w:rsidR="004360A6" w:rsidRDefault="004360A6" w:rsidP="004360A6">
      <w:r>
        <w:t xml:space="preserve">The following sections outline the obligations that </w:t>
      </w:r>
      <w:r w:rsidR="003B3A07">
        <w:t>investigating entities</w:t>
      </w:r>
      <w:r>
        <w:t xml:space="preserve"> have following the conclusion of a</w:t>
      </w:r>
      <w:r w:rsidR="00064049">
        <w:t xml:space="preserve">n </w:t>
      </w:r>
      <w:r>
        <w:t>investigation. These include:</w:t>
      </w:r>
    </w:p>
    <w:p w14:paraId="7ABF98CD" w14:textId="3E0F36A3" w:rsidR="004360A6" w:rsidRDefault="004360A6" w:rsidP="008D1DE6">
      <w:pPr>
        <w:pStyle w:val="ListParagraph"/>
        <w:numPr>
          <w:ilvl w:val="0"/>
          <w:numId w:val="5"/>
        </w:numPr>
      </w:pPr>
      <w:r>
        <w:t>notifying the parties involved that the matter has been concluded;</w:t>
      </w:r>
    </w:p>
    <w:p w14:paraId="68AFE2F4" w14:textId="2C9A09DB" w:rsidR="004360A6" w:rsidRDefault="00000570" w:rsidP="008D1DE6">
      <w:pPr>
        <w:pStyle w:val="ListParagraph"/>
        <w:numPr>
          <w:ilvl w:val="0"/>
          <w:numId w:val="5"/>
        </w:numPr>
      </w:pPr>
      <w:r>
        <w:t xml:space="preserve">the </w:t>
      </w:r>
      <w:r w:rsidR="004360A6">
        <w:t>obligations o</w:t>
      </w:r>
      <w:r w:rsidR="00F1552D">
        <w:t>f</w:t>
      </w:r>
      <w:r w:rsidR="004360A6">
        <w:t xml:space="preserve"> the </w:t>
      </w:r>
      <w:r w:rsidR="003B3A07">
        <w:t>investigating entity</w:t>
      </w:r>
      <w:r w:rsidR="004360A6">
        <w:t xml:space="preserve"> to take action in respect of any findings</w:t>
      </w:r>
      <w:r w:rsidR="00064049">
        <w:t>;</w:t>
      </w:r>
    </w:p>
    <w:p w14:paraId="3D2806C2" w14:textId="2C78D833" w:rsidR="004360A6" w:rsidRDefault="004360A6" w:rsidP="008D1DE6">
      <w:pPr>
        <w:pStyle w:val="ListParagraph"/>
        <w:numPr>
          <w:ilvl w:val="0"/>
          <w:numId w:val="5"/>
        </w:numPr>
      </w:pPr>
      <w:r>
        <w:t xml:space="preserve">how to acquit investigations </w:t>
      </w:r>
      <w:r w:rsidR="00000570">
        <w:t>that</w:t>
      </w:r>
      <w:r>
        <w:t xml:space="preserve"> do not make any findings or fail to substantiate the discloser</w:t>
      </w:r>
      <w:r w:rsidR="00000570">
        <w:t>’</w:t>
      </w:r>
      <w:r>
        <w:t>s allegations;</w:t>
      </w:r>
    </w:p>
    <w:p w14:paraId="4B8613E8" w14:textId="2CF5DB34" w:rsidR="004360A6" w:rsidRDefault="006E64D1" w:rsidP="008D1DE6">
      <w:pPr>
        <w:pStyle w:val="ListParagraph"/>
        <w:numPr>
          <w:ilvl w:val="0"/>
          <w:numId w:val="5"/>
        </w:numPr>
      </w:pPr>
      <w:r>
        <w:t xml:space="preserve">the options available to disclosers who are displeased with the </w:t>
      </w:r>
      <w:r w:rsidR="003B3A07">
        <w:t>investigating entity’s</w:t>
      </w:r>
      <w:r>
        <w:t xml:space="preserve"> conduct in relation to the investigation, and how the </w:t>
      </w:r>
      <w:r w:rsidR="003B3A07">
        <w:t>investigating entity</w:t>
      </w:r>
      <w:r>
        <w:t xml:space="preserve"> may assist them;</w:t>
      </w:r>
    </w:p>
    <w:p w14:paraId="51FC693D" w14:textId="1B287285" w:rsidR="006E64D1" w:rsidRDefault="006E64D1" w:rsidP="008D1DE6">
      <w:pPr>
        <w:pStyle w:val="ListParagraph"/>
        <w:numPr>
          <w:ilvl w:val="0"/>
          <w:numId w:val="5"/>
        </w:numPr>
      </w:pPr>
      <w:r>
        <w:t>the requirement to create, keep and maintain adequate records of the investigation,</w:t>
      </w:r>
    </w:p>
    <w:p w14:paraId="79BE2A5C" w14:textId="4C2B00A7" w:rsidR="006E64D1" w:rsidRDefault="006E64D1" w:rsidP="008D1DE6">
      <w:pPr>
        <w:pStyle w:val="ListParagraph"/>
        <w:numPr>
          <w:ilvl w:val="0"/>
          <w:numId w:val="5"/>
        </w:numPr>
      </w:pPr>
      <w:r>
        <w:t>how to manage freedom of information (‘</w:t>
      </w:r>
      <w:r>
        <w:rPr>
          <w:b/>
          <w:bCs/>
        </w:rPr>
        <w:t>FOI</w:t>
      </w:r>
      <w:r>
        <w:t>’) applications in relation to investigations; and</w:t>
      </w:r>
    </w:p>
    <w:p w14:paraId="0DB9F0BB" w14:textId="0E07E30D" w:rsidR="006E64D1" w:rsidRDefault="00C33842" w:rsidP="008D1DE6">
      <w:pPr>
        <w:pStyle w:val="ListParagraph"/>
        <w:numPr>
          <w:ilvl w:val="0"/>
          <w:numId w:val="5"/>
        </w:numPr>
      </w:pPr>
      <w:r>
        <w:t>best</w:t>
      </w:r>
      <w:r w:rsidR="007D797D">
        <w:t xml:space="preserve"> practice suggestions regarding </w:t>
      </w:r>
      <w:r w:rsidR="002B00E9">
        <w:t xml:space="preserve">how </w:t>
      </w:r>
      <w:r w:rsidR="003B3A07">
        <w:t xml:space="preserve">investigating </w:t>
      </w:r>
      <w:r>
        <w:t>entities</w:t>
      </w:r>
      <w:r w:rsidR="007D797D">
        <w:t xml:space="preserve"> </w:t>
      </w:r>
      <w:r w:rsidR="002B00E9">
        <w:t>may monitor</w:t>
      </w:r>
      <w:r w:rsidR="00000570">
        <w:t xml:space="preserve"> </w:t>
      </w:r>
      <w:r w:rsidR="007D797D">
        <w:t>PIDs within their business lines to enhance their operations.</w:t>
      </w:r>
    </w:p>
    <w:p w14:paraId="2A1B1D73" w14:textId="404C40F9" w:rsidR="00EA6FAC" w:rsidRDefault="00EA6FAC" w:rsidP="007247D1">
      <w:pPr>
        <w:pStyle w:val="Heading2"/>
      </w:pPr>
      <w:bookmarkStart w:id="237" w:name="_Toc67904030"/>
      <w:bookmarkStart w:id="238" w:name="_Toc75255204"/>
      <w:r>
        <w:t>Notifying the discloser</w:t>
      </w:r>
      <w:r w:rsidR="002A2B11">
        <w:t xml:space="preserve">, the </w:t>
      </w:r>
      <w:r w:rsidR="007508EB" w:rsidRPr="00EB3E4B">
        <w:t>respondent</w:t>
      </w:r>
      <w:r w:rsidR="007508EB">
        <w:t>,</w:t>
      </w:r>
      <w:r w:rsidR="002A2B11">
        <w:t xml:space="preserve"> and the Commission of the conclusion of the matter</w:t>
      </w:r>
      <w:bookmarkEnd w:id="237"/>
      <w:bookmarkEnd w:id="238"/>
    </w:p>
    <w:p w14:paraId="201327AC" w14:textId="6CE15324" w:rsidR="007D797D" w:rsidRDefault="003B3A07" w:rsidP="007D797D">
      <w:r>
        <w:t>Investigating entities</w:t>
      </w:r>
      <w:r w:rsidR="007D797D">
        <w:t xml:space="preserve"> are always required to notify the discloser and the Commission that an investigation has concluded. In</w:t>
      </w:r>
      <w:r w:rsidR="007532CF">
        <w:t xml:space="preserve"> </w:t>
      </w:r>
      <w:r w:rsidR="007D797D">
        <w:t xml:space="preserve">certain circumstances, the </w:t>
      </w:r>
      <w:r>
        <w:t>investigating entity</w:t>
      </w:r>
      <w:r w:rsidR="007D797D">
        <w:t xml:space="preserve"> is </w:t>
      </w:r>
      <w:r w:rsidR="00000570">
        <w:t xml:space="preserve">also </w:t>
      </w:r>
      <w:r w:rsidR="007D797D">
        <w:t xml:space="preserve">obliged to notify the respondent of the conclusion of an investigation. The following part provides guidance regarding how to notify interested parties that </w:t>
      </w:r>
      <w:r w:rsidR="00064049">
        <w:t>an</w:t>
      </w:r>
      <w:r w:rsidR="007532CF">
        <w:t xml:space="preserve"> </w:t>
      </w:r>
      <w:r w:rsidR="007D797D">
        <w:t>investigation has concluded.</w:t>
      </w:r>
    </w:p>
    <w:p w14:paraId="59BBC45B" w14:textId="12307C58" w:rsidR="007D797D" w:rsidRDefault="007D797D" w:rsidP="0087701B">
      <w:pPr>
        <w:pStyle w:val="Heading3"/>
      </w:pPr>
      <w:bookmarkStart w:id="239" w:name="_Toc67904031"/>
      <w:bookmarkStart w:id="240" w:name="_Toc75255205"/>
      <w:r>
        <w:t xml:space="preserve">Notifying the </w:t>
      </w:r>
      <w:r w:rsidRPr="00EB3E4B">
        <w:t>discloser</w:t>
      </w:r>
      <w:bookmarkEnd w:id="239"/>
      <w:bookmarkEnd w:id="240"/>
    </w:p>
    <w:p w14:paraId="691EEDDE" w14:textId="75BB732E" w:rsidR="00813429" w:rsidRDefault="003B3A07" w:rsidP="00802EE9">
      <w:r>
        <w:t>Investigating entities</w:t>
      </w:r>
      <w:r w:rsidR="00813429">
        <w:t xml:space="preserve"> </w:t>
      </w:r>
      <w:r w:rsidR="00813429" w:rsidRPr="00CF54E3">
        <w:t>must</w:t>
      </w:r>
      <w:r w:rsidR="00813429">
        <w:rPr>
          <w:b/>
          <w:bCs/>
        </w:rPr>
        <w:t xml:space="preserve"> </w:t>
      </w:r>
      <w:r w:rsidR="00813429">
        <w:t>notify the discloser</w:t>
      </w:r>
      <w:r w:rsidR="004A0876">
        <w:t xml:space="preserve"> in </w:t>
      </w:r>
      <w:r w:rsidR="006124CD">
        <w:t>writing once</w:t>
      </w:r>
      <w:r w:rsidR="00813429">
        <w:t xml:space="preserve"> a</w:t>
      </w:r>
      <w:r w:rsidR="006605B9">
        <w:t>n</w:t>
      </w:r>
      <w:r w:rsidR="00813429">
        <w:t xml:space="preserve"> investigation has concluded</w:t>
      </w:r>
      <w:r w:rsidR="00CF54E3">
        <w:t>. This notice must</w:t>
      </w:r>
      <w:r w:rsidR="004A0876">
        <w:t xml:space="preserve"> includ</w:t>
      </w:r>
      <w:r w:rsidR="00CF54E3">
        <w:t>e</w:t>
      </w:r>
      <w:r w:rsidR="004A0876">
        <w:t xml:space="preserve"> any information regarding any action taken or proposed to be taken in response to the PID</w:t>
      </w:r>
      <w:r w:rsidR="00813429">
        <w:t>.</w:t>
      </w:r>
      <w:r w:rsidR="000F43C1">
        <w:rPr>
          <w:rStyle w:val="FootnoteReference"/>
        </w:rPr>
        <w:footnoteReference w:id="133"/>
      </w:r>
      <w:r w:rsidR="004A0876">
        <w:t xml:space="preserve"> Notifying the discloser of the outcome of an investigation must occur within three months of the last update </w:t>
      </w:r>
      <w:r w:rsidR="00F1552D">
        <w:t xml:space="preserve">provided </w:t>
      </w:r>
      <w:r w:rsidR="004A0876">
        <w:t>to the discloser.</w:t>
      </w:r>
      <w:r w:rsidR="000F43C1">
        <w:rPr>
          <w:rStyle w:val="FootnoteReference"/>
        </w:rPr>
        <w:footnoteReference w:id="134"/>
      </w:r>
      <w:r w:rsidR="00813429">
        <w:t xml:space="preserve"> Failure to do so may permit the discloser to</w:t>
      </w:r>
      <w:r w:rsidR="00C22BA9">
        <w:t xml:space="preserve"> obtain the protections of the PID Act by</w:t>
      </w:r>
      <w:r w:rsidR="00813429">
        <w:t xml:space="preserve"> </w:t>
      </w:r>
      <w:r w:rsidR="00C22BA9">
        <w:t>disclosing</w:t>
      </w:r>
      <w:r w:rsidR="00813429">
        <w:t xml:space="preserve"> the contents of their PID to a third</w:t>
      </w:r>
      <w:r w:rsidR="007532CF">
        <w:t xml:space="preserve"> </w:t>
      </w:r>
      <w:r w:rsidR="00813429">
        <w:t>party</w:t>
      </w:r>
      <w:r w:rsidR="00802EE9">
        <w:t xml:space="preserve"> (see </w:t>
      </w:r>
      <w:r w:rsidR="00FE44F6" w:rsidRPr="00FE44F6">
        <w:rPr>
          <w:b/>
          <w:bCs/>
        </w:rPr>
        <w:fldChar w:fldCharType="begin"/>
      </w:r>
      <w:r w:rsidR="00FE44F6" w:rsidRPr="00FE44F6">
        <w:rPr>
          <w:b/>
          <w:bCs/>
        </w:rPr>
        <w:instrText xml:space="preserve"> REF _Ref73524537 \h  \* MERGEFORMAT </w:instrText>
      </w:r>
      <w:r w:rsidR="00FE44F6" w:rsidRPr="00FE44F6">
        <w:rPr>
          <w:b/>
          <w:bCs/>
        </w:rPr>
      </w:r>
      <w:r w:rsidR="00FE44F6" w:rsidRPr="00FE44F6">
        <w:rPr>
          <w:b/>
          <w:bCs/>
        </w:rPr>
        <w:fldChar w:fldCharType="separate"/>
      </w:r>
      <w:r w:rsidR="00245E6D" w:rsidRPr="00245E6D">
        <w:rPr>
          <w:b/>
          <w:bCs/>
        </w:rPr>
        <w:t>Making a report to a third party</w:t>
      </w:r>
      <w:r w:rsidR="00FE44F6" w:rsidRPr="00FE44F6">
        <w:rPr>
          <w:b/>
          <w:bCs/>
        </w:rPr>
        <w:fldChar w:fldCharType="end"/>
      </w:r>
      <w:r w:rsidR="00802EE9">
        <w:t>).</w:t>
      </w:r>
    </w:p>
    <w:p w14:paraId="3F897F98" w14:textId="30315EFB" w:rsidR="00813429" w:rsidRDefault="004A0876" w:rsidP="00813429">
      <w:r>
        <w:t xml:space="preserve">The Commission </w:t>
      </w:r>
      <w:r w:rsidRPr="00CF54E3">
        <w:t>recommends</w:t>
      </w:r>
      <w:r>
        <w:t xml:space="preserve"> that</w:t>
      </w:r>
      <w:r w:rsidR="00C22BA9">
        <w:t>,</w:t>
      </w:r>
      <w:r>
        <w:t xml:space="preserve"> as part of the investigation finalisation process, </w:t>
      </w:r>
      <w:r w:rsidR="003B3A07">
        <w:t>investigating entities</w:t>
      </w:r>
      <w:r>
        <w:t xml:space="preserve"> implement a workflow </w:t>
      </w:r>
      <w:r w:rsidR="00CF54E3">
        <w:t>that</w:t>
      </w:r>
      <w:r>
        <w:t xml:space="preserve"> ensures the discloser is notified </w:t>
      </w:r>
      <w:r w:rsidR="00CF54E3">
        <w:t>as required</w:t>
      </w:r>
      <w:r>
        <w:t xml:space="preserve">. The Commission </w:t>
      </w:r>
      <w:r w:rsidRPr="00CF54E3">
        <w:t>recommends</w:t>
      </w:r>
      <w:r>
        <w:t xml:space="preserve"> that the discloser be notified as soon as possible after a decision is taken to conclude </w:t>
      </w:r>
      <w:r w:rsidR="007508EB">
        <w:t>an</w:t>
      </w:r>
      <w:r>
        <w:t xml:space="preserve"> investigation.</w:t>
      </w:r>
    </w:p>
    <w:p w14:paraId="0BB8CB5B" w14:textId="3A8725A1" w:rsidR="007D797D" w:rsidRDefault="007D797D" w:rsidP="0087701B">
      <w:pPr>
        <w:pStyle w:val="Heading3"/>
      </w:pPr>
      <w:bookmarkStart w:id="241" w:name="_Ref63411661"/>
      <w:bookmarkStart w:id="242" w:name="_Toc67904032"/>
      <w:bookmarkStart w:id="243" w:name="_Toc75255206"/>
      <w:r>
        <w:t>Notifying the respondent</w:t>
      </w:r>
      <w:bookmarkEnd w:id="241"/>
      <w:bookmarkEnd w:id="242"/>
      <w:bookmarkEnd w:id="243"/>
    </w:p>
    <w:p w14:paraId="51CEA6FF" w14:textId="6BA214D9" w:rsidR="00064049" w:rsidRDefault="00C22BA9" w:rsidP="002A1E18">
      <w:r w:rsidRPr="006124CD">
        <w:t xml:space="preserve">Where a person’s conduct has been impugned, the investigator will </w:t>
      </w:r>
      <w:r w:rsidR="00B86462">
        <w:t xml:space="preserve">almost </w:t>
      </w:r>
      <w:r w:rsidRPr="006124CD">
        <w:t xml:space="preserve">invariably seek, </w:t>
      </w:r>
      <w:r w:rsidR="006124CD" w:rsidRPr="006124CD">
        <w:t>in</w:t>
      </w:r>
      <w:r w:rsidRPr="006124CD">
        <w:t xml:space="preserve"> one way or another, information from that person about the questioned conduct. Where an investigation report contains </w:t>
      </w:r>
      <w:r w:rsidRPr="00653979">
        <w:t xml:space="preserve">adverse </w:t>
      </w:r>
      <w:r w:rsidR="006124CD" w:rsidRPr="00653979">
        <w:t>findings, the</w:t>
      </w:r>
      <w:r w:rsidRPr="00653979">
        <w:t xml:space="preserve"> </w:t>
      </w:r>
      <w:r w:rsidR="006124CD" w:rsidRPr="00653979">
        <w:t xml:space="preserve">affected person </w:t>
      </w:r>
      <w:r w:rsidRPr="00653979">
        <w:t xml:space="preserve">should be notified, and their response </w:t>
      </w:r>
      <w:r w:rsidR="006124CD" w:rsidRPr="00653979">
        <w:t>considered</w:t>
      </w:r>
      <w:r w:rsidRPr="00653979">
        <w:t xml:space="preserve"> before any process</w:t>
      </w:r>
      <w:r w:rsidRPr="006124CD">
        <w:t xml:space="preserve"> is </w:t>
      </w:r>
      <w:r w:rsidR="00B86462">
        <w:t>undertaken</w:t>
      </w:r>
      <w:r w:rsidR="00B86462" w:rsidRPr="006124CD">
        <w:t xml:space="preserve"> </w:t>
      </w:r>
      <w:r w:rsidRPr="006124CD">
        <w:t>that may have adverse consequences</w:t>
      </w:r>
      <w:r w:rsidR="006124CD" w:rsidRPr="006124CD">
        <w:t xml:space="preserve"> for them</w:t>
      </w:r>
      <w:r w:rsidRPr="006124CD">
        <w:t>. This will usually be by</w:t>
      </w:r>
      <w:r w:rsidR="006124CD" w:rsidRPr="006124CD">
        <w:t>,</w:t>
      </w:r>
      <w:r w:rsidRPr="006124CD">
        <w:t xml:space="preserve"> or at the </w:t>
      </w:r>
      <w:r w:rsidR="005C45EC">
        <w:t>direction</w:t>
      </w:r>
      <w:r w:rsidRPr="006124CD">
        <w:t xml:space="preserve"> of</w:t>
      </w:r>
      <w:r w:rsidR="006124CD" w:rsidRPr="006124CD">
        <w:t>,</w:t>
      </w:r>
      <w:r w:rsidRPr="006124CD">
        <w:t xml:space="preserve"> the relevant decision-maker making a relevant decision.</w:t>
      </w:r>
      <w:r w:rsidR="00B86462">
        <w:t xml:space="preserve"> </w:t>
      </w:r>
      <w:r w:rsidR="00452C16" w:rsidRPr="00653979">
        <w:t>This is a core requirement of procedural fairness</w:t>
      </w:r>
      <w:r w:rsidR="00C33842" w:rsidRPr="00653979">
        <w:t xml:space="preserve"> and was discussed earlier</w:t>
      </w:r>
      <w:r w:rsidR="00452C16" w:rsidRPr="00653979">
        <w:t xml:space="preserve"> (see </w:t>
      </w:r>
      <w:r w:rsidR="00FE44F6" w:rsidRPr="00FE44F6">
        <w:rPr>
          <w:b/>
          <w:bCs/>
        </w:rPr>
        <w:fldChar w:fldCharType="begin"/>
      </w:r>
      <w:r w:rsidR="00FE44F6" w:rsidRPr="00FE44F6">
        <w:rPr>
          <w:b/>
          <w:bCs/>
        </w:rPr>
        <w:instrText xml:space="preserve"> REF _Ref62634106 \h  \* MERGEFORMAT </w:instrText>
      </w:r>
      <w:r w:rsidR="00FE44F6" w:rsidRPr="00FE44F6">
        <w:rPr>
          <w:b/>
          <w:bCs/>
        </w:rPr>
      </w:r>
      <w:r w:rsidR="00FE44F6" w:rsidRPr="00FE44F6">
        <w:rPr>
          <w:b/>
          <w:bCs/>
        </w:rPr>
        <w:fldChar w:fldCharType="separate"/>
      </w:r>
      <w:r w:rsidR="00245E6D" w:rsidRPr="00245E6D">
        <w:rPr>
          <w:b/>
          <w:bCs/>
        </w:rPr>
        <w:t>Procedural fairness</w:t>
      </w:r>
      <w:r w:rsidR="00FE44F6" w:rsidRPr="00FE44F6">
        <w:rPr>
          <w:b/>
          <w:bCs/>
        </w:rPr>
        <w:fldChar w:fldCharType="end"/>
      </w:r>
      <w:r w:rsidR="00452C16" w:rsidRPr="00653979">
        <w:t>)</w:t>
      </w:r>
      <w:r w:rsidR="00064049" w:rsidRPr="00653979">
        <w:t>.</w:t>
      </w:r>
      <w:r w:rsidR="00452C16" w:rsidRPr="00653979">
        <w:t xml:space="preserve"> The following paragraphs focus on notifying the respondent where findings were or are</w:t>
      </w:r>
      <w:r w:rsidR="00D5389E" w:rsidRPr="00653979">
        <w:t xml:space="preserve"> not</w:t>
      </w:r>
      <w:r w:rsidR="00452C16" w:rsidRPr="00653979">
        <w:t xml:space="preserve"> being made against them</w:t>
      </w:r>
      <w:r w:rsidR="009314C6">
        <w:t xml:space="preserve">, and the </w:t>
      </w:r>
      <w:r w:rsidR="00B86462">
        <w:t xml:space="preserve">relevant </w:t>
      </w:r>
      <w:r w:rsidR="009314C6">
        <w:t xml:space="preserve">considerations </w:t>
      </w:r>
      <w:r w:rsidR="00B86462">
        <w:t>concerning</w:t>
      </w:r>
      <w:r w:rsidR="009314C6">
        <w:t xml:space="preserve"> whether they require notification of the investigation.</w:t>
      </w:r>
    </w:p>
    <w:p w14:paraId="31DD76CB" w14:textId="7F67E5BA" w:rsidR="00064049" w:rsidRDefault="00122B73" w:rsidP="002A1E18">
      <w:r>
        <w:t xml:space="preserve">Whether to notify a respondent that </w:t>
      </w:r>
      <w:r w:rsidR="007508EB">
        <w:t>an</w:t>
      </w:r>
      <w:r>
        <w:t xml:space="preserve"> </w:t>
      </w:r>
      <w:r w:rsidR="00B019DB">
        <w:t xml:space="preserve">investigation has concluded </w:t>
      </w:r>
      <w:r w:rsidR="00064049">
        <w:t>will be influenced by</w:t>
      </w:r>
      <w:r w:rsidR="00B019DB">
        <w:t xml:space="preserve"> whether the respondent (or the workplace more generally) is aware of the allegations about them, and that an investigation took place.</w:t>
      </w:r>
      <w:r w:rsidR="00377683">
        <w:t xml:space="preserve"> </w:t>
      </w:r>
      <w:r w:rsidR="00064049">
        <w:t xml:space="preserve">There </w:t>
      </w:r>
      <w:r w:rsidR="00377683">
        <w:t xml:space="preserve">are </w:t>
      </w:r>
      <w:r w:rsidR="00064049">
        <w:t>no</w:t>
      </w:r>
      <w:r w:rsidR="00377683">
        <w:t xml:space="preserve"> strict policy or legislative obligations </w:t>
      </w:r>
      <w:r w:rsidR="004C5F65">
        <w:t xml:space="preserve">outlining when it is appropriate to notify a respondent that allegations were made about them where </w:t>
      </w:r>
      <w:r w:rsidR="00B86462">
        <w:t xml:space="preserve">the </w:t>
      </w:r>
      <w:r w:rsidR="004C5F65">
        <w:t>investigation does not bear them out.</w:t>
      </w:r>
      <w:r w:rsidR="00064049">
        <w:t xml:space="preserve"> While it is not a matter of public policy, common courtesy and general employment principles (</w:t>
      </w:r>
      <w:r w:rsidR="00575158">
        <w:t>ie</w:t>
      </w:r>
      <w:r w:rsidR="00064049">
        <w:t xml:space="preserve"> an expectation that a person is made aware of complaints concerning them) may require </w:t>
      </w:r>
      <w:r w:rsidR="00064049">
        <w:lastRenderedPageBreak/>
        <w:t>an</w:t>
      </w:r>
      <w:r w:rsidR="009314C6">
        <w:t xml:space="preserve"> investigating</w:t>
      </w:r>
      <w:r w:rsidR="00064049">
        <w:t xml:space="preserve"> entity to notify a respondent of an investigation, despite no </w:t>
      </w:r>
      <w:r w:rsidR="00B86462">
        <w:t xml:space="preserve">adverse </w:t>
      </w:r>
      <w:r w:rsidR="00064049">
        <w:t>findings being made.</w:t>
      </w:r>
    </w:p>
    <w:p w14:paraId="6DBB699A" w14:textId="7DA28CF8" w:rsidR="002A1E18" w:rsidRDefault="005C45EC" w:rsidP="002A1E18">
      <w:r>
        <w:t>Investigating</w:t>
      </w:r>
      <w:r w:rsidR="004C5F65">
        <w:t xml:space="preserve"> entities should consider the ongoing ramifications of notifying (or not) a respondent that allegations were made about them to which no action will be taken. The </w:t>
      </w:r>
      <w:r w:rsidR="00C22BA9">
        <w:t xml:space="preserve">discussion </w:t>
      </w:r>
      <w:r w:rsidR="004C5F65">
        <w:t xml:space="preserve">below reflects the same principles which would be considered by the Commission in determining whether to notify </w:t>
      </w:r>
      <w:r w:rsidR="00D5389E">
        <w:t>a respondent of</w:t>
      </w:r>
      <w:r w:rsidR="004C5F65">
        <w:t xml:space="preserve"> allegations which </w:t>
      </w:r>
      <w:r w:rsidR="00B369C1">
        <w:t>did not result in findings</w:t>
      </w:r>
      <w:r w:rsidR="009314C6">
        <w:t xml:space="preserve"> (regardless of whether the alleged conduct was disclosable or corrupt conduct)</w:t>
      </w:r>
      <w:r w:rsidR="00B369C1">
        <w:t>.</w:t>
      </w:r>
    </w:p>
    <w:p w14:paraId="2434CA32" w14:textId="15817BCD" w:rsidR="00B019DB" w:rsidRDefault="003D7F62" w:rsidP="002A1E18">
      <w:r>
        <w:t>In some circumstances t</w:t>
      </w:r>
      <w:r w:rsidR="00B019DB">
        <w:t xml:space="preserve">here may be no </w:t>
      </w:r>
      <w:r w:rsidR="00C158CE">
        <w:t>obligation</w:t>
      </w:r>
      <w:r w:rsidR="00B019DB">
        <w:t xml:space="preserve"> to notify the respondent of an investigation’s conclusion</w:t>
      </w:r>
      <w:r w:rsidR="00CF54E3">
        <w:t xml:space="preserve">. This could occur </w:t>
      </w:r>
      <w:r w:rsidR="00B019DB">
        <w:t xml:space="preserve">where </w:t>
      </w:r>
      <w:r w:rsidR="00CF54E3">
        <w:t>the</w:t>
      </w:r>
      <w:r w:rsidR="00B019DB">
        <w:t xml:space="preserve"> investigation did not </w:t>
      </w:r>
      <w:r>
        <w:t xml:space="preserve">make </w:t>
      </w:r>
      <w:r w:rsidR="006B56CF">
        <w:t xml:space="preserve">or require </w:t>
      </w:r>
      <w:r>
        <w:t>findings against the respondent and</w:t>
      </w:r>
      <w:r w:rsidR="00B019DB">
        <w:t xml:space="preserve"> where the investigation was</w:t>
      </w:r>
      <w:r w:rsidR="00FE44F6">
        <w:t xml:space="preserve"> conducted</w:t>
      </w:r>
      <w:r w:rsidR="00B019DB">
        <w:t>:</w:t>
      </w:r>
    </w:p>
    <w:p w14:paraId="1292942B" w14:textId="23773566" w:rsidR="00B019DB" w:rsidRDefault="00B019DB" w:rsidP="008D1DE6">
      <w:pPr>
        <w:pStyle w:val="ListParagraph"/>
        <w:numPr>
          <w:ilvl w:val="0"/>
          <w:numId w:val="5"/>
        </w:numPr>
      </w:pPr>
      <w:r>
        <w:t>covertly;</w:t>
      </w:r>
    </w:p>
    <w:p w14:paraId="7C0C6221" w14:textId="50F89111" w:rsidR="00B019DB" w:rsidRDefault="00B019DB" w:rsidP="008D1DE6">
      <w:pPr>
        <w:pStyle w:val="ListParagraph"/>
        <w:numPr>
          <w:ilvl w:val="0"/>
          <w:numId w:val="5"/>
        </w:numPr>
      </w:pPr>
      <w:r>
        <w:t xml:space="preserve">without the need to consult witnesses; </w:t>
      </w:r>
      <w:r w:rsidR="00CF54E3">
        <w:t>and</w:t>
      </w:r>
      <w:r>
        <w:t xml:space="preserve"> </w:t>
      </w:r>
    </w:p>
    <w:p w14:paraId="0379FA47" w14:textId="2F48604C" w:rsidR="00B019DB" w:rsidRDefault="00B019DB" w:rsidP="008D1DE6">
      <w:pPr>
        <w:pStyle w:val="ListParagraph"/>
        <w:numPr>
          <w:ilvl w:val="0"/>
          <w:numId w:val="5"/>
        </w:numPr>
      </w:pPr>
      <w:r>
        <w:t>in such a way that it is improbable that the respondent (or others, apart from the discloser) are aware of the investigation.</w:t>
      </w:r>
    </w:p>
    <w:p w14:paraId="14005816" w14:textId="549E5D4A" w:rsidR="00B019DB" w:rsidRDefault="005D78DF" w:rsidP="00B019DB">
      <w:r>
        <w:rPr>
          <w:b/>
          <w:bCs/>
        </w:rPr>
        <w:t>Example:</w:t>
      </w:r>
      <w:r w:rsidR="00B019DB">
        <w:t xml:space="preserve"> </w:t>
      </w:r>
      <w:r>
        <w:t>A</w:t>
      </w:r>
      <w:r w:rsidR="00B019DB">
        <w:t>n anonymous discloser made allegations pertaining to X on Y date regard</w:t>
      </w:r>
      <w:r w:rsidR="005C45EC">
        <w:t>ing</w:t>
      </w:r>
      <w:r w:rsidR="00B019DB">
        <w:t xml:space="preserve"> Z conduct. </w:t>
      </w:r>
      <w:r w:rsidR="00C978B9">
        <w:t>A</w:t>
      </w:r>
      <w:r w:rsidR="007532CF">
        <w:t xml:space="preserve"> </w:t>
      </w:r>
      <w:r w:rsidR="00B019DB">
        <w:t>preliminary inquiry reveal</w:t>
      </w:r>
      <w:r w:rsidR="00C978B9">
        <w:t>s</w:t>
      </w:r>
      <w:r w:rsidR="00B019DB">
        <w:t xml:space="preserve"> it </w:t>
      </w:r>
      <w:r w:rsidR="00C978B9">
        <w:t xml:space="preserve">is </w:t>
      </w:r>
      <w:r w:rsidR="00B019DB">
        <w:t xml:space="preserve">impossible for X to have engaged in Z on Y date (for example, X was on </w:t>
      </w:r>
      <w:r w:rsidR="005C45EC">
        <w:t>leave</w:t>
      </w:r>
      <w:r w:rsidR="00B019DB">
        <w:t xml:space="preserve"> at the relevant time or similar)</w:t>
      </w:r>
      <w:r w:rsidR="00C978B9">
        <w:t>.</w:t>
      </w:r>
      <w:r w:rsidR="00B019DB">
        <w:t xml:space="preserve"> </w:t>
      </w:r>
      <w:r w:rsidR="00C978B9">
        <w:t>T</w:t>
      </w:r>
      <w:r w:rsidR="00B019DB">
        <w:t xml:space="preserve">he </w:t>
      </w:r>
      <w:r w:rsidR="009314C6">
        <w:t>investigation</w:t>
      </w:r>
      <w:r w:rsidR="00B019DB">
        <w:t xml:space="preserve"> may be discontinued (see </w:t>
      </w:r>
      <w:r w:rsidR="00FE44F6" w:rsidRPr="00FE44F6">
        <w:rPr>
          <w:b/>
          <w:bCs/>
        </w:rPr>
        <w:fldChar w:fldCharType="begin"/>
      </w:r>
      <w:r w:rsidR="00FE44F6" w:rsidRPr="00FE44F6">
        <w:rPr>
          <w:b/>
          <w:bCs/>
        </w:rPr>
        <w:instrText xml:space="preserve"> REF _Ref67902509 \h  \* MERGEFORMAT </w:instrText>
      </w:r>
      <w:r w:rsidR="00FE44F6" w:rsidRPr="00FE44F6">
        <w:rPr>
          <w:b/>
          <w:bCs/>
        </w:rPr>
      </w:r>
      <w:r w:rsidR="00FE44F6" w:rsidRPr="00FE44F6">
        <w:rPr>
          <w:b/>
          <w:bCs/>
        </w:rPr>
        <w:fldChar w:fldCharType="separate"/>
      </w:r>
      <w:r w:rsidR="00245E6D" w:rsidRPr="00245E6D">
        <w:rPr>
          <w:b/>
          <w:bCs/>
        </w:rPr>
        <w:t>When and how to end an investigation</w:t>
      </w:r>
      <w:r w:rsidR="00FE44F6" w:rsidRPr="00FE44F6">
        <w:rPr>
          <w:b/>
          <w:bCs/>
        </w:rPr>
        <w:fldChar w:fldCharType="end"/>
      </w:r>
      <w:r w:rsidR="00B019DB">
        <w:t>)</w:t>
      </w:r>
      <w:r>
        <w:t xml:space="preserve">. If X were never interviewed, or notified of the investigation, it may be appropriate </w:t>
      </w:r>
      <w:r w:rsidRPr="00C978B9">
        <w:t>not</w:t>
      </w:r>
      <w:r>
        <w:t xml:space="preserve"> to notify X of the allegations put against them. This is because to put unsubstantiated and false allegations may </w:t>
      </w:r>
      <w:r w:rsidR="005C45EC">
        <w:t>cause</w:t>
      </w:r>
      <w:r>
        <w:t xml:space="preserve"> stress </w:t>
      </w:r>
      <w:r w:rsidR="005C45EC">
        <w:t>for</w:t>
      </w:r>
      <w:r>
        <w:t xml:space="preserve"> X, or potentially put the discloser at risk of </w:t>
      </w:r>
      <w:r w:rsidR="00D935B4">
        <w:t>detrimental action being taken</w:t>
      </w:r>
      <w:r>
        <w:t>.</w:t>
      </w:r>
    </w:p>
    <w:p w14:paraId="02163D8A" w14:textId="6007137B" w:rsidR="003D7F62" w:rsidRDefault="003D7F62" w:rsidP="00B019DB">
      <w:r>
        <w:t xml:space="preserve">However, there is no strict rule regarding circumstances </w:t>
      </w:r>
      <w:r w:rsidR="005C45EC">
        <w:t xml:space="preserve">in which </w:t>
      </w:r>
      <w:r>
        <w:t xml:space="preserve">it would be appropriate not to notify a respondent of an allegation made against them. At all times, it is the judgement of the investigating entity </w:t>
      </w:r>
      <w:r w:rsidR="005C45EC">
        <w:t>that</w:t>
      </w:r>
      <w:r>
        <w:t xml:space="preserve"> will determine whether a respondent, who may not be aware of allegations being made about them, is to be notified that an investigation took place and </w:t>
      </w:r>
      <w:r w:rsidR="005C45EC">
        <w:t xml:space="preserve">those investigating </w:t>
      </w:r>
      <w:r>
        <w:t xml:space="preserve">found no case to answer. A relevant factor to consider in determining whether to notify such a respondent is whether fairness would require </w:t>
      </w:r>
      <w:r w:rsidR="00B86462">
        <w:t xml:space="preserve">that they be </w:t>
      </w:r>
      <w:r>
        <w:t xml:space="preserve">notified. </w:t>
      </w:r>
    </w:p>
    <w:p w14:paraId="4F54E5DE" w14:textId="32070298" w:rsidR="003D7F62" w:rsidRPr="003D7F62" w:rsidRDefault="003D7F62" w:rsidP="00B019DB">
      <w:r>
        <w:rPr>
          <w:b/>
          <w:bCs/>
        </w:rPr>
        <w:t>Example:</w:t>
      </w:r>
      <w:r>
        <w:t xml:space="preserve"> X discloses that Y (X’s supervisor) is engaged in maladministration. X’s disclosure contains many personal observations which indicate X’s strong dislike for Y</w:t>
      </w:r>
      <w:r w:rsidR="0097388C">
        <w:t xml:space="preserve">. A subsequent investigation finds no evidence of maladministration on the part of Y – which was </w:t>
      </w:r>
      <w:r w:rsidR="009314C6">
        <w:t>ended</w:t>
      </w:r>
      <w:r w:rsidR="0097388C">
        <w:t xml:space="preserve"> without the need to interview witness or otherwise make Y</w:t>
      </w:r>
      <w:r w:rsidR="00EC2AA5">
        <w:t xml:space="preserve"> or any witnesses</w:t>
      </w:r>
      <w:r w:rsidR="0097388C">
        <w:t xml:space="preserve"> aware that an investigation took place. However, the investigating entity considers the personal observations of X to be such that it is no longer appropriate for X and Y to work together. The investigating entity, as part of its general management responsibilities, has X transferred to a new division (with X’s consent). Here, it may be appropriate to notify Y that an investigation (which did not find any wrongdoing on Y’s part) took place and the reason for X’s transfer. In doing so, the investigating entity must be careful to exercise judgement in how much information they provide Y.</w:t>
      </w:r>
      <w:r w:rsidR="0097388C">
        <w:rPr>
          <w:rStyle w:val="FootnoteReference"/>
        </w:rPr>
        <w:footnoteReference w:id="135"/>
      </w:r>
    </w:p>
    <w:p w14:paraId="2CFC4262" w14:textId="74F520EA" w:rsidR="009B7F42" w:rsidRDefault="00EC2AA5" w:rsidP="005D78DF">
      <w:r>
        <w:t>Where the respondent is, or reasonably likely to be, aware of an investigation</w:t>
      </w:r>
      <w:r w:rsidR="009B7F42">
        <w:t xml:space="preserve">, </w:t>
      </w:r>
      <w:r w:rsidR="003B3A07">
        <w:t>investigating entities</w:t>
      </w:r>
      <w:r w:rsidR="009B7F42">
        <w:t xml:space="preserve"> </w:t>
      </w:r>
      <w:r>
        <w:t>should</w:t>
      </w:r>
      <w:r w:rsidR="009B7F42">
        <w:t xml:space="preserve"> provide the respondent</w:t>
      </w:r>
      <w:r w:rsidR="00C978B9">
        <w:t xml:space="preserve"> with</w:t>
      </w:r>
      <w:r w:rsidR="009B7F42">
        <w:t xml:space="preserve"> formal notification that the matter has concluded, that no findings were made</w:t>
      </w:r>
      <w:r w:rsidR="00C978B9">
        <w:t>,</w:t>
      </w:r>
      <w:r w:rsidR="009B7F42">
        <w:t xml:space="preserve"> and that no further action will be taken in respect of the allegations. </w:t>
      </w:r>
      <w:r w:rsidR="003B3A07">
        <w:t>Investigating entities</w:t>
      </w:r>
      <w:r w:rsidR="009B7F42">
        <w:t xml:space="preserve"> </w:t>
      </w:r>
      <w:r>
        <w:t>should</w:t>
      </w:r>
      <w:r w:rsidR="009B7F42">
        <w:t xml:space="preserve"> ensure they have adequate supports in place for the respondent when providing this formal notification. Such supports could include:</w:t>
      </w:r>
    </w:p>
    <w:p w14:paraId="17008953" w14:textId="7AFCAF2F" w:rsidR="009B7F42" w:rsidRDefault="009B7F42" w:rsidP="008D1DE6">
      <w:pPr>
        <w:pStyle w:val="ListParagraph"/>
        <w:numPr>
          <w:ilvl w:val="0"/>
          <w:numId w:val="5"/>
        </w:numPr>
      </w:pPr>
      <w:r>
        <w:t>directing the respondent to any available support networks within the workplace (such as an Employee Assistance Program or similar);</w:t>
      </w:r>
    </w:p>
    <w:p w14:paraId="2E9A8D19" w14:textId="13AC8123" w:rsidR="009B7F42" w:rsidRDefault="009B7F42" w:rsidP="008D1DE6">
      <w:pPr>
        <w:pStyle w:val="ListParagraph"/>
        <w:numPr>
          <w:ilvl w:val="0"/>
          <w:numId w:val="5"/>
        </w:numPr>
      </w:pPr>
      <w:r>
        <w:t xml:space="preserve">providing miscellaneous paid leave for a period to the respondent; </w:t>
      </w:r>
      <w:r w:rsidR="005C45EC">
        <w:t>and</w:t>
      </w:r>
    </w:p>
    <w:p w14:paraId="7832892D" w14:textId="71F77A85" w:rsidR="009B7F42" w:rsidRDefault="009B7F42" w:rsidP="008D1DE6">
      <w:pPr>
        <w:pStyle w:val="ListParagraph"/>
        <w:numPr>
          <w:ilvl w:val="0"/>
          <w:numId w:val="5"/>
        </w:numPr>
      </w:pPr>
      <w:r>
        <w:t>where the workplace is no longer appropriate for the respondent, offer to move the respondent to a new work area.</w:t>
      </w:r>
    </w:p>
    <w:p w14:paraId="3E243A00" w14:textId="2C513C9A" w:rsidR="003B603C" w:rsidRPr="009B7F42" w:rsidRDefault="003B603C" w:rsidP="0051434F">
      <w:r>
        <w:lastRenderedPageBreak/>
        <w:t xml:space="preserve">The Commission publishes reputational repair protocols in respect of </w:t>
      </w:r>
      <w:r w:rsidR="00FE44F6">
        <w:t xml:space="preserve">actions taken pursuant to </w:t>
      </w:r>
      <w:r>
        <w:t xml:space="preserve">the </w:t>
      </w:r>
      <w:r w:rsidR="00FE44F6">
        <w:t>IC Act</w:t>
      </w:r>
      <w:r>
        <w:t xml:space="preserve"> which may be of assistance (see </w:t>
      </w:r>
      <w:r w:rsidR="00FE44F6" w:rsidRPr="00FE44F6">
        <w:rPr>
          <w:b/>
          <w:bCs/>
        </w:rPr>
        <w:fldChar w:fldCharType="begin"/>
      </w:r>
      <w:r w:rsidR="00FE44F6" w:rsidRPr="00FE44F6">
        <w:rPr>
          <w:b/>
          <w:bCs/>
        </w:rPr>
        <w:instrText xml:space="preserve"> REF _Ref65657123 \h  \* MERGEFORMAT </w:instrText>
      </w:r>
      <w:r w:rsidR="00FE44F6" w:rsidRPr="00FE44F6">
        <w:rPr>
          <w:b/>
          <w:bCs/>
        </w:rPr>
      </w:r>
      <w:r w:rsidR="00FE44F6" w:rsidRPr="00FE44F6">
        <w:rPr>
          <w:b/>
          <w:bCs/>
        </w:rPr>
        <w:fldChar w:fldCharType="separate"/>
      </w:r>
      <w:r w:rsidR="00245E6D" w:rsidRPr="00245E6D">
        <w:rPr>
          <w:b/>
          <w:bCs/>
        </w:rPr>
        <w:t>Related material</w:t>
      </w:r>
      <w:r w:rsidR="00FE44F6" w:rsidRPr="00FE44F6">
        <w:rPr>
          <w:b/>
          <w:bCs/>
        </w:rPr>
        <w:fldChar w:fldCharType="end"/>
      </w:r>
      <w:r w:rsidR="0051434F">
        <w:t xml:space="preserve">). </w:t>
      </w:r>
    </w:p>
    <w:p w14:paraId="492D6080" w14:textId="605EB012" w:rsidR="002A2B11" w:rsidRDefault="007D797D" w:rsidP="0087701B">
      <w:pPr>
        <w:pStyle w:val="Heading3"/>
      </w:pPr>
      <w:bookmarkStart w:id="244" w:name="_Ref63242615"/>
      <w:bookmarkStart w:id="245" w:name="_Toc67904033"/>
      <w:bookmarkStart w:id="246" w:name="_Toc75255207"/>
      <w:r>
        <w:t>N</w:t>
      </w:r>
      <w:r w:rsidR="002A2B11">
        <w:t>otifying the Commission</w:t>
      </w:r>
      <w:bookmarkEnd w:id="244"/>
      <w:bookmarkEnd w:id="245"/>
      <w:bookmarkEnd w:id="246"/>
    </w:p>
    <w:p w14:paraId="2B958A04" w14:textId="1B6108BB" w:rsidR="009B7F42" w:rsidRDefault="00917A58" w:rsidP="009B7F42">
      <w:r>
        <w:t>The</w:t>
      </w:r>
      <w:r w:rsidR="00143D43">
        <w:t xml:space="preserve"> PID Act obliges </w:t>
      </w:r>
      <w:r w:rsidR="003B3A07">
        <w:t>investigating entities</w:t>
      </w:r>
      <w:r w:rsidR="00143D43">
        <w:t xml:space="preserve"> to notify the Commission of:</w:t>
      </w:r>
    </w:p>
    <w:p w14:paraId="712FF5D5" w14:textId="63B37A69" w:rsidR="00143D43" w:rsidRDefault="00143D43" w:rsidP="008D1DE6">
      <w:pPr>
        <w:pStyle w:val="ListParagraph"/>
        <w:numPr>
          <w:ilvl w:val="0"/>
          <w:numId w:val="5"/>
        </w:numPr>
      </w:pPr>
      <w:r w:rsidRPr="00143D43">
        <w:t>any action taken, or proposed to be taken, in relation to</w:t>
      </w:r>
      <w:r>
        <w:t xml:space="preserve"> </w:t>
      </w:r>
      <w:r w:rsidR="00784616">
        <w:t>a</w:t>
      </w:r>
      <w:r>
        <w:t xml:space="preserve"> </w:t>
      </w:r>
      <w:r w:rsidR="007508EB">
        <w:t>PID;</w:t>
      </w:r>
      <w:r w:rsidR="00917A58">
        <w:rPr>
          <w:rStyle w:val="FootnoteReference"/>
        </w:rPr>
        <w:footnoteReference w:id="136"/>
      </w:r>
      <w:r>
        <w:t xml:space="preserve"> and</w:t>
      </w:r>
    </w:p>
    <w:p w14:paraId="31C53CBB" w14:textId="6D9CCFCC" w:rsidR="00C946D0" w:rsidRDefault="00143D43" w:rsidP="008D1DE6">
      <w:pPr>
        <w:pStyle w:val="ListParagraph"/>
        <w:numPr>
          <w:ilvl w:val="0"/>
          <w:numId w:val="5"/>
        </w:numPr>
      </w:pPr>
      <w:r>
        <w:t>a decision to end the investigation of a PID</w:t>
      </w:r>
      <w:r w:rsidR="00C946D0">
        <w:t>.</w:t>
      </w:r>
      <w:r w:rsidR="00917A58">
        <w:rPr>
          <w:rStyle w:val="FootnoteReference"/>
        </w:rPr>
        <w:footnoteReference w:id="137"/>
      </w:r>
    </w:p>
    <w:p w14:paraId="3C3E13BD" w14:textId="4B9CA621" w:rsidR="00C946D0" w:rsidRDefault="00C946D0" w:rsidP="00C946D0">
      <w:r>
        <w:t xml:space="preserve">Therefore, </w:t>
      </w:r>
      <w:r w:rsidR="003B3A07">
        <w:t>investigating entities</w:t>
      </w:r>
      <w:r>
        <w:t xml:space="preserve"> </w:t>
      </w:r>
      <w:r w:rsidRPr="00FE0B9A">
        <w:t>must</w:t>
      </w:r>
      <w:r>
        <w:rPr>
          <w:b/>
          <w:bCs/>
        </w:rPr>
        <w:t xml:space="preserve"> </w:t>
      </w:r>
      <w:r>
        <w:t xml:space="preserve">notify the Commission of any investigations which have concluded, regardless of the reason for their conclusion. In notifying the Commission of a concluded investigation, </w:t>
      </w:r>
      <w:r w:rsidR="003B3A07">
        <w:t>investigating entities</w:t>
      </w:r>
      <w:r>
        <w:t xml:space="preserve"> </w:t>
      </w:r>
      <w:r w:rsidRPr="006124CD">
        <w:t>must</w:t>
      </w:r>
      <w:r>
        <w:t xml:space="preserve"> use the template at </w:t>
      </w:r>
      <w:r w:rsidR="00FE44F6" w:rsidRPr="00FE44F6">
        <w:rPr>
          <w:b/>
          <w:bCs/>
        </w:rPr>
        <w:fldChar w:fldCharType="begin"/>
      </w:r>
      <w:r w:rsidR="00FE44F6" w:rsidRPr="00FE44F6">
        <w:rPr>
          <w:b/>
          <w:bCs/>
        </w:rPr>
        <w:instrText xml:space="preserve"> REF _Ref63151977 \h  \* MERGEFORMAT </w:instrText>
      </w:r>
      <w:r w:rsidR="00FE44F6" w:rsidRPr="00FE44F6">
        <w:rPr>
          <w:b/>
          <w:bCs/>
        </w:rPr>
      </w:r>
      <w:r w:rsidR="00FE44F6" w:rsidRPr="00FE44F6">
        <w:rPr>
          <w:b/>
          <w:bCs/>
        </w:rPr>
        <w:fldChar w:fldCharType="separate"/>
      </w:r>
      <w:r w:rsidR="00245E6D" w:rsidRPr="00245E6D">
        <w:rPr>
          <w:b/>
          <w:bCs/>
        </w:rPr>
        <w:t>Appendix F: Final investigation report summary sheet</w:t>
      </w:r>
      <w:r w:rsidR="00FE44F6" w:rsidRPr="00FE44F6">
        <w:rPr>
          <w:b/>
          <w:bCs/>
        </w:rPr>
        <w:fldChar w:fldCharType="end"/>
      </w:r>
      <w:r w:rsidR="00FE44F6">
        <w:rPr>
          <w:b/>
          <w:bCs/>
        </w:rPr>
        <w:t xml:space="preserve"> </w:t>
      </w:r>
      <w:r w:rsidR="0088143F">
        <w:t>and follow its instructions.</w:t>
      </w:r>
      <w:r w:rsidR="00B414E8">
        <w:t xml:space="preserve"> This template is required to enable the Commission to fulfil its annual reporting requirements</w:t>
      </w:r>
      <w:r w:rsidR="00FE0B9A">
        <w:t>.</w:t>
      </w:r>
    </w:p>
    <w:p w14:paraId="3CE59D3D" w14:textId="34217C81" w:rsidR="0088143F" w:rsidRDefault="00B414E8" w:rsidP="00C946D0">
      <w:r>
        <w:t xml:space="preserve">In addition, </w:t>
      </w:r>
      <w:r w:rsidR="003B3A07">
        <w:t>investigating entities</w:t>
      </w:r>
      <w:r>
        <w:t xml:space="preserve"> </w:t>
      </w:r>
      <w:r w:rsidRPr="00FE0B9A">
        <w:t>must</w:t>
      </w:r>
      <w:r>
        <w:t xml:space="preserve"> provide the Commission </w:t>
      </w:r>
      <w:r w:rsidR="00FE0B9A">
        <w:t xml:space="preserve">with </w:t>
      </w:r>
      <w:r>
        <w:t xml:space="preserve">a copy of the finalised </w:t>
      </w:r>
      <w:r w:rsidR="008E5288">
        <w:t>investigation report</w:t>
      </w:r>
      <w:r>
        <w:t xml:space="preserve">. </w:t>
      </w:r>
      <w:r w:rsidR="003B3A07">
        <w:t>Investigating entities</w:t>
      </w:r>
      <w:r>
        <w:t xml:space="preserve"> may adapt the example report template available at</w:t>
      </w:r>
      <w:r w:rsidR="00DF374D">
        <w:t xml:space="preserve"> </w:t>
      </w:r>
      <w:r w:rsidR="00FE44F6" w:rsidRPr="00FE44F6">
        <w:rPr>
          <w:b/>
          <w:bCs/>
        </w:rPr>
        <w:fldChar w:fldCharType="begin"/>
      </w:r>
      <w:r w:rsidR="00FE44F6" w:rsidRPr="00FE44F6">
        <w:rPr>
          <w:b/>
          <w:bCs/>
        </w:rPr>
        <w:instrText xml:space="preserve"> REF _Ref63170063 \h  \* MERGEFORMAT </w:instrText>
      </w:r>
      <w:r w:rsidR="00FE44F6" w:rsidRPr="00FE44F6">
        <w:rPr>
          <w:b/>
          <w:bCs/>
        </w:rPr>
      </w:r>
      <w:r w:rsidR="00FE44F6" w:rsidRPr="00FE44F6">
        <w:rPr>
          <w:b/>
          <w:bCs/>
        </w:rPr>
        <w:fldChar w:fldCharType="separate"/>
      </w:r>
      <w:r w:rsidR="00245E6D" w:rsidRPr="00245E6D">
        <w:rPr>
          <w:b/>
          <w:bCs/>
        </w:rPr>
        <w:t>Appendix G: Example investigation report template</w:t>
      </w:r>
      <w:r w:rsidR="00FE44F6" w:rsidRPr="00FE44F6">
        <w:rPr>
          <w:b/>
          <w:bCs/>
        </w:rPr>
        <w:fldChar w:fldCharType="end"/>
      </w:r>
      <w:r w:rsidR="00DF374D">
        <w:t xml:space="preserve">. However, </w:t>
      </w:r>
      <w:r w:rsidR="003B3A07">
        <w:t>investigating entities</w:t>
      </w:r>
      <w:r w:rsidR="00DF374D">
        <w:t xml:space="preserve"> may use any form of investigation report suitable for their purposes – </w:t>
      </w:r>
      <w:r w:rsidR="003D5EE3">
        <w:t>if</w:t>
      </w:r>
      <w:r w:rsidR="00DF374D">
        <w:t xml:space="preserve"> it provides a defensible and comprehensive overview of the investigation.</w:t>
      </w:r>
      <w:r w:rsidR="00FB78B3">
        <w:t xml:space="preserve"> The Commission </w:t>
      </w:r>
      <w:r w:rsidR="006124CD">
        <w:t>will</w:t>
      </w:r>
      <w:r w:rsidR="00F33594">
        <w:t xml:space="preserve"> review</w:t>
      </w:r>
      <w:r w:rsidR="00FB78B3">
        <w:t xml:space="preserve"> investigation reports to identify:</w:t>
      </w:r>
    </w:p>
    <w:p w14:paraId="5899B47F" w14:textId="18B14AE3" w:rsidR="005C45EC" w:rsidRDefault="005C45EC" w:rsidP="008D1DE6">
      <w:pPr>
        <w:pStyle w:val="ListParagraph"/>
        <w:numPr>
          <w:ilvl w:val="0"/>
          <w:numId w:val="5"/>
        </w:numPr>
      </w:pPr>
      <w:r>
        <w:t>whether the PID was adequately investigated;</w:t>
      </w:r>
    </w:p>
    <w:p w14:paraId="04669419" w14:textId="4A5FCF1F" w:rsidR="00FB78B3" w:rsidRDefault="00FB78B3" w:rsidP="008D1DE6">
      <w:pPr>
        <w:pStyle w:val="ListParagraph"/>
        <w:numPr>
          <w:ilvl w:val="0"/>
          <w:numId w:val="5"/>
        </w:numPr>
      </w:pPr>
      <w:r>
        <w:t xml:space="preserve">systemic issues within the </w:t>
      </w:r>
      <w:r w:rsidR="002B2B3B">
        <w:t>ACT public sector</w:t>
      </w:r>
      <w:r>
        <w:t>; and</w:t>
      </w:r>
    </w:p>
    <w:p w14:paraId="7144F202" w14:textId="73596BF5" w:rsidR="00FB78B3" w:rsidRPr="00B414E8" w:rsidRDefault="00FB78B3" w:rsidP="008D1DE6">
      <w:pPr>
        <w:pStyle w:val="ListParagraph"/>
        <w:numPr>
          <w:ilvl w:val="0"/>
          <w:numId w:val="5"/>
        </w:numPr>
      </w:pPr>
      <w:r>
        <w:t>potential improvements to the administration of the PID Act.</w:t>
      </w:r>
    </w:p>
    <w:p w14:paraId="562F13DA" w14:textId="4CF2248C" w:rsidR="002A2B11" w:rsidRDefault="002A2B11" w:rsidP="007247D1">
      <w:pPr>
        <w:pStyle w:val="Heading2"/>
      </w:pPr>
      <w:bookmarkStart w:id="247" w:name="_Ref63149861"/>
      <w:bookmarkStart w:id="248" w:name="_Toc67904034"/>
      <w:bookmarkStart w:id="249" w:name="_Toc75255208"/>
      <w:r>
        <w:t xml:space="preserve">The </w:t>
      </w:r>
      <w:r w:rsidR="00DC04F5">
        <w:t>requirement</w:t>
      </w:r>
      <w:r>
        <w:t xml:space="preserve"> for a </w:t>
      </w:r>
      <w:r w:rsidR="00630E94">
        <w:t>public sector entity</w:t>
      </w:r>
      <w:r>
        <w:t xml:space="preserve"> to take action</w:t>
      </w:r>
      <w:bookmarkEnd w:id="247"/>
      <w:bookmarkEnd w:id="248"/>
      <w:bookmarkEnd w:id="249"/>
    </w:p>
    <w:p w14:paraId="5ABCAF4B" w14:textId="1DD39D5E" w:rsidR="00DF374D" w:rsidRDefault="00917A58" w:rsidP="00DF374D">
      <w:r>
        <w:t>The</w:t>
      </w:r>
      <w:r w:rsidR="00D20BAF">
        <w:t xml:space="preserve"> PID Act </w:t>
      </w:r>
      <w:r w:rsidR="008E5288">
        <w:t>requires</w:t>
      </w:r>
      <w:r w:rsidR="00D20BAF">
        <w:t xml:space="preserve"> </w:t>
      </w:r>
      <w:r w:rsidR="00A05642">
        <w:t xml:space="preserve">heads of </w:t>
      </w:r>
      <w:r w:rsidR="00D5389E">
        <w:t>public sector entities</w:t>
      </w:r>
      <w:r w:rsidR="00D20BAF">
        <w:t xml:space="preserve"> to </w:t>
      </w:r>
      <w:r w:rsidR="00D5389E">
        <w:t>act</w:t>
      </w:r>
      <w:r w:rsidR="00D20BAF">
        <w:t xml:space="preserve"> in response to findings</w:t>
      </w:r>
      <w:r w:rsidR="00625189">
        <w:t xml:space="preserve"> of disclosable conduct</w:t>
      </w:r>
      <w:r w:rsidR="00D20BAF">
        <w:t xml:space="preserve"> made </w:t>
      </w:r>
      <w:r w:rsidR="00D5389E">
        <w:t>following an</w:t>
      </w:r>
      <w:r w:rsidR="00D20BAF">
        <w:t xml:space="preserve"> investigation. Specifically, </w:t>
      </w:r>
      <w:r w:rsidR="00A05642">
        <w:t>the head of a</w:t>
      </w:r>
      <w:r w:rsidR="00630E94">
        <w:t xml:space="preserve"> public sector entity</w:t>
      </w:r>
      <w:r w:rsidR="00D20BAF">
        <w:t xml:space="preserve"> </w:t>
      </w:r>
      <w:r w:rsidR="00FE0B9A">
        <w:t>must</w:t>
      </w:r>
      <w:r w:rsidR="00D20BAF">
        <w:t>:</w:t>
      </w:r>
    </w:p>
    <w:p w14:paraId="5E8A0DE7" w14:textId="11E301F1" w:rsidR="00D20BAF" w:rsidRDefault="00D20BAF" w:rsidP="008D1DE6">
      <w:pPr>
        <w:pStyle w:val="ListParagraph"/>
        <w:numPr>
          <w:ilvl w:val="0"/>
          <w:numId w:val="5"/>
        </w:numPr>
      </w:pPr>
      <w:r>
        <w:t>discipline any person</w:t>
      </w:r>
      <w:r w:rsidR="00FA0E6B">
        <w:t>(</w:t>
      </w:r>
      <w:r>
        <w:t>s</w:t>
      </w:r>
      <w:r w:rsidR="00FA0E6B">
        <w:t>)</w:t>
      </w:r>
      <w:r>
        <w:t xml:space="preserve"> responsible for the conduct the subject of the PID;</w:t>
      </w:r>
      <w:r w:rsidR="00917A58">
        <w:rPr>
          <w:rStyle w:val="FootnoteReference"/>
        </w:rPr>
        <w:footnoteReference w:id="138"/>
      </w:r>
      <w:r>
        <w:t xml:space="preserve"> and</w:t>
      </w:r>
    </w:p>
    <w:p w14:paraId="1B2990B9" w14:textId="3681A527" w:rsidR="00D20BAF" w:rsidRDefault="005C45EC" w:rsidP="008D1DE6">
      <w:pPr>
        <w:pStyle w:val="ListParagraph"/>
        <w:numPr>
          <w:ilvl w:val="0"/>
          <w:numId w:val="5"/>
        </w:numPr>
      </w:pPr>
      <w:r>
        <w:t xml:space="preserve">take action to </w:t>
      </w:r>
      <w:r w:rsidR="00D20BAF">
        <w:t>prevent the conduct from continuing or occurring in the future.</w:t>
      </w:r>
      <w:r w:rsidR="00917A58">
        <w:rPr>
          <w:rStyle w:val="FootnoteReference"/>
        </w:rPr>
        <w:footnoteReference w:id="139"/>
      </w:r>
    </w:p>
    <w:p w14:paraId="75A20139" w14:textId="076FBA78" w:rsidR="00FB78B3" w:rsidRDefault="00FB78B3" w:rsidP="00D20BAF">
      <w:r>
        <w:t xml:space="preserve">Typical examples of action that </w:t>
      </w:r>
      <w:r w:rsidR="00FE0B9A">
        <w:t>c</w:t>
      </w:r>
      <w:r>
        <w:t>ould be taken include:</w:t>
      </w:r>
      <w:r w:rsidR="00FE0B9A">
        <w:rPr>
          <w:rStyle w:val="FootnoteReference"/>
        </w:rPr>
        <w:footnoteReference w:id="140"/>
      </w:r>
    </w:p>
    <w:p w14:paraId="37B79FBF" w14:textId="06B00DA7" w:rsidR="00FB78B3" w:rsidRDefault="00FB78B3" w:rsidP="008D1DE6">
      <w:pPr>
        <w:pStyle w:val="ListParagraph"/>
        <w:numPr>
          <w:ilvl w:val="0"/>
          <w:numId w:val="5"/>
        </w:numPr>
      </w:pPr>
      <w:r>
        <w:t xml:space="preserve">commencing </w:t>
      </w:r>
      <w:r w:rsidR="00072953">
        <w:t>disciplinary</w:t>
      </w:r>
      <w:r>
        <w:t xml:space="preserve"> proceedings under the </w:t>
      </w:r>
      <w:r w:rsidR="005C45EC">
        <w:t>PSM Act</w:t>
      </w:r>
      <w:r>
        <w:t>;</w:t>
      </w:r>
    </w:p>
    <w:p w14:paraId="2F7C1E5E" w14:textId="676BF9E0" w:rsidR="00FB78B3" w:rsidRDefault="00072953" w:rsidP="008D1DE6">
      <w:pPr>
        <w:pStyle w:val="ListParagraph"/>
        <w:numPr>
          <w:ilvl w:val="0"/>
          <w:numId w:val="5"/>
        </w:numPr>
      </w:pPr>
      <w:r>
        <w:t>mediation or conciliation to resolve workplace conflicts;</w:t>
      </w:r>
    </w:p>
    <w:p w14:paraId="19FD3F15" w14:textId="5FB8A9E9" w:rsidR="00072953" w:rsidRDefault="00072953" w:rsidP="008D1DE6">
      <w:pPr>
        <w:pStyle w:val="ListParagraph"/>
        <w:numPr>
          <w:ilvl w:val="0"/>
          <w:numId w:val="5"/>
        </w:numPr>
      </w:pPr>
      <w:r>
        <w:t xml:space="preserve">undertaking </w:t>
      </w:r>
      <w:r w:rsidR="003D5EE3">
        <w:t>an</w:t>
      </w:r>
      <w:r>
        <w:t xml:space="preserve"> internal audit or other review of the work area to which the PID related;</w:t>
      </w:r>
    </w:p>
    <w:p w14:paraId="6ACBC767" w14:textId="33F03B14" w:rsidR="00072953" w:rsidRDefault="00072953" w:rsidP="008D1DE6">
      <w:pPr>
        <w:pStyle w:val="ListParagraph"/>
        <w:numPr>
          <w:ilvl w:val="0"/>
          <w:numId w:val="5"/>
        </w:numPr>
      </w:pPr>
      <w:r>
        <w:t>implementing policy or procedural changes to prevent the issue arising again; and</w:t>
      </w:r>
    </w:p>
    <w:p w14:paraId="7013CDC0" w14:textId="5FF5F2D5" w:rsidR="00625189" w:rsidRDefault="00072953" w:rsidP="00625189">
      <w:pPr>
        <w:pStyle w:val="ListParagraph"/>
        <w:numPr>
          <w:ilvl w:val="0"/>
          <w:numId w:val="5"/>
        </w:numPr>
      </w:pPr>
      <w:r>
        <w:t>conducting relevant training to prevent the issue arising again.</w:t>
      </w:r>
    </w:p>
    <w:p w14:paraId="7AB8FD99" w14:textId="0195EBD4" w:rsidR="000D4C8E" w:rsidRDefault="00FE0B9A" w:rsidP="000D4C8E">
      <w:r>
        <w:rPr>
          <w:b/>
          <w:bCs/>
        </w:rPr>
        <w:t>Note:</w:t>
      </w:r>
      <w:r w:rsidR="000D4C8E">
        <w:t xml:space="preserve"> </w:t>
      </w:r>
      <w:r>
        <w:t>T</w:t>
      </w:r>
      <w:r w:rsidR="000D4C8E">
        <w:t xml:space="preserve">he PID Act speaks of disclosable conduct which is ‘likely to’ occur, indicating that </w:t>
      </w:r>
      <w:r w:rsidR="00A05642">
        <w:t>action must be taken</w:t>
      </w:r>
      <w:r w:rsidR="000D4C8E">
        <w:t xml:space="preserve"> in response to disclosable conduct which </w:t>
      </w:r>
      <w:r w:rsidR="00B86462">
        <w:t xml:space="preserve">has </w:t>
      </w:r>
      <w:r w:rsidR="000D4C8E">
        <w:t>not yet occurred, but may do so in the future.</w:t>
      </w:r>
      <w:r w:rsidR="000D4C8E">
        <w:rPr>
          <w:rStyle w:val="FootnoteReference"/>
        </w:rPr>
        <w:footnoteReference w:id="141"/>
      </w:r>
    </w:p>
    <w:p w14:paraId="19A96587" w14:textId="749E0EF9" w:rsidR="00625189" w:rsidRPr="00625189" w:rsidRDefault="00625189" w:rsidP="000D4C8E">
      <w:r>
        <w:rPr>
          <w:b/>
          <w:bCs/>
        </w:rPr>
        <w:t xml:space="preserve">Important: </w:t>
      </w:r>
      <w:r>
        <w:t>Investigations may reveal conduct which does not meet the disclosable conduct threshold (</w:t>
      </w:r>
      <w:r w:rsidR="00575158">
        <w:t>ie</w:t>
      </w:r>
      <w:r w:rsidR="007532CF">
        <w:t xml:space="preserve"> </w:t>
      </w:r>
      <w:r>
        <w:t>maladministration</w:t>
      </w:r>
      <w:r w:rsidR="005C45EC">
        <w:t>;</w:t>
      </w:r>
      <w:r>
        <w:t xml:space="preserve"> or a substantial and specific danger to public health or safety, or the environment) but </w:t>
      </w:r>
      <w:r w:rsidR="0078348E">
        <w:t xml:space="preserve">still requires some form of response. This </w:t>
      </w:r>
      <w:r w:rsidR="006B56CF">
        <w:t>might arise</w:t>
      </w:r>
      <w:r w:rsidR="005C45EC">
        <w:t>, for example,</w:t>
      </w:r>
      <w:r w:rsidR="0078348E">
        <w:t xml:space="preserve"> where the conduct of a respondent </w:t>
      </w:r>
      <w:r w:rsidR="00B86462">
        <w:t>nevertheless</w:t>
      </w:r>
      <w:r w:rsidR="0078348E">
        <w:t xml:space="preserve"> breach</w:t>
      </w:r>
      <w:r w:rsidR="006B56CF">
        <w:t>es</w:t>
      </w:r>
      <w:r w:rsidR="0078348E">
        <w:t xml:space="preserve"> an applicable workplace policy or code of conduct. In these circumstances, </w:t>
      </w:r>
      <w:r w:rsidR="00A05642">
        <w:t xml:space="preserve">the head of a </w:t>
      </w:r>
      <w:r w:rsidR="0078348E">
        <w:t>public sector entit</w:t>
      </w:r>
      <w:r w:rsidR="00A05642">
        <w:t>y</w:t>
      </w:r>
      <w:r w:rsidR="0078348E">
        <w:t xml:space="preserve"> may still take action</w:t>
      </w:r>
      <w:r w:rsidR="00B86462">
        <w:t>,</w:t>
      </w:r>
      <w:r w:rsidR="0078348E">
        <w:t xml:space="preserve"> indeed, may be obliged</w:t>
      </w:r>
      <w:r w:rsidR="00B86462">
        <w:t>,</w:t>
      </w:r>
      <w:r w:rsidR="0078348E">
        <w:t xml:space="preserve"> to respond to such conduct.</w:t>
      </w:r>
    </w:p>
    <w:p w14:paraId="317DD512" w14:textId="27E165F4" w:rsidR="00D20BAF" w:rsidRDefault="00FE0B9A" w:rsidP="00D20BAF">
      <w:r>
        <w:t>The</w:t>
      </w:r>
      <w:r w:rsidR="00D20BAF">
        <w:t xml:space="preserve"> action required to be taken </w:t>
      </w:r>
      <w:r w:rsidR="0031649E">
        <w:t xml:space="preserve">by </w:t>
      </w:r>
      <w:r w:rsidR="00A05642">
        <w:t>the head of a</w:t>
      </w:r>
      <w:r w:rsidR="0031649E">
        <w:t xml:space="preserve"> public sector entity </w:t>
      </w:r>
      <w:r w:rsidR="00B86462">
        <w:t xml:space="preserve">should </w:t>
      </w:r>
      <w:r w:rsidR="0031649E">
        <w:t>largely</w:t>
      </w:r>
      <w:r w:rsidR="00D20BAF">
        <w:t xml:space="preserve"> be informed by the </w:t>
      </w:r>
      <w:r w:rsidR="0031649E">
        <w:t xml:space="preserve">investigation report. </w:t>
      </w:r>
      <w:r w:rsidR="003E5E0C">
        <w:t>In many cases it will suffice to</w:t>
      </w:r>
      <w:r w:rsidR="0031649E">
        <w:t xml:space="preserve"> endors</w:t>
      </w:r>
      <w:r w:rsidR="003E5E0C">
        <w:t>e</w:t>
      </w:r>
      <w:r w:rsidR="0031649E">
        <w:t xml:space="preserve"> the recommendations of the investigator. </w:t>
      </w:r>
    </w:p>
    <w:p w14:paraId="6B3A2AFF" w14:textId="26A036C1" w:rsidR="00D20BAF" w:rsidRPr="00FB78B3" w:rsidRDefault="00D20BAF" w:rsidP="00D20BAF">
      <w:r>
        <w:rPr>
          <w:b/>
          <w:bCs/>
        </w:rPr>
        <w:lastRenderedPageBreak/>
        <w:t>Note:</w:t>
      </w:r>
      <w:r>
        <w:t xml:space="preserve"> </w:t>
      </w:r>
      <w:r w:rsidR="004F1595">
        <w:t xml:space="preserve">While it is open to </w:t>
      </w:r>
      <w:r w:rsidR="0031649E">
        <w:t xml:space="preserve">the </w:t>
      </w:r>
      <w:r w:rsidR="004F1595">
        <w:t>head</w:t>
      </w:r>
      <w:r w:rsidR="0031649E">
        <w:t xml:space="preserve"> of a public sector entity</w:t>
      </w:r>
      <w:r w:rsidR="004F1595">
        <w:t xml:space="preserve"> to take actions not </w:t>
      </w:r>
      <w:r w:rsidR="0031649E">
        <w:t>recommended</w:t>
      </w:r>
      <w:r w:rsidR="004F1595">
        <w:t xml:space="preserve"> </w:t>
      </w:r>
      <w:r w:rsidR="0031649E">
        <w:t>in the investigation report</w:t>
      </w:r>
      <w:r w:rsidR="004F1595">
        <w:t xml:space="preserve">, there must be a justified and reasonable basis </w:t>
      </w:r>
      <w:r w:rsidR="0031649E">
        <w:t>for doing so</w:t>
      </w:r>
      <w:r w:rsidR="00FB78B3">
        <w:t xml:space="preserve">. </w:t>
      </w:r>
      <w:r w:rsidR="0031649E">
        <w:t>T</w:t>
      </w:r>
      <w:r w:rsidR="00FB78B3">
        <w:t xml:space="preserve">he </w:t>
      </w:r>
      <w:r w:rsidR="0031649E">
        <w:t>h</w:t>
      </w:r>
      <w:r w:rsidR="00630E94">
        <w:t xml:space="preserve">ead of the public </w:t>
      </w:r>
      <w:r w:rsidR="008E5288">
        <w:t xml:space="preserve">sector entity </w:t>
      </w:r>
      <w:r w:rsidR="00FB78B3" w:rsidRPr="000D0740">
        <w:t>must</w:t>
      </w:r>
      <w:r w:rsidR="00FB78B3">
        <w:t xml:space="preserve"> document the basis on which they </w:t>
      </w:r>
      <w:r w:rsidR="0031649E">
        <w:t>acted</w:t>
      </w:r>
      <w:r w:rsidR="000D0740">
        <w:t>.</w:t>
      </w:r>
    </w:p>
    <w:p w14:paraId="7557CE0F" w14:textId="59C500AD" w:rsidR="002A2B11" w:rsidRDefault="002A2B11" w:rsidP="007247D1">
      <w:pPr>
        <w:pStyle w:val="Heading2"/>
      </w:pPr>
      <w:bookmarkStart w:id="250" w:name="_Toc67904035"/>
      <w:bookmarkStart w:id="251" w:name="_Toc75255209"/>
      <w:r>
        <w:t xml:space="preserve">How to manage an investigation </w:t>
      </w:r>
      <w:r w:rsidR="000D0740">
        <w:t>where the allegations are not substantiated</w:t>
      </w:r>
      <w:bookmarkEnd w:id="250"/>
      <w:bookmarkEnd w:id="251"/>
    </w:p>
    <w:p w14:paraId="7E567A38" w14:textId="5D48E97A" w:rsidR="00072953" w:rsidRDefault="00072953" w:rsidP="00072953">
      <w:r>
        <w:t xml:space="preserve">There may be </w:t>
      </w:r>
      <w:r w:rsidR="003D5EE3">
        <w:t>several</w:t>
      </w:r>
      <w:r>
        <w:t xml:space="preserve"> reasons why </w:t>
      </w:r>
      <w:r w:rsidR="001455ED">
        <w:t>the allegations within a disclosure are</w:t>
      </w:r>
      <w:r>
        <w:t xml:space="preserve"> not substantiated, including insufficient evidence to find </w:t>
      </w:r>
      <w:r w:rsidR="0031649E">
        <w:t xml:space="preserve">that disclosable conduct </w:t>
      </w:r>
      <w:r w:rsidR="002A65EA">
        <w:t>occurred</w:t>
      </w:r>
      <w:r>
        <w:t xml:space="preserve">. </w:t>
      </w:r>
      <w:r w:rsidR="000D0740">
        <w:t>Where a conclusion of this kind is reached, t</w:t>
      </w:r>
      <w:r>
        <w:t xml:space="preserve">he discloser should be given as much information as possible about the outcome of the </w:t>
      </w:r>
      <w:r w:rsidR="000D0740">
        <w:t>investigation,</w:t>
      </w:r>
      <w:r>
        <w:t xml:space="preserve"> consistent with confidentiality </w:t>
      </w:r>
      <w:r w:rsidR="003D5EE3">
        <w:t>limitations</w:t>
      </w:r>
      <w:r w:rsidR="000D0740">
        <w:t>,</w:t>
      </w:r>
      <w:r w:rsidR="003D5EE3">
        <w:t xml:space="preserve"> and</w:t>
      </w:r>
      <w:r>
        <w:t xml:space="preserve"> be assured that it does not mean that making a disclosure was not worthwhile. The information the discloser provided may be useful in making the</w:t>
      </w:r>
      <w:r w:rsidR="000D0740">
        <w:t xml:space="preserve"> relevant</w:t>
      </w:r>
      <w:r>
        <w:t xml:space="preserve"> </w:t>
      </w:r>
      <w:r w:rsidR="00630E94">
        <w:t>public sector entity</w:t>
      </w:r>
      <w:r>
        <w:t xml:space="preserve"> aware of </w:t>
      </w:r>
      <w:r w:rsidR="003D5EE3">
        <w:t>gaps</w:t>
      </w:r>
      <w:r>
        <w:t xml:space="preserve"> in its policies or </w:t>
      </w:r>
      <w:r w:rsidR="003D5EE3">
        <w:t>procedures or</w:t>
      </w:r>
      <w:r>
        <w:t xml:space="preserve"> lead to consideration of how to prevent similar issues in the future.</w:t>
      </w:r>
      <w:r w:rsidR="005A3A58">
        <w:rPr>
          <w:rStyle w:val="FootnoteReference"/>
        </w:rPr>
        <w:footnoteReference w:id="142"/>
      </w:r>
      <w:r w:rsidR="000D0740">
        <w:t xml:space="preserve"> It may also be relevant if a </w:t>
      </w:r>
      <w:r w:rsidR="00003037">
        <w:t>similar allegation</w:t>
      </w:r>
      <w:r w:rsidR="000D0740">
        <w:t xml:space="preserve"> is made in the future by another discloser.</w:t>
      </w:r>
    </w:p>
    <w:p w14:paraId="03A46002" w14:textId="380DFA8D" w:rsidR="002A65EA" w:rsidRDefault="002A65EA" w:rsidP="00072953">
      <w:r>
        <w:t xml:space="preserve">In many cases it may not be possible to positively conclude that disclosable conduct did not occur. Where </w:t>
      </w:r>
      <w:r w:rsidR="00D5389E">
        <w:t>it is</w:t>
      </w:r>
      <w:r>
        <w:t xml:space="preserve"> reasonably suspect</w:t>
      </w:r>
      <w:r w:rsidR="00D5389E">
        <w:t>ed</w:t>
      </w:r>
      <w:r>
        <w:t xml:space="preserve"> that disclosable conduct did occur, </w:t>
      </w:r>
      <w:r w:rsidR="005C45EC">
        <w:t>but the relevant decision-maker is</w:t>
      </w:r>
      <w:r>
        <w:t xml:space="preserve"> not satisfied that it did, it is not necessary to disregard the suspected possibility. It may still be appropriate to take steps to obviate the risk</w:t>
      </w:r>
      <w:r w:rsidR="003E5E0C">
        <w:t xml:space="preserve"> </w:t>
      </w:r>
      <w:r>
        <w:t xml:space="preserve">posed by the possibility. In short, the </w:t>
      </w:r>
      <w:r w:rsidR="00D5389E">
        <w:t>public sector entity</w:t>
      </w:r>
      <w:r>
        <w:t xml:space="preserve"> is entitled to use any information uncovered by the investigation. What is done in response to the suspicion is a matter for the </w:t>
      </w:r>
      <w:r w:rsidR="00D5389E">
        <w:t>public sector entity</w:t>
      </w:r>
      <w:r>
        <w:t>.</w:t>
      </w:r>
    </w:p>
    <w:p w14:paraId="2B7DEFA6" w14:textId="33B9614F" w:rsidR="00072953" w:rsidRDefault="00072953" w:rsidP="00072953">
      <w:r>
        <w:t xml:space="preserve">In some circumstances, </w:t>
      </w:r>
      <w:r w:rsidR="000D0740">
        <w:t>failure to</w:t>
      </w:r>
      <w:r>
        <w:t xml:space="preserve"> substantiate the allegations may be a reflection of a misunderstanding on the discloser’s part as to what sort of conduct is, and is not, able to be resolved under the PID Act. </w:t>
      </w:r>
      <w:r w:rsidR="003B3A07">
        <w:t>Investigating entities</w:t>
      </w:r>
      <w:r w:rsidR="007532CF">
        <w:t xml:space="preserve"> </w:t>
      </w:r>
      <w:r>
        <w:t>should consider this possibility in concluding their investigations and</w:t>
      </w:r>
      <w:r w:rsidR="003E5E0C">
        <w:t>,</w:t>
      </w:r>
      <w:r>
        <w:t xml:space="preserve"> where appropriate, revise any communication or training materials relevant to the PID Act. In addition, this type of situation should be brought to the Commission’s attention, to enable it to tailor its communication and education products accordingly. </w:t>
      </w:r>
    </w:p>
    <w:p w14:paraId="5EC54882" w14:textId="1F7183FF" w:rsidR="00072953" w:rsidRDefault="00072953" w:rsidP="00072953">
      <w:r>
        <w:t>Regardless of the outcome, the discloser should be assured that they will still be protected.</w:t>
      </w:r>
      <w:r>
        <w:rPr>
          <w:rStyle w:val="FootnoteReference"/>
        </w:rPr>
        <w:footnoteReference w:id="143"/>
      </w:r>
    </w:p>
    <w:p w14:paraId="305E3EA0" w14:textId="36215A02" w:rsidR="00072953" w:rsidRPr="00072953" w:rsidRDefault="006B56CF" w:rsidP="00072953">
      <w:bookmarkStart w:id="252" w:name="_Hlk71534105"/>
      <w:r>
        <w:t>However, where a</w:t>
      </w:r>
      <w:r w:rsidR="00072953">
        <w:t xml:space="preserve"> failure to </w:t>
      </w:r>
      <w:r w:rsidR="006D465A">
        <w:t xml:space="preserve">substantiate the allegations </w:t>
      </w:r>
      <w:r>
        <w:t>occurs</w:t>
      </w:r>
      <w:r w:rsidR="000D0740">
        <w:t xml:space="preserve"> because</w:t>
      </w:r>
      <w:r w:rsidR="006D465A">
        <w:t xml:space="preserve"> the</w:t>
      </w:r>
      <w:r w:rsidR="00B369C1">
        <w:t xml:space="preserve"> disclosure </w:t>
      </w:r>
      <w:r>
        <w:t>was</w:t>
      </w:r>
      <w:r w:rsidR="006D465A">
        <w:t xml:space="preserve"> frivolous or vexatious </w:t>
      </w:r>
      <w:r w:rsidR="00B369C1">
        <w:t xml:space="preserve">a court may find </w:t>
      </w:r>
      <w:r w:rsidR="006D465A">
        <w:t>the discloser forfeits any protections under the PID</w:t>
      </w:r>
      <w:r w:rsidR="007532CF">
        <w:t xml:space="preserve"> </w:t>
      </w:r>
      <w:r w:rsidR="006D465A">
        <w:t>Act</w:t>
      </w:r>
      <w:r w:rsidR="00B369C1">
        <w:rPr>
          <w:rStyle w:val="FootnoteReference"/>
        </w:rPr>
        <w:footnoteReference w:id="144"/>
      </w:r>
      <w:r w:rsidR="006D465A">
        <w:t xml:space="preserve"> and the </w:t>
      </w:r>
      <w:r w:rsidR="003B3A07">
        <w:t>investigating entity</w:t>
      </w:r>
      <w:r w:rsidR="006D465A">
        <w:t xml:space="preserve"> </w:t>
      </w:r>
      <w:r w:rsidR="005C45EC">
        <w:t>may</w:t>
      </w:r>
      <w:r w:rsidR="006D465A">
        <w:t xml:space="preserve"> consider </w:t>
      </w:r>
      <w:r w:rsidR="005C45EC">
        <w:t>whether taking action against the discloser is appropriate, having regard to all the relevant circumstances</w:t>
      </w:r>
      <w:r w:rsidR="006D465A">
        <w:t>.</w:t>
      </w:r>
      <w:r w:rsidR="00B369C1">
        <w:t xml:space="preserve"> </w:t>
      </w:r>
    </w:p>
    <w:p w14:paraId="09260F40" w14:textId="02644AAF" w:rsidR="002A2B11" w:rsidRDefault="002A2B11" w:rsidP="007247D1">
      <w:pPr>
        <w:pStyle w:val="Heading2"/>
      </w:pPr>
      <w:bookmarkStart w:id="253" w:name="_Toc67904036"/>
      <w:bookmarkStart w:id="254" w:name="_Toc75255210"/>
      <w:bookmarkEnd w:id="252"/>
      <w:r>
        <w:t xml:space="preserve">How to assist a </w:t>
      </w:r>
      <w:r w:rsidR="002F5FCA">
        <w:t>discloser</w:t>
      </w:r>
      <w:r>
        <w:t xml:space="preserve"> who is displeased with the </w:t>
      </w:r>
      <w:r w:rsidR="005C45EC">
        <w:t>outcome</w:t>
      </w:r>
      <w:r>
        <w:t xml:space="preserve"> of </w:t>
      </w:r>
      <w:r w:rsidR="000D0740">
        <w:t>an investigation</w:t>
      </w:r>
      <w:bookmarkEnd w:id="253"/>
      <w:bookmarkEnd w:id="254"/>
    </w:p>
    <w:p w14:paraId="0AA96695" w14:textId="4F0FEED8" w:rsidR="002F5FCA" w:rsidRDefault="002F5FCA" w:rsidP="002F5FCA">
      <w:r>
        <w:t xml:space="preserve">Disclosers may be unhappy with the </w:t>
      </w:r>
      <w:r w:rsidR="005C45EC">
        <w:t>outcomes of the investigation</w:t>
      </w:r>
      <w:r>
        <w:t>. This will often arise where the investigation has either:</w:t>
      </w:r>
    </w:p>
    <w:p w14:paraId="0C3C5C41" w14:textId="16D8C861" w:rsidR="002F5FCA" w:rsidRDefault="002F5FCA" w:rsidP="008D1DE6">
      <w:pPr>
        <w:pStyle w:val="ListParagraph"/>
        <w:numPr>
          <w:ilvl w:val="0"/>
          <w:numId w:val="5"/>
        </w:numPr>
      </w:pPr>
      <w:r>
        <w:t xml:space="preserve">failed to substantiate the discloser’s allegations; </w:t>
      </w:r>
    </w:p>
    <w:p w14:paraId="4496F5C5" w14:textId="4AB19210" w:rsidR="002F5FCA" w:rsidRDefault="002F5FCA" w:rsidP="008D1DE6">
      <w:pPr>
        <w:pStyle w:val="ListParagraph"/>
        <w:numPr>
          <w:ilvl w:val="0"/>
          <w:numId w:val="5"/>
        </w:numPr>
      </w:pPr>
      <w:r>
        <w:t>taken no action in relation to any findings; or</w:t>
      </w:r>
    </w:p>
    <w:p w14:paraId="4335AFF4" w14:textId="08F4ADC3" w:rsidR="002F5FCA" w:rsidRDefault="006B56CF" w:rsidP="008D1DE6">
      <w:pPr>
        <w:pStyle w:val="ListParagraph"/>
        <w:numPr>
          <w:ilvl w:val="0"/>
          <w:numId w:val="5"/>
        </w:numPr>
      </w:pPr>
      <w:r>
        <w:t>recommended</w:t>
      </w:r>
      <w:r w:rsidR="002F5FCA">
        <w:t xml:space="preserve"> actions which the discloser considers inadequate.</w:t>
      </w:r>
    </w:p>
    <w:p w14:paraId="35953257" w14:textId="7ED9699C" w:rsidR="002F5FCA" w:rsidRDefault="002F5FCA" w:rsidP="002F5FCA">
      <w:r>
        <w:rPr>
          <w:b/>
          <w:bCs/>
        </w:rPr>
        <w:t>Note:</w:t>
      </w:r>
      <w:r>
        <w:t xml:space="preserve"> Where a</w:t>
      </w:r>
      <w:r w:rsidR="00A72159">
        <w:t>n</w:t>
      </w:r>
      <w:r>
        <w:t xml:space="preserve"> </w:t>
      </w:r>
      <w:r w:rsidR="003B3A07">
        <w:t>investigating entity</w:t>
      </w:r>
      <w:r>
        <w:t xml:space="preserve"> makes findings, yet proposes to take no action in response, the discloser may refer the PID to a third party (</w:t>
      </w:r>
      <w:r w:rsidR="00802EE9">
        <w:t xml:space="preserve">see </w:t>
      </w:r>
      <w:r w:rsidR="005D41A2" w:rsidRPr="005D41A2">
        <w:rPr>
          <w:b/>
          <w:bCs/>
        </w:rPr>
        <w:fldChar w:fldCharType="begin"/>
      </w:r>
      <w:r w:rsidR="005D41A2" w:rsidRPr="005D41A2">
        <w:rPr>
          <w:b/>
          <w:bCs/>
        </w:rPr>
        <w:instrText xml:space="preserve"> REF _Ref75266742 \h </w:instrText>
      </w:r>
      <w:r w:rsidR="005D41A2">
        <w:rPr>
          <w:b/>
          <w:bCs/>
        </w:rPr>
        <w:instrText xml:space="preserve"> \* MERGEFORMAT </w:instrText>
      </w:r>
      <w:r w:rsidR="005D41A2" w:rsidRPr="005D41A2">
        <w:rPr>
          <w:b/>
          <w:bCs/>
        </w:rPr>
      </w:r>
      <w:r w:rsidR="005D41A2" w:rsidRPr="005D41A2">
        <w:rPr>
          <w:b/>
          <w:bCs/>
        </w:rPr>
        <w:fldChar w:fldCharType="separate"/>
      </w:r>
      <w:r w:rsidR="00245E6D" w:rsidRPr="00245E6D">
        <w:rPr>
          <w:b/>
          <w:bCs/>
        </w:rPr>
        <w:t>Making a report to a third party</w:t>
      </w:r>
      <w:r w:rsidR="005D41A2" w:rsidRPr="005D41A2">
        <w:rPr>
          <w:b/>
          <w:bCs/>
        </w:rPr>
        <w:fldChar w:fldCharType="end"/>
      </w:r>
      <w:r w:rsidR="00802EE9">
        <w:t>).</w:t>
      </w:r>
      <w:r>
        <w:t xml:space="preserve"> The PID Act is clear that </w:t>
      </w:r>
      <w:r w:rsidR="00901235">
        <w:t>action must be taken</w:t>
      </w:r>
      <w:r>
        <w:t xml:space="preserve"> in relation to any findings made </w:t>
      </w:r>
      <w:r w:rsidR="00A72159">
        <w:t>following</w:t>
      </w:r>
      <w:r>
        <w:t xml:space="preserve"> a</w:t>
      </w:r>
      <w:r w:rsidR="006605B9">
        <w:t>n</w:t>
      </w:r>
      <w:r>
        <w:t xml:space="preserve"> investigation.</w:t>
      </w:r>
    </w:p>
    <w:p w14:paraId="1272FB9C" w14:textId="58F83FAB" w:rsidR="002F5FCA" w:rsidRDefault="002F5FCA" w:rsidP="002F5FCA">
      <w:r>
        <w:t xml:space="preserve">Should a discloser </w:t>
      </w:r>
      <w:r w:rsidR="009C5A3D">
        <w:t xml:space="preserve">express </w:t>
      </w:r>
      <w:r w:rsidR="00DC04F5">
        <w:t>concerns</w:t>
      </w:r>
      <w:r w:rsidR="009C5A3D">
        <w:t xml:space="preserve"> following a</w:t>
      </w:r>
      <w:r w:rsidR="00A62A52">
        <w:t>n</w:t>
      </w:r>
      <w:r w:rsidR="009C5A3D">
        <w:t xml:space="preserve"> investigation, the </w:t>
      </w:r>
      <w:r w:rsidR="003B3A07">
        <w:t>investigating entity</w:t>
      </w:r>
      <w:r w:rsidR="009C5A3D">
        <w:t xml:space="preserve"> should consider (where appropriate) how to accommodate or otherwise respond to the discloser’s concerns. Ensuring</w:t>
      </w:r>
      <w:r w:rsidR="005D41A2">
        <w:t> </w:t>
      </w:r>
      <w:r w:rsidR="009C5A3D">
        <w:t>that the discloser is kept update</w:t>
      </w:r>
      <w:r w:rsidR="00F33594">
        <w:t>d</w:t>
      </w:r>
      <w:r w:rsidR="009C5A3D">
        <w:t xml:space="preserve"> throughout the investigative process, and clearly explaining </w:t>
      </w:r>
      <w:r w:rsidR="00A62A52">
        <w:t>that</w:t>
      </w:r>
      <w:r w:rsidR="009C5A3D">
        <w:t xml:space="preserve"> process to the discloser</w:t>
      </w:r>
      <w:r w:rsidR="00A72159">
        <w:t>,</w:t>
      </w:r>
      <w:r w:rsidR="009C5A3D">
        <w:t xml:space="preserve"> </w:t>
      </w:r>
      <w:r w:rsidR="0008620B">
        <w:t>should</w:t>
      </w:r>
      <w:r w:rsidR="009C5A3D">
        <w:t xml:space="preserve"> </w:t>
      </w:r>
      <w:r w:rsidR="00A72159">
        <w:t>assist</w:t>
      </w:r>
      <w:r w:rsidR="009C5A3D">
        <w:t xml:space="preserve"> in managing the expectations of the discloser</w:t>
      </w:r>
      <w:r w:rsidR="0008620B">
        <w:t xml:space="preserve"> (see </w:t>
      </w:r>
      <w:r w:rsidR="002E01D6" w:rsidRPr="002E01D6">
        <w:rPr>
          <w:b/>
          <w:bCs/>
        </w:rPr>
        <w:fldChar w:fldCharType="begin"/>
      </w:r>
      <w:r w:rsidR="002E01D6" w:rsidRPr="002E01D6">
        <w:rPr>
          <w:b/>
          <w:bCs/>
        </w:rPr>
        <w:instrText xml:space="preserve"> REF _Ref62484949 \h </w:instrText>
      </w:r>
      <w:r w:rsidR="002E01D6">
        <w:rPr>
          <w:b/>
          <w:bCs/>
        </w:rPr>
        <w:instrText xml:space="preserve"> \* MERGEFORMAT </w:instrText>
      </w:r>
      <w:r w:rsidR="002E01D6" w:rsidRPr="002E01D6">
        <w:rPr>
          <w:b/>
          <w:bCs/>
        </w:rPr>
      </w:r>
      <w:r w:rsidR="002E01D6" w:rsidRPr="002E01D6">
        <w:rPr>
          <w:b/>
          <w:bCs/>
        </w:rPr>
        <w:fldChar w:fldCharType="separate"/>
      </w:r>
      <w:r w:rsidR="00245E6D" w:rsidRPr="00245E6D">
        <w:rPr>
          <w:b/>
          <w:bCs/>
        </w:rPr>
        <w:t>Keeping the discloser informed</w:t>
      </w:r>
      <w:r w:rsidR="002E01D6" w:rsidRPr="002E01D6">
        <w:rPr>
          <w:b/>
          <w:bCs/>
        </w:rPr>
        <w:fldChar w:fldCharType="end"/>
      </w:r>
      <w:r w:rsidR="0008620B">
        <w:t>)</w:t>
      </w:r>
      <w:r w:rsidR="009C5A3D">
        <w:t xml:space="preserve">. It is critical that </w:t>
      </w:r>
      <w:r w:rsidR="005324ED">
        <w:t>investigating entities</w:t>
      </w:r>
      <w:r w:rsidR="009C5A3D">
        <w:t xml:space="preserve"> make clear to the discloser that the </w:t>
      </w:r>
      <w:r w:rsidR="009C5A3D">
        <w:lastRenderedPageBreak/>
        <w:t xml:space="preserve">actions taken, or proposed to be taken, </w:t>
      </w:r>
      <w:r w:rsidR="00B86462">
        <w:t>are the responsibility of</w:t>
      </w:r>
      <w:r w:rsidR="009C5A3D">
        <w:t xml:space="preserve"> the </w:t>
      </w:r>
      <w:r w:rsidR="001360C1">
        <w:t>head of a public sector</w:t>
      </w:r>
      <w:r w:rsidR="005324ED">
        <w:t xml:space="preserve"> entity</w:t>
      </w:r>
      <w:r w:rsidR="00A72159">
        <w:t>, based on the available evidence.</w:t>
      </w:r>
      <w:r w:rsidR="009C5A3D">
        <w:t xml:space="preserve"> </w:t>
      </w:r>
      <w:r w:rsidR="0008620B">
        <w:t xml:space="preserve">It is also only necessary to keep the discloser updated in a broad sense – there is no requirement to notify them of every detailed step of the investigation, and there may be good reasons for keeping certain details confidential. </w:t>
      </w:r>
      <w:r w:rsidR="001360C1">
        <w:t>Public sector</w:t>
      </w:r>
      <w:r w:rsidR="005324ED">
        <w:t xml:space="preserve"> entities</w:t>
      </w:r>
      <w:r w:rsidR="009C5A3D">
        <w:t xml:space="preserve"> should</w:t>
      </w:r>
      <w:r w:rsidR="00B86462">
        <w:t>,</w:t>
      </w:r>
      <w:r w:rsidR="009C5A3D">
        <w:t xml:space="preserve"> </w:t>
      </w:r>
      <w:r w:rsidR="0008620B">
        <w:t xml:space="preserve">however, </w:t>
      </w:r>
      <w:r w:rsidR="009C5A3D">
        <w:t xml:space="preserve">have in place internal review options, and advise the discloser of these, to allow for </w:t>
      </w:r>
      <w:r w:rsidR="00A72159">
        <w:t>their</w:t>
      </w:r>
      <w:r w:rsidR="009C5A3D">
        <w:t xml:space="preserve"> concerns to be </w:t>
      </w:r>
      <w:r w:rsidR="00A72159">
        <w:t>considered</w:t>
      </w:r>
      <w:r w:rsidR="009C5A3D">
        <w:t>.</w:t>
      </w:r>
    </w:p>
    <w:p w14:paraId="15F175FA" w14:textId="76BFA766" w:rsidR="009C5A3D" w:rsidRDefault="00A72159" w:rsidP="002F5FCA">
      <w:r>
        <w:t>When</w:t>
      </w:r>
      <w:r w:rsidR="009C5A3D">
        <w:t xml:space="preserve"> presenting</w:t>
      </w:r>
      <w:r>
        <w:t xml:space="preserve"> </w:t>
      </w:r>
      <w:r w:rsidR="009C5A3D">
        <w:t>the outcomes of the investigation</w:t>
      </w:r>
      <w:r w:rsidRPr="00A72159">
        <w:t xml:space="preserve"> </w:t>
      </w:r>
      <w:r>
        <w:t>to the discloser</w:t>
      </w:r>
      <w:r w:rsidR="009C5A3D">
        <w:t xml:space="preserve">, </w:t>
      </w:r>
      <w:r w:rsidR="005324ED">
        <w:t>investigating entities</w:t>
      </w:r>
      <w:r w:rsidR="009C5A3D">
        <w:t xml:space="preserve"> must ensure that (</w:t>
      </w:r>
      <w:r w:rsidR="00B86462">
        <w:t>subject to</w:t>
      </w:r>
      <w:r w:rsidR="009C5A3D">
        <w:t xml:space="preserve"> any confidentiality or privacy considerations) a</w:t>
      </w:r>
      <w:r w:rsidR="00F824AC">
        <w:t>n</w:t>
      </w:r>
      <w:r w:rsidR="009C5A3D">
        <w:t xml:space="preserve"> </w:t>
      </w:r>
      <w:r w:rsidR="002A65EA">
        <w:t>adequate</w:t>
      </w:r>
      <w:r w:rsidR="009C5A3D">
        <w:t xml:space="preserve"> account of the investigation is given.</w:t>
      </w:r>
    </w:p>
    <w:p w14:paraId="197E566E" w14:textId="6F4545A3" w:rsidR="009C5A3D" w:rsidRDefault="009C5A3D" w:rsidP="002F5FCA">
      <w:r>
        <w:t xml:space="preserve">In short, </w:t>
      </w:r>
      <w:r w:rsidR="005324ED">
        <w:t>investigating entities</w:t>
      </w:r>
      <w:r>
        <w:t xml:space="preserve"> should ensure that</w:t>
      </w:r>
      <w:r w:rsidR="00A72159">
        <w:t>:</w:t>
      </w:r>
    </w:p>
    <w:p w14:paraId="0EF364F7" w14:textId="449494C8" w:rsidR="009C5A3D" w:rsidRDefault="009C5A3D" w:rsidP="008D1DE6">
      <w:pPr>
        <w:pStyle w:val="ListParagraph"/>
        <w:numPr>
          <w:ilvl w:val="0"/>
          <w:numId w:val="5"/>
        </w:numPr>
      </w:pPr>
      <w:r>
        <w:t xml:space="preserve">they present a report </w:t>
      </w:r>
      <w:r w:rsidR="00A72159">
        <w:t xml:space="preserve">to the discloser </w:t>
      </w:r>
      <w:r>
        <w:t xml:space="preserve">which </w:t>
      </w:r>
      <w:r w:rsidR="009F71FC">
        <w:t xml:space="preserve">adequately </w:t>
      </w:r>
      <w:r w:rsidR="00A72159">
        <w:t>deals</w:t>
      </w:r>
      <w:r w:rsidR="009F71FC">
        <w:t xml:space="preserve"> with allegations raised by the discloser;</w:t>
      </w:r>
    </w:p>
    <w:p w14:paraId="17964188" w14:textId="70F423AA" w:rsidR="009F71FC" w:rsidRDefault="009F71FC" w:rsidP="008D1DE6">
      <w:pPr>
        <w:pStyle w:val="ListParagraph"/>
        <w:numPr>
          <w:ilvl w:val="0"/>
          <w:numId w:val="5"/>
        </w:numPr>
      </w:pPr>
      <w:r>
        <w:t>they demonstrate the seriousness with which they treated the allegations</w:t>
      </w:r>
      <w:r w:rsidR="00A72159">
        <w:t xml:space="preserve">; </w:t>
      </w:r>
      <w:r>
        <w:t>and</w:t>
      </w:r>
    </w:p>
    <w:p w14:paraId="2E20B2D6" w14:textId="3A3776EF" w:rsidR="009F71FC" w:rsidRDefault="009F71FC" w:rsidP="008D1DE6">
      <w:pPr>
        <w:pStyle w:val="ListParagraph"/>
        <w:numPr>
          <w:ilvl w:val="0"/>
          <w:numId w:val="5"/>
        </w:numPr>
      </w:pPr>
      <w:r>
        <w:t>they value the discloser</w:t>
      </w:r>
      <w:r w:rsidR="00A72159">
        <w:t xml:space="preserve"> having</w:t>
      </w:r>
      <w:r>
        <w:t xml:space="preserve"> com</w:t>
      </w:r>
      <w:r w:rsidR="00A72159">
        <w:t>e</w:t>
      </w:r>
      <w:r>
        <w:t xml:space="preserve"> forward with their concerns.</w:t>
      </w:r>
    </w:p>
    <w:p w14:paraId="6FC808CA" w14:textId="29FFAC2A" w:rsidR="002F5FCA" w:rsidRDefault="00A72159" w:rsidP="002F5FCA">
      <w:r>
        <w:t>Should</w:t>
      </w:r>
      <w:r w:rsidR="009F71FC">
        <w:t xml:space="preserve"> the discloser continue to be unhappy with the </w:t>
      </w:r>
      <w:r w:rsidR="005324ED">
        <w:t>investigating entity’s</w:t>
      </w:r>
      <w:r w:rsidR="009F71FC">
        <w:t xml:space="preserve"> conduct of the investigation, t</w:t>
      </w:r>
      <w:r w:rsidR="002F5FCA">
        <w:t xml:space="preserve">he PID </w:t>
      </w:r>
      <w:r w:rsidR="009F71FC">
        <w:t>A</w:t>
      </w:r>
      <w:r w:rsidR="002F5FCA">
        <w:t xml:space="preserve">ct provides two review options </w:t>
      </w:r>
      <w:r w:rsidR="001360C1">
        <w:t>which disclosers may pursue</w:t>
      </w:r>
      <w:r w:rsidR="002F5FCA">
        <w:t>:</w:t>
      </w:r>
    </w:p>
    <w:p w14:paraId="3DE086F3" w14:textId="3FDB3861" w:rsidR="002F5FCA" w:rsidRDefault="002F5FCA" w:rsidP="008D1DE6">
      <w:pPr>
        <w:pStyle w:val="ListParagraph"/>
        <w:numPr>
          <w:ilvl w:val="0"/>
          <w:numId w:val="5"/>
        </w:numPr>
      </w:pPr>
      <w:r>
        <w:t>complaining to the Commission; and</w:t>
      </w:r>
    </w:p>
    <w:p w14:paraId="580EB4A2" w14:textId="453F3E9B" w:rsidR="002F5FCA" w:rsidRDefault="002F5FCA" w:rsidP="008D1DE6">
      <w:pPr>
        <w:pStyle w:val="ListParagraph"/>
        <w:numPr>
          <w:ilvl w:val="0"/>
          <w:numId w:val="5"/>
        </w:numPr>
      </w:pPr>
      <w:r>
        <w:t>complaining to the ACT Ombudsman.</w:t>
      </w:r>
    </w:p>
    <w:p w14:paraId="0A4D2B73" w14:textId="4DF35674" w:rsidR="002F5FCA" w:rsidRPr="009F71FC" w:rsidRDefault="005324ED" w:rsidP="002F5FCA">
      <w:r>
        <w:t>Investigating entities</w:t>
      </w:r>
      <w:r w:rsidR="009F71FC">
        <w:t xml:space="preserve"> </w:t>
      </w:r>
      <w:r w:rsidR="009F71FC" w:rsidRPr="005324ED">
        <w:t>must</w:t>
      </w:r>
      <w:r w:rsidR="009F71FC">
        <w:t xml:space="preserve"> provide details on how a discloser may complain to either the </w:t>
      </w:r>
      <w:r w:rsidR="00FE44F6">
        <w:t xml:space="preserve">Commission or the </w:t>
      </w:r>
      <w:r w:rsidR="009F71FC">
        <w:t>ACT Ombudsman should the discloser wish to have the investigation reviewed.</w:t>
      </w:r>
    </w:p>
    <w:p w14:paraId="29D81E9D" w14:textId="7D68264B" w:rsidR="002A2B11" w:rsidRDefault="002A2B11" w:rsidP="007247D1">
      <w:pPr>
        <w:pStyle w:val="Heading2"/>
      </w:pPr>
      <w:bookmarkStart w:id="255" w:name="_Toc67904037"/>
      <w:bookmarkStart w:id="256" w:name="_Toc75255211"/>
      <w:r>
        <w:t xml:space="preserve">The necessity </w:t>
      </w:r>
      <w:r w:rsidR="00A72159">
        <w:t>of</w:t>
      </w:r>
      <w:r>
        <w:t xml:space="preserve"> maintain</w:t>
      </w:r>
      <w:r w:rsidR="00A72159">
        <w:t>ing</w:t>
      </w:r>
      <w:r>
        <w:t xml:space="preserve"> adequate records</w:t>
      </w:r>
      <w:bookmarkEnd w:id="255"/>
      <w:bookmarkEnd w:id="256"/>
    </w:p>
    <w:p w14:paraId="22594960" w14:textId="0137CE41" w:rsidR="009F71FC" w:rsidRDefault="009F71FC" w:rsidP="009F71FC">
      <w:r>
        <w:t>Good records ensure that all action taken regarding the receipt and handling of a PID is reviewable</w:t>
      </w:r>
      <w:r w:rsidR="00A72159">
        <w:t xml:space="preserve"> and justifiable</w:t>
      </w:r>
      <w:r>
        <w:t xml:space="preserve">. In addition, good records </w:t>
      </w:r>
      <w:r w:rsidR="00A72159">
        <w:t>enable</w:t>
      </w:r>
      <w:r>
        <w:t xml:space="preserve"> </w:t>
      </w:r>
      <w:r w:rsidR="005324ED">
        <w:t>investigating entities</w:t>
      </w:r>
      <w:r>
        <w:t xml:space="preserve"> and the Commission to analyse trends and/or themes</w:t>
      </w:r>
      <w:r w:rsidR="00A72159">
        <w:t>,</w:t>
      </w:r>
      <w:r>
        <w:t xml:space="preserve"> which may allow for proactive </w:t>
      </w:r>
      <w:r w:rsidR="0008620B">
        <w:t>measures</w:t>
      </w:r>
      <w:r>
        <w:t xml:space="preserve"> to improve government administration (see</w:t>
      </w:r>
      <w:r w:rsidR="002E01D6">
        <w:t> </w:t>
      </w:r>
      <w:r w:rsidR="002E01D6" w:rsidRPr="002E01D6">
        <w:rPr>
          <w:b/>
          <w:bCs/>
        </w:rPr>
        <w:fldChar w:fldCharType="begin"/>
      </w:r>
      <w:r w:rsidR="002E01D6" w:rsidRPr="002E01D6">
        <w:rPr>
          <w:b/>
          <w:bCs/>
        </w:rPr>
        <w:instrText xml:space="preserve"> REF _Ref63236826 \h </w:instrText>
      </w:r>
      <w:r w:rsidR="002E01D6">
        <w:rPr>
          <w:b/>
          <w:bCs/>
        </w:rPr>
        <w:instrText xml:space="preserve"> \* MERGEFORMAT </w:instrText>
      </w:r>
      <w:r w:rsidR="002E01D6" w:rsidRPr="002E01D6">
        <w:rPr>
          <w:b/>
          <w:bCs/>
        </w:rPr>
      </w:r>
      <w:r w:rsidR="002E01D6" w:rsidRPr="002E01D6">
        <w:rPr>
          <w:b/>
          <w:bCs/>
        </w:rPr>
        <w:fldChar w:fldCharType="separate"/>
      </w:r>
      <w:r w:rsidR="00245E6D" w:rsidRPr="00245E6D">
        <w:rPr>
          <w:b/>
          <w:bCs/>
        </w:rPr>
        <w:t>The need for entities to monitor PIDs and improve their administration</w:t>
      </w:r>
      <w:r w:rsidR="002E01D6" w:rsidRPr="002E01D6">
        <w:rPr>
          <w:b/>
          <w:bCs/>
        </w:rPr>
        <w:fldChar w:fldCharType="end"/>
      </w:r>
      <w:r>
        <w:t>).</w:t>
      </w:r>
      <w:r w:rsidR="005A3A58">
        <w:rPr>
          <w:rStyle w:val="FootnoteReference"/>
        </w:rPr>
        <w:footnoteReference w:id="145"/>
      </w:r>
    </w:p>
    <w:p w14:paraId="0FF3E093" w14:textId="6251B4F2" w:rsidR="002F7D93" w:rsidRDefault="005324ED" w:rsidP="009F71FC">
      <w:r>
        <w:t>Investigating entities</w:t>
      </w:r>
      <w:r w:rsidR="00A72159">
        <w:t xml:space="preserve"> must keep t</w:t>
      </w:r>
      <w:r w:rsidR="002F7D93">
        <w:t xml:space="preserve">he following records </w:t>
      </w:r>
      <w:r w:rsidR="005926A7">
        <w:t>in a secure place</w:t>
      </w:r>
      <w:r w:rsidR="002F7D93">
        <w:t>:</w:t>
      </w:r>
    </w:p>
    <w:p w14:paraId="187A419F" w14:textId="2ADFA0BF" w:rsidR="0008620B" w:rsidRDefault="0008620B" w:rsidP="008D1DE6">
      <w:pPr>
        <w:pStyle w:val="ListParagraph"/>
        <w:numPr>
          <w:ilvl w:val="0"/>
          <w:numId w:val="5"/>
        </w:numPr>
      </w:pPr>
      <w:r>
        <w:t>details of the disclosure;</w:t>
      </w:r>
    </w:p>
    <w:p w14:paraId="602676D5" w14:textId="4128F25C" w:rsidR="0008620B" w:rsidRDefault="0008620B" w:rsidP="0008620B">
      <w:pPr>
        <w:pStyle w:val="ListParagraph"/>
        <w:numPr>
          <w:ilvl w:val="0"/>
          <w:numId w:val="5"/>
        </w:numPr>
      </w:pPr>
      <w:r>
        <w:t>where the disclosure was received orally, a written record of that disclosure;</w:t>
      </w:r>
    </w:p>
    <w:p w14:paraId="03350180" w14:textId="4D85938C" w:rsidR="002F7D93" w:rsidRDefault="002F7D93" w:rsidP="008D1DE6">
      <w:pPr>
        <w:pStyle w:val="ListParagraph"/>
        <w:numPr>
          <w:ilvl w:val="0"/>
          <w:numId w:val="5"/>
        </w:numPr>
      </w:pPr>
      <w:r>
        <w:t>details about how and when the disclosure was made;</w:t>
      </w:r>
    </w:p>
    <w:p w14:paraId="305AD98A" w14:textId="278882FF" w:rsidR="002F7D93" w:rsidRDefault="00F206DB" w:rsidP="008D1DE6">
      <w:pPr>
        <w:pStyle w:val="ListParagraph"/>
        <w:numPr>
          <w:ilvl w:val="0"/>
          <w:numId w:val="5"/>
        </w:numPr>
      </w:pPr>
      <w:r>
        <w:t>any risk assessments made</w:t>
      </w:r>
      <w:r w:rsidR="005926A7">
        <w:t>;</w:t>
      </w:r>
    </w:p>
    <w:p w14:paraId="39736CA1" w14:textId="0A72173F" w:rsidR="00F206DB" w:rsidRDefault="00F206DB" w:rsidP="008D1DE6">
      <w:pPr>
        <w:pStyle w:val="ListParagraph"/>
        <w:numPr>
          <w:ilvl w:val="0"/>
          <w:numId w:val="5"/>
        </w:numPr>
      </w:pPr>
      <w:r>
        <w:t>any allegations of detrimental action raised by any party;</w:t>
      </w:r>
    </w:p>
    <w:p w14:paraId="39869462" w14:textId="19D308F3" w:rsidR="005926A7" w:rsidRDefault="005926A7" w:rsidP="008D1DE6">
      <w:pPr>
        <w:pStyle w:val="ListParagraph"/>
        <w:numPr>
          <w:ilvl w:val="0"/>
          <w:numId w:val="5"/>
        </w:numPr>
      </w:pPr>
      <w:r>
        <w:t xml:space="preserve">details of when the PID was received by the </w:t>
      </w:r>
      <w:r w:rsidR="005324ED">
        <w:t>investigating entity</w:t>
      </w:r>
      <w:r>
        <w:t xml:space="preserve"> from the Commission;</w:t>
      </w:r>
      <w:r w:rsidR="00354BBE">
        <w:t xml:space="preserve"> and</w:t>
      </w:r>
    </w:p>
    <w:p w14:paraId="4AA5791F" w14:textId="028F2F70" w:rsidR="005926A7" w:rsidRDefault="005926A7" w:rsidP="008D1DE6">
      <w:pPr>
        <w:pStyle w:val="ListParagraph"/>
        <w:numPr>
          <w:ilvl w:val="0"/>
          <w:numId w:val="5"/>
        </w:numPr>
      </w:pPr>
      <w:r>
        <w:t xml:space="preserve">details as </w:t>
      </w:r>
      <w:r w:rsidR="001360C1">
        <w:t xml:space="preserve">to </w:t>
      </w:r>
      <w:r>
        <w:t>the conduct of the investigation, and who conducted it</w:t>
      </w:r>
      <w:r w:rsidR="00354BBE">
        <w:t>.</w:t>
      </w:r>
    </w:p>
    <w:p w14:paraId="0EAFCD80" w14:textId="7B92272F" w:rsidR="005926A7" w:rsidRDefault="005926A7" w:rsidP="005926A7">
      <w:r>
        <w:t xml:space="preserve">The Commission also </w:t>
      </w:r>
      <w:r w:rsidRPr="001B44A9">
        <w:t>recommends</w:t>
      </w:r>
      <w:r>
        <w:t xml:space="preserve"> that </w:t>
      </w:r>
      <w:r w:rsidR="005324ED">
        <w:t>investigating entities</w:t>
      </w:r>
      <w:r>
        <w:t xml:space="preserve"> </w:t>
      </w:r>
      <w:r w:rsidR="00711638">
        <w:t>assign</w:t>
      </w:r>
      <w:r>
        <w:t xml:space="preserve"> all investigations and/or disclosures </w:t>
      </w:r>
      <w:r w:rsidR="00354BBE">
        <w:t>a unique</w:t>
      </w:r>
      <w:r w:rsidR="007532CF">
        <w:t xml:space="preserve"> </w:t>
      </w:r>
      <w:r w:rsidR="00354BBE">
        <w:t>reference number.</w:t>
      </w:r>
    </w:p>
    <w:p w14:paraId="31ECF0AA" w14:textId="5AE68E89" w:rsidR="00354BBE" w:rsidRPr="00354BBE" w:rsidRDefault="00354BBE" w:rsidP="005926A7">
      <w:r>
        <w:rPr>
          <w:b/>
          <w:bCs/>
        </w:rPr>
        <w:t>Note:</w:t>
      </w:r>
      <w:r>
        <w:t xml:space="preserve"> The Commission will provide </w:t>
      </w:r>
      <w:r w:rsidR="00711638">
        <w:t>its</w:t>
      </w:r>
      <w:r>
        <w:t xml:space="preserve"> own reference number when referring PIDs for investigation. </w:t>
      </w:r>
    </w:p>
    <w:p w14:paraId="55408166" w14:textId="6B615D95" w:rsidR="002A2B11" w:rsidRDefault="002A2B11" w:rsidP="007247D1">
      <w:pPr>
        <w:pStyle w:val="Heading2"/>
      </w:pPr>
      <w:bookmarkStart w:id="257" w:name="_Toc67904038"/>
      <w:bookmarkStart w:id="258" w:name="_Toc75255212"/>
      <w:r>
        <w:t>Can FOI applicants seek access to investigation reports?</w:t>
      </w:r>
      <w:bookmarkEnd w:id="257"/>
      <w:bookmarkEnd w:id="258"/>
    </w:p>
    <w:p w14:paraId="4A0C90F3" w14:textId="38E7DBEA" w:rsidR="00E57D8E" w:rsidRDefault="00E57D8E" w:rsidP="00354BBE">
      <w:r>
        <w:t>C</w:t>
      </w:r>
      <w:r w:rsidR="00354BBE">
        <w:t xml:space="preserve">ertain aspects of an </w:t>
      </w:r>
      <w:r w:rsidR="005324ED">
        <w:t>investigating entity’s</w:t>
      </w:r>
      <w:r w:rsidR="00354BBE">
        <w:t xml:space="preserve"> handling of PIDs </w:t>
      </w:r>
      <w:r w:rsidR="00354BBE" w:rsidRPr="00A72159">
        <w:t>may</w:t>
      </w:r>
      <w:r w:rsidR="00354BBE">
        <w:t xml:space="preserve"> be subject to </w:t>
      </w:r>
      <w:r w:rsidR="00901235">
        <w:t>FOI</w:t>
      </w:r>
      <w:r w:rsidR="00354BBE">
        <w:t xml:space="preserve"> requests under the </w:t>
      </w:r>
      <w:r w:rsidR="00354BBE">
        <w:rPr>
          <w:i/>
          <w:iCs/>
        </w:rPr>
        <w:t>Freedom of Information Act 2016</w:t>
      </w:r>
      <w:r w:rsidR="00711638">
        <w:t xml:space="preserve"> (‘</w:t>
      </w:r>
      <w:r w:rsidR="00711638">
        <w:rPr>
          <w:b/>
          <w:bCs/>
        </w:rPr>
        <w:t>FOI Act</w:t>
      </w:r>
      <w:r w:rsidR="00711638">
        <w:t>’)</w:t>
      </w:r>
      <w:r w:rsidR="00354BBE">
        <w:t>.</w:t>
      </w:r>
      <w:r>
        <w:t xml:space="preserve"> </w:t>
      </w:r>
      <w:r w:rsidR="00384894">
        <w:t xml:space="preserve">In deciding whether to release information under the </w:t>
      </w:r>
      <w:r w:rsidR="00711638">
        <w:t>FOI Act</w:t>
      </w:r>
      <w:r w:rsidR="005E7FBD">
        <w:t>,</w:t>
      </w:r>
      <w:r w:rsidR="00711638">
        <w:t xml:space="preserve"> </w:t>
      </w:r>
      <w:r w:rsidR="005324ED">
        <w:t>investigating entities</w:t>
      </w:r>
      <w:r w:rsidR="00384894">
        <w:t xml:space="preserve"> should follow established procedures for dealing with such requests, subject to the exceptions below.</w:t>
      </w:r>
    </w:p>
    <w:p w14:paraId="69009B3D" w14:textId="4F0302CC" w:rsidR="00E57D8E" w:rsidRDefault="00E57D8E" w:rsidP="00354BBE">
      <w:r>
        <w:rPr>
          <w:b/>
          <w:bCs/>
        </w:rPr>
        <w:t>Exception:</w:t>
      </w:r>
      <w:r>
        <w:t xml:space="preserve"> Section 1.9(a) of Schedule 1 of the </w:t>
      </w:r>
      <w:r w:rsidR="00711638">
        <w:t>FOI Act</w:t>
      </w:r>
      <w:r>
        <w:t xml:space="preserve"> deems information that would, or reasonably could, disclose the identity of a person who has made a PID as being not in the public interest to disclose</w:t>
      </w:r>
      <w:r w:rsidR="00AB3776">
        <w:t>.</w:t>
      </w:r>
      <w:r w:rsidR="005A3A58">
        <w:rPr>
          <w:rStyle w:val="FootnoteReference"/>
        </w:rPr>
        <w:footnoteReference w:id="146"/>
      </w:r>
      <w:r>
        <w:t xml:space="preserve"> Therefore, information which could or would identify a discloser </w:t>
      </w:r>
      <w:r w:rsidR="00A72159">
        <w:t>should</w:t>
      </w:r>
      <w:r>
        <w:t xml:space="preserve"> not be released.</w:t>
      </w:r>
    </w:p>
    <w:p w14:paraId="7A550CEF" w14:textId="7ED1B17D" w:rsidR="00E57D8E" w:rsidRDefault="00E57D8E" w:rsidP="00354BBE">
      <w:r>
        <w:rPr>
          <w:b/>
          <w:bCs/>
        </w:rPr>
        <w:lastRenderedPageBreak/>
        <w:t>Exception:</w:t>
      </w:r>
      <w:r>
        <w:t xml:space="preserve"> </w:t>
      </w:r>
      <w:r w:rsidR="00384894">
        <w:t>Disclosing</w:t>
      </w:r>
      <w:r>
        <w:t xml:space="preserve"> the identity of a discloser</w:t>
      </w:r>
      <w:r w:rsidR="00384894">
        <w:t xml:space="preserve"> (defined as protected information) may be</w:t>
      </w:r>
      <w:r>
        <w:t xml:space="preserve"> an offence under the PID Act</w:t>
      </w:r>
      <w:r w:rsidR="00384894">
        <w:t xml:space="preserve"> – regardless of whether it is in response to a </w:t>
      </w:r>
      <w:r w:rsidR="00A72159">
        <w:t>FOI Act</w:t>
      </w:r>
      <w:r w:rsidR="00384894">
        <w:t xml:space="preserve"> application.</w:t>
      </w:r>
      <w:r w:rsidR="00AB3776">
        <w:rPr>
          <w:rStyle w:val="FootnoteReference"/>
        </w:rPr>
        <w:footnoteReference w:id="147"/>
      </w:r>
      <w:r w:rsidR="0008620B">
        <w:t xml:space="preserve"> This is because, despite the PID Act making provision for the release of ‘protected information’ under ‘another Territory law’,</w:t>
      </w:r>
      <w:r w:rsidR="0008620B">
        <w:rPr>
          <w:rStyle w:val="FootnoteReference"/>
        </w:rPr>
        <w:footnoteReference w:id="148"/>
      </w:r>
      <w:r w:rsidR="0008620B">
        <w:t xml:space="preserve"> the FOI Act expressly provides (as described above) it </w:t>
      </w:r>
      <w:r w:rsidR="00EE7197">
        <w:t>is not in the</w:t>
      </w:r>
      <w:r w:rsidR="0008620B">
        <w:t xml:space="preserve"> public interest to disclose information </w:t>
      </w:r>
      <w:r w:rsidR="001360C1">
        <w:t>which</w:t>
      </w:r>
      <w:r w:rsidR="0008620B">
        <w:t xml:space="preserve"> could, or would, identify a discloser.</w:t>
      </w:r>
    </w:p>
    <w:p w14:paraId="3CDF9E9C" w14:textId="741DF507" w:rsidR="00384894" w:rsidRPr="00384894" w:rsidRDefault="00384894" w:rsidP="00354BBE">
      <w:r>
        <w:rPr>
          <w:b/>
          <w:bCs/>
        </w:rPr>
        <w:t xml:space="preserve">Important: </w:t>
      </w:r>
      <w:r>
        <w:t xml:space="preserve">Refer to </w:t>
      </w:r>
      <w:r w:rsidR="002E01D6" w:rsidRPr="002E01D6">
        <w:rPr>
          <w:b/>
          <w:bCs/>
        </w:rPr>
        <w:fldChar w:fldCharType="begin"/>
      </w:r>
      <w:r w:rsidR="002E01D6" w:rsidRPr="002E01D6">
        <w:rPr>
          <w:b/>
          <w:bCs/>
        </w:rPr>
        <w:instrText xml:space="preserve"> REF _Ref63241809 \h </w:instrText>
      </w:r>
      <w:r w:rsidR="002E01D6">
        <w:rPr>
          <w:b/>
          <w:bCs/>
        </w:rPr>
        <w:instrText xml:space="preserve"> \* MERGEFORMAT </w:instrText>
      </w:r>
      <w:r w:rsidR="002E01D6" w:rsidRPr="002E01D6">
        <w:rPr>
          <w:b/>
          <w:bCs/>
        </w:rPr>
      </w:r>
      <w:r w:rsidR="002E01D6" w:rsidRPr="002E01D6">
        <w:rPr>
          <w:b/>
          <w:bCs/>
        </w:rPr>
        <w:fldChar w:fldCharType="separate"/>
      </w:r>
      <w:r w:rsidR="00245E6D" w:rsidRPr="00245E6D">
        <w:rPr>
          <w:b/>
          <w:bCs/>
        </w:rPr>
        <w:t>The need to protect the identity of disclosers</w:t>
      </w:r>
      <w:r w:rsidR="002E01D6" w:rsidRPr="002E01D6">
        <w:rPr>
          <w:b/>
          <w:bCs/>
        </w:rPr>
        <w:fldChar w:fldCharType="end"/>
      </w:r>
      <w:r>
        <w:t xml:space="preserve"> for additional information.</w:t>
      </w:r>
    </w:p>
    <w:p w14:paraId="699622F9" w14:textId="1C391D92" w:rsidR="002A2B11" w:rsidRDefault="002A2B11" w:rsidP="007247D1">
      <w:pPr>
        <w:pStyle w:val="Heading2"/>
      </w:pPr>
      <w:bookmarkStart w:id="259" w:name="_Ref63236826"/>
      <w:bookmarkStart w:id="260" w:name="_Toc67904039"/>
      <w:bookmarkStart w:id="261" w:name="_Toc75255213"/>
      <w:r>
        <w:t>The need for entities to monitor PIDs and improve their administration</w:t>
      </w:r>
      <w:bookmarkEnd w:id="259"/>
      <w:bookmarkEnd w:id="260"/>
      <w:bookmarkEnd w:id="261"/>
    </w:p>
    <w:p w14:paraId="755349EA" w14:textId="3A5382A0" w:rsidR="001360C1" w:rsidRDefault="001360C1" w:rsidP="00B51690">
      <w:r>
        <w:t>Public sector</w:t>
      </w:r>
      <w:r w:rsidR="005324ED">
        <w:t xml:space="preserve"> entities</w:t>
      </w:r>
      <w:r w:rsidR="00B51690" w:rsidRPr="00B51690">
        <w:t xml:space="preserve"> should put in place an effective system for recording</w:t>
      </w:r>
      <w:r>
        <w:t>:</w:t>
      </w:r>
    </w:p>
    <w:p w14:paraId="72414DAA" w14:textId="0B48805A" w:rsidR="001360C1" w:rsidRDefault="00B51690" w:rsidP="001360C1">
      <w:pPr>
        <w:pStyle w:val="ListParagraph"/>
        <w:numPr>
          <w:ilvl w:val="0"/>
          <w:numId w:val="5"/>
        </w:numPr>
      </w:pPr>
      <w:r w:rsidRPr="00B51690">
        <w:t xml:space="preserve">the number and types of </w:t>
      </w:r>
      <w:r>
        <w:t>PIDs</w:t>
      </w:r>
      <w:r w:rsidR="00A72159">
        <w:t xml:space="preserve"> they receive</w:t>
      </w:r>
      <w:r w:rsidR="001360C1">
        <w:t>;</w:t>
      </w:r>
    </w:p>
    <w:p w14:paraId="18F621B2" w14:textId="77777777" w:rsidR="001360C1" w:rsidRDefault="00B51690" w:rsidP="001360C1">
      <w:pPr>
        <w:pStyle w:val="ListParagraph"/>
        <w:numPr>
          <w:ilvl w:val="0"/>
          <w:numId w:val="5"/>
        </w:numPr>
      </w:pPr>
      <w:r w:rsidRPr="00B51690">
        <w:t>the number of investigations</w:t>
      </w:r>
      <w:r w:rsidR="001360C1">
        <w:t xml:space="preserve"> conducted;</w:t>
      </w:r>
    </w:p>
    <w:p w14:paraId="4D320191" w14:textId="77777777" w:rsidR="001360C1" w:rsidRDefault="00B51690" w:rsidP="001360C1">
      <w:pPr>
        <w:pStyle w:val="ListParagraph"/>
        <w:numPr>
          <w:ilvl w:val="0"/>
          <w:numId w:val="5"/>
        </w:numPr>
      </w:pPr>
      <w:r w:rsidRPr="00B51690">
        <w:t>the outcomes (including action taken in response to investigation report findings and recommendations)</w:t>
      </w:r>
      <w:r w:rsidR="001360C1">
        <w:t>;</w:t>
      </w:r>
    </w:p>
    <w:p w14:paraId="532E7F08" w14:textId="77777777" w:rsidR="001360C1" w:rsidRDefault="00B51690" w:rsidP="001360C1">
      <w:pPr>
        <w:pStyle w:val="ListParagraph"/>
        <w:numPr>
          <w:ilvl w:val="0"/>
          <w:numId w:val="5"/>
        </w:numPr>
      </w:pPr>
      <w:r w:rsidRPr="00B51690">
        <w:t>details of any support provided to a discloser</w:t>
      </w:r>
      <w:r w:rsidR="001360C1">
        <w:t>;</w:t>
      </w:r>
      <w:r w:rsidRPr="00B51690">
        <w:t xml:space="preserve"> and</w:t>
      </w:r>
    </w:p>
    <w:p w14:paraId="3EDEA5FD" w14:textId="39CC27CE" w:rsidR="00B51690" w:rsidRDefault="00B51690" w:rsidP="001360C1">
      <w:pPr>
        <w:pStyle w:val="ListParagraph"/>
        <w:numPr>
          <w:ilvl w:val="0"/>
          <w:numId w:val="5"/>
        </w:numPr>
      </w:pPr>
      <w:r w:rsidRPr="00B51690">
        <w:t xml:space="preserve">allegations of </w:t>
      </w:r>
      <w:r w:rsidR="00D935B4">
        <w:t>detrimental action</w:t>
      </w:r>
      <w:r w:rsidRPr="00B51690">
        <w:t xml:space="preserve">. </w:t>
      </w:r>
    </w:p>
    <w:p w14:paraId="5C5DDA3A" w14:textId="5E565BAD" w:rsidR="00B51690" w:rsidRDefault="00B51690" w:rsidP="00B51690">
      <w:r w:rsidRPr="00B51690">
        <w:t>Capturing data about instances where a person has disclosed information</w:t>
      </w:r>
      <w:r w:rsidR="00A72159">
        <w:t xml:space="preserve"> falling short of the PID criteria will</w:t>
      </w:r>
      <w:r w:rsidRPr="00B51690">
        <w:t xml:space="preserve"> also assist </w:t>
      </w:r>
      <w:r w:rsidR="001360C1">
        <w:t>public sector</w:t>
      </w:r>
      <w:r w:rsidR="005324ED">
        <w:t xml:space="preserve"> entities</w:t>
      </w:r>
      <w:r w:rsidRPr="00B51690">
        <w:t xml:space="preserve"> to measure the extent of PID activity</w:t>
      </w:r>
      <w:r>
        <w:t xml:space="preserve"> within their entity.</w:t>
      </w:r>
    </w:p>
    <w:p w14:paraId="5F3F88A3" w14:textId="1D3E1583" w:rsidR="00B51690" w:rsidRDefault="00B51690" w:rsidP="00B51690">
      <w:r>
        <w:t xml:space="preserve">Much of this information will be needed to satisfy the </w:t>
      </w:r>
      <w:r w:rsidR="001360C1">
        <w:t>public sector</w:t>
      </w:r>
      <w:r w:rsidR="005324ED">
        <w:t xml:space="preserve"> entity’s</w:t>
      </w:r>
      <w:r>
        <w:t xml:space="preserve"> obligation to provide information to the Commission for </w:t>
      </w:r>
      <w:r w:rsidR="00FE44F6">
        <w:t>its</w:t>
      </w:r>
      <w:r>
        <w:t xml:space="preserve"> annual report on the operation of the PID Act (see </w:t>
      </w:r>
      <w:r w:rsidR="002E01D6" w:rsidRPr="002E01D6">
        <w:rPr>
          <w:b/>
          <w:bCs/>
        </w:rPr>
        <w:fldChar w:fldCharType="begin"/>
      </w:r>
      <w:r w:rsidR="002E01D6" w:rsidRPr="002E01D6">
        <w:rPr>
          <w:b/>
          <w:bCs/>
        </w:rPr>
        <w:instrText xml:space="preserve"> REF _Ref63242615 \h </w:instrText>
      </w:r>
      <w:r w:rsidR="002E01D6">
        <w:rPr>
          <w:b/>
          <w:bCs/>
        </w:rPr>
        <w:instrText xml:space="preserve"> \* MERGEFORMAT </w:instrText>
      </w:r>
      <w:r w:rsidR="002E01D6" w:rsidRPr="002E01D6">
        <w:rPr>
          <w:b/>
          <w:bCs/>
        </w:rPr>
      </w:r>
      <w:r w:rsidR="002E01D6" w:rsidRPr="002E01D6">
        <w:rPr>
          <w:b/>
          <w:bCs/>
        </w:rPr>
        <w:fldChar w:fldCharType="separate"/>
      </w:r>
      <w:r w:rsidR="00245E6D" w:rsidRPr="00245E6D">
        <w:rPr>
          <w:b/>
          <w:bCs/>
        </w:rPr>
        <w:t>Notifying the Commission</w:t>
      </w:r>
      <w:r w:rsidR="002E01D6" w:rsidRPr="002E01D6">
        <w:rPr>
          <w:b/>
          <w:bCs/>
        </w:rPr>
        <w:fldChar w:fldCharType="end"/>
      </w:r>
      <w:r>
        <w:t>). It</w:t>
      </w:r>
      <w:r w:rsidR="007532CF">
        <w:t xml:space="preserve"> </w:t>
      </w:r>
      <w:r>
        <w:t xml:space="preserve">will also help </w:t>
      </w:r>
      <w:r w:rsidR="005324ED">
        <w:t>investigating entities</w:t>
      </w:r>
      <w:r>
        <w:t xml:space="preserve"> to evaluate the effectiveness of their procedures and identify any systemic issues.</w:t>
      </w:r>
    </w:p>
    <w:p w14:paraId="75B06C63" w14:textId="36FB65BA" w:rsidR="00A72159" w:rsidRPr="00455D13" w:rsidRDefault="00A72159" w:rsidP="00B51690">
      <w:r>
        <w:rPr>
          <w:b/>
          <w:bCs/>
        </w:rPr>
        <w:t>Important</w:t>
      </w:r>
      <w:r>
        <w:t xml:space="preserve">: </w:t>
      </w:r>
      <w:r w:rsidR="001360C1">
        <w:t>Public sector</w:t>
      </w:r>
      <w:r w:rsidR="005324ED">
        <w:t xml:space="preserve"> entities</w:t>
      </w:r>
      <w:r>
        <w:t xml:space="preserve"> are not required to notify the Commission of disclosures which do not amount to disclosable conduc</w:t>
      </w:r>
      <w:r w:rsidR="00455D13">
        <w:t xml:space="preserve">t unless, of course, they are mandatory disclosures under the </w:t>
      </w:r>
      <w:r w:rsidR="00FE44F6">
        <w:t>IC Act</w:t>
      </w:r>
      <w:r w:rsidR="00455D13">
        <w:t>.</w:t>
      </w:r>
      <w:r w:rsidR="00455D13">
        <w:rPr>
          <w:rStyle w:val="FootnoteReference"/>
        </w:rPr>
        <w:footnoteReference w:id="149"/>
      </w:r>
    </w:p>
    <w:p w14:paraId="3A4FA608" w14:textId="7A40116A" w:rsidR="00B51690" w:rsidRPr="00B51690" w:rsidRDefault="00B51690" w:rsidP="00B51690">
      <w:r>
        <w:t xml:space="preserve">The </w:t>
      </w:r>
      <w:r w:rsidR="001360C1">
        <w:t>public sector</w:t>
      </w:r>
      <w:r w:rsidR="005324ED">
        <w:t xml:space="preserve"> entity</w:t>
      </w:r>
      <w:r>
        <w:t xml:space="preserve"> may also wish to monitor the resources (financial and human) allocated to handling PIDs, particularly in complex investigations. Once the procedures have been in place for some time, it may also be useful to survey staff about their awareness of, and trust in, the procedures, and the attitude of managers to the </w:t>
      </w:r>
      <w:r w:rsidR="001360C1">
        <w:t>public sector</w:t>
      </w:r>
      <w:r w:rsidR="005324ED">
        <w:t xml:space="preserve"> entity’s</w:t>
      </w:r>
      <w:r>
        <w:t xml:space="preserve"> process</w:t>
      </w:r>
      <w:r w:rsidR="001360C1">
        <w:t>es</w:t>
      </w:r>
      <w:r>
        <w:t>, so that improvements can be made.</w:t>
      </w:r>
      <w:r w:rsidR="00D935B4">
        <w:rPr>
          <w:rStyle w:val="FootnoteReference"/>
        </w:rPr>
        <w:footnoteReference w:id="150"/>
      </w:r>
    </w:p>
    <w:p w14:paraId="57D18232" w14:textId="77777777" w:rsidR="009F1984" w:rsidRDefault="009F1984" w:rsidP="007247D1">
      <w:pPr>
        <w:pStyle w:val="Heading1"/>
        <w:sectPr w:rsidR="009F1984" w:rsidSect="00240DCD">
          <w:pgSz w:w="11906" w:h="16838"/>
          <w:pgMar w:top="1440" w:right="1440" w:bottom="1440" w:left="1440" w:header="708" w:footer="708" w:gutter="0"/>
          <w:cols w:space="708"/>
          <w:titlePg/>
          <w:docGrid w:linePitch="360"/>
        </w:sectPr>
      </w:pPr>
    </w:p>
    <w:p w14:paraId="25BD135F" w14:textId="7BCF9363" w:rsidR="002A2B11" w:rsidRDefault="00586A01" w:rsidP="007247D1">
      <w:pPr>
        <w:pStyle w:val="Heading1"/>
      </w:pPr>
      <w:bookmarkStart w:id="262" w:name="_Ref64276565"/>
      <w:bookmarkStart w:id="263" w:name="_Toc67904040"/>
      <w:bookmarkStart w:id="264" w:name="_Toc75255214"/>
      <w:r>
        <w:lastRenderedPageBreak/>
        <w:t>Risk assessments</w:t>
      </w:r>
      <w:r w:rsidR="004178CF">
        <w:t xml:space="preserve">, practical support and preventing </w:t>
      </w:r>
      <w:bookmarkEnd w:id="262"/>
      <w:bookmarkEnd w:id="263"/>
      <w:bookmarkEnd w:id="264"/>
      <w:r w:rsidR="0028046B">
        <w:t>detriment</w:t>
      </w:r>
    </w:p>
    <w:p w14:paraId="762DCE79" w14:textId="03FC6295" w:rsidR="00633360" w:rsidRDefault="00633360" w:rsidP="003E5967">
      <w:r>
        <w:t xml:space="preserve">A key, arguably the principal, purpose of the PID Act is to ensure that those who make disclosures do not suffer </w:t>
      </w:r>
      <w:r w:rsidR="00035CC8">
        <w:t>detrimental action</w:t>
      </w:r>
      <w:r>
        <w:t>.</w:t>
      </w:r>
    </w:p>
    <w:p w14:paraId="160BED6C" w14:textId="2662357D" w:rsidR="00E70B4E" w:rsidRDefault="00633360" w:rsidP="00B47522">
      <w:r>
        <w:t xml:space="preserve">The protections for disclosers (and witnesses) are expressly provided for </w:t>
      </w:r>
      <w:r w:rsidR="00035CC8">
        <w:t>by</w:t>
      </w:r>
      <w:r>
        <w:t xml:space="preserve"> the PID Act</w:t>
      </w:r>
      <w:r w:rsidR="00035CC8">
        <w:t xml:space="preserve"> and</w:t>
      </w:r>
      <w:r>
        <w:t xml:space="preserve"> </w:t>
      </w:r>
      <w:r w:rsidR="00CF204B">
        <w:t xml:space="preserve">were </w:t>
      </w:r>
      <w:r>
        <w:t xml:space="preserve">discussed </w:t>
      </w:r>
      <w:r w:rsidR="00CF204B">
        <w:t xml:space="preserve">previously </w:t>
      </w:r>
      <w:r>
        <w:t>in these guidelines</w:t>
      </w:r>
      <w:r w:rsidR="00FE44F6">
        <w:t xml:space="preserve"> (see </w:t>
      </w:r>
      <w:r w:rsidR="00FE44F6" w:rsidRPr="00FE44F6">
        <w:rPr>
          <w:b/>
          <w:bCs/>
        </w:rPr>
        <w:fldChar w:fldCharType="begin"/>
      </w:r>
      <w:r w:rsidR="00FE44F6" w:rsidRPr="00FE44F6">
        <w:rPr>
          <w:b/>
          <w:bCs/>
        </w:rPr>
        <w:instrText xml:space="preserve"> REF _Ref73525266 \h </w:instrText>
      </w:r>
      <w:r w:rsidR="00FE44F6">
        <w:rPr>
          <w:b/>
          <w:bCs/>
        </w:rPr>
        <w:instrText xml:space="preserve"> \* MERGEFORMAT </w:instrText>
      </w:r>
      <w:r w:rsidR="00FE44F6" w:rsidRPr="00FE44F6">
        <w:rPr>
          <w:b/>
          <w:bCs/>
        </w:rPr>
      </w:r>
      <w:r w:rsidR="00FE44F6" w:rsidRPr="00FE44F6">
        <w:rPr>
          <w:b/>
          <w:bCs/>
        </w:rPr>
        <w:fldChar w:fldCharType="separate"/>
      </w:r>
      <w:r w:rsidR="00245E6D" w:rsidRPr="00245E6D">
        <w:rPr>
          <w:b/>
          <w:bCs/>
        </w:rPr>
        <w:t>What protections do PID disclosers get?</w:t>
      </w:r>
      <w:r w:rsidR="00FE44F6" w:rsidRPr="00FE44F6">
        <w:rPr>
          <w:b/>
          <w:bCs/>
        </w:rPr>
        <w:fldChar w:fldCharType="end"/>
      </w:r>
      <w:r w:rsidR="00FE44F6">
        <w:t xml:space="preserve"> and </w:t>
      </w:r>
      <w:r w:rsidR="00FE44F6" w:rsidRPr="00FE44F6">
        <w:rPr>
          <w:b/>
          <w:bCs/>
        </w:rPr>
        <w:fldChar w:fldCharType="begin"/>
      </w:r>
      <w:r w:rsidR="00FE44F6" w:rsidRPr="00FE44F6">
        <w:rPr>
          <w:b/>
          <w:bCs/>
        </w:rPr>
        <w:instrText xml:space="preserve"> REF _Ref73525304 \h </w:instrText>
      </w:r>
      <w:r w:rsidR="00FE44F6">
        <w:rPr>
          <w:b/>
          <w:bCs/>
        </w:rPr>
        <w:instrText xml:space="preserve"> \* MERGEFORMAT </w:instrText>
      </w:r>
      <w:r w:rsidR="00FE44F6" w:rsidRPr="00FE44F6">
        <w:rPr>
          <w:b/>
          <w:bCs/>
        </w:rPr>
      </w:r>
      <w:r w:rsidR="00FE44F6" w:rsidRPr="00FE44F6">
        <w:rPr>
          <w:b/>
          <w:bCs/>
        </w:rPr>
        <w:fldChar w:fldCharType="separate"/>
      </w:r>
      <w:r w:rsidR="00245E6D" w:rsidRPr="00245E6D">
        <w:rPr>
          <w:b/>
          <w:bCs/>
        </w:rPr>
        <w:t>Protection for witnesses</w:t>
      </w:r>
      <w:r w:rsidR="00FE44F6" w:rsidRPr="00FE44F6">
        <w:rPr>
          <w:b/>
          <w:bCs/>
        </w:rPr>
        <w:fldChar w:fldCharType="end"/>
      </w:r>
      <w:r w:rsidR="00FE44F6">
        <w:t>)</w:t>
      </w:r>
      <w:r>
        <w:t xml:space="preserve">. </w:t>
      </w:r>
      <w:r w:rsidR="006D4425">
        <w:t xml:space="preserve">Respondents too, while not receiving any </w:t>
      </w:r>
      <w:r w:rsidR="00035CC8">
        <w:t xml:space="preserve">specific </w:t>
      </w:r>
      <w:r w:rsidR="006D4425">
        <w:t>PID Act protections, should</w:t>
      </w:r>
      <w:r w:rsidR="007023D5">
        <w:t xml:space="preserve"> be treated with all due respect and should not suffer detriment which is disproportionate or unwarranted in response to a PID.</w:t>
      </w:r>
      <w:r w:rsidR="006D4425">
        <w:t xml:space="preserve"> </w:t>
      </w:r>
    </w:p>
    <w:p w14:paraId="577CEF40" w14:textId="55D0C599" w:rsidR="00B47522" w:rsidRPr="002F6789" w:rsidRDefault="00B47522" w:rsidP="00B47522">
      <w:r>
        <w:t>In all cases, the most effective way to deal with the detrimental effects which may apply to those who make, assist or respond to disclosures that qualify as PIDs is to make a risk assessment</w:t>
      </w:r>
      <w:r w:rsidR="00035CC8">
        <w:t>. Risk assessments</w:t>
      </w:r>
      <w:r>
        <w:t xml:space="preserve"> take account</w:t>
      </w:r>
      <w:r w:rsidR="00035CC8">
        <w:t xml:space="preserve"> of</w:t>
      </w:r>
      <w:r>
        <w:t xml:space="preserve"> the specific behaviour and circumstances that may constitute or result in detriment. Further, an accurate and objective risk assessment </w:t>
      </w:r>
      <w:r w:rsidR="00035CC8">
        <w:t>enables</w:t>
      </w:r>
      <w:r>
        <w:t xml:space="preserve"> the investigating entity to put suitable strategies in place to control </w:t>
      </w:r>
      <w:r w:rsidR="00035CC8">
        <w:t>identified</w:t>
      </w:r>
      <w:r>
        <w:t xml:space="preserve"> risks and defend itself against allegations of having failed those who may suffer detriment.</w:t>
      </w:r>
      <w:r>
        <w:rPr>
          <w:rStyle w:val="FootnoteReference"/>
        </w:rPr>
        <w:footnoteReference w:id="151"/>
      </w:r>
      <w:r>
        <w:t xml:space="preserve"> </w:t>
      </w:r>
    </w:p>
    <w:p w14:paraId="6F96E30B" w14:textId="46B200E2" w:rsidR="007023D5" w:rsidRDefault="007023D5" w:rsidP="007023D5">
      <w:r>
        <w:t xml:space="preserve">As such, public sector entities </w:t>
      </w:r>
      <w:r w:rsidR="00E70B4E">
        <w:t>should</w:t>
      </w:r>
      <w:r>
        <w:t xml:space="preserve"> have procedures and processes that:</w:t>
      </w:r>
    </w:p>
    <w:p w14:paraId="0A911110" w14:textId="77777777" w:rsidR="007023D5" w:rsidRDefault="007023D5" w:rsidP="007023D5">
      <w:pPr>
        <w:pStyle w:val="ListParagraph"/>
        <w:numPr>
          <w:ilvl w:val="0"/>
          <w:numId w:val="5"/>
        </w:numPr>
      </w:pPr>
      <w:r>
        <w:t>assess and manage the risk of detrimental action being taken against disclosers;</w:t>
      </w:r>
    </w:p>
    <w:p w14:paraId="7A485439" w14:textId="77777777" w:rsidR="007023D5" w:rsidRDefault="007023D5" w:rsidP="007023D5">
      <w:pPr>
        <w:pStyle w:val="ListParagraph"/>
        <w:numPr>
          <w:ilvl w:val="0"/>
          <w:numId w:val="5"/>
        </w:numPr>
      </w:pPr>
      <w:r>
        <w:t xml:space="preserve">support witnesses who may assist investigations of disclosable conduct; and </w:t>
      </w:r>
    </w:p>
    <w:p w14:paraId="43D3FE80" w14:textId="1D2106A2" w:rsidR="007023D5" w:rsidRDefault="007023D5" w:rsidP="007023D5">
      <w:pPr>
        <w:pStyle w:val="ListParagraph"/>
        <w:numPr>
          <w:ilvl w:val="0"/>
          <w:numId w:val="5"/>
        </w:numPr>
      </w:pPr>
      <w:r>
        <w:t>ensure that respondents do not suffer undue detriment (that is, detriment which is not related, or proportionate, to any wrongdoing committed by the respondent).</w:t>
      </w:r>
    </w:p>
    <w:p w14:paraId="4E220D9C" w14:textId="1894280B" w:rsidR="008A0586" w:rsidRDefault="008A0586" w:rsidP="008A0586">
      <w:r>
        <w:t>The following sections outline recommended approaches in dealing with the above. In the main, this guidance is drafted in respect of protecting disclosers against detrimental action.</w:t>
      </w:r>
      <w:r>
        <w:rPr>
          <w:rStyle w:val="FootnoteReference"/>
        </w:rPr>
        <w:footnoteReference w:id="152"/>
      </w:r>
      <w:r>
        <w:t xml:space="preserve"> However, the concepts and suggestions below (adapted significantly from the approach recommended by the Commonwealth Ombudsman) may be applied to others who may suffer detriment (ie conduct which is not detrimental action within the meaning of the PID Act but nevertheless may result in undue harm to a person). For example, the process of making a risk assessment concerning the risk of detrimental action being taken against a discloser </w:t>
      </w:r>
      <w:r w:rsidR="00D20158">
        <w:t>can often be used</w:t>
      </w:r>
      <w:r>
        <w:t xml:space="preserve"> to assess the risk of reprisal being taken against a witness who assists an investigation.</w:t>
      </w:r>
    </w:p>
    <w:p w14:paraId="46915B6B" w14:textId="199FAB84" w:rsidR="00CF204B" w:rsidRPr="00CF204B" w:rsidRDefault="00CF204B" w:rsidP="008A0586">
      <w:r>
        <w:rPr>
          <w:b/>
          <w:bCs/>
        </w:rPr>
        <w:t>Important:</w:t>
      </w:r>
      <w:r>
        <w:t xml:space="preserve"> </w:t>
      </w:r>
      <w:r w:rsidR="00D20158">
        <w:t>R</w:t>
      </w:r>
      <w:r>
        <w:t>esponding to the wrongdoing of a respondent is</w:t>
      </w:r>
      <w:r w:rsidR="00D20158">
        <w:t>, for obvious reasons,</w:t>
      </w:r>
      <w:r>
        <w:t xml:space="preserve"> not </w:t>
      </w:r>
      <w:r w:rsidR="00D20158">
        <w:t>a relevant</w:t>
      </w:r>
      <w:r>
        <w:t xml:space="preserve"> detriment. </w:t>
      </w:r>
    </w:p>
    <w:p w14:paraId="171D76D6" w14:textId="31AE15D2" w:rsidR="00E70B4E" w:rsidRDefault="00E70B4E" w:rsidP="007247D1">
      <w:pPr>
        <w:pStyle w:val="Heading2"/>
      </w:pPr>
      <w:bookmarkStart w:id="265" w:name="_Toc67904047"/>
      <w:bookmarkStart w:id="266" w:name="_Toc75255215"/>
      <w:r>
        <w:t>Risk assessment</w:t>
      </w:r>
      <w:bookmarkEnd w:id="265"/>
      <w:r w:rsidR="001440B9">
        <w:t>s and disclosers</w:t>
      </w:r>
      <w:bookmarkEnd w:id="266"/>
    </w:p>
    <w:p w14:paraId="6064C010" w14:textId="79B0AECA" w:rsidR="00E70B4E" w:rsidRDefault="00E70B4E" w:rsidP="00CF204B">
      <w:r>
        <w:t xml:space="preserve">The PID Act does not require a public sector entity to have any formal risk assessment processes, templates or similar – its obligations are to ensure that any risks associated with detrimental action (conduct directed toward a discloser) are effectively managed. </w:t>
      </w:r>
    </w:p>
    <w:p w14:paraId="14291B3A" w14:textId="0AA7F47A" w:rsidR="00E70B4E" w:rsidRDefault="001360C1" w:rsidP="00CF204B">
      <w:r>
        <w:t>Public sector</w:t>
      </w:r>
      <w:r w:rsidR="00E70B4E">
        <w:t xml:space="preserve"> entities may already have in place a risk assessment framework (sometimes referred to as a risk assessment matrix or similar). A basic example which may be adapted is available at </w:t>
      </w:r>
      <w:r w:rsidR="00FE44F6" w:rsidRPr="00FE44F6">
        <w:rPr>
          <w:b/>
          <w:bCs/>
        </w:rPr>
        <w:fldChar w:fldCharType="begin"/>
      </w:r>
      <w:r w:rsidR="00FE44F6" w:rsidRPr="00FE44F6">
        <w:rPr>
          <w:b/>
          <w:bCs/>
        </w:rPr>
        <w:instrText xml:space="preserve"> REF _Ref64982595 \h  \* MERGEFORMAT </w:instrText>
      </w:r>
      <w:r w:rsidR="00FE44F6" w:rsidRPr="00FE44F6">
        <w:rPr>
          <w:b/>
          <w:bCs/>
        </w:rPr>
      </w:r>
      <w:r w:rsidR="00FE44F6" w:rsidRPr="00FE44F6">
        <w:rPr>
          <w:b/>
          <w:bCs/>
        </w:rPr>
        <w:fldChar w:fldCharType="separate"/>
      </w:r>
      <w:r w:rsidR="00245E6D" w:rsidRPr="00245E6D">
        <w:rPr>
          <w:b/>
          <w:bCs/>
        </w:rPr>
        <w:t>Appendix B: Risk Reprisal Management Plan Template</w:t>
      </w:r>
      <w:r w:rsidR="00FE44F6" w:rsidRPr="00FE44F6">
        <w:rPr>
          <w:b/>
          <w:bCs/>
        </w:rPr>
        <w:fldChar w:fldCharType="end"/>
      </w:r>
      <w:r w:rsidR="00E70B4E">
        <w:t xml:space="preserve">. These typically employ likelihood and significance axes, which produce a standardised and objective measure of the relative risk of a given activity. Such tools can be readily adapted or used by investigating entities to manage the risk of detrimental action occurring to the discloser. </w:t>
      </w:r>
    </w:p>
    <w:p w14:paraId="2418DC59" w14:textId="68CA0863" w:rsidR="002E01D6" w:rsidRDefault="002E01D6" w:rsidP="00CF204B"/>
    <w:p w14:paraId="29B0B7CD" w14:textId="77777777" w:rsidR="002E01D6" w:rsidRDefault="002E01D6" w:rsidP="00CF204B"/>
    <w:p w14:paraId="08064BC0" w14:textId="04C1AD0A" w:rsidR="00E70B4E" w:rsidRDefault="00CF204B" w:rsidP="00CF204B">
      <w:r>
        <w:lastRenderedPageBreak/>
        <w:t xml:space="preserve">The Commonwealth Ombudsman provides a </w:t>
      </w:r>
      <w:r w:rsidR="001360C1">
        <w:t>four-step</w:t>
      </w:r>
      <w:r>
        <w:t xml:space="preserve"> approach to assess the risks that disclosers may face:</w:t>
      </w:r>
      <w:r w:rsidR="00E70B4E">
        <w:rPr>
          <w:rStyle w:val="FootnoteReference"/>
        </w:rPr>
        <w:footnoteReference w:id="153"/>
      </w:r>
      <w:r w:rsidR="00E70B4E">
        <w:t xml:space="preserve"> </w:t>
      </w:r>
    </w:p>
    <w:p w14:paraId="7494C9C2" w14:textId="77777777" w:rsidR="00E70B4E" w:rsidRDefault="00E70B4E" w:rsidP="00CF204B">
      <w:pPr>
        <w:pStyle w:val="ListParagraph"/>
        <w:numPr>
          <w:ilvl w:val="0"/>
          <w:numId w:val="5"/>
        </w:numPr>
      </w:pPr>
      <w:r>
        <w:t>Identifying risks – are there reprisals or related workplace conflict problems in the workplace, or do they have the potential to be problems?</w:t>
      </w:r>
    </w:p>
    <w:p w14:paraId="0B0CFC7C" w14:textId="77777777" w:rsidR="00E70B4E" w:rsidRDefault="00E70B4E" w:rsidP="00CF204B">
      <w:pPr>
        <w:pStyle w:val="ListParagraph"/>
        <w:numPr>
          <w:ilvl w:val="0"/>
          <w:numId w:val="5"/>
        </w:numPr>
      </w:pPr>
      <w:r>
        <w:t>Assessing risks – what is the likelihood and consequence of detrimental action or related workplace conflict?</w:t>
      </w:r>
    </w:p>
    <w:p w14:paraId="0C3ECED5" w14:textId="77777777" w:rsidR="00E70B4E" w:rsidRDefault="00E70B4E" w:rsidP="00CF204B">
      <w:pPr>
        <w:pStyle w:val="ListParagraph"/>
        <w:numPr>
          <w:ilvl w:val="0"/>
          <w:numId w:val="5"/>
        </w:numPr>
      </w:pPr>
      <w:r>
        <w:t>Controlling risks – what strategies should be put in place to prevent or contain detrimental action or related workplace conflict?</w:t>
      </w:r>
    </w:p>
    <w:p w14:paraId="6091742E" w14:textId="77777777" w:rsidR="00E70B4E" w:rsidRDefault="00E70B4E" w:rsidP="00CF204B">
      <w:pPr>
        <w:pStyle w:val="ListParagraph"/>
        <w:numPr>
          <w:ilvl w:val="0"/>
          <w:numId w:val="5"/>
        </w:numPr>
      </w:pPr>
      <w:r>
        <w:t>Monitoring and reviewing risks – have the strategies been implemented and were they effective?</w:t>
      </w:r>
    </w:p>
    <w:p w14:paraId="4722E865" w14:textId="637D9FD4" w:rsidR="00E70B4E" w:rsidRDefault="00E70B4E" w:rsidP="00CF204B">
      <w:r w:rsidRPr="005A2786">
        <w:rPr>
          <w:b/>
          <w:bCs/>
        </w:rPr>
        <w:t>Important</w:t>
      </w:r>
      <w:r w:rsidRPr="005A2786">
        <w:t xml:space="preserve">: This guidance was developed in the context of the </w:t>
      </w:r>
      <w:r w:rsidRPr="005A2786">
        <w:rPr>
          <w:i/>
          <w:iCs/>
        </w:rPr>
        <w:t xml:space="preserve">Public Interest Disclosure Act 2013 </w:t>
      </w:r>
      <w:r w:rsidRPr="005A2786">
        <w:t xml:space="preserve">(Cth) </w:t>
      </w:r>
      <w:r>
        <w:t>under</w:t>
      </w:r>
      <w:r w:rsidRPr="005A2786">
        <w:t xml:space="preserve"> which disclosures may only be made by public officials. As such, its focus is principally on risks which arise in an employment related context (ie detriment which attaches to the discloser's status as an employee). The PID Act is not so limited, and where applicable, consideration will need to be given to assessing risks to individuals who do not have any employment or contractual nexus with a public sector entity</w:t>
      </w:r>
      <w:r w:rsidR="00BE1D42">
        <w:t>.</w:t>
      </w:r>
    </w:p>
    <w:p w14:paraId="2F2D8289" w14:textId="1B475942" w:rsidR="00B47522" w:rsidRPr="00B47522" w:rsidRDefault="001440B9" w:rsidP="00CF204B">
      <w:r>
        <w:rPr>
          <w:b/>
          <w:bCs/>
        </w:rPr>
        <w:t>Note</w:t>
      </w:r>
      <w:r w:rsidR="00B47522">
        <w:rPr>
          <w:b/>
          <w:bCs/>
        </w:rPr>
        <w:t>:</w:t>
      </w:r>
      <w:r w:rsidR="00B47522">
        <w:t xml:space="preserve"> While the below refers to risks which relate to detrimental action being taken against a discloser, the concepts and strategies can easily be made use of in the context of others (eg witnesses or respondents).</w:t>
      </w:r>
    </w:p>
    <w:p w14:paraId="213A42CF" w14:textId="77777777" w:rsidR="00E70B4E" w:rsidRDefault="00E70B4E" w:rsidP="00CF204B">
      <w:pPr>
        <w:pStyle w:val="Heading3"/>
      </w:pPr>
      <w:bookmarkStart w:id="267" w:name="_Toc75255216"/>
      <w:r>
        <w:t>Identifying risks</w:t>
      </w:r>
      <w:bookmarkEnd w:id="267"/>
    </w:p>
    <w:p w14:paraId="1A28FA36" w14:textId="5F54425D" w:rsidR="00BE1D42" w:rsidRDefault="00AB6139" w:rsidP="00B97CBB">
      <w:r>
        <w:t>A</w:t>
      </w:r>
      <w:r w:rsidRPr="0034233E">
        <w:t xml:space="preserve"> risk assessment should be completed as soon as possible after a </w:t>
      </w:r>
      <w:r>
        <w:t>PID</w:t>
      </w:r>
      <w:r w:rsidRPr="0034233E">
        <w:t xml:space="preserve"> is received</w:t>
      </w:r>
      <w:r>
        <w:t xml:space="preserve"> from the Commission</w:t>
      </w:r>
      <w:r w:rsidRPr="0034233E">
        <w:t>.</w:t>
      </w:r>
      <w:r>
        <w:rPr>
          <w:rStyle w:val="FootnoteReference"/>
        </w:rPr>
        <w:footnoteReference w:id="154"/>
      </w:r>
      <w:r w:rsidR="007B4793">
        <w:t xml:space="preserve"> The protections to which the discloser is entitled begin from the day of the disclosure. </w:t>
      </w:r>
      <w:r w:rsidR="00B97CBB">
        <w:t>Investigating entities therefore should implement measures to guard against the risk of</w:t>
      </w:r>
      <w:r w:rsidR="007B4793">
        <w:t xml:space="preserve"> detrimental action </w:t>
      </w:r>
      <w:r w:rsidR="00B97CBB">
        <w:t xml:space="preserve">being taken against the discloser </w:t>
      </w:r>
      <w:r w:rsidR="007B4793">
        <w:t xml:space="preserve">from that date. While it </w:t>
      </w:r>
      <w:r w:rsidR="00B97CBB">
        <w:t>may be</w:t>
      </w:r>
      <w:r w:rsidR="007B4793">
        <w:t xml:space="preserve"> impossible to take </w:t>
      </w:r>
      <w:r w:rsidR="00B97CBB">
        <w:t xml:space="preserve">specific </w:t>
      </w:r>
      <w:r w:rsidR="007B4793">
        <w:t xml:space="preserve">proactive measures </w:t>
      </w:r>
      <w:r w:rsidR="00B97CBB">
        <w:t>prior to becoming aware of the PID (ie prior to receiving it from the Commission), it is prudent that investigating entities act promptly to protect the discloser</w:t>
      </w:r>
      <w:r w:rsidR="00D20158">
        <w:t xml:space="preserve"> from the outset against the possibility that the </w:t>
      </w:r>
      <w:r w:rsidR="009B431B">
        <w:t>disclosure</w:t>
      </w:r>
      <w:r w:rsidR="00D20158">
        <w:t xml:space="preserve"> will be determined to be a PID</w:t>
      </w:r>
      <w:r w:rsidR="00B97CBB">
        <w:t xml:space="preserve">. </w:t>
      </w:r>
    </w:p>
    <w:p w14:paraId="1BEB9AAD" w14:textId="656977E2" w:rsidR="00B97CBB" w:rsidRPr="00707BEC" w:rsidRDefault="00B97CBB" w:rsidP="00B97CBB">
      <w:r>
        <w:t>Further, t</w:t>
      </w:r>
      <w:r w:rsidRPr="0034233E">
        <w:t>he risk of detrimental action may increase or change as the investigation progresses, and more people become aware of the disclosure. Even after the investigation has been completed, the risk of detrimental</w:t>
      </w:r>
      <w:r>
        <w:t xml:space="preserve"> </w:t>
      </w:r>
      <w:r w:rsidRPr="0034233E">
        <w:t>action may persist, or even increase, particularly if action has been recommended to address the investigation findings.</w:t>
      </w:r>
      <w:r>
        <w:rPr>
          <w:rStyle w:val="FootnoteReference"/>
        </w:rPr>
        <w:footnoteReference w:id="155"/>
      </w:r>
      <w:r>
        <w:t xml:space="preserve"> </w:t>
      </w:r>
      <w:r w:rsidRPr="0034233E">
        <w:t xml:space="preserve">It is therefore necessary for </w:t>
      </w:r>
      <w:r>
        <w:t>an investigating entity</w:t>
      </w:r>
      <w:r w:rsidRPr="0034233E">
        <w:t xml:space="preserve"> to </w:t>
      </w:r>
      <w:r>
        <w:t>review</w:t>
      </w:r>
      <w:r w:rsidRPr="0034233E">
        <w:t xml:space="preserve"> the risk assessment when </w:t>
      </w:r>
      <w:r>
        <w:t>circumstances</w:t>
      </w:r>
      <w:r w:rsidRPr="0034233E">
        <w:t xml:space="preserve"> change</w:t>
      </w:r>
      <w:r>
        <w:t xml:space="preserve"> to identify and manage any new risks which may arise.</w:t>
      </w:r>
    </w:p>
    <w:p w14:paraId="5830C54D" w14:textId="21934D27" w:rsidR="00AB6139" w:rsidRDefault="00AB6139" w:rsidP="00CF204B">
      <w:r>
        <w:t>The best sources of information about potential risks are those involved in the particular workplace, especially the discloser and their supervisor or manager (provided that person is not involved in the alleged wrongdoing).</w:t>
      </w:r>
      <w:r>
        <w:rPr>
          <w:rStyle w:val="FootnoteReference"/>
        </w:rPr>
        <w:footnoteReference w:id="156"/>
      </w:r>
      <w:r w:rsidR="00B97CBB">
        <w:t xml:space="preserve"> </w:t>
      </w:r>
      <w:r>
        <w:t>Asking the discloser why they are reporting wrongdoing and who they might fear detrimental action from can be helpful in:</w:t>
      </w:r>
    </w:p>
    <w:p w14:paraId="620E05D2" w14:textId="77777777" w:rsidR="00AB6139" w:rsidRDefault="00AB6139" w:rsidP="00CF204B">
      <w:pPr>
        <w:pStyle w:val="ListParagraph"/>
        <w:numPr>
          <w:ilvl w:val="0"/>
          <w:numId w:val="14"/>
        </w:numPr>
      </w:pPr>
      <w:r>
        <w:t>assessing perceptions among staff as to why the discloser came forward and how colleagues may respond if the discloser’s identity becomes known;</w:t>
      </w:r>
    </w:p>
    <w:p w14:paraId="4F0223E0" w14:textId="77777777" w:rsidR="00AB6139" w:rsidRDefault="00AB6139" w:rsidP="00CF204B">
      <w:pPr>
        <w:pStyle w:val="ListParagraph"/>
        <w:numPr>
          <w:ilvl w:val="0"/>
          <w:numId w:val="14"/>
        </w:numPr>
      </w:pPr>
      <w:r>
        <w:t>managing the discloser’s expectations about how other staff might perceive their disclosure;</w:t>
      </w:r>
    </w:p>
    <w:p w14:paraId="2027395E" w14:textId="77777777" w:rsidR="00AB6139" w:rsidRDefault="00AB6139" w:rsidP="00CF204B">
      <w:pPr>
        <w:pStyle w:val="ListParagraph"/>
        <w:numPr>
          <w:ilvl w:val="0"/>
          <w:numId w:val="14"/>
        </w:numPr>
      </w:pPr>
      <w:r>
        <w:t>reducing the potential for future conflict between the discloser and management about whether effective support was provided; and</w:t>
      </w:r>
    </w:p>
    <w:p w14:paraId="1BD0A1B1" w14:textId="77777777" w:rsidR="00AB6139" w:rsidRDefault="00AB6139" w:rsidP="00CF204B">
      <w:pPr>
        <w:pStyle w:val="ListParagraph"/>
        <w:numPr>
          <w:ilvl w:val="0"/>
          <w:numId w:val="14"/>
        </w:numPr>
      </w:pPr>
      <w:r>
        <w:t>identifying the motives of staff who potentially might become involved in detrimental action.</w:t>
      </w:r>
    </w:p>
    <w:p w14:paraId="2DD7D546" w14:textId="77777777" w:rsidR="00AB6139" w:rsidRPr="002C1B34" w:rsidRDefault="00AB6139" w:rsidP="00CF204B">
      <w:r>
        <w:t>The supervisor or manager of the discloser may also be a valuable source of information about these matters.</w:t>
      </w:r>
    </w:p>
    <w:p w14:paraId="5251402B" w14:textId="449555AF" w:rsidR="00E70B4E" w:rsidRDefault="00E70B4E" w:rsidP="00CF204B">
      <w:r w:rsidRPr="00707BEC">
        <w:lastRenderedPageBreak/>
        <w:t>The person doing the risk assessment should clearly define the individual factors affecting the</w:t>
      </w:r>
      <w:r>
        <w:t xml:space="preserve"> discloser</w:t>
      </w:r>
      <w:r w:rsidRPr="00707BEC">
        <w:t xml:space="preserve"> and the specific workplace when assessing if there are factors that make</w:t>
      </w:r>
      <w:r>
        <w:t xml:space="preserve"> detrimental action</w:t>
      </w:r>
      <w:r w:rsidRPr="00707BEC">
        <w:t xml:space="preserve"> or related workplace</w:t>
      </w:r>
      <w:r>
        <w:t xml:space="preserve"> </w:t>
      </w:r>
      <w:r w:rsidRPr="00707BEC">
        <w:t>conflict likely.</w:t>
      </w:r>
    </w:p>
    <w:p w14:paraId="3004E248" w14:textId="37FBBF7D" w:rsidR="00B97CBB" w:rsidRDefault="00B97CBB" w:rsidP="00CF204B">
      <w:r>
        <w:rPr>
          <w:b/>
          <w:bCs/>
        </w:rPr>
        <w:t>Important:</w:t>
      </w:r>
      <w:r>
        <w:t xml:space="preserve"> While each case will be different, </w:t>
      </w:r>
      <w:r w:rsidR="00BE1D42">
        <w:t>public sector</w:t>
      </w:r>
      <w:r>
        <w:t xml:space="preserve"> entities</w:t>
      </w:r>
      <w:r w:rsidRPr="00707BEC">
        <w:t xml:space="preserve"> should develop a list of risk factors that can alert those dealing with the PID, and managers,</w:t>
      </w:r>
      <w:r>
        <w:rPr>
          <w:i/>
          <w:iCs/>
        </w:rPr>
        <w:t xml:space="preserve"> </w:t>
      </w:r>
      <w:r w:rsidRPr="00707BEC">
        <w:t>to</w:t>
      </w:r>
      <w:r>
        <w:t xml:space="preserve"> </w:t>
      </w:r>
      <w:r w:rsidRPr="00707BEC">
        <w:t xml:space="preserve">problems. </w:t>
      </w:r>
      <w:r w:rsidR="009B431B" w:rsidRPr="009B431B">
        <w:rPr>
          <w:b/>
          <w:bCs/>
        </w:rPr>
        <w:fldChar w:fldCharType="begin"/>
      </w:r>
      <w:r w:rsidR="009B431B" w:rsidRPr="009B431B">
        <w:rPr>
          <w:b/>
          <w:bCs/>
        </w:rPr>
        <w:instrText xml:space="preserve"> REF _Ref62648002 \h  \* MERGEFORMAT </w:instrText>
      </w:r>
      <w:r w:rsidR="009B431B" w:rsidRPr="009B431B">
        <w:rPr>
          <w:b/>
          <w:bCs/>
        </w:rPr>
      </w:r>
      <w:r w:rsidR="009B431B" w:rsidRPr="009B431B">
        <w:rPr>
          <w:b/>
          <w:bCs/>
        </w:rPr>
        <w:fldChar w:fldCharType="separate"/>
      </w:r>
      <w:r w:rsidR="00245E6D" w:rsidRPr="00245E6D">
        <w:rPr>
          <w:b/>
          <w:bCs/>
        </w:rPr>
        <w:t>Appendix E: Indicators of a higher risk of reprisal or workplace conflict</w:t>
      </w:r>
      <w:r w:rsidR="009B431B" w:rsidRPr="009B431B">
        <w:rPr>
          <w:b/>
          <w:bCs/>
        </w:rPr>
        <w:fldChar w:fldCharType="end"/>
      </w:r>
      <w:r w:rsidR="009B431B">
        <w:rPr>
          <w:b/>
          <w:bCs/>
        </w:rPr>
        <w:t xml:space="preserve"> </w:t>
      </w:r>
      <w:r w:rsidRPr="00707BEC">
        <w:t xml:space="preserve">includes some indicators of a higher risk of </w:t>
      </w:r>
      <w:r>
        <w:t>possible detrimental action being taken against the discloser,</w:t>
      </w:r>
      <w:r w:rsidRPr="00707BEC">
        <w:t xml:space="preserve"> or workplace</w:t>
      </w:r>
      <w:r>
        <w:t xml:space="preserve"> </w:t>
      </w:r>
      <w:r w:rsidRPr="00707BEC">
        <w:t>conflict.</w:t>
      </w:r>
      <w:r>
        <w:t xml:space="preserve"> </w:t>
      </w:r>
    </w:p>
    <w:p w14:paraId="12179D99" w14:textId="77777777" w:rsidR="00E70B4E" w:rsidRDefault="00E70B4E" w:rsidP="00CF204B">
      <w:pPr>
        <w:pStyle w:val="Heading3"/>
      </w:pPr>
      <w:bookmarkStart w:id="268" w:name="_Toc75255217"/>
      <w:r>
        <w:t>Assessing risks</w:t>
      </w:r>
      <w:bookmarkEnd w:id="268"/>
    </w:p>
    <w:p w14:paraId="2F05A03E" w14:textId="303C64AD" w:rsidR="00E70B4E" w:rsidRDefault="003F6A95" w:rsidP="00CF204B">
      <w:r>
        <w:t>Having identified the risks that a discloser may face, t</w:t>
      </w:r>
      <w:r w:rsidR="00E70B4E">
        <w:t xml:space="preserve">he </w:t>
      </w:r>
      <w:r>
        <w:t>investigating entity should</w:t>
      </w:r>
      <w:r w:rsidR="00E70B4E">
        <w:t xml:space="preserve"> </w:t>
      </w:r>
      <w:r>
        <w:t>assess</w:t>
      </w:r>
      <w:r w:rsidR="00E70B4E">
        <w:t xml:space="preserve"> </w:t>
      </w:r>
      <w:r>
        <w:t>those</w:t>
      </w:r>
      <w:r w:rsidR="00E70B4E">
        <w:t xml:space="preserve"> risk</w:t>
      </w:r>
      <w:r w:rsidR="00BE1D42">
        <w:t>s</w:t>
      </w:r>
      <w:r w:rsidR="00E70B4E">
        <w:t xml:space="preserve"> </w:t>
      </w:r>
      <w:r>
        <w:t>to identify</w:t>
      </w:r>
      <w:r w:rsidR="00E70B4E">
        <w:t xml:space="preserve">: </w:t>
      </w:r>
    </w:p>
    <w:p w14:paraId="05E14411" w14:textId="77777777" w:rsidR="00E70B4E" w:rsidRDefault="00E70B4E" w:rsidP="00CF204B">
      <w:pPr>
        <w:pStyle w:val="ListParagraph"/>
        <w:numPr>
          <w:ilvl w:val="0"/>
          <w:numId w:val="13"/>
        </w:numPr>
      </w:pPr>
      <w:r>
        <w:t>the likelihood of detrimental action or related workplace conflict occurring – this may be high if:</w:t>
      </w:r>
    </w:p>
    <w:p w14:paraId="2DFCF5FA" w14:textId="77777777" w:rsidR="00E70B4E" w:rsidRDefault="00E70B4E" w:rsidP="00CF204B">
      <w:pPr>
        <w:pStyle w:val="ListParagraph"/>
        <w:numPr>
          <w:ilvl w:val="1"/>
          <w:numId w:val="13"/>
        </w:numPr>
      </w:pPr>
      <w:r>
        <w:t>there have already been threats;</w:t>
      </w:r>
    </w:p>
    <w:p w14:paraId="5C753B54" w14:textId="241BEBA9" w:rsidR="00E70B4E" w:rsidRDefault="00E70B4E" w:rsidP="00CF204B">
      <w:pPr>
        <w:pStyle w:val="ListParagraph"/>
        <w:numPr>
          <w:ilvl w:val="1"/>
          <w:numId w:val="13"/>
        </w:numPr>
      </w:pPr>
      <w:r>
        <w:t xml:space="preserve">there is already conflict in the workplace; </w:t>
      </w:r>
      <w:r w:rsidR="009B431B">
        <w:t>or</w:t>
      </w:r>
    </w:p>
    <w:p w14:paraId="1871F89C" w14:textId="77777777" w:rsidR="00E70B4E" w:rsidRDefault="00E70B4E" w:rsidP="00CF204B">
      <w:pPr>
        <w:pStyle w:val="ListParagraph"/>
        <w:numPr>
          <w:ilvl w:val="1"/>
          <w:numId w:val="13"/>
        </w:numPr>
      </w:pPr>
      <w:r>
        <w:t>a combination of circumstances and risk factors indicate detrimental action or related workplace conflict are likely; and</w:t>
      </w:r>
    </w:p>
    <w:p w14:paraId="675B2C25" w14:textId="1520AE4F" w:rsidR="00E70B4E" w:rsidRDefault="00E70B4E" w:rsidP="00CF204B">
      <w:pPr>
        <w:pStyle w:val="ListParagraph"/>
        <w:numPr>
          <w:ilvl w:val="0"/>
          <w:numId w:val="13"/>
        </w:numPr>
      </w:pPr>
      <w:r>
        <w:t>the potential consequences if the risks eventuate, both to the discloser’s immediate and long-term wellbeing and the cost to the investigating entity.</w:t>
      </w:r>
    </w:p>
    <w:p w14:paraId="589737AA" w14:textId="2F1B90D1" w:rsidR="00AB6139" w:rsidRDefault="00AB6139" w:rsidP="00CF204B">
      <w:r>
        <w:t>One aspect of the risk assessment is assessing the likelihood of the discloser’s identify becoming known. Disclosers will often be anxious about the prospect of their identity being revealed. The</w:t>
      </w:r>
      <w:r w:rsidR="002E01D6">
        <w:t> </w:t>
      </w:r>
      <w:r>
        <w:t xml:space="preserve">disclosure officer </w:t>
      </w:r>
      <w:r w:rsidRPr="00420DF7">
        <w:t>must</w:t>
      </w:r>
      <w:r>
        <w:t xml:space="preserve"> assure the discloser that their identity will always be protected as much as possible, and of the procedures that are in place to ensure confidentiality of the investigation process. The specific legal protections in the PID Act for the discloser’s identity are discussed in </w:t>
      </w:r>
      <w:r w:rsidR="009B431B" w:rsidRPr="009B431B">
        <w:rPr>
          <w:b/>
          <w:bCs/>
        </w:rPr>
        <w:fldChar w:fldCharType="begin"/>
      </w:r>
      <w:r w:rsidR="009B431B" w:rsidRPr="009B431B">
        <w:rPr>
          <w:b/>
          <w:bCs/>
        </w:rPr>
        <w:instrText xml:space="preserve"> REF _Ref64028896 \h  \* MERGEFORMAT </w:instrText>
      </w:r>
      <w:r w:rsidR="009B431B" w:rsidRPr="009B431B">
        <w:rPr>
          <w:b/>
          <w:bCs/>
        </w:rPr>
      </w:r>
      <w:r w:rsidR="009B431B" w:rsidRPr="009B431B">
        <w:rPr>
          <w:b/>
          <w:bCs/>
        </w:rPr>
        <w:fldChar w:fldCharType="separate"/>
      </w:r>
      <w:r w:rsidR="00245E6D" w:rsidRPr="00245E6D">
        <w:rPr>
          <w:b/>
          <w:bCs/>
        </w:rPr>
        <w:t>Ensuring confidentiality of the investigation</w:t>
      </w:r>
      <w:r w:rsidR="009B431B" w:rsidRPr="009B431B">
        <w:rPr>
          <w:b/>
          <w:bCs/>
        </w:rPr>
        <w:fldChar w:fldCharType="end"/>
      </w:r>
      <w:r w:rsidR="009B431B">
        <w:rPr>
          <w:b/>
          <w:bCs/>
        </w:rPr>
        <w:t>.</w:t>
      </w:r>
    </w:p>
    <w:p w14:paraId="3C3F4B9A" w14:textId="21C34465" w:rsidR="00AB6139" w:rsidRDefault="005001A5" w:rsidP="00CF204B">
      <w:r>
        <w:rPr>
          <w:b/>
          <w:bCs/>
        </w:rPr>
        <w:t>Important:</w:t>
      </w:r>
      <w:r w:rsidR="00AB6139">
        <w:t xml:space="preserve"> </w:t>
      </w:r>
      <w:r>
        <w:t>T</w:t>
      </w:r>
      <w:r w:rsidR="00AB6139">
        <w:t>he discloser</w:t>
      </w:r>
      <w:r>
        <w:t xml:space="preserve"> should be</w:t>
      </w:r>
      <w:r w:rsidR="00AB6139">
        <w:t xml:space="preserve"> given </w:t>
      </w:r>
      <w:r w:rsidR="00D20158">
        <w:t>candid information</w:t>
      </w:r>
      <w:r w:rsidR="00AB6139">
        <w:t xml:space="preserve"> about the investigating entity’s capacity to prevent their identity becoming known as the source of the disclosed information. The discloser must be made aware that, where the disclosure is investigated, their identity might well become apparent. For example, if the discloser is one of a very small number of people who have access to the relevant information, or if the information they have disclosed was something they were told privately and in confidence, others may guess they were the source of the information. </w:t>
      </w:r>
      <w:r w:rsidR="00D20158">
        <w:t xml:space="preserve">A thorough investigation may require, implicitly or explicitly, disclosure of the discloser’s identity. </w:t>
      </w:r>
      <w:r w:rsidR="00AB6139">
        <w:t>In addition, procedural fairness may require that the identity of the discloser be revealed.</w:t>
      </w:r>
    </w:p>
    <w:p w14:paraId="2FB97F7A" w14:textId="77777777" w:rsidR="00E70B4E" w:rsidRDefault="00E70B4E" w:rsidP="00CF204B">
      <w:pPr>
        <w:pStyle w:val="Heading3"/>
      </w:pPr>
      <w:bookmarkStart w:id="269" w:name="_Toc75255218"/>
      <w:r>
        <w:t>Controlling risks</w:t>
      </w:r>
      <w:bookmarkEnd w:id="269"/>
    </w:p>
    <w:p w14:paraId="06E24E9B" w14:textId="1EDB58C6" w:rsidR="00AB6139" w:rsidRDefault="00AB6139" w:rsidP="00CF204B">
      <w:r>
        <w:t>Once those risks have been assessed, the investigating entity needs to consider strategies to prevent or contain them. Inappropriate workplace behaviour, including:</w:t>
      </w:r>
    </w:p>
    <w:p w14:paraId="7105FBF2" w14:textId="77777777" w:rsidR="00AB6139" w:rsidRDefault="00AB6139" w:rsidP="00CF204B">
      <w:pPr>
        <w:pStyle w:val="ListParagraph"/>
        <w:numPr>
          <w:ilvl w:val="0"/>
          <w:numId w:val="13"/>
        </w:numPr>
      </w:pPr>
      <w:r>
        <w:t>harassment;</w:t>
      </w:r>
    </w:p>
    <w:p w14:paraId="10A92454" w14:textId="77777777" w:rsidR="00AB6139" w:rsidRDefault="00AB6139" w:rsidP="00CF204B">
      <w:pPr>
        <w:pStyle w:val="ListParagraph"/>
        <w:numPr>
          <w:ilvl w:val="0"/>
          <w:numId w:val="13"/>
        </w:numPr>
      </w:pPr>
      <w:r>
        <w:t xml:space="preserve">intimidation; </w:t>
      </w:r>
    </w:p>
    <w:p w14:paraId="1A2CC48A" w14:textId="77777777" w:rsidR="00AB6139" w:rsidRDefault="00AB6139" w:rsidP="00CF204B">
      <w:pPr>
        <w:pStyle w:val="ListParagraph"/>
        <w:numPr>
          <w:ilvl w:val="0"/>
          <w:numId w:val="13"/>
        </w:numPr>
      </w:pPr>
      <w:r>
        <w:t>undermining of authority;</w:t>
      </w:r>
    </w:p>
    <w:p w14:paraId="5005FFB4" w14:textId="77777777" w:rsidR="00AB6139" w:rsidRDefault="00AB6139" w:rsidP="00CF204B">
      <w:pPr>
        <w:pStyle w:val="ListParagraph"/>
        <w:numPr>
          <w:ilvl w:val="0"/>
          <w:numId w:val="13"/>
        </w:numPr>
      </w:pPr>
      <w:r>
        <w:t>ostracism;</w:t>
      </w:r>
    </w:p>
    <w:p w14:paraId="4302E619" w14:textId="77777777" w:rsidR="00AB6139" w:rsidRDefault="00AB6139" w:rsidP="00CF204B">
      <w:pPr>
        <w:pStyle w:val="ListParagraph"/>
        <w:numPr>
          <w:ilvl w:val="0"/>
          <w:numId w:val="13"/>
        </w:numPr>
      </w:pPr>
      <w:r>
        <w:t xml:space="preserve">humiliation; </w:t>
      </w:r>
    </w:p>
    <w:p w14:paraId="0207E4BD" w14:textId="14E7BCDD" w:rsidR="00AB6139" w:rsidRDefault="00AB6139" w:rsidP="00CF204B">
      <w:pPr>
        <w:pStyle w:val="ListParagraph"/>
        <w:numPr>
          <w:ilvl w:val="0"/>
          <w:numId w:val="13"/>
        </w:numPr>
      </w:pPr>
      <w:r>
        <w:t>questioning of motives;</w:t>
      </w:r>
      <w:r w:rsidR="005001A5">
        <w:t xml:space="preserve"> and</w:t>
      </w:r>
    </w:p>
    <w:p w14:paraId="566C7A1F" w14:textId="2FAB8C20" w:rsidR="00AB6139" w:rsidRDefault="00AB6139" w:rsidP="00CF204B">
      <w:pPr>
        <w:pStyle w:val="ListParagraph"/>
        <w:numPr>
          <w:ilvl w:val="0"/>
          <w:numId w:val="13"/>
        </w:numPr>
      </w:pPr>
      <w:r>
        <w:t>heavier scrutiny of work</w:t>
      </w:r>
    </w:p>
    <w:p w14:paraId="245B2AE8" w14:textId="4F9CC1FD" w:rsidR="00AB6139" w:rsidRDefault="00AB6139" w:rsidP="00CF204B">
      <w:r>
        <w:t>can greatly increase stress and even result in serious injury to someone who has made a disclosure. The risk assessment should include not only the risk of detrimental action being taken against the discloser, but also the risk of related workplace conflict or difficulties.</w:t>
      </w:r>
      <w:r>
        <w:rPr>
          <w:rStyle w:val="FootnoteReference"/>
        </w:rPr>
        <w:footnoteReference w:id="157"/>
      </w:r>
      <w:r>
        <w:t xml:space="preserve"> </w:t>
      </w:r>
    </w:p>
    <w:p w14:paraId="64739937" w14:textId="28C8F5F9" w:rsidR="00AB6139" w:rsidRDefault="00AB6139" w:rsidP="00CF204B">
      <w:r>
        <w:t xml:space="preserve">If the risk is assessed as sufficiently high, the investigating entity should prepare a plan to prevent and contain detrimental action against the discloser or related workplace conflict. If it </w:t>
      </w:r>
      <w:r w:rsidR="00D20158">
        <w:t>is considered</w:t>
      </w:r>
      <w:r>
        <w:t xml:space="preserve"> that a </w:t>
      </w:r>
      <w:r>
        <w:lastRenderedPageBreak/>
        <w:t xml:space="preserve">discloser </w:t>
      </w:r>
      <w:r w:rsidR="00D20158">
        <w:t>is likely to need</w:t>
      </w:r>
      <w:r>
        <w:t xml:space="preserve"> support, the investigating entity should develop a strategy for providing an appropriate level of support, </w:t>
      </w:r>
      <w:r w:rsidR="00D20158">
        <w:t>including</w:t>
      </w:r>
      <w:r>
        <w:t xml:space="preserve"> appointing a support person. </w:t>
      </w:r>
    </w:p>
    <w:p w14:paraId="41C9B510" w14:textId="25716DE5" w:rsidR="00AB6139" w:rsidRDefault="00AB6139" w:rsidP="00CF204B">
      <w:r>
        <w:t xml:space="preserve">If the discloser’s identity is likely to be known or become known in their workplace, the investigating entity should adopt a proactive approach, for example, by raising the matter with staff, reiterating </w:t>
      </w:r>
      <w:r w:rsidR="00BE1D42">
        <w:t>its</w:t>
      </w:r>
      <w:r>
        <w:t xml:space="preserve"> commitment to encouraging and, where appropriate, investigating PIDs, and reminding staff that taking or threatening detrimental action is a criminal offence.</w:t>
      </w:r>
    </w:p>
    <w:p w14:paraId="5889C25F" w14:textId="47209DCD" w:rsidR="00AB6139" w:rsidRDefault="00AB6139" w:rsidP="00CF204B">
      <w:bookmarkStart w:id="270" w:name="_Hlk66450777"/>
      <w:r>
        <w:rPr>
          <w:b/>
          <w:bCs/>
        </w:rPr>
        <w:t>Important</w:t>
      </w:r>
      <w:r>
        <w:t xml:space="preserve">: It is important that risks of detrimental action are </w:t>
      </w:r>
      <w:r w:rsidRPr="00420DF7">
        <w:t>prevented</w:t>
      </w:r>
      <w:r>
        <w:rPr>
          <w:b/>
          <w:bCs/>
        </w:rPr>
        <w:t xml:space="preserve"> </w:t>
      </w:r>
      <w:r>
        <w:t xml:space="preserve">from being realised if this is practicable, rather than leaving rectification to occur </w:t>
      </w:r>
      <w:r w:rsidR="009B431B">
        <w:t xml:space="preserve">late </w:t>
      </w:r>
      <w:r>
        <w:t>via legal or compliance</w:t>
      </w:r>
      <w:r w:rsidR="009B431B">
        <w:t xml:space="preserve"> </w:t>
      </w:r>
      <w:r>
        <w:t xml:space="preserve">means. The assessment of reprisal risks </w:t>
      </w:r>
      <w:r w:rsidRPr="009A67C8">
        <w:t>must</w:t>
      </w:r>
      <w:r>
        <w:rPr>
          <w:b/>
          <w:bCs/>
        </w:rPr>
        <w:t xml:space="preserve"> </w:t>
      </w:r>
      <w:r>
        <w:t xml:space="preserve">aim at preventing the conduct occurring in the first place. </w:t>
      </w:r>
      <w:bookmarkEnd w:id="270"/>
      <w:r>
        <w:t>Thus, when a decision is made that a disclosure qualifies as a PID, the Commission or the investigating entity must make a risk assessment at the outset before actively commencing an investigation. This will permit protective measures to be taken to avoid, if practicable, foreseeable detrimental action as the investigation proceeds.</w:t>
      </w:r>
    </w:p>
    <w:p w14:paraId="37F2AA47" w14:textId="77777777" w:rsidR="00AB6139" w:rsidRPr="002E6026" w:rsidRDefault="00AB6139" w:rsidP="00CF204B">
      <w:r>
        <w:rPr>
          <w:b/>
          <w:bCs/>
        </w:rPr>
        <w:t>Important</w:t>
      </w:r>
      <w:r>
        <w:t>: A failure to prevent detrimental action may expose the public sector entity to serious civil liability under workplace safety laws.</w:t>
      </w:r>
    </w:p>
    <w:p w14:paraId="2903BC30" w14:textId="77777777" w:rsidR="00E70B4E" w:rsidRDefault="00E70B4E" w:rsidP="00CF204B">
      <w:pPr>
        <w:pStyle w:val="Heading3"/>
      </w:pPr>
      <w:bookmarkStart w:id="271" w:name="_Toc75255219"/>
      <w:r>
        <w:t>Monitoring and reviewing risks</w:t>
      </w:r>
      <w:bookmarkEnd w:id="271"/>
    </w:p>
    <w:p w14:paraId="0F5737F6" w14:textId="1C739145" w:rsidR="00E70B4E" w:rsidRDefault="00E70B4E" w:rsidP="00CF204B">
      <w:r>
        <w:t xml:space="preserve">Problems in the workplace can arise at any point after a disclosure has been made. This includes during an investigation, afterward, and when action is being taken to address any findings. The risk assessment should be monitored and reviewed as necessary, including by checking with the discloser to see if they have experienced detrimental action or been threatened. Records </w:t>
      </w:r>
      <w:r w:rsidRPr="008D5EDB">
        <w:t>must</w:t>
      </w:r>
      <w:r>
        <w:t xml:space="preserve"> be made whenever the risk assessment is reviewed or revised.</w:t>
      </w:r>
    </w:p>
    <w:p w14:paraId="625C2B3E" w14:textId="7EA509BD" w:rsidR="001440B9" w:rsidRPr="001440B9" w:rsidRDefault="002A2B11" w:rsidP="00CF204B">
      <w:pPr>
        <w:pStyle w:val="Heading3"/>
      </w:pPr>
      <w:bookmarkStart w:id="272" w:name="_Toc67904045"/>
      <w:bookmarkStart w:id="273" w:name="_Toc75255220"/>
      <w:r>
        <w:t xml:space="preserve">Risk assessments where the discloser is </w:t>
      </w:r>
      <w:r w:rsidR="0094077B">
        <w:t>anonymous</w:t>
      </w:r>
      <w:bookmarkEnd w:id="272"/>
      <w:bookmarkEnd w:id="273"/>
    </w:p>
    <w:p w14:paraId="6475A6F0" w14:textId="1487E199" w:rsidR="002632F2" w:rsidRDefault="002632F2" w:rsidP="00CF204B">
      <w:r>
        <w:t xml:space="preserve">If an anonymous disclosure is made, it may be difficult for </w:t>
      </w:r>
      <w:r w:rsidR="003D5EE3">
        <w:t>an</w:t>
      </w:r>
      <w:r>
        <w:t xml:space="preserve"> </w:t>
      </w:r>
      <w:r w:rsidR="005324ED">
        <w:t>investigating entity</w:t>
      </w:r>
      <w:r>
        <w:t xml:space="preserve"> to protect the discloser and other staff from detrimental action or workplace conflict. However, a risk assessment should still be conducted, to</w:t>
      </w:r>
      <w:r w:rsidR="00003037">
        <w:t xml:space="preserve"> </w:t>
      </w:r>
      <w:r>
        <w:t>assess whether the discloser’s identity can be readily ascertained or may become apparent during an</w:t>
      </w:r>
      <w:r w:rsidR="00003037">
        <w:t xml:space="preserve"> </w:t>
      </w:r>
      <w:r>
        <w:t>investigation.</w:t>
      </w:r>
      <w:r w:rsidR="00876A3B">
        <w:rPr>
          <w:rStyle w:val="FootnoteReference"/>
        </w:rPr>
        <w:footnoteReference w:id="158"/>
      </w:r>
    </w:p>
    <w:p w14:paraId="20FD6984" w14:textId="42DC0378" w:rsidR="00CD18DB" w:rsidRPr="00CD18DB" w:rsidRDefault="002632F2" w:rsidP="00CF204B">
      <w:r>
        <w:t>Staff may speculate, correctly or otherwise, about who made the disclosure and that person may be at risk of detrimental action. If the discloser’s identity becomes known, the risk of detrimental action may escalate and require prevention or mitigation strategies to be implemented</w:t>
      </w:r>
      <w:r w:rsidR="00F74FB0">
        <w:t>.</w:t>
      </w:r>
      <w:r w:rsidR="00876A3B">
        <w:t xml:space="preserve"> These include</w:t>
      </w:r>
      <w:r>
        <w:t xml:space="preserve"> raising the issue with staff, reminding them of the </w:t>
      </w:r>
      <w:r w:rsidR="005324ED">
        <w:t>investigating entity’s</w:t>
      </w:r>
      <w:r>
        <w:t xml:space="preserve"> commitment to the PID process and reminding them that taking detrimental</w:t>
      </w:r>
      <w:r w:rsidR="007532CF">
        <w:t xml:space="preserve"> </w:t>
      </w:r>
      <w:r>
        <w:t>action is a criminal offence.</w:t>
      </w:r>
      <w:r>
        <w:rPr>
          <w:rStyle w:val="FootnoteReference"/>
        </w:rPr>
        <w:footnoteReference w:id="159"/>
      </w:r>
    </w:p>
    <w:p w14:paraId="7C9F3AC7" w14:textId="77777777" w:rsidR="00AB6139" w:rsidRPr="005A2786" w:rsidRDefault="00AB6139" w:rsidP="00CF204B">
      <w:pPr>
        <w:pStyle w:val="Heading3"/>
      </w:pPr>
      <w:bookmarkStart w:id="274" w:name="_Toc67904048"/>
      <w:bookmarkStart w:id="275" w:name="_Toc75255221"/>
      <w:bookmarkStart w:id="276" w:name="_Toc67904046"/>
      <w:r w:rsidRPr="005A2786">
        <w:t>Risk assessment for those who do not have an employment or contractual nexus with a public sector entity</w:t>
      </w:r>
      <w:bookmarkEnd w:id="274"/>
      <w:bookmarkEnd w:id="275"/>
    </w:p>
    <w:p w14:paraId="039ED789" w14:textId="7632DB1A" w:rsidR="00AB6139" w:rsidRPr="005A2786" w:rsidRDefault="00AB6139" w:rsidP="00AB6139">
      <w:r w:rsidRPr="005A2786">
        <w:t>Any person may make a disclosure of disclosable conduct.</w:t>
      </w:r>
      <w:r w:rsidRPr="005A2786">
        <w:rPr>
          <w:rStyle w:val="FootnoteReference"/>
        </w:rPr>
        <w:footnoteReference w:id="160"/>
      </w:r>
      <w:r w:rsidRPr="005A2786">
        <w:t xml:space="preserve"> Therefore, it is possible that disclosures will be made by members of the public who do not have any employment or contractual nexus with a public sector entity</w:t>
      </w:r>
      <w:r w:rsidR="00365C5A">
        <w:t xml:space="preserve">, </w:t>
      </w:r>
      <w:r w:rsidR="009B431B">
        <w:t>for example</w:t>
      </w:r>
      <w:r w:rsidR="00365C5A">
        <w:t>, an employee of a company tendering for work in the public sector who becomes aware of misconduct by a public official managing the process</w:t>
      </w:r>
      <w:r w:rsidRPr="005A2786">
        <w:t>. The making of a risk assessment for such a person is like that which would be made for those who do have an employment nexus with a public sector entity</w:t>
      </w:r>
      <w:r w:rsidR="009B431B">
        <w:t>, n</w:t>
      </w:r>
      <w:r w:rsidRPr="005A2786">
        <w:t>amely, by following the four steps outlined above.</w:t>
      </w:r>
    </w:p>
    <w:p w14:paraId="7FBF6454" w14:textId="644CE934" w:rsidR="00AB6139" w:rsidRDefault="00AB6139" w:rsidP="00AB6139">
      <w:r w:rsidRPr="005A2786">
        <w:t>However, consideration will need to be given to the unique character of the risks which may apply to such disclosers. For example, querying whether the respondent and the discloser are known to each other in a non-professional context (and whether they have a history of negative interactions). Another example would be where a discloser who has no contractual or employment nexus with a public sector entity may develop one in the future.</w:t>
      </w:r>
    </w:p>
    <w:p w14:paraId="25DC126C" w14:textId="00BB3FF6" w:rsidR="00365C5A" w:rsidRPr="00365C5A" w:rsidRDefault="00365C5A" w:rsidP="00AB6139">
      <w:r>
        <w:rPr>
          <w:b/>
          <w:bCs/>
        </w:rPr>
        <w:lastRenderedPageBreak/>
        <w:t>Note:</w:t>
      </w:r>
      <w:r>
        <w:t xml:space="preserve"> The prohibition against taking detrimental action because of a PID applies to anyone who does so, whether a public official or not.</w:t>
      </w:r>
    </w:p>
    <w:p w14:paraId="6C78E83E" w14:textId="77777777" w:rsidR="00AB6139" w:rsidRPr="005A2786" w:rsidRDefault="00AB6139" w:rsidP="00AB6139">
      <w:r w:rsidRPr="005A2786">
        <w:rPr>
          <w:b/>
          <w:bCs/>
        </w:rPr>
        <w:t>Example</w:t>
      </w:r>
      <w:r w:rsidRPr="005A2786">
        <w:t xml:space="preserve">: A, a member of the public, makes a disclosure concerning B – a senior official of C, a public sector entity. A is employed by D (who is not a contractor to </w:t>
      </w:r>
      <w:r>
        <w:t xml:space="preserve">C </w:t>
      </w:r>
      <w:r w:rsidRPr="005A2786">
        <w:t xml:space="preserve">or have any employment nexus </w:t>
      </w:r>
      <w:r>
        <w:t>with C</w:t>
      </w:r>
      <w:r w:rsidRPr="005A2786">
        <w:t>). D is good friends with B. The Commission assesses that A’s disclosure qualifies as a PID and refers it to C for investigation. C should, in assessing the reprisal risk to A, ensure that measures are implemented to guard against reprisal against A by D (for example, employment termination).</w:t>
      </w:r>
    </w:p>
    <w:p w14:paraId="75728AEE" w14:textId="77777777" w:rsidR="00AB6139" w:rsidRDefault="00AB6139" w:rsidP="00AB6139">
      <w:r w:rsidRPr="005A2786">
        <w:t>In summary, while the analytical task of assessing and managing the risk of reprisal for those who are not public officials remains the same as that for public officials, investigating entities should ensure that when making a risk assessment (in consultation with the discloser or relevant party) they adapt their assessment to take account for the different types of risk which are likely to arise. It is also important to take account of the individual circumstances of the discloser.</w:t>
      </w:r>
      <w:r>
        <w:t xml:space="preserve"> </w:t>
      </w:r>
    </w:p>
    <w:p w14:paraId="7ACAEDC8" w14:textId="61CCE620" w:rsidR="00741471" w:rsidRDefault="00741471" w:rsidP="007247D1">
      <w:pPr>
        <w:pStyle w:val="Heading2"/>
      </w:pPr>
      <w:bookmarkStart w:id="277" w:name="_Toc75255222"/>
      <w:r>
        <w:t>Risk assessments not limited to the discloser</w:t>
      </w:r>
      <w:bookmarkEnd w:id="276"/>
      <w:bookmarkEnd w:id="277"/>
    </w:p>
    <w:p w14:paraId="530724B7" w14:textId="1AD95E4B" w:rsidR="00F206DB" w:rsidRDefault="00F206DB" w:rsidP="00741471">
      <w:r>
        <w:t xml:space="preserve">It is prudent that investigating entities </w:t>
      </w:r>
      <w:r w:rsidR="00365C5A">
        <w:t xml:space="preserve">do </w:t>
      </w:r>
      <w:r w:rsidR="00AB6139">
        <w:t>not limit</w:t>
      </w:r>
      <w:r>
        <w:t xml:space="preserve"> risk assessments to the discloser alone. These should </w:t>
      </w:r>
      <w:r w:rsidR="006B56CF">
        <w:t>cover</w:t>
      </w:r>
      <w:r>
        <w:t xml:space="preserve">, for example, any risks that witnesses </w:t>
      </w:r>
      <w:r w:rsidR="006B56CF">
        <w:t>could</w:t>
      </w:r>
      <w:r>
        <w:t xml:space="preserve"> face were it revealed that they assisted an investigation. In addition, investigating entities should consider any risks that those who are subject to allegations may face, </w:t>
      </w:r>
      <w:r w:rsidR="00A62A52">
        <w:t>because of</w:t>
      </w:r>
      <w:r>
        <w:t xml:space="preserve"> allegations made against them.</w:t>
      </w:r>
      <w:r>
        <w:rPr>
          <w:rStyle w:val="FootnoteReference"/>
        </w:rPr>
        <w:footnoteReference w:id="161"/>
      </w:r>
    </w:p>
    <w:p w14:paraId="19BE5230" w14:textId="40807B38" w:rsidR="00FB793E" w:rsidRDefault="00FB793E" w:rsidP="00741471">
      <w:r>
        <w:t xml:space="preserve">In relation to witnesses, it is important to remember that the protections attach to </w:t>
      </w:r>
      <w:r w:rsidRPr="00876A3B">
        <w:t>the assistance</w:t>
      </w:r>
      <w:r>
        <w:t xml:space="preserve"> provided by the witness. For example, should a witness confirm that a particular practice (the subject of the PID) does in fact occur within their workplace, </w:t>
      </w:r>
      <w:r w:rsidR="00234C3C">
        <w:t xml:space="preserve">the witness receives protection from civil or criminal liability </w:t>
      </w:r>
      <w:r w:rsidR="001971B3">
        <w:t>that</w:t>
      </w:r>
      <w:r w:rsidR="00234C3C">
        <w:t xml:space="preserve"> may attach to the </w:t>
      </w:r>
      <w:r w:rsidR="00234C3C" w:rsidRPr="001971B3">
        <w:t>revelation</w:t>
      </w:r>
      <w:r w:rsidR="00234C3C">
        <w:t>.</w:t>
      </w:r>
      <w:r>
        <w:t xml:space="preserve"> </w:t>
      </w:r>
      <w:r w:rsidR="002E6026">
        <w:t>If,</w:t>
      </w:r>
      <w:r w:rsidR="00234C3C">
        <w:t xml:space="preserve"> however</w:t>
      </w:r>
      <w:r w:rsidR="002E6026">
        <w:t>,</w:t>
      </w:r>
      <w:r w:rsidR="00234C3C">
        <w:t xml:space="preserve"> the witness reveals or discloses serious criminal conduct on their part, in response to a request for assistance, that conduct may be responded to in the usual manner (</w:t>
      </w:r>
      <w:r w:rsidR="00575158">
        <w:t>ie</w:t>
      </w:r>
      <w:r w:rsidR="007532CF">
        <w:t xml:space="preserve"> </w:t>
      </w:r>
      <w:r w:rsidR="00234C3C">
        <w:t>a</w:t>
      </w:r>
      <w:r w:rsidR="007532CF">
        <w:t xml:space="preserve"> </w:t>
      </w:r>
      <w:r w:rsidR="00234C3C">
        <w:t>referral to the Chief Police Officer).</w:t>
      </w:r>
    </w:p>
    <w:p w14:paraId="4D625729" w14:textId="35FD3E45" w:rsidR="00F46B93" w:rsidRDefault="00F206DB" w:rsidP="003B603C">
      <w:r>
        <w:t>In assessing risks to the respondent, the same process as that used for a discloser</w:t>
      </w:r>
      <w:r w:rsidR="00E70B4E">
        <w:t>(s)</w:t>
      </w:r>
      <w:r>
        <w:t xml:space="preserve"> and witness</w:t>
      </w:r>
      <w:r w:rsidR="00E70B4E">
        <w:t>(s)</w:t>
      </w:r>
      <w:r>
        <w:t xml:space="preserve"> may be applied. The focus of such a risk assessment is to manage the effects of the investigation on the respondent, regardless of its outcome. This form of risk assessment requires that consideration be given both to an outcome where the information within the disclosure is not substantiated</w:t>
      </w:r>
      <w:r w:rsidR="00F46B93">
        <w:t xml:space="preserve"> (</w:t>
      </w:r>
      <w:r w:rsidR="00575158">
        <w:t>ie</w:t>
      </w:r>
      <w:r w:rsidR="00F46B93">
        <w:t xml:space="preserve"> the respondent was found not to have engaged in wrongdoing) and where it is. </w:t>
      </w:r>
    </w:p>
    <w:p w14:paraId="157A0CD4" w14:textId="04AE251F" w:rsidR="00F46B93" w:rsidRPr="00F46B93" w:rsidRDefault="00F46B93" w:rsidP="003B603C">
      <w:r>
        <w:t>Where an investigation does not find wrongdoing on the part of the respondent, it should identify what adverse consequences may continue for the respondent following the investigation. These could include, for example, damage to the respondent’s reputation or stress on the respondent’s part. Some</w:t>
      </w:r>
      <w:r w:rsidR="00D068FC">
        <w:t> </w:t>
      </w:r>
      <w:r>
        <w:t xml:space="preserve">advice regarding how to manage these risks are discussed below at </w:t>
      </w:r>
      <w:r w:rsidR="009B431B" w:rsidRPr="009B431B">
        <w:rPr>
          <w:b/>
          <w:bCs/>
        </w:rPr>
        <w:fldChar w:fldCharType="begin"/>
      </w:r>
      <w:r w:rsidR="009B431B" w:rsidRPr="009B431B">
        <w:rPr>
          <w:b/>
          <w:bCs/>
        </w:rPr>
        <w:instrText xml:space="preserve"> REF _Ref66725685 \h  \* MERGEFORMAT </w:instrText>
      </w:r>
      <w:r w:rsidR="009B431B" w:rsidRPr="009B431B">
        <w:rPr>
          <w:b/>
          <w:bCs/>
        </w:rPr>
      </w:r>
      <w:r w:rsidR="009B431B" w:rsidRPr="009B431B">
        <w:rPr>
          <w:b/>
          <w:bCs/>
        </w:rPr>
        <w:fldChar w:fldCharType="separate"/>
      </w:r>
      <w:r w:rsidR="00245E6D" w:rsidRPr="00245E6D">
        <w:rPr>
          <w:b/>
          <w:bCs/>
        </w:rPr>
        <w:t>Supporting the respondent throughout the process</w:t>
      </w:r>
      <w:r w:rsidR="009B431B" w:rsidRPr="009B431B">
        <w:rPr>
          <w:b/>
          <w:bCs/>
        </w:rPr>
        <w:fldChar w:fldCharType="end"/>
      </w:r>
      <w:r w:rsidR="009B431B" w:rsidRPr="009B431B">
        <w:t>.</w:t>
      </w:r>
    </w:p>
    <w:p w14:paraId="6C1E9D8C" w14:textId="1550A074" w:rsidR="002E6026" w:rsidRDefault="009F11A5" w:rsidP="003B603C">
      <w:r>
        <w:t>Where the respond</w:t>
      </w:r>
      <w:r w:rsidR="009C01DA">
        <w:t>ent</w:t>
      </w:r>
      <w:r>
        <w:t xml:space="preserve"> is found to have engaged in wrongdoing</w:t>
      </w:r>
      <w:r w:rsidR="002E6026">
        <w:t xml:space="preserve">, it is important to remember that responding to the </w:t>
      </w:r>
      <w:r w:rsidR="006B6F70">
        <w:t>respondent’s</w:t>
      </w:r>
      <w:r w:rsidR="002E6026">
        <w:t xml:space="preserve"> wrongdoing </w:t>
      </w:r>
      <w:r w:rsidR="002E6026" w:rsidRPr="009F11A5">
        <w:t xml:space="preserve">is </w:t>
      </w:r>
      <w:r w:rsidR="00C950FF">
        <w:t>not detriment</w:t>
      </w:r>
      <w:r w:rsidR="002E6026">
        <w:t xml:space="preserve">. </w:t>
      </w:r>
      <w:r w:rsidR="00C950FF">
        <w:t xml:space="preserve">Indeed, </w:t>
      </w:r>
      <w:r w:rsidR="00BE1D42">
        <w:t>heads of public sector</w:t>
      </w:r>
      <w:r w:rsidR="00C950FF">
        <w:t xml:space="preserve"> entities are obliged to discipline the individuals (ie respondent(s)) responsible for disclosable conduct. </w:t>
      </w:r>
      <w:r w:rsidR="002E6026">
        <w:t>However,</w:t>
      </w:r>
      <w:r w:rsidR="00D068FC">
        <w:t> </w:t>
      </w:r>
      <w:r w:rsidR="00BE1D42">
        <w:t>care should be taken</w:t>
      </w:r>
      <w:r w:rsidR="002E6026">
        <w:t xml:space="preserve"> to ensure any action taken in response</w:t>
      </w:r>
      <w:r w:rsidR="00365C5A">
        <w:t xml:space="preserve"> is reasonably justifiable</w:t>
      </w:r>
      <w:r w:rsidR="002E6026">
        <w:t>. This</w:t>
      </w:r>
      <w:r w:rsidR="00D068FC">
        <w:t> </w:t>
      </w:r>
      <w:r w:rsidR="002E6026">
        <w:t xml:space="preserve">means </w:t>
      </w:r>
      <w:r w:rsidR="00BE1D42">
        <w:t xml:space="preserve">limiting </w:t>
      </w:r>
      <w:r w:rsidR="002E6026">
        <w:t>any disciplin</w:t>
      </w:r>
      <w:r w:rsidR="00365C5A">
        <w:t>e</w:t>
      </w:r>
      <w:r w:rsidR="002E6026">
        <w:t xml:space="preserve"> or punishment </w:t>
      </w:r>
      <w:r>
        <w:t>resulting from</w:t>
      </w:r>
      <w:r w:rsidR="002E6026">
        <w:t xml:space="preserve"> the respondent’s wrongdoing </w:t>
      </w:r>
      <w:r>
        <w:t xml:space="preserve">to </w:t>
      </w:r>
      <w:r w:rsidR="00BE1D42">
        <w:t xml:space="preserve">that which is </w:t>
      </w:r>
      <w:r w:rsidR="00365C5A">
        <w:t xml:space="preserve">proportionate and </w:t>
      </w:r>
      <w:r w:rsidR="00BE1D42">
        <w:t>necessary to correct it</w:t>
      </w:r>
      <w:r w:rsidR="002E6026">
        <w:t xml:space="preserve">. </w:t>
      </w:r>
      <w:r>
        <w:t>A</w:t>
      </w:r>
      <w:r w:rsidR="002E6026">
        <w:t>ny proposed disciplin</w:t>
      </w:r>
      <w:r w:rsidR="00365C5A">
        <w:t>e</w:t>
      </w:r>
      <w:r w:rsidR="002E6026">
        <w:t xml:space="preserve"> must not be drawn out, or otherwise adversely </w:t>
      </w:r>
      <w:r w:rsidR="00CA377C">
        <w:t>affect</w:t>
      </w:r>
      <w:r w:rsidR="002E6026">
        <w:t xml:space="preserve"> the respondent beyond that which is </w:t>
      </w:r>
      <w:r w:rsidR="00F961BD">
        <w:t>directed</w:t>
      </w:r>
      <w:r w:rsidR="006B6F70">
        <w:t xml:space="preserve"> by the</w:t>
      </w:r>
      <w:r w:rsidR="00F961BD">
        <w:t xml:space="preserve"> public sector</w:t>
      </w:r>
      <w:r w:rsidR="006B6F70">
        <w:t xml:space="preserve"> </w:t>
      </w:r>
      <w:r w:rsidR="00F961BD">
        <w:t>entity</w:t>
      </w:r>
      <w:r w:rsidR="006B6F70">
        <w:t xml:space="preserve"> head. For example, should a respondent suffer bullying and/or harassment </w:t>
      </w:r>
      <w:r>
        <w:t>after</w:t>
      </w:r>
      <w:r w:rsidR="006B6F70">
        <w:t xml:space="preserve"> being disciplined, this would amount to misconduct on the part of those responsible and require the </w:t>
      </w:r>
      <w:r w:rsidR="001C0019">
        <w:t>investigating entity</w:t>
      </w:r>
      <w:r w:rsidR="006B6F70">
        <w:t xml:space="preserve"> to respond.</w:t>
      </w:r>
    </w:p>
    <w:p w14:paraId="63E95FC4" w14:textId="0B0BBD65" w:rsidR="002E01D6" w:rsidRDefault="002E01D6" w:rsidP="003B603C"/>
    <w:p w14:paraId="5C6D8157" w14:textId="77777777" w:rsidR="002E01D6" w:rsidRPr="002E6026" w:rsidRDefault="002E01D6" w:rsidP="003B603C"/>
    <w:p w14:paraId="7872D83D" w14:textId="0C45A5A4" w:rsidR="002F5AA7" w:rsidRDefault="002F5AA7" w:rsidP="007247D1">
      <w:pPr>
        <w:pStyle w:val="Heading2"/>
      </w:pPr>
      <w:bookmarkStart w:id="278" w:name="_Toc67904049"/>
      <w:bookmarkStart w:id="279" w:name="_Toc75255223"/>
      <w:r>
        <w:lastRenderedPageBreak/>
        <w:t>Practical support</w:t>
      </w:r>
      <w:bookmarkEnd w:id="278"/>
      <w:bookmarkEnd w:id="279"/>
    </w:p>
    <w:p w14:paraId="66F03761" w14:textId="68C3D566" w:rsidR="00D96FB1" w:rsidRPr="00D96FB1" w:rsidRDefault="00D96FB1" w:rsidP="00D96FB1">
      <w:r>
        <w:t xml:space="preserve">The following section provides guidance to </w:t>
      </w:r>
      <w:r w:rsidR="001C0019">
        <w:t>investigating entities</w:t>
      </w:r>
      <w:r>
        <w:t xml:space="preserve"> </w:t>
      </w:r>
      <w:r w:rsidR="008D5EDB">
        <w:t>about</w:t>
      </w:r>
      <w:r>
        <w:t xml:space="preserve"> practical mechanisms to support those involved in </w:t>
      </w:r>
      <w:r w:rsidR="008D5EDB">
        <w:t>a</w:t>
      </w:r>
      <w:r w:rsidR="006605B9">
        <w:t>n</w:t>
      </w:r>
      <w:r w:rsidR="008D5EDB">
        <w:t xml:space="preserve"> </w:t>
      </w:r>
      <w:r>
        <w:t xml:space="preserve">investigation. </w:t>
      </w:r>
      <w:r w:rsidR="008D5EDB">
        <w:t>The</w:t>
      </w:r>
      <w:r>
        <w:t xml:space="preserve"> Commission </w:t>
      </w:r>
      <w:r w:rsidRPr="008D5EDB">
        <w:t>recommends</w:t>
      </w:r>
      <w:r>
        <w:t xml:space="preserve"> </w:t>
      </w:r>
      <w:r w:rsidR="001C0019">
        <w:t>investigating entities</w:t>
      </w:r>
      <w:r>
        <w:t xml:space="preserve"> consider the following when managing a</w:t>
      </w:r>
      <w:r w:rsidR="006605B9">
        <w:t>n</w:t>
      </w:r>
      <w:r>
        <w:t xml:space="preserve"> investigation.</w:t>
      </w:r>
    </w:p>
    <w:p w14:paraId="1477DFC9" w14:textId="49A567C8" w:rsidR="002F5AA7" w:rsidRDefault="002F5AA7" w:rsidP="008749A4">
      <w:pPr>
        <w:pStyle w:val="Heading3"/>
      </w:pPr>
      <w:bookmarkStart w:id="280" w:name="_Ref67902430"/>
      <w:bookmarkStart w:id="281" w:name="_Toc75255224"/>
      <w:r>
        <w:t>Supporting the discloser throughout the process</w:t>
      </w:r>
      <w:bookmarkEnd w:id="280"/>
      <w:bookmarkEnd w:id="281"/>
    </w:p>
    <w:p w14:paraId="1149F46D" w14:textId="293D7DD9" w:rsidR="00D96FB1" w:rsidRDefault="00D96FB1" w:rsidP="00D96FB1">
      <w:r>
        <w:t>Disclosers frequently experience stress and anxiety following the making of a disclosure and throughout the course of any related investigation.</w:t>
      </w:r>
      <w:r w:rsidR="006124CD">
        <w:rPr>
          <w:rStyle w:val="FootnoteReference"/>
        </w:rPr>
        <w:footnoteReference w:id="162"/>
      </w:r>
      <w:r>
        <w:t xml:space="preserve"> </w:t>
      </w:r>
      <w:r w:rsidR="008D5EDB">
        <w:t>T</w:t>
      </w:r>
      <w:r>
        <w:t xml:space="preserve">he subject of the disclosure will </w:t>
      </w:r>
      <w:r w:rsidR="008D5EDB">
        <w:t>probably</w:t>
      </w:r>
      <w:r>
        <w:t xml:space="preserve"> </w:t>
      </w:r>
      <w:r w:rsidR="001E373B">
        <w:t>be significant</w:t>
      </w:r>
      <w:r>
        <w:t xml:space="preserve"> to the</w:t>
      </w:r>
      <w:r w:rsidR="001A69B3">
        <w:t xml:space="preserve"> </w:t>
      </w:r>
      <w:r>
        <w:t xml:space="preserve">discloser, who will </w:t>
      </w:r>
      <w:r w:rsidR="001E373B">
        <w:t>likely</w:t>
      </w:r>
      <w:r>
        <w:t xml:space="preserve"> be emotionally invested in the outcome of any investigation. As such, the Commission </w:t>
      </w:r>
      <w:r w:rsidRPr="001B44A9">
        <w:t>recommends</w:t>
      </w:r>
      <w:r>
        <w:t xml:space="preserve"> that </w:t>
      </w:r>
      <w:r w:rsidR="001C0019">
        <w:t>public sector entities</w:t>
      </w:r>
      <w:r>
        <w:t xml:space="preserve"> have procedures in place which:</w:t>
      </w:r>
      <w:r w:rsidR="008D5EDB">
        <w:rPr>
          <w:rStyle w:val="FootnoteReference"/>
        </w:rPr>
        <w:footnoteReference w:id="163"/>
      </w:r>
    </w:p>
    <w:p w14:paraId="0CC99228" w14:textId="4C36AF74" w:rsidR="00D96FB1" w:rsidRDefault="00D96FB1" w:rsidP="008D1DE6">
      <w:pPr>
        <w:pStyle w:val="ListParagraph"/>
        <w:numPr>
          <w:ilvl w:val="0"/>
          <w:numId w:val="5"/>
        </w:numPr>
      </w:pPr>
      <w:r>
        <w:t>acknowledge the discloser for coming forward with their disclosure;</w:t>
      </w:r>
    </w:p>
    <w:p w14:paraId="16774A1F" w14:textId="77777777" w:rsidR="00D96FB1" w:rsidRDefault="00D96FB1" w:rsidP="008D1DE6">
      <w:pPr>
        <w:pStyle w:val="ListParagraph"/>
        <w:numPr>
          <w:ilvl w:val="0"/>
          <w:numId w:val="5"/>
        </w:numPr>
      </w:pPr>
      <w:r>
        <w:t>provide support and information regarding support options available:</w:t>
      </w:r>
    </w:p>
    <w:p w14:paraId="68F5C3AA" w14:textId="7A083D7E" w:rsidR="00D96FB1" w:rsidRDefault="00D96FB1" w:rsidP="008D1DE6">
      <w:pPr>
        <w:pStyle w:val="ListParagraph"/>
        <w:numPr>
          <w:ilvl w:val="1"/>
          <w:numId w:val="5"/>
        </w:numPr>
      </w:pPr>
      <w:r>
        <w:t xml:space="preserve">within the </w:t>
      </w:r>
      <w:r w:rsidR="00630E94">
        <w:t>public sector entity</w:t>
      </w:r>
      <w:r>
        <w:t xml:space="preserve"> (if the discloser is </w:t>
      </w:r>
      <w:r w:rsidR="00630E94">
        <w:t>a public official</w:t>
      </w:r>
      <w:r>
        <w:t>)</w:t>
      </w:r>
      <w:r w:rsidR="008D5EDB">
        <w:t>; and</w:t>
      </w:r>
    </w:p>
    <w:p w14:paraId="57F54A5A" w14:textId="02A50F7E" w:rsidR="00D96FB1" w:rsidRDefault="00D96FB1" w:rsidP="008D1DE6">
      <w:pPr>
        <w:pStyle w:val="ListParagraph"/>
        <w:numPr>
          <w:ilvl w:val="1"/>
          <w:numId w:val="5"/>
        </w:numPr>
      </w:pPr>
      <w:r>
        <w:t xml:space="preserve">freely available within the community (if the discloser is either </w:t>
      </w:r>
      <w:r w:rsidR="001C0019">
        <w:t>a</w:t>
      </w:r>
      <w:r>
        <w:t xml:space="preserve"> </w:t>
      </w:r>
      <w:r w:rsidR="00630E94">
        <w:t>public official</w:t>
      </w:r>
      <w:r>
        <w:t>, or a member of the public); and</w:t>
      </w:r>
    </w:p>
    <w:p w14:paraId="1E09FF0F" w14:textId="0F677913" w:rsidR="00D96FB1" w:rsidRDefault="00D96FB1" w:rsidP="008D1DE6">
      <w:pPr>
        <w:pStyle w:val="ListParagraph"/>
        <w:numPr>
          <w:ilvl w:val="0"/>
          <w:numId w:val="5"/>
        </w:numPr>
      </w:pPr>
      <w:r>
        <w:t xml:space="preserve">assures </w:t>
      </w:r>
      <w:r w:rsidR="00C950FF">
        <w:t xml:space="preserve">the </w:t>
      </w:r>
      <w:r>
        <w:t xml:space="preserve">discloser that </w:t>
      </w:r>
      <w:r w:rsidR="001C0019">
        <w:t>they</w:t>
      </w:r>
      <w:r w:rsidR="008E6BDC">
        <w:t xml:space="preserve"> will </w:t>
      </w:r>
      <w:r w:rsidR="008D5EDB">
        <w:t xml:space="preserve">take all reasonable steps to </w:t>
      </w:r>
      <w:r w:rsidR="008E6BDC">
        <w:t>protect them.</w:t>
      </w:r>
      <w:r w:rsidR="004A2B67">
        <w:rPr>
          <w:rStyle w:val="FootnoteReference"/>
        </w:rPr>
        <w:footnoteReference w:id="164"/>
      </w:r>
    </w:p>
    <w:p w14:paraId="522FC46A" w14:textId="5D373B6C" w:rsidR="008E6BDC" w:rsidRDefault="008E6BDC" w:rsidP="008E6BDC">
      <w:r>
        <w:t>Although an investigator may be able to provide general information about the investigation process, they are unlikely to be the most appropriate person to support a discloser. Their role is to investigate matters objectively and impartially, and they may sometimes reach a conclusion that the discloser was not expecting</w:t>
      </w:r>
      <w:r w:rsidR="008D5EDB">
        <w:t>.</w:t>
      </w:r>
    </w:p>
    <w:p w14:paraId="4F15692E" w14:textId="4D5466EE" w:rsidR="008E6BDC" w:rsidRDefault="008E6BDC" w:rsidP="008E6BDC">
      <w:r>
        <w:t>Apart from a supervisor or manager (if appropriate)</w:t>
      </w:r>
      <w:r w:rsidR="00171045">
        <w:t>,</w:t>
      </w:r>
      <w:r>
        <w:t xml:space="preserve"> or a disclosure officer, the following sources of support can be </w:t>
      </w:r>
      <w:r w:rsidR="001E373B">
        <w:t>helpful</w:t>
      </w:r>
      <w:r>
        <w:t xml:space="preserve"> to a discloser who is finding the process stressful:</w:t>
      </w:r>
    </w:p>
    <w:p w14:paraId="5885B2B9" w14:textId="77777777" w:rsidR="008E6BDC" w:rsidRDefault="008E6BDC" w:rsidP="008D1DE6">
      <w:pPr>
        <w:pStyle w:val="ListParagraph"/>
        <w:numPr>
          <w:ilvl w:val="0"/>
          <w:numId w:val="5"/>
        </w:numPr>
      </w:pPr>
      <w:r>
        <w:t>peer support officers;</w:t>
      </w:r>
    </w:p>
    <w:p w14:paraId="3DCB7368" w14:textId="77777777" w:rsidR="008E6BDC" w:rsidRDefault="008E6BDC" w:rsidP="008D1DE6">
      <w:pPr>
        <w:pStyle w:val="ListParagraph"/>
        <w:numPr>
          <w:ilvl w:val="0"/>
          <w:numId w:val="5"/>
        </w:numPr>
      </w:pPr>
      <w:r>
        <w:t>family and friends; and</w:t>
      </w:r>
    </w:p>
    <w:p w14:paraId="14DF5635" w14:textId="7841CA80" w:rsidR="008E6BDC" w:rsidRDefault="008E6BDC" w:rsidP="008D1DE6">
      <w:pPr>
        <w:pStyle w:val="ListParagraph"/>
        <w:numPr>
          <w:ilvl w:val="0"/>
          <w:numId w:val="5"/>
        </w:numPr>
      </w:pPr>
      <w:r>
        <w:t xml:space="preserve">Employee Assistance Programs </w:t>
      </w:r>
      <w:r w:rsidR="00C950FF">
        <w:t>that</w:t>
      </w:r>
      <w:r>
        <w:t xml:space="preserve"> provide access to professional counselling services.</w:t>
      </w:r>
    </w:p>
    <w:p w14:paraId="143A5D2D" w14:textId="5A58F251" w:rsidR="008E6BDC" w:rsidRPr="008E6BDC" w:rsidRDefault="008E6BDC" w:rsidP="008E6BDC">
      <w:r>
        <w:t xml:space="preserve">Throughout the course of the investigation, </w:t>
      </w:r>
      <w:r w:rsidR="001C0019">
        <w:t>investigating entities</w:t>
      </w:r>
      <w:r>
        <w:t xml:space="preserve"> should regularly check in with disclosers regarding their welfare and ensure they are not being, or threatened with being, subjected to any </w:t>
      </w:r>
      <w:r w:rsidR="006B6F70">
        <w:t>detrimental</w:t>
      </w:r>
      <w:r>
        <w:t xml:space="preserve"> action. The</w:t>
      </w:r>
      <w:r w:rsidR="007532CF">
        <w:t xml:space="preserve"> </w:t>
      </w:r>
      <w:r>
        <w:t xml:space="preserve">Commission </w:t>
      </w:r>
      <w:r w:rsidRPr="00171045">
        <w:t>recommends</w:t>
      </w:r>
      <w:r>
        <w:rPr>
          <w:b/>
          <w:bCs/>
        </w:rPr>
        <w:t xml:space="preserve"> </w:t>
      </w:r>
      <w:r>
        <w:t>this occur</w:t>
      </w:r>
      <w:r w:rsidR="006B6F70">
        <w:t>, at a minimum,</w:t>
      </w:r>
      <w:r>
        <w:t xml:space="preserve"> </w:t>
      </w:r>
      <w:r w:rsidR="00171045">
        <w:t>when</w:t>
      </w:r>
      <w:r>
        <w:t xml:space="preserve"> the </w:t>
      </w:r>
      <w:r w:rsidR="001C0019">
        <w:t>investigating entity</w:t>
      </w:r>
      <w:r>
        <w:t xml:space="preserve"> notifies the discloser of the progress of the investigation (see </w:t>
      </w:r>
      <w:r w:rsidR="009B431B" w:rsidRPr="009B431B">
        <w:rPr>
          <w:b/>
          <w:bCs/>
        </w:rPr>
        <w:fldChar w:fldCharType="begin"/>
      </w:r>
      <w:r w:rsidR="009B431B" w:rsidRPr="009B431B">
        <w:rPr>
          <w:b/>
          <w:bCs/>
        </w:rPr>
        <w:instrText xml:space="preserve"> REF _Ref62484949 \h  \* MERGEFORMAT </w:instrText>
      </w:r>
      <w:r w:rsidR="009B431B" w:rsidRPr="009B431B">
        <w:rPr>
          <w:b/>
          <w:bCs/>
        </w:rPr>
      </w:r>
      <w:r w:rsidR="009B431B" w:rsidRPr="009B431B">
        <w:rPr>
          <w:b/>
          <w:bCs/>
        </w:rPr>
        <w:fldChar w:fldCharType="separate"/>
      </w:r>
      <w:r w:rsidR="00245E6D" w:rsidRPr="00245E6D">
        <w:rPr>
          <w:b/>
          <w:bCs/>
        </w:rPr>
        <w:t>Keeping the discloser informed</w:t>
      </w:r>
      <w:r w:rsidR="009B431B" w:rsidRPr="009B431B">
        <w:rPr>
          <w:b/>
          <w:bCs/>
        </w:rPr>
        <w:fldChar w:fldCharType="end"/>
      </w:r>
      <w:r>
        <w:t>).</w:t>
      </w:r>
    </w:p>
    <w:p w14:paraId="3EA6357E" w14:textId="708A7979" w:rsidR="008E6BDC" w:rsidRPr="008E6BDC" w:rsidRDefault="008E6BDC" w:rsidP="008E6BDC">
      <w:r>
        <w:rPr>
          <w:b/>
          <w:bCs/>
        </w:rPr>
        <w:t>Important:</w:t>
      </w:r>
      <w:r>
        <w:t xml:space="preserve"> Where the investigator or another party has a genuine and reasonable fear that harm (whether physical or mental) may threaten the discloser, the investigator </w:t>
      </w:r>
      <w:r w:rsidRPr="00171045">
        <w:t>must</w:t>
      </w:r>
      <w:r>
        <w:t xml:space="preserve"> ensure they comply with any workplace</w:t>
      </w:r>
      <w:r w:rsidR="00CC694F">
        <w:t xml:space="preserve"> </w:t>
      </w:r>
      <w:r>
        <w:t>health and safety legislation that applies. If a referral to a doctor or the police is required, the investigator must only disclose what is reasonably necessary to ensure the discloser’s safety.</w:t>
      </w:r>
    </w:p>
    <w:p w14:paraId="40464ECB" w14:textId="3EFDD11F" w:rsidR="008E6BDC" w:rsidRPr="008E6BDC" w:rsidRDefault="008E6BDC" w:rsidP="008E6BDC">
      <w:r>
        <w:rPr>
          <w:b/>
          <w:bCs/>
        </w:rPr>
        <w:t>Important:</w:t>
      </w:r>
      <w:r>
        <w:t xml:space="preserve"> While the above </w:t>
      </w:r>
      <w:r w:rsidR="00171045">
        <w:t>refers to</w:t>
      </w:r>
      <w:r>
        <w:t xml:space="preserve"> disclosers, the same principles </w:t>
      </w:r>
      <w:r w:rsidR="00171045">
        <w:t>apply</w:t>
      </w:r>
      <w:r>
        <w:t xml:space="preserve"> in supporting witnesses.</w:t>
      </w:r>
    </w:p>
    <w:p w14:paraId="6BC75984" w14:textId="00B15F43" w:rsidR="002F5AA7" w:rsidRDefault="002F5AA7" w:rsidP="008749A4">
      <w:pPr>
        <w:pStyle w:val="Heading3"/>
      </w:pPr>
      <w:bookmarkStart w:id="282" w:name="_Ref66725685"/>
      <w:bookmarkStart w:id="283" w:name="_Toc75255225"/>
      <w:r>
        <w:t>Supporting the respondent throughout the process</w:t>
      </w:r>
      <w:bookmarkEnd w:id="282"/>
      <w:bookmarkEnd w:id="283"/>
    </w:p>
    <w:p w14:paraId="2FA04C5B" w14:textId="2F236E4B" w:rsidR="006E61C1" w:rsidRDefault="00365C5A" w:rsidP="006E61C1">
      <w:r>
        <w:t xml:space="preserve">The investigating entity must comply with the rules of natural justice and procedural fairness in relation to investigating the disclosure. In substance, this means ensuring the investigator is unbiased and the respondent has an opportunity to be heard before adverse findings are made or adverse actions taken. </w:t>
      </w:r>
      <w:r w:rsidR="006E61C1">
        <w:t xml:space="preserve">Where the </w:t>
      </w:r>
      <w:r w:rsidR="001C0019">
        <w:t>investigating entity</w:t>
      </w:r>
      <w:r w:rsidR="006E61C1">
        <w:t xml:space="preserve"> complies with the principles of procedural fairness and natural justice, this will likely meet the minimum expected threshold in terms of ‘supporting’ the respondent</w:t>
      </w:r>
      <w:r w:rsidR="00316356">
        <w:t>(</w:t>
      </w:r>
      <w:r w:rsidR="006E61C1">
        <w:t>s</w:t>
      </w:r>
      <w:r w:rsidR="00316356">
        <w:t>)</w:t>
      </w:r>
      <w:r w:rsidR="006E61C1">
        <w:t>.</w:t>
      </w:r>
    </w:p>
    <w:p w14:paraId="630BF1DD" w14:textId="77777777" w:rsidR="003E5967" w:rsidRDefault="00612AB9" w:rsidP="006E61C1">
      <w:r>
        <w:t xml:space="preserve">The Commission </w:t>
      </w:r>
      <w:r w:rsidRPr="00171045">
        <w:t>recommends</w:t>
      </w:r>
      <w:r>
        <w:t xml:space="preserve"> that </w:t>
      </w:r>
      <w:r w:rsidR="001C0019">
        <w:t>investigating entities</w:t>
      </w:r>
      <w:r>
        <w:t xml:space="preserve"> take additional steps to support respondent</w:t>
      </w:r>
      <w:r w:rsidR="00316356">
        <w:t>(</w:t>
      </w:r>
      <w:r>
        <w:t>s</w:t>
      </w:r>
      <w:r w:rsidR="00316356">
        <w:t>)</w:t>
      </w:r>
      <w:r>
        <w:t>. This is because the investigation process, no matter how administratively proper and procedurally fair, will be a stressful experience for the respondent</w:t>
      </w:r>
      <w:r w:rsidR="00316356">
        <w:t>(</w:t>
      </w:r>
      <w:r>
        <w:t>s</w:t>
      </w:r>
      <w:r w:rsidR="00316356">
        <w:t>)</w:t>
      </w:r>
      <w:r>
        <w:t xml:space="preserve">. </w:t>
      </w:r>
      <w:r w:rsidR="00365C5A">
        <w:t>I</w:t>
      </w:r>
      <w:r>
        <w:t xml:space="preserve">t is always possible that the </w:t>
      </w:r>
      <w:r w:rsidR="00171045">
        <w:t xml:space="preserve">investigation </w:t>
      </w:r>
      <w:r w:rsidR="00843A86">
        <w:t>might</w:t>
      </w:r>
      <w:r>
        <w:t xml:space="preserve"> make no</w:t>
      </w:r>
      <w:r w:rsidR="007532CF">
        <w:t xml:space="preserve"> </w:t>
      </w:r>
      <w:r>
        <w:t xml:space="preserve">findings </w:t>
      </w:r>
      <w:r w:rsidR="00171045">
        <w:t>of</w:t>
      </w:r>
      <w:r>
        <w:t xml:space="preserve"> wrongdoing on the part of the respondent</w:t>
      </w:r>
      <w:r w:rsidR="00316356">
        <w:t>(</w:t>
      </w:r>
      <w:r>
        <w:t>s</w:t>
      </w:r>
      <w:r w:rsidR="00316356">
        <w:t>)</w:t>
      </w:r>
      <w:r>
        <w:t xml:space="preserve">. </w:t>
      </w:r>
      <w:r w:rsidR="00171045">
        <w:t>It may in fact show the respondent in a positive</w:t>
      </w:r>
      <w:r w:rsidR="007532CF">
        <w:t xml:space="preserve"> </w:t>
      </w:r>
      <w:r w:rsidR="00171045">
        <w:t xml:space="preserve">light. </w:t>
      </w:r>
    </w:p>
    <w:p w14:paraId="30418D35" w14:textId="1FADA126" w:rsidR="00612AB9" w:rsidRDefault="00612AB9" w:rsidP="006E61C1">
      <w:r>
        <w:lastRenderedPageBreak/>
        <w:t xml:space="preserve">Many of the recommended strategies for supporting disclosers and/or witnesses may easily be applied to </w:t>
      </w:r>
      <w:r w:rsidR="0004181A">
        <w:t>respondents</w:t>
      </w:r>
      <w:r>
        <w:t xml:space="preserve"> as well. It is </w:t>
      </w:r>
      <w:r w:rsidRPr="00171045">
        <w:t>important</w:t>
      </w:r>
      <w:r>
        <w:t xml:space="preserve"> that support options be </w:t>
      </w:r>
      <w:r w:rsidR="00843A86">
        <w:t>available</w:t>
      </w:r>
      <w:r>
        <w:t xml:space="preserve"> to the respondent</w:t>
      </w:r>
      <w:r w:rsidR="00316356">
        <w:t>(</w:t>
      </w:r>
      <w:r>
        <w:t>s</w:t>
      </w:r>
      <w:r w:rsidR="00316356">
        <w:t>)</w:t>
      </w:r>
      <w:r>
        <w:t xml:space="preserve"> where findings are made against them.</w:t>
      </w:r>
    </w:p>
    <w:p w14:paraId="29E27DE1" w14:textId="0E2225A2" w:rsidR="006B6F70" w:rsidRDefault="00252B0C" w:rsidP="006E61C1">
      <w:r>
        <w:t>The Commission also</w:t>
      </w:r>
      <w:r w:rsidR="006B6F70">
        <w:t xml:space="preserve"> recommend</w:t>
      </w:r>
      <w:r>
        <w:t>s</w:t>
      </w:r>
      <w:r w:rsidR="006B6F70">
        <w:t xml:space="preserve"> that respondent</w:t>
      </w:r>
      <w:r w:rsidR="00316356">
        <w:t>(</w:t>
      </w:r>
      <w:r w:rsidR="006B6F70">
        <w:t>s</w:t>
      </w:r>
      <w:r w:rsidR="00316356">
        <w:t>)</w:t>
      </w:r>
      <w:r w:rsidR="006B6F70">
        <w:t xml:space="preserve"> be offered the opportunity to secure a support person</w:t>
      </w:r>
      <w:r w:rsidR="004F7CD3">
        <w:t xml:space="preserve">, </w:t>
      </w:r>
      <w:r w:rsidR="00F375BC">
        <w:t xml:space="preserve">for example, </w:t>
      </w:r>
      <w:r w:rsidR="004F7CD3">
        <w:t>when being interview</w:t>
      </w:r>
      <w:r w:rsidR="00F375BC">
        <w:t>ed</w:t>
      </w:r>
      <w:r w:rsidR="006B6F70">
        <w:t xml:space="preserve">. </w:t>
      </w:r>
      <w:r w:rsidR="004F7CD3">
        <w:t xml:space="preserve">The respondent may disclose to their support person the nature of the allegations which are being investigated. </w:t>
      </w:r>
      <w:r w:rsidR="006B6F70">
        <w:t xml:space="preserve">The support person </w:t>
      </w:r>
      <w:r w:rsidR="00365C5A">
        <w:t>does not represent the respondent</w:t>
      </w:r>
      <w:r w:rsidR="006B6F70">
        <w:t xml:space="preserve"> and </w:t>
      </w:r>
      <w:r w:rsidR="00612AB9">
        <w:t>should not be permitted to contribute or participate in the investigative process.</w:t>
      </w:r>
      <w:r w:rsidR="00612AB9">
        <w:rPr>
          <w:rStyle w:val="FootnoteReference"/>
        </w:rPr>
        <w:footnoteReference w:id="165"/>
      </w:r>
      <w:r w:rsidR="00612AB9">
        <w:t xml:space="preserve"> The</w:t>
      </w:r>
      <w:r w:rsidR="00D068FC">
        <w:t> </w:t>
      </w:r>
      <w:r w:rsidR="00612AB9">
        <w:t>role of the support person is to listen and provide emotional support to the respondent</w:t>
      </w:r>
      <w:r w:rsidR="004F7CD3">
        <w:t>, not</w:t>
      </w:r>
      <w:r w:rsidR="009B431B">
        <w:t xml:space="preserve"> to</w:t>
      </w:r>
      <w:r w:rsidR="004F7CD3">
        <w:t xml:space="preserve"> be </w:t>
      </w:r>
      <w:r w:rsidR="009B431B">
        <w:t>their</w:t>
      </w:r>
      <w:r w:rsidR="004F7CD3">
        <w:t xml:space="preserve"> advocate</w:t>
      </w:r>
      <w:r w:rsidR="00612AB9">
        <w:t xml:space="preserve">. </w:t>
      </w:r>
      <w:r w:rsidR="00365C5A">
        <w:t xml:space="preserve">The </w:t>
      </w:r>
      <w:r w:rsidR="00612AB9">
        <w:t xml:space="preserve">support person must be cautioned </w:t>
      </w:r>
      <w:r w:rsidR="004F7CD3">
        <w:t>that they are not to discuss the matter with anyone external to the investigation (</w:t>
      </w:r>
      <w:r w:rsidR="00575158">
        <w:t>eg</w:t>
      </w:r>
      <w:r w:rsidR="007532CF">
        <w:t xml:space="preserve"> </w:t>
      </w:r>
      <w:r w:rsidR="004F7CD3">
        <w:t>colleagues, friends etc). Support persons should also be reminded that detrimental action taken against a discloser is a criminal offence, for which significant penalties apply.</w:t>
      </w:r>
    </w:p>
    <w:p w14:paraId="321F7D0D" w14:textId="6C69347F" w:rsidR="00612AB9" w:rsidRPr="00612AB9" w:rsidRDefault="00612AB9" w:rsidP="006E61C1">
      <w:r>
        <w:rPr>
          <w:b/>
          <w:bCs/>
        </w:rPr>
        <w:t>Important</w:t>
      </w:r>
      <w:r>
        <w:t xml:space="preserve">: While offering a support person is not a positive obligation held by the </w:t>
      </w:r>
      <w:r w:rsidR="001C0019">
        <w:t>investigating entity</w:t>
      </w:r>
      <w:r>
        <w:t>, a</w:t>
      </w:r>
      <w:r w:rsidR="004F7CD3">
        <w:t>n unreasonable</w:t>
      </w:r>
      <w:r>
        <w:t xml:space="preserve"> failure to accommodate a </w:t>
      </w:r>
      <w:r w:rsidRPr="001B44A9">
        <w:t>request</w:t>
      </w:r>
      <w:r>
        <w:t xml:space="preserve"> for a support person may</w:t>
      </w:r>
      <w:r w:rsidR="004F7CD3">
        <w:t xml:space="preserve"> make a </w:t>
      </w:r>
      <w:r w:rsidR="001440B9">
        <w:t xml:space="preserve">subsequent </w:t>
      </w:r>
      <w:r w:rsidR="004F7CD3">
        <w:t>dismissal harsh, unjust or unreasonable</w:t>
      </w:r>
      <w:r>
        <w:t>.</w:t>
      </w:r>
      <w:r>
        <w:rPr>
          <w:rStyle w:val="FootnoteReference"/>
        </w:rPr>
        <w:footnoteReference w:id="166"/>
      </w:r>
    </w:p>
    <w:p w14:paraId="3FD81953" w14:textId="274BB47D" w:rsidR="00FE70B8" w:rsidRDefault="001440B9" w:rsidP="007247D1">
      <w:pPr>
        <w:pStyle w:val="Heading1"/>
      </w:pPr>
      <w:bookmarkStart w:id="284" w:name="_Toc67904050"/>
      <w:r>
        <w:br w:type="column"/>
      </w:r>
      <w:bookmarkStart w:id="285" w:name="_Toc75255226"/>
      <w:r w:rsidR="00F46B93">
        <w:lastRenderedPageBreak/>
        <w:t>The role of the Ombudsman and the courts</w:t>
      </w:r>
      <w:bookmarkEnd w:id="284"/>
      <w:bookmarkEnd w:id="285"/>
    </w:p>
    <w:p w14:paraId="031A5347" w14:textId="1D6510A7" w:rsidR="0062134C" w:rsidRPr="0062134C" w:rsidRDefault="0062134C" w:rsidP="0062134C">
      <w:r>
        <w:t xml:space="preserve">The following section provides </w:t>
      </w:r>
      <w:r w:rsidR="00CC694F">
        <w:t>a summary</w:t>
      </w:r>
      <w:r>
        <w:t xml:space="preserve"> </w:t>
      </w:r>
      <w:r w:rsidR="00074F90">
        <w:t>of</w:t>
      </w:r>
      <w:r>
        <w:t xml:space="preserve"> the roles </w:t>
      </w:r>
      <w:r w:rsidR="00CC694F">
        <w:t xml:space="preserve">which the Ombudsman and </w:t>
      </w:r>
      <w:r w:rsidR="00C950FF">
        <w:t>c</w:t>
      </w:r>
      <w:r w:rsidR="00CC694F">
        <w:t>ourts have under the PID Act.</w:t>
      </w:r>
    </w:p>
    <w:p w14:paraId="7C2282CF" w14:textId="77777777" w:rsidR="007C7D0E" w:rsidRDefault="007C7D0E" w:rsidP="007247D1">
      <w:pPr>
        <w:pStyle w:val="Heading2"/>
      </w:pPr>
      <w:bookmarkStart w:id="286" w:name="_Toc57188846"/>
      <w:bookmarkStart w:id="287" w:name="_Toc67904051"/>
      <w:bookmarkStart w:id="288" w:name="_Toc75255227"/>
      <w:r>
        <w:t>The role of the Ombudsman</w:t>
      </w:r>
      <w:bookmarkEnd w:id="286"/>
      <w:bookmarkEnd w:id="287"/>
      <w:bookmarkEnd w:id="288"/>
    </w:p>
    <w:p w14:paraId="53012E78" w14:textId="6497F1BE" w:rsidR="007C7D0E" w:rsidRDefault="007C7D0E" w:rsidP="007C7D0E">
      <w:r>
        <w:t>The Ombudsman can receive complaints regarding actions or decisions taken in respect of PIDs and/or disclosures of disclosable conduct by</w:t>
      </w:r>
      <w:r w:rsidR="00530CFF">
        <w:t xml:space="preserve"> the</w:t>
      </w:r>
      <w:r>
        <w:t>:</w:t>
      </w:r>
    </w:p>
    <w:p w14:paraId="6F608164" w14:textId="35E7F872" w:rsidR="007C7D0E" w:rsidRDefault="00630E94" w:rsidP="008D1DE6">
      <w:pPr>
        <w:pStyle w:val="ListParagraph"/>
        <w:numPr>
          <w:ilvl w:val="0"/>
          <w:numId w:val="2"/>
        </w:numPr>
      </w:pPr>
      <w:r>
        <w:t>H</w:t>
      </w:r>
      <w:r w:rsidR="007C7D0E">
        <w:t xml:space="preserve">ead of </w:t>
      </w:r>
      <w:r w:rsidR="00C950FF">
        <w:t xml:space="preserve">a </w:t>
      </w:r>
      <w:r>
        <w:t>public sector entity</w:t>
      </w:r>
      <w:r w:rsidR="00530CFF">
        <w:t>;</w:t>
      </w:r>
      <w:r w:rsidR="00AA1E56">
        <w:rPr>
          <w:rStyle w:val="FootnoteReference"/>
        </w:rPr>
        <w:footnoteReference w:id="167"/>
      </w:r>
      <w:r w:rsidR="00530CFF">
        <w:t xml:space="preserve"> </w:t>
      </w:r>
    </w:p>
    <w:p w14:paraId="6450C453" w14:textId="66782A4D" w:rsidR="007C7D0E" w:rsidRDefault="00630E94" w:rsidP="008D1DE6">
      <w:pPr>
        <w:pStyle w:val="ListParagraph"/>
        <w:numPr>
          <w:ilvl w:val="0"/>
          <w:numId w:val="2"/>
        </w:numPr>
      </w:pPr>
      <w:r>
        <w:t>H</w:t>
      </w:r>
      <w:r w:rsidR="007C7D0E">
        <w:t>ead of service</w:t>
      </w:r>
      <w:r w:rsidR="00530CFF">
        <w:t>;</w:t>
      </w:r>
      <w:r w:rsidR="00AA1E56">
        <w:rPr>
          <w:rStyle w:val="FootnoteReference"/>
        </w:rPr>
        <w:footnoteReference w:id="168"/>
      </w:r>
      <w:r w:rsidR="00530CFF">
        <w:t xml:space="preserve"> and</w:t>
      </w:r>
    </w:p>
    <w:p w14:paraId="09888CAE" w14:textId="08D4D32C" w:rsidR="007C7D0E" w:rsidRDefault="007C7D0E" w:rsidP="008D1DE6">
      <w:pPr>
        <w:pStyle w:val="ListParagraph"/>
        <w:numPr>
          <w:ilvl w:val="0"/>
          <w:numId w:val="2"/>
        </w:numPr>
      </w:pPr>
      <w:r>
        <w:t>Public Sector Standards Commissioner</w:t>
      </w:r>
      <w:r w:rsidR="00530CFF">
        <w:t>.</w:t>
      </w:r>
      <w:r w:rsidR="00AA1E56">
        <w:rPr>
          <w:rStyle w:val="FootnoteReference"/>
        </w:rPr>
        <w:footnoteReference w:id="169"/>
      </w:r>
    </w:p>
    <w:p w14:paraId="5689B199" w14:textId="77777777" w:rsidR="007C7D0E" w:rsidRDefault="007C7D0E" w:rsidP="007C7D0E">
      <w:r>
        <w:t>The Ombudsman, in response to complaints, may:</w:t>
      </w:r>
    </w:p>
    <w:p w14:paraId="7B6F11DF" w14:textId="71B752BF" w:rsidR="007C7D0E" w:rsidRDefault="00530CFF" w:rsidP="008D1DE6">
      <w:pPr>
        <w:pStyle w:val="ListParagraph"/>
        <w:numPr>
          <w:ilvl w:val="0"/>
          <w:numId w:val="2"/>
        </w:numPr>
      </w:pPr>
      <w:r>
        <w:t>p</w:t>
      </w:r>
      <w:r w:rsidR="007C7D0E">
        <w:t xml:space="preserve">rovide advice to the </w:t>
      </w:r>
      <w:r w:rsidR="00074F90">
        <w:t>complainant</w:t>
      </w:r>
      <w:r>
        <w:t>;</w:t>
      </w:r>
      <w:r w:rsidR="00AA1E56">
        <w:rPr>
          <w:rStyle w:val="FootnoteReference"/>
        </w:rPr>
        <w:footnoteReference w:id="170"/>
      </w:r>
    </w:p>
    <w:p w14:paraId="6F0D894D" w14:textId="79712A49" w:rsidR="007C7D0E" w:rsidRDefault="00530CFF" w:rsidP="008D1DE6">
      <w:pPr>
        <w:pStyle w:val="ListParagraph"/>
        <w:numPr>
          <w:ilvl w:val="0"/>
          <w:numId w:val="2"/>
        </w:numPr>
      </w:pPr>
      <w:r>
        <w:t>m</w:t>
      </w:r>
      <w:r w:rsidR="007C7D0E">
        <w:t xml:space="preserve">onitor the </w:t>
      </w:r>
      <w:r w:rsidR="002B2B3B">
        <w:t>public sector entity</w:t>
      </w:r>
      <w:r w:rsidR="007C7D0E">
        <w:t xml:space="preserve"> </w:t>
      </w:r>
      <w:r w:rsidR="00C950FF">
        <w:t xml:space="preserve">the </w:t>
      </w:r>
      <w:r w:rsidR="007C7D0E">
        <w:t>subject of the complaint regarding its treatment of disclosures of disclosable conduct</w:t>
      </w:r>
      <w:r>
        <w:t>;</w:t>
      </w:r>
      <w:r w:rsidR="00AA1E56">
        <w:rPr>
          <w:rStyle w:val="FootnoteReference"/>
        </w:rPr>
        <w:footnoteReference w:id="171"/>
      </w:r>
    </w:p>
    <w:p w14:paraId="75594163" w14:textId="3E235A4E" w:rsidR="007C7D0E" w:rsidRDefault="00530CFF" w:rsidP="008D1DE6">
      <w:pPr>
        <w:pStyle w:val="ListParagraph"/>
        <w:numPr>
          <w:ilvl w:val="0"/>
          <w:numId w:val="2"/>
        </w:numPr>
      </w:pPr>
      <w:r>
        <w:t>r</w:t>
      </w:r>
      <w:r w:rsidR="007C7D0E">
        <w:t>eview the treatment of the complainant’s PID and/or disclosure of disclosable conduct by the</w:t>
      </w:r>
      <w:r w:rsidR="001A69B3">
        <w:t xml:space="preserve"> </w:t>
      </w:r>
      <w:r w:rsidR="002B2B3B">
        <w:t>public sector entity</w:t>
      </w:r>
      <w:r>
        <w:t>;</w:t>
      </w:r>
      <w:r w:rsidR="00AA1E56">
        <w:rPr>
          <w:rStyle w:val="FootnoteReference"/>
        </w:rPr>
        <w:footnoteReference w:id="172"/>
      </w:r>
      <w:r>
        <w:t xml:space="preserve"> and</w:t>
      </w:r>
    </w:p>
    <w:p w14:paraId="7C2E5AE3" w14:textId="3DAC63EE" w:rsidR="007C7D0E" w:rsidRDefault="00530CFF" w:rsidP="008D1DE6">
      <w:pPr>
        <w:pStyle w:val="ListParagraph"/>
        <w:numPr>
          <w:ilvl w:val="0"/>
          <w:numId w:val="2"/>
        </w:numPr>
      </w:pPr>
      <w:r>
        <w:t>i</w:t>
      </w:r>
      <w:r w:rsidR="007C7D0E">
        <w:t>nterven</w:t>
      </w:r>
      <w:r w:rsidR="00074F90">
        <w:t>e</w:t>
      </w:r>
      <w:r w:rsidR="007C7D0E">
        <w:t xml:space="preserve"> to provide just outcomes to those affected by detrimental action in response to the making of a disclosure of disclosable conduct and/or PID.</w:t>
      </w:r>
      <w:r w:rsidR="00AA1E56">
        <w:rPr>
          <w:rStyle w:val="FootnoteReference"/>
        </w:rPr>
        <w:footnoteReference w:id="173"/>
      </w:r>
    </w:p>
    <w:p w14:paraId="1961B446" w14:textId="2C93DFF0" w:rsidR="007C7D0E" w:rsidRPr="002C6668" w:rsidRDefault="00074F90" w:rsidP="00AF3226">
      <w:r>
        <w:rPr>
          <w:b/>
          <w:bCs/>
        </w:rPr>
        <w:t>Important</w:t>
      </w:r>
      <w:r w:rsidR="007C7D0E">
        <w:rPr>
          <w:b/>
          <w:bCs/>
        </w:rPr>
        <w:t xml:space="preserve">: </w:t>
      </w:r>
      <w:r w:rsidR="007C7D0E">
        <w:t>The Ombudsman cannot review decisions and/or actions taken by the Commission.</w:t>
      </w:r>
      <w:r>
        <w:t xml:space="preserve"> </w:t>
      </w:r>
      <w:r w:rsidR="002C6668">
        <w:t>Should</w:t>
      </w:r>
      <w:r w:rsidR="00EE7F48">
        <w:t> </w:t>
      </w:r>
      <w:r w:rsidR="002C6668">
        <w:t>a complainant have concerns with the way the Commission has dealt with a PID, this must be made to the</w:t>
      </w:r>
      <w:r w:rsidR="001A69B3">
        <w:t xml:space="preserve"> </w:t>
      </w:r>
      <w:r w:rsidR="002C6668">
        <w:t xml:space="preserve">Inspector, where it will be dealt with as a complaint under the </w:t>
      </w:r>
      <w:r w:rsidR="009B431B">
        <w:t>IC ACT</w:t>
      </w:r>
      <w:r w:rsidR="00AF3226">
        <w:t>.</w:t>
      </w:r>
      <w:r w:rsidR="002C6668">
        <w:rPr>
          <w:rStyle w:val="FootnoteReference"/>
        </w:rPr>
        <w:footnoteReference w:id="174"/>
      </w:r>
    </w:p>
    <w:p w14:paraId="3E010A89" w14:textId="77777777" w:rsidR="004178CF" w:rsidRDefault="004178CF" w:rsidP="007247D1">
      <w:pPr>
        <w:pStyle w:val="Heading2"/>
      </w:pPr>
      <w:bookmarkStart w:id="289" w:name="_Toc67904052"/>
      <w:bookmarkStart w:id="290" w:name="_Toc75255228"/>
      <w:r>
        <w:t>Access to courts</w:t>
      </w:r>
      <w:bookmarkEnd w:id="289"/>
      <w:bookmarkEnd w:id="290"/>
    </w:p>
    <w:p w14:paraId="48FE039C" w14:textId="7BF72BAF" w:rsidR="004178CF" w:rsidRDefault="002C6668" w:rsidP="004178CF">
      <w:r>
        <w:t>Those</w:t>
      </w:r>
      <w:r w:rsidR="004178CF">
        <w:t xml:space="preserve"> who have suffered, or are threatened with, detrimental action </w:t>
      </w:r>
      <w:r>
        <w:t>can</w:t>
      </w:r>
      <w:r w:rsidR="004178CF">
        <w:t xml:space="preserve"> seek judicial remedies. These</w:t>
      </w:r>
      <w:r w:rsidR="00EE7F48">
        <w:t> </w:t>
      </w:r>
      <w:r w:rsidR="004178CF">
        <w:t>include:</w:t>
      </w:r>
    </w:p>
    <w:p w14:paraId="53DD4958" w14:textId="27226B62" w:rsidR="004178CF" w:rsidRDefault="004178CF" w:rsidP="008D1DE6">
      <w:pPr>
        <w:pStyle w:val="ListParagraph"/>
        <w:numPr>
          <w:ilvl w:val="0"/>
          <w:numId w:val="5"/>
        </w:numPr>
      </w:pPr>
      <w:r>
        <w:t>Supreme Court injunctions to prevent detrimental action occurring, or remedy detrimental action</w:t>
      </w:r>
      <w:r w:rsidR="002C6668">
        <w:t xml:space="preserve"> that has already happened</w:t>
      </w:r>
      <w:r>
        <w:t>;</w:t>
      </w:r>
      <w:r w:rsidR="002C6668">
        <w:rPr>
          <w:rStyle w:val="FootnoteReference"/>
        </w:rPr>
        <w:footnoteReference w:id="175"/>
      </w:r>
      <w:r>
        <w:t xml:space="preserve"> and</w:t>
      </w:r>
    </w:p>
    <w:p w14:paraId="6B538E5B" w14:textId="07958D84" w:rsidR="004178CF" w:rsidRDefault="002C6668" w:rsidP="008D1DE6">
      <w:pPr>
        <w:pStyle w:val="ListParagraph"/>
        <w:numPr>
          <w:ilvl w:val="0"/>
          <w:numId w:val="5"/>
        </w:numPr>
      </w:pPr>
      <w:r>
        <w:t xml:space="preserve">being awarded </w:t>
      </w:r>
      <w:r w:rsidR="004178CF">
        <w:t>damages to recompense the victim of the detrimental action</w:t>
      </w:r>
      <w:r w:rsidR="00AA1E56">
        <w:t>.</w:t>
      </w:r>
      <w:r w:rsidR="00AA1E56">
        <w:rPr>
          <w:rStyle w:val="FootnoteReference"/>
        </w:rPr>
        <w:footnoteReference w:id="176"/>
      </w:r>
    </w:p>
    <w:p w14:paraId="7F892DA5" w14:textId="14BB9C6B" w:rsidR="004178CF" w:rsidRPr="005D1012" w:rsidRDefault="004178CF" w:rsidP="004178CF">
      <w:r>
        <w:rPr>
          <w:b/>
          <w:bCs/>
        </w:rPr>
        <w:t>Note:</w:t>
      </w:r>
      <w:r>
        <w:t xml:space="preserve"> Nothing prevents an applicant from seeking both remedies (</w:t>
      </w:r>
      <w:r w:rsidR="00575158">
        <w:t>ie</w:t>
      </w:r>
      <w:r>
        <w:t xml:space="preserve"> injunctions and damages), and applicants </w:t>
      </w:r>
      <w:r w:rsidR="002C6668">
        <w:t xml:space="preserve">may </w:t>
      </w:r>
      <w:r>
        <w:t xml:space="preserve">maintain any other cause of action, independent of the PID Act, which may be available to them. </w:t>
      </w:r>
    </w:p>
    <w:p w14:paraId="4CA9050F" w14:textId="77777777" w:rsidR="004178CF" w:rsidRDefault="004178CF" w:rsidP="00EB3E4B">
      <w:pPr>
        <w:pStyle w:val="Heading4"/>
      </w:pPr>
      <w:r>
        <w:t>Fair Work Commission</w:t>
      </w:r>
    </w:p>
    <w:p w14:paraId="0B33DC81" w14:textId="445A097C" w:rsidR="004178CF" w:rsidRDefault="002C6668" w:rsidP="004178CF">
      <w:r>
        <w:t>Those</w:t>
      </w:r>
      <w:r w:rsidR="004178CF">
        <w:t xml:space="preserve"> who suffer detriment </w:t>
      </w:r>
      <w:r w:rsidR="00CC694F">
        <w:t>because of</w:t>
      </w:r>
      <w:r w:rsidR="004178CF">
        <w:t xml:space="preserve"> making a PID (or those who are unjustly treated as subjects of a</w:t>
      </w:r>
      <w:r w:rsidR="001A69B3">
        <w:t xml:space="preserve"> </w:t>
      </w:r>
      <w:r w:rsidR="004178CF">
        <w:t xml:space="preserve">PID) may have remedies available to them under the Fair Work Commission’s jurisdiction to administer the </w:t>
      </w:r>
      <w:r w:rsidR="004178CF">
        <w:rPr>
          <w:i/>
          <w:iCs/>
        </w:rPr>
        <w:t>Fair Work Act 2009</w:t>
      </w:r>
      <w:r w:rsidR="00AA1E56">
        <w:rPr>
          <w:i/>
          <w:iCs/>
        </w:rPr>
        <w:t xml:space="preserve"> </w:t>
      </w:r>
      <w:r w:rsidR="00AA1E56">
        <w:t>(Cth)</w:t>
      </w:r>
      <w:r w:rsidR="004178CF">
        <w:t>.</w:t>
      </w:r>
    </w:p>
    <w:p w14:paraId="5F9F0259" w14:textId="56DE66D6" w:rsidR="004178CF" w:rsidRDefault="004178CF" w:rsidP="004178CF">
      <w:r>
        <w:t>These could arise where, for example</w:t>
      </w:r>
      <w:r w:rsidR="00E3331A">
        <w:t>,</w:t>
      </w:r>
      <w:r>
        <w:t xml:space="preserve"> the discloser alleges they have suffered bull</w:t>
      </w:r>
      <w:r w:rsidR="002C6668">
        <w:t>y</w:t>
      </w:r>
      <w:r>
        <w:t>ing and harassment</w:t>
      </w:r>
      <w:r w:rsidR="002C6668">
        <w:t>,</w:t>
      </w:r>
      <w:r>
        <w:t xml:space="preserve"> or where a respondent </w:t>
      </w:r>
      <w:r w:rsidR="00CC694F">
        <w:t>claims to have</w:t>
      </w:r>
      <w:r>
        <w:t xml:space="preserve"> been unfairly dismissed. In such instances, the Fair Work Commission has a broad jurisdiction to impose remedies. It should be noted that the Fair Work Commission is unlikely to hear an application where the applicant is simultaneously seeking redress </w:t>
      </w:r>
      <w:r>
        <w:lastRenderedPageBreak/>
        <w:t xml:space="preserve">under the PID Act in another jurisdiction. However, should the discloser’s </w:t>
      </w:r>
      <w:r w:rsidR="00E3331A">
        <w:t>suit under the PID Act</w:t>
      </w:r>
      <w:r>
        <w:t xml:space="preserve"> fail, they may then seek a remedy under the </w:t>
      </w:r>
      <w:r>
        <w:rPr>
          <w:i/>
          <w:iCs/>
        </w:rPr>
        <w:t>Fair Work Act 2009</w:t>
      </w:r>
      <w:r w:rsidR="00AA1E56">
        <w:t xml:space="preserve"> (Cth)</w:t>
      </w:r>
      <w:r>
        <w:t xml:space="preserve">. </w:t>
      </w:r>
    </w:p>
    <w:p w14:paraId="40E901F5" w14:textId="456CFC65" w:rsidR="008B68A6" w:rsidRDefault="008B68A6" w:rsidP="00EB3E4B">
      <w:pPr>
        <w:pStyle w:val="Heading4"/>
      </w:pPr>
      <w:r>
        <w:t>Judicial review</w:t>
      </w:r>
    </w:p>
    <w:p w14:paraId="011B755A" w14:textId="4FDEB6CA" w:rsidR="008B68A6" w:rsidRDefault="00530CFF" w:rsidP="008B68A6">
      <w:r>
        <w:t xml:space="preserve">Decisions made under the PID Act </w:t>
      </w:r>
      <w:r w:rsidR="00EC2484">
        <w:t xml:space="preserve">that adversely affect the rights of a person </w:t>
      </w:r>
      <w:r>
        <w:t xml:space="preserve">may be subject to judicial review, in accordance with the </w:t>
      </w:r>
      <w:r>
        <w:rPr>
          <w:i/>
          <w:iCs/>
        </w:rPr>
        <w:t>Administrative</w:t>
      </w:r>
      <w:r w:rsidR="007532CF">
        <w:rPr>
          <w:i/>
          <w:iCs/>
        </w:rPr>
        <w:t xml:space="preserve"> </w:t>
      </w:r>
      <w:r>
        <w:rPr>
          <w:i/>
          <w:iCs/>
        </w:rPr>
        <w:t>Decisions (Judicial Review) Act 1989</w:t>
      </w:r>
      <w:r>
        <w:t xml:space="preserve"> </w:t>
      </w:r>
      <w:r w:rsidR="00AA1E56">
        <w:t xml:space="preserve">(ACT) </w:t>
      </w:r>
      <w:r>
        <w:t>(‘</w:t>
      </w:r>
      <w:r>
        <w:rPr>
          <w:b/>
          <w:bCs/>
        </w:rPr>
        <w:t>ADJR Act</w:t>
      </w:r>
      <w:r>
        <w:t>’). Applications for review under the</w:t>
      </w:r>
      <w:r w:rsidR="001A69B3">
        <w:t xml:space="preserve"> </w:t>
      </w:r>
      <w:r>
        <w:t>ADJR Act can include either a decision to act, or a decision not to act. Further, applicants under the</w:t>
      </w:r>
      <w:r w:rsidR="001A69B3">
        <w:t xml:space="preserve"> </w:t>
      </w:r>
      <w:r>
        <w:t>ADJR</w:t>
      </w:r>
      <w:r w:rsidR="001A69B3">
        <w:t xml:space="preserve"> </w:t>
      </w:r>
      <w:r>
        <w:t>Act may seek orders obtaining reasons for any decisions taken, or not taken, in relation to the handling of a PID.</w:t>
      </w:r>
    </w:p>
    <w:p w14:paraId="3BE3E907" w14:textId="77545424" w:rsidR="00736560" w:rsidRDefault="00736560" w:rsidP="007247D1">
      <w:pPr>
        <w:pStyle w:val="Heading1"/>
      </w:pPr>
      <w:bookmarkStart w:id="291" w:name="_Toc67904053"/>
      <w:bookmarkStart w:id="292" w:name="_Toc75255229"/>
      <w:r>
        <w:t>Getting help with the scheme</w:t>
      </w:r>
      <w:bookmarkEnd w:id="291"/>
      <w:bookmarkEnd w:id="292"/>
    </w:p>
    <w:p w14:paraId="792CE7B4" w14:textId="61819B9C" w:rsidR="00E163F5" w:rsidRDefault="00E163F5" w:rsidP="00E163F5">
      <w:r>
        <w:t xml:space="preserve">The Commission can be contacted at any time to provide confidential advice and information to assist </w:t>
      </w:r>
      <w:r w:rsidR="00252B0C">
        <w:t>public sector entities</w:t>
      </w:r>
      <w:r>
        <w:t xml:space="preserve"> and disclosure officers with the operation of the scheme.</w:t>
      </w:r>
    </w:p>
    <w:p w14:paraId="69BC6FF8" w14:textId="5CE26274" w:rsidR="00E163F5" w:rsidRPr="00E163F5" w:rsidRDefault="00E163F5" w:rsidP="0076068A">
      <w:r>
        <w:t xml:space="preserve">In addition, all other Australian jurisdictions have similar </w:t>
      </w:r>
      <w:r w:rsidR="008661D4">
        <w:t>PID</w:t>
      </w:r>
      <w:r>
        <w:t xml:space="preserve"> schemes </w:t>
      </w:r>
      <w:r w:rsidR="002C6668">
        <w:t>and there is</w:t>
      </w:r>
      <w:r>
        <w:t xml:space="preserve"> substantial information available</w:t>
      </w:r>
      <w:r w:rsidR="002C6668">
        <w:t xml:space="preserve"> about them</w:t>
      </w:r>
      <w:r>
        <w:t xml:space="preserve">. Links to these are available in </w:t>
      </w:r>
      <w:r w:rsidR="009B431B" w:rsidRPr="009B431B">
        <w:rPr>
          <w:b/>
          <w:bCs/>
        </w:rPr>
        <w:fldChar w:fldCharType="begin"/>
      </w:r>
      <w:r w:rsidR="009B431B" w:rsidRPr="009B431B">
        <w:rPr>
          <w:b/>
          <w:bCs/>
        </w:rPr>
        <w:instrText xml:space="preserve"> REF _Ref65657123 \h  \* MERGEFORMAT </w:instrText>
      </w:r>
      <w:r w:rsidR="009B431B" w:rsidRPr="009B431B">
        <w:rPr>
          <w:b/>
          <w:bCs/>
        </w:rPr>
      </w:r>
      <w:r w:rsidR="009B431B" w:rsidRPr="009B431B">
        <w:rPr>
          <w:b/>
          <w:bCs/>
        </w:rPr>
        <w:fldChar w:fldCharType="separate"/>
      </w:r>
      <w:r w:rsidR="00245E6D" w:rsidRPr="00245E6D">
        <w:rPr>
          <w:b/>
          <w:bCs/>
        </w:rPr>
        <w:t>Related material</w:t>
      </w:r>
      <w:r w:rsidR="009B431B" w:rsidRPr="009B431B">
        <w:rPr>
          <w:b/>
          <w:bCs/>
        </w:rPr>
        <w:fldChar w:fldCharType="end"/>
      </w:r>
      <w:r w:rsidR="0076068A">
        <w:t>.</w:t>
      </w:r>
    </w:p>
    <w:p w14:paraId="52D582BD" w14:textId="77777777" w:rsidR="00AF3226" w:rsidRDefault="00AF3226">
      <w:pPr>
        <w:jc w:val="left"/>
        <w:rPr>
          <w:rFonts w:eastAsiaTheme="majorEastAsia" w:cstheme="majorBidi"/>
          <w:smallCaps/>
          <w:color w:val="2F5496" w:themeColor="accent1" w:themeShade="BF"/>
          <w:sz w:val="32"/>
          <w:szCs w:val="32"/>
        </w:rPr>
      </w:pPr>
      <w:bookmarkStart w:id="293" w:name="_Related_material_1"/>
      <w:bookmarkStart w:id="294" w:name="_Ref61342757"/>
      <w:bookmarkStart w:id="295" w:name="_Ref61423874"/>
      <w:bookmarkEnd w:id="293"/>
      <w:r>
        <w:br w:type="page"/>
      </w:r>
    </w:p>
    <w:p w14:paraId="28401A6D" w14:textId="3443E5E6" w:rsidR="00865109" w:rsidRDefault="00865109" w:rsidP="007247D1">
      <w:pPr>
        <w:pStyle w:val="Heading1"/>
      </w:pPr>
      <w:bookmarkStart w:id="296" w:name="_Related_material_2"/>
      <w:bookmarkStart w:id="297" w:name="_Ref65657123"/>
      <w:bookmarkStart w:id="298" w:name="_Ref65657198"/>
      <w:bookmarkStart w:id="299" w:name="_Ref65659299"/>
      <w:bookmarkStart w:id="300" w:name="_Ref65659555"/>
      <w:bookmarkStart w:id="301" w:name="_Ref65659610"/>
      <w:bookmarkStart w:id="302" w:name="_Ref65665834"/>
      <w:bookmarkStart w:id="303" w:name="_Toc67904054"/>
      <w:bookmarkStart w:id="304" w:name="_Toc75255230"/>
      <w:bookmarkEnd w:id="296"/>
      <w:r>
        <w:lastRenderedPageBreak/>
        <w:t>Related material</w:t>
      </w:r>
      <w:bookmarkEnd w:id="8"/>
      <w:bookmarkEnd w:id="294"/>
      <w:bookmarkEnd w:id="295"/>
      <w:bookmarkEnd w:id="297"/>
      <w:bookmarkEnd w:id="298"/>
      <w:bookmarkEnd w:id="299"/>
      <w:bookmarkEnd w:id="300"/>
      <w:bookmarkEnd w:id="301"/>
      <w:bookmarkEnd w:id="302"/>
      <w:bookmarkEnd w:id="303"/>
      <w:bookmarkEnd w:id="304"/>
    </w:p>
    <w:p w14:paraId="3504DD92" w14:textId="77777777" w:rsidR="00C920B4" w:rsidRDefault="00C920B4" w:rsidP="00C920B4">
      <w:r>
        <w:t>The following related material is available on the Commission’s website:</w:t>
      </w:r>
    </w:p>
    <w:p w14:paraId="746C3036" w14:textId="25BE353E" w:rsidR="00E3303B" w:rsidRDefault="00E3303B" w:rsidP="008D1DE6">
      <w:pPr>
        <w:pStyle w:val="ListParagraph"/>
        <w:numPr>
          <w:ilvl w:val="0"/>
          <w:numId w:val="2"/>
        </w:numPr>
      </w:pPr>
      <w:r w:rsidRPr="0069649F">
        <w:t xml:space="preserve">Assessments and investigations under the </w:t>
      </w:r>
      <w:r w:rsidRPr="002C6668">
        <w:rPr>
          <w:i/>
          <w:iCs/>
        </w:rPr>
        <w:t>Public Interest Disclosure Act 2012</w:t>
      </w:r>
      <w:r>
        <w:t xml:space="preserve"> (</w:t>
      </w:r>
      <w:r w:rsidR="00E3331A">
        <w:t>t</w:t>
      </w:r>
      <w:r>
        <w:t>he Commission’s internal policy for dealing with PIDs)</w:t>
      </w:r>
    </w:p>
    <w:p w14:paraId="75826B1E" w14:textId="00127092" w:rsidR="00E3303B" w:rsidRDefault="00E3303B" w:rsidP="008D1DE6">
      <w:pPr>
        <w:pStyle w:val="ListParagraph"/>
        <w:numPr>
          <w:ilvl w:val="0"/>
          <w:numId w:val="2"/>
        </w:numPr>
      </w:pPr>
      <w:r w:rsidRPr="003303E5">
        <w:t>Contact details for all disclosure officers within the ACT</w:t>
      </w:r>
    </w:p>
    <w:p w14:paraId="2754667F" w14:textId="77777777" w:rsidR="00E3303B" w:rsidRPr="00AA3D91" w:rsidRDefault="00E3303B" w:rsidP="008D1DE6">
      <w:pPr>
        <w:pStyle w:val="ListParagraph"/>
        <w:numPr>
          <w:ilvl w:val="0"/>
          <w:numId w:val="2"/>
        </w:numPr>
      </w:pPr>
      <w:r>
        <w:t>Receiving public interest disclosures as a member of the Legislative Assembly</w:t>
      </w:r>
    </w:p>
    <w:p w14:paraId="6BECCEB5" w14:textId="77777777" w:rsidR="00E3303B" w:rsidRDefault="00E3303B" w:rsidP="008D1DE6">
      <w:pPr>
        <w:pStyle w:val="ListParagraph"/>
        <w:numPr>
          <w:ilvl w:val="0"/>
          <w:numId w:val="2"/>
        </w:numPr>
      </w:pPr>
      <w:r w:rsidRPr="00230DBF">
        <w:t>See something, say something</w:t>
      </w:r>
      <w:r>
        <w:t xml:space="preserve"> (guidance for PID disclosers)</w:t>
      </w:r>
    </w:p>
    <w:p w14:paraId="1C0C3043" w14:textId="77777777" w:rsidR="00C920B4" w:rsidRDefault="00C920B4" w:rsidP="00C920B4">
      <w:r>
        <w:t>The following related material is available on the internet:</w:t>
      </w:r>
    </w:p>
    <w:p w14:paraId="49F64866" w14:textId="29A1DF31" w:rsidR="00E3303B" w:rsidRPr="00E3303B" w:rsidRDefault="00E3303B" w:rsidP="00061417">
      <w:pPr>
        <w:pStyle w:val="ListParagraph"/>
        <w:numPr>
          <w:ilvl w:val="0"/>
          <w:numId w:val="26"/>
        </w:numPr>
      </w:pPr>
      <w:r w:rsidRPr="003303E5">
        <w:t>ACT Government Boards, Commissions, Advisory Councils and Committees</w:t>
      </w:r>
    </w:p>
    <w:p w14:paraId="084459E2" w14:textId="05373E79" w:rsidR="00E3303B" w:rsidRPr="00E3303B" w:rsidRDefault="00E3303B" w:rsidP="00061417">
      <w:pPr>
        <w:pStyle w:val="ListParagraph"/>
        <w:numPr>
          <w:ilvl w:val="0"/>
          <w:numId w:val="26"/>
        </w:numPr>
      </w:pPr>
      <w:r w:rsidRPr="003303E5">
        <w:t xml:space="preserve">Agency guide to the </w:t>
      </w:r>
      <w:r w:rsidRPr="003303E5">
        <w:rPr>
          <w:i/>
          <w:iCs/>
        </w:rPr>
        <w:t>Public Interest Disclosure Act 2013</w:t>
      </w:r>
      <w:r w:rsidRPr="00E3303B">
        <w:t xml:space="preserve"> (the Commonwealth Ombudsman’s guidance for the Commonwealth PID scheme)</w:t>
      </w:r>
    </w:p>
    <w:p w14:paraId="4138EB00" w14:textId="47BA3136" w:rsidR="00E3303B" w:rsidRPr="00E3303B" w:rsidRDefault="00E3303B" w:rsidP="00061417">
      <w:pPr>
        <w:pStyle w:val="ListParagraph"/>
        <w:numPr>
          <w:ilvl w:val="0"/>
          <w:numId w:val="26"/>
        </w:numPr>
      </w:pPr>
      <w:r w:rsidRPr="003303E5">
        <w:t>Inspector of the ACT Integrity Commission (Web</w:t>
      </w:r>
      <w:r w:rsidR="00E3331A">
        <w:t>p</w:t>
      </w:r>
      <w:r w:rsidRPr="003303E5">
        <w:t>age)</w:t>
      </w:r>
    </w:p>
    <w:p w14:paraId="3F9C25CF" w14:textId="797E0493" w:rsidR="00E3303B" w:rsidRPr="00E3303B" w:rsidRDefault="00E3303B" w:rsidP="00061417">
      <w:pPr>
        <w:pStyle w:val="ListParagraph"/>
        <w:numPr>
          <w:ilvl w:val="0"/>
          <w:numId w:val="26"/>
        </w:numPr>
      </w:pPr>
      <w:r w:rsidRPr="003303E5">
        <w:rPr>
          <w:i/>
          <w:iCs/>
        </w:rPr>
        <w:t>Integrity Commission Reputational Repair Protocols 2020</w:t>
      </w:r>
      <w:r w:rsidRPr="003303E5">
        <w:t xml:space="preserve"> (ACT)</w:t>
      </w:r>
    </w:p>
    <w:p w14:paraId="646342A0" w14:textId="3CE5DA58" w:rsidR="00E3303B" w:rsidRPr="007B58CC" w:rsidRDefault="00E3303B" w:rsidP="00061417">
      <w:pPr>
        <w:pStyle w:val="ListParagraph"/>
        <w:numPr>
          <w:ilvl w:val="0"/>
          <w:numId w:val="26"/>
        </w:numPr>
        <w:rPr>
          <w:i/>
          <w:iCs/>
        </w:rPr>
      </w:pPr>
      <w:r w:rsidRPr="003303E5">
        <w:rPr>
          <w:i/>
          <w:iCs/>
        </w:rPr>
        <w:t xml:space="preserve">Public Interest Disclosure Act 2012 </w:t>
      </w:r>
      <w:r w:rsidRPr="007B58CC">
        <w:t>(ACT)</w:t>
      </w:r>
    </w:p>
    <w:p w14:paraId="4EFFD874" w14:textId="08F26AEE" w:rsidR="00E3303B" w:rsidRPr="00E3303B" w:rsidRDefault="00E3303B" w:rsidP="00061417">
      <w:pPr>
        <w:pStyle w:val="ListParagraph"/>
        <w:numPr>
          <w:ilvl w:val="0"/>
          <w:numId w:val="26"/>
        </w:numPr>
      </w:pPr>
      <w:r w:rsidRPr="003303E5">
        <w:rPr>
          <w:i/>
          <w:iCs/>
        </w:rPr>
        <w:t>Public Interest Disclosure Act 2013</w:t>
      </w:r>
      <w:r w:rsidRPr="003303E5">
        <w:t xml:space="preserve"> (Cth)</w:t>
      </w:r>
    </w:p>
    <w:p w14:paraId="481FBC4C" w14:textId="5A79258A" w:rsidR="00E3303B" w:rsidRPr="00E3303B" w:rsidRDefault="00E3303B" w:rsidP="00061417">
      <w:pPr>
        <w:pStyle w:val="ListParagraph"/>
        <w:numPr>
          <w:ilvl w:val="0"/>
          <w:numId w:val="26"/>
        </w:numPr>
      </w:pPr>
      <w:r w:rsidRPr="003303E5">
        <w:rPr>
          <w:i/>
          <w:iCs/>
        </w:rPr>
        <w:t>Public Interest Disclosure Guidelines 2019</w:t>
      </w:r>
      <w:r w:rsidRPr="00E3303B">
        <w:t xml:space="preserve"> (the Public Sector Standards Commissioner’s former PID</w:t>
      </w:r>
      <w:r w:rsidR="007532CF">
        <w:t xml:space="preserve"> </w:t>
      </w:r>
      <w:r w:rsidRPr="00E3303B">
        <w:t>guidelines)</w:t>
      </w:r>
    </w:p>
    <w:p w14:paraId="04878781" w14:textId="20043885" w:rsidR="00E3303B" w:rsidRPr="00CC46E6" w:rsidRDefault="00E3303B" w:rsidP="00061417">
      <w:pPr>
        <w:pStyle w:val="ListParagraph"/>
        <w:numPr>
          <w:ilvl w:val="0"/>
          <w:numId w:val="26"/>
        </w:numPr>
        <w:rPr>
          <w:rStyle w:val="Hyperlink"/>
          <w:color w:val="auto"/>
          <w:u w:val="none"/>
        </w:rPr>
      </w:pPr>
      <w:r w:rsidRPr="003303E5">
        <w:rPr>
          <w:i/>
          <w:iCs/>
        </w:rPr>
        <w:t>Public Interest Disclosure Standard 2013</w:t>
      </w:r>
      <w:r w:rsidRPr="003303E5">
        <w:t xml:space="preserve"> (Cth)</w:t>
      </w:r>
    </w:p>
    <w:p w14:paraId="0378CF11" w14:textId="613CBE70" w:rsidR="00CC46E6" w:rsidRDefault="00CC46E6" w:rsidP="00CC46E6">
      <w:r>
        <w:t xml:space="preserve">The following related material provides links to relevant Australian agencies’ public interest disclosure </w:t>
      </w:r>
      <w:r w:rsidR="00E3331A">
        <w:t>W</w:t>
      </w:r>
      <w:r>
        <w:t>ebpages:</w:t>
      </w:r>
    </w:p>
    <w:p w14:paraId="7559F578" w14:textId="748A61BA" w:rsidR="00CC46E6" w:rsidRPr="005B2BD9" w:rsidRDefault="00342157" w:rsidP="00061417">
      <w:pPr>
        <w:pStyle w:val="ListParagraph"/>
        <w:numPr>
          <w:ilvl w:val="0"/>
          <w:numId w:val="26"/>
        </w:numPr>
      </w:pPr>
      <w:hyperlink r:id="rId17" w:history="1">
        <w:r w:rsidR="00CC46E6" w:rsidRPr="004D0B34">
          <w:rPr>
            <w:rStyle w:val="Hyperlink"/>
          </w:rPr>
          <w:t xml:space="preserve">Victoria (Independent </w:t>
        </w:r>
        <w:r w:rsidR="00E3331A" w:rsidRPr="004D0B34">
          <w:rPr>
            <w:rStyle w:val="Hyperlink"/>
          </w:rPr>
          <w:t>B</w:t>
        </w:r>
        <w:r w:rsidR="00CC46E6" w:rsidRPr="004D0B34">
          <w:rPr>
            <w:rStyle w:val="Hyperlink"/>
          </w:rPr>
          <w:t xml:space="preserve">road-based </w:t>
        </w:r>
        <w:r w:rsidR="00E3331A" w:rsidRPr="004D0B34">
          <w:rPr>
            <w:rStyle w:val="Hyperlink"/>
          </w:rPr>
          <w:t>A</w:t>
        </w:r>
        <w:r w:rsidR="00CC46E6" w:rsidRPr="004D0B34">
          <w:rPr>
            <w:rStyle w:val="Hyperlink"/>
          </w:rPr>
          <w:t>nti-</w:t>
        </w:r>
        <w:r w:rsidR="00252B0C" w:rsidRPr="004D0B34">
          <w:rPr>
            <w:rStyle w:val="Hyperlink"/>
          </w:rPr>
          <w:t>C</w:t>
        </w:r>
        <w:r w:rsidR="00CC46E6" w:rsidRPr="004D0B34">
          <w:rPr>
            <w:rStyle w:val="Hyperlink"/>
          </w:rPr>
          <w:t xml:space="preserve">orruption </w:t>
        </w:r>
        <w:r w:rsidR="00E3331A" w:rsidRPr="004D0B34">
          <w:rPr>
            <w:rStyle w:val="Hyperlink"/>
          </w:rPr>
          <w:t>C</w:t>
        </w:r>
        <w:r w:rsidR="00CC46E6" w:rsidRPr="004D0B34">
          <w:rPr>
            <w:rStyle w:val="Hyperlink"/>
          </w:rPr>
          <w:t>ommission)</w:t>
        </w:r>
      </w:hyperlink>
    </w:p>
    <w:p w14:paraId="15200019" w14:textId="7BD40E15" w:rsidR="00CC46E6" w:rsidRPr="005B2BD9" w:rsidRDefault="00342157" w:rsidP="00061417">
      <w:pPr>
        <w:pStyle w:val="ListParagraph"/>
        <w:numPr>
          <w:ilvl w:val="0"/>
          <w:numId w:val="26"/>
        </w:numPr>
      </w:pPr>
      <w:hyperlink r:id="rId18" w:history="1">
        <w:r w:rsidR="00CC46E6" w:rsidRPr="004D0B34">
          <w:rPr>
            <w:rStyle w:val="Hyperlink"/>
          </w:rPr>
          <w:t>NSW (NSW Ombudsman)</w:t>
        </w:r>
      </w:hyperlink>
    </w:p>
    <w:p w14:paraId="666CD604" w14:textId="112D4307" w:rsidR="00CC46E6" w:rsidRPr="005B2BD9" w:rsidRDefault="00342157" w:rsidP="00061417">
      <w:pPr>
        <w:pStyle w:val="ListParagraph"/>
        <w:numPr>
          <w:ilvl w:val="0"/>
          <w:numId w:val="26"/>
        </w:numPr>
      </w:pPr>
      <w:hyperlink r:id="rId19" w:history="1">
        <w:r w:rsidR="00CC46E6" w:rsidRPr="004D0B34">
          <w:rPr>
            <w:rStyle w:val="Hyperlink"/>
          </w:rPr>
          <w:t>SA (Independent Commissioner Against Corruption)</w:t>
        </w:r>
      </w:hyperlink>
    </w:p>
    <w:p w14:paraId="3E61F938" w14:textId="10711FB7" w:rsidR="00CC46E6" w:rsidRPr="005B2BD9" w:rsidRDefault="00342157" w:rsidP="00061417">
      <w:pPr>
        <w:pStyle w:val="ListParagraph"/>
        <w:numPr>
          <w:ilvl w:val="0"/>
          <w:numId w:val="26"/>
        </w:numPr>
      </w:pPr>
      <w:hyperlink r:id="rId20" w:history="1">
        <w:r w:rsidR="00CC46E6" w:rsidRPr="004D0B34">
          <w:rPr>
            <w:rStyle w:val="Hyperlink"/>
          </w:rPr>
          <w:t>Tas</w:t>
        </w:r>
        <w:r w:rsidR="00E3331A" w:rsidRPr="004D0B34">
          <w:rPr>
            <w:rStyle w:val="Hyperlink"/>
          </w:rPr>
          <w:t>mania</w:t>
        </w:r>
        <w:r w:rsidR="00CC46E6" w:rsidRPr="004D0B34">
          <w:rPr>
            <w:rStyle w:val="Hyperlink"/>
          </w:rPr>
          <w:t xml:space="preserve"> (Ombudsman Tasmania)</w:t>
        </w:r>
      </w:hyperlink>
    </w:p>
    <w:p w14:paraId="5077B114" w14:textId="5EDA5D7C" w:rsidR="00CC46E6" w:rsidRPr="005B2BD9" w:rsidRDefault="00342157" w:rsidP="00061417">
      <w:pPr>
        <w:pStyle w:val="ListParagraph"/>
        <w:numPr>
          <w:ilvl w:val="0"/>
          <w:numId w:val="26"/>
        </w:numPr>
      </w:pPr>
      <w:hyperlink r:id="rId21" w:history="1">
        <w:r w:rsidR="00CC46E6" w:rsidRPr="004D0B34">
          <w:rPr>
            <w:rStyle w:val="Hyperlink"/>
          </w:rPr>
          <w:t>QLD</w:t>
        </w:r>
        <w:r w:rsidR="00EC7689" w:rsidRPr="004D0B34">
          <w:rPr>
            <w:rStyle w:val="Hyperlink"/>
          </w:rPr>
          <w:t xml:space="preserve"> (Queensland Ombudsman)</w:t>
        </w:r>
      </w:hyperlink>
    </w:p>
    <w:p w14:paraId="467422D8" w14:textId="7A414C1D" w:rsidR="00EC7689" w:rsidRPr="005B2BD9" w:rsidRDefault="00342157" w:rsidP="00061417">
      <w:pPr>
        <w:pStyle w:val="ListParagraph"/>
        <w:numPr>
          <w:ilvl w:val="0"/>
          <w:numId w:val="26"/>
        </w:numPr>
      </w:pPr>
      <w:hyperlink r:id="rId22" w:history="1">
        <w:r w:rsidR="00EC7689" w:rsidRPr="0007570C">
          <w:rPr>
            <w:rStyle w:val="Hyperlink"/>
          </w:rPr>
          <w:t>NT (Office of the Independent Commission Against Corruption)</w:t>
        </w:r>
      </w:hyperlink>
    </w:p>
    <w:p w14:paraId="4776A6C9" w14:textId="3611EE38" w:rsidR="00EC7689" w:rsidRPr="005B2BD9" w:rsidRDefault="00342157" w:rsidP="00061417">
      <w:pPr>
        <w:pStyle w:val="ListParagraph"/>
        <w:numPr>
          <w:ilvl w:val="0"/>
          <w:numId w:val="26"/>
        </w:numPr>
      </w:pPr>
      <w:hyperlink r:id="rId23" w:history="1">
        <w:r w:rsidR="00EC7689" w:rsidRPr="004D0B34">
          <w:rPr>
            <w:rStyle w:val="Hyperlink"/>
          </w:rPr>
          <w:t>WA (Public Sector Commission)</w:t>
        </w:r>
      </w:hyperlink>
    </w:p>
    <w:p w14:paraId="461E4810" w14:textId="68ECB395" w:rsidR="006202F4" w:rsidRPr="005B2BD9" w:rsidRDefault="00342157" w:rsidP="00061417">
      <w:pPr>
        <w:pStyle w:val="ListParagraph"/>
        <w:numPr>
          <w:ilvl w:val="0"/>
          <w:numId w:val="26"/>
        </w:numPr>
      </w:pPr>
      <w:hyperlink r:id="rId24" w:history="1">
        <w:r w:rsidR="00252B0C" w:rsidRPr="004D0B34">
          <w:rPr>
            <w:rStyle w:val="Hyperlink"/>
          </w:rPr>
          <w:t>Commonwealth</w:t>
        </w:r>
        <w:r w:rsidR="006202F4" w:rsidRPr="004D0B34">
          <w:rPr>
            <w:rStyle w:val="Hyperlink"/>
          </w:rPr>
          <w:t xml:space="preserve"> (Commonwealth Ombudsman)</w:t>
        </w:r>
      </w:hyperlink>
    </w:p>
    <w:p w14:paraId="2C05C79D" w14:textId="67E690D3" w:rsidR="00833D27" w:rsidRDefault="00833D27" w:rsidP="007247D1">
      <w:pPr>
        <w:pStyle w:val="Heading1"/>
      </w:pPr>
      <w:bookmarkStart w:id="305" w:name="_Toc67904055"/>
      <w:bookmarkStart w:id="306" w:name="_Toc75255231"/>
      <w:r>
        <w:t>Document information</w:t>
      </w:r>
      <w:bookmarkEnd w:id="305"/>
      <w:bookmarkEnd w:id="306"/>
    </w:p>
    <w:p w14:paraId="58511F79" w14:textId="48D9BD87" w:rsidR="00833D27" w:rsidRPr="00833D27" w:rsidRDefault="00833D27" w:rsidP="00833D27">
      <w:r>
        <w:t>The following table contains administrative metadata.</w:t>
      </w:r>
    </w:p>
    <w:tbl>
      <w:tblPr>
        <w:tblW w:w="0" w:type="auto"/>
        <w:tblLook w:val="04A0" w:firstRow="1" w:lastRow="0" w:firstColumn="1" w:lastColumn="0" w:noHBand="0" w:noVBand="1"/>
      </w:tblPr>
      <w:tblGrid>
        <w:gridCol w:w="2547"/>
        <w:gridCol w:w="6469"/>
      </w:tblGrid>
      <w:tr w:rsidR="00833D27" w:rsidRPr="00833D27" w14:paraId="2B54E2E3" w14:textId="77777777" w:rsidTr="00833D27">
        <w:tc>
          <w:tcPr>
            <w:tcW w:w="2547" w:type="dxa"/>
            <w:shd w:val="clear" w:color="auto" w:fill="000000" w:themeFill="text1"/>
          </w:tcPr>
          <w:p w14:paraId="36C1DFC1" w14:textId="1A1C2575" w:rsidR="00EF4812" w:rsidRPr="00833D27" w:rsidRDefault="00BB0C98" w:rsidP="00833D27">
            <w:pPr>
              <w:jc w:val="left"/>
              <w:rPr>
                <w:b/>
                <w:bCs/>
                <w:color w:val="FFFFFF" w:themeColor="background1"/>
              </w:rPr>
            </w:pPr>
            <w:r w:rsidRPr="00833D27">
              <w:rPr>
                <w:b/>
                <w:bCs/>
                <w:color w:val="FFFFFF" w:themeColor="background1"/>
              </w:rPr>
              <w:t>Integrity Commissioner document ID</w:t>
            </w:r>
          </w:p>
        </w:tc>
        <w:tc>
          <w:tcPr>
            <w:tcW w:w="6469" w:type="dxa"/>
            <w:shd w:val="clear" w:color="auto" w:fill="000000" w:themeFill="text1"/>
          </w:tcPr>
          <w:p w14:paraId="46B1BAB7" w14:textId="2ACD3080" w:rsidR="00EF4812" w:rsidRPr="00833D27" w:rsidRDefault="00BB0C98" w:rsidP="00833D27">
            <w:pPr>
              <w:jc w:val="left"/>
              <w:rPr>
                <w:b/>
                <w:bCs/>
                <w:color w:val="FFFFFF" w:themeColor="background1"/>
              </w:rPr>
            </w:pPr>
            <w:r w:rsidRPr="00833D27">
              <w:rPr>
                <w:b/>
                <w:bCs/>
                <w:color w:val="FFFFFF" w:themeColor="background1"/>
              </w:rPr>
              <w:t>Document owner</w:t>
            </w:r>
          </w:p>
        </w:tc>
      </w:tr>
      <w:tr w:rsidR="00EF4812" w14:paraId="6C73B1F0" w14:textId="77777777" w:rsidTr="00833D27">
        <w:tc>
          <w:tcPr>
            <w:tcW w:w="2547" w:type="dxa"/>
          </w:tcPr>
          <w:p w14:paraId="7290E139" w14:textId="6AA5238D" w:rsidR="00EF4812" w:rsidRDefault="00BB0C98" w:rsidP="00833D27">
            <w:pPr>
              <w:jc w:val="left"/>
            </w:pPr>
            <w:r>
              <w:t>TBA</w:t>
            </w:r>
          </w:p>
        </w:tc>
        <w:tc>
          <w:tcPr>
            <w:tcW w:w="6469" w:type="dxa"/>
          </w:tcPr>
          <w:p w14:paraId="3B1D41D7" w14:textId="79B0C837" w:rsidR="00EF4812" w:rsidRDefault="00AB32F9" w:rsidP="00833D27">
            <w:pPr>
              <w:jc w:val="left"/>
            </w:pPr>
            <w:r>
              <w:t>Chief Executive Officer – ACT Integrity Commission</w:t>
            </w:r>
          </w:p>
        </w:tc>
      </w:tr>
    </w:tbl>
    <w:p w14:paraId="061979A9" w14:textId="5CB4E655" w:rsidR="00BB0C98" w:rsidRDefault="00833D27" w:rsidP="007247D1">
      <w:pPr>
        <w:pStyle w:val="Heading1"/>
      </w:pPr>
      <w:bookmarkStart w:id="307" w:name="_Toc67904056"/>
      <w:bookmarkStart w:id="308" w:name="_Toc75255232"/>
      <w:r>
        <w:t>Version history</w:t>
      </w:r>
      <w:bookmarkEnd w:id="307"/>
      <w:bookmarkEnd w:id="308"/>
    </w:p>
    <w:p w14:paraId="22F5332E" w14:textId="3C40EC90" w:rsidR="00833D27" w:rsidRPr="00833D27" w:rsidRDefault="00833D27" w:rsidP="00833D27">
      <w:r>
        <w:t>The following table details the published date and amendment details for this document.</w:t>
      </w:r>
    </w:p>
    <w:tbl>
      <w:tblPr>
        <w:tblW w:w="0" w:type="auto"/>
        <w:tblLook w:val="04A0" w:firstRow="1" w:lastRow="0" w:firstColumn="1" w:lastColumn="0" w:noHBand="0" w:noVBand="1"/>
      </w:tblPr>
      <w:tblGrid>
        <w:gridCol w:w="988"/>
        <w:gridCol w:w="1564"/>
        <w:gridCol w:w="6464"/>
      </w:tblGrid>
      <w:tr w:rsidR="00833D27" w:rsidRPr="00833D27" w14:paraId="0B794426" w14:textId="77777777" w:rsidTr="002F093C">
        <w:tc>
          <w:tcPr>
            <w:tcW w:w="988" w:type="dxa"/>
            <w:shd w:val="clear" w:color="auto" w:fill="000000" w:themeFill="text1"/>
          </w:tcPr>
          <w:p w14:paraId="18F78A7F" w14:textId="72F45364" w:rsidR="00833D27" w:rsidRPr="00833D27" w:rsidRDefault="00833D27" w:rsidP="00833D27">
            <w:pPr>
              <w:jc w:val="left"/>
              <w:rPr>
                <w:b/>
                <w:bCs/>
                <w:color w:val="FFFFFF" w:themeColor="background1"/>
              </w:rPr>
            </w:pPr>
            <w:r w:rsidRPr="00833D27">
              <w:rPr>
                <w:b/>
                <w:bCs/>
                <w:color w:val="FFFFFF" w:themeColor="background1"/>
              </w:rPr>
              <w:t>Version</w:t>
            </w:r>
          </w:p>
        </w:tc>
        <w:tc>
          <w:tcPr>
            <w:tcW w:w="1564" w:type="dxa"/>
            <w:shd w:val="clear" w:color="auto" w:fill="000000" w:themeFill="text1"/>
          </w:tcPr>
          <w:p w14:paraId="6B88E8A0" w14:textId="756D2B42" w:rsidR="00833D27" w:rsidRPr="00833D27" w:rsidRDefault="00833D27" w:rsidP="00833D27">
            <w:pPr>
              <w:jc w:val="left"/>
              <w:rPr>
                <w:b/>
                <w:bCs/>
                <w:color w:val="FFFFFF" w:themeColor="background1"/>
              </w:rPr>
            </w:pPr>
            <w:r w:rsidRPr="00833D27">
              <w:rPr>
                <w:b/>
                <w:bCs/>
                <w:color w:val="FFFFFF" w:themeColor="background1"/>
              </w:rPr>
              <w:t>Date</w:t>
            </w:r>
          </w:p>
        </w:tc>
        <w:tc>
          <w:tcPr>
            <w:tcW w:w="6464" w:type="dxa"/>
            <w:shd w:val="clear" w:color="auto" w:fill="000000" w:themeFill="text1"/>
          </w:tcPr>
          <w:p w14:paraId="7E512EB1" w14:textId="6B566C05" w:rsidR="00833D27" w:rsidRPr="00833D27" w:rsidRDefault="00833D27" w:rsidP="00833D27">
            <w:pPr>
              <w:jc w:val="left"/>
              <w:rPr>
                <w:b/>
                <w:bCs/>
                <w:color w:val="FFFFFF" w:themeColor="background1"/>
              </w:rPr>
            </w:pPr>
            <w:r w:rsidRPr="00833D27">
              <w:rPr>
                <w:b/>
                <w:bCs/>
                <w:color w:val="FFFFFF" w:themeColor="background1"/>
              </w:rPr>
              <w:t>Amendment details</w:t>
            </w:r>
          </w:p>
        </w:tc>
      </w:tr>
      <w:tr w:rsidR="00833D27" w14:paraId="202392F7" w14:textId="77777777" w:rsidTr="002F093C">
        <w:tc>
          <w:tcPr>
            <w:tcW w:w="988" w:type="dxa"/>
          </w:tcPr>
          <w:p w14:paraId="7907C170" w14:textId="14AC2BBC" w:rsidR="00833D27" w:rsidRDefault="00833D27" w:rsidP="00833D27">
            <w:pPr>
              <w:jc w:val="left"/>
            </w:pPr>
            <w:r>
              <w:t>1</w:t>
            </w:r>
          </w:p>
        </w:tc>
        <w:tc>
          <w:tcPr>
            <w:tcW w:w="1564" w:type="dxa"/>
          </w:tcPr>
          <w:p w14:paraId="3994DAE0" w14:textId="368FC4DC" w:rsidR="00833D27" w:rsidRDefault="002F093C" w:rsidP="00833D27">
            <w:pPr>
              <w:jc w:val="left"/>
            </w:pPr>
            <w:r>
              <w:t>23 June 2021</w:t>
            </w:r>
          </w:p>
        </w:tc>
        <w:tc>
          <w:tcPr>
            <w:tcW w:w="6464" w:type="dxa"/>
          </w:tcPr>
          <w:p w14:paraId="1E9DA083" w14:textId="38D4F482" w:rsidR="00833D27" w:rsidRDefault="00833D27" w:rsidP="00833D27">
            <w:pPr>
              <w:jc w:val="left"/>
            </w:pPr>
            <w:r>
              <w:t>First publication of this document.</w:t>
            </w:r>
          </w:p>
        </w:tc>
      </w:tr>
    </w:tbl>
    <w:p w14:paraId="4EFE4031" w14:textId="77777777" w:rsidR="009F1984" w:rsidRDefault="009F1984" w:rsidP="007247D1">
      <w:pPr>
        <w:pStyle w:val="Heading1"/>
      </w:pPr>
      <w:bookmarkStart w:id="309" w:name="_Appendix_A:_Suggested"/>
      <w:bookmarkEnd w:id="309"/>
    </w:p>
    <w:p w14:paraId="2AA870CF" w14:textId="77777777" w:rsidR="005F384E" w:rsidRDefault="005F384E" w:rsidP="005F384E">
      <w:pPr>
        <w:rPr>
          <w:rFonts w:eastAsiaTheme="majorEastAsia" w:cstheme="majorBidi"/>
          <w:smallCaps/>
          <w:color w:val="2F5496" w:themeColor="accent1" w:themeShade="BF"/>
          <w:sz w:val="32"/>
          <w:szCs w:val="32"/>
        </w:rPr>
        <w:sectPr w:rsidR="005F384E" w:rsidSect="00240DCD">
          <w:pgSz w:w="11906" w:h="16838"/>
          <w:pgMar w:top="1440" w:right="1440" w:bottom="1440" w:left="1440" w:header="708" w:footer="708" w:gutter="0"/>
          <w:cols w:space="708"/>
          <w:titlePg/>
          <w:docGrid w:linePitch="360"/>
        </w:sectPr>
      </w:pPr>
    </w:p>
    <w:p w14:paraId="6D9E3B5B" w14:textId="6E897708" w:rsidR="005F384E" w:rsidRDefault="005F384E" w:rsidP="005F384E">
      <w:pPr>
        <w:rPr>
          <w:rFonts w:eastAsiaTheme="majorEastAsia" w:cstheme="majorBidi"/>
          <w:smallCaps/>
          <w:color w:val="2F5496" w:themeColor="accent1" w:themeShade="BF"/>
          <w:sz w:val="32"/>
          <w:szCs w:val="32"/>
        </w:rPr>
      </w:pPr>
    </w:p>
    <w:p w14:paraId="43E1DD01" w14:textId="77777777" w:rsidR="005F384E" w:rsidRDefault="005F384E" w:rsidP="005F384E">
      <w:pPr>
        <w:rPr>
          <w:rFonts w:eastAsiaTheme="majorEastAsia" w:cstheme="majorBidi"/>
          <w:smallCaps/>
          <w:color w:val="2F5496" w:themeColor="accent1" w:themeShade="BF"/>
          <w:sz w:val="32"/>
          <w:szCs w:val="32"/>
        </w:rPr>
      </w:pPr>
    </w:p>
    <w:p w14:paraId="07B33801" w14:textId="1B0FB00F" w:rsidR="005F384E" w:rsidRPr="005F384E" w:rsidRDefault="005F384E" w:rsidP="005F384E">
      <w:pPr>
        <w:sectPr w:rsidR="005F384E" w:rsidRPr="005F384E" w:rsidSect="00240DCD">
          <w:type w:val="continuous"/>
          <w:pgSz w:w="11906" w:h="16838"/>
          <w:pgMar w:top="1440" w:right="1440" w:bottom="1440" w:left="1440" w:header="708" w:footer="708" w:gutter="0"/>
          <w:cols w:space="708"/>
          <w:titlePg/>
          <w:docGrid w:linePitch="360"/>
        </w:sectPr>
      </w:pPr>
    </w:p>
    <w:p w14:paraId="4293BCC7" w14:textId="5A3453D5" w:rsidR="007C5AAE" w:rsidRDefault="009E6C95" w:rsidP="007247D1">
      <w:pPr>
        <w:pStyle w:val="Heading1"/>
      </w:pPr>
      <w:bookmarkStart w:id="310" w:name="_Ref61853394"/>
      <w:bookmarkStart w:id="311" w:name="_Toc67904057"/>
      <w:bookmarkStart w:id="312" w:name="_Toc75255233"/>
      <w:bookmarkStart w:id="313" w:name="_Ref61613217"/>
      <w:r>
        <w:lastRenderedPageBreak/>
        <w:t>Appendix A</w:t>
      </w:r>
      <w:r w:rsidR="007C5AAE">
        <w:t>: Records management structure</w:t>
      </w:r>
      <w:bookmarkEnd w:id="310"/>
      <w:bookmarkEnd w:id="311"/>
      <w:bookmarkEnd w:id="312"/>
    </w:p>
    <w:p w14:paraId="38BDE939" w14:textId="774D7A98" w:rsidR="007C5AAE" w:rsidRDefault="007C5AAE" w:rsidP="007C5AAE">
      <w:r>
        <w:t xml:space="preserve">The following structure is based on the ACTPS’s </w:t>
      </w:r>
      <w:r w:rsidRPr="006202F4">
        <w:t>HPE Content Manager</w:t>
      </w:r>
      <w:r>
        <w:t xml:space="preserve"> (formerly known as TRIM) document management system. It is highly likely that </w:t>
      </w:r>
      <w:r w:rsidR="002B2B3B">
        <w:t>public sector</w:t>
      </w:r>
      <w:r>
        <w:t xml:space="preserve"> entities will have internal guidance regarding naming conventions, access controls and similar functionality which is not reproduced here.</w:t>
      </w:r>
    </w:p>
    <w:p w14:paraId="68A8FBC2" w14:textId="77777777" w:rsidR="007C5AAE" w:rsidRDefault="007C5AAE" w:rsidP="007C5AAE">
      <w:r>
        <w:t xml:space="preserve">The Commission </w:t>
      </w:r>
      <w:r w:rsidRPr="006202F4">
        <w:t>recommends</w:t>
      </w:r>
      <w:r>
        <w:rPr>
          <w:b/>
          <w:bCs/>
        </w:rPr>
        <w:t xml:space="preserve"> </w:t>
      </w:r>
      <w:r>
        <w:t>that a central file be created in which individual PIDs are assigned sub-files. In practice this would look like:</w:t>
      </w:r>
    </w:p>
    <w:p w14:paraId="35CF2954" w14:textId="7A226659" w:rsidR="007C5AAE" w:rsidRDefault="002B2B3B" w:rsidP="00061417">
      <w:pPr>
        <w:pStyle w:val="ListParagraph"/>
        <w:numPr>
          <w:ilvl w:val="0"/>
          <w:numId w:val="6"/>
        </w:numPr>
      </w:pPr>
      <w:r>
        <w:t>Public sector entity name</w:t>
      </w:r>
      <w:r w:rsidR="007C5AAE">
        <w:t xml:space="preserve"> – Public Interest Disclosures – YEAR (</w:t>
      </w:r>
      <w:r w:rsidR="00575158">
        <w:t>eg</w:t>
      </w:r>
      <w:r w:rsidR="007C5AAE">
        <w:t xml:space="preserve"> ACT Audit Office – Public Interest Disclosures – 2021)</w:t>
      </w:r>
    </w:p>
    <w:p w14:paraId="67714BE9" w14:textId="77777777" w:rsidR="007C5AAE" w:rsidRDefault="007C5AAE" w:rsidP="00061417">
      <w:pPr>
        <w:pStyle w:val="ListParagraph"/>
        <w:numPr>
          <w:ilvl w:val="1"/>
          <w:numId w:val="6"/>
        </w:numPr>
      </w:pPr>
      <w:r>
        <w:t>Public Interest Disclosure 001 (use the established naming convention – for example PID001)</w:t>
      </w:r>
    </w:p>
    <w:p w14:paraId="007A2608" w14:textId="77777777" w:rsidR="007C5AAE" w:rsidRDefault="007C5AAE" w:rsidP="00061417">
      <w:pPr>
        <w:pStyle w:val="ListParagraph"/>
        <w:numPr>
          <w:ilvl w:val="1"/>
          <w:numId w:val="6"/>
        </w:numPr>
      </w:pPr>
      <w:r>
        <w:t>Public Interest Disclosure 002 (use the established naming convention – for example PID002)</w:t>
      </w:r>
    </w:p>
    <w:p w14:paraId="6911A219" w14:textId="77777777" w:rsidR="007C5AAE" w:rsidRDefault="007C5AAE" w:rsidP="00061417">
      <w:pPr>
        <w:pStyle w:val="ListParagraph"/>
        <w:numPr>
          <w:ilvl w:val="1"/>
          <w:numId w:val="6"/>
        </w:numPr>
      </w:pPr>
      <w:r>
        <w:t>Etc.</w:t>
      </w:r>
    </w:p>
    <w:p w14:paraId="648484D4" w14:textId="77777777" w:rsidR="007C5AAE" w:rsidRDefault="007C5AAE" w:rsidP="007C5AAE">
      <w:r>
        <w:t>All material relevant to the individual PID should be placed in the relevant sub-file. For example, any correspondence, investigation reports, evidence etc. should be located centrally within the relevant file.</w:t>
      </w:r>
    </w:p>
    <w:p w14:paraId="4AE8A5F6" w14:textId="6D669C32" w:rsidR="007C5AAE" w:rsidRDefault="006202F4" w:rsidP="007C5AAE">
      <w:r>
        <w:t>In addition, t</w:t>
      </w:r>
      <w:r w:rsidR="007C5AAE">
        <w:t xml:space="preserve">he Commission </w:t>
      </w:r>
      <w:r w:rsidR="007C5AAE" w:rsidRPr="006202F4">
        <w:t>recommends</w:t>
      </w:r>
      <w:r w:rsidR="007C5AAE">
        <w:t xml:space="preserve"> that </w:t>
      </w:r>
      <w:r w:rsidR="002B2B3B">
        <w:t>public sector</w:t>
      </w:r>
      <w:r w:rsidR="007C5AAE">
        <w:t xml:space="preserve"> entities establish a spreadsheet </w:t>
      </w:r>
      <w:r w:rsidR="00252B0C">
        <w:t>that</w:t>
      </w:r>
      <w:r w:rsidR="007C5AAE">
        <w:t xml:space="preserve"> tracks all relevant details. This would include columns which clearly record the number of the PID, the officer responsible for its investigation, relevant dates and the corresponding file number in which all relevant material is located.</w:t>
      </w:r>
    </w:p>
    <w:p w14:paraId="5A33AC40" w14:textId="4C454FA5" w:rsidR="007C5AAE" w:rsidRDefault="007C5AAE" w:rsidP="007C5AAE">
      <w:r>
        <w:rPr>
          <w:b/>
          <w:bCs/>
        </w:rPr>
        <w:t>Important:</w:t>
      </w:r>
      <w:r>
        <w:t xml:space="preserve"> Entities must ensure these files have appropriate access controls. It is an offence to recklessly misuse protected information under the PID Act. </w:t>
      </w:r>
      <w:r w:rsidR="006202F4">
        <w:t>Failing</w:t>
      </w:r>
      <w:r>
        <w:t xml:space="preserve"> to protect relevant information </w:t>
      </w:r>
      <w:r w:rsidR="006202F4">
        <w:t>c</w:t>
      </w:r>
      <w:r>
        <w:t>ould be considered reckless.</w:t>
      </w:r>
    </w:p>
    <w:p w14:paraId="0B6403F2" w14:textId="77777777" w:rsidR="007C5AAE" w:rsidRDefault="007C5AAE" w:rsidP="007C5AAE">
      <w:pPr>
        <w:sectPr w:rsidR="007C5AAE" w:rsidSect="00240DCD">
          <w:headerReference w:type="default" r:id="rId25"/>
          <w:pgSz w:w="11906" w:h="16838"/>
          <w:pgMar w:top="1440" w:right="1440" w:bottom="1440" w:left="1440" w:header="708" w:footer="708" w:gutter="0"/>
          <w:cols w:space="708"/>
          <w:titlePg/>
          <w:docGrid w:linePitch="360"/>
        </w:sectPr>
      </w:pPr>
    </w:p>
    <w:p w14:paraId="0FD8E4BF" w14:textId="782A2B7A" w:rsidR="009D1582" w:rsidRDefault="009E6C95" w:rsidP="007247D1">
      <w:pPr>
        <w:pStyle w:val="Heading1"/>
      </w:pPr>
      <w:bookmarkStart w:id="314" w:name="_Ref64982595"/>
      <w:bookmarkStart w:id="315" w:name="_Toc67904058"/>
      <w:bookmarkStart w:id="316" w:name="_Toc75255234"/>
      <w:r>
        <w:lastRenderedPageBreak/>
        <w:t>Appendix B</w:t>
      </w:r>
      <w:r w:rsidR="00B30600">
        <w:t>: Risk Reprisal Management Plan Template</w:t>
      </w:r>
      <w:bookmarkEnd w:id="313"/>
      <w:bookmarkEnd w:id="314"/>
      <w:bookmarkEnd w:id="315"/>
      <w:bookmarkEnd w:id="316"/>
    </w:p>
    <w:p w14:paraId="52B02606" w14:textId="22E4F276" w:rsidR="00B30600" w:rsidRPr="005935A1" w:rsidRDefault="00B30600" w:rsidP="00B30600">
      <w:pPr>
        <w:rPr>
          <w:b/>
          <w:bCs/>
          <w:sz w:val="36"/>
          <w:szCs w:val="36"/>
        </w:rPr>
      </w:pPr>
      <w:r w:rsidRPr="005935A1">
        <w:rPr>
          <w:b/>
          <w:bCs/>
          <w:sz w:val="36"/>
          <w:szCs w:val="36"/>
        </w:rPr>
        <w:t>Risk Reprisal Management Plan</w:t>
      </w:r>
    </w:p>
    <w:p w14:paraId="4AAF8A92" w14:textId="77777777" w:rsidR="00B30600" w:rsidRDefault="00B30600" w:rsidP="00B30600"/>
    <w:tbl>
      <w:tblPr>
        <w:tblW w:w="0" w:type="auto"/>
        <w:tblLook w:val="04A0" w:firstRow="1" w:lastRow="0" w:firstColumn="1" w:lastColumn="0" w:noHBand="0" w:noVBand="1"/>
      </w:tblPr>
      <w:tblGrid>
        <w:gridCol w:w="2122"/>
        <w:gridCol w:w="11826"/>
      </w:tblGrid>
      <w:tr w:rsidR="00B30600" w14:paraId="24F7805F" w14:textId="77777777" w:rsidTr="00B02D4D">
        <w:tc>
          <w:tcPr>
            <w:tcW w:w="2122" w:type="dxa"/>
          </w:tcPr>
          <w:p w14:paraId="4B63ED70" w14:textId="77777777" w:rsidR="00B30600" w:rsidRDefault="00B30600" w:rsidP="00B02D4D">
            <w:r>
              <w:t>PID Ref #:</w:t>
            </w:r>
          </w:p>
        </w:tc>
        <w:tc>
          <w:tcPr>
            <w:tcW w:w="11826" w:type="dxa"/>
          </w:tcPr>
          <w:p w14:paraId="5398B8D4" w14:textId="36702E9F" w:rsidR="00B30600" w:rsidRPr="00B30600" w:rsidRDefault="00B30600" w:rsidP="00B02D4D">
            <w:pPr>
              <w:rPr>
                <w:i/>
                <w:iCs/>
                <w:highlight w:val="yellow"/>
              </w:rPr>
            </w:pPr>
            <w:r w:rsidRPr="00B30600">
              <w:rPr>
                <w:i/>
                <w:iCs/>
                <w:highlight w:val="yellow"/>
              </w:rPr>
              <w:t>&lt;if your agency adopts a number system, use this reference number&gt;</w:t>
            </w:r>
          </w:p>
        </w:tc>
      </w:tr>
      <w:tr w:rsidR="00B30600" w14:paraId="413A6FA1" w14:textId="77777777" w:rsidTr="00B02D4D">
        <w:tc>
          <w:tcPr>
            <w:tcW w:w="2122" w:type="dxa"/>
          </w:tcPr>
          <w:p w14:paraId="460490CE" w14:textId="37F0DAFC" w:rsidR="00B30600" w:rsidRDefault="00B30600" w:rsidP="00B02D4D">
            <w:r>
              <w:t>Date of Disclosure:</w:t>
            </w:r>
          </w:p>
        </w:tc>
        <w:sdt>
          <w:sdtPr>
            <w:alias w:val="Assessment Date"/>
            <w:tag w:val="Assessment Date"/>
            <w:id w:val="478652559"/>
            <w:placeholder>
              <w:docPart w:val="F809AE17DB184D5184A02FB61F4337B7"/>
            </w:placeholder>
            <w:showingPlcHdr/>
            <w15:color w:val="FFFF00"/>
            <w:date>
              <w:dateFormat w:val="d MMMM yyyy"/>
              <w:lid w:val="en-AU"/>
              <w:storeMappedDataAs w:val="dateTime"/>
              <w:calendar w:val="gregorian"/>
            </w:date>
          </w:sdtPr>
          <w:sdtEndPr/>
          <w:sdtContent>
            <w:tc>
              <w:tcPr>
                <w:tcW w:w="11826" w:type="dxa"/>
              </w:tcPr>
              <w:p w14:paraId="383415F0" w14:textId="77777777" w:rsidR="00B30600" w:rsidRDefault="00B30600" w:rsidP="00B02D4D">
                <w:r w:rsidRPr="00C95503">
                  <w:rPr>
                    <w:rStyle w:val="PlaceholderText"/>
                  </w:rPr>
                  <w:t>Click or tap to enter a date.</w:t>
                </w:r>
              </w:p>
            </w:tc>
          </w:sdtContent>
        </w:sdt>
      </w:tr>
      <w:tr w:rsidR="00B30600" w14:paraId="2BA1E753" w14:textId="77777777" w:rsidTr="00B02D4D">
        <w:tc>
          <w:tcPr>
            <w:tcW w:w="2122" w:type="dxa"/>
          </w:tcPr>
          <w:p w14:paraId="79D94C5A" w14:textId="68D1EE56" w:rsidR="00B30600" w:rsidRDefault="00B30600" w:rsidP="00B02D4D">
            <w:r>
              <w:t>Disclosure Officer:</w:t>
            </w:r>
          </w:p>
        </w:tc>
        <w:tc>
          <w:tcPr>
            <w:tcW w:w="11826" w:type="dxa"/>
          </w:tcPr>
          <w:p w14:paraId="205302DF" w14:textId="191A79C5" w:rsidR="00B30600" w:rsidRPr="005935A1" w:rsidRDefault="00B30600" w:rsidP="00B02D4D">
            <w:pPr>
              <w:rPr>
                <w:i/>
                <w:iCs/>
              </w:rPr>
            </w:pPr>
            <w:r w:rsidRPr="005935A1">
              <w:rPr>
                <w:i/>
                <w:iCs/>
                <w:highlight w:val="yellow"/>
              </w:rPr>
              <w:t xml:space="preserve">&lt;insert the </w:t>
            </w:r>
            <w:r>
              <w:rPr>
                <w:i/>
                <w:iCs/>
                <w:highlight w:val="yellow"/>
              </w:rPr>
              <w:t>Disclosure</w:t>
            </w:r>
            <w:r w:rsidRPr="005935A1">
              <w:rPr>
                <w:i/>
                <w:iCs/>
                <w:highlight w:val="yellow"/>
              </w:rPr>
              <w:t xml:space="preserve"> Officer’s name&gt;</w:t>
            </w:r>
          </w:p>
        </w:tc>
      </w:tr>
    </w:tbl>
    <w:p w14:paraId="7D342B79" w14:textId="77777777" w:rsidR="00B30600" w:rsidRPr="005935A1" w:rsidRDefault="00B30600" w:rsidP="00B30600"/>
    <w:p w14:paraId="5574B65E" w14:textId="443658DB" w:rsidR="00B30600" w:rsidRPr="005935A1" w:rsidRDefault="00B30600" w:rsidP="00B30600">
      <w:pPr>
        <w:rPr>
          <w:sz w:val="28"/>
          <w:szCs w:val="28"/>
          <w:u w:val="single"/>
        </w:rPr>
      </w:pPr>
      <w:r w:rsidRPr="005935A1">
        <w:rPr>
          <w:b/>
          <w:bCs/>
          <w:sz w:val="28"/>
          <w:szCs w:val="28"/>
          <w:u w:val="single"/>
        </w:rPr>
        <w:t>Risk Reprisal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3464"/>
        <w:gridCol w:w="3464"/>
        <w:gridCol w:w="3464"/>
      </w:tblGrid>
      <w:tr w:rsidR="00B30600" w:rsidRPr="000A17F0" w14:paraId="14D2ECBD" w14:textId="77777777" w:rsidTr="0034233E">
        <w:tc>
          <w:tcPr>
            <w:tcW w:w="3463" w:type="dxa"/>
            <w:shd w:val="clear" w:color="auto" w:fill="000000" w:themeFill="text1"/>
          </w:tcPr>
          <w:p w14:paraId="79852643" w14:textId="77777777" w:rsidR="00B30600" w:rsidRPr="000A17F0" w:rsidRDefault="00B30600" w:rsidP="00B02D4D">
            <w:pPr>
              <w:rPr>
                <w:b/>
                <w:bCs/>
                <w:color w:val="FFFFFF" w:themeColor="background1"/>
              </w:rPr>
            </w:pPr>
            <w:r w:rsidRPr="000A17F0">
              <w:rPr>
                <w:b/>
                <w:bCs/>
                <w:color w:val="FFFFFF" w:themeColor="background1"/>
              </w:rPr>
              <w:t>Do the discloser and the subject of the disclosure…</w:t>
            </w:r>
          </w:p>
        </w:tc>
        <w:tc>
          <w:tcPr>
            <w:tcW w:w="3464" w:type="dxa"/>
            <w:shd w:val="clear" w:color="auto" w:fill="000000" w:themeFill="text1"/>
          </w:tcPr>
          <w:p w14:paraId="0419CAAF" w14:textId="77777777" w:rsidR="00B30600" w:rsidRPr="000A17F0" w:rsidRDefault="00B30600" w:rsidP="00B02D4D">
            <w:pPr>
              <w:rPr>
                <w:b/>
                <w:bCs/>
                <w:color w:val="FFFFFF" w:themeColor="background1"/>
              </w:rPr>
            </w:pPr>
            <w:r w:rsidRPr="000A17F0">
              <w:rPr>
                <w:b/>
                <w:bCs/>
                <w:color w:val="FFFFFF" w:themeColor="background1"/>
              </w:rPr>
              <w:t>Response</w:t>
            </w:r>
          </w:p>
        </w:tc>
        <w:tc>
          <w:tcPr>
            <w:tcW w:w="3464" w:type="dxa"/>
            <w:shd w:val="clear" w:color="auto" w:fill="000000" w:themeFill="text1"/>
          </w:tcPr>
          <w:p w14:paraId="6C81563E" w14:textId="77777777" w:rsidR="00B30600" w:rsidRPr="000A17F0" w:rsidRDefault="00B30600" w:rsidP="00B02D4D">
            <w:pPr>
              <w:rPr>
                <w:b/>
                <w:bCs/>
                <w:color w:val="FFFFFF" w:themeColor="background1"/>
              </w:rPr>
            </w:pPr>
            <w:r w:rsidRPr="000A17F0">
              <w:rPr>
                <w:b/>
                <w:bCs/>
                <w:color w:val="FFFFFF" w:themeColor="background1"/>
              </w:rPr>
              <w:t>Details</w:t>
            </w:r>
          </w:p>
        </w:tc>
        <w:tc>
          <w:tcPr>
            <w:tcW w:w="3464" w:type="dxa"/>
            <w:shd w:val="clear" w:color="auto" w:fill="000000" w:themeFill="text1"/>
          </w:tcPr>
          <w:p w14:paraId="38D66AFB" w14:textId="77777777" w:rsidR="00B30600" w:rsidRPr="000A17F0" w:rsidRDefault="00B30600" w:rsidP="00B02D4D">
            <w:pPr>
              <w:rPr>
                <w:b/>
                <w:bCs/>
                <w:color w:val="FFFFFF" w:themeColor="background1"/>
              </w:rPr>
            </w:pPr>
            <w:r w:rsidRPr="000A17F0">
              <w:rPr>
                <w:b/>
                <w:bCs/>
                <w:color w:val="FFFFFF" w:themeColor="background1"/>
              </w:rPr>
              <w:t>Treatment</w:t>
            </w:r>
          </w:p>
        </w:tc>
      </w:tr>
      <w:tr w:rsidR="00B30600" w14:paraId="686474CB" w14:textId="77777777" w:rsidTr="0034233E">
        <w:tc>
          <w:tcPr>
            <w:tcW w:w="3463" w:type="dxa"/>
          </w:tcPr>
          <w:p w14:paraId="7AD0C20F" w14:textId="77777777" w:rsidR="00B30600" w:rsidRDefault="00B30600" w:rsidP="00B02D4D">
            <w:r>
              <w:t>work together?</w:t>
            </w:r>
          </w:p>
        </w:tc>
        <w:sdt>
          <w:sdtPr>
            <w:alias w:val="Response"/>
            <w:tag w:val="Response"/>
            <w:id w:val="1904563574"/>
            <w:placeholder>
              <w:docPart w:val="5DBA02B6EE8E41B2A43D83B0E0757FFB"/>
            </w:placeholder>
            <w:showingPlcHdr/>
            <w:dropDownList>
              <w:listItem w:value="Choose an item."/>
              <w:listItem w:displayText="Yes" w:value="Yes"/>
              <w:listItem w:displayText="No" w:value="No"/>
            </w:dropDownList>
          </w:sdtPr>
          <w:sdtEndPr/>
          <w:sdtContent>
            <w:tc>
              <w:tcPr>
                <w:tcW w:w="3464" w:type="dxa"/>
              </w:tcPr>
              <w:p w14:paraId="35B1AA84" w14:textId="77777777" w:rsidR="00B30600" w:rsidRDefault="00B30600" w:rsidP="00B02D4D">
                <w:r w:rsidRPr="00C95503">
                  <w:rPr>
                    <w:rStyle w:val="PlaceholderText"/>
                  </w:rPr>
                  <w:t>Choose an item.</w:t>
                </w:r>
              </w:p>
            </w:tc>
          </w:sdtContent>
        </w:sdt>
        <w:tc>
          <w:tcPr>
            <w:tcW w:w="3464" w:type="dxa"/>
          </w:tcPr>
          <w:p w14:paraId="7BE76789" w14:textId="77777777" w:rsidR="00B30600" w:rsidRDefault="00B30600" w:rsidP="00B02D4D"/>
        </w:tc>
        <w:tc>
          <w:tcPr>
            <w:tcW w:w="3464" w:type="dxa"/>
          </w:tcPr>
          <w:p w14:paraId="777BEDF3" w14:textId="68D74E61" w:rsidR="00B30600" w:rsidRPr="00330030" w:rsidRDefault="00B30600" w:rsidP="00B02D4D">
            <w:pPr>
              <w:rPr>
                <w:i/>
                <w:iCs/>
              </w:rPr>
            </w:pPr>
            <w:r w:rsidRPr="00330030">
              <w:rPr>
                <w:i/>
                <w:iCs/>
                <w:highlight w:val="yellow"/>
              </w:rPr>
              <w:t>&lt;insert an initial (</w:t>
            </w:r>
            <w:r w:rsidR="00575158">
              <w:rPr>
                <w:i/>
                <w:iCs/>
                <w:highlight w:val="yellow"/>
              </w:rPr>
              <w:t>ie</w:t>
            </w:r>
            <w:r w:rsidRPr="00330030">
              <w:rPr>
                <w:i/>
                <w:iCs/>
                <w:highlight w:val="yellow"/>
              </w:rPr>
              <w:t xml:space="preserve"> quick) recommendation as to how the risk may be treated. This need not be complicated. It is </w:t>
            </w:r>
            <w:r w:rsidR="00843A86">
              <w:rPr>
                <w:i/>
                <w:iCs/>
                <w:highlight w:val="yellow"/>
              </w:rPr>
              <w:t>usually sufficient</w:t>
            </w:r>
            <w:r w:rsidRPr="00330030">
              <w:rPr>
                <w:i/>
                <w:iCs/>
                <w:highlight w:val="yellow"/>
              </w:rPr>
              <w:t xml:space="preserve"> in general circumstances to state ‘The confidentially provisions and general protections under the Act provide adequate treatment.’&gt;</w:t>
            </w:r>
          </w:p>
        </w:tc>
      </w:tr>
      <w:tr w:rsidR="00B30600" w14:paraId="60747383" w14:textId="77777777" w:rsidTr="0034233E">
        <w:tc>
          <w:tcPr>
            <w:tcW w:w="3463" w:type="dxa"/>
          </w:tcPr>
          <w:p w14:paraId="70E170C7" w14:textId="77777777" w:rsidR="00B30600" w:rsidRDefault="00B30600" w:rsidP="00B02D4D">
            <w:r>
              <w:t>work within the same reporting line?</w:t>
            </w:r>
          </w:p>
        </w:tc>
        <w:sdt>
          <w:sdtPr>
            <w:alias w:val="Response"/>
            <w:tag w:val="Response"/>
            <w:id w:val="1911577622"/>
            <w:placeholder>
              <w:docPart w:val="2A57DEDB33264698980C601E295A2979"/>
            </w:placeholder>
            <w:showingPlcHdr/>
            <w:dropDownList>
              <w:listItem w:value="Choose an item."/>
              <w:listItem w:displayText="Yes" w:value="Yes"/>
              <w:listItem w:displayText="No" w:value="No"/>
            </w:dropDownList>
          </w:sdtPr>
          <w:sdtEndPr/>
          <w:sdtContent>
            <w:tc>
              <w:tcPr>
                <w:tcW w:w="3464" w:type="dxa"/>
              </w:tcPr>
              <w:p w14:paraId="13B064C0" w14:textId="77777777" w:rsidR="00B30600" w:rsidRDefault="00B30600" w:rsidP="00B02D4D">
                <w:r w:rsidRPr="00C95503">
                  <w:rPr>
                    <w:rStyle w:val="PlaceholderText"/>
                  </w:rPr>
                  <w:t>Choose an item.</w:t>
                </w:r>
              </w:p>
            </w:tc>
          </w:sdtContent>
        </w:sdt>
        <w:tc>
          <w:tcPr>
            <w:tcW w:w="3464" w:type="dxa"/>
          </w:tcPr>
          <w:p w14:paraId="7115E74C" w14:textId="77777777" w:rsidR="00B30600" w:rsidRDefault="00B30600" w:rsidP="00B02D4D"/>
        </w:tc>
        <w:tc>
          <w:tcPr>
            <w:tcW w:w="3464" w:type="dxa"/>
          </w:tcPr>
          <w:p w14:paraId="70574EBC" w14:textId="77777777" w:rsidR="00B30600" w:rsidRDefault="00B30600" w:rsidP="00B02D4D"/>
        </w:tc>
      </w:tr>
      <w:tr w:rsidR="00B30600" w14:paraId="3F582B5E" w14:textId="77777777" w:rsidTr="0034233E">
        <w:tc>
          <w:tcPr>
            <w:tcW w:w="3463" w:type="dxa"/>
          </w:tcPr>
          <w:p w14:paraId="6E80541C" w14:textId="77777777" w:rsidR="00B30600" w:rsidRDefault="00B30600" w:rsidP="00B02D4D">
            <w:r>
              <w:t xml:space="preserve">have staff or managers in common? </w:t>
            </w:r>
          </w:p>
        </w:tc>
        <w:sdt>
          <w:sdtPr>
            <w:alias w:val="Response"/>
            <w:tag w:val="Response"/>
            <w:id w:val="2139991259"/>
            <w:placeholder>
              <w:docPart w:val="E850E94689004142A2F9758DA11342B6"/>
            </w:placeholder>
            <w:showingPlcHdr/>
            <w:dropDownList>
              <w:listItem w:value="Choose an item."/>
              <w:listItem w:displayText="Yes" w:value="Yes"/>
              <w:listItem w:displayText="No" w:value="No"/>
            </w:dropDownList>
          </w:sdtPr>
          <w:sdtEndPr/>
          <w:sdtContent>
            <w:tc>
              <w:tcPr>
                <w:tcW w:w="3464" w:type="dxa"/>
              </w:tcPr>
              <w:p w14:paraId="4C27A91D" w14:textId="77777777" w:rsidR="00B30600" w:rsidRDefault="00B30600" w:rsidP="00B02D4D">
                <w:r w:rsidRPr="00C95503">
                  <w:rPr>
                    <w:rStyle w:val="PlaceholderText"/>
                  </w:rPr>
                  <w:t>Choose an item.</w:t>
                </w:r>
              </w:p>
            </w:tc>
          </w:sdtContent>
        </w:sdt>
        <w:tc>
          <w:tcPr>
            <w:tcW w:w="3464" w:type="dxa"/>
          </w:tcPr>
          <w:p w14:paraId="288F8997" w14:textId="77777777" w:rsidR="00B30600" w:rsidRDefault="00B30600" w:rsidP="00B02D4D"/>
        </w:tc>
        <w:tc>
          <w:tcPr>
            <w:tcW w:w="3464" w:type="dxa"/>
          </w:tcPr>
          <w:p w14:paraId="259E2758" w14:textId="77777777" w:rsidR="00B30600" w:rsidRDefault="00B30600" w:rsidP="00B02D4D"/>
        </w:tc>
      </w:tr>
      <w:tr w:rsidR="00B30600" w14:paraId="1A29EE6F" w14:textId="77777777" w:rsidTr="0034233E">
        <w:tc>
          <w:tcPr>
            <w:tcW w:w="3463" w:type="dxa"/>
          </w:tcPr>
          <w:p w14:paraId="34848B2B" w14:textId="77777777" w:rsidR="00B30600" w:rsidRDefault="00B30600" w:rsidP="00B02D4D">
            <w:r>
              <w:t>work together in the same physical location/s?</w:t>
            </w:r>
          </w:p>
        </w:tc>
        <w:sdt>
          <w:sdtPr>
            <w:alias w:val="Response"/>
            <w:tag w:val="Response"/>
            <w:id w:val="-1310240268"/>
            <w:placeholder>
              <w:docPart w:val="956B83CF71644EA0BCEAEC003831F1EA"/>
            </w:placeholder>
            <w:showingPlcHdr/>
            <w:dropDownList>
              <w:listItem w:value="Choose an item."/>
              <w:listItem w:displayText="Yes" w:value="Yes"/>
              <w:listItem w:displayText="No" w:value="No"/>
            </w:dropDownList>
          </w:sdtPr>
          <w:sdtEndPr/>
          <w:sdtContent>
            <w:tc>
              <w:tcPr>
                <w:tcW w:w="3464" w:type="dxa"/>
              </w:tcPr>
              <w:p w14:paraId="5BDBB82D" w14:textId="77777777" w:rsidR="00B30600" w:rsidRDefault="00B30600" w:rsidP="00B02D4D">
                <w:r w:rsidRPr="00C95503">
                  <w:rPr>
                    <w:rStyle w:val="PlaceholderText"/>
                  </w:rPr>
                  <w:t>Choose an item.</w:t>
                </w:r>
              </w:p>
            </w:tc>
          </w:sdtContent>
        </w:sdt>
        <w:tc>
          <w:tcPr>
            <w:tcW w:w="3464" w:type="dxa"/>
          </w:tcPr>
          <w:p w14:paraId="17358219" w14:textId="77777777" w:rsidR="00B30600" w:rsidRDefault="00B30600" w:rsidP="00B02D4D"/>
        </w:tc>
        <w:tc>
          <w:tcPr>
            <w:tcW w:w="3464" w:type="dxa"/>
          </w:tcPr>
          <w:p w14:paraId="7ACCB432" w14:textId="77777777" w:rsidR="00B30600" w:rsidRDefault="00B30600" w:rsidP="00B02D4D"/>
        </w:tc>
      </w:tr>
      <w:tr w:rsidR="00B30600" w14:paraId="1A93A1F8" w14:textId="77777777" w:rsidTr="0034233E">
        <w:tc>
          <w:tcPr>
            <w:tcW w:w="3463" w:type="dxa"/>
          </w:tcPr>
          <w:p w14:paraId="55ACCCFF" w14:textId="77777777" w:rsidR="00B30600" w:rsidRDefault="00B30600" w:rsidP="00B02D4D">
            <w:r>
              <w:t>socialise together outside of work?</w:t>
            </w:r>
          </w:p>
        </w:tc>
        <w:sdt>
          <w:sdtPr>
            <w:alias w:val="Response"/>
            <w:tag w:val="Response"/>
            <w:id w:val="-2082128776"/>
            <w:placeholder>
              <w:docPart w:val="BF9241EEDFFC4DA0955B99B602771792"/>
            </w:placeholder>
            <w:showingPlcHdr/>
            <w:dropDownList>
              <w:listItem w:value="Choose an item."/>
              <w:listItem w:displayText="Yes" w:value="Yes"/>
              <w:listItem w:displayText="No" w:value="No"/>
            </w:dropDownList>
          </w:sdtPr>
          <w:sdtEndPr/>
          <w:sdtContent>
            <w:tc>
              <w:tcPr>
                <w:tcW w:w="3464" w:type="dxa"/>
              </w:tcPr>
              <w:p w14:paraId="61414713" w14:textId="77777777" w:rsidR="00B30600" w:rsidRDefault="00B30600" w:rsidP="00B02D4D">
                <w:r w:rsidRPr="00C95503">
                  <w:rPr>
                    <w:rStyle w:val="PlaceholderText"/>
                  </w:rPr>
                  <w:t>Choose an item.</w:t>
                </w:r>
              </w:p>
            </w:tc>
          </w:sdtContent>
        </w:sdt>
        <w:tc>
          <w:tcPr>
            <w:tcW w:w="3464" w:type="dxa"/>
          </w:tcPr>
          <w:p w14:paraId="20508815" w14:textId="77777777" w:rsidR="00B30600" w:rsidRDefault="00B30600" w:rsidP="00B02D4D"/>
        </w:tc>
        <w:tc>
          <w:tcPr>
            <w:tcW w:w="3464" w:type="dxa"/>
          </w:tcPr>
          <w:p w14:paraId="4C8161D9" w14:textId="77777777" w:rsidR="00B30600" w:rsidRDefault="00B30600" w:rsidP="00B02D4D"/>
        </w:tc>
      </w:tr>
      <w:tr w:rsidR="00B30600" w14:paraId="1ACB5762" w14:textId="77777777" w:rsidTr="0034233E">
        <w:tc>
          <w:tcPr>
            <w:tcW w:w="3463" w:type="dxa"/>
          </w:tcPr>
          <w:p w14:paraId="2CB95C4B" w14:textId="77777777" w:rsidR="00B30600" w:rsidRDefault="00B30600" w:rsidP="00B02D4D">
            <w:r>
              <w:lastRenderedPageBreak/>
              <w:t>have a history of either physical or mental abuse?</w:t>
            </w:r>
          </w:p>
        </w:tc>
        <w:sdt>
          <w:sdtPr>
            <w:alias w:val="Response"/>
            <w:tag w:val="Response"/>
            <w:id w:val="-1496567692"/>
            <w:placeholder>
              <w:docPart w:val="A8560599BC4C47F8BD4F044F663B6494"/>
            </w:placeholder>
            <w:showingPlcHdr/>
            <w:dropDownList>
              <w:listItem w:value="Choose an item."/>
              <w:listItem w:displayText="Yes" w:value="Yes"/>
              <w:listItem w:displayText="No" w:value="No"/>
            </w:dropDownList>
          </w:sdtPr>
          <w:sdtEndPr/>
          <w:sdtContent>
            <w:tc>
              <w:tcPr>
                <w:tcW w:w="3464" w:type="dxa"/>
              </w:tcPr>
              <w:p w14:paraId="5E1681BC" w14:textId="77777777" w:rsidR="00B30600" w:rsidRDefault="00B30600" w:rsidP="00B02D4D">
                <w:r w:rsidRPr="00C95503">
                  <w:rPr>
                    <w:rStyle w:val="PlaceholderText"/>
                  </w:rPr>
                  <w:t>Choose an item.</w:t>
                </w:r>
              </w:p>
            </w:tc>
          </w:sdtContent>
        </w:sdt>
        <w:tc>
          <w:tcPr>
            <w:tcW w:w="3464" w:type="dxa"/>
          </w:tcPr>
          <w:p w14:paraId="207BF6FF" w14:textId="77777777" w:rsidR="00B30600" w:rsidRDefault="00B30600" w:rsidP="00B02D4D"/>
        </w:tc>
        <w:tc>
          <w:tcPr>
            <w:tcW w:w="3464" w:type="dxa"/>
          </w:tcPr>
          <w:p w14:paraId="4EBF451D" w14:textId="77777777" w:rsidR="00B30600" w:rsidRDefault="00B30600" w:rsidP="00B02D4D"/>
        </w:tc>
      </w:tr>
    </w:tbl>
    <w:p w14:paraId="05E40905" w14:textId="77777777" w:rsidR="00B30600" w:rsidRDefault="00B30600" w:rsidP="00B30600"/>
    <w:p w14:paraId="183AC40F" w14:textId="77777777" w:rsidR="00B30600" w:rsidRDefault="00B30600" w:rsidP="00B30600">
      <w:pPr>
        <w:rPr>
          <w:b/>
          <w:bCs/>
        </w:rPr>
      </w:pPr>
    </w:p>
    <w:p w14:paraId="2180329E" w14:textId="77777777" w:rsidR="00B30600" w:rsidRDefault="00B30600" w:rsidP="00B30600">
      <w:pPr>
        <w:rPr>
          <w:b/>
          <w:bCs/>
        </w:rPr>
      </w:pPr>
      <w:r>
        <w:rPr>
          <w:b/>
          <w:bCs/>
        </w:rPr>
        <w:t>Summary</w:t>
      </w:r>
    </w:p>
    <w:p w14:paraId="4E228F98" w14:textId="68D85D4E" w:rsidR="00B30600" w:rsidRPr="000A17F0" w:rsidRDefault="00B30600" w:rsidP="00B30600">
      <w:pPr>
        <w:rPr>
          <w:i/>
          <w:iCs/>
        </w:rPr>
      </w:pPr>
      <w:r w:rsidRPr="00330030">
        <w:rPr>
          <w:i/>
          <w:iCs/>
          <w:highlight w:val="yellow"/>
        </w:rPr>
        <w:t>&lt;Insert a summary of your initial risk assessment. Typically, this will be along the lines of ensuring the investigating entity is aware of the risks and their obligations to manage them. &gt;</w:t>
      </w:r>
    </w:p>
    <w:p w14:paraId="1EEB9CE7" w14:textId="77777777" w:rsidR="00B30600" w:rsidRDefault="00B30600" w:rsidP="00B30600">
      <w:pPr>
        <w:rPr>
          <w:b/>
          <w:bCs/>
        </w:rPr>
      </w:pPr>
      <w:r>
        <w:rPr>
          <w:b/>
          <w:bCs/>
        </w:rPr>
        <w:t>Endorsement</w:t>
      </w:r>
    </w:p>
    <w:p w14:paraId="4FEF05DC" w14:textId="77777777" w:rsidR="00B30600" w:rsidRDefault="00B30600" w:rsidP="00B30600">
      <w:pPr>
        <w:rPr>
          <w:b/>
          <w:bCs/>
        </w:rPr>
      </w:pPr>
    </w:p>
    <w:p w14:paraId="1FC0AEC0" w14:textId="77777777" w:rsidR="00B30600" w:rsidRDefault="00B30600" w:rsidP="00B30600">
      <w:pPr>
        <w:rPr>
          <w:b/>
          <w:bCs/>
        </w:rPr>
      </w:pPr>
    </w:p>
    <w:p w14:paraId="4E83E1DA" w14:textId="755E6475" w:rsidR="00B30600" w:rsidRDefault="00B30600" w:rsidP="00B30600">
      <w:r w:rsidRPr="00B30600">
        <w:rPr>
          <w:highlight w:val="yellow"/>
        </w:rPr>
        <w:t>&lt;insert the disclosure officer’s signature block&gt;</w:t>
      </w:r>
    </w:p>
    <w:sdt>
      <w:sdtPr>
        <w:alias w:val="Endorsment Date"/>
        <w:tag w:val="Endorsment Date"/>
        <w:id w:val="61767793"/>
        <w:placeholder>
          <w:docPart w:val="5972EDA3A17B4F4E9DDB3F80C6C8218C"/>
        </w:placeholder>
        <w:showingPlcHdr/>
        <w15:color w:val="FFFF00"/>
        <w:date>
          <w:dateFormat w:val="d MMMM yyyy"/>
          <w:lid w:val="en-AU"/>
          <w:storeMappedDataAs w:val="dateTime"/>
          <w:calendar w:val="gregorian"/>
        </w:date>
      </w:sdtPr>
      <w:sdtEndPr/>
      <w:sdtContent>
        <w:p w14:paraId="347C3FF0" w14:textId="77777777" w:rsidR="00B30600" w:rsidRPr="000A17F0" w:rsidRDefault="00B30600" w:rsidP="00B30600">
          <w:r w:rsidRPr="00C95503">
            <w:rPr>
              <w:rStyle w:val="PlaceholderText"/>
            </w:rPr>
            <w:t>Click or tap to enter a date.</w:t>
          </w:r>
        </w:p>
      </w:sdtContent>
    </w:sdt>
    <w:p w14:paraId="1981F4AC" w14:textId="77777777" w:rsidR="00430D3C" w:rsidRDefault="00430D3C" w:rsidP="00B30600">
      <w:pPr>
        <w:sectPr w:rsidR="00430D3C" w:rsidSect="00240DCD">
          <w:pgSz w:w="16838" w:h="11906" w:orient="landscape"/>
          <w:pgMar w:top="1440" w:right="1440" w:bottom="1440" w:left="1440" w:header="708" w:footer="708" w:gutter="0"/>
          <w:cols w:space="708"/>
          <w:titlePg/>
          <w:docGrid w:linePitch="360"/>
        </w:sectPr>
      </w:pPr>
    </w:p>
    <w:p w14:paraId="6EE9C759" w14:textId="28170990" w:rsidR="00430D3C" w:rsidRPr="0081326A" w:rsidRDefault="009E6C95" w:rsidP="007247D1">
      <w:pPr>
        <w:pStyle w:val="Heading1"/>
      </w:pPr>
      <w:bookmarkStart w:id="317" w:name="_Ref61856003"/>
      <w:bookmarkStart w:id="318" w:name="_Toc67904059"/>
      <w:bookmarkStart w:id="319" w:name="_Ref73460858"/>
      <w:bookmarkStart w:id="320" w:name="_Toc75255235"/>
      <w:r w:rsidRPr="0081326A">
        <w:lastRenderedPageBreak/>
        <w:t>Appendix C</w:t>
      </w:r>
      <w:r w:rsidR="00BE0FD5" w:rsidRPr="0081326A">
        <w:t xml:space="preserve">: </w:t>
      </w:r>
      <w:r w:rsidR="007F4D15" w:rsidRPr="0081326A">
        <w:t>R</w:t>
      </w:r>
      <w:r w:rsidR="00BE0FD5" w:rsidRPr="0081326A">
        <w:t>eferral letter</w:t>
      </w:r>
      <w:bookmarkEnd w:id="317"/>
      <w:bookmarkEnd w:id="318"/>
      <w:r w:rsidR="007F4D15" w:rsidRPr="0081326A">
        <w:t xml:space="preserve"> template</w:t>
      </w:r>
      <w:bookmarkEnd w:id="319"/>
      <w:bookmarkEnd w:id="320"/>
    </w:p>
    <w:p w14:paraId="47FA5654" w14:textId="047C1C47" w:rsidR="00DB2705" w:rsidRPr="0081326A" w:rsidRDefault="00DB2705" w:rsidP="00DB2705">
      <w:pPr>
        <w:rPr>
          <w:rFonts w:cs="Arial"/>
          <w:b/>
          <w:bCs/>
        </w:rPr>
      </w:pPr>
      <w:r w:rsidRPr="0081326A">
        <w:rPr>
          <w:rFonts w:cs="Arial"/>
          <w:b/>
          <w:bCs/>
          <w:highlight w:val="yellow"/>
        </w:rPr>
        <w:t>Instructions: Complete all fields highlighted in yellow. Select appropriate text from colours and delete that which is unnecessary. Delete the heading and this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455"/>
        <w:gridCol w:w="3006"/>
      </w:tblGrid>
      <w:tr w:rsidR="00FF5A89" w:rsidRPr="0081326A" w14:paraId="6902BA99" w14:textId="77777777" w:rsidTr="005656C1">
        <w:tc>
          <w:tcPr>
            <w:tcW w:w="1555" w:type="dxa"/>
          </w:tcPr>
          <w:p w14:paraId="470A883B" w14:textId="77777777" w:rsidR="00FF5A89" w:rsidRPr="0081326A" w:rsidRDefault="00FF5A89" w:rsidP="005656C1">
            <w:pPr>
              <w:rPr>
                <w:rFonts w:cs="Arial"/>
                <w:szCs w:val="20"/>
              </w:rPr>
            </w:pPr>
            <w:r w:rsidRPr="0081326A">
              <w:rPr>
                <w:rFonts w:cs="Arial"/>
                <w:szCs w:val="20"/>
              </w:rPr>
              <w:t>Our ref:</w:t>
            </w:r>
          </w:p>
        </w:tc>
        <w:tc>
          <w:tcPr>
            <w:tcW w:w="4455" w:type="dxa"/>
          </w:tcPr>
          <w:p w14:paraId="7A190916" w14:textId="77777777" w:rsidR="00FF5A89" w:rsidRPr="0081326A" w:rsidRDefault="00FF5A89" w:rsidP="005656C1">
            <w:pPr>
              <w:rPr>
                <w:rFonts w:cs="Arial"/>
                <w:szCs w:val="20"/>
                <w:highlight w:val="yellow"/>
              </w:rPr>
            </w:pPr>
            <w:r w:rsidRPr="0081326A">
              <w:rPr>
                <w:rFonts w:cs="Arial"/>
                <w:szCs w:val="20"/>
                <w:highlight w:val="yellow"/>
              </w:rPr>
              <w:t>XXXX</w:t>
            </w:r>
          </w:p>
        </w:tc>
        <w:tc>
          <w:tcPr>
            <w:tcW w:w="3006" w:type="dxa"/>
          </w:tcPr>
          <w:p w14:paraId="2D7E800A" w14:textId="460CC6F7" w:rsidR="00FF5A89" w:rsidRPr="0081326A" w:rsidRDefault="00FF5A89" w:rsidP="005656C1">
            <w:pPr>
              <w:jc w:val="right"/>
              <w:rPr>
                <w:rFonts w:cs="Arial"/>
                <w:szCs w:val="20"/>
              </w:rPr>
            </w:pPr>
            <w:r w:rsidRPr="0081326A">
              <w:rPr>
                <w:rFonts w:cs="Arial"/>
                <w:szCs w:val="20"/>
              </w:rPr>
              <w:t>Street Address</w:t>
            </w:r>
          </w:p>
        </w:tc>
      </w:tr>
      <w:tr w:rsidR="00FF5A89" w:rsidRPr="0081326A" w14:paraId="19ECED76" w14:textId="77777777" w:rsidTr="005656C1">
        <w:tc>
          <w:tcPr>
            <w:tcW w:w="1555" w:type="dxa"/>
          </w:tcPr>
          <w:p w14:paraId="28BD7DEA" w14:textId="77777777" w:rsidR="00FF5A89" w:rsidRPr="0081326A" w:rsidRDefault="00FF5A89" w:rsidP="005656C1">
            <w:pPr>
              <w:rPr>
                <w:rFonts w:cs="Arial"/>
                <w:szCs w:val="20"/>
              </w:rPr>
            </w:pPr>
            <w:r w:rsidRPr="0081326A">
              <w:rPr>
                <w:rFonts w:cs="Arial"/>
                <w:szCs w:val="20"/>
              </w:rPr>
              <w:t>Your ref:</w:t>
            </w:r>
          </w:p>
        </w:tc>
        <w:tc>
          <w:tcPr>
            <w:tcW w:w="4455" w:type="dxa"/>
          </w:tcPr>
          <w:p w14:paraId="089436EE" w14:textId="77777777" w:rsidR="00FF5A89" w:rsidRPr="0081326A" w:rsidRDefault="00FF5A89" w:rsidP="005656C1">
            <w:pPr>
              <w:rPr>
                <w:rFonts w:cs="Arial"/>
                <w:szCs w:val="20"/>
                <w:highlight w:val="yellow"/>
              </w:rPr>
            </w:pPr>
            <w:r w:rsidRPr="0081326A">
              <w:rPr>
                <w:rFonts w:cs="Arial"/>
                <w:szCs w:val="20"/>
                <w:highlight w:val="yellow"/>
              </w:rPr>
              <w:t>XXXX</w:t>
            </w:r>
          </w:p>
        </w:tc>
        <w:tc>
          <w:tcPr>
            <w:tcW w:w="3006" w:type="dxa"/>
          </w:tcPr>
          <w:p w14:paraId="390BEF6D" w14:textId="74E47960" w:rsidR="00FF5A89" w:rsidRPr="0081326A" w:rsidRDefault="00FF5A89" w:rsidP="005656C1">
            <w:pPr>
              <w:jc w:val="right"/>
              <w:rPr>
                <w:rFonts w:cs="Arial"/>
                <w:szCs w:val="20"/>
                <w:highlight w:val="yellow"/>
              </w:rPr>
            </w:pPr>
            <w:r w:rsidRPr="0081326A">
              <w:rPr>
                <w:rFonts w:cs="Arial"/>
                <w:szCs w:val="20"/>
                <w:highlight w:val="yellow"/>
              </w:rPr>
              <w:t>SUBURB STATE POSTCODE</w:t>
            </w:r>
          </w:p>
        </w:tc>
      </w:tr>
      <w:tr w:rsidR="00FF5A89" w:rsidRPr="0081326A" w14:paraId="6CE2CCD0" w14:textId="77777777" w:rsidTr="005656C1">
        <w:tc>
          <w:tcPr>
            <w:tcW w:w="1555" w:type="dxa"/>
          </w:tcPr>
          <w:p w14:paraId="315E7892" w14:textId="77777777" w:rsidR="00FF5A89" w:rsidRPr="0081326A" w:rsidRDefault="00FF5A89" w:rsidP="005656C1">
            <w:pPr>
              <w:rPr>
                <w:rFonts w:cs="Arial"/>
                <w:szCs w:val="20"/>
              </w:rPr>
            </w:pPr>
          </w:p>
        </w:tc>
        <w:tc>
          <w:tcPr>
            <w:tcW w:w="4455" w:type="dxa"/>
          </w:tcPr>
          <w:p w14:paraId="1044556E" w14:textId="77777777" w:rsidR="00FF5A89" w:rsidRPr="0081326A" w:rsidRDefault="00FF5A89" w:rsidP="005656C1">
            <w:pPr>
              <w:rPr>
                <w:rFonts w:cs="Arial"/>
                <w:szCs w:val="20"/>
                <w:highlight w:val="yellow"/>
              </w:rPr>
            </w:pPr>
          </w:p>
        </w:tc>
        <w:tc>
          <w:tcPr>
            <w:tcW w:w="3006" w:type="dxa"/>
          </w:tcPr>
          <w:p w14:paraId="288E0F04" w14:textId="77777777" w:rsidR="00FF5A89" w:rsidRPr="0081326A" w:rsidRDefault="00FF5A89" w:rsidP="005656C1">
            <w:pPr>
              <w:jc w:val="right"/>
              <w:rPr>
                <w:rFonts w:cs="Arial"/>
                <w:szCs w:val="20"/>
              </w:rPr>
            </w:pPr>
          </w:p>
        </w:tc>
      </w:tr>
      <w:tr w:rsidR="00FF5A89" w:rsidRPr="0081326A" w14:paraId="56094940" w14:textId="77777777" w:rsidTr="005656C1">
        <w:tc>
          <w:tcPr>
            <w:tcW w:w="1555" w:type="dxa"/>
          </w:tcPr>
          <w:p w14:paraId="53D848E3" w14:textId="77777777" w:rsidR="00FF5A89" w:rsidRPr="0081326A" w:rsidRDefault="00FF5A89" w:rsidP="005656C1">
            <w:pPr>
              <w:rPr>
                <w:rFonts w:cs="Arial"/>
                <w:szCs w:val="20"/>
              </w:rPr>
            </w:pPr>
            <w:r w:rsidRPr="0081326A">
              <w:rPr>
                <w:rFonts w:cs="Arial"/>
                <w:szCs w:val="20"/>
              </w:rPr>
              <w:t>Contact officer:</w:t>
            </w:r>
          </w:p>
        </w:tc>
        <w:tc>
          <w:tcPr>
            <w:tcW w:w="4455" w:type="dxa"/>
          </w:tcPr>
          <w:p w14:paraId="2B711A16" w14:textId="77777777" w:rsidR="00FF5A89" w:rsidRPr="0081326A" w:rsidRDefault="00FF5A89" w:rsidP="005656C1">
            <w:pPr>
              <w:rPr>
                <w:rFonts w:cs="Arial"/>
                <w:szCs w:val="20"/>
                <w:highlight w:val="yellow"/>
              </w:rPr>
            </w:pPr>
            <w:r w:rsidRPr="0081326A">
              <w:rPr>
                <w:rFonts w:cs="Arial"/>
                <w:szCs w:val="20"/>
                <w:highlight w:val="yellow"/>
              </w:rPr>
              <w:t>XXXX</w:t>
            </w:r>
          </w:p>
        </w:tc>
        <w:tc>
          <w:tcPr>
            <w:tcW w:w="3006" w:type="dxa"/>
          </w:tcPr>
          <w:p w14:paraId="2D028DDE" w14:textId="441D002F" w:rsidR="00FF5A89" w:rsidRPr="0081326A" w:rsidRDefault="00FF5A89" w:rsidP="005656C1">
            <w:pPr>
              <w:jc w:val="right"/>
              <w:rPr>
                <w:rFonts w:cs="Arial"/>
                <w:szCs w:val="20"/>
              </w:rPr>
            </w:pPr>
            <w:r w:rsidRPr="0081326A">
              <w:rPr>
                <w:rFonts w:cs="Arial"/>
                <w:szCs w:val="20"/>
              </w:rPr>
              <w:t>Postal Address</w:t>
            </w:r>
          </w:p>
        </w:tc>
      </w:tr>
      <w:tr w:rsidR="00FF5A89" w:rsidRPr="0081326A" w14:paraId="1AE82EA4" w14:textId="77777777" w:rsidTr="005656C1">
        <w:tc>
          <w:tcPr>
            <w:tcW w:w="1555" w:type="dxa"/>
          </w:tcPr>
          <w:p w14:paraId="3D4C00A8" w14:textId="77777777" w:rsidR="00FF5A89" w:rsidRPr="0081326A" w:rsidRDefault="00FF5A89" w:rsidP="005656C1">
            <w:pPr>
              <w:rPr>
                <w:rFonts w:cs="Arial"/>
                <w:szCs w:val="20"/>
              </w:rPr>
            </w:pPr>
            <w:r w:rsidRPr="0081326A">
              <w:rPr>
                <w:rFonts w:cs="Arial"/>
                <w:szCs w:val="20"/>
              </w:rPr>
              <w:t>Contact phone:</w:t>
            </w:r>
          </w:p>
        </w:tc>
        <w:tc>
          <w:tcPr>
            <w:tcW w:w="4455" w:type="dxa"/>
          </w:tcPr>
          <w:p w14:paraId="27C1EFCB" w14:textId="77777777" w:rsidR="00FF5A89" w:rsidRPr="0081326A" w:rsidRDefault="00FF5A89" w:rsidP="005656C1">
            <w:pPr>
              <w:rPr>
                <w:rFonts w:cs="Arial"/>
                <w:szCs w:val="20"/>
                <w:highlight w:val="yellow"/>
              </w:rPr>
            </w:pPr>
            <w:r w:rsidRPr="0081326A">
              <w:rPr>
                <w:rFonts w:cs="Arial"/>
                <w:szCs w:val="20"/>
                <w:highlight w:val="yellow"/>
              </w:rPr>
              <w:t>XXXX</w:t>
            </w:r>
          </w:p>
        </w:tc>
        <w:tc>
          <w:tcPr>
            <w:tcW w:w="3006" w:type="dxa"/>
          </w:tcPr>
          <w:p w14:paraId="56191284" w14:textId="0845E43D" w:rsidR="00FF5A89" w:rsidRPr="0081326A" w:rsidRDefault="00FF5A89" w:rsidP="005656C1">
            <w:pPr>
              <w:jc w:val="right"/>
              <w:rPr>
                <w:rFonts w:cs="Arial"/>
                <w:szCs w:val="20"/>
                <w:highlight w:val="yellow"/>
              </w:rPr>
            </w:pPr>
            <w:r w:rsidRPr="0081326A">
              <w:rPr>
                <w:rFonts w:cs="Arial"/>
                <w:szCs w:val="20"/>
                <w:highlight w:val="yellow"/>
              </w:rPr>
              <w:t>SUBURB STATE POSTCODE</w:t>
            </w:r>
          </w:p>
        </w:tc>
      </w:tr>
      <w:tr w:rsidR="00FF5A89" w:rsidRPr="0081326A" w14:paraId="643EB473" w14:textId="77777777" w:rsidTr="005656C1">
        <w:tc>
          <w:tcPr>
            <w:tcW w:w="1555" w:type="dxa"/>
          </w:tcPr>
          <w:p w14:paraId="58521781" w14:textId="77777777" w:rsidR="00FF5A89" w:rsidRPr="0081326A" w:rsidRDefault="00FF5A89" w:rsidP="005656C1">
            <w:pPr>
              <w:rPr>
                <w:rFonts w:cs="Arial"/>
                <w:szCs w:val="20"/>
              </w:rPr>
            </w:pPr>
          </w:p>
        </w:tc>
        <w:tc>
          <w:tcPr>
            <w:tcW w:w="4455" w:type="dxa"/>
          </w:tcPr>
          <w:p w14:paraId="605C861B" w14:textId="77777777" w:rsidR="00FF5A89" w:rsidRPr="0081326A" w:rsidRDefault="00FF5A89" w:rsidP="005656C1">
            <w:pPr>
              <w:rPr>
                <w:rFonts w:cs="Arial"/>
                <w:szCs w:val="20"/>
              </w:rPr>
            </w:pPr>
          </w:p>
        </w:tc>
        <w:tc>
          <w:tcPr>
            <w:tcW w:w="3006" w:type="dxa"/>
          </w:tcPr>
          <w:p w14:paraId="58919645" w14:textId="77777777" w:rsidR="00FF5A89" w:rsidRPr="0081326A" w:rsidRDefault="00FF5A89" w:rsidP="005656C1">
            <w:pPr>
              <w:jc w:val="right"/>
              <w:rPr>
                <w:rFonts w:cs="Arial"/>
                <w:szCs w:val="20"/>
              </w:rPr>
            </w:pPr>
          </w:p>
        </w:tc>
      </w:tr>
      <w:tr w:rsidR="00FF5A89" w:rsidRPr="0081326A" w14:paraId="2B5EB369" w14:textId="77777777" w:rsidTr="005656C1">
        <w:tc>
          <w:tcPr>
            <w:tcW w:w="1555" w:type="dxa"/>
          </w:tcPr>
          <w:p w14:paraId="549D8262" w14:textId="77777777" w:rsidR="00FF5A89" w:rsidRPr="0081326A" w:rsidRDefault="00FF5A89" w:rsidP="005656C1">
            <w:pPr>
              <w:rPr>
                <w:rFonts w:cs="Arial"/>
                <w:szCs w:val="20"/>
              </w:rPr>
            </w:pPr>
          </w:p>
        </w:tc>
        <w:tc>
          <w:tcPr>
            <w:tcW w:w="4455" w:type="dxa"/>
          </w:tcPr>
          <w:p w14:paraId="399FC4F1" w14:textId="77777777" w:rsidR="00FF5A89" w:rsidRPr="0081326A" w:rsidRDefault="00FF5A89" w:rsidP="005656C1">
            <w:pPr>
              <w:rPr>
                <w:rFonts w:cs="Arial"/>
                <w:szCs w:val="20"/>
              </w:rPr>
            </w:pPr>
          </w:p>
        </w:tc>
        <w:tc>
          <w:tcPr>
            <w:tcW w:w="3006" w:type="dxa"/>
          </w:tcPr>
          <w:p w14:paraId="41531523" w14:textId="62B9F4A3" w:rsidR="00FF5A89" w:rsidRPr="0081326A" w:rsidRDefault="00FF5A89" w:rsidP="005656C1">
            <w:pPr>
              <w:jc w:val="right"/>
              <w:rPr>
                <w:rFonts w:cs="Arial"/>
                <w:szCs w:val="20"/>
              </w:rPr>
            </w:pPr>
            <w:r w:rsidRPr="0081326A">
              <w:rPr>
                <w:rFonts w:cs="Arial"/>
                <w:szCs w:val="20"/>
              </w:rPr>
              <w:t>tel: XXXX</w:t>
            </w:r>
          </w:p>
        </w:tc>
      </w:tr>
      <w:tr w:rsidR="00FF5A89" w:rsidRPr="0081326A" w14:paraId="4E8FD13D" w14:textId="77777777" w:rsidTr="005656C1">
        <w:tc>
          <w:tcPr>
            <w:tcW w:w="1555" w:type="dxa"/>
          </w:tcPr>
          <w:p w14:paraId="6B1598DC" w14:textId="77777777" w:rsidR="00FF5A89" w:rsidRPr="0081326A" w:rsidRDefault="00FF5A89" w:rsidP="005656C1">
            <w:pPr>
              <w:rPr>
                <w:rFonts w:cs="Arial"/>
                <w:szCs w:val="20"/>
              </w:rPr>
            </w:pPr>
          </w:p>
        </w:tc>
        <w:tc>
          <w:tcPr>
            <w:tcW w:w="4455" w:type="dxa"/>
          </w:tcPr>
          <w:p w14:paraId="36962855" w14:textId="77777777" w:rsidR="00FF5A89" w:rsidRPr="0081326A" w:rsidRDefault="00FF5A89" w:rsidP="005656C1">
            <w:pPr>
              <w:rPr>
                <w:rFonts w:cs="Arial"/>
                <w:szCs w:val="20"/>
              </w:rPr>
            </w:pPr>
          </w:p>
        </w:tc>
        <w:tc>
          <w:tcPr>
            <w:tcW w:w="3006" w:type="dxa"/>
          </w:tcPr>
          <w:p w14:paraId="39961AD3" w14:textId="3FF396E6" w:rsidR="00FF5A89" w:rsidRPr="0081326A" w:rsidRDefault="00FF5A89" w:rsidP="005656C1">
            <w:pPr>
              <w:jc w:val="right"/>
              <w:rPr>
                <w:rFonts w:cs="Arial"/>
                <w:szCs w:val="20"/>
                <w:highlight w:val="yellow"/>
              </w:rPr>
            </w:pPr>
            <w:r w:rsidRPr="0081326A">
              <w:rPr>
                <w:rFonts w:cs="Arial"/>
                <w:szCs w:val="20"/>
                <w:highlight w:val="yellow"/>
              </w:rPr>
              <w:t>ENTITY WEBSITE ADDRESS</w:t>
            </w:r>
          </w:p>
        </w:tc>
      </w:tr>
    </w:tbl>
    <w:p w14:paraId="7E5B0106" w14:textId="77777777" w:rsidR="00FF5A89" w:rsidRPr="0081326A" w:rsidRDefault="00FF5A89" w:rsidP="00FF5A89">
      <w:pPr>
        <w:rPr>
          <w:rFonts w:cs="Arial"/>
        </w:rPr>
      </w:pPr>
    </w:p>
    <w:sdt>
      <w:sdtPr>
        <w:rPr>
          <w:rFonts w:cs="Arial"/>
        </w:rPr>
        <w:id w:val="-192922534"/>
        <w:placeholder>
          <w:docPart w:val="5B229560B3F14A619DEF328C2DEF9E8C"/>
        </w:placeholder>
        <w:showingPlcHdr/>
        <w15:color w:val="FFFF00"/>
        <w:date>
          <w:dateFormat w:val="d MMMM yyyy"/>
          <w:lid w:val="en-AU"/>
          <w:storeMappedDataAs w:val="dateTime"/>
          <w:calendar w:val="gregorian"/>
        </w:date>
      </w:sdtPr>
      <w:sdtEndPr/>
      <w:sdtContent>
        <w:p w14:paraId="04434AA7" w14:textId="77777777" w:rsidR="00FF5A89" w:rsidRPr="0081326A" w:rsidRDefault="00FF5A89" w:rsidP="00FF5A89">
          <w:pPr>
            <w:rPr>
              <w:rFonts w:cs="Arial"/>
            </w:rPr>
          </w:pPr>
          <w:r w:rsidRPr="0081326A">
            <w:rPr>
              <w:rStyle w:val="PlaceholderText"/>
              <w:rFonts w:cs="Arial"/>
            </w:rPr>
            <w:t>Click or tap to enter a date.</w:t>
          </w:r>
        </w:p>
      </w:sdtContent>
    </w:sdt>
    <w:p w14:paraId="2493ABBB" w14:textId="77777777" w:rsidR="00FF5A89" w:rsidRPr="0081326A" w:rsidRDefault="00FF5A89" w:rsidP="00FF5A89">
      <w:pPr>
        <w:rPr>
          <w:rFonts w:cs="Arial"/>
        </w:rPr>
      </w:pPr>
    </w:p>
    <w:p w14:paraId="502FEE36" w14:textId="77777777" w:rsidR="00FF5A89" w:rsidRPr="0081326A" w:rsidRDefault="00FF5A89" w:rsidP="00FF5A89">
      <w:pPr>
        <w:pStyle w:val="NoSpacing"/>
        <w:rPr>
          <w:rFonts w:ascii="Arial" w:hAnsi="Arial" w:cs="Arial"/>
          <w:highlight w:val="yellow"/>
        </w:rPr>
      </w:pPr>
      <w:r w:rsidRPr="0081326A">
        <w:rPr>
          <w:rFonts w:ascii="Arial" w:hAnsi="Arial" w:cs="Arial"/>
          <w:highlight w:val="yellow"/>
        </w:rPr>
        <w:t>Name</w:t>
      </w:r>
    </w:p>
    <w:p w14:paraId="59D2802E" w14:textId="77777777" w:rsidR="00FF5A89" w:rsidRPr="0081326A" w:rsidRDefault="00FF5A89" w:rsidP="00FF5A89">
      <w:pPr>
        <w:pStyle w:val="NoSpacing"/>
        <w:rPr>
          <w:rFonts w:ascii="Arial" w:hAnsi="Arial" w:cs="Arial"/>
          <w:highlight w:val="yellow"/>
        </w:rPr>
      </w:pPr>
      <w:r w:rsidRPr="0081326A">
        <w:rPr>
          <w:rFonts w:ascii="Arial" w:hAnsi="Arial" w:cs="Arial"/>
          <w:highlight w:val="yellow"/>
        </w:rPr>
        <w:t>Title</w:t>
      </w:r>
    </w:p>
    <w:p w14:paraId="7B8C5A7F" w14:textId="59FC8035" w:rsidR="00FF5A89" w:rsidRPr="0081326A" w:rsidRDefault="00FF5A89" w:rsidP="00FF5A89">
      <w:pPr>
        <w:pStyle w:val="NoSpacing"/>
        <w:rPr>
          <w:rFonts w:ascii="Arial" w:hAnsi="Arial" w:cs="Arial"/>
        </w:rPr>
      </w:pPr>
      <w:r w:rsidRPr="0081326A">
        <w:rPr>
          <w:rFonts w:ascii="Arial" w:hAnsi="Arial" w:cs="Arial"/>
        </w:rPr>
        <w:t>ACT Integrity Commission</w:t>
      </w:r>
    </w:p>
    <w:p w14:paraId="5278A8A8" w14:textId="371EF853" w:rsidR="00FF5A89" w:rsidRPr="0081326A" w:rsidRDefault="00FF5A89" w:rsidP="00FF5A89">
      <w:pPr>
        <w:pStyle w:val="NoSpacing"/>
        <w:rPr>
          <w:rFonts w:ascii="Arial" w:hAnsi="Arial" w:cs="Arial"/>
        </w:rPr>
      </w:pPr>
      <w:r w:rsidRPr="0081326A">
        <w:rPr>
          <w:rFonts w:ascii="Arial" w:hAnsi="Arial" w:cs="Arial"/>
        </w:rPr>
        <w:t>3/55 Wentworth Avenue</w:t>
      </w:r>
    </w:p>
    <w:p w14:paraId="79EB0BDF" w14:textId="1E189330" w:rsidR="00FF5A89" w:rsidRPr="0081326A" w:rsidRDefault="00FF5A89" w:rsidP="00FF5A89">
      <w:pPr>
        <w:pStyle w:val="NoSpacing"/>
        <w:rPr>
          <w:rFonts w:ascii="Arial" w:hAnsi="Arial" w:cs="Arial"/>
        </w:rPr>
      </w:pPr>
      <w:r w:rsidRPr="0081326A">
        <w:rPr>
          <w:rFonts w:ascii="Arial" w:hAnsi="Arial" w:cs="Arial"/>
        </w:rPr>
        <w:t>KINGSTON ACT 2604</w:t>
      </w:r>
    </w:p>
    <w:p w14:paraId="493357DB" w14:textId="77777777" w:rsidR="00FF5A89" w:rsidRPr="0081326A" w:rsidRDefault="00FF5A89" w:rsidP="00FF5A89">
      <w:pPr>
        <w:pStyle w:val="NoSpacing"/>
        <w:rPr>
          <w:rFonts w:ascii="Arial" w:hAnsi="Arial" w:cs="Arial"/>
        </w:rPr>
      </w:pPr>
    </w:p>
    <w:p w14:paraId="51BE517C" w14:textId="212995D6" w:rsidR="00FF5A89" w:rsidRPr="0081326A" w:rsidRDefault="006202F4" w:rsidP="00FF5A89">
      <w:pPr>
        <w:rPr>
          <w:rFonts w:cs="Arial"/>
        </w:rPr>
      </w:pPr>
      <w:r w:rsidRPr="0081326A">
        <w:rPr>
          <w:rFonts w:cs="Arial"/>
        </w:rPr>
        <w:t>V</w:t>
      </w:r>
      <w:r w:rsidR="00FF5A89" w:rsidRPr="0081326A">
        <w:rPr>
          <w:rFonts w:cs="Arial"/>
        </w:rPr>
        <w:t xml:space="preserve">ia email: </w:t>
      </w:r>
      <w:r w:rsidR="00FF5A89" w:rsidRPr="0081326A">
        <w:rPr>
          <w:rFonts w:cs="Arial"/>
          <w:highlight w:val="yellow"/>
        </w:rPr>
        <w:t>email address</w:t>
      </w:r>
    </w:p>
    <w:p w14:paraId="0D48F597" w14:textId="6B489C8B" w:rsidR="00FF5A89" w:rsidRPr="0081326A" w:rsidRDefault="00FF5A89" w:rsidP="00FF5A89">
      <w:pPr>
        <w:rPr>
          <w:rFonts w:cs="Arial"/>
          <w:b/>
          <w:bCs/>
        </w:rPr>
      </w:pPr>
      <w:r w:rsidRPr="0081326A">
        <w:rPr>
          <w:rFonts w:cs="Arial"/>
          <w:b/>
          <w:bCs/>
        </w:rPr>
        <w:t>Referral of disclosure of disclosable conduct</w:t>
      </w:r>
    </w:p>
    <w:p w14:paraId="430258C7" w14:textId="546F768B" w:rsidR="00FF5A89" w:rsidRPr="0081326A" w:rsidRDefault="006202F4" w:rsidP="00FF5A89">
      <w:pPr>
        <w:rPr>
          <w:rFonts w:cs="Arial"/>
        </w:rPr>
      </w:pPr>
      <w:r w:rsidRPr="0081326A">
        <w:rPr>
          <w:rFonts w:cs="Arial"/>
        </w:rPr>
        <w:t>I refer to our discussion on</w:t>
      </w:r>
      <w:r w:rsidR="00FF5A89" w:rsidRPr="0081326A">
        <w:rPr>
          <w:rFonts w:cs="Arial"/>
        </w:rPr>
        <w:t xml:space="preserve"> </w:t>
      </w:r>
      <w:sdt>
        <w:sdtPr>
          <w:rPr>
            <w:rFonts w:cs="Arial"/>
          </w:rPr>
          <w:id w:val="-426805802"/>
          <w:placeholder>
            <w:docPart w:val="5B229560B3F14A619DEF328C2DEF9E8C"/>
          </w:placeholder>
          <w:showingPlcHdr/>
          <w15:color w:val="FFFF00"/>
          <w:date>
            <w:dateFormat w:val="dddd, d MMMM yyyy"/>
            <w:lid w:val="en-AU"/>
            <w:storeMappedDataAs w:val="dateTime"/>
            <w:calendar w:val="gregorian"/>
          </w:date>
        </w:sdtPr>
        <w:sdtEndPr/>
        <w:sdtContent>
          <w:r w:rsidR="005B2BD9" w:rsidRPr="0081326A">
            <w:rPr>
              <w:rStyle w:val="PlaceholderText"/>
              <w:rFonts w:cs="Arial"/>
            </w:rPr>
            <w:t>Click or tap to enter a date.</w:t>
          </w:r>
        </w:sdtContent>
      </w:sdt>
      <w:r w:rsidRPr="0081326A">
        <w:rPr>
          <w:rFonts w:cs="Arial"/>
        </w:rPr>
        <w:t>. I write</w:t>
      </w:r>
      <w:r w:rsidR="00FF5A89" w:rsidRPr="0081326A">
        <w:rPr>
          <w:rFonts w:cs="Arial"/>
        </w:rPr>
        <w:t xml:space="preserve"> to refer a disclosure of disclosable conduct to </w:t>
      </w:r>
      <w:r w:rsidR="00843A86" w:rsidRPr="0081326A">
        <w:rPr>
          <w:rFonts w:cs="Arial"/>
        </w:rPr>
        <w:t>the Commission</w:t>
      </w:r>
      <w:r w:rsidR="00FF5A89" w:rsidRPr="0081326A">
        <w:rPr>
          <w:rFonts w:cs="Arial"/>
        </w:rPr>
        <w:t xml:space="preserve">. I have assessed this disclosure as referring to disclosable conduct concerning </w:t>
      </w:r>
      <w:sdt>
        <w:sdtPr>
          <w:rPr>
            <w:rFonts w:cs="Arial"/>
          </w:rPr>
          <w:alias w:val="Conduct type"/>
          <w:tag w:val="Conduct type"/>
          <w:id w:val="-331674439"/>
          <w:placeholder>
            <w:docPart w:val="855F8E1738E148C1B5173146BA768B59"/>
          </w:placeholder>
          <w:showingPlcHdr/>
          <w:dropDownList>
            <w:listItem w:value="Choose an item"/>
            <w:listItem w:displayText="maladministration" w:value="maladministration"/>
            <w:listItem w:displayText="a threat to public health or safety" w:value="a threat to public health or safety"/>
            <w:listItem w:displayText="a threat to the environment" w:value="a threat to the environment"/>
          </w:dropDownList>
        </w:sdtPr>
        <w:sdtEndPr/>
        <w:sdtContent>
          <w:r w:rsidR="00FF5A89" w:rsidRPr="0081326A">
            <w:rPr>
              <w:rStyle w:val="PlaceholderText"/>
              <w:rFonts w:cs="Arial"/>
            </w:rPr>
            <w:t>Choose an item.</w:t>
          </w:r>
        </w:sdtContent>
      </w:sdt>
      <w:r w:rsidR="00FF5A89" w:rsidRPr="0081326A">
        <w:rPr>
          <w:rFonts w:cs="Arial"/>
        </w:rPr>
        <w:t xml:space="preserve">. </w:t>
      </w:r>
      <w:r w:rsidR="00ED2628" w:rsidRPr="0081326A">
        <w:rPr>
          <w:rFonts w:cs="Arial"/>
        </w:rPr>
        <w:t>I am satisfied</w:t>
      </w:r>
      <w:r w:rsidR="00E3331A" w:rsidRPr="0081326A">
        <w:rPr>
          <w:rFonts w:cs="Arial"/>
        </w:rPr>
        <w:t xml:space="preserve"> on reasonable grounds</w:t>
      </w:r>
      <w:r w:rsidR="00ED2628" w:rsidRPr="0081326A">
        <w:rPr>
          <w:rFonts w:cs="Arial"/>
        </w:rPr>
        <w:t xml:space="preserve"> that this disclosure was made in good faith. I refer this disclosure </w:t>
      </w:r>
      <w:r w:rsidRPr="0081326A">
        <w:rPr>
          <w:rFonts w:cs="Arial"/>
        </w:rPr>
        <w:t>pursuant to</w:t>
      </w:r>
      <w:r w:rsidR="00ED2628" w:rsidRPr="0081326A">
        <w:rPr>
          <w:rFonts w:cs="Arial"/>
        </w:rPr>
        <w:t xml:space="preserve"> section 17 of the </w:t>
      </w:r>
      <w:r w:rsidR="00ED2628" w:rsidRPr="0081326A">
        <w:rPr>
          <w:rFonts w:cs="Arial"/>
          <w:i/>
          <w:iCs/>
        </w:rPr>
        <w:t xml:space="preserve">Public Interest Disclosure Act 2012 </w:t>
      </w:r>
      <w:r w:rsidR="00ED2628" w:rsidRPr="0081326A">
        <w:rPr>
          <w:rFonts w:cs="Arial"/>
        </w:rPr>
        <w:t>(‘</w:t>
      </w:r>
      <w:r w:rsidR="00ED2628" w:rsidRPr="0081326A">
        <w:rPr>
          <w:rFonts w:cs="Arial"/>
          <w:b/>
          <w:bCs/>
        </w:rPr>
        <w:t>PID Act</w:t>
      </w:r>
      <w:r w:rsidR="00ED2628" w:rsidRPr="0081326A">
        <w:rPr>
          <w:rFonts w:cs="Arial"/>
        </w:rPr>
        <w:t>’).</w:t>
      </w:r>
    </w:p>
    <w:p w14:paraId="60833478" w14:textId="3E5ABDE2" w:rsidR="009F76EC" w:rsidRPr="0081326A" w:rsidRDefault="009F76EC" w:rsidP="00FF5A89">
      <w:pPr>
        <w:rPr>
          <w:rFonts w:cs="Arial"/>
        </w:rPr>
      </w:pPr>
      <w:r w:rsidRPr="0081326A">
        <w:rPr>
          <w:rFonts w:cs="Arial"/>
        </w:rPr>
        <w:t xml:space="preserve">All materials relevant to the disclosure are </w:t>
      </w:r>
      <w:r w:rsidR="006202F4" w:rsidRPr="0081326A">
        <w:rPr>
          <w:rFonts w:cs="Arial"/>
          <w:b/>
          <w:bCs/>
        </w:rPr>
        <w:t>enclosed</w:t>
      </w:r>
      <w:r w:rsidRPr="0081326A">
        <w:rPr>
          <w:rFonts w:cs="Arial"/>
        </w:rPr>
        <w:t>.</w:t>
      </w:r>
    </w:p>
    <w:p w14:paraId="2A3FACF6" w14:textId="7371E3E5" w:rsidR="00ED2628" w:rsidRPr="0081326A" w:rsidRDefault="00ED2628" w:rsidP="00FF5A89">
      <w:pPr>
        <w:rPr>
          <w:rFonts w:cs="Arial"/>
          <w:b/>
          <w:bCs/>
        </w:rPr>
      </w:pPr>
      <w:r w:rsidRPr="0081326A">
        <w:rPr>
          <w:rFonts w:cs="Arial"/>
          <w:b/>
          <w:bCs/>
        </w:rPr>
        <w:t>The discloser’s details</w:t>
      </w:r>
    </w:p>
    <w:p w14:paraId="5D8EA095" w14:textId="1E72B06E" w:rsidR="00ED2628" w:rsidRPr="0081326A" w:rsidRDefault="00ED2628" w:rsidP="00FF5A89">
      <w:pPr>
        <w:rPr>
          <w:rFonts w:cs="Arial"/>
        </w:rPr>
      </w:pPr>
      <w:r w:rsidRPr="0081326A">
        <w:rPr>
          <w:rFonts w:cs="Arial"/>
          <w:highlight w:val="lightGray"/>
        </w:rPr>
        <w:t xml:space="preserve">As I received this disclosure anonymously, I am not able to provide identification details </w:t>
      </w:r>
      <w:r w:rsidR="006202F4" w:rsidRPr="0081326A">
        <w:rPr>
          <w:rFonts w:cs="Arial"/>
          <w:highlight w:val="lightGray"/>
        </w:rPr>
        <w:t>for</w:t>
      </w:r>
      <w:r w:rsidRPr="0081326A">
        <w:rPr>
          <w:rFonts w:cs="Arial"/>
          <w:highlight w:val="lightGray"/>
        </w:rPr>
        <w:t xml:space="preserve"> the discloser. I have </w:t>
      </w:r>
      <w:r w:rsidR="006202F4" w:rsidRPr="0081326A">
        <w:rPr>
          <w:rFonts w:cs="Arial"/>
          <w:highlight w:val="lightGray"/>
        </w:rPr>
        <w:t>notified</w:t>
      </w:r>
      <w:r w:rsidRPr="0081326A">
        <w:rPr>
          <w:rFonts w:cs="Arial"/>
          <w:highlight w:val="lightGray"/>
        </w:rPr>
        <w:t xml:space="preserve"> the discloser that this may limit any subsequent investigation into their disclosure.</w:t>
      </w:r>
    </w:p>
    <w:p w14:paraId="7340BD3A" w14:textId="3CB8F77B" w:rsidR="00ED2628" w:rsidRPr="0081326A" w:rsidRDefault="00ED2628" w:rsidP="00FF5A89">
      <w:pPr>
        <w:rPr>
          <w:rFonts w:cs="Arial"/>
        </w:rPr>
      </w:pPr>
      <w:r w:rsidRPr="0081326A">
        <w:rPr>
          <w:rFonts w:cs="Arial"/>
          <w:highlight w:val="magenta"/>
        </w:rPr>
        <w:t xml:space="preserve">As the discloser has requested anonymity, I am not able to provide identification details </w:t>
      </w:r>
      <w:r w:rsidR="00302F70" w:rsidRPr="0081326A">
        <w:rPr>
          <w:rFonts w:cs="Arial"/>
          <w:highlight w:val="magenta"/>
        </w:rPr>
        <w:t>for them</w:t>
      </w:r>
      <w:r w:rsidRPr="0081326A">
        <w:rPr>
          <w:rFonts w:cs="Arial"/>
          <w:highlight w:val="magenta"/>
        </w:rPr>
        <w:t xml:space="preserve">. I have </w:t>
      </w:r>
      <w:r w:rsidR="00302F70" w:rsidRPr="0081326A">
        <w:rPr>
          <w:rFonts w:cs="Arial"/>
          <w:highlight w:val="magenta"/>
        </w:rPr>
        <w:t>notified</w:t>
      </w:r>
      <w:r w:rsidRPr="0081326A">
        <w:rPr>
          <w:rFonts w:cs="Arial"/>
          <w:highlight w:val="magenta"/>
        </w:rPr>
        <w:t xml:space="preserve"> the discloser that this may limit any subsequent investigation into their disclosure.</w:t>
      </w:r>
      <w:r w:rsidR="009F76EC" w:rsidRPr="0081326A">
        <w:rPr>
          <w:rFonts w:cs="Arial"/>
        </w:rPr>
        <w:t xml:space="preserve"> </w:t>
      </w:r>
      <w:r w:rsidR="009F76EC" w:rsidRPr="0081326A">
        <w:rPr>
          <w:rFonts w:cs="Arial"/>
          <w:highlight w:val="magenta"/>
        </w:rPr>
        <w:t xml:space="preserve">I have </w:t>
      </w:r>
      <w:r w:rsidR="00302F70" w:rsidRPr="0081326A">
        <w:rPr>
          <w:rFonts w:cs="Arial"/>
          <w:highlight w:val="magenta"/>
        </w:rPr>
        <w:t>notified</w:t>
      </w:r>
      <w:r w:rsidR="009F76EC" w:rsidRPr="0081326A">
        <w:rPr>
          <w:rFonts w:cs="Arial"/>
          <w:highlight w:val="magenta"/>
        </w:rPr>
        <w:t xml:space="preserve"> the discloser that I would refer their disclosure to you.</w:t>
      </w:r>
    </w:p>
    <w:p w14:paraId="2D9F6D28" w14:textId="501A778A" w:rsidR="00ED2628" w:rsidRPr="0081326A" w:rsidRDefault="00ED2628" w:rsidP="00ED2628">
      <w:pPr>
        <w:rPr>
          <w:rFonts w:cs="Arial"/>
          <w:highlight w:val="cyan"/>
        </w:rPr>
      </w:pPr>
      <w:r w:rsidRPr="0081326A">
        <w:rPr>
          <w:rFonts w:cs="Arial"/>
          <w:highlight w:val="cyan"/>
        </w:rPr>
        <w:t>Although I received this disclosure anonymously, the discloser has consented to be contacted via the following means</w:t>
      </w:r>
      <w:r w:rsidR="00302F70" w:rsidRPr="0081326A">
        <w:rPr>
          <w:rFonts w:cs="Arial"/>
          <w:highlight w:val="cyan"/>
        </w:rPr>
        <w:t xml:space="preserve"> [INSERT MEANS OF COMMUNICTION].</w:t>
      </w:r>
      <w:r w:rsidR="009F76EC" w:rsidRPr="0081326A">
        <w:rPr>
          <w:rFonts w:cs="Arial"/>
          <w:highlight w:val="cyan"/>
        </w:rPr>
        <w:t xml:space="preserve"> I have </w:t>
      </w:r>
      <w:r w:rsidR="00302F70" w:rsidRPr="0081326A">
        <w:rPr>
          <w:rFonts w:cs="Arial"/>
          <w:highlight w:val="cyan"/>
        </w:rPr>
        <w:t>notified</w:t>
      </w:r>
      <w:r w:rsidR="009F76EC" w:rsidRPr="0081326A">
        <w:rPr>
          <w:rFonts w:cs="Arial"/>
          <w:highlight w:val="cyan"/>
        </w:rPr>
        <w:t xml:space="preserve"> the discloser that I would refer their disclosure to you.</w:t>
      </w:r>
    </w:p>
    <w:p w14:paraId="14136B97" w14:textId="0ACA331F" w:rsidR="00ED2628" w:rsidRPr="0081326A" w:rsidRDefault="00ED2628" w:rsidP="00ED2628">
      <w:pPr>
        <w:rPr>
          <w:rFonts w:cs="Arial"/>
          <w:highlight w:val="cyan"/>
        </w:rPr>
      </w:pPr>
      <w:r w:rsidRPr="0081326A">
        <w:rPr>
          <w:rFonts w:cs="Arial"/>
          <w:highlight w:val="cyan"/>
        </w:rPr>
        <w:t xml:space="preserve">Although the discloser requested </w:t>
      </w:r>
      <w:r w:rsidR="00302F70" w:rsidRPr="0081326A">
        <w:rPr>
          <w:rFonts w:cs="Arial"/>
          <w:highlight w:val="cyan"/>
        </w:rPr>
        <w:t>anonymity</w:t>
      </w:r>
      <w:r w:rsidRPr="0081326A">
        <w:rPr>
          <w:rFonts w:cs="Arial"/>
          <w:highlight w:val="cyan"/>
        </w:rPr>
        <w:t>, the discloser has consented to be contacted via the following mean</w:t>
      </w:r>
      <w:r w:rsidR="00302F70" w:rsidRPr="0081326A">
        <w:rPr>
          <w:rFonts w:cs="Arial"/>
          <w:highlight w:val="cyan"/>
        </w:rPr>
        <w:t xml:space="preserve"> [INSERT MEANS OF COMMUNICATION]. </w:t>
      </w:r>
      <w:r w:rsidR="009F76EC" w:rsidRPr="0081326A">
        <w:rPr>
          <w:rFonts w:cs="Arial"/>
          <w:highlight w:val="cyan"/>
        </w:rPr>
        <w:t xml:space="preserve">I have </w:t>
      </w:r>
      <w:r w:rsidR="00302F70" w:rsidRPr="0081326A">
        <w:rPr>
          <w:rFonts w:cs="Arial"/>
          <w:highlight w:val="cyan"/>
        </w:rPr>
        <w:t>notified</w:t>
      </w:r>
      <w:r w:rsidR="009F76EC" w:rsidRPr="0081326A">
        <w:rPr>
          <w:rFonts w:cs="Arial"/>
          <w:highlight w:val="cyan"/>
        </w:rPr>
        <w:t xml:space="preserve"> the discloser that I would refer their disclosure to you.</w:t>
      </w:r>
    </w:p>
    <w:p w14:paraId="52605A45" w14:textId="1CA0FF3D" w:rsidR="00ED2628" w:rsidRPr="0081326A" w:rsidRDefault="00ED2628" w:rsidP="00ED2628">
      <w:pPr>
        <w:rPr>
          <w:rFonts w:cs="Arial"/>
          <w:highlight w:val="yellow"/>
        </w:rPr>
      </w:pPr>
      <w:r w:rsidRPr="0081326A">
        <w:rPr>
          <w:rFonts w:cs="Arial"/>
          <w:highlight w:val="yellow"/>
        </w:rPr>
        <w:t>The discloser’s details are:</w:t>
      </w:r>
    </w:p>
    <w:tbl>
      <w:tblPr>
        <w:tblStyle w:val="TableGrid"/>
        <w:tblW w:w="0" w:type="auto"/>
        <w:tblLook w:val="04A0" w:firstRow="1" w:lastRow="0" w:firstColumn="1" w:lastColumn="0" w:noHBand="0" w:noVBand="1"/>
      </w:tblPr>
      <w:tblGrid>
        <w:gridCol w:w="1696"/>
        <w:gridCol w:w="7320"/>
      </w:tblGrid>
      <w:tr w:rsidR="009F76EC" w:rsidRPr="0081326A" w14:paraId="1A374F41" w14:textId="77777777" w:rsidTr="009F76EC">
        <w:tc>
          <w:tcPr>
            <w:tcW w:w="1696" w:type="dxa"/>
          </w:tcPr>
          <w:p w14:paraId="552C27BB" w14:textId="738B3C2B" w:rsidR="009F76EC" w:rsidRPr="0081326A" w:rsidRDefault="009F76EC" w:rsidP="009F76EC">
            <w:pPr>
              <w:rPr>
                <w:rFonts w:cs="Arial"/>
                <w:b/>
                <w:bCs/>
                <w:highlight w:val="yellow"/>
              </w:rPr>
            </w:pPr>
            <w:r w:rsidRPr="0081326A">
              <w:rPr>
                <w:rFonts w:cs="Arial"/>
                <w:b/>
                <w:bCs/>
                <w:highlight w:val="yellow"/>
              </w:rPr>
              <w:t>Name:</w:t>
            </w:r>
          </w:p>
        </w:tc>
        <w:tc>
          <w:tcPr>
            <w:tcW w:w="7320" w:type="dxa"/>
          </w:tcPr>
          <w:p w14:paraId="19FD01B5" w14:textId="77777777" w:rsidR="009F76EC" w:rsidRPr="0081326A" w:rsidRDefault="009F76EC" w:rsidP="00ED2628">
            <w:pPr>
              <w:rPr>
                <w:rFonts w:cs="Arial"/>
                <w:highlight w:val="yellow"/>
              </w:rPr>
            </w:pPr>
          </w:p>
        </w:tc>
      </w:tr>
      <w:tr w:rsidR="009F76EC" w:rsidRPr="0081326A" w14:paraId="50F9F8B2" w14:textId="77777777" w:rsidTr="009F76EC">
        <w:tc>
          <w:tcPr>
            <w:tcW w:w="1696" w:type="dxa"/>
          </w:tcPr>
          <w:p w14:paraId="56E82390" w14:textId="6944129F" w:rsidR="009F76EC" w:rsidRPr="0081326A" w:rsidRDefault="009F76EC" w:rsidP="00ED2628">
            <w:pPr>
              <w:rPr>
                <w:rFonts w:cs="Arial"/>
                <w:b/>
                <w:bCs/>
                <w:highlight w:val="yellow"/>
              </w:rPr>
            </w:pPr>
            <w:r w:rsidRPr="0081326A">
              <w:rPr>
                <w:rFonts w:cs="Arial"/>
                <w:b/>
                <w:bCs/>
                <w:highlight w:val="yellow"/>
              </w:rPr>
              <w:t>Email:</w:t>
            </w:r>
          </w:p>
        </w:tc>
        <w:tc>
          <w:tcPr>
            <w:tcW w:w="7320" w:type="dxa"/>
          </w:tcPr>
          <w:p w14:paraId="22A938EF" w14:textId="77777777" w:rsidR="009F76EC" w:rsidRPr="0081326A" w:rsidRDefault="009F76EC" w:rsidP="00ED2628">
            <w:pPr>
              <w:rPr>
                <w:rFonts w:cs="Arial"/>
                <w:highlight w:val="yellow"/>
              </w:rPr>
            </w:pPr>
          </w:p>
        </w:tc>
      </w:tr>
      <w:tr w:rsidR="009F76EC" w:rsidRPr="0081326A" w14:paraId="309C6DF4" w14:textId="77777777" w:rsidTr="009F76EC">
        <w:tc>
          <w:tcPr>
            <w:tcW w:w="1696" w:type="dxa"/>
          </w:tcPr>
          <w:p w14:paraId="20C6B6A2" w14:textId="207FFE1B" w:rsidR="009F76EC" w:rsidRPr="0081326A" w:rsidRDefault="009F76EC" w:rsidP="00ED2628">
            <w:pPr>
              <w:rPr>
                <w:rFonts w:cs="Arial"/>
                <w:b/>
                <w:bCs/>
                <w:highlight w:val="yellow"/>
              </w:rPr>
            </w:pPr>
            <w:r w:rsidRPr="0081326A">
              <w:rPr>
                <w:rFonts w:cs="Arial"/>
                <w:b/>
                <w:bCs/>
                <w:highlight w:val="yellow"/>
              </w:rPr>
              <w:t>Phone number:</w:t>
            </w:r>
          </w:p>
        </w:tc>
        <w:tc>
          <w:tcPr>
            <w:tcW w:w="7320" w:type="dxa"/>
          </w:tcPr>
          <w:p w14:paraId="025922E5" w14:textId="77777777" w:rsidR="009F76EC" w:rsidRPr="0081326A" w:rsidRDefault="009F76EC" w:rsidP="00ED2628">
            <w:pPr>
              <w:rPr>
                <w:rFonts w:cs="Arial"/>
                <w:highlight w:val="yellow"/>
              </w:rPr>
            </w:pPr>
          </w:p>
        </w:tc>
      </w:tr>
      <w:tr w:rsidR="009F76EC" w:rsidRPr="0081326A" w14:paraId="22640E9A" w14:textId="77777777" w:rsidTr="009F76EC">
        <w:tc>
          <w:tcPr>
            <w:tcW w:w="1696" w:type="dxa"/>
          </w:tcPr>
          <w:p w14:paraId="7C32FD69" w14:textId="7E3DB61A" w:rsidR="009F76EC" w:rsidRPr="0081326A" w:rsidRDefault="009F76EC" w:rsidP="00ED2628">
            <w:pPr>
              <w:rPr>
                <w:rFonts w:cs="Arial"/>
                <w:b/>
                <w:bCs/>
                <w:highlight w:val="yellow"/>
              </w:rPr>
            </w:pPr>
            <w:r w:rsidRPr="0081326A">
              <w:rPr>
                <w:rFonts w:cs="Arial"/>
                <w:b/>
                <w:bCs/>
                <w:highlight w:val="yellow"/>
              </w:rPr>
              <w:t>Position:</w:t>
            </w:r>
          </w:p>
        </w:tc>
        <w:tc>
          <w:tcPr>
            <w:tcW w:w="7320" w:type="dxa"/>
          </w:tcPr>
          <w:p w14:paraId="4B3098D5" w14:textId="77777777" w:rsidR="009F76EC" w:rsidRPr="0081326A" w:rsidRDefault="009F76EC" w:rsidP="00ED2628">
            <w:pPr>
              <w:rPr>
                <w:rFonts w:cs="Arial"/>
                <w:highlight w:val="yellow"/>
              </w:rPr>
            </w:pPr>
          </w:p>
        </w:tc>
      </w:tr>
      <w:tr w:rsidR="009F76EC" w:rsidRPr="0081326A" w14:paraId="72459CCF" w14:textId="77777777" w:rsidTr="009F76EC">
        <w:tc>
          <w:tcPr>
            <w:tcW w:w="1696" w:type="dxa"/>
          </w:tcPr>
          <w:p w14:paraId="73910102" w14:textId="0E6971C1" w:rsidR="009F76EC" w:rsidRPr="0081326A" w:rsidRDefault="009F76EC" w:rsidP="00ED2628">
            <w:pPr>
              <w:rPr>
                <w:rFonts w:cs="Arial"/>
                <w:b/>
                <w:bCs/>
                <w:highlight w:val="yellow"/>
              </w:rPr>
            </w:pPr>
            <w:r w:rsidRPr="0081326A">
              <w:rPr>
                <w:rFonts w:cs="Arial"/>
                <w:b/>
                <w:bCs/>
                <w:highlight w:val="yellow"/>
              </w:rPr>
              <w:lastRenderedPageBreak/>
              <w:t>Agency:</w:t>
            </w:r>
          </w:p>
        </w:tc>
        <w:tc>
          <w:tcPr>
            <w:tcW w:w="7320" w:type="dxa"/>
          </w:tcPr>
          <w:p w14:paraId="1CE0AC7B" w14:textId="77777777" w:rsidR="009F76EC" w:rsidRPr="0081326A" w:rsidRDefault="009F76EC" w:rsidP="00ED2628">
            <w:pPr>
              <w:rPr>
                <w:rFonts w:cs="Arial"/>
                <w:highlight w:val="yellow"/>
              </w:rPr>
            </w:pPr>
          </w:p>
        </w:tc>
      </w:tr>
    </w:tbl>
    <w:p w14:paraId="676C886C" w14:textId="77777777" w:rsidR="009F76EC" w:rsidRPr="0081326A" w:rsidRDefault="009F76EC" w:rsidP="00ED2628">
      <w:pPr>
        <w:rPr>
          <w:rFonts w:cs="Arial"/>
          <w:highlight w:val="yellow"/>
        </w:rPr>
      </w:pPr>
    </w:p>
    <w:p w14:paraId="4BC619C7" w14:textId="3A3EEF92" w:rsidR="009F76EC" w:rsidRPr="0081326A" w:rsidRDefault="009F76EC" w:rsidP="00ED2628">
      <w:pPr>
        <w:rPr>
          <w:rFonts w:cs="Arial"/>
        </w:rPr>
      </w:pPr>
      <w:r w:rsidRPr="0081326A">
        <w:rPr>
          <w:rFonts w:cs="Arial"/>
          <w:highlight w:val="yellow"/>
        </w:rPr>
        <w:t xml:space="preserve">I have </w:t>
      </w:r>
      <w:r w:rsidR="00302F70" w:rsidRPr="0081326A">
        <w:rPr>
          <w:rFonts w:cs="Arial"/>
          <w:highlight w:val="yellow"/>
        </w:rPr>
        <w:t>notified</w:t>
      </w:r>
      <w:r w:rsidRPr="0081326A">
        <w:rPr>
          <w:rFonts w:cs="Arial"/>
          <w:highlight w:val="yellow"/>
        </w:rPr>
        <w:t xml:space="preserve"> the discloser that I would refer this disclosure to </w:t>
      </w:r>
      <w:r w:rsidR="00843A86" w:rsidRPr="0081326A">
        <w:rPr>
          <w:rFonts w:cs="Arial"/>
          <w:highlight w:val="yellow"/>
        </w:rPr>
        <w:t>the Commission</w:t>
      </w:r>
      <w:r w:rsidRPr="0081326A">
        <w:rPr>
          <w:rFonts w:cs="Arial"/>
          <w:highlight w:val="yellow"/>
        </w:rPr>
        <w:t>.</w:t>
      </w:r>
    </w:p>
    <w:p w14:paraId="79FFA16E" w14:textId="23EF57C8" w:rsidR="009F76EC" w:rsidRPr="0081326A" w:rsidRDefault="009F76EC" w:rsidP="00FF5A89">
      <w:pPr>
        <w:rPr>
          <w:rFonts w:cs="Arial"/>
          <w:b/>
          <w:bCs/>
        </w:rPr>
      </w:pPr>
      <w:r w:rsidRPr="0081326A">
        <w:rPr>
          <w:rFonts w:cs="Arial"/>
          <w:b/>
          <w:bCs/>
        </w:rPr>
        <w:t>The subject of the disclosure</w:t>
      </w:r>
    </w:p>
    <w:p w14:paraId="30074B54" w14:textId="074239F5" w:rsidR="009F76EC" w:rsidRPr="0081326A" w:rsidRDefault="009F76EC" w:rsidP="00FF5A89">
      <w:pPr>
        <w:rPr>
          <w:rFonts w:cs="Arial"/>
          <w:i/>
          <w:iCs/>
        </w:rPr>
      </w:pPr>
      <w:r w:rsidRPr="0081326A">
        <w:rPr>
          <w:rFonts w:cs="Arial"/>
          <w:highlight w:val="yellow"/>
        </w:rPr>
        <w:t>&lt;</w:t>
      </w:r>
      <w:r w:rsidRPr="0081326A">
        <w:rPr>
          <w:rFonts w:cs="Arial"/>
          <w:i/>
          <w:iCs/>
          <w:highlight w:val="yellow"/>
        </w:rPr>
        <w:t>insert a short paragraph summarising the discloser’s concerns&gt;</w:t>
      </w:r>
    </w:p>
    <w:p w14:paraId="0BBF07CB" w14:textId="77777777" w:rsidR="00FF5A89" w:rsidRPr="0081326A" w:rsidRDefault="00FF5A89" w:rsidP="00FF5A89">
      <w:pPr>
        <w:spacing w:line="0" w:lineRule="atLeast"/>
        <w:rPr>
          <w:rFonts w:cs="Arial"/>
        </w:rPr>
      </w:pPr>
      <w:r w:rsidRPr="0081326A">
        <w:rPr>
          <w:rFonts w:cs="Arial"/>
        </w:rPr>
        <w:t>If you require any further information or assistance, please do not hesitate to contact me.</w:t>
      </w:r>
    </w:p>
    <w:p w14:paraId="3A9A9F35" w14:textId="77777777" w:rsidR="00FF5A89" w:rsidRPr="0081326A" w:rsidRDefault="00FF5A89" w:rsidP="00FF5A89">
      <w:pPr>
        <w:rPr>
          <w:rFonts w:cs="Arial"/>
        </w:rPr>
      </w:pPr>
    </w:p>
    <w:p w14:paraId="58DA9163" w14:textId="77777777" w:rsidR="00FF5A89" w:rsidRPr="0081326A" w:rsidRDefault="00FF5A89" w:rsidP="00FF5A89">
      <w:pPr>
        <w:rPr>
          <w:rFonts w:cs="Arial"/>
        </w:rPr>
      </w:pPr>
      <w:r w:rsidRPr="0081326A">
        <w:rPr>
          <w:rFonts w:cs="Arial"/>
        </w:rPr>
        <w:t>Yours sincerely</w:t>
      </w:r>
    </w:p>
    <w:p w14:paraId="54087AB3" w14:textId="77777777" w:rsidR="00FF5A89" w:rsidRPr="0081326A" w:rsidRDefault="00FF5A89" w:rsidP="00FF5A89">
      <w:pPr>
        <w:rPr>
          <w:rFonts w:cs="Arial"/>
        </w:rPr>
      </w:pPr>
    </w:p>
    <w:p w14:paraId="645808E8" w14:textId="77777777" w:rsidR="00FF5A89" w:rsidRPr="0081326A" w:rsidRDefault="00FF5A89" w:rsidP="00FF5A89">
      <w:pPr>
        <w:rPr>
          <w:rFonts w:cs="Arial"/>
        </w:rPr>
      </w:pPr>
    </w:p>
    <w:p w14:paraId="205A8AFE" w14:textId="77777777" w:rsidR="00FF5A89" w:rsidRPr="0081326A" w:rsidRDefault="00FF5A89" w:rsidP="00FF5A89">
      <w:pPr>
        <w:pStyle w:val="NoSpacing"/>
        <w:rPr>
          <w:rFonts w:ascii="Arial" w:hAnsi="Arial" w:cs="Arial"/>
          <w:highlight w:val="yellow"/>
        </w:rPr>
      </w:pPr>
      <w:r w:rsidRPr="0081326A">
        <w:rPr>
          <w:rFonts w:ascii="Arial" w:hAnsi="Arial" w:cs="Arial"/>
          <w:highlight w:val="yellow"/>
        </w:rPr>
        <w:t>Name</w:t>
      </w:r>
    </w:p>
    <w:p w14:paraId="4C92FC87" w14:textId="77777777" w:rsidR="00FF5A89" w:rsidRPr="0081326A" w:rsidRDefault="00FF5A89" w:rsidP="00FF5A89">
      <w:pPr>
        <w:pStyle w:val="NoSpacing"/>
        <w:rPr>
          <w:rFonts w:ascii="Arial" w:hAnsi="Arial" w:cs="Arial"/>
          <w:highlight w:val="yellow"/>
        </w:rPr>
      </w:pPr>
      <w:r w:rsidRPr="0081326A">
        <w:rPr>
          <w:rFonts w:ascii="Arial" w:hAnsi="Arial" w:cs="Arial"/>
          <w:highlight w:val="yellow"/>
        </w:rPr>
        <w:t>Title</w:t>
      </w:r>
    </w:p>
    <w:p w14:paraId="3DEEA11B" w14:textId="5C68674C" w:rsidR="00FF5A89" w:rsidRPr="0081326A" w:rsidRDefault="009F76EC" w:rsidP="00FF5A89">
      <w:pPr>
        <w:pStyle w:val="NoSpacing"/>
        <w:rPr>
          <w:rFonts w:ascii="Arial" w:hAnsi="Arial" w:cs="Arial"/>
          <w:highlight w:val="yellow"/>
        </w:rPr>
      </w:pPr>
      <w:r w:rsidRPr="0081326A">
        <w:rPr>
          <w:rFonts w:ascii="Arial" w:hAnsi="Arial" w:cs="Arial"/>
          <w:highlight w:val="yellow"/>
        </w:rPr>
        <w:t>Entity</w:t>
      </w:r>
    </w:p>
    <w:p w14:paraId="06A76F64" w14:textId="77777777" w:rsidR="00FF5A89" w:rsidRPr="0081326A" w:rsidRDefault="00FF5A89" w:rsidP="00FF5A89">
      <w:pPr>
        <w:pStyle w:val="NoSpacing"/>
        <w:rPr>
          <w:rFonts w:ascii="Arial" w:hAnsi="Arial" w:cs="Arial"/>
        </w:rPr>
      </w:pPr>
    </w:p>
    <w:p w14:paraId="6068F5FD" w14:textId="1ECF60BB" w:rsidR="00FF5A89" w:rsidRPr="0081326A" w:rsidRDefault="00302F70" w:rsidP="00FF5A89">
      <w:pPr>
        <w:rPr>
          <w:rFonts w:cs="Arial"/>
          <w:b/>
          <w:bCs/>
        </w:rPr>
      </w:pPr>
      <w:r w:rsidRPr="0081326A">
        <w:rPr>
          <w:rFonts w:cs="Arial"/>
          <w:b/>
          <w:bCs/>
        </w:rPr>
        <w:t>Enclosures</w:t>
      </w:r>
    </w:p>
    <w:p w14:paraId="04031B51" w14:textId="186B4594" w:rsidR="00FF5A89" w:rsidRPr="0081326A" w:rsidRDefault="009F76EC" w:rsidP="00FF5A89">
      <w:pPr>
        <w:rPr>
          <w:rFonts w:cs="Arial"/>
        </w:rPr>
      </w:pPr>
      <w:r w:rsidRPr="0081326A">
        <w:rPr>
          <w:rFonts w:cs="Arial"/>
        </w:rPr>
        <w:t>XXXX</w:t>
      </w:r>
    </w:p>
    <w:p w14:paraId="24F6391F" w14:textId="77777777" w:rsidR="00BE0FD5" w:rsidRDefault="00BE0FD5">
      <w:pPr>
        <w:jc w:val="left"/>
      </w:pPr>
      <w:r>
        <w:br w:type="page"/>
      </w:r>
    </w:p>
    <w:p w14:paraId="5DA86F31" w14:textId="58FAB2B3" w:rsidR="00BE0FD5" w:rsidRPr="0081326A" w:rsidRDefault="009E6C95" w:rsidP="007247D1">
      <w:pPr>
        <w:pStyle w:val="Heading1"/>
      </w:pPr>
      <w:bookmarkStart w:id="321" w:name="_Ref61856019"/>
      <w:bookmarkStart w:id="322" w:name="_Toc67904060"/>
      <w:bookmarkStart w:id="323" w:name="_Ref73460803"/>
      <w:bookmarkStart w:id="324" w:name="_Toc75255236"/>
      <w:r w:rsidRPr="0081326A">
        <w:lastRenderedPageBreak/>
        <w:t>Appendix D</w:t>
      </w:r>
      <w:r w:rsidR="00BE0FD5" w:rsidRPr="0081326A">
        <w:t xml:space="preserve">: </w:t>
      </w:r>
      <w:r w:rsidR="000D4B43" w:rsidRPr="0081326A">
        <w:t>N</w:t>
      </w:r>
      <w:r w:rsidR="00BE0FD5" w:rsidRPr="0081326A">
        <w:t>otification letter</w:t>
      </w:r>
      <w:bookmarkEnd w:id="321"/>
      <w:bookmarkEnd w:id="322"/>
      <w:r w:rsidR="002277C1" w:rsidRPr="0081326A">
        <w:t xml:space="preserve"> </w:t>
      </w:r>
      <w:r w:rsidR="000920E0" w:rsidRPr="0081326A">
        <w:t>t</w:t>
      </w:r>
      <w:r w:rsidR="002277C1" w:rsidRPr="0081326A">
        <w:t>emplate</w:t>
      </w:r>
      <w:bookmarkEnd w:id="323"/>
      <w:bookmarkEnd w:id="324"/>
    </w:p>
    <w:p w14:paraId="0E7333E6" w14:textId="4600E2C8" w:rsidR="00DB2705" w:rsidRPr="0081326A" w:rsidRDefault="00DB2705" w:rsidP="00DB2705">
      <w:pPr>
        <w:rPr>
          <w:rFonts w:cs="Arial"/>
          <w:b/>
          <w:bCs/>
        </w:rPr>
      </w:pPr>
      <w:r w:rsidRPr="0081326A">
        <w:rPr>
          <w:rFonts w:cs="Arial"/>
          <w:b/>
          <w:bCs/>
          <w:highlight w:val="yellow"/>
        </w:rPr>
        <w:t>Instructions: Complete all fields highlighted in yellow. Delete the heading</w:t>
      </w:r>
      <w:r w:rsidR="004C2F49" w:rsidRPr="0081326A">
        <w:rPr>
          <w:rFonts w:cs="Arial"/>
          <w:b/>
          <w:bCs/>
          <w:highlight w:val="yellow"/>
        </w:rPr>
        <w:t>, any irrelevant fields</w:t>
      </w:r>
      <w:r w:rsidRPr="0081326A">
        <w:rPr>
          <w:rFonts w:cs="Arial"/>
          <w:b/>
          <w:bCs/>
          <w:highlight w:val="yellow"/>
        </w:rPr>
        <w:t xml:space="preserve"> and this text.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455"/>
        <w:gridCol w:w="3006"/>
      </w:tblGrid>
      <w:tr w:rsidR="00DB2705" w:rsidRPr="0081326A" w14:paraId="759E22BB" w14:textId="77777777" w:rsidTr="00DB2705">
        <w:tc>
          <w:tcPr>
            <w:tcW w:w="1555" w:type="dxa"/>
          </w:tcPr>
          <w:p w14:paraId="749AC895" w14:textId="77777777" w:rsidR="00DB2705" w:rsidRPr="0081326A" w:rsidRDefault="00DB2705" w:rsidP="00DB2705">
            <w:pPr>
              <w:rPr>
                <w:rFonts w:cs="Arial"/>
                <w:szCs w:val="20"/>
              </w:rPr>
            </w:pPr>
            <w:r w:rsidRPr="0081326A">
              <w:rPr>
                <w:rFonts w:cs="Arial"/>
                <w:szCs w:val="20"/>
              </w:rPr>
              <w:t>Our ref:</w:t>
            </w:r>
          </w:p>
        </w:tc>
        <w:tc>
          <w:tcPr>
            <w:tcW w:w="4455" w:type="dxa"/>
          </w:tcPr>
          <w:p w14:paraId="710DE7A6" w14:textId="77777777" w:rsidR="00DB2705" w:rsidRPr="0081326A" w:rsidRDefault="00DB2705" w:rsidP="00DB2705">
            <w:pPr>
              <w:rPr>
                <w:rFonts w:cs="Arial"/>
                <w:szCs w:val="20"/>
                <w:highlight w:val="yellow"/>
              </w:rPr>
            </w:pPr>
            <w:r w:rsidRPr="0081326A">
              <w:rPr>
                <w:rFonts w:cs="Arial"/>
                <w:szCs w:val="20"/>
                <w:highlight w:val="yellow"/>
              </w:rPr>
              <w:t>XXXX</w:t>
            </w:r>
          </w:p>
        </w:tc>
        <w:tc>
          <w:tcPr>
            <w:tcW w:w="3006" w:type="dxa"/>
          </w:tcPr>
          <w:p w14:paraId="3D7CBE52" w14:textId="77777777" w:rsidR="00DB2705" w:rsidRPr="0081326A" w:rsidRDefault="00DB2705" w:rsidP="00DB2705">
            <w:pPr>
              <w:jc w:val="right"/>
              <w:rPr>
                <w:rFonts w:cs="Arial"/>
                <w:szCs w:val="20"/>
              </w:rPr>
            </w:pPr>
            <w:r w:rsidRPr="0081326A">
              <w:rPr>
                <w:rFonts w:cs="Arial"/>
                <w:szCs w:val="20"/>
              </w:rPr>
              <w:t>Street Address</w:t>
            </w:r>
          </w:p>
        </w:tc>
      </w:tr>
      <w:tr w:rsidR="00DB2705" w:rsidRPr="0081326A" w14:paraId="60937FF9" w14:textId="77777777" w:rsidTr="00DB2705">
        <w:tc>
          <w:tcPr>
            <w:tcW w:w="1555" w:type="dxa"/>
          </w:tcPr>
          <w:p w14:paraId="4EA7630F" w14:textId="77777777" w:rsidR="00DB2705" w:rsidRPr="0081326A" w:rsidRDefault="00DB2705" w:rsidP="00DB2705">
            <w:pPr>
              <w:rPr>
                <w:rFonts w:cs="Arial"/>
                <w:szCs w:val="20"/>
              </w:rPr>
            </w:pPr>
            <w:r w:rsidRPr="0081326A">
              <w:rPr>
                <w:rFonts w:cs="Arial"/>
                <w:szCs w:val="20"/>
              </w:rPr>
              <w:t>Your ref:</w:t>
            </w:r>
          </w:p>
        </w:tc>
        <w:tc>
          <w:tcPr>
            <w:tcW w:w="4455" w:type="dxa"/>
          </w:tcPr>
          <w:p w14:paraId="06900B7F" w14:textId="77777777" w:rsidR="00DB2705" w:rsidRPr="0081326A" w:rsidRDefault="00DB2705" w:rsidP="00DB2705">
            <w:pPr>
              <w:rPr>
                <w:rFonts w:cs="Arial"/>
                <w:szCs w:val="20"/>
                <w:highlight w:val="yellow"/>
              </w:rPr>
            </w:pPr>
            <w:r w:rsidRPr="0081326A">
              <w:rPr>
                <w:rFonts w:cs="Arial"/>
                <w:szCs w:val="20"/>
                <w:highlight w:val="yellow"/>
              </w:rPr>
              <w:t>XXXX</w:t>
            </w:r>
          </w:p>
        </w:tc>
        <w:tc>
          <w:tcPr>
            <w:tcW w:w="3006" w:type="dxa"/>
          </w:tcPr>
          <w:p w14:paraId="5F15C0D4" w14:textId="77777777" w:rsidR="00DB2705" w:rsidRPr="0081326A" w:rsidRDefault="00DB2705" w:rsidP="00DB2705">
            <w:pPr>
              <w:jc w:val="right"/>
              <w:rPr>
                <w:rFonts w:cs="Arial"/>
                <w:szCs w:val="20"/>
                <w:highlight w:val="yellow"/>
              </w:rPr>
            </w:pPr>
            <w:r w:rsidRPr="0081326A">
              <w:rPr>
                <w:rFonts w:cs="Arial"/>
                <w:szCs w:val="20"/>
                <w:highlight w:val="yellow"/>
              </w:rPr>
              <w:t>SUBURB STATE POSTCODE</w:t>
            </w:r>
          </w:p>
        </w:tc>
      </w:tr>
      <w:tr w:rsidR="00DB2705" w:rsidRPr="0081326A" w14:paraId="0662B597" w14:textId="77777777" w:rsidTr="00DB2705">
        <w:tc>
          <w:tcPr>
            <w:tcW w:w="1555" w:type="dxa"/>
          </w:tcPr>
          <w:p w14:paraId="15A15012" w14:textId="77777777" w:rsidR="00DB2705" w:rsidRPr="0081326A" w:rsidRDefault="00DB2705" w:rsidP="00DB2705">
            <w:pPr>
              <w:rPr>
                <w:rFonts w:cs="Arial"/>
                <w:szCs w:val="20"/>
              </w:rPr>
            </w:pPr>
          </w:p>
        </w:tc>
        <w:tc>
          <w:tcPr>
            <w:tcW w:w="4455" w:type="dxa"/>
          </w:tcPr>
          <w:p w14:paraId="6889897E" w14:textId="77777777" w:rsidR="00DB2705" w:rsidRPr="0081326A" w:rsidRDefault="00DB2705" w:rsidP="00DB2705">
            <w:pPr>
              <w:rPr>
                <w:rFonts w:cs="Arial"/>
                <w:szCs w:val="20"/>
                <w:highlight w:val="yellow"/>
              </w:rPr>
            </w:pPr>
          </w:p>
        </w:tc>
        <w:tc>
          <w:tcPr>
            <w:tcW w:w="3006" w:type="dxa"/>
          </w:tcPr>
          <w:p w14:paraId="7F6CA77F" w14:textId="77777777" w:rsidR="00DB2705" w:rsidRPr="0081326A" w:rsidRDefault="00DB2705" w:rsidP="00DB2705">
            <w:pPr>
              <w:jc w:val="right"/>
              <w:rPr>
                <w:rFonts w:cs="Arial"/>
                <w:szCs w:val="20"/>
              </w:rPr>
            </w:pPr>
          </w:p>
        </w:tc>
      </w:tr>
      <w:tr w:rsidR="00DB2705" w:rsidRPr="0081326A" w14:paraId="15964700" w14:textId="77777777" w:rsidTr="00DB2705">
        <w:tc>
          <w:tcPr>
            <w:tcW w:w="1555" w:type="dxa"/>
          </w:tcPr>
          <w:p w14:paraId="13DD1E7A" w14:textId="77777777" w:rsidR="00DB2705" w:rsidRPr="0081326A" w:rsidRDefault="00DB2705" w:rsidP="00DB2705">
            <w:pPr>
              <w:rPr>
                <w:rFonts w:cs="Arial"/>
                <w:szCs w:val="20"/>
              </w:rPr>
            </w:pPr>
            <w:r w:rsidRPr="0081326A">
              <w:rPr>
                <w:rFonts w:cs="Arial"/>
                <w:szCs w:val="20"/>
              </w:rPr>
              <w:t>Contact officer:</w:t>
            </w:r>
          </w:p>
        </w:tc>
        <w:tc>
          <w:tcPr>
            <w:tcW w:w="4455" w:type="dxa"/>
          </w:tcPr>
          <w:p w14:paraId="24E6DFC6" w14:textId="77777777" w:rsidR="00DB2705" w:rsidRPr="0081326A" w:rsidRDefault="00DB2705" w:rsidP="00DB2705">
            <w:pPr>
              <w:rPr>
                <w:rFonts w:cs="Arial"/>
                <w:szCs w:val="20"/>
                <w:highlight w:val="yellow"/>
              </w:rPr>
            </w:pPr>
            <w:r w:rsidRPr="0081326A">
              <w:rPr>
                <w:rFonts w:cs="Arial"/>
                <w:szCs w:val="20"/>
                <w:highlight w:val="yellow"/>
              </w:rPr>
              <w:t>XXXX</w:t>
            </w:r>
          </w:p>
        </w:tc>
        <w:tc>
          <w:tcPr>
            <w:tcW w:w="3006" w:type="dxa"/>
          </w:tcPr>
          <w:p w14:paraId="48238446" w14:textId="77777777" w:rsidR="00DB2705" w:rsidRPr="0081326A" w:rsidRDefault="00DB2705" w:rsidP="00DB2705">
            <w:pPr>
              <w:jc w:val="right"/>
              <w:rPr>
                <w:rFonts w:cs="Arial"/>
                <w:szCs w:val="20"/>
              </w:rPr>
            </w:pPr>
            <w:r w:rsidRPr="0081326A">
              <w:rPr>
                <w:rFonts w:cs="Arial"/>
                <w:szCs w:val="20"/>
              </w:rPr>
              <w:t>Postal Address</w:t>
            </w:r>
          </w:p>
        </w:tc>
      </w:tr>
      <w:tr w:rsidR="00DB2705" w:rsidRPr="0081326A" w14:paraId="41A090FF" w14:textId="77777777" w:rsidTr="00DB2705">
        <w:tc>
          <w:tcPr>
            <w:tcW w:w="1555" w:type="dxa"/>
          </w:tcPr>
          <w:p w14:paraId="412E8F1C" w14:textId="77777777" w:rsidR="00DB2705" w:rsidRPr="0081326A" w:rsidRDefault="00DB2705" w:rsidP="00DB2705">
            <w:pPr>
              <w:rPr>
                <w:rFonts w:cs="Arial"/>
                <w:szCs w:val="20"/>
              </w:rPr>
            </w:pPr>
            <w:r w:rsidRPr="0081326A">
              <w:rPr>
                <w:rFonts w:cs="Arial"/>
                <w:szCs w:val="20"/>
              </w:rPr>
              <w:t>Contact phone:</w:t>
            </w:r>
          </w:p>
        </w:tc>
        <w:tc>
          <w:tcPr>
            <w:tcW w:w="4455" w:type="dxa"/>
          </w:tcPr>
          <w:p w14:paraId="32350348" w14:textId="77777777" w:rsidR="00DB2705" w:rsidRPr="0081326A" w:rsidRDefault="00DB2705" w:rsidP="00DB2705">
            <w:pPr>
              <w:rPr>
                <w:rFonts w:cs="Arial"/>
                <w:szCs w:val="20"/>
                <w:highlight w:val="yellow"/>
              </w:rPr>
            </w:pPr>
            <w:r w:rsidRPr="0081326A">
              <w:rPr>
                <w:rFonts w:cs="Arial"/>
                <w:szCs w:val="20"/>
                <w:highlight w:val="yellow"/>
              </w:rPr>
              <w:t>XXXX</w:t>
            </w:r>
          </w:p>
        </w:tc>
        <w:tc>
          <w:tcPr>
            <w:tcW w:w="3006" w:type="dxa"/>
          </w:tcPr>
          <w:p w14:paraId="36CBC064" w14:textId="77777777" w:rsidR="00DB2705" w:rsidRPr="0081326A" w:rsidRDefault="00DB2705" w:rsidP="00DB2705">
            <w:pPr>
              <w:jc w:val="right"/>
              <w:rPr>
                <w:rFonts w:cs="Arial"/>
                <w:szCs w:val="20"/>
                <w:highlight w:val="yellow"/>
              </w:rPr>
            </w:pPr>
            <w:r w:rsidRPr="0081326A">
              <w:rPr>
                <w:rFonts w:cs="Arial"/>
                <w:szCs w:val="20"/>
                <w:highlight w:val="yellow"/>
              </w:rPr>
              <w:t>SUBURB STATE POSTCODE</w:t>
            </w:r>
          </w:p>
        </w:tc>
      </w:tr>
      <w:tr w:rsidR="00DB2705" w:rsidRPr="0081326A" w14:paraId="6A602857" w14:textId="77777777" w:rsidTr="00DB2705">
        <w:tc>
          <w:tcPr>
            <w:tcW w:w="1555" w:type="dxa"/>
          </w:tcPr>
          <w:p w14:paraId="47E76A37" w14:textId="77777777" w:rsidR="00DB2705" w:rsidRPr="0081326A" w:rsidRDefault="00DB2705" w:rsidP="00DB2705">
            <w:pPr>
              <w:rPr>
                <w:rFonts w:cs="Arial"/>
                <w:szCs w:val="20"/>
              </w:rPr>
            </w:pPr>
          </w:p>
        </w:tc>
        <w:tc>
          <w:tcPr>
            <w:tcW w:w="4455" w:type="dxa"/>
          </w:tcPr>
          <w:p w14:paraId="13E2A92F" w14:textId="77777777" w:rsidR="00DB2705" w:rsidRPr="0081326A" w:rsidRDefault="00DB2705" w:rsidP="00DB2705">
            <w:pPr>
              <w:rPr>
                <w:rFonts w:cs="Arial"/>
                <w:szCs w:val="20"/>
              </w:rPr>
            </w:pPr>
          </w:p>
        </w:tc>
        <w:tc>
          <w:tcPr>
            <w:tcW w:w="3006" w:type="dxa"/>
          </w:tcPr>
          <w:p w14:paraId="79812472" w14:textId="77777777" w:rsidR="00DB2705" w:rsidRPr="0081326A" w:rsidRDefault="00DB2705" w:rsidP="00DB2705">
            <w:pPr>
              <w:jc w:val="right"/>
              <w:rPr>
                <w:rFonts w:cs="Arial"/>
                <w:szCs w:val="20"/>
              </w:rPr>
            </w:pPr>
          </w:p>
        </w:tc>
      </w:tr>
      <w:tr w:rsidR="00DB2705" w:rsidRPr="0081326A" w14:paraId="123F2DD3" w14:textId="77777777" w:rsidTr="00DB2705">
        <w:tc>
          <w:tcPr>
            <w:tcW w:w="1555" w:type="dxa"/>
          </w:tcPr>
          <w:p w14:paraId="05F8866C" w14:textId="77777777" w:rsidR="00DB2705" w:rsidRPr="0081326A" w:rsidRDefault="00DB2705" w:rsidP="00DB2705">
            <w:pPr>
              <w:rPr>
                <w:rFonts w:cs="Arial"/>
                <w:szCs w:val="20"/>
              </w:rPr>
            </w:pPr>
          </w:p>
        </w:tc>
        <w:tc>
          <w:tcPr>
            <w:tcW w:w="4455" w:type="dxa"/>
          </w:tcPr>
          <w:p w14:paraId="2A499788" w14:textId="77777777" w:rsidR="00DB2705" w:rsidRPr="0081326A" w:rsidRDefault="00DB2705" w:rsidP="00DB2705">
            <w:pPr>
              <w:rPr>
                <w:rFonts w:cs="Arial"/>
                <w:szCs w:val="20"/>
              </w:rPr>
            </w:pPr>
          </w:p>
        </w:tc>
        <w:tc>
          <w:tcPr>
            <w:tcW w:w="3006" w:type="dxa"/>
          </w:tcPr>
          <w:p w14:paraId="6446FC05" w14:textId="77777777" w:rsidR="00DB2705" w:rsidRPr="0081326A" w:rsidRDefault="00DB2705" w:rsidP="00DB2705">
            <w:pPr>
              <w:jc w:val="right"/>
              <w:rPr>
                <w:rFonts w:cs="Arial"/>
                <w:szCs w:val="20"/>
              </w:rPr>
            </w:pPr>
            <w:r w:rsidRPr="0081326A">
              <w:rPr>
                <w:rFonts w:cs="Arial"/>
                <w:szCs w:val="20"/>
              </w:rPr>
              <w:t>tel: XXXX</w:t>
            </w:r>
          </w:p>
        </w:tc>
      </w:tr>
      <w:tr w:rsidR="00DB2705" w:rsidRPr="0081326A" w14:paraId="09845814" w14:textId="77777777" w:rsidTr="00DB2705">
        <w:tc>
          <w:tcPr>
            <w:tcW w:w="1555" w:type="dxa"/>
          </w:tcPr>
          <w:p w14:paraId="1CCDC19C" w14:textId="77777777" w:rsidR="00DB2705" w:rsidRPr="0081326A" w:rsidRDefault="00DB2705" w:rsidP="00DB2705">
            <w:pPr>
              <w:rPr>
                <w:rFonts w:cs="Arial"/>
                <w:szCs w:val="20"/>
              </w:rPr>
            </w:pPr>
          </w:p>
        </w:tc>
        <w:tc>
          <w:tcPr>
            <w:tcW w:w="4455" w:type="dxa"/>
          </w:tcPr>
          <w:p w14:paraId="1C893BDD" w14:textId="77777777" w:rsidR="00DB2705" w:rsidRPr="0081326A" w:rsidRDefault="00DB2705" w:rsidP="00DB2705">
            <w:pPr>
              <w:rPr>
                <w:rFonts w:cs="Arial"/>
                <w:szCs w:val="20"/>
              </w:rPr>
            </w:pPr>
          </w:p>
        </w:tc>
        <w:tc>
          <w:tcPr>
            <w:tcW w:w="3006" w:type="dxa"/>
          </w:tcPr>
          <w:p w14:paraId="57CA5DFB" w14:textId="77777777" w:rsidR="00DB2705" w:rsidRPr="0081326A" w:rsidRDefault="00DB2705" w:rsidP="00DB2705">
            <w:pPr>
              <w:jc w:val="right"/>
              <w:rPr>
                <w:rFonts w:cs="Arial"/>
                <w:szCs w:val="20"/>
                <w:highlight w:val="yellow"/>
              </w:rPr>
            </w:pPr>
            <w:r w:rsidRPr="0081326A">
              <w:rPr>
                <w:rFonts w:cs="Arial"/>
                <w:szCs w:val="20"/>
                <w:highlight w:val="yellow"/>
              </w:rPr>
              <w:t>ENTITY WEBSITE ADDRESS</w:t>
            </w:r>
          </w:p>
        </w:tc>
      </w:tr>
    </w:tbl>
    <w:p w14:paraId="3533AE57" w14:textId="77777777" w:rsidR="00DB2705" w:rsidRPr="0081326A" w:rsidRDefault="00DB2705" w:rsidP="00DB2705">
      <w:pPr>
        <w:rPr>
          <w:rFonts w:cs="Arial"/>
        </w:rPr>
      </w:pPr>
    </w:p>
    <w:sdt>
      <w:sdtPr>
        <w:rPr>
          <w:rFonts w:cs="Arial"/>
        </w:rPr>
        <w:id w:val="-145980192"/>
        <w:placeholder>
          <w:docPart w:val="A2F47A173A6E4461B5F68DA70B800204"/>
        </w:placeholder>
        <w:showingPlcHdr/>
        <w15:color w:val="FFFF00"/>
        <w:date>
          <w:dateFormat w:val="d MMMM yyyy"/>
          <w:lid w:val="en-AU"/>
          <w:storeMappedDataAs w:val="dateTime"/>
          <w:calendar w:val="gregorian"/>
        </w:date>
      </w:sdtPr>
      <w:sdtEndPr/>
      <w:sdtContent>
        <w:p w14:paraId="1AB4067E" w14:textId="77777777" w:rsidR="00DB2705" w:rsidRPr="0081326A" w:rsidRDefault="00DB2705" w:rsidP="00DB2705">
          <w:pPr>
            <w:rPr>
              <w:rFonts w:cs="Arial"/>
            </w:rPr>
          </w:pPr>
          <w:r w:rsidRPr="0081326A">
            <w:rPr>
              <w:rStyle w:val="PlaceholderText"/>
              <w:rFonts w:cs="Arial"/>
            </w:rPr>
            <w:t>Click or tap to enter a date.</w:t>
          </w:r>
        </w:p>
      </w:sdtContent>
    </w:sdt>
    <w:p w14:paraId="0769BCCF" w14:textId="77777777" w:rsidR="00DB2705" w:rsidRPr="0081326A" w:rsidRDefault="00DB2705" w:rsidP="00DB2705">
      <w:pPr>
        <w:rPr>
          <w:rFonts w:cs="Arial"/>
        </w:rPr>
      </w:pPr>
    </w:p>
    <w:p w14:paraId="7E7D0B0A" w14:textId="77777777" w:rsidR="00DB2705" w:rsidRPr="0081326A" w:rsidRDefault="00DB2705" w:rsidP="00DB2705">
      <w:pPr>
        <w:pStyle w:val="NoSpacing"/>
        <w:rPr>
          <w:rFonts w:ascii="Arial" w:hAnsi="Arial" w:cs="Arial"/>
          <w:highlight w:val="yellow"/>
        </w:rPr>
      </w:pPr>
      <w:r w:rsidRPr="0081326A">
        <w:rPr>
          <w:rFonts w:ascii="Arial" w:hAnsi="Arial" w:cs="Arial"/>
          <w:highlight w:val="yellow"/>
        </w:rPr>
        <w:t>Name</w:t>
      </w:r>
    </w:p>
    <w:p w14:paraId="1E1D8787" w14:textId="77777777" w:rsidR="00DB2705" w:rsidRPr="0081326A" w:rsidRDefault="00DB2705" w:rsidP="00DB2705">
      <w:pPr>
        <w:pStyle w:val="NoSpacing"/>
        <w:rPr>
          <w:rFonts w:ascii="Arial" w:hAnsi="Arial" w:cs="Arial"/>
          <w:highlight w:val="yellow"/>
        </w:rPr>
      </w:pPr>
      <w:r w:rsidRPr="0081326A">
        <w:rPr>
          <w:rFonts w:ascii="Arial" w:hAnsi="Arial" w:cs="Arial"/>
          <w:highlight w:val="yellow"/>
        </w:rPr>
        <w:t>Title</w:t>
      </w:r>
    </w:p>
    <w:p w14:paraId="6DE51A7C" w14:textId="057E885B" w:rsidR="00DB2705" w:rsidRPr="0081326A" w:rsidRDefault="00E3331A" w:rsidP="00DB2705">
      <w:pPr>
        <w:pStyle w:val="NoSpacing"/>
        <w:rPr>
          <w:rFonts w:ascii="Arial" w:hAnsi="Arial" w:cs="Arial"/>
          <w:highlight w:val="yellow"/>
        </w:rPr>
      </w:pPr>
      <w:r w:rsidRPr="0081326A">
        <w:rPr>
          <w:rFonts w:ascii="Arial" w:hAnsi="Arial" w:cs="Arial"/>
          <w:highlight w:val="yellow"/>
        </w:rPr>
        <w:t>Street Address</w:t>
      </w:r>
    </w:p>
    <w:p w14:paraId="4C0FEB6F" w14:textId="3954EE5B" w:rsidR="004C2F49" w:rsidRPr="0081326A" w:rsidRDefault="004C2F49" w:rsidP="00DB2705">
      <w:pPr>
        <w:pStyle w:val="NoSpacing"/>
        <w:rPr>
          <w:rFonts w:ascii="Arial" w:hAnsi="Arial" w:cs="Arial"/>
        </w:rPr>
      </w:pPr>
      <w:r w:rsidRPr="0081326A">
        <w:rPr>
          <w:rFonts w:ascii="Arial" w:hAnsi="Arial" w:cs="Arial"/>
          <w:highlight w:val="yellow"/>
        </w:rPr>
        <w:t>SUBURB STATE POSTCODE</w:t>
      </w:r>
    </w:p>
    <w:p w14:paraId="6E649C27" w14:textId="77777777" w:rsidR="00DB2705" w:rsidRPr="0081326A" w:rsidRDefault="00DB2705" w:rsidP="00DB2705">
      <w:pPr>
        <w:pStyle w:val="NoSpacing"/>
        <w:rPr>
          <w:rFonts w:ascii="Arial" w:hAnsi="Arial" w:cs="Arial"/>
        </w:rPr>
      </w:pPr>
    </w:p>
    <w:p w14:paraId="24C78592" w14:textId="0D753ECF" w:rsidR="00DB2705" w:rsidRPr="0081326A" w:rsidRDefault="00565F51" w:rsidP="00DB2705">
      <w:pPr>
        <w:rPr>
          <w:rFonts w:cs="Arial"/>
        </w:rPr>
      </w:pPr>
      <w:r w:rsidRPr="0081326A">
        <w:rPr>
          <w:rFonts w:cs="Arial"/>
        </w:rPr>
        <w:t xml:space="preserve">Via </w:t>
      </w:r>
      <w:r w:rsidR="00DB2705" w:rsidRPr="0081326A">
        <w:rPr>
          <w:rFonts w:cs="Arial"/>
        </w:rPr>
        <w:t xml:space="preserve">email: </w:t>
      </w:r>
      <w:r w:rsidR="00DB2705" w:rsidRPr="0081326A">
        <w:rPr>
          <w:rFonts w:cs="Arial"/>
          <w:highlight w:val="yellow"/>
        </w:rPr>
        <w:t>email address</w:t>
      </w:r>
    </w:p>
    <w:p w14:paraId="155C0031" w14:textId="28E5D168" w:rsidR="00DB2705" w:rsidRPr="0081326A" w:rsidRDefault="00DB2705" w:rsidP="00DB2705">
      <w:pPr>
        <w:rPr>
          <w:rFonts w:cs="Arial"/>
          <w:b/>
          <w:bCs/>
        </w:rPr>
      </w:pPr>
      <w:r w:rsidRPr="0081326A">
        <w:rPr>
          <w:rFonts w:cs="Arial"/>
          <w:b/>
          <w:bCs/>
        </w:rPr>
        <w:t>Assessment of your disclosure</w:t>
      </w:r>
    </w:p>
    <w:p w14:paraId="4005EB94" w14:textId="699491E8" w:rsidR="00DB2705" w:rsidRPr="0081326A" w:rsidRDefault="00565F51" w:rsidP="00DB2705">
      <w:pPr>
        <w:rPr>
          <w:rFonts w:cs="Arial"/>
        </w:rPr>
      </w:pPr>
      <w:r w:rsidRPr="0081326A">
        <w:rPr>
          <w:rFonts w:cs="Arial"/>
        </w:rPr>
        <w:t xml:space="preserve">I refer to </w:t>
      </w:r>
      <w:r w:rsidR="009542CB" w:rsidRPr="0081326A">
        <w:rPr>
          <w:rFonts w:cs="Arial"/>
        </w:rPr>
        <w:t>your</w:t>
      </w:r>
      <w:r w:rsidRPr="0081326A">
        <w:rPr>
          <w:rFonts w:cs="Arial"/>
        </w:rPr>
        <w:t xml:space="preserve"> disclosure made on</w:t>
      </w:r>
      <w:r w:rsidR="009542CB" w:rsidRPr="0081326A">
        <w:rPr>
          <w:rFonts w:cs="Arial"/>
        </w:rPr>
        <w:t xml:space="preserve"> </w:t>
      </w:r>
      <w:sdt>
        <w:sdtPr>
          <w:rPr>
            <w:rFonts w:cs="Arial"/>
            <w:highlight w:val="yellow"/>
          </w:rPr>
          <w:id w:val="-481469935"/>
          <w:placeholder>
            <w:docPart w:val="3D2DA215ABF046FBBFFA01DC1AF7A831"/>
          </w:placeholder>
          <w:showingPlcHdr/>
          <w15:color w:val="FFFF00"/>
          <w:date>
            <w:dateFormat w:val="dddd, d MMMM yyyy"/>
            <w:lid w:val="en-AU"/>
            <w:storeMappedDataAs w:val="dateTime"/>
            <w:calendar w:val="gregorian"/>
          </w:date>
        </w:sdtPr>
        <w:sdtEndPr/>
        <w:sdtContent>
          <w:r w:rsidR="009542CB" w:rsidRPr="0081326A">
            <w:rPr>
              <w:rStyle w:val="PlaceholderText"/>
              <w:rFonts w:cs="Arial"/>
              <w:highlight w:val="yellow"/>
            </w:rPr>
            <w:t>Click or tap to enter a date.</w:t>
          </w:r>
        </w:sdtContent>
      </w:sdt>
      <w:r w:rsidR="009542CB" w:rsidRPr="0081326A">
        <w:rPr>
          <w:rFonts w:cs="Arial"/>
        </w:rPr>
        <w:t xml:space="preserve"> to </w:t>
      </w:r>
      <w:r w:rsidR="009542CB" w:rsidRPr="0081326A">
        <w:rPr>
          <w:rFonts w:cs="Arial"/>
          <w:highlight w:val="yellow"/>
        </w:rPr>
        <w:t>[insert disclosure recipient]</w:t>
      </w:r>
      <w:r w:rsidR="009542CB" w:rsidRPr="0081326A">
        <w:rPr>
          <w:rFonts w:cs="Arial"/>
        </w:rPr>
        <w:t xml:space="preserve"> that </w:t>
      </w:r>
      <w:r w:rsidR="009542CB" w:rsidRPr="0081326A">
        <w:rPr>
          <w:rFonts w:cs="Arial"/>
          <w:highlight w:val="yellow"/>
        </w:rPr>
        <w:t>[insert subject of disclosure]</w:t>
      </w:r>
      <w:r w:rsidR="009542CB" w:rsidRPr="0081326A">
        <w:rPr>
          <w:rFonts w:cs="Arial"/>
        </w:rPr>
        <w:t xml:space="preserve"> and our discussion on </w:t>
      </w:r>
      <w:sdt>
        <w:sdtPr>
          <w:rPr>
            <w:rFonts w:cs="Arial"/>
            <w:highlight w:val="yellow"/>
          </w:rPr>
          <w:id w:val="356863432"/>
          <w:placeholder>
            <w:docPart w:val="2D00DCF003DE4E809BB2173355CAD640"/>
          </w:placeholder>
          <w:showingPlcHdr/>
          <w15:color w:val="FFFF00"/>
          <w:date>
            <w:dateFormat w:val="dddd, d MMMM yyyy"/>
            <w:lid w:val="en-AU"/>
            <w:storeMappedDataAs w:val="dateTime"/>
            <w:calendar w:val="gregorian"/>
          </w:date>
        </w:sdtPr>
        <w:sdtEndPr/>
        <w:sdtContent>
          <w:r w:rsidR="009542CB" w:rsidRPr="0081326A">
            <w:rPr>
              <w:rStyle w:val="PlaceholderText"/>
              <w:rFonts w:cs="Arial"/>
              <w:highlight w:val="yellow"/>
            </w:rPr>
            <w:t>Click or tap to enter a date.</w:t>
          </w:r>
        </w:sdtContent>
      </w:sdt>
      <w:r w:rsidR="009542CB" w:rsidRPr="0081326A">
        <w:rPr>
          <w:rFonts w:cs="Arial"/>
        </w:rPr>
        <w:t xml:space="preserve">. I write to </w:t>
      </w:r>
      <w:r w:rsidR="00DB2705" w:rsidRPr="0081326A">
        <w:rPr>
          <w:rFonts w:cs="Arial"/>
        </w:rPr>
        <w:t xml:space="preserve">notify you that I </w:t>
      </w:r>
      <w:r w:rsidR="00E3331A" w:rsidRPr="0081326A">
        <w:rPr>
          <w:rFonts w:cs="Arial"/>
        </w:rPr>
        <w:t>am satisfied on reasonable grounds that</w:t>
      </w:r>
      <w:r w:rsidR="00DB2705" w:rsidRPr="0081326A">
        <w:rPr>
          <w:rFonts w:cs="Arial"/>
        </w:rPr>
        <w:t xml:space="preserve"> </w:t>
      </w:r>
      <w:r w:rsidR="004C2F49" w:rsidRPr="0081326A">
        <w:rPr>
          <w:rFonts w:cs="Arial"/>
        </w:rPr>
        <w:t>your</w:t>
      </w:r>
      <w:r w:rsidR="00DB2705" w:rsidRPr="0081326A">
        <w:rPr>
          <w:rFonts w:cs="Arial"/>
        </w:rPr>
        <w:t xml:space="preserve"> disclosure as referring to disclosable conduct concerning </w:t>
      </w:r>
      <w:sdt>
        <w:sdtPr>
          <w:rPr>
            <w:rFonts w:cs="Arial"/>
            <w:highlight w:val="yellow"/>
          </w:rPr>
          <w:alias w:val="Conduct type"/>
          <w:tag w:val="Conduct type"/>
          <w:id w:val="-1617519529"/>
          <w:placeholder>
            <w:docPart w:val="44E1C1BE7A394F01BF8D5BE82EDC98C3"/>
          </w:placeholder>
          <w:showingPlcHdr/>
          <w:dropDownList>
            <w:listItem w:value="Choose an item."/>
            <w:listItem w:displayText="maladministration" w:value="maladministration"/>
            <w:listItem w:displayText="a threat to public health or safety" w:value="a threat to public health or safety"/>
            <w:listItem w:displayText="a threat to the environment" w:value="a threat to the environment"/>
          </w:dropDownList>
        </w:sdtPr>
        <w:sdtEndPr/>
        <w:sdtContent>
          <w:r w:rsidR="00DB2705" w:rsidRPr="0081326A">
            <w:rPr>
              <w:rStyle w:val="PlaceholderText"/>
              <w:rFonts w:cs="Arial"/>
              <w:highlight w:val="yellow"/>
            </w:rPr>
            <w:t>Choose an item.</w:t>
          </w:r>
        </w:sdtContent>
      </w:sdt>
      <w:r w:rsidR="00DB2705" w:rsidRPr="0081326A">
        <w:rPr>
          <w:rFonts w:cs="Arial"/>
        </w:rPr>
        <w:t xml:space="preserve">. I am satisfied </w:t>
      </w:r>
      <w:r w:rsidR="00E3331A" w:rsidRPr="0081326A">
        <w:rPr>
          <w:rFonts w:cs="Arial"/>
        </w:rPr>
        <w:t xml:space="preserve">on reasonable grounds </w:t>
      </w:r>
      <w:r w:rsidR="00DB2705" w:rsidRPr="0081326A">
        <w:rPr>
          <w:rFonts w:cs="Arial"/>
        </w:rPr>
        <w:t xml:space="preserve">that </w:t>
      </w:r>
      <w:r w:rsidR="004C2F49" w:rsidRPr="0081326A">
        <w:rPr>
          <w:rFonts w:cs="Arial"/>
        </w:rPr>
        <w:t>your</w:t>
      </w:r>
      <w:r w:rsidR="00DB2705" w:rsidRPr="0081326A">
        <w:rPr>
          <w:rFonts w:cs="Arial"/>
        </w:rPr>
        <w:t xml:space="preserve"> disclosure was made in good faith. </w:t>
      </w:r>
    </w:p>
    <w:p w14:paraId="05801C97" w14:textId="2FEC1994" w:rsidR="00DB2705" w:rsidRPr="0081326A" w:rsidRDefault="00DB2705" w:rsidP="00DB2705">
      <w:pPr>
        <w:rPr>
          <w:rFonts w:cs="Arial"/>
        </w:rPr>
      </w:pPr>
      <w:r w:rsidRPr="0081326A">
        <w:rPr>
          <w:rFonts w:cs="Arial"/>
        </w:rPr>
        <w:t xml:space="preserve">I </w:t>
      </w:r>
      <w:r w:rsidR="009542CB" w:rsidRPr="0081326A">
        <w:rPr>
          <w:rFonts w:cs="Arial"/>
        </w:rPr>
        <w:t xml:space="preserve">have </w:t>
      </w:r>
      <w:r w:rsidRPr="0081326A">
        <w:rPr>
          <w:rFonts w:cs="Arial"/>
        </w:rPr>
        <w:t xml:space="preserve">referred your disclosure to the Integrity Commission </w:t>
      </w:r>
      <w:r w:rsidR="009542CB" w:rsidRPr="0081326A">
        <w:rPr>
          <w:rFonts w:cs="Arial"/>
        </w:rPr>
        <w:t>(‘</w:t>
      </w:r>
      <w:r w:rsidR="009542CB" w:rsidRPr="0081326A">
        <w:rPr>
          <w:rFonts w:cs="Arial"/>
          <w:b/>
          <w:bCs/>
        </w:rPr>
        <w:t>Commission</w:t>
      </w:r>
      <w:r w:rsidR="009542CB" w:rsidRPr="0081326A">
        <w:rPr>
          <w:rFonts w:cs="Arial"/>
        </w:rPr>
        <w:t xml:space="preserve">’) </w:t>
      </w:r>
      <w:r w:rsidRPr="0081326A">
        <w:rPr>
          <w:rFonts w:cs="Arial"/>
        </w:rPr>
        <w:t xml:space="preserve">in accordance with section 17 of the </w:t>
      </w:r>
      <w:r w:rsidRPr="0081326A">
        <w:rPr>
          <w:rFonts w:cs="Arial"/>
          <w:i/>
          <w:iCs/>
        </w:rPr>
        <w:t xml:space="preserve">Public Interest Disclosure Act 2012 </w:t>
      </w:r>
      <w:r w:rsidRPr="0081326A">
        <w:rPr>
          <w:rFonts w:cs="Arial"/>
        </w:rPr>
        <w:t>(‘</w:t>
      </w:r>
      <w:r w:rsidRPr="0081326A">
        <w:rPr>
          <w:rFonts w:cs="Arial"/>
          <w:b/>
          <w:bCs/>
        </w:rPr>
        <w:t>PID Act</w:t>
      </w:r>
      <w:r w:rsidRPr="0081326A">
        <w:rPr>
          <w:rFonts w:cs="Arial"/>
        </w:rPr>
        <w:t>’)</w:t>
      </w:r>
      <w:r w:rsidR="004C2F49" w:rsidRPr="0081326A">
        <w:rPr>
          <w:rFonts w:cs="Arial"/>
        </w:rPr>
        <w:t xml:space="preserve"> on </w:t>
      </w:r>
      <w:sdt>
        <w:sdtPr>
          <w:rPr>
            <w:rFonts w:cs="Arial"/>
          </w:rPr>
          <w:id w:val="109629924"/>
          <w:placeholder>
            <w:docPart w:val="1DFF53363B1347FEA8D41E1E93F54BDB"/>
          </w:placeholder>
          <w:showingPlcHdr/>
          <w15:color w:val="FFFF00"/>
          <w:date>
            <w:dateFormat w:val="dddd, d MMMM yyyy"/>
            <w:lid w:val="en-AU"/>
            <w:storeMappedDataAs w:val="dateTime"/>
            <w:calendar w:val="gregorian"/>
          </w:date>
        </w:sdtPr>
        <w:sdtEndPr/>
        <w:sdtContent>
          <w:r w:rsidR="004C2F49" w:rsidRPr="0081326A">
            <w:rPr>
              <w:rStyle w:val="PlaceholderText"/>
              <w:rFonts w:cs="Arial"/>
            </w:rPr>
            <w:t>Click or tap to enter a date.</w:t>
          </w:r>
        </w:sdtContent>
      </w:sdt>
      <w:r w:rsidR="004C2F49" w:rsidRPr="0081326A">
        <w:rPr>
          <w:rFonts w:cs="Arial"/>
        </w:rPr>
        <w:t xml:space="preserve">. </w:t>
      </w:r>
      <w:r w:rsidRPr="0081326A">
        <w:rPr>
          <w:rFonts w:cs="Arial"/>
        </w:rPr>
        <w:t xml:space="preserve">The Commission will assess whether your disclosure </w:t>
      </w:r>
      <w:r w:rsidR="004C2F49" w:rsidRPr="0081326A">
        <w:rPr>
          <w:rFonts w:cs="Arial"/>
        </w:rPr>
        <w:t>is a public interest disclosure (‘</w:t>
      </w:r>
      <w:r w:rsidR="004C2F49" w:rsidRPr="0081326A">
        <w:rPr>
          <w:rFonts w:cs="Arial"/>
          <w:b/>
          <w:bCs/>
        </w:rPr>
        <w:t>PID</w:t>
      </w:r>
      <w:r w:rsidR="004C2F49" w:rsidRPr="0081326A">
        <w:rPr>
          <w:rFonts w:cs="Arial"/>
        </w:rPr>
        <w:t>’) as defined by section 7 of the PID</w:t>
      </w:r>
      <w:r w:rsidR="007532CF" w:rsidRPr="0081326A">
        <w:rPr>
          <w:rFonts w:cs="Arial"/>
        </w:rPr>
        <w:t xml:space="preserve"> </w:t>
      </w:r>
      <w:r w:rsidR="004C2F49" w:rsidRPr="0081326A">
        <w:rPr>
          <w:rFonts w:cs="Arial"/>
        </w:rPr>
        <w:t>Act.</w:t>
      </w:r>
    </w:p>
    <w:p w14:paraId="7E335F5C" w14:textId="25D6B3BD" w:rsidR="00DB2705" w:rsidRPr="0081326A" w:rsidRDefault="000F336A" w:rsidP="00DB2705">
      <w:pPr>
        <w:rPr>
          <w:rFonts w:cs="Arial"/>
          <w:b/>
          <w:bCs/>
        </w:rPr>
      </w:pPr>
      <w:r w:rsidRPr="0081326A">
        <w:rPr>
          <w:rFonts w:cs="Arial"/>
          <w:b/>
          <w:bCs/>
        </w:rPr>
        <w:t>The Commission’s assessment</w:t>
      </w:r>
    </w:p>
    <w:p w14:paraId="7DBD03B5" w14:textId="3A86895D" w:rsidR="004C2F49" w:rsidRPr="0081326A" w:rsidRDefault="004C2F49" w:rsidP="00DB2705">
      <w:pPr>
        <w:rPr>
          <w:rFonts w:cs="Arial"/>
        </w:rPr>
      </w:pPr>
      <w:r w:rsidRPr="0081326A">
        <w:rPr>
          <w:rFonts w:cs="Arial"/>
        </w:rPr>
        <w:t>Section 17A of the PID Act requires the Commission to assess your disclosure to determine whether it is a PID. This requires the Commission to assess whether your disclosure:</w:t>
      </w:r>
    </w:p>
    <w:p w14:paraId="7D7150D4" w14:textId="5650925F" w:rsidR="004C2F49" w:rsidRPr="0081326A" w:rsidRDefault="004C2F49" w:rsidP="00061417">
      <w:pPr>
        <w:pStyle w:val="ListParagraph"/>
        <w:numPr>
          <w:ilvl w:val="0"/>
          <w:numId w:val="6"/>
        </w:numPr>
        <w:rPr>
          <w:rFonts w:cs="Arial"/>
        </w:rPr>
      </w:pPr>
      <w:r w:rsidRPr="0081326A">
        <w:rPr>
          <w:rFonts w:cs="Arial"/>
        </w:rPr>
        <w:t>is about disclosable conduct;</w:t>
      </w:r>
    </w:p>
    <w:p w14:paraId="4B5520A1" w14:textId="5651AF56" w:rsidR="004C2F49" w:rsidRPr="0081326A" w:rsidRDefault="004C2F49" w:rsidP="00061417">
      <w:pPr>
        <w:pStyle w:val="ListParagraph"/>
        <w:numPr>
          <w:ilvl w:val="0"/>
          <w:numId w:val="6"/>
        </w:numPr>
        <w:rPr>
          <w:rFonts w:cs="Arial"/>
        </w:rPr>
      </w:pPr>
      <w:r w:rsidRPr="0081326A">
        <w:rPr>
          <w:rFonts w:cs="Arial"/>
        </w:rPr>
        <w:t>was disclosed in the public interest; and</w:t>
      </w:r>
    </w:p>
    <w:p w14:paraId="42740A11" w14:textId="3EE393D6" w:rsidR="000F336A" w:rsidRPr="0081326A" w:rsidRDefault="004C2F49" w:rsidP="00061417">
      <w:pPr>
        <w:pStyle w:val="ListParagraph"/>
        <w:numPr>
          <w:ilvl w:val="0"/>
          <w:numId w:val="6"/>
        </w:numPr>
        <w:rPr>
          <w:rFonts w:cs="Arial"/>
        </w:rPr>
      </w:pPr>
      <w:r w:rsidRPr="0081326A">
        <w:rPr>
          <w:rFonts w:cs="Arial"/>
        </w:rPr>
        <w:t>is not vexatious or frivolous.</w:t>
      </w:r>
    </w:p>
    <w:p w14:paraId="262D192A" w14:textId="5C7BA9BE" w:rsidR="000F336A" w:rsidRPr="0081326A" w:rsidRDefault="000F336A" w:rsidP="000F336A">
      <w:pPr>
        <w:rPr>
          <w:rFonts w:cs="Arial"/>
        </w:rPr>
      </w:pPr>
      <w:r w:rsidRPr="0081326A">
        <w:rPr>
          <w:rFonts w:cs="Arial"/>
        </w:rPr>
        <w:t>If your disclosure is assessed to be a PID</w:t>
      </w:r>
      <w:r w:rsidR="00440C1F" w:rsidRPr="0081326A">
        <w:rPr>
          <w:rFonts w:cs="Arial"/>
        </w:rPr>
        <w:t xml:space="preserve"> you will receive all the protections under the PID Act.</w:t>
      </w:r>
      <w:r w:rsidRPr="0081326A">
        <w:rPr>
          <w:rFonts w:cs="Arial"/>
        </w:rPr>
        <w:t xml:space="preserve"> </w:t>
      </w:r>
      <w:r w:rsidR="00440C1F" w:rsidRPr="0081326A">
        <w:rPr>
          <w:rFonts w:cs="Arial"/>
        </w:rPr>
        <w:t>T</w:t>
      </w:r>
      <w:r w:rsidRPr="0081326A">
        <w:rPr>
          <w:rFonts w:cs="Arial"/>
        </w:rPr>
        <w:t>he Commission will either investigate it or refer</w:t>
      </w:r>
      <w:r w:rsidR="00440C1F" w:rsidRPr="0081326A">
        <w:rPr>
          <w:rFonts w:cs="Arial"/>
        </w:rPr>
        <w:t xml:space="preserve"> it </w:t>
      </w:r>
      <w:r w:rsidRPr="0081326A">
        <w:rPr>
          <w:rFonts w:cs="Arial"/>
        </w:rPr>
        <w:t xml:space="preserve">to another </w:t>
      </w:r>
      <w:r w:rsidR="00440C1F" w:rsidRPr="0081326A">
        <w:rPr>
          <w:rFonts w:cs="Arial"/>
        </w:rPr>
        <w:t xml:space="preserve">public sector </w:t>
      </w:r>
      <w:r w:rsidRPr="0081326A">
        <w:rPr>
          <w:rFonts w:cs="Arial"/>
        </w:rPr>
        <w:t xml:space="preserve">entity for investigation. </w:t>
      </w:r>
    </w:p>
    <w:p w14:paraId="5AD751CE" w14:textId="239F8411" w:rsidR="000F336A" w:rsidRPr="0081326A" w:rsidRDefault="000F336A" w:rsidP="000F336A">
      <w:pPr>
        <w:rPr>
          <w:rFonts w:cs="Arial"/>
        </w:rPr>
      </w:pPr>
      <w:r w:rsidRPr="0081326A">
        <w:rPr>
          <w:rFonts w:cs="Arial"/>
        </w:rPr>
        <w:t>If your disclosure is assessed to</w:t>
      </w:r>
      <w:r w:rsidR="009542CB" w:rsidRPr="0081326A">
        <w:rPr>
          <w:rFonts w:cs="Arial"/>
        </w:rPr>
        <w:t xml:space="preserve"> not</w:t>
      </w:r>
      <w:r w:rsidRPr="0081326A">
        <w:rPr>
          <w:rFonts w:cs="Arial"/>
        </w:rPr>
        <w:t xml:space="preserve"> be a PID</w:t>
      </w:r>
      <w:r w:rsidR="009542CB" w:rsidRPr="0081326A">
        <w:rPr>
          <w:rFonts w:cs="Arial"/>
        </w:rPr>
        <w:t>,</w:t>
      </w:r>
      <w:r w:rsidRPr="0081326A">
        <w:rPr>
          <w:rFonts w:cs="Arial"/>
        </w:rPr>
        <w:t xml:space="preserve"> the Commission will </w:t>
      </w:r>
      <w:r w:rsidR="009542CB" w:rsidRPr="0081326A">
        <w:rPr>
          <w:rFonts w:cs="Arial"/>
        </w:rPr>
        <w:t xml:space="preserve">either </w:t>
      </w:r>
      <w:r w:rsidRPr="0081326A">
        <w:rPr>
          <w:rFonts w:cs="Arial"/>
        </w:rPr>
        <w:t xml:space="preserve">take no further action or refer it </w:t>
      </w:r>
      <w:r w:rsidR="009542CB" w:rsidRPr="0081326A">
        <w:rPr>
          <w:rFonts w:cs="Arial"/>
        </w:rPr>
        <w:t xml:space="preserve">to another body </w:t>
      </w:r>
      <w:r w:rsidRPr="0081326A">
        <w:rPr>
          <w:rFonts w:cs="Arial"/>
        </w:rPr>
        <w:t>for resolution. Where this occurs, the protections under the PID Act do not apply to you in relation to your disclosure.</w:t>
      </w:r>
      <w:r w:rsidR="00440C1F" w:rsidRPr="0081326A">
        <w:rPr>
          <w:rFonts w:cs="Arial"/>
        </w:rPr>
        <w:t xml:space="preserve"> However, the conditions of your employment may provide some worthwhile protections and it may be useful for you </w:t>
      </w:r>
      <w:r w:rsidR="00E3331A" w:rsidRPr="0081326A">
        <w:rPr>
          <w:rFonts w:cs="Arial"/>
        </w:rPr>
        <w:t>to</w:t>
      </w:r>
      <w:r w:rsidR="00440C1F" w:rsidRPr="0081326A">
        <w:rPr>
          <w:rFonts w:cs="Arial"/>
        </w:rPr>
        <w:t xml:space="preserve"> contact your employer’s human resources or staff support team.</w:t>
      </w:r>
    </w:p>
    <w:p w14:paraId="08A58B3E" w14:textId="60443153" w:rsidR="000F336A" w:rsidRPr="0081326A" w:rsidRDefault="000F336A" w:rsidP="000F336A">
      <w:pPr>
        <w:rPr>
          <w:rFonts w:cs="Arial"/>
        </w:rPr>
      </w:pPr>
      <w:r w:rsidRPr="0081326A">
        <w:rPr>
          <w:rFonts w:cs="Arial"/>
        </w:rPr>
        <w:t>Regardless of the Commission’s assessment of your disclosure, you will be notified of the outcome and what has happened to your disclosure.</w:t>
      </w:r>
    </w:p>
    <w:p w14:paraId="2BE5F378" w14:textId="40FAF3B7" w:rsidR="00243718" w:rsidRPr="0081326A" w:rsidRDefault="00F261B0" w:rsidP="00F261B0">
      <w:pPr>
        <w:rPr>
          <w:rFonts w:cs="Arial"/>
        </w:rPr>
      </w:pPr>
      <w:r w:rsidRPr="0081326A">
        <w:rPr>
          <w:rFonts w:cs="Arial"/>
        </w:rPr>
        <w:t xml:space="preserve">If the Commission does not complete its assessment of your disclosure by </w:t>
      </w:r>
      <w:r w:rsidRPr="0081326A">
        <w:rPr>
          <w:rFonts w:cs="Arial"/>
          <w:highlight w:val="yellow"/>
        </w:rPr>
        <w:t xml:space="preserve">&lt;insert a date three months from the disclosure&gt; </w:t>
      </w:r>
      <w:sdt>
        <w:sdtPr>
          <w:rPr>
            <w:rFonts w:cs="Arial"/>
            <w:highlight w:val="yellow"/>
          </w:rPr>
          <w:id w:val="-267164519"/>
          <w:placeholder>
            <w:docPart w:val="8DE177E71E194C2D9FDFFAE77C6B356F"/>
          </w:placeholder>
          <w:showingPlcHdr/>
          <w15:color w:val="FFFF00"/>
          <w:date>
            <w:dateFormat w:val="dddd, d MMMM yyyy"/>
            <w:lid w:val="en-AU"/>
            <w:storeMappedDataAs w:val="dateTime"/>
            <w:calendar w:val="gregorian"/>
          </w:date>
        </w:sdtPr>
        <w:sdtEndPr/>
        <w:sdtContent>
          <w:r w:rsidRPr="0081326A">
            <w:rPr>
              <w:rStyle w:val="PlaceholderText"/>
              <w:rFonts w:cs="Arial"/>
              <w:highlight w:val="yellow"/>
            </w:rPr>
            <w:t>Click or tap to enter a date.</w:t>
          </w:r>
        </w:sdtContent>
      </w:sdt>
      <w:r w:rsidRPr="0081326A">
        <w:rPr>
          <w:rFonts w:cs="Arial"/>
        </w:rPr>
        <w:t xml:space="preserve"> you may be permitted to disclose it to either a member </w:t>
      </w:r>
      <w:r w:rsidRPr="0081326A">
        <w:rPr>
          <w:rFonts w:cs="Arial"/>
        </w:rPr>
        <w:lastRenderedPageBreak/>
        <w:t>of the Legislative Assembly or a journalist</w:t>
      </w:r>
      <w:r w:rsidR="00E3331A" w:rsidRPr="0081326A">
        <w:rPr>
          <w:rFonts w:cs="Arial"/>
        </w:rPr>
        <w:t xml:space="preserve"> and still receive the PID Act protections</w:t>
      </w:r>
      <w:r w:rsidRPr="0081326A">
        <w:rPr>
          <w:rFonts w:cs="Arial"/>
        </w:rPr>
        <w:t xml:space="preserve">. </w:t>
      </w:r>
      <w:r w:rsidR="00055335" w:rsidRPr="0081326A">
        <w:rPr>
          <w:rFonts w:cs="Arial"/>
        </w:rPr>
        <w:t xml:space="preserve">This is known as a ‘disclosure to a third party’ </w:t>
      </w:r>
      <w:r w:rsidR="00243718" w:rsidRPr="0081326A">
        <w:rPr>
          <w:rFonts w:cs="Arial"/>
        </w:rPr>
        <w:t>(outlined in section 27 of the PID Act)</w:t>
      </w:r>
      <w:r w:rsidR="00E3331A" w:rsidRPr="0081326A">
        <w:rPr>
          <w:rFonts w:cs="Arial"/>
        </w:rPr>
        <w:t xml:space="preserve">. The permitted circumstances </w:t>
      </w:r>
      <w:r w:rsidR="00055335" w:rsidRPr="0081326A">
        <w:rPr>
          <w:rFonts w:cs="Arial"/>
        </w:rPr>
        <w:t>may arise where you have not received a notice under</w:t>
      </w:r>
      <w:r w:rsidR="00E3331A" w:rsidRPr="0081326A">
        <w:rPr>
          <w:rFonts w:cs="Arial"/>
        </w:rPr>
        <w:t>:</w:t>
      </w:r>
    </w:p>
    <w:p w14:paraId="665D16FF" w14:textId="77777777" w:rsidR="00243718" w:rsidRPr="0081326A" w:rsidRDefault="00055335" w:rsidP="00061417">
      <w:pPr>
        <w:pStyle w:val="ListParagraph"/>
        <w:numPr>
          <w:ilvl w:val="0"/>
          <w:numId w:val="6"/>
        </w:numPr>
        <w:rPr>
          <w:rFonts w:cs="Arial"/>
        </w:rPr>
      </w:pPr>
      <w:r w:rsidRPr="0081326A">
        <w:rPr>
          <w:rFonts w:cs="Arial"/>
        </w:rPr>
        <w:t>section 17B</w:t>
      </w:r>
      <w:r w:rsidR="00243718" w:rsidRPr="0081326A">
        <w:rPr>
          <w:rFonts w:cs="Arial"/>
        </w:rPr>
        <w:t xml:space="preserve"> (that your disclosure </w:t>
      </w:r>
      <w:r w:rsidR="00243718" w:rsidRPr="0081326A">
        <w:rPr>
          <w:rFonts w:cs="Arial"/>
          <w:b/>
          <w:bCs/>
        </w:rPr>
        <w:t>does not</w:t>
      </w:r>
      <w:r w:rsidR="00243718" w:rsidRPr="0081326A">
        <w:rPr>
          <w:rFonts w:cs="Arial"/>
        </w:rPr>
        <w:t xml:space="preserve"> qualify as a PID);</w:t>
      </w:r>
      <w:r w:rsidRPr="0081326A">
        <w:rPr>
          <w:rFonts w:cs="Arial"/>
        </w:rPr>
        <w:t xml:space="preserve"> or </w:t>
      </w:r>
    </w:p>
    <w:p w14:paraId="013CE51D" w14:textId="76647EC8" w:rsidR="00243718" w:rsidRPr="0081326A" w:rsidRDefault="00E3331A" w:rsidP="00061417">
      <w:pPr>
        <w:pStyle w:val="ListParagraph"/>
        <w:numPr>
          <w:ilvl w:val="0"/>
          <w:numId w:val="6"/>
        </w:numPr>
        <w:rPr>
          <w:rFonts w:cs="Arial"/>
        </w:rPr>
      </w:pPr>
      <w:r w:rsidRPr="0081326A">
        <w:rPr>
          <w:rFonts w:cs="Arial"/>
        </w:rPr>
        <w:t xml:space="preserve">section </w:t>
      </w:r>
      <w:r w:rsidR="00055335" w:rsidRPr="0081326A">
        <w:rPr>
          <w:rFonts w:cs="Arial"/>
        </w:rPr>
        <w:t>19A</w:t>
      </w:r>
      <w:r w:rsidR="00243718" w:rsidRPr="0081326A">
        <w:rPr>
          <w:rFonts w:cs="Arial"/>
        </w:rPr>
        <w:t xml:space="preserve"> (that your disclosure </w:t>
      </w:r>
      <w:r w:rsidR="00243718" w:rsidRPr="0081326A">
        <w:rPr>
          <w:rFonts w:cs="Arial"/>
          <w:b/>
          <w:bCs/>
        </w:rPr>
        <w:t>does</w:t>
      </w:r>
      <w:r w:rsidR="00243718" w:rsidRPr="0081326A">
        <w:rPr>
          <w:rFonts w:cs="Arial"/>
        </w:rPr>
        <w:t xml:space="preserve"> qualify </w:t>
      </w:r>
      <w:r w:rsidRPr="0081326A">
        <w:rPr>
          <w:rFonts w:cs="Arial"/>
        </w:rPr>
        <w:t>a</w:t>
      </w:r>
      <w:r w:rsidR="00243718" w:rsidRPr="0081326A">
        <w:rPr>
          <w:rFonts w:cs="Arial"/>
        </w:rPr>
        <w:t>s a PID)</w:t>
      </w:r>
    </w:p>
    <w:p w14:paraId="04630598" w14:textId="06065027" w:rsidR="00055335" w:rsidRPr="0081326A" w:rsidRDefault="00243718" w:rsidP="00243718">
      <w:pPr>
        <w:rPr>
          <w:rFonts w:cs="Arial"/>
        </w:rPr>
      </w:pPr>
      <w:r w:rsidRPr="0081326A">
        <w:rPr>
          <w:rFonts w:cs="Arial"/>
        </w:rPr>
        <w:t>of the PID Act</w:t>
      </w:r>
      <w:r w:rsidR="00055335" w:rsidRPr="0081326A">
        <w:rPr>
          <w:rFonts w:cs="Arial"/>
        </w:rPr>
        <w:t xml:space="preserve"> within three months of making your</w:t>
      </w:r>
      <w:r w:rsidRPr="0081326A">
        <w:rPr>
          <w:rFonts w:cs="Arial"/>
        </w:rPr>
        <w:t xml:space="preserve"> disclosure. </w:t>
      </w:r>
    </w:p>
    <w:p w14:paraId="3325309E" w14:textId="1649E716" w:rsidR="00F261B0" w:rsidRPr="0081326A" w:rsidRDefault="00F261B0" w:rsidP="000F336A">
      <w:pPr>
        <w:rPr>
          <w:rFonts w:cs="Arial"/>
          <w:b/>
          <w:bCs/>
        </w:rPr>
      </w:pPr>
      <w:r w:rsidRPr="0081326A">
        <w:rPr>
          <w:rFonts w:cs="Arial"/>
          <w:b/>
          <w:bCs/>
        </w:rPr>
        <w:t>Next steps</w:t>
      </w:r>
    </w:p>
    <w:p w14:paraId="37CF37C2" w14:textId="75B2C582" w:rsidR="00DB2705" w:rsidRPr="0081326A" w:rsidRDefault="00F261B0" w:rsidP="00DB2705">
      <w:pPr>
        <w:spacing w:line="0" w:lineRule="atLeast"/>
        <w:rPr>
          <w:rFonts w:cs="Arial"/>
        </w:rPr>
      </w:pPr>
      <w:r w:rsidRPr="0081326A">
        <w:rPr>
          <w:rFonts w:cs="Arial"/>
        </w:rPr>
        <w:t>You should be contacted by the Commission soon regarding your disclosure. If you have any queries regarding the Commission’s assessment you should contact them directly</w:t>
      </w:r>
      <w:r w:rsidR="009542CB" w:rsidRPr="0081326A">
        <w:rPr>
          <w:rFonts w:cs="Arial"/>
        </w:rPr>
        <w:t xml:space="preserve"> on</w:t>
      </w:r>
      <w:r w:rsidRPr="0081326A">
        <w:rPr>
          <w:rFonts w:cs="Arial"/>
        </w:rPr>
        <w:t>:</w:t>
      </w:r>
    </w:p>
    <w:p w14:paraId="6FCAE1BF" w14:textId="58C4BBEC" w:rsidR="00F261B0" w:rsidRPr="0081326A" w:rsidRDefault="00F261B0" w:rsidP="00F261B0">
      <w:pPr>
        <w:spacing w:line="0" w:lineRule="atLeast"/>
        <w:ind w:firstLine="720"/>
        <w:rPr>
          <w:rFonts w:cs="Arial"/>
        </w:rPr>
      </w:pPr>
      <w:r w:rsidRPr="0081326A">
        <w:rPr>
          <w:rFonts w:cs="Arial"/>
        </w:rPr>
        <w:t>phone: (02) 6205 9899</w:t>
      </w:r>
    </w:p>
    <w:p w14:paraId="0E6A4140" w14:textId="1D054836" w:rsidR="00F261B0" w:rsidRPr="0081326A" w:rsidRDefault="00F261B0" w:rsidP="00F261B0">
      <w:pPr>
        <w:spacing w:line="0" w:lineRule="atLeast"/>
        <w:ind w:firstLine="720"/>
        <w:rPr>
          <w:rFonts w:cs="Arial"/>
        </w:rPr>
      </w:pPr>
      <w:r w:rsidRPr="0081326A">
        <w:rPr>
          <w:rFonts w:cs="Arial"/>
        </w:rPr>
        <w:t>email: complaints@integrity.act.gov.au</w:t>
      </w:r>
    </w:p>
    <w:p w14:paraId="3E0231E3" w14:textId="31A31061" w:rsidR="00F261B0" w:rsidRPr="0081326A" w:rsidRDefault="00F261B0" w:rsidP="00F261B0">
      <w:pPr>
        <w:spacing w:line="0" w:lineRule="atLeast"/>
        <w:ind w:firstLine="720"/>
        <w:rPr>
          <w:rFonts w:cs="Arial"/>
        </w:rPr>
      </w:pPr>
      <w:r w:rsidRPr="0081326A">
        <w:rPr>
          <w:rFonts w:cs="Arial"/>
        </w:rPr>
        <w:t>post: GPO Box 1949 CANBERRA ACT 2601</w:t>
      </w:r>
    </w:p>
    <w:p w14:paraId="239AE944" w14:textId="77777777" w:rsidR="00DB2705" w:rsidRPr="0081326A" w:rsidRDefault="00DB2705" w:rsidP="00DB2705">
      <w:pPr>
        <w:rPr>
          <w:rFonts w:cs="Arial"/>
        </w:rPr>
      </w:pPr>
    </w:p>
    <w:p w14:paraId="08F39CBD" w14:textId="77777777" w:rsidR="00DB2705" w:rsidRPr="0081326A" w:rsidRDefault="00DB2705" w:rsidP="00DB2705">
      <w:pPr>
        <w:rPr>
          <w:rFonts w:cs="Arial"/>
        </w:rPr>
      </w:pPr>
      <w:r w:rsidRPr="0081326A">
        <w:rPr>
          <w:rFonts w:cs="Arial"/>
        </w:rPr>
        <w:t>Yours sincerely</w:t>
      </w:r>
    </w:p>
    <w:p w14:paraId="04D0B9A2" w14:textId="77777777" w:rsidR="00DB2705" w:rsidRPr="0081326A" w:rsidRDefault="00DB2705" w:rsidP="00DB2705">
      <w:pPr>
        <w:rPr>
          <w:rFonts w:cs="Arial"/>
        </w:rPr>
      </w:pPr>
    </w:p>
    <w:p w14:paraId="566E2D74" w14:textId="77777777" w:rsidR="00DB2705" w:rsidRPr="0081326A" w:rsidRDefault="00DB2705" w:rsidP="00DB2705">
      <w:pPr>
        <w:rPr>
          <w:rFonts w:cs="Arial"/>
        </w:rPr>
      </w:pPr>
    </w:p>
    <w:p w14:paraId="5BD29E6B" w14:textId="77777777" w:rsidR="00DB2705" w:rsidRPr="0081326A" w:rsidRDefault="00DB2705" w:rsidP="00DB2705">
      <w:pPr>
        <w:pStyle w:val="NoSpacing"/>
        <w:rPr>
          <w:rFonts w:ascii="Arial" w:hAnsi="Arial" w:cs="Arial"/>
          <w:highlight w:val="yellow"/>
        </w:rPr>
      </w:pPr>
      <w:r w:rsidRPr="0081326A">
        <w:rPr>
          <w:rFonts w:ascii="Arial" w:hAnsi="Arial" w:cs="Arial"/>
          <w:highlight w:val="yellow"/>
        </w:rPr>
        <w:t>Name</w:t>
      </w:r>
    </w:p>
    <w:p w14:paraId="3A146290" w14:textId="77777777" w:rsidR="00DB2705" w:rsidRPr="0081326A" w:rsidRDefault="00DB2705" w:rsidP="00DB2705">
      <w:pPr>
        <w:pStyle w:val="NoSpacing"/>
        <w:rPr>
          <w:rFonts w:ascii="Arial" w:hAnsi="Arial" w:cs="Arial"/>
          <w:highlight w:val="yellow"/>
        </w:rPr>
      </w:pPr>
      <w:r w:rsidRPr="0081326A">
        <w:rPr>
          <w:rFonts w:ascii="Arial" w:hAnsi="Arial" w:cs="Arial"/>
          <w:highlight w:val="yellow"/>
        </w:rPr>
        <w:t>Title</w:t>
      </w:r>
    </w:p>
    <w:p w14:paraId="3B15F32C" w14:textId="77777777" w:rsidR="00DB2705" w:rsidRPr="0081326A" w:rsidRDefault="00DB2705" w:rsidP="00DB2705">
      <w:pPr>
        <w:pStyle w:val="NoSpacing"/>
        <w:rPr>
          <w:rFonts w:ascii="Arial" w:hAnsi="Arial" w:cs="Arial"/>
          <w:highlight w:val="yellow"/>
        </w:rPr>
      </w:pPr>
      <w:r w:rsidRPr="0081326A">
        <w:rPr>
          <w:rFonts w:ascii="Arial" w:hAnsi="Arial" w:cs="Arial"/>
          <w:highlight w:val="yellow"/>
        </w:rPr>
        <w:t>Entity</w:t>
      </w:r>
    </w:p>
    <w:p w14:paraId="22496EDF" w14:textId="793CACA9" w:rsidR="006621A4" w:rsidRPr="00F261B0" w:rsidRDefault="006621A4" w:rsidP="00DB2705">
      <w:pPr>
        <w:jc w:val="left"/>
        <w:rPr>
          <w:i/>
          <w:iCs/>
        </w:rPr>
      </w:pPr>
      <w:r w:rsidRPr="00F261B0">
        <w:rPr>
          <w:i/>
          <w:iCs/>
        </w:rPr>
        <w:br w:type="page"/>
      </w:r>
    </w:p>
    <w:p w14:paraId="23B89589" w14:textId="56646EB3" w:rsidR="006621A4" w:rsidRPr="0081326A" w:rsidRDefault="009E6C95" w:rsidP="007247D1">
      <w:pPr>
        <w:pStyle w:val="Heading1"/>
      </w:pPr>
      <w:bookmarkStart w:id="325" w:name="_Ref62648002"/>
      <w:bookmarkStart w:id="326" w:name="_Toc67904061"/>
      <w:bookmarkStart w:id="327" w:name="_Toc75255237"/>
      <w:r w:rsidRPr="0081326A">
        <w:lastRenderedPageBreak/>
        <w:t>Appendix E</w:t>
      </w:r>
      <w:r w:rsidR="00C4791A" w:rsidRPr="0081326A">
        <w:t>: Indicators of a higher risk of reprisal or workplace conflict</w:t>
      </w:r>
      <w:bookmarkEnd w:id="325"/>
      <w:bookmarkEnd w:id="326"/>
      <w:bookmarkEnd w:id="327"/>
    </w:p>
    <w:p w14:paraId="10611258" w14:textId="131CFDD2" w:rsidR="00C4791A" w:rsidRPr="0081326A" w:rsidRDefault="00C4791A" w:rsidP="00C4791A">
      <w:pPr>
        <w:rPr>
          <w:rFonts w:cs="Arial"/>
        </w:rPr>
      </w:pPr>
      <w:r w:rsidRPr="0081326A">
        <w:rPr>
          <w:rFonts w:cs="Arial"/>
        </w:rPr>
        <w:t>The following table has been adapted from the Commonwealth Ombudsman’s Agency Guide:</w:t>
      </w:r>
      <w:r w:rsidR="009542CB" w:rsidRPr="0081326A">
        <w:rPr>
          <w:rStyle w:val="FootnoteReference"/>
          <w:rFonts w:cs="Arial"/>
        </w:rPr>
        <w:footnoteReference w:id="17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53"/>
      </w:tblGrid>
      <w:tr w:rsidR="00C4791A" w:rsidRPr="0081326A" w14:paraId="3C4C03C2" w14:textId="77777777" w:rsidTr="00DF2255">
        <w:tc>
          <w:tcPr>
            <w:tcW w:w="2263" w:type="dxa"/>
          </w:tcPr>
          <w:p w14:paraId="52585E69" w14:textId="4CDA3D8A" w:rsidR="00C4791A" w:rsidRPr="0081326A" w:rsidRDefault="00C4791A" w:rsidP="009542CB">
            <w:pPr>
              <w:jc w:val="left"/>
              <w:rPr>
                <w:rFonts w:cs="Arial"/>
              </w:rPr>
            </w:pPr>
            <w:r w:rsidRPr="0081326A">
              <w:rPr>
                <w:rFonts w:cs="Arial"/>
              </w:rPr>
              <w:t>Threats or past experience</w:t>
            </w:r>
          </w:p>
        </w:tc>
        <w:tc>
          <w:tcPr>
            <w:tcW w:w="6753" w:type="dxa"/>
          </w:tcPr>
          <w:p w14:paraId="494D1AA3" w14:textId="77777777" w:rsidR="00C4791A" w:rsidRPr="0081326A" w:rsidRDefault="00C4791A" w:rsidP="00061417">
            <w:pPr>
              <w:pStyle w:val="ListParagraph"/>
              <w:numPr>
                <w:ilvl w:val="0"/>
                <w:numId w:val="7"/>
              </w:numPr>
              <w:rPr>
                <w:rFonts w:cs="Arial"/>
              </w:rPr>
            </w:pPr>
            <w:r w:rsidRPr="0081326A">
              <w:rPr>
                <w:rFonts w:cs="Arial"/>
              </w:rPr>
              <w:t xml:space="preserve">Has a specific threat against the discloser been made? </w:t>
            </w:r>
          </w:p>
          <w:p w14:paraId="01142C79" w14:textId="77777777" w:rsidR="00C4791A" w:rsidRPr="0081326A" w:rsidRDefault="00C4791A" w:rsidP="00061417">
            <w:pPr>
              <w:pStyle w:val="ListParagraph"/>
              <w:numPr>
                <w:ilvl w:val="0"/>
                <w:numId w:val="7"/>
              </w:numPr>
              <w:rPr>
                <w:rFonts w:cs="Arial"/>
              </w:rPr>
            </w:pPr>
            <w:r w:rsidRPr="0081326A">
              <w:rPr>
                <w:rFonts w:cs="Arial"/>
              </w:rPr>
              <w:t xml:space="preserve">Is there a history of conflict between the discloser and the subjects of the disclosure, management, supervisors or colleagues? </w:t>
            </w:r>
          </w:p>
          <w:p w14:paraId="778D7D8E" w14:textId="77777777" w:rsidR="00C4791A" w:rsidRPr="0081326A" w:rsidRDefault="00C4791A" w:rsidP="00061417">
            <w:pPr>
              <w:pStyle w:val="ListParagraph"/>
              <w:numPr>
                <w:ilvl w:val="0"/>
                <w:numId w:val="7"/>
              </w:numPr>
              <w:rPr>
                <w:rFonts w:cs="Arial"/>
              </w:rPr>
            </w:pPr>
            <w:r w:rsidRPr="0081326A">
              <w:rPr>
                <w:rFonts w:cs="Arial"/>
              </w:rPr>
              <w:t>Is there a history of reprisals or other conflict in the workplace?</w:t>
            </w:r>
          </w:p>
          <w:p w14:paraId="232ACECB" w14:textId="56AE4B59" w:rsidR="00C4791A" w:rsidRPr="0081326A" w:rsidRDefault="00C4791A" w:rsidP="00061417">
            <w:pPr>
              <w:pStyle w:val="ListParagraph"/>
              <w:numPr>
                <w:ilvl w:val="0"/>
                <w:numId w:val="7"/>
              </w:numPr>
              <w:rPr>
                <w:rFonts w:cs="Arial"/>
              </w:rPr>
            </w:pPr>
            <w:r w:rsidRPr="0081326A">
              <w:rPr>
                <w:rFonts w:cs="Arial"/>
              </w:rPr>
              <w:t>Is it likely that the disclosure will exacerbate this?</w:t>
            </w:r>
          </w:p>
        </w:tc>
      </w:tr>
      <w:tr w:rsidR="00C4791A" w:rsidRPr="0081326A" w14:paraId="250D550D" w14:textId="77777777" w:rsidTr="00DF2255">
        <w:tc>
          <w:tcPr>
            <w:tcW w:w="2263" w:type="dxa"/>
          </w:tcPr>
          <w:p w14:paraId="4B39044A" w14:textId="44615ADF" w:rsidR="00C4791A" w:rsidRPr="0081326A" w:rsidRDefault="00C4791A" w:rsidP="009542CB">
            <w:pPr>
              <w:jc w:val="left"/>
              <w:rPr>
                <w:rFonts w:cs="Arial"/>
              </w:rPr>
            </w:pPr>
            <w:r w:rsidRPr="0081326A">
              <w:rPr>
                <w:rFonts w:cs="Arial"/>
              </w:rPr>
              <w:t>Confidentiality unlikely to be maintained</w:t>
            </w:r>
          </w:p>
        </w:tc>
        <w:tc>
          <w:tcPr>
            <w:tcW w:w="6753" w:type="dxa"/>
          </w:tcPr>
          <w:p w14:paraId="7822FF2E" w14:textId="77777777" w:rsidR="00C4791A" w:rsidRPr="0081326A" w:rsidRDefault="00C4791A" w:rsidP="00061417">
            <w:pPr>
              <w:pStyle w:val="ListParagraph"/>
              <w:numPr>
                <w:ilvl w:val="0"/>
                <w:numId w:val="10"/>
              </w:numPr>
              <w:rPr>
                <w:rFonts w:cs="Arial"/>
              </w:rPr>
            </w:pPr>
            <w:r w:rsidRPr="0081326A">
              <w:rPr>
                <w:rFonts w:cs="Arial"/>
              </w:rPr>
              <w:t>Who knows that the disclosure has been made or was going to be made?</w:t>
            </w:r>
          </w:p>
          <w:p w14:paraId="251BEEC1" w14:textId="77777777" w:rsidR="00C4791A" w:rsidRPr="0081326A" w:rsidRDefault="00C4791A" w:rsidP="00061417">
            <w:pPr>
              <w:pStyle w:val="ListParagraph"/>
              <w:numPr>
                <w:ilvl w:val="0"/>
                <w:numId w:val="10"/>
              </w:numPr>
              <w:rPr>
                <w:rFonts w:cs="Arial"/>
              </w:rPr>
            </w:pPr>
            <w:r w:rsidRPr="0081326A">
              <w:rPr>
                <w:rFonts w:cs="Arial"/>
              </w:rPr>
              <w:t xml:space="preserve">Has the discloser already raised the substance of the disclosure or revealed their identity in the workplace? </w:t>
            </w:r>
          </w:p>
          <w:p w14:paraId="4D685C44" w14:textId="77777777" w:rsidR="00C4791A" w:rsidRPr="0081326A" w:rsidRDefault="00C4791A" w:rsidP="00061417">
            <w:pPr>
              <w:pStyle w:val="ListParagraph"/>
              <w:numPr>
                <w:ilvl w:val="0"/>
                <w:numId w:val="10"/>
              </w:numPr>
              <w:rPr>
                <w:rFonts w:cs="Arial"/>
              </w:rPr>
            </w:pPr>
            <w:r w:rsidRPr="0081326A">
              <w:rPr>
                <w:rFonts w:cs="Arial"/>
              </w:rPr>
              <w:t>Who in the workplace knows the discloser’s identity?</w:t>
            </w:r>
          </w:p>
          <w:p w14:paraId="4A378CC8" w14:textId="5020AB0C" w:rsidR="00C4791A" w:rsidRPr="0081326A" w:rsidRDefault="00C4791A" w:rsidP="00061417">
            <w:pPr>
              <w:pStyle w:val="ListParagraph"/>
              <w:numPr>
                <w:ilvl w:val="0"/>
                <w:numId w:val="10"/>
              </w:numPr>
              <w:rPr>
                <w:rFonts w:cs="Arial"/>
              </w:rPr>
            </w:pPr>
            <w:r w:rsidRPr="0081326A">
              <w:rPr>
                <w:rFonts w:cs="Arial"/>
              </w:rPr>
              <w:t>Is the discloser’s immediate work unit small?</w:t>
            </w:r>
          </w:p>
          <w:p w14:paraId="62B4BEE1" w14:textId="77777777" w:rsidR="00C4791A" w:rsidRPr="0081326A" w:rsidRDefault="00C4791A" w:rsidP="00061417">
            <w:pPr>
              <w:pStyle w:val="ListParagraph"/>
              <w:numPr>
                <w:ilvl w:val="0"/>
                <w:numId w:val="10"/>
              </w:numPr>
              <w:rPr>
                <w:rFonts w:cs="Arial"/>
              </w:rPr>
            </w:pPr>
            <w:r w:rsidRPr="0081326A">
              <w:rPr>
                <w:rFonts w:cs="Arial"/>
              </w:rPr>
              <w:t>Are there circumstances, such as the discloser’s stress level, that will make it difficult for them to not discuss the matter with people in their workplace?</w:t>
            </w:r>
          </w:p>
          <w:p w14:paraId="18DB6BA6" w14:textId="77777777" w:rsidR="00C4791A" w:rsidRPr="0081326A" w:rsidRDefault="00C4791A" w:rsidP="00061417">
            <w:pPr>
              <w:pStyle w:val="ListParagraph"/>
              <w:numPr>
                <w:ilvl w:val="0"/>
                <w:numId w:val="10"/>
              </w:numPr>
              <w:rPr>
                <w:rFonts w:cs="Arial"/>
              </w:rPr>
            </w:pPr>
            <w:r w:rsidRPr="0081326A">
              <w:rPr>
                <w:rFonts w:cs="Arial"/>
              </w:rPr>
              <w:t>Will the discloser become identified or suspected when the existence or substance of the disclosure is made known or investigated?</w:t>
            </w:r>
          </w:p>
          <w:p w14:paraId="65666A6A" w14:textId="34DCD776" w:rsidR="00C4791A" w:rsidRPr="0081326A" w:rsidRDefault="00C4791A" w:rsidP="00061417">
            <w:pPr>
              <w:pStyle w:val="ListParagraph"/>
              <w:numPr>
                <w:ilvl w:val="0"/>
                <w:numId w:val="10"/>
              </w:numPr>
              <w:rPr>
                <w:rFonts w:cs="Arial"/>
              </w:rPr>
            </w:pPr>
            <w:r w:rsidRPr="0081326A">
              <w:rPr>
                <w:rFonts w:cs="Arial"/>
              </w:rPr>
              <w:t>Can the disclosure be investigated while maintaining confidentiality?</w:t>
            </w:r>
          </w:p>
        </w:tc>
      </w:tr>
      <w:tr w:rsidR="00C4791A" w:rsidRPr="0081326A" w14:paraId="5ED2E8C6" w14:textId="77777777" w:rsidTr="00DF2255">
        <w:tc>
          <w:tcPr>
            <w:tcW w:w="2263" w:type="dxa"/>
          </w:tcPr>
          <w:p w14:paraId="0B84A6D2" w14:textId="672FD71B" w:rsidR="00C4791A" w:rsidRPr="0081326A" w:rsidRDefault="00C4791A" w:rsidP="009542CB">
            <w:pPr>
              <w:jc w:val="left"/>
              <w:rPr>
                <w:rFonts w:cs="Arial"/>
              </w:rPr>
            </w:pPr>
            <w:r w:rsidRPr="0081326A">
              <w:rPr>
                <w:rFonts w:cs="Arial"/>
              </w:rPr>
              <w:t>Significant reported wrongdoing</w:t>
            </w:r>
          </w:p>
        </w:tc>
        <w:tc>
          <w:tcPr>
            <w:tcW w:w="6753" w:type="dxa"/>
          </w:tcPr>
          <w:p w14:paraId="0482756B" w14:textId="77777777" w:rsidR="00C4791A" w:rsidRPr="0081326A" w:rsidRDefault="00C4791A" w:rsidP="00061417">
            <w:pPr>
              <w:pStyle w:val="ListParagraph"/>
              <w:numPr>
                <w:ilvl w:val="0"/>
                <w:numId w:val="11"/>
              </w:numPr>
              <w:rPr>
                <w:rFonts w:cs="Arial"/>
              </w:rPr>
            </w:pPr>
            <w:r w:rsidRPr="0081326A">
              <w:rPr>
                <w:rFonts w:cs="Arial"/>
              </w:rPr>
              <w:t>Are there allegations about individuals in the disclosure?</w:t>
            </w:r>
          </w:p>
          <w:p w14:paraId="15CB1EA3" w14:textId="1ED7DE59" w:rsidR="00C4791A" w:rsidRPr="0081326A" w:rsidRDefault="00C4791A" w:rsidP="00061417">
            <w:pPr>
              <w:pStyle w:val="ListParagraph"/>
              <w:numPr>
                <w:ilvl w:val="0"/>
                <w:numId w:val="11"/>
              </w:numPr>
              <w:rPr>
                <w:rFonts w:cs="Arial"/>
              </w:rPr>
            </w:pPr>
            <w:r w:rsidRPr="0081326A">
              <w:rPr>
                <w:rFonts w:cs="Arial"/>
              </w:rPr>
              <w:t>Who are their close professional and social associates within the workplace?</w:t>
            </w:r>
          </w:p>
          <w:p w14:paraId="66A90B49" w14:textId="77777777" w:rsidR="00C4791A" w:rsidRPr="0081326A" w:rsidRDefault="00C4791A" w:rsidP="00061417">
            <w:pPr>
              <w:pStyle w:val="ListParagraph"/>
              <w:numPr>
                <w:ilvl w:val="0"/>
                <w:numId w:val="11"/>
              </w:numPr>
              <w:rPr>
                <w:rFonts w:cs="Arial"/>
              </w:rPr>
            </w:pPr>
            <w:r w:rsidRPr="0081326A">
              <w:rPr>
                <w:rFonts w:cs="Arial"/>
              </w:rPr>
              <w:t>Is there more than one wrongdoer involved in the matter?</w:t>
            </w:r>
          </w:p>
          <w:p w14:paraId="40199DB1" w14:textId="77777777" w:rsidR="00C4791A" w:rsidRPr="0081326A" w:rsidRDefault="00C4791A" w:rsidP="00061417">
            <w:pPr>
              <w:pStyle w:val="ListParagraph"/>
              <w:numPr>
                <w:ilvl w:val="0"/>
                <w:numId w:val="11"/>
              </w:numPr>
              <w:rPr>
                <w:rFonts w:cs="Arial"/>
              </w:rPr>
            </w:pPr>
            <w:r w:rsidRPr="0081326A">
              <w:rPr>
                <w:rFonts w:cs="Arial"/>
              </w:rPr>
              <w:t>Is the reported wrongdoing serious?</w:t>
            </w:r>
          </w:p>
          <w:p w14:paraId="09C2B87D" w14:textId="77777777" w:rsidR="00C4791A" w:rsidRPr="0081326A" w:rsidRDefault="00C4791A" w:rsidP="00061417">
            <w:pPr>
              <w:pStyle w:val="ListParagraph"/>
              <w:numPr>
                <w:ilvl w:val="0"/>
                <w:numId w:val="11"/>
              </w:numPr>
              <w:rPr>
                <w:rFonts w:cs="Arial"/>
              </w:rPr>
            </w:pPr>
            <w:r w:rsidRPr="0081326A">
              <w:rPr>
                <w:rFonts w:cs="Arial"/>
              </w:rPr>
              <w:t>Is or was the reported wrongdoing occurring frequently?</w:t>
            </w:r>
          </w:p>
          <w:p w14:paraId="66599775" w14:textId="77777777" w:rsidR="00C4791A" w:rsidRPr="0081326A" w:rsidRDefault="00C4791A" w:rsidP="00061417">
            <w:pPr>
              <w:pStyle w:val="ListParagraph"/>
              <w:numPr>
                <w:ilvl w:val="0"/>
                <w:numId w:val="11"/>
              </w:numPr>
              <w:rPr>
                <w:rFonts w:cs="Arial"/>
              </w:rPr>
            </w:pPr>
            <w:r w:rsidRPr="0081326A">
              <w:rPr>
                <w:rFonts w:cs="Arial"/>
              </w:rPr>
              <w:t>Is the disclosure particularly sensitive or embarrassing for any subjects of the disclosure, senior management, the agency or government?</w:t>
            </w:r>
          </w:p>
          <w:p w14:paraId="7C727C40" w14:textId="77777777" w:rsidR="00C4791A" w:rsidRPr="0081326A" w:rsidRDefault="00C4791A" w:rsidP="00061417">
            <w:pPr>
              <w:pStyle w:val="ListParagraph"/>
              <w:numPr>
                <w:ilvl w:val="0"/>
                <w:numId w:val="11"/>
              </w:numPr>
              <w:rPr>
                <w:rFonts w:cs="Arial"/>
              </w:rPr>
            </w:pPr>
            <w:r w:rsidRPr="0081326A">
              <w:rPr>
                <w:rFonts w:cs="Arial"/>
              </w:rPr>
              <w:t>Do these people have the motivation to take reprisals – for example, because they have a lot to lose?</w:t>
            </w:r>
          </w:p>
          <w:p w14:paraId="7B008A9F" w14:textId="48DDB4EB" w:rsidR="00C4791A" w:rsidRPr="0081326A" w:rsidRDefault="00C4791A" w:rsidP="00061417">
            <w:pPr>
              <w:pStyle w:val="ListParagraph"/>
              <w:numPr>
                <w:ilvl w:val="0"/>
                <w:numId w:val="11"/>
              </w:numPr>
              <w:rPr>
                <w:rFonts w:cs="Arial"/>
              </w:rPr>
            </w:pPr>
            <w:r w:rsidRPr="0081326A">
              <w:rPr>
                <w:rFonts w:cs="Arial"/>
              </w:rPr>
              <w:t>Do these people have the opportunity to take reprisals – for example, because they have power over the discloser?</w:t>
            </w:r>
          </w:p>
        </w:tc>
      </w:tr>
      <w:tr w:rsidR="00C4791A" w:rsidRPr="0081326A" w14:paraId="78D947A0" w14:textId="77777777" w:rsidTr="00DF2255">
        <w:tc>
          <w:tcPr>
            <w:tcW w:w="2263" w:type="dxa"/>
          </w:tcPr>
          <w:p w14:paraId="5C38ED3D" w14:textId="29F43602" w:rsidR="00C4791A" w:rsidRPr="0081326A" w:rsidRDefault="00C4791A" w:rsidP="009542CB">
            <w:pPr>
              <w:jc w:val="left"/>
              <w:rPr>
                <w:rFonts w:cs="Arial"/>
              </w:rPr>
            </w:pPr>
            <w:r w:rsidRPr="0081326A">
              <w:rPr>
                <w:rFonts w:cs="Arial"/>
              </w:rPr>
              <w:t>Vulnerable discloser</w:t>
            </w:r>
          </w:p>
        </w:tc>
        <w:tc>
          <w:tcPr>
            <w:tcW w:w="6753" w:type="dxa"/>
          </w:tcPr>
          <w:p w14:paraId="24D6B623" w14:textId="77777777" w:rsidR="00C4791A" w:rsidRPr="0081326A" w:rsidRDefault="00C4791A" w:rsidP="00061417">
            <w:pPr>
              <w:pStyle w:val="ListParagraph"/>
              <w:numPr>
                <w:ilvl w:val="0"/>
                <w:numId w:val="12"/>
              </w:numPr>
              <w:rPr>
                <w:rFonts w:cs="Arial"/>
              </w:rPr>
            </w:pPr>
            <w:r w:rsidRPr="0081326A">
              <w:rPr>
                <w:rFonts w:cs="Arial"/>
              </w:rPr>
              <w:t>Is or was the reported wrongdoing directed at the discloser?</w:t>
            </w:r>
          </w:p>
          <w:p w14:paraId="1D10ACF2" w14:textId="77777777" w:rsidR="00C4791A" w:rsidRPr="0081326A" w:rsidRDefault="00C4791A" w:rsidP="00061417">
            <w:pPr>
              <w:pStyle w:val="ListParagraph"/>
              <w:numPr>
                <w:ilvl w:val="0"/>
                <w:numId w:val="12"/>
              </w:numPr>
              <w:rPr>
                <w:rFonts w:cs="Arial"/>
              </w:rPr>
            </w:pPr>
            <w:r w:rsidRPr="0081326A">
              <w:rPr>
                <w:rFonts w:cs="Arial"/>
              </w:rPr>
              <w:t xml:space="preserve">Are there multiple subjects of the disclosure? </w:t>
            </w:r>
          </w:p>
          <w:p w14:paraId="7FE07A52" w14:textId="77777777" w:rsidR="00C4791A" w:rsidRPr="0081326A" w:rsidRDefault="00C4791A" w:rsidP="00061417">
            <w:pPr>
              <w:pStyle w:val="ListParagraph"/>
              <w:numPr>
                <w:ilvl w:val="0"/>
                <w:numId w:val="12"/>
              </w:numPr>
              <w:rPr>
                <w:rFonts w:cs="Arial"/>
              </w:rPr>
            </w:pPr>
            <w:r w:rsidRPr="0081326A">
              <w:rPr>
                <w:rFonts w:cs="Arial"/>
              </w:rPr>
              <w:t>Is the disclosure about a more senior officer?</w:t>
            </w:r>
          </w:p>
          <w:p w14:paraId="5DE71BFE" w14:textId="77777777" w:rsidR="00C4791A" w:rsidRPr="0081326A" w:rsidRDefault="00C4791A" w:rsidP="00061417">
            <w:pPr>
              <w:pStyle w:val="ListParagraph"/>
              <w:numPr>
                <w:ilvl w:val="0"/>
                <w:numId w:val="12"/>
              </w:numPr>
              <w:rPr>
                <w:rFonts w:cs="Arial"/>
              </w:rPr>
            </w:pPr>
            <w:r w:rsidRPr="0081326A">
              <w:rPr>
                <w:rFonts w:cs="Arial"/>
              </w:rPr>
              <w:t>Is the discloser employed part-time or on a casual basis?</w:t>
            </w:r>
          </w:p>
          <w:p w14:paraId="0A88F2FB" w14:textId="77777777" w:rsidR="00C4791A" w:rsidRPr="0081326A" w:rsidRDefault="00C4791A" w:rsidP="00061417">
            <w:pPr>
              <w:pStyle w:val="ListParagraph"/>
              <w:numPr>
                <w:ilvl w:val="0"/>
                <w:numId w:val="12"/>
              </w:numPr>
              <w:rPr>
                <w:rFonts w:cs="Arial"/>
              </w:rPr>
            </w:pPr>
            <w:r w:rsidRPr="0081326A">
              <w:rPr>
                <w:rFonts w:cs="Arial"/>
              </w:rPr>
              <w:t>Is the discloser isolated – for example, geographically or because of shift work?</w:t>
            </w:r>
          </w:p>
          <w:p w14:paraId="06109CD3" w14:textId="77777777" w:rsidR="00C4791A" w:rsidRPr="0081326A" w:rsidRDefault="00C4791A" w:rsidP="00061417">
            <w:pPr>
              <w:pStyle w:val="ListParagraph"/>
              <w:numPr>
                <w:ilvl w:val="0"/>
                <w:numId w:val="12"/>
              </w:numPr>
              <w:rPr>
                <w:rFonts w:cs="Arial"/>
              </w:rPr>
            </w:pPr>
            <w:r w:rsidRPr="0081326A">
              <w:rPr>
                <w:rFonts w:cs="Arial"/>
              </w:rPr>
              <w:t>Are the allegations unlikely to be substantiated – for example, because there is a lack of evidence?</w:t>
            </w:r>
          </w:p>
          <w:p w14:paraId="0EF219ED" w14:textId="465D0B9D" w:rsidR="00C4791A" w:rsidRPr="0081326A" w:rsidRDefault="00C4791A" w:rsidP="00061417">
            <w:pPr>
              <w:pStyle w:val="ListParagraph"/>
              <w:numPr>
                <w:ilvl w:val="0"/>
                <w:numId w:val="12"/>
              </w:numPr>
              <w:rPr>
                <w:rFonts w:cs="Arial"/>
              </w:rPr>
            </w:pPr>
            <w:r w:rsidRPr="0081326A">
              <w:rPr>
                <w:rFonts w:cs="Arial"/>
              </w:rPr>
              <w:t>Is the disclosure being investigated outside your organisation?</w:t>
            </w:r>
          </w:p>
        </w:tc>
      </w:tr>
    </w:tbl>
    <w:p w14:paraId="3E2E471C" w14:textId="77777777" w:rsidR="009F1984" w:rsidRPr="0081326A" w:rsidRDefault="009F1984" w:rsidP="00C4791A">
      <w:pPr>
        <w:rPr>
          <w:rFonts w:cs="Arial"/>
        </w:rPr>
        <w:sectPr w:rsidR="009F1984" w:rsidRPr="0081326A" w:rsidSect="00240DCD">
          <w:pgSz w:w="11906" w:h="16838"/>
          <w:pgMar w:top="1440" w:right="1440" w:bottom="1440" w:left="1440" w:header="708" w:footer="708" w:gutter="0"/>
          <w:cols w:space="708"/>
          <w:titlePg/>
          <w:docGrid w:linePitch="360"/>
        </w:sectPr>
      </w:pPr>
    </w:p>
    <w:p w14:paraId="04D8F7CF" w14:textId="6A5217BF" w:rsidR="00C946D0" w:rsidRPr="0081326A" w:rsidRDefault="009E6C95" w:rsidP="007247D1">
      <w:pPr>
        <w:pStyle w:val="Heading1"/>
      </w:pPr>
      <w:bookmarkStart w:id="328" w:name="_Ref63151977"/>
      <w:bookmarkStart w:id="329" w:name="_Toc67904062"/>
      <w:bookmarkStart w:id="330" w:name="_Toc75255238"/>
      <w:r w:rsidRPr="0081326A">
        <w:lastRenderedPageBreak/>
        <w:t>Appendix F</w:t>
      </w:r>
      <w:r w:rsidR="00C946D0" w:rsidRPr="0081326A">
        <w:t>: Final investigation report summary sheet</w:t>
      </w:r>
      <w:bookmarkEnd w:id="328"/>
      <w:bookmarkEnd w:id="329"/>
      <w:bookmarkEnd w:id="330"/>
    </w:p>
    <w:p w14:paraId="7FA054C0" w14:textId="77777777" w:rsidR="00C946D0" w:rsidRPr="0081326A" w:rsidRDefault="00C946D0" w:rsidP="00C946D0">
      <w:pPr>
        <w:rPr>
          <w:rFonts w:cs="Arial"/>
          <w:b/>
          <w:bCs/>
          <w:highlight w:val="yellow"/>
        </w:rPr>
      </w:pPr>
      <w:r w:rsidRPr="0081326A">
        <w:rPr>
          <w:rFonts w:cs="Arial"/>
          <w:b/>
          <w:bCs/>
          <w:highlight w:val="yellow"/>
        </w:rPr>
        <w:t>Public Interest Disclosure – Final Report summary sheet</w:t>
      </w:r>
    </w:p>
    <w:p w14:paraId="44E0527F" w14:textId="0067A997" w:rsidR="00C946D0" w:rsidRPr="0081326A" w:rsidRDefault="00C946D0" w:rsidP="00C946D0">
      <w:pPr>
        <w:rPr>
          <w:rFonts w:cs="Arial"/>
          <w:i/>
          <w:iCs/>
          <w:highlight w:val="yellow"/>
        </w:rPr>
      </w:pPr>
      <w:r w:rsidRPr="0081326A">
        <w:rPr>
          <w:rFonts w:cs="Arial"/>
          <w:i/>
          <w:iCs/>
          <w:highlight w:val="yellow"/>
        </w:rPr>
        <w:t xml:space="preserve">To be provided to the </w:t>
      </w:r>
      <w:r w:rsidR="00E3331A" w:rsidRPr="0081326A">
        <w:rPr>
          <w:rFonts w:cs="Arial"/>
          <w:i/>
          <w:iCs/>
          <w:highlight w:val="yellow"/>
        </w:rPr>
        <w:t>Commission</w:t>
      </w:r>
      <w:r w:rsidRPr="0081326A">
        <w:rPr>
          <w:rFonts w:cs="Arial"/>
          <w:i/>
          <w:iCs/>
          <w:highlight w:val="yellow"/>
        </w:rPr>
        <w:t xml:space="preserve"> at the conclusion of an investigation into a public interest disclosure (PID). Completing this form will satisfy the investigating entit</w:t>
      </w:r>
      <w:r w:rsidR="009542CB" w:rsidRPr="0081326A">
        <w:rPr>
          <w:rFonts w:cs="Arial"/>
          <w:i/>
          <w:iCs/>
          <w:highlight w:val="yellow"/>
        </w:rPr>
        <w:t>y’</w:t>
      </w:r>
      <w:r w:rsidRPr="0081326A">
        <w:rPr>
          <w:rFonts w:cs="Arial"/>
          <w:i/>
          <w:iCs/>
          <w:highlight w:val="yellow"/>
        </w:rPr>
        <w:t>s section 25(</w:t>
      </w:r>
      <w:r w:rsidR="00E3331A" w:rsidRPr="0081326A">
        <w:rPr>
          <w:rFonts w:cs="Arial"/>
          <w:i/>
          <w:iCs/>
          <w:highlight w:val="yellow"/>
        </w:rPr>
        <w:t>1</w:t>
      </w:r>
      <w:r w:rsidRPr="0081326A">
        <w:rPr>
          <w:rFonts w:cs="Arial"/>
          <w:i/>
          <w:iCs/>
          <w:highlight w:val="yellow"/>
        </w:rPr>
        <w:t xml:space="preserve">) </w:t>
      </w:r>
      <w:r w:rsidRPr="0081326A">
        <w:rPr>
          <w:rFonts w:cs="Arial"/>
          <w:highlight w:val="yellow"/>
        </w:rPr>
        <w:t>Public Interest Disclosure Act 2012</w:t>
      </w:r>
      <w:r w:rsidRPr="0081326A">
        <w:rPr>
          <w:rFonts w:cs="Arial"/>
          <w:i/>
          <w:iCs/>
          <w:highlight w:val="yellow"/>
        </w:rPr>
        <w:t xml:space="preserve"> </w:t>
      </w:r>
      <w:r w:rsidR="00E3331A" w:rsidRPr="0081326A">
        <w:rPr>
          <w:rFonts w:cs="Arial"/>
          <w:i/>
          <w:iCs/>
          <w:highlight w:val="yellow"/>
        </w:rPr>
        <w:t xml:space="preserve">(ACT) </w:t>
      </w:r>
      <w:r w:rsidRPr="0081326A">
        <w:rPr>
          <w:rFonts w:cs="Arial"/>
          <w:i/>
          <w:iCs/>
          <w:highlight w:val="yellow"/>
        </w:rPr>
        <w:t xml:space="preserve">obligations to keep the </w:t>
      </w:r>
      <w:r w:rsidR="00D64033" w:rsidRPr="0081326A">
        <w:rPr>
          <w:rFonts w:cs="Arial"/>
          <w:i/>
          <w:iCs/>
          <w:highlight w:val="yellow"/>
        </w:rPr>
        <w:t>Commission</w:t>
      </w:r>
      <w:r w:rsidRPr="0081326A">
        <w:rPr>
          <w:rFonts w:cs="Arial"/>
          <w:i/>
          <w:iCs/>
          <w:highlight w:val="yellow"/>
        </w:rPr>
        <w:t xml:space="preserve"> informed of any </w:t>
      </w:r>
      <w:r w:rsidR="00D64033" w:rsidRPr="0081326A">
        <w:rPr>
          <w:rFonts w:cs="Arial"/>
          <w:i/>
          <w:iCs/>
          <w:highlight w:val="yellow"/>
        </w:rPr>
        <w:t>PID</w:t>
      </w:r>
      <w:r w:rsidRPr="0081326A">
        <w:rPr>
          <w:rFonts w:cs="Arial"/>
          <w:i/>
          <w:iCs/>
          <w:highlight w:val="yellow"/>
        </w:rPr>
        <w:t xml:space="preserve"> investigations. Completing the relevant fields will also ensure the Integrity Commissioner can report on PIDs in its annual report.</w:t>
      </w:r>
    </w:p>
    <w:p w14:paraId="6CC998A4" w14:textId="77777777" w:rsidR="00C946D0" w:rsidRPr="0081326A" w:rsidRDefault="00C946D0" w:rsidP="00C946D0">
      <w:pPr>
        <w:rPr>
          <w:rFonts w:cs="Arial"/>
          <w:b/>
          <w:bCs/>
          <w:i/>
          <w:iCs/>
          <w:highlight w:val="yellow"/>
        </w:rPr>
      </w:pPr>
      <w:r w:rsidRPr="0081326A">
        <w:rPr>
          <w:rFonts w:cs="Arial"/>
          <w:b/>
          <w:bCs/>
          <w:i/>
          <w:iCs/>
          <w:highlight w:val="yellow"/>
        </w:rPr>
        <w:t>ALWAYS ATTACH THE INVESTIGATION REPORT (WHERE APPLICABLE) TO THIS SUMMARY</w:t>
      </w:r>
    </w:p>
    <w:p w14:paraId="0CF1C8DD" w14:textId="77777777" w:rsidR="00C946D0" w:rsidRPr="0081326A" w:rsidRDefault="00C946D0" w:rsidP="00C946D0">
      <w:pPr>
        <w:rPr>
          <w:rFonts w:cs="Arial"/>
          <w:b/>
          <w:bCs/>
          <w:i/>
          <w:iCs/>
          <w:highlight w:val="yellow"/>
        </w:rPr>
      </w:pPr>
      <w:r w:rsidRPr="0081326A">
        <w:rPr>
          <w:rFonts w:cs="Arial"/>
          <w:b/>
          <w:bCs/>
          <w:i/>
          <w:iCs/>
          <w:highlight w:val="yellow"/>
        </w:rPr>
        <w:t>IN COMPLETING THE FIELDS PLEASE ENSURE ATTENTION IS PAID TO THE DESCRIPTIVE ADVICE</w:t>
      </w:r>
    </w:p>
    <w:p w14:paraId="32B36E5F" w14:textId="62DE6076" w:rsidR="00C946D0" w:rsidRPr="0081326A" w:rsidRDefault="00C946D0" w:rsidP="00C946D0">
      <w:pPr>
        <w:rPr>
          <w:rFonts w:cs="Arial"/>
          <w:b/>
          <w:bCs/>
          <w:i/>
          <w:iCs/>
        </w:rPr>
      </w:pPr>
      <w:r w:rsidRPr="0081326A">
        <w:rPr>
          <w:rFonts w:cs="Arial"/>
          <w:b/>
          <w:bCs/>
          <w:i/>
          <w:iCs/>
          <w:highlight w:val="yellow"/>
        </w:rPr>
        <w:t xml:space="preserve">ALWAYS DELETE THE HIGHLIGHTED TEXT AND THE </w:t>
      </w:r>
      <w:r w:rsidR="009E6C95" w:rsidRPr="0081326A">
        <w:rPr>
          <w:rFonts w:cs="Arial"/>
          <w:b/>
          <w:bCs/>
          <w:i/>
          <w:iCs/>
          <w:highlight w:val="yellow"/>
        </w:rPr>
        <w:t>APPENDIX F</w:t>
      </w:r>
      <w:r w:rsidRPr="0081326A">
        <w:rPr>
          <w:rFonts w:cs="Arial"/>
          <w:b/>
          <w:bCs/>
          <w:i/>
          <w:iCs/>
          <w:highlight w:val="yellow"/>
        </w:rPr>
        <w:t xml:space="preserve"> HEADING PRIOR TO SUBMISSION</w:t>
      </w:r>
    </w:p>
    <w:p w14:paraId="289E132C" w14:textId="77777777" w:rsidR="00C946D0" w:rsidRPr="0081326A" w:rsidRDefault="00C946D0" w:rsidP="000C246D">
      <w:pPr>
        <w:rPr>
          <w:rFonts w:cs="Arial"/>
          <w:b/>
          <w:bCs/>
          <w:sz w:val="28"/>
          <w:szCs w:val="28"/>
        </w:rPr>
      </w:pPr>
      <w:r w:rsidRPr="0081326A">
        <w:rPr>
          <w:rFonts w:cs="Arial"/>
          <w:b/>
          <w:bCs/>
          <w:sz w:val="28"/>
          <w:szCs w:val="28"/>
        </w:rPr>
        <w:t>Public interest disclosure summary for provision to the Integrity Commission</w:t>
      </w:r>
    </w:p>
    <w:p w14:paraId="53523E99" w14:textId="77777777" w:rsidR="00C946D0" w:rsidRPr="0081326A" w:rsidRDefault="00C946D0" w:rsidP="000C246D">
      <w:pPr>
        <w:rPr>
          <w:rFonts w:cs="Arial"/>
          <w:b/>
          <w:bCs/>
          <w:sz w:val="28"/>
          <w:szCs w:val="28"/>
        </w:rPr>
      </w:pPr>
      <w:r w:rsidRPr="0081326A">
        <w:rPr>
          <w:rFonts w:cs="Arial"/>
          <w:b/>
          <w:bCs/>
          <w:sz w:val="28"/>
          <w:szCs w:val="28"/>
        </w:rPr>
        <w:t>Table 1: Investigating entity details</w:t>
      </w:r>
    </w:p>
    <w:tbl>
      <w:tblPr>
        <w:tblW w:w="0" w:type="auto"/>
        <w:tblLook w:val="04A0" w:firstRow="1" w:lastRow="0" w:firstColumn="1" w:lastColumn="0" w:noHBand="0" w:noVBand="1"/>
      </w:tblPr>
      <w:tblGrid>
        <w:gridCol w:w="1696"/>
        <w:gridCol w:w="7320"/>
      </w:tblGrid>
      <w:tr w:rsidR="00C946D0" w:rsidRPr="0081326A" w14:paraId="63C128C0" w14:textId="77777777" w:rsidTr="009542CB">
        <w:tc>
          <w:tcPr>
            <w:tcW w:w="1696" w:type="dxa"/>
          </w:tcPr>
          <w:p w14:paraId="15385597" w14:textId="066C6A52" w:rsidR="00C946D0" w:rsidRPr="0081326A" w:rsidRDefault="002B2B3B" w:rsidP="009542CB">
            <w:pPr>
              <w:jc w:val="left"/>
              <w:rPr>
                <w:rFonts w:cs="Arial"/>
              </w:rPr>
            </w:pPr>
            <w:r w:rsidRPr="0081326A">
              <w:rPr>
                <w:rFonts w:cs="Arial"/>
              </w:rPr>
              <w:t>Public sector</w:t>
            </w:r>
            <w:r w:rsidR="00C946D0" w:rsidRPr="0081326A">
              <w:rPr>
                <w:rFonts w:cs="Arial"/>
              </w:rPr>
              <w:t xml:space="preserve"> entity responsible for investigating the PID</w:t>
            </w:r>
          </w:p>
        </w:tc>
        <w:tc>
          <w:tcPr>
            <w:tcW w:w="7320" w:type="dxa"/>
          </w:tcPr>
          <w:p w14:paraId="2D384BD0" w14:textId="77777777" w:rsidR="00C946D0" w:rsidRPr="0081326A" w:rsidRDefault="00C946D0" w:rsidP="00DF374D">
            <w:pPr>
              <w:rPr>
                <w:rFonts w:cs="Arial"/>
              </w:rPr>
            </w:pPr>
          </w:p>
        </w:tc>
      </w:tr>
      <w:tr w:rsidR="00C946D0" w:rsidRPr="0081326A" w14:paraId="3A496ECB" w14:textId="77777777" w:rsidTr="009542CB">
        <w:tc>
          <w:tcPr>
            <w:tcW w:w="1696" w:type="dxa"/>
          </w:tcPr>
          <w:p w14:paraId="044544D1" w14:textId="77777777" w:rsidR="00C946D0" w:rsidRPr="0081326A" w:rsidRDefault="00C946D0" w:rsidP="009542CB">
            <w:pPr>
              <w:jc w:val="left"/>
              <w:rPr>
                <w:rFonts w:cs="Arial"/>
              </w:rPr>
            </w:pPr>
            <w:r w:rsidRPr="0081326A">
              <w:rPr>
                <w:rFonts w:cs="Arial"/>
              </w:rPr>
              <w:t>Investigating officer name</w:t>
            </w:r>
          </w:p>
        </w:tc>
        <w:tc>
          <w:tcPr>
            <w:tcW w:w="7320" w:type="dxa"/>
          </w:tcPr>
          <w:p w14:paraId="706DAB16" w14:textId="77777777" w:rsidR="00C946D0" w:rsidRPr="0081326A" w:rsidRDefault="00C946D0" w:rsidP="00DF374D">
            <w:pPr>
              <w:rPr>
                <w:rFonts w:cs="Arial"/>
              </w:rPr>
            </w:pPr>
          </w:p>
        </w:tc>
      </w:tr>
      <w:tr w:rsidR="00C946D0" w:rsidRPr="0081326A" w14:paraId="1426D734" w14:textId="77777777" w:rsidTr="009542CB">
        <w:tc>
          <w:tcPr>
            <w:tcW w:w="1696" w:type="dxa"/>
          </w:tcPr>
          <w:p w14:paraId="2E2C28B4" w14:textId="77777777" w:rsidR="00C946D0" w:rsidRPr="0081326A" w:rsidRDefault="00C946D0" w:rsidP="009542CB">
            <w:pPr>
              <w:jc w:val="left"/>
              <w:rPr>
                <w:rFonts w:cs="Arial"/>
              </w:rPr>
            </w:pPr>
            <w:r w:rsidRPr="0081326A">
              <w:rPr>
                <w:rFonts w:cs="Arial"/>
              </w:rPr>
              <w:t>Relevant decision maker</w:t>
            </w:r>
          </w:p>
        </w:tc>
        <w:tc>
          <w:tcPr>
            <w:tcW w:w="7320" w:type="dxa"/>
          </w:tcPr>
          <w:p w14:paraId="6F225BC0" w14:textId="01CADBB6" w:rsidR="00C946D0" w:rsidRPr="0081326A" w:rsidRDefault="00C946D0" w:rsidP="00DF374D">
            <w:pPr>
              <w:rPr>
                <w:rFonts w:cs="Arial"/>
                <w:i/>
                <w:iCs/>
              </w:rPr>
            </w:pPr>
            <w:r w:rsidRPr="0081326A">
              <w:rPr>
                <w:rFonts w:cs="Arial"/>
                <w:i/>
                <w:iCs/>
              </w:rPr>
              <w:t xml:space="preserve">This would be whomever is responsible for </w:t>
            </w:r>
            <w:r w:rsidR="00D64033" w:rsidRPr="0081326A">
              <w:rPr>
                <w:rFonts w:cs="Arial"/>
                <w:i/>
                <w:iCs/>
              </w:rPr>
              <w:t>considering</w:t>
            </w:r>
            <w:r w:rsidRPr="0081326A">
              <w:rPr>
                <w:rFonts w:cs="Arial"/>
                <w:i/>
                <w:iCs/>
              </w:rPr>
              <w:t xml:space="preserve"> the investigating officer’s report.</w:t>
            </w:r>
          </w:p>
        </w:tc>
      </w:tr>
    </w:tbl>
    <w:p w14:paraId="311AA282" w14:textId="77777777" w:rsidR="00C946D0" w:rsidRPr="0081326A" w:rsidRDefault="00C946D0" w:rsidP="000C246D">
      <w:pPr>
        <w:rPr>
          <w:rFonts w:cs="Arial"/>
          <w:b/>
          <w:bCs/>
          <w:sz w:val="28"/>
          <w:szCs w:val="28"/>
        </w:rPr>
      </w:pPr>
      <w:r w:rsidRPr="0081326A">
        <w:rPr>
          <w:rFonts w:cs="Arial"/>
          <w:b/>
          <w:bCs/>
          <w:sz w:val="28"/>
          <w:szCs w:val="28"/>
        </w:rPr>
        <w:t>Table 2: Key dates</w:t>
      </w:r>
    </w:p>
    <w:tbl>
      <w:tblPr>
        <w:tblW w:w="0" w:type="auto"/>
        <w:tblLook w:val="04A0" w:firstRow="1" w:lastRow="0" w:firstColumn="1" w:lastColumn="0" w:noHBand="0" w:noVBand="1"/>
      </w:tblPr>
      <w:tblGrid>
        <w:gridCol w:w="1696"/>
        <w:gridCol w:w="7320"/>
      </w:tblGrid>
      <w:tr w:rsidR="00C946D0" w:rsidRPr="0081326A" w14:paraId="765BE32C" w14:textId="77777777" w:rsidTr="009542CB">
        <w:tc>
          <w:tcPr>
            <w:tcW w:w="1696" w:type="dxa"/>
          </w:tcPr>
          <w:p w14:paraId="65D92D0A" w14:textId="77777777" w:rsidR="00C946D0" w:rsidRPr="0081326A" w:rsidRDefault="00C946D0" w:rsidP="009542CB">
            <w:pPr>
              <w:jc w:val="left"/>
              <w:rPr>
                <w:rFonts w:cs="Arial"/>
              </w:rPr>
            </w:pPr>
            <w:r w:rsidRPr="0081326A">
              <w:rPr>
                <w:rFonts w:cs="Arial"/>
              </w:rPr>
              <w:t>Date discloser made disclosure</w:t>
            </w:r>
          </w:p>
        </w:tc>
        <w:sdt>
          <w:sdtPr>
            <w:rPr>
              <w:rFonts w:cs="Arial"/>
            </w:rPr>
            <w:id w:val="1451745137"/>
            <w:placeholder>
              <w:docPart w:val="1D0AC3B2BCB24C99A369E0D04DDF5E14"/>
            </w:placeholder>
            <w:showingPlcHdr/>
            <w15:color w:val="FFFF00"/>
            <w:date>
              <w:dateFormat w:val="dddd, d MMMM yyyy"/>
              <w:lid w:val="en-AU"/>
              <w:storeMappedDataAs w:val="dateTime"/>
              <w:calendar w:val="gregorian"/>
            </w:date>
          </w:sdtPr>
          <w:sdtEndPr/>
          <w:sdtContent>
            <w:tc>
              <w:tcPr>
                <w:tcW w:w="7320" w:type="dxa"/>
              </w:tcPr>
              <w:p w14:paraId="57A1D457" w14:textId="77777777" w:rsidR="00C946D0" w:rsidRPr="0081326A" w:rsidRDefault="00C946D0" w:rsidP="00DF374D">
                <w:pPr>
                  <w:rPr>
                    <w:rFonts w:cs="Arial"/>
                  </w:rPr>
                </w:pPr>
                <w:r w:rsidRPr="0081326A">
                  <w:rPr>
                    <w:rStyle w:val="PlaceholderText"/>
                    <w:rFonts w:cs="Arial"/>
                  </w:rPr>
                  <w:t>Click or tap to enter a date.</w:t>
                </w:r>
              </w:p>
            </w:tc>
          </w:sdtContent>
        </w:sdt>
      </w:tr>
      <w:tr w:rsidR="00C946D0" w:rsidRPr="0081326A" w14:paraId="51C4D524" w14:textId="77777777" w:rsidTr="009542CB">
        <w:tc>
          <w:tcPr>
            <w:tcW w:w="1696" w:type="dxa"/>
          </w:tcPr>
          <w:p w14:paraId="3E26F975" w14:textId="2EFFA25F" w:rsidR="00C946D0" w:rsidRPr="0081326A" w:rsidRDefault="00C946D0" w:rsidP="009542CB">
            <w:pPr>
              <w:jc w:val="left"/>
              <w:rPr>
                <w:rFonts w:cs="Arial"/>
              </w:rPr>
            </w:pPr>
            <w:r w:rsidRPr="0081326A">
              <w:rPr>
                <w:rFonts w:cs="Arial"/>
              </w:rPr>
              <w:t xml:space="preserve">Date Integrity </w:t>
            </w:r>
            <w:r w:rsidR="00252B0C" w:rsidRPr="0081326A">
              <w:rPr>
                <w:rFonts w:cs="Arial"/>
              </w:rPr>
              <w:t>Commission</w:t>
            </w:r>
            <w:r w:rsidRPr="0081326A">
              <w:rPr>
                <w:rFonts w:cs="Arial"/>
              </w:rPr>
              <w:t xml:space="preserve"> referred PID to you for investigation</w:t>
            </w:r>
          </w:p>
        </w:tc>
        <w:sdt>
          <w:sdtPr>
            <w:rPr>
              <w:rFonts w:cs="Arial"/>
            </w:rPr>
            <w:id w:val="1548954635"/>
            <w:placeholder>
              <w:docPart w:val="F95FA7F21E4D4B4384C56454B10594D4"/>
            </w:placeholder>
            <w:showingPlcHdr/>
            <w15:color w:val="FFFF00"/>
            <w:date>
              <w:dateFormat w:val="dddd, d MMMM yyyy"/>
              <w:lid w:val="en-AU"/>
              <w:storeMappedDataAs w:val="dateTime"/>
              <w:calendar w:val="gregorian"/>
            </w:date>
          </w:sdtPr>
          <w:sdtEndPr/>
          <w:sdtContent>
            <w:tc>
              <w:tcPr>
                <w:tcW w:w="7320" w:type="dxa"/>
              </w:tcPr>
              <w:p w14:paraId="783CDBB0" w14:textId="77777777" w:rsidR="00C946D0" w:rsidRPr="0081326A" w:rsidRDefault="00C946D0" w:rsidP="00DF374D">
                <w:pPr>
                  <w:rPr>
                    <w:rFonts w:cs="Arial"/>
                  </w:rPr>
                </w:pPr>
                <w:r w:rsidRPr="0081326A">
                  <w:rPr>
                    <w:rStyle w:val="PlaceholderText"/>
                    <w:rFonts w:cs="Arial"/>
                  </w:rPr>
                  <w:t>Click or tap to enter a date.</w:t>
                </w:r>
              </w:p>
            </w:tc>
          </w:sdtContent>
        </w:sdt>
      </w:tr>
      <w:tr w:rsidR="00C946D0" w:rsidRPr="0081326A" w14:paraId="1C1550F2" w14:textId="77777777" w:rsidTr="009542CB">
        <w:tc>
          <w:tcPr>
            <w:tcW w:w="1696" w:type="dxa"/>
          </w:tcPr>
          <w:p w14:paraId="073196A1" w14:textId="77777777" w:rsidR="00C946D0" w:rsidRPr="0081326A" w:rsidRDefault="00C946D0" w:rsidP="009542CB">
            <w:pPr>
              <w:jc w:val="left"/>
              <w:rPr>
                <w:rFonts w:cs="Arial"/>
              </w:rPr>
            </w:pPr>
            <w:r w:rsidRPr="0081326A">
              <w:rPr>
                <w:rFonts w:cs="Arial"/>
              </w:rPr>
              <w:t>Date investigation finalised</w:t>
            </w:r>
          </w:p>
        </w:tc>
        <w:sdt>
          <w:sdtPr>
            <w:rPr>
              <w:rFonts w:cs="Arial"/>
            </w:rPr>
            <w:id w:val="-75368504"/>
            <w:placeholder>
              <w:docPart w:val="B416430F33B14B35910A004ABA48CB7A"/>
            </w:placeholder>
            <w:showingPlcHdr/>
            <w15:color w:val="FFFF00"/>
            <w:date>
              <w:dateFormat w:val="dddd, d MMMM yyyy"/>
              <w:lid w:val="en-AU"/>
              <w:storeMappedDataAs w:val="dateTime"/>
              <w:calendar w:val="gregorian"/>
            </w:date>
          </w:sdtPr>
          <w:sdtEndPr/>
          <w:sdtContent>
            <w:tc>
              <w:tcPr>
                <w:tcW w:w="7320" w:type="dxa"/>
              </w:tcPr>
              <w:p w14:paraId="146C5C15" w14:textId="77777777" w:rsidR="00C946D0" w:rsidRPr="0081326A" w:rsidRDefault="00C946D0" w:rsidP="00DF374D">
                <w:pPr>
                  <w:rPr>
                    <w:rFonts w:cs="Arial"/>
                  </w:rPr>
                </w:pPr>
                <w:r w:rsidRPr="0081326A">
                  <w:rPr>
                    <w:rStyle w:val="PlaceholderText"/>
                    <w:rFonts w:cs="Arial"/>
                  </w:rPr>
                  <w:t>Click or tap to enter a date.</w:t>
                </w:r>
              </w:p>
            </w:tc>
          </w:sdtContent>
        </w:sdt>
      </w:tr>
      <w:tr w:rsidR="00C946D0" w:rsidRPr="0081326A" w14:paraId="42EF2D3D" w14:textId="77777777" w:rsidTr="009542CB">
        <w:tc>
          <w:tcPr>
            <w:tcW w:w="1696" w:type="dxa"/>
          </w:tcPr>
          <w:p w14:paraId="78CF1A0B" w14:textId="77777777" w:rsidR="00C946D0" w:rsidRPr="0081326A" w:rsidRDefault="00C946D0" w:rsidP="009542CB">
            <w:pPr>
              <w:jc w:val="left"/>
              <w:rPr>
                <w:rFonts w:cs="Arial"/>
              </w:rPr>
            </w:pPr>
            <w:r w:rsidRPr="0081326A">
              <w:rPr>
                <w:rFonts w:cs="Arial"/>
              </w:rPr>
              <w:t>Date decision maker approved investigation finalisation</w:t>
            </w:r>
          </w:p>
        </w:tc>
        <w:sdt>
          <w:sdtPr>
            <w:rPr>
              <w:rFonts w:cs="Arial"/>
            </w:rPr>
            <w:id w:val="446053290"/>
            <w:placeholder>
              <w:docPart w:val="5000593203664AD497162811F2DD0D39"/>
            </w:placeholder>
            <w:showingPlcHdr/>
            <w15:color w:val="FFFF00"/>
            <w:date>
              <w:dateFormat w:val="dddd, d MMMM yyyy"/>
              <w:lid w:val="en-AU"/>
              <w:storeMappedDataAs w:val="dateTime"/>
              <w:calendar w:val="gregorian"/>
            </w:date>
          </w:sdtPr>
          <w:sdtEndPr/>
          <w:sdtContent>
            <w:tc>
              <w:tcPr>
                <w:tcW w:w="7320" w:type="dxa"/>
              </w:tcPr>
              <w:p w14:paraId="3C2718CC" w14:textId="77777777" w:rsidR="00C946D0" w:rsidRPr="0081326A" w:rsidRDefault="00C946D0" w:rsidP="00DF374D">
                <w:pPr>
                  <w:rPr>
                    <w:rFonts w:cs="Arial"/>
                  </w:rPr>
                </w:pPr>
                <w:r w:rsidRPr="0081326A">
                  <w:rPr>
                    <w:rStyle w:val="PlaceholderText"/>
                    <w:rFonts w:cs="Arial"/>
                  </w:rPr>
                  <w:t>Click or tap to enter a date.</w:t>
                </w:r>
              </w:p>
            </w:tc>
          </w:sdtContent>
        </w:sdt>
      </w:tr>
      <w:tr w:rsidR="00C946D0" w:rsidRPr="0081326A" w14:paraId="172EA091" w14:textId="77777777" w:rsidTr="009542CB">
        <w:tc>
          <w:tcPr>
            <w:tcW w:w="1696" w:type="dxa"/>
          </w:tcPr>
          <w:p w14:paraId="6CA762E9" w14:textId="77777777" w:rsidR="00C946D0" w:rsidRPr="0081326A" w:rsidRDefault="00C946D0" w:rsidP="009542CB">
            <w:pPr>
              <w:jc w:val="left"/>
              <w:rPr>
                <w:rFonts w:cs="Arial"/>
              </w:rPr>
            </w:pPr>
            <w:r w:rsidRPr="0081326A">
              <w:rPr>
                <w:rFonts w:cs="Arial"/>
              </w:rPr>
              <w:t>Date discloser was notified of investigation outcome/s</w:t>
            </w:r>
          </w:p>
        </w:tc>
        <w:sdt>
          <w:sdtPr>
            <w:rPr>
              <w:rFonts w:cs="Arial"/>
            </w:rPr>
            <w:id w:val="940495733"/>
            <w:placeholder>
              <w:docPart w:val="990224987F3D4C60AFFDB61C9174B154"/>
            </w:placeholder>
            <w:showingPlcHdr/>
            <w15:color w:val="FFFF00"/>
            <w:date>
              <w:dateFormat w:val="dddd, d MMMM yyyy"/>
              <w:lid w:val="en-AU"/>
              <w:storeMappedDataAs w:val="dateTime"/>
              <w:calendar w:val="gregorian"/>
            </w:date>
          </w:sdtPr>
          <w:sdtEndPr/>
          <w:sdtContent>
            <w:tc>
              <w:tcPr>
                <w:tcW w:w="7320" w:type="dxa"/>
              </w:tcPr>
              <w:p w14:paraId="6C8A781B" w14:textId="77777777" w:rsidR="00C946D0" w:rsidRPr="0081326A" w:rsidRDefault="00C946D0" w:rsidP="00DF374D">
                <w:pPr>
                  <w:rPr>
                    <w:rFonts w:cs="Arial"/>
                  </w:rPr>
                </w:pPr>
                <w:r w:rsidRPr="0081326A">
                  <w:rPr>
                    <w:rStyle w:val="PlaceholderText"/>
                    <w:rFonts w:cs="Arial"/>
                  </w:rPr>
                  <w:t>Click or tap to enter a date.</w:t>
                </w:r>
              </w:p>
            </w:tc>
          </w:sdtContent>
        </w:sdt>
      </w:tr>
    </w:tbl>
    <w:p w14:paraId="72D29EC8" w14:textId="0C27F422" w:rsidR="00C946D0" w:rsidRPr="0081326A" w:rsidRDefault="0081326A" w:rsidP="000C246D">
      <w:pPr>
        <w:rPr>
          <w:rFonts w:cs="Arial"/>
          <w:b/>
          <w:bCs/>
          <w:sz w:val="28"/>
          <w:szCs w:val="28"/>
        </w:rPr>
      </w:pPr>
      <w:r>
        <w:rPr>
          <w:rFonts w:cs="Arial"/>
          <w:b/>
          <w:bCs/>
          <w:sz w:val="28"/>
          <w:szCs w:val="28"/>
        </w:rPr>
        <w:lastRenderedPageBreak/>
        <w:br/>
      </w:r>
      <w:r w:rsidR="00C946D0" w:rsidRPr="0081326A">
        <w:rPr>
          <w:rFonts w:cs="Arial"/>
          <w:b/>
          <w:bCs/>
          <w:sz w:val="28"/>
          <w:szCs w:val="28"/>
        </w:rPr>
        <w:t>Table 3: Investigation outcome details</w:t>
      </w:r>
    </w:p>
    <w:tbl>
      <w:tblPr>
        <w:tblW w:w="0" w:type="auto"/>
        <w:tblLook w:val="04A0" w:firstRow="1" w:lastRow="0" w:firstColumn="1" w:lastColumn="0" w:noHBand="0" w:noVBand="1"/>
      </w:tblPr>
      <w:tblGrid>
        <w:gridCol w:w="1696"/>
        <w:gridCol w:w="7320"/>
      </w:tblGrid>
      <w:tr w:rsidR="00C946D0" w:rsidRPr="0081326A" w14:paraId="6DAB0760" w14:textId="77777777" w:rsidTr="00DF374D">
        <w:trPr>
          <w:cantSplit/>
        </w:trPr>
        <w:tc>
          <w:tcPr>
            <w:tcW w:w="1696" w:type="dxa"/>
          </w:tcPr>
          <w:p w14:paraId="15226322" w14:textId="77777777" w:rsidR="00C946D0" w:rsidRPr="0081326A" w:rsidRDefault="00C946D0" w:rsidP="009542CB">
            <w:pPr>
              <w:jc w:val="left"/>
              <w:rPr>
                <w:rFonts w:cs="Arial"/>
              </w:rPr>
            </w:pPr>
            <w:r w:rsidRPr="0081326A">
              <w:rPr>
                <w:rFonts w:cs="Arial"/>
              </w:rPr>
              <w:t>What was the investigation outcome?</w:t>
            </w:r>
          </w:p>
        </w:tc>
        <w:tc>
          <w:tcPr>
            <w:tcW w:w="7320" w:type="dxa"/>
          </w:tcPr>
          <w:p w14:paraId="6341C838" w14:textId="77777777" w:rsidR="00C946D0" w:rsidRPr="0081326A" w:rsidRDefault="00C946D0" w:rsidP="00DF374D">
            <w:pPr>
              <w:rPr>
                <w:rFonts w:cs="Arial"/>
              </w:rPr>
            </w:pPr>
            <w:r w:rsidRPr="0081326A">
              <w:rPr>
                <w:rFonts w:cs="Arial"/>
              </w:rPr>
              <w:t>Allegations confirmed/Allegations not confirmed/PID rejected/PID referred</w:t>
            </w:r>
          </w:p>
        </w:tc>
      </w:tr>
      <w:tr w:rsidR="00C946D0" w:rsidRPr="0081326A" w14:paraId="6104101A" w14:textId="77777777" w:rsidTr="00DF374D">
        <w:trPr>
          <w:cantSplit/>
          <w:trHeight w:val="2542"/>
        </w:trPr>
        <w:tc>
          <w:tcPr>
            <w:tcW w:w="1696" w:type="dxa"/>
          </w:tcPr>
          <w:p w14:paraId="5546D174" w14:textId="77777777" w:rsidR="00C946D0" w:rsidRPr="0081326A" w:rsidRDefault="00C946D0" w:rsidP="009542CB">
            <w:pPr>
              <w:jc w:val="left"/>
              <w:rPr>
                <w:rFonts w:cs="Arial"/>
              </w:rPr>
            </w:pPr>
            <w:r w:rsidRPr="0081326A">
              <w:rPr>
                <w:rFonts w:cs="Arial"/>
              </w:rPr>
              <w:t>Brief description of investigation, including any recommended actions or actions already taken.</w:t>
            </w:r>
          </w:p>
        </w:tc>
        <w:tc>
          <w:tcPr>
            <w:tcW w:w="7320" w:type="dxa"/>
          </w:tcPr>
          <w:p w14:paraId="18DE386B" w14:textId="302A246D" w:rsidR="00C946D0" w:rsidRPr="0081326A" w:rsidRDefault="00C946D0" w:rsidP="00DF374D">
            <w:pPr>
              <w:rPr>
                <w:rFonts w:cs="Arial"/>
                <w:i/>
                <w:iCs/>
              </w:rPr>
            </w:pPr>
            <w:r w:rsidRPr="0081326A">
              <w:rPr>
                <w:rFonts w:cs="Arial"/>
                <w:i/>
                <w:iCs/>
              </w:rPr>
              <w:t xml:space="preserve">This would likely be a copy paste from the </w:t>
            </w:r>
            <w:r w:rsidR="00D64033" w:rsidRPr="0081326A">
              <w:rPr>
                <w:rFonts w:cs="Arial"/>
                <w:i/>
                <w:iCs/>
              </w:rPr>
              <w:t>investigation report</w:t>
            </w:r>
            <w:r w:rsidRPr="0081326A">
              <w:rPr>
                <w:rFonts w:cs="Arial"/>
                <w:i/>
                <w:iCs/>
              </w:rPr>
              <w:t xml:space="preserve"> conclusion and include:</w:t>
            </w:r>
          </w:p>
          <w:p w14:paraId="20271C37" w14:textId="711F3A8B" w:rsidR="00C946D0" w:rsidRPr="0081326A" w:rsidRDefault="00D64033" w:rsidP="00061417">
            <w:pPr>
              <w:pStyle w:val="ListParagraph"/>
              <w:numPr>
                <w:ilvl w:val="0"/>
                <w:numId w:val="15"/>
              </w:numPr>
              <w:jc w:val="left"/>
              <w:rPr>
                <w:rFonts w:cs="Arial"/>
                <w:i/>
                <w:iCs/>
              </w:rPr>
            </w:pPr>
            <w:r w:rsidRPr="0081326A">
              <w:rPr>
                <w:rFonts w:cs="Arial"/>
                <w:i/>
                <w:iCs/>
              </w:rPr>
              <w:t>b</w:t>
            </w:r>
            <w:r w:rsidR="00C946D0" w:rsidRPr="0081326A">
              <w:rPr>
                <w:rFonts w:cs="Arial"/>
                <w:i/>
                <w:iCs/>
              </w:rPr>
              <w:t>rief synopsis of investigation</w:t>
            </w:r>
            <w:r w:rsidRPr="0081326A">
              <w:rPr>
                <w:rFonts w:cs="Arial"/>
                <w:i/>
                <w:iCs/>
              </w:rPr>
              <w:t>;</w:t>
            </w:r>
          </w:p>
          <w:p w14:paraId="17723E6D" w14:textId="5615E413" w:rsidR="00C946D0" w:rsidRPr="0081326A" w:rsidRDefault="00D64033" w:rsidP="00061417">
            <w:pPr>
              <w:pStyle w:val="ListParagraph"/>
              <w:numPr>
                <w:ilvl w:val="0"/>
                <w:numId w:val="15"/>
              </w:numPr>
              <w:jc w:val="left"/>
              <w:rPr>
                <w:rFonts w:cs="Arial"/>
                <w:i/>
                <w:iCs/>
              </w:rPr>
            </w:pPr>
            <w:r w:rsidRPr="0081326A">
              <w:rPr>
                <w:rFonts w:cs="Arial"/>
                <w:i/>
                <w:iCs/>
              </w:rPr>
              <w:t>t</w:t>
            </w:r>
            <w:r w:rsidR="00C946D0" w:rsidRPr="0081326A">
              <w:rPr>
                <w:rFonts w:cs="Arial"/>
                <w:i/>
                <w:iCs/>
              </w:rPr>
              <w:t>he reason for the outcome (</w:t>
            </w:r>
            <w:r w:rsidR="00575158" w:rsidRPr="0081326A">
              <w:rPr>
                <w:rFonts w:cs="Arial"/>
                <w:i/>
                <w:iCs/>
              </w:rPr>
              <w:t>eg</w:t>
            </w:r>
            <w:r w:rsidR="00C946D0" w:rsidRPr="0081326A">
              <w:rPr>
                <w:rFonts w:cs="Arial"/>
                <w:i/>
                <w:iCs/>
              </w:rPr>
              <w:t xml:space="preserve"> no evidence to support the allegations)</w:t>
            </w:r>
            <w:r w:rsidRPr="0081326A">
              <w:rPr>
                <w:rFonts w:cs="Arial"/>
                <w:i/>
                <w:iCs/>
              </w:rPr>
              <w:t>;</w:t>
            </w:r>
          </w:p>
          <w:p w14:paraId="14D1AA46" w14:textId="7FBCD6FE" w:rsidR="00C946D0" w:rsidRPr="0081326A" w:rsidRDefault="00D64033" w:rsidP="00061417">
            <w:pPr>
              <w:pStyle w:val="ListParagraph"/>
              <w:numPr>
                <w:ilvl w:val="0"/>
                <w:numId w:val="15"/>
              </w:numPr>
              <w:jc w:val="left"/>
              <w:rPr>
                <w:rFonts w:cs="Arial"/>
                <w:i/>
                <w:iCs/>
              </w:rPr>
            </w:pPr>
            <w:r w:rsidRPr="0081326A">
              <w:rPr>
                <w:rFonts w:cs="Arial"/>
                <w:i/>
                <w:iCs/>
              </w:rPr>
              <w:t>a</w:t>
            </w:r>
            <w:r w:rsidR="00C946D0" w:rsidRPr="0081326A">
              <w:rPr>
                <w:rFonts w:cs="Arial"/>
                <w:i/>
                <w:iCs/>
              </w:rPr>
              <w:t>ny remedial actions proposed or already taken (</w:t>
            </w:r>
            <w:r w:rsidR="00575158" w:rsidRPr="0081326A">
              <w:rPr>
                <w:rFonts w:cs="Arial"/>
                <w:i/>
                <w:iCs/>
              </w:rPr>
              <w:t>eg</w:t>
            </w:r>
            <w:r w:rsidR="00C946D0" w:rsidRPr="0081326A">
              <w:rPr>
                <w:rFonts w:cs="Arial"/>
                <w:i/>
                <w:iCs/>
              </w:rPr>
              <w:t xml:space="preserve"> education, IT controls etc)</w:t>
            </w:r>
            <w:r w:rsidRPr="0081326A">
              <w:rPr>
                <w:rFonts w:cs="Arial"/>
                <w:i/>
                <w:iCs/>
              </w:rPr>
              <w:t>; and</w:t>
            </w:r>
          </w:p>
          <w:p w14:paraId="4A7E0EA1" w14:textId="1547734E" w:rsidR="00C946D0" w:rsidRPr="0081326A" w:rsidRDefault="00D64033" w:rsidP="00061417">
            <w:pPr>
              <w:pStyle w:val="ListParagraph"/>
              <w:numPr>
                <w:ilvl w:val="0"/>
                <w:numId w:val="15"/>
              </w:numPr>
              <w:jc w:val="left"/>
              <w:rPr>
                <w:rFonts w:cs="Arial"/>
                <w:i/>
                <w:iCs/>
              </w:rPr>
            </w:pPr>
            <w:r w:rsidRPr="0081326A">
              <w:rPr>
                <w:rFonts w:cs="Arial"/>
                <w:i/>
                <w:iCs/>
              </w:rPr>
              <w:t>e</w:t>
            </w:r>
            <w:r w:rsidR="00C946D0" w:rsidRPr="0081326A">
              <w:rPr>
                <w:rFonts w:cs="Arial"/>
                <w:i/>
                <w:iCs/>
              </w:rPr>
              <w:t>ven where the investigation was discontinued, this</w:t>
            </w:r>
            <w:r w:rsidR="009542CB" w:rsidRPr="0081326A">
              <w:rPr>
                <w:rFonts w:cs="Arial"/>
                <w:i/>
                <w:iCs/>
              </w:rPr>
              <w:t xml:space="preserve"> section</w:t>
            </w:r>
            <w:r w:rsidR="00C946D0" w:rsidRPr="0081326A">
              <w:rPr>
                <w:rFonts w:cs="Arial"/>
                <w:i/>
                <w:iCs/>
              </w:rPr>
              <w:t xml:space="preserve"> will require completion – particularly where the investigation concluded that a more appropriate resolution pathway was available </w:t>
            </w:r>
          </w:p>
        </w:tc>
      </w:tr>
    </w:tbl>
    <w:p w14:paraId="73EA9893" w14:textId="77777777" w:rsidR="00C946D0" w:rsidRPr="0081326A" w:rsidRDefault="00C946D0" w:rsidP="000C246D">
      <w:pPr>
        <w:rPr>
          <w:rFonts w:cs="Arial"/>
          <w:b/>
          <w:bCs/>
          <w:sz w:val="28"/>
          <w:szCs w:val="28"/>
        </w:rPr>
      </w:pPr>
      <w:r w:rsidRPr="0081326A">
        <w:rPr>
          <w:rFonts w:cs="Arial"/>
          <w:b/>
          <w:bCs/>
          <w:sz w:val="28"/>
          <w:szCs w:val="28"/>
        </w:rPr>
        <w:t>Table 4: Metadata for annual reporting</w:t>
      </w:r>
    </w:p>
    <w:tbl>
      <w:tblPr>
        <w:tblW w:w="0" w:type="auto"/>
        <w:tblLook w:val="04A0" w:firstRow="1" w:lastRow="0" w:firstColumn="1" w:lastColumn="0" w:noHBand="0" w:noVBand="1"/>
      </w:tblPr>
      <w:tblGrid>
        <w:gridCol w:w="1696"/>
        <w:gridCol w:w="7320"/>
      </w:tblGrid>
      <w:tr w:rsidR="00C946D0" w:rsidRPr="0081326A" w14:paraId="77DAA8E8" w14:textId="77777777" w:rsidTr="00DF374D">
        <w:tc>
          <w:tcPr>
            <w:tcW w:w="1696" w:type="dxa"/>
          </w:tcPr>
          <w:p w14:paraId="09EC2529" w14:textId="77777777" w:rsidR="00C946D0" w:rsidRPr="0081326A" w:rsidRDefault="00C946D0" w:rsidP="009542CB">
            <w:pPr>
              <w:jc w:val="left"/>
              <w:rPr>
                <w:rFonts w:cs="Arial"/>
              </w:rPr>
            </w:pPr>
            <w:r w:rsidRPr="0081326A">
              <w:rPr>
                <w:rFonts w:cs="Arial"/>
              </w:rPr>
              <w:t>Which PID category did the investigation conclude the PID related to?</w:t>
            </w:r>
          </w:p>
        </w:tc>
        <w:sdt>
          <w:sdtPr>
            <w:rPr>
              <w:rFonts w:cs="Arial"/>
            </w:rPr>
            <w:alias w:val="Type of PID"/>
            <w:tag w:val="What type of PID was it?"/>
            <w:id w:val="73249390"/>
            <w:placeholder>
              <w:docPart w:val="3DE0CC872C774BD98D132F120A4DBDA1"/>
            </w:placeholder>
            <w:showingPlcHdr/>
            <w15:color w:val="FFFF00"/>
            <w:comboBox>
              <w:listItem w:value="Choose an item."/>
              <w:listItem w:displayText="Maladministration" w:value="Maladministration"/>
              <w:listItem w:displayText="Threat to public health and/or safety" w:value="Threat to public health and/or safety"/>
              <w:listItem w:displayText="Threat to the environment" w:value="Threat to the environment"/>
            </w:comboBox>
          </w:sdtPr>
          <w:sdtEndPr/>
          <w:sdtContent>
            <w:tc>
              <w:tcPr>
                <w:tcW w:w="7320" w:type="dxa"/>
              </w:tcPr>
              <w:p w14:paraId="435A3CC8" w14:textId="77777777" w:rsidR="00C946D0" w:rsidRPr="0081326A" w:rsidRDefault="00C946D0" w:rsidP="00DF374D">
                <w:pPr>
                  <w:rPr>
                    <w:rFonts w:cs="Arial"/>
                    <w:i/>
                    <w:iCs/>
                  </w:rPr>
                </w:pPr>
                <w:r w:rsidRPr="0081326A">
                  <w:rPr>
                    <w:rStyle w:val="PlaceholderText"/>
                    <w:rFonts w:cs="Arial"/>
                  </w:rPr>
                  <w:t>Choose an item.</w:t>
                </w:r>
              </w:p>
            </w:tc>
          </w:sdtContent>
        </w:sdt>
      </w:tr>
      <w:tr w:rsidR="00C946D0" w:rsidRPr="0081326A" w14:paraId="5A64F822" w14:textId="77777777" w:rsidTr="00DF374D">
        <w:tc>
          <w:tcPr>
            <w:tcW w:w="1696" w:type="dxa"/>
          </w:tcPr>
          <w:p w14:paraId="1A8ECDD6" w14:textId="77777777" w:rsidR="00C946D0" w:rsidRPr="0081326A" w:rsidRDefault="00C946D0" w:rsidP="009542CB">
            <w:pPr>
              <w:jc w:val="left"/>
              <w:rPr>
                <w:rFonts w:cs="Arial"/>
              </w:rPr>
            </w:pPr>
            <w:r w:rsidRPr="0081326A">
              <w:rPr>
                <w:rFonts w:cs="Arial"/>
              </w:rPr>
              <w:t>What category of conduct did the investigation conclude the PID related to?</w:t>
            </w:r>
          </w:p>
        </w:tc>
        <w:tc>
          <w:tcPr>
            <w:tcW w:w="7320" w:type="dxa"/>
          </w:tcPr>
          <w:p w14:paraId="737B4077" w14:textId="2DB460D4" w:rsidR="00C946D0" w:rsidRPr="0081326A" w:rsidRDefault="00C946D0" w:rsidP="00DF374D">
            <w:pPr>
              <w:rPr>
                <w:rFonts w:cs="Arial"/>
              </w:rPr>
            </w:pPr>
          </w:p>
        </w:tc>
      </w:tr>
      <w:tr w:rsidR="00C946D0" w:rsidRPr="0081326A" w14:paraId="67D3DFA2" w14:textId="77777777" w:rsidTr="00DF374D">
        <w:trPr>
          <w:cantSplit/>
        </w:trPr>
        <w:tc>
          <w:tcPr>
            <w:tcW w:w="1696" w:type="dxa"/>
          </w:tcPr>
          <w:p w14:paraId="6E90278F" w14:textId="327E8331" w:rsidR="00C946D0" w:rsidRPr="0081326A" w:rsidRDefault="00C946D0" w:rsidP="009542CB">
            <w:pPr>
              <w:jc w:val="left"/>
              <w:rPr>
                <w:rFonts w:cs="Arial"/>
              </w:rPr>
            </w:pPr>
            <w:r w:rsidRPr="0081326A">
              <w:rPr>
                <w:rFonts w:cs="Arial"/>
              </w:rPr>
              <w:t>If the PID</w:t>
            </w:r>
            <w:r w:rsidR="00D64033" w:rsidRPr="0081326A">
              <w:rPr>
                <w:rFonts w:cs="Arial"/>
              </w:rPr>
              <w:t xml:space="preserve"> investigation</w:t>
            </w:r>
            <w:r w:rsidRPr="0081326A">
              <w:rPr>
                <w:rFonts w:cs="Arial"/>
              </w:rPr>
              <w:t xml:space="preserve"> was discontinued, the reason for </w:t>
            </w:r>
            <w:r w:rsidR="00D64033" w:rsidRPr="0081326A">
              <w:rPr>
                <w:rFonts w:cs="Arial"/>
              </w:rPr>
              <w:t>discontinuance</w:t>
            </w:r>
          </w:p>
        </w:tc>
        <w:tc>
          <w:tcPr>
            <w:tcW w:w="7320" w:type="dxa"/>
          </w:tcPr>
          <w:p w14:paraId="2B4A98C7" w14:textId="47ACA55A" w:rsidR="00C946D0" w:rsidRPr="0081326A" w:rsidRDefault="00C946D0" w:rsidP="00DF374D">
            <w:pPr>
              <w:rPr>
                <w:rFonts w:cs="Arial"/>
              </w:rPr>
            </w:pPr>
            <w:r w:rsidRPr="0081326A">
              <w:rPr>
                <w:rFonts w:cs="Arial"/>
              </w:rPr>
              <w:t>Where discloser withdr</w:t>
            </w:r>
            <w:r w:rsidR="009542CB" w:rsidRPr="0081326A">
              <w:rPr>
                <w:rFonts w:cs="Arial"/>
              </w:rPr>
              <w:t>e</w:t>
            </w:r>
            <w:r w:rsidRPr="0081326A">
              <w:rPr>
                <w:rFonts w:cs="Arial"/>
              </w:rPr>
              <w:t>w the disclosure (s 20(2)(a) / where discloser anonymous and impractical to investigate (s 20(2)(b) / where discloser failed to aid investigation (s 20(2)(c) / the disclosed information is materially wrong (s 20(2)(d)(i) / more appropriate resolution to address the disclosable conduct (s 20(2)(d)(iii) / not applicable</w:t>
            </w:r>
          </w:p>
        </w:tc>
      </w:tr>
      <w:tr w:rsidR="00C946D0" w:rsidRPr="0081326A" w14:paraId="41AE7419" w14:textId="77777777" w:rsidTr="00DF374D">
        <w:tc>
          <w:tcPr>
            <w:tcW w:w="1696" w:type="dxa"/>
          </w:tcPr>
          <w:p w14:paraId="463745C8" w14:textId="77777777" w:rsidR="00C946D0" w:rsidRPr="0081326A" w:rsidRDefault="00C946D0" w:rsidP="009542CB">
            <w:pPr>
              <w:jc w:val="left"/>
              <w:rPr>
                <w:rFonts w:cs="Arial"/>
              </w:rPr>
            </w:pPr>
            <w:r w:rsidRPr="0081326A">
              <w:rPr>
                <w:rFonts w:cs="Arial"/>
              </w:rPr>
              <w:t>If the PID was referred, who was it referred to?</w:t>
            </w:r>
          </w:p>
        </w:tc>
        <w:tc>
          <w:tcPr>
            <w:tcW w:w="7320" w:type="dxa"/>
          </w:tcPr>
          <w:p w14:paraId="517CF421" w14:textId="77777777" w:rsidR="00C946D0" w:rsidRPr="0081326A" w:rsidRDefault="00C946D0" w:rsidP="00DF374D">
            <w:pPr>
              <w:rPr>
                <w:rFonts w:cs="Arial"/>
              </w:rPr>
            </w:pPr>
          </w:p>
        </w:tc>
      </w:tr>
      <w:tr w:rsidR="00C946D0" w:rsidRPr="0081326A" w14:paraId="3DACE64D" w14:textId="77777777" w:rsidTr="00DF374D">
        <w:tc>
          <w:tcPr>
            <w:tcW w:w="1696" w:type="dxa"/>
          </w:tcPr>
          <w:p w14:paraId="5CA8C251" w14:textId="77777777" w:rsidR="00C946D0" w:rsidRPr="0081326A" w:rsidRDefault="00C946D0" w:rsidP="009542CB">
            <w:pPr>
              <w:jc w:val="left"/>
              <w:rPr>
                <w:rFonts w:cs="Arial"/>
              </w:rPr>
            </w:pPr>
            <w:r w:rsidRPr="0081326A">
              <w:rPr>
                <w:rFonts w:cs="Arial"/>
              </w:rPr>
              <w:t>Details of action/s taken or proposed to be taken in response to the PID</w:t>
            </w:r>
          </w:p>
        </w:tc>
        <w:tc>
          <w:tcPr>
            <w:tcW w:w="7320" w:type="dxa"/>
          </w:tcPr>
          <w:p w14:paraId="51337218" w14:textId="3EC710F2" w:rsidR="00C946D0" w:rsidRPr="0081326A" w:rsidRDefault="009542CB" w:rsidP="00DF374D">
            <w:pPr>
              <w:keepNext/>
              <w:rPr>
                <w:rFonts w:cs="Arial"/>
                <w:b/>
                <w:bCs/>
              </w:rPr>
            </w:pPr>
            <w:r w:rsidRPr="0081326A">
              <w:rPr>
                <w:rFonts w:cs="Arial"/>
              </w:rPr>
              <w:t>P</w:t>
            </w:r>
            <w:r w:rsidR="00C946D0" w:rsidRPr="0081326A">
              <w:rPr>
                <w:rFonts w:cs="Arial"/>
              </w:rPr>
              <w:t>erson/s responsible for disclosable conduct being disciplined / actions taken, or recommended to be taken, to prevent the disclosable conduct occurring in the future / person/s responsible for disclosable conduct being disciplined AND actions taken, or recommended to be taken, to prevent the disclosable conduct occurring in the future</w:t>
            </w:r>
          </w:p>
        </w:tc>
      </w:tr>
    </w:tbl>
    <w:p w14:paraId="2EB1C260" w14:textId="77777777" w:rsidR="0081326A" w:rsidRPr="0081326A" w:rsidRDefault="0081326A" w:rsidP="000C246D">
      <w:pPr>
        <w:rPr>
          <w:rFonts w:cs="Arial"/>
          <w:sz w:val="28"/>
          <w:szCs w:val="28"/>
        </w:rPr>
      </w:pPr>
    </w:p>
    <w:p w14:paraId="1EEF0820" w14:textId="77777777" w:rsidR="0081326A" w:rsidRPr="0081326A" w:rsidRDefault="0081326A" w:rsidP="000C246D">
      <w:pPr>
        <w:rPr>
          <w:rFonts w:cs="Arial"/>
          <w:sz w:val="28"/>
          <w:szCs w:val="28"/>
        </w:rPr>
      </w:pPr>
    </w:p>
    <w:p w14:paraId="46D1FFFA" w14:textId="77777777" w:rsidR="0081326A" w:rsidRPr="0081326A" w:rsidRDefault="0081326A" w:rsidP="000C246D">
      <w:pPr>
        <w:rPr>
          <w:rFonts w:cs="Arial"/>
          <w:sz w:val="28"/>
          <w:szCs w:val="28"/>
        </w:rPr>
      </w:pPr>
    </w:p>
    <w:p w14:paraId="2D0BDACF" w14:textId="53177AE2" w:rsidR="00C946D0" w:rsidRPr="0081326A" w:rsidRDefault="00C946D0" w:rsidP="000C246D">
      <w:pPr>
        <w:rPr>
          <w:rFonts w:cs="Arial"/>
          <w:b/>
          <w:bCs/>
          <w:sz w:val="28"/>
          <w:szCs w:val="28"/>
        </w:rPr>
      </w:pPr>
      <w:r w:rsidRPr="0081326A">
        <w:rPr>
          <w:rFonts w:cs="Arial"/>
          <w:b/>
          <w:bCs/>
          <w:sz w:val="28"/>
          <w:szCs w:val="28"/>
        </w:rPr>
        <w:lastRenderedPageBreak/>
        <w:t>Table 5: Form completion particulars</w:t>
      </w:r>
    </w:p>
    <w:tbl>
      <w:tblPr>
        <w:tblW w:w="0" w:type="auto"/>
        <w:tblLook w:val="04A0" w:firstRow="1" w:lastRow="0" w:firstColumn="1" w:lastColumn="0" w:noHBand="0" w:noVBand="1"/>
      </w:tblPr>
      <w:tblGrid>
        <w:gridCol w:w="1980"/>
        <w:gridCol w:w="7036"/>
      </w:tblGrid>
      <w:tr w:rsidR="00C946D0" w:rsidRPr="0081326A" w14:paraId="263F466A" w14:textId="77777777" w:rsidTr="00DF374D">
        <w:tc>
          <w:tcPr>
            <w:tcW w:w="1980" w:type="dxa"/>
          </w:tcPr>
          <w:p w14:paraId="3AD611F0" w14:textId="77777777" w:rsidR="00C946D0" w:rsidRPr="0081326A" w:rsidRDefault="00C946D0" w:rsidP="009542CB">
            <w:pPr>
              <w:jc w:val="left"/>
              <w:rPr>
                <w:rFonts w:cs="Arial"/>
              </w:rPr>
            </w:pPr>
            <w:r w:rsidRPr="0081326A">
              <w:rPr>
                <w:rFonts w:cs="Arial"/>
              </w:rPr>
              <w:t>Completing officer’s name</w:t>
            </w:r>
          </w:p>
        </w:tc>
        <w:tc>
          <w:tcPr>
            <w:tcW w:w="7036" w:type="dxa"/>
          </w:tcPr>
          <w:p w14:paraId="417AFCC1" w14:textId="77777777" w:rsidR="00C946D0" w:rsidRPr="0081326A" w:rsidRDefault="00C946D0" w:rsidP="00DF374D">
            <w:pPr>
              <w:rPr>
                <w:rFonts w:cs="Arial"/>
                <w:i/>
                <w:iCs/>
              </w:rPr>
            </w:pPr>
            <w:r w:rsidRPr="0081326A">
              <w:rPr>
                <w:rFonts w:cs="Arial"/>
                <w:i/>
                <w:iCs/>
              </w:rPr>
              <w:t>Insert the name of the officer responsible for completing this form</w:t>
            </w:r>
          </w:p>
        </w:tc>
      </w:tr>
      <w:tr w:rsidR="00C946D0" w:rsidRPr="0081326A" w14:paraId="0DA43625" w14:textId="77777777" w:rsidTr="00DF374D">
        <w:trPr>
          <w:trHeight w:val="1582"/>
        </w:trPr>
        <w:tc>
          <w:tcPr>
            <w:tcW w:w="1980" w:type="dxa"/>
          </w:tcPr>
          <w:p w14:paraId="647D233A" w14:textId="77777777" w:rsidR="00C946D0" w:rsidRPr="0081326A" w:rsidRDefault="00C946D0" w:rsidP="009542CB">
            <w:pPr>
              <w:jc w:val="left"/>
              <w:rPr>
                <w:rFonts w:cs="Arial"/>
              </w:rPr>
            </w:pPr>
            <w:r w:rsidRPr="0081326A">
              <w:rPr>
                <w:rFonts w:cs="Arial"/>
              </w:rPr>
              <w:t>Completing officer’s signature</w:t>
            </w:r>
          </w:p>
        </w:tc>
        <w:tc>
          <w:tcPr>
            <w:tcW w:w="7036" w:type="dxa"/>
          </w:tcPr>
          <w:p w14:paraId="2FBD564B" w14:textId="77777777" w:rsidR="00C946D0" w:rsidRPr="0081326A" w:rsidRDefault="00C946D0" w:rsidP="00DF374D">
            <w:pPr>
              <w:rPr>
                <w:rFonts w:cs="Arial"/>
                <w:i/>
                <w:iCs/>
              </w:rPr>
            </w:pPr>
            <w:r w:rsidRPr="0081326A">
              <w:rPr>
                <w:rFonts w:cs="Arial"/>
                <w:i/>
                <w:iCs/>
              </w:rPr>
              <w:t xml:space="preserve">Insert a digital signature if possible. </w:t>
            </w:r>
          </w:p>
        </w:tc>
      </w:tr>
      <w:tr w:rsidR="00C946D0" w:rsidRPr="0081326A" w14:paraId="53E0B149" w14:textId="77777777" w:rsidTr="00DF374D">
        <w:tc>
          <w:tcPr>
            <w:tcW w:w="1980" w:type="dxa"/>
          </w:tcPr>
          <w:p w14:paraId="6FBDD413" w14:textId="77777777" w:rsidR="00C946D0" w:rsidRPr="0081326A" w:rsidRDefault="00C946D0" w:rsidP="009542CB">
            <w:pPr>
              <w:jc w:val="left"/>
              <w:rPr>
                <w:rFonts w:cs="Arial"/>
              </w:rPr>
            </w:pPr>
            <w:r w:rsidRPr="0081326A">
              <w:rPr>
                <w:rFonts w:cs="Arial"/>
              </w:rPr>
              <w:t>Date</w:t>
            </w:r>
          </w:p>
        </w:tc>
        <w:tc>
          <w:tcPr>
            <w:tcW w:w="7036" w:type="dxa"/>
          </w:tcPr>
          <w:p w14:paraId="607DC44D" w14:textId="77777777" w:rsidR="00C946D0" w:rsidRPr="0081326A" w:rsidRDefault="00342157" w:rsidP="00DF374D">
            <w:pPr>
              <w:rPr>
                <w:rFonts w:cs="Arial"/>
                <w:i/>
                <w:iCs/>
              </w:rPr>
            </w:pPr>
            <w:sdt>
              <w:sdtPr>
                <w:rPr>
                  <w:rFonts w:cs="Arial"/>
                </w:rPr>
                <w:id w:val="460082355"/>
                <w:placeholder>
                  <w:docPart w:val="DF6F66992683426C8C482504FD0E3C8D"/>
                </w:placeholder>
                <w:showingPlcHdr/>
                <w15:color w:val="FFFF00"/>
                <w:date>
                  <w:dateFormat w:val="dddd, d MMMM yyyy"/>
                  <w:lid w:val="en-AU"/>
                  <w:storeMappedDataAs w:val="dateTime"/>
                  <w:calendar w:val="gregorian"/>
                </w:date>
              </w:sdtPr>
              <w:sdtEndPr/>
              <w:sdtContent>
                <w:r w:rsidR="00C946D0" w:rsidRPr="0081326A">
                  <w:rPr>
                    <w:rStyle w:val="PlaceholderText"/>
                    <w:rFonts w:cs="Arial"/>
                  </w:rPr>
                  <w:t>Click or tap to enter a date.</w:t>
                </w:r>
              </w:sdtContent>
            </w:sdt>
            <w:r w:rsidR="00C946D0" w:rsidRPr="0081326A">
              <w:rPr>
                <w:rFonts w:cs="Arial"/>
              </w:rPr>
              <w:t xml:space="preserve"> </w:t>
            </w:r>
            <w:r w:rsidR="00C946D0" w:rsidRPr="0081326A">
              <w:rPr>
                <w:rFonts w:cs="Arial"/>
                <w:i/>
                <w:iCs/>
              </w:rPr>
              <w:t>&lt;if using a digital signature, you can delete this row&gt;</w:t>
            </w:r>
          </w:p>
        </w:tc>
      </w:tr>
    </w:tbl>
    <w:p w14:paraId="5B7B15B8" w14:textId="77777777" w:rsidR="005813D3" w:rsidRDefault="005813D3" w:rsidP="00C946D0">
      <w:pPr>
        <w:sectPr w:rsidR="005813D3" w:rsidSect="00240DCD">
          <w:headerReference w:type="default" r:id="rId26"/>
          <w:pgSz w:w="11906" w:h="16838"/>
          <w:pgMar w:top="1440" w:right="1440" w:bottom="1440" w:left="1440" w:header="708" w:footer="708" w:gutter="0"/>
          <w:cols w:space="708"/>
          <w:titlePg/>
          <w:docGrid w:linePitch="360"/>
        </w:sectPr>
      </w:pPr>
    </w:p>
    <w:p w14:paraId="3255AE62" w14:textId="6C026CC0" w:rsidR="005813D3" w:rsidRDefault="009E6C95" w:rsidP="007247D1">
      <w:pPr>
        <w:pStyle w:val="Heading1"/>
      </w:pPr>
      <w:bookmarkStart w:id="331" w:name="_Ref63170063"/>
      <w:bookmarkStart w:id="332" w:name="_Toc67904063"/>
      <w:bookmarkStart w:id="333" w:name="_Toc75255239"/>
      <w:r>
        <w:lastRenderedPageBreak/>
        <w:t>Appendix G</w:t>
      </w:r>
      <w:r w:rsidR="005813D3">
        <w:t>: Example investigation report template</w:t>
      </w:r>
      <w:bookmarkEnd w:id="331"/>
      <w:bookmarkEnd w:id="332"/>
      <w:bookmarkEnd w:id="333"/>
    </w:p>
    <w:p w14:paraId="54BF27D1" w14:textId="5713BDAB" w:rsidR="00C85F58" w:rsidRPr="00D64033" w:rsidRDefault="00C85F58" w:rsidP="00C85F58">
      <w:pPr>
        <w:rPr>
          <w:rFonts w:cs="Calibri"/>
          <w:i/>
          <w:iCs/>
          <w:color w:val="FF0000"/>
          <w:highlight w:val="yellow"/>
        </w:rPr>
      </w:pPr>
      <w:r w:rsidRPr="00D64033">
        <w:rPr>
          <w:rFonts w:cs="Calibri"/>
          <w:i/>
          <w:iCs/>
          <w:color w:val="FF0000"/>
          <w:highlight w:val="yellow"/>
        </w:rPr>
        <w:t>Remove the heading ‘</w:t>
      </w:r>
      <w:r w:rsidR="009E6C95" w:rsidRPr="00D64033">
        <w:rPr>
          <w:rFonts w:cs="Calibri"/>
          <w:i/>
          <w:iCs/>
          <w:color w:val="FF0000"/>
          <w:highlight w:val="yellow"/>
        </w:rPr>
        <w:t>Appendix G</w:t>
      </w:r>
      <w:r w:rsidRPr="00D64033">
        <w:rPr>
          <w:rFonts w:cs="Calibri"/>
          <w:i/>
          <w:iCs/>
          <w:color w:val="FF0000"/>
          <w:highlight w:val="yellow"/>
        </w:rPr>
        <w:t>: Example investigation report template’</w:t>
      </w:r>
    </w:p>
    <w:p w14:paraId="21BCCDF5" w14:textId="77777777" w:rsidR="00D64033" w:rsidRPr="00D64033" w:rsidRDefault="00D64033" w:rsidP="00D64033">
      <w:pPr>
        <w:pStyle w:val="Header"/>
        <w:jc w:val="center"/>
        <w:rPr>
          <w:rFonts w:cs="Calibri"/>
          <w:sz w:val="36"/>
          <w:szCs w:val="36"/>
        </w:rPr>
      </w:pPr>
      <w:r w:rsidRPr="00D64033">
        <w:rPr>
          <w:rFonts w:cs="Calibri"/>
          <w:sz w:val="36"/>
          <w:szCs w:val="36"/>
        </w:rPr>
        <w:t>PUBLIC INTEREST DISCLOSURE – INVESTIGATION REPORT</w:t>
      </w:r>
    </w:p>
    <w:p w14:paraId="6335E62D" w14:textId="77777777" w:rsidR="00D64033" w:rsidRPr="00D64033" w:rsidRDefault="00D64033" w:rsidP="00D64033">
      <w:pPr>
        <w:pStyle w:val="Header"/>
        <w:jc w:val="center"/>
        <w:rPr>
          <w:rFonts w:cs="Calibri"/>
          <w:i/>
          <w:iCs/>
          <w:sz w:val="28"/>
          <w:szCs w:val="28"/>
        </w:rPr>
      </w:pPr>
      <w:r w:rsidRPr="00D64033">
        <w:rPr>
          <w:rFonts w:cs="Calibri"/>
          <w:i/>
          <w:iCs/>
          <w:sz w:val="28"/>
          <w:szCs w:val="28"/>
        </w:rPr>
        <w:t>Public Interest Disclosure Act 2012</w:t>
      </w:r>
    </w:p>
    <w:p w14:paraId="2C8A67DC" w14:textId="77777777" w:rsidR="00C85F58" w:rsidRPr="00D64033" w:rsidRDefault="00C85F58" w:rsidP="00C85F58">
      <w:pPr>
        <w:spacing w:line="276" w:lineRule="auto"/>
        <w:rPr>
          <w:rFonts w:cs="Calibri"/>
          <w:b/>
          <w:bCs/>
          <w:sz w:val="26"/>
          <w:szCs w:val="26"/>
        </w:rPr>
      </w:pPr>
    </w:p>
    <w:p w14:paraId="2D2DF044" w14:textId="77777777" w:rsidR="00615775" w:rsidRPr="00D64033" w:rsidRDefault="00615775" w:rsidP="00615775">
      <w:pPr>
        <w:spacing w:line="276" w:lineRule="auto"/>
        <w:ind w:left="1440" w:hanging="1440"/>
        <w:rPr>
          <w:rFonts w:cs="Calibri"/>
          <w:b/>
          <w:bCs/>
          <w:sz w:val="26"/>
          <w:szCs w:val="26"/>
        </w:rPr>
      </w:pPr>
      <w:r w:rsidRPr="00D64033">
        <w:rPr>
          <w:rFonts w:cs="Calibri"/>
          <w:b/>
          <w:bCs/>
          <w:sz w:val="26"/>
          <w:szCs w:val="26"/>
        </w:rPr>
        <w:t>To:</w:t>
      </w:r>
      <w:r w:rsidRPr="00D64033">
        <w:rPr>
          <w:rFonts w:cs="Calibri"/>
          <w:b/>
          <w:bCs/>
          <w:sz w:val="26"/>
          <w:szCs w:val="26"/>
        </w:rPr>
        <w:tab/>
      </w:r>
      <w:r w:rsidRPr="00D64033">
        <w:rPr>
          <w:rFonts w:cs="Calibri"/>
          <w:b/>
          <w:bCs/>
          <w:sz w:val="26"/>
          <w:szCs w:val="26"/>
          <w:highlight w:val="yellow"/>
        </w:rPr>
        <w:t>INSERT HEAD OF YOUR ENTITY</w:t>
      </w:r>
    </w:p>
    <w:p w14:paraId="56672E67" w14:textId="6EDDBD11" w:rsidR="00615775" w:rsidRPr="00D64033" w:rsidRDefault="00615775" w:rsidP="00A43D28">
      <w:pPr>
        <w:spacing w:line="276" w:lineRule="auto"/>
        <w:ind w:left="1418" w:hanging="1418"/>
        <w:rPr>
          <w:rFonts w:cs="Calibri"/>
          <w:b/>
          <w:bCs/>
          <w:sz w:val="26"/>
          <w:szCs w:val="26"/>
        </w:rPr>
      </w:pPr>
      <w:r w:rsidRPr="00D64033">
        <w:rPr>
          <w:rFonts w:cs="Calibri"/>
          <w:b/>
          <w:bCs/>
          <w:sz w:val="26"/>
          <w:szCs w:val="26"/>
        </w:rPr>
        <w:t>Via:</w:t>
      </w:r>
      <w:r w:rsidRPr="00D64033">
        <w:rPr>
          <w:rFonts w:cs="Calibri"/>
          <w:b/>
          <w:bCs/>
          <w:sz w:val="26"/>
          <w:szCs w:val="26"/>
        </w:rPr>
        <w:tab/>
      </w:r>
      <w:r w:rsidRPr="00D64033">
        <w:rPr>
          <w:rFonts w:cs="Calibri"/>
          <w:b/>
          <w:bCs/>
          <w:sz w:val="26"/>
          <w:szCs w:val="26"/>
          <w:highlight w:val="yellow"/>
        </w:rPr>
        <w:t>INSERT DETAILS OF ANYONE WHO CLEARED THIS DOCUMENT</w:t>
      </w:r>
    </w:p>
    <w:p w14:paraId="4F6C0D1E" w14:textId="04E901C5" w:rsidR="00615775" w:rsidRPr="00D64033" w:rsidRDefault="00615775" w:rsidP="00615775">
      <w:pPr>
        <w:spacing w:line="276" w:lineRule="auto"/>
        <w:rPr>
          <w:rFonts w:cs="Calibri"/>
          <w:b/>
          <w:bCs/>
          <w:sz w:val="26"/>
          <w:szCs w:val="26"/>
        </w:rPr>
      </w:pPr>
      <w:r w:rsidRPr="00D64033">
        <w:rPr>
          <w:rFonts w:cs="Calibri"/>
          <w:b/>
          <w:bCs/>
          <w:sz w:val="26"/>
          <w:szCs w:val="26"/>
        </w:rPr>
        <w:t>From:</w:t>
      </w:r>
      <w:r w:rsidRPr="00D64033">
        <w:rPr>
          <w:rFonts w:cs="Calibri"/>
          <w:b/>
          <w:bCs/>
          <w:sz w:val="26"/>
          <w:szCs w:val="26"/>
        </w:rPr>
        <w:tab/>
      </w:r>
      <w:r w:rsidRPr="00D64033">
        <w:rPr>
          <w:rFonts w:cs="Calibri"/>
          <w:b/>
          <w:bCs/>
          <w:sz w:val="26"/>
          <w:szCs w:val="26"/>
          <w:highlight w:val="yellow"/>
        </w:rPr>
        <w:t>INSERT NAME AND TITLE OF INVESTIGATOR</w:t>
      </w:r>
    </w:p>
    <w:p w14:paraId="7F4020B8" w14:textId="77777777" w:rsidR="00615775" w:rsidRPr="00D64033" w:rsidRDefault="00615775" w:rsidP="00615775">
      <w:pPr>
        <w:spacing w:line="276" w:lineRule="auto"/>
        <w:rPr>
          <w:rFonts w:cs="Calibri"/>
          <w:b/>
          <w:bCs/>
          <w:sz w:val="26"/>
          <w:szCs w:val="26"/>
        </w:rPr>
      </w:pPr>
      <w:r w:rsidRPr="00D64033">
        <w:rPr>
          <w:rFonts w:cs="Calibri"/>
          <w:b/>
          <w:bCs/>
          <w:sz w:val="26"/>
          <w:szCs w:val="26"/>
        </w:rPr>
        <w:t>Re:</w:t>
      </w:r>
      <w:r w:rsidRPr="00D64033">
        <w:rPr>
          <w:rFonts w:cs="Calibri"/>
          <w:b/>
          <w:bCs/>
          <w:sz w:val="26"/>
          <w:szCs w:val="26"/>
        </w:rPr>
        <w:tab/>
      </w:r>
      <w:r w:rsidRPr="00D64033">
        <w:rPr>
          <w:rFonts w:cs="Calibri"/>
          <w:b/>
          <w:bCs/>
          <w:sz w:val="26"/>
          <w:szCs w:val="26"/>
        </w:rPr>
        <w:tab/>
      </w:r>
      <w:r w:rsidRPr="00D64033">
        <w:rPr>
          <w:rFonts w:cs="Calibri"/>
          <w:b/>
          <w:bCs/>
          <w:sz w:val="26"/>
          <w:szCs w:val="26"/>
          <w:highlight w:val="yellow"/>
        </w:rPr>
        <w:t>INSERT INVESTIGATION NUMBER</w:t>
      </w:r>
    </w:p>
    <w:p w14:paraId="5A343777" w14:textId="77777777" w:rsidR="00615775" w:rsidRPr="00D64033" w:rsidRDefault="00615775" w:rsidP="00615775">
      <w:pPr>
        <w:spacing w:line="276" w:lineRule="auto"/>
        <w:rPr>
          <w:rFonts w:cs="Calibri"/>
          <w:b/>
          <w:bCs/>
          <w:sz w:val="26"/>
          <w:szCs w:val="26"/>
        </w:rPr>
      </w:pPr>
      <w:r w:rsidRPr="00D64033">
        <w:rPr>
          <w:rFonts w:cs="Calibri"/>
          <w:b/>
          <w:bCs/>
          <w:sz w:val="26"/>
          <w:szCs w:val="26"/>
        </w:rPr>
        <w:t>Date:</w:t>
      </w:r>
      <w:r w:rsidRPr="00D64033">
        <w:rPr>
          <w:rFonts w:cs="Calibri"/>
          <w:b/>
          <w:bCs/>
          <w:sz w:val="26"/>
          <w:szCs w:val="26"/>
        </w:rPr>
        <w:tab/>
      </w:r>
      <w:r w:rsidRPr="00D64033">
        <w:rPr>
          <w:rFonts w:cs="Calibri"/>
          <w:b/>
          <w:bCs/>
          <w:sz w:val="26"/>
          <w:szCs w:val="26"/>
        </w:rPr>
        <w:tab/>
      </w:r>
      <w:r w:rsidRPr="00D64033">
        <w:rPr>
          <w:rFonts w:cs="Calibri"/>
          <w:b/>
          <w:bCs/>
          <w:sz w:val="26"/>
          <w:szCs w:val="26"/>
          <w:highlight w:val="yellow"/>
        </w:rPr>
        <w:t>DATE OF INVESTIGATION REPORT</w:t>
      </w:r>
    </w:p>
    <w:p w14:paraId="2040BD8E" w14:textId="77777777" w:rsidR="00615775" w:rsidRPr="00D64033" w:rsidRDefault="00615775" w:rsidP="00615775">
      <w:pPr>
        <w:spacing w:line="276" w:lineRule="auto"/>
        <w:rPr>
          <w:rFonts w:cs="Calibri"/>
          <w:sz w:val="24"/>
          <w:szCs w:val="24"/>
        </w:rPr>
      </w:pPr>
    </w:p>
    <w:p w14:paraId="6EB4A495" w14:textId="77777777" w:rsidR="00615775" w:rsidRPr="00D64033" w:rsidRDefault="00615775" w:rsidP="00615775">
      <w:pPr>
        <w:rPr>
          <w:rFonts w:cs="Calibri"/>
          <w:sz w:val="24"/>
          <w:szCs w:val="24"/>
        </w:rPr>
      </w:pPr>
    </w:p>
    <w:p w14:paraId="231AEA95" w14:textId="77777777" w:rsidR="00615775" w:rsidRPr="00D64033" w:rsidRDefault="00615775" w:rsidP="00615775">
      <w:pPr>
        <w:rPr>
          <w:rFonts w:cs="Calibri"/>
          <w:sz w:val="24"/>
          <w:szCs w:val="24"/>
        </w:rPr>
      </w:pPr>
    </w:p>
    <w:p w14:paraId="5AA612BF" w14:textId="77777777" w:rsidR="00615775" w:rsidRPr="00D64033" w:rsidRDefault="00615775" w:rsidP="00615775">
      <w:pPr>
        <w:rPr>
          <w:rFonts w:cs="Calibri"/>
          <w:b/>
          <w:bCs/>
          <w:sz w:val="24"/>
          <w:szCs w:val="24"/>
        </w:rPr>
      </w:pPr>
      <w:r w:rsidRPr="00D64033">
        <w:rPr>
          <w:rFonts w:cs="Calibri"/>
          <w:b/>
          <w:bCs/>
          <w:sz w:val="24"/>
          <w:szCs w:val="24"/>
        </w:rPr>
        <w:t>Executive summary</w:t>
      </w:r>
    </w:p>
    <w:p w14:paraId="302A0134" w14:textId="77777777" w:rsidR="00615775" w:rsidRPr="00D64033" w:rsidRDefault="00615775" w:rsidP="00615775">
      <w:pPr>
        <w:rPr>
          <w:rFonts w:cs="Calibri"/>
          <w:sz w:val="24"/>
          <w:szCs w:val="24"/>
        </w:rPr>
      </w:pPr>
    </w:p>
    <w:p w14:paraId="567CFD3C" w14:textId="7B0BCF15" w:rsidR="00615775" w:rsidRPr="00D64033" w:rsidRDefault="00615775" w:rsidP="00061417">
      <w:pPr>
        <w:numPr>
          <w:ilvl w:val="0"/>
          <w:numId w:val="31"/>
        </w:numPr>
        <w:spacing w:after="0" w:line="240" w:lineRule="auto"/>
        <w:ind w:hanging="644"/>
        <w:rPr>
          <w:rFonts w:cs="Calibri"/>
          <w:sz w:val="24"/>
          <w:szCs w:val="24"/>
        </w:rPr>
      </w:pPr>
      <w:r w:rsidRPr="00D64033">
        <w:rPr>
          <w:rFonts w:cs="Calibri"/>
          <w:sz w:val="24"/>
          <w:szCs w:val="24"/>
        </w:rPr>
        <w:t xml:space="preserve">This report documents the </w:t>
      </w:r>
      <w:r w:rsidR="00D64033">
        <w:rPr>
          <w:rFonts w:cs="Calibri"/>
          <w:sz w:val="24"/>
          <w:szCs w:val="24"/>
        </w:rPr>
        <w:t>findings</w:t>
      </w:r>
      <w:r w:rsidRPr="00D64033">
        <w:rPr>
          <w:rFonts w:cs="Calibri"/>
          <w:sz w:val="24"/>
          <w:szCs w:val="24"/>
        </w:rPr>
        <w:t xml:space="preserve"> and recommendation(s) of the public interest disclosure (‘</w:t>
      </w:r>
      <w:r w:rsidRPr="00D64033">
        <w:rPr>
          <w:rFonts w:cs="Calibri"/>
          <w:b/>
          <w:bCs/>
          <w:sz w:val="24"/>
          <w:szCs w:val="24"/>
        </w:rPr>
        <w:t>PID</w:t>
      </w:r>
      <w:r w:rsidRPr="00D64033">
        <w:rPr>
          <w:rFonts w:cs="Calibri"/>
          <w:sz w:val="24"/>
          <w:szCs w:val="24"/>
        </w:rPr>
        <w:t>’) investigation</w:t>
      </w:r>
      <w:r w:rsidR="00D64033">
        <w:rPr>
          <w:rFonts w:cs="Calibri"/>
          <w:sz w:val="24"/>
          <w:szCs w:val="24"/>
        </w:rPr>
        <w:t>,</w:t>
      </w:r>
      <w:r w:rsidRPr="00D64033">
        <w:rPr>
          <w:rFonts w:cs="Calibri"/>
          <w:sz w:val="24"/>
          <w:szCs w:val="24"/>
        </w:rPr>
        <w:t xml:space="preserve"> </w:t>
      </w:r>
      <w:r w:rsidR="00D64033" w:rsidRPr="00D64033">
        <w:rPr>
          <w:rFonts w:cs="Calibri"/>
          <w:sz w:val="24"/>
          <w:szCs w:val="24"/>
        </w:rPr>
        <w:t xml:space="preserve">conducted under Part 4 of the </w:t>
      </w:r>
      <w:r w:rsidR="00D64033" w:rsidRPr="00D64033">
        <w:rPr>
          <w:rFonts w:cs="Calibri"/>
          <w:i/>
          <w:iCs/>
          <w:sz w:val="24"/>
          <w:szCs w:val="24"/>
        </w:rPr>
        <w:t xml:space="preserve">Public Interest Disclosure Act 2012 </w:t>
      </w:r>
      <w:r w:rsidR="00D64033" w:rsidRPr="00D64033">
        <w:rPr>
          <w:rFonts w:cs="Calibri"/>
          <w:sz w:val="24"/>
          <w:szCs w:val="24"/>
        </w:rPr>
        <w:t>(‘</w:t>
      </w:r>
      <w:r w:rsidR="00D64033" w:rsidRPr="00D64033">
        <w:rPr>
          <w:rFonts w:cs="Calibri"/>
          <w:b/>
          <w:bCs/>
          <w:sz w:val="24"/>
          <w:szCs w:val="24"/>
        </w:rPr>
        <w:t>PID Act</w:t>
      </w:r>
      <w:r w:rsidR="00D64033" w:rsidRPr="00D64033">
        <w:rPr>
          <w:rFonts w:cs="Calibri"/>
          <w:sz w:val="24"/>
          <w:szCs w:val="24"/>
        </w:rPr>
        <w:t>’)</w:t>
      </w:r>
      <w:r w:rsidR="00D64033">
        <w:rPr>
          <w:rFonts w:cs="Calibri"/>
          <w:sz w:val="24"/>
          <w:szCs w:val="24"/>
        </w:rPr>
        <w:t xml:space="preserve">, </w:t>
      </w:r>
      <w:r w:rsidRPr="00D64033">
        <w:rPr>
          <w:rFonts w:cs="Calibri"/>
          <w:sz w:val="24"/>
          <w:szCs w:val="24"/>
        </w:rPr>
        <w:t xml:space="preserve">into information disclosed </w:t>
      </w:r>
      <w:r w:rsidRPr="00D64033">
        <w:rPr>
          <w:rFonts w:cs="Calibri"/>
          <w:b/>
          <w:bCs/>
          <w:sz w:val="24"/>
          <w:szCs w:val="24"/>
        </w:rPr>
        <w:t>[</w:t>
      </w:r>
      <w:r w:rsidRPr="00D64033">
        <w:rPr>
          <w:rFonts w:cs="Calibri"/>
          <w:sz w:val="24"/>
          <w:szCs w:val="24"/>
        </w:rPr>
        <w:t xml:space="preserve">that/of </w:t>
      </w:r>
      <w:r w:rsidRPr="00D64033">
        <w:rPr>
          <w:rFonts w:cs="Calibri"/>
          <w:b/>
          <w:bCs/>
          <w:sz w:val="24"/>
          <w:szCs w:val="24"/>
        </w:rPr>
        <w:t>INSERT]</w:t>
      </w:r>
      <w:r w:rsidRPr="00D64033">
        <w:rPr>
          <w:rFonts w:cs="Calibri"/>
          <w:sz w:val="24"/>
          <w:szCs w:val="24"/>
        </w:rPr>
        <w:t>,.</w:t>
      </w:r>
    </w:p>
    <w:p w14:paraId="140BBC5E" w14:textId="77777777" w:rsidR="00615775" w:rsidRPr="00D64033" w:rsidRDefault="00615775" w:rsidP="00615775">
      <w:pPr>
        <w:rPr>
          <w:rFonts w:cs="Calibri"/>
          <w:sz w:val="24"/>
          <w:szCs w:val="24"/>
        </w:rPr>
      </w:pPr>
    </w:p>
    <w:p w14:paraId="21462643" w14:textId="77777777" w:rsidR="00615775" w:rsidRPr="00D64033" w:rsidRDefault="00615775" w:rsidP="00061417">
      <w:pPr>
        <w:numPr>
          <w:ilvl w:val="0"/>
          <w:numId w:val="31"/>
        </w:numPr>
        <w:spacing w:after="0" w:line="240" w:lineRule="auto"/>
        <w:ind w:hanging="644"/>
        <w:rPr>
          <w:rFonts w:cs="Calibri"/>
          <w:sz w:val="24"/>
          <w:szCs w:val="24"/>
        </w:rPr>
      </w:pPr>
      <w:r w:rsidRPr="00D64033">
        <w:rPr>
          <w:rFonts w:cs="Calibri"/>
          <w:sz w:val="24"/>
          <w:szCs w:val="24"/>
        </w:rPr>
        <w:t xml:space="preserve">It recommends that </w:t>
      </w:r>
      <w:r w:rsidRPr="00D64033">
        <w:rPr>
          <w:rFonts w:cs="Calibri"/>
          <w:b/>
          <w:bCs/>
          <w:i/>
          <w:iCs/>
          <w:sz w:val="24"/>
          <w:szCs w:val="24"/>
        </w:rPr>
        <w:t>[INSERT/CHOOSE</w:t>
      </w:r>
      <w:r w:rsidRPr="00D64033">
        <w:rPr>
          <w:rFonts w:cs="Calibri"/>
          <w:b/>
          <w:bCs/>
          <w:sz w:val="24"/>
          <w:szCs w:val="24"/>
        </w:rPr>
        <w:t xml:space="preserve"> </w:t>
      </w:r>
      <w:r w:rsidRPr="00D64033">
        <w:rPr>
          <w:rFonts w:cs="Calibri"/>
          <w:b/>
          <w:bCs/>
          <w:i/>
          <w:iCs/>
          <w:sz w:val="24"/>
          <w:szCs w:val="24"/>
        </w:rPr>
        <w:t>[insert summary of recommendations]</w:t>
      </w:r>
      <w:r w:rsidRPr="00D64033">
        <w:rPr>
          <w:rFonts w:cs="Calibri"/>
          <w:i/>
          <w:iCs/>
          <w:sz w:val="24"/>
          <w:szCs w:val="24"/>
        </w:rPr>
        <w:t>/</w:t>
      </w:r>
      <w:r w:rsidRPr="00D64033">
        <w:rPr>
          <w:rFonts w:cs="Calibri"/>
          <w:sz w:val="24"/>
          <w:szCs w:val="24"/>
        </w:rPr>
        <w:t xml:space="preserve">the PID be dismissed under s 20(2) of the PID Act/the PID be referred to </w:t>
      </w:r>
      <w:r w:rsidRPr="00D64033">
        <w:rPr>
          <w:rFonts w:cs="Calibri"/>
          <w:b/>
          <w:bCs/>
          <w:i/>
          <w:iCs/>
          <w:sz w:val="24"/>
          <w:szCs w:val="24"/>
        </w:rPr>
        <w:t>[insert]</w:t>
      </w:r>
      <w:r w:rsidRPr="00D64033">
        <w:rPr>
          <w:rFonts w:cs="Calibri"/>
          <w:sz w:val="24"/>
          <w:szCs w:val="24"/>
        </w:rPr>
        <w:t xml:space="preserve"> under s 20(2)(d)(iii) of the PID Act</w:t>
      </w:r>
      <w:r w:rsidRPr="00D64033">
        <w:rPr>
          <w:rFonts w:cs="Calibri"/>
          <w:b/>
          <w:bCs/>
          <w:i/>
          <w:iCs/>
          <w:sz w:val="24"/>
          <w:szCs w:val="24"/>
        </w:rPr>
        <w:t>]</w:t>
      </w:r>
      <w:r w:rsidRPr="00D64033">
        <w:rPr>
          <w:rFonts w:cs="Calibri"/>
          <w:sz w:val="24"/>
          <w:szCs w:val="24"/>
        </w:rPr>
        <w:t>. The reasons for this recommendation are set out below.</w:t>
      </w:r>
    </w:p>
    <w:p w14:paraId="1B369017" w14:textId="77777777" w:rsidR="00615775" w:rsidRPr="00D64033" w:rsidRDefault="00615775" w:rsidP="00615775">
      <w:pPr>
        <w:rPr>
          <w:rFonts w:cs="Calibri"/>
          <w:sz w:val="24"/>
          <w:szCs w:val="24"/>
        </w:rPr>
      </w:pPr>
    </w:p>
    <w:p w14:paraId="17427B3B" w14:textId="77777777" w:rsidR="00615775" w:rsidRPr="00D64033" w:rsidRDefault="00615775" w:rsidP="00615775">
      <w:pPr>
        <w:rPr>
          <w:rFonts w:cs="Calibri"/>
          <w:b/>
          <w:bCs/>
          <w:sz w:val="24"/>
          <w:szCs w:val="24"/>
        </w:rPr>
      </w:pPr>
      <w:r w:rsidRPr="00D64033">
        <w:rPr>
          <w:rFonts w:cs="Calibri"/>
          <w:b/>
          <w:bCs/>
          <w:sz w:val="24"/>
          <w:szCs w:val="24"/>
        </w:rPr>
        <w:t xml:space="preserve">Background </w:t>
      </w:r>
    </w:p>
    <w:p w14:paraId="6C7E34BD" w14:textId="77777777" w:rsidR="00615775" w:rsidRPr="00D64033" w:rsidRDefault="00615775" w:rsidP="00615775">
      <w:pPr>
        <w:rPr>
          <w:rFonts w:cs="Calibri"/>
          <w:b/>
          <w:bCs/>
          <w:sz w:val="24"/>
          <w:szCs w:val="24"/>
        </w:rPr>
      </w:pPr>
    </w:p>
    <w:p w14:paraId="40BA1A3D" w14:textId="77777777" w:rsidR="00615775" w:rsidRPr="00D64033" w:rsidRDefault="00615775" w:rsidP="00061417">
      <w:pPr>
        <w:numPr>
          <w:ilvl w:val="0"/>
          <w:numId w:val="31"/>
        </w:numPr>
        <w:spacing w:after="0" w:line="240" w:lineRule="auto"/>
        <w:ind w:hanging="644"/>
        <w:rPr>
          <w:rFonts w:cs="Calibri"/>
          <w:i/>
          <w:iCs/>
          <w:color w:val="FF0000"/>
          <w:sz w:val="24"/>
          <w:szCs w:val="24"/>
        </w:rPr>
      </w:pPr>
      <w:r w:rsidRPr="00D64033">
        <w:rPr>
          <w:rFonts w:cs="Calibri"/>
          <w:i/>
          <w:iCs/>
          <w:color w:val="FF0000"/>
          <w:sz w:val="24"/>
          <w:szCs w:val="24"/>
        </w:rPr>
        <w:t>[Identify how, when and from whom the matter was referred or reported. This will be included in the referral documentation you receive from the Integrity Commission. If there are issues relating to the assessment process as conducted by the Integrity Commission or determination of jurisdiction, include them here]</w:t>
      </w:r>
    </w:p>
    <w:p w14:paraId="3E8D7F6F" w14:textId="0155E56D" w:rsidR="00615775" w:rsidRDefault="00615775" w:rsidP="00615775">
      <w:pPr>
        <w:rPr>
          <w:rFonts w:cs="Calibri"/>
          <w:sz w:val="24"/>
          <w:szCs w:val="24"/>
        </w:rPr>
      </w:pPr>
    </w:p>
    <w:p w14:paraId="574F44A3" w14:textId="77777777" w:rsidR="0081326A" w:rsidRPr="00D64033" w:rsidRDefault="0081326A" w:rsidP="00615775">
      <w:pPr>
        <w:rPr>
          <w:rFonts w:cs="Calibri"/>
          <w:sz w:val="24"/>
          <w:szCs w:val="24"/>
        </w:rPr>
      </w:pPr>
    </w:p>
    <w:p w14:paraId="555EA708" w14:textId="77777777" w:rsidR="00615775" w:rsidRPr="00D64033" w:rsidRDefault="00615775" w:rsidP="00615775">
      <w:pPr>
        <w:rPr>
          <w:rFonts w:cs="Calibri"/>
          <w:sz w:val="24"/>
          <w:szCs w:val="24"/>
        </w:rPr>
      </w:pPr>
      <w:r w:rsidRPr="00D64033">
        <w:rPr>
          <w:rFonts w:cs="Calibri"/>
          <w:b/>
          <w:bCs/>
          <w:sz w:val="24"/>
          <w:szCs w:val="24"/>
        </w:rPr>
        <w:lastRenderedPageBreak/>
        <w:t>The information disclosed</w:t>
      </w:r>
    </w:p>
    <w:p w14:paraId="2B3AB25A" w14:textId="77777777" w:rsidR="00615775" w:rsidRPr="00D64033" w:rsidRDefault="00615775" w:rsidP="00615775">
      <w:pPr>
        <w:rPr>
          <w:rFonts w:cs="Calibri"/>
          <w:sz w:val="24"/>
          <w:szCs w:val="24"/>
        </w:rPr>
      </w:pPr>
    </w:p>
    <w:p w14:paraId="05D8F560" w14:textId="77777777" w:rsidR="00615775" w:rsidRPr="00D64033" w:rsidRDefault="00615775" w:rsidP="00061417">
      <w:pPr>
        <w:numPr>
          <w:ilvl w:val="0"/>
          <w:numId w:val="31"/>
        </w:numPr>
        <w:spacing w:after="0" w:line="240" w:lineRule="auto"/>
        <w:ind w:hanging="644"/>
        <w:rPr>
          <w:rFonts w:cs="Calibri"/>
          <w:sz w:val="24"/>
          <w:szCs w:val="24"/>
        </w:rPr>
      </w:pPr>
      <w:r w:rsidRPr="00D64033">
        <w:rPr>
          <w:rFonts w:cs="Calibri"/>
          <w:sz w:val="24"/>
          <w:szCs w:val="24"/>
        </w:rPr>
        <w:t xml:space="preserve">The following disclosed information was the subject of this investigation: </w:t>
      </w:r>
    </w:p>
    <w:p w14:paraId="6F4A0CB5" w14:textId="77777777" w:rsidR="00615775" w:rsidRPr="00D64033" w:rsidRDefault="00615775" w:rsidP="00615775">
      <w:pPr>
        <w:rPr>
          <w:rFonts w:cs="Calibri"/>
          <w:sz w:val="24"/>
          <w:szCs w:val="24"/>
        </w:rPr>
      </w:pPr>
    </w:p>
    <w:p w14:paraId="06D67BBC" w14:textId="77777777" w:rsidR="00615775" w:rsidRPr="00D64033" w:rsidRDefault="00615775" w:rsidP="00061417">
      <w:pPr>
        <w:numPr>
          <w:ilvl w:val="0"/>
          <w:numId w:val="32"/>
        </w:numPr>
        <w:spacing w:after="0" w:line="240" w:lineRule="auto"/>
        <w:rPr>
          <w:rFonts w:cs="Calibri"/>
          <w:sz w:val="24"/>
          <w:szCs w:val="24"/>
        </w:rPr>
      </w:pPr>
      <w:r w:rsidRPr="00D64033">
        <w:rPr>
          <w:rFonts w:cs="Calibri"/>
          <w:sz w:val="24"/>
          <w:szCs w:val="24"/>
        </w:rPr>
        <w:t xml:space="preserve">Disclosed information 1: </w:t>
      </w:r>
      <w:r w:rsidRPr="00D64033">
        <w:rPr>
          <w:rFonts w:cs="Calibri"/>
          <w:b/>
          <w:bCs/>
          <w:i/>
          <w:iCs/>
          <w:sz w:val="24"/>
          <w:szCs w:val="24"/>
        </w:rPr>
        <w:t>[INSERT disclosed information]</w:t>
      </w:r>
    </w:p>
    <w:p w14:paraId="6D559810" w14:textId="77777777" w:rsidR="00615775" w:rsidRPr="00D64033" w:rsidRDefault="00615775" w:rsidP="00615775">
      <w:pPr>
        <w:rPr>
          <w:rFonts w:cs="Calibri"/>
          <w:sz w:val="24"/>
          <w:szCs w:val="24"/>
        </w:rPr>
      </w:pPr>
    </w:p>
    <w:p w14:paraId="07B78392" w14:textId="6EAFCD21" w:rsidR="00615775" w:rsidRPr="00D64033" w:rsidRDefault="00615775" w:rsidP="00061417">
      <w:pPr>
        <w:numPr>
          <w:ilvl w:val="0"/>
          <w:numId w:val="32"/>
        </w:numPr>
        <w:spacing w:after="0" w:line="240" w:lineRule="auto"/>
        <w:rPr>
          <w:rFonts w:cs="Calibri"/>
          <w:sz w:val="24"/>
          <w:szCs w:val="24"/>
        </w:rPr>
      </w:pPr>
      <w:r w:rsidRPr="00D64033">
        <w:rPr>
          <w:rFonts w:cs="Calibri"/>
          <w:sz w:val="24"/>
          <w:szCs w:val="24"/>
        </w:rPr>
        <w:t xml:space="preserve">Disclosed information 2: ……………………………………………………. </w:t>
      </w:r>
      <w:r w:rsidRPr="00D64033">
        <w:rPr>
          <w:rFonts w:cs="Calibri"/>
          <w:i/>
          <w:iCs/>
          <w:color w:val="FF0000"/>
          <w:sz w:val="24"/>
          <w:szCs w:val="24"/>
        </w:rPr>
        <w:t>[add</w:t>
      </w:r>
      <w:r w:rsidR="004D0B34">
        <w:rPr>
          <w:rFonts w:cs="Calibri"/>
          <w:i/>
          <w:iCs/>
          <w:color w:val="FF0000"/>
          <w:sz w:val="24"/>
          <w:szCs w:val="24"/>
        </w:rPr>
        <w:t> </w:t>
      </w:r>
      <w:r w:rsidRPr="00D64033">
        <w:rPr>
          <w:rFonts w:cs="Calibri"/>
          <w:i/>
          <w:iCs/>
          <w:color w:val="FF0000"/>
          <w:sz w:val="24"/>
          <w:szCs w:val="24"/>
        </w:rPr>
        <w:t>or delete as necessary]</w:t>
      </w:r>
    </w:p>
    <w:p w14:paraId="263F1EEE" w14:textId="77777777" w:rsidR="00615775" w:rsidRPr="00D64033" w:rsidRDefault="00615775" w:rsidP="00615775">
      <w:pPr>
        <w:pStyle w:val="ListParagraph"/>
        <w:rPr>
          <w:rFonts w:cs="Calibri"/>
          <w:sz w:val="24"/>
          <w:szCs w:val="24"/>
        </w:rPr>
      </w:pPr>
    </w:p>
    <w:p w14:paraId="5E924E5A" w14:textId="77777777" w:rsidR="00615775" w:rsidRPr="00D64033" w:rsidRDefault="00615775" w:rsidP="00615775">
      <w:pPr>
        <w:ind w:left="1004"/>
        <w:rPr>
          <w:rFonts w:cs="Calibri"/>
          <w:sz w:val="24"/>
          <w:szCs w:val="24"/>
        </w:rPr>
      </w:pPr>
    </w:p>
    <w:p w14:paraId="2DD4ADE2" w14:textId="77777777" w:rsidR="00615775" w:rsidRPr="00D64033" w:rsidRDefault="00615775" w:rsidP="00615775">
      <w:pPr>
        <w:keepNext/>
        <w:rPr>
          <w:rFonts w:cs="Calibri"/>
          <w:b/>
          <w:bCs/>
          <w:sz w:val="24"/>
          <w:szCs w:val="24"/>
        </w:rPr>
      </w:pPr>
      <w:r w:rsidRPr="00D64033">
        <w:rPr>
          <w:rFonts w:cs="Calibri"/>
          <w:b/>
          <w:bCs/>
          <w:sz w:val="24"/>
          <w:szCs w:val="24"/>
        </w:rPr>
        <w:t>Involved persons/entities</w:t>
      </w:r>
    </w:p>
    <w:p w14:paraId="531F931D" w14:textId="77777777" w:rsidR="00615775" w:rsidRPr="00D64033" w:rsidRDefault="00615775" w:rsidP="00615775">
      <w:pPr>
        <w:keepNext/>
        <w:ind w:left="646"/>
        <w:rPr>
          <w:rFonts w:cs="Calibri"/>
          <w:sz w:val="24"/>
          <w:szCs w:val="24"/>
        </w:rPr>
      </w:pPr>
    </w:p>
    <w:p w14:paraId="7D5B9B78" w14:textId="77777777" w:rsidR="00615775" w:rsidRPr="00D64033" w:rsidRDefault="00615775" w:rsidP="00061417">
      <w:pPr>
        <w:keepNext/>
        <w:numPr>
          <w:ilvl w:val="0"/>
          <w:numId w:val="31"/>
        </w:numPr>
        <w:spacing w:after="0" w:line="240" w:lineRule="auto"/>
        <w:ind w:left="646" w:hanging="646"/>
        <w:rPr>
          <w:rFonts w:cs="Calibri"/>
          <w:sz w:val="24"/>
          <w:szCs w:val="24"/>
        </w:rPr>
      </w:pPr>
      <w:r w:rsidRPr="00D64033">
        <w:rPr>
          <w:rFonts w:cs="Calibri"/>
          <w:sz w:val="24"/>
          <w:szCs w:val="24"/>
        </w:rPr>
        <w:t>The following table identifies witnesses approached for information during the investigation:</w:t>
      </w:r>
    </w:p>
    <w:p w14:paraId="3E6845ED" w14:textId="77777777" w:rsidR="00615775" w:rsidRPr="00D64033" w:rsidRDefault="00615775" w:rsidP="00615775">
      <w:pPr>
        <w:keepNext/>
        <w:ind w:left="646"/>
        <w:rPr>
          <w:rFonts w:cs="Calibri"/>
          <w:sz w:val="24"/>
          <w:szCs w:val="24"/>
        </w:rPr>
      </w:pPr>
    </w:p>
    <w:p w14:paraId="414F6E56" w14:textId="77777777" w:rsidR="00615775" w:rsidRPr="00D64033" w:rsidRDefault="00615775" w:rsidP="00615775">
      <w:pPr>
        <w:rPr>
          <w:vanish/>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3012"/>
        <w:gridCol w:w="3019"/>
      </w:tblGrid>
      <w:tr w:rsidR="00615775" w:rsidRPr="00D64033" w14:paraId="3D4BD1F1" w14:textId="77777777" w:rsidTr="00750738">
        <w:tc>
          <w:tcPr>
            <w:tcW w:w="2221" w:type="dxa"/>
            <w:shd w:val="pct10" w:color="auto" w:fill="auto"/>
          </w:tcPr>
          <w:p w14:paraId="1F48BFE5" w14:textId="77777777" w:rsidR="00615775" w:rsidRPr="00D64033" w:rsidRDefault="00615775" w:rsidP="00750738">
            <w:pPr>
              <w:keepNext/>
              <w:rPr>
                <w:rFonts w:cs="Calibri"/>
                <w:b/>
                <w:bCs/>
                <w:sz w:val="24"/>
                <w:szCs w:val="24"/>
              </w:rPr>
            </w:pPr>
            <w:r w:rsidRPr="00D64033">
              <w:rPr>
                <w:rFonts w:cs="Calibri"/>
                <w:b/>
                <w:bCs/>
                <w:sz w:val="24"/>
                <w:szCs w:val="24"/>
              </w:rPr>
              <w:t>Name</w:t>
            </w:r>
          </w:p>
        </w:tc>
        <w:tc>
          <w:tcPr>
            <w:tcW w:w="3039" w:type="dxa"/>
            <w:shd w:val="pct10" w:color="auto" w:fill="auto"/>
          </w:tcPr>
          <w:p w14:paraId="44F68830" w14:textId="77777777" w:rsidR="00615775" w:rsidRPr="00D64033" w:rsidRDefault="00615775" w:rsidP="00750738">
            <w:pPr>
              <w:rPr>
                <w:rFonts w:cs="Calibri"/>
                <w:b/>
                <w:bCs/>
                <w:sz w:val="24"/>
                <w:szCs w:val="24"/>
              </w:rPr>
            </w:pPr>
            <w:r w:rsidRPr="00D64033">
              <w:rPr>
                <w:rFonts w:cs="Calibri"/>
                <w:b/>
                <w:bCs/>
                <w:sz w:val="24"/>
                <w:szCs w:val="24"/>
              </w:rPr>
              <w:t>Position/relevance</w:t>
            </w:r>
          </w:p>
        </w:tc>
        <w:tc>
          <w:tcPr>
            <w:tcW w:w="3039" w:type="dxa"/>
            <w:shd w:val="pct10" w:color="auto" w:fill="auto"/>
          </w:tcPr>
          <w:p w14:paraId="40D364AA" w14:textId="77777777" w:rsidR="00615775" w:rsidRPr="00D64033" w:rsidRDefault="00615775" w:rsidP="00750738">
            <w:pPr>
              <w:rPr>
                <w:rFonts w:cs="Calibri"/>
                <w:b/>
                <w:bCs/>
                <w:sz w:val="24"/>
                <w:szCs w:val="24"/>
              </w:rPr>
            </w:pPr>
            <w:r w:rsidRPr="00D64033">
              <w:rPr>
                <w:rFonts w:cs="Calibri"/>
                <w:b/>
                <w:bCs/>
                <w:sz w:val="24"/>
                <w:szCs w:val="24"/>
              </w:rPr>
              <w:t>Information/material supplied</w:t>
            </w:r>
          </w:p>
          <w:p w14:paraId="08C9B5B0" w14:textId="77777777" w:rsidR="00615775" w:rsidRPr="00D64033" w:rsidRDefault="00615775" w:rsidP="00750738">
            <w:pPr>
              <w:rPr>
                <w:rFonts w:cs="Calibri"/>
                <w:b/>
                <w:bCs/>
                <w:sz w:val="24"/>
                <w:szCs w:val="24"/>
              </w:rPr>
            </w:pPr>
          </w:p>
        </w:tc>
      </w:tr>
      <w:tr w:rsidR="00615775" w:rsidRPr="00D64033" w14:paraId="05379C10" w14:textId="77777777" w:rsidTr="00750738">
        <w:tc>
          <w:tcPr>
            <w:tcW w:w="2221" w:type="dxa"/>
            <w:shd w:val="clear" w:color="auto" w:fill="auto"/>
          </w:tcPr>
          <w:p w14:paraId="20C1DC73" w14:textId="77777777" w:rsidR="00615775" w:rsidRPr="00D64033" w:rsidRDefault="00615775" w:rsidP="00750738">
            <w:pPr>
              <w:rPr>
                <w:rFonts w:cs="Calibri"/>
                <w:sz w:val="24"/>
                <w:szCs w:val="24"/>
              </w:rPr>
            </w:pPr>
          </w:p>
        </w:tc>
        <w:tc>
          <w:tcPr>
            <w:tcW w:w="3039" w:type="dxa"/>
            <w:shd w:val="clear" w:color="auto" w:fill="auto"/>
          </w:tcPr>
          <w:p w14:paraId="4832EFB5" w14:textId="77777777" w:rsidR="00615775" w:rsidRPr="00D64033" w:rsidRDefault="00615775" w:rsidP="00750738">
            <w:pPr>
              <w:rPr>
                <w:rFonts w:cs="Calibri"/>
                <w:sz w:val="24"/>
                <w:szCs w:val="24"/>
              </w:rPr>
            </w:pPr>
          </w:p>
        </w:tc>
        <w:tc>
          <w:tcPr>
            <w:tcW w:w="3039" w:type="dxa"/>
            <w:shd w:val="clear" w:color="auto" w:fill="auto"/>
          </w:tcPr>
          <w:p w14:paraId="6522DAFA" w14:textId="77777777" w:rsidR="00615775" w:rsidRPr="00D64033" w:rsidRDefault="00615775" w:rsidP="00750738">
            <w:pPr>
              <w:rPr>
                <w:rFonts w:cs="Calibri"/>
                <w:sz w:val="24"/>
                <w:szCs w:val="24"/>
              </w:rPr>
            </w:pPr>
          </w:p>
        </w:tc>
      </w:tr>
      <w:tr w:rsidR="00615775" w:rsidRPr="00D64033" w14:paraId="00D52BC4" w14:textId="77777777" w:rsidTr="00750738">
        <w:tc>
          <w:tcPr>
            <w:tcW w:w="2221" w:type="dxa"/>
            <w:shd w:val="clear" w:color="auto" w:fill="auto"/>
          </w:tcPr>
          <w:p w14:paraId="416AD33A" w14:textId="77777777" w:rsidR="00615775" w:rsidRPr="00D64033" w:rsidRDefault="00615775" w:rsidP="00750738">
            <w:pPr>
              <w:rPr>
                <w:rFonts w:cs="Calibri"/>
                <w:sz w:val="24"/>
                <w:szCs w:val="24"/>
              </w:rPr>
            </w:pPr>
          </w:p>
        </w:tc>
        <w:tc>
          <w:tcPr>
            <w:tcW w:w="3039" w:type="dxa"/>
            <w:shd w:val="clear" w:color="auto" w:fill="auto"/>
          </w:tcPr>
          <w:p w14:paraId="3A362180" w14:textId="77777777" w:rsidR="00615775" w:rsidRPr="00D64033" w:rsidRDefault="00615775" w:rsidP="00750738">
            <w:pPr>
              <w:rPr>
                <w:rFonts w:cs="Calibri"/>
                <w:sz w:val="24"/>
                <w:szCs w:val="24"/>
              </w:rPr>
            </w:pPr>
          </w:p>
        </w:tc>
        <w:tc>
          <w:tcPr>
            <w:tcW w:w="3039" w:type="dxa"/>
            <w:shd w:val="clear" w:color="auto" w:fill="auto"/>
          </w:tcPr>
          <w:p w14:paraId="49B005A3" w14:textId="77777777" w:rsidR="00615775" w:rsidRPr="00D64033" w:rsidRDefault="00615775" w:rsidP="00750738">
            <w:pPr>
              <w:rPr>
                <w:rFonts w:cs="Calibri"/>
                <w:sz w:val="24"/>
                <w:szCs w:val="24"/>
              </w:rPr>
            </w:pPr>
          </w:p>
        </w:tc>
      </w:tr>
      <w:tr w:rsidR="00615775" w:rsidRPr="00D64033" w14:paraId="34B1125C" w14:textId="77777777" w:rsidTr="00750738">
        <w:tc>
          <w:tcPr>
            <w:tcW w:w="2221" w:type="dxa"/>
            <w:shd w:val="clear" w:color="auto" w:fill="auto"/>
          </w:tcPr>
          <w:p w14:paraId="0CFCA0C0" w14:textId="77777777" w:rsidR="00615775" w:rsidRPr="00D64033" w:rsidRDefault="00615775" w:rsidP="00750738">
            <w:pPr>
              <w:rPr>
                <w:rFonts w:cs="Calibri"/>
                <w:sz w:val="24"/>
                <w:szCs w:val="24"/>
              </w:rPr>
            </w:pPr>
          </w:p>
        </w:tc>
        <w:tc>
          <w:tcPr>
            <w:tcW w:w="3039" w:type="dxa"/>
            <w:shd w:val="clear" w:color="auto" w:fill="auto"/>
          </w:tcPr>
          <w:p w14:paraId="52AF8F1C" w14:textId="77777777" w:rsidR="00615775" w:rsidRPr="00D64033" w:rsidRDefault="00615775" w:rsidP="00750738">
            <w:pPr>
              <w:rPr>
                <w:rFonts w:cs="Calibri"/>
                <w:sz w:val="24"/>
                <w:szCs w:val="24"/>
              </w:rPr>
            </w:pPr>
          </w:p>
        </w:tc>
        <w:tc>
          <w:tcPr>
            <w:tcW w:w="3039" w:type="dxa"/>
            <w:shd w:val="clear" w:color="auto" w:fill="auto"/>
          </w:tcPr>
          <w:p w14:paraId="341214B4" w14:textId="77777777" w:rsidR="00615775" w:rsidRPr="00D64033" w:rsidRDefault="00615775" w:rsidP="00750738">
            <w:pPr>
              <w:rPr>
                <w:rFonts w:cs="Calibri"/>
                <w:sz w:val="24"/>
                <w:szCs w:val="24"/>
              </w:rPr>
            </w:pPr>
          </w:p>
        </w:tc>
      </w:tr>
      <w:tr w:rsidR="00615775" w:rsidRPr="00D64033" w14:paraId="434A53F5" w14:textId="77777777" w:rsidTr="00750738">
        <w:tc>
          <w:tcPr>
            <w:tcW w:w="2221" w:type="dxa"/>
            <w:shd w:val="clear" w:color="auto" w:fill="auto"/>
          </w:tcPr>
          <w:p w14:paraId="081A2C84" w14:textId="77777777" w:rsidR="00615775" w:rsidRPr="00D64033" w:rsidRDefault="00615775" w:rsidP="00750738">
            <w:pPr>
              <w:rPr>
                <w:rFonts w:cs="Calibri"/>
                <w:sz w:val="24"/>
                <w:szCs w:val="24"/>
              </w:rPr>
            </w:pPr>
          </w:p>
        </w:tc>
        <w:tc>
          <w:tcPr>
            <w:tcW w:w="3039" w:type="dxa"/>
            <w:shd w:val="clear" w:color="auto" w:fill="auto"/>
          </w:tcPr>
          <w:p w14:paraId="6F2A764D" w14:textId="77777777" w:rsidR="00615775" w:rsidRPr="00D64033" w:rsidRDefault="00615775" w:rsidP="00750738">
            <w:pPr>
              <w:rPr>
                <w:rFonts w:cs="Calibri"/>
                <w:sz w:val="24"/>
                <w:szCs w:val="24"/>
              </w:rPr>
            </w:pPr>
          </w:p>
        </w:tc>
        <w:tc>
          <w:tcPr>
            <w:tcW w:w="3039" w:type="dxa"/>
            <w:shd w:val="clear" w:color="auto" w:fill="auto"/>
          </w:tcPr>
          <w:p w14:paraId="4B096A93" w14:textId="77777777" w:rsidR="00615775" w:rsidRPr="00D64033" w:rsidRDefault="00615775" w:rsidP="00750738">
            <w:pPr>
              <w:rPr>
                <w:rFonts w:cs="Calibri"/>
                <w:sz w:val="24"/>
                <w:szCs w:val="24"/>
              </w:rPr>
            </w:pPr>
          </w:p>
        </w:tc>
      </w:tr>
    </w:tbl>
    <w:p w14:paraId="1583AD95" w14:textId="77777777" w:rsidR="00615775" w:rsidRPr="00D64033" w:rsidRDefault="00615775" w:rsidP="00615775">
      <w:pPr>
        <w:rPr>
          <w:rFonts w:cs="Calibri"/>
          <w:sz w:val="24"/>
          <w:szCs w:val="24"/>
        </w:rPr>
      </w:pPr>
    </w:p>
    <w:p w14:paraId="77A6DCDB" w14:textId="77777777" w:rsidR="00615775" w:rsidRPr="00D64033" w:rsidRDefault="00615775" w:rsidP="00615775">
      <w:pPr>
        <w:rPr>
          <w:rFonts w:cs="Calibri"/>
          <w:b/>
          <w:bCs/>
          <w:sz w:val="24"/>
          <w:szCs w:val="24"/>
        </w:rPr>
      </w:pPr>
      <w:r w:rsidRPr="00D64033">
        <w:rPr>
          <w:rFonts w:cs="Calibri"/>
          <w:b/>
          <w:bCs/>
          <w:sz w:val="24"/>
          <w:szCs w:val="24"/>
        </w:rPr>
        <w:t>Facts established</w:t>
      </w:r>
    </w:p>
    <w:p w14:paraId="5773B272" w14:textId="77777777" w:rsidR="00615775" w:rsidRPr="00D64033" w:rsidRDefault="00615775" w:rsidP="00615775">
      <w:pPr>
        <w:rPr>
          <w:rFonts w:cs="Calibri"/>
          <w:sz w:val="24"/>
          <w:szCs w:val="24"/>
        </w:rPr>
      </w:pPr>
    </w:p>
    <w:p w14:paraId="0C91A70B" w14:textId="77777777" w:rsidR="00615775" w:rsidRPr="00D64033" w:rsidRDefault="00615775" w:rsidP="00615775">
      <w:pPr>
        <w:rPr>
          <w:rFonts w:cs="Calibri"/>
          <w:i/>
          <w:iCs/>
          <w:sz w:val="24"/>
          <w:szCs w:val="24"/>
        </w:rPr>
      </w:pPr>
      <w:r w:rsidRPr="00D64033">
        <w:rPr>
          <w:rFonts w:cs="Calibri"/>
          <w:i/>
          <w:iCs/>
          <w:sz w:val="24"/>
          <w:szCs w:val="24"/>
        </w:rPr>
        <w:t>Disclosed information 1</w:t>
      </w:r>
    </w:p>
    <w:p w14:paraId="4AC20C7D" w14:textId="77777777" w:rsidR="00615775" w:rsidRPr="00D64033" w:rsidRDefault="00615775" w:rsidP="00615775">
      <w:pPr>
        <w:rPr>
          <w:rFonts w:cs="Calibri"/>
          <w:sz w:val="24"/>
          <w:szCs w:val="24"/>
        </w:rPr>
      </w:pPr>
    </w:p>
    <w:p w14:paraId="1165F9CB" w14:textId="77777777" w:rsidR="00615775" w:rsidRPr="00D64033" w:rsidRDefault="00615775" w:rsidP="00061417">
      <w:pPr>
        <w:numPr>
          <w:ilvl w:val="0"/>
          <w:numId w:val="31"/>
        </w:numPr>
        <w:spacing w:after="0" w:line="240" w:lineRule="auto"/>
        <w:ind w:hanging="644"/>
        <w:rPr>
          <w:rFonts w:cs="Calibri"/>
          <w:b/>
          <w:bCs/>
          <w:sz w:val="24"/>
          <w:szCs w:val="24"/>
        </w:rPr>
      </w:pPr>
      <w:r w:rsidRPr="00D64033">
        <w:rPr>
          <w:rFonts w:cs="Calibri"/>
          <w:sz w:val="24"/>
          <w:szCs w:val="24"/>
        </w:rPr>
        <w:t xml:space="preserve">This information disclosed appears to be </w:t>
      </w:r>
      <w:r w:rsidRPr="00D64033">
        <w:rPr>
          <w:rFonts w:cs="Calibri"/>
          <w:b/>
          <w:bCs/>
          <w:sz w:val="24"/>
          <w:szCs w:val="24"/>
        </w:rPr>
        <w:t>[</w:t>
      </w:r>
      <w:r w:rsidRPr="00D64033">
        <w:rPr>
          <w:rFonts w:cs="Calibri"/>
          <w:sz w:val="24"/>
          <w:szCs w:val="24"/>
        </w:rPr>
        <w:t>substantiated/unsubstantiated</w:t>
      </w:r>
      <w:r w:rsidRPr="00D64033">
        <w:rPr>
          <w:rFonts w:cs="Calibri"/>
          <w:b/>
          <w:bCs/>
          <w:sz w:val="24"/>
          <w:szCs w:val="24"/>
        </w:rPr>
        <w:t>] [</w:t>
      </w:r>
      <w:r w:rsidRPr="00D64033">
        <w:rPr>
          <w:rFonts w:cs="Calibri"/>
          <w:i/>
          <w:iCs/>
          <w:color w:val="FF0000"/>
          <w:sz w:val="24"/>
          <w:szCs w:val="24"/>
        </w:rPr>
        <w:t>include as required</w:t>
      </w:r>
      <w:r w:rsidRPr="00D64033">
        <w:rPr>
          <w:rFonts w:cs="Calibri"/>
          <w:b/>
          <w:bCs/>
          <w:sz w:val="24"/>
          <w:szCs w:val="24"/>
        </w:rPr>
        <w:t xml:space="preserve"> </w:t>
      </w:r>
      <w:r w:rsidRPr="00D64033">
        <w:rPr>
          <w:rFonts w:cs="Calibri"/>
          <w:sz w:val="24"/>
          <w:szCs w:val="24"/>
        </w:rPr>
        <w:t>in part</w:t>
      </w:r>
      <w:r w:rsidRPr="00D64033">
        <w:rPr>
          <w:rFonts w:cs="Calibri"/>
          <w:b/>
          <w:bCs/>
          <w:sz w:val="24"/>
          <w:szCs w:val="24"/>
        </w:rPr>
        <w:t>]</w:t>
      </w:r>
      <w:r w:rsidRPr="00D64033">
        <w:rPr>
          <w:rFonts w:cs="Calibri"/>
          <w:sz w:val="24"/>
          <w:szCs w:val="24"/>
        </w:rPr>
        <w:t>.</w:t>
      </w:r>
    </w:p>
    <w:p w14:paraId="102CA72F" w14:textId="77777777" w:rsidR="00615775" w:rsidRPr="00D64033" w:rsidRDefault="00615775" w:rsidP="00615775">
      <w:pPr>
        <w:ind w:left="644"/>
        <w:rPr>
          <w:rFonts w:cs="Calibri"/>
          <w:b/>
          <w:bCs/>
          <w:sz w:val="24"/>
          <w:szCs w:val="24"/>
        </w:rPr>
      </w:pPr>
    </w:p>
    <w:p w14:paraId="1C165FA9" w14:textId="77777777" w:rsidR="00615775" w:rsidRPr="00D64033" w:rsidRDefault="00615775" w:rsidP="00061417">
      <w:pPr>
        <w:numPr>
          <w:ilvl w:val="0"/>
          <w:numId w:val="31"/>
        </w:numPr>
        <w:spacing w:after="0" w:line="240" w:lineRule="auto"/>
        <w:ind w:hanging="644"/>
        <w:rPr>
          <w:rFonts w:cs="Calibri"/>
          <w:b/>
          <w:bCs/>
          <w:sz w:val="24"/>
          <w:szCs w:val="24"/>
        </w:rPr>
      </w:pPr>
      <w:r w:rsidRPr="00D64033">
        <w:rPr>
          <w:rFonts w:cs="Calibri"/>
          <w:i/>
          <w:iCs/>
          <w:color w:val="FF0000"/>
          <w:sz w:val="24"/>
          <w:szCs w:val="24"/>
        </w:rPr>
        <w:t xml:space="preserve">[This section details how the conduct described in the information disclosed occurred and what facts were established.  You are required to provide a narrative in a simple chronological order. Be mindful of your audience and avoid investigator terminology or jargon. This narrative will include facts uncovered </w:t>
      </w:r>
      <w:r w:rsidRPr="00D64033">
        <w:rPr>
          <w:rFonts w:cs="Calibri"/>
          <w:i/>
          <w:iCs/>
          <w:color w:val="FF0000"/>
          <w:sz w:val="24"/>
          <w:szCs w:val="24"/>
        </w:rPr>
        <w:lastRenderedPageBreak/>
        <w:t>during the investigation</w:t>
      </w:r>
      <w:r w:rsidRPr="00D64033">
        <w:rPr>
          <w:rFonts w:cs="Calibri"/>
          <w:sz w:val="24"/>
          <w:szCs w:val="24"/>
        </w:rPr>
        <w:t xml:space="preserve">. </w:t>
      </w:r>
      <w:r w:rsidRPr="00D64033">
        <w:rPr>
          <w:rFonts w:cs="Calibri"/>
          <w:i/>
          <w:iCs/>
          <w:color w:val="FF0000"/>
          <w:sz w:val="24"/>
          <w:szCs w:val="24"/>
        </w:rPr>
        <w:t>Where issues are contested/unclear (for example because of competing witness versions) please note that. This should include any response an affected person has given to the disclosed information. For more detailed/lengthy information that needs to be include, consider using an Annexure/Appendix to include that.]</w:t>
      </w:r>
    </w:p>
    <w:p w14:paraId="2160A8F8" w14:textId="77777777" w:rsidR="00615775" w:rsidRPr="00D64033" w:rsidRDefault="00615775" w:rsidP="00615775">
      <w:pPr>
        <w:pStyle w:val="ListParagraph"/>
        <w:ind w:left="644"/>
        <w:rPr>
          <w:rFonts w:cs="Calibri"/>
          <w:b/>
          <w:bCs/>
          <w:sz w:val="24"/>
          <w:szCs w:val="24"/>
          <w:u w:val="single"/>
        </w:rPr>
      </w:pPr>
    </w:p>
    <w:p w14:paraId="143EEC04" w14:textId="77777777" w:rsidR="00615775" w:rsidRPr="00D64033" w:rsidRDefault="00615775" w:rsidP="00615775">
      <w:pPr>
        <w:keepNext/>
        <w:rPr>
          <w:rFonts w:cs="Calibri"/>
          <w:sz w:val="24"/>
          <w:szCs w:val="24"/>
        </w:rPr>
      </w:pPr>
      <w:r w:rsidRPr="00D64033">
        <w:rPr>
          <w:rFonts w:cs="Calibri"/>
          <w:i/>
          <w:iCs/>
          <w:sz w:val="24"/>
          <w:szCs w:val="24"/>
        </w:rPr>
        <w:t>Disclosed information 2</w:t>
      </w:r>
    </w:p>
    <w:p w14:paraId="4CF11897" w14:textId="77777777" w:rsidR="00615775" w:rsidRPr="00D64033" w:rsidRDefault="00615775" w:rsidP="00615775">
      <w:pPr>
        <w:rPr>
          <w:rFonts w:cs="Calibri"/>
          <w:sz w:val="24"/>
          <w:szCs w:val="24"/>
        </w:rPr>
      </w:pPr>
    </w:p>
    <w:p w14:paraId="5849291A" w14:textId="77777777" w:rsidR="00615775" w:rsidRPr="00D64033" w:rsidRDefault="00615775" w:rsidP="00061417">
      <w:pPr>
        <w:numPr>
          <w:ilvl w:val="0"/>
          <w:numId w:val="31"/>
        </w:numPr>
        <w:spacing w:after="0" w:line="240" w:lineRule="auto"/>
        <w:ind w:hanging="644"/>
        <w:rPr>
          <w:rFonts w:cs="Calibri"/>
          <w:b/>
          <w:bCs/>
          <w:sz w:val="24"/>
          <w:szCs w:val="24"/>
        </w:rPr>
      </w:pPr>
      <w:r w:rsidRPr="00D64033">
        <w:rPr>
          <w:rFonts w:cs="Calibri"/>
          <w:sz w:val="24"/>
          <w:szCs w:val="24"/>
        </w:rPr>
        <w:t xml:space="preserve">This information disclosed appears to be </w:t>
      </w:r>
      <w:r w:rsidRPr="00D64033">
        <w:rPr>
          <w:rFonts w:cs="Calibri"/>
          <w:b/>
          <w:bCs/>
          <w:sz w:val="24"/>
          <w:szCs w:val="24"/>
        </w:rPr>
        <w:t>[</w:t>
      </w:r>
      <w:r w:rsidRPr="00D64033">
        <w:rPr>
          <w:rFonts w:cs="Calibri"/>
          <w:sz w:val="24"/>
          <w:szCs w:val="24"/>
        </w:rPr>
        <w:t>substantiated/unsubstantiated</w:t>
      </w:r>
      <w:r w:rsidRPr="00D64033">
        <w:rPr>
          <w:rFonts w:cs="Calibri"/>
          <w:b/>
          <w:bCs/>
          <w:sz w:val="24"/>
          <w:szCs w:val="24"/>
        </w:rPr>
        <w:t>] [</w:t>
      </w:r>
      <w:r w:rsidRPr="00D64033">
        <w:rPr>
          <w:rFonts w:cs="Calibri"/>
          <w:i/>
          <w:iCs/>
          <w:color w:val="FF0000"/>
          <w:sz w:val="24"/>
          <w:szCs w:val="24"/>
        </w:rPr>
        <w:t>include as required</w:t>
      </w:r>
      <w:r w:rsidRPr="00D64033">
        <w:rPr>
          <w:rFonts w:cs="Calibri"/>
          <w:b/>
          <w:bCs/>
          <w:sz w:val="24"/>
          <w:szCs w:val="24"/>
        </w:rPr>
        <w:t xml:space="preserve"> </w:t>
      </w:r>
      <w:r w:rsidRPr="00D64033">
        <w:rPr>
          <w:rFonts w:cs="Calibri"/>
          <w:sz w:val="24"/>
          <w:szCs w:val="24"/>
        </w:rPr>
        <w:t>in part</w:t>
      </w:r>
      <w:r w:rsidRPr="00D64033">
        <w:rPr>
          <w:rFonts w:cs="Calibri"/>
          <w:b/>
          <w:bCs/>
          <w:sz w:val="24"/>
          <w:szCs w:val="24"/>
        </w:rPr>
        <w:t>]</w:t>
      </w:r>
      <w:r w:rsidRPr="00D64033">
        <w:rPr>
          <w:rFonts w:cs="Calibri"/>
          <w:sz w:val="24"/>
          <w:szCs w:val="24"/>
        </w:rPr>
        <w:t>.</w:t>
      </w:r>
    </w:p>
    <w:p w14:paraId="09BAB8E5" w14:textId="77777777" w:rsidR="00615775" w:rsidRPr="00D64033" w:rsidRDefault="00615775" w:rsidP="00615775">
      <w:pPr>
        <w:ind w:left="644"/>
        <w:rPr>
          <w:rFonts w:cs="Calibri"/>
          <w:b/>
          <w:bCs/>
          <w:sz w:val="24"/>
          <w:szCs w:val="24"/>
        </w:rPr>
      </w:pPr>
    </w:p>
    <w:p w14:paraId="5B53D2A0" w14:textId="77777777" w:rsidR="00615775" w:rsidRPr="00D64033" w:rsidRDefault="00615775" w:rsidP="00061417">
      <w:pPr>
        <w:numPr>
          <w:ilvl w:val="0"/>
          <w:numId w:val="31"/>
        </w:numPr>
        <w:spacing w:after="0" w:line="240" w:lineRule="auto"/>
        <w:ind w:hanging="644"/>
        <w:rPr>
          <w:rFonts w:cs="Calibri"/>
          <w:b/>
          <w:bCs/>
          <w:color w:val="FF0000"/>
          <w:sz w:val="24"/>
          <w:szCs w:val="24"/>
        </w:rPr>
      </w:pPr>
      <w:r w:rsidRPr="00D64033">
        <w:rPr>
          <w:rFonts w:cs="Calibri"/>
          <w:i/>
          <w:iCs/>
          <w:color w:val="FF0000"/>
          <w:sz w:val="24"/>
          <w:szCs w:val="24"/>
        </w:rPr>
        <w:t>[Repeat as above.]</w:t>
      </w:r>
    </w:p>
    <w:p w14:paraId="39C42F20" w14:textId="77777777" w:rsidR="00615775" w:rsidRPr="00D64033" w:rsidRDefault="00615775" w:rsidP="00615775">
      <w:pPr>
        <w:pStyle w:val="ListParagraph"/>
        <w:rPr>
          <w:rFonts w:cs="Calibri"/>
          <w:b/>
          <w:bCs/>
          <w:sz w:val="24"/>
          <w:szCs w:val="24"/>
        </w:rPr>
      </w:pPr>
    </w:p>
    <w:p w14:paraId="3650A0CA" w14:textId="77777777" w:rsidR="00615775" w:rsidRPr="00D64033" w:rsidRDefault="00615775" w:rsidP="00615775">
      <w:pPr>
        <w:ind w:left="644"/>
        <w:rPr>
          <w:rFonts w:cs="Calibri"/>
          <w:b/>
          <w:bCs/>
          <w:sz w:val="24"/>
          <w:szCs w:val="24"/>
        </w:rPr>
      </w:pPr>
    </w:p>
    <w:p w14:paraId="4E3527C5" w14:textId="77777777" w:rsidR="00615775" w:rsidRPr="00D64033" w:rsidRDefault="00615775" w:rsidP="00615775">
      <w:pPr>
        <w:keepNext/>
        <w:rPr>
          <w:rFonts w:cs="Calibri"/>
          <w:i/>
          <w:iCs/>
          <w:color w:val="FF0000"/>
          <w:sz w:val="24"/>
          <w:szCs w:val="24"/>
        </w:rPr>
      </w:pPr>
      <w:r w:rsidRPr="00D64033">
        <w:rPr>
          <w:rFonts w:cs="Calibri"/>
          <w:b/>
          <w:bCs/>
          <w:sz w:val="24"/>
          <w:szCs w:val="24"/>
        </w:rPr>
        <w:t>Procedural fairness steps</w:t>
      </w:r>
    </w:p>
    <w:p w14:paraId="684387DB" w14:textId="77777777" w:rsidR="00615775" w:rsidRPr="00D64033" w:rsidRDefault="00615775" w:rsidP="00615775">
      <w:pPr>
        <w:keepNext/>
        <w:ind w:left="646"/>
        <w:rPr>
          <w:rFonts w:cs="Calibri"/>
          <w:sz w:val="24"/>
          <w:szCs w:val="24"/>
        </w:rPr>
      </w:pPr>
    </w:p>
    <w:p w14:paraId="01BFCDDB" w14:textId="27366064" w:rsidR="00615775" w:rsidRPr="00D64033" w:rsidRDefault="00615775" w:rsidP="00061417">
      <w:pPr>
        <w:numPr>
          <w:ilvl w:val="0"/>
          <w:numId w:val="31"/>
        </w:numPr>
        <w:spacing w:after="0" w:line="240" w:lineRule="auto"/>
        <w:ind w:hanging="644"/>
        <w:rPr>
          <w:rFonts w:cs="Calibri"/>
          <w:i/>
          <w:iCs/>
          <w:color w:val="FF0000"/>
        </w:rPr>
      </w:pPr>
      <w:r w:rsidRPr="00D64033">
        <w:rPr>
          <w:rFonts w:cs="Calibri"/>
          <w:bCs/>
          <w:i/>
          <w:iCs/>
          <w:color w:val="FF0000"/>
          <w:sz w:val="24"/>
          <w:szCs w:val="24"/>
        </w:rPr>
        <w:t>[</w:t>
      </w:r>
      <w:r w:rsidRPr="00D64033">
        <w:rPr>
          <w:rFonts w:cs="Calibri"/>
          <w:i/>
          <w:iCs/>
          <w:color w:val="FF0000"/>
          <w:sz w:val="24"/>
          <w:szCs w:val="24"/>
        </w:rPr>
        <w:t>Detail steps taken to afford affected perso</w:t>
      </w:r>
      <w:r w:rsidR="009B431B">
        <w:rPr>
          <w:rFonts w:cs="Calibri"/>
          <w:i/>
          <w:iCs/>
          <w:color w:val="FF0000"/>
          <w:sz w:val="24"/>
          <w:szCs w:val="24"/>
        </w:rPr>
        <w:t>n(</w:t>
      </w:r>
      <w:r w:rsidRPr="00D64033">
        <w:rPr>
          <w:rFonts w:cs="Calibri"/>
          <w:i/>
          <w:iCs/>
          <w:color w:val="FF0000"/>
          <w:sz w:val="24"/>
          <w:szCs w:val="24"/>
        </w:rPr>
        <w:t>s</w:t>
      </w:r>
      <w:r w:rsidR="009B431B">
        <w:rPr>
          <w:rFonts w:cs="Calibri"/>
          <w:i/>
          <w:iCs/>
          <w:color w:val="FF0000"/>
          <w:sz w:val="24"/>
          <w:szCs w:val="24"/>
        </w:rPr>
        <w:t>)</w:t>
      </w:r>
      <w:r w:rsidRPr="00D64033">
        <w:rPr>
          <w:rFonts w:cs="Calibri"/>
          <w:i/>
          <w:iCs/>
          <w:color w:val="FF0000"/>
          <w:sz w:val="24"/>
          <w:szCs w:val="24"/>
        </w:rPr>
        <w:t xml:space="preserve"> the opportunity to respond to facts obtained. </w:t>
      </w:r>
      <w:r w:rsidR="00750738" w:rsidRPr="00D64033">
        <w:rPr>
          <w:rFonts w:cs="Calibri"/>
          <w:i/>
          <w:iCs/>
          <w:color w:val="FF0000"/>
          <w:sz w:val="24"/>
          <w:szCs w:val="24"/>
        </w:rPr>
        <w:t>eg</w:t>
      </w:r>
      <w:r w:rsidRPr="00D64033">
        <w:rPr>
          <w:rFonts w:cs="Calibri"/>
          <w:i/>
          <w:iCs/>
          <w:color w:val="FF0000"/>
          <w:sz w:val="24"/>
          <w:szCs w:val="24"/>
        </w:rPr>
        <w:t xml:space="preserve"> was a record of interview or record of conversation conducted (or offered but declined?), a written response obtained, additional comments sought, or an offer made to respond to adverse conclusions if there are any, etc?  If you have not been able to approach the affected person(s) by this point, please explain that here.]</w:t>
      </w:r>
    </w:p>
    <w:p w14:paraId="3648F040" w14:textId="77777777" w:rsidR="00615775" w:rsidRPr="00D64033" w:rsidRDefault="00615775" w:rsidP="00615775">
      <w:pPr>
        <w:ind w:left="644"/>
        <w:rPr>
          <w:rFonts w:cs="Calibri"/>
          <w:i/>
          <w:iCs/>
          <w:color w:val="FF0000"/>
        </w:rPr>
      </w:pPr>
    </w:p>
    <w:p w14:paraId="273588BE" w14:textId="77777777" w:rsidR="00615775" w:rsidRPr="00D64033" w:rsidRDefault="00615775" w:rsidP="00615775">
      <w:pPr>
        <w:rPr>
          <w:rFonts w:cs="Calibri"/>
          <w:i/>
          <w:iCs/>
          <w:color w:val="FF0000"/>
        </w:rPr>
      </w:pPr>
      <w:r w:rsidRPr="00D64033">
        <w:rPr>
          <w:rFonts w:cs="Calibri"/>
          <w:b/>
          <w:sz w:val="24"/>
          <w:szCs w:val="24"/>
        </w:rPr>
        <w:t xml:space="preserve">Conclusions </w:t>
      </w:r>
    </w:p>
    <w:p w14:paraId="4BCBA210" w14:textId="77777777" w:rsidR="00615775" w:rsidRPr="00D64033" w:rsidRDefault="00615775" w:rsidP="00615775">
      <w:pPr>
        <w:pStyle w:val="ListParagraph"/>
        <w:rPr>
          <w:rFonts w:cs="Calibri"/>
          <w:i/>
          <w:iCs/>
          <w:color w:val="FF0000"/>
          <w:sz w:val="24"/>
          <w:szCs w:val="24"/>
        </w:rPr>
      </w:pPr>
    </w:p>
    <w:p w14:paraId="5E150CC3" w14:textId="647EAD3C" w:rsidR="00615775" w:rsidRPr="00D64033" w:rsidRDefault="00615775" w:rsidP="00061417">
      <w:pPr>
        <w:numPr>
          <w:ilvl w:val="0"/>
          <w:numId w:val="31"/>
        </w:numPr>
        <w:spacing w:after="0" w:line="240" w:lineRule="auto"/>
        <w:ind w:hanging="644"/>
        <w:rPr>
          <w:rFonts w:cs="Calibri"/>
          <w:i/>
          <w:iCs/>
          <w:color w:val="FF0000"/>
        </w:rPr>
      </w:pPr>
      <w:r w:rsidRPr="00D64033">
        <w:rPr>
          <w:rFonts w:cs="Calibri"/>
          <w:i/>
          <w:iCs/>
          <w:color w:val="FF0000"/>
          <w:sz w:val="24"/>
          <w:szCs w:val="24"/>
        </w:rPr>
        <w:t>[The conclusion should be relatively short and concise paragraph or two of what it was you found, or a summary of the key findings/your overall view of the matter.]</w:t>
      </w:r>
      <w:r w:rsidRPr="00D64033">
        <w:rPr>
          <w:rFonts w:cs="Calibri"/>
          <w:i/>
          <w:iCs/>
          <w:color w:val="FF0000"/>
        </w:rPr>
        <w:t xml:space="preserve">  </w:t>
      </w:r>
    </w:p>
    <w:p w14:paraId="68978395" w14:textId="77777777" w:rsidR="00615775" w:rsidRPr="00D64033" w:rsidRDefault="00615775" w:rsidP="00615775">
      <w:pPr>
        <w:rPr>
          <w:rFonts w:cs="Calibri"/>
          <w:sz w:val="24"/>
          <w:szCs w:val="24"/>
        </w:rPr>
      </w:pPr>
    </w:p>
    <w:p w14:paraId="179FD6CE" w14:textId="77777777" w:rsidR="00615775" w:rsidRPr="00D64033" w:rsidRDefault="00615775" w:rsidP="00615775">
      <w:pPr>
        <w:rPr>
          <w:rFonts w:cs="Calibri"/>
          <w:b/>
          <w:sz w:val="24"/>
          <w:szCs w:val="24"/>
        </w:rPr>
      </w:pPr>
      <w:r w:rsidRPr="00D64033">
        <w:rPr>
          <w:rFonts w:cs="Calibri"/>
          <w:b/>
          <w:sz w:val="24"/>
          <w:szCs w:val="24"/>
        </w:rPr>
        <w:t>Recommendations</w:t>
      </w:r>
    </w:p>
    <w:p w14:paraId="6A0050FC" w14:textId="77777777" w:rsidR="00615775" w:rsidRPr="00D64033" w:rsidRDefault="00615775" w:rsidP="00615775">
      <w:pPr>
        <w:rPr>
          <w:rFonts w:cs="Calibri"/>
          <w:sz w:val="24"/>
          <w:szCs w:val="24"/>
        </w:rPr>
      </w:pPr>
    </w:p>
    <w:p w14:paraId="292FBD92" w14:textId="77777777" w:rsidR="00615775" w:rsidRPr="00D64033" w:rsidRDefault="00615775" w:rsidP="00061417">
      <w:pPr>
        <w:numPr>
          <w:ilvl w:val="0"/>
          <w:numId w:val="31"/>
        </w:numPr>
        <w:spacing w:after="0" w:line="240" w:lineRule="auto"/>
        <w:ind w:hanging="644"/>
        <w:rPr>
          <w:rFonts w:cs="Calibri"/>
          <w:sz w:val="24"/>
          <w:szCs w:val="24"/>
        </w:rPr>
      </w:pPr>
      <w:r w:rsidRPr="00D64033">
        <w:rPr>
          <w:rFonts w:cs="Calibri"/>
          <w:sz w:val="24"/>
          <w:szCs w:val="24"/>
        </w:rPr>
        <w:t xml:space="preserve">In light of the above, </w:t>
      </w:r>
      <w:r w:rsidRPr="00D64033">
        <w:rPr>
          <w:rFonts w:cs="Calibri"/>
          <w:b/>
          <w:bCs/>
          <w:sz w:val="24"/>
          <w:szCs w:val="24"/>
        </w:rPr>
        <w:t>[</w:t>
      </w:r>
      <w:r w:rsidRPr="00D64033">
        <w:rPr>
          <w:rFonts w:cs="Calibri"/>
          <w:sz w:val="24"/>
          <w:szCs w:val="24"/>
        </w:rPr>
        <w:t>I/we</w:t>
      </w:r>
      <w:r w:rsidRPr="00D64033">
        <w:rPr>
          <w:rFonts w:cs="Calibri"/>
          <w:b/>
          <w:bCs/>
          <w:sz w:val="24"/>
          <w:szCs w:val="24"/>
        </w:rPr>
        <w:t>]</w:t>
      </w:r>
      <w:r w:rsidRPr="00D64033">
        <w:rPr>
          <w:rFonts w:cs="Calibri"/>
          <w:sz w:val="24"/>
          <w:szCs w:val="24"/>
        </w:rPr>
        <w:t xml:space="preserve"> recommend that: </w:t>
      </w:r>
      <w:r w:rsidRPr="00D64033">
        <w:rPr>
          <w:rFonts w:cs="Calibri"/>
          <w:i/>
          <w:iCs/>
          <w:color w:val="FF0000"/>
          <w:sz w:val="24"/>
          <w:szCs w:val="24"/>
        </w:rPr>
        <w:t>[add or delete as necessary]</w:t>
      </w:r>
    </w:p>
    <w:p w14:paraId="278864B4" w14:textId="77777777" w:rsidR="00615775" w:rsidRPr="00D64033" w:rsidRDefault="00615775" w:rsidP="00615775">
      <w:pPr>
        <w:rPr>
          <w:rFonts w:cs="Calibri"/>
          <w:sz w:val="24"/>
          <w:szCs w:val="24"/>
        </w:rPr>
      </w:pPr>
    </w:p>
    <w:p w14:paraId="368C1EFD" w14:textId="765580DC" w:rsidR="00615775" w:rsidRPr="00D64033" w:rsidRDefault="00615775" w:rsidP="00061417">
      <w:pPr>
        <w:numPr>
          <w:ilvl w:val="0"/>
          <w:numId w:val="33"/>
        </w:numPr>
        <w:spacing w:after="0" w:line="240" w:lineRule="auto"/>
        <w:rPr>
          <w:rFonts w:cs="Calibri"/>
          <w:sz w:val="24"/>
          <w:szCs w:val="24"/>
        </w:rPr>
      </w:pPr>
      <w:r w:rsidRPr="00D64033">
        <w:rPr>
          <w:rFonts w:cs="Calibri"/>
          <w:i/>
          <w:iCs/>
          <w:color w:val="FF0000"/>
          <w:sz w:val="24"/>
          <w:szCs w:val="24"/>
        </w:rPr>
        <w:t>(Insert recommendations here – e</w:t>
      </w:r>
      <w:r w:rsidR="00750738" w:rsidRPr="00D64033">
        <w:rPr>
          <w:rFonts w:cs="Calibri"/>
          <w:i/>
          <w:iCs/>
          <w:color w:val="FF0000"/>
          <w:sz w:val="24"/>
          <w:szCs w:val="24"/>
        </w:rPr>
        <w:t>g</w:t>
      </w:r>
      <w:r w:rsidRPr="00D64033">
        <w:rPr>
          <w:rFonts w:cs="Calibri"/>
          <w:i/>
          <w:iCs/>
          <w:color w:val="FF0000"/>
          <w:sz w:val="24"/>
          <w:szCs w:val="24"/>
        </w:rPr>
        <w:t xml:space="preserve"> what processes </w:t>
      </w:r>
      <w:r w:rsidR="00D64033">
        <w:rPr>
          <w:rFonts w:cs="Calibri"/>
          <w:i/>
          <w:iCs/>
          <w:color w:val="FF0000"/>
          <w:sz w:val="24"/>
          <w:szCs w:val="24"/>
        </w:rPr>
        <w:t>ought</w:t>
      </w:r>
      <w:r w:rsidRPr="00D64033">
        <w:rPr>
          <w:rFonts w:cs="Calibri"/>
          <w:i/>
          <w:iCs/>
          <w:color w:val="FF0000"/>
          <w:sz w:val="24"/>
          <w:szCs w:val="24"/>
        </w:rPr>
        <w:t xml:space="preserve"> be improved, who in the agency will </w:t>
      </w:r>
      <w:r w:rsidR="00D64033">
        <w:rPr>
          <w:rFonts w:cs="Calibri"/>
          <w:i/>
          <w:iCs/>
          <w:color w:val="FF0000"/>
          <w:sz w:val="24"/>
          <w:szCs w:val="24"/>
        </w:rPr>
        <w:t>be responsible</w:t>
      </w:r>
      <w:r w:rsidRPr="00D64033">
        <w:rPr>
          <w:rFonts w:cs="Calibri"/>
          <w:i/>
          <w:iCs/>
          <w:color w:val="FF0000"/>
          <w:sz w:val="24"/>
          <w:szCs w:val="24"/>
        </w:rPr>
        <w:t xml:space="preserve"> for actioning the recommendations, who will be referred for disciplinary investigation etc)</w:t>
      </w:r>
    </w:p>
    <w:p w14:paraId="388DA255" w14:textId="77777777" w:rsidR="00615775" w:rsidRPr="00D64033" w:rsidRDefault="00615775" w:rsidP="00615775">
      <w:pPr>
        <w:ind w:left="644"/>
        <w:rPr>
          <w:rFonts w:cs="Calibri"/>
          <w:sz w:val="24"/>
          <w:szCs w:val="24"/>
        </w:rPr>
      </w:pPr>
    </w:p>
    <w:p w14:paraId="2C99693A" w14:textId="730EB2EC" w:rsidR="00615775" w:rsidRPr="00D64033" w:rsidRDefault="00615775" w:rsidP="00061417">
      <w:pPr>
        <w:numPr>
          <w:ilvl w:val="0"/>
          <w:numId w:val="33"/>
        </w:numPr>
        <w:spacing w:after="0" w:line="240" w:lineRule="auto"/>
        <w:rPr>
          <w:rFonts w:cs="Calibri"/>
          <w:sz w:val="24"/>
          <w:szCs w:val="24"/>
        </w:rPr>
      </w:pPr>
      <w:r w:rsidRPr="00D64033">
        <w:rPr>
          <w:rFonts w:cs="Calibri"/>
          <w:sz w:val="24"/>
          <w:szCs w:val="24"/>
        </w:rPr>
        <w:t xml:space="preserve">This matter be </w:t>
      </w:r>
      <w:r w:rsidR="00D64033">
        <w:rPr>
          <w:rFonts w:cs="Calibri"/>
          <w:sz w:val="24"/>
          <w:szCs w:val="24"/>
        </w:rPr>
        <w:t>discontinued</w:t>
      </w:r>
      <w:r w:rsidRPr="00D64033">
        <w:rPr>
          <w:rFonts w:cs="Calibri"/>
          <w:sz w:val="24"/>
          <w:szCs w:val="24"/>
        </w:rPr>
        <w:t xml:space="preserve"> under s</w:t>
      </w:r>
      <w:r w:rsidRPr="00D64033">
        <w:rPr>
          <w:rFonts w:cs="Calibri"/>
          <w:i/>
          <w:iCs/>
          <w:sz w:val="24"/>
          <w:szCs w:val="24"/>
        </w:rPr>
        <w:t xml:space="preserve"> </w:t>
      </w:r>
      <w:r w:rsidRPr="00D64033">
        <w:rPr>
          <w:rFonts w:cs="Calibri"/>
          <w:sz w:val="24"/>
          <w:szCs w:val="24"/>
        </w:rPr>
        <w:t>20(2) of the PID Act</w:t>
      </w:r>
      <w:r w:rsidRPr="00D64033">
        <w:rPr>
          <w:rFonts w:cs="Calibri"/>
          <w:i/>
          <w:iCs/>
          <w:sz w:val="24"/>
          <w:szCs w:val="24"/>
        </w:rPr>
        <w:t xml:space="preserve"> </w:t>
      </w:r>
      <w:r w:rsidRPr="00D64033">
        <w:rPr>
          <w:rFonts w:cs="Calibri"/>
          <w:sz w:val="24"/>
          <w:szCs w:val="24"/>
        </w:rPr>
        <w:t xml:space="preserve">under the following provision(s): </w:t>
      </w:r>
      <w:r w:rsidRPr="00D64033">
        <w:rPr>
          <w:rFonts w:cs="Calibri"/>
          <w:i/>
          <w:iCs/>
          <w:color w:val="FF0000"/>
          <w:sz w:val="24"/>
          <w:szCs w:val="24"/>
        </w:rPr>
        <w:t>(delete irrelevant provisions)</w:t>
      </w:r>
    </w:p>
    <w:p w14:paraId="1466A173" w14:textId="77777777" w:rsidR="00615775" w:rsidRPr="00D64033" w:rsidRDefault="00615775" w:rsidP="00615775">
      <w:pPr>
        <w:rPr>
          <w:rFonts w:cs="Calibri"/>
          <w:sz w:val="24"/>
          <w:szCs w:val="24"/>
        </w:rPr>
      </w:pPr>
    </w:p>
    <w:p w14:paraId="404C8847" w14:textId="77777777" w:rsidR="00615775" w:rsidRPr="00D64033" w:rsidRDefault="00615775" w:rsidP="00061417">
      <w:pPr>
        <w:numPr>
          <w:ilvl w:val="1"/>
          <w:numId w:val="16"/>
        </w:numPr>
        <w:spacing w:after="0" w:line="240" w:lineRule="auto"/>
        <w:jc w:val="left"/>
        <w:rPr>
          <w:rFonts w:cs="Calibri"/>
          <w:sz w:val="24"/>
          <w:szCs w:val="24"/>
        </w:rPr>
      </w:pPr>
      <w:r w:rsidRPr="00D64033">
        <w:rPr>
          <w:rFonts w:cs="Calibri"/>
          <w:sz w:val="24"/>
          <w:szCs w:val="24"/>
        </w:rPr>
        <w:lastRenderedPageBreak/>
        <w:t xml:space="preserve"> s 20(2)(a) – the discloser for the public interest disclosure has withdrawn the disclosure and there are no further matters in relation to the disclosure that warrant investigation</w:t>
      </w:r>
    </w:p>
    <w:p w14:paraId="5314DAEB" w14:textId="77777777" w:rsidR="00615775" w:rsidRPr="00D64033" w:rsidRDefault="00615775" w:rsidP="00615775">
      <w:pPr>
        <w:rPr>
          <w:rFonts w:cs="Calibri"/>
          <w:sz w:val="24"/>
          <w:szCs w:val="24"/>
        </w:rPr>
      </w:pPr>
    </w:p>
    <w:p w14:paraId="621F3C04" w14:textId="77777777" w:rsidR="00615775" w:rsidRPr="00D64033" w:rsidRDefault="00615775" w:rsidP="00061417">
      <w:pPr>
        <w:numPr>
          <w:ilvl w:val="1"/>
          <w:numId w:val="16"/>
        </w:numPr>
        <w:spacing w:after="0" w:line="240" w:lineRule="auto"/>
        <w:jc w:val="left"/>
        <w:rPr>
          <w:rFonts w:cs="Calibri"/>
          <w:sz w:val="24"/>
          <w:szCs w:val="24"/>
        </w:rPr>
      </w:pPr>
      <w:r w:rsidRPr="00D64033">
        <w:rPr>
          <w:rFonts w:cs="Calibri"/>
          <w:sz w:val="24"/>
          <w:szCs w:val="24"/>
        </w:rPr>
        <w:t>s 20(2)(b) – due to the anonymity of the discloser it is impractical to investigate the disclosure</w:t>
      </w:r>
    </w:p>
    <w:p w14:paraId="634E4CB4" w14:textId="77777777" w:rsidR="00615775" w:rsidRPr="00D64033" w:rsidRDefault="00615775" w:rsidP="00615775">
      <w:pPr>
        <w:ind w:left="1440"/>
        <w:rPr>
          <w:rFonts w:cs="Calibri"/>
          <w:sz w:val="24"/>
          <w:szCs w:val="24"/>
        </w:rPr>
      </w:pPr>
    </w:p>
    <w:p w14:paraId="4DE17AC5" w14:textId="77777777" w:rsidR="00615775" w:rsidRPr="00D64033" w:rsidRDefault="00615775" w:rsidP="00061417">
      <w:pPr>
        <w:numPr>
          <w:ilvl w:val="1"/>
          <w:numId w:val="16"/>
        </w:numPr>
        <w:spacing w:after="0" w:line="240" w:lineRule="auto"/>
        <w:jc w:val="left"/>
        <w:rPr>
          <w:rFonts w:cs="Calibri"/>
          <w:sz w:val="24"/>
          <w:szCs w:val="24"/>
        </w:rPr>
      </w:pPr>
      <w:r w:rsidRPr="00D64033">
        <w:rPr>
          <w:rFonts w:cs="Calibri"/>
          <w:sz w:val="24"/>
          <w:szCs w:val="24"/>
        </w:rPr>
        <w:t>s 20(2)(c) – the discloser failed without reasonable excuse to assist the investigation making it impractical to investigate further</w:t>
      </w:r>
    </w:p>
    <w:p w14:paraId="6554245C" w14:textId="77777777" w:rsidR="00615775" w:rsidRPr="00D64033" w:rsidRDefault="00615775" w:rsidP="00615775">
      <w:pPr>
        <w:ind w:left="1440"/>
        <w:rPr>
          <w:rFonts w:cs="Calibri"/>
          <w:sz w:val="24"/>
          <w:szCs w:val="24"/>
        </w:rPr>
      </w:pPr>
    </w:p>
    <w:p w14:paraId="6803BEFA" w14:textId="77777777" w:rsidR="00615775" w:rsidRPr="00D64033" w:rsidRDefault="00615775" w:rsidP="00061417">
      <w:pPr>
        <w:numPr>
          <w:ilvl w:val="1"/>
          <w:numId w:val="16"/>
        </w:numPr>
        <w:spacing w:after="0" w:line="240" w:lineRule="auto"/>
        <w:jc w:val="left"/>
        <w:rPr>
          <w:rFonts w:cs="Calibri"/>
          <w:sz w:val="24"/>
          <w:szCs w:val="24"/>
        </w:rPr>
      </w:pPr>
      <w:r w:rsidRPr="00D64033">
        <w:rPr>
          <w:rFonts w:cs="Calibri"/>
          <w:sz w:val="24"/>
          <w:szCs w:val="24"/>
        </w:rPr>
        <w:t>s 20(2)(d)(i) – the information provided by the discloser is wrong in a material way</w:t>
      </w:r>
    </w:p>
    <w:p w14:paraId="72C269B0" w14:textId="77777777" w:rsidR="00615775" w:rsidRPr="00D64033" w:rsidRDefault="00615775" w:rsidP="00615775">
      <w:pPr>
        <w:ind w:left="1440"/>
        <w:rPr>
          <w:rFonts w:cs="Calibri"/>
          <w:sz w:val="24"/>
          <w:szCs w:val="24"/>
        </w:rPr>
      </w:pPr>
    </w:p>
    <w:p w14:paraId="275D8238" w14:textId="77777777" w:rsidR="00615775" w:rsidRPr="00D64033" w:rsidRDefault="00615775" w:rsidP="00061417">
      <w:pPr>
        <w:numPr>
          <w:ilvl w:val="1"/>
          <w:numId w:val="16"/>
        </w:numPr>
        <w:spacing w:after="0" w:line="240" w:lineRule="auto"/>
        <w:jc w:val="left"/>
        <w:rPr>
          <w:rFonts w:cs="Calibri"/>
          <w:sz w:val="24"/>
          <w:szCs w:val="24"/>
        </w:rPr>
      </w:pPr>
      <w:r w:rsidRPr="00D64033">
        <w:rPr>
          <w:rFonts w:cs="Calibri"/>
          <w:sz w:val="24"/>
          <w:szCs w:val="24"/>
        </w:rPr>
        <w:t>s 20(2)(d)(ii) – the age of the disclosed information makes it impractical to investigate the disclosure</w:t>
      </w:r>
    </w:p>
    <w:p w14:paraId="49596CCB" w14:textId="77777777" w:rsidR="00615775" w:rsidRPr="00D64033" w:rsidRDefault="00615775" w:rsidP="00615775">
      <w:pPr>
        <w:rPr>
          <w:rFonts w:cs="Calibri"/>
          <w:b/>
          <w:bCs/>
          <w:color w:val="FF0000"/>
          <w:sz w:val="24"/>
          <w:szCs w:val="24"/>
        </w:rPr>
      </w:pPr>
    </w:p>
    <w:p w14:paraId="06AF8868" w14:textId="2EFAB06E" w:rsidR="00615775" w:rsidRPr="00D64033" w:rsidRDefault="00615775" w:rsidP="00061417">
      <w:pPr>
        <w:numPr>
          <w:ilvl w:val="0"/>
          <w:numId w:val="33"/>
        </w:numPr>
        <w:spacing w:after="0" w:line="240" w:lineRule="auto"/>
        <w:rPr>
          <w:rFonts w:cs="Calibri"/>
          <w:i/>
          <w:iCs/>
          <w:color w:val="FF0000"/>
          <w:sz w:val="24"/>
          <w:szCs w:val="24"/>
        </w:rPr>
      </w:pPr>
      <w:r w:rsidRPr="00D64033">
        <w:rPr>
          <w:rFonts w:cs="Calibri"/>
          <w:sz w:val="24"/>
          <w:szCs w:val="24"/>
        </w:rPr>
        <w:t xml:space="preserve">This matter </w:t>
      </w:r>
      <w:r w:rsidR="00A47789">
        <w:rPr>
          <w:rFonts w:cs="Calibri"/>
          <w:sz w:val="24"/>
          <w:szCs w:val="24"/>
        </w:rPr>
        <w:t>be discontinued</w:t>
      </w:r>
      <w:r w:rsidRPr="00D64033">
        <w:rPr>
          <w:rFonts w:cs="Calibri"/>
          <w:sz w:val="24"/>
          <w:szCs w:val="24"/>
        </w:rPr>
        <w:t xml:space="preserve"> under s 20(2)(d)(iii) of the PID Act as it is better resolved via </w:t>
      </w:r>
      <w:r w:rsidRPr="00D64033">
        <w:rPr>
          <w:rFonts w:cs="Calibri"/>
          <w:i/>
          <w:iCs/>
          <w:color w:val="FF0000"/>
          <w:sz w:val="24"/>
          <w:szCs w:val="24"/>
        </w:rPr>
        <w:t>(insert the receiving entity)</w:t>
      </w:r>
    </w:p>
    <w:p w14:paraId="1710BD66" w14:textId="77777777" w:rsidR="00615775" w:rsidRPr="00D64033" w:rsidRDefault="00615775" w:rsidP="00615775">
      <w:pPr>
        <w:ind w:left="644"/>
        <w:rPr>
          <w:rFonts w:cs="Calibri"/>
          <w:sz w:val="24"/>
          <w:szCs w:val="24"/>
        </w:rPr>
      </w:pPr>
    </w:p>
    <w:p w14:paraId="783EADB2" w14:textId="624F4A5E" w:rsidR="00615775" w:rsidRPr="00D64033" w:rsidRDefault="00615775" w:rsidP="00061417">
      <w:pPr>
        <w:numPr>
          <w:ilvl w:val="0"/>
          <w:numId w:val="31"/>
        </w:numPr>
        <w:spacing w:after="0" w:line="240" w:lineRule="auto"/>
        <w:ind w:hanging="644"/>
        <w:rPr>
          <w:rFonts w:cs="Calibri"/>
          <w:color w:val="FF0000"/>
          <w:sz w:val="24"/>
          <w:szCs w:val="24"/>
        </w:rPr>
      </w:pPr>
      <w:r w:rsidRPr="00D64033">
        <w:rPr>
          <w:rFonts w:cs="Calibri"/>
          <w:sz w:val="24"/>
          <w:szCs w:val="24"/>
        </w:rPr>
        <w:t xml:space="preserve">The reasons for the above recommendation(s) are that </w:t>
      </w:r>
      <w:r w:rsidRPr="00D64033">
        <w:rPr>
          <w:rFonts w:cs="Calibri"/>
          <w:b/>
          <w:bCs/>
          <w:i/>
          <w:iCs/>
          <w:sz w:val="24"/>
          <w:szCs w:val="24"/>
        </w:rPr>
        <w:t>[INSERT]</w:t>
      </w:r>
      <w:r w:rsidRPr="00D64033">
        <w:rPr>
          <w:rFonts w:cs="Calibri"/>
          <w:sz w:val="24"/>
          <w:szCs w:val="24"/>
        </w:rPr>
        <w:t xml:space="preserve">. </w:t>
      </w:r>
      <w:r w:rsidRPr="00D64033">
        <w:rPr>
          <w:rFonts w:cs="Calibri"/>
          <w:b/>
          <w:bCs/>
          <w:i/>
          <w:iCs/>
          <w:color w:val="FF0000"/>
          <w:sz w:val="24"/>
          <w:szCs w:val="24"/>
        </w:rPr>
        <w:t>[</w:t>
      </w:r>
      <w:r w:rsidRPr="00D64033">
        <w:rPr>
          <w:rFonts w:cs="Calibri"/>
          <w:i/>
          <w:iCs/>
          <w:color w:val="FF0000"/>
          <w:sz w:val="24"/>
          <w:szCs w:val="24"/>
        </w:rPr>
        <w:t>Note – if you are recommending that individuals be disciplined or controls be implemented, state why (eg because the matter clearly revealed wrongdoing on the part of the respondent</w:t>
      </w:r>
      <w:r w:rsidR="00A47789">
        <w:rPr>
          <w:rFonts w:cs="Calibri"/>
          <w:i/>
          <w:iCs/>
          <w:color w:val="FF0000"/>
          <w:sz w:val="24"/>
          <w:szCs w:val="24"/>
        </w:rPr>
        <w:t>)</w:t>
      </w:r>
      <w:r w:rsidRPr="00D64033">
        <w:rPr>
          <w:rFonts w:cs="Calibri"/>
          <w:i/>
          <w:iCs/>
          <w:color w:val="FF0000"/>
          <w:sz w:val="24"/>
          <w:szCs w:val="24"/>
        </w:rPr>
        <w:t>.  If you are recommending that the matter be dismissed, state why (eg because there are no other viable evidentiary avenues to pursue), and the specific legislative basis in s</w:t>
      </w:r>
      <w:r w:rsidR="007532CF" w:rsidRPr="00D64033">
        <w:rPr>
          <w:rFonts w:cs="Calibri"/>
          <w:i/>
          <w:iCs/>
          <w:color w:val="FF0000"/>
          <w:sz w:val="24"/>
          <w:szCs w:val="24"/>
        </w:rPr>
        <w:t xml:space="preserve"> </w:t>
      </w:r>
      <w:r w:rsidRPr="00D64033">
        <w:rPr>
          <w:rFonts w:cs="Calibri"/>
          <w:i/>
          <w:iCs/>
          <w:color w:val="FF0000"/>
          <w:sz w:val="24"/>
          <w:szCs w:val="24"/>
        </w:rPr>
        <w:t>20 you are relying upon.  If you are recommending that a s</w:t>
      </w:r>
      <w:r w:rsidR="007532CF" w:rsidRPr="00D64033">
        <w:rPr>
          <w:rFonts w:cs="Calibri"/>
          <w:i/>
          <w:iCs/>
          <w:color w:val="FF0000"/>
          <w:sz w:val="24"/>
          <w:szCs w:val="24"/>
        </w:rPr>
        <w:t xml:space="preserve"> </w:t>
      </w:r>
      <w:r w:rsidRPr="00D64033">
        <w:rPr>
          <w:rFonts w:cs="Calibri"/>
          <w:i/>
          <w:iCs/>
          <w:color w:val="FF0000"/>
          <w:sz w:val="24"/>
          <w:szCs w:val="24"/>
        </w:rPr>
        <w:t>20 referral be made, please justify the basis for your recommendation.</w:t>
      </w:r>
    </w:p>
    <w:p w14:paraId="179A75FC" w14:textId="77777777" w:rsidR="00615775" w:rsidRPr="00D64033" w:rsidRDefault="00615775" w:rsidP="00615775">
      <w:pPr>
        <w:rPr>
          <w:rFonts w:cs="Calibri"/>
          <w:sz w:val="24"/>
          <w:szCs w:val="24"/>
        </w:rPr>
      </w:pPr>
    </w:p>
    <w:p w14:paraId="1BAD02D1" w14:textId="77777777" w:rsidR="00615775" w:rsidRPr="00D64033" w:rsidRDefault="00615775" w:rsidP="00061417">
      <w:pPr>
        <w:numPr>
          <w:ilvl w:val="0"/>
          <w:numId w:val="31"/>
        </w:numPr>
        <w:spacing w:after="0" w:line="240" w:lineRule="auto"/>
        <w:ind w:hanging="644"/>
        <w:rPr>
          <w:rFonts w:cs="Calibri"/>
          <w:i/>
          <w:iCs/>
          <w:color w:val="FF0000"/>
          <w:sz w:val="24"/>
          <w:szCs w:val="24"/>
        </w:rPr>
      </w:pPr>
      <w:r w:rsidRPr="00D64033">
        <w:rPr>
          <w:rFonts w:cs="Calibri"/>
          <w:b/>
          <w:bCs/>
          <w:i/>
          <w:iCs/>
          <w:color w:val="FF0000"/>
          <w:sz w:val="24"/>
          <w:szCs w:val="24"/>
        </w:rPr>
        <w:t>[</w:t>
      </w:r>
      <w:r w:rsidRPr="00D64033">
        <w:rPr>
          <w:rFonts w:cs="Calibri"/>
          <w:i/>
          <w:iCs/>
          <w:color w:val="FF0000"/>
          <w:sz w:val="24"/>
          <w:szCs w:val="24"/>
        </w:rPr>
        <w:t>Note – if your recommendation is that different disclosed information be treated differently, please provide the above information in relation to each piece of disclosed information and explain your reasons why.]</w:t>
      </w:r>
    </w:p>
    <w:p w14:paraId="5751BD3A" w14:textId="77777777" w:rsidR="00615775" w:rsidRPr="00D64033" w:rsidRDefault="00615775" w:rsidP="00615775">
      <w:pPr>
        <w:pStyle w:val="ListParagraph"/>
        <w:rPr>
          <w:rFonts w:cs="Calibri"/>
          <w:i/>
          <w:iCs/>
          <w:color w:val="FF0000"/>
          <w:sz w:val="24"/>
          <w:szCs w:val="24"/>
        </w:rPr>
      </w:pPr>
    </w:p>
    <w:p w14:paraId="75D547D6" w14:textId="77777777" w:rsidR="00615775" w:rsidRPr="00D64033" w:rsidRDefault="00615775" w:rsidP="00615775">
      <w:pPr>
        <w:rPr>
          <w:rFonts w:cs="Calibri"/>
          <w:sz w:val="24"/>
          <w:szCs w:val="24"/>
        </w:rPr>
      </w:pPr>
    </w:p>
    <w:p w14:paraId="1231E0EB" w14:textId="77777777" w:rsidR="00615775" w:rsidRPr="00D64033" w:rsidRDefault="00615775" w:rsidP="00615775">
      <w:pPr>
        <w:keepNext/>
        <w:rPr>
          <w:rFonts w:cs="Calibri"/>
          <w:b/>
          <w:sz w:val="24"/>
          <w:szCs w:val="24"/>
        </w:rPr>
      </w:pPr>
      <w:r w:rsidRPr="00D64033">
        <w:rPr>
          <w:rFonts w:cs="Calibri"/>
          <w:b/>
          <w:sz w:val="24"/>
          <w:szCs w:val="24"/>
        </w:rPr>
        <w:t>XXXXXXXXXX</w:t>
      </w:r>
    </w:p>
    <w:p w14:paraId="1E8E5ABC" w14:textId="77777777" w:rsidR="00615775" w:rsidRPr="00D64033" w:rsidRDefault="00615775" w:rsidP="00615775">
      <w:pPr>
        <w:keepNext/>
        <w:rPr>
          <w:rFonts w:cs="Calibri"/>
          <w:b/>
          <w:i/>
          <w:sz w:val="24"/>
          <w:szCs w:val="24"/>
        </w:rPr>
      </w:pPr>
      <w:r w:rsidRPr="00D64033">
        <w:rPr>
          <w:rFonts w:cs="Calibri"/>
          <w:sz w:val="24"/>
          <w:szCs w:val="24"/>
        </w:rPr>
        <w:t>Investigator title</w:t>
      </w:r>
      <w:r w:rsidRPr="00D64033">
        <w:rPr>
          <w:rFonts w:cs="Calibri"/>
          <w:b/>
          <w:sz w:val="24"/>
          <w:szCs w:val="24"/>
        </w:rPr>
        <w:tab/>
      </w:r>
    </w:p>
    <w:p w14:paraId="563B9D16" w14:textId="77777777" w:rsidR="00615775" w:rsidRPr="00D64033" w:rsidRDefault="00615775" w:rsidP="00615775">
      <w:pPr>
        <w:keepNext/>
        <w:rPr>
          <w:rFonts w:cs="Calibri"/>
          <w:sz w:val="24"/>
          <w:szCs w:val="24"/>
        </w:rPr>
      </w:pPr>
    </w:p>
    <w:p w14:paraId="48063713" w14:textId="77777777" w:rsidR="00615775" w:rsidRPr="00D64033" w:rsidRDefault="00615775" w:rsidP="00615775">
      <w:pPr>
        <w:rPr>
          <w:rFonts w:cs="Calibri"/>
          <w:sz w:val="24"/>
          <w:szCs w:val="24"/>
        </w:rPr>
      </w:pPr>
    </w:p>
    <w:p w14:paraId="317BA4D3" w14:textId="77777777" w:rsidR="00615775" w:rsidRPr="00D64033" w:rsidRDefault="00615775" w:rsidP="00615775">
      <w:pPr>
        <w:rPr>
          <w:rFonts w:cs="Calibri"/>
          <w:sz w:val="24"/>
          <w:szCs w:val="24"/>
        </w:rPr>
      </w:pPr>
    </w:p>
    <w:p w14:paraId="6F6F1315" w14:textId="77777777" w:rsidR="00615775" w:rsidRPr="00D64033" w:rsidRDefault="00615775" w:rsidP="00615775">
      <w:pPr>
        <w:rPr>
          <w:rFonts w:cs="Calibri"/>
          <w:sz w:val="24"/>
          <w:szCs w:val="24"/>
        </w:rPr>
      </w:pPr>
      <w:r w:rsidRPr="00D64033">
        <w:rPr>
          <w:rFonts w:cs="Calibri"/>
          <w:sz w:val="24"/>
          <w:szCs w:val="24"/>
        </w:rPr>
        <w:t>Date</w:t>
      </w:r>
    </w:p>
    <w:p w14:paraId="133C0411" w14:textId="77777777" w:rsidR="00615775" w:rsidRPr="00D64033" w:rsidRDefault="00615775" w:rsidP="00615775">
      <w:pPr>
        <w:rPr>
          <w:rFonts w:cs="Calibri"/>
          <w:sz w:val="24"/>
          <w:szCs w:val="24"/>
        </w:rPr>
      </w:pPr>
      <w:r w:rsidRPr="00D64033">
        <w:rPr>
          <w:rFonts w:cs="Calibri"/>
          <w:b/>
          <w:bCs/>
          <w:i/>
          <w:iCs/>
          <w:sz w:val="24"/>
          <w:szCs w:val="24"/>
        </w:rPr>
        <w:t>[INSERT DATE]</w:t>
      </w:r>
    </w:p>
    <w:p w14:paraId="0074C856" w14:textId="77777777" w:rsidR="00615775" w:rsidRPr="00D64033" w:rsidRDefault="00615775" w:rsidP="00615775">
      <w:pPr>
        <w:rPr>
          <w:rFonts w:cs="Calibri"/>
          <w:sz w:val="24"/>
          <w:szCs w:val="24"/>
        </w:rPr>
      </w:pPr>
    </w:p>
    <w:p w14:paraId="1B363BA6" w14:textId="77777777" w:rsidR="00615775" w:rsidRPr="00D64033" w:rsidRDefault="00615775" w:rsidP="00615775">
      <w:pPr>
        <w:rPr>
          <w:rFonts w:cs="Calibri"/>
          <w:b/>
          <w:sz w:val="24"/>
          <w:szCs w:val="24"/>
        </w:rPr>
      </w:pPr>
      <w:r w:rsidRPr="00D64033">
        <w:rPr>
          <w:rFonts w:cs="Calibri"/>
          <w:b/>
          <w:sz w:val="24"/>
          <w:szCs w:val="24"/>
        </w:rPr>
        <w:lastRenderedPageBreak/>
        <w:t>Annexures:</w:t>
      </w:r>
    </w:p>
    <w:p w14:paraId="0A9B0FD3" w14:textId="77777777" w:rsidR="00615775" w:rsidRPr="00D64033" w:rsidRDefault="00615775" w:rsidP="00615775">
      <w:pPr>
        <w:rPr>
          <w:rFonts w:cs="Calibri"/>
          <w:b/>
          <w:sz w:val="24"/>
          <w:szCs w:val="24"/>
        </w:rPr>
      </w:pPr>
    </w:p>
    <w:p w14:paraId="79BAB953" w14:textId="77777777" w:rsidR="00615775" w:rsidRPr="00D64033" w:rsidRDefault="00615775" w:rsidP="00061417">
      <w:pPr>
        <w:numPr>
          <w:ilvl w:val="0"/>
          <w:numId w:val="34"/>
        </w:numPr>
        <w:spacing w:after="0" w:line="240" w:lineRule="auto"/>
        <w:rPr>
          <w:rFonts w:cs="Calibri"/>
          <w:b/>
          <w:sz w:val="24"/>
          <w:szCs w:val="24"/>
        </w:rPr>
      </w:pPr>
      <w:r w:rsidRPr="00D64033">
        <w:rPr>
          <w:rFonts w:cs="Calibri"/>
          <w:b/>
          <w:bCs/>
          <w:i/>
          <w:iCs/>
          <w:sz w:val="24"/>
          <w:szCs w:val="24"/>
        </w:rPr>
        <w:t>[INSERT annexure name]</w:t>
      </w:r>
    </w:p>
    <w:p w14:paraId="0B649908" w14:textId="77777777" w:rsidR="00615775" w:rsidRPr="00D64033" w:rsidRDefault="00615775" w:rsidP="00615775"/>
    <w:p w14:paraId="2D4F8B1E" w14:textId="77777777" w:rsidR="00615775" w:rsidRPr="00D64033" w:rsidRDefault="00615775" w:rsidP="00615775"/>
    <w:p w14:paraId="5F98D51D" w14:textId="77777777" w:rsidR="00615775" w:rsidRPr="00D64033" w:rsidRDefault="00615775" w:rsidP="00615775"/>
    <w:p w14:paraId="0534A3DD" w14:textId="77777777" w:rsidR="00615775" w:rsidRPr="00D64033" w:rsidRDefault="00615775" w:rsidP="00615775">
      <w:pPr>
        <w:rPr>
          <w:rFonts w:cs="Calibri"/>
          <w:sz w:val="24"/>
          <w:szCs w:val="24"/>
        </w:rPr>
      </w:pPr>
    </w:p>
    <w:tbl>
      <w:tblPr>
        <w:tblpPr w:leftFromText="180" w:rightFromText="180" w:vertAnchor="text" w:horzAnchor="margin" w:tblpXSpec="center" w:tblpY="-71"/>
        <w:tblW w:w="0" w:type="auto"/>
        <w:tblCellMar>
          <w:left w:w="0" w:type="dxa"/>
          <w:right w:w="0" w:type="dxa"/>
        </w:tblCellMar>
        <w:tblLook w:val="04A0" w:firstRow="1" w:lastRow="0" w:firstColumn="1" w:lastColumn="0" w:noHBand="0" w:noVBand="1"/>
      </w:tblPr>
      <w:tblGrid>
        <w:gridCol w:w="4510"/>
        <w:gridCol w:w="4496"/>
      </w:tblGrid>
      <w:tr w:rsidR="00615775" w:rsidRPr="00D64033" w14:paraId="55C55540" w14:textId="77777777" w:rsidTr="00750738">
        <w:trPr>
          <w:trHeight w:val="253"/>
        </w:trPr>
        <w:tc>
          <w:tcPr>
            <w:tcW w:w="45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7EFF18" w14:textId="77777777" w:rsidR="00615775" w:rsidRPr="00D64033" w:rsidRDefault="00615775" w:rsidP="00750738">
            <w:pPr>
              <w:rPr>
                <w:rFonts w:cs="Calibri"/>
                <w:b/>
                <w:bCs/>
                <w:sz w:val="24"/>
                <w:szCs w:val="24"/>
              </w:rPr>
            </w:pPr>
          </w:p>
        </w:tc>
        <w:tc>
          <w:tcPr>
            <w:tcW w:w="4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0D2332" w14:textId="77777777" w:rsidR="00615775" w:rsidRPr="00D64033" w:rsidRDefault="00615775" w:rsidP="00750738">
            <w:pPr>
              <w:rPr>
                <w:rFonts w:cs="Calibri"/>
                <w:b/>
                <w:bCs/>
                <w:sz w:val="24"/>
                <w:szCs w:val="24"/>
              </w:rPr>
            </w:pPr>
            <w:r w:rsidRPr="00D64033">
              <w:rPr>
                <w:rFonts w:cs="Calibri"/>
                <w:b/>
                <w:bCs/>
                <w:sz w:val="24"/>
                <w:szCs w:val="24"/>
              </w:rPr>
              <w:t xml:space="preserve">Endorsed: Yes/No </w:t>
            </w:r>
          </w:p>
          <w:p w14:paraId="510C0915" w14:textId="77777777" w:rsidR="00615775" w:rsidRPr="00D64033" w:rsidRDefault="00615775" w:rsidP="00750738">
            <w:pPr>
              <w:rPr>
                <w:rFonts w:cs="Calibri"/>
                <w:b/>
                <w:bCs/>
                <w:sz w:val="24"/>
                <w:szCs w:val="24"/>
              </w:rPr>
            </w:pPr>
          </w:p>
        </w:tc>
      </w:tr>
      <w:tr w:rsidR="00615775" w:rsidRPr="00D64033" w14:paraId="77E40679" w14:textId="77777777" w:rsidTr="00750738">
        <w:trPr>
          <w:trHeight w:val="253"/>
        </w:trPr>
        <w:tc>
          <w:tcPr>
            <w:tcW w:w="4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64644D" w14:textId="77777777" w:rsidR="00615775" w:rsidRPr="00D64033" w:rsidRDefault="00615775" w:rsidP="00750738">
            <w:pPr>
              <w:rPr>
                <w:rFonts w:cs="Calibri"/>
                <w:color w:val="FF0000"/>
                <w:sz w:val="24"/>
                <w:szCs w:val="24"/>
              </w:rPr>
            </w:pPr>
            <w:r w:rsidRPr="00D64033">
              <w:rPr>
                <w:rFonts w:cs="Calibri"/>
                <w:b/>
                <w:bCs/>
                <w:color w:val="FF0000"/>
                <w:sz w:val="24"/>
                <w:szCs w:val="24"/>
              </w:rPr>
              <w:t>Approving Officer Name</w:t>
            </w:r>
          </w:p>
          <w:p w14:paraId="3C688E9A" w14:textId="77777777" w:rsidR="00615775" w:rsidRPr="00D64033" w:rsidRDefault="00615775" w:rsidP="00750738">
            <w:pPr>
              <w:rPr>
                <w:rFonts w:cs="Calibri"/>
                <w:color w:val="FF0000"/>
                <w:sz w:val="24"/>
                <w:szCs w:val="24"/>
              </w:rPr>
            </w:pPr>
            <w:r w:rsidRPr="00D64033">
              <w:rPr>
                <w:rFonts w:cs="Calibri"/>
                <w:color w:val="FF0000"/>
                <w:sz w:val="24"/>
                <w:szCs w:val="24"/>
              </w:rPr>
              <w:t>Approving Officer Title</w:t>
            </w:r>
          </w:p>
          <w:p w14:paraId="12337F5E" w14:textId="77777777" w:rsidR="00615775" w:rsidRPr="00D64033" w:rsidRDefault="00615775" w:rsidP="00750738">
            <w:pPr>
              <w:rPr>
                <w:rFonts w:cs="Calibri"/>
                <w:b/>
                <w:bCs/>
                <w:sz w:val="24"/>
                <w:szCs w:val="24"/>
              </w:rPr>
            </w:pPr>
            <w:r w:rsidRPr="00D64033">
              <w:rPr>
                <w:rFonts w:cs="Calibri"/>
                <w:color w:val="FF0000"/>
                <w:sz w:val="24"/>
                <w:szCs w:val="24"/>
              </w:rPr>
              <w:t>Investigating Entity</w:t>
            </w:r>
          </w:p>
        </w:tc>
        <w:tc>
          <w:tcPr>
            <w:tcW w:w="4551" w:type="dxa"/>
            <w:tcBorders>
              <w:top w:val="nil"/>
              <w:left w:val="nil"/>
              <w:bottom w:val="single" w:sz="8" w:space="0" w:color="auto"/>
              <w:right w:val="single" w:sz="8" w:space="0" w:color="auto"/>
            </w:tcBorders>
            <w:tcMar>
              <w:top w:w="0" w:type="dxa"/>
              <w:left w:w="108" w:type="dxa"/>
              <w:bottom w:w="0" w:type="dxa"/>
              <w:right w:w="108" w:type="dxa"/>
            </w:tcMar>
          </w:tcPr>
          <w:p w14:paraId="5CA9EF52" w14:textId="77777777" w:rsidR="00615775" w:rsidRPr="00D64033" w:rsidRDefault="00615775" w:rsidP="00750738">
            <w:pPr>
              <w:rPr>
                <w:rFonts w:cs="Calibri"/>
                <w:b/>
                <w:bCs/>
                <w:sz w:val="24"/>
                <w:szCs w:val="24"/>
              </w:rPr>
            </w:pPr>
            <w:r w:rsidRPr="00D64033">
              <w:rPr>
                <w:rFonts w:cs="Calibri"/>
                <w:b/>
                <w:bCs/>
                <w:sz w:val="24"/>
                <w:szCs w:val="24"/>
              </w:rPr>
              <w:t>Comments:</w:t>
            </w:r>
          </w:p>
          <w:p w14:paraId="7E4F0323" w14:textId="77777777" w:rsidR="00615775" w:rsidRPr="00D64033" w:rsidRDefault="00615775" w:rsidP="00750738">
            <w:pPr>
              <w:rPr>
                <w:rFonts w:cs="Calibri"/>
                <w:b/>
                <w:bCs/>
                <w:sz w:val="24"/>
                <w:szCs w:val="24"/>
              </w:rPr>
            </w:pPr>
          </w:p>
          <w:p w14:paraId="38385A90" w14:textId="77777777" w:rsidR="00615775" w:rsidRPr="00D64033" w:rsidRDefault="00615775" w:rsidP="00750738">
            <w:pPr>
              <w:rPr>
                <w:rFonts w:cs="Calibri"/>
                <w:b/>
                <w:bCs/>
                <w:sz w:val="24"/>
                <w:szCs w:val="24"/>
              </w:rPr>
            </w:pPr>
          </w:p>
          <w:p w14:paraId="64F72219" w14:textId="77777777" w:rsidR="00615775" w:rsidRPr="00D64033" w:rsidRDefault="00615775" w:rsidP="00750738">
            <w:pPr>
              <w:rPr>
                <w:rFonts w:cs="Calibri"/>
                <w:b/>
                <w:bCs/>
                <w:sz w:val="24"/>
                <w:szCs w:val="24"/>
              </w:rPr>
            </w:pPr>
          </w:p>
        </w:tc>
      </w:tr>
      <w:tr w:rsidR="00615775" w:rsidRPr="00D64033" w14:paraId="68BDFF01" w14:textId="77777777" w:rsidTr="00750738">
        <w:trPr>
          <w:trHeight w:val="253"/>
        </w:trPr>
        <w:tc>
          <w:tcPr>
            <w:tcW w:w="45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57A8" w14:textId="77777777" w:rsidR="00615775" w:rsidRPr="00D64033" w:rsidRDefault="00615775" w:rsidP="00750738">
            <w:pPr>
              <w:rPr>
                <w:rFonts w:cs="Calibri"/>
                <w:b/>
                <w:bCs/>
                <w:sz w:val="24"/>
                <w:szCs w:val="24"/>
              </w:rPr>
            </w:pPr>
          </w:p>
        </w:tc>
        <w:tc>
          <w:tcPr>
            <w:tcW w:w="4551" w:type="dxa"/>
            <w:tcBorders>
              <w:top w:val="nil"/>
              <w:left w:val="nil"/>
              <w:bottom w:val="single" w:sz="8" w:space="0" w:color="auto"/>
              <w:right w:val="single" w:sz="8" w:space="0" w:color="auto"/>
            </w:tcBorders>
            <w:tcMar>
              <w:top w:w="0" w:type="dxa"/>
              <w:left w:w="108" w:type="dxa"/>
              <w:bottom w:w="0" w:type="dxa"/>
              <w:right w:w="108" w:type="dxa"/>
            </w:tcMar>
            <w:hideMark/>
          </w:tcPr>
          <w:p w14:paraId="0A0479B6" w14:textId="77777777" w:rsidR="00615775" w:rsidRPr="00D64033" w:rsidRDefault="00615775" w:rsidP="00750738">
            <w:pPr>
              <w:rPr>
                <w:rFonts w:cs="Calibri"/>
                <w:b/>
                <w:bCs/>
                <w:sz w:val="24"/>
                <w:szCs w:val="24"/>
              </w:rPr>
            </w:pPr>
            <w:r w:rsidRPr="00D64033">
              <w:rPr>
                <w:rFonts w:cs="Calibri"/>
                <w:b/>
                <w:bCs/>
                <w:sz w:val="24"/>
                <w:szCs w:val="24"/>
              </w:rPr>
              <w:t>Date:</w:t>
            </w:r>
          </w:p>
        </w:tc>
      </w:tr>
    </w:tbl>
    <w:p w14:paraId="304580DA" w14:textId="77777777" w:rsidR="00DC6932" w:rsidRDefault="00DC6932" w:rsidP="005813D3">
      <w:pPr>
        <w:rPr>
          <w:rFonts w:ascii="Calibri" w:hAnsi="Calibri" w:cs="Calibri"/>
          <w:sz w:val="24"/>
          <w:szCs w:val="24"/>
        </w:rPr>
        <w:sectPr w:rsidR="00DC6932" w:rsidSect="00240DCD">
          <w:headerReference w:type="default" r:id="rId27"/>
          <w:headerReference w:type="first" r:id="rId28"/>
          <w:pgSz w:w="11906" w:h="16838"/>
          <w:pgMar w:top="1440" w:right="1440" w:bottom="1440" w:left="1440" w:header="708" w:footer="708" w:gutter="0"/>
          <w:cols w:space="708"/>
          <w:titlePg/>
          <w:docGrid w:linePitch="360"/>
        </w:sectPr>
      </w:pPr>
    </w:p>
    <w:p w14:paraId="6C4A1074" w14:textId="271A4E74" w:rsidR="005813D3" w:rsidRDefault="009E6C95" w:rsidP="007247D1">
      <w:pPr>
        <w:pStyle w:val="Heading1"/>
      </w:pPr>
      <w:bookmarkStart w:id="334" w:name="_Ref64886499"/>
      <w:bookmarkStart w:id="335" w:name="_Toc67904064"/>
      <w:bookmarkStart w:id="336" w:name="_Toc75255240"/>
      <w:r>
        <w:lastRenderedPageBreak/>
        <w:t>Appendix H</w:t>
      </w:r>
      <w:r w:rsidR="00DC6932">
        <w:t>: Public interest disclosure initial assessment form</w:t>
      </w:r>
      <w:bookmarkEnd w:id="334"/>
      <w:bookmarkEnd w:id="335"/>
      <w:bookmarkEnd w:id="336"/>
      <w:r w:rsidR="00DC6932">
        <w:t xml:space="preserve"> </w:t>
      </w:r>
    </w:p>
    <w:p w14:paraId="6968CA81" w14:textId="0A4DD97E" w:rsidR="00DC6932" w:rsidRPr="004956A0" w:rsidRDefault="00DC6932" w:rsidP="00DC6932">
      <w:pPr>
        <w:rPr>
          <w:b/>
          <w:sz w:val="28"/>
          <w:szCs w:val="28"/>
        </w:rPr>
      </w:pPr>
      <w:r>
        <w:rPr>
          <w:b/>
          <w:sz w:val="28"/>
          <w:szCs w:val="28"/>
        </w:rPr>
        <w:t>PUBLIC INTEREST DISCLOSURE INITIAL ASSESSMENT FORM</w:t>
      </w:r>
      <w:r w:rsidR="002232CA" w:rsidRPr="002232CA">
        <w:rPr>
          <w:rStyle w:val="FootnoteReference"/>
          <w:iCs/>
          <w:sz w:val="24"/>
          <w:szCs w:val="24"/>
        </w:rPr>
        <w:footnoteReference w:id="178"/>
      </w:r>
      <w:r>
        <w:rPr>
          <w:b/>
          <w:sz w:val="28"/>
          <w:szCs w:val="28"/>
        </w:rPr>
        <w:br/>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502"/>
      </w:tblGrid>
      <w:tr w:rsidR="00DC6932" w:rsidRPr="00891532" w14:paraId="15DB1B1F" w14:textId="77777777" w:rsidTr="00996585">
        <w:tc>
          <w:tcPr>
            <w:tcW w:w="9021" w:type="dxa"/>
            <w:gridSpan w:val="2"/>
            <w:shd w:val="clear" w:color="auto" w:fill="D9D9D9"/>
            <w:vAlign w:val="center"/>
          </w:tcPr>
          <w:p w14:paraId="742DA335" w14:textId="77777777" w:rsidR="00DC6932" w:rsidRPr="00891532" w:rsidRDefault="00DC6932" w:rsidP="00996585">
            <w:pPr>
              <w:rPr>
                <w:b/>
                <w:szCs w:val="20"/>
              </w:rPr>
            </w:pPr>
            <w:r w:rsidRPr="00891532">
              <w:rPr>
                <w:b/>
                <w:szCs w:val="20"/>
              </w:rPr>
              <w:t>Disclosure Details</w:t>
            </w:r>
          </w:p>
        </w:tc>
      </w:tr>
      <w:tr w:rsidR="00DC6932" w:rsidRPr="00891532" w14:paraId="72B613AE" w14:textId="77777777" w:rsidTr="00996585">
        <w:tc>
          <w:tcPr>
            <w:tcW w:w="4519" w:type="dxa"/>
            <w:vAlign w:val="center"/>
          </w:tcPr>
          <w:p w14:paraId="11AC3946" w14:textId="77777777" w:rsidR="00DC6932" w:rsidRPr="00891532" w:rsidRDefault="00DC6932" w:rsidP="00996585">
            <w:pPr>
              <w:rPr>
                <w:b/>
                <w:szCs w:val="20"/>
              </w:rPr>
            </w:pPr>
            <w:r w:rsidRPr="00891532">
              <w:rPr>
                <w:b/>
                <w:szCs w:val="20"/>
              </w:rPr>
              <w:t>Name</w:t>
            </w:r>
            <w:r>
              <w:rPr>
                <w:b/>
                <w:szCs w:val="20"/>
              </w:rPr>
              <w:t xml:space="preserve"> of Discloser</w:t>
            </w:r>
          </w:p>
        </w:tc>
        <w:tc>
          <w:tcPr>
            <w:tcW w:w="4502" w:type="dxa"/>
            <w:vAlign w:val="center"/>
          </w:tcPr>
          <w:p w14:paraId="171DF113" w14:textId="77777777" w:rsidR="00DC6932" w:rsidRPr="00891532" w:rsidRDefault="00DC6932" w:rsidP="00996585">
            <w:pPr>
              <w:rPr>
                <w:b/>
              </w:rPr>
            </w:pPr>
          </w:p>
        </w:tc>
      </w:tr>
      <w:tr w:rsidR="00DC6932" w:rsidRPr="00891532" w14:paraId="53E072D3" w14:textId="77777777" w:rsidTr="00996585">
        <w:tc>
          <w:tcPr>
            <w:tcW w:w="4519" w:type="dxa"/>
            <w:vAlign w:val="center"/>
          </w:tcPr>
          <w:p w14:paraId="4E1DF9BD" w14:textId="77777777" w:rsidR="00DC6932" w:rsidRPr="00891532" w:rsidRDefault="00DC6932" w:rsidP="00996585">
            <w:pPr>
              <w:rPr>
                <w:b/>
                <w:szCs w:val="20"/>
              </w:rPr>
            </w:pPr>
            <w:r w:rsidRPr="00891532">
              <w:rPr>
                <w:b/>
                <w:szCs w:val="20"/>
              </w:rPr>
              <w:t>Address</w:t>
            </w:r>
          </w:p>
        </w:tc>
        <w:tc>
          <w:tcPr>
            <w:tcW w:w="4502" w:type="dxa"/>
            <w:vAlign w:val="center"/>
          </w:tcPr>
          <w:p w14:paraId="6F02A77E" w14:textId="77777777" w:rsidR="00DC6932" w:rsidRPr="00891532" w:rsidRDefault="00DC6932" w:rsidP="00996585">
            <w:pPr>
              <w:rPr>
                <w:b/>
              </w:rPr>
            </w:pPr>
          </w:p>
        </w:tc>
      </w:tr>
      <w:tr w:rsidR="00DC6932" w:rsidRPr="00891532" w14:paraId="2F44C980" w14:textId="77777777" w:rsidTr="00996585">
        <w:tc>
          <w:tcPr>
            <w:tcW w:w="4519" w:type="dxa"/>
            <w:vAlign w:val="center"/>
          </w:tcPr>
          <w:p w14:paraId="64A1F1C6" w14:textId="77777777" w:rsidR="00DC6932" w:rsidRPr="00891532" w:rsidRDefault="00DC6932" w:rsidP="00996585">
            <w:pPr>
              <w:rPr>
                <w:b/>
                <w:szCs w:val="20"/>
              </w:rPr>
            </w:pPr>
            <w:r w:rsidRPr="00891532">
              <w:rPr>
                <w:b/>
                <w:szCs w:val="20"/>
              </w:rPr>
              <w:t>Phone</w:t>
            </w:r>
          </w:p>
        </w:tc>
        <w:tc>
          <w:tcPr>
            <w:tcW w:w="4502" w:type="dxa"/>
            <w:vAlign w:val="center"/>
          </w:tcPr>
          <w:p w14:paraId="33C53310" w14:textId="77777777" w:rsidR="00DC6932" w:rsidRPr="00891532" w:rsidRDefault="00DC6932" w:rsidP="00996585">
            <w:pPr>
              <w:rPr>
                <w:b/>
              </w:rPr>
            </w:pPr>
          </w:p>
        </w:tc>
      </w:tr>
      <w:tr w:rsidR="00DC6932" w:rsidRPr="00891532" w14:paraId="0AB07CA5" w14:textId="77777777" w:rsidTr="00996585">
        <w:tc>
          <w:tcPr>
            <w:tcW w:w="4519" w:type="dxa"/>
            <w:vAlign w:val="center"/>
          </w:tcPr>
          <w:p w14:paraId="7CF3016C" w14:textId="77777777" w:rsidR="00DC6932" w:rsidRPr="00891532" w:rsidRDefault="00DC6932" w:rsidP="00996585">
            <w:pPr>
              <w:rPr>
                <w:b/>
                <w:szCs w:val="20"/>
              </w:rPr>
            </w:pPr>
            <w:r w:rsidRPr="00891532">
              <w:rPr>
                <w:b/>
                <w:szCs w:val="20"/>
              </w:rPr>
              <w:t>Mobile</w:t>
            </w:r>
          </w:p>
        </w:tc>
        <w:tc>
          <w:tcPr>
            <w:tcW w:w="4502" w:type="dxa"/>
            <w:vAlign w:val="center"/>
          </w:tcPr>
          <w:p w14:paraId="118A88D8" w14:textId="77777777" w:rsidR="00DC6932" w:rsidRPr="00891532" w:rsidRDefault="00DC6932" w:rsidP="00996585">
            <w:pPr>
              <w:rPr>
                <w:b/>
              </w:rPr>
            </w:pPr>
          </w:p>
        </w:tc>
      </w:tr>
      <w:tr w:rsidR="00924F40" w:rsidRPr="00891532" w14:paraId="5AD12B9E" w14:textId="77777777" w:rsidTr="00996585">
        <w:tc>
          <w:tcPr>
            <w:tcW w:w="4519" w:type="dxa"/>
            <w:vAlign w:val="center"/>
          </w:tcPr>
          <w:p w14:paraId="55CFE6E1" w14:textId="4AD212BB" w:rsidR="00924F40" w:rsidRPr="00891532" w:rsidRDefault="00924F40" w:rsidP="00996585">
            <w:pPr>
              <w:rPr>
                <w:b/>
                <w:szCs w:val="20"/>
              </w:rPr>
            </w:pPr>
            <w:r>
              <w:rPr>
                <w:b/>
                <w:szCs w:val="20"/>
              </w:rPr>
              <w:t>Email</w:t>
            </w:r>
          </w:p>
        </w:tc>
        <w:tc>
          <w:tcPr>
            <w:tcW w:w="4502" w:type="dxa"/>
            <w:vAlign w:val="center"/>
          </w:tcPr>
          <w:p w14:paraId="23D91A42" w14:textId="77777777" w:rsidR="00924F40" w:rsidRPr="00891532" w:rsidRDefault="00924F40" w:rsidP="00996585">
            <w:pPr>
              <w:rPr>
                <w:b/>
              </w:rPr>
            </w:pPr>
          </w:p>
        </w:tc>
      </w:tr>
      <w:tr w:rsidR="00DC6932" w:rsidRPr="00891532" w14:paraId="3C15F4A0" w14:textId="77777777" w:rsidTr="00996585">
        <w:tc>
          <w:tcPr>
            <w:tcW w:w="4519" w:type="dxa"/>
            <w:vAlign w:val="center"/>
          </w:tcPr>
          <w:p w14:paraId="2FAA85EE" w14:textId="77777777" w:rsidR="00DC6932" w:rsidRPr="00891532" w:rsidRDefault="00DC6932" w:rsidP="00996585">
            <w:pPr>
              <w:rPr>
                <w:b/>
                <w:szCs w:val="20"/>
              </w:rPr>
            </w:pPr>
            <w:r>
              <w:rPr>
                <w:b/>
                <w:szCs w:val="20"/>
              </w:rPr>
              <w:t>How was the disclosure received</w:t>
            </w:r>
          </w:p>
        </w:tc>
        <w:tc>
          <w:tcPr>
            <w:tcW w:w="4502" w:type="dxa"/>
            <w:vAlign w:val="center"/>
          </w:tcPr>
          <w:p w14:paraId="3BE0D9F2" w14:textId="77777777" w:rsidR="00DC6932" w:rsidRPr="00891532" w:rsidRDefault="00DC6932" w:rsidP="00996585">
            <w:pPr>
              <w:rPr>
                <w:b/>
              </w:rPr>
            </w:pPr>
          </w:p>
        </w:tc>
      </w:tr>
      <w:tr w:rsidR="00DC6932" w:rsidRPr="00891532" w14:paraId="1BC89671" w14:textId="77777777" w:rsidTr="00996585">
        <w:tc>
          <w:tcPr>
            <w:tcW w:w="4519" w:type="dxa"/>
            <w:vAlign w:val="center"/>
          </w:tcPr>
          <w:p w14:paraId="3156848E" w14:textId="50F28499" w:rsidR="00DC6932" w:rsidRPr="00891532" w:rsidRDefault="00DC6932" w:rsidP="00996585">
            <w:pPr>
              <w:rPr>
                <w:b/>
                <w:szCs w:val="20"/>
              </w:rPr>
            </w:pPr>
            <w:r w:rsidRPr="00891532">
              <w:rPr>
                <w:b/>
                <w:szCs w:val="20"/>
              </w:rPr>
              <w:t xml:space="preserve">Date </w:t>
            </w:r>
            <w:r w:rsidR="00924F40">
              <w:rPr>
                <w:b/>
                <w:szCs w:val="20"/>
              </w:rPr>
              <w:t>d</w:t>
            </w:r>
            <w:r>
              <w:rPr>
                <w:b/>
                <w:szCs w:val="20"/>
              </w:rPr>
              <w:t xml:space="preserve">isclosure </w:t>
            </w:r>
            <w:r w:rsidRPr="00891532">
              <w:rPr>
                <w:b/>
                <w:szCs w:val="20"/>
              </w:rPr>
              <w:t>Received</w:t>
            </w:r>
          </w:p>
        </w:tc>
        <w:tc>
          <w:tcPr>
            <w:tcW w:w="4502" w:type="dxa"/>
            <w:vAlign w:val="center"/>
          </w:tcPr>
          <w:p w14:paraId="5F27FAAD" w14:textId="77777777" w:rsidR="00DC6932" w:rsidRPr="00891532" w:rsidRDefault="00DC6932" w:rsidP="00996585">
            <w:pPr>
              <w:rPr>
                <w:b/>
              </w:rPr>
            </w:pPr>
          </w:p>
        </w:tc>
      </w:tr>
      <w:tr w:rsidR="00DC6932" w:rsidRPr="00891532" w14:paraId="4E805107" w14:textId="77777777" w:rsidTr="00996585">
        <w:tc>
          <w:tcPr>
            <w:tcW w:w="4519" w:type="dxa"/>
            <w:vAlign w:val="center"/>
          </w:tcPr>
          <w:p w14:paraId="79402D7C" w14:textId="4C14A8D1" w:rsidR="00DC6932" w:rsidRPr="00891532" w:rsidRDefault="00DC6932" w:rsidP="00996585">
            <w:pPr>
              <w:rPr>
                <w:b/>
                <w:szCs w:val="20"/>
              </w:rPr>
            </w:pPr>
            <w:r w:rsidRPr="00891532">
              <w:rPr>
                <w:b/>
                <w:szCs w:val="20"/>
              </w:rPr>
              <w:t>Received by Disclosure Officer / Receiving Officer</w:t>
            </w:r>
            <w:r w:rsidR="00924F40">
              <w:rPr>
                <w:b/>
                <w:szCs w:val="20"/>
              </w:rPr>
              <w:t xml:space="preserve"> (include name)</w:t>
            </w:r>
          </w:p>
        </w:tc>
        <w:tc>
          <w:tcPr>
            <w:tcW w:w="4502" w:type="dxa"/>
            <w:vAlign w:val="center"/>
          </w:tcPr>
          <w:p w14:paraId="2E1DF658" w14:textId="77777777" w:rsidR="00DC6932" w:rsidRPr="00891532" w:rsidRDefault="00DC6932" w:rsidP="00996585">
            <w:pPr>
              <w:rPr>
                <w:b/>
              </w:rPr>
            </w:pPr>
          </w:p>
        </w:tc>
      </w:tr>
      <w:tr w:rsidR="00DC6932" w:rsidRPr="00891532" w14:paraId="08C6BD01" w14:textId="77777777" w:rsidTr="00996585">
        <w:tc>
          <w:tcPr>
            <w:tcW w:w="4519" w:type="dxa"/>
            <w:vAlign w:val="center"/>
          </w:tcPr>
          <w:p w14:paraId="2BB16930" w14:textId="77777777" w:rsidR="00DC6932" w:rsidRPr="00891532" w:rsidRDefault="00DC6932" w:rsidP="00996585">
            <w:pPr>
              <w:rPr>
                <w:b/>
                <w:szCs w:val="20"/>
              </w:rPr>
            </w:pPr>
            <w:r>
              <w:rPr>
                <w:b/>
                <w:szCs w:val="20"/>
              </w:rPr>
              <w:t>Name of Disclosure Officer Handling Matter</w:t>
            </w:r>
          </w:p>
        </w:tc>
        <w:tc>
          <w:tcPr>
            <w:tcW w:w="4502" w:type="dxa"/>
            <w:vAlign w:val="center"/>
          </w:tcPr>
          <w:p w14:paraId="501D22A4" w14:textId="77777777" w:rsidR="00DC6932" w:rsidRPr="00891532" w:rsidRDefault="00DC6932" w:rsidP="00996585">
            <w:pPr>
              <w:rPr>
                <w:b/>
                <w:szCs w:val="20"/>
              </w:rPr>
            </w:pPr>
          </w:p>
        </w:tc>
      </w:tr>
      <w:tr w:rsidR="00DC6932" w:rsidRPr="00891532" w14:paraId="649C2C81" w14:textId="77777777" w:rsidTr="00996585">
        <w:tc>
          <w:tcPr>
            <w:tcW w:w="4519" w:type="dxa"/>
            <w:vAlign w:val="center"/>
          </w:tcPr>
          <w:p w14:paraId="4B4D9785" w14:textId="77777777" w:rsidR="00DC6932" w:rsidRPr="00891532" w:rsidRDefault="00DC6932" w:rsidP="00996585">
            <w:pPr>
              <w:rPr>
                <w:b/>
                <w:szCs w:val="20"/>
              </w:rPr>
            </w:pPr>
            <w:r w:rsidRPr="00891532">
              <w:rPr>
                <w:b/>
                <w:szCs w:val="20"/>
              </w:rPr>
              <w:t>Date acknowledgement letter sent to the discloser</w:t>
            </w:r>
          </w:p>
        </w:tc>
        <w:tc>
          <w:tcPr>
            <w:tcW w:w="4502" w:type="dxa"/>
            <w:vAlign w:val="center"/>
          </w:tcPr>
          <w:p w14:paraId="7ABAA015" w14:textId="77777777" w:rsidR="00DC6932" w:rsidRPr="00891532" w:rsidRDefault="00DC6932" w:rsidP="00996585">
            <w:pPr>
              <w:rPr>
                <w:b/>
                <w:szCs w:val="20"/>
              </w:rPr>
            </w:pPr>
          </w:p>
        </w:tc>
      </w:tr>
      <w:tr w:rsidR="00DC6932" w:rsidRPr="00891532" w14:paraId="1FB30F4E" w14:textId="77777777" w:rsidTr="00996585">
        <w:tc>
          <w:tcPr>
            <w:tcW w:w="4519" w:type="dxa"/>
            <w:vAlign w:val="center"/>
          </w:tcPr>
          <w:p w14:paraId="3FA32F4F" w14:textId="008F4322" w:rsidR="00DC6932" w:rsidRPr="00891532" w:rsidRDefault="00024A85" w:rsidP="00996585">
            <w:pPr>
              <w:rPr>
                <w:b/>
                <w:szCs w:val="20"/>
              </w:rPr>
            </w:pPr>
            <w:r>
              <w:rPr>
                <w:b/>
                <w:szCs w:val="20"/>
              </w:rPr>
              <w:t>Record number</w:t>
            </w:r>
          </w:p>
        </w:tc>
        <w:tc>
          <w:tcPr>
            <w:tcW w:w="4502" w:type="dxa"/>
            <w:vAlign w:val="center"/>
          </w:tcPr>
          <w:p w14:paraId="725AC7E2" w14:textId="77777777" w:rsidR="00DC6932" w:rsidRPr="00891532" w:rsidRDefault="00DC6932" w:rsidP="00996585">
            <w:pPr>
              <w:rPr>
                <w:b/>
                <w:szCs w:val="20"/>
              </w:rPr>
            </w:pPr>
          </w:p>
        </w:tc>
      </w:tr>
      <w:tr w:rsidR="00DC6932" w:rsidRPr="00891532" w14:paraId="5CBF090E" w14:textId="77777777" w:rsidTr="00996585">
        <w:tc>
          <w:tcPr>
            <w:tcW w:w="9021" w:type="dxa"/>
            <w:gridSpan w:val="2"/>
            <w:shd w:val="clear" w:color="auto" w:fill="D9D9D9"/>
            <w:vAlign w:val="center"/>
          </w:tcPr>
          <w:p w14:paraId="335EF3E3" w14:textId="2004DA66" w:rsidR="00DC6932" w:rsidRPr="00891532" w:rsidRDefault="00DC6932" w:rsidP="00996585">
            <w:pPr>
              <w:rPr>
                <w:b/>
                <w:szCs w:val="20"/>
              </w:rPr>
            </w:pPr>
            <w:r w:rsidRPr="00891532">
              <w:rPr>
                <w:b/>
                <w:szCs w:val="20"/>
              </w:rPr>
              <w:t>Details of initial assessment by Disclosure Officer</w:t>
            </w:r>
          </w:p>
        </w:tc>
      </w:tr>
      <w:tr w:rsidR="00DC6932" w:rsidRPr="00891532" w14:paraId="05248E84" w14:textId="77777777" w:rsidTr="00996585">
        <w:trPr>
          <w:trHeight w:val="1253"/>
        </w:trPr>
        <w:tc>
          <w:tcPr>
            <w:tcW w:w="9021" w:type="dxa"/>
            <w:gridSpan w:val="2"/>
          </w:tcPr>
          <w:p w14:paraId="27CB43C4" w14:textId="77777777" w:rsidR="00DC6932" w:rsidRPr="00891532" w:rsidRDefault="00DC6932" w:rsidP="00996585">
            <w:pPr>
              <w:rPr>
                <w:b/>
              </w:rPr>
            </w:pPr>
            <w:r w:rsidRPr="00891532">
              <w:rPr>
                <w:b/>
              </w:rPr>
              <w:t>There has been a disclosure about ‘</w:t>
            </w:r>
            <w:r>
              <w:rPr>
                <w:b/>
              </w:rPr>
              <w:t>xxx’</w:t>
            </w:r>
            <w:r w:rsidRPr="00891532">
              <w:rPr>
                <w:b/>
              </w:rPr>
              <w:t>:</w:t>
            </w:r>
          </w:p>
          <w:p w14:paraId="3BF37C56" w14:textId="77777777" w:rsidR="00DC6932" w:rsidRPr="00891532" w:rsidRDefault="00DC6932" w:rsidP="00996585">
            <w:pPr>
              <w:rPr>
                <w:b/>
              </w:rPr>
            </w:pPr>
            <w:r w:rsidRPr="00891532">
              <w:rPr>
                <w:b/>
              </w:rPr>
              <w:t>Issues</w:t>
            </w:r>
          </w:p>
          <w:p w14:paraId="06F5C9AF" w14:textId="77777777" w:rsidR="00DC6932" w:rsidRDefault="00DC6932" w:rsidP="00061417">
            <w:pPr>
              <w:numPr>
                <w:ilvl w:val="0"/>
                <w:numId w:val="25"/>
              </w:numPr>
              <w:spacing w:after="200" w:line="276" w:lineRule="auto"/>
              <w:jc w:val="left"/>
            </w:pPr>
            <w:r>
              <w:t>Xx</w:t>
            </w:r>
          </w:p>
          <w:p w14:paraId="1E46FB45" w14:textId="77777777" w:rsidR="00DC6932" w:rsidRDefault="00DC6932" w:rsidP="00061417">
            <w:pPr>
              <w:numPr>
                <w:ilvl w:val="0"/>
                <w:numId w:val="25"/>
              </w:numPr>
              <w:spacing w:after="200" w:line="276" w:lineRule="auto"/>
              <w:jc w:val="left"/>
            </w:pPr>
            <w:r>
              <w:t>Xx</w:t>
            </w:r>
          </w:p>
          <w:p w14:paraId="24223E7D" w14:textId="77777777" w:rsidR="00DC6932" w:rsidRDefault="00DC6932" w:rsidP="00061417">
            <w:pPr>
              <w:numPr>
                <w:ilvl w:val="0"/>
                <w:numId w:val="25"/>
              </w:numPr>
              <w:spacing w:after="200" w:line="276" w:lineRule="auto"/>
              <w:jc w:val="left"/>
            </w:pPr>
            <w:r>
              <w:t>Xx</w:t>
            </w:r>
          </w:p>
          <w:p w14:paraId="50C412A2" w14:textId="77777777" w:rsidR="00DC6932" w:rsidRDefault="00DC6932" w:rsidP="00061417">
            <w:pPr>
              <w:numPr>
                <w:ilvl w:val="0"/>
                <w:numId w:val="25"/>
              </w:numPr>
              <w:spacing w:after="200" w:line="276" w:lineRule="auto"/>
              <w:jc w:val="left"/>
            </w:pPr>
            <w:r>
              <w:t>Xx</w:t>
            </w:r>
          </w:p>
          <w:p w14:paraId="0D0BA6CC" w14:textId="77777777" w:rsidR="00DC6932" w:rsidRDefault="00DC6932" w:rsidP="00061417">
            <w:pPr>
              <w:numPr>
                <w:ilvl w:val="0"/>
                <w:numId w:val="25"/>
              </w:numPr>
              <w:spacing w:after="200" w:line="276" w:lineRule="auto"/>
              <w:jc w:val="left"/>
            </w:pPr>
            <w:r>
              <w:t>Xx</w:t>
            </w:r>
          </w:p>
          <w:p w14:paraId="130AA0B3" w14:textId="77777777" w:rsidR="00DC6932" w:rsidRDefault="00DC6932" w:rsidP="00061417">
            <w:pPr>
              <w:numPr>
                <w:ilvl w:val="0"/>
                <w:numId w:val="25"/>
              </w:numPr>
              <w:spacing w:after="200" w:line="276" w:lineRule="auto"/>
              <w:jc w:val="left"/>
            </w:pPr>
            <w:r>
              <w:t>Xx</w:t>
            </w:r>
          </w:p>
          <w:p w14:paraId="19C3BC89" w14:textId="77777777" w:rsidR="00DC6932" w:rsidRPr="00BD644C" w:rsidRDefault="00DC6932" w:rsidP="00061417">
            <w:pPr>
              <w:numPr>
                <w:ilvl w:val="0"/>
                <w:numId w:val="25"/>
              </w:numPr>
              <w:spacing w:after="200" w:line="276" w:lineRule="auto"/>
              <w:jc w:val="left"/>
            </w:pPr>
            <w:r>
              <w:t>Xx</w:t>
            </w:r>
          </w:p>
        </w:tc>
      </w:tr>
      <w:tr w:rsidR="00DC6932" w:rsidRPr="00891532" w14:paraId="3909F56C" w14:textId="77777777" w:rsidTr="00996585">
        <w:tc>
          <w:tcPr>
            <w:tcW w:w="9021" w:type="dxa"/>
            <w:gridSpan w:val="2"/>
            <w:shd w:val="clear" w:color="auto" w:fill="D9D9D9"/>
          </w:tcPr>
          <w:p w14:paraId="40D1507F" w14:textId="01571733" w:rsidR="00DC6932" w:rsidRPr="00891532" w:rsidRDefault="00DC6932" w:rsidP="00996585">
            <w:pPr>
              <w:rPr>
                <w:b/>
                <w:szCs w:val="20"/>
              </w:rPr>
            </w:pPr>
            <w:r>
              <w:rPr>
                <w:b/>
                <w:szCs w:val="20"/>
              </w:rPr>
              <w:t>Definition of Disclosable Conduct</w:t>
            </w:r>
          </w:p>
        </w:tc>
      </w:tr>
      <w:tr w:rsidR="00DC6932" w:rsidRPr="00891532" w14:paraId="1BF96147" w14:textId="77777777" w:rsidTr="00996585">
        <w:tc>
          <w:tcPr>
            <w:tcW w:w="9021" w:type="dxa"/>
            <w:gridSpan w:val="2"/>
          </w:tcPr>
          <w:p w14:paraId="39823E6A" w14:textId="1D24695F" w:rsidR="00024A85" w:rsidRPr="00024A85" w:rsidRDefault="007532CF" w:rsidP="00024A85">
            <w:pPr>
              <w:rPr>
                <w:bCs/>
                <w:szCs w:val="20"/>
              </w:rPr>
            </w:pP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(1)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For this Act, disclosable conduct means an action or a policy, practice or procedure of a public sector entity, or public official for a public sector entity, that—</w:t>
            </w:r>
          </w:p>
          <w:p w14:paraId="54A1372E" w14:textId="16E7987E" w:rsidR="00024A85" w:rsidRPr="00024A85" w:rsidRDefault="007532CF" w:rsidP="00024A85">
            <w:pPr>
              <w:rPr>
                <w:bCs/>
                <w:szCs w:val="20"/>
              </w:rPr>
            </w:pP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(a)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is</w:t>
            </w:r>
            <w:r>
              <w:rPr>
                <w:bCs/>
                <w:szCs w:val="20"/>
              </w:rPr>
              <w:t xml:space="preserve"> </w:t>
            </w:r>
            <w:r w:rsidR="00024A85" w:rsidRPr="00024A85">
              <w:rPr>
                <w:bCs/>
                <w:szCs w:val="20"/>
              </w:rPr>
              <w:t>maladministration; or</w:t>
            </w:r>
          </w:p>
          <w:p w14:paraId="47CED546" w14:textId="2142232F" w:rsidR="00024A85" w:rsidRPr="00024A85" w:rsidRDefault="007532CF" w:rsidP="00024A85">
            <w:pPr>
              <w:rPr>
                <w:bCs/>
                <w:szCs w:val="20"/>
              </w:rPr>
            </w:pPr>
            <w:r>
              <w:rPr>
                <w:bCs/>
                <w:szCs w:val="20"/>
              </w:rPr>
              <w:lastRenderedPageBreak/>
              <w:t xml:space="preserve"> </w:t>
            </w:r>
            <w:r w:rsidR="00024A85" w:rsidRPr="00024A85">
              <w:rPr>
                <w:bCs/>
                <w:szCs w:val="20"/>
              </w:rPr>
              <w:t xml:space="preserve">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(b)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results in a substantial and specific danger to</w:t>
            </w:r>
            <w:r>
              <w:rPr>
                <w:bCs/>
                <w:szCs w:val="20"/>
              </w:rPr>
              <w:t xml:space="preserve"> </w:t>
            </w:r>
            <w:r w:rsidR="00024A85" w:rsidRPr="00024A85">
              <w:rPr>
                <w:bCs/>
                <w:szCs w:val="20"/>
              </w:rPr>
              <w:t>public health or</w:t>
            </w:r>
            <w:r>
              <w:rPr>
                <w:bCs/>
                <w:szCs w:val="20"/>
              </w:rPr>
              <w:t xml:space="preserve"> </w:t>
            </w:r>
            <w:r w:rsidR="00024A85" w:rsidRPr="00024A85">
              <w:rPr>
                <w:bCs/>
                <w:szCs w:val="20"/>
              </w:rPr>
              <w:t>safety, or the</w:t>
            </w:r>
            <w:r>
              <w:rPr>
                <w:bCs/>
                <w:szCs w:val="20"/>
              </w:rPr>
              <w:t xml:space="preserve"> </w:t>
            </w:r>
            <w:r w:rsidR="00024A85" w:rsidRPr="00024A85">
              <w:rPr>
                <w:bCs/>
                <w:szCs w:val="20"/>
              </w:rPr>
              <w:t>environment.</w:t>
            </w:r>
          </w:p>
          <w:p w14:paraId="64D8B80B" w14:textId="5D0C4469" w:rsidR="00024A85" w:rsidRPr="00024A85" w:rsidRDefault="007532CF" w:rsidP="00024A85">
            <w:pPr>
              <w:rPr>
                <w:bCs/>
                <w:szCs w:val="20"/>
              </w:rPr>
            </w:pP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(2)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However, "disclosable conduct" does not include an action or a policy practice or procedure of a public sector entity, or a public official for a public sector entity, that—</w:t>
            </w:r>
          </w:p>
          <w:p w14:paraId="69196120" w14:textId="04A94E5E" w:rsidR="00024A85" w:rsidRPr="00024A85" w:rsidRDefault="007532CF" w:rsidP="00024A85">
            <w:pPr>
              <w:rPr>
                <w:bCs/>
                <w:szCs w:val="20"/>
              </w:rPr>
            </w:pP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(a)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relates to a personal work-related grievance of the person disclosing the conduct; or</w:t>
            </w:r>
          </w:p>
          <w:p w14:paraId="5D72E649" w14:textId="562A2650" w:rsidR="00DC6932" w:rsidRPr="00BD644C" w:rsidRDefault="007532CF" w:rsidP="00024A85">
            <w:pPr>
              <w:rPr>
                <w:b/>
                <w:szCs w:val="20"/>
              </w:rPr>
            </w:pP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(b) </w:t>
            </w:r>
            <w:r>
              <w:rPr>
                <w:bCs/>
                <w:szCs w:val="20"/>
              </w:rPr>
              <w:t xml:space="preserve"> </w:t>
            </w:r>
            <w:r w:rsidR="00024A85" w:rsidRPr="00024A85">
              <w:rPr>
                <w:bCs/>
                <w:szCs w:val="20"/>
              </w:rPr>
              <w:t xml:space="preserve"> </w:t>
            </w:r>
            <w:r>
              <w:rPr>
                <w:bCs/>
                <w:szCs w:val="20"/>
              </w:rPr>
              <w:t xml:space="preserve"> </w:t>
            </w:r>
            <w:r w:rsidR="00024A85" w:rsidRPr="00024A85">
              <w:rPr>
                <w:bCs/>
                <w:szCs w:val="20"/>
              </w:rPr>
              <w:t xml:space="preserve"> is to give effect to a policy of the Territory about amounts, purposes or priorities of public expenditure.</w:t>
            </w:r>
          </w:p>
        </w:tc>
      </w:tr>
      <w:tr w:rsidR="00DC6932" w:rsidRPr="00891532" w14:paraId="5E361218" w14:textId="77777777" w:rsidTr="00996585">
        <w:tc>
          <w:tcPr>
            <w:tcW w:w="9021" w:type="dxa"/>
            <w:gridSpan w:val="2"/>
            <w:shd w:val="clear" w:color="auto" w:fill="D9D9D9" w:themeFill="background1" w:themeFillShade="D9"/>
          </w:tcPr>
          <w:p w14:paraId="4915A3B4" w14:textId="68242B1D" w:rsidR="00DC6932" w:rsidRPr="00891532" w:rsidRDefault="00DC6932" w:rsidP="00024A85">
            <w:pPr>
              <w:jc w:val="left"/>
              <w:rPr>
                <w:b/>
                <w:szCs w:val="20"/>
              </w:rPr>
            </w:pPr>
            <w:r>
              <w:rPr>
                <w:b/>
                <w:szCs w:val="20"/>
              </w:rPr>
              <w:lastRenderedPageBreak/>
              <w:t>Assess if the disclosure falls within the ambit of the PID Act</w:t>
            </w:r>
            <w:r w:rsidR="002232CA">
              <w:rPr>
                <w:b/>
                <w:szCs w:val="20"/>
              </w:rPr>
              <w:t xml:space="preserve"> (section 8)</w:t>
            </w:r>
            <w:r>
              <w:rPr>
                <w:b/>
                <w:szCs w:val="20"/>
              </w:rPr>
              <w:t xml:space="preserve">. </w:t>
            </w:r>
            <w:r>
              <w:rPr>
                <w:b/>
                <w:szCs w:val="20"/>
              </w:rPr>
              <w:br/>
            </w:r>
            <w:r w:rsidRPr="005C69F0">
              <w:rPr>
                <w:i/>
                <w:szCs w:val="20"/>
              </w:rPr>
              <w:t>Document how you reached this decision, referencing th</w:t>
            </w:r>
            <w:r>
              <w:rPr>
                <w:i/>
                <w:szCs w:val="20"/>
              </w:rPr>
              <w:t>e assessment criteria.</w:t>
            </w:r>
          </w:p>
        </w:tc>
      </w:tr>
      <w:tr w:rsidR="00DC6932" w:rsidRPr="00891532" w14:paraId="273BD70D" w14:textId="77777777" w:rsidTr="00996585">
        <w:trPr>
          <w:trHeight w:val="2295"/>
        </w:trPr>
        <w:tc>
          <w:tcPr>
            <w:tcW w:w="9021" w:type="dxa"/>
            <w:gridSpan w:val="2"/>
          </w:tcPr>
          <w:p w14:paraId="5B611D86" w14:textId="77777777" w:rsidR="00DC6932" w:rsidRDefault="00DC6932" w:rsidP="00996585">
            <w:pPr>
              <w:rPr>
                <w:b/>
                <w:szCs w:val="20"/>
              </w:rPr>
            </w:pPr>
          </w:p>
          <w:p w14:paraId="37B692B8" w14:textId="77777777" w:rsidR="00DC6932" w:rsidRDefault="00DC6932" w:rsidP="00996585">
            <w:pPr>
              <w:rPr>
                <w:b/>
                <w:szCs w:val="20"/>
              </w:rPr>
            </w:pPr>
          </w:p>
          <w:p w14:paraId="72276C0A" w14:textId="77777777" w:rsidR="00DC6932" w:rsidRDefault="00DC6932" w:rsidP="00996585">
            <w:pPr>
              <w:rPr>
                <w:b/>
                <w:szCs w:val="20"/>
              </w:rPr>
            </w:pPr>
          </w:p>
          <w:p w14:paraId="6D68BB9C" w14:textId="77777777" w:rsidR="00DC6932" w:rsidRDefault="00DC6932" w:rsidP="00996585">
            <w:pPr>
              <w:rPr>
                <w:b/>
                <w:szCs w:val="20"/>
              </w:rPr>
            </w:pPr>
          </w:p>
          <w:p w14:paraId="65F232CD" w14:textId="77777777" w:rsidR="00DC6932" w:rsidRDefault="00DC6932" w:rsidP="00996585">
            <w:pPr>
              <w:rPr>
                <w:b/>
                <w:szCs w:val="20"/>
              </w:rPr>
            </w:pPr>
          </w:p>
          <w:p w14:paraId="1793C84E" w14:textId="77777777" w:rsidR="00DC6932" w:rsidRDefault="00DC6932" w:rsidP="00996585">
            <w:pPr>
              <w:rPr>
                <w:b/>
                <w:szCs w:val="20"/>
              </w:rPr>
            </w:pPr>
          </w:p>
          <w:p w14:paraId="1B78060B" w14:textId="77777777" w:rsidR="00DC6932" w:rsidRDefault="00DC6932" w:rsidP="00996585">
            <w:pPr>
              <w:rPr>
                <w:b/>
                <w:szCs w:val="20"/>
              </w:rPr>
            </w:pPr>
          </w:p>
          <w:p w14:paraId="668CA631" w14:textId="77777777" w:rsidR="00DC6932" w:rsidRDefault="00DC6932" w:rsidP="00996585">
            <w:pPr>
              <w:rPr>
                <w:b/>
                <w:szCs w:val="20"/>
              </w:rPr>
            </w:pPr>
          </w:p>
          <w:p w14:paraId="3CD0899B" w14:textId="77777777" w:rsidR="00DC6932" w:rsidRPr="00891532" w:rsidRDefault="00DC6932" w:rsidP="00996585">
            <w:pPr>
              <w:rPr>
                <w:b/>
                <w:szCs w:val="20"/>
              </w:rPr>
            </w:pPr>
          </w:p>
        </w:tc>
      </w:tr>
      <w:tr w:rsidR="00DC6932" w:rsidRPr="00891532" w14:paraId="189A5543" w14:textId="77777777" w:rsidTr="00996585">
        <w:trPr>
          <w:trHeight w:val="2295"/>
        </w:trPr>
        <w:tc>
          <w:tcPr>
            <w:tcW w:w="9021" w:type="dxa"/>
            <w:gridSpan w:val="2"/>
          </w:tcPr>
          <w:p w14:paraId="158D0175" w14:textId="77777777" w:rsidR="00DC6932" w:rsidRDefault="00DC6932" w:rsidP="00996585">
            <w:pPr>
              <w:rPr>
                <w:b/>
                <w:szCs w:val="20"/>
              </w:rPr>
            </w:pPr>
          </w:p>
          <w:p w14:paraId="5D7D9A54" w14:textId="77777777" w:rsidR="00DC6932" w:rsidRDefault="00DC6932" w:rsidP="00996585">
            <w:pPr>
              <w:rPr>
                <w:b/>
                <w:szCs w:val="20"/>
              </w:rPr>
            </w:pPr>
            <w:r>
              <w:rPr>
                <w:b/>
                <w:szCs w:val="20"/>
              </w:rPr>
              <w:t>Name:</w:t>
            </w:r>
          </w:p>
          <w:p w14:paraId="36966487" w14:textId="753B4442" w:rsidR="00DC6932" w:rsidRDefault="00DC6932" w:rsidP="00996585">
            <w:pPr>
              <w:tabs>
                <w:tab w:val="center" w:pos="4402"/>
              </w:tabs>
              <w:rPr>
                <w:b/>
                <w:szCs w:val="20"/>
              </w:rPr>
            </w:pPr>
            <w:r>
              <w:rPr>
                <w:b/>
                <w:szCs w:val="20"/>
              </w:rPr>
              <w:t xml:space="preserve">Disclosure Officer </w:t>
            </w:r>
            <w:sdt>
              <w:sdtPr>
                <w:rPr>
                  <w:b/>
                  <w:szCs w:val="20"/>
                </w:rPr>
                <w:id w:val="976963565"/>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b/>
                <w:szCs w:val="20"/>
              </w:rPr>
              <w:t xml:space="preserve">   SERBIR </w:t>
            </w:r>
            <w:sdt>
              <w:sdtPr>
                <w:rPr>
                  <w:b/>
                  <w:szCs w:val="20"/>
                </w:rPr>
                <w:id w:val="160983432"/>
                <w14:checkbox>
                  <w14:checked w14:val="0"/>
                  <w14:checkedState w14:val="2612" w14:font="MS Gothic"/>
                  <w14:uncheckedState w14:val="2610" w14:font="MS Gothic"/>
                </w14:checkbox>
              </w:sdtPr>
              <w:sdtEndPr/>
              <w:sdtContent>
                <w:r>
                  <w:rPr>
                    <w:rFonts w:ascii="MS Gothic" w:eastAsia="MS Gothic" w:hAnsi="MS Gothic" w:hint="eastAsia"/>
                    <w:b/>
                    <w:szCs w:val="20"/>
                  </w:rPr>
                  <w:t>☐</w:t>
                </w:r>
              </w:sdtContent>
            </w:sdt>
            <w:r>
              <w:rPr>
                <w:b/>
                <w:szCs w:val="20"/>
              </w:rPr>
              <w:t xml:space="preserve">  </w:t>
            </w:r>
            <w:r w:rsidRPr="00381D37">
              <w:rPr>
                <w:bCs/>
                <w:i/>
                <w:iCs/>
                <w:szCs w:val="20"/>
              </w:rPr>
              <w:t>(tick</w:t>
            </w:r>
            <w:r>
              <w:rPr>
                <w:bCs/>
                <w:i/>
                <w:iCs/>
                <w:szCs w:val="20"/>
              </w:rPr>
              <w:t xml:space="preserve"> delegated </w:t>
            </w:r>
            <w:r w:rsidRPr="00381D37">
              <w:rPr>
                <w:bCs/>
                <w:i/>
                <w:iCs/>
                <w:szCs w:val="20"/>
              </w:rPr>
              <w:t>role)</w:t>
            </w:r>
            <w:r>
              <w:rPr>
                <w:b/>
                <w:szCs w:val="20"/>
              </w:rPr>
              <w:tab/>
            </w:r>
          </w:p>
          <w:p w14:paraId="429B6AFB" w14:textId="77777777" w:rsidR="00DC6932" w:rsidRDefault="00DC6932" w:rsidP="00996585">
            <w:pPr>
              <w:tabs>
                <w:tab w:val="center" w:pos="4402"/>
              </w:tabs>
              <w:rPr>
                <w:b/>
                <w:szCs w:val="20"/>
              </w:rPr>
            </w:pPr>
            <w:r>
              <w:rPr>
                <w:b/>
                <w:szCs w:val="20"/>
              </w:rPr>
              <w:t xml:space="preserve">Signature: </w:t>
            </w:r>
          </w:p>
          <w:p w14:paraId="5F63F427" w14:textId="77777777" w:rsidR="00DC6932" w:rsidRDefault="00DC6932" w:rsidP="00996585">
            <w:pPr>
              <w:tabs>
                <w:tab w:val="center" w:pos="4402"/>
              </w:tabs>
              <w:rPr>
                <w:b/>
                <w:szCs w:val="20"/>
              </w:rPr>
            </w:pPr>
            <w:r>
              <w:rPr>
                <w:b/>
                <w:szCs w:val="20"/>
              </w:rPr>
              <w:t xml:space="preserve">Date: </w:t>
            </w:r>
          </w:p>
        </w:tc>
      </w:tr>
    </w:tbl>
    <w:p w14:paraId="4A8B3892" w14:textId="77777777" w:rsidR="00DC6932" w:rsidRPr="00DC6932" w:rsidRDefault="00DC6932" w:rsidP="00DC6932"/>
    <w:sectPr w:rsidR="00DC6932" w:rsidRPr="00DC6932" w:rsidSect="00240DCD">
      <w:head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2D43E" w14:textId="77777777" w:rsidR="0073764F" w:rsidRDefault="0073764F" w:rsidP="00223763">
      <w:pPr>
        <w:spacing w:after="0" w:line="240" w:lineRule="auto"/>
      </w:pPr>
      <w:r>
        <w:separator/>
      </w:r>
    </w:p>
  </w:endnote>
  <w:endnote w:type="continuationSeparator" w:id="0">
    <w:p w14:paraId="254B1CDC" w14:textId="77777777" w:rsidR="0073764F" w:rsidRDefault="0073764F" w:rsidP="0022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B85E1" w14:textId="77777777" w:rsidR="00342157" w:rsidRDefault="00342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442375"/>
      <w:docPartObj>
        <w:docPartGallery w:val="Page Numbers (Bottom of Page)"/>
        <w:docPartUnique/>
      </w:docPartObj>
    </w:sdtPr>
    <w:sdtEndPr>
      <w:rPr>
        <w:noProof/>
      </w:rPr>
    </w:sdtEndPr>
    <w:sdtContent>
      <w:p w14:paraId="1F5E5446" w14:textId="5939A720" w:rsidR="0073764F" w:rsidRDefault="007376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3749B" w14:textId="3D6C4190" w:rsidR="0073764F" w:rsidRPr="00342157" w:rsidRDefault="00342157" w:rsidP="00342157">
    <w:pPr>
      <w:pStyle w:val="Footer"/>
      <w:jc w:val="center"/>
      <w:rPr>
        <w:rFonts w:cs="Arial"/>
        <w:sz w:val="14"/>
      </w:rPr>
    </w:pPr>
    <w:r w:rsidRPr="0034215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8EE3" w14:textId="240A59A8" w:rsidR="00240DCD" w:rsidRDefault="00240DCD" w:rsidP="00240DCD">
    <w:pPr>
      <w:pStyle w:val="Footer"/>
      <w:jc w:val="left"/>
      <w:rPr>
        <w:rFonts w:cs="Arial"/>
        <w:sz w:val="18"/>
      </w:rPr>
    </w:pPr>
    <w:r w:rsidRPr="00240DCD">
      <w:rPr>
        <w:rFonts w:cs="Arial"/>
        <w:sz w:val="18"/>
      </w:rPr>
      <w:t>*Name amended under Legislation Act, s 60</w:t>
    </w:r>
  </w:p>
  <w:p w14:paraId="3C1E4ED5" w14:textId="56E57FFF" w:rsidR="005B7716" w:rsidRPr="00342157" w:rsidRDefault="00342157" w:rsidP="00342157">
    <w:pPr>
      <w:pStyle w:val="Footer"/>
      <w:spacing w:before="120"/>
      <w:jc w:val="center"/>
      <w:rPr>
        <w:rFonts w:cs="Arial"/>
        <w:sz w:val="14"/>
        <w:szCs w:val="18"/>
      </w:rPr>
    </w:pPr>
    <w:r w:rsidRPr="00342157">
      <w:rPr>
        <w:rFonts w:cs="Arial"/>
        <w:sz w:val="14"/>
        <w:szCs w:val="18"/>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38B14" w14:textId="0C5CA9D9" w:rsidR="0073764F" w:rsidRPr="00342157" w:rsidRDefault="00342157" w:rsidP="00342157">
    <w:pPr>
      <w:pStyle w:val="Footer"/>
      <w:jc w:val="center"/>
      <w:rPr>
        <w:rFonts w:cs="Arial"/>
        <w:noProof/>
        <w:sz w:val="14"/>
      </w:rPr>
    </w:pPr>
    <w:sdt>
      <w:sdtPr>
        <w:rPr>
          <w:rFonts w:cs="Arial"/>
          <w:sz w:val="14"/>
        </w:rPr>
        <w:id w:val="2076854646"/>
        <w:docPartObj>
          <w:docPartGallery w:val="Page Numbers (Bottom of Page)"/>
          <w:docPartUnique/>
        </w:docPartObj>
      </w:sdtPr>
      <w:sdtEndPr>
        <w:rPr>
          <w:noProof/>
        </w:rPr>
      </w:sdtEndPr>
      <w:sdtContent/>
    </w:sdt>
    <w:sdt>
      <w:sdtPr>
        <w:rPr>
          <w:rFonts w:cs="Arial"/>
          <w:sz w:val="14"/>
        </w:rPr>
        <w:id w:val="-270482055"/>
        <w:docPartObj>
          <w:docPartGallery w:val="Page Numbers (Bottom of Page)"/>
          <w:docPartUnique/>
        </w:docPartObj>
      </w:sdtPr>
      <w:sdtEndPr>
        <w:rPr>
          <w:noProof/>
        </w:rPr>
      </w:sdtEndPr>
      <w:sdtContent/>
    </w:sdt>
    <w:r w:rsidRPr="00342157">
      <w:rPr>
        <w:rFonts w:cs="Arial"/>
        <w:noProof/>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D8E4A" w14:textId="36C3B0A6" w:rsidR="00240DCD" w:rsidRPr="00342157" w:rsidRDefault="00342157" w:rsidP="00342157">
    <w:pPr>
      <w:pStyle w:val="Footer"/>
      <w:jc w:val="center"/>
      <w:rPr>
        <w:rFonts w:cs="Arial"/>
        <w:sz w:val="14"/>
      </w:rPr>
    </w:pPr>
    <w:r w:rsidRPr="00342157">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E11EE" w14:textId="617BD0F2" w:rsidR="0073764F" w:rsidRDefault="0073764F" w:rsidP="00D64033">
    <w:pPr>
      <w:pStyle w:val="Footer"/>
      <w:jc w:val="right"/>
      <w:rPr>
        <w:noProof/>
      </w:rPr>
    </w:pPr>
    <w:r>
      <w:fldChar w:fldCharType="begin"/>
    </w:r>
    <w:r>
      <w:instrText xml:space="preserve"> PAGE   \* MERGEFORMAT </w:instrText>
    </w:r>
    <w:r>
      <w:fldChar w:fldCharType="separate"/>
    </w:r>
    <w:r>
      <w:rPr>
        <w:noProof/>
      </w:rPr>
      <w:t>1</w:t>
    </w:r>
    <w:r>
      <w:rPr>
        <w:noProof/>
      </w:rPr>
      <w:fldChar w:fldCharType="end"/>
    </w:r>
    <w:sdt>
      <w:sdtPr>
        <w:id w:val="850691293"/>
        <w:docPartObj>
          <w:docPartGallery w:val="Page Numbers (Bottom of Page)"/>
          <w:docPartUnique/>
        </w:docPartObj>
      </w:sdtPr>
      <w:sdtEndPr>
        <w:rPr>
          <w:noProof/>
        </w:rPr>
      </w:sdtEndPr>
      <w:sdtContent/>
    </w:sdt>
  </w:p>
  <w:p w14:paraId="660BCB0C" w14:textId="6D798437" w:rsidR="00342157" w:rsidRPr="00342157" w:rsidRDefault="00342157" w:rsidP="00342157">
    <w:pPr>
      <w:pStyle w:val="Footer"/>
      <w:jc w:val="center"/>
      <w:rPr>
        <w:rFonts w:cs="Arial"/>
        <w:noProof/>
        <w:sz w:val="14"/>
      </w:rPr>
    </w:pPr>
    <w:r w:rsidRPr="00342157">
      <w:rPr>
        <w:rFonts w:cs="Arial"/>
        <w:noProof/>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7B732" w14:textId="77777777" w:rsidR="0073764F" w:rsidRDefault="0073764F" w:rsidP="00223763">
      <w:pPr>
        <w:spacing w:after="0" w:line="240" w:lineRule="auto"/>
      </w:pPr>
      <w:r>
        <w:separator/>
      </w:r>
    </w:p>
  </w:footnote>
  <w:footnote w:type="continuationSeparator" w:id="0">
    <w:p w14:paraId="0FE826BE" w14:textId="77777777" w:rsidR="0073764F" w:rsidRDefault="0073764F" w:rsidP="00223763">
      <w:pPr>
        <w:spacing w:after="0" w:line="240" w:lineRule="auto"/>
      </w:pPr>
      <w:r>
        <w:continuationSeparator/>
      </w:r>
    </w:p>
  </w:footnote>
  <w:footnote w:id="1">
    <w:p w14:paraId="4585078F" w14:textId="77777777" w:rsidR="0073764F" w:rsidRDefault="0073764F">
      <w:pPr>
        <w:pStyle w:val="FootnoteText"/>
      </w:pPr>
      <w:r>
        <w:rPr>
          <w:rStyle w:val="FootnoteReference"/>
        </w:rPr>
        <w:footnoteRef/>
      </w:r>
      <w:r>
        <w:t xml:space="preserve"> Australian Law Reform Commission, </w:t>
      </w:r>
      <w:r>
        <w:rPr>
          <w:i/>
          <w:iCs/>
        </w:rPr>
        <w:t>Traditional Rights and Freedoms – Encroachments by Commonwealth Laws</w:t>
      </w:r>
      <w:r>
        <w:t>, Report No 129 (January 2016) 393.</w:t>
      </w:r>
    </w:p>
  </w:footnote>
  <w:footnote w:id="2">
    <w:p w14:paraId="3BB0A1A1" w14:textId="77777777" w:rsidR="0073764F" w:rsidRPr="00332AB7" w:rsidRDefault="0073764F" w:rsidP="005C73EB">
      <w:pPr>
        <w:pStyle w:val="FootnoteText"/>
      </w:pPr>
      <w:r>
        <w:rPr>
          <w:rStyle w:val="FootnoteReference"/>
        </w:rPr>
        <w:footnoteRef/>
      </w:r>
      <w:r>
        <w:t xml:space="preserve"> </w:t>
      </w:r>
      <w:r w:rsidRPr="004B6541">
        <w:t>Public Interest Disclosure Act 2012</w:t>
      </w:r>
      <w:r>
        <w:t xml:space="preserve"> (ACT) (‘PID Act’) s 33.</w:t>
      </w:r>
    </w:p>
  </w:footnote>
  <w:footnote w:id="3">
    <w:p w14:paraId="48D42AC5" w14:textId="29D6EB58" w:rsidR="0073764F" w:rsidRPr="00D93C73" w:rsidRDefault="0073764F" w:rsidP="005C73EB">
      <w:pPr>
        <w:pStyle w:val="FootnoteText"/>
      </w:pPr>
      <w:r>
        <w:rPr>
          <w:rStyle w:val="FootnoteReference"/>
        </w:rPr>
        <w:footnoteRef/>
      </w:r>
      <w:r>
        <w:t xml:space="preserve"> Ibid s 29(1)(a).</w:t>
      </w:r>
    </w:p>
  </w:footnote>
  <w:footnote w:id="4">
    <w:p w14:paraId="0E799DBD" w14:textId="77777777" w:rsidR="0073764F" w:rsidRDefault="0073764F" w:rsidP="005C73EB">
      <w:pPr>
        <w:pStyle w:val="FootnoteText"/>
      </w:pPr>
      <w:r>
        <w:rPr>
          <w:rStyle w:val="FootnoteReference"/>
        </w:rPr>
        <w:footnoteRef/>
      </w:r>
      <w:r>
        <w:t xml:space="preserve"> Ibid.</w:t>
      </w:r>
    </w:p>
  </w:footnote>
  <w:footnote w:id="5">
    <w:p w14:paraId="6AA50ACA" w14:textId="77777777" w:rsidR="0073764F" w:rsidRDefault="0073764F" w:rsidP="005C73EB">
      <w:pPr>
        <w:pStyle w:val="FootnoteText"/>
      </w:pPr>
      <w:r>
        <w:rPr>
          <w:rStyle w:val="FootnoteReference"/>
        </w:rPr>
        <w:footnoteRef/>
      </w:r>
      <w:r>
        <w:t xml:space="preserve"> Ibid s 29(1)(b).</w:t>
      </w:r>
    </w:p>
  </w:footnote>
  <w:footnote w:id="6">
    <w:p w14:paraId="16D0F3C7" w14:textId="77777777" w:rsidR="0073764F" w:rsidRDefault="0073764F" w:rsidP="005C73EB">
      <w:pPr>
        <w:pStyle w:val="FootnoteText"/>
      </w:pPr>
      <w:r>
        <w:rPr>
          <w:rStyle w:val="FootnoteReference"/>
        </w:rPr>
        <w:footnoteRef/>
      </w:r>
      <w:r>
        <w:t xml:space="preserve"> Ibid.</w:t>
      </w:r>
    </w:p>
  </w:footnote>
  <w:footnote w:id="7">
    <w:p w14:paraId="6BC348B2" w14:textId="77777777" w:rsidR="0073764F" w:rsidRDefault="0073764F" w:rsidP="005C73EB">
      <w:pPr>
        <w:pStyle w:val="FootnoteText"/>
      </w:pPr>
      <w:r>
        <w:rPr>
          <w:rStyle w:val="FootnoteReference"/>
        </w:rPr>
        <w:footnoteRef/>
      </w:r>
      <w:r>
        <w:t xml:space="preserve"> Ibid s 29(2).</w:t>
      </w:r>
    </w:p>
  </w:footnote>
  <w:footnote w:id="8">
    <w:p w14:paraId="3DC8B386" w14:textId="77777777" w:rsidR="0073764F" w:rsidRDefault="0073764F" w:rsidP="005C73EB">
      <w:pPr>
        <w:pStyle w:val="FootnoteText"/>
      </w:pPr>
      <w:r>
        <w:rPr>
          <w:rStyle w:val="FootnoteReference"/>
        </w:rPr>
        <w:footnoteRef/>
      </w:r>
      <w:r>
        <w:t xml:space="preserve"> Ibid s 29(3).</w:t>
      </w:r>
    </w:p>
  </w:footnote>
  <w:footnote w:id="9">
    <w:p w14:paraId="579BF405" w14:textId="77777777" w:rsidR="0073764F" w:rsidRDefault="0073764F" w:rsidP="005C73EB">
      <w:pPr>
        <w:pStyle w:val="FootnoteText"/>
      </w:pPr>
      <w:r>
        <w:rPr>
          <w:rStyle w:val="FootnoteReference"/>
        </w:rPr>
        <w:footnoteRef/>
      </w:r>
      <w:r>
        <w:t xml:space="preserve"> Ibid s 29(4)(a).</w:t>
      </w:r>
    </w:p>
  </w:footnote>
  <w:footnote w:id="10">
    <w:p w14:paraId="14ED4394" w14:textId="77777777" w:rsidR="0073764F" w:rsidRDefault="0073764F" w:rsidP="005C73EB">
      <w:pPr>
        <w:pStyle w:val="FootnoteText"/>
      </w:pPr>
      <w:r>
        <w:rPr>
          <w:rStyle w:val="FootnoteReference"/>
        </w:rPr>
        <w:footnoteRef/>
      </w:r>
      <w:r>
        <w:t xml:space="preserve"> Ibid s 29(4)(b).</w:t>
      </w:r>
    </w:p>
  </w:footnote>
  <w:footnote w:id="11">
    <w:p w14:paraId="6D463D7C" w14:textId="77777777" w:rsidR="0073764F" w:rsidRDefault="0073764F" w:rsidP="005C73EB">
      <w:pPr>
        <w:pStyle w:val="FootnoteText"/>
      </w:pPr>
      <w:r>
        <w:rPr>
          <w:rStyle w:val="FootnoteReference"/>
        </w:rPr>
        <w:footnoteRef/>
      </w:r>
      <w:r>
        <w:t xml:space="preserve"> Ibid s 29(4)(c).</w:t>
      </w:r>
    </w:p>
  </w:footnote>
  <w:footnote w:id="12">
    <w:p w14:paraId="3AB1AB25" w14:textId="77777777" w:rsidR="0073764F" w:rsidRDefault="0073764F" w:rsidP="005C73EB">
      <w:pPr>
        <w:pStyle w:val="FootnoteText"/>
      </w:pPr>
      <w:r>
        <w:rPr>
          <w:rStyle w:val="FootnoteReference"/>
        </w:rPr>
        <w:footnoteRef/>
      </w:r>
      <w:r>
        <w:t xml:space="preserve"> Ibid s 29(5).</w:t>
      </w:r>
    </w:p>
  </w:footnote>
  <w:footnote w:id="13">
    <w:p w14:paraId="4CFF6FE6" w14:textId="77777777" w:rsidR="0073764F" w:rsidRDefault="0073764F" w:rsidP="005C73EB">
      <w:pPr>
        <w:pStyle w:val="FootnoteText"/>
      </w:pPr>
      <w:r>
        <w:rPr>
          <w:rStyle w:val="FootnoteReference"/>
        </w:rPr>
        <w:footnoteRef/>
      </w:r>
      <w:r>
        <w:t xml:space="preserve"> Ibid s 31.</w:t>
      </w:r>
    </w:p>
  </w:footnote>
  <w:footnote w:id="14">
    <w:p w14:paraId="7E74B300" w14:textId="77777777" w:rsidR="0073764F" w:rsidRDefault="0073764F" w:rsidP="00F46B93">
      <w:pPr>
        <w:pStyle w:val="FootnoteText"/>
      </w:pPr>
      <w:r>
        <w:rPr>
          <w:rStyle w:val="FootnoteReference"/>
        </w:rPr>
        <w:footnoteRef/>
      </w:r>
      <w:r>
        <w:t xml:space="preserve"> Ibid s 30.</w:t>
      </w:r>
    </w:p>
  </w:footnote>
  <w:footnote w:id="15">
    <w:p w14:paraId="5E040F25" w14:textId="77777777" w:rsidR="0073764F" w:rsidRDefault="0073764F" w:rsidP="00F46B93">
      <w:pPr>
        <w:pStyle w:val="FootnoteText"/>
      </w:pPr>
      <w:r>
        <w:rPr>
          <w:rStyle w:val="FootnoteReference"/>
        </w:rPr>
        <w:footnoteRef/>
      </w:r>
      <w:r>
        <w:t xml:space="preserve"> Ibid s 45.</w:t>
      </w:r>
    </w:p>
  </w:footnote>
  <w:footnote w:id="16">
    <w:p w14:paraId="498F652E" w14:textId="409C1876" w:rsidR="0073764F" w:rsidRDefault="0073764F" w:rsidP="009C70A4">
      <w:pPr>
        <w:pStyle w:val="FootnoteText"/>
      </w:pPr>
      <w:r>
        <w:rPr>
          <w:rStyle w:val="FootnoteReference"/>
        </w:rPr>
        <w:footnoteRef/>
      </w:r>
      <w:r>
        <w:t xml:space="preserve"> With the exception of reports under s 27 of the ‘</w:t>
      </w:r>
      <w:r>
        <w:rPr>
          <w:i/>
          <w:iCs/>
        </w:rPr>
        <w:t>PID Act</w:t>
      </w:r>
      <w:r>
        <w:t>’ (n 2); ie where the report has been made to a MLA.</w:t>
      </w:r>
    </w:p>
  </w:footnote>
  <w:footnote w:id="17">
    <w:p w14:paraId="24052338" w14:textId="07039746" w:rsidR="0073764F" w:rsidRPr="00333E9E" w:rsidRDefault="0073764F" w:rsidP="009C70A4">
      <w:pPr>
        <w:pStyle w:val="FootnoteText"/>
      </w:pPr>
      <w:r>
        <w:rPr>
          <w:rStyle w:val="FootnoteReference"/>
        </w:rPr>
        <w:footnoteRef/>
      </w:r>
      <w:r>
        <w:t xml:space="preserve"> Ibid s 14.</w:t>
      </w:r>
    </w:p>
  </w:footnote>
  <w:footnote w:id="18">
    <w:p w14:paraId="7424D808" w14:textId="77777777" w:rsidR="0073764F" w:rsidRPr="0088522C" w:rsidRDefault="0073764F" w:rsidP="009C70A4">
      <w:pPr>
        <w:pStyle w:val="FootnoteText"/>
      </w:pPr>
      <w:r>
        <w:rPr>
          <w:rStyle w:val="FootnoteReference"/>
        </w:rPr>
        <w:footnoteRef/>
      </w:r>
      <w:r>
        <w:t xml:space="preserve"> Ibid s 8(1).</w:t>
      </w:r>
    </w:p>
  </w:footnote>
  <w:footnote w:id="19">
    <w:p w14:paraId="77D78650" w14:textId="77777777" w:rsidR="0073764F" w:rsidRDefault="0073764F" w:rsidP="002371DD">
      <w:pPr>
        <w:pStyle w:val="FootnoteText"/>
      </w:pPr>
      <w:r>
        <w:rPr>
          <w:rStyle w:val="FootnoteReference"/>
        </w:rPr>
        <w:footnoteRef/>
      </w:r>
      <w:r>
        <w:t xml:space="preserve"> Ibid s 8(3).</w:t>
      </w:r>
    </w:p>
  </w:footnote>
  <w:footnote w:id="20">
    <w:p w14:paraId="1F52A8BB" w14:textId="77777777" w:rsidR="0073764F" w:rsidRDefault="0073764F" w:rsidP="002371DD">
      <w:pPr>
        <w:pStyle w:val="FootnoteText"/>
      </w:pPr>
      <w:r>
        <w:rPr>
          <w:rStyle w:val="FootnoteReference"/>
        </w:rPr>
        <w:footnoteRef/>
      </w:r>
      <w:r>
        <w:t xml:space="preserve"> Ibid.</w:t>
      </w:r>
    </w:p>
  </w:footnote>
  <w:footnote w:id="21">
    <w:p w14:paraId="1B00C8BC" w14:textId="77777777" w:rsidR="0073764F" w:rsidRDefault="0073764F" w:rsidP="001E2394">
      <w:pPr>
        <w:pStyle w:val="FootnoteText"/>
      </w:pPr>
      <w:r>
        <w:rPr>
          <w:rStyle w:val="FootnoteReference"/>
        </w:rPr>
        <w:footnoteRef/>
      </w:r>
      <w:r>
        <w:t xml:space="preserve"> Ibid s 11.</w:t>
      </w:r>
    </w:p>
  </w:footnote>
  <w:footnote w:id="22">
    <w:p w14:paraId="136C2A0F" w14:textId="77777777" w:rsidR="0073764F" w:rsidRDefault="0073764F" w:rsidP="001E2394">
      <w:pPr>
        <w:pStyle w:val="FootnoteText"/>
      </w:pPr>
      <w:r>
        <w:rPr>
          <w:rStyle w:val="FootnoteReference"/>
        </w:rPr>
        <w:footnoteRef/>
      </w:r>
      <w:r>
        <w:t xml:space="preserve"> Ibid s 15.</w:t>
      </w:r>
    </w:p>
  </w:footnote>
  <w:footnote w:id="23">
    <w:p w14:paraId="177F2506" w14:textId="77777777" w:rsidR="0073764F" w:rsidRDefault="0073764F" w:rsidP="001E2394">
      <w:pPr>
        <w:pStyle w:val="FootnoteText"/>
      </w:pPr>
      <w:r>
        <w:rPr>
          <w:rStyle w:val="FootnoteReference"/>
        </w:rPr>
        <w:footnoteRef/>
      </w:r>
      <w:r>
        <w:t xml:space="preserve"> Ibid s 10(a)(i).</w:t>
      </w:r>
    </w:p>
  </w:footnote>
  <w:footnote w:id="24">
    <w:p w14:paraId="03BC1779" w14:textId="77777777" w:rsidR="0073764F" w:rsidRDefault="0073764F" w:rsidP="001E2394">
      <w:pPr>
        <w:pStyle w:val="FootnoteText"/>
      </w:pPr>
      <w:r>
        <w:rPr>
          <w:rStyle w:val="FootnoteReference"/>
        </w:rPr>
        <w:footnoteRef/>
      </w:r>
      <w:r>
        <w:t xml:space="preserve"> Ibid s 10(a)(ii).</w:t>
      </w:r>
    </w:p>
  </w:footnote>
  <w:footnote w:id="25">
    <w:p w14:paraId="6EE2F781" w14:textId="77777777" w:rsidR="0073764F" w:rsidRDefault="0073764F" w:rsidP="001E2394">
      <w:pPr>
        <w:pStyle w:val="FootnoteText"/>
      </w:pPr>
      <w:r>
        <w:rPr>
          <w:rStyle w:val="FootnoteReference"/>
        </w:rPr>
        <w:footnoteRef/>
      </w:r>
      <w:r>
        <w:t xml:space="preserve"> Ibid s 27.</w:t>
      </w:r>
    </w:p>
  </w:footnote>
  <w:footnote w:id="26">
    <w:p w14:paraId="34762507" w14:textId="77777777" w:rsidR="0073764F" w:rsidRPr="006278C7" w:rsidRDefault="0073764F" w:rsidP="001E2394">
      <w:pPr>
        <w:pStyle w:val="FootnoteText"/>
      </w:pPr>
      <w:r>
        <w:rPr>
          <w:rStyle w:val="FootnoteReference"/>
        </w:rPr>
        <w:footnoteRef/>
      </w:r>
      <w:r>
        <w:t xml:space="preserve"> Ibid s 17B.</w:t>
      </w:r>
    </w:p>
  </w:footnote>
  <w:footnote w:id="27">
    <w:p w14:paraId="33773B6F" w14:textId="77777777" w:rsidR="0073764F" w:rsidRDefault="0073764F" w:rsidP="001E2394">
      <w:pPr>
        <w:pStyle w:val="FootnoteText"/>
      </w:pPr>
      <w:r>
        <w:rPr>
          <w:rStyle w:val="FootnoteReference"/>
        </w:rPr>
        <w:footnoteRef/>
      </w:r>
      <w:r>
        <w:t xml:space="preserve"> Ibid s 19A.</w:t>
      </w:r>
    </w:p>
  </w:footnote>
  <w:footnote w:id="28">
    <w:p w14:paraId="002FEC84" w14:textId="77777777" w:rsidR="0073764F" w:rsidRDefault="0073764F" w:rsidP="001E2394">
      <w:pPr>
        <w:pStyle w:val="FootnoteText"/>
      </w:pPr>
      <w:r>
        <w:rPr>
          <w:rStyle w:val="FootnoteReference"/>
        </w:rPr>
        <w:footnoteRef/>
      </w:r>
      <w:r>
        <w:t xml:space="preserve"> Ibid s 27(1).</w:t>
      </w:r>
    </w:p>
  </w:footnote>
  <w:footnote w:id="29">
    <w:p w14:paraId="4991399A" w14:textId="77777777" w:rsidR="0073764F" w:rsidRDefault="0073764F" w:rsidP="001E2394">
      <w:pPr>
        <w:pStyle w:val="FootnoteText"/>
      </w:pPr>
      <w:r>
        <w:rPr>
          <w:rStyle w:val="FootnoteReference"/>
        </w:rPr>
        <w:footnoteRef/>
      </w:r>
      <w:r>
        <w:t xml:space="preserve"> Ibid ss 7, 27(4).</w:t>
      </w:r>
    </w:p>
  </w:footnote>
  <w:footnote w:id="30">
    <w:p w14:paraId="635BA4E2" w14:textId="77777777" w:rsidR="0073764F" w:rsidRDefault="0073764F" w:rsidP="001E2394">
      <w:pPr>
        <w:pStyle w:val="FootnoteText"/>
      </w:pPr>
      <w:r>
        <w:rPr>
          <w:rStyle w:val="FootnoteReference"/>
        </w:rPr>
        <w:footnoteRef/>
      </w:r>
      <w:r>
        <w:t xml:space="preserve"> Ibid s 27(3).</w:t>
      </w:r>
    </w:p>
  </w:footnote>
  <w:footnote w:id="31">
    <w:p w14:paraId="1671FDEF" w14:textId="77777777" w:rsidR="0073764F" w:rsidRDefault="0073764F" w:rsidP="002371DD">
      <w:pPr>
        <w:pStyle w:val="FootnoteText"/>
      </w:pPr>
      <w:r>
        <w:rPr>
          <w:rStyle w:val="FootnoteReference"/>
        </w:rPr>
        <w:footnoteRef/>
      </w:r>
      <w:r>
        <w:t xml:space="preserve"> Ibid s 19A.</w:t>
      </w:r>
    </w:p>
  </w:footnote>
  <w:footnote w:id="32">
    <w:p w14:paraId="2E2778EA" w14:textId="77777777" w:rsidR="0073764F" w:rsidRDefault="0073764F" w:rsidP="002371DD">
      <w:pPr>
        <w:pStyle w:val="FootnoteText"/>
      </w:pPr>
      <w:r>
        <w:rPr>
          <w:rStyle w:val="FootnoteReference"/>
        </w:rPr>
        <w:footnoteRef/>
      </w:r>
      <w:r>
        <w:t xml:space="preserve"> Ibid s 23.</w:t>
      </w:r>
    </w:p>
  </w:footnote>
  <w:footnote w:id="33">
    <w:p w14:paraId="3B568099" w14:textId="77777777" w:rsidR="0073764F" w:rsidRDefault="0073764F" w:rsidP="002371DD">
      <w:pPr>
        <w:pStyle w:val="FootnoteText"/>
      </w:pPr>
      <w:r>
        <w:rPr>
          <w:rStyle w:val="FootnoteReference"/>
        </w:rPr>
        <w:footnoteRef/>
      </w:r>
      <w:r>
        <w:t xml:space="preserve"> Ibid s 27A.</w:t>
      </w:r>
    </w:p>
  </w:footnote>
  <w:footnote w:id="34">
    <w:p w14:paraId="00905463" w14:textId="70D783F7" w:rsidR="0073764F" w:rsidRPr="002B3BF0" w:rsidRDefault="0073764F" w:rsidP="002371DD">
      <w:pPr>
        <w:pStyle w:val="FootnoteText"/>
      </w:pPr>
      <w:r>
        <w:rPr>
          <w:rStyle w:val="FootnoteReference"/>
        </w:rPr>
        <w:footnoteRef/>
      </w:r>
      <w:r>
        <w:t xml:space="preserve"> Note, should an investigating entity notify a whistle-blower that no action will be taken in response to disclosable conduct this would contravene section 24 of the </w:t>
      </w:r>
      <w:r w:rsidRPr="004645C0">
        <w:t>PID Act</w:t>
      </w:r>
      <w:r>
        <w:t>.</w:t>
      </w:r>
    </w:p>
  </w:footnote>
  <w:footnote w:id="35">
    <w:p w14:paraId="3C021589" w14:textId="088A282F" w:rsidR="0073764F" w:rsidRPr="004645C0" w:rsidRDefault="0073764F" w:rsidP="002371DD">
      <w:pPr>
        <w:pStyle w:val="FootnoteText"/>
      </w:pPr>
      <w:r>
        <w:rPr>
          <w:rStyle w:val="FootnoteReference"/>
        </w:rPr>
        <w:footnoteRef/>
      </w:r>
      <w:r>
        <w:t xml:space="preserve"> </w:t>
      </w:r>
      <w:r>
        <w:rPr>
          <w:i/>
          <w:iCs/>
        </w:rPr>
        <w:t>PID Act</w:t>
      </w:r>
      <w:r>
        <w:t xml:space="preserve"> (n 2) s 27A(2).</w:t>
      </w:r>
    </w:p>
  </w:footnote>
  <w:footnote w:id="36">
    <w:p w14:paraId="3DCFB2E0" w14:textId="77777777" w:rsidR="0073764F" w:rsidRDefault="0073764F" w:rsidP="002371DD">
      <w:pPr>
        <w:pStyle w:val="FootnoteText"/>
      </w:pPr>
      <w:r>
        <w:rPr>
          <w:rStyle w:val="FootnoteReference"/>
        </w:rPr>
        <w:footnoteRef/>
      </w:r>
      <w:r>
        <w:t xml:space="preserve"> Ibid s 8(2).</w:t>
      </w:r>
    </w:p>
  </w:footnote>
  <w:footnote w:id="37">
    <w:p w14:paraId="2A83228B" w14:textId="1DC500D9" w:rsidR="0073764F" w:rsidRDefault="0073764F" w:rsidP="002371DD">
      <w:pPr>
        <w:pStyle w:val="FootnoteText"/>
      </w:pPr>
      <w:r>
        <w:rPr>
          <w:rStyle w:val="FootnoteReference"/>
        </w:rPr>
        <w:footnoteRef/>
      </w:r>
      <w:r>
        <w:t xml:space="preserve"> Public Sector Standards Commissioner, </w:t>
      </w:r>
      <w:r w:rsidRPr="004A070F">
        <w:rPr>
          <w:i/>
          <w:iCs/>
        </w:rPr>
        <w:t>Public Interest Disclosure Guidelines 2019</w:t>
      </w:r>
      <w:r>
        <w:t>, NI2019-281, 7 May 2019 8.</w:t>
      </w:r>
    </w:p>
  </w:footnote>
  <w:footnote w:id="38">
    <w:p w14:paraId="448058AF" w14:textId="2E1A07FD" w:rsidR="0073764F" w:rsidRDefault="0073764F" w:rsidP="008158EF">
      <w:pPr>
        <w:pStyle w:val="FootnoteText"/>
      </w:pPr>
      <w:r>
        <w:rPr>
          <w:rStyle w:val="FootnoteReference"/>
        </w:rPr>
        <w:footnoteRef/>
      </w:r>
      <w:r>
        <w:t xml:space="preserve"> </w:t>
      </w:r>
      <w:r w:rsidRPr="00A91F96">
        <w:rPr>
          <w:i/>
          <w:iCs/>
        </w:rPr>
        <w:t xml:space="preserve">PID Act </w:t>
      </w:r>
      <w:r>
        <w:t>(n 2) s 35.</w:t>
      </w:r>
    </w:p>
  </w:footnote>
  <w:footnote w:id="39">
    <w:p w14:paraId="0AD70C64" w14:textId="77777777" w:rsidR="0073764F" w:rsidRDefault="0073764F" w:rsidP="008158EF">
      <w:pPr>
        <w:pStyle w:val="FootnoteText"/>
      </w:pPr>
      <w:r>
        <w:rPr>
          <w:rStyle w:val="FootnoteReference"/>
        </w:rPr>
        <w:footnoteRef/>
      </w:r>
      <w:r>
        <w:t xml:space="preserve"> Ibid s 40.</w:t>
      </w:r>
    </w:p>
  </w:footnote>
  <w:footnote w:id="40">
    <w:p w14:paraId="7703117F" w14:textId="77777777" w:rsidR="0073764F" w:rsidRDefault="0073764F" w:rsidP="008158EF">
      <w:pPr>
        <w:pStyle w:val="FootnoteText"/>
      </w:pPr>
      <w:r>
        <w:rPr>
          <w:rStyle w:val="FootnoteReference"/>
        </w:rPr>
        <w:footnoteRef/>
      </w:r>
      <w:r>
        <w:t xml:space="preserve"> Ibid s 44.</w:t>
      </w:r>
    </w:p>
  </w:footnote>
  <w:footnote w:id="41">
    <w:p w14:paraId="0A201DD6" w14:textId="5BF8C478" w:rsidR="0073764F" w:rsidRDefault="0073764F">
      <w:pPr>
        <w:pStyle w:val="FootnoteText"/>
      </w:pPr>
      <w:r>
        <w:rPr>
          <w:rStyle w:val="FootnoteReference"/>
        </w:rPr>
        <w:footnoteRef/>
      </w:r>
      <w:r>
        <w:t xml:space="preserve"> Ibid s 42A.</w:t>
      </w:r>
    </w:p>
  </w:footnote>
  <w:footnote w:id="42">
    <w:p w14:paraId="5E031A54" w14:textId="77777777" w:rsidR="0073764F" w:rsidRDefault="0073764F" w:rsidP="002F221F">
      <w:pPr>
        <w:pStyle w:val="FootnoteText"/>
      </w:pPr>
      <w:r>
        <w:rPr>
          <w:rStyle w:val="FootnoteReference"/>
        </w:rPr>
        <w:footnoteRef/>
      </w:r>
      <w:r>
        <w:t xml:space="preserve"> Ibid s 35(a).</w:t>
      </w:r>
    </w:p>
  </w:footnote>
  <w:footnote w:id="43">
    <w:p w14:paraId="09E3E1F0" w14:textId="64559E54" w:rsidR="0073764F" w:rsidRDefault="0073764F" w:rsidP="00302A5F">
      <w:pPr>
        <w:pStyle w:val="FootnoteText"/>
      </w:pPr>
      <w:r>
        <w:rPr>
          <w:rStyle w:val="FootnoteReference"/>
        </w:rPr>
        <w:footnoteRef/>
      </w:r>
      <w:r>
        <w:t xml:space="preserve"> Ibid s 35(b).</w:t>
      </w:r>
    </w:p>
  </w:footnote>
  <w:footnote w:id="44">
    <w:p w14:paraId="065F63B2" w14:textId="11D37EBD" w:rsidR="0073764F" w:rsidRPr="00A25AF8" w:rsidRDefault="0073764F" w:rsidP="00302A5F">
      <w:pPr>
        <w:pStyle w:val="FootnoteText"/>
      </w:pPr>
      <w:r>
        <w:rPr>
          <w:rStyle w:val="FootnoteReference"/>
        </w:rPr>
        <w:footnoteRef/>
      </w:r>
      <w:r>
        <w:t xml:space="preserve"> Defined in </w:t>
      </w:r>
      <w:r>
        <w:rPr>
          <w:i/>
          <w:iCs/>
        </w:rPr>
        <w:t xml:space="preserve">PID Act </w:t>
      </w:r>
      <w:r>
        <w:t>(n 2)</w:t>
      </w:r>
      <w:r>
        <w:rPr>
          <w:i/>
          <w:iCs/>
        </w:rPr>
        <w:t>,</w:t>
      </w:r>
      <w:r>
        <w:t xml:space="preserve"> ss 9-10.</w:t>
      </w:r>
    </w:p>
  </w:footnote>
  <w:footnote w:id="45">
    <w:p w14:paraId="14805D49" w14:textId="1A8EFEF2" w:rsidR="0073764F" w:rsidRDefault="0073764F" w:rsidP="00302A5F">
      <w:pPr>
        <w:pStyle w:val="FootnoteText"/>
      </w:pPr>
      <w:r>
        <w:rPr>
          <w:rStyle w:val="FootnoteReference"/>
        </w:rPr>
        <w:footnoteRef/>
      </w:r>
      <w:r>
        <w:t xml:space="preserve"> Ibid s 35(c).</w:t>
      </w:r>
    </w:p>
  </w:footnote>
  <w:footnote w:id="46">
    <w:p w14:paraId="33FB6540" w14:textId="455D1FB0" w:rsidR="0073764F" w:rsidRDefault="0073764F">
      <w:pPr>
        <w:pStyle w:val="FootnoteText"/>
      </w:pPr>
      <w:r>
        <w:rPr>
          <w:rStyle w:val="FootnoteReference"/>
        </w:rPr>
        <w:footnoteRef/>
      </w:r>
      <w:r>
        <w:t xml:space="preserve"> Ibid s 40.</w:t>
      </w:r>
    </w:p>
  </w:footnote>
  <w:footnote w:id="47">
    <w:p w14:paraId="503283D2" w14:textId="77777777" w:rsidR="0073764F" w:rsidRDefault="0073764F" w:rsidP="008158EF">
      <w:pPr>
        <w:pStyle w:val="FootnoteText"/>
      </w:pPr>
      <w:r>
        <w:rPr>
          <w:rStyle w:val="FootnoteReference"/>
        </w:rPr>
        <w:footnoteRef/>
      </w:r>
      <w:r>
        <w:t xml:space="preserve"> Ibid s 36.</w:t>
      </w:r>
    </w:p>
  </w:footnote>
  <w:footnote w:id="48">
    <w:p w14:paraId="3CF7FA96" w14:textId="77777777" w:rsidR="0073764F" w:rsidRDefault="0073764F" w:rsidP="008158EF">
      <w:pPr>
        <w:pStyle w:val="FootnoteText"/>
      </w:pPr>
      <w:r>
        <w:rPr>
          <w:rStyle w:val="FootnoteReference"/>
        </w:rPr>
        <w:footnoteRef/>
      </w:r>
      <w:r>
        <w:t xml:space="preserve"> Ibid ss 35-36.</w:t>
      </w:r>
    </w:p>
  </w:footnote>
  <w:footnote w:id="49">
    <w:p w14:paraId="10552A88" w14:textId="77777777" w:rsidR="0073764F" w:rsidRDefault="0073764F" w:rsidP="008158EF">
      <w:pPr>
        <w:pStyle w:val="FootnoteText"/>
      </w:pPr>
      <w:r>
        <w:rPr>
          <w:rStyle w:val="FootnoteReference"/>
        </w:rPr>
        <w:footnoteRef/>
      </w:r>
      <w:r>
        <w:t xml:space="preserve"> Ibid s 37.</w:t>
      </w:r>
    </w:p>
  </w:footnote>
  <w:footnote w:id="50">
    <w:p w14:paraId="0CB7DA3D" w14:textId="77777777" w:rsidR="0073764F" w:rsidRDefault="0073764F" w:rsidP="00F31D5C">
      <w:pPr>
        <w:pStyle w:val="FootnoteText"/>
      </w:pPr>
      <w:r>
        <w:rPr>
          <w:rStyle w:val="FootnoteReference"/>
        </w:rPr>
        <w:footnoteRef/>
      </w:r>
      <w:r>
        <w:t xml:space="preserve"> Ibid s 39.</w:t>
      </w:r>
    </w:p>
  </w:footnote>
  <w:footnote w:id="51">
    <w:p w14:paraId="7C4F308A" w14:textId="77777777" w:rsidR="0073764F" w:rsidRPr="004570D9" w:rsidRDefault="0073764F" w:rsidP="00B040CE">
      <w:pPr>
        <w:pStyle w:val="FootnoteText"/>
      </w:pPr>
      <w:r>
        <w:rPr>
          <w:rStyle w:val="FootnoteReference"/>
        </w:rPr>
        <w:footnoteRef/>
      </w:r>
      <w:r>
        <w:t xml:space="preserve"> Ibid s 39.</w:t>
      </w:r>
    </w:p>
  </w:footnote>
  <w:footnote w:id="52">
    <w:p w14:paraId="6D9B5FE7" w14:textId="77777777" w:rsidR="0073764F" w:rsidRDefault="0073764F" w:rsidP="00063EE1">
      <w:pPr>
        <w:pStyle w:val="FootnoteText"/>
      </w:pPr>
      <w:r>
        <w:rPr>
          <w:rStyle w:val="FootnoteReference"/>
        </w:rPr>
        <w:footnoteRef/>
      </w:r>
      <w:r>
        <w:t xml:space="preserve"> Ibid 73.</w:t>
      </w:r>
    </w:p>
  </w:footnote>
  <w:footnote w:id="53">
    <w:p w14:paraId="63E5BFBA" w14:textId="0F6BF913" w:rsidR="0073764F" w:rsidRDefault="0073764F">
      <w:pPr>
        <w:pStyle w:val="FootnoteText"/>
      </w:pPr>
      <w:r>
        <w:rPr>
          <w:rStyle w:val="FootnoteReference"/>
        </w:rPr>
        <w:footnoteRef/>
      </w:r>
      <w:r>
        <w:t xml:space="preserve"> Ibid s 40.</w:t>
      </w:r>
    </w:p>
  </w:footnote>
  <w:footnote w:id="54">
    <w:p w14:paraId="282716AF" w14:textId="77777777" w:rsidR="0073764F" w:rsidRDefault="0073764F" w:rsidP="00F31D5C">
      <w:pPr>
        <w:pStyle w:val="FootnoteText"/>
      </w:pPr>
      <w:r>
        <w:rPr>
          <w:rStyle w:val="FootnoteReference"/>
        </w:rPr>
        <w:footnoteRef/>
      </w:r>
      <w:r>
        <w:t xml:space="preserve"> Ibid s 40.</w:t>
      </w:r>
    </w:p>
  </w:footnote>
  <w:footnote w:id="55">
    <w:p w14:paraId="6F7E534C" w14:textId="1AA25012" w:rsidR="0073764F" w:rsidRDefault="0073764F" w:rsidP="00302A5F">
      <w:pPr>
        <w:pStyle w:val="FootnoteText"/>
      </w:pPr>
      <w:r>
        <w:rPr>
          <w:rStyle w:val="FootnoteReference"/>
        </w:rPr>
        <w:footnoteRef/>
      </w:r>
      <w:r>
        <w:t xml:space="preserve"> Ibid s 41.</w:t>
      </w:r>
    </w:p>
  </w:footnote>
  <w:footnote w:id="56">
    <w:p w14:paraId="5C4E7322" w14:textId="26EE4D44" w:rsidR="0073764F" w:rsidRDefault="0073764F" w:rsidP="00302A5F">
      <w:pPr>
        <w:pStyle w:val="FootnoteText"/>
      </w:pPr>
      <w:r>
        <w:rPr>
          <w:rStyle w:val="FootnoteReference"/>
        </w:rPr>
        <w:footnoteRef/>
      </w:r>
      <w:r>
        <w:t xml:space="preserve"> Ibid s 42.</w:t>
      </w:r>
    </w:p>
  </w:footnote>
  <w:footnote w:id="57">
    <w:p w14:paraId="3243D1D3" w14:textId="77777777" w:rsidR="0073764F" w:rsidRDefault="0073764F" w:rsidP="009C70A4">
      <w:pPr>
        <w:pStyle w:val="FootnoteText"/>
      </w:pPr>
      <w:r>
        <w:rPr>
          <w:rStyle w:val="FootnoteReference"/>
        </w:rPr>
        <w:footnoteRef/>
      </w:r>
      <w:r>
        <w:t xml:space="preserve"> Ibid s 44.</w:t>
      </w:r>
    </w:p>
  </w:footnote>
  <w:footnote w:id="58">
    <w:p w14:paraId="5A1B133E" w14:textId="77777777" w:rsidR="0073764F" w:rsidRDefault="0073764F" w:rsidP="004E3C4E">
      <w:pPr>
        <w:pStyle w:val="FootnoteText"/>
      </w:pPr>
      <w:r>
        <w:rPr>
          <w:rStyle w:val="FootnoteReference"/>
        </w:rPr>
        <w:footnoteRef/>
      </w:r>
      <w:r>
        <w:t xml:space="preserve"> Ibid s 42A(1).</w:t>
      </w:r>
    </w:p>
  </w:footnote>
  <w:footnote w:id="59">
    <w:p w14:paraId="5BBE1B3F" w14:textId="77777777" w:rsidR="0073764F" w:rsidRDefault="0073764F" w:rsidP="004E3C4E">
      <w:pPr>
        <w:pStyle w:val="FootnoteText"/>
      </w:pPr>
      <w:r>
        <w:rPr>
          <w:rStyle w:val="FootnoteReference"/>
        </w:rPr>
        <w:footnoteRef/>
      </w:r>
      <w:r>
        <w:t xml:space="preserve"> Ibid s 42A(2).</w:t>
      </w:r>
    </w:p>
  </w:footnote>
  <w:footnote w:id="60">
    <w:p w14:paraId="6C26CA76" w14:textId="25453E5A" w:rsidR="0073764F" w:rsidRDefault="0073764F">
      <w:pPr>
        <w:pStyle w:val="FootnoteText"/>
      </w:pPr>
      <w:r>
        <w:rPr>
          <w:rStyle w:val="FootnoteReference"/>
        </w:rPr>
        <w:footnoteRef/>
      </w:r>
      <w:r>
        <w:t xml:space="preserve"> s 20(1)(a).</w:t>
      </w:r>
    </w:p>
  </w:footnote>
  <w:footnote w:id="61">
    <w:p w14:paraId="53195746" w14:textId="1E229D40" w:rsidR="0073764F" w:rsidRDefault="0073764F">
      <w:pPr>
        <w:pStyle w:val="FootnoteText"/>
      </w:pPr>
      <w:r>
        <w:rPr>
          <w:rStyle w:val="FootnoteReference"/>
        </w:rPr>
        <w:footnoteRef/>
      </w:r>
      <w:r>
        <w:t xml:space="preserve"> Pt 19.4.</w:t>
      </w:r>
    </w:p>
  </w:footnote>
  <w:footnote w:id="62">
    <w:p w14:paraId="4EB53C85" w14:textId="107D618D" w:rsidR="0073764F" w:rsidRPr="00757D51" w:rsidRDefault="0073764F">
      <w:pPr>
        <w:pStyle w:val="FootnoteText"/>
      </w:pPr>
      <w:r>
        <w:rPr>
          <w:rStyle w:val="FootnoteReference"/>
        </w:rPr>
        <w:footnoteRef/>
      </w:r>
      <w:r>
        <w:t xml:space="preserve"> </w:t>
      </w:r>
      <w:r>
        <w:rPr>
          <w:i/>
          <w:iCs/>
        </w:rPr>
        <w:t>PID Act</w:t>
      </w:r>
      <w:r>
        <w:t>, (n 2) s 11(2).</w:t>
      </w:r>
    </w:p>
  </w:footnote>
  <w:footnote w:id="63">
    <w:p w14:paraId="7443BA63" w14:textId="423725C8" w:rsidR="0073764F" w:rsidRDefault="0073764F">
      <w:pPr>
        <w:pStyle w:val="FootnoteText"/>
      </w:pPr>
      <w:r>
        <w:rPr>
          <w:rStyle w:val="FootnoteReference"/>
        </w:rPr>
        <w:footnoteRef/>
      </w:r>
      <w:r>
        <w:t xml:space="preserve"> This is consistent with the former guidance issued by the Public Sector Standards Commissioner and appears to have been followed throughout the public sector.</w:t>
      </w:r>
    </w:p>
  </w:footnote>
  <w:footnote w:id="64">
    <w:p w14:paraId="2D14E1D9" w14:textId="40AF483F" w:rsidR="0073764F" w:rsidRDefault="0073764F">
      <w:pPr>
        <w:pStyle w:val="FootnoteText"/>
      </w:pPr>
      <w:r>
        <w:rPr>
          <w:rStyle w:val="FootnoteReference"/>
        </w:rPr>
        <w:footnoteRef/>
      </w:r>
      <w:r>
        <w:t xml:space="preserve"> </w:t>
      </w:r>
      <w:r>
        <w:rPr>
          <w:i/>
          <w:iCs/>
        </w:rPr>
        <w:t xml:space="preserve">PID Act </w:t>
      </w:r>
      <w:r>
        <w:t>(n 2) s 11(2)(b).</w:t>
      </w:r>
    </w:p>
  </w:footnote>
  <w:footnote w:id="65">
    <w:p w14:paraId="1D56E1C8" w14:textId="0B296E03" w:rsidR="0073764F" w:rsidRDefault="0073764F">
      <w:pPr>
        <w:pStyle w:val="FootnoteText"/>
      </w:pPr>
      <w:r>
        <w:rPr>
          <w:rStyle w:val="FootnoteReference"/>
        </w:rPr>
        <w:footnoteRef/>
      </w:r>
      <w:r>
        <w:t xml:space="preserve"> Ibid s 11(2)(3).</w:t>
      </w:r>
    </w:p>
  </w:footnote>
  <w:footnote w:id="66">
    <w:p w14:paraId="05058B65" w14:textId="51419634" w:rsidR="0073764F" w:rsidRDefault="0073764F">
      <w:pPr>
        <w:pStyle w:val="FootnoteText"/>
      </w:pPr>
      <w:r>
        <w:rPr>
          <w:rStyle w:val="FootnoteReference"/>
        </w:rPr>
        <w:footnoteRef/>
      </w:r>
      <w:r>
        <w:t xml:space="preserve"> Ibid s 20(1).</w:t>
      </w:r>
    </w:p>
  </w:footnote>
  <w:footnote w:id="67">
    <w:p w14:paraId="71A43E6E" w14:textId="27DAC7F7" w:rsidR="0073764F" w:rsidRDefault="0073764F">
      <w:pPr>
        <w:pStyle w:val="FootnoteText"/>
      </w:pPr>
      <w:r>
        <w:rPr>
          <w:rStyle w:val="FootnoteReference"/>
        </w:rPr>
        <w:footnoteRef/>
      </w:r>
      <w:r>
        <w:t xml:space="preserve"> Ibid s 23.</w:t>
      </w:r>
    </w:p>
  </w:footnote>
  <w:footnote w:id="68">
    <w:p w14:paraId="037F0632" w14:textId="2849E28C" w:rsidR="0073764F" w:rsidRPr="009C4181" w:rsidRDefault="0073764F">
      <w:pPr>
        <w:pStyle w:val="FootnoteText"/>
      </w:pPr>
      <w:r>
        <w:rPr>
          <w:rStyle w:val="FootnoteReference"/>
        </w:rPr>
        <w:footnoteRef/>
      </w:r>
      <w:r>
        <w:t xml:space="preserve"> Ibid s 16.</w:t>
      </w:r>
    </w:p>
  </w:footnote>
  <w:footnote w:id="69">
    <w:p w14:paraId="7AEA4EE8" w14:textId="42739800" w:rsidR="0073764F" w:rsidRDefault="0073764F">
      <w:pPr>
        <w:pStyle w:val="FootnoteText"/>
      </w:pPr>
      <w:r>
        <w:rPr>
          <w:rStyle w:val="FootnoteReference"/>
        </w:rPr>
        <w:footnoteRef/>
      </w:r>
      <w:r>
        <w:t xml:space="preserve"> Ibid s 16(2)(a).</w:t>
      </w:r>
    </w:p>
  </w:footnote>
  <w:footnote w:id="70">
    <w:p w14:paraId="23336C74" w14:textId="427E3CFC" w:rsidR="0073764F" w:rsidRDefault="0073764F">
      <w:pPr>
        <w:pStyle w:val="FootnoteText"/>
      </w:pPr>
      <w:r>
        <w:rPr>
          <w:rStyle w:val="FootnoteReference"/>
        </w:rPr>
        <w:footnoteRef/>
      </w:r>
      <w:r>
        <w:t xml:space="preserve"> Ibid s 16(2)(b).</w:t>
      </w:r>
    </w:p>
  </w:footnote>
  <w:footnote w:id="71">
    <w:p w14:paraId="2703875D" w14:textId="2C0A8311" w:rsidR="0073764F" w:rsidRDefault="0073764F">
      <w:pPr>
        <w:pStyle w:val="FootnoteText"/>
      </w:pPr>
      <w:r>
        <w:rPr>
          <w:rStyle w:val="FootnoteReference"/>
        </w:rPr>
        <w:footnoteRef/>
      </w:r>
      <w:r>
        <w:t xml:space="preserve"> Ibid s 15(2).</w:t>
      </w:r>
    </w:p>
  </w:footnote>
  <w:footnote w:id="72">
    <w:p w14:paraId="633A6223" w14:textId="4CFAD18A" w:rsidR="0073764F" w:rsidRDefault="0073764F">
      <w:pPr>
        <w:pStyle w:val="FootnoteText"/>
      </w:pPr>
      <w:r>
        <w:rPr>
          <w:rStyle w:val="FootnoteReference"/>
        </w:rPr>
        <w:footnoteRef/>
      </w:r>
      <w:r>
        <w:t xml:space="preserve"> Ibid s 15(1)(c)(ii).</w:t>
      </w:r>
    </w:p>
  </w:footnote>
  <w:footnote w:id="73">
    <w:p w14:paraId="67F46B02" w14:textId="7BB990BB" w:rsidR="0073764F" w:rsidRDefault="0073764F">
      <w:pPr>
        <w:pStyle w:val="FootnoteText"/>
      </w:pPr>
      <w:r>
        <w:rPr>
          <w:rStyle w:val="FootnoteReference"/>
        </w:rPr>
        <w:footnoteRef/>
      </w:r>
      <w:r>
        <w:t xml:space="preserve"> Ibid s 15(1)(c)(iii).</w:t>
      </w:r>
    </w:p>
  </w:footnote>
  <w:footnote w:id="74">
    <w:p w14:paraId="47D6320C" w14:textId="00715BE0" w:rsidR="0073764F" w:rsidRDefault="0073764F">
      <w:pPr>
        <w:pStyle w:val="FootnoteText"/>
      </w:pPr>
      <w:r>
        <w:rPr>
          <w:rStyle w:val="FootnoteReference"/>
        </w:rPr>
        <w:footnoteRef/>
      </w:r>
      <w:r>
        <w:t xml:space="preserve"> Commonwealth Ombudsman, </w:t>
      </w:r>
      <w:r>
        <w:rPr>
          <w:i/>
          <w:iCs/>
        </w:rPr>
        <w:t xml:space="preserve">Agency guide to the Public Interest Disclosure Act 2013 </w:t>
      </w:r>
      <w:r>
        <w:t>(April 2016) 26.</w:t>
      </w:r>
    </w:p>
  </w:footnote>
  <w:footnote w:id="75">
    <w:p w14:paraId="7BE7285D" w14:textId="2248FC57" w:rsidR="0073764F" w:rsidRDefault="0073764F">
      <w:pPr>
        <w:pStyle w:val="FootnoteText"/>
      </w:pPr>
      <w:r>
        <w:rPr>
          <w:rStyle w:val="FootnoteReference"/>
        </w:rPr>
        <w:footnoteRef/>
      </w:r>
      <w:r>
        <w:t xml:space="preserve"> </w:t>
      </w:r>
      <w:r>
        <w:rPr>
          <w:i/>
          <w:iCs/>
        </w:rPr>
        <w:t xml:space="preserve">PID Act </w:t>
      </w:r>
      <w:r>
        <w:t>(n 2) s 16.</w:t>
      </w:r>
    </w:p>
  </w:footnote>
  <w:footnote w:id="76">
    <w:p w14:paraId="3D2F85CF" w14:textId="60531716" w:rsidR="0073764F" w:rsidRDefault="0073764F">
      <w:pPr>
        <w:pStyle w:val="FootnoteText"/>
      </w:pPr>
      <w:r>
        <w:rPr>
          <w:rStyle w:val="FootnoteReference"/>
        </w:rPr>
        <w:footnoteRef/>
      </w:r>
      <w:r>
        <w:t xml:space="preserve"> Ibid s 16(1)(c).</w:t>
      </w:r>
    </w:p>
  </w:footnote>
  <w:footnote w:id="77">
    <w:p w14:paraId="30BDF552" w14:textId="77777777" w:rsidR="0073764F" w:rsidRDefault="0073764F" w:rsidP="00AB0939">
      <w:pPr>
        <w:pStyle w:val="FootnoteText"/>
      </w:pPr>
      <w:r>
        <w:rPr>
          <w:rStyle w:val="FootnoteReference"/>
        </w:rPr>
        <w:footnoteRef/>
      </w:r>
      <w:r>
        <w:t xml:space="preserve"> Ibid ss 17(1)(a)-b).</w:t>
      </w:r>
    </w:p>
  </w:footnote>
  <w:footnote w:id="78">
    <w:p w14:paraId="4FA2FE08" w14:textId="2EBAF28A" w:rsidR="0073764F" w:rsidRDefault="0073764F">
      <w:pPr>
        <w:pStyle w:val="FootnoteText"/>
      </w:pPr>
      <w:r>
        <w:rPr>
          <w:rStyle w:val="FootnoteReference"/>
        </w:rPr>
        <w:footnoteRef/>
      </w:r>
      <w:r>
        <w:t xml:space="preserve"> Ibid s 17.</w:t>
      </w:r>
    </w:p>
  </w:footnote>
  <w:footnote w:id="79">
    <w:p w14:paraId="65DA935B" w14:textId="4CCF1204" w:rsidR="0073764F" w:rsidRDefault="0073764F" w:rsidP="00094098">
      <w:pPr>
        <w:pStyle w:val="FootnoteText"/>
      </w:pPr>
      <w:r>
        <w:rPr>
          <w:rStyle w:val="FootnoteReference"/>
        </w:rPr>
        <w:footnoteRef/>
      </w:r>
      <w:r>
        <w:t xml:space="preserve"> </w:t>
      </w:r>
      <w:r>
        <w:rPr>
          <w:i/>
          <w:iCs/>
        </w:rPr>
        <w:t xml:space="preserve">Integrity Commission </w:t>
      </w:r>
      <w:r w:rsidRPr="0013649A">
        <w:rPr>
          <w:i/>
          <w:iCs/>
        </w:rPr>
        <w:t>Act</w:t>
      </w:r>
      <w:r>
        <w:rPr>
          <w:i/>
          <w:iCs/>
        </w:rPr>
        <w:t xml:space="preserve"> </w:t>
      </w:r>
      <w:r w:rsidRPr="0013649A">
        <w:rPr>
          <w:i/>
          <w:iCs/>
        </w:rPr>
        <w:t>2018</w:t>
      </w:r>
      <w:r>
        <w:t xml:space="preserve"> (ACT) (‘</w:t>
      </w:r>
      <w:r>
        <w:rPr>
          <w:i/>
          <w:iCs/>
        </w:rPr>
        <w:t>IC ACT</w:t>
      </w:r>
      <w:r w:rsidRPr="0013649A">
        <w:t>’)</w:t>
      </w:r>
      <w:r>
        <w:rPr>
          <w:i/>
          <w:iCs/>
        </w:rPr>
        <w:t xml:space="preserve"> </w:t>
      </w:r>
      <w:r w:rsidRPr="0013649A">
        <w:t>s</w:t>
      </w:r>
      <w:r>
        <w:t xml:space="preserve"> 257.</w:t>
      </w:r>
    </w:p>
  </w:footnote>
  <w:footnote w:id="80">
    <w:p w14:paraId="6B9D9A58" w14:textId="740EFF1F" w:rsidR="0073764F" w:rsidRDefault="0073764F" w:rsidP="005E3CF6">
      <w:pPr>
        <w:pStyle w:val="FootnoteText"/>
      </w:pPr>
      <w:r>
        <w:rPr>
          <w:rStyle w:val="FootnoteReference"/>
        </w:rPr>
        <w:footnoteRef/>
      </w:r>
      <w:r>
        <w:t xml:space="preserve"> </w:t>
      </w:r>
      <w:r>
        <w:rPr>
          <w:i/>
          <w:iCs/>
        </w:rPr>
        <w:t xml:space="preserve">Pid Act </w:t>
      </w:r>
      <w:r>
        <w:t>(n 2) s 8.</w:t>
      </w:r>
    </w:p>
  </w:footnote>
  <w:footnote w:id="81">
    <w:p w14:paraId="1C7E4C04" w14:textId="7332D4AC" w:rsidR="0073764F" w:rsidRPr="004570D9" w:rsidRDefault="0073764F">
      <w:pPr>
        <w:pStyle w:val="FootnoteText"/>
      </w:pPr>
      <w:r>
        <w:rPr>
          <w:rStyle w:val="FootnoteReference"/>
        </w:rPr>
        <w:footnoteRef/>
      </w:r>
      <w:r>
        <w:t xml:space="preserve"> </w:t>
      </w:r>
      <w:r>
        <w:rPr>
          <w:i/>
          <w:iCs/>
        </w:rPr>
        <w:t xml:space="preserve">PID Act </w:t>
      </w:r>
      <w:r>
        <w:t>(n 2)</w:t>
      </w:r>
      <w:r>
        <w:rPr>
          <w:i/>
          <w:iCs/>
        </w:rPr>
        <w:t xml:space="preserve"> </w:t>
      </w:r>
      <w:r>
        <w:t>s 17(2).</w:t>
      </w:r>
    </w:p>
  </w:footnote>
  <w:footnote w:id="82">
    <w:p w14:paraId="23E50475" w14:textId="06BA83B7" w:rsidR="0073764F" w:rsidRDefault="0073764F">
      <w:pPr>
        <w:pStyle w:val="FootnoteText"/>
      </w:pPr>
      <w:r>
        <w:rPr>
          <w:rStyle w:val="FootnoteReference"/>
        </w:rPr>
        <w:footnoteRef/>
      </w:r>
      <w:r>
        <w:t xml:space="preserve"> Ibid s 27.</w:t>
      </w:r>
    </w:p>
  </w:footnote>
  <w:footnote w:id="83">
    <w:p w14:paraId="6E506207" w14:textId="26839B4C" w:rsidR="0073764F" w:rsidRDefault="0073764F">
      <w:pPr>
        <w:pStyle w:val="FootnoteText"/>
      </w:pPr>
      <w:r>
        <w:rPr>
          <w:rStyle w:val="FootnoteReference"/>
        </w:rPr>
        <w:footnoteRef/>
      </w:r>
      <w:r>
        <w:t xml:space="preserve"> Ibid s 23(1)(d).</w:t>
      </w:r>
    </w:p>
  </w:footnote>
  <w:footnote w:id="84">
    <w:p w14:paraId="410F57C3" w14:textId="1511C83B" w:rsidR="0073764F" w:rsidRDefault="0073764F">
      <w:pPr>
        <w:pStyle w:val="FootnoteText"/>
      </w:pPr>
      <w:r>
        <w:rPr>
          <w:rStyle w:val="FootnoteReference"/>
        </w:rPr>
        <w:footnoteRef/>
      </w:r>
      <w:r>
        <w:t xml:space="preserve"> Ibid s 23(1)(a).</w:t>
      </w:r>
    </w:p>
  </w:footnote>
  <w:footnote w:id="85">
    <w:p w14:paraId="58626A5B" w14:textId="0B4D4197" w:rsidR="0073764F" w:rsidRDefault="0073764F">
      <w:pPr>
        <w:pStyle w:val="FootnoteText"/>
      </w:pPr>
      <w:r>
        <w:rPr>
          <w:rStyle w:val="FootnoteReference"/>
        </w:rPr>
        <w:footnoteRef/>
      </w:r>
      <w:r>
        <w:t xml:space="preserve"> Ibid s 23(1)(c).</w:t>
      </w:r>
    </w:p>
  </w:footnote>
  <w:footnote w:id="86">
    <w:p w14:paraId="703AEE27" w14:textId="1FCF3BBD" w:rsidR="0073764F" w:rsidRDefault="0073764F">
      <w:pPr>
        <w:pStyle w:val="FootnoteText"/>
      </w:pPr>
      <w:r>
        <w:rPr>
          <w:rStyle w:val="FootnoteReference"/>
        </w:rPr>
        <w:footnoteRef/>
      </w:r>
      <w:r>
        <w:t xml:space="preserve"> Ibid s 23(1)(b).</w:t>
      </w:r>
    </w:p>
  </w:footnote>
  <w:footnote w:id="87">
    <w:p w14:paraId="40A5D421" w14:textId="105D6C25" w:rsidR="0073764F" w:rsidRDefault="0073764F">
      <w:pPr>
        <w:pStyle w:val="FootnoteText"/>
      </w:pPr>
      <w:r>
        <w:rPr>
          <w:rStyle w:val="FootnoteReference"/>
        </w:rPr>
        <w:footnoteRef/>
      </w:r>
      <w:r>
        <w:t xml:space="preserve"> Ibid s 27A.</w:t>
      </w:r>
    </w:p>
  </w:footnote>
  <w:footnote w:id="88">
    <w:p w14:paraId="7DC338CB" w14:textId="50DC0617" w:rsidR="0073764F" w:rsidRDefault="0073764F">
      <w:pPr>
        <w:pStyle w:val="FootnoteText"/>
      </w:pPr>
      <w:r>
        <w:rPr>
          <w:rStyle w:val="FootnoteReference"/>
        </w:rPr>
        <w:footnoteRef/>
      </w:r>
      <w:r>
        <w:t xml:space="preserve"> Ibid s 25(1)(a).</w:t>
      </w:r>
    </w:p>
  </w:footnote>
  <w:footnote w:id="89">
    <w:p w14:paraId="334F7870" w14:textId="4356D7C0" w:rsidR="0073764F" w:rsidRDefault="0073764F">
      <w:pPr>
        <w:pStyle w:val="FootnoteText"/>
      </w:pPr>
      <w:r>
        <w:rPr>
          <w:rStyle w:val="FootnoteReference"/>
        </w:rPr>
        <w:footnoteRef/>
      </w:r>
      <w:r>
        <w:t xml:space="preserve"> Ibid s 25(1)(b).</w:t>
      </w:r>
    </w:p>
  </w:footnote>
  <w:footnote w:id="90">
    <w:p w14:paraId="298C6234" w14:textId="09871E65" w:rsidR="0073764F" w:rsidRDefault="0073764F">
      <w:pPr>
        <w:pStyle w:val="FootnoteText"/>
      </w:pPr>
      <w:r>
        <w:rPr>
          <w:rStyle w:val="FootnoteReference"/>
        </w:rPr>
        <w:footnoteRef/>
      </w:r>
      <w:r>
        <w:t xml:space="preserve"> Ibid s 25(1)(c).</w:t>
      </w:r>
    </w:p>
  </w:footnote>
  <w:footnote w:id="91">
    <w:p w14:paraId="60C0164F" w14:textId="36EDEFBD" w:rsidR="0073764F" w:rsidRDefault="0073764F">
      <w:pPr>
        <w:pStyle w:val="FootnoteText"/>
      </w:pPr>
      <w:r>
        <w:rPr>
          <w:rStyle w:val="FootnoteReference"/>
        </w:rPr>
        <w:footnoteRef/>
      </w:r>
      <w:r>
        <w:t xml:space="preserve"> Ibid s 25(1)(d).</w:t>
      </w:r>
    </w:p>
  </w:footnote>
  <w:footnote w:id="92">
    <w:p w14:paraId="21A647D2" w14:textId="46780CDE" w:rsidR="0073764F" w:rsidRDefault="0073764F">
      <w:pPr>
        <w:pStyle w:val="FootnoteText"/>
      </w:pPr>
      <w:r>
        <w:rPr>
          <w:rStyle w:val="FootnoteReference"/>
        </w:rPr>
        <w:footnoteRef/>
      </w:r>
      <w:r>
        <w:t xml:space="preserve"> Ibid s 20(1)(b).</w:t>
      </w:r>
    </w:p>
  </w:footnote>
  <w:footnote w:id="93">
    <w:p w14:paraId="7757AF45" w14:textId="4B5CBFAE" w:rsidR="0073764F" w:rsidRDefault="0073764F">
      <w:pPr>
        <w:pStyle w:val="FootnoteText"/>
      </w:pPr>
      <w:r>
        <w:rPr>
          <w:rStyle w:val="FootnoteReference"/>
        </w:rPr>
        <w:footnoteRef/>
      </w:r>
      <w:r>
        <w:t xml:space="preserve"> Ibid s 18.</w:t>
      </w:r>
    </w:p>
  </w:footnote>
  <w:footnote w:id="94">
    <w:p w14:paraId="4A11550A" w14:textId="23CD481A" w:rsidR="0073764F" w:rsidRDefault="0073764F">
      <w:pPr>
        <w:pStyle w:val="FootnoteText"/>
      </w:pPr>
      <w:r>
        <w:rPr>
          <w:rStyle w:val="FootnoteReference"/>
        </w:rPr>
        <w:footnoteRef/>
      </w:r>
      <w:r>
        <w:t xml:space="preserve"> </w:t>
      </w:r>
      <w:r w:rsidRPr="00996585">
        <w:t xml:space="preserve">Attorney-General’s Department, </w:t>
      </w:r>
      <w:r w:rsidRPr="00996585">
        <w:rPr>
          <w:i/>
          <w:iCs/>
        </w:rPr>
        <w:t>Australian Government Investigation Standards</w:t>
      </w:r>
      <w:r w:rsidRPr="00996585">
        <w:t xml:space="preserve"> (August 2011)</w:t>
      </w:r>
      <w:r>
        <w:t>.</w:t>
      </w:r>
    </w:p>
  </w:footnote>
  <w:footnote w:id="95">
    <w:p w14:paraId="43D5914E" w14:textId="279908A6" w:rsidR="0073764F" w:rsidRPr="006143A3" w:rsidRDefault="0073764F">
      <w:pPr>
        <w:pStyle w:val="FootnoteText"/>
      </w:pPr>
      <w:r>
        <w:rPr>
          <w:rStyle w:val="FootnoteReference"/>
        </w:rPr>
        <w:footnoteRef/>
      </w:r>
      <w:r>
        <w:t xml:space="preserve"> Should the PID be better resolved under these legislative frameworks, the relevant dismissal ground is </w:t>
      </w:r>
      <w:r w:rsidRPr="00B132D1">
        <w:t>PID Act</w:t>
      </w:r>
      <w:r>
        <w:t xml:space="preserve"> (n 2) s 20(2)(d)(iii).</w:t>
      </w:r>
    </w:p>
  </w:footnote>
  <w:footnote w:id="96">
    <w:p w14:paraId="5B0A58E6" w14:textId="77777777" w:rsidR="0073764F" w:rsidRDefault="0073764F" w:rsidP="00B35C45">
      <w:pPr>
        <w:pStyle w:val="FootnoteText"/>
      </w:pPr>
      <w:r>
        <w:rPr>
          <w:rStyle w:val="FootnoteReference"/>
        </w:rPr>
        <w:footnoteRef/>
      </w:r>
      <w:r>
        <w:t xml:space="preserve"> Commonwealth Ombudsman (n 62) 47.</w:t>
      </w:r>
    </w:p>
  </w:footnote>
  <w:footnote w:id="97">
    <w:p w14:paraId="03C9A305" w14:textId="00745B49" w:rsidR="0073764F" w:rsidRPr="00996585" w:rsidRDefault="0073764F">
      <w:pPr>
        <w:pStyle w:val="FootnoteText"/>
      </w:pPr>
      <w:r>
        <w:rPr>
          <w:rStyle w:val="FootnoteReference"/>
        </w:rPr>
        <w:footnoteRef/>
      </w:r>
      <w:r>
        <w:t xml:space="preserve"> </w:t>
      </w:r>
      <w:r>
        <w:rPr>
          <w:i/>
          <w:iCs/>
        </w:rPr>
        <w:t xml:space="preserve">PID Act </w:t>
      </w:r>
      <w:r>
        <w:t>(n 2) s 44.</w:t>
      </w:r>
    </w:p>
  </w:footnote>
  <w:footnote w:id="98">
    <w:p w14:paraId="7A433368" w14:textId="27B59C24" w:rsidR="0073764F" w:rsidRDefault="0073764F">
      <w:pPr>
        <w:pStyle w:val="FootnoteText"/>
      </w:pPr>
      <w:r>
        <w:rPr>
          <w:rStyle w:val="FootnoteReference"/>
        </w:rPr>
        <w:footnoteRef/>
      </w:r>
      <w:r>
        <w:t xml:space="preserve"> Ibid s 45(6).</w:t>
      </w:r>
    </w:p>
  </w:footnote>
  <w:footnote w:id="99">
    <w:p w14:paraId="2E57C4B6" w14:textId="46CBC477" w:rsidR="0073764F" w:rsidRDefault="0073764F">
      <w:pPr>
        <w:pStyle w:val="FootnoteText"/>
      </w:pPr>
      <w:r>
        <w:rPr>
          <w:rStyle w:val="FootnoteReference"/>
        </w:rPr>
        <w:footnoteRef/>
      </w:r>
      <w:r>
        <w:t xml:space="preserve"> Ibid s 44(3)(a).</w:t>
      </w:r>
    </w:p>
  </w:footnote>
  <w:footnote w:id="100">
    <w:p w14:paraId="36AEF8BE" w14:textId="43140FE7" w:rsidR="0073764F" w:rsidRDefault="0073764F">
      <w:pPr>
        <w:pStyle w:val="FootnoteText"/>
      </w:pPr>
      <w:r>
        <w:rPr>
          <w:rStyle w:val="FootnoteReference"/>
        </w:rPr>
        <w:footnoteRef/>
      </w:r>
      <w:r>
        <w:t xml:space="preserve"> Ibid s 44(3)(b).</w:t>
      </w:r>
    </w:p>
  </w:footnote>
  <w:footnote w:id="101">
    <w:p w14:paraId="58772FEC" w14:textId="32E79A83" w:rsidR="0073764F" w:rsidRDefault="0073764F" w:rsidP="00996585">
      <w:pPr>
        <w:pStyle w:val="FootnoteText"/>
      </w:pPr>
      <w:r>
        <w:rPr>
          <w:rStyle w:val="FootnoteReference"/>
        </w:rPr>
        <w:footnoteRef/>
      </w:r>
      <w:r>
        <w:t xml:space="preserve"> Ibid s 44(3)(c).</w:t>
      </w:r>
    </w:p>
  </w:footnote>
  <w:footnote w:id="102">
    <w:p w14:paraId="4CBE3452" w14:textId="1ECD93A4" w:rsidR="0073764F" w:rsidRDefault="0073764F">
      <w:pPr>
        <w:pStyle w:val="FootnoteText"/>
      </w:pPr>
      <w:r>
        <w:rPr>
          <w:rStyle w:val="FootnoteReference"/>
        </w:rPr>
        <w:footnoteRef/>
      </w:r>
      <w:r>
        <w:t xml:space="preserve"> Ibid s 44(4).</w:t>
      </w:r>
    </w:p>
  </w:footnote>
  <w:footnote w:id="103">
    <w:p w14:paraId="54785735" w14:textId="39FEB7AE" w:rsidR="0073764F" w:rsidRDefault="0073764F">
      <w:pPr>
        <w:pStyle w:val="FootnoteText"/>
      </w:pPr>
      <w:r>
        <w:rPr>
          <w:rStyle w:val="FootnoteReference"/>
        </w:rPr>
        <w:footnoteRef/>
      </w:r>
      <w:r>
        <w:t xml:space="preserve"> Commonwealth Ombudsman (n 62) 51.</w:t>
      </w:r>
    </w:p>
  </w:footnote>
  <w:footnote w:id="104">
    <w:p w14:paraId="1B4521AD" w14:textId="68D840FC" w:rsidR="0073764F" w:rsidRDefault="0073764F">
      <w:pPr>
        <w:pStyle w:val="FootnoteText"/>
      </w:pPr>
      <w:r>
        <w:rPr>
          <w:rStyle w:val="FootnoteReference"/>
        </w:rPr>
        <w:footnoteRef/>
      </w:r>
      <w:r>
        <w:t xml:space="preserve"> Peter Roberts, A. J. Brown and Jane Olsen, </w:t>
      </w:r>
      <w:r>
        <w:rPr>
          <w:i/>
          <w:iCs/>
        </w:rPr>
        <w:t>Whistling While They Work</w:t>
      </w:r>
      <w:r w:rsidRPr="00A42290">
        <w:t>,</w:t>
      </w:r>
      <w:r>
        <w:t xml:space="preserve"> (ANU E-Press, 2011) </w:t>
      </w:r>
      <w:r w:rsidRPr="00A42290">
        <w:t>88</w:t>
      </w:r>
      <w:r>
        <w:t>.</w:t>
      </w:r>
    </w:p>
  </w:footnote>
  <w:footnote w:id="105">
    <w:p w14:paraId="4D6B54C1" w14:textId="399BAE0D" w:rsidR="0073764F" w:rsidRDefault="0073764F" w:rsidP="008822C8">
      <w:pPr>
        <w:pStyle w:val="FootnoteText"/>
      </w:pPr>
      <w:r>
        <w:rPr>
          <w:rStyle w:val="FootnoteReference"/>
        </w:rPr>
        <w:footnoteRef/>
      </w:r>
      <w:r>
        <w:t xml:space="preserve"> Commonwealth Ombudsman (n 62) 55.</w:t>
      </w:r>
    </w:p>
  </w:footnote>
  <w:footnote w:id="106">
    <w:p w14:paraId="094F97B9" w14:textId="77777777" w:rsidR="0073764F" w:rsidRDefault="0073764F" w:rsidP="00462FB0">
      <w:pPr>
        <w:pStyle w:val="FootnoteText"/>
      </w:pPr>
      <w:r>
        <w:rPr>
          <w:rStyle w:val="FootnoteReference"/>
        </w:rPr>
        <w:footnoteRef/>
      </w:r>
      <w:r>
        <w:t xml:space="preserve"> Ibid.</w:t>
      </w:r>
    </w:p>
  </w:footnote>
  <w:footnote w:id="107">
    <w:p w14:paraId="1CAEAC1B" w14:textId="25CC2CC4" w:rsidR="0073764F" w:rsidRPr="00EB61A1" w:rsidRDefault="0073764F">
      <w:pPr>
        <w:pStyle w:val="FootnoteText"/>
      </w:pPr>
      <w:r>
        <w:rPr>
          <w:rStyle w:val="FootnoteReference"/>
        </w:rPr>
        <w:footnoteRef/>
      </w:r>
      <w:r>
        <w:t xml:space="preserve"> </w:t>
      </w:r>
      <w:r>
        <w:rPr>
          <w:i/>
          <w:iCs/>
        </w:rPr>
        <w:t xml:space="preserve">PID Act </w:t>
      </w:r>
      <w:r>
        <w:t>(n 2) s 24.</w:t>
      </w:r>
    </w:p>
  </w:footnote>
  <w:footnote w:id="108">
    <w:p w14:paraId="46160647" w14:textId="77777777" w:rsidR="0073764F" w:rsidRDefault="0073764F" w:rsidP="00AE133C">
      <w:pPr>
        <w:pStyle w:val="FootnoteText"/>
      </w:pPr>
      <w:r>
        <w:rPr>
          <w:rStyle w:val="FootnoteReference"/>
        </w:rPr>
        <w:footnoteRef/>
      </w:r>
      <w:r>
        <w:t xml:space="preserve"> Ibid 54.</w:t>
      </w:r>
    </w:p>
  </w:footnote>
  <w:footnote w:id="109">
    <w:p w14:paraId="69A374A4" w14:textId="6B2AB8CD" w:rsidR="0073764F" w:rsidRDefault="0073764F">
      <w:pPr>
        <w:pStyle w:val="FootnoteText"/>
      </w:pPr>
      <w:r>
        <w:rPr>
          <w:rStyle w:val="FootnoteReference"/>
        </w:rPr>
        <w:footnoteRef/>
      </w:r>
      <w:r>
        <w:t xml:space="preserve"> Ibid s 24(1)(b).</w:t>
      </w:r>
    </w:p>
  </w:footnote>
  <w:footnote w:id="110">
    <w:p w14:paraId="1E0DE2D9" w14:textId="62D2123E" w:rsidR="0073764F" w:rsidRPr="00A67617" w:rsidRDefault="0073764F">
      <w:pPr>
        <w:pStyle w:val="FootnoteText"/>
      </w:pPr>
      <w:r w:rsidRPr="00A67617">
        <w:rPr>
          <w:rStyle w:val="FootnoteReference"/>
        </w:rPr>
        <w:footnoteRef/>
      </w:r>
      <w:r w:rsidRPr="00A67617">
        <w:t xml:space="preserve"> Ibid s 44 (example 3).</w:t>
      </w:r>
    </w:p>
  </w:footnote>
  <w:footnote w:id="111">
    <w:p w14:paraId="24F98E88" w14:textId="257521A6" w:rsidR="0073764F" w:rsidRDefault="0073764F">
      <w:pPr>
        <w:pStyle w:val="FootnoteText"/>
      </w:pPr>
      <w:r w:rsidRPr="00A67617">
        <w:rPr>
          <w:rStyle w:val="FootnoteReference"/>
        </w:rPr>
        <w:footnoteRef/>
      </w:r>
      <w:r w:rsidRPr="00A67617">
        <w:t xml:space="preserve"> Ibid ss 44(1), 44(2).</w:t>
      </w:r>
    </w:p>
  </w:footnote>
  <w:footnote w:id="112">
    <w:p w14:paraId="68D283E1" w14:textId="52057C34" w:rsidR="0073764F" w:rsidRDefault="0073764F">
      <w:pPr>
        <w:pStyle w:val="FootnoteText"/>
      </w:pPr>
      <w:r>
        <w:rPr>
          <w:rStyle w:val="FootnoteReference"/>
        </w:rPr>
        <w:footnoteRef/>
      </w:r>
      <w:r>
        <w:t xml:space="preserve"> Ibid s 44(3)(a).</w:t>
      </w:r>
    </w:p>
  </w:footnote>
  <w:footnote w:id="113">
    <w:p w14:paraId="4AC480C5" w14:textId="6F8CD6B6" w:rsidR="0073764F" w:rsidRDefault="0073764F">
      <w:pPr>
        <w:pStyle w:val="FootnoteText"/>
      </w:pPr>
      <w:r>
        <w:rPr>
          <w:rStyle w:val="FootnoteReference"/>
        </w:rPr>
        <w:footnoteRef/>
      </w:r>
      <w:r>
        <w:t xml:space="preserve"> Ibid s 44(3)(b).</w:t>
      </w:r>
    </w:p>
  </w:footnote>
  <w:footnote w:id="114">
    <w:p w14:paraId="2B0FC25D" w14:textId="086226FE" w:rsidR="0073764F" w:rsidRDefault="0073764F">
      <w:pPr>
        <w:pStyle w:val="FootnoteText"/>
      </w:pPr>
      <w:r>
        <w:rPr>
          <w:rStyle w:val="FootnoteReference"/>
        </w:rPr>
        <w:footnoteRef/>
      </w:r>
      <w:r>
        <w:t xml:space="preserve"> Ibid s 44(3)(c).</w:t>
      </w:r>
    </w:p>
  </w:footnote>
  <w:footnote w:id="115">
    <w:p w14:paraId="0886B512" w14:textId="361C2A5D" w:rsidR="0073764F" w:rsidRDefault="0073764F">
      <w:pPr>
        <w:pStyle w:val="FootnoteText"/>
      </w:pPr>
      <w:r>
        <w:rPr>
          <w:rStyle w:val="FootnoteReference"/>
        </w:rPr>
        <w:footnoteRef/>
      </w:r>
      <w:r>
        <w:t xml:space="preserve"> Ibid s 44(4).</w:t>
      </w:r>
    </w:p>
  </w:footnote>
  <w:footnote w:id="116">
    <w:p w14:paraId="0962546A" w14:textId="7EA0EDDD" w:rsidR="0073764F" w:rsidRDefault="0073764F">
      <w:pPr>
        <w:pStyle w:val="FootnoteText"/>
      </w:pPr>
      <w:r>
        <w:rPr>
          <w:rStyle w:val="FootnoteReference"/>
        </w:rPr>
        <w:footnoteRef/>
      </w:r>
      <w:r>
        <w:t xml:space="preserve"> Ibid s 17(2)(b)(i).</w:t>
      </w:r>
    </w:p>
  </w:footnote>
  <w:footnote w:id="117">
    <w:p w14:paraId="24286F6F" w14:textId="6800BC02" w:rsidR="0073764F" w:rsidRDefault="0073764F">
      <w:pPr>
        <w:pStyle w:val="FootnoteText"/>
      </w:pPr>
      <w:r>
        <w:rPr>
          <w:rStyle w:val="FootnoteReference"/>
        </w:rPr>
        <w:footnoteRef/>
      </w:r>
      <w:r>
        <w:t xml:space="preserve"> Ibid ss 44(3)(a), 44(3)(b).</w:t>
      </w:r>
    </w:p>
  </w:footnote>
  <w:footnote w:id="118">
    <w:p w14:paraId="19A38FDA" w14:textId="0245E1D6" w:rsidR="0073764F" w:rsidRDefault="0073764F">
      <w:pPr>
        <w:pStyle w:val="FootnoteText"/>
      </w:pPr>
      <w:r>
        <w:rPr>
          <w:rStyle w:val="FootnoteReference"/>
        </w:rPr>
        <w:footnoteRef/>
      </w:r>
      <w:r>
        <w:t xml:space="preserve"> Ibid s 42A(1).</w:t>
      </w:r>
    </w:p>
  </w:footnote>
  <w:footnote w:id="119">
    <w:p w14:paraId="4FAB7C96" w14:textId="5C8087D0" w:rsidR="0073764F" w:rsidRDefault="0073764F">
      <w:pPr>
        <w:pStyle w:val="FootnoteText"/>
      </w:pPr>
      <w:r>
        <w:rPr>
          <w:rStyle w:val="FootnoteReference"/>
        </w:rPr>
        <w:footnoteRef/>
      </w:r>
      <w:r>
        <w:t xml:space="preserve"> Ibid s 42A(2).</w:t>
      </w:r>
    </w:p>
  </w:footnote>
  <w:footnote w:id="120">
    <w:p w14:paraId="1E27491F" w14:textId="77777777" w:rsidR="0073764F" w:rsidRDefault="0073764F" w:rsidP="000658D1">
      <w:pPr>
        <w:pStyle w:val="FootnoteText"/>
      </w:pPr>
      <w:r>
        <w:rPr>
          <w:rStyle w:val="FootnoteReference"/>
        </w:rPr>
        <w:footnoteRef/>
      </w:r>
      <w:r>
        <w:t xml:space="preserve"> Ibid s 20(2)(b).</w:t>
      </w:r>
    </w:p>
  </w:footnote>
  <w:footnote w:id="121">
    <w:p w14:paraId="642CEB5F" w14:textId="77777777" w:rsidR="0073764F" w:rsidRDefault="0073764F" w:rsidP="000658D1">
      <w:pPr>
        <w:pStyle w:val="FootnoteText"/>
      </w:pPr>
      <w:r>
        <w:rPr>
          <w:rStyle w:val="FootnoteReference"/>
        </w:rPr>
        <w:footnoteRef/>
      </w:r>
      <w:r>
        <w:t xml:space="preserve"> Ibid s 20(2)(c).</w:t>
      </w:r>
    </w:p>
  </w:footnote>
  <w:footnote w:id="122">
    <w:p w14:paraId="2A4E95CC" w14:textId="77777777" w:rsidR="0073764F" w:rsidRDefault="0073764F" w:rsidP="000658D1">
      <w:pPr>
        <w:pStyle w:val="FootnoteText"/>
      </w:pPr>
      <w:r>
        <w:rPr>
          <w:rStyle w:val="FootnoteReference"/>
        </w:rPr>
        <w:footnoteRef/>
      </w:r>
      <w:r>
        <w:t xml:space="preserve"> Ibid s 20(2)(d)(i).</w:t>
      </w:r>
    </w:p>
  </w:footnote>
  <w:footnote w:id="123">
    <w:p w14:paraId="23D5775F" w14:textId="77777777" w:rsidR="0073764F" w:rsidRDefault="0073764F" w:rsidP="000658D1">
      <w:pPr>
        <w:pStyle w:val="FootnoteText"/>
      </w:pPr>
      <w:r>
        <w:rPr>
          <w:rStyle w:val="FootnoteReference"/>
        </w:rPr>
        <w:footnoteRef/>
      </w:r>
      <w:r>
        <w:t xml:space="preserve"> Ibid s 20(2)(d)(ii).</w:t>
      </w:r>
    </w:p>
  </w:footnote>
  <w:footnote w:id="124">
    <w:p w14:paraId="4F513D32" w14:textId="77777777" w:rsidR="0073764F" w:rsidRDefault="0073764F" w:rsidP="000658D1">
      <w:pPr>
        <w:pStyle w:val="FootnoteText"/>
      </w:pPr>
      <w:r>
        <w:rPr>
          <w:rStyle w:val="FootnoteReference"/>
        </w:rPr>
        <w:footnoteRef/>
      </w:r>
      <w:r>
        <w:t xml:space="preserve"> Ibid s 20(2)(d(iii).</w:t>
      </w:r>
    </w:p>
  </w:footnote>
  <w:footnote w:id="125">
    <w:p w14:paraId="7AA57E27" w14:textId="77777777" w:rsidR="0073764F" w:rsidRDefault="0073764F" w:rsidP="000658D1">
      <w:pPr>
        <w:pStyle w:val="FootnoteText"/>
      </w:pPr>
      <w:r>
        <w:rPr>
          <w:rStyle w:val="FootnoteReference"/>
        </w:rPr>
        <w:footnoteRef/>
      </w:r>
      <w:r>
        <w:t xml:space="preserve"> Ibid s 20(2)(a).</w:t>
      </w:r>
    </w:p>
  </w:footnote>
  <w:footnote w:id="126">
    <w:p w14:paraId="39E599F3" w14:textId="77777777" w:rsidR="0073764F" w:rsidRDefault="0073764F" w:rsidP="000658D1">
      <w:pPr>
        <w:pStyle w:val="FootnoteText"/>
      </w:pPr>
      <w:r>
        <w:rPr>
          <w:rStyle w:val="FootnoteReference"/>
        </w:rPr>
        <w:footnoteRef/>
      </w:r>
      <w:r>
        <w:t xml:space="preserve"> Ibid s 23(1)(d).</w:t>
      </w:r>
    </w:p>
  </w:footnote>
  <w:footnote w:id="127">
    <w:p w14:paraId="384FDBD1" w14:textId="77777777" w:rsidR="0073764F" w:rsidRDefault="0073764F" w:rsidP="000658D1">
      <w:pPr>
        <w:pStyle w:val="FootnoteText"/>
      </w:pPr>
      <w:r>
        <w:rPr>
          <w:rStyle w:val="FootnoteReference"/>
        </w:rPr>
        <w:footnoteRef/>
      </w:r>
      <w:r>
        <w:t xml:space="preserve"> Ibid s 20(2)(a).</w:t>
      </w:r>
    </w:p>
  </w:footnote>
  <w:footnote w:id="128">
    <w:p w14:paraId="6AB0A0EA" w14:textId="77777777" w:rsidR="0073764F" w:rsidRDefault="0073764F" w:rsidP="000658D1">
      <w:pPr>
        <w:pStyle w:val="FootnoteText"/>
      </w:pPr>
      <w:r>
        <w:rPr>
          <w:rStyle w:val="FootnoteReference"/>
        </w:rPr>
        <w:footnoteRef/>
      </w:r>
      <w:r>
        <w:t xml:space="preserve"> Ibid s 20(2)(b).</w:t>
      </w:r>
    </w:p>
  </w:footnote>
  <w:footnote w:id="129">
    <w:p w14:paraId="151A0F7F" w14:textId="77777777" w:rsidR="0073764F" w:rsidRDefault="0073764F" w:rsidP="000658D1">
      <w:pPr>
        <w:pStyle w:val="FootnoteText"/>
      </w:pPr>
      <w:r>
        <w:rPr>
          <w:rStyle w:val="FootnoteReference"/>
        </w:rPr>
        <w:footnoteRef/>
      </w:r>
      <w:r>
        <w:t xml:space="preserve"> Ibid s 20(2)(c).</w:t>
      </w:r>
    </w:p>
  </w:footnote>
  <w:footnote w:id="130">
    <w:p w14:paraId="23D1307D" w14:textId="77777777" w:rsidR="0073764F" w:rsidRDefault="0073764F" w:rsidP="000658D1">
      <w:pPr>
        <w:pStyle w:val="FootnoteText"/>
      </w:pPr>
      <w:r>
        <w:rPr>
          <w:rStyle w:val="FootnoteReference"/>
        </w:rPr>
        <w:footnoteRef/>
      </w:r>
      <w:r>
        <w:t xml:space="preserve"> Ibid s 20(2)(d)(i).</w:t>
      </w:r>
    </w:p>
  </w:footnote>
  <w:footnote w:id="131">
    <w:p w14:paraId="2B3DEB7A" w14:textId="77777777" w:rsidR="0073764F" w:rsidRDefault="0073764F" w:rsidP="000658D1">
      <w:pPr>
        <w:pStyle w:val="FootnoteText"/>
      </w:pPr>
      <w:r>
        <w:rPr>
          <w:rStyle w:val="FootnoteReference"/>
        </w:rPr>
        <w:footnoteRef/>
      </w:r>
      <w:r>
        <w:t xml:space="preserve"> Ibid s 20(2)(d)(ii).</w:t>
      </w:r>
    </w:p>
  </w:footnote>
  <w:footnote w:id="132">
    <w:p w14:paraId="017F666A" w14:textId="77777777" w:rsidR="0073764F" w:rsidRDefault="0073764F" w:rsidP="000658D1">
      <w:pPr>
        <w:pStyle w:val="FootnoteText"/>
      </w:pPr>
      <w:r>
        <w:rPr>
          <w:rStyle w:val="FootnoteReference"/>
        </w:rPr>
        <w:footnoteRef/>
      </w:r>
      <w:r>
        <w:t xml:space="preserve"> Ibid s 20(2)(d)(iii).</w:t>
      </w:r>
    </w:p>
  </w:footnote>
  <w:footnote w:id="133">
    <w:p w14:paraId="2140A86C" w14:textId="3A908FF9" w:rsidR="0073764F" w:rsidRDefault="0073764F">
      <w:pPr>
        <w:pStyle w:val="FootnoteText"/>
      </w:pPr>
      <w:r>
        <w:rPr>
          <w:rStyle w:val="FootnoteReference"/>
        </w:rPr>
        <w:footnoteRef/>
      </w:r>
      <w:r>
        <w:t xml:space="preserve"> </w:t>
      </w:r>
      <w:r>
        <w:rPr>
          <w:i/>
          <w:iCs/>
        </w:rPr>
        <w:t xml:space="preserve">PID Act </w:t>
      </w:r>
      <w:r>
        <w:t>(n 2) s 23(1)(b).</w:t>
      </w:r>
    </w:p>
  </w:footnote>
  <w:footnote w:id="134">
    <w:p w14:paraId="3834FBAD" w14:textId="7A5ABA4F" w:rsidR="0073764F" w:rsidRDefault="0073764F">
      <w:pPr>
        <w:pStyle w:val="FootnoteText"/>
      </w:pPr>
      <w:r>
        <w:rPr>
          <w:rStyle w:val="FootnoteReference"/>
        </w:rPr>
        <w:footnoteRef/>
      </w:r>
      <w:r>
        <w:t xml:space="preserve"> Ibid s 23(1)(a).</w:t>
      </w:r>
    </w:p>
  </w:footnote>
  <w:footnote w:id="135">
    <w:p w14:paraId="202D4356" w14:textId="00C1085F" w:rsidR="0073764F" w:rsidRDefault="0073764F">
      <w:pPr>
        <w:pStyle w:val="FootnoteText"/>
      </w:pPr>
      <w:r>
        <w:rPr>
          <w:rStyle w:val="FootnoteReference"/>
        </w:rPr>
        <w:footnoteRef/>
      </w:r>
      <w:r>
        <w:t xml:space="preserve"> Ibid ss 43, 44(3)(a)-(b).</w:t>
      </w:r>
    </w:p>
  </w:footnote>
  <w:footnote w:id="136">
    <w:p w14:paraId="1342A245" w14:textId="75A1166C" w:rsidR="0073764F" w:rsidRDefault="0073764F">
      <w:pPr>
        <w:pStyle w:val="FootnoteText"/>
      </w:pPr>
      <w:r>
        <w:rPr>
          <w:rStyle w:val="FootnoteReference"/>
        </w:rPr>
        <w:footnoteRef/>
      </w:r>
      <w:r>
        <w:t xml:space="preserve"> Ibid s 25(1)(c).</w:t>
      </w:r>
    </w:p>
  </w:footnote>
  <w:footnote w:id="137">
    <w:p w14:paraId="0A220F4A" w14:textId="7C899215" w:rsidR="0073764F" w:rsidRDefault="0073764F">
      <w:pPr>
        <w:pStyle w:val="FootnoteText"/>
      </w:pPr>
      <w:r>
        <w:rPr>
          <w:rStyle w:val="FootnoteReference"/>
        </w:rPr>
        <w:footnoteRef/>
      </w:r>
      <w:r>
        <w:t xml:space="preserve"> Ibid s 25(1)(d).</w:t>
      </w:r>
    </w:p>
  </w:footnote>
  <w:footnote w:id="138">
    <w:p w14:paraId="1C88E016" w14:textId="1D4FE4F4" w:rsidR="0073764F" w:rsidRDefault="0073764F">
      <w:pPr>
        <w:pStyle w:val="FootnoteText"/>
      </w:pPr>
      <w:r>
        <w:rPr>
          <w:rStyle w:val="FootnoteReference"/>
        </w:rPr>
        <w:footnoteRef/>
      </w:r>
      <w:r>
        <w:t xml:space="preserve"> Ibid s 24(1)(b).</w:t>
      </w:r>
    </w:p>
  </w:footnote>
  <w:footnote w:id="139">
    <w:p w14:paraId="3EFA5F3B" w14:textId="6725A82E" w:rsidR="0073764F" w:rsidRDefault="0073764F">
      <w:pPr>
        <w:pStyle w:val="FootnoteText"/>
      </w:pPr>
      <w:r>
        <w:rPr>
          <w:rStyle w:val="FootnoteReference"/>
        </w:rPr>
        <w:footnoteRef/>
      </w:r>
      <w:r>
        <w:t xml:space="preserve"> Ibid s 24(1)(a).</w:t>
      </w:r>
    </w:p>
  </w:footnote>
  <w:footnote w:id="140">
    <w:p w14:paraId="64515273" w14:textId="2B32E432" w:rsidR="0073764F" w:rsidRDefault="0073764F">
      <w:pPr>
        <w:pStyle w:val="FootnoteText"/>
      </w:pPr>
      <w:r>
        <w:rPr>
          <w:rStyle w:val="FootnoteReference"/>
        </w:rPr>
        <w:footnoteRef/>
      </w:r>
      <w:r>
        <w:t xml:space="preserve"> Commonwealth Ombudsman (n 62) 56.</w:t>
      </w:r>
    </w:p>
  </w:footnote>
  <w:footnote w:id="141">
    <w:p w14:paraId="25E5C866" w14:textId="1CD173DC" w:rsidR="0073764F" w:rsidRPr="00996585" w:rsidRDefault="0073764F" w:rsidP="000D4C8E">
      <w:pPr>
        <w:pStyle w:val="FootnoteText"/>
      </w:pPr>
      <w:r>
        <w:rPr>
          <w:rStyle w:val="FootnoteReference"/>
        </w:rPr>
        <w:footnoteRef/>
      </w:r>
      <w:r>
        <w:t xml:space="preserve"> </w:t>
      </w:r>
      <w:r>
        <w:rPr>
          <w:i/>
          <w:iCs/>
        </w:rPr>
        <w:t xml:space="preserve">PID Act </w:t>
      </w:r>
      <w:r>
        <w:t>(n 2) s 24.</w:t>
      </w:r>
    </w:p>
  </w:footnote>
  <w:footnote w:id="142">
    <w:p w14:paraId="105BC0CD" w14:textId="123BDEB6" w:rsidR="0073764F" w:rsidRDefault="0073764F">
      <w:pPr>
        <w:pStyle w:val="FootnoteText"/>
      </w:pPr>
      <w:r>
        <w:rPr>
          <w:rStyle w:val="FootnoteReference"/>
        </w:rPr>
        <w:footnoteRef/>
      </w:r>
      <w:r>
        <w:t xml:space="preserve"> Commonwealth Ombudsman (n 62) 56.</w:t>
      </w:r>
    </w:p>
  </w:footnote>
  <w:footnote w:id="143">
    <w:p w14:paraId="7865CA2B" w14:textId="5099FA91" w:rsidR="0073764F" w:rsidRDefault="0073764F">
      <w:pPr>
        <w:pStyle w:val="FootnoteText"/>
      </w:pPr>
      <w:r>
        <w:rPr>
          <w:rStyle w:val="FootnoteReference"/>
        </w:rPr>
        <w:footnoteRef/>
      </w:r>
      <w:r>
        <w:t xml:space="preserve"> Ibid.</w:t>
      </w:r>
    </w:p>
  </w:footnote>
  <w:footnote w:id="144">
    <w:p w14:paraId="0D7C0AC9" w14:textId="534CAF42" w:rsidR="0073764F" w:rsidRPr="00B369C1" w:rsidRDefault="0073764F">
      <w:pPr>
        <w:pStyle w:val="FootnoteText"/>
      </w:pPr>
      <w:r>
        <w:rPr>
          <w:rStyle w:val="FootnoteReference"/>
        </w:rPr>
        <w:footnoteRef/>
      </w:r>
      <w:r>
        <w:t xml:space="preserve"> </w:t>
      </w:r>
      <w:r>
        <w:rPr>
          <w:i/>
          <w:iCs/>
        </w:rPr>
        <w:t>PID Act</w:t>
      </w:r>
      <w:r>
        <w:t xml:space="preserve"> (n 2) s 37(2).</w:t>
      </w:r>
    </w:p>
  </w:footnote>
  <w:footnote w:id="145">
    <w:p w14:paraId="491CEC23" w14:textId="425BD54F" w:rsidR="0073764F" w:rsidRDefault="0073764F" w:rsidP="005A3A58">
      <w:pPr>
        <w:pStyle w:val="FootnoteText"/>
      </w:pPr>
      <w:r>
        <w:rPr>
          <w:rStyle w:val="FootnoteReference"/>
        </w:rPr>
        <w:footnoteRef/>
      </w:r>
      <w:r>
        <w:t xml:space="preserve"> Ibid s 58.</w:t>
      </w:r>
    </w:p>
  </w:footnote>
  <w:footnote w:id="146">
    <w:p w14:paraId="25FF5059" w14:textId="7643AD07" w:rsidR="0073764F" w:rsidRPr="005A3A58" w:rsidRDefault="0073764F">
      <w:pPr>
        <w:pStyle w:val="FootnoteText"/>
      </w:pPr>
      <w:r>
        <w:rPr>
          <w:rStyle w:val="FootnoteReference"/>
        </w:rPr>
        <w:footnoteRef/>
      </w:r>
      <w:r>
        <w:t xml:space="preserve"> </w:t>
      </w:r>
      <w:r>
        <w:rPr>
          <w:i/>
          <w:iCs/>
        </w:rPr>
        <w:t>Freedom of Information Act 2016</w:t>
      </w:r>
      <w:r>
        <w:t xml:space="preserve"> (ACT), sch 1, s 1.9(a).</w:t>
      </w:r>
    </w:p>
  </w:footnote>
  <w:footnote w:id="147">
    <w:p w14:paraId="487F5C89" w14:textId="6AA1C903" w:rsidR="0073764F" w:rsidRPr="00AB3776" w:rsidRDefault="0073764F">
      <w:pPr>
        <w:pStyle w:val="FootnoteText"/>
      </w:pPr>
      <w:r>
        <w:rPr>
          <w:rStyle w:val="FootnoteReference"/>
        </w:rPr>
        <w:footnoteRef/>
      </w:r>
      <w:r>
        <w:t xml:space="preserve"> </w:t>
      </w:r>
      <w:r>
        <w:rPr>
          <w:i/>
          <w:iCs/>
        </w:rPr>
        <w:t xml:space="preserve">PID Act </w:t>
      </w:r>
      <w:r>
        <w:t>(n 2) s 44.</w:t>
      </w:r>
    </w:p>
  </w:footnote>
  <w:footnote w:id="148">
    <w:p w14:paraId="066A32F0" w14:textId="1092D9D4" w:rsidR="0073764F" w:rsidRDefault="0073764F">
      <w:pPr>
        <w:pStyle w:val="FootnoteText"/>
      </w:pPr>
      <w:r>
        <w:rPr>
          <w:rStyle w:val="FootnoteReference"/>
        </w:rPr>
        <w:footnoteRef/>
      </w:r>
      <w:r>
        <w:t xml:space="preserve"> Ibid s 44(3)(a).</w:t>
      </w:r>
    </w:p>
  </w:footnote>
  <w:footnote w:id="149">
    <w:p w14:paraId="464EE51A" w14:textId="1D37105B" w:rsidR="0073764F" w:rsidRDefault="0073764F">
      <w:pPr>
        <w:pStyle w:val="FootnoteText"/>
      </w:pPr>
      <w:r>
        <w:rPr>
          <w:rStyle w:val="FootnoteReference"/>
        </w:rPr>
        <w:footnoteRef/>
      </w:r>
      <w:r>
        <w:t xml:space="preserve"> </w:t>
      </w:r>
      <w:r>
        <w:rPr>
          <w:i/>
          <w:iCs/>
        </w:rPr>
        <w:t xml:space="preserve">IC </w:t>
      </w:r>
      <w:r w:rsidRPr="00FE44F6">
        <w:rPr>
          <w:i/>
          <w:iCs/>
        </w:rPr>
        <w:t>Act</w:t>
      </w:r>
      <w:r>
        <w:rPr>
          <w:i/>
          <w:iCs/>
        </w:rPr>
        <w:t xml:space="preserve"> </w:t>
      </w:r>
      <w:r>
        <w:t xml:space="preserve">(n 79) </w:t>
      </w:r>
      <w:r w:rsidRPr="00FE44F6">
        <w:rPr>
          <w:i/>
          <w:iCs/>
        </w:rPr>
        <w:t>Div</w:t>
      </w:r>
      <w:r>
        <w:t xml:space="preserve"> 3.1.2.</w:t>
      </w:r>
    </w:p>
  </w:footnote>
  <w:footnote w:id="150">
    <w:p w14:paraId="0E5C48F7" w14:textId="6FAE2F61" w:rsidR="0073764F" w:rsidRDefault="0073764F" w:rsidP="00D935B4">
      <w:pPr>
        <w:pStyle w:val="FootnoteText"/>
      </w:pPr>
      <w:r>
        <w:rPr>
          <w:rStyle w:val="FootnoteReference"/>
        </w:rPr>
        <w:footnoteRef/>
      </w:r>
      <w:r>
        <w:t xml:space="preserve"> Commonwealth Ombudsman (n 62) 59.</w:t>
      </w:r>
    </w:p>
  </w:footnote>
  <w:footnote w:id="151">
    <w:p w14:paraId="06F5079B" w14:textId="77777777" w:rsidR="0073764F" w:rsidRDefault="0073764F" w:rsidP="00B47522">
      <w:pPr>
        <w:pStyle w:val="FootnoteText"/>
      </w:pPr>
      <w:r>
        <w:rPr>
          <w:rStyle w:val="FootnoteReference"/>
        </w:rPr>
        <w:footnoteRef/>
      </w:r>
      <w:r>
        <w:t xml:space="preserve"> Ibid.</w:t>
      </w:r>
    </w:p>
  </w:footnote>
  <w:footnote w:id="152">
    <w:p w14:paraId="0B70F2C4" w14:textId="05D53DA9" w:rsidR="0073764F" w:rsidRDefault="0073764F" w:rsidP="008A0586">
      <w:pPr>
        <w:pStyle w:val="FootnoteText"/>
      </w:pPr>
      <w:r>
        <w:rPr>
          <w:rStyle w:val="FootnoteReference"/>
        </w:rPr>
        <w:footnoteRef/>
      </w:r>
      <w:r>
        <w:t xml:space="preserve"> </w:t>
      </w:r>
      <w:r>
        <w:rPr>
          <w:i/>
          <w:iCs/>
        </w:rPr>
        <w:t xml:space="preserve">PID Act </w:t>
      </w:r>
      <w:r>
        <w:t>(n 2) s 40.</w:t>
      </w:r>
    </w:p>
  </w:footnote>
  <w:footnote w:id="153">
    <w:p w14:paraId="200A8686" w14:textId="77777777" w:rsidR="0073764F" w:rsidRDefault="0073764F" w:rsidP="00E70B4E">
      <w:pPr>
        <w:pStyle w:val="FootnoteText"/>
      </w:pPr>
      <w:r>
        <w:rPr>
          <w:rStyle w:val="FootnoteReference"/>
        </w:rPr>
        <w:footnoteRef/>
      </w:r>
      <w:r>
        <w:t xml:space="preserve"> Commonwealth Ombudsman (n 62) 68.</w:t>
      </w:r>
    </w:p>
  </w:footnote>
  <w:footnote w:id="154">
    <w:p w14:paraId="17724786" w14:textId="77777777" w:rsidR="0073764F" w:rsidRDefault="0073764F" w:rsidP="00AB6139">
      <w:pPr>
        <w:pStyle w:val="FootnoteText"/>
      </w:pPr>
      <w:r>
        <w:rPr>
          <w:rStyle w:val="FootnoteReference"/>
        </w:rPr>
        <w:footnoteRef/>
      </w:r>
      <w:r>
        <w:t xml:space="preserve"> Ibid.</w:t>
      </w:r>
    </w:p>
  </w:footnote>
  <w:footnote w:id="155">
    <w:p w14:paraId="77D13D56" w14:textId="77777777" w:rsidR="0073764F" w:rsidRDefault="0073764F" w:rsidP="00B97CBB">
      <w:pPr>
        <w:pStyle w:val="FootnoteText"/>
      </w:pPr>
      <w:r>
        <w:rPr>
          <w:rStyle w:val="FootnoteReference"/>
        </w:rPr>
        <w:footnoteRef/>
      </w:r>
      <w:r>
        <w:t xml:space="preserve"> Ibid.</w:t>
      </w:r>
    </w:p>
  </w:footnote>
  <w:footnote w:id="156">
    <w:p w14:paraId="4C1DAD54" w14:textId="77777777" w:rsidR="0073764F" w:rsidRDefault="0073764F" w:rsidP="00AB6139">
      <w:pPr>
        <w:pStyle w:val="FootnoteText"/>
      </w:pPr>
      <w:r>
        <w:rPr>
          <w:rStyle w:val="FootnoteReference"/>
        </w:rPr>
        <w:footnoteRef/>
      </w:r>
      <w:r>
        <w:t xml:space="preserve"> Ibid 68.</w:t>
      </w:r>
    </w:p>
  </w:footnote>
  <w:footnote w:id="157">
    <w:p w14:paraId="737B319E" w14:textId="0F46193A" w:rsidR="0073764F" w:rsidRDefault="0073764F" w:rsidP="00AB6139">
      <w:pPr>
        <w:pStyle w:val="FootnoteText"/>
      </w:pPr>
      <w:r>
        <w:rPr>
          <w:rStyle w:val="FootnoteReference"/>
        </w:rPr>
        <w:footnoteRef/>
      </w:r>
      <w:r>
        <w:t xml:space="preserve"> Ibid 67.</w:t>
      </w:r>
    </w:p>
  </w:footnote>
  <w:footnote w:id="158">
    <w:p w14:paraId="286CD71F" w14:textId="6279A209" w:rsidR="0073764F" w:rsidRDefault="0073764F">
      <w:pPr>
        <w:pStyle w:val="FootnoteText"/>
      </w:pPr>
      <w:r>
        <w:rPr>
          <w:rStyle w:val="FootnoteReference"/>
        </w:rPr>
        <w:footnoteRef/>
      </w:r>
      <w:r>
        <w:t xml:space="preserve"> Ibid.</w:t>
      </w:r>
    </w:p>
  </w:footnote>
  <w:footnote w:id="159">
    <w:p w14:paraId="09CF3034" w14:textId="29700846" w:rsidR="0073764F" w:rsidRDefault="0073764F">
      <w:pPr>
        <w:pStyle w:val="FootnoteText"/>
      </w:pPr>
      <w:r>
        <w:rPr>
          <w:rStyle w:val="FootnoteReference"/>
        </w:rPr>
        <w:footnoteRef/>
      </w:r>
      <w:r>
        <w:t xml:space="preserve"> </w:t>
      </w:r>
      <w:r>
        <w:rPr>
          <w:i/>
          <w:iCs/>
        </w:rPr>
        <w:t xml:space="preserve">PID Act </w:t>
      </w:r>
      <w:r>
        <w:t>(n 2) s 40.</w:t>
      </w:r>
    </w:p>
  </w:footnote>
  <w:footnote w:id="160">
    <w:p w14:paraId="4648C8C4" w14:textId="77777777" w:rsidR="0073764F" w:rsidRDefault="0073764F" w:rsidP="00AB6139">
      <w:pPr>
        <w:pStyle w:val="FootnoteText"/>
      </w:pPr>
      <w:r>
        <w:rPr>
          <w:rStyle w:val="FootnoteReference"/>
        </w:rPr>
        <w:footnoteRef/>
      </w:r>
      <w:r>
        <w:t xml:space="preserve"> Ibid s 14.</w:t>
      </w:r>
    </w:p>
  </w:footnote>
  <w:footnote w:id="161">
    <w:p w14:paraId="6DBDED41" w14:textId="491E435D" w:rsidR="0073764F" w:rsidRDefault="0073764F">
      <w:pPr>
        <w:pStyle w:val="FootnoteText"/>
      </w:pPr>
      <w:r>
        <w:rPr>
          <w:rStyle w:val="FootnoteReference"/>
        </w:rPr>
        <w:footnoteRef/>
      </w:r>
      <w:r>
        <w:t xml:space="preserve"> Ibid s 33(b)(2)(b)(ii).</w:t>
      </w:r>
    </w:p>
  </w:footnote>
  <w:footnote w:id="162">
    <w:p w14:paraId="73D06393" w14:textId="77777777" w:rsidR="0073764F" w:rsidRDefault="0073764F" w:rsidP="006124CD">
      <w:pPr>
        <w:pStyle w:val="FootnoteText"/>
      </w:pPr>
      <w:r>
        <w:rPr>
          <w:rStyle w:val="FootnoteReference"/>
        </w:rPr>
        <w:footnoteRef/>
      </w:r>
      <w:r>
        <w:t xml:space="preserve"> Commonwealth Ombudsman (n 62) 50.</w:t>
      </w:r>
    </w:p>
  </w:footnote>
  <w:footnote w:id="163">
    <w:p w14:paraId="38CF2449" w14:textId="0E2C50C1" w:rsidR="0073764F" w:rsidRDefault="0073764F">
      <w:pPr>
        <w:pStyle w:val="FootnoteText"/>
      </w:pPr>
      <w:r>
        <w:rPr>
          <w:rStyle w:val="FootnoteReference"/>
        </w:rPr>
        <w:footnoteRef/>
      </w:r>
      <w:r>
        <w:t xml:space="preserve"> Ibid 72.</w:t>
      </w:r>
    </w:p>
  </w:footnote>
  <w:footnote w:id="164">
    <w:p w14:paraId="1D3F7BCF" w14:textId="0C770A9D" w:rsidR="0073764F" w:rsidRDefault="0073764F">
      <w:pPr>
        <w:pStyle w:val="FootnoteText"/>
      </w:pPr>
      <w:r>
        <w:rPr>
          <w:rStyle w:val="FootnoteReference"/>
        </w:rPr>
        <w:footnoteRef/>
      </w:r>
      <w:r>
        <w:t xml:space="preserve"> Ibid.</w:t>
      </w:r>
    </w:p>
  </w:footnote>
  <w:footnote w:id="165">
    <w:p w14:paraId="74E2D95E" w14:textId="2150971B" w:rsidR="0073764F" w:rsidRDefault="0073764F">
      <w:pPr>
        <w:pStyle w:val="FootnoteText"/>
      </w:pPr>
      <w:r>
        <w:rPr>
          <w:rStyle w:val="FootnoteReference"/>
        </w:rPr>
        <w:footnoteRef/>
      </w:r>
      <w:r>
        <w:t xml:space="preserve"> </w:t>
      </w:r>
      <w:r w:rsidRPr="00612AB9">
        <w:rPr>
          <w:i/>
          <w:iCs/>
        </w:rPr>
        <w:t>Victorian Association for the Teaching of English Inc v de Laps</w:t>
      </w:r>
      <w:r w:rsidRPr="00612AB9">
        <w:t xml:space="preserve"> (2014) 241 IR 1 [52].</w:t>
      </w:r>
    </w:p>
  </w:footnote>
  <w:footnote w:id="166">
    <w:p w14:paraId="4F28B3BE" w14:textId="2F22589E" w:rsidR="0073764F" w:rsidRPr="00612AB9" w:rsidRDefault="0073764F">
      <w:pPr>
        <w:pStyle w:val="FootnoteText"/>
      </w:pPr>
      <w:r>
        <w:rPr>
          <w:rStyle w:val="FootnoteReference"/>
        </w:rPr>
        <w:footnoteRef/>
      </w:r>
      <w:r>
        <w:t xml:space="preserve"> See </w:t>
      </w:r>
      <w:r>
        <w:rPr>
          <w:i/>
          <w:iCs/>
        </w:rPr>
        <w:t>Fair Work Act 2009</w:t>
      </w:r>
      <w:r>
        <w:t>, s 387(d).</w:t>
      </w:r>
    </w:p>
  </w:footnote>
  <w:footnote w:id="167">
    <w:p w14:paraId="18B78472" w14:textId="348E6E35" w:rsidR="0073764F" w:rsidRDefault="0073764F">
      <w:pPr>
        <w:pStyle w:val="FootnoteText"/>
      </w:pPr>
      <w:r>
        <w:rPr>
          <w:rStyle w:val="FootnoteReference"/>
        </w:rPr>
        <w:footnoteRef/>
      </w:r>
      <w:r>
        <w:t xml:space="preserve"> </w:t>
      </w:r>
      <w:r>
        <w:rPr>
          <w:i/>
          <w:iCs/>
        </w:rPr>
        <w:t>PID Act</w:t>
      </w:r>
      <w:r>
        <w:t xml:space="preserve"> (n 2) s 34(1)(a).</w:t>
      </w:r>
    </w:p>
  </w:footnote>
  <w:footnote w:id="168">
    <w:p w14:paraId="03275DC1" w14:textId="5ADF2349" w:rsidR="0073764F" w:rsidRDefault="0073764F">
      <w:pPr>
        <w:pStyle w:val="FootnoteText"/>
      </w:pPr>
      <w:r>
        <w:rPr>
          <w:rStyle w:val="FootnoteReference"/>
        </w:rPr>
        <w:footnoteRef/>
      </w:r>
      <w:r>
        <w:t xml:space="preserve"> Ibid s 34(1)(b).</w:t>
      </w:r>
    </w:p>
  </w:footnote>
  <w:footnote w:id="169">
    <w:p w14:paraId="6A20398C" w14:textId="2DC47818" w:rsidR="0073764F" w:rsidRDefault="0073764F">
      <w:pPr>
        <w:pStyle w:val="FootnoteText"/>
      </w:pPr>
      <w:r>
        <w:rPr>
          <w:rStyle w:val="FootnoteReference"/>
        </w:rPr>
        <w:footnoteRef/>
      </w:r>
      <w:r>
        <w:t xml:space="preserve"> Ibid s 34(1)(c).</w:t>
      </w:r>
    </w:p>
  </w:footnote>
  <w:footnote w:id="170">
    <w:p w14:paraId="485D3EF9" w14:textId="64D0A265" w:rsidR="0073764F" w:rsidRDefault="0073764F">
      <w:pPr>
        <w:pStyle w:val="FootnoteText"/>
      </w:pPr>
      <w:r>
        <w:rPr>
          <w:rStyle w:val="FootnoteReference"/>
        </w:rPr>
        <w:footnoteRef/>
      </w:r>
      <w:r>
        <w:t xml:space="preserve"> Ibid s 34(4)(a).</w:t>
      </w:r>
    </w:p>
  </w:footnote>
  <w:footnote w:id="171">
    <w:p w14:paraId="0B2B31F5" w14:textId="2CC0472E" w:rsidR="0073764F" w:rsidRDefault="0073764F">
      <w:pPr>
        <w:pStyle w:val="FootnoteText"/>
      </w:pPr>
      <w:r>
        <w:rPr>
          <w:rStyle w:val="FootnoteReference"/>
        </w:rPr>
        <w:footnoteRef/>
      </w:r>
      <w:r>
        <w:t xml:space="preserve"> Ibid s 34(4)(b).</w:t>
      </w:r>
    </w:p>
  </w:footnote>
  <w:footnote w:id="172">
    <w:p w14:paraId="091E7062" w14:textId="6B332DF3" w:rsidR="0073764F" w:rsidRDefault="0073764F">
      <w:pPr>
        <w:pStyle w:val="FootnoteText"/>
      </w:pPr>
      <w:r>
        <w:rPr>
          <w:rStyle w:val="FootnoteReference"/>
        </w:rPr>
        <w:footnoteRef/>
      </w:r>
      <w:r>
        <w:t xml:space="preserve"> Ibid s 34(4)(c).</w:t>
      </w:r>
    </w:p>
  </w:footnote>
  <w:footnote w:id="173">
    <w:p w14:paraId="421AE7F6" w14:textId="57951EAC" w:rsidR="0073764F" w:rsidRDefault="0073764F">
      <w:pPr>
        <w:pStyle w:val="FootnoteText"/>
      </w:pPr>
      <w:r>
        <w:rPr>
          <w:rStyle w:val="FootnoteReference"/>
        </w:rPr>
        <w:footnoteRef/>
      </w:r>
      <w:r>
        <w:t xml:space="preserve"> Ibid s 34(4)(d).</w:t>
      </w:r>
    </w:p>
  </w:footnote>
  <w:footnote w:id="174">
    <w:p w14:paraId="5384A7BD" w14:textId="209E4A9E" w:rsidR="0073764F" w:rsidRPr="002C6668" w:rsidRDefault="0073764F">
      <w:pPr>
        <w:pStyle w:val="FootnoteText"/>
      </w:pPr>
      <w:r>
        <w:rPr>
          <w:rStyle w:val="FootnoteReference"/>
        </w:rPr>
        <w:footnoteRef/>
      </w:r>
      <w:r>
        <w:t xml:space="preserve"> </w:t>
      </w:r>
      <w:r>
        <w:rPr>
          <w:i/>
          <w:iCs/>
        </w:rPr>
        <w:t xml:space="preserve">IC </w:t>
      </w:r>
      <w:r w:rsidRPr="009B431B">
        <w:rPr>
          <w:i/>
          <w:iCs/>
        </w:rPr>
        <w:t>Act</w:t>
      </w:r>
      <w:r>
        <w:rPr>
          <w:i/>
          <w:iCs/>
        </w:rPr>
        <w:t xml:space="preserve"> </w:t>
      </w:r>
      <w:r>
        <w:t xml:space="preserve">(n 79) </w:t>
      </w:r>
      <w:r w:rsidRPr="009B431B">
        <w:t>s</w:t>
      </w:r>
      <w:r>
        <w:t xml:space="preserve"> 257.</w:t>
      </w:r>
    </w:p>
  </w:footnote>
  <w:footnote w:id="175">
    <w:p w14:paraId="6FD22E56" w14:textId="3F7D4AAE" w:rsidR="0073764F" w:rsidRDefault="0073764F" w:rsidP="002C6668">
      <w:pPr>
        <w:pStyle w:val="FootnoteText"/>
      </w:pPr>
      <w:r>
        <w:rPr>
          <w:rStyle w:val="FootnoteReference"/>
        </w:rPr>
        <w:footnoteRef/>
      </w:r>
      <w:r>
        <w:t xml:space="preserve"> </w:t>
      </w:r>
      <w:r>
        <w:rPr>
          <w:i/>
          <w:iCs/>
        </w:rPr>
        <w:t xml:space="preserve">PID Act </w:t>
      </w:r>
      <w:r>
        <w:t>(n 2) s 42.</w:t>
      </w:r>
    </w:p>
  </w:footnote>
  <w:footnote w:id="176">
    <w:p w14:paraId="151A4271" w14:textId="0CB9767D" w:rsidR="0073764F" w:rsidRDefault="0073764F">
      <w:pPr>
        <w:pStyle w:val="FootnoteText"/>
      </w:pPr>
      <w:r>
        <w:rPr>
          <w:rStyle w:val="FootnoteReference"/>
        </w:rPr>
        <w:footnoteRef/>
      </w:r>
      <w:r>
        <w:t xml:space="preserve"> Ibid s 41.</w:t>
      </w:r>
    </w:p>
  </w:footnote>
  <w:footnote w:id="177">
    <w:p w14:paraId="0C25A9CF" w14:textId="77777777" w:rsidR="0073764F" w:rsidRDefault="0073764F" w:rsidP="009542CB">
      <w:pPr>
        <w:pStyle w:val="FootnoteText"/>
      </w:pPr>
      <w:r>
        <w:rPr>
          <w:rStyle w:val="FootnoteReference"/>
        </w:rPr>
        <w:footnoteRef/>
      </w:r>
      <w:r>
        <w:t xml:space="preserve"> Commonwealth Ombudsman, </w:t>
      </w:r>
      <w:r>
        <w:rPr>
          <w:i/>
          <w:iCs/>
        </w:rPr>
        <w:t xml:space="preserve">Agency guide to the Public Interest Disclosure Act 2013 </w:t>
      </w:r>
      <w:r>
        <w:t>(April 2016) 70.</w:t>
      </w:r>
    </w:p>
  </w:footnote>
  <w:footnote w:id="178">
    <w:p w14:paraId="714BF6F4" w14:textId="77777777" w:rsidR="0073764F" w:rsidRDefault="0073764F" w:rsidP="002232CA">
      <w:pPr>
        <w:pStyle w:val="FootnoteText"/>
      </w:pPr>
      <w:r>
        <w:rPr>
          <w:rStyle w:val="FootnoteReference"/>
        </w:rPr>
        <w:footnoteRef/>
      </w:r>
      <w:r>
        <w:t xml:space="preserve"> The Commission thanks Transport Canberra and City Services Directorate for providing this template.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B5FFD" w14:textId="77777777" w:rsidR="00342157" w:rsidRDefault="00342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42937" w14:textId="625A3CD0" w:rsidR="0073764F" w:rsidRDefault="0073764F">
    <w:pPr>
      <w:pStyle w:val="Header"/>
    </w:pPr>
    <w:r>
      <w:rPr>
        <w:noProof/>
      </w:rPr>
      <w:drawing>
        <wp:anchor distT="0" distB="0" distL="114300" distR="114300" simplePos="0" relativeHeight="251659264" behindDoc="0" locked="0" layoutInCell="1" allowOverlap="1" wp14:anchorId="4F0F9FA1" wp14:editId="0FAABAD8">
          <wp:simplePos x="0" y="0"/>
          <wp:positionH relativeFrom="column">
            <wp:posOffset>4399915</wp:posOffset>
          </wp:positionH>
          <wp:positionV relativeFrom="paragraph">
            <wp:posOffset>-273050</wp:posOffset>
          </wp:positionV>
          <wp:extent cx="2649220" cy="737235"/>
          <wp:effectExtent l="0" t="0" r="0" b="5715"/>
          <wp:wrapThrough wrapText="bothSides">
            <wp:wrapPolygon edited="0">
              <wp:start x="1398" y="0"/>
              <wp:lineTo x="0" y="0"/>
              <wp:lineTo x="0" y="558"/>
              <wp:lineTo x="932" y="8930"/>
              <wp:lineTo x="2019" y="17860"/>
              <wp:lineTo x="2019" y="20093"/>
              <wp:lineTo x="2640" y="21209"/>
              <wp:lineTo x="3572" y="21209"/>
              <wp:lineTo x="16309" y="21209"/>
              <wp:lineTo x="19260" y="21209"/>
              <wp:lineTo x="20968" y="20093"/>
              <wp:lineTo x="21434" y="12837"/>
              <wp:lineTo x="21434" y="2233"/>
              <wp:lineTo x="18949" y="0"/>
              <wp:lineTo x="10872" y="0"/>
              <wp:lineTo x="139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64922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79386A2" wp14:editId="223E91DD">
          <wp:simplePos x="0" y="0"/>
          <wp:positionH relativeFrom="column">
            <wp:posOffset>-171450</wp:posOffset>
          </wp:positionH>
          <wp:positionV relativeFrom="paragraph">
            <wp:posOffset>-253279</wp:posOffset>
          </wp:positionV>
          <wp:extent cx="2649375" cy="714375"/>
          <wp:effectExtent l="0" t="0" r="0" b="0"/>
          <wp:wrapThrough wrapText="bothSides">
            <wp:wrapPolygon edited="0">
              <wp:start x="2174" y="4608"/>
              <wp:lineTo x="1087" y="14976"/>
              <wp:lineTo x="1087" y="15552"/>
              <wp:lineTo x="5126" y="16704"/>
              <wp:lineTo x="18639" y="16704"/>
              <wp:lineTo x="20502" y="15552"/>
              <wp:lineTo x="20502" y="13824"/>
              <wp:lineTo x="20036" y="10944"/>
              <wp:lineTo x="18483" y="4608"/>
              <wp:lineTo x="2174" y="4608"/>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49375" cy="714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1189" w14:textId="77777777" w:rsidR="00342157" w:rsidRDefault="003421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721D98" w14:textId="39151E81" w:rsidR="0073764F" w:rsidRDefault="0073764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DDDDB" w14:textId="16A50B78" w:rsidR="0073764F" w:rsidRPr="00E3331A" w:rsidRDefault="0073764F" w:rsidP="00E333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9A05E" w14:textId="046725E1" w:rsidR="0073764F" w:rsidRPr="005813D3" w:rsidRDefault="0073764F" w:rsidP="005813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6238D" w14:textId="021F75E2" w:rsidR="0073764F" w:rsidRPr="00D64033" w:rsidRDefault="0073764F" w:rsidP="00D6403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E3E38" w14:textId="77777777" w:rsidR="0073764F" w:rsidRDefault="00737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158B"/>
    <w:multiLevelType w:val="hybridMultilevel"/>
    <w:tmpl w:val="3B2A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5558F"/>
    <w:multiLevelType w:val="hybridMultilevel"/>
    <w:tmpl w:val="27241DDE"/>
    <w:lvl w:ilvl="0" w:tplc="1DC461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C73A5"/>
    <w:multiLevelType w:val="hybridMultilevel"/>
    <w:tmpl w:val="9AFC3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10FFF"/>
    <w:multiLevelType w:val="hybridMultilevel"/>
    <w:tmpl w:val="BAACFF20"/>
    <w:lvl w:ilvl="0" w:tplc="2A26452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D799F"/>
    <w:multiLevelType w:val="hybridMultilevel"/>
    <w:tmpl w:val="59AC8B50"/>
    <w:lvl w:ilvl="0" w:tplc="1DC4617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2A3FA6"/>
    <w:multiLevelType w:val="hybridMultilevel"/>
    <w:tmpl w:val="F780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4788E"/>
    <w:multiLevelType w:val="hybridMultilevel"/>
    <w:tmpl w:val="21CE20B8"/>
    <w:lvl w:ilvl="0" w:tplc="994ECD46">
      <w:start w:val="1"/>
      <w:numFmt w:val="lowerLetter"/>
      <w:lvlText w:val="(%1)"/>
      <w:lvlJc w:val="left"/>
      <w:pPr>
        <w:ind w:left="1004" w:hanging="360"/>
      </w:pPr>
      <w:rPr>
        <w:rFonts w:hint="default"/>
        <w:i w:val="0"/>
        <w:iCs w:val="0"/>
        <w:color w:val="auto"/>
      </w:rPr>
    </w:lvl>
    <w:lvl w:ilvl="1" w:tplc="0C09001B">
      <w:start w:val="1"/>
      <w:numFmt w:val="lowerRoman"/>
      <w:lvlText w:val="%2."/>
      <w:lvlJc w:val="righ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3170491"/>
    <w:multiLevelType w:val="hybridMultilevel"/>
    <w:tmpl w:val="B3F67F42"/>
    <w:lvl w:ilvl="0" w:tplc="1DC4617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55D5490"/>
    <w:multiLevelType w:val="hybridMultilevel"/>
    <w:tmpl w:val="84ECB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21041"/>
    <w:multiLevelType w:val="hybridMultilevel"/>
    <w:tmpl w:val="7CEE1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F107AF"/>
    <w:multiLevelType w:val="hybridMultilevel"/>
    <w:tmpl w:val="DD8A8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3717AF"/>
    <w:multiLevelType w:val="hybridMultilevel"/>
    <w:tmpl w:val="A1C82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DE5C71"/>
    <w:multiLevelType w:val="hybridMultilevel"/>
    <w:tmpl w:val="6108E5A4"/>
    <w:lvl w:ilvl="0" w:tplc="1DC4617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5A6E4B"/>
    <w:multiLevelType w:val="multilevel"/>
    <w:tmpl w:val="75AEEE86"/>
    <w:lvl w:ilvl="0">
      <w:start w:val="1"/>
      <w:numFmt w:val="decimal"/>
      <w:lvlText w:val="%1."/>
      <w:lvlJc w:val="left"/>
      <w:pPr>
        <w:ind w:left="644" w:hanging="360"/>
      </w:pPr>
      <w:rPr>
        <w:rFonts w:hint="default"/>
        <w:b w:val="0"/>
        <w:bCs w:val="0"/>
        <w:i w:val="0"/>
        <w:iCs w:val="0"/>
        <w:color w:val="auto"/>
        <w:sz w:val="24"/>
        <w:szCs w:val="24"/>
      </w:rPr>
    </w:lvl>
    <w:lvl w:ilvl="1">
      <w:start w:val="2"/>
      <w:numFmt w:val="decimal"/>
      <w:isLgl/>
      <w:lvlText w:val="%1.%2"/>
      <w:lvlJc w:val="left"/>
      <w:pPr>
        <w:ind w:left="644" w:hanging="360"/>
      </w:pPr>
      <w:rPr>
        <w:rFonts w:ascii="Calibri" w:hAnsi="Calibri" w:cs="Calibri" w:hint="default"/>
        <w:b w:val="0"/>
        <w:bCs w:val="0"/>
        <w:i w:val="0"/>
        <w:iCs w:val="0"/>
        <w:color w:val="auto"/>
        <w:sz w:val="24"/>
        <w:szCs w:val="24"/>
      </w:rPr>
    </w:lvl>
    <w:lvl w:ilvl="2">
      <w:start w:val="1"/>
      <w:numFmt w:val="decimal"/>
      <w:isLgl/>
      <w:lvlText w:val="%1.%2.%3"/>
      <w:lvlJc w:val="left"/>
      <w:pPr>
        <w:ind w:left="1004" w:hanging="720"/>
      </w:pPr>
      <w:rPr>
        <w:rFonts w:hint="default"/>
        <w:b w:val="0"/>
        <w:bCs w:val="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3221B0D"/>
    <w:multiLevelType w:val="hybridMultilevel"/>
    <w:tmpl w:val="D38AF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927894"/>
    <w:multiLevelType w:val="hybridMultilevel"/>
    <w:tmpl w:val="2A30CB54"/>
    <w:lvl w:ilvl="0" w:tplc="1DC4617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9E39AC"/>
    <w:multiLevelType w:val="hybridMultilevel"/>
    <w:tmpl w:val="78F4A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B76898"/>
    <w:multiLevelType w:val="hybridMultilevel"/>
    <w:tmpl w:val="9894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DF4A6C"/>
    <w:multiLevelType w:val="hybridMultilevel"/>
    <w:tmpl w:val="B8A2D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270E31"/>
    <w:multiLevelType w:val="hybridMultilevel"/>
    <w:tmpl w:val="4996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E830A9"/>
    <w:multiLevelType w:val="hybridMultilevel"/>
    <w:tmpl w:val="FB8824DE"/>
    <w:lvl w:ilvl="0" w:tplc="CEC8593E">
      <w:start w:val="1"/>
      <w:numFmt w:val="bullet"/>
      <w:lvlText w:val="•"/>
      <w:lvlJc w:val="left"/>
      <w:pPr>
        <w:tabs>
          <w:tab w:val="num" w:pos="720"/>
        </w:tabs>
        <w:ind w:left="720" w:hanging="360"/>
      </w:pPr>
      <w:rPr>
        <w:rFonts w:ascii="Garamond" w:hAnsi="Garamond" w:hint="default"/>
      </w:rPr>
    </w:lvl>
    <w:lvl w:ilvl="1" w:tplc="F880F2BA" w:tentative="1">
      <w:start w:val="1"/>
      <w:numFmt w:val="bullet"/>
      <w:lvlText w:val="•"/>
      <w:lvlJc w:val="left"/>
      <w:pPr>
        <w:tabs>
          <w:tab w:val="num" w:pos="1440"/>
        </w:tabs>
        <w:ind w:left="1440" w:hanging="360"/>
      </w:pPr>
      <w:rPr>
        <w:rFonts w:ascii="Garamond" w:hAnsi="Garamond" w:hint="default"/>
      </w:rPr>
    </w:lvl>
    <w:lvl w:ilvl="2" w:tplc="8E8CFE8A" w:tentative="1">
      <w:start w:val="1"/>
      <w:numFmt w:val="bullet"/>
      <w:lvlText w:val="•"/>
      <w:lvlJc w:val="left"/>
      <w:pPr>
        <w:tabs>
          <w:tab w:val="num" w:pos="2160"/>
        </w:tabs>
        <w:ind w:left="2160" w:hanging="360"/>
      </w:pPr>
      <w:rPr>
        <w:rFonts w:ascii="Garamond" w:hAnsi="Garamond" w:hint="default"/>
      </w:rPr>
    </w:lvl>
    <w:lvl w:ilvl="3" w:tplc="B8F41EFA" w:tentative="1">
      <w:start w:val="1"/>
      <w:numFmt w:val="bullet"/>
      <w:lvlText w:val="•"/>
      <w:lvlJc w:val="left"/>
      <w:pPr>
        <w:tabs>
          <w:tab w:val="num" w:pos="2880"/>
        </w:tabs>
        <w:ind w:left="2880" w:hanging="360"/>
      </w:pPr>
      <w:rPr>
        <w:rFonts w:ascii="Garamond" w:hAnsi="Garamond" w:hint="default"/>
      </w:rPr>
    </w:lvl>
    <w:lvl w:ilvl="4" w:tplc="D5C2FFA8" w:tentative="1">
      <w:start w:val="1"/>
      <w:numFmt w:val="bullet"/>
      <w:lvlText w:val="•"/>
      <w:lvlJc w:val="left"/>
      <w:pPr>
        <w:tabs>
          <w:tab w:val="num" w:pos="3600"/>
        </w:tabs>
        <w:ind w:left="3600" w:hanging="360"/>
      </w:pPr>
      <w:rPr>
        <w:rFonts w:ascii="Garamond" w:hAnsi="Garamond" w:hint="default"/>
      </w:rPr>
    </w:lvl>
    <w:lvl w:ilvl="5" w:tplc="98C44412" w:tentative="1">
      <w:start w:val="1"/>
      <w:numFmt w:val="bullet"/>
      <w:lvlText w:val="•"/>
      <w:lvlJc w:val="left"/>
      <w:pPr>
        <w:tabs>
          <w:tab w:val="num" w:pos="4320"/>
        </w:tabs>
        <w:ind w:left="4320" w:hanging="360"/>
      </w:pPr>
      <w:rPr>
        <w:rFonts w:ascii="Garamond" w:hAnsi="Garamond" w:hint="default"/>
      </w:rPr>
    </w:lvl>
    <w:lvl w:ilvl="6" w:tplc="C1DE0692" w:tentative="1">
      <w:start w:val="1"/>
      <w:numFmt w:val="bullet"/>
      <w:lvlText w:val="•"/>
      <w:lvlJc w:val="left"/>
      <w:pPr>
        <w:tabs>
          <w:tab w:val="num" w:pos="5040"/>
        </w:tabs>
        <w:ind w:left="5040" w:hanging="360"/>
      </w:pPr>
      <w:rPr>
        <w:rFonts w:ascii="Garamond" w:hAnsi="Garamond" w:hint="default"/>
      </w:rPr>
    </w:lvl>
    <w:lvl w:ilvl="7" w:tplc="7540B114" w:tentative="1">
      <w:start w:val="1"/>
      <w:numFmt w:val="bullet"/>
      <w:lvlText w:val="•"/>
      <w:lvlJc w:val="left"/>
      <w:pPr>
        <w:tabs>
          <w:tab w:val="num" w:pos="5760"/>
        </w:tabs>
        <w:ind w:left="5760" w:hanging="360"/>
      </w:pPr>
      <w:rPr>
        <w:rFonts w:ascii="Garamond" w:hAnsi="Garamond" w:hint="default"/>
      </w:rPr>
    </w:lvl>
    <w:lvl w:ilvl="8" w:tplc="E8FCC73C" w:tentative="1">
      <w:start w:val="1"/>
      <w:numFmt w:val="bullet"/>
      <w:lvlText w:val="•"/>
      <w:lvlJc w:val="left"/>
      <w:pPr>
        <w:tabs>
          <w:tab w:val="num" w:pos="6480"/>
        </w:tabs>
        <w:ind w:left="6480" w:hanging="360"/>
      </w:pPr>
      <w:rPr>
        <w:rFonts w:ascii="Garamond" w:hAnsi="Garamond" w:hint="default"/>
      </w:rPr>
    </w:lvl>
  </w:abstractNum>
  <w:abstractNum w:abstractNumId="21" w15:restartNumberingAfterBreak="0">
    <w:nsid w:val="2C656A31"/>
    <w:multiLevelType w:val="hybridMultilevel"/>
    <w:tmpl w:val="3EC2E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38D5CA9"/>
    <w:multiLevelType w:val="hybridMultilevel"/>
    <w:tmpl w:val="2DA22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F67BB1"/>
    <w:multiLevelType w:val="hybridMultilevel"/>
    <w:tmpl w:val="F7D44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72563A"/>
    <w:multiLevelType w:val="hybridMultilevel"/>
    <w:tmpl w:val="6232AF30"/>
    <w:lvl w:ilvl="0" w:tplc="1DC4617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78B0C89"/>
    <w:multiLevelType w:val="hybridMultilevel"/>
    <w:tmpl w:val="797C2810"/>
    <w:lvl w:ilvl="0" w:tplc="1DC4617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A30A6A"/>
    <w:multiLevelType w:val="hybridMultilevel"/>
    <w:tmpl w:val="78642062"/>
    <w:lvl w:ilvl="0" w:tplc="1DC4617E">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BBC5F29"/>
    <w:multiLevelType w:val="hybridMultilevel"/>
    <w:tmpl w:val="C0529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F6578F"/>
    <w:multiLevelType w:val="hybridMultilevel"/>
    <w:tmpl w:val="A6DE43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B5A014B"/>
    <w:multiLevelType w:val="hybridMultilevel"/>
    <w:tmpl w:val="323A5E2A"/>
    <w:lvl w:ilvl="0" w:tplc="C56C7D3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9F241C"/>
    <w:multiLevelType w:val="hybridMultilevel"/>
    <w:tmpl w:val="FDFC47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140B60"/>
    <w:multiLevelType w:val="hybridMultilevel"/>
    <w:tmpl w:val="13060F7A"/>
    <w:lvl w:ilvl="0" w:tplc="1DC4617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640AB2"/>
    <w:multiLevelType w:val="hybridMultilevel"/>
    <w:tmpl w:val="158E59FA"/>
    <w:lvl w:ilvl="0" w:tplc="1DC4617E">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5078A1"/>
    <w:multiLevelType w:val="hybridMultilevel"/>
    <w:tmpl w:val="178A8480"/>
    <w:lvl w:ilvl="0" w:tplc="1DC4617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9E2DFA"/>
    <w:multiLevelType w:val="hybridMultilevel"/>
    <w:tmpl w:val="F69664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DA5852"/>
    <w:multiLevelType w:val="hybridMultilevel"/>
    <w:tmpl w:val="EEB4F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C70BDB"/>
    <w:multiLevelType w:val="multilevel"/>
    <w:tmpl w:val="2982D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D35ABD"/>
    <w:multiLevelType w:val="hybridMultilevel"/>
    <w:tmpl w:val="48E62AAE"/>
    <w:lvl w:ilvl="0" w:tplc="69045780">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8" w15:restartNumberingAfterBreak="0">
    <w:nsid w:val="63B55EE9"/>
    <w:multiLevelType w:val="hybridMultilevel"/>
    <w:tmpl w:val="A4DE7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C005CE"/>
    <w:multiLevelType w:val="hybridMultilevel"/>
    <w:tmpl w:val="72B64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9B142E"/>
    <w:multiLevelType w:val="hybridMultilevel"/>
    <w:tmpl w:val="958E026C"/>
    <w:lvl w:ilvl="0" w:tplc="1DC461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C95357"/>
    <w:multiLevelType w:val="hybridMultilevel"/>
    <w:tmpl w:val="E1D09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D63382"/>
    <w:multiLevelType w:val="hybridMultilevel"/>
    <w:tmpl w:val="6136D1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16480B"/>
    <w:multiLevelType w:val="hybridMultilevel"/>
    <w:tmpl w:val="32E60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2C1228"/>
    <w:multiLevelType w:val="hybridMultilevel"/>
    <w:tmpl w:val="F6CA4980"/>
    <w:lvl w:ilvl="0" w:tplc="1DC4617E">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3E039DB"/>
    <w:multiLevelType w:val="hybridMultilevel"/>
    <w:tmpl w:val="A920E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956328"/>
    <w:multiLevelType w:val="hybridMultilevel"/>
    <w:tmpl w:val="80D63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1C7F67"/>
    <w:multiLevelType w:val="hybridMultilevel"/>
    <w:tmpl w:val="B7107FFE"/>
    <w:lvl w:ilvl="0" w:tplc="1DC461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9C4F3E"/>
    <w:multiLevelType w:val="hybridMultilevel"/>
    <w:tmpl w:val="D046AAEA"/>
    <w:lvl w:ilvl="0" w:tplc="2A2893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3"/>
  </w:num>
  <w:num w:numId="4">
    <w:abstractNumId w:val="25"/>
  </w:num>
  <w:num w:numId="5">
    <w:abstractNumId w:val="4"/>
  </w:num>
  <w:num w:numId="6">
    <w:abstractNumId w:val="36"/>
  </w:num>
  <w:num w:numId="7">
    <w:abstractNumId w:val="44"/>
  </w:num>
  <w:num w:numId="8">
    <w:abstractNumId w:val="1"/>
  </w:num>
  <w:num w:numId="9">
    <w:abstractNumId w:val="11"/>
  </w:num>
  <w:num w:numId="10">
    <w:abstractNumId w:val="12"/>
  </w:num>
  <w:num w:numId="11">
    <w:abstractNumId w:val="24"/>
  </w:num>
  <w:num w:numId="12">
    <w:abstractNumId w:val="31"/>
  </w:num>
  <w:num w:numId="13">
    <w:abstractNumId w:val="32"/>
  </w:num>
  <w:num w:numId="14">
    <w:abstractNumId w:val="47"/>
  </w:num>
  <w:num w:numId="15">
    <w:abstractNumId w:val="48"/>
  </w:num>
  <w:num w:numId="16">
    <w:abstractNumId w:val="42"/>
  </w:num>
  <w:num w:numId="17">
    <w:abstractNumId w:val="40"/>
  </w:num>
  <w:num w:numId="18">
    <w:abstractNumId w:val="18"/>
  </w:num>
  <w:num w:numId="19">
    <w:abstractNumId w:val="19"/>
  </w:num>
  <w:num w:numId="20">
    <w:abstractNumId w:val="9"/>
  </w:num>
  <w:num w:numId="21">
    <w:abstractNumId w:val="43"/>
  </w:num>
  <w:num w:numId="22">
    <w:abstractNumId w:val="39"/>
  </w:num>
  <w:num w:numId="23">
    <w:abstractNumId w:val="38"/>
  </w:num>
  <w:num w:numId="24">
    <w:abstractNumId w:val="35"/>
  </w:num>
  <w:num w:numId="25">
    <w:abstractNumId w:val="29"/>
  </w:num>
  <w:num w:numId="26">
    <w:abstractNumId w:val="14"/>
  </w:num>
  <w:num w:numId="27">
    <w:abstractNumId w:val="10"/>
  </w:num>
  <w:num w:numId="28">
    <w:abstractNumId w:val="2"/>
  </w:num>
  <w:num w:numId="29">
    <w:abstractNumId w:val="41"/>
  </w:num>
  <w:num w:numId="30">
    <w:abstractNumId w:val="46"/>
  </w:num>
  <w:num w:numId="31">
    <w:abstractNumId w:val="13"/>
  </w:num>
  <w:num w:numId="32">
    <w:abstractNumId w:val="37"/>
  </w:num>
  <w:num w:numId="33">
    <w:abstractNumId w:val="6"/>
  </w:num>
  <w:num w:numId="34">
    <w:abstractNumId w:val="16"/>
  </w:num>
  <w:num w:numId="35">
    <w:abstractNumId w:val="34"/>
  </w:num>
  <w:num w:numId="36">
    <w:abstractNumId w:val="45"/>
  </w:num>
  <w:num w:numId="37">
    <w:abstractNumId w:val="23"/>
  </w:num>
  <w:num w:numId="38">
    <w:abstractNumId w:val="22"/>
  </w:num>
  <w:num w:numId="39">
    <w:abstractNumId w:val="5"/>
  </w:num>
  <w:num w:numId="40">
    <w:abstractNumId w:val="17"/>
  </w:num>
  <w:num w:numId="41">
    <w:abstractNumId w:val="21"/>
  </w:num>
  <w:num w:numId="42">
    <w:abstractNumId w:val="28"/>
  </w:num>
  <w:num w:numId="43">
    <w:abstractNumId w:val="30"/>
  </w:num>
  <w:num w:numId="44">
    <w:abstractNumId w:val="0"/>
  </w:num>
  <w:num w:numId="45">
    <w:abstractNumId w:val="20"/>
  </w:num>
  <w:num w:numId="46">
    <w:abstractNumId w:val="15"/>
  </w:num>
  <w:num w:numId="47">
    <w:abstractNumId w:val="26"/>
  </w:num>
  <w:num w:numId="48">
    <w:abstractNumId w:val="33"/>
  </w:num>
  <w:num w:numId="49">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ctiveWritingStyle w:appName="MSWord" w:lang="en-AU" w:vendorID="64" w:dllVersion="0" w:nlCheck="1" w:checkStyle="0"/>
  <w:activeWritingStyle w:appName="MSWord" w:lang="en-US" w:vendorID="64" w:dllVersion="0" w:nlCheck="1" w:checkStyle="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9D"/>
    <w:rsid w:val="00000570"/>
    <w:rsid w:val="00001ACC"/>
    <w:rsid w:val="0000216A"/>
    <w:rsid w:val="000026E0"/>
    <w:rsid w:val="00003037"/>
    <w:rsid w:val="00007B3F"/>
    <w:rsid w:val="00007B57"/>
    <w:rsid w:val="00010A73"/>
    <w:rsid w:val="000110E7"/>
    <w:rsid w:val="00014287"/>
    <w:rsid w:val="0001491C"/>
    <w:rsid w:val="000208BF"/>
    <w:rsid w:val="000239E4"/>
    <w:rsid w:val="000246B8"/>
    <w:rsid w:val="00024A85"/>
    <w:rsid w:val="00024DA8"/>
    <w:rsid w:val="000258BF"/>
    <w:rsid w:val="00025A26"/>
    <w:rsid w:val="00027B98"/>
    <w:rsid w:val="00030891"/>
    <w:rsid w:val="00032408"/>
    <w:rsid w:val="00033C26"/>
    <w:rsid w:val="00033CF5"/>
    <w:rsid w:val="00033FB1"/>
    <w:rsid w:val="00035CC8"/>
    <w:rsid w:val="00035D09"/>
    <w:rsid w:val="0004064E"/>
    <w:rsid w:val="0004181A"/>
    <w:rsid w:val="00041AB4"/>
    <w:rsid w:val="00042C32"/>
    <w:rsid w:val="00045FBC"/>
    <w:rsid w:val="00054006"/>
    <w:rsid w:val="00055335"/>
    <w:rsid w:val="00055A39"/>
    <w:rsid w:val="000608F4"/>
    <w:rsid w:val="00061417"/>
    <w:rsid w:val="0006188A"/>
    <w:rsid w:val="00062F61"/>
    <w:rsid w:val="00063183"/>
    <w:rsid w:val="00063EE1"/>
    <w:rsid w:val="00064049"/>
    <w:rsid w:val="000642B5"/>
    <w:rsid w:val="00064EE5"/>
    <w:rsid w:val="00064F28"/>
    <w:rsid w:val="000658D1"/>
    <w:rsid w:val="0006704F"/>
    <w:rsid w:val="00071E2E"/>
    <w:rsid w:val="00071FFB"/>
    <w:rsid w:val="00072953"/>
    <w:rsid w:val="00072D48"/>
    <w:rsid w:val="00074F90"/>
    <w:rsid w:val="0007570C"/>
    <w:rsid w:val="00076E48"/>
    <w:rsid w:val="00076F78"/>
    <w:rsid w:val="00077AB5"/>
    <w:rsid w:val="0008620B"/>
    <w:rsid w:val="0008663E"/>
    <w:rsid w:val="000869D8"/>
    <w:rsid w:val="00090CB3"/>
    <w:rsid w:val="00091C56"/>
    <w:rsid w:val="00091E04"/>
    <w:rsid w:val="000920E0"/>
    <w:rsid w:val="00094098"/>
    <w:rsid w:val="000954D6"/>
    <w:rsid w:val="0009588C"/>
    <w:rsid w:val="00097984"/>
    <w:rsid w:val="000A26AE"/>
    <w:rsid w:val="000A38FD"/>
    <w:rsid w:val="000B0614"/>
    <w:rsid w:val="000B1656"/>
    <w:rsid w:val="000C2290"/>
    <w:rsid w:val="000C246D"/>
    <w:rsid w:val="000C3F6B"/>
    <w:rsid w:val="000C62AE"/>
    <w:rsid w:val="000C6B73"/>
    <w:rsid w:val="000C792E"/>
    <w:rsid w:val="000D0740"/>
    <w:rsid w:val="000D22B0"/>
    <w:rsid w:val="000D2C0F"/>
    <w:rsid w:val="000D3580"/>
    <w:rsid w:val="000D37AE"/>
    <w:rsid w:val="000D3918"/>
    <w:rsid w:val="000D4B43"/>
    <w:rsid w:val="000D4C8E"/>
    <w:rsid w:val="000D6D72"/>
    <w:rsid w:val="000D7A7D"/>
    <w:rsid w:val="000E34F9"/>
    <w:rsid w:val="000E454D"/>
    <w:rsid w:val="000E6114"/>
    <w:rsid w:val="000E6E18"/>
    <w:rsid w:val="000F09DF"/>
    <w:rsid w:val="000F1F8A"/>
    <w:rsid w:val="000F2226"/>
    <w:rsid w:val="000F228F"/>
    <w:rsid w:val="000F245F"/>
    <w:rsid w:val="000F268A"/>
    <w:rsid w:val="000F336A"/>
    <w:rsid w:val="000F43C1"/>
    <w:rsid w:val="000F51C3"/>
    <w:rsid w:val="000F5821"/>
    <w:rsid w:val="00100777"/>
    <w:rsid w:val="00104B4B"/>
    <w:rsid w:val="00105EFD"/>
    <w:rsid w:val="00106619"/>
    <w:rsid w:val="00106D7B"/>
    <w:rsid w:val="00111249"/>
    <w:rsid w:val="00111F36"/>
    <w:rsid w:val="00112421"/>
    <w:rsid w:val="00112511"/>
    <w:rsid w:val="00112FA8"/>
    <w:rsid w:val="00114735"/>
    <w:rsid w:val="00117B5E"/>
    <w:rsid w:val="00122164"/>
    <w:rsid w:val="00122B73"/>
    <w:rsid w:val="00123504"/>
    <w:rsid w:val="001250C3"/>
    <w:rsid w:val="00130385"/>
    <w:rsid w:val="00132032"/>
    <w:rsid w:val="00132637"/>
    <w:rsid w:val="00135177"/>
    <w:rsid w:val="001360C1"/>
    <w:rsid w:val="0013649A"/>
    <w:rsid w:val="0013652E"/>
    <w:rsid w:val="00137212"/>
    <w:rsid w:val="00140386"/>
    <w:rsid w:val="001411E5"/>
    <w:rsid w:val="001415F9"/>
    <w:rsid w:val="00142080"/>
    <w:rsid w:val="00143B9D"/>
    <w:rsid w:val="00143D43"/>
    <w:rsid w:val="001440B9"/>
    <w:rsid w:val="001455ED"/>
    <w:rsid w:val="0014579D"/>
    <w:rsid w:val="00153A4F"/>
    <w:rsid w:val="001544E7"/>
    <w:rsid w:val="00154AD1"/>
    <w:rsid w:val="00160600"/>
    <w:rsid w:val="0016093D"/>
    <w:rsid w:val="00160C98"/>
    <w:rsid w:val="001616C7"/>
    <w:rsid w:val="00161C01"/>
    <w:rsid w:val="00162555"/>
    <w:rsid w:val="001637E3"/>
    <w:rsid w:val="001641B4"/>
    <w:rsid w:val="00164252"/>
    <w:rsid w:val="001643F9"/>
    <w:rsid w:val="00165717"/>
    <w:rsid w:val="00170544"/>
    <w:rsid w:val="00171045"/>
    <w:rsid w:val="001723F0"/>
    <w:rsid w:val="0017282B"/>
    <w:rsid w:val="00172D28"/>
    <w:rsid w:val="00175968"/>
    <w:rsid w:val="00177858"/>
    <w:rsid w:val="00182621"/>
    <w:rsid w:val="00183C95"/>
    <w:rsid w:val="00184450"/>
    <w:rsid w:val="00184AFA"/>
    <w:rsid w:val="00185359"/>
    <w:rsid w:val="00187FB9"/>
    <w:rsid w:val="0019189F"/>
    <w:rsid w:val="00192131"/>
    <w:rsid w:val="001927D3"/>
    <w:rsid w:val="00193CA7"/>
    <w:rsid w:val="00193DC0"/>
    <w:rsid w:val="00194834"/>
    <w:rsid w:val="001949BA"/>
    <w:rsid w:val="00196570"/>
    <w:rsid w:val="001968C9"/>
    <w:rsid w:val="001971B3"/>
    <w:rsid w:val="001979A8"/>
    <w:rsid w:val="00197F75"/>
    <w:rsid w:val="001A02A6"/>
    <w:rsid w:val="001A250D"/>
    <w:rsid w:val="001A5798"/>
    <w:rsid w:val="001A5C11"/>
    <w:rsid w:val="001A5CCD"/>
    <w:rsid w:val="001A69B3"/>
    <w:rsid w:val="001A7EA2"/>
    <w:rsid w:val="001B0310"/>
    <w:rsid w:val="001B1DDD"/>
    <w:rsid w:val="001B22D0"/>
    <w:rsid w:val="001B2804"/>
    <w:rsid w:val="001B31F1"/>
    <w:rsid w:val="001B412B"/>
    <w:rsid w:val="001B4472"/>
    <w:rsid w:val="001B44A9"/>
    <w:rsid w:val="001B63B9"/>
    <w:rsid w:val="001B65DC"/>
    <w:rsid w:val="001C0019"/>
    <w:rsid w:val="001C16C1"/>
    <w:rsid w:val="001C184C"/>
    <w:rsid w:val="001C1B13"/>
    <w:rsid w:val="001C4D47"/>
    <w:rsid w:val="001C717D"/>
    <w:rsid w:val="001D09D0"/>
    <w:rsid w:val="001D0F5A"/>
    <w:rsid w:val="001D4F8A"/>
    <w:rsid w:val="001D583B"/>
    <w:rsid w:val="001D7145"/>
    <w:rsid w:val="001D7B9D"/>
    <w:rsid w:val="001E068D"/>
    <w:rsid w:val="001E1456"/>
    <w:rsid w:val="001E156B"/>
    <w:rsid w:val="001E2394"/>
    <w:rsid w:val="001E373B"/>
    <w:rsid w:val="001E5A2C"/>
    <w:rsid w:val="001E7030"/>
    <w:rsid w:val="001F0823"/>
    <w:rsid w:val="001F0A6D"/>
    <w:rsid w:val="001F33FF"/>
    <w:rsid w:val="001F50B4"/>
    <w:rsid w:val="001F55DA"/>
    <w:rsid w:val="001F5B2F"/>
    <w:rsid w:val="001F5C26"/>
    <w:rsid w:val="001F6AE9"/>
    <w:rsid w:val="001F6B1F"/>
    <w:rsid w:val="001F7E78"/>
    <w:rsid w:val="0020426B"/>
    <w:rsid w:val="00205D04"/>
    <w:rsid w:val="0020684F"/>
    <w:rsid w:val="00207CC1"/>
    <w:rsid w:val="0021076E"/>
    <w:rsid w:val="00210B8B"/>
    <w:rsid w:val="00211338"/>
    <w:rsid w:val="0021179B"/>
    <w:rsid w:val="00216926"/>
    <w:rsid w:val="00216DD7"/>
    <w:rsid w:val="00220BA4"/>
    <w:rsid w:val="00221242"/>
    <w:rsid w:val="00221B49"/>
    <w:rsid w:val="00222C7C"/>
    <w:rsid w:val="002232CA"/>
    <w:rsid w:val="00223763"/>
    <w:rsid w:val="00223855"/>
    <w:rsid w:val="002241DA"/>
    <w:rsid w:val="002258F6"/>
    <w:rsid w:val="00225C0B"/>
    <w:rsid w:val="002277C1"/>
    <w:rsid w:val="00231E84"/>
    <w:rsid w:val="002320B3"/>
    <w:rsid w:val="00232BB8"/>
    <w:rsid w:val="0023485E"/>
    <w:rsid w:val="00234B00"/>
    <w:rsid w:val="00234C3C"/>
    <w:rsid w:val="00235F7D"/>
    <w:rsid w:val="002371DD"/>
    <w:rsid w:val="00237446"/>
    <w:rsid w:val="00240299"/>
    <w:rsid w:val="00240499"/>
    <w:rsid w:val="00240DCD"/>
    <w:rsid w:val="002419B7"/>
    <w:rsid w:val="00242426"/>
    <w:rsid w:val="002426AC"/>
    <w:rsid w:val="00242D16"/>
    <w:rsid w:val="0024302C"/>
    <w:rsid w:val="00243718"/>
    <w:rsid w:val="00243F70"/>
    <w:rsid w:val="0024575E"/>
    <w:rsid w:val="00245B4C"/>
    <w:rsid w:val="00245E6D"/>
    <w:rsid w:val="00252887"/>
    <w:rsid w:val="00252B0C"/>
    <w:rsid w:val="00253DE8"/>
    <w:rsid w:val="00254F66"/>
    <w:rsid w:val="00256410"/>
    <w:rsid w:val="00256FC3"/>
    <w:rsid w:val="00257C34"/>
    <w:rsid w:val="00260B8E"/>
    <w:rsid w:val="00260D74"/>
    <w:rsid w:val="002620CD"/>
    <w:rsid w:val="002632F2"/>
    <w:rsid w:val="00265D37"/>
    <w:rsid w:val="00266D9B"/>
    <w:rsid w:val="0026731E"/>
    <w:rsid w:val="002675D5"/>
    <w:rsid w:val="00270658"/>
    <w:rsid w:val="00271619"/>
    <w:rsid w:val="00271CA3"/>
    <w:rsid w:val="00276984"/>
    <w:rsid w:val="002770E6"/>
    <w:rsid w:val="0028046B"/>
    <w:rsid w:val="002835FE"/>
    <w:rsid w:val="00284E57"/>
    <w:rsid w:val="00287251"/>
    <w:rsid w:val="00287AC5"/>
    <w:rsid w:val="0029312A"/>
    <w:rsid w:val="00294A49"/>
    <w:rsid w:val="00296B31"/>
    <w:rsid w:val="002A1E18"/>
    <w:rsid w:val="002A2B11"/>
    <w:rsid w:val="002A2B37"/>
    <w:rsid w:val="002A353B"/>
    <w:rsid w:val="002A3697"/>
    <w:rsid w:val="002A3B07"/>
    <w:rsid w:val="002A6593"/>
    <w:rsid w:val="002A65EA"/>
    <w:rsid w:val="002A7964"/>
    <w:rsid w:val="002B00E9"/>
    <w:rsid w:val="002B23ED"/>
    <w:rsid w:val="002B27C8"/>
    <w:rsid w:val="002B2B3B"/>
    <w:rsid w:val="002B3755"/>
    <w:rsid w:val="002B422D"/>
    <w:rsid w:val="002B6AC5"/>
    <w:rsid w:val="002B78A4"/>
    <w:rsid w:val="002B7F70"/>
    <w:rsid w:val="002C1374"/>
    <w:rsid w:val="002C1B34"/>
    <w:rsid w:val="002C291E"/>
    <w:rsid w:val="002C38A1"/>
    <w:rsid w:val="002C3A26"/>
    <w:rsid w:val="002C3FCD"/>
    <w:rsid w:val="002C4364"/>
    <w:rsid w:val="002C5976"/>
    <w:rsid w:val="002C5FD4"/>
    <w:rsid w:val="002C6668"/>
    <w:rsid w:val="002C6B41"/>
    <w:rsid w:val="002D0DB6"/>
    <w:rsid w:val="002E01D6"/>
    <w:rsid w:val="002E07C7"/>
    <w:rsid w:val="002E5479"/>
    <w:rsid w:val="002E6026"/>
    <w:rsid w:val="002E6320"/>
    <w:rsid w:val="002F093C"/>
    <w:rsid w:val="002F12FF"/>
    <w:rsid w:val="002F1AF0"/>
    <w:rsid w:val="002F221F"/>
    <w:rsid w:val="002F2354"/>
    <w:rsid w:val="002F25D3"/>
    <w:rsid w:val="002F5AA7"/>
    <w:rsid w:val="002F5FCA"/>
    <w:rsid w:val="002F62F7"/>
    <w:rsid w:val="002F6789"/>
    <w:rsid w:val="002F699C"/>
    <w:rsid w:val="002F6B64"/>
    <w:rsid w:val="002F7055"/>
    <w:rsid w:val="002F7852"/>
    <w:rsid w:val="002F7C8E"/>
    <w:rsid w:val="002F7D93"/>
    <w:rsid w:val="0030001C"/>
    <w:rsid w:val="00302A5F"/>
    <w:rsid w:val="00302D12"/>
    <w:rsid w:val="00302EE1"/>
    <w:rsid w:val="00302F70"/>
    <w:rsid w:val="00304061"/>
    <w:rsid w:val="0030495D"/>
    <w:rsid w:val="00305D39"/>
    <w:rsid w:val="00306F44"/>
    <w:rsid w:val="00307880"/>
    <w:rsid w:val="00313141"/>
    <w:rsid w:val="00313688"/>
    <w:rsid w:val="00315E30"/>
    <w:rsid w:val="003162D9"/>
    <w:rsid w:val="00316356"/>
    <w:rsid w:val="0031649E"/>
    <w:rsid w:val="003173D0"/>
    <w:rsid w:val="003221FB"/>
    <w:rsid w:val="00326737"/>
    <w:rsid w:val="00326FBE"/>
    <w:rsid w:val="003270A8"/>
    <w:rsid w:val="00327BE4"/>
    <w:rsid w:val="003303E5"/>
    <w:rsid w:val="00331862"/>
    <w:rsid w:val="00331B72"/>
    <w:rsid w:val="00332AB7"/>
    <w:rsid w:val="00333BE5"/>
    <w:rsid w:val="00333EC9"/>
    <w:rsid w:val="00334397"/>
    <w:rsid w:val="00335185"/>
    <w:rsid w:val="00335E84"/>
    <w:rsid w:val="00342157"/>
    <w:rsid w:val="0034233E"/>
    <w:rsid w:val="003463C0"/>
    <w:rsid w:val="0034737E"/>
    <w:rsid w:val="0035056A"/>
    <w:rsid w:val="0035059C"/>
    <w:rsid w:val="00350C12"/>
    <w:rsid w:val="00351358"/>
    <w:rsid w:val="00351963"/>
    <w:rsid w:val="00351A7F"/>
    <w:rsid w:val="00351FE8"/>
    <w:rsid w:val="0035257A"/>
    <w:rsid w:val="00352CE7"/>
    <w:rsid w:val="00354BBE"/>
    <w:rsid w:val="00360344"/>
    <w:rsid w:val="00360DF1"/>
    <w:rsid w:val="00361370"/>
    <w:rsid w:val="00362246"/>
    <w:rsid w:val="00365C5A"/>
    <w:rsid w:val="0036601E"/>
    <w:rsid w:val="00366CB4"/>
    <w:rsid w:val="00367B83"/>
    <w:rsid w:val="00370F9F"/>
    <w:rsid w:val="00372D68"/>
    <w:rsid w:val="00374166"/>
    <w:rsid w:val="00376D39"/>
    <w:rsid w:val="00377683"/>
    <w:rsid w:val="003802A9"/>
    <w:rsid w:val="00380AAF"/>
    <w:rsid w:val="0038145D"/>
    <w:rsid w:val="00383205"/>
    <w:rsid w:val="00383F6E"/>
    <w:rsid w:val="00384894"/>
    <w:rsid w:val="00385323"/>
    <w:rsid w:val="00391607"/>
    <w:rsid w:val="00391866"/>
    <w:rsid w:val="0039628F"/>
    <w:rsid w:val="00397A68"/>
    <w:rsid w:val="003A2671"/>
    <w:rsid w:val="003A3DA0"/>
    <w:rsid w:val="003A5665"/>
    <w:rsid w:val="003A5B1E"/>
    <w:rsid w:val="003A6F98"/>
    <w:rsid w:val="003A78A4"/>
    <w:rsid w:val="003B09E5"/>
    <w:rsid w:val="003B3A07"/>
    <w:rsid w:val="003B3BB5"/>
    <w:rsid w:val="003B450B"/>
    <w:rsid w:val="003B5FE8"/>
    <w:rsid w:val="003B603C"/>
    <w:rsid w:val="003B6A70"/>
    <w:rsid w:val="003C03FA"/>
    <w:rsid w:val="003C1546"/>
    <w:rsid w:val="003C67F0"/>
    <w:rsid w:val="003C6F96"/>
    <w:rsid w:val="003D197F"/>
    <w:rsid w:val="003D2B10"/>
    <w:rsid w:val="003D3E40"/>
    <w:rsid w:val="003D422F"/>
    <w:rsid w:val="003D4960"/>
    <w:rsid w:val="003D55AD"/>
    <w:rsid w:val="003D5C80"/>
    <w:rsid w:val="003D5EE3"/>
    <w:rsid w:val="003D7278"/>
    <w:rsid w:val="003D747A"/>
    <w:rsid w:val="003D78D6"/>
    <w:rsid w:val="003D79E3"/>
    <w:rsid w:val="003D7F62"/>
    <w:rsid w:val="003E1BC5"/>
    <w:rsid w:val="003E3D8F"/>
    <w:rsid w:val="003E5967"/>
    <w:rsid w:val="003E5E0C"/>
    <w:rsid w:val="003E5E44"/>
    <w:rsid w:val="003E6179"/>
    <w:rsid w:val="003F01EB"/>
    <w:rsid w:val="003F1FA5"/>
    <w:rsid w:val="003F2985"/>
    <w:rsid w:val="003F4E69"/>
    <w:rsid w:val="003F66BD"/>
    <w:rsid w:val="003F6A95"/>
    <w:rsid w:val="003F77B8"/>
    <w:rsid w:val="00401526"/>
    <w:rsid w:val="004022A9"/>
    <w:rsid w:val="004041A8"/>
    <w:rsid w:val="00405063"/>
    <w:rsid w:val="00405F37"/>
    <w:rsid w:val="00407AF6"/>
    <w:rsid w:val="00413EC4"/>
    <w:rsid w:val="00414938"/>
    <w:rsid w:val="00414EA7"/>
    <w:rsid w:val="004178CF"/>
    <w:rsid w:val="00420DF7"/>
    <w:rsid w:val="00421AD6"/>
    <w:rsid w:val="00422552"/>
    <w:rsid w:val="00423EA8"/>
    <w:rsid w:val="00424F54"/>
    <w:rsid w:val="0042531D"/>
    <w:rsid w:val="00425C17"/>
    <w:rsid w:val="00426CAA"/>
    <w:rsid w:val="004270FE"/>
    <w:rsid w:val="00430175"/>
    <w:rsid w:val="00430D3C"/>
    <w:rsid w:val="00431ED0"/>
    <w:rsid w:val="004328A1"/>
    <w:rsid w:val="00432A85"/>
    <w:rsid w:val="004344B8"/>
    <w:rsid w:val="00434BD1"/>
    <w:rsid w:val="00434DF6"/>
    <w:rsid w:val="00435177"/>
    <w:rsid w:val="004360A6"/>
    <w:rsid w:val="004372F4"/>
    <w:rsid w:val="00440C1F"/>
    <w:rsid w:val="00441929"/>
    <w:rsid w:val="00441AE9"/>
    <w:rsid w:val="00442878"/>
    <w:rsid w:val="00446241"/>
    <w:rsid w:val="00446A57"/>
    <w:rsid w:val="00451270"/>
    <w:rsid w:val="00451CC2"/>
    <w:rsid w:val="00452C16"/>
    <w:rsid w:val="004538F5"/>
    <w:rsid w:val="00453AC2"/>
    <w:rsid w:val="00453AEC"/>
    <w:rsid w:val="00453D62"/>
    <w:rsid w:val="00455D13"/>
    <w:rsid w:val="004561D0"/>
    <w:rsid w:val="004570D9"/>
    <w:rsid w:val="00457403"/>
    <w:rsid w:val="004609A2"/>
    <w:rsid w:val="00461699"/>
    <w:rsid w:val="00462FB0"/>
    <w:rsid w:val="004645C0"/>
    <w:rsid w:val="004651B7"/>
    <w:rsid w:val="0046542F"/>
    <w:rsid w:val="00466379"/>
    <w:rsid w:val="004677AD"/>
    <w:rsid w:val="004702A5"/>
    <w:rsid w:val="00471435"/>
    <w:rsid w:val="00473141"/>
    <w:rsid w:val="00473E26"/>
    <w:rsid w:val="0047492A"/>
    <w:rsid w:val="00474DF8"/>
    <w:rsid w:val="00474EE5"/>
    <w:rsid w:val="004754DF"/>
    <w:rsid w:val="00475744"/>
    <w:rsid w:val="00483CA3"/>
    <w:rsid w:val="004840E6"/>
    <w:rsid w:val="0048506F"/>
    <w:rsid w:val="00485194"/>
    <w:rsid w:val="00486EA9"/>
    <w:rsid w:val="004901FB"/>
    <w:rsid w:val="004905F8"/>
    <w:rsid w:val="004920F0"/>
    <w:rsid w:val="004924EB"/>
    <w:rsid w:val="00495F26"/>
    <w:rsid w:val="00496B94"/>
    <w:rsid w:val="00497742"/>
    <w:rsid w:val="004A0876"/>
    <w:rsid w:val="004A12DF"/>
    <w:rsid w:val="004A2B67"/>
    <w:rsid w:val="004A3DE0"/>
    <w:rsid w:val="004B24D2"/>
    <w:rsid w:val="004B2EEF"/>
    <w:rsid w:val="004B6541"/>
    <w:rsid w:val="004B6644"/>
    <w:rsid w:val="004B66CD"/>
    <w:rsid w:val="004C1492"/>
    <w:rsid w:val="004C2350"/>
    <w:rsid w:val="004C2F49"/>
    <w:rsid w:val="004C5F65"/>
    <w:rsid w:val="004D0B34"/>
    <w:rsid w:val="004D158C"/>
    <w:rsid w:val="004D2639"/>
    <w:rsid w:val="004D468E"/>
    <w:rsid w:val="004D6007"/>
    <w:rsid w:val="004D6B1C"/>
    <w:rsid w:val="004D797C"/>
    <w:rsid w:val="004D79CA"/>
    <w:rsid w:val="004E0A4E"/>
    <w:rsid w:val="004E12C5"/>
    <w:rsid w:val="004E3C4E"/>
    <w:rsid w:val="004E3C60"/>
    <w:rsid w:val="004E4B5C"/>
    <w:rsid w:val="004E6247"/>
    <w:rsid w:val="004F1595"/>
    <w:rsid w:val="004F24D3"/>
    <w:rsid w:val="004F2BD6"/>
    <w:rsid w:val="004F3A70"/>
    <w:rsid w:val="004F4797"/>
    <w:rsid w:val="004F6A08"/>
    <w:rsid w:val="004F7217"/>
    <w:rsid w:val="004F7CD3"/>
    <w:rsid w:val="005001A5"/>
    <w:rsid w:val="00501021"/>
    <w:rsid w:val="0050172E"/>
    <w:rsid w:val="005017A3"/>
    <w:rsid w:val="00501E63"/>
    <w:rsid w:val="0050465A"/>
    <w:rsid w:val="00504E22"/>
    <w:rsid w:val="00504F19"/>
    <w:rsid w:val="0050606F"/>
    <w:rsid w:val="00506A96"/>
    <w:rsid w:val="00506F5A"/>
    <w:rsid w:val="0051434F"/>
    <w:rsid w:val="005144A9"/>
    <w:rsid w:val="00517753"/>
    <w:rsid w:val="00522FF9"/>
    <w:rsid w:val="005240A0"/>
    <w:rsid w:val="00525BC9"/>
    <w:rsid w:val="00525DAF"/>
    <w:rsid w:val="00526BB4"/>
    <w:rsid w:val="00527221"/>
    <w:rsid w:val="00527842"/>
    <w:rsid w:val="00530026"/>
    <w:rsid w:val="00530CFF"/>
    <w:rsid w:val="00531829"/>
    <w:rsid w:val="005324ED"/>
    <w:rsid w:val="005328FA"/>
    <w:rsid w:val="0053418B"/>
    <w:rsid w:val="00537199"/>
    <w:rsid w:val="0054009E"/>
    <w:rsid w:val="00540E4C"/>
    <w:rsid w:val="0054100D"/>
    <w:rsid w:val="00541AF4"/>
    <w:rsid w:val="005455B4"/>
    <w:rsid w:val="00547414"/>
    <w:rsid w:val="0054759C"/>
    <w:rsid w:val="00547E2C"/>
    <w:rsid w:val="00550326"/>
    <w:rsid w:val="005503FD"/>
    <w:rsid w:val="00550A52"/>
    <w:rsid w:val="005534EA"/>
    <w:rsid w:val="005536BB"/>
    <w:rsid w:val="0055377D"/>
    <w:rsid w:val="00553F62"/>
    <w:rsid w:val="005551C5"/>
    <w:rsid w:val="00555DCC"/>
    <w:rsid w:val="005571DA"/>
    <w:rsid w:val="005603F8"/>
    <w:rsid w:val="00560BB3"/>
    <w:rsid w:val="00561647"/>
    <w:rsid w:val="005618FA"/>
    <w:rsid w:val="00562428"/>
    <w:rsid w:val="005626D5"/>
    <w:rsid w:val="00564A82"/>
    <w:rsid w:val="00564CBF"/>
    <w:rsid w:val="005656C1"/>
    <w:rsid w:val="00565F51"/>
    <w:rsid w:val="005714AF"/>
    <w:rsid w:val="0057255D"/>
    <w:rsid w:val="005730E8"/>
    <w:rsid w:val="00573703"/>
    <w:rsid w:val="00573A55"/>
    <w:rsid w:val="005743BF"/>
    <w:rsid w:val="00574F1B"/>
    <w:rsid w:val="00575158"/>
    <w:rsid w:val="0057609A"/>
    <w:rsid w:val="005763C6"/>
    <w:rsid w:val="00576428"/>
    <w:rsid w:val="00577373"/>
    <w:rsid w:val="0057786F"/>
    <w:rsid w:val="005807FC"/>
    <w:rsid w:val="005813D3"/>
    <w:rsid w:val="00581CC0"/>
    <w:rsid w:val="00584931"/>
    <w:rsid w:val="005850ED"/>
    <w:rsid w:val="00585527"/>
    <w:rsid w:val="00585A05"/>
    <w:rsid w:val="00585DB6"/>
    <w:rsid w:val="00586A01"/>
    <w:rsid w:val="00586B88"/>
    <w:rsid w:val="00587652"/>
    <w:rsid w:val="00587C37"/>
    <w:rsid w:val="00591AF0"/>
    <w:rsid w:val="005926A7"/>
    <w:rsid w:val="00592B30"/>
    <w:rsid w:val="00595BE4"/>
    <w:rsid w:val="0059700E"/>
    <w:rsid w:val="005A0A68"/>
    <w:rsid w:val="005A2786"/>
    <w:rsid w:val="005A3A58"/>
    <w:rsid w:val="005A5597"/>
    <w:rsid w:val="005B2BD9"/>
    <w:rsid w:val="005B41F6"/>
    <w:rsid w:val="005B4E70"/>
    <w:rsid w:val="005B6CCE"/>
    <w:rsid w:val="005B76C4"/>
    <w:rsid w:val="005B7716"/>
    <w:rsid w:val="005C050E"/>
    <w:rsid w:val="005C1A71"/>
    <w:rsid w:val="005C29A2"/>
    <w:rsid w:val="005C2C02"/>
    <w:rsid w:val="005C2F6B"/>
    <w:rsid w:val="005C41E6"/>
    <w:rsid w:val="005C45EC"/>
    <w:rsid w:val="005C60CC"/>
    <w:rsid w:val="005C73EB"/>
    <w:rsid w:val="005D1012"/>
    <w:rsid w:val="005D3AB1"/>
    <w:rsid w:val="005D41A2"/>
    <w:rsid w:val="005D431A"/>
    <w:rsid w:val="005D78DF"/>
    <w:rsid w:val="005D7D78"/>
    <w:rsid w:val="005E10F7"/>
    <w:rsid w:val="005E26E4"/>
    <w:rsid w:val="005E30C7"/>
    <w:rsid w:val="005E30FA"/>
    <w:rsid w:val="005E3CF6"/>
    <w:rsid w:val="005E7041"/>
    <w:rsid w:val="005E7FBD"/>
    <w:rsid w:val="005F070B"/>
    <w:rsid w:val="005F384E"/>
    <w:rsid w:val="005F3857"/>
    <w:rsid w:val="005F5E73"/>
    <w:rsid w:val="005F645B"/>
    <w:rsid w:val="00601F72"/>
    <w:rsid w:val="00602639"/>
    <w:rsid w:val="00603663"/>
    <w:rsid w:val="0060582A"/>
    <w:rsid w:val="00605BB4"/>
    <w:rsid w:val="00605EC3"/>
    <w:rsid w:val="0060798D"/>
    <w:rsid w:val="006124CD"/>
    <w:rsid w:val="00612AB9"/>
    <w:rsid w:val="00612CFE"/>
    <w:rsid w:val="00613965"/>
    <w:rsid w:val="006143A3"/>
    <w:rsid w:val="00615775"/>
    <w:rsid w:val="00616831"/>
    <w:rsid w:val="00616873"/>
    <w:rsid w:val="00616D3C"/>
    <w:rsid w:val="006175DE"/>
    <w:rsid w:val="006202F4"/>
    <w:rsid w:val="0062134C"/>
    <w:rsid w:val="00621A9D"/>
    <w:rsid w:val="00621B52"/>
    <w:rsid w:val="00623C2E"/>
    <w:rsid w:val="00625189"/>
    <w:rsid w:val="00627E9C"/>
    <w:rsid w:val="00630E94"/>
    <w:rsid w:val="00630FFF"/>
    <w:rsid w:val="00633360"/>
    <w:rsid w:val="00635397"/>
    <w:rsid w:val="0063730A"/>
    <w:rsid w:val="006419D0"/>
    <w:rsid w:val="006435CD"/>
    <w:rsid w:val="00646DCC"/>
    <w:rsid w:val="00647038"/>
    <w:rsid w:val="0064744E"/>
    <w:rsid w:val="006530C7"/>
    <w:rsid w:val="00653979"/>
    <w:rsid w:val="00654DA1"/>
    <w:rsid w:val="006551AA"/>
    <w:rsid w:val="006552E3"/>
    <w:rsid w:val="00660246"/>
    <w:rsid w:val="006605B9"/>
    <w:rsid w:val="006621A4"/>
    <w:rsid w:val="006622BD"/>
    <w:rsid w:val="00664086"/>
    <w:rsid w:val="00664564"/>
    <w:rsid w:val="0066513B"/>
    <w:rsid w:val="00665FCE"/>
    <w:rsid w:val="00666211"/>
    <w:rsid w:val="006712EF"/>
    <w:rsid w:val="0067250A"/>
    <w:rsid w:val="00672D97"/>
    <w:rsid w:val="00674626"/>
    <w:rsid w:val="00674A56"/>
    <w:rsid w:val="006765E7"/>
    <w:rsid w:val="00680302"/>
    <w:rsid w:val="00680585"/>
    <w:rsid w:val="006831BF"/>
    <w:rsid w:val="00685768"/>
    <w:rsid w:val="0068622E"/>
    <w:rsid w:val="00686A9B"/>
    <w:rsid w:val="00686BEB"/>
    <w:rsid w:val="00693EB1"/>
    <w:rsid w:val="006954F0"/>
    <w:rsid w:val="006A42E6"/>
    <w:rsid w:val="006B067C"/>
    <w:rsid w:val="006B1BF0"/>
    <w:rsid w:val="006B35BF"/>
    <w:rsid w:val="006B3B65"/>
    <w:rsid w:val="006B4075"/>
    <w:rsid w:val="006B4E72"/>
    <w:rsid w:val="006B56CF"/>
    <w:rsid w:val="006B5754"/>
    <w:rsid w:val="006B6F70"/>
    <w:rsid w:val="006C032C"/>
    <w:rsid w:val="006C1D64"/>
    <w:rsid w:val="006C35DE"/>
    <w:rsid w:val="006C5368"/>
    <w:rsid w:val="006C750B"/>
    <w:rsid w:val="006D3552"/>
    <w:rsid w:val="006D4425"/>
    <w:rsid w:val="006D465A"/>
    <w:rsid w:val="006D53E7"/>
    <w:rsid w:val="006E18B3"/>
    <w:rsid w:val="006E2159"/>
    <w:rsid w:val="006E60F9"/>
    <w:rsid w:val="006E61C1"/>
    <w:rsid w:val="006E64D1"/>
    <w:rsid w:val="006E741A"/>
    <w:rsid w:val="006E7707"/>
    <w:rsid w:val="006F5305"/>
    <w:rsid w:val="006F5BEA"/>
    <w:rsid w:val="006F5F5A"/>
    <w:rsid w:val="006F6177"/>
    <w:rsid w:val="006F7DF0"/>
    <w:rsid w:val="00700A93"/>
    <w:rsid w:val="007023D5"/>
    <w:rsid w:val="00704FA5"/>
    <w:rsid w:val="00705360"/>
    <w:rsid w:val="00706384"/>
    <w:rsid w:val="007063C4"/>
    <w:rsid w:val="00706A1E"/>
    <w:rsid w:val="00706E8B"/>
    <w:rsid w:val="00706F9A"/>
    <w:rsid w:val="00707154"/>
    <w:rsid w:val="00707BEC"/>
    <w:rsid w:val="0071097F"/>
    <w:rsid w:val="0071158D"/>
    <w:rsid w:val="00711638"/>
    <w:rsid w:val="00712041"/>
    <w:rsid w:val="007121C6"/>
    <w:rsid w:val="007157B8"/>
    <w:rsid w:val="00716E86"/>
    <w:rsid w:val="00721739"/>
    <w:rsid w:val="00721BFA"/>
    <w:rsid w:val="00721F22"/>
    <w:rsid w:val="007247D1"/>
    <w:rsid w:val="0072553F"/>
    <w:rsid w:val="007264FA"/>
    <w:rsid w:val="0072657D"/>
    <w:rsid w:val="00726B69"/>
    <w:rsid w:val="00727AED"/>
    <w:rsid w:val="00730EB1"/>
    <w:rsid w:val="00731FDA"/>
    <w:rsid w:val="007321D1"/>
    <w:rsid w:val="00732CC6"/>
    <w:rsid w:val="0073303C"/>
    <w:rsid w:val="00733472"/>
    <w:rsid w:val="00733D08"/>
    <w:rsid w:val="0073654C"/>
    <w:rsid w:val="00736560"/>
    <w:rsid w:val="0073764F"/>
    <w:rsid w:val="00740018"/>
    <w:rsid w:val="00740122"/>
    <w:rsid w:val="00740728"/>
    <w:rsid w:val="00741434"/>
    <w:rsid w:val="00741471"/>
    <w:rsid w:val="00741F8D"/>
    <w:rsid w:val="0074303E"/>
    <w:rsid w:val="00743CD6"/>
    <w:rsid w:val="00744129"/>
    <w:rsid w:val="00745E86"/>
    <w:rsid w:val="00750738"/>
    <w:rsid w:val="007508EB"/>
    <w:rsid w:val="00750DA3"/>
    <w:rsid w:val="007532CF"/>
    <w:rsid w:val="00757343"/>
    <w:rsid w:val="00757629"/>
    <w:rsid w:val="00757D51"/>
    <w:rsid w:val="007605F6"/>
    <w:rsid w:val="0076068A"/>
    <w:rsid w:val="00760ACC"/>
    <w:rsid w:val="00762955"/>
    <w:rsid w:val="00763FE4"/>
    <w:rsid w:val="007646EB"/>
    <w:rsid w:val="00765E78"/>
    <w:rsid w:val="007665BE"/>
    <w:rsid w:val="0076794B"/>
    <w:rsid w:val="00770950"/>
    <w:rsid w:val="0077426A"/>
    <w:rsid w:val="00774A4F"/>
    <w:rsid w:val="007771B0"/>
    <w:rsid w:val="007811F9"/>
    <w:rsid w:val="0078348E"/>
    <w:rsid w:val="00784294"/>
    <w:rsid w:val="00784616"/>
    <w:rsid w:val="00784619"/>
    <w:rsid w:val="007849F2"/>
    <w:rsid w:val="007867B7"/>
    <w:rsid w:val="00786B70"/>
    <w:rsid w:val="00787179"/>
    <w:rsid w:val="00787C8E"/>
    <w:rsid w:val="007920C4"/>
    <w:rsid w:val="00794620"/>
    <w:rsid w:val="00795EE9"/>
    <w:rsid w:val="00796BAC"/>
    <w:rsid w:val="007975A6"/>
    <w:rsid w:val="007A1A2B"/>
    <w:rsid w:val="007A3049"/>
    <w:rsid w:val="007A3D76"/>
    <w:rsid w:val="007A44D2"/>
    <w:rsid w:val="007A5952"/>
    <w:rsid w:val="007B03DD"/>
    <w:rsid w:val="007B1374"/>
    <w:rsid w:val="007B3E8F"/>
    <w:rsid w:val="007B4793"/>
    <w:rsid w:val="007B4B94"/>
    <w:rsid w:val="007B507B"/>
    <w:rsid w:val="007B551B"/>
    <w:rsid w:val="007B58CC"/>
    <w:rsid w:val="007B721A"/>
    <w:rsid w:val="007C1A13"/>
    <w:rsid w:val="007C1BB9"/>
    <w:rsid w:val="007C3CF7"/>
    <w:rsid w:val="007C4E47"/>
    <w:rsid w:val="007C5400"/>
    <w:rsid w:val="007C5AAE"/>
    <w:rsid w:val="007C5B94"/>
    <w:rsid w:val="007C6B76"/>
    <w:rsid w:val="007C79E9"/>
    <w:rsid w:val="007C7D0E"/>
    <w:rsid w:val="007D0420"/>
    <w:rsid w:val="007D0DA3"/>
    <w:rsid w:val="007D1054"/>
    <w:rsid w:val="007D1373"/>
    <w:rsid w:val="007D155F"/>
    <w:rsid w:val="007D797D"/>
    <w:rsid w:val="007D7FBE"/>
    <w:rsid w:val="007E06CE"/>
    <w:rsid w:val="007E093E"/>
    <w:rsid w:val="007E1311"/>
    <w:rsid w:val="007E29CB"/>
    <w:rsid w:val="007E3748"/>
    <w:rsid w:val="007E6497"/>
    <w:rsid w:val="007E64FB"/>
    <w:rsid w:val="007F128A"/>
    <w:rsid w:val="007F167E"/>
    <w:rsid w:val="007F4D15"/>
    <w:rsid w:val="007F4F12"/>
    <w:rsid w:val="007F50E5"/>
    <w:rsid w:val="007F5F67"/>
    <w:rsid w:val="007F622B"/>
    <w:rsid w:val="007F62D6"/>
    <w:rsid w:val="0080046D"/>
    <w:rsid w:val="00801EBA"/>
    <w:rsid w:val="00802DFC"/>
    <w:rsid w:val="00802E70"/>
    <w:rsid w:val="00802EE9"/>
    <w:rsid w:val="00803241"/>
    <w:rsid w:val="008033E5"/>
    <w:rsid w:val="0080375B"/>
    <w:rsid w:val="00803ABE"/>
    <w:rsid w:val="008048B8"/>
    <w:rsid w:val="008049EA"/>
    <w:rsid w:val="00804BB0"/>
    <w:rsid w:val="00806495"/>
    <w:rsid w:val="0080672B"/>
    <w:rsid w:val="00806D02"/>
    <w:rsid w:val="00807A41"/>
    <w:rsid w:val="00810CC9"/>
    <w:rsid w:val="008127A6"/>
    <w:rsid w:val="0081326A"/>
    <w:rsid w:val="00813429"/>
    <w:rsid w:val="008144BA"/>
    <w:rsid w:val="008158EF"/>
    <w:rsid w:val="00815AA9"/>
    <w:rsid w:val="00816EEF"/>
    <w:rsid w:val="00817FE5"/>
    <w:rsid w:val="00820817"/>
    <w:rsid w:val="0082411D"/>
    <w:rsid w:val="0082439D"/>
    <w:rsid w:val="00825DFE"/>
    <w:rsid w:val="00827587"/>
    <w:rsid w:val="00830069"/>
    <w:rsid w:val="00831F48"/>
    <w:rsid w:val="008334A6"/>
    <w:rsid w:val="00833D27"/>
    <w:rsid w:val="008350F5"/>
    <w:rsid w:val="0083639D"/>
    <w:rsid w:val="00837863"/>
    <w:rsid w:val="00841463"/>
    <w:rsid w:val="00843A86"/>
    <w:rsid w:val="00845D56"/>
    <w:rsid w:val="00850BD1"/>
    <w:rsid w:val="0085183E"/>
    <w:rsid w:val="00853666"/>
    <w:rsid w:val="00854757"/>
    <w:rsid w:val="00855DA7"/>
    <w:rsid w:val="00855E76"/>
    <w:rsid w:val="00857854"/>
    <w:rsid w:val="0086155C"/>
    <w:rsid w:val="0086301E"/>
    <w:rsid w:val="008641B5"/>
    <w:rsid w:val="0086474B"/>
    <w:rsid w:val="00865109"/>
    <w:rsid w:val="008661D4"/>
    <w:rsid w:val="00867443"/>
    <w:rsid w:val="00867E19"/>
    <w:rsid w:val="00871CAF"/>
    <w:rsid w:val="00873CD9"/>
    <w:rsid w:val="00874245"/>
    <w:rsid w:val="008749A4"/>
    <w:rsid w:val="00876A3B"/>
    <w:rsid w:val="0087701B"/>
    <w:rsid w:val="00877051"/>
    <w:rsid w:val="008809E5"/>
    <w:rsid w:val="0088143F"/>
    <w:rsid w:val="00881595"/>
    <w:rsid w:val="00881E00"/>
    <w:rsid w:val="008822C8"/>
    <w:rsid w:val="0088362F"/>
    <w:rsid w:val="00884C4A"/>
    <w:rsid w:val="008870EA"/>
    <w:rsid w:val="00887ADE"/>
    <w:rsid w:val="00890824"/>
    <w:rsid w:val="00890C84"/>
    <w:rsid w:val="0089254E"/>
    <w:rsid w:val="008932E2"/>
    <w:rsid w:val="008949C0"/>
    <w:rsid w:val="00895624"/>
    <w:rsid w:val="00895EFD"/>
    <w:rsid w:val="0089713F"/>
    <w:rsid w:val="008A0586"/>
    <w:rsid w:val="008A0B21"/>
    <w:rsid w:val="008A268B"/>
    <w:rsid w:val="008A4261"/>
    <w:rsid w:val="008A7CCC"/>
    <w:rsid w:val="008A7FDA"/>
    <w:rsid w:val="008B1BF8"/>
    <w:rsid w:val="008B2C71"/>
    <w:rsid w:val="008B3DFC"/>
    <w:rsid w:val="008B442E"/>
    <w:rsid w:val="008B68A6"/>
    <w:rsid w:val="008B7045"/>
    <w:rsid w:val="008C148E"/>
    <w:rsid w:val="008C392E"/>
    <w:rsid w:val="008C72DD"/>
    <w:rsid w:val="008C763E"/>
    <w:rsid w:val="008D047B"/>
    <w:rsid w:val="008D05F0"/>
    <w:rsid w:val="008D10A2"/>
    <w:rsid w:val="008D1A5E"/>
    <w:rsid w:val="008D1DE6"/>
    <w:rsid w:val="008D2BEF"/>
    <w:rsid w:val="008D3D6B"/>
    <w:rsid w:val="008D3DE3"/>
    <w:rsid w:val="008D412E"/>
    <w:rsid w:val="008D4DC4"/>
    <w:rsid w:val="008D5EDB"/>
    <w:rsid w:val="008D71AB"/>
    <w:rsid w:val="008E0ACF"/>
    <w:rsid w:val="008E1BE1"/>
    <w:rsid w:val="008E21C6"/>
    <w:rsid w:val="008E2620"/>
    <w:rsid w:val="008E384B"/>
    <w:rsid w:val="008E5288"/>
    <w:rsid w:val="008E6BDC"/>
    <w:rsid w:val="008E6DD9"/>
    <w:rsid w:val="008E6FA3"/>
    <w:rsid w:val="008F3AE5"/>
    <w:rsid w:val="008F5199"/>
    <w:rsid w:val="008F55E8"/>
    <w:rsid w:val="008F661E"/>
    <w:rsid w:val="008F67C4"/>
    <w:rsid w:val="009007D6"/>
    <w:rsid w:val="00901235"/>
    <w:rsid w:val="0090435C"/>
    <w:rsid w:val="0090461C"/>
    <w:rsid w:val="009054EB"/>
    <w:rsid w:val="009058D6"/>
    <w:rsid w:val="00907B85"/>
    <w:rsid w:val="00910105"/>
    <w:rsid w:val="00910FA6"/>
    <w:rsid w:val="00911705"/>
    <w:rsid w:val="00912956"/>
    <w:rsid w:val="00913398"/>
    <w:rsid w:val="0091384F"/>
    <w:rsid w:val="0091417A"/>
    <w:rsid w:val="00916BCF"/>
    <w:rsid w:val="00917A58"/>
    <w:rsid w:val="00917E2B"/>
    <w:rsid w:val="009202D2"/>
    <w:rsid w:val="00921E42"/>
    <w:rsid w:val="00922896"/>
    <w:rsid w:val="00924F40"/>
    <w:rsid w:val="009265DE"/>
    <w:rsid w:val="00926DDC"/>
    <w:rsid w:val="00927CD5"/>
    <w:rsid w:val="00927E25"/>
    <w:rsid w:val="00930029"/>
    <w:rsid w:val="009314C6"/>
    <w:rsid w:val="00932293"/>
    <w:rsid w:val="00933848"/>
    <w:rsid w:val="009341FC"/>
    <w:rsid w:val="00934647"/>
    <w:rsid w:val="00935BDF"/>
    <w:rsid w:val="0094077B"/>
    <w:rsid w:val="0094153F"/>
    <w:rsid w:val="009429A4"/>
    <w:rsid w:val="00944791"/>
    <w:rsid w:val="00945500"/>
    <w:rsid w:val="0094768F"/>
    <w:rsid w:val="009510C0"/>
    <w:rsid w:val="0095313E"/>
    <w:rsid w:val="00953CE7"/>
    <w:rsid w:val="009542CB"/>
    <w:rsid w:val="0095686F"/>
    <w:rsid w:val="00956AE8"/>
    <w:rsid w:val="00960E57"/>
    <w:rsid w:val="009618CA"/>
    <w:rsid w:val="00961B00"/>
    <w:rsid w:val="00964F24"/>
    <w:rsid w:val="00965DF4"/>
    <w:rsid w:val="0096641B"/>
    <w:rsid w:val="00967A08"/>
    <w:rsid w:val="009711F1"/>
    <w:rsid w:val="00971FDE"/>
    <w:rsid w:val="0097388C"/>
    <w:rsid w:val="00973D8A"/>
    <w:rsid w:val="009747C6"/>
    <w:rsid w:val="00974AD8"/>
    <w:rsid w:val="00976145"/>
    <w:rsid w:val="00980900"/>
    <w:rsid w:val="00980FA3"/>
    <w:rsid w:val="00983124"/>
    <w:rsid w:val="009832C0"/>
    <w:rsid w:val="00984D4E"/>
    <w:rsid w:val="00985676"/>
    <w:rsid w:val="00986511"/>
    <w:rsid w:val="00987252"/>
    <w:rsid w:val="00990417"/>
    <w:rsid w:val="00991179"/>
    <w:rsid w:val="00991D6B"/>
    <w:rsid w:val="00991ECE"/>
    <w:rsid w:val="009929AA"/>
    <w:rsid w:val="00996585"/>
    <w:rsid w:val="00996B19"/>
    <w:rsid w:val="009A0A73"/>
    <w:rsid w:val="009A2097"/>
    <w:rsid w:val="009A210A"/>
    <w:rsid w:val="009A3073"/>
    <w:rsid w:val="009A67C8"/>
    <w:rsid w:val="009B1B45"/>
    <w:rsid w:val="009B3B4B"/>
    <w:rsid w:val="009B431B"/>
    <w:rsid w:val="009B67DD"/>
    <w:rsid w:val="009B7DF1"/>
    <w:rsid w:val="009B7F42"/>
    <w:rsid w:val="009C01DA"/>
    <w:rsid w:val="009C4181"/>
    <w:rsid w:val="009C4880"/>
    <w:rsid w:val="009C5A3D"/>
    <w:rsid w:val="009C70A4"/>
    <w:rsid w:val="009C74BD"/>
    <w:rsid w:val="009C76F5"/>
    <w:rsid w:val="009D1582"/>
    <w:rsid w:val="009D2087"/>
    <w:rsid w:val="009D29C6"/>
    <w:rsid w:val="009D4380"/>
    <w:rsid w:val="009D442A"/>
    <w:rsid w:val="009D5B40"/>
    <w:rsid w:val="009D6248"/>
    <w:rsid w:val="009D799E"/>
    <w:rsid w:val="009E09B9"/>
    <w:rsid w:val="009E20B1"/>
    <w:rsid w:val="009E36B1"/>
    <w:rsid w:val="009E4A5D"/>
    <w:rsid w:val="009E6C95"/>
    <w:rsid w:val="009E728F"/>
    <w:rsid w:val="009F0A5E"/>
    <w:rsid w:val="009F11A5"/>
    <w:rsid w:val="009F1984"/>
    <w:rsid w:val="009F244F"/>
    <w:rsid w:val="009F42DB"/>
    <w:rsid w:val="009F4EC6"/>
    <w:rsid w:val="009F529F"/>
    <w:rsid w:val="009F5985"/>
    <w:rsid w:val="009F6346"/>
    <w:rsid w:val="009F71FC"/>
    <w:rsid w:val="009F76EC"/>
    <w:rsid w:val="00A02551"/>
    <w:rsid w:val="00A040EA"/>
    <w:rsid w:val="00A04306"/>
    <w:rsid w:val="00A05642"/>
    <w:rsid w:val="00A14E57"/>
    <w:rsid w:val="00A152D3"/>
    <w:rsid w:val="00A16958"/>
    <w:rsid w:val="00A20785"/>
    <w:rsid w:val="00A22249"/>
    <w:rsid w:val="00A22DC1"/>
    <w:rsid w:val="00A23FAD"/>
    <w:rsid w:val="00A2648A"/>
    <w:rsid w:val="00A26C54"/>
    <w:rsid w:val="00A26E10"/>
    <w:rsid w:val="00A26F7E"/>
    <w:rsid w:val="00A335EC"/>
    <w:rsid w:val="00A34DF3"/>
    <w:rsid w:val="00A36566"/>
    <w:rsid w:val="00A41963"/>
    <w:rsid w:val="00A42290"/>
    <w:rsid w:val="00A43D28"/>
    <w:rsid w:val="00A44A0F"/>
    <w:rsid w:val="00A460FB"/>
    <w:rsid w:val="00A47789"/>
    <w:rsid w:val="00A479BF"/>
    <w:rsid w:val="00A47E70"/>
    <w:rsid w:val="00A53171"/>
    <w:rsid w:val="00A531AD"/>
    <w:rsid w:val="00A53BF5"/>
    <w:rsid w:val="00A54D7B"/>
    <w:rsid w:val="00A54FC1"/>
    <w:rsid w:val="00A60899"/>
    <w:rsid w:val="00A62049"/>
    <w:rsid w:val="00A62A52"/>
    <w:rsid w:val="00A63227"/>
    <w:rsid w:val="00A63705"/>
    <w:rsid w:val="00A64FE3"/>
    <w:rsid w:val="00A67617"/>
    <w:rsid w:val="00A71EF1"/>
    <w:rsid w:val="00A72159"/>
    <w:rsid w:val="00A7282E"/>
    <w:rsid w:val="00A741F7"/>
    <w:rsid w:val="00A74F75"/>
    <w:rsid w:val="00A774FD"/>
    <w:rsid w:val="00A80E5E"/>
    <w:rsid w:val="00A81B12"/>
    <w:rsid w:val="00A841D2"/>
    <w:rsid w:val="00A842D5"/>
    <w:rsid w:val="00A91F96"/>
    <w:rsid w:val="00A92AEB"/>
    <w:rsid w:val="00A93292"/>
    <w:rsid w:val="00A94933"/>
    <w:rsid w:val="00A959D3"/>
    <w:rsid w:val="00A9617E"/>
    <w:rsid w:val="00A97EFF"/>
    <w:rsid w:val="00AA08C9"/>
    <w:rsid w:val="00AA12B6"/>
    <w:rsid w:val="00AA1E56"/>
    <w:rsid w:val="00AA295C"/>
    <w:rsid w:val="00AA29D2"/>
    <w:rsid w:val="00AA316A"/>
    <w:rsid w:val="00AA3D91"/>
    <w:rsid w:val="00AB0939"/>
    <w:rsid w:val="00AB0C34"/>
    <w:rsid w:val="00AB0CC2"/>
    <w:rsid w:val="00AB32F9"/>
    <w:rsid w:val="00AB3776"/>
    <w:rsid w:val="00AB398B"/>
    <w:rsid w:val="00AB3E0E"/>
    <w:rsid w:val="00AB51D8"/>
    <w:rsid w:val="00AB6139"/>
    <w:rsid w:val="00AB73C2"/>
    <w:rsid w:val="00AC2687"/>
    <w:rsid w:val="00AC4782"/>
    <w:rsid w:val="00AC516C"/>
    <w:rsid w:val="00AC7DBB"/>
    <w:rsid w:val="00AD06F2"/>
    <w:rsid w:val="00AD1B22"/>
    <w:rsid w:val="00AD3134"/>
    <w:rsid w:val="00AD32CF"/>
    <w:rsid w:val="00AD5FFC"/>
    <w:rsid w:val="00AE0332"/>
    <w:rsid w:val="00AE04F7"/>
    <w:rsid w:val="00AE133C"/>
    <w:rsid w:val="00AE3C8C"/>
    <w:rsid w:val="00AE6373"/>
    <w:rsid w:val="00AE7BA0"/>
    <w:rsid w:val="00AF0829"/>
    <w:rsid w:val="00AF13D9"/>
    <w:rsid w:val="00AF16F1"/>
    <w:rsid w:val="00AF1C42"/>
    <w:rsid w:val="00AF3226"/>
    <w:rsid w:val="00AF4F97"/>
    <w:rsid w:val="00AF539D"/>
    <w:rsid w:val="00AF65A3"/>
    <w:rsid w:val="00AF673E"/>
    <w:rsid w:val="00AF7486"/>
    <w:rsid w:val="00AF7DD0"/>
    <w:rsid w:val="00B005D9"/>
    <w:rsid w:val="00B00F29"/>
    <w:rsid w:val="00B0152E"/>
    <w:rsid w:val="00B019DB"/>
    <w:rsid w:val="00B02861"/>
    <w:rsid w:val="00B02CD9"/>
    <w:rsid w:val="00B02D4D"/>
    <w:rsid w:val="00B03C17"/>
    <w:rsid w:val="00B040CE"/>
    <w:rsid w:val="00B05481"/>
    <w:rsid w:val="00B076B0"/>
    <w:rsid w:val="00B10850"/>
    <w:rsid w:val="00B132D1"/>
    <w:rsid w:val="00B16680"/>
    <w:rsid w:val="00B16E8E"/>
    <w:rsid w:val="00B17067"/>
    <w:rsid w:val="00B175DF"/>
    <w:rsid w:val="00B216B2"/>
    <w:rsid w:val="00B219EF"/>
    <w:rsid w:val="00B223F8"/>
    <w:rsid w:val="00B230CC"/>
    <w:rsid w:val="00B23B42"/>
    <w:rsid w:val="00B23C41"/>
    <w:rsid w:val="00B249C2"/>
    <w:rsid w:val="00B2502E"/>
    <w:rsid w:val="00B2504C"/>
    <w:rsid w:val="00B25530"/>
    <w:rsid w:val="00B2575D"/>
    <w:rsid w:val="00B27D26"/>
    <w:rsid w:val="00B30600"/>
    <w:rsid w:val="00B314B8"/>
    <w:rsid w:val="00B32A9B"/>
    <w:rsid w:val="00B32D16"/>
    <w:rsid w:val="00B33D4C"/>
    <w:rsid w:val="00B34E5E"/>
    <w:rsid w:val="00B35C45"/>
    <w:rsid w:val="00B35CC0"/>
    <w:rsid w:val="00B369C1"/>
    <w:rsid w:val="00B40C77"/>
    <w:rsid w:val="00B414E8"/>
    <w:rsid w:val="00B426BE"/>
    <w:rsid w:val="00B462F1"/>
    <w:rsid w:val="00B47522"/>
    <w:rsid w:val="00B47F25"/>
    <w:rsid w:val="00B509A5"/>
    <w:rsid w:val="00B51628"/>
    <w:rsid w:val="00B51690"/>
    <w:rsid w:val="00B51A10"/>
    <w:rsid w:val="00B536F3"/>
    <w:rsid w:val="00B53FAE"/>
    <w:rsid w:val="00B569D1"/>
    <w:rsid w:val="00B57BE7"/>
    <w:rsid w:val="00B609D5"/>
    <w:rsid w:val="00B60A24"/>
    <w:rsid w:val="00B61AB1"/>
    <w:rsid w:val="00B64221"/>
    <w:rsid w:val="00B64693"/>
    <w:rsid w:val="00B66156"/>
    <w:rsid w:val="00B6729D"/>
    <w:rsid w:val="00B7058C"/>
    <w:rsid w:val="00B718D8"/>
    <w:rsid w:val="00B72F4E"/>
    <w:rsid w:val="00B731CD"/>
    <w:rsid w:val="00B77B2A"/>
    <w:rsid w:val="00B80673"/>
    <w:rsid w:val="00B82AD3"/>
    <w:rsid w:val="00B82C23"/>
    <w:rsid w:val="00B86462"/>
    <w:rsid w:val="00B872D0"/>
    <w:rsid w:val="00B87DD0"/>
    <w:rsid w:val="00B93A62"/>
    <w:rsid w:val="00B94E81"/>
    <w:rsid w:val="00B96772"/>
    <w:rsid w:val="00B96AA0"/>
    <w:rsid w:val="00B97CBB"/>
    <w:rsid w:val="00BA3A76"/>
    <w:rsid w:val="00BA58FF"/>
    <w:rsid w:val="00BA7245"/>
    <w:rsid w:val="00BB0C98"/>
    <w:rsid w:val="00BB1514"/>
    <w:rsid w:val="00BB601F"/>
    <w:rsid w:val="00BC1C0C"/>
    <w:rsid w:val="00BC27E8"/>
    <w:rsid w:val="00BC335D"/>
    <w:rsid w:val="00BC4BD9"/>
    <w:rsid w:val="00BC666D"/>
    <w:rsid w:val="00BC7FF0"/>
    <w:rsid w:val="00BD139C"/>
    <w:rsid w:val="00BD18DC"/>
    <w:rsid w:val="00BD2BA7"/>
    <w:rsid w:val="00BD3239"/>
    <w:rsid w:val="00BD3A9E"/>
    <w:rsid w:val="00BD3D68"/>
    <w:rsid w:val="00BD6C0C"/>
    <w:rsid w:val="00BD79BC"/>
    <w:rsid w:val="00BE074E"/>
    <w:rsid w:val="00BE0FD5"/>
    <w:rsid w:val="00BE137B"/>
    <w:rsid w:val="00BE1D42"/>
    <w:rsid w:val="00BE323F"/>
    <w:rsid w:val="00BE36B6"/>
    <w:rsid w:val="00BE3F28"/>
    <w:rsid w:val="00BE4664"/>
    <w:rsid w:val="00BE5C8E"/>
    <w:rsid w:val="00BE61C3"/>
    <w:rsid w:val="00BE7E5B"/>
    <w:rsid w:val="00BF0EF2"/>
    <w:rsid w:val="00BF13A8"/>
    <w:rsid w:val="00BF2BF8"/>
    <w:rsid w:val="00BF5015"/>
    <w:rsid w:val="00BF7903"/>
    <w:rsid w:val="00BF7FB4"/>
    <w:rsid w:val="00C02A85"/>
    <w:rsid w:val="00C04245"/>
    <w:rsid w:val="00C045A6"/>
    <w:rsid w:val="00C04A9A"/>
    <w:rsid w:val="00C0528C"/>
    <w:rsid w:val="00C06DB6"/>
    <w:rsid w:val="00C07552"/>
    <w:rsid w:val="00C100DE"/>
    <w:rsid w:val="00C105A2"/>
    <w:rsid w:val="00C1091D"/>
    <w:rsid w:val="00C1099B"/>
    <w:rsid w:val="00C10F90"/>
    <w:rsid w:val="00C112F6"/>
    <w:rsid w:val="00C1149C"/>
    <w:rsid w:val="00C136CF"/>
    <w:rsid w:val="00C1505F"/>
    <w:rsid w:val="00C158CE"/>
    <w:rsid w:val="00C15F95"/>
    <w:rsid w:val="00C17193"/>
    <w:rsid w:val="00C20557"/>
    <w:rsid w:val="00C2143E"/>
    <w:rsid w:val="00C226EF"/>
    <w:rsid w:val="00C22AD0"/>
    <w:rsid w:val="00C22BA9"/>
    <w:rsid w:val="00C230AF"/>
    <w:rsid w:val="00C23B60"/>
    <w:rsid w:val="00C31F03"/>
    <w:rsid w:val="00C3279A"/>
    <w:rsid w:val="00C33842"/>
    <w:rsid w:val="00C3442B"/>
    <w:rsid w:val="00C35D74"/>
    <w:rsid w:val="00C3608E"/>
    <w:rsid w:val="00C373CB"/>
    <w:rsid w:val="00C41770"/>
    <w:rsid w:val="00C42627"/>
    <w:rsid w:val="00C42784"/>
    <w:rsid w:val="00C45DC1"/>
    <w:rsid w:val="00C4615B"/>
    <w:rsid w:val="00C4791A"/>
    <w:rsid w:val="00C47E3E"/>
    <w:rsid w:val="00C505BA"/>
    <w:rsid w:val="00C506FF"/>
    <w:rsid w:val="00C53806"/>
    <w:rsid w:val="00C60CBA"/>
    <w:rsid w:val="00C62262"/>
    <w:rsid w:val="00C633F3"/>
    <w:rsid w:val="00C640D5"/>
    <w:rsid w:val="00C64B73"/>
    <w:rsid w:val="00C70E44"/>
    <w:rsid w:val="00C72000"/>
    <w:rsid w:val="00C72102"/>
    <w:rsid w:val="00C72AB6"/>
    <w:rsid w:val="00C72BD6"/>
    <w:rsid w:val="00C73B72"/>
    <w:rsid w:val="00C741E1"/>
    <w:rsid w:val="00C75BA2"/>
    <w:rsid w:val="00C75EC0"/>
    <w:rsid w:val="00C81CD3"/>
    <w:rsid w:val="00C81F4F"/>
    <w:rsid w:val="00C82774"/>
    <w:rsid w:val="00C85F58"/>
    <w:rsid w:val="00C85FDE"/>
    <w:rsid w:val="00C86979"/>
    <w:rsid w:val="00C8701E"/>
    <w:rsid w:val="00C8774A"/>
    <w:rsid w:val="00C87F49"/>
    <w:rsid w:val="00C9133E"/>
    <w:rsid w:val="00C91BBB"/>
    <w:rsid w:val="00C91EDA"/>
    <w:rsid w:val="00C92023"/>
    <w:rsid w:val="00C920B4"/>
    <w:rsid w:val="00C922F9"/>
    <w:rsid w:val="00C93D18"/>
    <w:rsid w:val="00C946D0"/>
    <w:rsid w:val="00C94C0F"/>
    <w:rsid w:val="00C9500D"/>
    <w:rsid w:val="00C950FF"/>
    <w:rsid w:val="00C978B9"/>
    <w:rsid w:val="00CA0913"/>
    <w:rsid w:val="00CA0C64"/>
    <w:rsid w:val="00CA0EAF"/>
    <w:rsid w:val="00CA19BB"/>
    <w:rsid w:val="00CA2EBC"/>
    <w:rsid w:val="00CA3457"/>
    <w:rsid w:val="00CA377C"/>
    <w:rsid w:val="00CB0673"/>
    <w:rsid w:val="00CB24D9"/>
    <w:rsid w:val="00CB2896"/>
    <w:rsid w:val="00CB35BD"/>
    <w:rsid w:val="00CB3A3F"/>
    <w:rsid w:val="00CB4D09"/>
    <w:rsid w:val="00CB6D01"/>
    <w:rsid w:val="00CC2D0D"/>
    <w:rsid w:val="00CC4697"/>
    <w:rsid w:val="00CC46E6"/>
    <w:rsid w:val="00CC5018"/>
    <w:rsid w:val="00CC694F"/>
    <w:rsid w:val="00CC74AE"/>
    <w:rsid w:val="00CC7569"/>
    <w:rsid w:val="00CD04C2"/>
    <w:rsid w:val="00CD108C"/>
    <w:rsid w:val="00CD18DB"/>
    <w:rsid w:val="00CD27A4"/>
    <w:rsid w:val="00CD54FC"/>
    <w:rsid w:val="00CD57BF"/>
    <w:rsid w:val="00CD65E8"/>
    <w:rsid w:val="00CD6CB8"/>
    <w:rsid w:val="00CE0ACE"/>
    <w:rsid w:val="00CE24E5"/>
    <w:rsid w:val="00CE5055"/>
    <w:rsid w:val="00CE53B2"/>
    <w:rsid w:val="00CE6053"/>
    <w:rsid w:val="00CE690A"/>
    <w:rsid w:val="00CF204B"/>
    <w:rsid w:val="00CF4330"/>
    <w:rsid w:val="00CF54E3"/>
    <w:rsid w:val="00D01EF1"/>
    <w:rsid w:val="00D04867"/>
    <w:rsid w:val="00D048FF"/>
    <w:rsid w:val="00D05E14"/>
    <w:rsid w:val="00D068FC"/>
    <w:rsid w:val="00D16DAA"/>
    <w:rsid w:val="00D20158"/>
    <w:rsid w:val="00D20BAF"/>
    <w:rsid w:val="00D20CA0"/>
    <w:rsid w:val="00D217ED"/>
    <w:rsid w:val="00D22CC3"/>
    <w:rsid w:val="00D22F55"/>
    <w:rsid w:val="00D2393D"/>
    <w:rsid w:val="00D249B3"/>
    <w:rsid w:val="00D2573C"/>
    <w:rsid w:val="00D30289"/>
    <w:rsid w:val="00D305B0"/>
    <w:rsid w:val="00D31165"/>
    <w:rsid w:val="00D33F48"/>
    <w:rsid w:val="00D347D7"/>
    <w:rsid w:val="00D36E30"/>
    <w:rsid w:val="00D4066E"/>
    <w:rsid w:val="00D420C7"/>
    <w:rsid w:val="00D4241A"/>
    <w:rsid w:val="00D445E8"/>
    <w:rsid w:val="00D45A63"/>
    <w:rsid w:val="00D47698"/>
    <w:rsid w:val="00D47CD2"/>
    <w:rsid w:val="00D50065"/>
    <w:rsid w:val="00D5389E"/>
    <w:rsid w:val="00D5518E"/>
    <w:rsid w:val="00D55D33"/>
    <w:rsid w:val="00D579FA"/>
    <w:rsid w:val="00D6053A"/>
    <w:rsid w:val="00D60721"/>
    <w:rsid w:val="00D61007"/>
    <w:rsid w:val="00D62C6E"/>
    <w:rsid w:val="00D633C4"/>
    <w:rsid w:val="00D64033"/>
    <w:rsid w:val="00D643C6"/>
    <w:rsid w:val="00D647ED"/>
    <w:rsid w:val="00D6515C"/>
    <w:rsid w:val="00D653DE"/>
    <w:rsid w:val="00D662E5"/>
    <w:rsid w:val="00D70181"/>
    <w:rsid w:val="00D71B0E"/>
    <w:rsid w:val="00D72A32"/>
    <w:rsid w:val="00D730EE"/>
    <w:rsid w:val="00D735E3"/>
    <w:rsid w:val="00D74476"/>
    <w:rsid w:val="00D74482"/>
    <w:rsid w:val="00D778D5"/>
    <w:rsid w:val="00D809C3"/>
    <w:rsid w:val="00D83232"/>
    <w:rsid w:val="00D85BAD"/>
    <w:rsid w:val="00D8719A"/>
    <w:rsid w:val="00D92BB9"/>
    <w:rsid w:val="00D92D70"/>
    <w:rsid w:val="00D935B4"/>
    <w:rsid w:val="00D93966"/>
    <w:rsid w:val="00D93C73"/>
    <w:rsid w:val="00D9426C"/>
    <w:rsid w:val="00D9491D"/>
    <w:rsid w:val="00D95A3A"/>
    <w:rsid w:val="00D96FB1"/>
    <w:rsid w:val="00DA1DB7"/>
    <w:rsid w:val="00DA4051"/>
    <w:rsid w:val="00DA6B3F"/>
    <w:rsid w:val="00DA6D9C"/>
    <w:rsid w:val="00DA6F7C"/>
    <w:rsid w:val="00DB015F"/>
    <w:rsid w:val="00DB1103"/>
    <w:rsid w:val="00DB2705"/>
    <w:rsid w:val="00DB2C97"/>
    <w:rsid w:val="00DB50F5"/>
    <w:rsid w:val="00DB62FE"/>
    <w:rsid w:val="00DB658C"/>
    <w:rsid w:val="00DC04F5"/>
    <w:rsid w:val="00DC0A18"/>
    <w:rsid w:val="00DC1211"/>
    <w:rsid w:val="00DC233E"/>
    <w:rsid w:val="00DC3464"/>
    <w:rsid w:val="00DC6932"/>
    <w:rsid w:val="00DC73A3"/>
    <w:rsid w:val="00DC7977"/>
    <w:rsid w:val="00DD04CE"/>
    <w:rsid w:val="00DD0561"/>
    <w:rsid w:val="00DD20A1"/>
    <w:rsid w:val="00DD2821"/>
    <w:rsid w:val="00DD58CB"/>
    <w:rsid w:val="00DD7FC4"/>
    <w:rsid w:val="00DE0B57"/>
    <w:rsid w:val="00DE1199"/>
    <w:rsid w:val="00DE17B8"/>
    <w:rsid w:val="00DE2F5D"/>
    <w:rsid w:val="00DE4301"/>
    <w:rsid w:val="00DE4C4E"/>
    <w:rsid w:val="00DE6071"/>
    <w:rsid w:val="00DE6D4B"/>
    <w:rsid w:val="00DF0CAD"/>
    <w:rsid w:val="00DF1080"/>
    <w:rsid w:val="00DF2255"/>
    <w:rsid w:val="00DF2AE9"/>
    <w:rsid w:val="00DF2DF4"/>
    <w:rsid w:val="00DF2FFC"/>
    <w:rsid w:val="00DF374D"/>
    <w:rsid w:val="00DF54A0"/>
    <w:rsid w:val="00E02569"/>
    <w:rsid w:val="00E02A17"/>
    <w:rsid w:val="00E04CDA"/>
    <w:rsid w:val="00E101D8"/>
    <w:rsid w:val="00E1065E"/>
    <w:rsid w:val="00E11CF2"/>
    <w:rsid w:val="00E11E18"/>
    <w:rsid w:val="00E11F97"/>
    <w:rsid w:val="00E121FB"/>
    <w:rsid w:val="00E142C2"/>
    <w:rsid w:val="00E15AE4"/>
    <w:rsid w:val="00E15E57"/>
    <w:rsid w:val="00E15FA8"/>
    <w:rsid w:val="00E163F5"/>
    <w:rsid w:val="00E17E69"/>
    <w:rsid w:val="00E22B37"/>
    <w:rsid w:val="00E236D7"/>
    <w:rsid w:val="00E24E47"/>
    <w:rsid w:val="00E24FBB"/>
    <w:rsid w:val="00E256E7"/>
    <w:rsid w:val="00E25890"/>
    <w:rsid w:val="00E25D51"/>
    <w:rsid w:val="00E2630B"/>
    <w:rsid w:val="00E31CC1"/>
    <w:rsid w:val="00E33035"/>
    <w:rsid w:val="00E3303B"/>
    <w:rsid w:val="00E3331A"/>
    <w:rsid w:val="00E36A74"/>
    <w:rsid w:val="00E37FD5"/>
    <w:rsid w:val="00E41322"/>
    <w:rsid w:val="00E417ED"/>
    <w:rsid w:val="00E42467"/>
    <w:rsid w:val="00E42494"/>
    <w:rsid w:val="00E437DE"/>
    <w:rsid w:val="00E44FB9"/>
    <w:rsid w:val="00E4520D"/>
    <w:rsid w:val="00E458D0"/>
    <w:rsid w:val="00E45BAB"/>
    <w:rsid w:val="00E50664"/>
    <w:rsid w:val="00E506B3"/>
    <w:rsid w:val="00E50BBD"/>
    <w:rsid w:val="00E512D0"/>
    <w:rsid w:val="00E53F4B"/>
    <w:rsid w:val="00E56760"/>
    <w:rsid w:val="00E57D8E"/>
    <w:rsid w:val="00E6021F"/>
    <w:rsid w:val="00E64792"/>
    <w:rsid w:val="00E64D0C"/>
    <w:rsid w:val="00E65C87"/>
    <w:rsid w:val="00E6625D"/>
    <w:rsid w:val="00E66752"/>
    <w:rsid w:val="00E67D6B"/>
    <w:rsid w:val="00E67DBC"/>
    <w:rsid w:val="00E70B4E"/>
    <w:rsid w:val="00E739F7"/>
    <w:rsid w:val="00E748F0"/>
    <w:rsid w:val="00E771E8"/>
    <w:rsid w:val="00E80340"/>
    <w:rsid w:val="00E810E0"/>
    <w:rsid w:val="00E8538F"/>
    <w:rsid w:val="00E85640"/>
    <w:rsid w:val="00E875F9"/>
    <w:rsid w:val="00E87D15"/>
    <w:rsid w:val="00E93372"/>
    <w:rsid w:val="00E97098"/>
    <w:rsid w:val="00EA229D"/>
    <w:rsid w:val="00EA46BD"/>
    <w:rsid w:val="00EA6FAC"/>
    <w:rsid w:val="00EA7DE0"/>
    <w:rsid w:val="00EB149E"/>
    <w:rsid w:val="00EB1550"/>
    <w:rsid w:val="00EB1A41"/>
    <w:rsid w:val="00EB2312"/>
    <w:rsid w:val="00EB3385"/>
    <w:rsid w:val="00EB3E4B"/>
    <w:rsid w:val="00EB4772"/>
    <w:rsid w:val="00EB4B37"/>
    <w:rsid w:val="00EB5F86"/>
    <w:rsid w:val="00EB61A1"/>
    <w:rsid w:val="00EB68B8"/>
    <w:rsid w:val="00EC098C"/>
    <w:rsid w:val="00EC2484"/>
    <w:rsid w:val="00EC2AA5"/>
    <w:rsid w:val="00EC467B"/>
    <w:rsid w:val="00EC4A86"/>
    <w:rsid w:val="00EC4C17"/>
    <w:rsid w:val="00EC53F9"/>
    <w:rsid w:val="00EC75C2"/>
    <w:rsid w:val="00EC7689"/>
    <w:rsid w:val="00ED1B5B"/>
    <w:rsid w:val="00ED2429"/>
    <w:rsid w:val="00ED2509"/>
    <w:rsid w:val="00ED25CD"/>
    <w:rsid w:val="00ED25D3"/>
    <w:rsid w:val="00ED2628"/>
    <w:rsid w:val="00ED32E5"/>
    <w:rsid w:val="00ED4B77"/>
    <w:rsid w:val="00ED5F8E"/>
    <w:rsid w:val="00ED75FC"/>
    <w:rsid w:val="00EE2F59"/>
    <w:rsid w:val="00EE4FC7"/>
    <w:rsid w:val="00EE57D2"/>
    <w:rsid w:val="00EE66B9"/>
    <w:rsid w:val="00EE69D9"/>
    <w:rsid w:val="00EE6DCC"/>
    <w:rsid w:val="00EE7197"/>
    <w:rsid w:val="00EE72FF"/>
    <w:rsid w:val="00EE7A67"/>
    <w:rsid w:val="00EE7F48"/>
    <w:rsid w:val="00EF0377"/>
    <w:rsid w:val="00EF1ACF"/>
    <w:rsid w:val="00EF234E"/>
    <w:rsid w:val="00EF286B"/>
    <w:rsid w:val="00EF2D50"/>
    <w:rsid w:val="00EF4812"/>
    <w:rsid w:val="00F02320"/>
    <w:rsid w:val="00F02E4A"/>
    <w:rsid w:val="00F035CF"/>
    <w:rsid w:val="00F04F7B"/>
    <w:rsid w:val="00F05F08"/>
    <w:rsid w:val="00F06EE3"/>
    <w:rsid w:val="00F073D9"/>
    <w:rsid w:val="00F10B44"/>
    <w:rsid w:val="00F12842"/>
    <w:rsid w:val="00F1375D"/>
    <w:rsid w:val="00F13FA4"/>
    <w:rsid w:val="00F14AAB"/>
    <w:rsid w:val="00F1552D"/>
    <w:rsid w:val="00F1606F"/>
    <w:rsid w:val="00F16F1F"/>
    <w:rsid w:val="00F206DB"/>
    <w:rsid w:val="00F20E67"/>
    <w:rsid w:val="00F21246"/>
    <w:rsid w:val="00F21D00"/>
    <w:rsid w:val="00F21F50"/>
    <w:rsid w:val="00F2326E"/>
    <w:rsid w:val="00F24759"/>
    <w:rsid w:val="00F24C0A"/>
    <w:rsid w:val="00F261B0"/>
    <w:rsid w:val="00F26956"/>
    <w:rsid w:val="00F30B4A"/>
    <w:rsid w:val="00F31D5C"/>
    <w:rsid w:val="00F31F4F"/>
    <w:rsid w:val="00F31F5B"/>
    <w:rsid w:val="00F32021"/>
    <w:rsid w:val="00F32807"/>
    <w:rsid w:val="00F32B0C"/>
    <w:rsid w:val="00F32F12"/>
    <w:rsid w:val="00F33594"/>
    <w:rsid w:val="00F35F72"/>
    <w:rsid w:val="00F3612B"/>
    <w:rsid w:val="00F375BC"/>
    <w:rsid w:val="00F40C3C"/>
    <w:rsid w:val="00F42996"/>
    <w:rsid w:val="00F454AA"/>
    <w:rsid w:val="00F45CD7"/>
    <w:rsid w:val="00F45E64"/>
    <w:rsid w:val="00F45EF4"/>
    <w:rsid w:val="00F46B93"/>
    <w:rsid w:val="00F5183D"/>
    <w:rsid w:val="00F53587"/>
    <w:rsid w:val="00F53DCF"/>
    <w:rsid w:val="00F54D2D"/>
    <w:rsid w:val="00F55917"/>
    <w:rsid w:val="00F562B1"/>
    <w:rsid w:val="00F56506"/>
    <w:rsid w:val="00F56A23"/>
    <w:rsid w:val="00F576FA"/>
    <w:rsid w:val="00F6209E"/>
    <w:rsid w:val="00F62FCC"/>
    <w:rsid w:val="00F729B4"/>
    <w:rsid w:val="00F739DF"/>
    <w:rsid w:val="00F73D24"/>
    <w:rsid w:val="00F74FB0"/>
    <w:rsid w:val="00F7514F"/>
    <w:rsid w:val="00F77F97"/>
    <w:rsid w:val="00F81AB1"/>
    <w:rsid w:val="00F81E99"/>
    <w:rsid w:val="00F823F2"/>
    <w:rsid w:val="00F824AC"/>
    <w:rsid w:val="00F84154"/>
    <w:rsid w:val="00F856F2"/>
    <w:rsid w:val="00F86F7B"/>
    <w:rsid w:val="00F90669"/>
    <w:rsid w:val="00F91E07"/>
    <w:rsid w:val="00F93F46"/>
    <w:rsid w:val="00F949D2"/>
    <w:rsid w:val="00F95FEF"/>
    <w:rsid w:val="00F961BD"/>
    <w:rsid w:val="00F964BD"/>
    <w:rsid w:val="00F96D0F"/>
    <w:rsid w:val="00F97A85"/>
    <w:rsid w:val="00FA0E6B"/>
    <w:rsid w:val="00FA2CB2"/>
    <w:rsid w:val="00FA5D98"/>
    <w:rsid w:val="00FA73F5"/>
    <w:rsid w:val="00FA7A1E"/>
    <w:rsid w:val="00FB1A06"/>
    <w:rsid w:val="00FB291E"/>
    <w:rsid w:val="00FB69B8"/>
    <w:rsid w:val="00FB78B3"/>
    <w:rsid w:val="00FB793E"/>
    <w:rsid w:val="00FB7F73"/>
    <w:rsid w:val="00FC0DAD"/>
    <w:rsid w:val="00FD0463"/>
    <w:rsid w:val="00FD0BF5"/>
    <w:rsid w:val="00FD25A8"/>
    <w:rsid w:val="00FD54A7"/>
    <w:rsid w:val="00FD6346"/>
    <w:rsid w:val="00FE0763"/>
    <w:rsid w:val="00FE0B9A"/>
    <w:rsid w:val="00FE130D"/>
    <w:rsid w:val="00FE1AE0"/>
    <w:rsid w:val="00FE2106"/>
    <w:rsid w:val="00FE2EE8"/>
    <w:rsid w:val="00FE3612"/>
    <w:rsid w:val="00FE3B50"/>
    <w:rsid w:val="00FE4450"/>
    <w:rsid w:val="00FE44F6"/>
    <w:rsid w:val="00FE606B"/>
    <w:rsid w:val="00FE70B8"/>
    <w:rsid w:val="00FF0CB7"/>
    <w:rsid w:val="00FF2D12"/>
    <w:rsid w:val="00FF2FC7"/>
    <w:rsid w:val="00FF43D4"/>
    <w:rsid w:val="00FF4556"/>
    <w:rsid w:val="00FF5A89"/>
    <w:rsid w:val="00FF7704"/>
    <w:rsid w:val="00FF7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31608C2"/>
  <w15:chartTrackingRefBased/>
  <w15:docId w15:val="{B0005146-D084-4519-B1B1-3F161CE3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EB"/>
    <w:pPr>
      <w:jc w:val="both"/>
    </w:pPr>
    <w:rPr>
      <w:rFonts w:ascii="Arial" w:hAnsi="Arial"/>
      <w:sz w:val="20"/>
    </w:rPr>
  </w:style>
  <w:style w:type="paragraph" w:styleId="Heading1">
    <w:name w:val="heading 1"/>
    <w:basedOn w:val="Normal"/>
    <w:next w:val="Normal"/>
    <w:link w:val="Heading1Char"/>
    <w:autoRedefine/>
    <w:uiPriority w:val="9"/>
    <w:qFormat/>
    <w:rsid w:val="007247D1"/>
    <w:pPr>
      <w:keepNext/>
      <w:keepLines/>
      <w:spacing w:before="240" w:after="0"/>
      <w:jc w:val="left"/>
      <w:outlineLvl w:val="0"/>
    </w:pPr>
    <w:rPr>
      <w:rFonts w:eastAsiaTheme="majorEastAsia" w:cstheme="majorBidi"/>
      <w:smallCaps/>
      <w:color w:val="004854"/>
      <w:sz w:val="32"/>
      <w:szCs w:val="32"/>
    </w:rPr>
  </w:style>
  <w:style w:type="paragraph" w:styleId="Heading2">
    <w:name w:val="heading 2"/>
    <w:basedOn w:val="Normal"/>
    <w:next w:val="Normal"/>
    <w:link w:val="Heading2Char"/>
    <w:autoRedefine/>
    <w:uiPriority w:val="9"/>
    <w:unhideWhenUsed/>
    <w:qFormat/>
    <w:rsid w:val="007247D1"/>
    <w:pPr>
      <w:keepNext/>
      <w:keepLines/>
      <w:spacing w:before="40" w:after="0"/>
      <w:outlineLvl w:val="1"/>
    </w:pPr>
    <w:rPr>
      <w:rFonts w:eastAsiaTheme="majorEastAsia" w:cstheme="majorBidi"/>
      <w:color w:val="008285"/>
      <w:sz w:val="28"/>
      <w:szCs w:val="26"/>
    </w:rPr>
  </w:style>
  <w:style w:type="paragraph" w:styleId="Heading3">
    <w:name w:val="heading 3"/>
    <w:basedOn w:val="Normal"/>
    <w:next w:val="Normal"/>
    <w:link w:val="Heading3Char"/>
    <w:uiPriority w:val="9"/>
    <w:unhideWhenUsed/>
    <w:qFormat/>
    <w:rsid w:val="007247D1"/>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2F093C"/>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CA0C64"/>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E133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7D1"/>
    <w:rPr>
      <w:rFonts w:ascii="Arial" w:eastAsiaTheme="majorEastAsia" w:hAnsi="Arial" w:cstheme="majorBidi"/>
      <w:smallCaps/>
      <w:color w:val="004854"/>
      <w:sz w:val="32"/>
      <w:szCs w:val="32"/>
    </w:rPr>
  </w:style>
  <w:style w:type="character" w:customStyle="1" w:styleId="Heading2Char">
    <w:name w:val="Heading 2 Char"/>
    <w:basedOn w:val="DefaultParagraphFont"/>
    <w:link w:val="Heading2"/>
    <w:uiPriority w:val="9"/>
    <w:rsid w:val="007247D1"/>
    <w:rPr>
      <w:rFonts w:ascii="Arial" w:eastAsiaTheme="majorEastAsia" w:hAnsi="Arial" w:cstheme="majorBidi"/>
      <w:color w:val="008285"/>
      <w:sz w:val="28"/>
      <w:szCs w:val="26"/>
    </w:rPr>
  </w:style>
  <w:style w:type="character" w:customStyle="1" w:styleId="Heading3Char">
    <w:name w:val="Heading 3 Char"/>
    <w:basedOn w:val="DefaultParagraphFont"/>
    <w:link w:val="Heading3"/>
    <w:uiPriority w:val="9"/>
    <w:rsid w:val="007247D1"/>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2F093C"/>
    <w:rPr>
      <w:rFonts w:ascii="Arial" w:eastAsiaTheme="majorEastAsia" w:hAnsi="Arial" w:cstheme="majorBidi"/>
      <w:i/>
      <w:iCs/>
      <w:sz w:val="20"/>
    </w:rPr>
  </w:style>
  <w:style w:type="character" w:customStyle="1" w:styleId="Heading5Char">
    <w:name w:val="Heading 5 Char"/>
    <w:basedOn w:val="DefaultParagraphFont"/>
    <w:link w:val="Heading5"/>
    <w:uiPriority w:val="9"/>
    <w:rsid w:val="00CA0C64"/>
    <w:rPr>
      <w:rFonts w:ascii="Garamond" w:eastAsiaTheme="majorEastAsia" w:hAnsi="Garamond" w:cstheme="majorBidi"/>
      <w:color w:val="2F5496" w:themeColor="accent1" w:themeShade="BF"/>
    </w:rPr>
  </w:style>
  <w:style w:type="character" w:styleId="Hyperlink">
    <w:name w:val="Hyperlink"/>
    <w:basedOn w:val="DefaultParagraphFont"/>
    <w:uiPriority w:val="99"/>
    <w:unhideWhenUsed/>
    <w:rsid w:val="00AF539D"/>
    <w:rPr>
      <w:color w:val="0563C1" w:themeColor="hyperlink"/>
      <w:u w:val="single"/>
    </w:rPr>
  </w:style>
  <w:style w:type="character" w:styleId="UnresolvedMention">
    <w:name w:val="Unresolved Mention"/>
    <w:basedOn w:val="DefaultParagraphFont"/>
    <w:uiPriority w:val="99"/>
    <w:semiHidden/>
    <w:unhideWhenUsed/>
    <w:rsid w:val="00AF539D"/>
    <w:rPr>
      <w:color w:val="605E5C"/>
      <w:shd w:val="clear" w:color="auto" w:fill="E1DFDD"/>
    </w:rPr>
  </w:style>
  <w:style w:type="paragraph" w:styleId="ListParagraph">
    <w:name w:val="List Paragraph"/>
    <w:basedOn w:val="Normal"/>
    <w:link w:val="ListParagraphChar"/>
    <w:uiPriority w:val="34"/>
    <w:qFormat/>
    <w:rsid w:val="00385323"/>
    <w:pPr>
      <w:ind w:left="720"/>
      <w:contextualSpacing/>
    </w:pPr>
  </w:style>
  <w:style w:type="character" w:styleId="CommentReference">
    <w:name w:val="annotation reference"/>
    <w:basedOn w:val="DefaultParagraphFont"/>
    <w:uiPriority w:val="99"/>
    <w:semiHidden/>
    <w:unhideWhenUsed/>
    <w:rsid w:val="009F42DB"/>
    <w:rPr>
      <w:sz w:val="16"/>
      <w:szCs w:val="16"/>
    </w:rPr>
  </w:style>
  <w:style w:type="paragraph" w:styleId="CommentText">
    <w:name w:val="annotation text"/>
    <w:basedOn w:val="Normal"/>
    <w:link w:val="CommentTextChar"/>
    <w:uiPriority w:val="99"/>
    <w:unhideWhenUsed/>
    <w:rsid w:val="009F42DB"/>
    <w:pPr>
      <w:spacing w:line="240" w:lineRule="auto"/>
    </w:pPr>
    <w:rPr>
      <w:szCs w:val="20"/>
    </w:rPr>
  </w:style>
  <w:style w:type="character" w:customStyle="1" w:styleId="CommentTextChar">
    <w:name w:val="Comment Text Char"/>
    <w:basedOn w:val="DefaultParagraphFont"/>
    <w:link w:val="CommentText"/>
    <w:uiPriority w:val="99"/>
    <w:rsid w:val="009F42DB"/>
    <w:rPr>
      <w:sz w:val="20"/>
      <w:szCs w:val="20"/>
    </w:rPr>
  </w:style>
  <w:style w:type="paragraph" w:styleId="CommentSubject">
    <w:name w:val="annotation subject"/>
    <w:basedOn w:val="CommentText"/>
    <w:next w:val="CommentText"/>
    <w:link w:val="CommentSubjectChar"/>
    <w:uiPriority w:val="99"/>
    <w:semiHidden/>
    <w:unhideWhenUsed/>
    <w:rsid w:val="009F42DB"/>
    <w:rPr>
      <w:b/>
      <w:bCs/>
    </w:rPr>
  </w:style>
  <w:style w:type="character" w:customStyle="1" w:styleId="CommentSubjectChar">
    <w:name w:val="Comment Subject Char"/>
    <w:basedOn w:val="CommentTextChar"/>
    <w:link w:val="CommentSubject"/>
    <w:uiPriority w:val="99"/>
    <w:semiHidden/>
    <w:rsid w:val="009F42DB"/>
    <w:rPr>
      <w:b/>
      <w:bCs/>
      <w:sz w:val="20"/>
      <w:szCs w:val="20"/>
    </w:rPr>
  </w:style>
  <w:style w:type="paragraph" w:styleId="BalloonText">
    <w:name w:val="Balloon Text"/>
    <w:basedOn w:val="Normal"/>
    <w:link w:val="BalloonTextChar"/>
    <w:uiPriority w:val="99"/>
    <w:semiHidden/>
    <w:unhideWhenUsed/>
    <w:rsid w:val="009F4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2DB"/>
    <w:rPr>
      <w:rFonts w:ascii="Segoe UI" w:hAnsi="Segoe UI" w:cs="Segoe UI"/>
      <w:sz w:val="18"/>
      <w:szCs w:val="18"/>
    </w:rPr>
  </w:style>
  <w:style w:type="paragraph" w:styleId="Revision">
    <w:name w:val="Revision"/>
    <w:hidden/>
    <w:uiPriority w:val="99"/>
    <w:semiHidden/>
    <w:rsid w:val="00183C95"/>
    <w:pPr>
      <w:spacing w:after="0" w:line="240" w:lineRule="auto"/>
    </w:pPr>
  </w:style>
  <w:style w:type="paragraph" w:styleId="TOCHeading">
    <w:name w:val="TOC Heading"/>
    <w:basedOn w:val="Heading1"/>
    <w:next w:val="Normal"/>
    <w:uiPriority w:val="39"/>
    <w:unhideWhenUsed/>
    <w:qFormat/>
    <w:rsid w:val="00F81E99"/>
    <w:pPr>
      <w:outlineLvl w:val="9"/>
    </w:pPr>
    <w:rPr>
      <w:lang w:val="en-US"/>
    </w:rPr>
  </w:style>
  <w:style w:type="paragraph" w:styleId="TOC2">
    <w:name w:val="toc 2"/>
    <w:basedOn w:val="Normal"/>
    <w:next w:val="Normal"/>
    <w:autoRedefine/>
    <w:uiPriority w:val="39"/>
    <w:unhideWhenUsed/>
    <w:rsid w:val="00F81E99"/>
    <w:pPr>
      <w:spacing w:after="100"/>
      <w:ind w:left="220"/>
    </w:pPr>
  </w:style>
  <w:style w:type="paragraph" w:styleId="TOC3">
    <w:name w:val="toc 3"/>
    <w:basedOn w:val="Normal"/>
    <w:next w:val="Normal"/>
    <w:autoRedefine/>
    <w:uiPriority w:val="39"/>
    <w:unhideWhenUsed/>
    <w:rsid w:val="00F81E99"/>
    <w:pPr>
      <w:spacing w:after="100"/>
      <w:ind w:left="440"/>
    </w:pPr>
  </w:style>
  <w:style w:type="paragraph" w:styleId="FootnoteText">
    <w:name w:val="footnote text"/>
    <w:basedOn w:val="Normal"/>
    <w:link w:val="FootnoteTextChar"/>
    <w:uiPriority w:val="99"/>
    <w:unhideWhenUsed/>
    <w:rsid w:val="005C73EB"/>
    <w:pPr>
      <w:spacing w:after="0" w:line="240" w:lineRule="auto"/>
    </w:pPr>
    <w:rPr>
      <w:sz w:val="16"/>
      <w:szCs w:val="20"/>
    </w:rPr>
  </w:style>
  <w:style w:type="character" w:customStyle="1" w:styleId="FootnoteTextChar">
    <w:name w:val="Footnote Text Char"/>
    <w:basedOn w:val="DefaultParagraphFont"/>
    <w:link w:val="FootnoteText"/>
    <w:uiPriority w:val="99"/>
    <w:rsid w:val="005C73EB"/>
    <w:rPr>
      <w:rFonts w:ascii="Arial" w:hAnsi="Arial"/>
      <w:sz w:val="16"/>
      <w:szCs w:val="20"/>
    </w:rPr>
  </w:style>
  <w:style w:type="character" w:styleId="FootnoteReference">
    <w:name w:val="footnote reference"/>
    <w:basedOn w:val="DefaultParagraphFont"/>
    <w:uiPriority w:val="99"/>
    <w:semiHidden/>
    <w:unhideWhenUsed/>
    <w:rsid w:val="00223763"/>
    <w:rPr>
      <w:vertAlign w:val="superscript"/>
    </w:rPr>
  </w:style>
  <w:style w:type="paragraph" w:styleId="Header">
    <w:name w:val="header"/>
    <w:basedOn w:val="Normal"/>
    <w:link w:val="HeaderChar"/>
    <w:unhideWhenUsed/>
    <w:rsid w:val="00F96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4BD"/>
  </w:style>
  <w:style w:type="paragraph" w:styleId="Footer">
    <w:name w:val="footer"/>
    <w:basedOn w:val="Normal"/>
    <w:link w:val="FooterChar"/>
    <w:uiPriority w:val="99"/>
    <w:unhideWhenUsed/>
    <w:rsid w:val="00F96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4BD"/>
  </w:style>
  <w:style w:type="paragraph" w:styleId="Title">
    <w:name w:val="Title"/>
    <w:basedOn w:val="Normal"/>
    <w:next w:val="Normal"/>
    <w:link w:val="TitleChar"/>
    <w:uiPriority w:val="10"/>
    <w:qFormat/>
    <w:rsid w:val="008E1B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1BE1"/>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9F529F"/>
    <w:pPr>
      <w:spacing w:after="100"/>
    </w:pPr>
  </w:style>
  <w:style w:type="table" w:styleId="TableGrid">
    <w:name w:val="Table Grid"/>
    <w:basedOn w:val="TableNormal"/>
    <w:uiPriority w:val="39"/>
    <w:rsid w:val="00DC1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C3A26"/>
    <w:pPr>
      <w:spacing w:after="200" w:line="240" w:lineRule="auto"/>
    </w:pPr>
    <w:rPr>
      <w:i/>
      <w:iCs/>
      <w:color w:val="44546A" w:themeColor="text2"/>
      <w:sz w:val="18"/>
      <w:szCs w:val="18"/>
    </w:rPr>
  </w:style>
  <w:style w:type="paragraph" w:styleId="NoSpacing">
    <w:name w:val="No Spacing"/>
    <w:uiPriority w:val="1"/>
    <w:qFormat/>
    <w:rsid w:val="002F2354"/>
    <w:pPr>
      <w:spacing w:after="0" w:line="240" w:lineRule="auto"/>
      <w:jc w:val="both"/>
    </w:pPr>
    <w:rPr>
      <w:rFonts w:ascii="Garamond" w:hAnsi="Garamond"/>
    </w:rPr>
  </w:style>
  <w:style w:type="paragraph" w:styleId="NormalWeb">
    <w:name w:val="Normal (Web)"/>
    <w:basedOn w:val="Normal"/>
    <w:uiPriority w:val="99"/>
    <w:semiHidden/>
    <w:unhideWhenUsed/>
    <w:rsid w:val="009D1582"/>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paragraph" w:styleId="BodyText">
    <w:name w:val="Body Text"/>
    <w:basedOn w:val="Normal"/>
    <w:link w:val="BodyTextChar"/>
    <w:uiPriority w:val="1"/>
    <w:qFormat/>
    <w:rsid w:val="005B6CCE"/>
    <w:pPr>
      <w:widowControl w:val="0"/>
      <w:autoSpaceDE w:val="0"/>
      <w:autoSpaceDN w:val="0"/>
      <w:spacing w:before="120" w:after="120" w:line="240" w:lineRule="auto"/>
      <w:jc w:val="left"/>
    </w:pPr>
    <w:rPr>
      <w:rFonts w:ascii="Calibri" w:eastAsia="Calibri" w:hAnsi="Calibri" w:cs="Calibri"/>
    </w:rPr>
  </w:style>
  <w:style w:type="character" w:customStyle="1" w:styleId="BodyTextChar">
    <w:name w:val="Body Text Char"/>
    <w:basedOn w:val="DefaultParagraphFont"/>
    <w:link w:val="BodyText"/>
    <w:uiPriority w:val="1"/>
    <w:rsid w:val="005B6CCE"/>
    <w:rPr>
      <w:rFonts w:ascii="Calibri" w:eastAsia="Calibri" w:hAnsi="Calibri" w:cs="Calibri"/>
    </w:rPr>
  </w:style>
  <w:style w:type="character" w:styleId="PlaceholderText">
    <w:name w:val="Placeholder Text"/>
    <w:basedOn w:val="DefaultParagraphFont"/>
    <w:uiPriority w:val="99"/>
    <w:semiHidden/>
    <w:rsid w:val="00B30600"/>
    <w:rPr>
      <w:color w:val="808080"/>
    </w:rPr>
  </w:style>
  <w:style w:type="paragraph" w:styleId="TOC4">
    <w:name w:val="toc 4"/>
    <w:basedOn w:val="Normal"/>
    <w:next w:val="Normal"/>
    <w:autoRedefine/>
    <w:uiPriority w:val="39"/>
    <w:unhideWhenUsed/>
    <w:rsid w:val="00B53FAE"/>
    <w:pPr>
      <w:spacing w:after="100"/>
      <w:ind w:left="660"/>
      <w:jc w:val="left"/>
    </w:pPr>
    <w:rPr>
      <w:rFonts w:asciiTheme="minorHAnsi" w:eastAsiaTheme="minorEastAsia" w:hAnsiTheme="minorHAnsi"/>
      <w:lang w:eastAsia="en-AU"/>
    </w:rPr>
  </w:style>
  <w:style w:type="paragraph" w:styleId="TOC5">
    <w:name w:val="toc 5"/>
    <w:basedOn w:val="Normal"/>
    <w:next w:val="Normal"/>
    <w:autoRedefine/>
    <w:uiPriority w:val="39"/>
    <w:unhideWhenUsed/>
    <w:rsid w:val="00B53FAE"/>
    <w:pPr>
      <w:spacing w:after="100"/>
      <w:ind w:left="880"/>
      <w:jc w:val="left"/>
    </w:pPr>
    <w:rPr>
      <w:rFonts w:asciiTheme="minorHAnsi" w:eastAsiaTheme="minorEastAsia" w:hAnsiTheme="minorHAnsi"/>
      <w:lang w:eastAsia="en-AU"/>
    </w:rPr>
  </w:style>
  <w:style w:type="paragraph" w:styleId="TOC6">
    <w:name w:val="toc 6"/>
    <w:basedOn w:val="Normal"/>
    <w:next w:val="Normal"/>
    <w:autoRedefine/>
    <w:uiPriority w:val="39"/>
    <w:unhideWhenUsed/>
    <w:rsid w:val="00B53FAE"/>
    <w:pPr>
      <w:spacing w:after="100"/>
      <w:ind w:left="1100"/>
      <w:jc w:val="left"/>
    </w:pPr>
    <w:rPr>
      <w:rFonts w:asciiTheme="minorHAnsi" w:eastAsiaTheme="minorEastAsia" w:hAnsiTheme="minorHAnsi"/>
      <w:lang w:eastAsia="en-AU"/>
    </w:rPr>
  </w:style>
  <w:style w:type="paragraph" w:styleId="TOC7">
    <w:name w:val="toc 7"/>
    <w:basedOn w:val="Normal"/>
    <w:next w:val="Normal"/>
    <w:autoRedefine/>
    <w:uiPriority w:val="39"/>
    <w:unhideWhenUsed/>
    <w:rsid w:val="00B53FAE"/>
    <w:pPr>
      <w:spacing w:after="100"/>
      <w:ind w:left="1320"/>
      <w:jc w:val="left"/>
    </w:pPr>
    <w:rPr>
      <w:rFonts w:asciiTheme="minorHAnsi" w:eastAsiaTheme="minorEastAsia" w:hAnsiTheme="minorHAnsi"/>
      <w:lang w:eastAsia="en-AU"/>
    </w:rPr>
  </w:style>
  <w:style w:type="paragraph" w:styleId="TOC8">
    <w:name w:val="toc 8"/>
    <w:basedOn w:val="Normal"/>
    <w:next w:val="Normal"/>
    <w:autoRedefine/>
    <w:uiPriority w:val="39"/>
    <w:unhideWhenUsed/>
    <w:rsid w:val="00B53FAE"/>
    <w:pPr>
      <w:spacing w:after="100"/>
      <w:ind w:left="1540"/>
      <w:jc w:val="left"/>
    </w:pPr>
    <w:rPr>
      <w:rFonts w:asciiTheme="minorHAnsi" w:eastAsiaTheme="minorEastAsia" w:hAnsiTheme="minorHAnsi"/>
      <w:lang w:eastAsia="en-AU"/>
    </w:rPr>
  </w:style>
  <w:style w:type="paragraph" w:styleId="TOC9">
    <w:name w:val="toc 9"/>
    <w:basedOn w:val="Normal"/>
    <w:next w:val="Normal"/>
    <w:autoRedefine/>
    <w:uiPriority w:val="39"/>
    <w:unhideWhenUsed/>
    <w:rsid w:val="00B53FAE"/>
    <w:pPr>
      <w:spacing w:after="100"/>
      <w:ind w:left="1760"/>
      <w:jc w:val="left"/>
    </w:pPr>
    <w:rPr>
      <w:rFonts w:asciiTheme="minorHAnsi" w:eastAsiaTheme="minorEastAsia" w:hAnsiTheme="minorHAnsi"/>
      <w:lang w:eastAsia="en-AU"/>
    </w:rPr>
  </w:style>
  <w:style w:type="character" w:styleId="FollowedHyperlink">
    <w:name w:val="FollowedHyperlink"/>
    <w:basedOn w:val="DefaultParagraphFont"/>
    <w:uiPriority w:val="99"/>
    <w:semiHidden/>
    <w:unhideWhenUsed/>
    <w:rsid w:val="00C920B4"/>
    <w:rPr>
      <w:color w:val="954F72" w:themeColor="followedHyperlink"/>
      <w:u w:val="single"/>
    </w:rPr>
  </w:style>
  <w:style w:type="character" w:customStyle="1" w:styleId="ListParagraphChar">
    <w:name w:val="List Paragraph Char"/>
    <w:link w:val="ListParagraph"/>
    <w:uiPriority w:val="34"/>
    <w:rsid w:val="00B0152E"/>
    <w:rPr>
      <w:rFonts w:ascii="Garamond" w:hAnsi="Garamond"/>
    </w:rPr>
  </w:style>
  <w:style w:type="character" w:customStyle="1" w:styleId="Heading6Char">
    <w:name w:val="Heading 6 Char"/>
    <w:basedOn w:val="DefaultParagraphFont"/>
    <w:link w:val="Heading6"/>
    <w:uiPriority w:val="9"/>
    <w:rsid w:val="00AE133C"/>
    <w:rPr>
      <w:rFonts w:asciiTheme="majorHAnsi" w:eastAsiaTheme="majorEastAsia" w:hAnsiTheme="majorHAnsi" w:cstheme="majorBidi"/>
      <w:color w:val="1F3763" w:themeColor="accent1" w:themeShade="7F"/>
    </w:rPr>
  </w:style>
  <w:style w:type="paragraph" w:customStyle="1" w:styleId="N-line3">
    <w:name w:val="N-line3"/>
    <w:basedOn w:val="Normal"/>
    <w:next w:val="Normal"/>
    <w:rsid w:val="007247D1"/>
    <w:pPr>
      <w:pBdr>
        <w:bottom w:val="single" w:sz="12" w:space="1" w:color="auto"/>
      </w:pBdr>
      <w:spacing w:after="0" w:line="240" w:lineRule="auto"/>
    </w:pPr>
    <w:rPr>
      <w:rFonts w:ascii="Times New Roman" w:eastAsia="Times New Roman" w:hAnsi="Times New Roman" w:cs="Times New Roman"/>
      <w:sz w:val="24"/>
      <w:szCs w:val="20"/>
    </w:rPr>
  </w:style>
  <w:style w:type="paragraph" w:customStyle="1" w:styleId="madeunder">
    <w:name w:val="made under"/>
    <w:basedOn w:val="Normal"/>
    <w:rsid w:val="007247D1"/>
    <w:pPr>
      <w:spacing w:before="180" w:after="60" w:line="240" w:lineRule="auto"/>
    </w:pPr>
    <w:rPr>
      <w:rFonts w:ascii="Times New Roman" w:eastAsia="Times New Roman" w:hAnsi="Times New Roman" w:cs="Times New Roman"/>
      <w:sz w:val="24"/>
      <w:szCs w:val="20"/>
    </w:rPr>
  </w:style>
  <w:style w:type="paragraph" w:customStyle="1" w:styleId="CoverActName">
    <w:name w:val="CoverActName"/>
    <w:basedOn w:val="Normal"/>
    <w:rsid w:val="007247D1"/>
    <w:pPr>
      <w:tabs>
        <w:tab w:val="left" w:pos="2600"/>
      </w:tabs>
      <w:spacing w:before="200" w:after="60" w:line="240" w:lineRule="auto"/>
    </w:pPr>
    <w:rPr>
      <w:rFonts w:eastAsia="Times New Roman" w:cs="Times New Roman"/>
      <w:b/>
      <w:sz w:val="24"/>
      <w:szCs w:val="20"/>
    </w:rPr>
  </w:style>
  <w:style w:type="paragraph" w:customStyle="1" w:styleId="Style1">
    <w:name w:val="Style1"/>
    <w:basedOn w:val="Heading1"/>
    <w:qFormat/>
    <w:rsid w:val="007247D1"/>
  </w:style>
  <w:style w:type="paragraph" w:customStyle="1" w:styleId="Billname">
    <w:name w:val="Billname"/>
    <w:basedOn w:val="Normal"/>
    <w:rsid w:val="0073764F"/>
    <w:pPr>
      <w:tabs>
        <w:tab w:val="left" w:pos="2400"/>
        <w:tab w:val="left" w:pos="2880"/>
      </w:tabs>
      <w:spacing w:before="1220" w:after="100" w:line="240" w:lineRule="auto"/>
      <w:jc w:val="left"/>
    </w:pPr>
    <w:rPr>
      <w:rFonts w:eastAsia="Times New Roman" w:cs="Times New Roman"/>
      <w:b/>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011">
      <w:bodyDiv w:val="1"/>
      <w:marLeft w:val="0"/>
      <w:marRight w:val="0"/>
      <w:marTop w:val="0"/>
      <w:marBottom w:val="0"/>
      <w:divBdr>
        <w:top w:val="none" w:sz="0" w:space="0" w:color="auto"/>
        <w:left w:val="none" w:sz="0" w:space="0" w:color="auto"/>
        <w:bottom w:val="none" w:sz="0" w:space="0" w:color="auto"/>
        <w:right w:val="none" w:sz="0" w:space="0" w:color="auto"/>
      </w:divBdr>
      <w:divsChild>
        <w:div w:id="1537040949">
          <w:marLeft w:val="547"/>
          <w:marRight w:val="0"/>
          <w:marTop w:val="0"/>
          <w:marBottom w:val="0"/>
          <w:divBdr>
            <w:top w:val="none" w:sz="0" w:space="0" w:color="auto"/>
            <w:left w:val="none" w:sz="0" w:space="0" w:color="auto"/>
            <w:bottom w:val="none" w:sz="0" w:space="0" w:color="auto"/>
            <w:right w:val="none" w:sz="0" w:space="0" w:color="auto"/>
          </w:divBdr>
        </w:div>
        <w:div w:id="1208565608">
          <w:marLeft w:val="1166"/>
          <w:marRight w:val="0"/>
          <w:marTop w:val="0"/>
          <w:marBottom w:val="0"/>
          <w:divBdr>
            <w:top w:val="none" w:sz="0" w:space="0" w:color="auto"/>
            <w:left w:val="none" w:sz="0" w:space="0" w:color="auto"/>
            <w:bottom w:val="none" w:sz="0" w:space="0" w:color="auto"/>
            <w:right w:val="none" w:sz="0" w:space="0" w:color="auto"/>
          </w:divBdr>
        </w:div>
        <w:div w:id="2030058073">
          <w:marLeft w:val="1166"/>
          <w:marRight w:val="0"/>
          <w:marTop w:val="0"/>
          <w:marBottom w:val="0"/>
          <w:divBdr>
            <w:top w:val="none" w:sz="0" w:space="0" w:color="auto"/>
            <w:left w:val="none" w:sz="0" w:space="0" w:color="auto"/>
            <w:bottom w:val="none" w:sz="0" w:space="0" w:color="auto"/>
            <w:right w:val="none" w:sz="0" w:space="0" w:color="auto"/>
          </w:divBdr>
        </w:div>
      </w:divsChild>
    </w:div>
    <w:div w:id="136921289">
      <w:bodyDiv w:val="1"/>
      <w:marLeft w:val="0"/>
      <w:marRight w:val="0"/>
      <w:marTop w:val="0"/>
      <w:marBottom w:val="0"/>
      <w:divBdr>
        <w:top w:val="none" w:sz="0" w:space="0" w:color="auto"/>
        <w:left w:val="none" w:sz="0" w:space="0" w:color="auto"/>
        <w:bottom w:val="none" w:sz="0" w:space="0" w:color="auto"/>
        <w:right w:val="none" w:sz="0" w:space="0" w:color="auto"/>
      </w:divBdr>
    </w:div>
    <w:div w:id="209533421">
      <w:bodyDiv w:val="1"/>
      <w:marLeft w:val="0"/>
      <w:marRight w:val="0"/>
      <w:marTop w:val="0"/>
      <w:marBottom w:val="0"/>
      <w:divBdr>
        <w:top w:val="none" w:sz="0" w:space="0" w:color="auto"/>
        <w:left w:val="none" w:sz="0" w:space="0" w:color="auto"/>
        <w:bottom w:val="none" w:sz="0" w:space="0" w:color="auto"/>
        <w:right w:val="none" w:sz="0" w:space="0" w:color="auto"/>
      </w:divBdr>
    </w:div>
    <w:div w:id="247619137">
      <w:bodyDiv w:val="1"/>
      <w:marLeft w:val="0"/>
      <w:marRight w:val="0"/>
      <w:marTop w:val="0"/>
      <w:marBottom w:val="0"/>
      <w:divBdr>
        <w:top w:val="none" w:sz="0" w:space="0" w:color="auto"/>
        <w:left w:val="none" w:sz="0" w:space="0" w:color="auto"/>
        <w:bottom w:val="none" w:sz="0" w:space="0" w:color="auto"/>
        <w:right w:val="none" w:sz="0" w:space="0" w:color="auto"/>
      </w:divBdr>
    </w:div>
    <w:div w:id="253443668">
      <w:bodyDiv w:val="1"/>
      <w:marLeft w:val="0"/>
      <w:marRight w:val="0"/>
      <w:marTop w:val="0"/>
      <w:marBottom w:val="0"/>
      <w:divBdr>
        <w:top w:val="none" w:sz="0" w:space="0" w:color="auto"/>
        <w:left w:val="none" w:sz="0" w:space="0" w:color="auto"/>
        <w:bottom w:val="none" w:sz="0" w:space="0" w:color="auto"/>
        <w:right w:val="none" w:sz="0" w:space="0" w:color="auto"/>
      </w:divBdr>
      <w:divsChild>
        <w:div w:id="955867080">
          <w:marLeft w:val="547"/>
          <w:marRight w:val="0"/>
          <w:marTop w:val="0"/>
          <w:marBottom w:val="0"/>
          <w:divBdr>
            <w:top w:val="none" w:sz="0" w:space="0" w:color="auto"/>
            <w:left w:val="none" w:sz="0" w:space="0" w:color="auto"/>
            <w:bottom w:val="none" w:sz="0" w:space="0" w:color="auto"/>
            <w:right w:val="none" w:sz="0" w:space="0" w:color="auto"/>
          </w:divBdr>
        </w:div>
      </w:divsChild>
    </w:div>
    <w:div w:id="331220894">
      <w:bodyDiv w:val="1"/>
      <w:marLeft w:val="0"/>
      <w:marRight w:val="0"/>
      <w:marTop w:val="0"/>
      <w:marBottom w:val="0"/>
      <w:divBdr>
        <w:top w:val="none" w:sz="0" w:space="0" w:color="auto"/>
        <w:left w:val="none" w:sz="0" w:space="0" w:color="auto"/>
        <w:bottom w:val="none" w:sz="0" w:space="0" w:color="auto"/>
        <w:right w:val="none" w:sz="0" w:space="0" w:color="auto"/>
      </w:divBdr>
    </w:div>
    <w:div w:id="417335319">
      <w:bodyDiv w:val="1"/>
      <w:marLeft w:val="0"/>
      <w:marRight w:val="0"/>
      <w:marTop w:val="0"/>
      <w:marBottom w:val="0"/>
      <w:divBdr>
        <w:top w:val="none" w:sz="0" w:space="0" w:color="auto"/>
        <w:left w:val="none" w:sz="0" w:space="0" w:color="auto"/>
        <w:bottom w:val="none" w:sz="0" w:space="0" w:color="auto"/>
        <w:right w:val="none" w:sz="0" w:space="0" w:color="auto"/>
      </w:divBdr>
      <w:divsChild>
        <w:div w:id="1578516545">
          <w:marLeft w:val="547"/>
          <w:marRight w:val="0"/>
          <w:marTop w:val="0"/>
          <w:marBottom w:val="0"/>
          <w:divBdr>
            <w:top w:val="none" w:sz="0" w:space="0" w:color="auto"/>
            <w:left w:val="none" w:sz="0" w:space="0" w:color="auto"/>
            <w:bottom w:val="none" w:sz="0" w:space="0" w:color="auto"/>
            <w:right w:val="none" w:sz="0" w:space="0" w:color="auto"/>
          </w:divBdr>
        </w:div>
      </w:divsChild>
    </w:div>
    <w:div w:id="524951460">
      <w:bodyDiv w:val="1"/>
      <w:marLeft w:val="0"/>
      <w:marRight w:val="0"/>
      <w:marTop w:val="0"/>
      <w:marBottom w:val="0"/>
      <w:divBdr>
        <w:top w:val="none" w:sz="0" w:space="0" w:color="auto"/>
        <w:left w:val="none" w:sz="0" w:space="0" w:color="auto"/>
        <w:bottom w:val="none" w:sz="0" w:space="0" w:color="auto"/>
        <w:right w:val="none" w:sz="0" w:space="0" w:color="auto"/>
      </w:divBdr>
      <w:divsChild>
        <w:div w:id="1007559763">
          <w:marLeft w:val="547"/>
          <w:marRight w:val="0"/>
          <w:marTop w:val="0"/>
          <w:marBottom w:val="0"/>
          <w:divBdr>
            <w:top w:val="none" w:sz="0" w:space="0" w:color="auto"/>
            <w:left w:val="none" w:sz="0" w:space="0" w:color="auto"/>
            <w:bottom w:val="none" w:sz="0" w:space="0" w:color="auto"/>
            <w:right w:val="none" w:sz="0" w:space="0" w:color="auto"/>
          </w:divBdr>
        </w:div>
      </w:divsChild>
    </w:div>
    <w:div w:id="534201317">
      <w:bodyDiv w:val="1"/>
      <w:marLeft w:val="0"/>
      <w:marRight w:val="0"/>
      <w:marTop w:val="0"/>
      <w:marBottom w:val="0"/>
      <w:divBdr>
        <w:top w:val="none" w:sz="0" w:space="0" w:color="auto"/>
        <w:left w:val="none" w:sz="0" w:space="0" w:color="auto"/>
        <w:bottom w:val="none" w:sz="0" w:space="0" w:color="auto"/>
        <w:right w:val="none" w:sz="0" w:space="0" w:color="auto"/>
      </w:divBdr>
      <w:divsChild>
        <w:div w:id="472721058">
          <w:marLeft w:val="547"/>
          <w:marRight w:val="0"/>
          <w:marTop w:val="0"/>
          <w:marBottom w:val="0"/>
          <w:divBdr>
            <w:top w:val="none" w:sz="0" w:space="0" w:color="auto"/>
            <w:left w:val="none" w:sz="0" w:space="0" w:color="auto"/>
            <w:bottom w:val="none" w:sz="0" w:space="0" w:color="auto"/>
            <w:right w:val="none" w:sz="0" w:space="0" w:color="auto"/>
          </w:divBdr>
        </w:div>
      </w:divsChild>
    </w:div>
    <w:div w:id="690909672">
      <w:bodyDiv w:val="1"/>
      <w:marLeft w:val="0"/>
      <w:marRight w:val="0"/>
      <w:marTop w:val="0"/>
      <w:marBottom w:val="0"/>
      <w:divBdr>
        <w:top w:val="none" w:sz="0" w:space="0" w:color="auto"/>
        <w:left w:val="none" w:sz="0" w:space="0" w:color="auto"/>
        <w:bottom w:val="none" w:sz="0" w:space="0" w:color="auto"/>
        <w:right w:val="none" w:sz="0" w:space="0" w:color="auto"/>
      </w:divBdr>
    </w:div>
    <w:div w:id="906721077">
      <w:bodyDiv w:val="1"/>
      <w:marLeft w:val="0"/>
      <w:marRight w:val="0"/>
      <w:marTop w:val="0"/>
      <w:marBottom w:val="0"/>
      <w:divBdr>
        <w:top w:val="none" w:sz="0" w:space="0" w:color="auto"/>
        <w:left w:val="none" w:sz="0" w:space="0" w:color="auto"/>
        <w:bottom w:val="none" w:sz="0" w:space="0" w:color="auto"/>
        <w:right w:val="none" w:sz="0" w:space="0" w:color="auto"/>
      </w:divBdr>
    </w:div>
    <w:div w:id="930889275">
      <w:bodyDiv w:val="1"/>
      <w:marLeft w:val="0"/>
      <w:marRight w:val="0"/>
      <w:marTop w:val="0"/>
      <w:marBottom w:val="0"/>
      <w:divBdr>
        <w:top w:val="none" w:sz="0" w:space="0" w:color="auto"/>
        <w:left w:val="none" w:sz="0" w:space="0" w:color="auto"/>
        <w:bottom w:val="none" w:sz="0" w:space="0" w:color="auto"/>
        <w:right w:val="none" w:sz="0" w:space="0" w:color="auto"/>
      </w:divBdr>
      <w:divsChild>
        <w:div w:id="907155912">
          <w:marLeft w:val="547"/>
          <w:marRight w:val="0"/>
          <w:marTop w:val="0"/>
          <w:marBottom w:val="0"/>
          <w:divBdr>
            <w:top w:val="none" w:sz="0" w:space="0" w:color="auto"/>
            <w:left w:val="none" w:sz="0" w:space="0" w:color="auto"/>
            <w:bottom w:val="none" w:sz="0" w:space="0" w:color="auto"/>
            <w:right w:val="none" w:sz="0" w:space="0" w:color="auto"/>
          </w:divBdr>
        </w:div>
        <w:div w:id="705373845">
          <w:marLeft w:val="1166"/>
          <w:marRight w:val="0"/>
          <w:marTop w:val="0"/>
          <w:marBottom w:val="0"/>
          <w:divBdr>
            <w:top w:val="none" w:sz="0" w:space="0" w:color="auto"/>
            <w:left w:val="none" w:sz="0" w:space="0" w:color="auto"/>
            <w:bottom w:val="none" w:sz="0" w:space="0" w:color="auto"/>
            <w:right w:val="none" w:sz="0" w:space="0" w:color="auto"/>
          </w:divBdr>
        </w:div>
        <w:div w:id="769935549">
          <w:marLeft w:val="1166"/>
          <w:marRight w:val="0"/>
          <w:marTop w:val="0"/>
          <w:marBottom w:val="0"/>
          <w:divBdr>
            <w:top w:val="none" w:sz="0" w:space="0" w:color="auto"/>
            <w:left w:val="none" w:sz="0" w:space="0" w:color="auto"/>
            <w:bottom w:val="none" w:sz="0" w:space="0" w:color="auto"/>
            <w:right w:val="none" w:sz="0" w:space="0" w:color="auto"/>
          </w:divBdr>
        </w:div>
        <w:div w:id="1234047214">
          <w:marLeft w:val="1166"/>
          <w:marRight w:val="0"/>
          <w:marTop w:val="0"/>
          <w:marBottom w:val="0"/>
          <w:divBdr>
            <w:top w:val="none" w:sz="0" w:space="0" w:color="auto"/>
            <w:left w:val="none" w:sz="0" w:space="0" w:color="auto"/>
            <w:bottom w:val="none" w:sz="0" w:space="0" w:color="auto"/>
            <w:right w:val="none" w:sz="0" w:space="0" w:color="auto"/>
          </w:divBdr>
        </w:div>
        <w:div w:id="1279294951">
          <w:marLeft w:val="1166"/>
          <w:marRight w:val="0"/>
          <w:marTop w:val="0"/>
          <w:marBottom w:val="0"/>
          <w:divBdr>
            <w:top w:val="none" w:sz="0" w:space="0" w:color="auto"/>
            <w:left w:val="none" w:sz="0" w:space="0" w:color="auto"/>
            <w:bottom w:val="none" w:sz="0" w:space="0" w:color="auto"/>
            <w:right w:val="none" w:sz="0" w:space="0" w:color="auto"/>
          </w:divBdr>
        </w:div>
        <w:div w:id="595093279">
          <w:marLeft w:val="1166"/>
          <w:marRight w:val="0"/>
          <w:marTop w:val="0"/>
          <w:marBottom w:val="0"/>
          <w:divBdr>
            <w:top w:val="none" w:sz="0" w:space="0" w:color="auto"/>
            <w:left w:val="none" w:sz="0" w:space="0" w:color="auto"/>
            <w:bottom w:val="none" w:sz="0" w:space="0" w:color="auto"/>
            <w:right w:val="none" w:sz="0" w:space="0" w:color="auto"/>
          </w:divBdr>
        </w:div>
      </w:divsChild>
    </w:div>
    <w:div w:id="974140256">
      <w:bodyDiv w:val="1"/>
      <w:marLeft w:val="0"/>
      <w:marRight w:val="0"/>
      <w:marTop w:val="0"/>
      <w:marBottom w:val="0"/>
      <w:divBdr>
        <w:top w:val="none" w:sz="0" w:space="0" w:color="auto"/>
        <w:left w:val="none" w:sz="0" w:space="0" w:color="auto"/>
        <w:bottom w:val="none" w:sz="0" w:space="0" w:color="auto"/>
        <w:right w:val="none" w:sz="0" w:space="0" w:color="auto"/>
      </w:divBdr>
    </w:div>
    <w:div w:id="980966959">
      <w:bodyDiv w:val="1"/>
      <w:marLeft w:val="0"/>
      <w:marRight w:val="0"/>
      <w:marTop w:val="0"/>
      <w:marBottom w:val="0"/>
      <w:divBdr>
        <w:top w:val="none" w:sz="0" w:space="0" w:color="auto"/>
        <w:left w:val="none" w:sz="0" w:space="0" w:color="auto"/>
        <w:bottom w:val="none" w:sz="0" w:space="0" w:color="auto"/>
        <w:right w:val="none" w:sz="0" w:space="0" w:color="auto"/>
      </w:divBdr>
      <w:divsChild>
        <w:div w:id="1353187606">
          <w:marLeft w:val="547"/>
          <w:marRight w:val="0"/>
          <w:marTop w:val="0"/>
          <w:marBottom w:val="0"/>
          <w:divBdr>
            <w:top w:val="none" w:sz="0" w:space="0" w:color="auto"/>
            <w:left w:val="none" w:sz="0" w:space="0" w:color="auto"/>
            <w:bottom w:val="none" w:sz="0" w:space="0" w:color="auto"/>
            <w:right w:val="none" w:sz="0" w:space="0" w:color="auto"/>
          </w:divBdr>
        </w:div>
      </w:divsChild>
    </w:div>
    <w:div w:id="989677506">
      <w:bodyDiv w:val="1"/>
      <w:marLeft w:val="0"/>
      <w:marRight w:val="0"/>
      <w:marTop w:val="0"/>
      <w:marBottom w:val="0"/>
      <w:divBdr>
        <w:top w:val="none" w:sz="0" w:space="0" w:color="auto"/>
        <w:left w:val="none" w:sz="0" w:space="0" w:color="auto"/>
        <w:bottom w:val="none" w:sz="0" w:space="0" w:color="auto"/>
        <w:right w:val="none" w:sz="0" w:space="0" w:color="auto"/>
      </w:divBdr>
      <w:divsChild>
        <w:div w:id="105780854">
          <w:marLeft w:val="0"/>
          <w:marRight w:val="0"/>
          <w:marTop w:val="0"/>
          <w:marBottom w:val="0"/>
          <w:divBdr>
            <w:top w:val="none" w:sz="0" w:space="0" w:color="auto"/>
            <w:left w:val="none" w:sz="0" w:space="0" w:color="auto"/>
            <w:bottom w:val="none" w:sz="0" w:space="0" w:color="auto"/>
            <w:right w:val="none" w:sz="0" w:space="0" w:color="auto"/>
          </w:divBdr>
        </w:div>
        <w:div w:id="739252057">
          <w:marLeft w:val="0"/>
          <w:marRight w:val="0"/>
          <w:marTop w:val="0"/>
          <w:marBottom w:val="0"/>
          <w:divBdr>
            <w:top w:val="none" w:sz="0" w:space="0" w:color="auto"/>
            <w:left w:val="none" w:sz="0" w:space="0" w:color="auto"/>
            <w:bottom w:val="none" w:sz="0" w:space="0" w:color="auto"/>
            <w:right w:val="none" w:sz="0" w:space="0" w:color="auto"/>
          </w:divBdr>
        </w:div>
        <w:div w:id="805925769">
          <w:marLeft w:val="0"/>
          <w:marRight w:val="0"/>
          <w:marTop w:val="0"/>
          <w:marBottom w:val="0"/>
          <w:divBdr>
            <w:top w:val="none" w:sz="0" w:space="0" w:color="auto"/>
            <w:left w:val="none" w:sz="0" w:space="0" w:color="auto"/>
            <w:bottom w:val="none" w:sz="0" w:space="0" w:color="auto"/>
            <w:right w:val="none" w:sz="0" w:space="0" w:color="auto"/>
          </w:divBdr>
        </w:div>
        <w:div w:id="906303718">
          <w:marLeft w:val="0"/>
          <w:marRight w:val="0"/>
          <w:marTop w:val="0"/>
          <w:marBottom w:val="0"/>
          <w:divBdr>
            <w:top w:val="none" w:sz="0" w:space="0" w:color="auto"/>
            <w:left w:val="none" w:sz="0" w:space="0" w:color="auto"/>
            <w:bottom w:val="none" w:sz="0" w:space="0" w:color="auto"/>
            <w:right w:val="none" w:sz="0" w:space="0" w:color="auto"/>
          </w:divBdr>
        </w:div>
        <w:div w:id="2112163115">
          <w:marLeft w:val="0"/>
          <w:marRight w:val="0"/>
          <w:marTop w:val="0"/>
          <w:marBottom w:val="0"/>
          <w:divBdr>
            <w:top w:val="none" w:sz="0" w:space="0" w:color="auto"/>
            <w:left w:val="none" w:sz="0" w:space="0" w:color="auto"/>
            <w:bottom w:val="none" w:sz="0" w:space="0" w:color="auto"/>
            <w:right w:val="none" w:sz="0" w:space="0" w:color="auto"/>
          </w:divBdr>
        </w:div>
      </w:divsChild>
    </w:div>
    <w:div w:id="990138338">
      <w:bodyDiv w:val="1"/>
      <w:marLeft w:val="0"/>
      <w:marRight w:val="0"/>
      <w:marTop w:val="0"/>
      <w:marBottom w:val="0"/>
      <w:divBdr>
        <w:top w:val="none" w:sz="0" w:space="0" w:color="auto"/>
        <w:left w:val="none" w:sz="0" w:space="0" w:color="auto"/>
        <w:bottom w:val="none" w:sz="0" w:space="0" w:color="auto"/>
        <w:right w:val="none" w:sz="0" w:space="0" w:color="auto"/>
      </w:divBdr>
      <w:divsChild>
        <w:div w:id="1477993435">
          <w:marLeft w:val="547"/>
          <w:marRight w:val="0"/>
          <w:marTop w:val="0"/>
          <w:marBottom w:val="0"/>
          <w:divBdr>
            <w:top w:val="none" w:sz="0" w:space="0" w:color="auto"/>
            <w:left w:val="none" w:sz="0" w:space="0" w:color="auto"/>
            <w:bottom w:val="none" w:sz="0" w:space="0" w:color="auto"/>
            <w:right w:val="none" w:sz="0" w:space="0" w:color="auto"/>
          </w:divBdr>
        </w:div>
        <w:div w:id="850528546">
          <w:marLeft w:val="1166"/>
          <w:marRight w:val="0"/>
          <w:marTop w:val="0"/>
          <w:marBottom w:val="0"/>
          <w:divBdr>
            <w:top w:val="none" w:sz="0" w:space="0" w:color="auto"/>
            <w:left w:val="none" w:sz="0" w:space="0" w:color="auto"/>
            <w:bottom w:val="none" w:sz="0" w:space="0" w:color="auto"/>
            <w:right w:val="none" w:sz="0" w:space="0" w:color="auto"/>
          </w:divBdr>
        </w:div>
        <w:div w:id="2067727901">
          <w:marLeft w:val="1166"/>
          <w:marRight w:val="0"/>
          <w:marTop w:val="0"/>
          <w:marBottom w:val="0"/>
          <w:divBdr>
            <w:top w:val="none" w:sz="0" w:space="0" w:color="auto"/>
            <w:left w:val="none" w:sz="0" w:space="0" w:color="auto"/>
            <w:bottom w:val="none" w:sz="0" w:space="0" w:color="auto"/>
            <w:right w:val="none" w:sz="0" w:space="0" w:color="auto"/>
          </w:divBdr>
        </w:div>
        <w:div w:id="138153742">
          <w:marLeft w:val="1166"/>
          <w:marRight w:val="0"/>
          <w:marTop w:val="0"/>
          <w:marBottom w:val="0"/>
          <w:divBdr>
            <w:top w:val="none" w:sz="0" w:space="0" w:color="auto"/>
            <w:left w:val="none" w:sz="0" w:space="0" w:color="auto"/>
            <w:bottom w:val="none" w:sz="0" w:space="0" w:color="auto"/>
            <w:right w:val="none" w:sz="0" w:space="0" w:color="auto"/>
          </w:divBdr>
        </w:div>
        <w:div w:id="1397630771">
          <w:marLeft w:val="1166"/>
          <w:marRight w:val="0"/>
          <w:marTop w:val="0"/>
          <w:marBottom w:val="0"/>
          <w:divBdr>
            <w:top w:val="none" w:sz="0" w:space="0" w:color="auto"/>
            <w:left w:val="none" w:sz="0" w:space="0" w:color="auto"/>
            <w:bottom w:val="none" w:sz="0" w:space="0" w:color="auto"/>
            <w:right w:val="none" w:sz="0" w:space="0" w:color="auto"/>
          </w:divBdr>
        </w:div>
        <w:div w:id="1184635417">
          <w:marLeft w:val="1166"/>
          <w:marRight w:val="0"/>
          <w:marTop w:val="0"/>
          <w:marBottom w:val="0"/>
          <w:divBdr>
            <w:top w:val="none" w:sz="0" w:space="0" w:color="auto"/>
            <w:left w:val="none" w:sz="0" w:space="0" w:color="auto"/>
            <w:bottom w:val="none" w:sz="0" w:space="0" w:color="auto"/>
            <w:right w:val="none" w:sz="0" w:space="0" w:color="auto"/>
          </w:divBdr>
        </w:div>
      </w:divsChild>
    </w:div>
    <w:div w:id="1032609370">
      <w:bodyDiv w:val="1"/>
      <w:marLeft w:val="0"/>
      <w:marRight w:val="0"/>
      <w:marTop w:val="0"/>
      <w:marBottom w:val="0"/>
      <w:divBdr>
        <w:top w:val="none" w:sz="0" w:space="0" w:color="auto"/>
        <w:left w:val="none" w:sz="0" w:space="0" w:color="auto"/>
        <w:bottom w:val="none" w:sz="0" w:space="0" w:color="auto"/>
        <w:right w:val="none" w:sz="0" w:space="0" w:color="auto"/>
      </w:divBdr>
    </w:div>
    <w:div w:id="1041172478">
      <w:bodyDiv w:val="1"/>
      <w:marLeft w:val="0"/>
      <w:marRight w:val="0"/>
      <w:marTop w:val="0"/>
      <w:marBottom w:val="0"/>
      <w:divBdr>
        <w:top w:val="none" w:sz="0" w:space="0" w:color="auto"/>
        <w:left w:val="none" w:sz="0" w:space="0" w:color="auto"/>
        <w:bottom w:val="none" w:sz="0" w:space="0" w:color="auto"/>
        <w:right w:val="none" w:sz="0" w:space="0" w:color="auto"/>
      </w:divBdr>
    </w:div>
    <w:div w:id="1044215820">
      <w:bodyDiv w:val="1"/>
      <w:marLeft w:val="0"/>
      <w:marRight w:val="0"/>
      <w:marTop w:val="0"/>
      <w:marBottom w:val="0"/>
      <w:divBdr>
        <w:top w:val="none" w:sz="0" w:space="0" w:color="auto"/>
        <w:left w:val="none" w:sz="0" w:space="0" w:color="auto"/>
        <w:bottom w:val="none" w:sz="0" w:space="0" w:color="auto"/>
        <w:right w:val="none" w:sz="0" w:space="0" w:color="auto"/>
      </w:divBdr>
    </w:div>
    <w:div w:id="1052269714">
      <w:bodyDiv w:val="1"/>
      <w:marLeft w:val="0"/>
      <w:marRight w:val="0"/>
      <w:marTop w:val="0"/>
      <w:marBottom w:val="0"/>
      <w:divBdr>
        <w:top w:val="none" w:sz="0" w:space="0" w:color="auto"/>
        <w:left w:val="none" w:sz="0" w:space="0" w:color="auto"/>
        <w:bottom w:val="none" w:sz="0" w:space="0" w:color="auto"/>
        <w:right w:val="none" w:sz="0" w:space="0" w:color="auto"/>
      </w:divBdr>
    </w:div>
    <w:div w:id="1067801711">
      <w:bodyDiv w:val="1"/>
      <w:marLeft w:val="0"/>
      <w:marRight w:val="0"/>
      <w:marTop w:val="0"/>
      <w:marBottom w:val="0"/>
      <w:divBdr>
        <w:top w:val="none" w:sz="0" w:space="0" w:color="auto"/>
        <w:left w:val="none" w:sz="0" w:space="0" w:color="auto"/>
        <w:bottom w:val="none" w:sz="0" w:space="0" w:color="auto"/>
        <w:right w:val="none" w:sz="0" w:space="0" w:color="auto"/>
      </w:divBdr>
    </w:div>
    <w:div w:id="1093088275">
      <w:bodyDiv w:val="1"/>
      <w:marLeft w:val="0"/>
      <w:marRight w:val="0"/>
      <w:marTop w:val="0"/>
      <w:marBottom w:val="0"/>
      <w:divBdr>
        <w:top w:val="none" w:sz="0" w:space="0" w:color="auto"/>
        <w:left w:val="none" w:sz="0" w:space="0" w:color="auto"/>
        <w:bottom w:val="none" w:sz="0" w:space="0" w:color="auto"/>
        <w:right w:val="none" w:sz="0" w:space="0" w:color="auto"/>
      </w:divBdr>
    </w:div>
    <w:div w:id="1123573655">
      <w:bodyDiv w:val="1"/>
      <w:marLeft w:val="0"/>
      <w:marRight w:val="0"/>
      <w:marTop w:val="0"/>
      <w:marBottom w:val="0"/>
      <w:divBdr>
        <w:top w:val="none" w:sz="0" w:space="0" w:color="auto"/>
        <w:left w:val="none" w:sz="0" w:space="0" w:color="auto"/>
        <w:bottom w:val="none" w:sz="0" w:space="0" w:color="auto"/>
        <w:right w:val="none" w:sz="0" w:space="0" w:color="auto"/>
      </w:divBdr>
    </w:div>
    <w:div w:id="1157069811">
      <w:bodyDiv w:val="1"/>
      <w:marLeft w:val="0"/>
      <w:marRight w:val="0"/>
      <w:marTop w:val="0"/>
      <w:marBottom w:val="0"/>
      <w:divBdr>
        <w:top w:val="none" w:sz="0" w:space="0" w:color="auto"/>
        <w:left w:val="none" w:sz="0" w:space="0" w:color="auto"/>
        <w:bottom w:val="none" w:sz="0" w:space="0" w:color="auto"/>
        <w:right w:val="none" w:sz="0" w:space="0" w:color="auto"/>
      </w:divBdr>
    </w:div>
    <w:div w:id="1173180830">
      <w:bodyDiv w:val="1"/>
      <w:marLeft w:val="0"/>
      <w:marRight w:val="0"/>
      <w:marTop w:val="0"/>
      <w:marBottom w:val="0"/>
      <w:divBdr>
        <w:top w:val="none" w:sz="0" w:space="0" w:color="auto"/>
        <w:left w:val="none" w:sz="0" w:space="0" w:color="auto"/>
        <w:bottom w:val="none" w:sz="0" w:space="0" w:color="auto"/>
        <w:right w:val="none" w:sz="0" w:space="0" w:color="auto"/>
      </w:divBdr>
      <w:divsChild>
        <w:div w:id="44455025">
          <w:marLeft w:val="547"/>
          <w:marRight w:val="0"/>
          <w:marTop w:val="0"/>
          <w:marBottom w:val="0"/>
          <w:divBdr>
            <w:top w:val="none" w:sz="0" w:space="0" w:color="auto"/>
            <w:left w:val="none" w:sz="0" w:space="0" w:color="auto"/>
            <w:bottom w:val="none" w:sz="0" w:space="0" w:color="auto"/>
            <w:right w:val="none" w:sz="0" w:space="0" w:color="auto"/>
          </w:divBdr>
        </w:div>
        <w:div w:id="1037972814">
          <w:marLeft w:val="1166"/>
          <w:marRight w:val="0"/>
          <w:marTop w:val="0"/>
          <w:marBottom w:val="0"/>
          <w:divBdr>
            <w:top w:val="none" w:sz="0" w:space="0" w:color="auto"/>
            <w:left w:val="none" w:sz="0" w:space="0" w:color="auto"/>
            <w:bottom w:val="none" w:sz="0" w:space="0" w:color="auto"/>
            <w:right w:val="none" w:sz="0" w:space="0" w:color="auto"/>
          </w:divBdr>
        </w:div>
        <w:div w:id="1230919468">
          <w:marLeft w:val="1166"/>
          <w:marRight w:val="0"/>
          <w:marTop w:val="0"/>
          <w:marBottom w:val="0"/>
          <w:divBdr>
            <w:top w:val="none" w:sz="0" w:space="0" w:color="auto"/>
            <w:left w:val="none" w:sz="0" w:space="0" w:color="auto"/>
            <w:bottom w:val="none" w:sz="0" w:space="0" w:color="auto"/>
            <w:right w:val="none" w:sz="0" w:space="0" w:color="auto"/>
          </w:divBdr>
        </w:div>
        <w:div w:id="542058453">
          <w:marLeft w:val="1166"/>
          <w:marRight w:val="0"/>
          <w:marTop w:val="0"/>
          <w:marBottom w:val="0"/>
          <w:divBdr>
            <w:top w:val="none" w:sz="0" w:space="0" w:color="auto"/>
            <w:left w:val="none" w:sz="0" w:space="0" w:color="auto"/>
            <w:bottom w:val="none" w:sz="0" w:space="0" w:color="auto"/>
            <w:right w:val="none" w:sz="0" w:space="0" w:color="auto"/>
          </w:divBdr>
        </w:div>
        <w:div w:id="1855805016">
          <w:marLeft w:val="1166"/>
          <w:marRight w:val="0"/>
          <w:marTop w:val="0"/>
          <w:marBottom w:val="0"/>
          <w:divBdr>
            <w:top w:val="none" w:sz="0" w:space="0" w:color="auto"/>
            <w:left w:val="none" w:sz="0" w:space="0" w:color="auto"/>
            <w:bottom w:val="none" w:sz="0" w:space="0" w:color="auto"/>
            <w:right w:val="none" w:sz="0" w:space="0" w:color="auto"/>
          </w:divBdr>
        </w:div>
        <w:div w:id="964118231">
          <w:marLeft w:val="1166"/>
          <w:marRight w:val="0"/>
          <w:marTop w:val="0"/>
          <w:marBottom w:val="0"/>
          <w:divBdr>
            <w:top w:val="none" w:sz="0" w:space="0" w:color="auto"/>
            <w:left w:val="none" w:sz="0" w:space="0" w:color="auto"/>
            <w:bottom w:val="none" w:sz="0" w:space="0" w:color="auto"/>
            <w:right w:val="none" w:sz="0" w:space="0" w:color="auto"/>
          </w:divBdr>
        </w:div>
      </w:divsChild>
    </w:div>
    <w:div w:id="1221163049">
      <w:bodyDiv w:val="1"/>
      <w:marLeft w:val="0"/>
      <w:marRight w:val="0"/>
      <w:marTop w:val="0"/>
      <w:marBottom w:val="0"/>
      <w:divBdr>
        <w:top w:val="none" w:sz="0" w:space="0" w:color="auto"/>
        <w:left w:val="none" w:sz="0" w:space="0" w:color="auto"/>
        <w:bottom w:val="none" w:sz="0" w:space="0" w:color="auto"/>
        <w:right w:val="none" w:sz="0" w:space="0" w:color="auto"/>
      </w:divBdr>
    </w:div>
    <w:div w:id="1438871183">
      <w:bodyDiv w:val="1"/>
      <w:marLeft w:val="0"/>
      <w:marRight w:val="0"/>
      <w:marTop w:val="0"/>
      <w:marBottom w:val="0"/>
      <w:divBdr>
        <w:top w:val="none" w:sz="0" w:space="0" w:color="auto"/>
        <w:left w:val="none" w:sz="0" w:space="0" w:color="auto"/>
        <w:bottom w:val="none" w:sz="0" w:space="0" w:color="auto"/>
        <w:right w:val="none" w:sz="0" w:space="0" w:color="auto"/>
      </w:divBdr>
    </w:div>
    <w:div w:id="1451702521">
      <w:bodyDiv w:val="1"/>
      <w:marLeft w:val="0"/>
      <w:marRight w:val="0"/>
      <w:marTop w:val="0"/>
      <w:marBottom w:val="0"/>
      <w:divBdr>
        <w:top w:val="none" w:sz="0" w:space="0" w:color="auto"/>
        <w:left w:val="none" w:sz="0" w:space="0" w:color="auto"/>
        <w:bottom w:val="none" w:sz="0" w:space="0" w:color="auto"/>
        <w:right w:val="none" w:sz="0" w:space="0" w:color="auto"/>
      </w:divBdr>
    </w:div>
    <w:div w:id="1500386438">
      <w:bodyDiv w:val="1"/>
      <w:marLeft w:val="0"/>
      <w:marRight w:val="0"/>
      <w:marTop w:val="0"/>
      <w:marBottom w:val="0"/>
      <w:divBdr>
        <w:top w:val="none" w:sz="0" w:space="0" w:color="auto"/>
        <w:left w:val="none" w:sz="0" w:space="0" w:color="auto"/>
        <w:bottom w:val="none" w:sz="0" w:space="0" w:color="auto"/>
        <w:right w:val="none" w:sz="0" w:space="0" w:color="auto"/>
      </w:divBdr>
    </w:div>
    <w:div w:id="1562212087">
      <w:bodyDiv w:val="1"/>
      <w:marLeft w:val="0"/>
      <w:marRight w:val="0"/>
      <w:marTop w:val="0"/>
      <w:marBottom w:val="0"/>
      <w:divBdr>
        <w:top w:val="none" w:sz="0" w:space="0" w:color="auto"/>
        <w:left w:val="none" w:sz="0" w:space="0" w:color="auto"/>
        <w:bottom w:val="none" w:sz="0" w:space="0" w:color="auto"/>
        <w:right w:val="none" w:sz="0" w:space="0" w:color="auto"/>
      </w:divBdr>
    </w:div>
    <w:div w:id="1602684296">
      <w:bodyDiv w:val="1"/>
      <w:marLeft w:val="0"/>
      <w:marRight w:val="0"/>
      <w:marTop w:val="0"/>
      <w:marBottom w:val="0"/>
      <w:divBdr>
        <w:top w:val="none" w:sz="0" w:space="0" w:color="auto"/>
        <w:left w:val="none" w:sz="0" w:space="0" w:color="auto"/>
        <w:bottom w:val="none" w:sz="0" w:space="0" w:color="auto"/>
        <w:right w:val="none" w:sz="0" w:space="0" w:color="auto"/>
      </w:divBdr>
    </w:div>
    <w:div w:id="1856072999">
      <w:bodyDiv w:val="1"/>
      <w:marLeft w:val="0"/>
      <w:marRight w:val="0"/>
      <w:marTop w:val="0"/>
      <w:marBottom w:val="0"/>
      <w:divBdr>
        <w:top w:val="none" w:sz="0" w:space="0" w:color="auto"/>
        <w:left w:val="none" w:sz="0" w:space="0" w:color="auto"/>
        <w:bottom w:val="none" w:sz="0" w:space="0" w:color="auto"/>
        <w:right w:val="none" w:sz="0" w:space="0" w:color="auto"/>
      </w:divBdr>
    </w:div>
    <w:div w:id="1887830743">
      <w:bodyDiv w:val="1"/>
      <w:marLeft w:val="0"/>
      <w:marRight w:val="0"/>
      <w:marTop w:val="0"/>
      <w:marBottom w:val="0"/>
      <w:divBdr>
        <w:top w:val="none" w:sz="0" w:space="0" w:color="auto"/>
        <w:left w:val="none" w:sz="0" w:space="0" w:color="auto"/>
        <w:bottom w:val="none" w:sz="0" w:space="0" w:color="auto"/>
        <w:right w:val="none" w:sz="0" w:space="0" w:color="auto"/>
      </w:divBdr>
    </w:div>
    <w:div w:id="2025158570">
      <w:bodyDiv w:val="1"/>
      <w:marLeft w:val="0"/>
      <w:marRight w:val="0"/>
      <w:marTop w:val="0"/>
      <w:marBottom w:val="0"/>
      <w:divBdr>
        <w:top w:val="none" w:sz="0" w:space="0" w:color="auto"/>
        <w:left w:val="none" w:sz="0" w:space="0" w:color="auto"/>
        <w:bottom w:val="none" w:sz="0" w:space="0" w:color="auto"/>
        <w:right w:val="none" w:sz="0" w:space="0" w:color="auto"/>
      </w:divBdr>
    </w:div>
    <w:div w:id="2046831508">
      <w:bodyDiv w:val="1"/>
      <w:marLeft w:val="0"/>
      <w:marRight w:val="0"/>
      <w:marTop w:val="0"/>
      <w:marBottom w:val="0"/>
      <w:divBdr>
        <w:top w:val="none" w:sz="0" w:space="0" w:color="auto"/>
        <w:left w:val="none" w:sz="0" w:space="0" w:color="auto"/>
        <w:bottom w:val="none" w:sz="0" w:space="0" w:color="auto"/>
        <w:right w:val="none" w:sz="0" w:space="0" w:color="auto"/>
      </w:divBdr>
      <w:divsChild>
        <w:div w:id="30038990">
          <w:marLeft w:val="0"/>
          <w:marRight w:val="0"/>
          <w:marTop w:val="0"/>
          <w:marBottom w:val="0"/>
          <w:divBdr>
            <w:top w:val="none" w:sz="0" w:space="0" w:color="auto"/>
            <w:left w:val="none" w:sz="0" w:space="0" w:color="auto"/>
            <w:bottom w:val="none" w:sz="0" w:space="0" w:color="auto"/>
            <w:right w:val="none" w:sz="0" w:space="0" w:color="auto"/>
          </w:divBdr>
        </w:div>
        <w:div w:id="138502986">
          <w:marLeft w:val="0"/>
          <w:marRight w:val="0"/>
          <w:marTop w:val="0"/>
          <w:marBottom w:val="0"/>
          <w:divBdr>
            <w:top w:val="none" w:sz="0" w:space="0" w:color="auto"/>
            <w:left w:val="none" w:sz="0" w:space="0" w:color="auto"/>
            <w:bottom w:val="none" w:sz="0" w:space="0" w:color="auto"/>
            <w:right w:val="none" w:sz="0" w:space="0" w:color="auto"/>
          </w:divBdr>
        </w:div>
        <w:div w:id="636910792">
          <w:marLeft w:val="0"/>
          <w:marRight w:val="0"/>
          <w:marTop w:val="0"/>
          <w:marBottom w:val="0"/>
          <w:divBdr>
            <w:top w:val="none" w:sz="0" w:space="0" w:color="auto"/>
            <w:left w:val="none" w:sz="0" w:space="0" w:color="auto"/>
            <w:bottom w:val="none" w:sz="0" w:space="0" w:color="auto"/>
            <w:right w:val="none" w:sz="0" w:space="0" w:color="auto"/>
          </w:divBdr>
        </w:div>
        <w:div w:id="962341564">
          <w:marLeft w:val="0"/>
          <w:marRight w:val="0"/>
          <w:marTop w:val="0"/>
          <w:marBottom w:val="0"/>
          <w:divBdr>
            <w:top w:val="none" w:sz="0" w:space="0" w:color="auto"/>
            <w:left w:val="none" w:sz="0" w:space="0" w:color="auto"/>
            <w:bottom w:val="none" w:sz="0" w:space="0" w:color="auto"/>
            <w:right w:val="none" w:sz="0" w:space="0" w:color="auto"/>
          </w:divBdr>
        </w:div>
        <w:div w:id="1173303324">
          <w:marLeft w:val="0"/>
          <w:marRight w:val="0"/>
          <w:marTop w:val="0"/>
          <w:marBottom w:val="0"/>
          <w:divBdr>
            <w:top w:val="none" w:sz="0" w:space="0" w:color="auto"/>
            <w:left w:val="none" w:sz="0" w:space="0" w:color="auto"/>
            <w:bottom w:val="none" w:sz="0" w:space="0" w:color="auto"/>
            <w:right w:val="none" w:sz="0" w:space="0" w:color="auto"/>
          </w:divBdr>
        </w:div>
      </w:divsChild>
    </w:div>
    <w:div w:id="2064676556">
      <w:bodyDiv w:val="1"/>
      <w:marLeft w:val="0"/>
      <w:marRight w:val="0"/>
      <w:marTop w:val="0"/>
      <w:marBottom w:val="0"/>
      <w:divBdr>
        <w:top w:val="none" w:sz="0" w:space="0" w:color="auto"/>
        <w:left w:val="none" w:sz="0" w:space="0" w:color="auto"/>
        <w:bottom w:val="none" w:sz="0" w:space="0" w:color="auto"/>
        <w:right w:val="none" w:sz="0" w:space="0" w:color="auto"/>
      </w:divBdr>
    </w:div>
    <w:div w:id="2079015772">
      <w:bodyDiv w:val="1"/>
      <w:marLeft w:val="0"/>
      <w:marRight w:val="0"/>
      <w:marTop w:val="0"/>
      <w:marBottom w:val="0"/>
      <w:divBdr>
        <w:top w:val="none" w:sz="0" w:space="0" w:color="auto"/>
        <w:left w:val="none" w:sz="0" w:space="0" w:color="auto"/>
        <w:bottom w:val="none" w:sz="0" w:space="0" w:color="auto"/>
        <w:right w:val="none" w:sz="0" w:space="0" w:color="auto"/>
      </w:divBdr>
    </w:div>
    <w:div w:id="2085567180">
      <w:bodyDiv w:val="1"/>
      <w:marLeft w:val="0"/>
      <w:marRight w:val="0"/>
      <w:marTop w:val="0"/>
      <w:marBottom w:val="0"/>
      <w:divBdr>
        <w:top w:val="none" w:sz="0" w:space="0" w:color="auto"/>
        <w:left w:val="none" w:sz="0" w:space="0" w:color="auto"/>
        <w:bottom w:val="none" w:sz="0" w:space="0" w:color="auto"/>
        <w:right w:val="none" w:sz="0" w:space="0" w:color="auto"/>
      </w:divBdr>
      <w:divsChild>
        <w:div w:id="358703050">
          <w:marLeft w:val="547"/>
          <w:marRight w:val="0"/>
          <w:marTop w:val="0"/>
          <w:marBottom w:val="0"/>
          <w:divBdr>
            <w:top w:val="none" w:sz="0" w:space="0" w:color="auto"/>
            <w:left w:val="none" w:sz="0" w:space="0" w:color="auto"/>
            <w:bottom w:val="none" w:sz="0" w:space="0" w:color="auto"/>
            <w:right w:val="none" w:sz="0" w:space="0" w:color="auto"/>
          </w:divBdr>
        </w:div>
      </w:divsChild>
    </w:div>
    <w:div w:id="2092655752">
      <w:bodyDiv w:val="1"/>
      <w:marLeft w:val="0"/>
      <w:marRight w:val="0"/>
      <w:marTop w:val="0"/>
      <w:marBottom w:val="0"/>
      <w:divBdr>
        <w:top w:val="none" w:sz="0" w:space="0" w:color="auto"/>
        <w:left w:val="none" w:sz="0" w:space="0" w:color="auto"/>
        <w:bottom w:val="none" w:sz="0" w:space="0" w:color="auto"/>
        <w:right w:val="none" w:sz="0" w:space="0" w:color="auto"/>
      </w:divBdr>
      <w:divsChild>
        <w:div w:id="355083074">
          <w:marLeft w:val="0"/>
          <w:marRight w:val="0"/>
          <w:marTop w:val="0"/>
          <w:marBottom w:val="0"/>
          <w:divBdr>
            <w:top w:val="none" w:sz="0" w:space="0" w:color="auto"/>
            <w:left w:val="none" w:sz="0" w:space="0" w:color="auto"/>
            <w:bottom w:val="none" w:sz="0" w:space="0" w:color="auto"/>
            <w:right w:val="none" w:sz="0" w:space="0" w:color="auto"/>
          </w:divBdr>
        </w:div>
        <w:div w:id="594556090">
          <w:marLeft w:val="0"/>
          <w:marRight w:val="0"/>
          <w:marTop w:val="0"/>
          <w:marBottom w:val="0"/>
          <w:divBdr>
            <w:top w:val="none" w:sz="0" w:space="0" w:color="auto"/>
            <w:left w:val="none" w:sz="0" w:space="0" w:color="auto"/>
            <w:bottom w:val="none" w:sz="0" w:space="0" w:color="auto"/>
            <w:right w:val="none" w:sz="0" w:space="0" w:color="auto"/>
          </w:divBdr>
        </w:div>
        <w:div w:id="839736083">
          <w:marLeft w:val="0"/>
          <w:marRight w:val="0"/>
          <w:marTop w:val="0"/>
          <w:marBottom w:val="0"/>
          <w:divBdr>
            <w:top w:val="none" w:sz="0" w:space="0" w:color="auto"/>
            <w:left w:val="none" w:sz="0" w:space="0" w:color="auto"/>
            <w:bottom w:val="none" w:sz="0" w:space="0" w:color="auto"/>
            <w:right w:val="none" w:sz="0" w:space="0" w:color="auto"/>
          </w:divBdr>
        </w:div>
        <w:div w:id="1309283489">
          <w:marLeft w:val="0"/>
          <w:marRight w:val="0"/>
          <w:marTop w:val="0"/>
          <w:marBottom w:val="0"/>
          <w:divBdr>
            <w:top w:val="none" w:sz="0" w:space="0" w:color="auto"/>
            <w:left w:val="none" w:sz="0" w:space="0" w:color="auto"/>
            <w:bottom w:val="none" w:sz="0" w:space="0" w:color="auto"/>
            <w:right w:val="none" w:sz="0" w:space="0" w:color="auto"/>
          </w:divBdr>
        </w:div>
        <w:div w:id="1879582530">
          <w:marLeft w:val="0"/>
          <w:marRight w:val="0"/>
          <w:marTop w:val="0"/>
          <w:marBottom w:val="0"/>
          <w:divBdr>
            <w:top w:val="none" w:sz="0" w:space="0" w:color="auto"/>
            <w:left w:val="none" w:sz="0" w:space="0" w:color="auto"/>
            <w:bottom w:val="none" w:sz="0" w:space="0" w:color="auto"/>
            <w:right w:val="none" w:sz="0" w:space="0" w:color="auto"/>
          </w:divBdr>
        </w:div>
      </w:divsChild>
    </w:div>
    <w:div w:id="2108649016">
      <w:bodyDiv w:val="1"/>
      <w:marLeft w:val="0"/>
      <w:marRight w:val="0"/>
      <w:marTop w:val="0"/>
      <w:marBottom w:val="0"/>
      <w:divBdr>
        <w:top w:val="none" w:sz="0" w:space="0" w:color="auto"/>
        <w:left w:val="none" w:sz="0" w:space="0" w:color="auto"/>
        <w:bottom w:val="none" w:sz="0" w:space="0" w:color="auto"/>
        <w:right w:val="none" w:sz="0" w:space="0" w:color="auto"/>
      </w:divBdr>
      <w:divsChild>
        <w:div w:id="710613487">
          <w:marLeft w:val="547"/>
          <w:marRight w:val="0"/>
          <w:marTop w:val="0"/>
          <w:marBottom w:val="0"/>
          <w:divBdr>
            <w:top w:val="none" w:sz="0" w:space="0" w:color="auto"/>
            <w:left w:val="none" w:sz="0" w:space="0" w:color="auto"/>
            <w:bottom w:val="none" w:sz="0" w:space="0" w:color="auto"/>
            <w:right w:val="none" w:sz="0" w:space="0" w:color="auto"/>
          </w:divBdr>
        </w:div>
        <w:div w:id="1640529018">
          <w:marLeft w:val="1166"/>
          <w:marRight w:val="0"/>
          <w:marTop w:val="0"/>
          <w:marBottom w:val="0"/>
          <w:divBdr>
            <w:top w:val="none" w:sz="0" w:space="0" w:color="auto"/>
            <w:left w:val="none" w:sz="0" w:space="0" w:color="auto"/>
            <w:bottom w:val="none" w:sz="0" w:space="0" w:color="auto"/>
            <w:right w:val="none" w:sz="0" w:space="0" w:color="auto"/>
          </w:divBdr>
        </w:div>
        <w:div w:id="1097484086">
          <w:marLeft w:val="547"/>
          <w:marRight w:val="0"/>
          <w:marTop w:val="0"/>
          <w:marBottom w:val="0"/>
          <w:divBdr>
            <w:top w:val="none" w:sz="0" w:space="0" w:color="auto"/>
            <w:left w:val="none" w:sz="0" w:space="0" w:color="auto"/>
            <w:bottom w:val="none" w:sz="0" w:space="0" w:color="auto"/>
            <w:right w:val="none" w:sz="0" w:space="0" w:color="auto"/>
          </w:divBdr>
        </w:div>
        <w:div w:id="22094263">
          <w:marLeft w:val="1166"/>
          <w:marRight w:val="0"/>
          <w:marTop w:val="0"/>
          <w:marBottom w:val="0"/>
          <w:divBdr>
            <w:top w:val="none" w:sz="0" w:space="0" w:color="auto"/>
            <w:left w:val="none" w:sz="0" w:space="0" w:color="auto"/>
            <w:bottom w:val="none" w:sz="0" w:space="0" w:color="auto"/>
            <w:right w:val="none" w:sz="0" w:space="0" w:color="auto"/>
          </w:divBdr>
        </w:div>
        <w:div w:id="1092513266">
          <w:marLeft w:val="1166"/>
          <w:marRight w:val="0"/>
          <w:marTop w:val="0"/>
          <w:marBottom w:val="0"/>
          <w:divBdr>
            <w:top w:val="none" w:sz="0" w:space="0" w:color="auto"/>
            <w:left w:val="none" w:sz="0" w:space="0" w:color="auto"/>
            <w:bottom w:val="none" w:sz="0" w:space="0" w:color="auto"/>
            <w:right w:val="none" w:sz="0" w:space="0" w:color="auto"/>
          </w:divBdr>
        </w:div>
        <w:div w:id="2102138555">
          <w:marLeft w:val="547"/>
          <w:marRight w:val="0"/>
          <w:marTop w:val="0"/>
          <w:marBottom w:val="0"/>
          <w:divBdr>
            <w:top w:val="none" w:sz="0" w:space="0" w:color="auto"/>
            <w:left w:val="none" w:sz="0" w:space="0" w:color="auto"/>
            <w:bottom w:val="none" w:sz="0" w:space="0" w:color="auto"/>
            <w:right w:val="none" w:sz="0" w:space="0" w:color="auto"/>
          </w:divBdr>
        </w:div>
        <w:div w:id="1868061581">
          <w:marLeft w:val="1166"/>
          <w:marRight w:val="0"/>
          <w:marTop w:val="0"/>
          <w:marBottom w:val="0"/>
          <w:divBdr>
            <w:top w:val="none" w:sz="0" w:space="0" w:color="auto"/>
            <w:left w:val="none" w:sz="0" w:space="0" w:color="auto"/>
            <w:bottom w:val="none" w:sz="0" w:space="0" w:color="auto"/>
            <w:right w:val="none" w:sz="0" w:space="0" w:color="auto"/>
          </w:divBdr>
        </w:div>
        <w:div w:id="124547342">
          <w:marLeft w:val="1166"/>
          <w:marRight w:val="0"/>
          <w:marTop w:val="0"/>
          <w:marBottom w:val="0"/>
          <w:divBdr>
            <w:top w:val="none" w:sz="0" w:space="0" w:color="auto"/>
            <w:left w:val="none" w:sz="0" w:space="0" w:color="auto"/>
            <w:bottom w:val="none" w:sz="0" w:space="0" w:color="auto"/>
            <w:right w:val="none" w:sz="0" w:space="0" w:color="auto"/>
          </w:divBdr>
        </w:div>
        <w:div w:id="736828511">
          <w:marLeft w:val="1166"/>
          <w:marRight w:val="0"/>
          <w:marTop w:val="0"/>
          <w:marBottom w:val="0"/>
          <w:divBdr>
            <w:top w:val="none" w:sz="0" w:space="0" w:color="auto"/>
            <w:left w:val="none" w:sz="0" w:space="0" w:color="auto"/>
            <w:bottom w:val="none" w:sz="0" w:space="0" w:color="auto"/>
            <w:right w:val="none" w:sz="0" w:space="0" w:color="auto"/>
          </w:divBdr>
        </w:div>
        <w:div w:id="175653378">
          <w:marLeft w:val="1800"/>
          <w:marRight w:val="0"/>
          <w:marTop w:val="0"/>
          <w:marBottom w:val="0"/>
          <w:divBdr>
            <w:top w:val="none" w:sz="0" w:space="0" w:color="auto"/>
            <w:left w:val="none" w:sz="0" w:space="0" w:color="auto"/>
            <w:bottom w:val="none" w:sz="0" w:space="0" w:color="auto"/>
            <w:right w:val="none" w:sz="0" w:space="0" w:color="auto"/>
          </w:divBdr>
        </w:div>
        <w:div w:id="763722185">
          <w:marLeft w:val="547"/>
          <w:marRight w:val="0"/>
          <w:marTop w:val="0"/>
          <w:marBottom w:val="0"/>
          <w:divBdr>
            <w:top w:val="none" w:sz="0" w:space="0" w:color="auto"/>
            <w:left w:val="none" w:sz="0" w:space="0" w:color="auto"/>
            <w:bottom w:val="none" w:sz="0" w:space="0" w:color="auto"/>
            <w:right w:val="none" w:sz="0" w:space="0" w:color="auto"/>
          </w:divBdr>
        </w:div>
        <w:div w:id="210534613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mbo.nsw.gov.au/what-we-do/our-work/public-interest-disclosure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ombudsman.qld.gov.au/improve-public-administration/public-interest-disclosure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ibac.vic.gov.au/reporting-corruption/public-interest-disclosures"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ombudsman.tas.gov.au/public-interest-disclosure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ombudsman.gov.au/Our-responsibilities/making-a-disclosur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s://www.wa.gov.au/organisation/public-sector-commission/guide-public-interest-disclosures-wa-public-authorities" TargetMode="External"/><Relationship Id="rId28"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https://www.icac.sa.gov.au/opi/public-interest-disclosures"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icac.nt.gov.au/make-a-report/reporting-corruption/what-is-a-protected-communication-formerly-whistleblower-protections" TargetMode="External"/><Relationship Id="rId27" Type="http://schemas.openxmlformats.org/officeDocument/2006/relationships/header" Target="header6.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09AE17DB184D5184A02FB61F4337B7"/>
        <w:category>
          <w:name w:val="General"/>
          <w:gallery w:val="placeholder"/>
        </w:category>
        <w:types>
          <w:type w:val="bbPlcHdr"/>
        </w:types>
        <w:behaviors>
          <w:behavior w:val="content"/>
        </w:behaviors>
        <w:guid w:val="{9686E32B-C969-4ACD-8C2D-B3B623C8CD0A}"/>
      </w:docPartPr>
      <w:docPartBody>
        <w:p w:rsidR="008758F6" w:rsidRDefault="000A3755" w:rsidP="000A3755">
          <w:pPr>
            <w:pStyle w:val="F809AE17DB184D5184A02FB61F4337B7"/>
          </w:pPr>
          <w:r w:rsidRPr="00C95503">
            <w:rPr>
              <w:rStyle w:val="PlaceholderText"/>
            </w:rPr>
            <w:t>Click or tap to enter a date.</w:t>
          </w:r>
        </w:p>
      </w:docPartBody>
    </w:docPart>
    <w:docPart>
      <w:docPartPr>
        <w:name w:val="5DBA02B6EE8E41B2A43D83B0E0757FFB"/>
        <w:category>
          <w:name w:val="General"/>
          <w:gallery w:val="placeholder"/>
        </w:category>
        <w:types>
          <w:type w:val="bbPlcHdr"/>
        </w:types>
        <w:behaviors>
          <w:behavior w:val="content"/>
        </w:behaviors>
        <w:guid w:val="{7F5378A8-C578-48AB-9F4B-C225F27E3C3E}"/>
      </w:docPartPr>
      <w:docPartBody>
        <w:p w:rsidR="008758F6" w:rsidRDefault="000A3755" w:rsidP="000A3755">
          <w:pPr>
            <w:pStyle w:val="5DBA02B6EE8E41B2A43D83B0E0757FFB"/>
          </w:pPr>
          <w:r w:rsidRPr="00C95503">
            <w:rPr>
              <w:rStyle w:val="PlaceholderText"/>
            </w:rPr>
            <w:t>Choose an item.</w:t>
          </w:r>
        </w:p>
      </w:docPartBody>
    </w:docPart>
    <w:docPart>
      <w:docPartPr>
        <w:name w:val="2A57DEDB33264698980C601E295A2979"/>
        <w:category>
          <w:name w:val="General"/>
          <w:gallery w:val="placeholder"/>
        </w:category>
        <w:types>
          <w:type w:val="bbPlcHdr"/>
        </w:types>
        <w:behaviors>
          <w:behavior w:val="content"/>
        </w:behaviors>
        <w:guid w:val="{29C41161-5429-4DED-B70D-A6E63A8F7CB8}"/>
      </w:docPartPr>
      <w:docPartBody>
        <w:p w:rsidR="008758F6" w:rsidRDefault="000A3755" w:rsidP="000A3755">
          <w:pPr>
            <w:pStyle w:val="2A57DEDB33264698980C601E295A2979"/>
          </w:pPr>
          <w:r w:rsidRPr="00C95503">
            <w:rPr>
              <w:rStyle w:val="PlaceholderText"/>
            </w:rPr>
            <w:t>Choose an item.</w:t>
          </w:r>
        </w:p>
      </w:docPartBody>
    </w:docPart>
    <w:docPart>
      <w:docPartPr>
        <w:name w:val="E850E94689004142A2F9758DA11342B6"/>
        <w:category>
          <w:name w:val="General"/>
          <w:gallery w:val="placeholder"/>
        </w:category>
        <w:types>
          <w:type w:val="bbPlcHdr"/>
        </w:types>
        <w:behaviors>
          <w:behavior w:val="content"/>
        </w:behaviors>
        <w:guid w:val="{A22C6E6C-D8AC-4014-86C2-DCBCF3B13927}"/>
      </w:docPartPr>
      <w:docPartBody>
        <w:p w:rsidR="008758F6" w:rsidRDefault="000A3755" w:rsidP="000A3755">
          <w:pPr>
            <w:pStyle w:val="E850E94689004142A2F9758DA11342B6"/>
          </w:pPr>
          <w:r w:rsidRPr="00C95503">
            <w:rPr>
              <w:rStyle w:val="PlaceholderText"/>
            </w:rPr>
            <w:t>Choose an item.</w:t>
          </w:r>
        </w:p>
      </w:docPartBody>
    </w:docPart>
    <w:docPart>
      <w:docPartPr>
        <w:name w:val="956B83CF71644EA0BCEAEC003831F1EA"/>
        <w:category>
          <w:name w:val="General"/>
          <w:gallery w:val="placeholder"/>
        </w:category>
        <w:types>
          <w:type w:val="bbPlcHdr"/>
        </w:types>
        <w:behaviors>
          <w:behavior w:val="content"/>
        </w:behaviors>
        <w:guid w:val="{EF2D36E9-A501-498D-8461-F79346346AA5}"/>
      </w:docPartPr>
      <w:docPartBody>
        <w:p w:rsidR="008758F6" w:rsidRDefault="000A3755" w:rsidP="000A3755">
          <w:pPr>
            <w:pStyle w:val="956B83CF71644EA0BCEAEC003831F1EA"/>
          </w:pPr>
          <w:r w:rsidRPr="00C95503">
            <w:rPr>
              <w:rStyle w:val="PlaceholderText"/>
            </w:rPr>
            <w:t>Choose an item.</w:t>
          </w:r>
        </w:p>
      </w:docPartBody>
    </w:docPart>
    <w:docPart>
      <w:docPartPr>
        <w:name w:val="BF9241EEDFFC4DA0955B99B602771792"/>
        <w:category>
          <w:name w:val="General"/>
          <w:gallery w:val="placeholder"/>
        </w:category>
        <w:types>
          <w:type w:val="bbPlcHdr"/>
        </w:types>
        <w:behaviors>
          <w:behavior w:val="content"/>
        </w:behaviors>
        <w:guid w:val="{1B699867-796F-4377-971E-CCF32BE0CBCA}"/>
      </w:docPartPr>
      <w:docPartBody>
        <w:p w:rsidR="008758F6" w:rsidRDefault="000A3755" w:rsidP="000A3755">
          <w:pPr>
            <w:pStyle w:val="BF9241EEDFFC4DA0955B99B602771792"/>
          </w:pPr>
          <w:r w:rsidRPr="00C95503">
            <w:rPr>
              <w:rStyle w:val="PlaceholderText"/>
            </w:rPr>
            <w:t>Choose an item.</w:t>
          </w:r>
        </w:p>
      </w:docPartBody>
    </w:docPart>
    <w:docPart>
      <w:docPartPr>
        <w:name w:val="A8560599BC4C47F8BD4F044F663B6494"/>
        <w:category>
          <w:name w:val="General"/>
          <w:gallery w:val="placeholder"/>
        </w:category>
        <w:types>
          <w:type w:val="bbPlcHdr"/>
        </w:types>
        <w:behaviors>
          <w:behavior w:val="content"/>
        </w:behaviors>
        <w:guid w:val="{2BDC49DC-DA68-46D7-9448-E4B25D3DEC36}"/>
      </w:docPartPr>
      <w:docPartBody>
        <w:p w:rsidR="008758F6" w:rsidRDefault="000A3755" w:rsidP="000A3755">
          <w:pPr>
            <w:pStyle w:val="A8560599BC4C47F8BD4F044F663B6494"/>
          </w:pPr>
          <w:r w:rsidRPr="00C95503">
            <w:rPr>
              <w:rStyle w:val="PlaceholderText"/>
            </w:rPr>
            <w:t>Choose an item.</w:t>
          </w:r>
        </w:p>
      </w:docPartBody>
    </w:docPart>
    <w:docPart>
      <w:docPartPr>
        <w:name w:val="5972EDA3A17B4F4E9DDB3F80C6C8218C"/>
        <w:category>
          <w:name w:val="General"/>
          <w:gallery w:val="placeholder"/>
        </w:category>
        <w:types>
          <w:type w:val="bbPlcHdr"/>
        </w:types>
        <w:behaviors>
          <w:behavior w:val="content"/>
        </w:behaviors>
        <w:guid w:val="{FE433957-ECD5-4C3D-9248-5F6BF8E77D9A}"/>
      </w:docPartPr>
      <w:docPartBody>
        <w:p w:rsidR="008758F6" w:rsidRDefault="000A3755" w:rsidP="000A3755">
          <w:pPr>
            <w:pStyle w:val="5972EDA3A17B4F4E9DDB3F80C6C8218C"/>
          </w:pPr>
          <w:r w:rsidRPr="00C95503">
            <w:rPr>
              <w:rStyle w:val="PlaceholderText"/>
            </w:rPr>
            <w:t>Click or tap to enter a date.</w:t>
          </w:r>
        </w:p>
      </w:docPartBody>
    </w:docPart>
    <w:docPart>
      <w:docPartPr>
        <w:name w:val="1D0AC3B2BCB24C99A369E0D04DDF5E14"/>
        <w:category>
          <w:name w:val="General"/>
          <w:gallery w:val="placeholder"/>
        </w:category>
        <w:types>
          <w:type w:val="bbPlcHdr"/>
        </w:types>
        <w:behaviors>
          <w:behavior w:val="content"/>
        </w:behaviors>
        <w:guid w:val="{67FFC4A4-4E1D-447D-8E4B-2559EAF860C7}"/>
      </w:docPartPr>
      <w:docPartBody>
        <w:p w:rsidR="00B84EF8" w:rsidRDefault="000A3755" w:rsidP="000A3755">
          <w:pPr>
            <w:pStyle w:val="1D0AC3B2BCB24C99A369E0D04DDF5E14"/>
          </w:pPr>
          <w:r w:rsidRPr="00E4320C">
            <w:rPr>
              <w:rStyle w:val="PlaceholderText"/>
            </w:rPr>
            <w:t>Click or tap to enter a date.</w:t>
          </w:r>
        </w:p>
      </w:docPartBody>
    </w:docPart>
    <w:docPart>
      <w:docPartPr>
        <w:name w:val="F95FA7F21E4D4B4384C56454B10594D4"/>
        <w:category>
          <w:name w:val="General"/>
          <w:gallery w:val="placeholder"/>
        </w:category>
        <w:types>
          <w:type w:val="bbPlcHdr"/>
        </w:types>
        <w:behaviors>
          <w:behavior w:val="content"/>
        </w:behaviors>
        <w:guid w:val="{D86B26CB-2BE7-41CA-A7AE-5437D62E5B86}"/>
      </w:docPartPr>
      <w:docPartBody>
        <w:p w:rsidR="00B84EF8" w:rsidRDefault="000A3755" w:rsidP="000A3755">
          <w:pPr>
            <w:pStyle w:val="F95FA7F21E4D4B4384C56454B10594D4"/>
          </w:pPr>
          <w:r w:rsidRPr="00E4320C">
            <w:rPr>
              <w:rStyle w:val="PlaceholderText"/>
            </w:rPr>
            <w:t>Click or tap to enter a date.</w:t>
          </w:r>
        </w:p>
      </w:docPartBody>
    </w:docPart>
    <w:docPart>
      <w:docPartPr>
        <w:name w:val="B416430F33B14B35910A004ABA48CB7A"/>
        <w:category>
          <w:name w:val="General"/>
          <w:gallery w:val="placeholder"/>
        </w:category>
        <w:types>
          <w:type w:val="bbPlcHdr"/>
        </w:types>
        <w:behaviors>
          <w:behavior w:val="content"/>
        </w:behaviors>
        <w:guid w:val="{1A64E7E1-BFA1-488B-ACA1-0111091ADC89}"/>
      </w:docPartPr>
      <w:docPartBody>
        <w:p w:rsidR="00B84EF8" w:rsidRDefault="000A3755" w:rsidP="000A3755">
          <w:pPr>
            <w:pStyle w:val="B416430F33B14B35910A004ABA48CB7A"/>
          </w:pPr>
          <w:r w:rsidRPr="00E4320C">
            <w:rPr>
              <w:rStyle w:val="PlaceholderText"/>
            </w:rPr>
            <w:t>Click or tap to enter a date.</w:t>
          </w:r>
        </w:p>
      </w:docPartBody>
    </w:docPart>
    <w:docPart>
      <w:docPartPr>
        <w:name w:val="5000593203664AD497162811F2DD0D39"/>
        <w:category>
          <w:name w:val="General"/>
          <w:gallery w:val="placeholder"/>
        </w:category>
        <w:types>
          <w:type w:val="bbPlcHdr"/>
        </w:types>
        <w:behaviors>
          <w:behavior w:val="content"/>
        </w:behaviors>
        <w:guid w:val="{88126515-6BAA-4D1F-8E15-AFB26C8CA7D5}"/>
      </w:docPartPr>
      <w:docPartBody>
        <w:p w:rsidR="00B84EF8" w:rsidRDefault="000A3755" w:rsidP="000A3755">
          <w:pPr>
            <w:pStyle w:val="5000593203664AD497162811F2DD0D39"/>
          </w:pPr>
          <w:r w:rsidRPr="00E4320C">
            <w:rPr>
              <w:rStyle w:val="PlaceholderText"/>
            </w:rPr>
            <w:t>Click or tap to enter a date.</w:t>
          </w:r>
        </w:p>
      </w:docPartBody>
    </w:docPart>
    <w:docPart>
      <w:docPartPr>
        <w:name w:val="990224987F3D4C60AFFDB61C9174B154"/>
        <w:category>
          <w:name w:val="General"/>
          <w:gallery w:val="placeholder"/>
        </w:category>
        <w:types>
          <w:type w:val="bbPlcHdr"/>
        </w:types>
        <w:behaviors>
          <w:behavior w:val="content"/>
        </w:behaviors>
        <w:guid w:val="{6776AD4E-EA4E-4E3C-8550-1D9B3401525A}"/>
      </w:docPartPr>
      <w:docPartBody>
        <w:p w:rsidR="00B84EF8" w:rsidRDefault="000A3755" w:rsidP="000A3755">
          <w:pPr>
            <w:pStyle w:val="990224987F3D4C60AFFDB61C9174B154"/>
          </w:pPr>
          <w:r w:rsidRPr="00E4320C">
            <w:rPr>
              <w:rStyle w:val="PlaceholderText"/>
            </w:rPr>
            <w:t>Click or tap to enter a date.</w:t>
          </w:r>
        </w:p>
      </w:docPartBody>
    </w:docPart>
    <w:docPart>
      <w:docPartPr>
        <w:name w:val="3DE0CC872C774BD98D132F120A4DBDA1"/>
        <w:category>
          <w:name w:val="General"/>
          <w:gallery w:val="placeholder"/>
        </w:category>
        <w:types>
          <w:type w:val="bbPlcHdr"/>
        </w:types>
        <w:behaviors>
          <w:behavior w:val="content"/>
        </w:behaviors>
        <w:guid w:val="{3C05B2FC-9AB6-4CCE-BEEE-CE0DC66CC00A}"/>
      </w:docPartPr>
      <w:docPartBody>
        <w:p w:rsidR="00B84EF8" w:rsidRDefault="000A3755" w:rsidP="000A3755">
          <w:pPr>
            <w:pStyle w:val="3DE0CC872C774BD98D132F120A4DBDA1"/>
          </w:pPr>
          <w:r w:rsidRPr="006C75E0">
            <w:rPr>
              <w:rStyle w:val="PlaceholderText"/>
            </w:rPr>
            <w:t>Choose an item.</w:t>
          </w:r>
        </w:p>
      </w:docPartBody>
    </w:docPart>
    <w:docPart>
      <w:docPartPr>
        <w:name w:val="DF6F66992683426C8C482504FD0E3C8D"/>
        <w:category>
          <w:name w:val="General"/>
          <w:gallery w:val="placeholder"/>
        </w:category>
        <w:types>
          <w:type w:val="bbPlcHdr"/>
        </w:types>
        <w:behaviors>
          <w:behavior w:val="content"/>
        </w:behaviors>
        <w:guid w:val="{2EDB5108-B5B7-4E88-8831-7D85867EB8C1}"/>
      </w:docPartPr>
      <w:docPartBody>
        <w:p w:rsidR="00B84EF8" w:rsidRDefault="000A3755" w:rsidP="000A3755">
          <w:pPr>
            <w:pStyle w:val="DF6F66992683426C8C482504FD0E3C8D"/>
          </w:pPr>
          <w:r w:rsidRPr="00E4320C">
            <w:rPr>
              <w:rStyle w:val="PlaceholderText"/>
            </w:rPr>
            <w:t>Click or tap to enter a date.</w:t>
          </w:r>
        </w:p>
      </w:docPartBody>
    </w:docPart>
    <w:docPart>
      <w:docPartPr>
        <w:name w:val="5B229560B3F14A619DEF328C2DEF9E8C"/>
        <w:category>
          <w:name w:val="General"/>
          <w:gallery w:val="placeholder"/>
        </w:category>
        <w:types>
          <w:type w:val="bbPlcHdr"/>
        </w:types>
        <w:behaviors>
          <w:behavior w:val="content"/>
        </w:behaviors>
        <w:guid w:val="{4B1DDE4D-9562-44D9-AF09-CC76C56424E8}"/>
      </w:docPartPr>
      <w:docPartBody>
        <w:p w:rsidR="0028119F" w:rsidRDefault="000A3755" w:rsidP="000A3755">
          <w:pPr>
            <w:pStyle w:val="5B229560B3F14A619DEF328C2DEF9E8C"/>
          </w:pPr>
          <w:r w:rsidRPr="00E4320C">
            <w:rPr>
              <w:rStyle w:val="PlaceholderText"/>
            </w:rPr>
            <w:t>Click or tap to enter a date.</w:t>
          </w:r>
        </w:p>
      </w:docPartBody>
    </w:docPart>
    <w:docPart>
      <w:docPartPr>
        <w:name w:val="A2F47A173A6E4461B5F68DA70B800204"/>
        <w:category>
          <w:name w:val="General"/>
          <w:gallery w:val="placeholder"/>
        </w:category>
        <w:types>
          <w:type w:val="bbPlcHdr"/>
        </w:types>
        <w:behaviors>
          <w:behavior w:val="content"/>
        </w:behaviors>
        <w:guid w:val="{29380F6C-3698-4B85-A062-451277ADC301}"/>
      </w:docPartPr>
      <w:docPartBody>
        <w:p w:rsidR="0064016D" w:rsidRDefault="000A3755" w:rsidP="000A3755">
          <w:pPr>
            <w:pStyle w:val="A2F47A173A6E4461B5F68DA70B8002041"/>
          </w:pPr>
          <w:r w:rsidRPr="00E4320C">
            <w:rPr>
              <w:rStyle w:val="PlaceholderText"/>
            </w:rPr>
            <w:t>Click or tap to enter a date.</w:t>
          </w:r>
        </w:p>
      </w:docPartBody>
    </w:docPart>
    <w:docPart>
      <w:docPartPr>
        <w:name w:val="44E1C1BE7A394F01BF8D5BE82EDC98C3"/>
        <w:category>
          <w:name w:val="General"/>
          <w:gallery w:val="placeholder"/>
        </w:category>
        <w:types>
          <w:type w:val="bbPlcHdr"/>
        </w:types>
        <w:behaviors>
          <w:behavior w:val="content"/>
        </w:behaviors>
        <w:guid w:val="{A7266951-B08D-4ADF-9876-47C361D406AC}"/>
      </w:docPartPr>
      <w:docPartBody>
        <w:p w:rsidR="0064016D" w:rsidRDefault="000A3755" w:rsidP="000A3755">
          <w:pPr>
            <w:pStyle w:val="44E1C1BE7A394F01BF8D5BE82EDC98C31"/>
          </w:pPr>
          <w:r w:rsidRPr="009542CB">
            <w:rPr>
              <w:rStyle w:val="PlaceholderText"/>
              <w:highlight w:val="yellow"/>
            </w:rPr>
            <w:t>Choose an item.</w:t>
          </w:r>
        </w:p>
      </w:docPartBody>
    </w:docPart>
    <w:docPart>
      <w:docPartPr>
        <w:name w:val="1DFF53363B1347FEA8D41E1E93F54BDB"/>
        <w:category>
          <w:name w:val="General"/>
          <w:gallery w:val="placeholder"/>
        </w:category>
        <w:types>
          <w:type w:val="bbPlcHdr"/>
        </w:types>
        <w:behaviors>
          <w:behavior w:val="content"/>
        </w:behaviors>
        <w:guid w:val="{106B825B-F94C-49B8-9EDD-2C6680697898}"/>
      </w:docPartPr>
      <w:docPartBody>
        <w:p w:rsidR="00EA6421" w:rsidRDefault="000A3755" w:rsidP="000A3755">
          <w:pPr>
            <w:pStyle w:val="1DFF53363B1347FEA8D41E1E93F54BDB1"/>
          </w:pPr>
          <w:r w:rsidRPr="00E4320C">
            <w:rPr>
              <w:rStyle w:val="PlaceholderText"/>
            </w:rPr>
            <w:t>Click or tap to enter a date.</w:t>
          </w:r>
        </w:p>
      </w:docPartBody>
    </w:docPart>
    <w:docPart>
      <w:docPartPr>
        <w:name w:val="8DE177E71E194C2D9FDFFAE77C6B356F"/>
        <w:category>
          <w:name w:val="General"/>
          <w:gallery w:val="placeholder"/>
        </w:category>
        <w:types>
          <w:type w:val="bbPlcHdr"/>
        </w:types>
        <w:behaviors>
          <w:behavior w:val="content"/>
        </w:behaviors>
        <w:guid w:val="{C09BCF95-A79E-44C4-B0DA-887298AD569E}"/>
      </w:docPartPr>
      <w:docPartBody>
        <w:p w:rsidR="00EA6421" w:rsidRDefault="000A3755" w:rsidP="000A3755">
          <w:pPr>
            <w:pStyle w:val="8DE177E71E194C2D9FDFFAE77C6B356F1"/>
          </w:pPr>
          <w:r w:rsidRPr="00C70E44">
            <w:rPr>
              <w:rStyle w:val="PlaceholderText"/>
              <w:highlight w:val="yellow"/>
            </w:rPr>
            <w:t>Click or tap to enter a date.</w:t>
          </w:r>
        </w:p>
      </w:docPartBody>
    </w:docPart>
    <w:docPart>
      <w:docPartPr>
        <w:name w:val="3D2DA215ABF046FBBFFA01DC1AF7A831"/>
        <w:category>
          <w:name w:val="General"/>
          <w:gallery w:val="placeholder"/>
        </w:category>
        <w:types>
          <w:type w:val="bbPlcHdr"/>
        </w:types>
        <w:behaviors>
          <w:behavior w:val="content"/>
        </w:behaviors>
        <w:guid w:val="{33094B50-235C-4459-95FA-E98735E09959}"/>
      </w:docPartPr>
      <w:docPartBody>
        <w:p w:rsidR="00337F37" w:rsidRDefault="000A3755" w:rsidP="000A3755">
          <w:pPr>
            <w:pStyle w:val="3D2DA215ABF046FBBFFA01DC1AF7A8311"/>
          </w:pPr>
          <w:r w:rsidRPr="009542CB">
            <w:rPr>
              <w:rStyle w:val="PlaceholderText"/>
              <w:highlight w:val="yellow"/>
            </w:rPr>
            <w:t>Click or tap to enter a date.</w:t>
          </w:r>
        </w:p>
      </w:docPartBody>
    </w:docPart>
    <w:docPart>
      <w:docPartPr>
        <w:name w:val="2D00DCF003DE4E809BB2173355CAD640"/>
        <w:category>
          <w:name w:val="General"/>
          <w:gallery w:val="placeholder"/>
        </w:category>
        <w:types>
          <w:type w:val="bbPlcHdr"/>
        </w:types>
        <w:behaviors>
          <w:behavior w:val="content"/>
        </w:behaviors>
        <w:guid w:val="{8973E34D-B09D-463B-881F-6EAF38E9952F}"/>
      </w:docPartPr>
      <w:docPartBody>
        <w:p w:rsidR="00337F37" w:rsidRDefault="000A3755" w:rsidP="000A3755">
          <w:pPr>
            <w:pStyle w:val="2D00DCF003DE4E809BB2173355CAD6401"/>
          </w:pPr>
          <w:r w:rsidRPr="009542CB">
            <w:rPr>
              <w:rStyle w:val="PlaceholderText"/>
              <w:highlight w:val="yellow"/>
            </w:rPr>
            <w:t>Click or tap to enter a date.</w:t>
          </w:r>
        </w:p>
      </w:docPartBody>
    </w:docPart>
    <w:docPart>
      <w:docPartPr>
        <w:name w:val="855F8E1738E148C1B5173146BA768B59"/>
        <w:category>
          <w:name w:val="General"/>
          <w:gallery w:val="placeholder"/>
        </w:category>
        <w:types>
          <w:type w:val="bbPlcHdr"/>
        </w:types>
        <w:behaviors>
          <w:behavior w:val="content"/>
        </w:behaviors>
        <w:guid w:val="{5A4FC6B9-7024-424F-96FB-5D827D5FF379}"/>
      </w:docPartPr>
      <w:docPartBody>
        <w:p w:rsidR="00295AD6" w:rsidRDefault="000A3755" w:rsidP="000A3755">
          <w:pPr>
            <w:pStyle w:val="855F8E1738E148C1B5173146BA768B59"/>
          </w:pPr>
          <w:r w:rsidRPr="006402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91"/>
    <w:rsid w:val="0001630E"/>
    <w:rsid w:val="00072E91"/>
    <w:rsid w:val="00091B6D"/>
    <w:rsid w:val="00097CB1"/>
    <w:rsid w:val="000A3755"/>
    <w:rsid w:val="000A7F97"/>
    <w:rsid w:val="000C7E28"/>
    <w:rsid w:val="000D070D"/>
    <w:rsid w:val="000E62BA"/>
    <w:rsid w:val="00106F17"/>
    <w:rsid w:val="0016438C"/>
    <w:rsid w:val="001B4E6D"/>
    <w:rsid w:val="001C1BAF"/>
    <w:rsid w:val="001C74B0"/>
    <w:rsid w:val="001F2846"/>
    <w:rsid w:val="0028119F"/>
    <w:rsid w:val="00295AD6"/>
    <w:rsid w:val="002D0103"/>
    <w:rsid w:val="00324236"/>
    <w:rsid w:val="00337F37"/>
    <w:rsid w:val="00360BDC"/>
    <w:rsid w:val="0036182F"/>
    <w:rsid w:val="003E04EE"/>
    <w:rsid w:val="00447B46"/>
    <w:rsid w:val="00465D36"/>
    <w:rsid w:val="004B5E8F"/>
    <w:rsid w:val="004E1E7D"/>
    <w:rsid w:val="005700D6"/>
    <w:rsid w:val="005B37B4"/>
    <w:rsid w:val="005E1851"/>
    <w:rsid w:val="006162E0"/>
    <w:rsid w:val="0064016D"/>
    <w:rsid w:val="007058E4"/>
    <w:rsid w:val="00744E85"/>
    <w:rsid w:val="007D7AE5"/>
    <w:rsid w:val="007E7A52"/>
    <w:rsid w:val="00801C23"/>
    <w:rsid w:val="00830CC6"/>
    <w:rsid w:val="00856E99"/>
    <w:rsid w:val="008710FD"/>
    <w:rsid w:val="008758F6"/>
    <w:rsid w:val="00903A17"/>
    <w:rsid w:val="00993C06"/>
    <w:rsid w:val="009961C8"/>
    <w:rsid w:val="00A20D3A"/>
    <w:rsid w:val="00A21597"/>
    <w:rsid w:val="00A71043"/>
    <w:rsid w:val="00A85F2D"/>
    <w:rsid w:val="00AF4B6C"/>
    <w:rsid w:val="00AF5A7D"/>
    <w:rsid w:val="00B31032"/>
    <w:rsid w:val="00B80CAD"/>
    <w:rsid w:val="00B82E02"/>
    <w:rsid w:val="00B84EF8"/>
    <w:rsid w:val="00B97220"/>
    <w:rsid w:val="00BB7F05"/>
    <w:rsid w:val="00BE3023"/>
    <w:rsid w:val="00C6527C"/>
    <w:rsid w:val="00CC4988"/>
    <w:rsid w:val="00D20ED7"/>
    <w:rsid w:val="00D361FE"/>
    <w:rsid w:val="00D76815"/>
    <w:rsid w:val="00D93783"/>
    <w:rsid w:val="00E31002"/>
    <w:rsid w:val="00E455AD"/>
    <w:rsid w:val="00E50D09"/>
    <w:rsid w:val="00E90789"/>
    <w:rsid w:val="00EA6421"/>
    <w:rsid w:val="00F009C9"/>
    <w:rsid w:val="00F17E2D"/>
    <w:rsid w:val="00F36CA2"/>
    <w:rsid w:val="00F4381F"/>
    <w:rsid w:val="00FC0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755"/>
    <w:rPr>
      <w:color w:val="808080"/>
    </w:rPr>
  </w:style>
  <w:style w:type="paragraph" w:customStyle="1" w:styleId="F809AE17DB184D5184A02FB61F4337B7">
    <w:name w:val="F809AE17DB184D5184A02FB61F4337B7"/>
    <w:rsid w:val="000A3755"/>
    <w:pPr>
      <w:jc w:val="both"/>
    </w:pPr>
    <w:rPr>
      <w:rFonts w:ascii="Garamond" w:eastAsiaTheme="minorHAnsi" w:hAnsi="Garamond"/>
      <w:lang w:eastAsia="en-US"/>
    </w:rPr>
  </w:style>
  <w:style w:type="paragraph" w:customStyle="1" w:styleId="5DBA02B6EE8E41B2A43D83B0E0757FFB">
    <w:name w:val="5DBA02B6EE8E41B2A43D83B0E0757FFB"/>
    <w:rsid w:val="000A3755"/>
    <w:pPr>
      <w:jc w:val="both"/>
    </w:pPr>
    <w:rPr>
      <w:rFonts w:ascii="Garamond" w:eastAsiaTheme="minorHAnsi" w:hAnsi="Garamond"/>
      <w:lang w:eastAsia="en-US"/>
    </w:rPr>
  </w:style>
  <w:style w:type="paragraph" w:customStyle="1" w:styleId="2A57DEDB33264698980C601E295A2979">
    <w:name w:val="2A57DEDB33264698980C601E295A2979"/>
    <w:rsid w:val="000A3755"/>
    <w:pPr>
      <w:jc w:val="both"/>
    </w:pPr>
    <w:rPr>
      <w:rFonts w:ascii="Garamond" w:eastAsiaTheme="minorHAnsi" w:hAnsi="Garamond"/>
      <w:lang w:eastAsia="en-US"/>
    </w:rPr>
  </w:style>
  <w:style w:type="paragraph" w:customStyle="1" w:styleId="E850E94689004142A2F9758DA11342B6">
    <w:name w:val="E850E94689004142A2F9758DA11342B6"/>
    <w:rsid w:val="000A3755"/>
    <w:pPr>
      <w:jc w:val="both"/>
    </w:pPr>
    <w:rPr>
      <w:rFonts w:ascii="Garamond" w:eastAsiaTheme="minorHAnsi" w:hAnsi="Garamond"/>
      <w:lang w:eastAsia="en-US"/>
    </w:rPr>
  </w:style>
  <w:style w:type="paragraph" w:customStyle="1" w:styleId="956B83CF71644EA0BCEAEC003831F1EA">
    <w:name w:val="956B83CF71644EA0BCEAEC003831F1EA"/>
    <w:rsid w:val="000A3755"/>
    <w:pPr>
      <w:jc w:val="both"/>
    </w:pPr>
    <w:rPr>
      <w:rFonts w:ascii="Garamond" w:eastAsiaTheme="minorHAnsi" w:hAnsi="Garamond"/>
      <w:lang w:eastAsia="en-US"/>
    </w:rPr>
  </w:style>
  <w:style w:type="paragraph" w:customStyle="1" w:styleId="BF9241EEDFFC4DA0955B99B602771792">
    <w:name w:val="BF9241EEDFFC4DA0955B99B602771792"/>
    <w:rsid w:val="000A3755"/>
    <w:pPr>
      <w:jc w:val="both"/>
    </w:pPr>
    <w:rPr>
      <w:rFonts w:ascii="Garamond" w:eastAsiaTheme="minorHAnsi" w:hAnsi="Garamond"/>
      <w:lang w:eastAsia="en-US"/>
    </w:rPr>
  </w:style>
  <w:style w:type="paragraph" w:customStyle="1" w:styleId="A8560599BC4C47F8BD4F044F663B6494">
    <w:name w:val="A8560599BC4C47F8BD4F044F663B6494"/>
    <w:rsid w:val="000A3755"/>
    <w:pPr>
      <w:jc w:val="both"/>
    </w:pPr>
    <w:rPr>
      <w:rFonts w:ascii="Garamond" w:eastAsiaTheme="minorHAnsi" w:hAnsi="Garamond"/>
      <w:lang w:eastAsia="en-US"/>
    </w:rPr>
  </w:style>
  <w:style w:type="paragraph" w:customStyle="1" w:styleId="5972EDA3A17B4F4E9DDB3F80C6C8218C">
    <w:name w:val="5972EDA3A17B4F4E9DDB3F80C6C8218C"/>
    <w:rsid w:val="000A3755"/>
    <w:pPr>
      <w:jc w:val="both"/>
    </w:pPr>
    <w:rPr>
      <w:rFonts w:ascii="Garamond" w:eastAsiaTheme="minorHAnsi" w:hAnsi="Garamond"/>
      <w:lang w:eastAsia="en-US"/>
    </w:rPr>
  </w:style>
  <w:style w:type="paragraph" w:customStyle="1" w:styleId="5B229560B3F14A619DEF328C2DEF9E8C">
    <w:name w:val="5B229560B3F14A619DEF328C2DEF9E8C"/>
    <w:rsid w:val="000A3755"/>
    <w:pPr>
      <w:jc w:val="both"/>
    </w:pPr>
    <w:rPr>
      <w:rFonts w:ascii="Garamond" w:eastAsiaTheme="minorHAnsi" w:hAnsi="Garamond"/>
      <w:lang w:eastAsia="en-US"/>
    </w:rPr>
  </w:style>
  <w:style w:type="paragraph" w:customStyle="1" w:styleId="855F8E1738E148C1B5173146BA768B59">
    <w:name w:val="855F8E1738E148C1B5173146BA768B59"/>
    <w:rsid w:val="000A3755"/>
    <w:pPr>
      <w:jc w:val="both"/>
    </w:pPr>
    <w:rPr>
      <w:rFonts w:ascii="Garamond" w:eastAsiaTheme="minorHAnsi" w:hAnsi="Garamond"/>
      <w:lang w:eastAsia="en-US"/>
    </w:rPr>
  </w:style>
  <w:style w:type="paragraph" w:customStyle="1" w:styleId="A2F47A173A6E4461B5F68DA70B8002041">
    <w:name w:val="A2F47A173A6E4461B5F68DA70B8002041"/>
    <w:rsid w:val="000A3755"/>
    <w:pPr>
      <w:jc w:val="both"/>
    </w:pPr>
    <w:rPr>
      <w:rFonts w:ascii="Garamond" w:eastAsiaTheme="minorHAnsi" w:hAnsi="Garamond"/>
      <w:lang w:eastAsia="en-US"/>
    </w:rPr>
  </w:style>
  <w:style w:type="paragraph" w:customStyle="1" w:styleId="3D2DA215ABF046FBBFFA01DC1AF7A8311">
    <w:name w:val="3D2DA215ABF046FBBFFA01DC1AF7A8311"/>
    <w:rsid w:val="000A3755"/>
    <w:pPr>
      <w:jc w:val="both"/>
    </w:pPr>
    <w:rPr>
      <w:rFonts w:ascii="Garamond" w:eastAsiaTheme="minorHAnsi" w:hAnsi="Garamond"/>
      <w:lang w:eastAsia="en-US"/>
    </w:rPr>
  </w:style>
  <w:style w:type="paragraph" w:customStyle="1" w:styleId="2D00DCF003DE4E809BB2173355CAD6401">
    <w:name w:val="2D00DCF003DE4E809BB2173355CAD6401"/>
    <w:rsid w:val="000A3755"/>
    <w:pPr>
      <w:jc w:val="both"/>
    </w:pPr>
    <w:rPr>
      <w:rFonts w:ascii="Garamond" w:eastAsiaTheme="minorHAnsi" w:hAnsi="Garamond"/>
      <w:lang w:eastAsia="en-US"/>
    </w:rPr>
  </w:style>
  <w:style w:type="paragraph" w:customStyle="1" w:styleId="44E1C1BE7A394F01BF8D5BE82EDC98C31">
    <w:name w:val="44E1C1BE7A394F01BF8D5BE82EDC98C31"/>
    <w:rsid w:val="000A3755"/>
    <w:pPr>
      <w:jc w:val="both"/>
    </w:pPr>
    <w:rPr>
      <w:rFonts w:ascii="Garamond" w:eastAsiaTheme="minorHAnsi" w:hAnsi="Garamond"/>
      <w:lang w:eastAsia="en-US"/>
    </w:rPr>
  </w:style>
  <w:style w:type="paragraph" w:customStyle="1" w:styleId="1DFF53363B1347FEA8D41E1E93F54BDB1">
    <w:name w:val="1DFF53363B1347FEA8D41E1E93F54BDB1"/>
    <w:rsid w:val="000A3755"/>
    <w:pPr>
      <w:jc w:val="both"/>
    </w:pPr>
    <w:rPr>
      <w:rFonts w:ascii="Garamond" w:eastAsiaTheme="minorHAnsi" w:hAnsi="Garamond"/>
      <w:lang w:eastAsia="en-US"/>
    </w:rPr>
  </w:style>
  <w:style w:type="paragraph" w:customStyle="1" w:styleId="8DE177E71E194C2D9FDFFAE77C6B356F1">
    <w:name w:val="8DE177E71E194C2D9FDFFAE77C6B356F1"/>
    <w:rsid w:val="000A3755"/>
    <w:pPr>
      <w:jc w:val="both"/>
    </w:pPr>
    <w:rPr>
      <w:rFonts w:ascii="Garamond" w:eastAsiaTheme="minorHAnsi" w:hAnsi="Garamond"/>
      <w:lang w:eastAsia="en-US"/>
    </w:rPr>
  </w:style>
  <w:style w:type="paragraph" w:customStyle="1" w:styleId="1D0AC3B2BCB24C99A369E0D04DDF5E14">
    <w:name w:val="1D0AC3B2BCB24C99A369E0D04DDF5E14"/>
    <w:rsid w:val="000A3755"/>
    <w:pPr>
      <w:jc w:val="both"/>
    </w:pPr>
    <w:rPr>
      <w:rFonts w:ascii="Garamond" w:eastAsiaTheme="minorHAnsi" w:hAnsi="Garamond"/>
      <w:lang w:eastAsia="en-US"/>
    </w:rPr>
  </w:style>
  <w:style w:type="paragraph" w:customStyle="1" w:styleId="F95FA7F21E4D4B4384C56454B10594D4">
    <w:name w:val="F95FA7F21E4D4B4384C56454B10594D4"/>
    <w:rsid w:val="000A3755"/>
    <w:pPr>
      <w:jc w:val="both"/>
    </w:pPr>
    <w:rPr>
      <w:rFonts w:ascii="Garamond" w:eastAsiaTheme="minorHAnsi" w:hAnsi="Garamond"/>
      <w:lang w:eastAsia="en-US"/>
    </w:rPr>
  </w:style>
  <w:style w:type="paragraph" w:customStyle="1" w:styleId="B416430F33B14B35910A004ABA48CB7A">
    <w:name w:val="B416430F33B14B35910A004ABA48CB7A"/>
    <w:rsid w:val="000A3755"/>
    <w:pPr>
      <w:jc w:val="both"/>
    </w:pPr>
    <w:rPr>
      <w:rFonts w:ascii="Garamond" w:eastAsiaTheme="minorHAnsi" w:hAnsi="Garamond"/>
      <w:lang w:eastAsia="en-US"/>
    </w:rPr>
  </w:style>
  <w:style w:type="paragraph" w:customStyle="1" w:styleId="5000593203664AD497162811F2DD0D39">
    <w:name w:val="5000593203664AD497162811F2DD0D39"/>
    <w:rsid w:val="000A3755"/>
    <w:pPr>
      <w:jc w:val="both"/>
    </w:pPr>
    <w:rPr>
      <w:rFonts w:ascii="Garamond" w:eastAsiaTheme="minorHAnsi" w:hAnsi="Garamond"/>
      <w:lang w:eastAsia="en-US"/>
    </w:rPr>
  </w:style>
  <w:style w:type="paragraph" w:customStyle="1" w:styleId="990224987F3D4C60AFFDB61C9174B154">
    <w:name w:val="990224987F3D4C60AFFDB61C9174B154"/>
    <w:rsid w:val="000A3755"/>
    <w:pPr>
      <w:jc w:val="both"/>
    </w:pPr>
    <w:rPr>
      <w:rFonts w:ascii="Garamond" w:eastAsiaTheme="minorHAnsi" w:hAnsi="Garamond"/>
      <w:lang w:eastAsia="en-US"/>
    </w:rPr>
  </w:style>
  <w:style w:type="paragraph" w:customStyle="1" w:styleId="3DE0CC872C774BD98D132F120A4DBDA1">
    <w:name w:val="3DE0CC872C774BD98D132F120A4DBDA1"/>
    <w:rsid w:val="000A3755"/>
    <w:pPr>
      <w:jc w:val="both"/>
    </w:pPr>
    <w:rPr>
      <w:rFonts w:ascii="Garamond" w:eastAsiaTheme="minorHAnsi" w:hAnsi="Garamond"/>
      <w:lang w:eastAsia="en-US"/>
    </w:rPr>
  </w:style>
  <w:style w:type="paragraph" w:customStyle="1" w:styleId="DF6F66992683426C8C482504FD0E3C8D">
    <w:name w:val="DF6F66992683426C8C482504FD0E3C8D"/>
    <w:rsid w:val="000A3755"/>
    <w:pPr>
      <w:jc w:val="both"/>
    </w:pPr>
    <w:rPr>
      <w:rFonts w:ascii="Garamond" w:eastAsiaTheme="minorHAnsi" w:hAnsi="Garamond"/>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6A80C-043C-47B7-BD4C-D8591077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27313</Words>
  <Characters>150492</Characters>
  <Application>Microsoft Office Word</Application>
  <DocSecurity>0</DocSecurity>
  <Lines>2888</Lines>
  <Paragraphs>1342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Kissick, Nathan</dc:creator>
  <cp:keywords>2</cp:keywords>
  <dc:description/>
  <cp:lastModifiedBy>Moxon, KarenL</cp:lastModifiedBy>
  <cp:revision>4</cp:revision>
  <cp:lastPrinted>2021-06-24T05:25:00Z</cp:lastPrinted>
  <dcterms:created xsi:type="dcterms:W3CDTF">2021-06-28T06:39:00Z</dcterms:created>
  <dcterms:modified xsi:type="dcterms:W3CDTF">2021-06-28T06:39:00Z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1351876</vt:lpwstr>
  </property>
  <property fmtid="{D5CDD505-2E9C-101B-9397-08002B2CF9AE}" pid="4" name="JMSREQUIREDCHECKIN">
    <vt:lpwstr/>
  </property>
</Properties>
</file>