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E18AE" w14:textId="77777777" w:rsidR="003A25D8" w:rsidRDefault="003A25D8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DF5953D" w14:textId="19027DCD" w:rsidR="003A25D8" w:rsidRDefault="005D51D3" w:rsidP="001D1164">
      <w:pPr>
        <w:pStyle w:val="Billname"/>
        <w:spacing w:before="700"/>
        <w:ind w:right="-624"/>
      </w:pPr>
      <w:bookmarkStart w:id="1" w:name="_Hlk48636857"/>
      <w:r>
        <w:t xml:space="preserve">Rates </w:t>
      </w:r>
      <w:r w:rsidR="003A25D8">
        <w:t>(</w:t>
      </w:r>
      <w:r w:rsidR="00C53AFD">
        <w:t>Commercial Land</w:t>
      </w:r>
      <w:r w:rsidR="00253442">
        <w:t>)</w:t>
      </w:r>
      <w:r w:rsidR="003A25D8">
        <w:t xml:space="preserve"> </w:t>
      </w:r>
      <w:r w:rsidR="00114BDC">
        <w:t>Exemption</w:t>
      </w:r>
      <w:r w:rsidR="003A25D8">
        <w:t xml:space="preserve"> </w:t>
      </w:r>
      <w:r w:rsidR="009525B4">
        <w:t>2021</w:t>
      </w:r>
      <w:r w:rsidR="00DF7C9A">
        <w:t xml:space="preserve"> (No 2)</w:t>
      </w:r>
    </w:p>
    <w:bookmarkEnd w:id="1"/>
    <w:p w14:paraId="316B30AF" w14:textId="79156C57" w:rsidR="003A25D8" w:rsidRDefault="003A25D8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</w:t>
      </w:r>
      <w:r w:rsidR="00C53AFD">
        <w:rPr>
          <w:rFonts w:ascii="Arial" w:hAnsi="Arial" w:cs="Arial"/>
          <w:b/>
          <w:bCs/>
        </w:rPr>
        <w:t>2</w:t>
      </w:r>
      <w:r w:rsidR="009525B4">
        <w:rPr>
          <w:rFonts w:ascii="Arial" w:hAnsi="Arial" w:cs="Arial"/>
          <w:b/>
          <w:bCs/>
        </w:rPr>
        <w:t>1</w:t>
      </w:r>
      <w:r w:rsidR="00253442">
        <w:rPr>
          <w:rFonts w:ascii="Arial" w:hAnsi="Arial" w:cs="Arial"/>
          <w:b/>
          <w:bCs/>
        </w:rPr>
        <w:t>–</w:t>
      </w:r>
      <w:r w:rsidR="00920A7E">
        <w:rPr>
          <w:rFonts w:ascii="Arial" w:hAnsi="Arial" w:cs="Arial"/>
          <w:b/>
          <w:bCs/>
        </w:rPr>
        <w:t>575</w:t>
      </w:r>
    </w:p>
    <w:p w14:paraId="78377626" w14:textId="4B3F2E3A" w:rsidR="003A25D8" w:rsidRDefault="003A25D8">
      <w:pPr>
        <w:pStyle w:val="madeunder"/>
        <w:spacing w:before="240" w:after="120"/>
      </w:pPr>
      <w:r>
        <w:t xml:space="preserve">made under the </w:t>
      </w:r>
    </w:p>
    <w:p w14:paraId="02BC8213" w14:textId="77777777" w:rsidR="003A25D8" w:rsidRDefault="005D51D3">
      <w:pPr>
        <w:pStyle w:val="CoverActName"/>
        <w:rPr>
          <w:sz w:val="20"/>
          <w:szCs w:val="20"/>
        </w:rPr>
      </w:pPr>
      <w:r w:rsidRPr="003C1C84">
        <w:rPr>
          <w:i/>
          <w:sz w:val="20"/>
          <w:szCs w:val="20"/>
        </w:rPr>
        <w:t>Rates Act 2004</w:t>
      </w:r>
      <w:r>
        <w:rPr>
          <w:sz w:val="20"/>
          <w:szCs w:val="20"/>
        </w:rPr>
        <w:t>, s</w:t>
      </w:r>
      <w:r w:rsidR="003353D1">
        <w:rPr>
          <w:sz w:val="20"/>
          <w:szCs w:val="20"/>
        </w:rPr>
        <w:t xml:space="preserve"> 41</w:t>
      </w:r>
      <w:r>
        <w:rPr>
          <w:sz w:val="20"/>
          <w:szCs w:val="20"/>
        </w:rPr>
        <w:t xml:space="preserve"> </w:t>
      </w:r>
      <w:r w:rsidR="003A25D8">
        <w:rPr>
          <w:sz w:val="20"/>
          <w:szCs w:val="20"/>
        </w:rPr>
        <w:t>(</w:t>
      </w:r>
      <w:r w:rsidR="003353D1">
        <w:rPr>
          <w:sz w:val="20"/>
          <w:szCs w:val="20"/>
        </w:rPr>
        <w:t>Exemption from rates</w:t>
      </w:r>
      <w:r w:rsidR="003A25D8">
        <w:rPr>
          <w:sz w:val="20"/>
          <w:szCs w:val="20"/>
        </w:rPr>
        <w:t>)</w:t>
      </w:r>
    </w:p>
    <w:p w14:paraId="14D6C688" w14:textId="77777777" w:rsidR="003A25D8" w:rsidRDefault="003A25D8">
      <w:pPr>
        <w:pStyle w:val="N-line3"/>
        <w:pBdr>
          <w:bottom w:val="none" w:sz="0" w:space="0" w:color="auto"/>
        </w:pBdr>
      </w:pPr>
    </w:p>
    <w:p w14:paraId="0E8B08A8" w14:textId="7D68DC28" w:rsidR="003A25D8" w:rsidRDefault="003A25D8">
      <w:pPr>
        <w:pStyle w:val="N-line3"/>
        <w:pBdr>
          <w:top w:val="single" w:sz="12" w:space="1" w:color="auto"/>
          <w:bottom w:val="none" w:sz="0" w:space="0" w:color="auto"/>
        </w:pBdr>
      </w:pPr>
    </w:p>
    <w:p w14:paraId="3AD2E617" w14:textId="77777777" w:rsidR="004B6538" w:rsidRPr="004B6538" w:rsidRDefault="004B6538" w:rsidP="00094F23"/>
    <w:p w14:paraId="06D7D6D2" w14:textId="77777777" w:rsidR="003A25D8" w:rsidRDefault="003A25D8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158FC33" w14:textId="56C5BA66" w:rsidR="003A25D8" w:rsidRDefault="003A25D8" w:rsidP="00223BEE">
      <w:pPr>
        <w:spacing w:before="140" w:after="140"/>
        <w:ind w:left="720"/>
      </w:pPr>
      <w:r>
        <w:t xml:space="preserve">This instrument is the </w:t>
      </w:r>
      <w:r w:rsidR="005D51D3">
        <w:rPr>
          <w:i/>
          <w:iCs/>
        </w:rPr>
        <w:t xml:space="preserve">Rates </w:t>
      </w:r>
      <w:r>
        <w:rPr>
          <w:i/>
          <w:iCs/>
        </w:rPr>
        <w:t>(</w:t>
      </w:r>
      <w:r w:rsidR="00C53AFD">
        <w:rPr>
          <w:i/>
          <w:iCs/>
        </w:rPr>
        <w:t>Commercial Land</w:t>
      </w:r>
      <w:r>
        <w:rPr>
          <w:i/>
          <w:iCs/>
        </w:rPr>
        <w:t xml:space="preserve">) </w:t>
      </w:r>
      <w:r w:rsidR="00114BDC">
        <w:rPr>
          <w:i/>
          <w:iCs/>
        </w:rPr>
        <w:t>Exemption</w:t>
      </w:r>
      <w:r>
        <w:rPr>
          <w:i/>
          <w:iCs/>
        </w:rPr>
        <w:t xml:space="preserve"> 20</w:t>
      </w:r>
      <w:r w:rsidR="00C53AFD">
        <w:rPr>
          <w:i/>
          <w:iCs/>
        </w:rPr>
        <w:t>2</w:t>
      </w:r>
      <w:r w:rsidR="009525B4">
        <w:rPr>
          <w:i/>
          <w:iCs/>
        </w:rPr>
        <w:t>1</w:t>
      </w:r>
      <w:r w:rsidR="00DF7C9A">
        <w:rPr>
          <w:i/>
          <w:iCs/>
        </w:rPr>
        <w:t xml:space="preserve"> (No 2)</w:t>
      </w:r>
      <w:r>
        <w:t>.</w:t>
      </w:r>
    </w:p>
    <w:p w14:paraId="6DCFF60F" w14:textId="77777777" w:rsidR="003A25D8" w:rsidRDefault="003A25D8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E1F8CDE" w14:textId="09F6DCDD" w:rsidR="004B661A" w:rsidRPr="004B661A" w:rsidRDefault="004B661A" w:rsidP="00223BEE">
      <w:pPr>
        <w:spacing w:before="140" w:after="140"/>
        <w:ind w:left="720"/>
      </w:pPr>
      <w:r w:rsidRPr="004B661A">
        <w:t xml:space="preserve">This instrument </w:t>
      </w:r>
      <w:bookmarkStart w:id="2" w:name="_Hlk58595265"/>
      <w:r w:rsidR="00DA1327">
        <w:t xml:space="preserve">is </w:t>
      </w:r>
      <w:r w:rsidR="00DA1327" w:rsidRPr="00B45212">
        <w:t xml:space="preserve">taken to have </w:t>
      </w:r>
      <w:r w:rsidR="00913012" w:rsidRPr="00B45212">
        <w:t>commence</w:t>
      </w:r>
      <w:r w:rsidR="00DA1327" w:rsidRPr="00B45212">
        <w:t>d</w:t>
      </w:r>
      <w:r w:rsidR="00913012" w:rsidRPr="00B45212">
        <w:t xml:space="preserve"> on </w:t>
      </w:r>
      <w:bookmarkEnd w:id="2"/>
      <w:r w:rsidR="00DA1327" w:rsidRPr="00B45212">
        <w:t>1 August 2021</w:t>
      </w:r>
      <w:r w:rsidR="001722D5">
        <w:t>.</w:t>
      </w:r>
    </w:p>
    <w:p w14:paraId="71417098" w14:textId="0ED7E2EC" w:rsidR="0035662A" w:rsidRPr="00CB0E99" w:rsidRDefault="0035662A" w:rsidP="0051052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Exemption from </w:t>
      </w:r>
      <w:r w:rsidRPr="00CB0E99">
        <w:rPr>
          <w:rFonts w:ascii="Arial" w:hAnsi="Arial" w:cs="Arial"/>
          <w:b/>
          <w:bCs/>
        </w:rPr>
        <w:t xml:space="preserve">rates—amount </w:t>
      </w:r>
    </w:p>
    <w:p w14:paraId="75471991" w14:textId="19D0AE26" w:rsidR="0035662A" w:rsidRDefault="0035662A" w:rsidP="00B45212">
      <w:pPr>
        <w:spacing w:before="140" w:after="140"/>
        <w:ind w:left="709"/>
      </w:pPr>
      <w:r w:rsidRPr="00CB0E99">
        <w:t>I declare that</w:t>
      </w:r>
      <w:r w:rsidR="009D4C05">
        <w:t xml:space="preserve"> </w:t>
      </w:r>
      <w:r>
        <w:t xml:space="preserve">the eligible owner of eligible land is exempt from the payment of a determined amount of rates for </w:t>
      </w:r>
      <w:r w:rsidR="009A4BE0">
        <w:t xml:space="preserve">the </w:t>
      </w:r>
      <w:r w:rsidR="009A4BE0" w:rsidRPr="00B45212">
        <w:t>prescribed</w:t>
      </w:r>
      <w:r w:rsidRPr="00B45212">
        <w:t xml:space="preserve"> </w:t>
      </w:r>
      <w:r w:rsidR="009A4BE0" w:rsidRPr="00B45212">
        <w:t>period</w:t>
      </w:r>
      <w:r w:rsidR="009D4C05">
        <w:t>.</w:t>
      </w:r>
    </w:p>
    <w:p w14:paraId="1E5077D5" w14:textId="1A32BA4F" w:rsidR="009144C7" w:rsidRDefault="000D1B38" w:rsidP="0051052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9144C7">
        <w:rPr>
          <w:rFonts w:ascii="Arial" w:hAnsi="Arial" w:cs="Arial"/>
          <w:b/>
          <w:bCs/>
        </w:rPr>
        <w:t xml:space="preserve">Eligible owner  </w:t>
      </w:r>
    </w:p>
    <w:p w14:paraId="44C2CCB0" w14:textId="25512E04" w:rsidR="008F532D" w:rsidRDefault="009144C7" w:rsidP="00DA1327">
      <w:pPr>
        <w:spacing w:before="140" w:after="140"/>
        <w:ind w:left="1394" w:hanging="697"/>
        <w:rPr>
          <w:bCs/>
          <w:iCs/>
        </w:rPr>
      </w:pPr>
      <w:r>
        <w:t xml:space="preserve">For this instrument, an </w:t>
      </w:r>
      <w:r w:rsidRPr="008F532D">
        <w:rPr>
          <w:b/>
          <w:bCs/>
          <w:i/>
          <w:iCs/>
        </w:rPr>
        <w:t>eligible owner</w:t>
      </w:r>
      <w:r w:rsidRPr="001B7060">
        <w:t xml:space="preserve"> </w:t>
      </w:r>
      <w:r>
        <w:t>means</w:t>
      </w:r>
      <w:r w:rsidRPr="009D4C05">
        <w:t xml:space="preserve"> an owner</w:t>
      </w:r>
      <w:r w:rsidR="0000158B" w:rsidRPr="0000158B">
        <w:rPr>
          <w:bCs/>
          <w:iCs/>
        </w:rPr>
        <w:t xml:space="preserve"> </w:t>
      </w:r>
      <w:r w:rsidR="0000158B">
        <w:rPr>
          <w:bCs/>
          <w:iCs/>
        </w:rPr>
        <w:t>who</w:t>
      </w:r>
      <w:r w:rsidR="008F532D">
        <w:rPr>
          <w:bCs/>
          <w:iCs/>
        </w:rPr>
        <w:t>:</w:t>
      </w:r>
    </w:p>
    <w:p w14:paraId="122C5952" w14:textId="6945CEF3" w:rsidR="008F532D" w:rsidRDefault="0000158B" w:rsidP="00042D62">
      <w:pPr>
        <w:pStyle w:val="ListParagraph"/>
        <w:numPr>
          <w:ilvl w:val="0"/>
          <w:numId w:val="8"/>
        </w:numPr>
        <w:spacing w:after="140"/>
        <w:ind w:left="1276" w:hanging="567"/>
        <w:contextualSpacing w:val="0"/>
        <w:rPr>
          <w:bCs/>
          <w:iCs/>
        </w:rPr>
      </w:pPr>
      <w:r w:rsidRPr="00173F20">
        <w:rPr>
          <w:bCs/>
          <w:iCs/>
        </w:rPr>
        <w:t>applies</w:t>
      </w:r>
      <w:r>
        <w:rPr>
          <w:bCs/>
          <w:iCs/>
        </w:rPr>
        <w:t>, in writing,</w:t>
      </w:r>
      <w:r w:rsidRPr="00173F20">
        <w:rPr>
          <w:bCs/>
          <w:iCs/>
        </w:rPr>
        <w:t xml:space="preserve"> for an exemption</w:t>
      </w:r>
      <w:r>
        <w:rPr>
          <w:bCs/>
          <w:iCs/>
        </w:rPr>
        <w:t xml:space="preserve"> </w:t>
      </w:r>
      <w:r w:rsidR="00E071BB">
        <w:rPr>
          <w:bCs/>
          <w:iCs/>
        </w:rPr>
        <w:t>on or before</w:t>
      </w:r>
      <w:r w:rsidRPr="00173F20">
        <w:rPr>
          <w:bCs/>
          <w:iCs/>
        </w:rPr>
        <w:t xml:space="preserve"> </w:t>
      </w:r>
      <w:r w:rsidR="003432CB">
        <w:rPr>
          <w:bCs/>
          <w:iCs/>
        </w:rPr>
        <w:t xml:space="preserve">28 </w:t>
      </w:r>
      <w:r w:rsidR="001F2CF6">
        <w:rPr>
          <w:bCs/>
          <w:iCs/>
        </w:rPr>
        <w:t>February</w:t>
      </w:r>
      <w:r w:rsidR="003432CB">
        <w:rPr>
          <w:bCs/>
          <w:iCs/>
        </w:rPr>
        <w:t xml:space="preserve"> 2022</w:t>
      </w:r>
      <w:r w:rsidRPr="008B1BB4">
        <w:rPr>
          <w:bCs/>
          <w:iCs/>
        </w:rPr>
        <w:t>, and has their eligibility confirmed by the Commissioner</w:t>
      </w:r>
      <w:r w:rsidR="008F532D">
        <w:rPr>
          <w:bCs/>
          <w:iCs/>
        </w:rPr>
        <w:t>; and</w:t>
      </w:r>
      <w:r>
        <w:rPr>
          <w:bCs/>
          <w:iCs/>
        </w:rPr>
        <w:t xml:space="preserve"> </w:t>
      </w:r>
    </w:p>
    <w:p w14:paraId="1B4950EB" w14:textId="52E1765B" w:rsidR="009144C7" w:rsidRPr="0000158B" w:rsidRDefault="0000158B" w:rsidP="00042D62">
      <w:pPr>
        <w:pStyle w:val="ListParagraph"/>
        <w:numPr>
          <w:ilvl w:val="0"/>
          <w:numId w:val="8"/>
        </w:numPr>
        <w:spacing w:after="140"/>
        <w:ind w:left="1276" w:hanging="567"/>
        <w:contextualSpacing w:val="0"/>
        <w:rPr>
          <w:bCs/>
          <w:iCs/>
        </w:rPr>
      </w:pPr>
      <w:r>
        <w:rPr>
          <w:bCs/>
          <w:iCs/>
        </w:rPr>
        <w:t>either</w:t>
      </w:r>
      <w:r w:rsidR="009144C7" w:rsidRPr="008F532D">
        <w:rPr>
          <w:bCs/>
          <w:iCs/>
        </w:rPr>
        <w:t>:</w:t>
      </w:r>
    </w:p>
    <w:p w14:paraId="29B7B4BC" w14:textId="47D572AA" w:rsidR="008F532D" w:rsidRDefault="009144C7" w:rsidP="00042D62">
      <w:pPr>
        <w:pStyle w:val="Asubpara"/>
        <w:numPr>
          <w:ilvl w:val="7"/>
          <w:numId w:val="9"/>
        </w:numPr>
        <w:tabs>
          <w:tab w:val="clear" w:pos="2140"/>
          <w:tab w:val="num" w:pos="1843"/>
        </w:tabs>
        <w:spacing w:before="140" w:after="0"/>
        <w:ind w:left="1843" w:hanging="283"/>
      </w:pPr>
      <w:r w:rsidRPr="008F532D">
        <w:t>has a</w:t>
      </w:r>
      <w:r w:rsidR="001E0376">
        <w:t>n affected</w:t>
      </w:r>
      <w:r w:rsidRPr="008F532D">
        <w:t xml:space="preserve"> business tenant; or</w:t>
      </w:r>
    </w:p>
    <w:p w14:paraId="0128EC50" w14:textId="048FD874" w:rsidR="009144C7" w:rsidRDefault="002A45E4" w:rsidP="00042D62">
      <w:pPr>
        <w:pStyle w:val="Asubpara"/>
        <w:numPr>
          <w:ilvl w:val="7"/>
          <w:numId w:val="9"/>
        </w:numPr>
        <w:tabs>
          <w:tab w:val="clear" w:pos="2140"/>
          <w:tab w:val="num" w:pos="1843"/>
        </w:tabs>
        <w:spacing w:before="140" w:after="0"/>
        <w:ind w:left="1843" w:hanging="283"/>
      </w:pPr>
      <w:r>
        <w:t xml:space="preserve">is an SME entity that </w:t>
      </w:r>
      <w:r w:rsidR="009144C7" w:rsidRPr="008F532D">
        <w:t>occupies the eligible land and operates</w:t>
      </w:r>
      <w:r w:rsidR="009525B4" w:rsidRPr="008F532D">
        <w:t xml:space="preserve"> an affected</w:t>
      </w:r>
      <w:r w:rsidR="009144C7" w:rsidRPr="008F532D">
        <w:t xml:space="preserve"> business</w:t>
      </w:r>
      <w:r w:rsidR="004D0FB4">
        <w:t>;</w:t>
      </w:r>
      <w:r w:rsidR="00676130">
        <w:t xml:space="preserve"> and</w:t>
      </w:r>
    </w:p>
    <w:p w14:paraId="0DAC1BA2" w14:textId="2944D158" w:rsidR="004B6538" w:rsidRDefault="004B6538" w:rsidP="00042D62">
      <w:pPr>
        <w:pStyle w:val="ListParagraph"/>
        <w:numPr>
          <w:ilvl w:val="0"/>
          <w:numId w:val="8"/>
        </w:numPr>
        <w:spacing w:before="120" w:after="140"/>
        <w:ind w:left="1276" w:hanging="567"/>
        <w:contextualSpacing w:val="0"/>
        <w:rPr>
          <w:bCs/>
          <w:iCs/>
        </w:rPr>
      </w:pPr>
      <w:r>
        <w:rPr>
          <w:bCs/>
          <w:iCs/>
        </w:rPr>
        <w:t xml:space="preserve">in relation to the </w:t>
      </w:r>
      <w:r w:rsidRPr="00676130">
        <w:rPr>
          <w:bCs/>
          <w:iCs/>
        </w:rPr>
        <w:t xml:space="preserve">COVID-19 Small Business </w:t>
      </w:r>
      <w:r>
        <w:rPr>
          <w:bCs/>
          <w:iCs/>
        </w:rPr>
        <w:t xml:space="preserve">Hardship </w:t>
      </w:r>
      <w:r w:rsidRPr="00676130">
        <w:rPr>
          <w:bCs/>
          <w:iCs/>
        </w:rPr>
        <w:t>Scheme</w:t>
      </w:r>
      <w:r>
        <w:rPr>
          <w:bCs/>
          <w:iCs/>
        </w:rPr>
        <w:t>:</w:t>
      </w:r>
    </w:p>
    <w:p w14:paraId="467A29D6" w14:textId="225BA821" w:rsidR="004B6538" w:rsidRPr="00094F23" w:rsidRDefault="004B6538" w:rsidP="00094F23">
      <w:pPr>
        <w:pStyle w:val="Asubpara"/>
        <w:numPr>
          <w:ilvl w:val="7"/>
          <w:numId w:val="21"/>
        </w:numPr>
        <w:tabs>
          <w:tab w:val="clear" w:pos="2140"/>
        </w:tabs>
        <w:spacing w:before="140" w:after="0"/>
        <w:ind w:left="1843" w:hanging="283"/>
      </w:pPr>
      <w:r>
        <w:rPr>
          <w:bCs/>
          <w:iCs/>
        </w:rPr>
        <w:t xml:space="preserve">has not </w:t>
      </w:r>
      <w:r w:rsidR="00676130" w:rsidRPr="00094F23">
        <w:t xml:space="preserve">received </w:t>
      </w:r>
      <w:r w:rsidR="00AC059E" w:rsidRPr="00094F23">
        <w:t>assistance</w:t>
      </w:r>
      <w:r w:rsidRPr="00094F23">
        <w:t>;</w:t>
      </w:r>
      <w:r w:rsidR="00501CD1" w:rsidRPr="00094F23">
        <w:t xml:space="preserve"> or </w:t>
      </w:r>
    </w:p>
    <w:p w14:paraId="673EE58C" w14:textId="0D08C8FF" w:rsidR="00AC059E" w:rsidRPr="00094F23" w:rsidRDefault="00501CD1" w:rsidP="00094F23">
      <w:pPr>
        <w:pStyle w:val="Asubpara"/>
        <w:numPr>
          <w:ilvl w:val="7"/>
          <w:numId w:val="21"/>
        </w:numPr>
        <w:tabs>
          <w:tab w:val="clear" w:pos="2140"/>
        </w:tabs>
        <w:spacing w:before="140" w:after="0"/>
        <w:ind w:left="1843" w:hanging="283"/>
      </w:pPr>
      <w:r w:rsidRPr="00094F23">
        <w:t xml:space="preserve">is </w:t>
      </w:r>
      <w:r w:rsidR="004B6538">
        <w:t xml:space="preserve">not </w:t>
      </w:r>
      <w:r w:rsidRPr="00094F23">
        <w:t>awaiting a decision on an application for assistance</w:t>
      </w:r>
      <w:r w:rsidR="00676130" w:rsidRPr="00094F23">
        <w:t>.</w:t>
      </w:r>
    </w:p>
    <w:p w14:paraId="4927C3A2" w14:textId="70DA387B" w:rsidR="00C53AFD" w:rsidRPr="007758C9" w:rsidRDefault="00577A28" w:rsidP="00C53AFD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3A25D8">
        <w:rPr>
          <w:rFonts w:ascii="Arial" w:hAnsi="Arial" w:cs="Arial"/>
          <w:b/>
          <w:bCs/>
        </w:rPr>
        <w:tab/>
      </w:r>
      <w:r w:rsidR="00C53AFD" w:rsidRPr="007758C9">
        <w:rPr>
          <w:rFonts w:ascii="Arial" w:hAnsi="Arial" w:cs="Arial"/>
          <w:b/>
          <w:bCs/>
        </w:rPr>
        <w:t>Definitions</w:t>
      </w:r>
    </w:p>
    <w:p w14:paraId="1588F7D8" w14:textId="77777777" w:rsidR="00C53AFD" w:rsidRPr="007758C9" w:rsidRDefault="00C53AFD" w:rsidP="00223BEE">
      <w:pPr>
        <w:spacing w:before="140" w:after="140"/>
        <w:ind w:left="720"/>
      </w:pPr>
      <w:r w:rsidRPr="007758C9">
        <w:t>In this instrument:</w:t>
      </w:r>
    </w:p>
    <w:p w14:paraId="4298D2B7" w14:textId="77777777" w:rsidR="00C53AFD" w:rsidRPr="007758C9" w:rsidRDefault="00C53AFD" w:rsidP="00223BEE">
      <w:pPr>
        <w:spacing w:after="140"/>
        <w:ind w:left="720"/>
      </w:pPr>
      <w:r w:rsidRPr="007758C9">
        <w:rPr>
          <w:b/>
          <w:i/>
        </w:rPr>
        <w:t>Act</w:t>
      </w:r>
      <w:r w:rsidRPr="007758C9">
        <w:t xml:space="preserve"> means the </w:t>
      </w:r>
      <w:r w:rsidRPr="007758C9">
        <w:rPr>
          <w:i/>
        </w:rPr>
        <w:t>Rates Act 2004</w:t>
      </w:r>
      <w:r w:rsidRPr="007758C9">
        <w:t>.</w:t>
      </w:r>
    </w:p>
    <w:p w14:paraId="6EDC5C13" w14:textId="77777777" w:rsidR="004B6538" w:rsidRDefault="004B6538">
      <w:pPr>
        <w:rPr>
          <w:b/>
          <w:i/>
        </w:rPr>
      </w:pPr>
      <w:r>
        <w:rPr>
          <w:b/>
          <w:i/>
        </w:rPr>
        <w:br w:type="page"/>
      </w:r>
    </w:p>
    <w:p w14:paraId="5B9A799F" w14:textId="610A9AAA" w:rsidR="004D0FB4" w:rsidRDefault="004D0FB4" w:rsidP="007272DA">
      <w:pPr>
        <w:ind w:firstLine="720"/>
        <w:rPr>
          <w:bCs/>
          <w:iCs/>
        </w:rPr>
      </w:pPr>
      <w:r>
        <w:rPr>
          <w:b/>
          <w:i/>
        </w:rPr>
        <w:lastRenderedPageBreak/>
        <w:t>affected</w:t>
      </w:r>
      <w:r w:rsidRPr="007F02F2">
        <w:rPr>
          <w:b/>
          <w:i/>
        </w:rPr>
        <w:t xml:space="preserve"> business </w:t>
      </w:r>
      <w:r w:rsidRPr="007F02F2">
        <w:rPr>
          <w:bCs/>
          <w:iCs/>
        </w:rPr>
        <w:t>means a business who</w:t>
      </w:r>
      <w:r>
        <w:rPr>
          <w:bCs/>
          <w:iCs/>
        </w:rPr>
        <w:t>se</w:t>
      </w:r>
      <w:r w:rsidRPr="007F02F2">
        <w:rPr>
          <w:bCs/>
          <w:iCs/>
        </w:rPr>
        <w:t>:</w:t>
      </w:r>
      <w:r w:rsidRPr="00A21C9F">
        <w:rPr>
          <w:bCs/>
          <w:iCs/>
        </w:rPr>
        <w:t xml:space="preserve"> </w:t>
      </w:r>
    </w:p>
    <w:p w14:paraId="5038AAB1" w14:textId="77777777" w:rsidR="004D0FB4" w:rsidRPr="00770800" w:rsidRDefault="004D0FB4" w:rsidP="00042D62">
      <w:pPr>
        <w:pStyle w:val="Apara"/>
        <w:numPr>
          <w:ilvl w:val="6"/>
          <w:numId w:val="12"/>
        </w:numPr>
        <w:tabs>
          <w:tab w:val="clear" w:pos="1600"/>
          <w:tab w:val="num" w:pos="1276"/>
        </w:tabs>
        <w:spacing w:before="140" w:after="0"/>
        <w:ind w:left="1276" w:hanging="283"/>
      </w:pPr>
      <w:r w:rsidRPr="00770800">
        <w:t xml:space="preserve">turnover for any month in the </w:t>
      </w:r>
      <w:r w:rsidRPr="00B45212">
        <w:t>prescribed period</w:t>
      </w:r>
      <w:r w:rsidRPr="00770800">
        <w:t xml:space="preserve"> (including August 2021) (an </w:t>
      </w:r>
      <w:r w:rsidRPr="00770800">
        <w:rPr>
          <w:b/>
          <w:bCs/>
          <w:i/>
          <w:iCs/>
        </w:rPr>
        <w:t>impacted month</w:t>
      </w:r>
      <w:r w:rsidRPr="00770800">
        <w:t>) falls short of the following (</w:t>
      </w:r>
      <w:r w:rsidRPr="00770800">
        <w:rPr>
          <w:b/>
          <w:bCs/>
          <w:i/>
          <w:iCs/>
        </w:rPr>
        <w:t>the comparison turnover</w:t>
      </w:r>
      <w:r w:rsidRPr="00770800">
        <w:t>):</w:t>
      </w:r>
    </w:p>
    <w:p w14:paraId="28F931A7" w14:textId="77777777" w:rsidR="004D0FB4" w:rsidRPr="00770800" w:rsidRDefault="004D0FB4" w:rsidP="00042D62">
      <w:pPr>
        <w:pStyle w:val="Asubpara"/>
        <w:numPr>
          <w:ilvl w:val="7"/>
          <w:numId w:val="15"/>
        </w:numPr>
        <w:tabs>
          <w:tab w:val="clear" w:pos="2140"/>
          <w:tab w:val="num" w:pos="1843"/>
        </w:tabs>
        <w:spacing w:before="140" w:after="0"/>
        <w:ind w:left="1843" w:hanging="283"/>
      </w:pPr>
      <w:r w:rsidRPr="00770800">
        <w:t xml:space="preserve">the </w:t>
      </w:r>
      <w:r>
        <w:t>business’</w:t>
      </w:r>
      <w:r w:rsidRPr="00770800">
        <w:t xml:space="preserve"> turnover for a comparison month; </w:t>
      </w:r>
    </w:p>
    <w:p w14:paraId="7AF295FA" w14:textId="26CC51DD" w:rsidR="004D0FB4" w:rsidRPr="00770800" w:rsidRDefault="004D0FB4" w:rsidP="00042D62">
      <w:pPr>
        <w:pStyle w:val="Asubpara"/>
        <w:numPr>
          <w:ilvl w:val="7"/>
          <w:numId w:val="15"/>
        </w:numPr>
        <w:tabs>
          <w:tab w:val="clear" w:pos="2140"/>
          <w:tab w:val="num" w:pos="1843"/>
        </w:tabs>
        <w:spacing w:before="140" w:after="0"/>
        <w:ind w:left="1843" w:hanging="283"/>
      </w:pPr>
      <w:r w:rsidRPr="00770800">
        <w:t xml:space="preserve">if the </w:t>
      </w:r>
      <w:r>
        <w:t>business</w:t>
      </w:r>
      <w:r w:rsidRPr="00770800">
        <w:t xml:space="preserve"> did not carry</w:t>
      </w:r>
      <w:r w:rsidR="004A2275">
        <w:t xml:space="preserve"> </w:t>
      </w:r>
      <w:r w:rsidRPr="00770800">
        <w:t>on business in 2019 or 2020—</w:t>
      </w:r>
      <w:r>
        <w:rPr>
          <w:bCs/>
          <w:iCs/>
        </w:rPr>
        <w:t>otherwise satisfies the Commissioner that the business is an affected business</w:t>
      </w:r>
      <w:r w:rsidRPr="00770800">
        <w:t>; and</w:t>
      </w:r>
    </w:p>
    <w:p w14:paraId="47708E82" w14:textId="77777777" w:rsidR="004D0FB4" w:rsidRPr="00770800" w:rsidRDefault="004D0FB4" w:rsidP="00042D62">
      <w:pPr>
        <w:pStyle w:val="Apara"/>
        <w:numPr>
          <w:ilvl w:val="6"/>
          <w:numId w:val="12"/>
        </w:numPr>
        <w:tabs>
          <w:tab w:val="clear" w:pos="1600"/>
          <w:tab w:val="num" w:pos="1276"/>
        </w:tabs>
        <w:spacing w:before="140" w:after="0"/>
        <w:ind w:left="1276" w:hanging="283"/>
      </w:pPr>
      <w:r w:rsidRPr="00770800">
        <w:t>the shortfall, expressed as a percentage of the comparison turnover equals or exceeds—</w:t>
      </w:r>
    </w:p>
    <w:p w14:paraId="4417E047" w14:textId="77777777" w:rsidR="004D0FB4" w:rsidRPr="00770800" w:rsidRDefault="004D0FB4" w:rsidP="00042D62">
      <w:pPr>
        <w:pStyle w:val="Asubpara"/>
        <w:numPr>
          <w:ilvl w:val="7"/>
          <w:numId w:val="12"/>
        </w:numPr>
        <w:tabs>
          <w:tab w:val="clear" w:pos="2140"/>
          <w:tab w:val="num" w:pos="1843"/>
        </w:tabs>
        <w:spacing w:before="140" w:after="120"/>
        <w:ind w:left="1843" w:hanging="283"/>
      </w:pPr>
      <w:r w:rsidRPr="00770800">
        <w:t xml:space="preserve">for a business </w:t>
      </w:r>
      <w:r>
        <w:t xml:space="preserve">operating </w:t>
      </w:r>
      <w:r w:rsidRPr="00770800">
        <w:t>on a not-for-profit basis—15%; or</w:t>
      </w:r>
    </w:p>
    <w:p w14:paraId="6303CF78" w14:textId="77777777" w:rsidR="004D0FB4" w:rsidRDefault="004D0FB4" w:rsidP="00094F23">
      <w:pPr>
        <w:pStyle w:val="Asubpara"/>
        <w:numPr>
          <w:ilvl w:val="7"/>
          <w:numId w:val="12"/>
        </w:numPr>
        <w:tabs>
          <w:tab w:val="clear" w:pos="2140"/>
          <w:tab w:val="num" w:pos="1843"/>
        </w:tabs>
        <w:spacing w:before="140" w:after="140"/>
        <w:ind w:left="1843" w:hanging="284"/>
      </w:pPr>
      <w:r w:rsidRPr="00770800">
        <w:t xml:space="preserve">for any other </w:t>
      </w:r>
      <w:r>
        <w:t>business</w:t>
      </w:r>
      <w:r w:rsidRPr="00770800">
        <w:t>—30%.</w:t>
      </w:r>
    </w:p>
    <w:p w14:paraId="75245031" w14:textId="236C012D" w:rsidR="00400CCD" w:rsidRPr="00510525" w:rsidRDefault="001E0376" w:rsidP="00223BEE">
      <w:pPr>
        <w:spacing w:after="140"/>
        <w:ind w:left="720"/>
        <w:rPr>
          <w:b/>
          <w:i/>
        </w:rPr>
      </w:pPr>
      <w:r>
        <w:rPr>
          <w:b/>
          <w:i/>
        </w:rPr>
        <w:t xml:space="preserve">affected </w:t>
      </w:r>
      <w:r w:rsidR="007D0718" w:rsidRPr="009B0615">
        <w:rPr>
          <w:b/>
          <w:i/>
        </w:rPr>
        <w:t xml:space="preserve">business tenant </w:t>
      </w:r>
      <w:r w:rsidR="007D0718" w:rsidRPr="00577A28">
        <w:rPr>
          <w:bCs/>
          <w:iCs/>
        </w:rPr>
        <w:t>means a person:</w:t>
      </w:r>
      <w:r w:rsidR="007D0718" w:rsidRPr="00510525">
        <w:rPr>
          <w:b/>
          <w:i/>
        </w:rPr>
        <w:t xml:space="preserve"> </w:t>
      </w:r>
    </w:p>
    <w:p w14:paraId="26128B34" w14:textId="74A36149" w:rsidR="007D0718" w:rsidRPr="009B0615" w:rsidRDefault="001E0376" w:rsidP="00042D62">
      <w:pPr>
        <w:pStyle w:val="ListParagraph"/>
        <w:numPr>
          <w:ilvl w:val="0"/>
          <w:numId w:val="6"/>
        </w:numPr>
        <w:spacing w:after="140"/>
        <w:ind w:left="1276" w:hanging="556"/>
        <w:contextualSpacing w:val="0"/>
      </w:pPr>
      <w:r w:rsidRPr="00577A28">
        <w:rPr>
          <w:bCs/>
          <w:iCs/>
        </w:rPr>
        <w:t>who</w:t>
      </w:r>
      <w:r w:rsidRPr="009B0615">
        <w:t xml:space="preserve"> </w:t>
      </w:r>
      <w:r w:rsidR="007D0718" w:rsidRPr="009B0615">
        <w:t>occupies the eligible land under an agreement with the eligible owner; and</w:t>
      </w:r>
    </w:p>
    <w:p w14:paraId="6AA4257B" w14:textId="58FAF634" w:rsidR="006908F4" w:rsidRDefault="006908F4" w:rsidP="00042D62">
      <w:pPr>
        <w:pStyle w:val="ListParagraph"/>
        <w:numPr>
          <w:ilvl w:val="0"/>
          <w:numId w:val="6"/>
        </w:numPr>
        <w:spacing w:after="140"/>
        <w:ind w:left="1276" w:hanging="556"/>
        <w:contextualSpacing w:val="0"/>
      </w:pPr>
      <w:r>
        <w:t>who</w:t>
      </w:r>
      <w:r w:rsidR="00C60F05">
        <w:t xml:space="preserve"> is an SME entity; and</w:t>
      </w:r>
    </w:p>
    <w:p w14:paraId="6A9D087D" w14:textId="5F10CC8D" w:rsidR="001E0376" w:rsidRDefault="001E0376" w:rsidP="00042D62">
      <w:pPr>
        <w:pStyle w:val="ListParagraph"/>
        <w:numPr>
          <w:ilvl w:val="0"/>
          <w:numId w:val="6"/>
        </w:numPr>
        <w:spacing w:before="240" w:after="140"/>
        <w:ind w:left="1276" w:hanging="556"/>
        <w:contextualSpacing w:val="0"/>
      </w:pPr>
      <w:r>
        <w:t>whose business is an affected business; and</w:t>
      </w:r>
    </w:p>
    <w:p w14:paraId="6947DF54" w14:textId="283A1688" w:rsidR="00AD5C41" w:rsidRDefault="001E0376" w:rsidP="00042D62">
      <w:pPr>
        <w:pStyle w:val="ListParagraph"/>
        <w:numPr>
          <w:ilvl w:val="0"/>
          <w:numId w:val="6"/>
        </w:numPr>
        <w:spacing w:before="240" w:after="140"/>
        <w:ind w:left="1276" w:hanging="556"/>
        <w:contextualSpacing w:val="0"/>
      </w:pPr>
      <w:r>
        <w:t xml:space="preserve">who </w:t>
      </w:r>
      <w:r w:rsidR="007D0718" w:rsidRPr="009B0615">
        <w:t xml:space="preserve">has had their rent on that land reduced </w:t>
      </w:r>
      <w:r w:rsidR="00D5409C">
        <w:t>(and not deferred)</w:t>
      </w:r>
      <w:r w:rsidR="003F6C6C">
        <w:t xml:space="preserve"> </w:t>
      </w:r>
      <w:r w:rsidR="003F6C6C" w:rsidRPr="00573DC3">
        <w:t xml:space="preserve">for a period of at least </w:t>
      </w:r>
      <w:r w:rsidR="003474B5" w:rsidRPr="00BB0A4C">
        <w:t>four weeks</w:t>
      </w:r>
      <w:r w:rsidR="003F6C6C" w:rsidRPr="00573DC3">
        <w:t xml:space="preserve"> during the prescribed period</w:t>
      </w:r>
      <w:r w:rsidR="00D5409C" w:rsidRPr="00573DC3">
        <w:t xml:space="preserve"> </w:t>
      </w:r>
      <w:r w:rsidR="00D451F7">
        <w:t>after the eligible owner has engaged in good faith negotiations with the person</w:t>
      </w:r>
      <w:r w:rsidR="00AD5C41">
        <w:t>; and</w:t>
      </w:r>
    </w:p>
    <w:p w14:paraId="1BF01014" w14:textId="7C1434B2" w:rsidR="00D36495" w:rsidRPr="00992D75" w:rsidRDefault="00AD5C41" w:rsidP="00042D62">
      <w:pPr>
        <w:pStyle w:val="ListParagraph"/>
        <w:numPr>
          <w:ilvl w:val="0"/>
          <w:numId w:val="6"/>
        </w:numPr>
        <w:spacing w:after="140"/>
        <w:ind w:left="1276" w:hanging="556"/>
        <w:contextualSpacing w:val="0"/>
        <w:rPr>
          <w:b/>
          <w:bCs/>
          <w:i/>
          <w:iCs/>
          <w:color w:val="000000"/>
          <w:lang w:eastAsia="en-AU"/>
        </w:rPr>
      </w:pPr>
      <w:r w:rsidRPr="007F02F2">
        <w:t>th</w:t>
      </w:r>
      <w:r w:rsidR="006421A8" w:rsidRPr="007F02F2">
        <w:t>at</w:t>
      </w:r>
      <w:r w:rsidRPr="007F02F2">
        <w:t xml:space="preserve"> </w:t>
      </w:r>
      <w:r w:rsidR="00483B13" w:rsidRPr="00461474">
        <w:t>r</w:t>
      </w:r>
      <w:r w:rsidR="00483B13" w:rsidRPr="007F02F2">
        <w:t>educed rent</w:t>
      </w:r>
      <w:r w:rsidR="00CD21BC">
        <w:t xml:space="preserve"> arrangement</w:t>
      </w:r>
      <w:r w:rsidR="00D36495">
        <w:t>:</w:t>
      </w:r>
    </w:p>
    <w:p w14:paraId="0AD43174" w14:textId="442355D2" w:rsidR="00D36495" w:rsidRPr="00992D75" w:rsidRDefault="00992D75" w:rsidP="00D36495">
      <w:pPr>
        <w:pStyle w:val="Asubpara"/>
        <w:numPr>
          <w:ilvl w:val="7"/>
          <w:numId w:val="18"/>
        </w:numPr>
        <w:tabs>
          <w:tab w:val="clear" w:pos="2140"/>
          <w:tab w:val="num" w:pos="1843"/>
        </w:tabs>
        <w:spacing w:before="140" w:after="120"/>
        <w:ind w:left="1843" w:hanging="283"/>
        <w:rPr>
          <w:b/>
          <w:bCs/>
          <w:i/>
          <w:iCs/>
          <w:color w:val="000000"/>
          <w:lang w:eastAsia="en-AU"/>
        </w:rPr>
      </w:pPr>
      <w:r>
        <w:t xml:space="preserve">commences </w:t>
      </w:r>
      <w:r w:rsidR="00483B13" w:rsidRPr="007F02F2">
        <w:t xml:space="preserve">in the </w:t>
      </w:r>
      <w:r w:rsidR="00A43DBD">
        <w:t>prescribed period</w:t>
      </w:r>
      <w:r w:rsidR="00D36495">
        <w:t xml:space="preserve">; or </w:t>
      </w:r>
    </w:p>
    <w:p w14:paraId="425950DE" w14:textId="4928E133" w:rsidR="002E58F7" w:rsidRPr="00461474" w:rsidRDefault="00D36495" w:rsidP="00D36495">
      <w:pPr>
        <w:pStyle w:val="Asubpara"/>
        <w:numPr>
          <w:ilvl w:val="7"/>
          <w:numId w:val="18"/>
        </w:numPr>
        <w:tabs>
          <w:tab w:val="clear" w:pos="2140"/>
          <w:tab w:val="num" w:pos="1843"/>
        </w:tabs>
        <w:spacing w:before="140" w:after="120"/>
        <w:ind w:left="1843" w:hanging="283"/>
        <w:rPr>
          <w:b/>
          <w:bCs/>
          <w:i/>
          <w:iCs/>
          <w:color w:val="000000"/>
          <w:lang w:eastAsia="en-AU"/>
        </w:rPr>
      </w:pPr>
      <w:r>
        <w:t xml:space="preserve">commenced during the period 1 April 2020 </w:t>
      </w:r>
      <w:r w:rsidR="00992D75">
        <w:t>to</w:t>
      </w:r>
      <w:r>
        <w:t xml:space="preserve"> </w:t>
      </w:r>
      <w:r w:rsidR="00992D75" w:rsidRPr="00CD21BC">
        <w:t>31 July 2021</w:t>
      </w:r>
      <w:r>
        <w:t xml:space="preserve"> inclusive and </w:t>
      </w:r>
      <w:r w:rsidR="00CD21BC">
        <w:t xml:space="preserve">that arrangement </w:t>
      </w:r>
      <w:r>
        <w:t>continue</w:t>
      </w:r>
      <w:r w:rsidR="00CD21BC">
        <w:t>s</w:t>
      </w:r>
      <w:r>
        <w:t xml:space="preserve"> into the prescribed period</w:t>
      </w:r>
      <w:r w:rsidR="007D0718" w:rsidRPr="007F02F2">
        <w:t>.</w:t>
      </w:r>
      <w:bookmarkStart w:id="3" w:name="_Hlk40881394"/>
    </w:p>
    <w:p w14:paraId="171535A6" w14:textId="46E933F9" w:rsidR="004D0FB4" w:rsidRDefault="002E58F7" w:rsidP="00DA1327">
      <w:pPr>
        <w:pStyle w:val="ListParagraph"/>
        <w:spacing w:after="140"/>
        <w:contextualSpacing w:val="0"/>
      </w:pPr>
      <w:r>
        <w:rPr>
          <w:b/>
          <w:bCs/>
          <w:i/>
          <w:iCs/>
          <w:color w:val="000000"/>
          <w:lang w:eastAsia="en-AU"/>
        </w:rPr>
        <w:t xml:space="preserve">cap </w:t>
      </w:r>
      <w:r>
        <w:rPr>
          <w:color w:val="000000"/>
          <w:lang w:eastAsia="en-AU"/>
        </w:rPr>
        <w:t>means</w:t>
      </w:r>
      <w:r w:rsidR="00751886">
        <w:rPr>
          <w:color w:val="000000"/>
          <w:lang w:eastAsia="en-AU"/>
        </w:rPr>
        <w:t xml:space="preserve">, </w:t>
      </w:r>
      <w:r w:rsidRPr="00751886">
        <w:rPr>
          <w:lang w:eastAsia="en-AU"/>
        </w:rPr>
        <w:t xml:space="preserve">for </w:t>
      </w:r>
      <w:r w:rsidR="009A4BE0">
        <w:rPr>
          <w:lang w:eastAsia="en-AU"/>
        </w:rPr>
        <w:t>the prescribed period</w:t>
      </w:r>
      <w:r w:rsidRPr="00751886">
        <w:rPr>
          <w:lang w:eastAsia="en-AU"/>
        </w:rPr>
        <w:t xml:space="preserve">, </w:t>
      </w:r>
      <w:r w:rsidR="00751886" w:rsidRPr="006624C9">
        <w:t>for</w:t>
      </w:r>
      <w:r w:rsidR="004D0FB4">
        <w:t>:</w:t>
      </w:r>
      <w:r w:rsidR="00751886" w:rsidRPr="006624C9">
        <w:t xml:space="preserve"> </w:t>
      </w:r>
    </w:p>
    <w:p w14:paraId="0B137BFC" w14:textId="62CF9DC9" w:rsidR="009A4BE0" w:rsidRDefault="004D0FB4" w:rsidP="00042D62">
      <w:pPr>
        <w:pStyle w:val="ListParagraph"/>
        <w:numPr>
          <w:ilvl w:val="0"/>
          <w:numId w:val="14"/>
        </w:numPr>
        <w:spacing w:after="140"/>
        <w:ind w:left="1276" w:hanging="556"/>
        <w:contextualSpacing w:val="0"/>
      </w:pPr>
      <w:r w:rsidRPr="006624C9">
        <w:t xml:space="preserve">an </w:t>
      </w:r>
      <w:r w:rsidR="00751886" w:rsidRPr="006624C9">
        <w:t>eligible owner</w:t>
      </w:r>
      <w:r w:rsidR="00EC43C1">
        <w:t xml:space="preserve"> </w:t>
      </w:r>
      <w:r>
        <w:t>with an affected business tenant</w:t>
      </w:r>
      <w:r w:rsidR="00DF7C9A" w:rsidRPr="00770800">
        <w:t>—</w:t>
      </w:r>
      <w:r w:rsidR="009A4BE0">
        <w:t>the lower of</w:t>
      </w:r>
      <w:r w:rsidR="00276B88">
        <w:t>:</w:t>
      </w:r>
      <w:r w:rsidR="009A4BE0">
        <w:t xml:space="preserve"> </w:t>
      </w:r>
    </w:p>
    <w:p w14:paraId="287F0C42" w14:textId="36211CE4" w:rsidR="00751886" w:rsidRDefault="009A4BE0" w:rsidP="00D36495">
      <w:pPr>
        <w:pStyle w:val="Asubpara"/>
        <w:numPr>
          <w:ilvl w:val="7"/>
          <w:numId w:val="23"/>
        </w:numPr>
        <w:tabs>
          <w:tab w:val="clear" w:pos="2140"/>
        </w:tabs>
        <w:spacing w:before="140" w:after="120"/>
        <w:ind w:left="1843" w:hanging="283"/>
      </w:pPr>
      <w:r>
        <w:t xml:space="preserve">an amount of </w:t>
      </w:r>
      <w:r w:rsidR="00751886" w:rsidRPr="003F6C6C">
        <w:t>$</w:t>
      </w:r>
      <w:r w:rsidR="003432CB">
        <w:t>10</w:t>
      </w:r>
      <w:r w:rsidR="00EC43C1" w:rsidRPr="00B45212">
        <w:t>,000</w:t>
      </w:r>
      <w:r>
        <w:t>; or</w:t>
      </w:r>
    </w:p>
    <w:p w14:paraId="5D5ACAD7" w14:textId="222833C6" w:rsidR="004D0FB4" w:rsidRDefault="009A4BE0" w:rsidP="00D36495">
      <w:pPr>
        <w:pStyle w:val="Asubpara"/>
        <w:numPr>
          <w:ilvl w:val="7"/>
          <w:numId w:val="23"/>
        </w:numPr>
        <w:spacing w:before="140" w:after="120"/>
        <w:ind w:left="1843" w:hanging="283"/>
      </w:pPr>
      <w:r>
        <w:t>an amount equal to the rates for quarter</w:t>
      </w:r>
      <w:r w:rsidR="003432CB">
        <w:t>s</w:t>
      </w:r>
      <w:r>
        <w:t xml:space="preserve"> </w:t>
      </w:r>
      <w:r w:rsidR="00EF181B">
        <w:t>1</w:t>
      </w:r>
      <w:r w:rsidR="003432CB">
        <w:t xml:space="preserve"> and 2</w:t>
      </w:r>
      <w:r>
        <w:t>, 2021-22 for the eligible land</w:t>
      </w:r>
      <w:r w:rsidR="004D0FB4">
        <w:t>;</w:t>
      </w:r>
    </w:p>
    <w:p w14:paraId="3D6E31FD" w14:textId="2F5E1DC9" w:rsidR="009A4BE0" w:rsidRPr="00DA1327" w:rsidRDefault="004D0FB4" w:rsidP="00042D62">
      <w:pPr>
        <w:pStyle w:val="ListParagraph"/>
        <w:numPr>
          <w:ilvl w:val="0"/>
          <w:numId w:val="14"/>
        </w:numPr>
        <w:spacing w:after="140"/>
        <w:ind w:left="1276" w:hanging="556"/>
        <w:contextualSpacing w:val="0"/>
      </w:pPr>
      <w:r w:rsidRPr="007272DA">
        <w:rPr>
          <w:bCs/>
          <w:iCs/>
        </w:rPr>
        <w:t>other</w:t>
      </w:r>
      <w:r>
        <w:t xml:space="preserve"> eligible owners</w:t>
      </w:r>
      <w:r w:rsidRPr="00770800">
        <w:t>—</w:t>
      </w:r>
      <w:r>
        <w:t xml:space="preserve">an amount of </w:t>
      </w:r>
      <w:r w:rsidRPr="003F6C6C">
        <w:t>$</w:t>
      </w:r>
      <w:r w:rsidR="003432CB">
        <w:t>10</w:t>
      </w:r>
      <w:r w:rsidRPr="00C739D8">
        <w:t>,000</w:t>
      </w:r>
      <w:r>
        <w:t>.</w:t>
      </w:r>
    </w:p>
    <w:bookmarkEnd w:id="3"/>
    <w:p w14:paraId="7BD887A0" w14:textId="682DE79C" w:rsidR="00C53AFD" w:rsidRDefault="00C53AFD" w:rsidP="00094F23">
      <w:pPr>
        <w:spacing w:before="140" w:after="140"/>
        <w:ind w:firstLine="720"/>
      </w:pPr>
      <w:r w:rsidRPr="007758C9">
        <w:rPr>
          <w:b/>
          <w:i/>
        </w:rPr>
        <w:t>commercial land</w:t>
      </w:r>
      <w:r w:rsidR="005543DA" w:rsidRPr="007758C9">
        <w:t>—see the Act, dictionary</w:t>
      </w:r>
      <w:r w:rsidRPr="007758C9">
        <w:t>.</w:t>
      </w:r>
    </w:p>
    <w:p w14:paraId="2B7D61CF" w14:textId="54428E33" w:rsidR="00372F34" w:rsidRPr="00372F34" w:rsidRDefault="00372F34" w:rsidP="0070713D">
      <w:pPr>
        <w:spacing w:after="140"/>
        <w:ind w:left="720"/>
        <w:rPr>
          <w:bCs/>
          <w:iCs/>
        </w:rPr>
      </w:pPr>
      <w:r>
        <w:rPr>
          <w:b/>
          <w:i/>
        </w:rPr>
        <w:t>Commissioner</w:t>
      </w:r>
      <w:r>
        <w:rPr>
          <w:bCs/>
          <w:iCs/>
        </w:rPr>
        <w:t xml:space="preserve"> means the Commissioner for ACT Revenue under section 73 of the </w:t>
      </w:r>
      <w:r w:rsidRPr="004E19C8">
        <w:rPr>
          <w:bCs/>
          <w:i/>
        </w:rPr>
        <w:t>Taxation Administration Act 1999</w:t>
      </w:r>
      <w:r>
        <w:rPr>
          <w:bCs/>
          <w:iCs/>
        </w:rPr>
        <w:t>.</w:t>
      </w:r>
    </w:p>
    <w:p w14:paraId="73CDACED" w14:textId="77777777" w:rsidR="00992D75" w:rsidRDefault="00992D75">
      <w:pPr>
        <w:rPr>
          <w:b/>
          <w:i/>
        </w:rPr>
      </w:pPr>
      <w:bookmarkStart w:id="4" w:name="_Hlk48751337"/>
      <w:r>
        <w:rPr>
          <w:b/>
          <w:i/>
        </w:rPr>
        <w:br w:type="page"/>
      </w:r>
    </w:p>
    <w:p w14:paraId="68BFF4F6" w14:textId="20D05806" w:rsidR="0070713D" w:rsidRPr="0061097D" w:rsidRDefault="0070713D" w:rsidP="00D15EAE">
      <w:pPr>
        <w:ind w:firstLine="720"/>
        <w:rPr>
          <w:bCs/>
          <w:iCs/>
        </w:rPr>
      </w:pPr>
      <w:r w:rsidRPr="0070713D">
        <w:rPr>
          <w:b/>
          <w:i/>
        </w:rPr>
        <w:lastRenderedPageBreak/>
        <w:t>comparison month</w:t>
      </w:r>
      <w:r w:rsidRPr="0061097D">
        <w:rPr>
          <w:bCs/>
          <w:iCs/>
        </w:rPr>
        <w:t>, for an impacted month, means</w:t>
      </w:r>
      <w:r w:rsidR="00DF7C9A">
        <w:rPr>
          <w:bCs/>
          <w:iCs/>
        </w:rPr>
        <w:t>:</w:t>
      </w:r>
    </w:p>
    <w:p w14:paraId="27257E59" w14:textId="73D9C8BA" w:rsidR="0070713D" w:rsidRPr="0061097D" w:rsidRDefault="0070713D" w:rsidP="00D15EAE">
      <w:pPr>
        <w:pStyle w:val="ListParagraph"/>
        <w:numPr>
          <w:ilvl w:val="0"/>
          <w:numId w:val="25"/>
        </w:numPr>
        <w:spacing w:after="140"/>
        <w:ind w:left="1276" w:hanging="556"/>
        <w:contextualSpacing w:val="0"/>
        <w:rPr>
          <w:bCs/>
          <w:iCs/>
        </w:rPr>
      </w:pPr>
      <w:r w:rsidRPr="0061097D">
        <w:rPr>
          <w:bCs/>
          <w:iCs/>
        </w:rPr>
        <w:t>the same month as the impacted month in 2019; or</w:t>
      </w:r>
    </w:p>
    <w:p w14:paraId="243B96E6" w14:textId="1E9F1FDB" w:rsidR="003F6C6C" w:rsidRDefault="0070713D" w:rsidP="00D15EAE">
      <w:pPr>
        <w:pStyle w:val="ListParagraph"/>
        <w:numPr>
          <w:ilvl w:val="0"/>
          <w:numId w:val="25"/>
        </w:numPr>
        <w:spacing w:after="140"/>
        <w:ind w:left="1276" w:hanging="556"/>
        <w:contextualSpacing w:val="0"/>
        <w:rPr>
          <w:b/>
          <w:i/>
        </w:rPr>
      </w:pPr>
      <w:r w:rsidRPr="0061097D">
        <w:rPr>
          <w:bCs/>
          <w:iCs/>
        </w:rPr>
        <w:t xml:space="preserve">if the </w:t>
      </w:r>
      <w:r>
        <w:rPr>
          <w:bCs/>
          <w:iCs/>
        </w:rPr>
        <w:t>business</w:t>
      </w:r>
      <w:r w:rsidRPr="0061097D">
        <w:rPr>
          <w:bCs/>
          <w:iCs/>
        </w:rPr>
        <w:t xml:space="preserve"> did not </w:t>
      </w:r>
      <w:r w:rsidR="0013132D" w:rsidRPr="0061097D">
        <w:rPr>
          <w:bCs/>
          <w:iCs/>
        </w:rPr>
        <w:t>carry</w:t>
      </w:r>
      <w:r w:rsidR="004A2275">
        <w:rPr>
          <w:bCs/>
          <w:iCs/>
        </w:rPr>
        <w:t xml:space="preserve"> </w:t>
      </w:r>
      <w:r w:rsidRPr="0061097D">
        <w:rPr>
          <w:bCs/>
          <w:iCs/>
        </w:rPr>
        <w:t>on business in 2019—the same month as the impacted month in 2020.</w:t>
      </w:r>
    </w:p>
    <w:bookmarkEnd w:id="4"/>
    <w:p w14:paraId="35EB5D3E" w14:textId="501AE15C" w:rsidR="00FC2047" w:rsidRPr="00FC2047" w:rsidRDefault="00AD07B6" w:rsidP="00223BEE">
      <w:pPr>
        <w:spacing w:after="140"/>
        <w:ind w:left="720"/>
        <w:rPr>
          <w:bCs/>
          <w:iCs/>
        </w:rPr>
      </w:pPr>
      <w:r>
        <w:rPr>
          <w:b/>
          <w:i/>
        </w:rPr>
        <w:t>de</w:t>
      </w:r>
      <w:r w:rsidR="00D20666" w:rsidRPr="009B0615">
        <w:rPr>
          <w:b/>
          <w:i/>
        </w:rPr>
        <w:t xml:space="preserve">termined amount </w:t>
      </w:r>
      <w:r w:rsidR="00D20666" w:rsidRPr="00DF7EDE">
        <w:rPr>
          <w:bCs/>
          <w:iCs/>
        </w:rPr>
        <w:t xml:space="preserve">means </w:t>
      </w:r>
      <w:r w:rsidR="002E58F7">
        <w:rPr>
          <w:bCs/>
          <w:iCs/>
        </w:rPr>
        <w:t xml:space="preserve">the aggregate of any of the following </w:t>
      </w:r>
      <w:r w:rsidR="00626D25">
        <w:rPr>
          <w:bCs/>
          <w:iCs/>
        </w:rPr>
        <w:t>amount</w:t>
      </w:r>
      <w:r w:rsidR="002E58F7">
        <w:rPr>
          <w:bCs/>
          <w:iCs/>
        </w:rPr>
        <w:t>s, but not exceeding the cap</w:t>
      </w:r>
      <w:r w:rsidR="00D20666" w:rsidRPr="00DF7EDE">
        <w:rPr>
          <w:bCs/>
          <w:iCs/>
        </w:rPr>
        <w:t>:</w:t>
      </w:r>
    </w:p>
    <w:p w14:paraId="5CABF1F3" w14:textId="5DB27278" w:rsidR="00EB35D6" w:rsidRPr="006908F4" w:rsidRDefault="00D20666" w:rsidP="00042D62">
      <w:pPr>
        <w:pStyle w:val="ListParagraph"/>
        <w:numPr>
          <w:ilvl w:val="0"/>
          <w:numId w:val="7"/>
        </w:numPr>
        <w:spacing w:after="140"/>
        <w:ind w:left="1276" w:hanging="556"/>
        <w:contextualSpacing w:val="0"/>
        <w:rPr>
          <w:color w:val="000000"/>
          <w:lang w:eastAsia="en-AU"/>
        </w:rPr>
      </w:pPr>
      <w:r w:rsidRPr="005502E8">
        <w:rPr>
          <w:color w:val="000000"/>
          <w:lang w:eastAsia="en-AU"/>
        </w:rPr>
        <w:t>where a</w:t>
      </w:r>
      <w:r w:rsidR="00C46728">
        <w:rPr>
          <w:color w:val="000000"/>
          <w:lang w:eastAsia="en-AU"/>
        </w:rPr>
        <w:t>n affected</w:t>
      </w:r>
      <w:r w:rsidRPr="005502E8">
        <w:rPr>
          <w:color w:val="000000"/>
          <w:lang w:eastAsia="en-AU"/>
        </w:rPr>
        <w:t xml:space="preserve"> business tenant </w:t>
      </w:r>
      <w:r w:rsidR="00A84CA4" w:rsidRPr="005502E8">
        <w:rPr>
          <w:color w:val="000000"/>
          <w:lang w:eastAsia="en-AU"/>
        </w:rPr>
        <w:t>operates</w:t>
      </w:r>
      <w:r w:rsidR="008D3580" w:rsidRPr="005502E8">
        <w:rPr>
          <w:color w:val="000000"/>
          <w:lang w:eastAsia="en-AU"/>
        </w:rPr>
        <w:t xml:space="preserve"> on t</w:t>
      </w:r>
      <w:r w:rsidR="003C070B" w:rsidRPr="005502E8">
        <w:rPr>
          <w:color w:val="000000"/>
          <w:lang w:eastAsia="en-AU"/>
        </w:rPr>
        <w:t>he eligible</w:t>
      </w:r>
      <w:r w:rsidR="008D3580" w:rsidRPr="005502E8">
        <w:rPr>
          <w:color w:val="000000"/>
          <w:lang w:eastAsia="en-AU"/>
        </w:rPr>
        <w:t xml:space="preserve"> land</w:t>
      </w:r>
      <w:r w:rsidR="00751886">
        <w:rPr>
          <w:color w:val="000000"/>
          <w:lang w:eastAsia="en-AU"/>
        </w:rPr>
        <w:t xml:space="preserve"> </w:t>
      </w:r>
      <w:r w:rsidR="00A84CA4" w:rsidRPr="006908F4">
        <w:rPr>
          <w:color w:val="000000"/>
          <w:lang w:eastAsia="en-AU"/>
        </w:rPr>
        <w:t>a</w:t>
      </w:r>
      <w:r w:rsidR="00801FFE">
        <w:rPr>
          <w:color w:val="000000"/>
          <w:lang w:eastAsia="en-AU"/>
        </w:rPr>
        <w:t>n affected</w:t>
      </w:r>
      <w:r w:rsidR="00A84CA4" w:rsidRPr="006908F4">
        <w:rPr>
          <w:color w:val="000000"/>
          <w:lang w:eastAsia="en-AU"/>
        </w:rPr>
        <w:t xml:space="preserve"> business</w:t>
      </w:r>
      <w:r w:rsidR="002E58F7" w:rsidRPr="006908F4">
        <w:rPr>
          <w:color w:val="000000"/>
          <w:lang w:eastAsia="en-AU"/>
        </w:rPr>
        <w:t xml:space="preserve"> </w:t>
      </w:r>
      <w:r w:rsidR="00FF142C" w:rsidRPr="00A02F0A">
        <w:rPr>
          <w:color w:val="000000"/>
          <w:lang w:eastAsia="en-AU"/>
        </w:rPr>
        <w:t xml:space="preserve">for any length of time </w:t>
      </w:r>
      <w:r w:rsidR="002E58F7" w:rsidRPr="006908F4">
        <w:rPr>
          <w:color w:val="000000"/>
          <w:lang w:eastAsia="en-AU"/>
        </w:rPr>
        <w:t xml:space="preserve">during </w:t>
      </w:r>
      <w:r w:rsidR="00801FFE" w:rsidRPr="00A02F0A">
        <w:rPr>
          <w:color w:val="000000"/>
          <w:lang w:eastAsia="en-AU"/>
        </w:rPr>
        <w:t>the prescribed period</w:t>
      </w:r>
      <w:r w:rsidR="00751886" w:rsidRPr="007758C9">
        <w:t>—</w:t>
      </w:r>
      <w:r w:rsidR="00751886">
        <w:t xml:space="preserve">an amount </w:t>
      </w:r>
      <w:r w:rsidRPr="006908F4">
        <w:rPr>
          <w:color w:val="000000"/>
          <w:lang w:eastAsia="en-AU"/>
        </w:rPr>
        <w:t xml:space="preserve">equal to </w:t>
      </w:r>
      <w:r w:rsidR="003F6C6C" w:rsidRPr="00573DC3">
        <w:rPr>
          <w:color w:val="000000"/>
          <w:lang w:eastAsia="en-AU"/>
        </w:rPr>
        <w:t>50</w:t>
      </w:r>
      <w:r w:rsidRPr="00573DC3">
        <w:rPr>
          <w:color w:val="000000"/>
          <w:lang w:eastAsia="en-AU"/>
        </w:rPr>
        <w:t xml:space="preserve"> per cent of the </w:t>
      </w:r>
      <w:r w:rsidR="00A731CD" w:rsidRPr="00573DC3">
        <w:rPr>
          <w:color w:val="000000"/>
          <w:lang w:eastAsia="en-AU"/>
        </w:rPr>
        <w:t xml:space="preserve">total </w:t>
      </w:r>
      <w:r w:rsidRPr="00573DC3">
        <w:rPr>
          <w:color w:val="000000"/>
          <w:lang w:eastAsia="en-AU"/>
        </w:rPr>
        <w:t>value of the reduction in rent</w:t>
      </w:r>
      <w:r w:rsidR="006641EB" w:rsidRPr="006908F4">
        <w:rPr>
          <w:color w:val="000000"/>
          <w:lang w:eastAsia="en-AU"/>
        </w:rPr>
        <w:t xml:space="preserve"> </w:t>
      </w:r>
      <w:r w:rsidR="009A4BE0">
        <w:rPr>
          <w:color w:val="000000"/>
          <w:lang w:eastAsia="en-AU"/>
        </w:rPr>
        <w:t>during the</w:t>
      </w:r>
      <w:r w:rsidR="00AD07B6" w:rsidRPr="006908F4">
        <w:rPr>
          <w:color w:val="000000"/>
          <w:lang w:eastAsia="en-AU"/>
        </w:rPr>
        <w:t xml:space="preserve"> </w:t>
      </w:r>
      <w:r w:rsidR="009A4BE0">
        <w:rPr>
          <w:color w:val="000000"/>
          <w:lang w:eastAsia="en-AU"/>
        </w:rPr>
        <w:t>prescribed period</w:t>
      </w:r>
      <w:r w:rsidR="00621059" w:rsidRPr="006908F4">
        <w:rPr>
          <w:color w:val="000000"/>
          <w:lang w:eastAsia="en-AU"/>
        </w:rPr>
        <w:t xml:space="preserve">; </w:t>
      </w:r>
      <w:r w:rsidRPr="006908F4">
        <w:rPr>
          <w:color w:val="000000"/>
          <w:lang w:eastAsia="en-AU"/>
        </w:rPr>
        <w:t>or</w:t>
      </w:r>
    </w:p>
    <w:p w14:paraId="01C92F26" w14:textId="56C70FB3" w:rsidR="00DA66BB" w:rsidRPr="00573DC3" w:rsidRDefault="00DA66BB" w:rsidP="00042D62">
      <w:pPr>
        <w:pStyle w:val="ListParagraph"/>
        <w:numPr>
          <w:ilvl w:val="0"/>
          <w:numId w:val="7"/>
        </w:numPr>
        <w:spacing w:after="140"/>
        <w:ind w:left="1276" w:hanging="556"/>
        <w:contextualSpacing w:val="0"/>
        <w:rPr>
          <w:color w:val="000000"/>
          <w:lang w:eastAsia="en-AU"/>
        </w:rPr>
      </w:pPr>
      <w:r w:rsidRPr="00A02F0A">
        <w:rPr>
          <w:color w:val="000000"/>
          <w:lang w:eastAsia="en-AU"/>
        </w:rPr>
        <w:t>where the eligible owner occupies the eligible land and operates</w:t>
      </w:r>
      <w:r w:rsidR="008D3580" w:rsidRPr="00A02F0A">
        <w:rPr>
          <w:color w:val="000000"/>
          <w:lang w:eastAsia="en-AU"/>
        </w:rPr>
        <w:t xml:space="preserve"> </w:t>
      </w:r>
      <w:r w:rsidR="00751886" w:rsidRPr="001117EA">
        <w:rPr>
          <w:color w:val="000000"/>
          <w:lang w:eastAsia="en-AU"/>
        </w:rPr>
        <w:t>a</w:t>
      </w:r>
      <w:r w:rsidR="00751886">
        <w:rPr>
          <w:color w:val="000000"/>
          <w:lang w:eastAsia="en-AU"/>
        </w:rPr>
        <w:t>n affected</w:t>
      </w:r>
      <w:r w:rsidR="00751886" w:rsidRPr="001117EA">
        <w:rPr>
          <w:color w:val="000000"/>
          <w:lang w:eastAsia="en-AU"/>
        </w:rPr>
        <w:t xml:space="preserve"> business</w:t>
      </w:r>
      <w:r w:rsidR="00751886" w:rsidRPr="00A02F0A">
        <w:rPr>
          <w:color w:val="000000"/>
          <w:lang w:eastAsia="en-AU"/>
        </w:rPr>
        <w:t xml:space="preserve"> </w:t>
      </w:r>
      <w:r w:rsidR="008D3580" w:rsidRPr="00A02F0A">
        <w:rPr>
          <w:color w:val="000000"/>
          <w:lang w:eastAsia="en-AU"/>
        </w:rPr>
        <w:t>on that land</w:t>
      </w:r>
      <w:r w:rsidR="008F53F2" w:rsidRPr="00A02F0A">
        <w:rPr>
          <w:color w:val="000000"/>
          <w:lang w:eastAsia="en-AU"/>
        </w:rPr>
        <w:t xml:space="preserve"> for any length of time during the </w:t>
      </w:r>
      <w:r w:rsidR="009A4BE0" w:rsidRPr="00A02F0A">
        <w:rPr>
          <w:color w:val="000000"/>
          <w:lang w:eastAsia="en-AU"/>
        </w:rPr>
        <w:t>prescribed period</w:t>
      </w:r>
      <w:r w:rsidR="00751886" w:rsidRPr="00A02F0A">
        <w:rPr>
          <w:color w:val="000000"/>
          <w:lang w:eastAsia="en-AU"/>
        </w:rPr>
        <w:t>—</w:t>
      </w:r>
      <w:r w:rsidR="009A4BE0" w:rsidRPr="00573DC3">
        <w:rPr>
          <w:color w:val="000000"/>
          <w:lang w:eastAsia="en-AU"/>
        </w:rPr>
        <w:t xml:space="preserve">an amount equal to </w:t>
      </w:r>
      <w:r w:rsidR="003F6C6C" w:rsidRPr="00573DC3">
        <w:rPr>
          <w:color w:val="000000"/>
          <w:lang w:eastAsia="en-AU"/>
        </w:rPr>
        <w:t xml:space="preserve">80 per cent of </w:t>
      </w:r>
      <w:r w:rsidR="009A4BE0" w:rsidRPr="00573DC3">
        <w:rPr>
          <w:color w:val="000000"/>
          <w:lang w:eastAsia="en-AU"/>
        </w:rPr>
        <w:t>the rates for quarter</w:t>
      </w:r>
      <w:r w:rsidR="003432CB">
        <w:rPr>
          <w:color w:val="000000"/>
          <w:lang w:eastAsia="en-AU"/>
        </w:rPr>
        <w:t>s</w:t>
      </w:r>
      <w:r w:rsidR="009A4BE0" w:rsidRPr="00573DC3">
        <w:rPr>
          <w:color w:val="000000"/>
          <w:lang w:eastAsia="en-AU"/>
        </w:rPr>
        <w:t xml:space="preserve"> </w:t>
      </w:r>
      <w:r w:rsidR="00EF181B" w:rsidRPr="00573DC3">
        <w:rPr>
          <w:color w:val="000000"/>
          <w:lang w:eastAsia="en-AU"/>
        </w:rPr>
        <w:t>1</w:t>
      </w:r>
      <w:r w:rsidR="003432CB">
        <w:rPr>
          <w:color w:val="000000"/>
          <w:lang w:eastAsia="en-AU"/>
        </w:rPr>
        <w:t xml:space="preserve"> and 2</w:t>
      </w:r>
      <w:r w:rsidR="009A4BE0" w:rsidRPr="00573DC3">
        <w:rPr>
          <w:color w:val="000000"/>
          <w:lang w:eastAsia="en-AU"/>
        </w:rPr>
        <w:t>, 2021-22 for the eligible land.</w:t>
      </w:r>
      <w:r w:rsidR="0000158B" w:rsidRPr="00573DC3">
        <w:rPr>
          <w:color w:val="000000"/>
          <w:lang w:eastAsia="en-AU"/>
        </w:rPr>
        <w:t xml:space="preserve"> </w:t>
      </w:r>
    </w:p>
    <w:p w14:paraId="6F136EBD" w14:textId="474C55CF" w:rsidR="00964EFD" w:rsidRPr="00F95E00" w:rsidRDefault="00C53AFD" w:rsidP="00223BEE">
      <w:pPr>
        <w:spacing w:after="140"/>
        <w:ind w:left="720"/>
        <w:rPr>
          <w:bCs/>
          <w:iCs/>
        </w:rPr>
      </w:pPr>
      <w:r>
        <w:rPr>
          <w:b/>
          <w:i/>
        </w:rPr>
        <w:t xml:space="preserve">eligible land </w:t>
      </w:r>
      <w:r w:rsidRPr="00C53AFD">
        <w:rPr>
          <w:bCs/>
          <w:iCs/>
        </w:rPr>
        <w:t xml:space="preserve">means </w:t>
      </w:r>
      <w:r w:rsidR="00027AFD">
        <w:rPr>
          <w:bCs/>
          <w:iCs/>
        </w:rPr>
        <w:t>a parcel of land</w:t>
      </w:r>
      <w:r w:rsidR="006908F4">
        <w:rPr>
          <w:bCs/>
          <w:iCs/>
        </w:rPr>
        <w:t xml:space="preserve"> in the ACT</w:t>
      </w:r>
      <w:r w:rsidR="00027AFD">
        <w:rPr>
          <w:bCs/>
          <w:iCs/>
        </w:rPr>
        <w:t xml:space="preserve"> that is </w:t>
      </w:r>
      <w:r w:rsidRPr="00C53AFD">
        <w:rPr>
          <w:bCs/>
          <w:iCs/>
        </w:rPr>
        <w:t>commercial land</w:t>
      </w:r>
      <w:r w:rsidR="008F53F2" w:rsidRPr="00F95E00">
        <w:rPr>
          <w:bCs/>
          <w:iCs/>
        </w:rPr>
        <w:t>.</w:t>
      </w:r>
    </w:p>
    <w:p w14:paraId="6CEE511D" w14:textId="77777777" w:rsidR="003474B5" w:rsidRDefault="00D451F7" w:rsidP="00223BEE">
      <w:pPr>
        <w:spacing w:after="140"/>
        <w:ind w:left="720"/>
        <w:rPr>
          <w:bCs/>
          <w:iCs/>
        </w:rPr>
      </w:pPr>
      <w:r w:rsidRPr="001469EA">
        <w:rPr>
          <w:b/>
          <w:i/>
        </w:rPr>
        <w:t>good faith negotiations</w:t>
      </w:r>
      <w:r w:rsidR="00112E3B">
        <w:rPr>
          <w:bCs/>
          <w:iCs/>
        </w:rPr>
        <w:t xml:space="preserve"> </w:t>
      </w:r>
      <w:r w:rsidR="00992D75">
        <w:rPr>
          <w:bCs/>
          <w:iCs/>
        </w:rPr>
        <w:t>include</w:t>
      </w:r>
      <w:r w:rsidR="00112E3B">
        <w:rPr>
          <w:bCs/>
          <w:iCs/>
        </w:rPr>
        <w:t xml:space="preserve"> negotiations undertaken consistent with</w:t>
      </w:r>
      <w:r w:rsidR="003474B5">
        <w:rPr>
          <w:bCs/>
          <w:iCs/>
        </w:rPr>
        <w:t>:</w:t>
      </w:r>
    </w:p>
    <w:p w14:paraId="0997F6D0" w14:textId="5F9587C9" w:rsidR="003474B5" w:rsidRDefault="00D451F7" w:rsidP="003474B5">
      <w:pPr>
        <w:pStyle w:val="ListParagraph"/>
        <w:numPr>
          <w:ilvl w:val="0"/>
          <w:numId w:val="26"/>
        </w:numPr>
        <w:spacing w:after="140"/>
        <w:contextualSpacing w:val="0"/>
        <w:rPr>
          <w:color w:val="000000"/>
          <w:lang w:eastAsia="en-AU"/>
        </w:rPr>
      </w:pPr>
      <w:r w:rsidRPr="003474B5">
        <w:rPr>
          <w:color w:val="000000"/>
          <w:lang w:eastAsia="en-AU"/>
        </w:rPr>
        <w:t xml:space="preserve">section 6 of the </w:t>
      </w:r>
      <w:r w:rsidRPr="00BB0A4C">
        <w:rPr>
          <w:i/>
          <w:iCs/>
          <w:color w:val="000000"/>
          <w:lang w:eastAsia="en-AU"/>
        </w:rPr>
        <w:t>Leases (Commercial and Retail) COVID-19 Emergency Response Declaration 2021</w:t>
      </w:r>
      <w:r w:rsidRPr="003474B5">
        <w:rPr>
          <w:color w:val="000000"/>
          <w:lang w:eastAsia="en-AU"/>
        </w:rPr>
        <w:t>, with the person deemed to be an impacted tenant for the purpose of applying that section to this instrument</w:t>
      </w:r>
      <w:r w:rsidR="003474B5">
        <w:rPr>
          <w:color w:val="000000"/>
          <w:lang w:eastAsia="en-AU"/>
        </w:rPr>
        <w:t>;</w:t>
      </w:r>
    </w:p>
    <w:p w14:paraId="6A5CB119" w14:textId="6C712466" w:rsidR="003474B5" w:rsidRPr="00BB0A4C" w:rsidRDefault="003474B5" w:rsidP="003474B5">
      <w:pPr>
        <w:pStyle w:val="ListParagraph"/>
        <w:numPr>
          <w:ilvl w:val="0"/>
          <w:numId w:val="26"/>
        </w:numPr>
        <w:spacing w:after="140"/>
        <w:contextualSpacing w:val="0"/>
        <w:rPr>
          <w:color w:val="000000"/>
          <w:lang w:eastAsia="en-AU"/>
        </w:rPr>
      </w:pPr>
      <w:r w:rsidRPr="00BB0A4C">
        <w:rPr>
          <w:bCs/>
          <w:iCs/>
        </w:rPr>
        <w:t>section 6</w:t>
      </w:r>
      <w:r w:rsidRPr="00BB0A4C">
        <w:t xml:space="preserve"> of the </w:t>
      </w:r>
      <w:r w:rsidRPr="00BB0A4C">
        <w:rPr>
          <w:i/>
          <w:iCs/>
          <w:szCs w:val="20"/>
        </w:rPr>
        <w:t>Leases (Commercial and Retail) COVID-19 Emergency Response</w:t>
      </w:r>
      <w:r w:rsidRPr="00BB0A4C">
        <w:rPr>
          <w:i/>
          <w:iCs/>
        </w:rPr>
        <w:t xml:space="preserve"> </w:t>
      </w:r>
      <w:r w:rsidRPr="00BB0A4C">
        <w:rPr>
          <w:i/>
          <w:iCs/>
          <w:szCs w:val="20"/>
        </w:rPr>
        <w:t>Declaration 2020</w:t>
      </w:r>
      <w:r w:rsidRPr="00BB0A4C">
        <w:t xml:space="preserve"> </w:t>
      </w:r>
      <w:r w:rsidRPr="00BB0A4C">
        <w:rPr>
          <w:i/>
          <w:iCs/>
        </w:rPr>
        <w:t>(No 2);</w:t>
      </w:r>
    </w:p>
    <w:p w14:paraId="6DFED974" w14:textId="38581377" w:rsidR="00D451F7" w:rsidRPr="003474B5" w:rsidRDefault="003474B5" w:rsidP="003474B5">
      <w:pPr>
        <w:pStyle w:val="ListParagraph"/>
        <w:numPr>
          <w:ilvl w:val="0"/>
          <w:numId w:val="26"/>
        </w:numPr>
        <w:spacing w:after="140"/>
        <w:contextualSpacing w:val="0"/>
        <w:rPr>
          <w:color w:val="000000"/>
          <w:lang w:eastAsia="en-AU"/>
        </w:rPr>
      </w:pPr>
      <w:r w:rsidRPr="00BB0A4C">
        <w:rPr>
          <w:bCs/>
          <w:iCs/>
        </w:rPr>
        <w:t>section 4</w:t>
      </w:r>
      <w:r w:rsidRPr="00BB0A4C">
        <w:t xml:space="preserve"> of the </w:t>
      </w:r>
      <w:r w:rsidRPr="00BB0A4C">
        <w:rPr>
          <w:i/>
          <w:iCs/>
          <w:szCs w:val="20"/>
        </w:rPr>
        <w:t>Leases (Commercial and Retail) COVID-19 Emergency Response</w:t>
      </w:r>
      <w:r w:rsidRPr="00BB0A4C">
        <w:rPr>
          <w:i/>
          <w:iCs/>
        </w:rPr>
        <w:t xml:space="preserve"> </w:t>
      </w:r>
      <w:r w:rsidRPr="00BB0A4C">
        <w:rPr>
          <w:i/>
          <w:iCs/>
          <w:szCs w:val="20"/>
        </w:rPr>
        <w:t>Declaration 2020</w:t>
      </w:r>
      <w:r w:rsidR="00D451F7" w:rsidRPr="003474B5">
        <w:rPr>
          <w:color w:val="000000"/>
          <w:lang w:eastAsia="en-AU"/>
        </w:rPr>
        <w:t>.</w:t>
      </w:r>
    </w:p>
    <w:p w14:paraId="13CE02B3" w14:textId="03B78D64" w:rsidR="005D6C96" w:rsidRPr="00CB0E99" w:rsidRDefault="005D6C96" w:rsidP="00223BEE">
      <w:pPr>
        <w:spacing w:after="140"/>
        <w:ind w:left="720"/>
        <w:rPr>
          <w:bCs/>
          <w:iCs/>
        </w:rPr>
      </w:pPr>
      <w:r w:rsidRPr="00CB0E99">
        <w:rPr>
          <w:b/>
          <w:i/>
        </w:rPr>
        <w:t>o</w:t>
      </w:r>
      <w:r w:rsidRPr="005D6C96">
        <w:rPr>
          <w:b/>
          <w:i/>
        </w:rPr>
        <w:t>wner</w:t>
      </w:r>
      <w:r w:rsidRPr="006B0EEE">
        <w:rPr>
          <w:bCs/>
          <w:iCs/>
        </w:rPr>
        <w:t>—</w:t>
      </w:r>
      <w:r w:rsidRPr="005D6C96">
        <w:rPr>
          <w:bCs/>
          <w:iCs/>
        </w:rPr>
        <w:t>see</w:t>
      </w:r>
      <w:r>
        <w:rPr>
          <w:bCs/>
          <w:iCs/>
        </w:rPr>
        <w:t xml:space="preserve"> the Act,</w:t>
      </w:r>
      <w:r w:rsidR="00E87125">
        <w:rPr>
          <w:bCs/>
          <w:iCs/>
        </w:rPr>
        <w:t xml:space="preserve"> dictionary (a)</w:t>
      </w:r>
      <w:r w:rsidR="00A10FE4">
        <w:rPr>
          <w:bCs/>
          <w:iCs/>
        </w:rPr>
        <w:t>, and includes a unit owner</w:t>
      </w:r>
      <w:r w:rsidR="00966C2D">
        <w:rPr>
          <w:bCs/>
          <w:iCs/>
        </w:rPr>
        <w:t>.</w:t>
      </w:r>
    </w:p>
    <w:p w14:paraId="72B42004" w14:textId="21904F6C" w:rsidR="005543DA" w:rsidRDefault="005543DA" w:rsidP="00223BEE">
      <w:pPr>
        <w:spacing w:after="140"/>
        <w:ind w:left="720"/>
      </w:pPr>
      <w:r w:rsidRPr="007758C9">
        <w:rPr>
          <w:b/>
          <w:i/>
        </w:rPr>
        <w:t>parcel</w:t>
      </w:r>
      <w:r w:rsidRPr="007758C9">
        <w:rPr>
          <w:i/>
        </w:rPr>
        <w:t>—</w:t>
      </w:r>
      <w:r w:rsidRPr="007758C9">
        <w:t>see the Act, dictionary</w:t>
      </w:r>
      <w:r w:rsidR="00B05787">
        <w:t>, and includes a unit</w:t>
      </w:r>
      <w:r w:rsidRPr="007758C9">
        <w:t>.</w:t>
      </w:r>
    </w:p>
    <w:p w14:paraId="53AEED86" w14:textId="77777777" w:rsidR="00707A64" w:rsidRDefault="00B05787" w:rsidP="00223BEE">
      <w:pPr>
        <w:spacing w:after="140"/>
        <w:ind w:left="1418" w:hanging="698"/>
        <w:rPr>
          <w:bCs/>
          <w:sz w:val="20"/>
        </w:rPr>
      </w:pPr>
      <w:r w:rsidRPr="007758C9">
        <w:rPr>
          <w:bCs/>
          <w:i/>
          <w:sz w:val="20"/>
        </w:rPr>
        <w:t>Note</w:t>
      </w:r>
      <w:r w:rsidRPr="007758C9">
        <w:rPr>
          <w:bCs/>
          <w:sz w:val="20"/>
        </w:rPr>
        <w:tab/>
        <w:t>Section 28 (2) of the Act provides that when applying the Act to a unit subdivision, a reference to a parcel of land in relation to the assessment or payment of rates is a reference to a unit.</w:t>
      </w:r>
    </w:p>
    <w:p w14:paraId="6698C7AF" w14:textId="5B862619" w:rsidR="00375C14" w:rsidRPr="00573DC3" w:rsidRDefault="00375C14" w:rsidP="00375C14">
      <w:pPr>
        <w:pStyle w:val="aDef"/>
        <w:ind w:left="720"/>
      </w:pPr>
      <w:r w:rsidRPr="00573DC3">
        <w:rPr>
          <w:rStyle w:val="charBoldItals"/>
        </w:rPr>
        <w:t>prescribed period</w:t>
      </w:r>
      <w:r w:rsidRPr="00573DC3">
        <w:t xml:space="preserve"> means the period</w:t>
      </w:r>
      <w:r w:rsidR="007F737A">
        <w:t>:</w:t>
      </w:r>
    </w:p>
    <w:p w14:paraId="0E317D49" w14:textId="0E91451C" w:rsidR="00375C14" w:rsidRPr="00573DC3" w:rsidRDefault="00375C14" w:rsidP="00375C14">
      <w:pPr>
        <w:pStyle w:val="aDefpara"/>
        <w:tabs>
          <w:tab w:val="clear" w:pos="1600"/>
          <w:tab w:val="num" w:pos="1220"/>
        </w:tabs>
        <w:ind w:left="1220"/>
      </w:pPr>
      <w:r w:rsidRPr="00573DC3">
        <w:t>beginning on 1 August 2021; and</w:t>
      </w:r>
    </w:p>
    <w:p w14:paraId="08ABD761" w14:textId="1E5AD652" w:rsidR="00375C14" w:rsidRPr="00573DC3" w:rsidRDefault="00375C14" w:rsidP="003F6C6C">
      <w:pPr>
        <w:pStyle w:val="aDefpara"/>
        <w:tabs>
          <w:tab w:val="clear" w:pos="1600"/>
          <w:tab w:val="num" w:pos="1220"/>
        </w:tabs>
        <w:ind w:left="1220"/>
      </w:pPr>
      <w:r w:rsidRPr="00573DC3">
        <w:t xml:space="preserve">ending on </w:t>
      </w:r>
      <w:r w:rsidR="003432CB">
        <w:t>31 December</w:t>
      </w:r>
      <w:r w:rsidR="006F4A4A" w:rsidRPr="00573DC3">
        <w:t xml:space="preserve"> </w:t>
      </w:r>
      <w:r w:rsidRPr="00573DC3">
        <w:t>2021</w:t>
      </w:r>
      <w:r w:rsidR="003F6C6C" w:rsidRPr="00573DC3">
        <w:t>.</w:t>
      </w:r>
    </w:p>
    <w:p w14:paraId="317DFFC4" w14:textId="24747908" w:rsidR="000D0C6B" w:rsidRPr="00BF46C8" w:rsidRDefault="00707A64" w:rsidP="003F6C6C">
      <w:pPr>
        <w:spacing w:before="120" w:after="140"/>
        <w:ind w:left="720"/>
        <w:rPr>
          <w:b/>
          <w:i/>
        </w:rPr>
      </w:pPr>
      <w:r w:rsidRPr="00BF46C8">
        <w:rPr>
          <w:b/>
          <w:i/>
        </w:rPr>
        <w:t xml:space="preserve">rates </w:t>
      </w:r>
      <w:r w:rsidRPr="00B8453E">
        <w:rPr>
          <w:bCs/>
          <w:iCs/>
        </w:rPr>
        <w:t>means</w:t>
      </w:r>
      <w:r w:rsidR="000D0C6B" w:rsidRPr="00B8453E">
        <w:rPr>
          <w:bCs/>
          <w:iCs/>
        </w:rPr>
        <w:t>:</w:t>
      </w:r>
      <w:r w:rsidRPr="00BF46C8">
        <w:rPr>
          <w:b/>
          <w:i/>
        </w:rPr>
        <w:t xml:space="preserve"> </w:t>
      </w:r>
    </w:p>
    <w:p w14:paraId="64E9C97D" w14:textId="519E4291" w:rsidR="00241203" w:rsidRDefault="00707A64" w:rsidP="00042D62">
      <w:pPr>
        <w:pStyle w:val="ListParagraph"/>
        <w:numPr>
          <w:ilvl w:val="0"/>
          <w:numId w:val="4"/>
        </w:numPr>
        <w:spacing w:after="140"/>
        <w:ind w:left="1276" w:hanging="556"/>
        <w:contextualSpacing w:val="0"/>
      </w:pPr>
      <w:r>
        <w:t>rates imposed on the eligible land by section 14 of the Act and payable by the owner of that land under sections 16 and 17 of the Act</w:t>
      </w:r>
      <w:r w:rsidR="000D0C6B">
        <w:t xml:space="preserve">; and </w:t>
      </w:r>
    </w:p>
    <w:p w14:paraId="1FA342BF" w14:textId="5B00C2B1" w:rsidR="002D6843" w:rsidRDefault="000D0C6B" w:rsidP="00042D62">
      <w:pPr>
        <w:pStyle w:val="ListParagraph"/>
        <w:numPr>
          <w:ilvl w:val="0"/>
          <w:numId w:val="4"/>
        </w:numPr>
        <w:spacing w:after="140"/>
        <w:ind w:left="1276" w:hanging="556"/>
        <w:contextualSpacing w:val="0"/>
      </w:pPr>
      <w:r>
        <w:t xml:space="preserve">where rates are described for a quarter, theses rates are worked out </w:t>
      </w:r>
      <w:r w:rsidR="00A668A6">
        <w:t>in accordance with</w:t>
      </w:r>
      <w:r>
        <w:t xml:space="preserve"> the payment of instalments under section 19 of the Act, whether or not the owner pays rates by instalment under section</w:t>
      </w:r>
      <w:r w:rsidR="00A03C39">
        <w:t> </w:t>
      </w:r>
      <w:r>
        <w:t>18</w:t>
      </w:r>
      <w:r w:rsidR="00A03C39">
        <w:t> </w:t>
      </w:r>
      <w:r>
        <w:t>(1)</w:t>
      </w:r>
      <w:r w:rsidR="00A03C39">
        <w:t> </w:t>
      </w:r>
      <w:r>
        <w:t>(c) of the Act.</w:t>
      </w:r>
    </w:p>
    <w:p w14:paraId="27D10238" w14:textId="77777777" w:rsidR="00BB0A4C" w:rsidRDefault="00BB0A4C">
      <w:pPr>
        <w:rPr>
          <w:b/>
          <w:i/>
        </w:rPr>
      </w:pPr>
      <w:r>
        <w:rPr>
          <w:b/>
          <w:i/>
        </w:rPr>
        <w:br w:type="page"/>
      </w:r>
    </w:p>
    <w:p w14:paraId="49D3BB03" w14:textId="34A1373E" w:rsidR="008C6E15" w:rsidRDefault="008C6E15" w:rsidP="00D451F7">
      <w:pPr>
        <w:ind w:firstLine="720"/>
        <w:rPr>
          <w:bCs/>
          <w:iCs/>
        </w:rPr>
      </w:pPr>
      <w:r w:rsidRPr="00573DC3">
        <w:rPr>
          <w:b/>
          <w:i/>
        </w:rPr>
        <w:lastRenderedPageBreak/>
        <w:t xml:space="preserve">SME entity </w:t>
      </w:r>
      <w:r w:rsidRPr="00573DC3">
        <w:rPr>
          <w:bCs/>
          <w:iCs/>
        </w:rPr>
        <w:t xml:space="preserve">means a </w:t>
      </w:r>
      <w:r w:rsidR="00657D0C" w:rsidRPr="00573DC3">
        <w:rPr>
          <w:bCs/>
          <w:iCs/>
        </w:rPr>
        <w:t>person</w:t>
      </w:r>
      <w:r w:rsidRPr="00573DC3">
        <w:rPr>
          <w:bCs/>
          <w:iCs/>
        </w:rPr>
        <w:t xml:space="preserve"> who:</w:t>
      </w:r>
    </w:p>
    <w:p w14:paraId="04B0D652" w14:textId="0E166252" w:rsidR="00D451F7" w:rsidRPr="00D451F7" w:rsidRDefault="00D451F7" w:rsidP="00D451F7">
      <w:pPr>
        <w:tabs>
          <w:tab w:val="left" w:pos="2190"/>
          <w:tab w:val="left" w:pos="2295"/>
        </w:tabs>
        <w:ind w:left="556" w:firstLine="720"/>
        <w:rPr>
          <w:bCs/>
          <w:iCs/>
          <w:sz w:val="12"/>
          <w:szCs w:val="12"/>
        </w:rPr>
      </w:pPr>
      <w:r w:rsidRPr="00D451F7">
        <w:rPr>
          <w:bCs/>
          <w:iCs/>
          <w:sz w:val="12"/>
          <w:szCs w:val="12"/>
        </w:rPr>
        <w:tab/>
      </w:r>
      <w:r w:rsidRPr="00D451F7">
        <w:rPr>
          <w:bCs/>
          <w:iCs/>
          <w:sz w:val="12"/>
          <w:szCs w:val="12"/>
        </w:rPr>
        <w:tab/>
      </w:r>
    </w:p>
    <w:p w14:paraId="1302DF2F" w14:textId="041F9989" w:rsidR="008C6E15" w:rsidRPr="00573DC3" w:rsidRDefault="008C6E15" w:rsidP="00042D62">
      <w:pPr>
        <w:pStyle w:val="ListParagraph"/>
        <w:numPr>
          <w:ilvl w:val="0"/>
          <w:numId w:val="11"/>
        </w:numPr>
        <w:spacing w:after="140"/>
        <w:ind w:left="1276" w:hanging="556"/>
        <w:contextualSpacing w:val="0"/>
      </w:pPr>
      <w:r w:rsidRPr="00573DC3">
        <w:t>carried on business for the whole of the financial year ending 30 June 2021 and had an annual turnover for that year of less than $50 million; or</w:t>
      </w:r>
    </w:p>
    <w:p w14:paraId="7AF48E45" w14:textId="4630C0DE" w:rsidR="008C6E15" w:rsidRPr="00573DC3" w:rsidRDefault="008C6E15" w:rsidP="00042D62">
      <w:pPr>
        <w:pStyle w:val="ListParagraph"/>
        <w:numPr>
          <w:ilvl w:val="0"/>
          <w:numId w:val="11"/>
        </w:numPr>
        <w:spacing w:after="140"/>
        <w:ind w:left="1276" w:hanging="556"/>
        <w:contextualSpacing w:val="0"/>
      </w:pPr>
      <w:r w:rsidRPr="00573DC3">
        <w:t>did not carry on a business for the whole of the financial year ending 30</w:t>
      </w:r>
      <w:r w:rsidR="0013132D" w:rsidRPr="00573DC3">
        <w:t> </w:t>
      </w:r>
      <w:r w:rsidRPr="00573DC3">
        <w:t>June 2021 and whose annual turnover for the financial year ending 30</w:t>
      </w:r>
      <w:r w:rsidR="0013132D" w:rsidRPr="00573DC3">
        <w:t> </w:t>
      </w:r>
      <w:r w:rsidRPr="00573DC3">
        <w:t>June 2022 is likely to be less than $50 million.</w:t>
      </w:r>
    </w:p>
    <w:p w14:paraId="6A65B26D" w14:textId="346FFCA1" w:rsidR="008F532D" w:rsidRPr="00573DC3" w:rsidRDefault="008F532D" w:rsidP="008F532D">
      <w:pPr>
        <w:spacing w:after="140"/>
        <w:ind w:left="720"/>
        <w:rPr>
          <w:bCs/>
          <w:iCs/>
        </w:rPr>
      </w:pPr>
      <w:r w:rsidRPr="00573DC3">
        <w:rPr>
          <w:b/>
          <w:i/>
        </w:rPr>
        <w:t>turnover</w:t>
      </w:r>
      <w:r w:rsidRPr="00573DC3">
        <w:rPr>
          <w:bCs/>
          <w:iCs/>
        </w:rPr>
        <w:t xml:space="preserve"> includes</w:t>
      </w:r>
      <w:r w:rsidR="007F737A">
        <w:rPr>
          <w:bCs/>
          <w:iCs/>
        </w:rPr>
        <w:t>:</w:t>
      </w:r>
    </w:p>
    <w:p w14:paraId="5A7AF1C9" w14:textId="3AE772AC" w:rsidR="008F532D" w:rsidRPr="00573DC3" w:rsidRDefault="008F532D" w:rsidP="00D15EAE">
      <w:pPr>
        <w:pStyle w:val="ListParagraph"/>
        <w:numPr>
          <w:ilvl w:val="0"/>
          <w:numId w:val="24"/>
        </w:numPr>
        <w:spacing w:after="140"/>
        <w:ind w:left="1276" w:hanging="556"/>
        <w:contextualSpacing w:val="0"/>
        <w:rPr>
          <w:bCs/>
          <w:iCs/>
        </w:rPr>
      </w:pPr>
      <w:r w:rsidRPr="00573DC3">
        <w:rPr>
          <w:bCs/>
          <w:iCs/>
        </w:rPr>
        <w:t>turnover from internet sales of goods or services; and</w:t>
      </w:r>
    </w:p>
    <w:p w14:paraId="3BA4CCB0" w14:textId="5C270B25" w:rsidR="008F532D" w:rsidRPr="00573DC3" w:rsidRDefault="008F532D" w:rsidP="00D15EAE">
      <w:pPr>
        <w:pStyle w:val="ListParagraph"/>
        <w:numPr>
          <w:ilvl w:val="0"/>
          <w:numId w:val="24"/>
        </w:numPr>
        <w:spacing w:after="140"/>
        <w:ind w:left="1276" w:hanging="556"/>
        <w:contextualSpacing w:val="0"/>
        <w:rPr>
          <w:bCs/>
          <w:iCs/>
        </w:rPr>
      </w:pPr>
      <w:r w:rsidRPr="00573DC3">
        <w:rPr>
          <w:bCs/>
          <w:iCs/>
        </w:rPr>
        <w:t>any COVID-19 business support grants from the ACT government.</w:t>
      </w:r>
    </w:p>
    <w:bookmarkEnd w:id="0"/>
    <w:p w14:paraId="66128907" w14:textId="77777777" w:rsidR="009D4C05" w:rsidRDefault="009D4C05" w:rsidP="00375C14"/>
    <w:p w14:paraId="48E3D5A6" w14:textId="184ED6C4" w:rsidR="00F655F5" w:rsidRDefault="00F655F5" w:rsidP="008E0D6D">
      <w:pPr>
        <w:ind w:left="720"/>
      </w:pPr>
    </w:p>
    <w:p w14:paraId="2391EE6D" w14:textId="77777777" w:rsidR="00BB0A4C" w:rsidRDefault="00BB0A4C" w:rsidP="008E0D6D">
      <w:pPr>
        <w:ind w:left="720"/>
      </w:pPr>
    </w:p>
    <w:p w14:paraId="7C1BC07B" w14:textId="77777777" w:rsidR="008E0D6D" w:rsidRDefault="00274FDD" w:rsidP="00B56BAF">
      <w:r>
        <w:t>Andrew Barr MLA</w:t>
      </w:r>
    </w:p>
    <w:p w14:paraId="4FB42239" w14:textId="78B5BC9C" w:rsidR="00274FDD" w:rsidRDefault="00274FDD" w:rsidP="00B56BAF">
      <w:r>
        <w:t xml:space="preserve">Treasurer </w:t>
      </w:r>
    </w:p>
    <w:p w14:paraId="6F11B843" w14:textId="77777777" w:rsidR="00D451F7" w:rsidRDefault="00D451F7" w:rsidP="00B56BAF"/>
    <w:p w14:paraId="6D80274C" w14:textId="3C0A4DAA" w:rsidR="002E7ED2" w:rsidRDefault="000852D9" w:rsidP="00D0172A">
      <w:r>
        <w:t xml:space="preserve">22 </w:t>
      </w:r>
      <w:r w:rsidR="00375C14">
        <w:t>September</w:t>
      </w:r>
      <w:r w:rsidR="009525B4">
        <w:t xml:space="preserve"> 2021</w:t>
      </w:r>
    </w:p>
    <w:sectPr w:rsidR="002E7ED2" w:rsidSect="00B84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134" w:left="1800" w:header="720" w:footer="328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D4FF8" w14:textId="77777777" w:rsidR="00AB50E6" w:rsidRDefault="00AB50E6">
      <w:r>
        <w:separator/>
      </w:r>
    </w:p>
  </w:endnote>
  <w:endnote w:type="continuationSeparator" w:id="0">
    <w:p w14:paraId="243BADD2" w14:textId="77777777" w:rsidR="00AB50E6" w:rsidRDefault="00AB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50076" w14:textId="77777777" w:rsidR="00FD0043" w:rsidRDefault="00FD0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0264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4"/>
        <w:szCs w:val="14"/>
      </w:rPr>
    </w:sdtEndPr>
    <w:sdtContent>
      <w:p w14:paraId="7FCCB262" w14:textId="77777777" w:rsidR="00F85208" w:rsidRDefault="00DB42F0">
        <w:pPr>
          <w:pStyle w:val="Footer"/>
          <w:jc w:val="right"/>
          <w:rPr>
            <w:rFonts w:ascii="Times New Roman" w:hAnsi="Times New Roman" w:cs="Times New Roman"/>
          </w:rPr>
        </w:pPr>
        <w:r w:rsidRPr="003B0F23">
          <w:rPr>
            <w:rFonts w:ascii="Times New Roman" w:hAnsi="Times New Roman" w:cs="Times New Roman"/>
          </w:rPr>
          <w:fldChar w:fldCharType="begin"/>
        </w:r>
        <w:r w:rsidRPr="003B0F23">
          <w:rPr>
            <w:rFonts w:ascii="Times New Roman" w:hAnsi="Times New Roman" w:cs="Times New Roman"/>
          </w:rPr>
          <w:instrText xml:space="preserve"> PAGE   \* MERGEFORMAT </w:instrText>
        </w:r>
        <w:r w:rsidRPr="003B0F2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3B0F23">
          <w:rPr>
            <w:rFonts w:ascii="Times New Roman" w:hAnsi="Times New Roman" w:cs="Times New Roman"/>
          </w:rPr>
          <w:fldChar w:fldCharType="end"/>
        </w:r>
      </w:p>
      <w:p w14:paraId="02B99225" w14:textId="77777777" w:rsidR="00FD0043" w:rsidRDefault="00FD0043" w:rsidP="00F85208">
        <w:pPr>
          <w:pStyle w:val="Footer"/>
          <w:jc w:val="center"/>
          <w:rPr>
            <w:rFonts w:ascii="Times New Roman" w:hAnsi="Times New Roman" w:cs="Times New Roman"/>
            <w:sz w:val="14"/>
            <w:szCs w:val="14"/>
          </w:rPr>
        </w:pPr>
      </w:p>
    </w:sdtContent>
  </w:sdt>
  <w:p w14:paraId="105AF2DD" w14:textId="24285103" w:rsidR="00F8255B" w:rsidRPr="00FD0043" w:rsidRDefault="00FD0043" w:rsidP="00FD0043">
    <w:pPr>
      <w:pStyle w:val="Footer"/>
      <w:jc w:val="center"/>
      <w:rPr>
        <w:sz w:val="14"/>
        <w:szCs w:val="14"/>
      </w:rPr>
    </w:pPr>
    <w:r w:rsidRPr="00FD0043">
      <w:rPr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11247" w14:textId="77777777" w:rsidR="00FD0043" w:rsidRDefault="00FD0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89B36" w14:textId="77777777" w:rsidR="00AB50E6" w:rsidRDefault="00AB50E6">
      <w:r>
        <w:separator/>
      </w:r>
    </w:p>
  </w:footnote>
  <w:footnote w:type="continuationSeparator" w:id="0">
    <w:p w14:paraId="0A27125D" w14:textId="77777777" w:rsidR="00AB50E6" w:rsidRDefault="00AB5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F4F72" w14:textId="77777777" w:rsidR="00FD0043" w:rsidRDefault="00FD00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1CE4F" w14:textId="7B5DB219" w:rsidR="00D81C42" w:rsidRDefault="00D81C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B9B87B" wp14:editId="51A9DC3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1" name="MSIPCMe1d4484eb69e19cb9bd9e738" descr="{&quot;HashCode&quot;:-109071381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425CBA" w14:textId="2F75774D" w:rsidR="00D81C42" w:rsidRPr="00D81C42" w:rsidRDefault="00D81C42" w:rsidP="00D81C42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9B87B" id="_x0000_t202" coordsize="21600,21600" o:spt="202" path="m,l,21600r21600,l21600,xe">
              <v:stroke joinstyle="miter"/>
              <v:path gradientshapeok="t" o:connecttype="rect"/>
            </v:shapetype>
            <v:shape id="MSIPCMe1d4484eb69e19cb9bd9e738" o:spid="_x0000_s1026" type="#_x0000_t202" alt="{&quot;HashCode&quot;:-1090713812,&quot;Height&quot;:841.0,&quot;Width&quot;:595.0,&quot;Placement&quot;:&quot;Header&quot;,&quot;Index&quot;:&quot;Primary&quot;,&quot;Section&quot;:1,&quot;Top&quot;:0.0,&quot;Left&quot;:0.0}" style="position:absolute;margin-left:0;margin-top:15pt;width:595.3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" o:allowincell="f" filled="f" stroked="f" strokeweight=".5pt">
              <v:textbox inset=",0,,0">
                <w:txbxContent>
                  <w:p w14:paraId="14425CBA" w14:textId="2F75774D" w:rsidR="00D81C42" w:rsidRPr="00D81C42" w:rsidRDefault="00D81C42" w:rsidP="00D81C42">
                    <w:pPr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34C29" w14:textId="77777777" w:rsidR="00FD0043" w:rsidRDefault="00FD0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34FD"/>
    <w:multiLevelType w:val="multilevel"/>
    <w:tmpl w:val="BB6823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" w15:restartNumberingAfterBreak="0">
    <w:nsid w:val="08DF728C"/>
    <w:multiLevelType w:val="hybridMultilevel"/>
    <w:tmpl w:val="73DE9C68"/>
    <w:lvl w:ilvl="0" w:tplc="DC26364E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  <w:b/>
        <w:bCs/>
        <w:i w:val="0"/>
        <w:iCs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3" w15:restartNumberingAfterBreak="0">
    <w:nsid w:val="106404BD"/>
    <w:multiLevelType w:val="multilevel"/>
    <w:tmpl w:val="BB6823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4" w15:restartNumberingAfterBreak="0">
    <w:nsid w:val="18065414"/>
    <w:multiLevelType w:val="hybridMultilevel"/>
    <w:tmpl w:val="F9EEACBE"/>
    <w:lvl w:ilvl="0" w:tplc="179E8D78">
      <w:start w:val="1"/>
      <w:numFmt w:val="lowerLetter"/>
      <w:lvlText w:val="(%1)"/>
      <w:lvlJc w:val="left"/>
      <w:pPr>
        <w:ind w:left="103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52" w:hanging="360"/>
      </w:pPr>
    </w:lvl>
    <w:lvl w:ilvl="2" w:tplc="0C09001B" w:tentative="1">
      <w:start w:val="1"/>
      <w:numFmt w:val="lowerRoman"/>
      <w:lvlText w:val="%3."/>
      <w:lvlJc w:val="right"/>
      <w:pPr>
        <w:ind w:left="2472" w:hanging="180"/>
      </w:pPr>
    </w:lvl>
    <w:lvl w:ilvl="3" w:tplc="0C09000F" w:tentative="1">
      <w:start w:val="1"/>
      <w:numFmt w:val="decimal"/>
      <w:lvlText w:val="%4."/>
      <w:lvlJc w:val="left"/>
      <w:pPr>
        <w:ind w:left="3192" w:hanging="360"/>
      </w:pPr>
    </w:lvl>
    <w:lvl w:ilvl="4" w:tplc="0C090019" w:tentative="1">
      <w:start w:val="1"/>
      <w:numFmt w:val="lowerLetter"/>
      <w:lvlText w:val="%5."/>
      <w:lvlJc w:val="left"/>
      <w:pPr>
        <w:ind w:left="3912" w:hanging="360"/>
      </w:pPr>
    </w:lvl>
    <w:lvl w:ilvl="5" w:tplc="0C09001B" w:tentative="1">
      <w:start w:val="1"/>
      <w:numFmt w:val="lowerRoman"/>
      <w:lvlText w:val="%6."/>
      <w:lvlJc w:val="right"/>
      <w:pPr>
        <w:ind w:left="4632" w:hanging="180"/>
      </w:pPr>
    </w:lvl>
    <w:lvl w:ilvl="6" w:tplc="0C09000F" w:tentative="1">
      <w:start w:val="1"/>
      <w:numFmt w:val="decimal"/>
      <w:lvlText w:val="%7."/>
      <w:lvlJc w:val="left"/>
      <w:pPr>
        <w:ind w:left="5352" w:hanging="360"/>
      </w:pPr>
    </w:lvl>
    <w:lvl w:ilvl="7" w:tplc="0C090019" w:tentative="1">
      <w:start w:val="1"/>
      <w:numFmt w:val="lowerLetter"/>
      <w:lvlText w:val="%8."/>
      <w:lvlJc w:val="left"/>
      <w:pPr>
        <w:ind w:left="6072" w:hanging="360"/>
      </w:pPr>
    </w:lvl>
    <w:lvl w:ilvl="8" w:tplc="0C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1FC1580B"/>
    <w:multiLevelType w:val="hybridMultilevel"/>
    <w:tmpl w:val="73DE9C68"/>
    <w:lvl w:ilvl="0" w:tplc="DC26364E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4923"/>
    <w:multiLevelType w:val="multilevel"/>
    <w:tmpl w:val="BB6823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94F3D97"/>
    <w:multiLevelType w:val="multilevel"/>
    <w:tmpl w:val="BB6823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9" w15:restartNumberingAfterBreak="0">
    <w:nsid w:val="480F2A9F"/>
    <w:multiLevelType w:val="multilevel"/>
    <w:tmpl w:val="BB6823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0" w15:restartNumberingAfterBreak="0">
    <w:nsid w:val="491C0990"/>
    <w:multiLevelType w:val="multilevel"/>
    <w:tmpl w:val="BB6823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1" w15:restartNumberingAfterBreak="0">
    <w:nsid w:val="49D650F1"/>
    <w:multiLevelType w:val="hybridMultilevel"/>
    <w:tmpl w:val="DA044486"/>
    <w:lvl w:ilvl="0" w:tplc="179E8D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8922FE"/>
    <w:multiLevelType w:val="hybridMultilevel"/>
    <w:tmpl w:val="DA044486"/>
    <w:lvl w:ilvl="0" w:tplc="179E8D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971719"/>
    <w:multiLevelType w:val="hybridMultilevel"/>
    <w:tmpl w:val="EE64F2FE"/>
    <w:lvl w:ilvl="0" w:tplc="E6140D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A800EE"/>
    <w:multiLevelType w:val="multilevel"/>
    <w:tmpl w:val="B8E0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60E2130E"/>
    <w:multiLevelType w:val="hybridMultilevel"/>
    <w:tmpl w:val="73DE9C68"/>
    <w:lvl w:ilvl="0" w:tplc="DC26364E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2B19FF"/>
    <w:multiLevelType w:val="hybridMultilevel"/>
    <w:tmpl w:val="EE64F2FE"/>
    <w:lvl w:ilvl="0" w:tplc="E6140D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B33D22"/>
    <w:multiLevelType w:val="hybridMultilevel"/>
    <w:tmpl w:val="73DE9C68"/>
    <w:lvl w:ilvl="0" w:tplc="DC26364E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637665"/>
    <w:multiLevelType w:val="hybridMultilevel"/>
    <w:tmpl w:val="874A908A"/>
    <w:lvl w:ilvl="0" w:tplc="EDE4F8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827D59"/>
    <w:multiLevelType w:val="multilevel"/>
    <w:tmpl w:val="BB6823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0" w15:restartNumberingAfterBreak="0">
    <w:nsid w:val="7FE9684D"/>
    <w:multiLevelType w:val="multilevel"/>
    <w:tmpl w:val="72B0508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pStyle w:val="aDef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pStyle w:val="aDefpara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pStyle w:val="aDefsubpara"/>
      <w:lvlText w:val="(%8)"/>
      <w:lvlJc w:val="right"/>
      <w:pPr>
        <w:tabs>
          <w:tab w:val="num" w:pos="1902"/>
        </w:tabs>
        <w:ind w:left="1902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6"/>
  </w:num>
  <w:num w:numId="5">
    <w:abstractNumId w:val="18"/>
  </w:num>
  <w:num w:numId="6">
    <w:abstractNumId w:val="1"/>
  </w:num>
  <w:num w:numId="7">
    <w:abstractNumId w:val="11"/>
  </w:num>
  <w:num w:numId="8">
    <w:abstractNumId w:val="4"/>
  </w:num>
  <w:num w:numId="9">
    <w:abstractNumId w:val="6"/>
  </w:num>
  <w:num w:numId="10">
    <w:abstractNumId w:val="20"/>
  </w:num>
  <w:num w:numId="11">
    <w:abstractNumId w:val="13"/>
  </w:num>
  <w:num w:numId="12">
    <w:abstractNumId w:val="3"/>
  </w:num>
  <w:num w:numId="13">
    <w:abstractNumId w:val="0"/>
  </w:num>
  <w:num w:numId="14">
    <w:abstractNumId w:val="17"/>
  </w:num>
  <w:num w:numId="15">
    <w:abstractNumId w:val="19"/>
  </w:num>
  <w:num w:numId="16">
    <w:abstractNumId w:val="14"/>
  </w:num>
  <w:num w:numId="17">
    <w:abstractNumId w:val="14"/>
  </w:num>
  <w:num w:numId="18">
    <w:abstractNumId w:val="9"/>
  </w:num>
  <w:num w:numId="19">
    <w:abstractNumId w:val="14"/>
  </w:num>
  <w:num w:numId="20">
    <w:abstractNumId w:val="14"/>
  </w:num>
  <w:num w:numId="21">
    <w:abstractNumId w:val="8"/>
  </w:num>
  <w:num w:numId="22">
    <w:abstractNumId w:val="14"/>
  </w:num>
  <w:num w:numId="23">
    <w:abstractNumId w:val="10"/>
  </w:num>
  <w:num w:numId="24">
    <w:abstractNumId w:val="5"/>
  </w:num>
  <w:num w:numId="25">
    <w:abstractNumId w:val="15"/>
  </w:num>
  <w:num w:numId="2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92"/>
    <w:rsid w:val="0000158B"/>
    <w:rsid w:val="00006DCD"/>
    <w:rsid w:val="0001087D"/>
    <w:rsid w:val="00020A27"/>
    <w:rsid w:val="00020D24"/>
    <w:rsid w:val="000276DC"/>
    <w:rsid w:val="00027AFD"/>
    <w:rsid w:val="000402FE"/>
    <w:rsid w:val="00042D62"/>
    <w:rsid w:val="00042EED"/>
    <w:rsid w:val="00043FC3"/>
    <w:rsid w:val="00045F9D"/>
    <w:rsid w:val="00051516"/>
    <w:rsid w:val="00053FA6"/>
    <w:rsid w:val="00065DD0"/>
    <w:rsid w:val="00072733"/>
    <w:rsid w:val="00077BE5"/>
    <w:rsid w:val="0008049E"/>
    <w:rsid w:val="00082B36"/>
    <w:rsid w:val="000852D9"/>
    <w:rsid w:val="00094F23"/>
    <w:rsid w:val="00095A25"/>
    <w:rsid w:val="000A175C"/>
    <w:rsid w:val="000A53AB"/>
    <w:rsid w:val="000C1C8B"/>
    <w:rsid w:val="000C2DED"/>
    <w:rsid w:val="000C48CC"/>
    <w:rsid w:val="000D01D7"/>
    <w:rsid w:val="000D02DF"/>
    <w:rsid w:val="000D0C6B"/>
    <w:rsid w:val="000D1B38"/>
    <w:rsid w:val="000D28C0"/>
    <w:rsid w:val="000D5807"/>
    <w:rsid w:val="000E00CC"/>
    <w:rsid w:val="000E62B4"/>
    <w:rsid w:val="000F254D"/>
    <w:rsid w:val="000F30AF"/>
    <w:rsid w:val="0010022D"/>
    <w:rsid w:val="00104C60"/>
    <w:rsid w:val="001117EA"/>
    <w:rsid w:val="00112E3B"/>
    <w:rsid w:val="00114832"/>
    <w:rsid w:val="00114BDC"/>
    <w:rsid w:val="001159FD"/>
    <w:rsid w:val="00121623"/>
    <w:rsid w:val="0013132D"/>
    <w:rsid w:val="0013786D"/>
    <w:rsid w:val="00137C99"/>
    <w:rsid w:val="00143C0B"/>
    <w:rsid w:val="001469EA"/>
    <w:rsid w:val="00160055"/>
    <w:rsid w:val="0016132F"/>
    <w:rsid w:val="001722D5"/>
    <w:rsid w:val="00173672"/>
    <w:rsid w:val="00173F20"/>
    <w:rsid w:val="00181108"/>
    <w:rsid w:val="001850D4"/>
    <w:rsid w:val="00186136"/>
    <w:rsid w:val="0018696E"/>
    <w:rsid w:val="0018772B"/>
    <w:rsid w:val="001878B1"/>
    <w:rsid w:val="00190EBF"/>
    <w:rsid w:val="00194C86"/>
    <w:rsid w:val="00195069"/>
    <w:rsid w:val="001A0892"/>
    <w:rsid w:val="001A45FD"/>
    <w:rsid w:val="001B0E87"/>
    <w:rsid w:val="001B1412"/>
    <w:rsid w:val="001B1B76"/>
    <w:rsid w:val="001B2324"/>
    <w:rsid w:val="001B2A29"/>
    <w:rsid w:val="001B7658"/>
    <w:rsid w:val="001C1F80"/>
    <w:rsid w:val="001C59FF"/>
    <w:rsid w:val="001D1164"/>
    <w:rsid w:val="001D2A26"/>
    <w:rsid w:val="001D4FDA"/>
    <w:rsid w:val="001D5E50"/>
    <w:rsid w:val="001E0376"/>
    <w:rsid w:val="001F123C"/>
    <w:rsid w:val="001F2CF6"/>
    <w:rsid w:val="001F601D"/>
    <w:rsid w:val="00203603"/>
    <w:rsid w:val="002040AC"/>
    <w:rsid w:val="00207B48"/>
    <w:rsid w:val="00211578"/>
    <w:rsid w:val="00223BEE"/>
    <w:rsid w:val="002330E7"/>
    <w:rsid w:val="00234C28"/>
    <w:rsid w:val="00241203"/>
    <w:rsid w:val="00241501"/>
    <w:rsid w:val="00247600"/>
    <w:rsid w:val="00253442"/>
    <w:rsid w:val="002567B4"/>
    <w:rsid w:val="00264D46"/>
    <w:rsid w:val="0026729B"/>
    <w:rsid w:val="002735CC"/>
    <w:rsid w:val="00274FDD"/>
    <w:rsid w:val="002761FE"/>
    <w:rsid w:val="00276264"/>
    <w:rsid w:val="00276B88"/>
    <w:rsid w:val="00277749"/>
    <w:rsid w:val="00280665"/>
    <w:rsid w:val="002834C8"/>
    <w:rsid w:val="00295021"/>
    <w:rsid w:val="0029539F"/>
    <w:rsid w:val="002A1BC6"/>
    <w:rsid w:val="002A45E4"/>
    <w:rsid w:val="002B3955"/>
    <w:rsid w:val="002B5FDF"/>
    <w:rsid w:val="002D0E29"/>
    <w:rsid w:val="002D6843"/>
    <w:rsid w:val="002D73CA"/>
    <w:rsid w:val="002E58F7"/>
    <w:rsid w:val="002E7ED2"/>
    <w:rsid w:val="002F0B9B"/>
    <w:rsid w:val="002F3832"/>
    <w:rsid w:val="00306D62"/>
    <w:rsid w:val="003131A0"/>
    <w:rsid w:val="0031349F"/>
    <w:rsid w:val="00314CCE"/>
    <w:rsid w:val="00315665"/>
    <w:rsid w:val="0032262F"/>
    <w:rsid w:val="00327E97"/>
    <w:rsid w:val="0033395F"/>
    <w:rsid w:val="00334EC5"/>
    <w:rsid w:val="003353D1"/>
    <w:rsid w:val="003377A3"/>
    <w:rsid w:val="00337EF2"/>
    <w:rsid w:val="003432CB"/>
    <w:rsid w:val="0034466B"/>
    <w:rsid w:val="00345248"/>
    <w:rsid w:val="003463CB"/>
    <w:rsid w:val="00346617"/>
    <w:rsid w:val="003474B5"/>
    <w:rsid w:val="0035662A"/>
    <w:rsid w:val="00372F34"/>
    <w:rsid w:val="00373970"/>
    <w:rsid w:val="00374FDA"/>
    <w:rsid w:val="00375C14"/>
    <w:rsid w:val="00380FE9"/>
    <w:rsid w:val="0038180F"/>
    <w:rsid w:val="00382398"/>
    <w:rsid w:val="003834A8"/>
    <w:rsid w:val="0038441A"/>
    <w:rsid w:val="00384666"/>
    <w:rsid w:val="0039384D"/>
    <w:rsid w:val="003A25D8"/>
    <w:rsid w:val="003A3C97"/>
    <w:rsid w:val="003A5808"/>
    <w:rsid w:val="003A7A2D"/>
    <w:rsid w:val="003A7ABB"/>
    <w:rsid w:val="003B0914"/>
    <w:rsid w:val="003B0CDB"/>
    <w:rsid w:val="003B0F23"/>
    <w:rsid w:val="003C070B"/>
    <w:rsid w:val="003C1C84"/>
    <w:rsid w:val="003C3A2D"/>
    <w:rsid w:val="003D0889"/>
    <w:rsid w:val="003D0E96"/>
    <w:rsid w:val="003D4235"/>
    <w:rsid w:val="003D4419"/>
    <w:rsid w:val="003E08DF"/>
    <w:rsid w:val="003E1A50"/>
    <w:rsid w:val="003E722A"/>
    <w:rsid w:val="003F6C6C"/>
    <w:rsid w:val="00400CCD"/>
    <w:rsid w:val="00401158"/>
    <w:rsid w:val="0040779E"/>
    <w:rsid w:val="0040788A"/>
    <w:rsid w:val="00411A71"/>
    <w:rsid w:val="00415721"/>
    <w:rsid w:val="00416B03"/>
    <w:rsid w:val="0041723E"/>
    <w:rsid w:val="0042455C"/>
    <w:rsid w:val="00434D1F"/>
    <w:rsid w:val="00437B29"/>
    <w:rsid w:val="00442DF9"/>
    <w:rsid w:val="00445C9C"/>
    <w:rsid w:val="0045495A"/>
    <w:rsid w:val="00461474"/>
    <w:rsid w:val="004634FB"/>
    <w:rsid w:val="00465B7F"/>
    <w:rsid w:val="0046670A"/>
    <w:rsid w:val="00470B47"/>
    <w:rsid w:val="00470E7B"/>
    <w:rsid w:val="00472544"/>
    <w:rsid w:val="00473FEB"/>
    <w:rsid w:val="00474300"/>
    <w:rsid w:val="00474C51"/>
    <w:rsid w:val="004760D5"/>
    <w:rsid w:val="00481F82"/>
    <w:rsid w:val="00483B13"/>
    <w:rsid w:val="004872F4"/>
    <w:rsid w:val="00492C2F"/>
    <w:rsid w:val="00493171"/>
    <w:rsid w:val="004A2275"/>
    <w:rsid w:val="004A401A"/>
    <w:rsid w:val="004B33B2"/>
    <w:rsid w:val="004B4603"/>
    <w:rsid w:val="004B46DB"/>
    <w:rsid w:val="004B6538"/>
    <w:rsid w:val="004B661A"/>
    <w:rsid w:val="004C08FA"/>
    <w:rsid w:val="004C2B32"/>
    <w:rsid w:val="004C34B6"/>
    <w:rsid w:val="004C4BA3"/>
    <w:rsid w:val="004C60C3"/>
    <w:rsid w:val="004C6D14"/>
    <w:rsid w:val="004D062F"/>
    <w:rsid w:val="004D0FB4"/>
    <w:rsid w:val="004D20CC"/>
    <w:rsid w:val="004D7109"/>
    <w:rsid w:val="004E01F6"/>
    <w:rsid w:val="004E19C8"/>
    <w:rsid w:val="004E1C55"/>
    <w:rsid w:val="004E551D"/>
    <w:rsid w:val="004F7754"/>
    <w:rsid w:val="00500DD5"/>
    <w:rsid w:val="00501CD1"/>
    <w:rsid w:val="005061CB"/>
    <w:rsid w:val="00506772"/>
    <w:rsid w:val="00510525"/>
    <w:rsid w:val="005209D8"/>
    <w:rsid w:val="00525B2F"/>
    <w:rsid w:val="00535447"/>
    <w:rsid w:val="00536D64"/>
    <w:rsid w:val="005502E8"/>
    <w:rsid w:val="005543DA"/>
    <w:rsid w:val="00555083"/>
    <w:rsid w:val="00556568"/>
    <w:rsid w:val="00561F19"/>
    <w:rsid w:val="00563301"/>
    <w:rsid w:val="00573DC3"/>
    <w:rsid w:val="0057640E"/>
    <w:rsid w:val="005776AD"/>
    <w:rsid w:val="005777D1"/>
    <w:rsid w:val="00577A28"/>
    <w:rsid w:val="00584195"/>
    <w:rsid w:val="0059573A"/>
    <w:rsid w:val="005A1F68"/>
    <w:rsid w:val="005A3B11"/>
    <w:rsid w:val="005A5671"/>
    <w:rsid w:val="005A5C8A"/>
    <w:rsid w:val="005A644E"/>
    <w:rsid w:val="005B200E"/>
    <w:rsid w:val="005C2176"/>
    <w:rsid w:val="005C5141"/>
    <w:rsid w:val="005C70F4"/>
    <w:rsid w:val="005C75E2"/>
    <w:rsid w:val="005D127D"/>
    <w:rsid w:val="005D33D3"/>
    <w:rsid w:val="005D4FC4"/>
    <w:rsid w:val="005D51D3"/>
    <w:rsid w:val="005D6C96"/>
    <w:rsid w:val="005D730E"/>
    <w:rsid w:val="005E1D13"/>
    <w:rsid w:val="005E2EDC"/>
    <w:rsid w:val="005F07BB"/>
    <w:rsid w:val="005F4212"/>
    <w:rsid w:val="005F6AEF"/>
    <w:rsid w:val="005F7E18"/>
    <w:rsid w:val="0060216E"/>
    <w:rsid w:val="00604206"/>
    <w:rsid w:val="00605A6F"/>
    <w:rsid w:val="00607496"/>
    <w:rsid w:val="0061241C"/>
    <w:rsid w:val="00614182"/>
    <w:rsid w:val="00621059"/>
    <w:rsid w:val="006235B0"/>
    <w:rsid w:val="00626D25"/>
    <w:rsid w:val="006309F6"/>
    <w:rsid w:val="00631A15"/>
    <w:rsid w:val="00632EF7"/>
    <w:rsid w:val="006366DD"/>
    <w:rsid w:val="00636A80"/>
    <w:rsid w:val="00641E19"/>
    <w:rsid w:val="006421A8"/>
    <w:rsid w:val="006433C4"/>
    <w:rsid w:val="0064651C"/>
    <w:rsid w:val="00650CA3"/>
    <w:rsid w:val="006573B7"/>
    <w:rsid w:val="00657D0C"/>
    <w:rsid w:val="00660BCC"/>
    <w:rsid w:val="006614C1"/>
    <w:rsid w:val="006641EB"/>
    <w:rsid w:val="006643FB"/>
    <w:rsid w:val="006660AD"/>
    <w:rsid w:val="00670C94"/>
    <w:rsid w:val="00676130"/>
    <w:rsid w:val="00677706"/>
    <w:rsid w:val="006845AF"/>
    <w:rsid w:val="006908F4"/>
    <w:rsid w:val="006A1E12"/>
    <w:rsid w:val="006A2277"/>
    <w:rsid w:val="006A2D32"/>
    <w:rsid w:val="006A36B7"/>
    <w:rsid w:val="006A64D9"/>
    <w:rsid w:val="006B0EEE"/>
    <w:rsid w:val="006B3D7A"/>
    <w:rsid w:val="006B5015"/>
    <w:rsid w:val="006B53EB"/>
    <w:rsid w:val="006B5EA0"/>
    <w:rsid w:val="006C5C1E"/>
    <w:rsid w:val="006D3D46"/>
    <w:rsid w:val="006E211D"/>
    <w:rsid w:val="006E6178"/>
    <w:rsid w:val="006F143F"/>
    <w:rsid w:val="006F4A4A"/>
    <w:rsid w:val="0070713D"/>
    <w:rsid w:val="00707A64"/>
    <w:rsid w:val="00710692"/>
    <w:rsid w:val="00714599"/>
    <w:rsid w:val="007146E7"/>
    <w:rsid w:val="007165B0"/>
    <w:rsid w:val="0072066E"/>
    <w:rsid w:val="00722454"/>
    <w:rsid w:val="007232AB"/>
    <w:rsid w:val="00723586"/>
    <w:rsid w:val="00723A22"/>
    <w:rsid w:val="00723CCA"/>
    <w:rsid w:val="00725A0C"/>
    <w:rsid w:val="007265B2"/>
    <w:rsid w:val="00726F44"/>
    <w:rsid w:val="007272DA"/>
    <w:rsid w:val="00727C94"/>
    <w:rsid w:val="0073001C"/>
    <w:rsid w:val="007328A0"/>
    <w:rsid w:val="00741EC9"/>
    <w:rsid w:val="00741FFC"/>
    <w:rsid w:val="00744FC6"/>
    <w:rsid w:val="00746EE9"/>
    <w:rsid w:val="00747F86"/>
    <w:rsid w:val="0075002A"/>
    <w:rsid w:val="00751886"/>
    <w:rsid w:val="00752014"/>
    <w:rsid w:val="00753EDF"/>
    <w:rsid w:val="00755040"/>
    <w:rsid w:val="007579C3"/>
    <w:rsid w:val="007625E6"/>
    <w:rsid w:val="0076346B"/>
    <w:rsid w:val="00765F9B"/>
    <w:rsid w:val="00770ED9"/>
    <w:rsid w:val="00771F48"/>
    <w:rsid w:val="00774CC0"/>
    <w:rsid w:val="00782840"/>
    <w:rsid w:val="00782881"/>
    <w:rsid w:val="0078540D"/>
    <w:rsid w:val="00790C63"/>
    <w:rsid w:val="007911C6"/>
    <w:rsid w:val="00792CCA"/>
    <w:rsid w:val="0079680D"/>
    <w:rsid w:val="007A3D06"/>
    <w:rsid w:val="007A5809"/>
    <w:rsid w:val="007A6A97"/>
    <w:rsid w:val="007B09D7"/>
    <w:rsid w:val="007B1454"/>
    <w:rsid w:val="007B25CB"/>
    <w:rsid w:val="007C1F61"/>
    <w:rsid w:val="007C2538"/>
    <w:rsid w:val="007C58D5"/>
    <w:rsid w:val="007C6F20"/>
    <w:rsid w:val="007D0718"/>
    <w:rsid w:val="007D12BF"/>
    <w:rsid w:val="007E0031"/>
    <w:rsid w:val="007E0AB9"/>
    <w:rsid w:val="007E2CC7"/>
    <w:rsid w:val="007F02F2"/>
    <w:rsid w:val="007F1047"/>
    <w:rsid w:val="007F2F2A"/>
    <w:rsid w:val="007F4B58"/>
    <w:rsid w:val="007F737A"/>
    <w:rsid w:val="00800C9A"/>
    <w:rsid w:val="00801FFE"/>
    <w:rsid w:val="008020AB"/>
    <w:rsid w:val="0080224D"/>
    <w:rsid w:val="00807BF5"/>
    <w:rsid w:val="008100D3"/>
    <w:rsid w:val="00810C04"/>
    <w:rsid w:val="00813382"/>
    <w:rsid w:val="008136F5"/>
    <w:rsid w:val="00813BEC"/>
    <w:rsid w:val="00822192"/>
    <w:rsid w:val="008228A7"/>
    <w:rsid w:val="008238F8"/>
    <w:rsid w:val="008242B5"/>
    <w:rsid w:val="00824300"/>
    <w:rsid w:val="008355EF"/>
    <w:rsid w:val="00837A7B"/>
    <w:rsid w:val="0084067D"/>
    <w:rsid w:val="00846D40"/>
    <w:rsid w:val="00847ECD"/>
    <w:rsid w:val="00851809"/>
    <w:rsid w:val="00853136"/>
    <w:rsid w:val="0085493A"/>
    <w:rsid w:val="0086288A"/>
    <w:rsid w:val="00862CFC"/>
    <w:rsid w:val="008648D3"/>
    <w:rsid w:val="008751D7"/>
    <w:rsid w:val="00886103"/>
    <w:rsid w:val="00886237"/>
    <w:rsid w:val="00894276"/>
    <w:rsid w:val="00894D40"/>
    <w:rsid w:val="00896348"/>
    <w:rsid w:val="00896582"/>
    <w:rsid w:val="00897EA9"/>
    <w:rsid w:val="008A1552"/>
    <w:rsid w:val="008A6667"/>
    <w:rsid w:val="008A68BF"/>
    <w:rsid w:val="008B1BB4"/>
    <w:rsid w:val="008B40CE"/>
    <w:rsid w:val="008B6EEE"/>
    <w:rsid w:val="008C292C"/>
    <w:rsid w:val="008C6E15"/>
    <w:rsid w:val="008D14FD"/>
    <w:rsid w:val="008D19AC"/>
    <w:rsid w:val="008D3580"/>
    <w:rsid w:val="008D452F"/>
    <w:rsid w:val="008D5A51"/>
    <w:rsid w:val="008E0D6D"/>
    <w:rsid w:val="008E7DD7"/>
    <w:rsid w:val="008F532D"/>
    <w:rsid w:val="008F53F2"/>
    <w:rsid w:val="008F66EE"/>
    <w:rsid w:val="00904DCD"/>
    <w:rsid w:val="00907BD5"/>
    <w:rsid w:val="00910E21"/>
    <w:rsid w:val="009126F9"/>
    <w:rsid w:val="00913012"/>
    <w:rsid w:val="009144C7"/>
    <w:rsid w:val="009155D1"/>
    <w:rsid w:val="00916D1C"/>
    <w:rsid w:val="00920230"/>
    <w:rsid w:val="00920A7E"/>
    <w:rsid w:val="00921A91"/>
    <w:rsid w:val="00922184"/>
    <w:rsid w:val="00930165"/>
    <w:rsid w:val="00930ECE"/>
    <w:rsid w:val="0093669D"/>
    <w:rsid w:val="00946EC8"/>
    <w:rsid w:val="00950F78"/>
    <w:rsid w:val="009525B4"/>
    <w:rsid w:val="00956321"/>
    <w:rsid w:val="00962DED"/>
    <w:rsid w:val="00964EFD"/>
    <w:rsid w:val="00966C2D"/>
    <w:rsid w:val="00985BC9"/>
    <w:rsid w:val="00992D75"/>
    <w:rsid w:val="00996267"/>
    <w:rsid w:val="009A0691"/>
    <w:rsid w:val="009A1C96"/>
    <w:rsid w:val="009A4BE0"/>
    <w:rsid w:val="009B0615"/>
    <w:rsid w:val="009C22B3"/>
    <w:rsid w:val="009C4751"/>
    <w:rsid w:val="009D172C"/>
    <w:rsid w:val="009D3B05"/>
    <w:rsid w:val="009D4C05"/>
    <w:rsid w:val="009E401D"/>
    <w:rsid w:val="009E7778"/>
    <w:rsid w:val="009F5F3D"/>
    <w:rsid w:val="00A02F0A"/>
    <w:rsid w:val="00A03441"/>
    <w:rsid w:val="00A034C9"/>
    <w:rsid w:val="00A03C39"/>
    <w:rsid w:val="00A07B3D"/>
    <w:rsid w:val="00A10FE4"/>
    <w:rsid w:val="00A11BDD"/>
    <w:rsid w:val="00A12376"/>
    <w:rsid w:val="00A132D3"/>
    <w:rsid w:val="00A20D7F"/>
    <w:rsid w:val="00A21336"/>
    <w:rsid w:val="00A21C9F"/>
    <w:rsid w:val="00A240EB"/>
    <w:rsid w:val="00A27738"/>
    <w:rsid w:val="00A312C5"/>
    <w:rsid w:val="00A32377"/>
    <w:rsid w:val="00A3557E"/>
    <w:rsid w:val="00A434CD"/>
    <w:rsid w:val="00A43DBD"/>
    <w:rsid w:val="00A45D67"/>
    <w:rsid w:val="00A479F0"/>
    <w:rsid w:val="00A50E7A"/>
    <w:rsid w:val="00A54B80"/>
    <w:rsid w:val="00A668A6"/>
    <w:rsid w:val="00A731CD"/>
    <w:rsid w:val="00A81D9F"/>
    <w:rsid w:val="00A840F8"/>
    <w:rsid w:val="00A84CA4"/>
    <w:rsid w:val="00A862BB"/>
    <w:rsid w:val="00A86903"/>
    <w:rsid w:val="00A8719E"/>
    <w:rsid w:val="00A90575"/>
    <w:rsid w:val="00A93BEE"/>
    <w:rsid w:val="00A97481"/>
    <w:rsid w:val="00AA519E"/>
    <w:rsid w:val="00AA636C"/>
    <w:rsid w:val="00AA67F0"/>
    <w:rsid w:val="00AB2759"/>
    <w:rsid w:val="00AB50E6"/>
    <w:rsid w:val="00AB79E1"/>
    <w:rsid w:val="00AC059E"/>
    <w:rsid w:val="00AC19BC"/>
    <w:rsid w:val="00AD07B6"/>
    <w:rsid w:val="00AD4227"/>
    <w:rsid w:val="00AD5C41"/>
    <w:rsid w:val="00AE28FA"/>
    <w:rsid w:val="00AE4811"/>
    <w:rsid w:val="00AE533F"/>
    <w:rsid w:val="00AF78B7"/>
    <w:rsid w:val="00B022F2"/>
    <w:rsid w:val="00B05787"/>
    <w:rsid w:val="00B06869"/>
    <w:rsid w:val="00B1092F"/>
    <w:rsid w:val="00B112D9"/>
    <w:rsid w:val="00B1222A"/>
    <w:rsid w:val="00B1569B"/>
    <w:rsid w:val="00B15FD3"/>
    <w:rsid w:val="00B2552A"/>
    <w:rsid w:val="00B32C76"/>
    <w:rsid w:val="00B42BF7"/>
    <w:rsid w:val="00B43A8C"/>
    <w:rsid w:val="00B45212"/>
    <w:rsid w:val="00B461CB"/>
    <w:rsid w:val="00B4628C"/>
    <w:rsid w:val="00B4700C"/>
    <w:rsid w:val="00B53573"/>
    <w:rsid w:val="00B535AE"/>
    <w:rsid w:val="00B56BAF"/>
    <w:rsid w:val="00B5748F"/>
    <w:rsid w:val="00B62B40"/>
    <w:rsid w:val="00B63ED8"/>
    <w:rsid w:val="00B67ECB"/>
    <w:rsid w:val="00B76227"/>
    <w:rsid w:val="00B76760"/>
    <w:rsid w:val="00B80B4C"/>
    <w:rsid w:val="00B80E5D"/>
    <w:rsid w:val="00B83DE1"/>
    <w:rsid w:val="00B8453E"/>
    <w:rsid w:val="00B8461B"/>
    <w:rsid w:val="00B85A65"/>
    <w:rsid w:val="00B948F7"/>
    <w:rsid w:val="00BA158A"/>
    <w:rsid w:val="00BA7197"/>
    <w:rsid w:val="00BB0A4C"/>
    <w:rsid w:val="00BB3F61"/>
    <w:rsid w:val="00BB7B68"/>
    <w:rsid w:val="00BC14F6"/>
    <w:rsid w:val="00BC314C"/>
    <w:rsid w:val="00BD403A"/>
    <w:rsid w:val="00BE271B"/>
    <w:rsid w:val="00BF3710"/>
    <w:rsid w:val="00BF46C8"/>
    <w:rsid w:val="00C037FC"/>
    <w:rsid w:val="00C10694"/>
    <w:rsid w:val="00C12F4B"/>
    <w:rsid w:val="00C233CA"/>
    <w:rsid w:val="00C3648E"/>
    <w:rsid w:val="00C3706F"/>
    <w:rsid w:val="00C40CC7"/>
    <w:rsid w:val="00C41DAC"/>
    <w:rsid w:val="00C46728"/>
    <w:rsid w:val="00C53AFD"/>
    <w:rsid w:val="00C56219"/>
    <w:rsid w:val="00C5692C"/>
    <w:rsid w:val="00C56C77"/>
    <w:rsid w:val="00C5702C"/>
    <w:rsid w:val="00C60F05"/>
    <w:rsid w:val="00C63DD5"/>
    <w:rsid w:val="00C649EC"/>
    <w:rsid w:val="00C76242"/>
    <w:rsid w:val="00C824A5"/>
    <w:rsid w:val="00C85945"/>
    <w:rsid w:val="00C85DB1"/>
    <w:rsid w:val="00C87550"/>
    <w:rsid w:val="00C90A5C"/>
    <w:rsid w:val="00C90B2C"/>
    <w:rsid w:val="00C96EF5"/>
    <w:rsid w:val="00C97E46"/>
    <w:rsid w:val="00CA4B15"/>
    <w:rsid w:val="00CB0E99"/>
    <w:rsid w:val="00CC1F02"/>
    <w:rsid w:val="00CC3C4E"/>
    <w:rsid w:val="00CD21BC"/>
    <w:rsid w:val="00CD41FF"/>
    <w:rsid w:val="00CD7459"/>
    <w:rsid w:val="00CE0DD0"/>
    <w:rsid w:val="00CE2FFD"/>
    <w:rsid w:val="00CE36BD"/>
    <w:rsid w:val="00CE4893"/>
    <w:rsid w:val="00CE6508"/>
    <w:rsid w:val="00CF128E"/>
    <w:rsid w:val="00CF1A04"/>
    <w:rsid w:val="00CF2FC6"/>
    <w:rsid w:val="00D0172A"/>
    <w:rsid w:val="00D0204A"/>
    <w:rsid w:val="00D02D13"/>
    <w:rsid w:val="00D03128"/>
    <w:rsid w:val="00D040B3"/>
    <w:rsid w:val="00D04DEB"/>
    <w:rsid w:val="00D05D40"/>
    <w:rsid w:val="00D070A6"/>
    <w:rsid w:val="00D11FC4"/>
    <w:rsid w:val="00D1312C"/>
    <w:rsid w:val="00D14905"/>
    <w:rsid w:val="00D15EAE"/>
    <w:rsid w:val="00D1714F"/>
    <w:rsid w:val="00D20666"/>
    <w:rsid w:val="00D22528"/>
    <w:rsid w:val="00D248AA"/>
    <w:rsid w:val="00D25093"/>
    <w:rsid w:val="00D279EE"/>
    <w:rsid w:val="00D3184B"/>
    <w:rsid w:val="00D35F55"/>
    <w:rsid w:val="00D36495"/>
    <w:rsid w:val="00D43F75"/>
    <w:rsid w:val="00D44CF0"/>
    <w:rsid w:val="00D451F7"/>
    <w:rsid w:val="00D512F9"/>
    <w:rsid w:val="00D51C1A"/>
    <w:rsid w:val="00D5409C"/>
    <w:rsid w:val="00D60AFC"/>
    <w:rsid w:val="00D70252"/>
    <w:rsid w:val="00D71FDC"/>
    <w:rsid w:val="00D7423B"/>
    <w:rsid w:val="00D77F79"/>
    <w:rsid w:val="00D81C42"/>
    <w:rsid w:val="00D865B6"/>
    <w:rsid w:val="00D87B0F"/>
    <w:rsid w:val="00D92FD1"/>
    <w:rsid w:val="00D96306"/>
    <w:rsid w:val="00D968C0"/>
    <w:rsid w:val="00D96D74"/>
    <w:rsid w:val="00D970D4"/>
    <w:rsid w:val="00D97E58"/>
    <w:rsid w:val="00DA1327"/>
    <w:rsid w:val="00DA1A6B"/>
    <w:rsid w:val="00DA4D6C"/>
    <w:rsid w:val="00DA54EB"/>
    <w:rsid w:val="00DA66BB"/>
    <w:rsid w:val="00DA7199"/>
    <w:rsid w:val="00DB1C64"/>
    <w:rsid w:val="00DB42F0"/>
    <w:rsid w:val="00DB4A3B"/>
    <w:rsid w:val="00DC0C3A"/>
    <w:rsid w:val="00DC0EF8"/>
    <w:rsid w:val="00DC12A6"/>
    <w:rsid w:val="00DC5958"/>
    <w:rsid w:val="00DC6988"/>
    <w:rsid w:val="00DD5C4F"/>
    <w:rsid w:val="00DD6D4A"/>
    <w:rsid w:val="00DD779D"/>
    <w:rsid w:val="00DD7B42"/>
    <w:rsid w:val="00DE07AC"/>
    <w:rsid w:val="00DF076E"/>
    <w:rsid w:val="00DF7C9A"/>
    <w:rsid w:val="00DF7EDE"/>
    <w:rsid w:val="00E0445B"/>
    <w:rsid w:val="00E071BB"/>
    <w:rsid w:val="00E079F9"/>
    <w:rsid w:val="00E13E0D"/>
    <w:rsid w:val="00E16591"/>
    <w:rsid w:val="00E16E47"/>
    <w:rsid w:val="00E246F0"/>
    <w:rsid w:val="00E254B1"/>
    <w:rsid w:val="00E25C6D"/>
    <w:rsid w:val="00E26D79"/>
    <w:rsid w:val="00E309B3"/>
    <w:rsid w:val="00E329FD"/>
    <w:rsid w:val="00E32FF5"/>
    <w:rsid w:val="00E3464B"/>
    <w:rsid w:val="00E34D0A"/>
    <w:rsid w:val="00E4277F"/>
    <w:rsid w:val="00E4435D"/>
    <w:rsid w:val="00E453EE"/>
    <w:rsid w:val="00E47140"/>
    <w:rsid w:val="00E61000"/>
    <w:rsid w:val="00E62ED0"/>
    <w:rsid w:val="00E656C0"/>
    <w:rsid w:val="00E730CC"/>
    <w:rsid w:val="00E8360B"/>
    <w:rsid w:val="00E84199"/>
    <w:rsid w:val="00E87125"/>
    <w:rsid w:val="00E937E5"/>
    <w:rsid w:val="00E945FB"/>
    <w:rsid w:val="00E95B8D"/>
    <w:rsid w:val="00E96483"/>
    <w:rsid w:val="00EA0FF2"/>
    <w:rsid w:val="00EB1A37"/>
    <w:rsid w:val="00EB35D6"/>
    <w:rsid w:val="00EB3D8C"/>
    <w:rsid w:val="00EC43C1"/>
    <w:rsid w:val="00EC464B"/>
    <w:rsid w:val="00ED063F"/>
    <w:rsid w:val="00ED4656"/>
    <w:rsid w:val="00EE07B1"/>
    <w:rsid w:val="00EE32EB"/>
    <w:rsid w:val="00EE4CBD"/>
    <w:rsid w:val="00EE5B1C"/>
    <w:rsid w:val="00EE679A"/>
    <w:rsid w:val="00EF181B"/>
    <w:rsid w:val="00EF31A6"/>
    <w:rsid w:val="00F04E12"/>
    <w:rsid w:val="00F14C81"/>
    <w:rsid w:val="00F15A2A"/>
    <w:rsid w:val="00F16D1D"/>
    <w:rsid w:val="00F16F35"/>
    <w:rsid w:val="00F34A23"/>
    <w:rsid w:val="00F3562C"/>
    <w:rsid w:val="00F40649"/>
    <w:rsid w:val="00F4068E"/>
    <w:rsid w:val="00F40BE4"/>
    <w:rsid w:val="00F4730A"/>
    <w:rsid w:val="00F52E06"/>
    <w:rsid w:val="00F62157"/>
    <w:rsid w:val="00F655F5"/>
    <w:rsid w:val="00F66CC9"/>
    <w:rsid w:val="00F72E33"/>
    <w:rsid w:val="00F72FF0"/>
    <w:rsid w:val="00F7530F"/>
    <w:rsid w:val="00F77B0C"/>
    <w:rsid w:val="00F812A1"/>
    <w:rsid w:val="00F8255B"/>
    <w:rsid w:val="00F83011"/>
    <w:rsid w:val="00F83053"/>
    <w:rsid w:val="00F83B81"/>
    <w:rsid w:val="00F85208"/>
    <w:rsid w:val="00F86452"/>
    <w:rsid w:val="00F90619"/>
    <w:rsid w:val="00F91B53"/>
    <w:rsid w:val="00F95E00"/>
    <w:rsid w:val="00FA4336"/>
    <w:rsid w:val="00FA57F3"/>
    <w:rsid w:val="00FB0D34"/>
    <w:rsid w:val="00FB23C1"/>
    <w:rsid w:val="00FC2047"/>
    <w:rsid w:val="00FC57F2"/>
    <w:rsid w:val="00FD0043"/>
    <w:rsid w:val="00FD455F"/>
    <w:rsid w:val="00FD5D2D"/>
    <w:rsid w:val="00FD6814"/>
    <w:rsid w:val="00FD7E2F"/>
    <w:rsid w:val="00FE4035"/>
    <w:rsid w:val="00FE601D"/>
    <w:rsid w:val="00FF07E1"/>
    <w:rsid w:val="00FF0B4D"/>
    <w:rsid w:val="00FF142C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D8947F4"/>
  <w15:docId w15:val="{273D9938-E8D6-4A50-97DE-4CA1F777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0C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C60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C60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60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C60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C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C5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C5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C5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4C60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E1C5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4C60C3"/>
    <w:pPr>
      <w:tabs>
        <w:tab w:val="left" w:pos="2880"/>
      </w:tabs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E1C55"/>
    <w:rPr>
      <w:sz w:val="24"/>
      <w:szCs w:val="24"/>
      <w:lang w:eastAsia="en-US"/>
    </w:rPr>
  </w:style>
  <w:style w:type="paragraph" w:customStyle="1" w:styleId="Billname">
    <w:name w:val="Billname"/>
    <w:basedOn w:val="Normal"/>
    <w:rsid w:val="004C60C3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rsid w:val="004C60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4C60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C60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4C60C3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06Copyright">
    <w:name w:val="06Copyright"/>
    <w:basedOn w:val="Normal"/>
    <w:rsid w:val="004C60C3"/>
    <w:pPr>
      <w:tabs>
        <w:tab w:val="left" w:pos="2880"/>
      </w:tabs>
    </w:pPr>
  </w:style>
  <w:style w:type="paragraph" w:customStyle="1" w:styleId="Apara">
    <w:name w:val="A para"/>
    <w:basedOn w:val="Normal"/>
    <w:rsid w:val="004C60C3"/>
    <w:pPr>
      <w:numPr>
        <w:ilvl w:val="6"/>
        <w:numId w:val="3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4C60C3"/>
    <w:pPr>
      <w:numPr>
        <w:ilvl w:val="7"/>
        <w:numId w:val="3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4C60C3"/>
    <w:pPr>
      <w:numPr>
        <w:ilvl w:val="8"/>
        <w:numId w:val="3"/>
      </w:numPr>
      <w:spacing w:before="80" w:after="60"/>
      <w:jc w:val="both"/>
      <w:outlineLvl w:val="8"/>
    </w:pPr>
  </w:style>
  <w:style w:type="paragraph" w:customStyle="1" w:styleId="AH5Sec">
    <w:name w:val="A H5 Sec"/>
    <w:aliases w:val="s"/>
    <w:basedOn w:val="Normal"/>
    <w:next w:val="Amain"/>
    <w:rsid w:val="004C60C3"/>
    <w:pPr>
      <w:keepNext/>
      <w:numPr>
        <w:ilvl w:val="4"/>
        <w:numId w:val="1"/>
      </w:numPr>
      <w:spacing w:before="180" w:after="60"/>
      <w:outlineLvl w:val="4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4C60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C55"/>
    <w:rPr>
      <w:sz w:val="24"/>
      <w:szCs w:val="24"/>
      <w:lang w:eastAsia="en-US"/>
    </w:rPr>
  </w:style>
  <w:style w:type="paragraph" w:customStyle="1" w:styleId="ref">
    <w:name w:val="ref"/>
    <w:basedOn w:val="Normal"/>
    <w:next w:val="Normal"/>
    <w:rsid w:val="004C60C3"/>
    <w:pPr>
      <w:spacing w:after="60"/>
      <w:jc w:val="both"/>
    </w:pPr>
    <w:rPr>
      <w:sz w:val="18"/>
      <w:szCs w:val="18"/>
    </w:rPr>
  </w:style>
  <w:style w:type="character" w:customStyle="1" w:styleId="CharDivText">
    <w:name w:val="CharDivText"/>
    <w:basedOn w:val="DefaultParagraphFont"/>
    <w:rsid w:val="004C60C3"/>
    <w:rPr>
      <w:rFonts w:ascii="Times New Roman" w:hAnsi="Times New Roman" w:cs="Times New Roman"/>
    </w:rPr>
  </w:style>
  <w:style w:type="paragraph" w:customStyle="1" w:styleId="CoverInForce">
    <w:name w:val="CoverInForce"/>
    <w:basedOn w:val="Normal"/>
    <w:rsid w:val="004C60C3"/>
    <w:pPr>
      <w:tabs>
        <w:tab w:val="left" w:pos="2600"/>
      </w:tabs>
      <w:spacing w:before="200" w:after="60"/>
      <w:jc w:val="both"/>
    </w:pPr>
    <w:rPr>
      <w:rFonts w:ascii="Arial" w:hAnsi="Arial" w:cs="Arial"/>
    </w:rPr>
  </w:style>
  <w:style w:type="paragraph" w:customStyle="1" w:styleId="AFHdg">
    <w:name w:val="AFHdg"/>
    <w:basedOn w:val="Normal"/>
    <w:rsid w:val="004C60C3"/>
    <w:pPr>
      <w:tabs>
        <w:tab w:val="left" w:pos="2600"/>
      </w:tabs>
      <w:spacing w:before="80" w:after="60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ApprFormHd">
    <w:name w:val="ApprFormHd"/>
    <w:basedOn w:val="Normal"/>
    <w:rsid w:val="004C60C3"/>
    <w:pPr>
      <w:keepNext/>
      <w:tabs>
        <w:tab w:val="left" w:pos="2600"/>
      </w:tabs>
      <w:spacing w:before="320" w:after="60"/>
      <w:outlineLvl w:val="0"/>
    </w:pPr>
    <w:rPr>
      <w:rFonts w:ascii="Arial" w:hAnsi="Arial" w:cs="Arial"/>
      <w:b/>
      <w:bCs/>
      <w:sz w:val="34"/>
      <w:szCs w:val="34"/>
    </w:rPr>
  </w:style>
  <w:style w:type="character" w:styleId="PageNumber">
    <w:name w:val="page number"/>
    <w:basedOn w:val="DefaultParagraphFont"/>
    <w:uiPriority w:val="99"/>
    <w:rsid w:val="004C60C3"/>
    <w:rPr>
      <w:rFonts w:ascii="Times New Roman" w:hAnsi="Times New Roman" w:cs="Times New Roman"/>
    </w:rPr>
  </w:style>
  <w:style w:type="paragraph" w:customStyle="1" w:styleId="Aparabullet">
    <w:name w:val="A para bullet"/>
    <w:basedOn w:val="Normal"/>
    <w:rsid w:val="004C60C3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rsid w:val="004C60C3"/>
  </w:style>
  <w:style w:type="paragraph" w:styleId="TOC2">
    <w:name w:val="toc 2"/>
    <w:basedOn w:val="Normal"/>
    <w:next w:val="Normal"/>
    <w:autoRedefine/>
    <w:uiPriority w:val="39"/>
    <w:rsid w:val="004C60C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4C60C3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4C60C3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4C60C3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4C60C3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4C60C3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4C60C3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4C60C3"/>
    <w:pPr>
      <w:ind w:left="1920"/>
    </w:pPr>
  </w:style>
  <w:style w:type="character" w:styleId="Hyperlink">
    <w:name w:val="Hyperlink"/>
    <w:basedOn w:val="DefaultParagraphFont"/>
    <w:uiPriority w:val="99"/>
    <w:rsid w:val="004C60C3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4C60C3"/>
    <w:pPr>
      <w:spacing w:before="120" w:after="60"/>
      <w:ind w:left="709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1C55"/>
    <w:rPr>
      <w:sz w:val="24"/>
      <w:szCs w:val="24"/>
      <w:lang w:eastAsia="en-US"/>
    </w:rPr>
  </w:style>
  <w:style w:type="paragraph" w:customStyle="1" w:styleId="Minister">
    <w:name w:val="Minister"/>
    <w:basedOn w:val="Normal"/>
    <w:rsid w:val="004C60C3"/>
    <w:pPr>
      <w:spacing w:before="880" w:after="60"/>
      <w:jc w:val="right"/>
    </w:pPr>
    <w:rPr>
      <w:caps/>
    </w:rPr>
  </w:style>
  <w:style w:type="paragraph" w:customStyle="1" w:styleId="DateLine">
    <w:name w:val="DateLine"/>
    <w:basedOn w:val="Normal"/>
    <w:rsid w:val="004C60C3"/>
    <w:pPr>
      <w:tabs>
        <w:tab w:val="left" w:pos="4320"/>
      </w:tabs>
      <w:spacing w:before="80" w:after="60"/>
      <w:jc w:val="both"/>
    </w:pPr>
  </w:style>
  <w:style w:type="paragraph" w:customStyle="1" w:styleId="MinisterWord">
    <w:name w:val="MinisterWord"/>
    <w:basedOn w:val="Normal"/>
    <w:rsid w:val="004C60C3"/>
    <w:pPr>
      <w:tabs>
        <w:tab w:val="left" w:pos="2880"/>
      </w:tabs>
      <w:jc w:val="right"/>
    </w:pPr>
  </w:style>
  <w:style w:type="character" w:styleId="FollowedHyperlink">
    <w:name w:val="FollowedHyperlink"/>
    <w:basedOn w:val="DefaultParagraphFont"/>
    <w:uiPriority w:val="99"/>
    <w:rsid w:val="004C60C3"/>
    <w:rPr>
      <w:rFonts w:ascii="Times New Roman" w:hAnsi="Times New Roman"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4C60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C60C3"/>
    <w:pPr>
      <w:spacing w:before="80" w:after="60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C55"/>
    <w:rPr>
      <w:lang w:eastAsia="en-US"/>
    </w:rPr>
  </w:style>
  <w:style w:type="paragraph" w:customStyle="1" w:styleId="ShadedSchClause">
    <w:name w:val="Shaded Sch Clause"/>
    <w:basedOn w:val="Normal"/>
    <w:next w:val="Normal"/>
    <w:rsid w:val="004C60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</w:rPr>
  </w:style>
  <w:style w:type="character" w:customStyle="1" w:styleId="CharSectNo">
    <w:name w:val="CharSectNo"/>
    <w:basedOn w:val="DefaultParagraphFont"/>
    <w:rsid w:val="004C60C3"/>
    <w:rPr>
      <w:rFonts w:ascii="Times New Roman" w:hAnsi="Times New Roman" w:cs="Times New Roman"/>
    </w:rPr>
  </w:style>
  <w:style w:type="character" w:customStyle="1" w:styleId="charItals">
    <w:name w:val="charItals"/>
    <w:basedOn w:val="DefaultParagraphFont"/>
    <w:rsid w:val="004C60C3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rsid w:val="004C60C3"/>
    <w:pPr>
      <w:spacing w:before="100" w:beforeAutospacing="1" w:after="100" w:afterAutospacing="1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14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C5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E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52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5002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500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00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0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002A"/>
    <w:rPr>
      <w:b/>
      <w:bCs/>
      <w:lang w:eastAsia="en-US"/>
    </w:rPr>
  </w:style>
  <w:style w:type="paragraph" w:customStyle="1" w:styleId="Default">
    <w:name w:val="Default"/>
    <w:rsid w:val="006210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4C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79F9"/>
    <w:rPr>
      <w:sz w:val="24"/>
      <w:szCs w:val="24"/>
      <w:lang w:eastAsia="en-US"/>
    </w:rPr>
  </w:style>
  <w:style w:type="paragraph" w:customStyle="1" w:styleId="definition">
    <w:name w:val="definition"/>
    <w:basedOn w:val="Normal"/>
    <w:rsid w:val="002834C8"/>
    <w:pPr>
      <w:spacing w:before="100" w:beforeAutospacing="1" w:after="100" w:afterAutospacing="1"/>
    </w:pPr>
    <w:rPr>
      <w:lang w:eastAsia="en-AU"/>
    </w:rPr>
  </w:style>
  <w:style w:type="paragraph" w:customStyle="1" w:styleId="paragraph">
    <w:name w:val="paragraph"/>
    <w:basedOn w:val="Normal"/>
    <w:rsid w:val="002834C8"/>
    <w:pPr>
      <w:spacing w:before="100" w:beforeAutospacing="1" w:after="100" w:afterAutospacing="1"/>
    </w:pPr>
    <w:rPr>
      <w:lang w:eastAsia="en-AU"/>
    </w:rPr>
  </w:style>
  <w:style w:type="paragraph" w:customStyle="1" w:styleId="notetext">
    <w:name w:val="notetext"/>
    <w:basedOn w:val="Normal"/>
    <w:rsid w:val="002834C8"/>
    <w:pPr>
      <w:spacing w:before="100" w:beforeAutospacing="1" w:after="100" w:afterAutospacing="1"/>
    </w:pPr>
    <w:rPr>
      <w:lang w:eastAsia="en-AU"/>
    </w:rPr>
  </w:style>
  <w:style w:type="paragraph" w:customStyle="1" w:styleId="aDef">
    <w:name w:val="aDef"/>
    <w:basedOn w:val="Normal"/>
    <w:link w:val="aDefChar"/>
    <w:rsid w:val="0070713D"/>
    <w:pPr>
      <w:numPr>
        <w:ilvl w:val="5"/>
        <w:numId w:val="10"/>
      </w:numPr>
      <w:spacing w:before="140"/>
      <w:jc w:val="both"/>
      <w:outlineLvl w:val="5"/>
    </w:pPr>
    <w:rPr>
      <w:szCs w:val="20"/>
    </w:rPr>
  </w:style>
  <w:style w:type="paragraph" w:customStyle="1" w:styleId="AH2Part">
    <w:name w:val="A H2 Part"/>
    <w:basedOn w:val="Normal"/>
    <w:next w:val="AH3Div"/>
    <w:rsid w:val="0070713D"/>
    <w:pPr>
      <w:keepNext/>
      <w:tabs>
        <w:tab w:val="num" w:pos="2600"/>
      </w:tabs>
      <w:spacing w:before="380"/>
      <w:ind w:left="2600" w:hanging="2600"/>
      <w:outlineLvl w:val="1"/>
    </w:pPr>
    <w:rPr>
      <w:rFonts w:ascii="Arial" w:hAnsi="Arial"/>
      <w:b/>
      <w:sz w:val="32"/>
      <w:szCs w:val="20"/>
    </w:rPr>
  </w:style>
  <w:style w:type="paragraph" w:customStyle="1" w:styleId="AH3Div">
    <w:name w:val="A H3 Div"/>
    <w:basedOn w:val="Normal"/>
    <w:next w:val="AH5Sec"/>
    <w:rsid w:val="0070713D"/>
    <w:pPr>
      <w:keepNext/>
      <w:tabs>
        <w:tab w:val="num" w:pos="2600"/>
      </w:tabs>
      <w:spacing w:before="240"/>
      <w:ind w:left="2600" w:hanging="2600"/>
      <w:outlineLvl w:val="2"/>
    </w:pPr>
    <w:rPr>
      <w:rFonts w:ascii="Arial" w:hAnsi="Arial"/>
      <w:b/>
      <w:sz w:val="28"/>
      <w:szCs w:val="20"/>
    </w:rPr>
  </w:style>
  <w:style w:type="paragraph" w:customStyle="1" w:styleId="AH4SubDiv">
    <w:name w:val="A H4 SubDiv"/>
    <w:basedOn w:val="Normal"/>
    <w:next w:val="AH5Sec"/>
    <w:rsid w:val="0070713D"/>
    <w:pPr>
      <w:keepNext/>
      <w:tabs>
        <w:tab w:val="num" w:pos="2600"/>
      </w:tabs>
      <w:spacing w:before="240"/>
      <w:ind w:left="2600" w:hanging="2600"/>
      <w:outlineLvl w:val="3"/>
    </w:pPr>
    <w:rPr>
      <w:rFonts w:ascii="Arial" w:hAnsi="Arial"/>
      <w:b/>
      <w:sz w:val="26"/>
      <w:szCs w:val="20"/>
    </w:rPr>
  </w:style>
  <w:style w:type="paragraph" w:customStyle="1" w:styleId="aDefpara">
    <w:name w:val="aDef para"/>
    <w:basedOn w:val="Apara"/>
    <w:rsid w:val="0070713D"/>
    <w:pPr>
      <w:numPr>
        <w:numId w:val="10"/>
      </w:numPr>
      <w:spacing w:before="140" w:after="0"/>
    </w:pPr>
    <w:rPr>
      <w:szCs w:val="20"/>
    </w:rPr>
  </w:style>
  <w:style w:type="paragraph" w:customStyle="1" w:styleId="aDefsubpara">
    <w:name w:val="aDef subpara"/>
    <w:basedOn w:val="Asubpara"/>
    <w:rsid w:val="0070713D"/>
    <w:pPr>
      <w:numPr>
        <w:numId w:val="10"/>
      </w:numPr>
      <w:tabs>
        <w:tab w:val="clear" w:pos="1902"/>
        <w:tab w:val="num" w:pos="2140"/>
      </w:tabs>
      <w:spacing w:before="140" w:after="0"/>
      <w:ind w:left="2140"/>
    </w:pPr>
    <w:rPr>
      <w:szCs w:val="20"/>
    </w:rPr>
  </w:style>
  <w:style w:type="character" w:customStyle="1" w:styleId="aDefChar">
    <w:name w:val="aDef Char"/>
    <w:basedOn w:val="DefaultParagraphFont"/>
    <w:link w:val="aDef"/>
    <w:locked/>
    <w:rsid w:val="0070713D"/>
    <w:rPr>
      <w:sz w:val="24"/>
      <w:lang w:eastAsia="en-US"/>
    </w:rPr>
  </w:style>
  <w:style w:type="paragraph" w:customStyle="1" w:styleId="aNote">
    <w:name w:val="aNote"/>
    <w:basedOn w:val="Normal"/>
    <w:link w:val="aNoteChar"/>
    <w:rsid w:val="00375C14"/>
    <w:pPr>
      <w:spacing w:before="140"/>
      <w:ind w:left="1900" w:hanging="800"/>
      <w:jc w:val="both"/>
    </w:pPr>
    <w:rPr>
      <w:sz w:val="20"/>
      <w:szCs w:val="20"/>
    </w:rPr>
  </w:style>
  <w:style w:type="character" w:customStyle="1" w:styleId="charBoldItals">
    <w:name w:val="charBoldItals"/>
    <w:basedOn w:val="DefaultParagraphFont"/>
    <w:rsid w:val="00375C14"/>
    <w:rPr>
      <w:b/>
      <w:i/>
    </w:rPr>
  </w:style>
  <w:style w:type="character" w:customStyle="1" w:styleId="aNoteChar">
    <w:name w:val="aNote Char"/>
    <w:basedOn w:val="DefaultParagraphFont"/>
    <w:link w:val="aNote"/>
    <w:locked/>
    <w:rsid w:val="00375C14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375C14"/>
    <w:rPr>
      <w:rFonts w:ascii="Times New Roman" w:hAnsi="Times New Roman" w:cs="Times New Roman"/>
      <w:color w:val="0000FF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4D062-0AB6-4BAA-B741-ADDC5560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935</Words>
  <Characters>4527</Characters>
  <Application>Microsoft Office Word</Application>
  <DocSecurity>0</DocSecurity>
  <Lines>123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Moxon, KarenL</cp:lastModifiedBy>
  <cp:revision>4</cp:revision>
  <cp:lastPrinted>2021-09-01T03:02:00Z</cp:lastPrinted>
  <dcterms:created xsi:type="dcterms:W3CDTF">2021-09-27T01:07:00Z</dcterms:created>
  <dcterms:modified xsi:type="dcterms:W3CDTF">2021-09-27T01:07:00Z</dcterms:modified>
</cp:coreProperties>
</file>