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8F53" w14:textId="77777777" w:rsidR="00575ECD" w:rsidRDefault="00575ECD">
      <w:pPr>
        <w:pStyle w:val="06Copyright"/>
        <w:tabs>
          <w:tab w:val="clear" w:pos="2880"/>
        </w:tabs>
        <w:spacing w:before="120"/>
        <w:rPr>
          <w:rFonts w:ascii="Arial" w:hAnsi="Arial" w:cs="Arial"/>
        </w:rPr>
      </w:pPr>
      <w:bookmarkStart w:id="0" w:name="_Toc44738651"/>
      <w:r>
        <w:rPr>
          <w:rFonts w:ascii="Arial" w:hAnsi="Arial" w:cs="Arial"/>
        </w:rPr>
        <w:t>Australian Capital Territory</w:t>
      </w:r>
    </w:p>
    <w:p w14:paraId="797F6081" w14:textId="77777777" w:rsidR="00575ECD" w:rsidRDefault="00575ECD">
      <w:pPr>
        <w:pStyle w:val="Billname"/>
        <w:spacing w:before="700"/>
      </w:pPr>
      <w:r>
        <w:t>Agents (Continuing Professional Development) Guideline 20</w:t>
      </w:r>
      <w:r w:rsidR="00A44440">
        <w:t>22</w:t>
      </w:r>
    </w:p>
    <w:p w14:paraId="26A630B9" w14:textId="77777777" w:rsidR="00575ECD" w:rsidRDefault="00575ECD">
      <w:pPr>
        <w:spacing w:before="240" w:after="60"/>
        <w:rPr>
          <w:rFonts w:ascii="Arial" w:hAnsi="Arial" w:cs="Arial"/>
          <w:b/>
          <w:bCs/>
          <w:vertAlign w:val="superscript"/>
        </w:rPr>
      </w:pPr>
      <w:r>
        <w:rPr>
          <w:rFonts w:ascii="Arial" w:hAnsi="Arial" w:cs="Arial"/>
          <w:b/>
          <w:bCs/>
        </w:rPr>
        <w:t xml:space="preserve">Notifiable </w:t>
      </w:r>
      <w:r w:rsidRPr="00071E9A">
        <w:rPr>
          <w:rFonts w:ascii="Arial" w:hAnsi="Arial" w:cs="Arial"/>
          <w:b/>
          <w:bCs/>
        </w:rPr>
        <w:t xml:space="preserve">instrument </w:t>
      </w:r>
      <w:r w:rsidR="00A44440" w:rsidRPr="00071E9A">
        <w:rPr>
          <w:rFonts w:ascii="Arial" w:hAnsi="Arial" w:cs="Arial"/>
          <w:b/>
          <w:bCs/>
        </w:rPr>
        <w:t>NI2022 -</w:t>
      </w:r>
      <w:r w:rsidR="00A44440">
        <w:rPr>
          <w:rFonts w:ascii="Arial" w:hAnsi="Arial" w:cs="Arial"/>
          <w:b/>
          <w:bCs/>
        </w:rPr>
        <w:t xml:space="preserve"> </w:t>
      </w:r>
      <w:r w:rsidR="002E3CE7">
        <w:rPr>
          <w:rFonts w:ascii="Arial" w:hAnsi="Arial" w:cs="Arial"/>
          <w:b/>
          <w:bCs/>
        </w:rPr>
        <w:t>336</w:t>
      </w:r>
    </w:p>
    <w:p w14:paraId="50A7E66C" w14:textId="77777777" w:rsidR="00575ECD" w:rsidRDefault="00575ECD">
      <w:pPr>
        <w:pStyle w:val="madeunder"/>
        <w:spacing w:before="240" w:after="120"/>
      </w:pPr>
      <w:r>
        <w:t xml:space="preserve">made under the  </w:t>
      </w:r>
    </w:p>
    <w:p w14:paraId="543FA66F" w14:textId="77777777" w:rsidR="00575ECD" w:rsidRDefault="00575ECD">
      <w:pPr>
        <w:pStyle w:val="CoverActName"/>
      </w:pPr>
      <w:r>
        <w:rPr>
          <w:rFonts w:cs="Arial"/>
          <w:sz w:val="20"/>
        </w:rPr>
        <w:t>Agents Regulation 2003, sections 7A (Licence conditions</w:t>
      </w:r>
      <w:r w:rsidR="00F45564">
        <w:rPr>
          <w:rFonts w:cs="Arial"/>
          <w:sz w:val="20"/>
        </w:rPr>
        <w:t xml:space="preserve"> – professional development</w:t>
      </w:r>
      <w:r>
        <w:rPr>
          <w:rFonts w:cs="Arial"/>
          <w:sz w:val="20"/>
        </w:rPr>
        <w:t xml:space="preserve"> – Act s 34(1)(a)) and 10A (Registration conditions</w:t>
      </w:r>
      <w:r w:rsidR="00F45564">
        <w:rPr>
          <w:rFonts w:cs="Arial"/>
          <w:sz w:val="20"/>
        </w:rPr>
        <w:t xml:space="preserve"> – professional development</w:t>
      </w:r>
      <w:r>
        <w:rPr>
          <w:rFonts w:cs="Arial"/>
          <w:sz w:val="20"/>
        </w:rPr>
        <w:t xml:space="preserve"> – Act s 58(1)(a))</w:t>
      </w:r>
    </w:p>
    <w:p w14:paraId="28E0CB10" w14:textId="77777777" w:rsidR="00575ECD" w:rsidRDefault="00575ECD">
      <w:pPr>
        <w:pStyle w:val="N-line3"/>
        <w:pBdr>
          <w:bottom w:val="none" w:sz="0" w:space="0" w:color="auto"/>
        </w:pBdr>
      </w:pPr>
    </w:p>
    <w:p w14:paraId="52DAFD60" w14:textId="77777777" w:rsidR="00575ECD" w:rsidRDefault="00575ECD">
      <w:pPr>
        <w:pStyle w:val="N-line3"/>
        <w:pBdr>
          <w:top w:val="single" w:sz="12" w:space="1" w:color="auto"/>
          <w:bottom w:val="none" w:sz="0" w:space="0" w:color="auto"/>
        </w:pBdr>
      </w:pPr>
    </w:p>
    <w:p w14:paraId="3637408A" w14:textId="77777777" w:rsidR="00575ECD" w:rsidRDefault="00575ECD">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0B3C0DC" w14:textId="77777777" w:rsidR="00575ECD" w:rsidRDefault="00575ECD">
      <w:pPr>
        <w:spacing w:before="80" w:after="60"/>
        <w:ind w:left="720"/>
      </w:pPr>
      <w:r>
        <w:t xml:space="preserve">This instrument is the </w:t>
      </w:r>
      <w:r>
        <w:rPr>
          <w:i/>
          <w:iCs/>
        </w:rPr>
        <w:t>Agents (Continuing Professional Development) Guideline 20</w:t>
      </w:r>
      <w:r w:rsidR="00A44440">
        <w:rPr>
          <w:i/>
          <w:iCs/>
        </w:rPr>
        <w:t>22</w:t>
      </w:r>
      <w:r>
        <w:rPr>
          <w:b/>
          <w:bCs/>
          <w:i/>
          <w:iCs/>
        </w:rPr>
        <w:t>.</w:t>
      </w:r>
    </w:p>
    <w:p w14:paraId="0AFA596B" w14:textId="77777777" w:rsidR="00351CFE" w:rsidRDefault="00575ECD">
      <w:pPr>
        <w:spacing w:before="240" w:after="60"/>
        <w:ind w:left="720" w:hanging="720"/>
        <w:rPr>
          <w:rFonts w:ascii="Arial" w:hAnsi="Arial" w:cs="Arial"/>
          <w:b/>
          <w:bCs/>
        </w:rPr>
      </w:pPr>
      <w:r>
        <w:rPr>
          <w:rFonts w:ascii="Arial" w:hAnsi="Arial" w:cs="Arial"/>
          <w:b/>
          <w:bCs/>
        </w:rPr>
        <w:t>2</w:t>
      </w:r>
      <w:r>
        <w:rPr>
          <w:rFonts w:ascii="Arial" w:hAnsi="Arial" w:cs="Arial"/>
          <w:b/>
          <w:bCs/>
        </w:rPr>
        <w:tab/>
      </w:r>
      <w:r w:rsidR="00351CFE">
        <w:rPr>
          <w:rFonts w:ascii="Arial" w:hAnsi="Arial" w:cs="Arial"/>
          <w:b/>
          <w:bCs/>
        </w:rPr>
        <w:t xml:space="preserve">Commencement </w:t>
      </w:r>
    </w:p>
    <w:p w14:paraId="414518C4" w14:textId="77777777" w:rsidR="00575ECD" w:rsidRDefault="00351CFE" w:rsidP="00351CFE">
      <w:pPr>
        <w:spacing w:before="80" w:after="60"/>
        <w:ind w:left="720"/>
      </w:pPr>
      <w:r>
        <w:t xml:space="preserve">This instrument commences on 1 July 2022. </w:t>
      </w:r>
    </w:p>
    <w:p w14:paraId="12D3F3B5" w14:textId="77777777" w:rsidR="00351CFE" w:rsidRDefault="00351CFE" w:rsidP="00351CFE">
      <w:pPr>
        <w:spacing w:before="240" w:after="60"/>
        <w:ind w:left="720" w:hanging="720"/>
        <w:rPr>
          <w:rFonts w:ascii="Arial" w:hAnsi="Arial" w:cs="Arial"/>
          <w:b/>
          <w:bCs/>
        </w:rPr>
      </w:pPr>
      <w:r>
        <w:rPr>
          <w:rFonts w:ascii="Arial" w:hAnsi="Arial" w:cs="Arial"/>
          <w:b/>
          <w:bCs/>
        </w:rPr>
        <w:t xml:space="preserve">3 </w:t>
      </w:r>
      <w:r>
        <w:rPr>
          <w:rFonts w:ascii="Arial" w:hAnsi="Arial" w:cs="Arial"/>
          <w:b/>
          <w:bCs/>
        </w:rPr>
        <w:tab/>
        <w:t xml:space="preserve">Guidelines </w:t>
      </w:r>
    </w:p>
    <w:p w14:paraId="6839101D" w14:textId="77777777" w:rsidR="00575ECD" w:rsidRPr="009E2A2E" w:rsidRDefault="00351CFE" w:rsidP="006466DD">
      <w:pPr>
        <w:spacing w:before="80" w:after="60"/>
        <w:ind w:left="720"/>
      </w:pPr>
      <w:r>
        <w:t xml:space="preserve">I </w:t>
      </w:r>
      <w:r w:rsidR="006466DD">
        <w:t>make the</w:t>
      </w:r>
      <w:r>
        <w:t xml:space="preserve"> Continuing Professional Development Guideline</w:t>
      </w:r>
      <w:r w:rsidR="006466DD">
        <w:t xml:space="preserve"> for agents and assistance agents</w:t>
      </w:r>
      <w:r>
        <w:t xml:space="preserve"> set out in Schedule 1. </w:t>
      </w:r>
    </w:p>
    <w:p w14:paraId="702C0C90" w14:textId="77777777" w:rsidR="00351CFE" w:rsidRDefault="00351CFE" w:rsidP="00351CFE">
      <w:pPr>
        <w:spacing w:before="240" w:after="60"/>
        <w:ind w:left="720" w:hanging="720"/>
        <w:rPr>
          <w:rFonts w:ascii="Arial" w:hAnsi="Arial" w:cs="Arial"/>
          <w:b/>
          <w:bCs/>
        </w:rPr>
      </w:pPr>
      <w:r>
        <w:rPr>
          <w:rFonts w:ascii="Arial" w:hAnsi="Arial" w:cs="Arial"/>
          <w:b/>
          <w:bCs/>
        </w:rPr>
        <w:t xml:space="preserve">4 </w:t>
      </w:r>
      <w:r>
        <w:rPr>
          <w:rFonts w:ascii="Arial" w:hAnsi="Arial" w:cs="Arial"/>
          <w:b/>
          <w:bCs/>
        </w:rPr>
        <w:tab/>
        <w:t xml:space="preserve">Revocation </w:t>
      </w:r>
    </w:p>
    <w:p w14:paraId="64EADCF5" w14:textId="77777777" w:rsidR="00351CFE" w:rsidRDefault="00351CFE" w:rsidP="00351CFE">
      <w:pPr>
        <w:spacing w:before="80" w:after="60"/>
        <w:ind w:left="720"/>
      </w:pPr>
      <w:r>
        <w:t xml:space="preserve">This instrument revokes: </w:t>
      </w:r>
    </w:p>
    <w:p w14:paraId="212B8B88" w14:textId="77777777" w:rsidR="00351CFE" w:rsidRPr="009E2A2E" w:rsidRDefault="00351CFE" w:rsidP="00351CFE">
      <w:pPr>
        <w:numPr>
          <w:ilvl w:val="0"/>
          <w:numId w:val="19"/>
        </w:numPr>
        <w:spacing w:before="80" w:after="60"/>
        <w:rPr>
          <w:i/>
          <w:iCs/>
        </w:rPr>
      </w:pPr>
      <w:r w:rsidRPr="009E2A2E">
        <w:rPr>
          <w:i/>
          <w:iCs/>
        </w:rPr>
        <w:t>Agents (Continuing Professional Development) Guideline 2008 (No 1)</w:t>
      </w:r>
      <w:r>
        <w:t xml:space="preserve"> NI2008-91</w:t>
      </w:r>
    </w:p>
    <w:p w14:paraId="1E94A2CC" w14:textId="77777777" w:rsidR="00351CFE" w:rsidRDefault="00351CFE" w:rsidP="009E2A2E">
      <w:pPr>
        <w:numPr>
          <w:ilvl w:val="0"/>
          <w:numId w:val="19"/>
        </w:numPr>
        <w:spacing w:before="80" w:after="60"/>
      </w:pPr>
      <w:r w:rsidRPr="0046441D">
        <w:rPr>
          <w:i/>
          <w:iCs/>
        </w:rPr>
        <w:t>Agents (Continuing Professional Development) Guideline 200</w:t>
      </w:r>
      <w:r>
        <w:rPr>
          <w:i/>
          <w:iCs/>
        </w:rPr>
        <w:t>5</w:t>
      </w:r>
      <w:r w:rsidRPr="0046441D">
        <w:rPr>
          <w:i/>
          <w:iCs/>
        </w:rPr>
        <w:t xml:space="preserve"> (No 1)</w:t>
      </w:r>
      <w:r>
        <w:t xml:space="preserve"> NI2005-139</w:t>
      </w:r>
    </w:p>
    <w:p w14:paraId="47361D0A" w14:textId="77777777" w:rsidR="00575ECD" w:rsidRDefault="00575ECD">
      <w:pPr>
        <w:spacing w:before="80" w:after="60"/>
        <w:ind w:left="720"/>
        <w:rPr>
          <w:rFonts w:ascii="Arial" w:hAnsi="Arial" w:cs="Arial"/>
          <w:b/>
          <w:bCs/>
        </w:rPr>
      </w:pPr>
    </w:p>
    <w:p w14:paraId="0204D391" w14:textId="77777777" w:rsidR="00575ECD" w:rsidRDefault="00575ECD" w:rsidP="007C39D8">
      <w:pPr>
        <w:spacing w:before="80" w:after="60"/>
        <w:ind w:left="720" w:hanging="720"/>
        <w:rPr>
          <w:rFonts w:ascii="Arial" w:hAnsi="Arial" w:cs="Arial"/>
          <w:b/>
          <w:bCs/>
        </w:rPr>
      </w:pPr>
    </w:p>
    <w:p w14:paraId="0E35075E" w14:textId="77777777" w:rsidR="007C39D8" w:rsidRDefault="00A44440">
      <w:pPr>
        <w:tabs>
          <w:tab w:val="left" w:pos="4320"/>
        </w:tabs>
        <w:spacing w:before="480"/>
      </w:pPr>
      <w:proofErr w:type="spellStart"/>
      <w:r>
        <w:t>Derise</w:t>
      </w:r>
      <w:proofErr w:type="spellEnd"/>
      <w:r>
        <w:t xml:space="preserve"> Cub</w:t>
      </w:r>
      <w:r w:rsidR="007C39D8">
        <w:t>i</w:t>
      </w:r>
      <w:r>
        <w:t xml:space="preserve">n </w:t>
      </w:r>
      <w:r w:rsidR="00575ECD">
        <w:br/>
        <w:t>Commissioner for Fair Trading</w:t>
      </w:r>
      <w:r w:rsidR="007C39D8">
        <w:t xml:space="preserve"> </w:t>
      </w:r>
    </w:p>
    <w:p w14:paraId="236862A4" w14:textId="77777777" w:rsidR="007C39D8" w:rsidRDefault="007C39D8">
      <w:pPr>
        <w:tabs>
          <w:tab w:val="left" w:pos="4320"/>
        </w:tabs>
        <w:spacing w:before="480"/>
      </w:pPr>
      <w:r>
        <w:t>30 June 2022</w:t>
      </w:r>
    </w:p>
    <w:p w14:paraId="769CEE9D" w14:textId="77777777" w:rsidR="00F45564" w:rsidRDefault="00F45564">
      <w:pPr>
        <w:tabs>
          <w:tab w:val="left" w:pos="4320"/>
        </w:tabs>
        <w:spacing w:before="480"/>
      </w:pPr>
    </w:p>
    <w:bookmarkEnd w:id="0"/>
    <w:p w14:paraId="7D7AF059" w14:textId="77777777" w:rsidR="00575ECD" w:rsidRDefault="00575ECD" w:rsidP="009E2A2E">
      <w:pPr>
        <w:tabs>
          <w:tab w:val="left" w:pos="4320"/>
        </w:tabs>
        <w:spacing w:after="480"/>
      </w:pPr>
      <w:r>
        <w:rPr>
          <w:sz w:val="40"/>
        </w:rPr>
        <w:t>SCHEDULE 1: Agents (Continuing Professional Development) Guideline 20</w:t>
      </w:r>
      <w:r w:rsidR="00A44440">
        <w:rPr>
          <w:sz w:val="40"/>
        </w:rPr>
        <w:t>22</w:t>
      </w:r>
    </w:p>
    <w:p w14:paraId="70637526" w14:textId="77777777" w:rsidR="00575ECD" w:rsidRDefault="00575ECD">
      <w:pPr>
        <w:pStyle w:val="BodyText"/>
      </w:pPr>
      <w:r>
        <w:t>The Agents (Continuing Professional Development) Guideline 20</w:t>
      </w:r>
      <w:r w:rsidR="00A44440">
        <w:t>22</w:t>
      </w:r>
      <w:r>
        <w:t xml:space="preserve"> (No 1) sets out a comprehensive continuing education program for agents. </w:t>
      </w:r>
    </w:p>
    <w:p w14:paraId="32922585" w14:textId="77777777" w:rsidR="00575ECD" w:rsidRDefault="00575ECD">
      <w:pPr>
        <w:pBdr>
          <w:top w:val="single" w:sz="4" w:space="1" w:color="auto"/>
        </w:pBdr>
        <w:tabs>
          <w:tab w:val="left" w:pos="4320"/>
        </w:tabs>
      </w:pPr>
    </w:p>
    <w:p w14:paraId="2BB63CC1" w14:textId="77777777" w:rsidR="00575ECD" w:rsidRDefault="00575ECD">
      <w:pPr>
        <w:pBdr>
          <w:top w:val="single" w:sz="4" w:space="1" w:color="auto"/>
        </w:pBdr>
        <w:tabs>
          <w:tab w:val="left" w:pos="4320"/>
        </w:tabs>
      </w:pPr>
      <w:r>
        <w:rPr>
          <w:b/>
          <w:bCs/>
        </w:rPr>
        <w:t>1. Licence conditions</w:t>
      </w:r>
      <w:r w:rsidR="00DA71B3">
        <w:rPr>
          <w:b/>
          <w:bCs/>
        </w:rPr>
        <w:t xml:space="preserve"> </w:t>
      </w:r>
    </w:p>
    <w:p w14:paraId="09457F00" w14:textId="77777777" w:rsidR="00575ECD" w:rsidRDefault="00575ECD">
      <w:pPr>
        <w:pBdr>
          <w:top w:val="single" w:sz="4" w:space="1" w:color="auto"/>
        </w:pBdr>
        <w:tabs>
          <w:tab w:val="left" w:pos="4320"/>
        </w:tabs>
      </w:pPr>
    </w:p>
    <w:p w14:paraId="4A25D008" w14:textId="77777777" w:rsidR="00575ECD" w:rsidRDefault="00575ECD">
      <w:pPr>
        <w:tabs>
          <w:tab w:val="left" w:pos="4320"/>
        </w:tabs>
        <w:ind w:left="720"/>
      </w:pPr>
      <w:r>
        <w:t>It is a condition of a real estate agent’s licence</w:t>
      </w:r>
      <w:r w:rsidR="00F40ABE">
        <w:t xml:space="preserve"> (class 1 or class 2)</w:t>
      </w:r>
      <w:r>
        <w:t xml:space="preserve"> for an individual that:</w:t>
      </w:r>
    </w:p>
    <w:p w14:paraId="27AAA31E" w14:textId="77777777" w:rsidR="00575ECD" w:rsidRDefault="00575ECD">
      <w:pPr>
        <w:numPr>
          <w:ilvl w:val="0"/>
          <w:numId w:val="9"/>
        </w:numPr>
        <w:tabs>
          <w:tab w:val="clear" w:pos="1440"/>
          <w:tab w:val="left" w:pos="1134"/>
          <w:tab w:val="num" w:pos="1560"/>
          <w:tab w:val="left" w:pos="4320"/>
        </w:tabs>
        <w:ind w:left="1560" w:hanging="426"/>
      </w:pPr>
      <w:r>
        <w:t xml:space="preserve">the agent completes 12 points of continuing professional development in the 12 month period prior to the renewal of the licence for each year; and </w:t>
      </w:r>
    </w:p>
    <w:p w14:paraId="58407211" w14:textId="77777777" w:rsidR="00575ECD" w:rsidRDefault="00575ECD">
      <w:pPr>
        <w:numPr>
          <w:ilvl w:val="0"/>
          <w:numId w:val="9"/>
        </w:numPr>
        <w:tabs>
          <w:tab w:val="clear" w:pos="1440"/>
          <w:tab w:val="left" w:pos="1134"/>
          <w:tab w:val="num" w:pos="1560"/>
          <w:tab w:val="left" w:pos="4320"/>
        </w:tabs>
        <w:ind w:left="1560" w:hanging="426"/>
      </w:pPr>
      <w:r>
        <w:t>maintains a log and other records of continuing professional development in accordance with this Guideline; and</w:t>
      </w:r>
    </w:p>
    <w:p w14:paraId="3B64CA8C" w14:textId="77777777" w:rsidR="00575ECD" w:rsidRDefault="00575ECD">
      <w:pPr>
        <w:numPr>
          <w:ilvl w:val="0"/>
          <w:numId w:val="9"/>
        </w:numPr>
        <w:tabs>
          <w:tab w:val="clear" w:pos="1440"/>
          <w:tab w:val="left" w:pos="1134"/>
          <w:tab w:val="num" w:pos="1560"/>
          <w:tab w:val="left" w:pos="4320"/>
        </w:tabs>
        <w:ind w:left="1560" w:hanging="426"/>
      </w:pPr>
      <w:r>
        <w:t xml:space="preserve">produces this information to the Commissioner for Fair Trading or investigators appointed under the </w:t>
      </w:r>
      <w:r w:rsidR="00DC1B40" w:rsidRPr="009E2A2E">
        <w:rPr>
          <w:i/>
          <w:iCs/>
        </w:rPr>
        <w:t xml:space="preserve">Fair Trading (Australian Consumer Law) Act 1992 </w:t>
      </w:r>
      <w:r>
        <w:t>within a reasonable time after a request that the information be produced;</w:t>
      </w:r>
    </w:p>
    <w:p w14:paraId="24BB2491" w14:textId="77777777" w:rsidR="00575ECD" w:rsidRDefault="00575ECD">
      <w:pPr>
        <w:numPr>
          <w:ilvl w:val="0"/>
          <w:numId w:val="9"/>
        </w:numPr>
        <w:tabs>
          <w:tab w:val="clear" w:pos="1440"/>
          <w:tab w:val="left" w:pos="1134"/>
          <w:tab w:val="num" w:pos="1560"/>
          <w:tab w:val="left" w:pos="4320"/>
        </w:tabs>
        <w:ind w:left="1560" w:hanging="426"/>
      </w:pPr>
      <w:r>
        <w:t>real estate agents who hold a conditional licence to sell land by way of auction are not required to undertake continuing professional development under subparagraph (1) as a condition of their licence (refer paragraph 6).</w:t>
      </w:r>
    </w:p>
    <w:p w14:paraId="3A76A1FF" w14:textId="77777777" w:rsidR="00575ECD" w:rsidRDefault="00575ECD">
      <w:pPr>
        <w:tabs>
          <w:tab w:val="left" w:pos="1134"/>
          <w:tab w:val="left" w:pos="4320"/>
        </w:tabs>
        <w:ind w:left="720"/>
      </w:pPr>
    </w:p>
    <w:p w14:paraId="74318CE0" w14:textId="77777777" w:rsidR="00575ECD" w:rsidRDefault="00575ECD">
      <w:pPr>
        <w:pStyle w:val="BodyTextIndent2"/>
        <w:rPr>
          <w:b/>
          <w:bCs/>
          <w:i/>
          <w:iCs/>
        </w:rPr>
      </w:pPr>
      <w:r>
        <w:rPr>
          <w:b/>
          <w:bCs/>
          <w:i/>
          <w:iCs/>
        </w:rPr>
        <w:t>Note: It is a condition of a licence that the licensee satisfy the relevant requirements for continuing professional development as set out in this Guideline (Agents Regulation 2003, s 7A).</w:t>
      </w:r>
    </w:p>
    <w:p w14:paraId="2BF65407" w14:textId="77777777" w:rsidR="00575ECD" w:rsidRDefault="00575ECD">
      <w:pPr>
        <w:tabs>
          <w:tab w:val="left" w:pos="1134"/>
          <w:tab w:val="left" w:pos="4320"/>
        </w:tabs>
      </w:pPr>
    </w:p>
    <w:p w14:paraId="240264B1" w14:textId="77777777" w:rsidR="00575ECD" w:rsidRDefault="00575ECD">
      <w:pPr>
        <w:pStyle w:val="06Copyright"/>
        <w:tabs>
          <w:tab w:val="clear" w:pos="2880"/>
          <w:tab w:val="left" w:pos="1134"/>
          <w:tab w:val="left" w:pos="4320"/>
        </w:tabs>
        <w:rPr>
          <w:b/>
          <w:bCs/>
        </w:rPr>
      </w:pPr>
      <w:r>
        <w:rPr>
          <w:b/>
          <w:bCs/>
        </w:rPr>
        <w:t>2. Registration conditions</w:t>
      </w:r>
    </w:p>
    <w:p w14:paraId="0ADD8D1B" w14:textId="77777777" w:rsidR="00575ECD" w:rsidRDefault="00575ECD">
      <w:pPr>
        <w:tabs>
          <w:tab w:val="left" w:pos="1134"/>
          <w:tab w:val="left" w:pos="4320"/>
        </w:tabs>
      </w:pPr>
    </w:p>
    <w:p w14:paraId="707AFE20" w14:textId="77777777" w:rsidR="00575ECD" w:rsidRDefault="00575ECD">
      <w:pPr>
        <w:pStyle w:val="BodyTextIndent3"/>
      </w:pPr>
      <w:r>
        <w:t xml:space="preserve">It is a condition of </w:t>
      </w:r>
      <w:proofErr w:type="spellStart"/>
      <w:r>
        <w:t>a</w:t>
      </w:r>
      <w:proofErr w:type="spellEnd"/>
      <w:r>
        <w:t xml:space="preserve"> </w:t>
      </w:r>
      <w:r w:rsidR="00DE4019">
        <w:t>assistant real estate</w:t>
      </w:r>
      <w:r w:rsidR="00A44440">
        <w:t xml:space="preserve"> agent</w:t>
      </w:r>
      <w:r>
        <w:t>’s registration for an individual that:</w:t>
      </w:r>
    </w:p>
    <w:p w14:paraId="3974101B" w14:textId="77777777" w:rsidR="00575ECD" w:rsidRDefault="00575ECD">
      <w:pPr>
        <w:numPr>
          <w:ilvl w:val="0"/>
          <w:numId w:val="10"/>
        </w:numPr>
        <w:tabs>
          <w:tab w:val="clear" w:pos="1494"/>
          <w:tab w:val="left" w:pos="1134"/>
          <w:tab w:val="num" w:pos="1560"/>
          <w:tab w:val="left" w:pos="4320"/>
        </w:tabs>
        <w:ind w:left="1560" w:hanging="426"/>
      </w:pPr>
      <w:r>
        <w:t xml:space="preserve">the </w:t>
      </w:r>
      <w:r w:rsidR="00A44440">
        <w:t>assistant agent</w:t>
      </w:r>
      <w:r>
        <w:t xml:space="preserve"> completes 12 points of continuing professional development in the 12 month period prior to the renewal of the registration for each year; and</w:t>
      </w:r>
    </w:p>
    <w:p w14:paraId="349AA6AA" w14:textId="77777777" w:rsidR="00575ECD" w:rsidRDefault="00575ECD">
      <w:pPr>
        <w:numPr>
          <w:ilvl w:val="0"/>
          <w:numId w:val="10"/>
        </w:numPr>
        <w:tabs>
          <w:tab w:val="clear" w:pos="1494"/>
          <w:tab w:val="left" w:pos="1134"/>
          <w:tab w:val="num" w:pos="1560"/>
          <w:tab w:val="left" w:pos="4320"/>
        </w:tabs>
        <w:ind w:left="1560" w:hanging="426"/>
      </w:pPr>
      <w:r>
        <w:t>maintains a log and other records of continuing professional development in accordance with this Guideline; and</w:t>
      </w:r>
    </w:p>
    <w:p w14:paraId="2BF88CD8" w14:textId="77777777" w:rsidR="00575ECD" w:rsidRDefault="00575ECD">
      <w:pPr>
        <w:numPr>
          <w:ilvl w:val="0"/>
          <w:numId w:val="10"/>
        </w:numPr>
        <w:tabs>
          <w:tab w:val="clear" w:pos="1494"/>
          <w:tab w:val="left" w:pos="1134"/>
          <w:tab w:val="num" w:pos="1560"/>
          <w:tab w:val="left" w:pos="4320"/>
        </w:tabs>
        <w:ind w:left="1560" w:hanging="426"/>
      </w:pPr>
      <w:r>
        <w:t xml:space="preserve">produces this information to the Commissioner for Fair Trading or investigators appointed under the </w:t>
      </w:r>
      <w:r w:rsidR="00DC1B40" w:rsidRPr="0046441D">
        <w:rPr>
          <w:i/>
          <w:iCs/>
        </w:rPr>
        <w:t xml:space="preserve">Fair Trading (Australian Consumer Law) Act 1992 </w:t>
      </w:r>
      <w:r>
        <w:t>within a reasonable time after a request that the information be produced.</w:t>
      </w:r>
    </w:p>
    <w:p w14:paraId="79400013" w14:textId="77777777" w:rsidR="00575ECD" w:rsidRDefault="00575ECD">
      <w:pPr>
        <w:tabs>
          <w:tab w:val="left" w:pos="1134"/>
          <w:tab w:val="left" w:pos="4320"/>
        </w:tabs>
        <w:ind w:left="54"/>
      </w:pPr>
    </w:p>
    <w:p w14:paraId="274FCF4A" w14:textId="77777777" w:rsidR="00575ECD" w:rsidRDefault="00575ECD">
      <w:pPr>
        <w:pStyle w:val="BodyTextIndent2"/>
        <w:rPr>
          <w:b/>
          <w:bCs/>
          <w:i/>
          <w:iCs/>
        </w:rPr>
      </w:pPr>
      <w:r>
        <w:rPr>
          <w:b/>
          <w:bCs/>
          <w:i/>
          <w:iCs/>
        </w:rPr>
        <w:t xml:space="preserve">Note: It is a condition of registration that the registered person satisfy the relevant requirements for continuing professional development as set out in this Guideline (Agents Regulation 2003, s 10A). </w:t>
      </w:r>
    </w:p>
    <w:p w14:paraId="3BD0236C" w14:textId="77777777" w:rsidR="00575ECD" w:rsidRDefault="00575ECD">
      <w:pPr>
        <w:tabs>
          <w:tab w:val="left" w:pos="1134"/>
          <w:tab w:val="left" w:pos="4320"/>
        </w:tabs>
      </w:pPr>
    </w:p>
    <w:p w14:paraId="3AEBC266" w14:textId="77777777" w:rsidR="00575ECD" w:rsidRDefault="00575ECD">
      <w:pPr>
        <w:pStyle w:val="06Copyright"/>
        <w:tabs>
          <w:tab w:val="clear" w:pos="2880"/>
          <w:tab w:val="left" w:pos="1134"/>
          <w:tab w:val="left" w:pos="4320"/>
        </w:tabs>
        <w:rPr>
          <w:b/>
          <w:bCs/>
        </w:rPr>
      </w:pPr>
      <w:r>
        <w:rPr>
          <w:b/>
          <w:bCs/>
        </w:rPr>
        <w:t>3. Continuing Professional Development Points</w:t>
      </w:r>
    </w:p>
    <w:p w14:paraId="018D8692" w14:textId="77777777" w:rsidR="00575ECD" w:rsidRDefault="00575ECD">
      <w:pPr>
        <w:tabs>
          <w:tab w:val="left" w:pos="1134"/>
          <w:tab w:val="left" w:pos="4320"/>
        </w:tabs>
      </w:pPr>
    </w:p>
    <w:p w14:paraId="2D703567" w14:textId="77777777" w:rsidR="00575ECD" w:rsidRDefault="00575ECD">
      <w:pPr>
        <w:numPr>
          <w:ilvl w:val="0"/>
          <w:numId w:val="11"/>
        </w:numPr>
        <w:tabs>
          <w:tab w:val="left" w:pos="1134"/>
          <w:tab w:val="left" w:pos="4320"/>
        </w:tabs>
      </w:pPr>
      <w:r>
        <w:t>There are three categories of learning in relation to which points may be obtained for continuing professional development.</w:t>
      </w:r>
    </w:p>
    <w:p w14:paraId="44BD8A42" w14:textId="77777777" w:rsidR="00575ECD" w:rsidRDefault="00575ECD">
      <w:pPr>
        <w:numPr>
          <w:ilvl w:val="0"/>
          <w:numId w:val="11"/>
        </w:numPr>
        <w:tabs>
          <w:tab w:val="left" w:pos="1134"/>
          <w:tab w:val="left" w:pos="4320"/>
        </w:tabs>
      </w:pPr>
      <w:r>
        <w:t>Category 1 continuing professional development involves undertaking self-paced activity with a stated learning outcome. In relation to category 1:</w:t>
      </w:r>
    </w:p>
    <w:p w14:paraId="366DE327" w14:textId="77777777" w:rsidR="00575ECD" w:rsidRDefault="00575ECD">
      <w:pPr>
        <w:pStyle w:val="06Copyright"/>
        <w:tabs>
          <w:tab w:val="clear" w:pos="2880"/>
          <w:tab w:val="left" w:pos="1134"/>
          <w:tab w:val="left" w:pos="4320"/>
        </w:tabs>
      </w:pPr>
    </w:p>
    <w:p w14:paraId="30B010CE" w14:textId="77777777" w:rsidR="00575ECD" w:rsidRDefault="00575ECD">
      <w:pPr>
        <w:numPr>
          <w:ilvl w:val="2"/>
          <w:numId w:val="11"/>
        </w:numPr>
        <w:tabs>
          <w:tab w:val="left" w:pos="1134"/>
          <w:tab w:val="left" w:pos="4320"/>
        </w:tabs>
      </w:pPr>
      <w:r>
        <w:t>points for continuing professional development shall be calculated at the rate of half a point per hour of activity;</w:t>
      </w:r>
    </w:p>
    <w:p w14:paraId="6D818D2B" w14:textId="77777777" w:rsidR="00575ECD" w:rsidRDefault="00575ECD">
      <w:pPr>
        <w:numPr>
          <w:ilvl w:val="2"/>
          <w:numId w:val="11"/>
        </w:numPr>
        <w:tabs>
          <w:tab w:val="left" w:pos="1134"/>
          <w:tab w:val="left" w:pos="4320"/>
        </w:tabs>
      </w:pPr>
      <w:r>
        <w:t>a maximum of two points can be obtained from category 1 each 12 month period; and</w:t>
      </w:r>
    </w:p>
    <w:p w14:paraId="1E119EC3" w14:textId="77777777" w:rsidR="00575ECD" w:rsidRDefault="00575ECD">
      <w:pPr>
        <w:numPr>
          <w:ilvl w:val="2"/>
          <w:numId w:val="11"/>
        </w:numPr>
        <w:tabs>
          <w:tab w:val="left" w:pos="1134"/>
          <w:tab w:val="left" w:pos="4320"/>
        </w:tabs>
      </w:pPr>
      <w:r>
        <w:t>only the hours of the actual presentations may be counted for seminars or conferences.</w:t>
      </w:r>
    </w:p>
    <w:p w14:paraId="2504674C" w14:textId="77777777" w:rsidR="00575ECD" w:rsidRDefault="00575ECD">
      <w:pPr>
        <w:tabs>
          <w:tab w:val="left" w:pos="1134"/>
          <w:tab w:val="left" w:pos="4320"/>
        </w:tabs>
        <w:ind w:left="900"/>
      </w:pPr>
    </w:p>
    <w:p w14:paraId="34FB9AE3" w14:textId="77777777" w:rsidR="00575ECD" w:rsidRDefault="00575ECD">
      <w:pPr>
        <w:tabs>
          <w:tab w:val="left" w:pos="1134"/>
          <w:tab w:val="left" w:pos="4320"/>
        </w:tabs>
        <w:ind w:left="1980"/>
        <w:rPr>
          <w:b/>
          <w:bCs/>
          <w:i/>
          <w:iCs/>
        </w:rPr>
      </w:pPr>
      <w:r>
        <w:rPr>
          <w:b/>
          <w:bCs/>
          <w:i/>
          <w:iCs/>
        </w:rPr>
        <w:t xml:space="preserve">Note: Category 1 includes self-paced learning which does not require formal assessment and does not have to be delivered interactively. Typical examples of these types of activities include attending seminars, conferences and forums, watching videos, and on the job learning. The content of the learning must be related to the work activities of the licensee or registered </w:t>
      </w:r>
      <w:r w:rsidR="00A44440">
        <w:rPr>
          <w:b/>
          <w:bCs/>
          <w:i/>
          <w:iCs/>
        </w:rPr>
        <w:t>assistant agent</w:t>
      </w:r>
      <w:r>
        <w:rPr>
          <w:b/>
          <w:bCs/>
          <w:i/>
          <w:iCs/>
        </w:rPr>
        <w:t xml:space="preserve"> and provide an educational outcome. On the job learning for the purposes of fulfilling the continuing professional development requirements will only be accepted in the case where a person undertakes a new project and extends their competency base. Functions the individual routinely performs as part of his/her employment are not claimable. </w:t>
      </w:r>
    </w:p>
    <w:p w14:paraId="3371CCDC" w14:textId="77777777" w:rsidR="00575ECD" w:rsidRDefault="00575ECD">
      <w:pPr>
        <w:tabs>
          <w:tab w:val="left" w:pos="1134"/>
          <w:tab w:val="left" w:pos="4320"/>
        </w:tabs>
        <w:ind w:left="1980"/>
      </w:pPr>
    </w:p>
    <w:p w14:paraId="2FCCD7F5" w14:textId="77777777" w:rsidR="00575ECD" w:rsidRDefault="00575ECD">
      <w:pPr>
        <w:numPr>
          <w:ilvl w:val="0"/>
          <w:numId w:val="11"/>
        </w:numPr>
        <w:tabs>
          <w:tab w:val="left" w:pos="1134"/>
          <w:tab w:val="left" w:pos="4320"/>
        </w:tabs>
      </w:pPr>
      <w:r>
        <w:t>Category 2 continuing professional development involves undertaking an activity with a stated learning outcome without assessment. In relation to category 2:</w:t>
      </w:r>
    </w:p>
    <w:p w14:paraId="6085A925" w14:textId="77777777" w:rsidR="00575ECD" w:rsidRDefault="00575ECD">
      <w:pPr>
        <w:pStyle w:val="06Copyright"/>
        <w:tabs>
          <w:tab w:val="clear" w:pos="2880"/>
          <w:tab w:val="left" w:pos="1134"/>
          <w:tab w:val="left" w:pos="4320"/>
        </w:tabs>
      </w:pPr>
    </w:p>
    <w:p w14:paraId="02B6D3CD" w14:textId="77777777" w:rsidR="00575ECD" w:rsidRDefault="00575ECD">
      <w:pPr>
        <w:numPr>
          <w:ilvl w:val="2"/>
          <w:numId w:val="11"/>
        </w:numPr>
        <w:tabs>
          <w:tab w:val="left" w:pos="1134"/>
          <w:tab w:val="left" w:pos="4320"/>
        </w:tabs>
      </w:pPr>
      <w:r>
        <w:t>points for continuing professional development shall be calculated at the rate of one point per hour of the activity;</w:t>
      </w:r>
    </w:p>
    <w:p w14:paraId="3AE80D68" w14:textId="77777777" w:rsidR="00575ECD" w:rsidRDefault="00575ECD">
      <w:pPr>
        <w:numPr>
          <w:ilvl w:val="2"/>
          <w:numId w:val="11"/>
        </w:numPr>
        <w:tabs>
          <w:tab w:val="left" w:pos="1134"/>
          <w:tab w:val="left" w:pos="4320"/>
        </w:tabs>
      </w:pPr>
      <w:r>
        <w:t xml:space="preserve">the continuing professional development may only be considered category 2 where the person delivering the training is competent to deliver the training. </w:t>
      </w:r>
    </w:p>
    <w:p w14:paraId="73570F85" w14:textId="77777777" w:rsidR="00575ECD" w:rsidRDefault="00575ECD">
      <w:pPr>
        <w:tabs>
          <w:tab w:val="left" w:pos="1134"/>
          <w:tab w:val="left" w:pos="4320"/>
        </w:tabs>
      </w:pPr>
    </w:p>
    <w:p w14:paraId="6DFB4FC2" w14:textId="77777777" w:rsidR="00575ECD" w:rsidRDefault="00575ECD">
      <w:pPr>
        <w:tabs>
          <w:tab w:val="left" w:pos="1134"/>
          <w:tab w:val="left" w:pos="4320"/>
        </w:tabs>
        <w:ind w:left="1980"/>
        <w:rPr>
          <w:b/>
          <w:bCs/>
          <w:i/>
          <w:iCs/>
        </w:rPr>
      </w:pPr>
      <w:r>
        <w:rPr>
          <w:b/>
          <w:bCs/>
          <w:i/>
          <w:iCs/>
        </w:rPr>
        <w:t xml:space="preserve">Note: Category 2 includes activities which do not require formal assessment but must be delivered interactively. Typical examples of these activities include workshops, seminars, conferences, and forums where the learner is required to participate and the use of web-based tools and CD </w:t>
      </w:r>
      <w:proofErr w:type="spellStart"/>
      <w:r>
        <w:rPr>
          <w:b/>
          <w:bCs/>
          <w:i/>
          <w:iCs/>
        </w:rPr>
        <w:t>Roms</w:t>
      </w:r>
      <w:proofErr w:type="spellEnd"/>
      <w:r>
        <w:rPr>
          <w:b/>
          <w:bCs/>
          <w:i/>
          <w:iCs/>
        </w:rPr>
        <w:t xml:space="preserve"> where the learner is required to input responses. This category also includes workshops or seminars organised and delivered by professionally qualified people including, but not limited to, lawyers, accountants, auditors, valuers or other renowned experts in a relevant field.</w:t>
      </w:r>
    </w:p>
    <w:p w14:paraId="5D2FBBC9" w14:textId="77777777" w:rsidR="00575ECD" w:rsidRDefault="00575ECD">
      <w:pPr>
        <w:tabs>
          <w:tab w:val="left" w:pos="1134"/>
          <w:tab w:val="left" w:pos="4320"/>
        </w:tabs>
        <w:ind w:left="1980"/>
        <w:rPr>
          <w:b/>
          <w:bCs/>
          <w:i/>
          <w:iCs/>
        </w:rPr>
      </w:pPr>
    </w:p>
    <w:p w14:paraId="0B440708" w14:textId="77777777" w:rsidR="00575ECD" w:rsidRDefault="00575ECD">
      <w:pPr>
        <w:tabs>
          <w:tab w:val="left" w:pos="1134"/>
          <w:tab w:val="left" w:pos="4320"/>
        </w:tabs>
        <w:ind w:left="1980"/>
      </w:pPr>
      <w:r>
        <w:rPr>
          <w:b/>
          <w:bCs/>
          <w:i/>
          <w:iCs/>
        </w:rPr>
        <w:lastRenderedPageBreak/>
        <w:t>A person competent to deliver the training would include an accredited trainer (for the purposes of category 3, below) or a person with significant industry knowledge such as an industry expert or a leading real estate trainer.</w:t>
      </w:r>
      <w:r>
        <w:t xml:space="preserve"> </w:t>
      </w:r>
    </w:p>
    <w:p w14:paraId="4BCE7ECB" w14:textId="77777777" w:rsidR="00575ECD" w:rsidRDefault="00575ECD">
      <w:pPr>
        <w:tabs>
          <w:tab w:val="left" w:pos="1134"/>
          <w:tab w:val="left" w:pos="4320"/>
        </w:tabs>
        <w:ind w:left="1980"/>
      </w:pPr>
      <w:r>
        <w:t xml:space="preserve"> </w:t>
      </w:r>
    </w:p>
    <w:p w14:paraId="4BE31720" w14:textId="77777777" w:rsidR="00575ECD" w:rsidRDefault="00575ECD">
      <w:pPr>
        <w:numPr>
          <w:ilvl w:val="0"/>
          <w:numId w:val="11"/>
        </w:numPr>
        <w:tabs>
          <w:tab w:val="left" w:pos="1134"/>
          <w:tab w:val="left" w:pos="4320"/>
        </w:tabs>
      </w:pPr>
      <w:r>
        <w:t>Category 3 continuing professional development involves undertaking an activity with a stated learning outcome with assessment. This should be one or more units of competency which contribute to a recognised qualification or learning pathway relevant to the property industry. In relation to category 3:</w:t>
      </w:r>
    </w:p>
    <w:p w14:paraId="61FAF73F" w14:textId="77777777" w:rsidR="00575ECD" w:rsidRDefault="00575ECD">
      <w:pPr>
        <w:pStyle w:val="06Copyright"/>
        <w:tabs>
          <w:tab w:val="clear" w:pos="2880"/>
          <w:tab w:val="left" w:pos="1134"/>
          <w:tab w:val="left" w:pos="4320"/>
        </w:tabs>
      </w:pPr>
    </w:p>
    <w:p w14:paraId="73EC16CE" w14:textId="77777777" w:rsidR="00575ECD" w:rsidRDefault="00575ECD">
      <w:pPr>
        <w:numPr>
          <w:ilvl w:val="2"/>
          <w:numId w:val="11"/>
        </w:numPr>
        <w:tabs>
          <w:tab w:val="left" w:pos="1134"/>
          <w:tab w:val="left" w:pos="4320"/>
        </w:tabs>
      </w:pPr>
      <w:r>
        <w:t>points for continuing professional development shall be calculated at the rate of eight points per unit of competency;</w:t>
      </w:r>
    </w:p>
    <w:p w14:paraId="4333E4C2" w14:textId="77777777" w:rsidR="00575ECD" w:rsidRDefault="00575ECD">
      <w:pPr>
        <w:numPr>
          <w:ilvl w:val="2"/>
          <w:numId w:val="11"/>
        </w:numPr>
        <w:tabs>
          <w:tab w:val="left" w:pos="1134"/>
          <w:tab w:val="left" w:pos="4320"/>
        </w:tabs>
      </w:pPr>
      <w:r>
        <w:t xml:space="preserve">the continuing professional development may only be considered category 3 where the person delivering the training is competent to deliver the training. </w:t>
      </w:r>
    </w:p>
    <w:p w14:paraId="38DBAD22" w14:textId="77777777" w:rsidR="00575ECD" w:rsidRDefault="00575ECD">
      <w:pPr>
        <w:tabs>
          <w:tab w:val="left" w:pos="1134"/>
          <w:tab w:val="left" w:pos="4320"/>
        </w:tabs>
        <w:ind w:left="900"/>
      </w:pPr>
    </w:p>
    <w:p w14:paraId="5E8DD634" w14:textId="77777777" w:rsidR="00575ECD" w:rsidRDefault="00575ECD">
      <w:pPr>
        <w:tabs>
          <w:tab w:val="left" w:pos="1134"/>
          <w:tab w:val="left" w:pos="4320"/>
        </w:tabs>
        <w:ind w:left="1980"/>
        <w:rPr>
          <w:b/>
          <w:bCs/>
          <w:i/>
          <w:iCs/>
        </w:rPr>
      </w:pPr>
      <w:r>
        <w:rPr>
          <w:b/>
          <w:bCs/>
          <w:i/>
          <w:iCs/>
        </w:rPr>
        <w:t xml:space="preserve">Note: Category 3 includes units of competency which require formal assessment. The learner must be assessed as competent to be entitled to claim the relevant points from this category. Learners assessed as not yet competent will be entitled to claim the points relevant to learning category 2. The learning activities must be conducted by a Registered Training Organisation accredited to conduct training for the real estate sector. </w:t>
      </w:r>
    </w:p>
    <w:p w14:paraId="025F7577" w14:textId="77777777" w:rsidR="00575ECD" w:rsidRDefault="00575ECD">
      <w:pPr>
        <w:tabs>
          <w:tab w:val="left" w:pos="1134"/>
          <w:tab w:val="left" w:pos="4320"/>
        </w:tabs>
        <w:ind w:left="1980"/>
        <w:rPr>
          <w:b/>
          <w:bCs/>
          <w:i/>
          <w:iCs/>
        </w:rPr>
      </w:pPr>
    </w:p>
    <w:p w14:paraId="232A1147" w14:textId="77777777" w:rsidR="00575ECD" w:rsidRDefault="00575ECD">
      <w:pPr>
        <w:tabs>
          <w:tab w:val="left" w:pos="1134"/>
          <w:tab w:val="left" w:pos="4320"/>
        </w:tabs>
        <w:ind w:left="1980"/>
        <w:rPr>
          <w:b/>
          <w:bCs/>
          <w:i/>
          <w:iCs/>
        </w:rPr>
      </w:pPr>
      <w:r>
        <w:rPr>
          <w:b/>
          <w:bCs/>
          <w:i/>
          <w:iCs/>
        </w:rPr>
        <w:t xml:space="preserve">Where applicable, training providers must have any required Commonwealth and ACT accreditation requirements under the Australian Quality Training Framework.  </w:t>
      </w:r>
    </w:p>
    <w:p w14:paraId="1FE5895E" w14:textId="77777777" w:rsidR="00575ECD" w:rsidRDefault="00575ECD">
      <w:pPr>
        <w:pStyle w:val="06Copyright"/>
        <w:tabs>
          <w:tab w:val="clear" w:pos="2880"/>
          <w:tab w:val="left" w:pos="1134"/>
          <w:tab w:val="left" w:pos="4320"/>
        </w:tabs>
      </w:pPr>
    </w:p>
    <w:p w14:paraId="43D3AAF2" w14:textId="77777777" w:rsidR="00575ECD" w:rsidRDefault="00575ECD">
      <w:pPr>
        <w:numPr>
          <w:ilvl w:val="0"/>
          <w:numId w:val="11"/>
        </w:numPr>
        <w:tabs>
          <w:tab w:val="left" w:pos="1134"/>
          <w:tab w:val="left" w:pos="4320"/>
        </w:tabs>
      </w:pPr>
      <w:r>
        <w:t xml:space="preserve">Where a licensee or </w:t>
      </w:r>
      <w:r w:rsidR="00A44440">
        <w:t>assistant agent</w:t>
      </w:r>
      <w:r>
        <w:t xml:space="preserve"> is required to obtain 12 points of continuing professional development in a twelve month period, the person must obtain learning in any combination of at least two of the categories set out above, of which one must be category 3. </w:t>
      </w:r>
    </w:p>
    <w:p w14:paraId="2A51F0EA" w14:textId="77777777" w:rsidR="00575ECD" w:rsidRDefault="00575ECD">
      <w:pPr>
        <w:tabs>
          <w:tab w:val="left" w:pos="1134"/>
          <w:tab w:val="left" w:pos="4320"/>
        </w:tabs>
      </w:pPr>
    </w:p>
    <w:p w14:paraId="2494032C" w14:textId="77777777" w:rsidR="00575ECD" w:rsidRDefault="00575ECD">
      <w:pPr>
        <w:tabs>
          <w:tab w:val="left" w:pos="1134"/>
          <w:tab w:val="left" w:pos="4320"/>
        </w:tabs>
        <w:rPr>
          <w:b/>
          <w:bCs/>
        </w:rPr>
      </w:pPr>
      <w:r>
        <w:rPr>
          <w:b/>
          <w:bCs/>
        </w:rPr>
        <w:t>4. Surplus points</w:t>
      </w:r>
    </w:p>
    <w:p w14:paraId="5D4A715F" w14:textId="77777777" w:rsidR="00575ECD" w:rsidRDefault="00575ECD">
      <w:pPr>
        <w:tabs>
          <w:tab w:val="left" w:pos="1134"/>
          <w:tab w:val="left" w:pos="4320"/>
        </w:tabs>
      </w:pPr>
    </w:p>
    <w:p w14:paraId="0BEC20CF" w14:textId="77777777" w:rsidR="00575ECD" w:rsidRDefault="00575ECD">
      <w:pPr>
        <w:tabs>
          <w:tab w:val="left" w:pos="1134"/>
          <w:tab w:val="left" w:pos="4320"/>
        </w:tabs>
        <w:ind w:left="1134"/>
      </w:pPr>
      <w:r>
        <w:t xml:space="preserve">Surplus points may be carried forward for 12 months. As some continuing professional development must be completed each year, a maximum of 11 points may be carried forward. </w:t>
      </w:r>
    </w:p>
    <w:p w14:paraId="7CB349C3" w14:textId="77777777" w:rsidR="00575ECD" w:rsidRDefault="00575ECD">
      <w:pPr>
        <w:tabs>
          <w:tab w:val="left" w:pos="1134"/>
          <w:tab w:val="left" w:pos="4320"/>
        </w:tabs>
      </w:pPr>
    </w:p>
    <w:p w14:paraId="0521B042" w14:textId="77777777" w:rsidR="00575ECD" w:rsidRDefault="00575ECD">
      <w:pPr>
        <w:tabs>
          <w:tab w:val="left" w:pos="1134"/>
          <w:tab w:val="left" w:pos="4320"/>
        </w:tabs>
        <w:rPr>
          <w:b/>
          <w:bCs/>
        </w:rPr>
      </w:pPr>
      <w:r>
        <w:rPr>
          <w:b/>
          <w:bCs/>
        </w:rPr>
        <w:t>5. Records</w:t>
      </w:r>
    </w:p>
    <w:p w14:paraId="78739589" w14:textId="77777777" w:rsidR="00575ECD" w:rsidRDefault="00575ECD">
      <w:pPr>
        <w:tabs>
          <w:tab w:val="left" w:pos="1134"/>
          <w:tab w:val="left" w:pos="4320"/>
        </w:tabs>
      </w:pPr>
    </w:p>
    <w:p w14:paraId="053CA681" w14:textId="77777777" w:rsidR="00575ECD" w:rsidRDefault="00575ECD">
      <w:pPr>
        <w:numPr>
          <w:ilvl w:val="0"/>
          <w:numId w:val="14"/>
        </w:numPr>
        <w:tabs>
          <w:tab w:val="clear" w:pos="1080"/>
          <w:tab w:val="left" w:pos="1418"/>
          <w:tab w:val="left" w:pos="4320"/>
        </w:tabs>
        <w:ind w:left="1418"/>
      </w:pPr>
      <w:r>
        <w:t>A person shall maintain a log of continuing professional development which includes the following information:</w:t>
      </w:r>
    </w:p>
    <w:p w14:paraId="02CC4E8D" w14:textId="77777777" w:rsidR="00575ECD" w:rsidRDefault="00575ECD">
      <w:pPr>
        <w:numPr>
          <w:ilvl w:val="0"/>
          <w:numId w:val="15"/>
        </w:numPr>
        <w:tabs>
          <w:tab w:val="clear" w:pos="2520"/>
          <w:tab w:val="left" w:pos="1418"/>
          <w:tab w:val="num" w:pos="2410"/>
        </w:tabs>
        <w:ind w:left="2410" w:hanging="425"/>
      </w:pPr>
      <w:r>
        <w:t>date;</w:t>
      </w:r>
    </w:p>
    <w:p w14:paraId="72EE26B9" w14:textId="77777777" w:rsidR="00575ECD" w:rsidRDefault="00575ECD">
      <w:pPr>
        <w:numPr>
          <w:ilvl w:val="0"/>
          <w:numId w:val="15"/>
        </w:numPr>
        <w:tabs>
          <w:tab w:val="clear" w:pos="2520"/>
          <w:tab w:val="left" w:pos="1418"/>
          <w:tab w:val="num" w:pos="2410"/>
        </w:tabs>
        <w:ind w:left="2410" w:hanging="425"/>
      </w:pPr>
      <w:r>
        <w:t>type of activity;</w:t>
      </w:r>
    </w:p>
    <w:p w14:paraId="35508D8F" w14:textId="77777777" w:rsidR="00575ECD" w:rsidRDefault="00575ECD">
      <w:pPr>
        <w:numPr>
          <w:ilvl w:val="0"/>
          <w:numId w:val="15"/>
        </w:numPr>
        <w:tabs>
          <w:tab w:val="clear" w:pos="2520"/>
          <w:tab w:val="left" w:pos="1418"/>
          <w:tab w:val="num" w:pos="2410"/>
        </w:tabs>
        <w:ind w:left="2410" w:hanging="425"/>
      </w:pPr>
      <w:r>
        <w:t>activity title which also identifies the broad learning area being covered;</w:t>
      </w:r>
    </w:p>
    <w:p w14:paraId="6E536536" w14:textId="77777777" w:rsidR="00575ECD" w:rsidRDefault="00575ECD">
      <w:pPr>
        <w:numPr>
          <w:ilvl w:val="0"/>
          <w:numId w:val="15"/>
        </w:numPr>
        <w:tabs>
          <w:tab w:val="clear" w:pos="2520"/>
          <w:tab w:val="left" w:pos="1418"/>
          <w:tab w:val="num" w:pos="2410"/>
        </w:tabs>
        <w:ind w:left="2410" w:hanging="425"/>
      </w:pPr>
      <w:r>
        <w:t xml:space="preserve">type of assessment (if applicable); </w:t>
      </w:r>
    </w:p>
    <w:p w14:paraId="105EC6A6" w14:textId="77777777" w:rsidR="00575ECD" w:rsidRDefault="00575ECD">
      <w:pPr>
        <w:numPr>
          <w:ilvl w:val="0"/>
          <w:numId w:val="15"/>
        </w:numPr>
        <w:tabs>
          <w:tab w:val="clear" w:pos="2520"/>
          <w:tab w:val="left" w:pos="1418"/>
          <w:tab w:val="num" w:pos="2410"/>
        </w:tabs>
        <w:ind w:left="2410" w:hanging="425"/>
      </w:pPr>
      <w:r>
        <w:lastRenderedPageBreak/>
        <w:t>training provided;</w:t>
      </w:r>
    </w:p>
    <w:p w14:paraId="1EF795DD" w14:textId="77777777" w:rsidR="00575ECD" w:rsidRDefault="00575ECD">
      <w:pPr>
        <w:numPr>
          <w:ilvl w:val="0"/>
          <w:numId w:val="15"/>
        </w:numPr>
        <w:tabs>
          <w:tab w:val="clear" w:pos="2520"/>
          <w:tab w:val="left" w:pos="1418"/>
          <w:tab w:val="num" w:pos="2410"/>
        </w:tabs>
        <w:ind w:left="2410" w:hanging="425"/>
      </w:pPr>
      <w:r>
        <w:t>name of the trainer and training organisation;</w:t>
      </w:r>
    </w:p>
    <w:p w14:paraId="1B3D04AC" w14:textId="77777777" w:rsidR="00575ECD" w:rsidRDefault="00575ECD">
      <w:pPr>
        <w:numPr>
          <w:ilvl w:val="0"/>
          <w:numId w:val="15"/>
        </w:numPr>
        <w:tabs>
          <w:tab w:val="clear" w:pos="2520"/>
          <w:tab w:val="left" w:pos="1418"/>
          <w:tab w:val="num" w:pos="2410"/>
        </w:tabs>
        <w:ind w:left="2410" w:hanging="425"/>
      </w:pPr>
      <w:r>
        <w:t>venue;</w:t>
      </w:r>
    </w:p>
    <w:p w14:paraId="0EE8F59B" w14:textId="77777777" w:rsidR="00575ECD" w:rsidRDefault="00575ECD">
      <w:pPr>
        <w:numPr>
          <w:ilvl w:val="0"/>
          <w:numId w:val="15"/>
        </w:numPr>
        <w:tabs>
          <w:tab w:val="clear" w:pos="2520"/>
          <w:tab w:val="left" w:pos="1418"/>
          <w:tab w:val="num" w:pos="2410"/>
        </w:tabs>
        <w:ind w:left="2410" w:hanging="425"/>
      </w:pPr>
      <w:r>
        <w:t>continuing professional development points earned;</w:t>
      </w:r>
    </w:p>
    <w:p w14:paraId="1A22FADA" w14:textId="77777777" w:rsidR="00575ECD" w:rsidRDefault="00575ECD">
      <w:pPr>
        <w:numPr>
          <w:ilvl w:val="0"/>
          <w:numId w:val="15"/>
        </w:numPr>
        <w:tabs>
          <w:tab w:val="clear" w:pos="2520"/>
          <w:tab w:val="left" w:pos="1418"/>
          <w:tab w:val="num" w:pos="2410"/>
        </w:tabs>
        <w:ind w:left="2410" w:hanging="425"/>
      </w:pPr>
      <w:r>
        <w:t>duration of activity.</w:t>
      </w:r>
    </w:p>
    <w:p w14:paraId="4AFE31DF" w14:textId="77777777" w:rsidR="00575ECD" w:rsidRDefault="00575ECD">
      <w:pPr>
        <w:tabs>
          <w:tab w:val="left" w:pos="1418"/>
        </w:tabs>
        <w:ind w:left="776"/>
      </w:pPr>
    </w:p>
    <w:p w14:paraId="14CC0617" w14:textId="77777777" w:rsidR="00575ECD" w:rsidRDefault="00575ECD">
      <w:pPr>
        <w:numPr>
          <w:ilvl w:val="0"/>
          <w:numId w:val="14"/>
        </w:numPr>
        <w:tabs>
          <w:tab w:val="clear" w:pos="1080"/>
          <w:tab w:val="left" w:pos="1418"/>
          <w:tab w:val="left" w:pos="4320"/>
        </w:tabs>
        <w:ind w:left="1418"/>
      </w:pPr>
      <w:r>
        <w:t>A person shall maintain evidence of the activity (</w:t>
      </w:r>
      <w:proofErr w:type="spellStart"/>
      <w:r>
        <w:t>eg</w:t>
      </w:r>
      <w:proofErr w:type="spellEnd"/>
      <w:r>
        <w:t>, receipts or other records verifying attendance at a seminar, or certificate of qualification issues by a Registered Training Organisation). The following evidence is acceptable:</w:t>
      </w:r>
    </w:p>
    <w:p w14:paraId="72125E2B" w14:textId="77777777" w:rsidR="00575ECD" w:rsidRDefault="00575ECD">
      <w:pPr>
        <w:numPr>
          <w:ilvl w:val="0"/>
          <w:numId w:val="16"/>
        </w:numPr>
        <w:tabs>
          <w:tab w:val="clear" w:pos="2520"/>
          <w:tab w:val="left" w:pos="1418"/>
          <w:tab w:val="num" w:pos="2410"/>
          <w:tab w:val="left" w:pos="4320"/>
        </w:tabs>
        <w:ind w:left="2410" w:hanging="425"/>
      </w:pPr>
      <w:r>
        <w:t>Category 1: proof of attendance and detail of learning outcome;</w:t>
      </w:r>
    </w:p>
    <w:p w14:paraId="45B39234" w14:textId="77777777" w:rsidR="00575ECD" w:rsidRDefault="00575ECD">
      <w:pPr>
        <w:numPr>
          <w:ilvl w:val="0"/>
          <w:numId w:val="16"/>
        </w:numPr>
        <w:tabs>
          <w:tab w:val="clear" w:pos="2520"/>
          <w:tab w:val="left" w:pos="1418"/>
          <w:tab w:val="num" w:pos="2410"/>
          <w:tab w:val="left" w:pos="4320"/>
        </w:tabs>
        <w:ind w:left="2410" w:hanging="425"/>
      </w:pPr>
      <w:r>
        <w:t>Category 2: proof of learner interaction and detail of learning outcome;</w:t>
      </w:r>
    </w:p>
    <w:p w14:paraId="14FCB507" w14:textId="77777777" w:rsidR="00575ECD" w:rsidRDefault="00575ECD">
      <w:pPr>
        <w:numPr>
          <w:ilvl w:val="0"/>
          <w:numId w:val="16"/>
        </w:numPr>
        <w:tabs>
          <w:tab w:val="clear" w:pos="2520"/>
          <w:tab w:val="left" w:pos="1418"/>
          <w:tab w:val="num" w:pos="2410"/>
          <w:tab w:val="left" w:pos="4320"/>
        </w:tabs>
        <w:ind w:left="2410" w:hanging="425"/>
      </w:pPr>
      <w:r>
        <w:t xml:space="preserve">Category 3: Statement of attainment from a registered training organisation. </w:t>
      </w:r>
    </w:p>
    <w:p w14:paraId="3DB982BE" w14:textId="77777777" w:rsidR="00575ECD" w:rsidRDefault="00575ECD">
      <w:pPr>
        <w:tabs>
          <w:tab w:val="left" w:pos="1418"/>
          <w:tab w:val="left" w:pos="4320"/>
        </w:tabs>
      </w:pPr>
    </w:p>
    <w:p w14:paraId="10D98B84" w14:textId="77777777" w:rsidR="00575ECD" w:rsidRDefault="00575ECD">
      <w:pPr>
        <w:tabs>
          <w:tab w:val="left" w:pos="1418"/>
          <w:tab w:val="left" w:pos="4320"/>
        </w:tabs>
        <w:rPr>
          <w:b/>
          <w:bCs/>
        </w:rPr>
      </w:pPr>
      <w:r>
        <w:rPr>
          <w:b/>
          <w:bCs/>
        </w:rPr>
        <w:t>6. Conditional licences to sell land by way of auction only</w:t>
      </w:r>
    </w:p>
    <w:p w14:paraId="04CA0E4A" w14:textId="77777777" w:rsidR="00575ECD" w:rsidRDefault="00575ECD">
      <w:pPr>
        <w:tabs>
          <w:tab w:val="left" w:pos="1418"/>
          <w:tab w:val="left" w:pos="4320"/>
        </w:tabs>
      </w:pPr>
    </w:p>
    <w:p w14:paraId="5692DD5C" w14:textId="77777777" w:rsidR="00575ECD" w:rsidRDefault="00575ECD">
      <w:pPr>
        <w:tabs>
          <w:tab w:val="left" w:pos="1985"/>
          <w:tab w:val="left" w:pos="4320"/>
        </w:tabs>
        <w:ind w:left="993"/>
      </w:pPr>
      <w:r>
        <w:t xml:space="preserve">Where a conditional licence is granted or renewed subject to the condition that a person sell land by way of auction only, it is a condition of the licence that the person must demonstrate competence in the unit of competency set out in the </w:t>
      </w:r>
      <w:r w:rsidR="00A44440" w:rsidRPr="009E2A2E">
        <w:rPr>
          <w:i/>
          <w:iCs/>
        </w:rPr>
        <w:t>Agent</w:t>
      </w:r>
      <w:r w:rsidR="00DC1B40" w:rsidRPr="009E2A2E">
        <w:rPr>
          <w:i/>
          <w:iCs/>
        </w:rPr>
        <w:t xml:space="preserve">s (Qualification and </w:t>
      </w:r>
      <w:r w:rsidR="00DA71B3">
        <w:rPr>
          <w:i/>
          <w:iCs/>
        </w:rPr>
        <w:t>E</w:t>
      </w:r>
      <w:r w:rsidR="00DC1B40" w:rsidRPr="009E2A2E">
        <w:rPr>
          <w:i/>
          <w:iCs/>
        </w:rPr>
        <w:t xml:space="preserve">xperience for </w:t>
      </w:r>
      <w:r w:rsidR="00DA71B3">
        <w:rPr>
          <w:i/>
          <w:iCs/>
        </w:rPr>
        <w:t>L</w:t>
      </w:r>
      <w:r w:rsidR="00DC1B40" w:rsidRPr="009E2A2E">
        <w:rPr>
          <w:i/>
          <w:iCs/>
        </w:rPr>
        <w:t>icences) Declaration 2022 (No 1).</w:t>
      </w:r>
      <w:r w:rsidR="00A44440">
        <w:t xml:space="preserve"> </w:t>
      </w:r>
      <w:r>
        <w:t xml:space="preserve">The underpinning knowledge must include the auction provisions of the </w:t>
      </w:r>
      <w:r>
        <w:rPr>
          <w:i/>
          <w:iCs/>
        </w:rPr>
        <w:t>Civil Law (Sale of Residential Property) Act 2003</w:t>
      </w:r>
      <w:r>
        <w:t xml:space="preserve">. </w:t>
      </w:r>
    </w:p>
    <w:p w14:paraId="5B430044" w14:textId="77777777" w:rsidR="00575ECD" w:rsidRDefault="00575ECD">
      <w:pPr>
        <w:tabs>
          <w:tab w:val="left" w:pos="1985"/>
          <w:tab w:val="left" w:pos="4320"/>
        </w:tabs>
      </w:pPr>
    </w:p>
    <w:p w14:paraId="346E157C" w14:textId="77777777" w:rsidR="00575ECD" w:rsidRDefault="00575ECD">
      <w:pPr>
        <w:tabs>
          <w:tab w:val="left" w:pos="1985"/>
          <w:tab w:val="left" w:pos="4320"/>
        </w:tabs>
        <w:rPr>
          <w:b/>
          <w:bCs/>
        </w:rPr>
      </w:pPr>
      <w:r>
        <w:rPr>
          <w:b/>
          <w:bCs/>
        </w:rPr>
        <w:t>7. Discretion</w:t>
      </w:r>
    </w:p>
    <w:p w14:paraId="7E3AF548" w14:textId="77777777" w:rsidR="00575ECD" w:rsidRDefault="00575ECD">
      <w:pPr>
        <w:tabs>
          <w:tab w:val="left" w:pos="1985"/>
          <w:tab w:val="left" w:pos="4320"/>
        </w:tabs>
      </w:pPr>
    </w:p>
    <w:p w14:paraId="36E0D70C" w14:textId="77777777" w:rsidR="00575ECD" w:rsidRDefault="00575ECD">
      <w:pPr>
        <w:tabs>
          <w:tab w:val="left" w:pos="993"/>
        </w:tabs>
        <w:ind w:left="993"/>
      </w:pPr>
      <w:r>
        <w:t>Where a condition is imposed on a licence or registration under the guideline, it is a further condition that, where the Commissioner for Fair Trading believes that extenuating circumstances have been shown (</w:t>
      </w:r>
      <w:proofErr w:type="spellStart"/>
      <w:r>
        <w:t>eg</w:t>
      </w:r>
      <w:proofErr w:type="spellEnd"/>
      <w:r>
        <w:t xml:space="preserve">, serious illness or misadventure), the Commissioner may, by notice in writing, waive the requirement to complete continuing professional development for a given month or months. </w:t>
      </w:r>
    </w:p>
    <w:p w14:paraId="6AA6C5FE" w14:textId="77777777" w:rsidR="00575ECD" w:rsidRDefault="00575ECD">
      <w:pPr>
        <w:tabs>
          <w:tab w:val="left" w:pos="993"/>
        </w:tabs>
      </w:pPr>
    </w:p>
    <w:p w14:paraId="1B068AED" w14:textId="77777777" w:rsidR="00575ECD" w:rsidRDefault="00575ECD">
      <w:pPr>
        <w:tabs>
          <w:tab w:val="left" w:pos="993"/>
        </w:tabs>
        <w:rPr>
          <w:b/>
          <w:bCs/>
        </w:rPr>
      </w:pPr>
      <w:r>
        <w:rPr>
          <w:b/>
          <w:bCs/>
        </w:rPr>
        <w:t>8. Continuing Professional Development commencement</w:t>
      </w:r>
    </w:p>
    <w:p w14:paraId="650C5DEB" w14:textId="77777777" w:rsidR="00575ECD" w:rsidRDefault="00575ECD">
      <w:pPr>
        <w:pStyle w:val="06Copyright"/>
        <w:tabs>
          <w:tab w:val="clear" w:pos="2880"/>
          <w:tab w:val="left" w:pos="993"/>
        </w:tabs>
      </w:pPr>
    </w:p>
    <w:p w14:paraId="267BE693" w14:textId="77777777" w:rsidR="00575ECD" w:rsidRDefault="00575ECD">
      <w:pPr>
        <w:tabs>
          <w:tab w:val="left" w:pos="993"/>
        </w:tabs>
        <w:ind w:left="993"/>
      </w:pPr>
      <w:r>
        <w:t xml:space="preserve">The continuing professional development requirement for licence and registration renewals under this Guideline will </w:t>
      </w:r>
      <w:r w:rsidR="00DC1B40">
        <w:t xml:space="preserve">take effect on </w:t>
      </w:r>
      <w:r w:rsidR="00351CFE">
        <w:t>1 July 2022</w:t>
      </w:r>
      <w:r>
        <w:t xml:space="preserve">. </w:t>
      </w:r>
    </w:p>
    <w:p w14:paraId="7A4965F2" w14:textId="77777777" w:rsidR="00575ECD" w:rsidRDefault="00575ECD">
      <w:pPr>
        <w:tabs>
          <w:tab w:val="left" w:pos="993"/>
        </w:tabs>
        <w:ind w:left="993"/>
      </w:pPr>
    </w:p>
    <w:p w14:paraId="6CD8FF3B" w14:textId="77777777" w:rsidR="00575ECD" w:rsidRDefault="00575ECD">
      <w:pPr>
        <w:tabs>
          <w:tab w:val="left" w:pos="993"/>
        </w:tabs>
      </w:pPr>
    </w:p>
    <w:p w14:paraId="5BC46043" w14:textId="77777777" w:rsidR="00575ECD" w:rsidRDefault="00575ECD">
      <w:pPr>
        <w:pStyle w:val="Heading5"/>
      </w:pPr>
      <w:r>
        <w:t>New applications for licences or registrations</w:t>
      </w:r>
    </w:p>
    <w:p w14:paraId="17ADBE7D" w14:textId="77777777" w:rsidR="00575ECD" w:rsidRDefault="00575ECD">
      <w:pPr>
        <w:tabs>
          <w:tab w:val="left" w:pos="993"/>
        </w:tabs>
        <w:ind w:left="993"/>
      </w:pPr>
      <w:r>
        <w:t xml:space="preserve">New applicants for licences or registrations will be required to complete continuing professional development on a pro-rata basis of one point per month until the end of the continuing professional development completion period, when they come to renew their licences or registrations. For example, if a licence is granted in October 2008, the licensee will be required to earn eight points of continuing professional development </w:t>
      </w:r>
      <w:r>
        <w:lastRenderedPageBreak/>
        <w:t xml:space="preserve">between the period commencing on the date the licence was granted and 30 June 2009 to be eligible for renewal of their licence on 1 July 2009. </w:t>
      </w:r>
    </w:p>
    <w:p w14:paraId="7F717435" w14:textId="77777777" w:rsidR="00575ECD" w:rsidRDefault="00575ECD">
      <w:pPr>
        <w:tabs>
          <w:tab w:val="left" w:pos="993"/>
        </w:tabs>
      </w:pPr>
    </w:p>
    <w:p w14:paraId="3E841B4D" w14:textId="77777777" w:rsidR="00575ECD" w:rsidRDefault="00575ECD">
      <w:pPr>
        <w:pStyle w:val="06Copyright"/>
        <w:tabs>
          <w:tab w:val="clear" w:pos="2880"/>
          <w:tab w:val="left" w:pos="1134"/>
          <w:tab w:val="left" w:pos="4320"/>
        </w:tabs>
        <w:rPr>
          <w:b/>
          <w:bCs/>
        </w:rPr>
      </w:pPr>
      <w:r>
        <w:rPr>
          <w:b/>
          <w:bCs/>
        </w:rPr>
        <w:t>9. Areas of Learning</w:t>
      </w:r>
    </w:p>
    <w:p w14:paraId="6D183129" w14:textId="77777777" w:rsidR="00575ECD" w:rsidRDefault="00575ECD">
      <w:pPr>
        <w:pStyle w:val="06Copyright"/>
        <w:tabs>
          <w:tab w:val="clear" w:pos="2880"/>
          <w:tab w:val="left" w:pos="1134"/>
          <w:tab w:val="left" w:pos="4320"/>
        </w:tabs>
      </w:pPr>
    </w:p>
    <w:p w14:paraId="5422EA14" w14:textId="77777777" w:rsidR="00575ECD" w:rsidRDefault="00575ECD">
      <w:pPr>
        <w:pStyle w:val="06Copyright"/>
        <w:tabs>
          <w:tab w:val="clear" w:pos="2880"/>
          <w:tab w:val="left" w:pos="993"/>
          <w:tab w:val="left" w:pos="4320"/>
        </w:tabs>
        <w:ind w:left="993"/>
      </w:pPr>
      <w:r>
        <w:t>Training may be based on, but is not limited to, the following units of competency from the Property Services Training Package:</w:t>
      </w:r>
    </w:p>
    <w:p w14:paraId="5A7AE897" w14:textId="77777777" w:rsidR="00575ECD" w:rsidRDefault="00575ECD">
      <w:pPr>
        <w:pStyle w:val="06Copyright"/>
        <w:tabs>
          <w:tab w:val="clear" w:pos="2880"/>
          <w:tab w:val="left" w:pos="993"/>
          <w:tab w:val="left" w:pos="1134"/>
          <w:tab w:val="left" w:pos="4320"/>
        </w:tabs>
        <w:ind w:left="993"/>
      </w:pPr>
    </w:p>
    <w:p w14:paraId="3839D534" w14:textId="77777777" w:rsidR="00575ECD" w:rsidRDefault="00575ECD">
      <w:pPr>
        <w:pStyle w:val="06Copyright"/>
        <w:tabs>
          <w:tab w:val="clear" w:pos="2880"/>
          <w:tab w:val="left" w:pos="993"/>
          <w:tab w:val="left" w:pos="1134"/>
          <w:tab w:val="left" w:pos="4320"/>
        </w:tabs>
        <w:ind w:left="993"/>
      </w:pPr>
      <w:r>
        <w:t>CPPDSM3008A – Maintain and protect condition of managed properties</w:t>
      </w:r>
    </w:p>
    <w:p w14:paraId="1DB4F865" w14:textId="77777777" w:rsidR="00575ECD" w:rsidRDefault="00575ECD">
      <w:pPr>
        <w:pStyle w:val="06Copyright"/>
        <w:tabs>
          <w:tab w:val="clear" w:pos="2880"/>
          <w:tab w:val="left" w:pos="993"/>
          <w:tab w:val="left" w:pos="1134"/>
          <w:tab w:val="left" w:pos="4320"/>
        </w:tabs>
        <w:ind w:left="993"/>
      </w:pPr>
      <w:r>
        <w:t>CPPDSM3017A – Work in the strata/community management sector</w:t>
      </w:r>
    </w:p>
    <w:p w14:paraId="42A9FFA0" w14:textId="77777777" w:rsidR="00575ECD" w:rsidRDefault="00575ECD">
      <w:pPr>
        <w:pStyle w:val="06Copyright"/>
        <w:tabs>
          <w:tab w:val="clear" w:pos="2880"/>
          <w:tab w:val="left" w:pos="993"/>
          <w:tab w:val="left" w:pos="1134"/>
          <w:tab w:val="left" w:pos="4320"/>
        </w:tabs>
        <w:ind w:left="993"/>
      </w:pPr>
      <w:r>
        <w:t>CPPDSM4001A – Act as a buyer’s agent</w:t>
      </w:r>
    </w:p>
    <w:p w14:paraId="0EC07B2A" w14:textId="77777777" w:rsidR="00575ECD" w:rsidRDefault="00575ECD">
      <w:pPr>
        <w:pStyle w:val="06Copyright"/>
        <w:tabs>
          <w:tab w:val="clear" w:pos="2880"/>
          <w:tab w:val="left" w:pos="993"/>
          <w:tab w:val="left" w:pos="1134"/>
          <w:tab w:val="left" w:pos="4320"/>
        </w:tabs>
        <w:ind w:left="993"/>
      </w:pPr>
      <w:r>
        <w:t>CPPDSM4002A – Apply knowledge of state or territory legislative and regulatory framework to complete agency work</w:t>
      </w:r>
    </w:p>
    <w:p w14:paraId="0941AC2A" w14:textId="77777777" w:rsidR="00575ECD" w:rsidRDefault="00575ECD">
      <w:pPr>
        <w:pStyle w:val="06Copyright"/>
        <w:tabs>
          <w:tab w:val="clear" w:pos="2880"/>
          <w:tab w:val="left" w:pos="993"/>
          <w:tab w:val="left" w:pos="1134"/>
          <w:tab w:val="left" w:pos="4320"/>
        </w:tabs>
        <w:ind w:left="993"/>
      </w:pPr>
      <w:r>
        <w:t>CPPDSM4003A – Appraise property</w:t>
      </w:r>
    </w:p>
    <w:p w14:paraId="377679AF" w14:textId="77777777" w:rsidR="00575ECD" w:rsidRDefault="00575ECD">
      <w:pPr>
        <w:pStyle w:val="06Copyright"/>
        <w:tabs>
          <w:tab w:val="clear" w:pos="2880"/>
          <w:tab w:val="left" w:pos="993"/>
          <w:tab w:val="left" w:pos="1134"/>
          <w:tab w:val="left" w:pos="4320"/>
        </w:tabs>
        <w:ind w:left="993"/>
      </w:pPr>
      <w:r>
        <w:t>CPPDSM4004A – Conduct auction</w:t>
      </w:r>
    </w:p>
    <w:p w14:paraId="572711C7" w14:textId="77777777" w:rsidR="00575ECD" w:rsidRDefault="00575ECD">
      <w:pPr>
        <w:pStyle w:val="06Copyright"/>
        <w:tabs>
          <w:tab w:val="clear" w:pos="2880"/>
          <w:tab w:val="left" w:pos="993"/>
          <w:tab w:val="left" w:pos="1134"/>
          <w:tab w:val="left" w:pos="4320"/>
        </w:tabs>
        <w:ind w:left="993"/>
      </w:pPr>
      <w:r>
        <w:t>CPPDSM4005A – Establish and build client-agency relationships</w:t>
      </w:r>
    </w:p>
    <w:p w14:paraId="10E1EC04" w14:textId="77777777" w:rsidR="00575ECD" w:rsidRDefault="00575ECD">
      <w:pPr>
        <w:pStyle w:val="06Copyright"/>
        <w:tabs>
          <w:tab w:val="clear" w:pos="2880"/>
          <w:tab w:val="left" w:pos="993"/>
          <w:tab w:val="left" w:pos="1134"/>
          <w:tab w:val="left" w:pos="4320"/>
        </w:tabs>
        <w:ind w:left="993"/>
      </w:pPr>
      <w:r>
        <w:t>CPPDSM4006A – Establish and manage agency trust accounts</w:t>
      </w:r>
    </w:p>
    <w:p w14:paraId="46281E6F" w14:textId="77777777" w:rsidR="00575ECD" w:rsidRDefault="00575ECD">
      <w:pPr>
        <w:pStyle w:val="06Copyright"/>
        <w:tabs>
          <w:tab w:val="clear" w:pos="2880"/>
          <w:tab w:val="left" w:pos="993"/>
          <w:tab w:val="left" w:pos="1134"/>
          <w:tab w:val="left" w:pos="4320"/>
        </w:tabs>
        <w:ind w:left="993"/>
      </w:pPr>
      <w:r>
        <w:t>CPPDSM4010A – Lease property</w:t>
      </w:r>
    </w:p>
    <w:p w14:paraId="0C245F05" w14:textId="77777777" w:rsidR="00575ECD" w:rsidRDefault="00575ECD">
      <w:pPr>
        <w:pStyle w:val="06Copyright"/>
        <w:tabs>
          <w:tab w:val="clear" w:pos="2880"/>
          <w:tab w:val="left" w:pos="993"/>
          <w:tab w:val="left" w:pos="1134"/>
          <w:tab w:val="left" w:pos="4320"/>
        </w:tabs>
        <w:ind w:left="993"/>
      </w:pPr>
      <w:r>
        <w:t>CPPDSM4011A – List property for lease</w:t>
      </w:r>
    </w:p>
    <w:p w14:paraId="6A5DFC5C" w14:textId="77777777" w:rsidR="00575ECD" w:rsidRDefault="00575ECD">
      <w:pPr>
        <w:pStyle w:val="06Copyright"/>
        <w:tabs>
          <w:tab w:val="clear" w:pos="2880"/>
          <w:tab w:val="left" w:pos="993"/>
          <w:tab w:val="left" w:pos="1134"/>
          <w:tab w:val="left" w:pos="4320"/>
        </w:tabs>
        <w:ind w:left="993"/>
      </w:pPr>
      <w:r>
        <w:t>CPPDSM4012A – List property for sale</w:t>
      </w:r>
    </w:p>
    <w:p w14:paraId="32A74272" w14:textId="77777777" w:rsidR="00575ECD" w:rsidRDefault="00575ECD">
      <w:pPr>
        <w:pStyle w:val="06Copyright"/>
        <w:tabs>
          <w:tab w:val="clear" w:pos="2880"/>
          <w:tab w:val="left" w:pos="993"/>
          <w:tab w:val="left" w:pos="1134"/>
          <w:tab w:val="left" w:pos="4320"/>
        </w:tabs>
        <w:ind w:left="993"/>
      </w:pPr>
      <w:r>
        <w:t>CPPDSM4013A – Market property for lease</w:t>
      </w:r>
    </w:p>
    <w:p w14:paraId="55ACCDE7" w14:textId="77777777" w:rsidR="00575ECD" w:rsidRDefault="00575ECD">
      <w:pPr>
        <w:pStyle w:val="06Copyright"/>
        <w:tabs>
          <w:tab w:val="clear" w:pos="2880"/>
          <w:tab w:val="left" w:pos="993"/>
          <w:tab w:val="left" w:pos="1134"/>
          <w:tab w:val="left" w:pos="4320"/>
        </w:tabs>
        <w:ind w:left="993"/>
      </w:pPr>
      <w:r>
        <w:t>CPPDSM4014A – Market property for sale</w:t>
      </w:r>
    </w:p>
    <w:p w14:paraId="6164037D" w14:textId="77777777" w:rsidR="00575ECD" w:rsidRDefault="00575ECD">
      <w:pPr>
        <w:pStyle w:val="06Copyright"/>
        <w:tabs>
          <w:tab w:val="clear" w:pos="2880"/>
          <w:tab w:val="left" w:pos="993"/>
          <w:tab w:val="left" w:pos="1134"/>
          <w:tab w:val="left" w:pos="4320"/>
        </w:tabs>
        <w:ind w:left="993"/>
      </w:pPr>
      <w:r>
        <w:t>CPPDSM4016A – Monitor and manage lease or tenancy agreement</w:t>
      </w:r>
    </w:p>
    <w:p w14:paraId="54E6B3D1" w14:textId="77777777" w:rsidR="00575ECD" w:rsidRDefault="00575ECD">
      <w:pPr>
        <w:pStyle w:val="06Copyright"/>
        <w:tabs>
          <w:tab w:val="clear" w:pos="2880"/>
          <w:tab w:val="left" w:pos="993"/>
          <w:tab w:val="left" w:pos="1134"/>
          <w:tab w:val="left" w:pos="4320"/>
        </w:tabs>
        <w:ind w:left="993"/>
      </w:pPr>
      <w:r>
        <w:t>CPPDSM4017A – Negotiate effectively in property transactions</w:t>
      </w:r>
    </w:p>
    <w:p w14:paraId="318D37DC" w14:textId="77777777" w:rsidR="00575ECD" w:rsidRDefault="00575ECD">
      <w:pPr>
        <w:pStyle w:val="06Copyright"/>
        <w:tabs>
          <w:tab w:val="clear" w:pos="2880"/>
          <w:tab w:val="left" w:pos="993"/>
          <w:tab w:val="left" w:pos="1134"/>
          <w:tab w:val="left" w:pos="4320"/>
        </w:tabs>
        <w:ind w:left="993"/>
      </w:pPr>
      <w:r>
        <w:t>CPPDSM4018A – Prepare and present property reports</w:t>
      </w:r>
    </w:p>
    <w:p w14:paraId="11A4D215" w14:textId="77777777" w:rsidR="00575ECD" w:rsidRDefault="00575ECD">
      <w:pPr>
        <w:pStyle w:val="06Copyright"/>
        <w:tabs>
          <w:tab w:val="clear" w:pos="2880"/>
          <w:tab w:val="left" w:pos="993"/>
          <w:tab w:val="left" w:pos="1134"/>
          <w:tab w:val="left" w:pos="4320"/>
        </w:tabs>
        <w:ind w:left="993"/>
      </w:pPr>
      <w:r>
        <w:t>CPPDSM4019A – Prepare for auction and complete sale</w:t>
      </w:r>
    </w:p>
    <w:p w14:paraId="7B1C3D54" w14:textId="77777777" w:rsidR="00575ECD" w:rsidRDefault="00575ECD">
      <w:pPr>
        <w:pStyle w:val="06Copyright"/>
        <w:tabs>
          <w:tab w:val="clear" w:pos="2880"/>
          <w:tab w:val="left" w:pos="993"/>
          <w:tab w:val="left" w:pos="1134"/>
          <w:tab w:val="left" w:pos="4320"/>
        </w:tabs>
        <w:ind w:left="993"/>
      </w:pPr>
      <w:r>
        <w:t>CPPDSM4020A – Present at tribunals</w:t>
      </w:r>
    </w:p>
    <w:p w14:paraId="0569A738" w14:textId="77777777" w:rsidR="00575ECD" w:rsidRDefault="00575ECD">
      <w:pPr>
        <w:pStyle w:val="06Copyright"/>
        <w:tabs>
          <w:tab w:val="clear" w:pos="2880"/>
          <w:tab w:val="left" w:pos="993"/>
          <w:tab w:val="left" w:pos="1134"/>
          <w:tab w:val="left" w:pos="4320"/>
        </w:tabs>
        <w:ind w:left="993"/>
      </w:pPr>
      <w:r>
        <w:t>CPPDSM4021A – Sell and finalise sale of rural property by private treaty</w:t>
      </w:r>
    </w:p>
    <w:p w14:paraId="4140D1CE" w14:textId="77777777" w:rsidR="00575ECD" w:rsidRDefault="00575ECD">
      <w:pPr>
        <w:pStyle w:val="06Copyright"/>
        <w:tabs>
          <w:tab w:val="clear" w:pos="2880"/>
          <w:tab w:val="left" w:pos="993"/>
          <w:tab w:val="left" w:pos="1134"/>
          <w:tab w:val="left" w:pos="4320"/>
        </w:tabs>
        <w:ind w:left="993"/>
      </w:pPr>
      <w:r>
        <w:t>CPPDSM4022A – Sell and finalise the sale of property by private treaty</w:t>
      </w:r>
    </w:p>
    <w:p w14:paraId="6EBDAA18" w14:textId="77777777" w:rsidR="00575ECD" w:rsidRDefault="00575ECD">
      <w:pPr>
        <w:pStyle w:val="06Copyright"/>
        <w:tabs>
          <w:tab w:val="clear" w:pos="2880"/>
          <w:tab w:val="left" w:pos="993"/>
          <w:tab w:val="left" w:pos="1134"/>
          <w:tab w:val="left" w:pos="4320"/>
        </w:tabs>
        <w:ind w:left="993"/>
      </w:pPr>
      <w:r>
        <w:t>CPPDSM4023A – Act as a tenant’s agent</w:t>
      </w:r>
    </w:p>
    <w:p w14:paraId="7D3347E3" w14:textId="77777777" w:rsidR="00575ECD" w:rsidRDefault="00575ECD">
      <w:pPr>
        <w:pStyle w:val="06Copyright"/>
        <w:tabs>
          <w:tab w:val="clear" w:pos="2880"/>
          <w:tab w:val="left" w:pos="993"/>
          <w:tab w:val="left" w:pos="1134"/>
          <w:tab w:val="left" w:pos="4320"/>
        </w:tabs>
        <w:ind w:left="993"/>
      </w:pPr>
      <w:r>
        <w:t>CPPDSM4029A – Appraise business</w:t>
      </w:r>
    </w:p>
    <w:p w14:paraId="3359C255" w14:textId="77777777" w:rsidR="00575ECD" w:rsidRDefault="00575ECD">
      <w:pPr>
        <w:pStyle w:val="06Copyright"/>
        <w:tabs>
          <w:tab w:val="clear" w:pos="2880"/>
          <w:tab w:val="left" w:pos="993"/>
          <w:tab w:val="left" w:pos="1134"/>
          <w:tab w:val="left" w:pos="4320"/>
        </w:tabs>
        <w:ind w:left="993"/>
      </w:pPr>
      <w:r>
        <w:t>CPPDSM4030A – Appraise rural property</w:t>
      </w:r>
    </w:p>
    <w:p w14:paraId="1580FBE4" w14:textId="77777777" w:rsidR="00575ECD" w:rsidRDefault="00575ECD">
      <w:pPr>
        <w:pStyle w:val="06Copyright"/>
        <w:tabs>
          <w:tab w:val="clear" w:pos="2880"/>
          <w:tab w:val="left" w:pos="993"/>
          <w:tab w:val="left" w:pos="1134"/>
          <w:tab w:val="left" w:pos="4320"/>
        </w:tabs>
        <w:ind w:left="993"/>
      </w:pPr>
      <w:r>
        <w:t>CPPDSM4033A – Assess and value goods, chattels, plant and equipment</w:t>
      </w:r>
    </w:p>
    <w:p w14:paraId="104C1879" w14:textId="77777777" w:rsidR="00575ECD" w:rsidRDefault="00575ECD">
      <w:pPr>
        <w:pStyle w:val="06Copyright"/>
        <w:tabs>
          <w:tab w:val="clear" w:pos="2880"/>
          <w:tab w:val="left" w:pos="993"/>
          <w:tab w:val="left" w:pos="1134"/>
          <w:tab w:val="left" w:pos="4320"/>
        </w:tabs>
        <w:ind w:left="993"/>
      </w:pPr>
      <w:r>
        <w:t>CPPDSM4034A – Assess and implement strata/community management agreement</w:t>
      </w:r>
    </w:p>
    <w:p w14:paraId="525387BD" w14:textId="77777777" w:rsidR="00575ECD" w:rsidRDefault="00575ECD">
      <w:pPr>
        <w:pStyle w:val="06Copyright"/>
        <w:tabs>
          <w:tab w:val="clear" w:pos="2880"/>
          <w:tab w:val="left" w:pos="993"/>
          <w:tab w:val="left" w:pos="1134"/>
          <w:tab w:val="left" w:pos="4320"/>
        </w:tabs>
        <w:ind w:left="993"/>
      </w:pPr>
      <w:r>
        <w:t>CPPDSM4036A – Broker sale of industrial, commercial and retail property</w:t>
      </w:r>
    </w:p>
    <w:p w14:paraId="698B36D3" w14:textId="77777777" w:rsidR="00575ECD" w:rsidRDefault="00575ECD">
      <w:pPr>
        <w:pStyle w:val="06Copyright"/>
        <w:tabs>
          <w:tab w:val="clear" w:pos="2880"/>
          <w:tab w:val="left" w:pos="993"/>
          <w:tab w:val="left" w:pos="1134"/>
          <w:tab w:val="left" w:pos="4320"/>
        </w:tabs>
        <w:ind w:left="993"/>
      </w:pPr>
      <w:r>
        <w:t>CPPDSM4038A – Conduct goods, chattels or equipment clearing sale or auction</w:t>
      </w:r>
    </w:p>
    <w:p w14:paraId="1CC31C57" w14:textId="77777777" w:rsidR="00575ECD" w:rsidRDefault="00575ECD">
      <w:pPr>
        <w:pStyle w:val="06Copyright"/>
        <w:tabs>
          <w:tab w:val="clear" w:pos="2880"/>
          <w:tab w:val="left" w:pos="993"/>
          <w:tab w:val="left" w:pos="1134"/>
          <w:tab w:val="left" w:pos="4320"/>
        </w:tabs>
        <w:ind w:left="993"/>
      </w:pPr>
      <w:r>
        <w:t>CPPDSM4040A – Contribute to life cycle maintenance strategy</w:t>
      </w:r>
    </w:p>
    <w:p w14:paraId="0422E75D" w14:textId="77777777" w:rsidR="00575ECD" w:rsidRDefault="00575ECD">
      <w:pPr>
        <w:pStyle w:val="06Copyright"/>
        <w:tabs>
          <w:tab w:val="clear" w:pos="2880"/>
          <w:tab w:val="left" w:pos="993"/>
          <w:tab w:val="left" w:pos="1134"/>
          <w:tab w:val="left" w:pos="4320"/>
        </w:tabs>
        <w:ind w:left="993"/>
      </w:pPr>
      <w:r>
        <w:t>CPPDSM4041A – Contribute to development of a tenancy mix strategy</w:t>
      </w:r>
    </w:p>
    <w:p w14:paraId="4A127F46" w14:textId="77777777" w:rsidR="00575ECD" w:rsidRDefault="00575ECD">
      <w:pPr>
        <w:pStyle w:val="06Copyright"/>
        <w:tabs>
          <w:tab w:val="clear" w:pos="2880"/>
          <w:tab w:val="left" w:pos="993"/>
          <w:tab w:val="left" w:pos="1134"/>
          <w:tab w:val="left" w:pos="4320"/>
        </w:tabs>
        <w:ind w:left="993"/>
      </w:pPr>
      <w:r>
        <w:t>CPPDSM4043A – Coordinate fit-out of property and facilities</w:t>
      </w:r>
    </w:p>
    <w:p w14:paraId="42A98BE1" w14:textId="77777777" w:rsidR="00575ECD" w:rsidRDefault="00575ECD">
      <w:pPr>
        <w:pStyle w:val="06Copyright"/>
        <w:tabs>
          <w:tab w:val="clear" w:pos="2880"/>
          <w:tab w:val="left" w:pos="993"/>
          <w:tab w:val="left" w:pos="1134"/>
          <w:tab w:val="left" w:pos="4320"/>
        </w:tabs>
        <w:ind w:left="993"/>
      </w:pPr>
      <w:r>
        <w:t>CPPDSM4045A – Facilitate meetings in the property industry</w:t>
      </w:r>
    </w:p>
    <w:p w14:paraId="7D67FC58" w14:textId="77777777" w:rsidR="00575ECD" w:rsidRDefault="00575ECD">
      <w:pPr>
        <w:pStyle w:val="06Copyright"/>
        <w:tabs>
          <w:tab w:val="clear" w:pos="2880"/>
          <w:tab w:val="left" w:pos="993"/>
          <w:tab w:val="left" w:pos="1134"/>
          <w:tab w:val="left" w:pos="4320"/>
        </w:tabs>
        <w:ind w:left="993"/>
      </w:pPr>
      <w:r>
        <w:t>CPPDSM4046A – Manage tenancy disputes</w:t>
      </w:r>
    </w:p>
    <w:p w14:paraId="1948B25C" w14:textId="77777777" w:rsidR="00575ECD" w:rsidRDefault="00575ECD">
      <w:pPr>
        <w:pStyle w:val="06Copyright"/>
        <w:tabs>
          <w:tab w:val="clear" w:pos="2880"/>
          <w:tab w:val="left" w:pos="993"/>
          <w:tab w:val="left" w:pos="1134"/>
          <w:tab w:val="left" w:pos="4320"/>
        </w:tabs>
        <w:ind w:left="993"/>
      </w:pPr>
      <w:r>
        <w:t>CPPDSM4049A – Implement maintenance plan for managed properties</w:t>
      </w:r>
    </w:p>
    <w:p w14:paraId="14EF269A" w14:textId="77777777" w:rsidR="00575ECD" w:rsidRDefault="00575ECD">
      <w:pPr>
        <w:pStyle w:val="06Copyright"/>
        <w:tabs>
          <w:tab w:val="clear" w:pos="2880"/>
          <w:tab w:val="left" w:pos="993"/>
          <w:tab w:val="left" w:pos="1134"/>
          <w:tab w:val="left" w:pos="4320"/>
        </w:tabs>
        <w:ind w:left="993"/>
      </w:pPr>
      <w:r>
        <w:t>CPPDSM4050A – Lease industrial, commercial and retail property</w:t>
      </w:r>
    </w:p>
    <w:p w14:paraId="35A897BF" w14:textId="77777777" w:rsidR="00575ECD" w:rsidRDefault="00575ECD">
      <w:pPr>
        <w:pStyle w:val="06Copyright"/>
        <w:tabs>
          <w:tab w:val="clear" w:pos="2880"/>
          <w:tab w:val="left" w:pos="993"/>
          <w:tab w:val="left" w:pos="1134"/>
          <w:tab w:val="left" w:pos="4320"/>
        </w:tabs>
        <w:ind w:left="993"/>
      </w:pPr>
      <w:r>
        <w:t>CPPDSM4051A – Lease rural property</w:t>
      </w:r>
    </w:p>
    <w:p w14:paraId="1FD23DE6" w14:textId="77777777" w:rsidR="00575ECD" w:rsidRDefault="00575ECD">
      <w:pPr>
        <w:pStyle w:val="06Copyright"/>
        <w:tabs>
          <w:tab w:val="clear" w:pos="2880"/>
          <w:tab w:val="left" w:pos="993"/>
          <w:tab w:val="left" w:pos="1134"/>
          <w:tab w:val="left" w:pos="4320"/>
        </w:tabs>
        <w:ind w:left="993"/>
      </w:pPr>
      <w:r>
        <w:t>CPPDSM4053A – List business for sale</w:t>
      </w:r>
    </w:p>
    <w:p w14:paraId="5F9D6D48" w14:textId="77777777" w:rsidR="00575ECD" w:rsidRDefault="00575ECD">
      <w:pPr>
        <w:pStyle w:val="06Copyright"/>
        <w:tabs>
          <w:tab w:val="clear" w:pos="2880"/>
          <w:tab w:val="left" w:pos="993"/>
          <w:tab w:val="left" w:pos="1134"/>
          <w:tab w:val="left" w:pos="4320"/>
        </w:tabs>
        <w:ind w:left="993"/>
      </w:pPr>
      <w:r>
        <w:t>CPPDSM4056A – Manage conflict and disputes in the property industry</w:t>
      </w:r>
    </w:p>
    <w:p w14:paraId="35763CFF" w14:textId="77777777" w:rsidR="00575ECD" w:rsidRDefault="00575ECD">
      <w:pPr>
        <w:pStyle w:val="06Copyright"/>
        <w:tabs>
          <w:tab w:val="clear" w:pos="2880"/>
          <w:tab w:val="left" w:pos="993"/>
          <w:tab w:val="left" w:pos="1134"/>
          <w:tab w:val="left" w:pos="4320"/>
        </w:tabs>
        <w:ind w:left="993"/>
      </w:pPr>
      <w:r>
        <w:t>CPPDSM4057A – Monitor a safe workplace in the property industry</w:t>
      </w:r>
    </w:p>
    <w:p w14:paraId="140ED450" w14:textId="77777777" w:rsidR="00575ECD" w:rsidRDefault="00575ECD">
      <w:pPr>
        <w:pStyle w:val="06Copyright"/>
        <w:tabs>
          <w:tab w:val="clear" w:pos="2880"/>
          <w:tab w:val="left" w:pos="993"/>
          <w:tab w:val="left" w:pos="1134"/>
          <w:tab w:val="left" w:pos="4320"/>
        </w:tabs>
        <w:ind w:left="993"/>
      </w:pPr>
      <w:r>
        <w:t>CPPDSM4058A – Monitor service requirements in the property industry</w:t>
      </w:r>
    </w:p>
    <w:p w14:paraId="17F3B417" w14:textId="77777777" w:rsidR="00575ECD" w:rsidRDefault="00575ECD">
      <w:pPr>
        <w:pStyle w:val="06Copyright"/>
        <w:tabs>
          <w:tab w:val="clear" w:pos="2880"/>
          <w:tab w:val="left" w:pos="993"/>
          <w:tab w:val="left" w:pos="1134"/>
          <w:tab w:val="left" w:pos="4320"/>
        </w:tabs>
        <w:ind w:left="993"/>
      </w:pPr>
      <w:r>
        <w:lastRenderedPageBreak/>
        <w:t>CPPDSM4059A – Monitor space use in the property industry</w:t>
      </w:r>
    </w:p>
    <w:p w14:paraId="7B50A494" w14:textId="77777777" w:rsidR="00575ECD" w:rsidRDefault="00575ECD">
      <w:pPr>
        <w:pStyle w:val="06Copyright"/>
        <w:tabs>
          <w:tab w:val="clear" w:pos="2880"/>
          <w:tab w:val="left" w:pos="993"/>
          <w:tab w:val="left" w:pos="1134"/>
          <w:tab w:val="left" w:pos="4320"/>
        </w:tabs>
        <w:ind w:left="993"/>
      </w:pPr>
      <w:r>
        <w:t>CPPDSM4060A – Negotiate sale and manage sale to completion or settlement</w:t>
      </w:r>
    </w:p>
    <w:p w14:paraId="5FC6B3E1" w14:textId="77777777" w:rsidR="00575ECD" w:rsidRDefault="00575ECD">
      <w:pPr>
        <w:pStyle w:val="06Copyright"/>
        <w:tabs>
          <w:tab w:val="clear" w:pos="2880"/>
          <w:tab w:val="left" w:pos="993"/>
          <w:tab w:val="left" w:pos="1134"/>
          <w:tab w:val="left" w:pos="4320"/>
        </w:tabs>
        <w:ind w:left="993"/>
      </w:pPr>
      <w:r>
        <w:t>CPPDSM4061A – Obtain prospects for listing</w:t>
      </w:r>
    </w:p>
    <w:p w14:paraId="64EFB127" w14:textId="77777777" w:rsidR="00575ECD" w:rsidRDefault="00575ECD">
      <w:pPr>
        <w:pStyle w:val="06Copyright"/>
        <w:tabs>
          <w:tab w:val="clear" w:pos="2880"/>
          <w:tab w:val="left" w:pos="993"/>
          <w:tab w:val="left" w:pos="1134"/>
          <w:tab w:val="left" w:pos="4320"/>
        </w:tabs>
        <w:ind w:left="993"/>
      </w:pPr>
      <w:r>
        <w:t>CPPDSM4062A – Occupy space</w:t>
      </w:r>
    </w:p>
    <w:p w14:paraId="5A6C0D04" w14:textId="77777777" w:rsidR="00575ECD" w:rsidRDefault="00575ECD">
      <w:pPr>
        <w:pStyle w:val="06Copyright"/>
        <w:tabs>
          <w:tab w:val="clear" w:pos="2880"/>
          <w:tab w:val="left" w:pos="993"/>
          <w:tab w:val="left" w:pos="1134"/>
          <w:tab w:val="left" w:pos="4320"/>
        </w:tabs>
        <w:ind w:left="993"/>
      </w:pPr>
      <w:r>
        <w:t>CPPDSM4069A – Promote and market listed business</w:t>
      </w:r>
    </w:p>
    <w:p w14:paraId="7E3C4936" w14:textId="77777777" w:rsidR="00575ECD" w:rsidRDefault="00575ECD">
      <w:pPr>
        <w:pStyle w:val="06Copyright"/>
        <w:tabs>
          <w:tab w:val="clear" w:pos="2880"/>
          <w:tab w:val="left" w:pos="993"/>
          <w:tab w:val="left" w:pos="1134"/>
          <w:tab w:val="left" w:pos="4320"/>
        </w:tabs>
        <w:ind w:left="993"/>
      </w:pPr>
      <w:r>
        <w:t>CPPDSM4074A – Select and appoint contractors in the property industry</w:t>
      </w:r>
    </w:p>
    <w:p w14:paraId="69D198FF" w14:textId="77777777" w:rsidR="00575ECD" w:rsidRDefault="00575ECD">
      <w:pPr>
        <w:pStyle w:val="06Copyright"/>
        <w:tabs>
          <w:tab w:val="clear" w:pos="2880"/>
          <w:tab w:val="left" w:pos="993"/>
          <w:tab w:val="left" w:pos="1134"/>
          <w:tab w:val="left" w:pos="4320"/>
        </w:tabs>
        <w:ind w:left="993"/>
      </w:pPr>
      <w:r>
        <w:t>CPPDSM4078A – Sell rural property by tender</w:t>
      </w:r>
    </w:p>
    <w:p w14:paraId="28E75C8F" w14:textId="77777777" w:rsidR="00575ECD" w:rsidRDefault="00575ECD">
      <w:pPr>
        <w:pStyle w:val="06Copyright"/>
        <w:tabs>
          <w:tab w:val="clear" w:pos="2880"/>
          <w:tab w:val="left" w:pos="993"/>
          <w:tab w:val="left" w:pos="1134"/>
          <w:tab w:val="left" w:pos="4320"/>
        </w:tabs>
        <w:ind w:left="993"/>
      </w:pPr>
      <w:r>
        <w:t>CPPDSM4079A – Work in the business broking sector</w:t>
      </w:r>
    </w:p>
    <w:p w14:paraId="4ED69F55" w14:textId="77777777" w:rsidR="00575ECD" w:rsidRDefault="00575ECD">
      <w:pPr>
        <w:pStyle w:val="06Copyright"/>
        <w:tabs>
          <w:tab w:val="clear" w:pos="2880"/>
          <w:tab w:val="left" w:pos="993"/>
          <w:tab w:val="left" w:pos="1134"/>
          <w:tab w:val="left" w:pos="4320"/>
        </w:tabs>
        <w:ind w:left="993"/>
      </w:pPr>
      <w:r>
        <w:t>CPPDSM5009A – Coordinate risk management system in the property industry</w:t>
      </w:r>
    </w:p>
    <w:p w14:paraId="1AAB615D" w14:textId="77777777" w:rsidR="00575ECD" w:rsidRDefault="00575ECD">
      <w:pPr>
        <w:pStyle w:val="06Copyright"/>
        <w:tabs>
          <w:tab w:val="clear" w:pos="2880"/>
          <w:tab w:val="left" w:pos="993"/>
          <w:tab w:val="left" w:pos="1134"/>
          <w:tab w:val="left" w:pos="4320"/>
        </w:tabs>
        <w:ind w:left="993"/>
      </w:pPr>
      <w:r>
        <w:t>CPPDSM5012A – Develop a strategic business plan in the real estate industry</w:t>
      </w:r>
    </w:p>
    <w:p w14:paraId="3BC2EC53" w14:textId="77777777" w:rsidR="00575ECD" w:rsidRDefault="00575ECD">
      <w:pPr>
        <w:pStyle w:val="06Copyright"/>
        <w:tabs>
          <w:tab w:val="clear" w:pos="2880"/>
          <w:tab w:val="left" w:pos="993"/>
          <w:tab w:val="left" w:pos="1134"/>
          <w:tab w:val="left" w:pos="4320"/>
        </w:tabs>
        <w:ind w:left="993"/>
      </w:pPr>
      <w:r>
        <w:t>CPPDSM5018A – Ensure a safe workplace in the property industry</w:t>
      </w:r>
    </w:p>
    <w:p w14:paraId="3FF10731" w14:textId="77777777" w:rsidR="00575ECD" w:rsidRDefault="00575ECD">
      <w:pPr>
        <w:pStyle w:val="06Copyright"/>
        <w:tabs>
          <w:tab w:val="clear" w:pos="2880"/>
          <w:tab w:val="left" w:pos="993"/>
          <w:tab w:val="left" w:pos="1134"/>
          <w:tab w:val="left" w:pos="4320"/>
        </w:tabs>
        <w:ind w:left="993"/>
      </w:pPr>
      <w:r>
        <w:t>CPPDSM5020A – Manage and monitor effective client service in the real estate industry</w:t>
      </w:r>
    </w:p>
    <w:p w14:paraId="1CADB0E1" w14:textId="77777777" w:rsidR="00575ECD" w:rsidRDefault="00575ECD">
      <w:pPr>
        <w:pStyle w:val="06Copyright"/>
        <w:tabs>
          <w:tab w:val="clear" w:pos="2880"/>
          <w:tab w:val="left" w:pos="993"/>
          <w:tab w:val="left" w:pos="1134"/>
          <w:tab w:val="left" w:pos="4320"/>
        </w:tabs>
        <w:ind w:left="993"/>
      </w:pPr>
      <w:r>
        <w:t>CPPDSM5030A – Manage projects in the property industry</w:t>
      </w:r>
    </w:p>
    <w:p w14:paraId="4E67658E" w14:textId="77777777" w:rsidR="00575ECD" w:rsidRDefault="00575ECD">
      <w:pPr>
        <w:pStyle w:val="06Copyright"/>
        <w:tabs>
          <w:tab w:val="clear" w:pos="2880"/>
          <w:tab w:val="left" w:pos="993"/>
          <w:tab w:val="left" w:pos="1134"/>
          <w:tab w:val="left" w:pos="4320"/>
        </w:tabs>
        <w:ind w:left="993"/>
      </w:pPr>
      <w:r>
        <w:t>CPPDSM5032A – Market the agency</w:t>
      </w:r>
    </w:p>
    <w:p w14:paraId="6FAFCCCE" w14:textId="77777777" w:rsidR="00575ECD" w:rsidRDefault="00575ECD">
      <w:pPr>
        <w:pStyle w:val="06Copyright"/>
        <w:tabs>
          <w:tab w:val="clear" w:pos="2880"/>
          <w:tab w:val="left" w:pos="993"/>
          <w:tab w:val="left" w:pos="1134"/>
          <w:tab w:val="left" w:pos="4320"/>
        </w:tabs>
        <w:ind w:left="993"/>
      </w:pPr>
      <w:r>
        <w:t>CPPDSM5036A – Prepare tender documentation in the property industry</w:t>
      </w:r>
    </w:p>
    <w:p w14:paraId="4650DAF8" w14:textId="77777777" w:rsidR="00575ECD" w:rsidRDefault="00575ECD">
      <w:pPr>
        <w:pStyle w:val="06Copyright"/>
        <w:tabs>
          <w:tab w:val="clear" w:pos="2880"/>
          <w:tab w:val="left" w:pos="993"/>
          <w:tab w:val="left" w:pos="1134"/>
          <w:tab w:val="left" w:pos="4320"/>
        </w:tabs>
        <w:ind w:left="993"/>
      </w:pPr>
    </w:p>
    <w:p w14:paraId="26ED37BC" w14:textId="77777777" w:rsidR="00575ECD" w:rsidRDefault="00575ECD">
      <w:pPr>
        <w:pStyle w:val="06Copyright"/>
        <w:tabs>
          <w:tab w:val="clear" w:pos="2880"/>
          <w:tab w:val="left" w:pos="993"/>
          <w:tab w:val="left" w:pos="1134"/>
          <w:tab w:val="left" w:pos="4320"/>
        </w:tabs>
        <w:ind w:left="993"/>
      </w:pPr>
      <w:r>
        <w:t>Training may be based on, but is not limited to, the following units of competency from the Business Services Training Package:</w:t>
      </w:r>
    </w:p>
    <w:p w14:paraId="757FE064" w14:textId="77777777" w:rsidR="00575ECD" w:rsidRDefault="00575ECD">
      <w:pPr>
        <w:pStyle w:val="06Copyright"/>
        <w:tabs>
          <w:tab w:val="clear" w:pos="2880"/>
          <w:tab w:val="left" w:pos="993"/>
          <w:tab w:val="left" w:pos="1134"/>
          <w:tab w:val="left" w:pos="4320"/>
        </w:tabs>
        <w:ind w:left="993"/>
      </w:pPr>
    </w:p>
    <w:p w14:paraId="45D045E7" w14:textId="77777777" w:rsidR="00575ECD" w:rsidRDefault="00575ECD">
      <w:pPr>
        <w:pStyle w:val="06Copyright"/>
        <w:tabs>
          <w:tab w:val="clear" w:pos="2880"/>
          <w:tab w:val="left" w:pos="993"/>
          <w:tab w:val="left" w:pos="1134"/>
          <w:tab w:val="left" w:pos="4320"/>
        </w:tabs>
        <w:ind w:left="993"/>
      </w:pPr>
      <w:r>
        <w:t>BSBLED401A – Develop teams and individuals</w:t>
      </w:r>
    </w:p>
    <w:p w14:paraId="62168635" w14:textId="77777777" w:rsidR="00575ECD" w:rsidRDefault="00575ECD">
      <w:pPr>
        <w:pStyle w:val="06Copyright"/>
        <w:tabs>
          <w:tab w:val="clear" w:pos="2880"/>
          <w:tab w:val="left" w:pos="993"/>
          <w:tab w:val="left" w:pos="1134"/>
          <w:tab w:val="left" w:pos="4320"/>
        </w:tabs>
        <w:ind w:left="993"/>
      </w:pPr>
      <w:r>
        <w:t>BSBBITS401A – Maintain business technology</w:t>
      </w:r>
    </w:p>
    <w:p w14:paraId="1527908C" w14:textId="77777777" w:rsidR="00575ECD" w:rsidRDefault="00575ECD">
      <w:pPr>
        <w:pStyle w:val="06Copyright"/>
        <w:tabs>
          <w:tab w:val="clear" w:pos="2880"/>
          <w:tab w:val="left" w:pos="993"/>
          <w:tab w:val="left" w:pos="1134"/>
          <w:tab w:val="left" w:pos="4320"/>
        </w:tabs>
        <w:ind w:left="993"/>
      </w:pPr>
      <w:r>
        <w:t>BSBWOR402A – Promote team effectiveness</w:t>
      </w:r>
    </w:p>
    <w:p w14:paraId="29E116EA" w14:textId="77777777" w:rsidR="00575ECD" w:rsidRDefault="00575ECD">
      <w:pPr>
        <w:pStyle w:val="06Copyright"/>
        <w:tabs>
          <w:tab w:val="clear" w:pos="2880"/>
          <w:tab w:val="left" w:pos="993"/>
          <w:tab w:val="left" w:pos="1134"/>
          <w:tab w:val="left" w:pos="4320"/>
        </w:tabs>
        <w:ind w:left="993"/>
      </w:pPr>
      <w:r>
        <w:t>BSBMGT515A – Manage operational plan</w:t>
      </w:r>
    </w:p>
    <w:p w14:paraId="3B38D07F" w14:textId="77777777" w:rsidR="00575ECD" w:rsidRDefault="00575ECD">
      <w:pPr>
        <w:pStyle w:val="06Copyright"/>
        <w:tabs>
          <w:tab w:val="clear" w:pos="2880"/>
          <w:tab w:val="left" w:pos="993"/>
          <w:tab w:val="left" w:pos="1134"/>
          <w:tab w:val="left" w:pos="4320"/>
        </w:tabs>
        <w:ind w:left="993"/>
      </w:pPr>
      <w:r>
        <w:t>BSBMGT502B – Manage people performance</w:t>
      </w:r>
    </w:p>
    <w:p w14:paraId="0DA3688A" w14:textId="77777777" w:rsidR="00575ECD" w:rsidRDefault="00575ECD">
      <w:pPr>
        <w:pStyle w:val="06Copyright"/>
        <w:tabs>
          <w:tab w:val="clear" w:pos="2880"/>
          <w:tab w:val="left" w:pos="993"/>
          <w:tab w:val="left" w:pos="1134"/>
          <w:tab w:val="left" w:pos="4320"/>
        </w:tabs>
      </w:pPr>
      <w:r>
        <w:tab/>
        <w:t>BSBFIM501A – Manage budgets and financial plans</w:t>
      </w:r>
    </w:p>
    <w:p w14:paraId="50EE25C9" w14:textId="77777777" w:rsidR="00575ECD" w:rsidRDefault="00575ECD">
      <w:pPr>
        <w:pStyle w:val="06Copyright"/>
        <w:tabs>
          <w:tab w:val="clear" w:pos="2880"/>
          <w:tab w:val="left" w:pos="993"/>
          <w:tab w:val="left" w:pos="1134"/>
          <w:tab w:val="left" w:pos="4320"/>
        </w:tabs>
        <w:ind w:left="993"/>
      </w:pPr>
      <w:r>
        <w:t>BSBHRM402A – Recruit, select and induct staff</w:t>
      </w:r>
    </w:p>
    <w:p w14:paraId="5B2C7DF0" w14:textId="77777777" w:rsidR="00575ECD" w:rsidRDefault="00575ECD">
      <w:pPr>
        <w:pStyle w:val="06Copyright"/>
        <w:tabs>
          <w:tab w:val="clear" w:pos="2880"/>
          <w:tab w:val="left" w:pos="993"/>
          <w:tab w:val="left" w:pos="1134"/>
          <w:tab w:val="left" w:pos="4320"/>
        </w:tabs>
        <w:ind w:left="993"/>
      </w:pPr>
      <w:r>
        <w:t>BSBMGT605B – Provide leadership across the organisation</w:t>
      </w:r>
    </w:p>
    <w:p w14:paraId="54E84BEF" w14:textId="77777777" w:rsidR="00575ECD" w:rsidRDefault="00575ECD">
      <w:pPr>
        <w:pStyle w:val="06Copyright"/>
        <w:tabs>
          <w:tab w:val="clear" w:pos="2880"/>
          <w:tab w:val="left" w:pos="993"/>
          <w:tab w:val="left" w:pos="1134"/>
          <w:tab w:val="left" w:pos="4320"/>
        </w:tabs>
        <w:ind w:left="993"/>
      </w:pPr>
      <w:r>
        <w:t>BSBCMM401A – Make a presentation</w:t>
      </w:r>
    </w:p>
    <w:p w14:paraId="6EB5F14E" w14:textId="77777777" w:rsidR="00575ECD" w:rsidRDefault="00575ECD">
      <w:pPr>
        <w:pStyle w:val="06Copyright"/>
        <w:tabs>
          <w:tab w:val="clear" w:pos="2880"/>
          <w:tab w:val="left" w:pos="993"/>
          <w:tab w:val="left" w:pos="1134"/>
          <w:tab w:val="left" w:pos="4320"/>
        </w:tabs>
        <w:ind w:left="993"/>
      </w:pPr>
      <w:r>
        <w:t>BSBRKG304B – Maintain business records</w:t>
      </w:r>
      <w:r>
        <w:br/>
        <w:t>BSBSMB404A – Undertake small business planning</w:t>
      </w:r>
    </w:p>
    <w:p w14:paraId="54F7233D" w14:textId="77777777" w:rsidR="00575ECD" w:rsidRDefault="00575ECD">
      <w:pPr>
        <w:pStyle w:val="06Copyright"/>
        <w:tabs>
          <w:tab w:val="clear" w:pos="2880"/>
          <w:tab w:val="left" w:pos="993"/>
          <w:tab w:val="left" w:pos="1134"/>
          <w:tab w:val="left" w:pos="4320"/>
        </w:tabs>
        <w:ind w:left="993"/>
      </w:pPr>
      <w:r>
        <w:t>BSBSMB406A – Manage small business finances</w:t>
      </w:r>
    </w:p>
    <w:p w14:paraId="280FB633" w14:textId="77777777" w:rsidR="00575ECD" w:rsidRDefault="00575ECD">
      <w:pPr>
        <w:pStyle w:val="06Copyright"/>
        <w:tabs>
          <w:tab w:val="clear" w:pos="2880"/>
          <w:tab w:val="left" w:pos="1134"/>
          <w:tab w:val="left" w:pos="4320"/>
        </w:tabs>
        <w:ind w:left="1134"/>
      </w:pPr>
    </w:p>
    <w:p w14:paraId="7DCD9099" w14:textId="77777777" w:rsidR="00575ECD" w:rsidRDefault="00575ECD">
      <w:pPr>
        <w:pStyle w:val="06Copyright"/>
        <w:tabs>
          <w:tab w:val="clear" w:pos="2880"/>
          <w:tab w:val="left" w:pos="1134"/>
          <w:tab w:val="left" w:pos="4320"/>
        </w:tabs>
        <w:ind w:left="1134"/>
      </w:pPr>
    </w:p>
    <w:p w14:paraId="52314820" w14:textId="77777777" w:rsidR="00575ECD" w:rsidRDefault="00575ECD">
      <w:pPr>
        <w:pStyle w:val="06Copyright"/>
        <w:tabs>
          <w:tab w:val="clear" w:pos="2880"/>
          <w:tab w:val="left" w:pos="1134"/>
          <w:tab w:val="left" w:pos="4320"/>
        </w:tabs>
        <w:ind w:left="1134"/>
      </w:pPr>
    </w:p>
    <w:p w14:paraId="47A8C7EB" w14:textId="77777777" w:rsidR="00575ECD" w:rsidRDefault="00575ECD">
      <w:pPr>
        <w:pStyle w:val="06Copyright"/>
        <w:tabs>
          <w:tab w:val="clear" w:pos="2880"/>
          <w:tab w:val="left" w:pos="1134"/>
          <w:tab w:val="left" w:pos="4320"/>
        </w:tabs>
      </w:pPr>
    </w:p>
    <w:p w14:paraId="310A6979" w14:textId="77777777" w:rsidR="00575ECD" w:rsidRDefault="00575ECD">
      <w:pPr>
        <w:pStyle w:val="06Copyright"/>
        <w:tabs>
          <w:tab w:val="clear" w:pos="2880"/>
          <w:tab w:val="left" w:pos="1134"/>
          <w:tab w:val="left" w:pos="4320"/>
        </w:tabs>
      </w:pPr>
    </w:p>
    <w:sectPr w:rsidR="00575ECD">
      <w:footerReference w:type="default" r:id="rId8"/>
      <w:footerReference w:type="first" r:id="rId9"/>
      <w:pgSz w:w="11907" w:h="16839" w:code="9"/>
      <w:pgMar w:top="1440" w:right="1800" w:bottom="1440" w:left="1800" w:header="720" w:footer="720" w:gutter="0"/>
      <w:pgNumType w:start="1"/>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1138" w14:textId="77777777" w:rsidR="002F0942" w:rsidRDefault="002F0942">
      <w:r>
        <w:separator/>
      </w:r>
    </w:p>
  </w:endnote>
  <w:endnote w:type="continuationSeparator" w:id="0">
    <w:p w14:paraId="4656A5F6" w14:textId="77777777" w:rsidR="002F0942" w:rsidRDefault="002F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25FE" w14:textId="77777777" w:rsidR="00AE5B65" w:rsidRPr="00AE5B65" w:rsidRDefault="00AE5B65" w:rsidP="00AE5B65">
    <w:pPr>
      <w:pStyle w:val="Footer"/>
      <w:jc w:val="center"/>
      <w:rPr>
        <w:rFonts w:cs="Arial"/>
        <w:sz w:val="14"/>
      </w:rPr>
    </w:pPr>
    <w:r w:rsidRPr="00AE5B6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032A" w14:textId="56C1AC4F" w:rsidR="00575ECD" w:rsidRDefault="00575ECD" w:rsidP="00A44440">
    <w:pPr>
      <w:pStyle w:val="Footer"/>
      <w:rPr>
        <w:rFonts w:cs="Arial"/>
        <w:szCs w:val="18"/>
      </w:rPr>
    </w:pPr>
  </w:p>
  <w:p w14:paraId="43914BD5" w14:textId="77777777" w:rsidR="00AE5B65" w:rsidRPr="00AE5B65" w:rsidRDefault="00AE5B65" w:rsidP="00AE5B65">
    <w:pPr>
      <w:pStyle w:val="Footer"/>
      <w:jc w:val="center"/>
      <w:rPr>
        <w:rFonts w:cs="Arial"/>
        <w:sz w:val="14"/>
        <w:szCs w:val="18"/>
      </w:rPr>
    </w:pPr>
    <w:r w:rsidRPr="00AE5B65">
      <w:rPr>
        <w:rFonts w:cs="Arial"/>
        <w:sz w:val="14"/>
        <w:szCs w:val="18"/>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1E65" w14:textId="77777777" w:rsidR="002F0942" w:rsidRDefault="002F0942">
      <w:r>
        <w:separator/>
      </w:r>
    </w:p>
  </w:footnote>
  <w:footnote w:type="continuationSeparator" w:id="0">
    <w:p w14:paraId="33B0ACB2" w14:textId="77777777" w:rsidR="002F0942" w:rsidRDefault="002F0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5CA56B1"/>
    <w:multiLevelType w:val="hybridMultilevel"/>
    <w:tmpl w:val="3E7206E6"/>
    <w:lvl w:ilvl="0" w:tplc="30348A2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2391"/>
        </w:tabs>
        <w:ind w:left="2391" w:hanging="360"/>
      </w:pPr>
      <w:rPr>
        <w:rFonts w:cs="Times New Roman"/>
      </w:rPr>
    </w:lvl>
    <w:lvl w:ilvl="2" w:tplc="0409001B" w:tentative="1">
      <w:start w:val="1"/>
      <w:numFmt w:val="lowerRoman"/>
      <w:lvlText w:val="%3."/>
      <w:lvlJc w:val="right"/>
      <w:pPr>
        <w:tabs>
          <w:tab w:val="num" w:pos="3111"/>
        </w:tabs>
        <w:ind w:left="3111" w:hanging="180"/>
      </w:pPr>
      <w:rPr>
        <w:rFonts w:cs="Times New Roman"/>
      </w:rPr>
    </w:lvl>
    <w:lvl w:ilvl="3" w:tplc="0409000F" w:tentative="1">
      <w:start w:val="1"/>
      <w:numFmt w:val="decimal"/>
      <w:lvlText w:val="%4."/>
      <w:lvlJc w:val="left"/>
      <w:pPr>
        <w:tabs>
          <w:tab w:val="num" w:pos="3831"/>
        </w:tabs>
        <w:ind w:left="3831" w:hanging="360"/>
      </w:pPr>
      <w:rPr>
        <w:rFonts w:cs="Times New Roman"/>
      </w:rPr>
    </w:lvl>
    <w:lvl w:ilvl="4" w:tplc="04090019" w:tentative="1">
      <w:start w:val="1"/>
      <w:numFmt w:val="lowerLetter"/>
      <w:lvlText w:val="%5."/>
      <w:lvlJc w:val="left"/>
      <w:pPr>
        <w:tabs>
          <w:tab w:val="num" w:pos="4551"/>
        </w:tabs>
        <w:ind w:left="4551" w:hanging="360"/>
      </w:pPr>
      <w:rPr>
        <w:rFonts w:cs="Times New Roman"/>
      </w:rPr>
    </w:lvl>
    <w:lvl w:ilvl="5" w:tplc="0409001B" w:tentative="1">
      <w:start w:val="1"/>
      <w:numFmt w:val="lowerRoman"/>
      <w:lvlText w:val="%6."/>
      <w:lvlJc w:val="right"/>
      <w:pPr>
        <w:tabs>
          <w:tab w:val="num" w:pos="5271"/>
        </w:tabs>
        <w:ind w:left="5271" w:hanging="180"/>
      </w:pPr>
      <w:rPr>
        <w:rFonts w:cs="Times New Roman"/>
      </w:rPr>
    </w:lvl>
    <w:lvl w:ilvl="6" w:tplc="0409000F" w:tentative="1">
      <w:start w:val="1"/>
      <w:numFmt w:val="decimal"/>
      <w:lvlText w:val="%7."/>
      <w:lvlJc w:val="left"/>
      <w:pPr>
        <w:tabs>
          <w:tab w:val="num" w:pos="5991"/>
        </w:tabs>
        <w:ind w:left="5991" w:hanging="360"/>
      </w:pPr>
      <w:rPr>
        <w:rFonts w:cs="Times New Roman"/>
      </w:rPr>
    </w:lvl>
    <w:lvl w:ilvl="7" w:tplc="04090019" w:tentative="1">
      <w:start w:val="1"/>
      <w:numFmt w:val="lowerLetter"/>
      <w:lvlText w:val="%8."/>
      <w:lvlJc w:val="left"/>
      <w:pPr>
        <w:tabs>
          <w:tab w:val="num" w:pos="6711"/>
        </w:tabs>
        <w:ind w:left="6711" w:hanging="360"/>
      </w:pPr>
      <w:rPr>
        <w:rFonts w:cs="Times New Roman"/>
      </w:rPr>
    </w:lvl>
    <w:lvl w:ilvl="8" w:tplc="0409001B" w:tentative="1">
      <w:start w:val="1"/>
      <w:numFmt w:val="lowerRoman"/>
      <w:lvlText w:val="%9."/>
      <w:lvlJc w:val="right"/>
      <w:pPr>
        <w:tabs>
          <w:tab w:val="num" w:pos="7431"/>
        </w:tabs>
        <w:ind w:left="7431" w:hanging="180"/>
      </w:pPr>
      <w:rPr>
        <w:rFonts w:cs="Times New Roman"/>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4" w15:restartNumberingAfterBreak="0">
    <w:nsid w:val="0C096E27"/>
    <w:multiLevelType w:val="hybridMultilevel"/>
    <w:tmpl w:val="20FCB9D6"/>
    <w:lvl w:ilvl="0" w:tplc="30348A2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2391"/>
        </w:tabs>
        <w:ind w:left="2391" w:hanging="360"/>
      </w:pPr>
      <w:rPr>
        <w:rFonts w:cs="Times New Roman"/>
      </w:rPr>
    </w:lvl>
    <w:lvl w:ilvl="2" w:tplc="0409001B" w:tentative="1">
      <w:start w:val="1"/>
      <w:numFmt w:val="lowerRoman"/>
      <w:lvlText w:val="%3."/>
      <w:lvlJc w:val="right"/>
      <w:pPr>
        <w:tabs>
          <w:tab w:val="num" w:pos="3111"/>
        </w:tabs>
        <w:ind w:left="3111" w:hanging="180"/>
      </w:pPr>
      <w:rPr>
        <w:rFonts w:cs="Times New Roman"/>
      </w:rPr>
    </w:lvl>
    <w:lvl w:ilvl="3" w:tplc="0409000F" w:tentative="1">
      <w:start w:val="1"/>
      <w:numFmt w:val="decimal"/>
      <w:lvlText w:val="%4."/>
      <w:lvlJc w:val="left"/>
      <w:pPr>
        <w:tabs>
          <w:tab w:val="num" w:pos="3831"/>
        </w:tabs>
        <w:ind w:left="3831" w:hanging="360"/>
      </w:pPr>
      <w:rPr>
        <w:rFonts w:cs="Times New Roman"/>
      </w:rPr>
    </w:lvl>
    <w:lvl w:ilvl="4" w:tplc="04090019" w:tentative="1">
      <w:start w:val="1"/>
      <w:numFmt w:val="lowerLetter"/>
      <w:lvlText w:val="%5."/>
      <w:lvlJc w:val="left"/>
      <w:pPr>
        <w:tabs>
          <w:tab w:val="num" w:pos="4551"/>
        </w:tabs>
        <w:ind w:left="4551" w:hanging="360"/>
      </w:pPr>
      <w:rPr>
        <w:rFonts w:cs="Times New Roman"/>
      </w:rPr>
    </w:lvl>
    <w:lvl w:ilvl="5" w:tplc="0409001B" w:tentative="1">
      <w:start w:val="1"/>
      <w:numFmt w:val="lowerRoman"/>
      <w:lvlText w:val="%6."/>
      <w:lvlJc w:val="right"/>
      <w:pPr>
        <w:tabs>
          <w:tab w:val="num" w:pos="5271"/>
        </w:tabs>
        <w:ind w:left="5271" w:hanging="180"/>
      </w:pPr>
      <w:rPr>
        <w:rFonts w:cs="Times New Roman"/>
      </w:rPr>
    </w:lvl>
    <w:lvl w:ilvl="6" w:tplc="0409000F" w:tentative="1">
      <w:start w:val="1"/>
      <w:numFmt w:val="decimal"/>
      <w:lvlText w:val="%7."/>
      <w:lvlJc w:val="left"/>
      <w:pPr>
        <w:tabs>
          <w:tab w:val="num" w:pos="5991"/>
        </w:tabs>
        <w:ind w:left="5991" w:hanging="360"/>
      </w:pPr>
      <w:rPr>
        <w:rFonts w:cs="Times New Roman"/>
      </w:rPr>
    </w:lvl>
    <w:lvl w:ilvl="7" w:tplc="04090019" w:tentative="1">
      <w:start w:val="1"/>
      <w:numFmt w:val="lowerLetter"/>
      <w:lvlText w:val="%8."/>
      <w:lvlJc w:val="left"/>
      <w:pPr>
        <w:tabs>
          <w:tab w:val="num" w:pos="6711"/>
        </w:tabs>
        <w:ind w:left="6711" w:hanging="360"/>
      </w:pPr>
      <w:rPr>
        <w:rFonts w:cs="Times New Roman"/>
      </w:rPr>
    </w:lvl>
    <w:lvl w:ilvl="8" w:tplc="0409001B" w:tentative="1">
      <w:start w:val="1"/>
      <w:numFmt w:val="lowerRoman"/>
      <w:lvlText w:val="%9."/>
      <w:lvlJc w:val="right"/>
      <w:pPr>
        <w:tabs>
          <w:tab w:val="num" w:pos="7431"/>
        </w:tabs>
        <w:ind w:left="7431" w:hanging="180"/>
      </w:pPr>
      <w:rPr>
        <w:rFonts w:cs="Times New Roman"/>
      </w:r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8A0D6B"/>
    <w:multiLevelType w:val="hybridMultilevel"/>
    <w:tmpl w:val="D6A87A1C"/>
    <w:lvl w:ilvl="0" w:tplc="E54C45E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3C6661B5"/>
    <w:multiLevelType w:val="hybridMultilevel"/>
    <w:tmpl w:val="40AEE754"/>
    <w:lvl w:ilvl="0" w:tplc="E54C45E4">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04940C1"/>
    <w:multiLevelType w:val="hybridMultilevel"/>
    <w:tmpl w:val="EC3C3CB0"/>
    <w:lvl w:ilvl="0" w:tplc="30348A2C">
      <w:start w:val="1"/>
      <w:numFmt w:val="lowerLetter"/>
      <w:lvlText w:val="(%1)"/>
      <w:lvlJc w:val="left"/>
      <w:pPr>
        <w:tabs>
          <w:tab w:val="num" w:pos="1569"/>
        </w:tabs>
        <w:ind w:left="1569"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506376"/>
    <w:multiLevelType w:val="hybridMultilevel"/>
    <w:tmpl w:val="F9A004D6"/>
    <w:lvl w:ilvl="0" w:tplc="E54C45E4">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30348A2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676761"/>
    <w:multiLevelType w:val="hybridMultilevel"/>
    <w:tmpl w:val="63B44AA8"/>
    <w:lvl w:ilvl="0" w:tplc="E54C45E4">
      <w:start w:val="1"/>
      <w:numFmt w:val="decimal"/>
      <w:lvlText w:val="(%1)"/>
      <w:lvlJc w:val="left"/>
      <w:pPr>
        <w:tabs>
          <w:tab w:val="num" w:pos="1494"/>
        </w:tabs>
        <w:ind w:left="1494" w:hanging="360"/>
      </w:pPr>
      <w:rPr>
        <w:rFonts w:cs="Times New Roman" w:hint="default"/>
      </w:rPr>
    </w:lvl>
    <w:lvl w:ilvl="1" w:tplc="04090019">
      <w:start w:val="1"/>
      <w:numFmt w:val="lowerLetter"/>
      <w:lvlText w:val="%2."/>
      <w:lvlJc w:val="left"/>
      <w:pPr>
        <w:tabs>
          <w:tab w:val="num" w:pos="1494"/>
        </w:tabs>
        <w:ind w:left="1494" w:hanging="360"/>
      </w:pPr>
      <w:rPr>
        <w:rFonts w:cs="Times New Roman"/>
      </w:rPr>
    </w:lvl>
    <w:lvl w:ilvl="2" w:tplc="0409001B" w:tentative="1">
      <w:start w:val="1"/>
      <w:numFmt w:val="lowerRoman"/>
      <w:lvlText w:val="%3."/>
      <w:lvlJc w:val="right"/>
      <w:pPr>
        <w:tabs>
          <w:tab w:val="num" w:pos="2214"/>
        </w:tabs>
        <w:ind w:left="2214" w:hanging="180"/>
      </w:pPr>
      <w:rPr>
        <w:rFonts w:cs="Times New Roman"/>
      </w:rPr>
    </w:lvl>
    <w:lvl w:ilvl="3" w:tplc="0409000F" w:tentative="1">
      <w:start w:val="1"/>
      <w:numFmt w:val="decimal"/>
      <w:lvlText w:val="%4."/>
      <w:lvlJc w:val="left"/>
      <w:pPr>
        <w:tabs>
          <w:tab w:val="num" w:pos="2934"/>
        </w:tabs>
        <w:ind w:left="2934" w:hanging="360"/>
      </w:pPr>
      <w:rPr>
        <w:rFonts w:cs="Times New Roman"/>
      </w:rPr>
    </w:lvl>
    <w:lvl w:ilvl="4" w:tplc="04090019" w:tentative="1">
      <w:start w:val="1"/>
      <w:numFmt w:val="lowerLetter"/>
      <w:lvlText w:val="%5."/>
      <w:lvlJc w:val="left"/>
      <w:pPr>
        <w:tabs>
          <w:tab w:val="num" w:pos="3654"/>
        </w:tabs>
        <w:ind w:left="3654" w:hanging="360"/>
      </w:pPr>
      <w:rPr>
        <w:rFonts w:cs="Times New Roman"/>
      </w:rPr>
    </w:lvl>
    <w:lvl w:ilvl="5" w:tplc="0409001B" w:tentative="1">
      <w:start w:val="1"/>
      <w:numFmt w:val="lowerRoman"/>
      <w:lvlText w:val="%6."/>
      <w:lvlJc w:val="right"/>
      <w:pPr>
        <w:tabs>
          <w:tab w:val="num" w:pos="4374"/>
        </w:tabs>
        <w:ind w:left="4374" w:hanging="180"/>
      </w:pPr>
      <w:rPr>
        <w:rFonts w:cs="Times New Roman"/>
      </w:rPr>
    </w:lvl>
    <w:lvl w:ilvl="6" w:tplc="0409000F" w:tentative="1">
      <w:start w:val="1"/>
      <w:numFmt w:val="decimal"/>
      <w:lvlText w:val="%7."/>
      <w:lvlJc w:val="left"/>
      <w:pPr>
        <w:tabs>
          <w:tab w:val="num" w:pos="5094"/>
        </w:tabs>
        <w:ind w:left="5094" w:hanging="360"/>
      </w:pPr>
      <w:rPr>
        <w:rFonts w:cs="Times New Roman"/>
      </w:rPr>
    </w:lvl>
    <w:lvl w:ilvl="7" w:tplc="04090019" w:tentative="1">
      <w:start w:val="1"/>
      <w:numFmt w:val="lowerLetter"/>
      <w:lvlText w:val="%8."/>
      <w:lvlJc w:val="left"/>
      <w:pPr>
        <w:tabs>
          <w:tab w:val="num" w:pos="5814"/>
        </w:tabs>
        <w:ind w:left="5814" w:hanging="360"/>
      </w:pPr>
      <w:rPr>
        <w:rFonts w:cs="Times New Roman"/>
      </w:rPr>
    </w:lvl>
    <w:lvl w:ilvl="8" w:tplc="0409001B" w:tentative="1">
      <w:start w:val="1"/>
      <w:numFmt w:val="lowerRoman"/>
      <w:lvlText w:val="%9."/>
      <w:lvlJc w:val="right"/>
      <w:pPr>
        <w:tabs>
          <w:tab w:val="num" w:pos="6534"/>
        </w:tabs>
        <w:ind w:left="6534" w:hanging="180"/>
      </w:pPr>
      <w:rPr>
        <w:rFonts w:cs="Times New Roman"/>
      </w:rPr>
    </w:lvl>
  </w:abstractNum>
  <w:abstractNum w:abstractNumId="14" w15:restartNumberingAfterBreak="0">
    <w:nsid w:val="5E0112A2"/>
    <w:multiLevelType w:val="hybridMultilevel"/>
    <w:tmpl w:val="0382128E"/>
    <w:lvl w:ilvl="0" w:tplc="E54C45E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64793AC1"/>
    <w:multiLevelType w:val="hybridMultilevel"/>
    <w:tmpl w:val="03947EF4"/>
    <w:lvl w:ilvl="0" w:tplc="DE2247CA">
      <w:start w:val="1"/>
      <w:numFmt w:val="lowerLetter"/>
      <w:lvlText w:val="%1."/>
      <w:lvlJc w:val="left"/>
      <w:pPr>
        <w:ind w:left="1069" w:hanging="360"/>
      </w:pPr>
      <w:rPr>
        <w:rFonts w:cs="Times New Roman" w:hint="default"/>
        <w:i w:val="0"/>
        <w:iCs w:val="0"/>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16" w15:restartNumberingAfterBreak="0">
    <w:nsid w:val="68804C4E"/>
    <w:multiLevelType w:val="hybridMultilevel"/>
    <w:tmpl w:val="1980C290"/>
    <w:lvl w:ilvl="0" w:tplc="30348A2C">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231"/>
        </w:tabs>
        <w:ind w:left="231" w:hanging="360"/>
      </w:pPr>
      <w:rPr>
        <w:rFonts w:cs="Times New Roman"/>
      </w:rPr>
    </w:lvl>
    <w:lvl w:ilvl="2" w:tplc="0409001B" w:tentative="1">
      <w:start w:val="1"/>
      <w:numFmt w:val="lowerRoman"/>
      <w:lvlText w:val="%3."/>
      <w:lvlJc w:val="right"/>
      <w:pPr>
        <w:tabs>
          <w:tab w:val="num" w:pos="951"/>
        </w:tabs>
        <w:ind w:left="951" w:hanging="180"/>
      </w:pPr>
      <w:rPr>
        <w:rFonts w:cs="Times New Roman"/>
      </w:rPr>
    </w:lvl>
    <w:lvl w:ilvl="3" w:tplc="0409000F" w:tentative="1">
      <w:start w:val="1"/>
      <w:numFmt w:val="decimal"/>
      <w:lvlText w:val="%4."/>
      <w:lvlJc w:val="left"/>
      <w:pPr>
        <w:tabs>
          <w:tab w:val="num" w:pos="1671"/>
        </w:tabs>
        <w:ind w:left="1671" w:hanging="360"/>
      </w:pPr>
      <w:rPr>
        <w:rFonts w:cs="Times New Roman"/>
      </w:rPr>
    </w:lvl>
    <w:lvl w:ilvl="4" w:tplc="04090019" w:tentative="1">
      <w:start w:val="1"/>
      <w:numFmt w:val="lowerLetter"/>
      <w:lvlText w:val="%5."/>
      <w:lvlJc w:val="left"/>
      <w:pPr>
        <w:tabs>
          <w:tab w:val="num" w:pos="2391"/>
        </w:tabs>
        <w:ind w:left="2391" w:hanging="360"/>
      </w:pPr>
      <w:rPr>
        <w:rFonts w:cs="Times New Roman"/>
      </w:rPr>
    </w:lvl>
    <w:lvl w:ilvl="5" w:tplc="0409001B" w:tentative="1">
      <w:start w:val="1"/>
      <w:numFmt w:val="lowerRoman"/>
      <w:lvlText w:val="%6."/>
      <w:lvlJc w:val="right"/>
      <w:pPr>
        <w:tabs>
          <w:tab w:val="num" w:pos="3111"/>
        </w:tabs>
        <w:ind w:left="3111" w:hanging="180"/>
      </w:pPr>
      <w:rPr>
        <w:rFonts w:cs="Times New Roman"/>
      </w:rPr>
    </w:lvl>
    <w:lvl w:ilvl="6" w:tplc="0409000F" w:tentative="1">
      <w:start w:val="1"/>
      <w:numFmt w:val="decimal"/>
      <w:lvlText w:val="%7."/>
      <w:lvlJc w:val="left"/>
      <w:pPr>
        <w:tabs>
          <w:tab w:val="num" w:pos="3831"/>
        </w:tabs>
        <w:ind w:left="3831" w:hanging="360"/>
      </w:pPr>
      <w:rPr>
        <w:rFonts w:cs="Times New Roman"/>
      </w:rPr>
    </w:lvl>
    <w:lvl w:ilvl="7" w:tplc="04090019" w:tentative="1">
      <w:start w:val="1"/>
      <w:numFmt w:val="lowerLetter"/>
      <w:lvlText w:val="%8."/>
      <w:lvlJc w:val="left"/>
      <w:pPr>
        <w:tabs>
          <w:tab w:val="num" w:pos="4551"/>
        </w:tabs>
        <w:ind w:left="4551" w:hanging="360"/>
      </w:pPr>
      <w:rPr>
        <w:rFonts w:cs="Times New Roman"/>
      </w:rPr>
    </w:lvl>
    <w:lvl w:ilvl="8" w:tplc="0409001B" w:tentative="1">
      <w:start w:val="1"/>
      <w:numFmt w:val="lowerRoman"/>
      <w:lvlText w:val="%9."/>
      <w:lvlJc w:val="right"/>
      <w:pPr>
        <w:tabs>
          <w:tab w:val="num" w:pos="5271"/>
        </w:tabs>
        <w:ind w:left="5271" w:hanging="180"/>
      </w:pPr>
      <w:rPr>
        <w:rFonts w:cs="Times New Roman"/>
      </w:rPr>
    </w:lvl>
  </w:abstractNum>
  <w:abstractNum w:abstractNumId="1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15:restartNumberingAfterBreak="0">
    <w:nsid w:val="727C5A25"/>
    <w:multiLevelType w:val="hybridMultilevel"/>
    <w:tmpl w:val="EDA4357C"/>
    <w:lvl w:ilvl="0" w:tplc="30348A2C">
      <w:start w:val="1"/>
      <w:numFmt w:val="lowerLetter"/>
      <w:lvlText w:val="(%1)"/>
      <w:lvlJc w:val="left"/>
      <w:pPr>
        <w:tabs>
          <w:tab w:val="num" w:pos="1569"/>
        </w:tabs>
        <w:ind w:left="1569"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5"/>
  </w:num>
  <w:num w:numId="4">
    <w:abstractNumId w:val="9"/>
  </w:num>
  <w:num w:numId="5">
    <w:abstractNumId w:val="17"/>
  </w:num>
  <w:num w:numId="6">
    <w:abstractNumId w:val="2"/>
  </w:num>
  <w:num w:numId="7">
    <w:abstractNumId w:val="7"/>
  </w:num>
  <w:num w:numId="8">
    <w:abstractNumId w:val="8"/>
  </w:num>
  <w:num w:numId="9">
    <w:abstractNumId w:val="14"/>
  </w:num>
  <w:num w:numId="10">
    <w:abstractNumId w:val="13"/>
  </w:num>
  <w:num w:numId="11">
    <w:abstractNumId w:val="12"/>
  </w:num>
  <w:num w:numId="12">
    <w:abstractNumId w:val="16"/>
  </w:num>
  <w:num w:numId="13">
    <w:abstractNumId w:val="11"/>
  </w:num>
  <w:num w:numId="14">
    <w:abstractNumId w:val="10"/>
  </w:num>
  <w:num w:numId="15">
    <w:abstractNumId w:val="1"/>
  </w:num>
  <w:num w:numId="16">
    <w:abstractNumId w:val="4"/>
  </w:num>
  <w:num w:numId="17">
    <w:abstractNumId w:val="18"/>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5ECD"/>
    <w:rsid w:val="00071E9A"/>
    <w:rsid w:val="00160CD8"/>
    <w:rsid w:val="00173778"/>
    <w:rsid w:val="0029073E"/>
    <w:rsid w:val="00294230"/>
    <w:rsid w:val="002E3CE7"/>
    <w:rsid w:val="002F0942"/>
    <w:rsid w:val="003078BE"/>
    <w:rsid w:val="00351CFE"/>
    <w:rsid w:val="003E5EEC"/>
    <w:rsid w:val="00433988"/>
    <w:rsid w:val="004350C2"/>
    <w:rsid w:val="004537BD"/>
    <w:rsid w:val="0046441D"/>
    <w:rsid w:val="00465492"/>
    <w:rsid w:val="00557FD1"/>
    <w:rsid w:val="00575ECD"/>
    <w:rsid w:val="005950B0"/>
    <w:rsid w:val="005C6BEB"/>
    <w:rsid w:val="006466DD"/>
    <w:rsid w:val="00671CF8"/>
    <w:rsid w:val="007C39D8"/>
    <w:rsid w:val="0096160F"/>
    <w:rsid w:val="009660AA"/>
    <w:rsid w:val="009D01D4"/>
    <w:rsid w:val="009E2A2E"/>
    <w:rsid w:val="00A44440"/>
    <w:rsid w:val="00AE5B65"/>
    <w:rsid w:val="00C35C35"/>
    <w:rsid w:val="00D21E29"/>
    <w:rsid w:val="00DA71B3"/>
    <w:rsid w:val="00DC1B40"/>
    <w:rsid w:val="00DE4019"/>
    <w:rsid w:val="00EE689F"/>
    <w:rsid w:val="00F40ABE"/>
    <w:rsid w:val="00F45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5199A"/>
  <w14:defaultImageDpi w14:val="0"/>
  <w15:docId w15:val="{9C77D5D4-5459-4393-AFC4-BF8A2ED9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0"/>
      <w:lang w:eastAsia="en-US"/>
    </w:rPr>
  </w:style>
  <w:style w:type="paragraph" w:styleId="Heading1">
    <w:name w:val="heading 1"/>
    <w:basedOn w:val="Normal"/>
    <w:next w:val="Normal"/>
    <w:link w:val="Heading1Char"/>
    <w:uiPriority w:val="99"/>
    <w:qFormat/>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9"/>
    <w:qFormat/>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9"/>
    <w:qFormat/>
    <w:pPr>
      <w:keepNext/>
      <w:pBdr>
        <w:right w:val="single" w:sz="4" w:space="4" w:color="auto"/>
      </w:pBdr>
      <w:outlineLvl w:val="2"/>
    </w:pPr>
    <w:rPr>
      <w:i/>
      <w:iCs/>
      <w:sz w:val="22"/>
      <w:szCs w:val="22"/>
    </w:rPr>
  </w:style>
  <w:style w:type="paragraph" w:styleId="Heading4">
    <w:name w:val="heading 4"/>
    <w:basedOn w:val="Normal"/>
    <w:next w:val="Normal"/>
    <w:link w:val="Heading4Char"/>
    <w:uiPriority w:val="99"/>
    <w:qFormat/>
    <w:pPr>
      <w:keepNext/>
      <w:pBdr>
        <w:right w:val="single" w:sz="4" w:space="4" w:color="auto"/>
      </w:pBdr>
      <w:ind w:left="743" w:hanging="709"/>
      <w:outlineLvl w:val="3"/>
    </w:pPr>
    <w:rPr>
      <w:i/>
      <w:iCs/>
      <w:sz w:val="22"/>
      <w:szCs w:val="22"/>
    </w:rPr>
  </w:style>
  <w:style w:type="paragraph" w:styleId="Heading5">
    <w:name w:val="heading 5"/>
    <w:basedOn w:val="Normal"/>
    <w:next w:val="Normal"/>
    <w:link w:val="Heading5Char"/>
    <w:uiPriority w:val="99"/>
    <w:qFormat/>
    <w:pPr>
      <w:keepNext/>
      <w:tabs>
        <w:tab w:val="left" w:pos="993"/>
      </w:tabs>
      <w:ind w:left="993"/>
      <w:outlineLvl w:val="4"/>
    </w:pPr>
    <w:rPr>
      <w:i/>
      <w:i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paragraph" w:styleId="Title">
    <w:name w:val="Title"/>
    <w:basedOn w:val="Normal"/>
    <w:link w:val="TitleChar"/>
    <w:uiPriority w:val="99"/>
    <w:qFormat/>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customStyle="1" w:styleId="Billname">
    <w:name w:val="Billname"/>
    <w:basedOn w:val="Normal"/>
    <w:uiPriority w:val="99"/>
    <w:pPr>
      <w:tabs>
        <w:tab w:val="left" w:pos="2400"/>
        <w:tab w:val="left" w:pos="2880"/>
      </w:tabs>
      <w:spacing w:before="1220" w:after="100"/>
    </w:pPr>
    <w:rPr>
      <w:rFonts w:ascii="Arial" w:hAnsi="Arial"/>
      <w:b/>
      <w:sz w:val="40"/>
    </w:rPr>
  </w:style>
  <w:style w:type="paragraph" w:customStyle="1" w:styleId="Amain">
    <w:name w:val="A main"/>
    <w:basedOn w:val="Normal"/>
    <w:uiPriority w:val="99"/>
    <w:pPr>
      <w:tabs>
        <w:tab w:val="right" w:pos="500"/>
        <w:tab w:val="left" w:pos="700"/>
      </w:tabs>
      <w:spacing w:before="80" w:after="60"/>
      <w:ind w:left="700" w:hanging="700"/>
      <w:jc w:val="both"/>
      <w:outlineLvl w:val="5"/>
    </w:pPr>
  </w:style>
  <w:style w:type="paragraph" w:customStyle="1" w:styleId="N-line3">
    <w:name w:val="N-line3"/>
    <w:basedOn w:val="Normal"/>
    <w:next w:val="Normal"/>
    <w:uiPriority w:val="99"/>
    <w:pPr>
      <w:pBdr>
        <w:bottom w:val="single" w:sz="12" w:space="1" w:color="auto"/>
      </w:pBdr>
      <w:jc w:val="both"/>
    </w:pPr>
  </w:style>
  <w:style w:type="paragraph" w:customStyle="1" w:styleId="madeunder">
    <w:name w:val="made under"/>
    <w:basedOn w:val="Normal"/>
    <w:uiPriority w:val="99"/>
    <w:pPr>
      <w:spacing w:before="180" w:after="60"/>
      <w:jc w:val="both"/>
    </w:pPr>
  </w:style>
  <w:style w:type="paragraph" w:customStyle="1" w:styleId="CoverActName">
    <w:name w:val="CoverActName"/>
    <w:basedOn w:val="Normal"/>
    <w:uiPriority w:val="99"/>
    <w:pPr>
      <w:tabs>
        <w:tab w:val="left" w:pos="2600"/>
      </w:tabs>
      <w:spacing w:before="200" w:after="60"/>
      <w:jc w:val="both"/>
    </w:pPr>
    <w:rPr>
      <w:rFonts w:ascii="Arial" w:hAnsi="Arial"/>
      <w:b/>
    </w:rPr>
  </w:style>
  <w:style w:type="paragraph" w:customStyle="1" w:styleId="06Copyright">
    <w:name w:val="06Copyright"/>
    <w:basedOn w:val="Normal"/>
    <w:uiPriority w:val="99"/>
    <w:pPr>
      <w:tabs>
        <w:tab w:val="left" w:pos="2880"/>
      </w:tabs>
    </w:pPr>
  </w:style>
  <w:style w:type="paragraph" w:customStyle="1" w:styleId="Apara">
    <w:name w:val="A para"/>
    <w:basedOn w:val="Normal"/>
    <w:uiPriority w:val="99"/>
    <w:pPr>
      <w:numPr>
        <w:ilvl w:val="6"/>
        <w:numId w:val="227"/>
      </w:numPr>
      <w:spacing w:before="80" w:after="60"/>
      <w:jc w:val="both"/>
      <w:outlineLvl w:val="6"/>
    </w:pPr>
  </w:style>
  <w:style w:type="paragraph" w:customStyle="1" w:styleId="Asubpara">
    <w:name w:val="A subpara"/>
    <w:basedOn w:val="Normal"/>
    <w:uiPriority w:val="99"/>
    <w:pPr>
      <w:numPr>
        <w:ilvl w:val="7"/>
        <w:numId w:val="227"/>
      </w:numPr>
      <w:spacing w:before="80" w:after="60"/>
      <w:jc w:val="both"/>
      <w:outlineLvl w:val="7"/>
    </w:pPr>
  </w:style>
  <w:style w:type="paragraph" w:customStyle="1" w:styleId="Asubsubpara">
    <w:name w:val="A subsubpara"/>
    <w:basedOn w:val="Normal"/>
    <w:uiPriority w:val="99"/>
    <w:pPr>
      <w:numPr>
        <w:ilvl w:val="8"/>
        <w:numId w:val="227"/>
      </w:numPr>
      <w:spacing w:before="80" w:after="60"/>
      <w:jc w:val="both"/>
      <w:outlineLvl w:val="8"/>
    </w:pPr>
  </w:style>
  <w:style w:type="paragraph" w:customStyle="1" w:styleId="AH5Sec">
    <w:name w:val="A H5 Sec"/>
    <w:basedOn w:val="Normal"/>
    <w:next w:val="Amain"/>
    <w:uiPriority w:val="99"/>
    <w:pPr>
      <w:keepNext/>
      <w:numPr>
        <w:ilvl w:val="4"/>
        <w:numId w:val="1"/>
      </w:numPr>
      <w:spacing w:before="180" w:after="60"/>
      <w:outlineLvl w:val="4"/>
    </w:pPr>
    <w:rPr>
      <w:rFonts w:ascii="Arial" w:hAnsi="Arial"/>
      <w:b/>
    </w:rPr>
  </w:style>
  <w:style w:type="paragraph" w:styleId="Header">
    <w:name w:val="header"/>
    <w:basedOn w:val="Normal"/>
    <w:link w:val="HeaderChar"/>
    <w:uiPriority w:val="99"/>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customStyle="1" w:styleId="ref">
    <w:name w:val="ref"/>
    <w:basedOn w:val="Normal"/>
    <w:next w:val="Normal"/>
    <w:uiPriority w:val="99"/>
    <w:pPr>
      <w:spacing w:after="60"/>
      <w:jc w:val="both"/>
    </w:pPr>
    <w:rPr>
      <w:sz w:val="18"/>
    </w:rPr>
  </w:style>
  <w:style w:type="character" w:customStyle="1" w:styleId="CharDivText">
    <w:name w:val="CharDivText"/>
    <w:basedOn w:val="DefaultParagraphFont"/>
    <w:uiPriority w:val="99"/>
    <w:rPr>
      <w:rFonts w:cs="Times New Roman"/>
    </w:rPr>
  </w:style>
  <w:style w:type="paragraph" w:customStyle="1" w:styleId="CoverInForce">
    <w:name w:val="CoverInForce"/>
    <w:basedOn w:val="Normal"/>
    <w:uiPriority w:val="99"/>
    <w:pPr>
      <w:tabs>
        <w:tab w:val="left" w:pos="2600"/>
      </w:tabs>
      <w:spacing w:before="200" w:after="60"/>
      <w:jc w:val="both"/>
    </w:pPr>
    <w:rPr>
      <w:rFonts w:ascii="Arial" w:hAnsi="Arial"/>
    </w:rPr>
  </w:style>
  <w:style w:type="paragraph" w:customStyle="1" w:styleId="AFHdg">
    <w:name w:val="AFHdg"/>
    <w:basedOn w:val="Normal"/>
    <w:uiPriority w:val="99"/>
    <w:pPr>
      <w:tabs>
        <w:tab w:val="left" w:pos="2600"/>
      </w:tabs>
      <w:spacing w:before="80" w:after="60"/>
      <w:jc w:val="both"/>
    </w:pPr>
    <w:rPr>
      <w:rFonts w:ascii="Arial" w:hAnsi="Arial"/>
      <w:b/>
      <w:sz w:val="32"/>
    </w:rPr>
  </w:style>
  <w:style w:type="paragraph" w:customStyle="1" w:styleId="ApprFormHd">
    <w:name w:val="ApprFormHd"/>
    <w:basedOn w:val="Normal"/>
    <w:uiPriority w:val="99"/>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Pr>
      <w:rFonts w:cs="Times New Roman"/>
    </w:rPr>
  </w:style>
  <w:style w:type="paragraph" w:customStyle="1" w:styleId="Aparabullet">
    <w:name w:val="A para bullet"/>
    <w:basedOn w:val="Normal"/>
    <w:uiPriority w:val="99"/>
    <w:pPr>
      <w:numPr>
        <w:numId w:val="4"/>
      </w:numPr>
    </w:p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character" w:styleId="Hyperlink">
    <w:name w:val="Hyperlink"/>
    <w:basedOn w:val="DefaultParagraphFont"/>
    <w:uiPriority w:val="99"/>
    <w:rPr>
      <w:rFonts w:cs="Times New Roman"/>
      <w:color w:val="0000FF"/>
      <w:u w:val="single"/>
    </w:rPr>
  </w:style>
  <w:style w:type="paragraph" w:styleId="BodyTextIndent">
    <w:name w:val="Body Text Indent"/>
    <w:basedOn w:val="Normal"/>
    <w:link w:val="BodyTextIndentChar"/>
    <w:uiPriority w:val="99"/>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0"/>
      <w:szCs w:val="20"/>
      <w:lang w:val="x-none" w:eastAsia="en-US"/>
    </w:rPr>
  </w:style>
  <w:style w:type="paragraph" w:customStyle="1" w:styleId="Minister">
    <w:name w:val="Minister"/>
    <w:basedOn w:val="Normal"/>
    <w:uiPriority w:val="99"/>
    <w:pPr>
      <w:spacing w:before="880" w:after="60"/>
      <w:jc w:val="right"/>
    </w:pPr>
    <w:rPr>
      <w:caps/>
      <w:szCs w:val="24"/>
    </w:rPr>
  </w:style>
  <w:style w:type="paragraph" w:customStyle="1" w:styleId="DateLine">
    <w:name w:val="DateLine"/>
    <w:basedOn w:val="Normal"/>
    <w:uiPriority w:val="99"/>
    <w:pPr>
      <w:tabs>
        <w:tab w:val="left" w:pos="4320"/>
      </w:tabs>
      <w:spacing w:before="80" w:after="60"/>
      <w:jc w:val="both"/>
    </w:pPr>
    <w:rPr>
      <w:szCs w:val="24"/>
    </w:rPr>
  </w:style>
  <w:style w:type="paragraph" w:customStyle="1" w:styleId="MinisterWord">
    <w:name w:val="MinisterWord"/>
    <w:basedOn w:val="Normal"/>
    <w:uiPriority w:val="99"/>
    <w:pPr>
      <w:tabs>
        <w:tab w:val="left" w:pos="2880"/>
      </w:tabs>
      <w:jc w:val="right"/>
    </w:pPr>
    <w:rPr>
      <w:szCs w:val="24"/>
    </w:rPr>
  </w:style>
  <w:style w:type="character" w:styleId="FollowedHyperlink">
    <w:name w:val="FollowedHyperlink"/>
    <w:basedOn w:val="DefaultParagraphFont"/>
    <w:uiPriority w:val="99"/>
    <w:rPr>
      <w:rFonts w:cs="Times New Roman"/>
      <w:color w:val="800080"/>
      <w:u w:val="single"/>
    </w:rPr>
  </w:style>
  <w:style w:type="character" w:styleId="FootnoteReference">
    <w:name w:val="footnote reference"/>
    <w:basedOn w:val="DefaultParagraphFont"/>
    <w:uiPriority w:val="99"/>
    <w:semiHidden/>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sz w:val="20"/>
      <w:szCs w:val="20"/>
      <w:lang w:val="x-none" w:eastAsia="en-US"/>
    </w:rPr>
  </w:style>
  <w:style w:type="paragraph" w:customStyle="1" w:styleId="ShadedSchClause">
    <w:name w:val="Shaded Sch Clause"/>
    <w:basedOn w:val="Normal"/>
    <w:next w:val="Normal"/>
    <w:uiPriority w:val="99"/>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uiPriority w:val="99"/>
    <w:rPr>
      <w:rFonts w:cs="Times New Roman"/>
    </w:rPr>
  </w:style>
  <w:style w:type="paragraph" w:styleId="BodyText">
    <w:name w:val="Body Text"/>
    <w:basedOn w:val="Normal"/>
    <w:link w:val="BodyTextChar"/>
    <w:uiPriority w:val="99"/>
    <w:pPr>
      <w:pBdr>
        <w:top w:val="single" w:sz="4" w:space="1" w:color="auto"/>
      </w:pBdr>
      <w:tabs>
        <w:tab w:val="left" w:pos="4320"/>
      </w:tabs>
    </w:p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Indent2">
    <w:name w:val="Body Text Indent 2"/>
    <w:basedOn w:val="Normal"/>
    <w:link w:val="BodyTextIndent2Char"/>
    <w:uiPriority w:val="99"/>
    <w:pPr>
      <w:tabs>
        <w:tab w:val="left" w:pos="1134"/>
        <w:tab w:val="left" w:pos="4320"/>
      </w:tabs>
      <w:ind w:left="2160"/>
    </w:pPr>
  </w:style>
  <w:style w:type="character" w:customStyle="1" w:styleId="BodyTextIndent2Char">
    <w:name w:val="Body Text Indent 2 Char"/>
    <w:basedOn w:val="DefaultParagraphFont"/>
    <w:link w:val="BodyTextIndent2"/>
    <w:uiPriority w:val="99"/>
    <w:semiHidden/>
    <w:locked/>
    <w:rPr>
      <w:rFonts w:cs="Times New Roman"/>
      <w:sz w:val="20"/>
      <w:szCs w:val="20"/>
      <w:lang w:val="x-none" w:eastAsia="en-US"/>
    </w:rPr>
  </w:style>
  <w:style w:type="paragraph" w:styleId="BodyTextIndent3">
    <w:name w:val="Body Text Indent 3"/>
    <w:basedOn w:val="Normal"/>
    <w:link w:val="BodyTextIndent3Char"/>
    <w:uiPriority w:val="99"/>
    <w:pPr>
      <w:tabs>
        <w:tab w:val="left" w:pos="1134"/>
        <w:tab w:val="left" w:pos="4320"/>
      </w:tabs>
      <w:ind w:left="720"/>
    </w:p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 w:type="character" w:styleId="CommentReference">
    <w:name w:val="annotation reference"/>
    <w:basedOn w:val="DefaultParagraphFont"/>
    <w:uiPriority w:val="99"/>
    <w:semiHidden/>
    <w:unhideWhenUsed/>
    <w:rsid w:val="00DC1B40"/>
    <w:rPr>
      <w:rFonts w:cs="Times New Roman"/>
      <w:sz w:val="16"/>
      <w:szCs w:val="16"/>
    </w:rPr>
  </w:style>
  <w:style w:type="paragraph" w:styleId="CommentText">
    <w:name w:val="annotation text"/>
    <w:basedOn w:val="Normal"/>
    <w:link w:val="CommentTextChar"/>
    <w:uiPriority w:val="99"/>
    <w:semiHidden/>
    <w:unhideWhenUsed/>
    <w:rsid w:val="00DC1B40"/>
    <w:rPr>
      <w:sz w:val="20"/>
    </w:rPr>
  </w:style>
  <w:style w:type="character" w:customStyle="1" w:styleId="CommentTextChar">
    <w:name w:val="Comment Text Char"/>
    <w:basedOn w:val="DefaultParagraphFont"/>
    <w:link w:val="CommentText"/>
    <w:uiPriority w:val="99"/>
    <w:semiHidden/>
    <w:locked/>
    <w:rsid w:val="00DC1B40"/>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DC1B40"/>
    <w:rPr>
      <w:b/>
      <w:bCs/>
    </w:rPr>
  </w:style>
  <w:style w:type="character" w:customStyle="1" w:styleId="CommentSubjectChar">
    <w:name w:val="Comment Subject Char"/>
    <w:basedOn w:val="CommentTextChar"/>
    <w:link w:val="CommentSubject"/>
    <w:uiPriority w:val="99"/>
    <w:semiHidden/>
    <w:locked/>
    <w:rsid w:val="00DC1B40"/>
    <w:rPr>
      <w:rFonts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2823">
      <w:marLeft w:val="0"/>
      <w:marRight w:val="0"/>
      <w:marTop w:val="0"/>
      <w:marBottom w:val="0"/>
      <w:divBdr>
        <w:top w:val="none" w:sz="0" w:space="0" w:color="auto"/>
        <w:left w:val="none" w:sz="0" w:space="0" w:color="auto"/>
        <w:bottom w:val="none" w:sz="0" w:space="0" w:color="auto"/>
        <w:right w:val="none" w:sz="0" w:space="0" w:color="auto"/>
      </w:divBdr>
    </w:div>
    <w:div w:id="2041728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D5D46-F880-46A8-A3EB-46886782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1954</Words>
  <Characters>11551</Characters>
  <Application>Microsoft Office Word</Application>
  <DocSecurity>0</DocSecurity>
  <Lines>320</Lines>
  <Paragraphs>166</Paragraphs>
  <ScaleCrop>false</ScaleCrop>
  <Company>InTACT</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Anna Anderberg-Hewitt</dc:creator>
  <cp:keywords/>
  <dc:description/>
  <cp:lastModifiedBy>Moxon, KarenL</cp:lastModifiedBy>
  <cp:revision>2</cp:revision>
  <cp:lastPrinted>2008-03-31T01:07:00Z</cp:lastPrinted>
  <dcterms:created xsi:type="dcterms:W3CDTF">2022-06-30T07:00:00Z</dcterms:created>
  <dcterms:modified xsi:type="dcterms:W3CDTF">2022-06-30T07:00:00Z</dcterms:modified>
</cp:coreProperties>
</file>