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E105" w14:textId="77777777" w:rsidR="00542923" w:rsidRPr="00542923" w:rsidRDefault="00542923" w:rsidP="00542923">
      <w:pPr>
        <w:spacing w:before="120" w:after="160" w:line="276" w:lineRule="auto"/>
        <w:jc w:val="both"/>
        <w:rPr>
          <w:rFonts w:ascii="Arial" w:eastAsia="Calibri" w:hAnsi="Arial" w:cs="Arial"/>
          <w:color w:val="auto"/>
          <w:sz w:val="22"/>
          <w:szCs w:val="22"/>
        </w:rPr>
      </w:pPr>
      <w:bookmarkStart w:id="0" w:name="_Toc44738651"/>
      <w:r w:rsidRPr="00542923">
        <w:rPr>
          <w:rFonts w:ascii="Arial" w:eastAsia="Calibri" w:hAnsi="Arial" w:cs="Arial"/>
          <w:color w:val="auto"/>
          <w:sz w:val="22"/>
          <w:szCs w:val="22"/>
        </w:rPr>
        <w:t>Australian Capital Territory</w:t>
      </w:r>
    </w:p>
    <w:p w14:paraId="12E67C46" w14:textId="7ABCD62E" w:rsidR="00542923" w:rsidRPr="00542923" w:rsidRDefault="00542923" w:rsidP="00542923">
      <w:pPr>
        <w:spacing w:before="340" w:after="160" w:line="276" w:lineRule="auto"/>
        <w:jc w:val="both"/>
        <w:rPr>
          <w:rFonts w:ascii="Arial" w:eastAsia="Times New Roman" w:hAnsi="Arial" w:cs="Times New Roman"/>
          <w:b/>
          <w:color w:val="auto"/>
          <w:sz w:val="40"/>
        </w:rPr>
      </w:pPr>
      <w:r w:rsidRPr="00542923">
        <w:rPr>
          <w:rFonts w:ascii="Arial" w:eastAsia="Times New Roman" w:hAnsi="Arial" w:cs="Times New Roman"/>
          <w:b/>
          <w:color w:val="auto"/>
          <w:sz w:val="40"/>
        </w:rPr>
        <w:t xml:space="preserve">Integrity Commission (Information) Guidelines </w:t>
      </w:r>
      <w:r>
        <w:rPr>
          <w:rFonts w:ascii="Arial" w:eastAsia="Times New Roman" w:hAnsi="Arial" w:cs="Times New Roman"/>
          <w:b/>
          <w:color w:val="auto"/>
          <w:sz w:val="40"/>
        </w:rPr>
        <w:t>2022</w:t>
      </w:r>
    </w:p>
    <w:p w14:paraId="2F3A3BC8" w14:textId="355642D5" w:rsidR="00542923" w:rsidRPr="00542923" w:rsidRDefault="00542923" w:rsidP="00542923">
      <w:pPr>
        <w:spacing w:before="340" w:after="160" w:line="276" w:lineRule="auto"/>
        <w:jc w:val="both"/>
        <w:rPr>
          <w:rFonts w:ascii="Arial" w:eastAsia="Calibri" w:hAnsi="Arial" w:cs="Arial"/>
          <w:b/>
          <w:bCs/>
          <w:color w:val="auto"/>
          <w:sz w:val="22"/>
          <w:szCs w:val="22"/>
        </w:rPr>
      </w:pPr>
      <w:r w:rsidRPr="00542923">
        <w:rPr>
          <w:rFonts w:ascii="Arial" w:eastAsia="Calibri" w:hAnsi="Arial" w:cs="Arial"/>
          <w:b/>
          <w:bCs/>
          <w:color w:val="auto"/>
          <w:sz w:val="22"/>
          <w:szCs w:val="22"/>
        </w:rPr>
        <w:t>Notifiable instrument NI202</w:t>
      </w:r>
      <w:r>
        <w:rPr>
          <w:rFonts w:ascii="Arial" w:eastAsia="Calibri" w:hAnsi="Arial" w:cs="Arial"/>
          <w:b/>
          <w:bCs/>
          <w:color w:val="auto"/>
          <w:sz w:val="22"/>
          <w:szCs w:val="22"/>
        </w:rPr>
        <w:t>2</w:t>
      </w:r>
      <w:r w:rsidRPr="00542923">
        <w:rPr>
          <w:rFonts w:ascii="Arial" w:eastAsia="Calibri" w:hAnsi="Arial" w:cs="Arial"/>
          <w:b/>
          <w:bCs/>
          <w:color w:val="auto"/>
          <w:sz w:val="22"/>
          <w:szCs w:val="22"/>
        </w:rPr>
        <w:t>–</w:t>
      </w:r>
      <w:r w:rsidR="00F53A8C">
        <w:rPr>
          <w:rFonts w:ascii="Arial" w:eastAsia="Calibri" w:hAnsi="Arial" w:cs="Arial"/>
          <w:b/>
          <w:bCs/>
          <w:color w:val="auto"/>
          <w:sz w:val="22"/>
          <w:szCs w:val="22"/>
        </w:rPr>
        <w:t>338</w:t>
      </w:r>
    </w:p>
    <w:p w14:paraId="681443E4" w14:textId="77777777" w:rsidR="00542923" w:rsidRPr="00542923" w:rsidRDefault="00542923" w:rsidP="00542923">
      <w:pPr>
        <w:spacing w:before="300" w:after="0" w:line="276" w:lineRule="auto"/>
        <w:jc w:val="both"/>
        <w:rPr>
          <w:rFonts w:ascii="Times New Roman" w:eastAsia="Times New Roman" w:hAnsi="Times New Roman" w:cs="Times New Roman"/>
          <w:color w:val="auto"/>
          <w:sz w:val="24"/>
        </w:rPr>
      </w:pPr>
      <w:r w:rsidRPr="00542923">
        <w:rPr>
          <w:rFonts w:ascii="Times New Roman" w:eastAsia="Times New Roman" w:hAnsi="Times New Roman" w:cs="Times New Roman"/>
          <w:color w:val="auto"/>
          <w:sz w:val="24"/>
        </w:rPr>
        <w:t>made under the</w:t>
      </w:r>
    </w:p>
    <w:p w14:paraId="6C7D72AB" w14:textId="77777777" w:rsidR="00542923" w:rsidRPr="00542923" w:rsidRDefault="00542923" w:rsidP="00542923">
      <w:pPr>
        <w:tabs>
          <w:tab w:val="left" w:pos="2600"/>
        </w:tabs>
        <w:spacing w:before="320" w:after="0" w:line="276" w:lineRule="auto"/>
        <w:jc w:val="both"/>
        <w:rPr>
          <w:rFonts w:ascii="Arial" w:eastAsia="Times New Roman" w:hAnsi="Arial" w:cs="Arial"/>
          <w:b/>
          <w:color w:val="auto"/>
          <w:sz w:val="24"/>
          <w:szCs w:val="24"/>
        </w:rPr>
      </w:pPr>
      <w:r w:rsidRPr="00542923">
        <w:rPr>
          <w:rFonts w:ascii="Arial" w:eastAsia="Times New Roman" w:hAnsi="Arial" w:cs="Arial"/>
          <w:b/>
          <w:i/>
          <w:iCs/>
          <w:color w:val="auto"/>
          <w:sz w:val="24"/>
          <w:szCs w:val="24"/>
        </w:rPr>
        <w:t>Integrity Commission Act 2018</w:t>
      </w:r>
      <w:r w:rsidRPr="00542923">
        <w:rPr>
          <w:rFonts w:ascii="Arial" w:eastAsia="Times New Roman" w:hAnsi="Arial" w:cs="Arial"/>
          <w:b/>
          <w:color w:val="auto"/>
          <w:sz w:val="24"/>
          <w:szCs w:val="24"/>
        </w:rPr>
        <w:t>, section 299(1) (Information guidelines)</w:t>
      </w:r>
    </w:p>
    <w:p w14:paraId="23A4F918" w14:textId="77777777" w:rsidR="00542923" w:rsidRPr="00542923" w:rsidRDefault="00542923" w:rsidP="00542923">
      <w:pPr>
        <w:spacing w:before="60" w:after="0" w:line="276" w:lineRule="auto"/>
        <w:jc w:val="both"/>
        <w:rPr>
          <w:rFonts w:ascii="Times New Roman" w:eastAsia="Times New Roman" w:hAnsi="Times New Roman" w:cs="Times New Roman"/>
          <w:color w:val="auto"/>
          <w:sz w:val="24"/>
        </w:rPr>
      </w:pPr>
    </w:p>
    <w:p w14:paraId="0AF4C1A6" w14:textId="77777777" w:rsidR="00542923" w:rsidRPr="00542923" w:rsidRDefault="00542923" w:rsidP="00542923">
      <w:pPr>
        <w:pBdr>
          <w:top w:val="single" w:sz="12" w:space="1" w:color="auto"/>
        </w:pBdr>
        <w:spacing w:before="0" w:after="0" w:line="276" w:lineRule="auto"/>
        <w:jc w:val="both"/>
        <w:rPr>
          <w:rFonts w:ascii="Times New Roman" w:eastAsia="Times New Roman" w:hAnsi="Times New Roman" w:cs="Times New Roman"/>
          <w:color w:val="auto"/>
          <w:sz w:val="24"/>
        </w:rPr>
      </w:pPr>
    </w:p>
    <w:p w14:paraId="6AB5AC0F" w14:textId="77777777" w:rsidR="00542923" w:rsidRPr="00542923" w:rsidRDefault="00542923" w:rsidP="00542923">
      <w:pPr>
        <w:spacing w:before="60" w:after="60" w:line="276" w:lineRule="auto"/>
        <w:ind w:left="720" w:hanging="720"/>
        <w:jc w:val="both"/>
        <w:rPr>
          <w:rFonts w:ascii="Arial" w:eastAsia="Calibri" w:hAnsi="Arial" w:cs="Arial"/>
          <w:b/>
          <w:bCs/>
          <w:color w:val="auto"/>
          <w:sz w:val="22"/>
          <w:szCs w:val="22"/>
        </w:rPr>
      </w:pPr>
      <w:r w:rsidRPr="00542923">
        <w:rPr>
          <w:rFonts w:ascii="Arial" w:eastAsia="Calibri" w:hAnsi="Arial" w:cs="Arial"/>
          <w:b/>
          <w:bCs/>
          <w:color w:val="auto"/>
          <w:sz w:val="22"/>
          <w:szCs w:val="22"/>
        </w:rPr>
        <w:t>1</w:t>
      </w:r>
      <w:r w:rsidRPr="00542923">
        <w:rPr>
          <w:rFonts w:ascii="Arial" w:eastAsia="Calibri" w:hAnsi="Arial" w:cs="Arial"/>
          <w:b/>
          <w:bCs/>
          <w:color w:val="auto"/>
          <w:sz w:val="22"/>
          <w:szCs w:val="22"/>
        </w:rPr>
        <w:tab/>
        <w:t>Name of instrument</w:t>
      </w:r>
    </w:p>
    <w:p w14:paraId="5696A279" w14:textId="27B883A1" w:rsidR="00542923" w:rsidRPr="00542923" w:rsidRDefault="00542923" w:rsidP="00542923">
      <w:pPr>
        <w:spacing w:before="140" w:after="160" w:line="276" w:lineRule="auto"/>
        <w:ind w:left="720"/>
        <w:jc w:val="both"/>
        <w:rPr>
          <w:rFonts w:ascii="Times New Roman" w:eastAsia="Calibri" w:hAnsi="Times New Roman" w:cs="Times New Roman"/>
          <w:color w:val="auto"/>
          <w:sz w:val="22"/>
          <w:szCs w:val="22"/>
        </w:rPr>
      </w:pPr>
      <w:r w:rsidRPr="00542923">
        <w:rPr>
          <w:rFonts w:ascii="Times New Roman" w:eastAsia="Calibri" w:hAnsi="Times New Roman" w:cs="Times New Roman"/>
          <w:color w:val="auto"/>
          <w:sz w:val="22"/>
          <w:szCs w:val="22"/>
        </w:rPr>
        <w:t xml:space="preserve">This instrument is the </w:t>
      </w:r>
      <w:r w:rsidRPr="00542923">
        <w:rPr>
          <w:rFonts w:ascii="Times New Roman" w:eastAsia="Calibri" w:hAnsi="Times New Roman" w:cs="Times New Roman"/>
          <w:i/>
          <w:color w:val="auto"/>
          <w:sz w:val="22"/>
          <w:szCs w:val="22"/>
        </w:rPr>
        <w:t xml:space="preserve">Integrity Commission (Information) Guidelines </w:t>
      </w:r>
      <w:r>
        <w:rPr>
          <w:rFonts w:ascii="Times New Roman" w:eastAsia="Calibri" w:hAnsi="Times New Roman" w:cs="Times New Roman"/>
          <w:i/>
          <w:color w:val="auto"/>
          <w:sz w:val="22"/>
          <w:szCs w:val="22"/>
        </w:rPr>
        <w:t>2022</w:t>
      </w:r>
      <w:r w:rsidRPr="00542923">
        <w:rPr>
          <w:rFonts w:ascii="Times New Roman" w:eastAsia="Calibri" w:hAnsi="Times New Roman" w:cs="Times New Roman"/>
          <w:i/>
          <w:color w:val="auto"/>
          <w:sz w:val="22"/>
          <w:szCs w:val="22"/>
        </w:rPr>
        <w:t>.</w:t>
      </w:r>
    </w:p>
    <w:p w14:paraId="6BE3F2CA" w14:textId="77777777" w:rsidR="00542923" w:rsidRPr="00542923" w:rsidRDefault="00542923" w:rsidP="00542923">
      <w:pPr>
        <w:spacing w:before="300" w:after="160" w:line="276" w:lineRule="auto"/>
        <w:ind w:left="720" w:hanging="720"/>
        <w:jc w:val="both"/>
        <w:rPr>
          <w:rFonts w:ascii="Arial" w:eastAsia="Calibri" w:hAnsi="Arial" w:cs="Arial"/>
          <w:b/>
          <w:bCs/>
          <w:color w:val="auto"/>
          <w:sz w:val="22"/>
          <w:szCs w:val="22"/>
        </w:rPr>
      </w:pPr>
      <w:r w:rsidRPr="00542923">
        <w:rPr>
          <w:rFonts w:ascii="Arial" w:eastAsia="Calibri" w:hAnsi="Arial" w:cs="Arial"/>
          <w:b/>
          <w:bCs/>
          <w:color w:val="auto"/>
          <w:sz w:val="22"/>
          <w:szCs w:val="22"/>
        </w:rPr>
        <w:t>2</w:t>
      </w:r>
      <w:r w:rsidRPr="00542923">
        <w:rPr>
          <w:rFonts w:ascii="Arial" w:eastAsia="Calibri" w:hAnsi="Arial" w:cs="Arial"/>
          <w:b/>
          <w:bCs/>
          <w:color w:val="auto"/>
          <w:sz w:val="22"/>
          <w:szCs w:val="22"/>
        </w:rPr>
        <w:tab/>
        <w:t xml:space="preserve">Commencement </w:t>
      </w:r>
    </w:p>
    <w:p w14:paraId="22E632BC" w14:textId="77777777" w:rsidR="00542923" w:rsidRPr="00542923" w:rsidRDefault="00542923" w:rsidP="00542923">
      <w:pPr>
        <w:spacing w:before="140" w:after="160" w:line="276" w:lineRule="auto"/>
        <w:ind w:left="720"/>
        <w:jc w:val="both"/>
        <w:rPr>
          <w:rFonts w:ascii="Times New Roman" w:eastAsia="Calibri" w:hAnsi="Times New Roman" w:cs="Times New Roman"/>
          <w:color w:val="auto"/>
          <w:sz w:val="22"/>
          <w:szCs w:val="22"/>
        </w:rPr>
      </w:pPr>
      <w:r w:rsidRPr="00542923">
        <w:rPr>
          <w:rFonts w:ascii="Times New Roman" w:eastAsia="Calibri" w:hAnsi="Times New Roman" w:cs="Times New Roman"/>
          <w:color w:val="auto"/>
          <w:sz w:val="22"/>
          <w:szCs w:val="22"/>
        </w:rPr>
        <w:t xml:space="preserve">This instrument commences on the day after notification. </w:t>
      </w:r>
    </w:p>
    <w:p w14:paraId="743519CE" w14:textId="77777777" w:rsidR="00542923" w:rsidRPr="00542923" w:rsidRDefault="00542923" w:rsidP="00542923">
      <w:pPr>
        <w:spacing w:before="300" w:after="160" w:line="276" w:lineRule="auto"/>
        <w:ind w:left="720" w:hanging="720"/>
        <w:jc w:val="both"/>
        <w:rPr>
          <w:rFonts w:ascii="Arial" w:eastAsia="Calibri" w:hAnsi="Arial" w:cs="Arial"/>
          <w:b/>
          <w:bCs/>
          <w:color w:val="auto"/>
          <w:sz w:val="22"/>
          <w:szCs w:val="22"/>
        </w:rPr>
      </w:pPr>
      <w:r w:rsidRPr="00542923">
        <w:rPr>
          <w:rFonts w:ascii="Arial" w:eastAsia="Calibri" w:hAnsi="Arial" w:cs="Arial"/>
          <w:b/>
          <w:bCs/>
          <w:color w:val="auto"/>
          <w:sz w:val="22"/>
          <w:szCs w:val="22"/>
        </w:rPr>
        <w:t>3</w:t>
      </w:r>
      <w:r w:rsidRPr="00542923">
        <w:rPr>
          <w:rFonts w:ascii="Arial" w:eastAsia="Calibri" w:hAnsi="Arial" w:cs="Arial"/>
          <w:b/>
          <w:bCs/>
          <w:color w:val="auto"/>
          <w:sz w:val="22"/>
          <w:szCs w:val="22"/>
        </w:rPr>
        <w:tab/>
        <w:t>Commission’s Guidelines</w:t>
      </w:r>
    </w:p>
    <w:p w14:paraId="342BE6ED" w14:textId="77777777" w:rsidR="00542923" w:rsidRPr="00542923" w:rsidRDefault="00542923" w:rsidP="00542923">
      <w:pPr>
        <w:spacing w:before="140" w:after="160" w:line="276" w:lineRule="auto"/>
        <w:ind w:left="720"/>
        <w:jc w:val="both"/>
        <w:rPr>
          <w:rFonts w:ascii="Times New Roman" w:eastAsia="Calibri" w:hAnsi="Times New Roman" w:cs="Times New Roman"/>
          <w:color w:val="auto"/>
          <w:sz w:val="22"/>
          <w:szCs w:val="22"/>
        </w:rPr>
      </w:pPr>
      <w:r w:rsidRPr="00542923">
        <w:rPr>
          <w:rFonts w:ascii="Times New Roman" w:eastAsia="Calibri" w:hAnsi="Times New Roman" w:cs="Times New Roman"/>
          <w:color w:val="auto"/>
          <w:sz w:val="22"/>
          <w:szCs w:val="22"/>
        </w:rPr>
        <w:t>I make the Commission’s Information Guidelines as set out at Schedule 1 to this instrument.</w:t>
      </w:r>
    </w:p>
    <w:bookmarkEnd w:id="0"/>
    <w:p w14:paraId="0CC3FC51" w14:textId="6D56D0DB" w:rsidR="00542923" w:rsidRDefault="00542923" w:rsidP="00542923">
      <w:pPr>
        <w:tabs>
          <w:tab w:val="left" w:pos="-720"/>
        </w:tabs>
        <w:suppressAutoHyphens/>
        <w:spacing w:before="0" w:after="160" w:line="276" w:lineRule="auto"/>
        <w:jc w:val="both"/>
        <w:rPr>
          <w:rFonts w:ascii="Times New Roman" w:eastAsia="Calibri" w:hAnsi="Times New Roman" w:cs="Times New Roman"/>
          <w:noProof/>
          <w:color w:val="auto"/>
          <w:spacing w:val="-3"/>
          <w:sz w:val="22"/>
          <w:szCs w:val="24"/>
        </w:rPr>
      </w:pPr>
    </w:p>
    <w:p w14:paraId="369757F2" w14:textId="77777777" w:rsidR="00F57815" w:rsidRPr="00542923" w:rsidRDefault="00F57815" w:rsidP="00542923">
      <w:pPr>
        <w:tabs>
          <w:tab w:val="left" w:pos="-720"/>
        </w:tabs>
        <w:suppressAutoHyphens/>
        <w:spacing w:before="0" w:after="160" w:line="276" w:lineRule="auto"/>
        <w:jc w:val="both"/>
        <w:rPr>
          <w:rFonts w:ascii="Times New Roman" w:eastAsia="Calibri" w:hAnsi="Times New Roman" w:cs="Times New Roman"/>
          <w:color w:val="auto"/>
          <w:spacing w:val="-3"/>
          <w:sz w:val="22"/>
          <w:szCs w:val="24"/>
        </w:rPr>
      </w:pPr>
    </w:p>
    <w:p w14:paraId="55B35749" w14:textId="77777777" w:rsidR="00542923" w:rsidRPr="00542923" w:rsidRDefault="00542923" w:rsidP="00542923">
      <w:pPr>
        <w:tabs>
          <w:tab w:val="left" w:pos="-720"/>
          <w:tab w:val="left" w:pos="0"/>
        </w:tabs>
        <w:suppressAutoHyphens/>
        <w:spacing w:before="0" w:after="160" w:line="276" w:lineRule="auto"/>
        <w:ind w:left="720" w:hanging="720"/>
        <w:jc w:val="both"/>
        <w:rPr>
          <w:rFonts w:ascii="Times New Roman" w:eastAsia="Calibri" w:hAnsi="Times New Roman" w:cs="Times New Roman"/>
          <w:color w:val="auto"/>
          <w:spacing w:val="-3"/>
          <w:sz w:val="22"/>
          <w:szCs w:val="24"/>
        </w:rPr>
      </w:pPr>
      <w:r w:rsidRPr="00542923">
        <w:rPr>
          <w:rFonts w:ascii="Times New Roman" w:eastAsia="Calibri" w:hAnsi="Times New Roman" w:cs="Times New Roman"/>
          <w:color w:val="auto"/>
          <w:spacing w:val="-3"/>
          <w:sz w:val="22"/>
          <w:szCs w:val="24"/>
        </w:rPr>
        <w:t>The Hon Michael F. Adams QC</w:t>
      </w:r>
    </w:p>
    <w:p w14:paraId="5C287DA2" w14:textId="77777777" w:rsidR="00542923" w:rsidRPr="00542923" w:rsidRDefault="00542923" w:rsidP="00542923">
      <w:pPr>
        <w:tabs>
          <w:tab w:val="left" w:pos="4320"/>
        </w:tabs>
        <w:spacing w:before="0" w:after="160" w:line="276" w:lineRule="auto"/>
        <w:jc w:val="both"/>
        <w:rPr>
          <w:rFonts w:ascii="Times New Roman" w:eastAsia="Calibri" w:hAnsi="Times New Roman" w:cs="Times New Roman"/>
          <w:color w:val="auto"/>
          <w:sz w:val="22"/>
          <w:szCs w:val="22"/>
        </w:rPr>
      </w:pPr>
      <w:r w:rsidRPr="00542923">
        <w:rPr>
          <w:rFonts w:ascii="Times New Roman" w:eastAsia="Calibri" w:hAnsi="Times New Roman" w:cs="Times New Roman"/>
          <w:color w:val="auto"/>
          <w:sz w:val="22"/>
          <w:szCs w:val="22"/>
        </w:rPr>
        <w:t>Commissioner</w:t>
      </w:r>
    </w:p>
    <w:p w14:paraId="1868A232" w14:textId="77777777" w:rsidR="00542923" w:rsidRPr="00542923" w:rsidRDefault="00542923" w:rsidP="00542923">
      <w:pPr>
        <w:tabs>
          <w:tab w:val="left" w:pos="4320"/>
        </w:tabs>
        <w:spacing w:before="0" w:after="160" w:line="276" w:lineRule="auto"/>
        <w:jc w:val="both"/>
        <w:rPr>
          <w:rFonts w:ascii="Times New Roman" w:eastAsia="Calibri" w:hAnsi="Times New Roman" w:cs="Times New Roman"/>
          <w:color w:val="auto"/>
          <w:sz w:val="22"/>
          <w:szCs w:val="22"/>
        </w:rPr>
      </w:pPr>
      <w:r w:rsidRPr="00542923">
        <w:rPr>
          <w:rFonts w:ascii="Times New Roman" w:eastAsia="Calibri" w:hAnsi="Times New Roman" w:cs="Times New Roman"/>
          <w:color w:val="auto"/>
          <w:sz w:val="22"/>
          <w:szCs w:val="22"/>
        </w:rPr>
        <w:t>ACT Integrity Commission</w:t>
      </w:r>
    </w:p>
    <w:p w14:paraId="012312B0" w14:textId="42933AAC" w:rsidR="00542923" w:rsidRPr="00542923" w:rsidRDefault="0064254F" w:rsidP="00542923">
      <w:pPr>
        <w:spacing w:before="0" w:after="160" w:line="276" w:lineRule="auto"/>
        <w:jc w:val="both"/>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 xml:space="preserve">28 </w:t>
      </w:r>
      <w:r w:rsidR="00542923">
        <w:rPr>
          <w:rFonts w:ascii="Times New Roman" w:eastAsia="Calibri" w:hAnsi="Times New Roman" w:cs="Times New Roman"/>
          <w:b/>
          <w:bCs/>
          <w:color w:val="auto"/>
          <w:sz w:val="24"/>
          <w:szCs w:val="24"/>
        </w:rPr>
        <w:t>June</w:t>
      </w:r>
      <w:r w:rsidR="00542923" w:rsidRPr="00542923">
        <w:rPr>
          <w:rFonts w:ascii="Times New Roman" w:eastAsia="Calibri" w:hAnsi="Times New Roman" w:cs="Times New Roman"/>
          <w:b/>
          <w:bCs/>
          <w:color w:val="auto"/>
          <w:sz w:val="24"/>
          <w:szCs w:val="24"/>
        </w:rPr>
        <w:t xml:space="preserve"> 202</w:t>
      </w:r>
      <w:r w:rsidR="00E8252D">
        <w:rPr>
          <w:rFonts w:ascii="Times New Roman" w:eastAsia="Calibri" w:hAnsi="Times New Roman" w:cs="Times New Roman"/>
          <w:b/>
          <w:bCs/>
          <w:color w:val="auto"/>
          <w:sz w:val="24"/>
          <w:szCs w:val="24"/>
        </w:rPr>
        <w:t>2</w:t>
      </w:r>
    </w:p>
    <w:p w14:paraId="645116B7" w14:textId="77777777" w:rsidR="00542923" w:rsidRDefault="00542923" w:rsidP="00542923">
      <w:pPr>
        <w:rPr>
          <w:b/>
          <w:bCs/>
        </w:rPr>
      </w:pPr>
    </w:p>
    <w:p w14:paraId="4F7A3A36" w14:textId="0F525344" w:rsidR="00542923" w:rsidRDefault="00542923" w:rsidP="00542923">
      <w:pPr>
        <w:rPr>
          <w:b/>
          <w:bCs/>
        </w:rPr>
        <w:sectPr w:rsidR="00542923" w:rsidSect="006F11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454" w:gutter="0"/>
          <w:cols w:space="454"/>
          <w:titlePg/>
          <w:docGrid w:linePitch="360"/>
          <w15:footnoteColumns w:val="1"/>
        </w:sectPr>
      </w:pPr>
    </w:p>
    <w:p w14:paraId="18B59D18" w14:textId="21AB6F3F" w:rsidR="00542923" w:rsidRDefault="00542923" w:rsidP="00542923">
      <w:pPr>
        <w:rPr>
          <w:b/>
          <w:bCs/>
          <w:sz w:val="28"/>
          <w:szCs w:val="28"/>
        </w:rPr>
      </w:pPr>
      <w:r w:rsidRPr="00542923">
        <w:rPr>
          <w:b/>
          <w:bCs/>
          <w:sz w:val="28"/>
          <w:szCs w:val="28"/>
        </w:rPr>
        <w:lastRenderedPageBreak/>
        <w:t>Schedule 1</w:t>
      </w:r>
    </w:p>
    <w:p w14:paraId="48D78AFE" w14:textId="77777777" w:rsidR="00542923" w:rsidRDefault="00542923" w:rsidP="00542923"/>
    <w:p w14:paraId="26787417" w14:textId="506660E9" w:rsidR="00542923" w:rsidRDefault="00542923" w:rsidP="00542923"/>
    <w:p w14:paraId="02A0B93E" w14:textId="6AEF36E5" w:rsidR="00542923" w:rsidRDefault="00542923" w:rsidP="00542923"/>
    <w:p w14:paraId="7619D1F2" w14:textId="77777777" w:rsidR="00542923" w:rsidRDefault="00542923" w:rsidP="00542923"/>
    <w:p w14:paraId="26A6A609" w14:textId="76370564" w:rsidR="00542923" w:rsidRPr="00542923" w:rsidRDefault="00542923" w:rsidP="00542923">
      <w:pPr>
        <w:pStyle w:val="Title"/>
        <w:jc w:val="center"/>
      </w:pPr>
      <w:r>
        <w:t>Integrity Commission (Information)</w:t>
      </w:r>
      <w:r>
        <w:br/>
        <w:t>Guidelines 2022</w:t>
      </w:r>
    </w:p>
    <w:p w14:paraId="06D2E723" w14:textId="5D705E76" w:rsidR="00542923" w:rsidRDefault="00542923" w:rsidP="00542923"/>
    <w:p w14:paraId="3AE4AEDB" w14:textId="34DF6E57" w:rsidR="00542923" w:rsidRDefault="00542923" w:rsidP="00542923"/>
    <w:p w14:paraId="7A98D4A5" w14:textId="5B75937E" w:rsidR="00542923" w:rsidRDefault="00542923" w:rsidP="00542923"/>
    <w:p w14:paraId="48A83ABD" w14:textId="1641CFE5" w:rsidR="00542923" w:rsidRDefault="00542923" w:rsidP="00542923"/>
    <w:p w14:paraId="75D14EF8" w14:textId="4BD9B0CB" w:rsidR="00542923" w:rsidRDefault="00542923" w:rsidP="00542923"/>
    <w:p w14:paraId="79603D26" w14:textId="127E2033" w:rsidR="00542923" w:rsidRDefault="00542923" w:rsidP="00542923"/>
    <w:p w14:paraId="0BA5ED71" w14:textId="57F39654" w:rsidR="00542923" w:rsidRDefault="00542923" w:rsidP="00542923"/>
    <w:p w14:paraId="36DB0390" w14:textId="0B247D23" w:rsidR="00542923" w:rsidRDefault="00542923" w:rsidP="00542923"/>
    <w:p w14:paraId="11E168AE" w14:textId="0F79A132" w:rsidR="00542923" w:rsidRDefault="00542923" w:rsidP="00542923"/>
    <w:p w14:paraId="4829C7AA" w14:textId="18DFB828" w:rsidR="00542923" w:rsidRDefault="00542923" w:rsidP="00542923"/>
    <w:p w14:paraId="59A89518" w14:textId="198B4697" w:rsidR="00542923" w:rsidRDefault="00542923" w:rsidP="00542923"/>
    <w:p w14:paraId="0F1FDEA8" w14:textId="0C74152C" w:rsidR="00542923" w:rsidRDefault="00542923" w:rsidP="00542923"/>
    <w:p w14:paraId="5C5CFE97" w14:textId="07F2D9CD" w:rsidR="00542923" w:rsidRDefault="00542923" w:rsidP="00542923"/>
    <w:p w14:paraId="0A9A53E9" w14:textId="24958E0F" w:rsidR="00542923" w:rsidRDefault="00542923" w:rsidP="00542923"/>
    <w:p w14:paraId="1877ACE5" w14:textId="7E70D082" w:rsidR="00542923" w:rsidRDefault="00542923" w:rsidP="00542923"/>
    <w:p w14:paraId="48FC031D" w14:textId="76E9CD45" w:rsidR="00542923" w:rsidRDefault="00542923" w:rsidP="00542923"/>
    <w:p w14:paraId="0274C230" w14:textId="276AB397" w:rsidR="00542923" w:rsidRDefault="00542923" w:rsidP="00542923"/>
    <w:p w14:paraId="4378776E" w14:textId="77777777" w:rsidR="00542923" w:rsidRPr="00542923" w:rsidRDefault="00542923" w:rsidP="00542923"/>
    <w:p w14:paraId="45E4BB5B" w14:textId="3E33A4F0" w:rsidR="00781AE4" w:rsidRDefault="00542923" w:rsidP="00781AE4">
      <w:pPr>
        <w:pStyle w:val="TOCHeading"/>
      </w:pPr>
      <w:r>
        <w:lastRenderedPageBreak/>
        <w:t xml:space="preserve">Table of </w:t>
      </w:r>
      <w:r w:rsidR="00781AE4">
        <w:t>Contents</w:t>
      </w:r>
    </w:p>
    <w:p w14:paraId="5803ED2B" w14:textId="4464A9E5" w:rsidR="009E3DEA" w:rsidRDefault="006A5749">
      <w:pPr>
        <w:pStyle w:val="TOC2"/>
        <w:rPr>
          <w:rFonts w:asciiTheme="minorHAnsi" w:eastAsiaTheme="minorEastAsia" w:hAnsiTheme="minorHAnsi"/>
          <w:b w:val="0"/>
          <w:noProof/>
          <w:color w:val="auto"/>
          <w:sz w:val="22"/>
          <w:szCs w:val="22"/>
          <w:lang w:eastAsia="en-AU"/>
        </w:rPr>
      </w:pPr>
      <w:r w:rsidRPr="00583E84">
        <w:fldChar w:fldCharType="begin"/>
      </w:r>
      <w:r w:rsidRPr="00583E84">
        <w:instrText xml:space="preserve"> TOC \o "2-3" \h \z \t "Heading 1,1,Heading 1 Numbered,1" </w:instrText>
      </w:r>
      <w:r w:rsidRPr="00583E84">
        <w:fldChar w:fldCharType="separate"/>
      </w:r>
      <w:hyperlink w:anchor="_Toc107316397" w:history="1">
        <w:r w:rsidR="009E3DEA" w:rsidRPr="00876C34">
          <w:rPr>
            <w:rStyle w:val="Hyperlink"/>
            <w:noProof/>
          </w:rPr>
          <w:t>1.</w:t>
        </w:r>
        <w:r w:rsidR="009E3DEA">
          <w:rPr>
            <w:rFonts w:asciiTheme="minorHAnsi" w:eastAsiaTheme="minorEastAsia" w:hAnsiTheme="minorHAnsi"/>
            <w:b w:val="0"/>
            <w:noProof/>
            <w:color w:val="auto"/>
            <w:sz w:val="22"/>
            <w:szCs w:val="22"/>
            <w:lang w:eastAsia="en-AU"/>
          </w:rPr>
          <w:tab/>
        </w:r>
        <w:r w:rsidR="009E3DEA" w:rsidRPr="00876C34">
          <w:rPr>
            <w:rStyle w:val="Hyperlink"/>
            <w:noProof/>
          </w:rPr>
          <w:t>Introduction</w:t>
        </w:r>
        <w:r w:rsidR="009E3DEA">
          <w:rPr>
            <w:noProof/>
            <w:webHidden/>
          </w:rPr>
          <w:tab/>
        </w:r>
        <w:r w:rsidR="009E3DEA">
          <w:rPr>
            <w:noProof/>
            <w:webHidden/>
          </w:rPr>
          <w:fldChar w:fldCharType="begin"/>
        </w:r>
        <w:r w:rsidR="009E3DEA">
          <w:rPr>
            <w:noProof/>
            <w:webHidden/>
          </w:rPr>
          <w:instrText xml:space="preserve"> PAGEREF _Toc107316397 \h </w:instrText>
        </w:r>
        <w:r w:rsidR="009E3DEA">
          <w:rPr>
            <w:noProof/>
            <w:webHidden/>
          </w:rPr>
        </w:r>
        <w:r w:rsidR="009E3DEA">
          <w:rPr>
            <w:noProof/>
            <w:webHidden/>
          </w:rPr>
          <w:fldChar w:fldCharType="separate"/>
        </w:r>
        <w:r w:rsidR="00397E25">
          <w:rPr>
            <w:noProof/>
            <w:webHidden/>
          </w:rPr>
          <w:t>4</w:t>
        </w:r>
        <w:r w:rsidR="009E3DEA">
          <w:rPr>
            <w:noProof/>
            <w:webHidden/>
          </w:rPr>
          <w:fldChar w:fldCharType="end"/>
        </w:r>
      </w:hyperlink>
    </w:p>
    <w:p w14:paraId="29AE7027" w14:textId="5F71B2BE" w:rsidR="009E3DEA" w:rsidRDefault="00EF71B1">
      <w:pPr>
        <w:pStyle w:val="TOC3"/>
        <w:rPr>
          <w:rFonts w:eastAsiaTheme="minorEastAsia"/>
          <w:noProof/>
          <w:color w:val="auto"/>
          <w:sz w:val="22"/>
          <w:szCs w:val="22"/>
          <w:lang w:eastAsia="en-AU"/>
        </w:rPr>
      </w:pPr>
      <w:hyperlink w:anchor="_Toc107316398" w:history="1">
        <w:r w:rsidR="009E3DEA" w:rsidRPr="00876C34">
          <w:rPr>
            <w:rStyle w:val="Hyperlink"/>
            <w:noProof/>
          </w:rPr>
          <w:t>Information Privacy Commissioner</w:t>
        </w:r>
        <w:r w:rsidR="009E3DEA">
          <w:rPr>
            <w:noProof/>
            <w:webHidden/>
          </w:rPr>
          <w:tab/>
        </w:r>
        <w:r w:rsidR="009E3DEA">
          <w:rPr>
            <w:noProof/>
            <w:webHidden/>
          </w:rPr>
          <w:fldChar w:fldCharType="begin"/>
        </w:r>
        <w:r w:rsidR="009E3DEA">
          <w:rPr>
            <w:noProof/>
            <w:webHidden/>
          </w:rPr>
          <w:instrText xml:space="preserve"> PAGEREF _Toc107316398 \h </w:instrText>
        </w:r>
        <w:r w:rsidR="009E3DEA">
          <w:rPr>
            <w:noProof/>
            <w:webHidden/>
          </w:rPr>
        </w:r>
        <w:r w:rsidR="009E3DEA">
          <w:rPr>
            <w:noProof/>
            <w:webHidden/>
          </w:rPr>
          <w:fldChar w:fldCharType="separate"/>
        </w:r>
        <w:r w:rsidR="00397E25">
          <w:rPr>
            <w:noProof/>
            <w:webHidden/>
          </w:rPr>
          <w:t>5</w:t>
        </w:r>
        <w:r w:rsidR="009E3DEA">
          <w:rPr>
            <w:noProof/>
            <w:webHidden/>
          </w:rPr>
          <w:fldChar w:fldCharType="end"/>
        </w:r>
      </w:hyperlink>
    </w:p>
    <w:p w14:paraId="2411405E" w14:textId="3CDD7854" w:rsidR="009E3DEA" w:rsidRDefault="00EF71B1">
      <w:pPr>
        <w:pStyle w:val="TOC2"/>
        <w:rPr>
          <w:rFonts w:asciiTheme="minorHAnsi" w:eastAsiaTheme="minorEastAsia" w:hAnsiTheme="minorHAnsi"/>
          <w:b w:val="0"/>
          <w:noProof/>
          <w:color w:val="auto"/>
          <w:sz w:val="22"/>
          <w:szCs w:val="22"/>
          <w:lang w:eastAsia="en-AU"/>
        </w:rPr>
      </w:pPr>
      <w:hyperlink w:anchor="_Toc107316399" w:history="1">
        <w:r w:rsidR="009E3DEA" w:rsidRPr="00876C34">
          <w:rPr>
            <w:rStyle w:val="Hyperlink"/>
            <w:noProof/>
          </w:rPr>
          <w:t>2.</w:t>
        </w:r>
        <w:r w:rsidR="009E3DEA">
          <w:rPr>
            <w:rFonts w:asciiTheme="minorHAnsi" w:eastAsiaTheme="minorEastAsia" w:hAnsiTheme="minorHAnsi"/>
            <w:b w:val="0"/>
            <w:noProof/>
            <w:color w:val="auto"/>
            <w:sz w:val="22"/>
            <w:szCs w:val="22"/>
            <w:lang w:eastAsia="en-AU"/>
          </w:rPr>
          <w:tab/>
        </w:r>
        <w:r w:rsidR="009E3DEA" w:rsidRPr="00876C34">
          <w:rPr>
            <w:rStyle w:val="Hyperlink"/>
            <w:noProof/>
          </w:rPr>
          <w:t>The scope of these Guidelines</w:t>
        </w:r>
        <w:r w:rsidR="009E3DEA">
          <w:rPr>
            <w:noProof/>
            <w:webHidden/>
          </w:rPr>
          <w:tab/>
        </w:r>
        <w:r w:rsidR="009E3DEA">
          <w:rPr>
            <w:noProof/>
            <w:webHidden/>
          </w:rPr>
          <w:fldChar w:fldCharType="begin"/>
        </w:r>
        <w:r w:rsidR="009E3DEA">
          <w:rPr>
            <w:noProof/>
            <w:webHidden/>
          </w:rPr>
          <w:instrText xml:space="preserve"> PAGEREF _Toc107316399 \h </w:instrText>
        </w:r>
        <w:r w:rsidR="009E3DEA">
          <w:rPr>
            <w:noProof/>
            <w:webHidden/>
          </w:rPr>
        </w:r>
        <w:r w:rsidR="009E3DEA">
          <w:rPr>
            <w:noProof/>
            <w:webHidden/>
          </w:rPr>
          <w:fldChar w:fldCharType="separate"/>
        </w:r>
        <w:r w:rsidR="00397E25">
          <w:rPr>
            <w:noProof/>
            <w:webHidden/>
          </w:rPr>
          <w:t>6</w:t>
        </w:r>
        <w:r w:rsidR="009E3DEA">
          <w:rPr>
            <w:noProof/>
            <w:webHidden/>
          </w:rPr>
          <w:fldChar w:fldCharType="end"/>
        </w:r>
      </w:hyperlink>
    </w:p>
    <w:p w14:paraId="44DF1277" w14:textId="56D2F2E2" w:rsidR="009E3DEA" w:rsidRDefault="00EF71B1">
      <w:pPr>
        <w:pStyle w:val="TOC2"/>
        <w:rPr>
          <w:rFonts w:asciiTheme="minorHAnsi" w:eastAsiaTheme="minorEastAsia" w:hAnsiTheme="minorHAnsi"/>
          <w:b w:val="0"/>
          <w:noProof/>
          <w:color w:val="auto"/>
          <w:sz w:val="22"/>
          <w:szCs w:val="22"/>
          <w:lang w:eastAsia="en-AU"/>
        </w:rPr>
      </w:pPr>
      <w:hyperlink w:anchor="_Toc107316400" w:history="1">
        <w:r w:rsidR="009E3DEA" w:rsidRPr="00876C34">
          <w:rPr>
            <w:rStyle w:val="Hyperlink"/>
            <w:noProof/>
          </w:rPr>
          <w:t>3.</w:t>
        </w:r>
        <w:r w:rsidR="009E3DEA">
          <w:rPr>
            <w:rFonts w:asciiTheme="minorHAnsi" w:eastAsiaTheme="minorEastAsia" w:hAnsiTheme="minorHAnsi"/>
            <w:b w:val="0"/>
            <w:noProof/>
            <w:color w:val="auto"/>
            <w:sz w:val="22"/>
            <w:szCs w:val="22"/>
            <w:lang w:eastAsia="en-AU"/>
          </w:rPr>
          <w:tab/>
        </w:r>
        <w:r w:rsidR="009E3DEA" w:rsidRPr="00876C34">
          <w:rPr>
            <w:rStyle w:val="Hyperlink"/>
            <w:noProof/>
          </w:rPr>
          <w:t>Requirements of the Integrity Commission Act 2018</w:t>
        </w:r>
        <w:r w:rsidR="009E3DEA">
          <w:rPr>
            <w:noProof/>
            <w:webHidden/>
          </w:rPr>
          <w:tab/>
        </w:r>
        <w:r w:rsidR="009E3DEA">
          <w:rPr>
            <w:noProof/>
            <w:webHidden/>
          </w:rPr>
          <w:fldChar w:fldCharType="begin"/>
        </w:r>
        <w:r w:rsidR="009E3DEA">
          <w:rPr>
            <w:noProof/>
            <w:webHidden/>
          </w:rPr>
          <w:instrText xml:space="preserve"> PAGEREF _Toc107316400 \h </w:instrText>
        </w:r>
        <w:r w:rsidR="009E3DEA">
          <w:rPr>
            <w:noProof/>
            <w:webHidden/>
          </w:rPr>
        </w:r>
        <w:r w:rsidR="009E3DEA">
          <w:rPr>
            <w:noProof/>
            <w:webHidden/>
          </w:rPr>
          <w:fldChar w:fldCharType="separate"/>
        </w:r>
        <w:r w:rsidR="00397E25">
          <w:rPr>
            <w:noProof/>
            <w:webHidden/>
          </w:rPr>
          <w:t>7</w:t>
        </w:r>
        <w:r w:rsidR="009E3DEA">
          <w:rPr>
            <w:noProof/>
            <w:webHidden/>
          </w:rPr>
          <w:fldChar w:fldCharType="end"/>
        </w:r>
      </w:hyperlink>
    </w:p>
    <w:p w14:paraId="3CD44189" w14:textId="77FF90F3" w:rsidR="009E3DEA" w:rsidRDefault="00EF71B1">
      <w:pPr>
        <w:pStyle w:val="TOC3"/>
        <w:rPr>
          <w:rFonts w:eastAsiaTheme="minorEastAsia"/>
          <w:noProof/>
          <w:color w:val="auto"/>
          <w:sz w:val="22"/>
          <w:szCs w:val="22"/>
          <w:lang w:eastAsia="en-AU"/>
        </w:rPr>
      </w:pPr>
      <w:hyperlink w:anchor="_Toc107316401" w:history="1">
        <w:r w:rsidR="009E3DEA" w:rsidRPr="00876C34">
          <w:rPr>
            <w:rStyle w:val="Hyperlink"/>
            <w:noProof/>
          </w:rPr>
          <w:t>Restricted information</w:t>
        </w:r>
        <w:r w:rsidR="009E3DEA">
          <w:rPr>
            <w:noProof/>
            <w:webHidden/>
          </w:rPr>
          <w:tab/>
        </w:r>
        <w:r w:rsidR="009E3DEA">
          <w:rPr>
            <w:noProof/>
            <w:webHidden/>
          </w:rPr>
          <w:fldChar w:fldCharType="begin"/>
        </w:r>
        <w:r w:rsidR="009E3DEA">
          <w:rPr>
            <w:noProof/>
            <w:webHidden/>
          </w:rPr>
          <w:instrText xml:space="preserve"> PAGEREF _Toc107316401 \h </w:instrText>
        </w:r>
        <w:r w:rsidR="009E3DEA">
          <w:rPr>
            <w:noProof/>
            <w:webHidden/>
          </w:rPr>
        </w:r>
        <w:r w:rsidR="009E3DEA">
          <w:rPr>
            <w:noProof/>
            <w:webHidden/>
          </w:rPr>
          <w:fldChar w:fldCharType="separate"/>
        </w:r>
        <w:r w:rsidR="00397E25">
          <w:rPr>
            <w:noProof/>
            <w:webHidden/>
          </w:rPr>
          <w:t>7</w:t>
        </w:r>
        <w:r w:rsidR="009E3DEA">
          <w:rPr>
            <w:noProof/>
            <w:webHidden/>
          </w:rPr>
          <w:fldChar w:fldCharType="end"/>
        </w:r>
      </w:hyperlink>
    </w:p>
    <w:p w14:paraId="35E30A99" w14:textId="48A374CA" w:rsidR="009E3DEA" w:rsidRDefault="00EF71B1">
      <w:pPr>
        <w:pStyle w:val="TOC3"/>
        <w:rPr>
          <w:rFonts w:eastAsiaTheme="minorEastAsia"/>
          <w:noProof/>
          <w:color w:val="auto"/>
          <w:sz w:val="22"/>
          <w:szCs w:val="22"/>
          <w:lang w:eastAsia="en-AU"/>
        </w:rPr>
      </w:pPr>
      <w:hyperlink w:anchor="_Toc107316402" w:history="1">
        <w:r w:rsidR="009E3DEA" w:rsidRPr="00876C34">
          <w:rPr>
            <w:rStyle w:val="Hyperlink"/>
            <w:noProof/>
          </w:rPr>
          <w:t>Protected information</w:t>
        </w:r>
        <w:r w:rsidR="009E3DEA">
          <w:rPr>
            <w:noProof/>
            <w:webHidden/>
          </w:rPr>
          <w:tab/>
        </w:r>
        <w:r w:rsidR="009E3DEA">
          <w:rPr>
            <w:noProof/>
            <w:webHidden/>
          </w:rPr>
          <w:fldChar w:fldCharType="begin"/>
        </w:r>
        <w:r w:rsidR="009E3DEA">
          <w:rPr>
            <w:noProof/>
            <w:webHidden/>
          </w:rPr>
          <w:instrText xml:space="preserve"> PAGEREF _Toc107316402 \h </w:instrText>
        </w:r>
        <w:r w:rsidR="009E3DEA">
          <w:rPr>
            <w:noProof/>
            <w:webHidden/>
          </w:rPr>
        </w:r>
        <w:r w:rsidR="009E3DEA">
          <w:rPr>
            <w:noProof/>
            <w:webHidden/>
          </w:rPr>
          <w:fldChar w:fldCharType="separate"/>
        </w:r>
        <w:r w:rsidR="00397E25">
          <w:rPr>
            <w:noProof/>
            <w:webHidden/>
          </w:rPr>
          <w:t>8</w:t>
        </w:r>
        <w:r w:rsidR="009E3DEA">
          <w:rPr>
            <w:noProof/>
            <w:webHidden/>
          </w:rPr>
          <w:fldChar w:fldCharType="end"/>
        </w:r>
      </w:hyperlink>
    </w:p>
    <w:p w14:paraId="621A63A6" w14:textId="073DCDAB" w:rsidR="009E3DEA" w:rsidRDefault="00EF71B1">
      <w:pPr>
        <w:pStyle w:val="TOC3"/>
        <w:rPr>
          <w:rFonts w:eastAsiaTheme="minorEastAsia"/>
          <w:noProof/>
          <w:color w:val="auto"/>
          <w:sz w:val="22"/>
          <w:szCs w:val="22"/>
          <w:lang w:eastAsia="en-AU"/>
        </w:rPr>
      </w:pPr>
      <w:hyperlink w:anchor="_Toc107316403" w:history="1">
        <w:r w:rsidR="009E3DEA" w:rsidRPr="00876C34">
          <w:rPr>
            <w:rStyle w:val="Hyperlink"/>
            <w:noProof/>
          </w:rPr>
          <w:t>Reporting obligations under the Act</w:t>
        </w:r>
        <w:r w:rsidR="009E3DEA">
          <w:rPr>
            <w:noProof/>
            <w:webHidden/>
          </w:rPr>
          <w:tab/>
        </w:r>
        <w:r w:rsidR="009E3DEA">
          <w:rPr>
            <w:noProof/>
            <w:webHidden/>
          </w:rPr>
          <w:fldChar w:fldCharType="begin"/>
        </w:r>
        <w:r w:rsidR="009E3DEA">
          <w:rPr>
            <w:noProof/>
            <w:webHidden/>
          </w:rPr>
          <w:instrText xml:space="preserve"> PAGEREF _Toc107316403 \h </w:instrText>
        </w:r>
        <w:r w:rsidR="009E3DEA">
          <w:rPr>
            <w:noProof/>
            <w:webHidden/>
          </w:rPr>
        </w:r>
        <w:r w:rsidR="009E3DEA">
          <w:rPr>
            <w:noProof/>
            <w:webHidden/>
          </w:rPr>
          <w:fldChar w:fldCharType="separate"/>
        </w:r>
        <w:r w:rsidR="00397E25">
          <w:rPr>
            <w:noProof/>
            <w:webHidden/>
          </w:rPr>
          <w:t>10</w:t>
        </w:r>
        <w:r w:rsidR="009E3DEA">
          <w:rPr>
            <w:noProof/>
            <w:webHidden/>
          </w:rPr>
          <w:fldChar w:fldCharType="end"/>
        </w:r>
      </w:hyperlink>
    </w:p>
    <w:p w14:paraId="296DCFDE" w14:textId="557C351D" w:rsidR="009E3DEA" w:rsidRDefault="00EF71B1">
      <w:pPr>
        <w:pStyle w:val="TOC3"/>
        <w:rPr>
          <w:rFonts w:eastAsiaTheme="minorEastAsia"/>
          <w:noProof/>
          <w:color w:val="auto"/>
          <w:sz w:val="22"/>
          <w:szCs w:val="22"/>
          <w:lang w:eastAsia="en-AU"/>
        </w:rPr>
      </w:pPr>
      <w:hyperlink w:anchor="_Toc107316404" w:history="1">
        <w:r w:rsidR="009E3DEA" w:rsidRPr="00876C34">
          <w:rPr>
            <w:rStyle w:val="Hyperlink"/>
            <w:noProof/>
          </w:rPr>
          <w:t>Obligations imposed on staff of the Commission</w:t>
        </w:r>
        <w:r w:rsidR="009E3DEA">
          <w:rPr>
            <w:noProof/>
            <w:webHidden/>
          </w:rPr>
          <w:tab/>
        </w:r>
        <w:r w:rsidR="009E3DEA">
          <w:rPr>
            <w:noProof/>
            <w:webHidden/>
          </w:rPr>
          <w:fldChar w:fldCharType="begin"/>
        </w:r>
        <w:r w:rsidR="009E3DEA">
          <w:rPr>
            <w:noProof/>
            <w:webHidden/>
          </w:rPr>
          <w:instrText xml:space="preserve"> PAGEREF _Toc107316404 \h </w:instrText>
        </w:r>
        <w:r w:rsidR="009E3DEA">
          <w:rPr>
            <w:noProof/>
            <w:webHidden/>
          </w:rPr>
        </w:r>
        <w:r w:rsidR="009E3DEA">
          <w:rPr>
            <w:noProof/>
            <w:webHidden/>
          </w:rPr>
          <w:fldChar w:fldCharType="separate"/>
        </w:r>
        <w:r w:rsidR="00397E25">
          <w:rPr>
            <w:noProof/>
            <w:webHidden/>
          </w:rPr>
          <w:t>10</w:t>
        </w:r>
        <w:r w:rsidR="009E3DEA">
          <w:rPr>
            <w:noProof/>
            <w:webHidden/>
          </w:rPr>
          <w:fldChar w:fldCharType="end"/>
        </w:r>
      </w:hyperlink>
    </w:p>
    <w:p w14:paraId="74CC3516" w14:textId="0DFD31C2" w:rsidR="009E3DEA" w:rsidRDefault="00EF71B1">
      <w:pPr>
        <w:pStyle w:val="TOC2"/>
        <w:rPr>
          <w:rFonts w:asciiTheme="minorHAnsi" w:eastAsiaTheme="minorEastAsia" w:hAnsiTheme="minorHAnsi"/>
          <w:b w:val="0"/>
          <w:noProof/>
          <w:color w:val="auto"/>
          <w:sz w:val="22"/>
          <w:szCs w:val="22"/>
          <w:lang w:eastAsia="en-AU"/>
        </w:rPr>
      </w:pPr>
      <w:hyperlink w:anchor="_Toc107316405" w:history="1">
        <w:r w:rsidR="009E3DEA" w:rsidRPr="00876C34">
          <w:rPr>
            <w:rStyle w:val="Hyperlink"/>
            <w:noProof/>
          </w:rPr>
          <w:t>4.</w:t>
        </w:r>
        <w:r w:rsidR="009E3DEA">
          <w:rPr>
            <w:rFonts w:asciiTheme="minorHAnsi" w:eastAsiaTheme="minorEastAsia" w:hAnsiTheme="minorHAnsi"/>
            <w:b w:val="0"/>
            <w:noProof/>
            <w:color w:val="auto"/>
            <w:sz w:val="22"/>
            <w:szCs w:val="22"/>
            <w:lang w:eastAsia="en-AU"/>
          </w:rPr>
          <w:tab/>
        </w:r>
        <w:r w:rsidR="009E3DEA" w:rsidRPr="00876C34">
          <w:rPr>
            <w:rStyle w:val="Hyperlink"/>
            <w:noProof/>
          </w:rPr>
          <w:t>Other legislative obligations</w:t>
        </w:r>
        <w:r w:rsidR="009E3DEA">
          <w:rPr>
            <w:noProof/>
            <w:webHidden/>
          </w:rPr>
          <w:tab/>
        </w:r>
        <w:r w:rsidR="009E3DEA">
          <w:rPr>
            <w:noProof/>
            <w:webHidden/>
          </w:rPr>
          <w:fldChar w:fldCharType="begin"/>
        </w:r>
        <w:r w:rsidR="009E3DEA">
          <w:rPr>
            <w:noProof/>
            <w:webHidden/>
          </w:rPr>
          <w:instrText xml:space="preserve"> PAGEREF _Toc107316405 \h </w:instrText>
        </w:r>
        <w:r w:rsidR="009E3DEA">
          <w:rPr>
            <w:noProof/>
            <w:webHidden/>
          </w:rPr>
        </w:r>
        <w:r w:rsidR="009E3DEA">
          <w:rPr>
            <w:noProof/>
            <w:webHidden/>
          </w:rPr>
          <w:fldChar w:fldCharType="separate"/>
        </w:r>
        <w:r w:rsidR="00397E25">
          <w:rPr>
            <w:noProof/>
            <w:webHidden/>
          </w:rPr>
          <w:t>11</w:t>
        </w:r>
        <w:r w:rsidR="009E3DEA">
          <w:rPr>
            <w:noProof/>
            <w:webHidden/>
          </w:rPr>
          <w:fldChar w:fldCharType="end"/>
        </w:r>
      </w:hyperlink>
    </w:p>
    <w:p w14:paraId="591D8B18" w14:textId="37A115E9" w:rsidR="009E3DEA" w:rsidRDefault="00EF71B1">
      <w:pPr>
        <w:pStyle w:val="TOC3"/>
        <w:rPr>
          <w:rFonts w:eastAsiaTheme="minorEastAsia"/>
          <w:noProof/>
          <w:color w:val="auto"/>
          <w:sz w:val="22"/>
          <w:szCs w:val="22"/>
          <w:lang w:eastAsia="en-AU"/>
        </w:rPr>
      </w:pPr>
      <w:hyperlink w:anchor="_Toc107316406" w:history="1">
        <w:r w:rsidR="009E3DEA" w:rsidRPr="00876C34">
          <w:rPr>
            <w:rStyle w:val="Hyperlink"/>
            <w:noProof/>
          </w:rPr>
          <w:t>The Information Privacy Act 2014</w:t>
        </w:r>
        <w:r w:rsidR="009E3DEA">
          <w:rPr>
            <w:noProof/>
            <w:webHidden/>
          </w:rPr>
          <w:tab/>
        </w:r>
        <w:r w:rsidR="009E3DEA">
          <w:rPr>
            <w:noProof/>
            <w:webHidden/>
          </w:rPr>
          <w:fldChar w:fldCharType="begin"/>
        </w:r>
        <w:r w:rsidR="009E3DEA">
          <w:rPr>
            <w:noProof/>
            <w:webHidden/>
          </w:rPr>
          <w:instrText xml:space="preserve"> PAGEREF _Toc107316406 \h </w:instrText>
        </w:r>
        <w:r w:rsidR="009E3DEA">
          <w:rPr>
            <w:noProof/>
            <w:webHidden/>
          </w:rPr>
        </w:r>
        <w:r w:rsidR="009E3DEA">
          <w:rPr>
            <w:noProof/>
            <w:webHidden/>
          </w:rPr>
          <w:fldChar w:fldCharType="separate"/>
        </w:r>
        <w:r w:rsidR="00397E25">
          <w:rPr>
            <w:noProof/>
            <w:webHidden/>
          </w:rPr>
          <w:t>11</w:t>
        </w:r>
        <w:r w:rsidR="009E3DEA">
          <w:rPr>
            <w:noProof/>
            <w:webHidden/>
          </w:rPr>
          <w:fldChar w:fldCharType="end"/>
        </w:r>
      </w:hyperlink>
    </w:p>
    <w:p w14:paraId="5D6E0C88" w14:textId="57E9F373" w:rsidR="009E3DEA" w:rsidRDefault="00EF71B1">
      <w:pPr>
        <w:pStyle w:val="TOC3"/>
        <w:rPr>
          <w:rFonts w:eastAsiaTheme="minorEastAsia"/>
          <w:noProof/>
          <w:color w:val="auto"/>
          <w:sz w:val="22"/>
          <w:szCs w:val="22"/>
          <w:lang w:eastAsia="en-AU"/>
        </w:rPr>
      </w:pPr>
      <w:hyperlink w:anchor="_Toc107316407" w:history="1">
        <w:r w:rsidR="009E3DEA" w:rsidRPr="00876C34">
          <w:rPr>
            <w:rStyle w:val="Hyperlink"/>
            <w:noProof/>
            <w:w w:val="105"/>
          </w:rPr>
          <w:t>The Freedom of Information Act 2016</w:t>
        </w:r>
        <w:r w:rsidR="009E3DEA">
          <w:rPr>
            <w:noProof/>
            <w:webHidden/>
          </w:rPr>
          <w:tab/>
        </w:r>
        <w:r w:rsidR="009E3DEA">
          <w:rPr>
            <w:noProof/>
            <w:webHidden/>
          </w:rPr>
          <w:fldChar w:fldCharType="begin"/>
        </w:r>
        <w:r w:rsidR="009E3DEA">
          <w:rPr>
            <w:noProof/>
            <w:webHidden/>
          </w:rPr>
          <w:instrText xml:space="preserve"> PAGEREF _Toc107316407 \h </w:instrText>
        </w:r>
        <w:r w:rsidR="009E3DEA">
          <w:rPr>
            <w:noProof/>
            <w:webHidden/>
          </w:rPr>
        </w:r>
        <w:r w:rsidR="009E3DEA">
          <w:rPr>
            <w:noProof/>
            <w:webHidden/>
          </w:rPr>
          <w:fldChar w:fldCharType="separate"/>
        </w:r>
        <w:r w:rsidR="00397E25">
          <w:rPr>
            <w:noProof/>
            <w:webHidden/>
          </w:rPr>
          <w:t>13</w:t>
        </w:r>
        <w:r w:rsidR="009E3DEA">
          <w:rPr>
            <w:noProof/>
            <w:webHidden/>
          </w:rPr>
          <w:fldChar w:fldCharType="end"/>
        </w:r>
      </w:hyperlink>
    </w:p>
    <w:p w14:paraId="61E39E10" w14:textId="4D2672FD" w:rsidR="009E3DEA" w:rsidRDefault="00EF71B1">
      <w:pPr>
        <w:pStyle w:val="TOC2"/>
        <w:rPr>
          <w:rFonts w:asciiTheme="minorHAnsi" w:eastAsiaTheme="minorEastAsia" w:hAnsiTheme="minorHAnsi"/>
          <w:b w:val="0"/>
          <w:noProof/>
          <w:color w:val="auto"/>
          <w:sz w:val="22"/>
          <w:szCs w:val="22"/>
          <w:lang w:eastAsia="en-AU"/>
        </w:rPr>
      </w:pPr>
      <w:hyperlink w:anchor="_Toc107316408" w:history="1">
        <w:r w:rsidR="009E3DEA" w:rsidRPr="00876C34">
          <w:rPr>
            <w:rStyle w:val="Hyperlink"/>
            <w:noProof/>
            <w:w w:val="105"/>
          </w:rPr>
          <w:t>5.</w:t>
        </w:r>
        <w:r w:rsidR="009E3DEA">
          <w:rPr>
            <w:rFonts w:asciiTheme="minorHAnsi" w:eastAsiaTheme="minorEastAsia" w:hAnsiTheme="minorHAnsi"/>
            <w:b w:val="0"/>
            <w:noProof/>
            <w:color w:val="auto"/>
            <w:sz w:val="22"/>
            <w:szCs w:val="22"/>
            <w:lang w:eastAsia="en-AU"/>
          </w:rPr>
          <w:tab/>
        </w:r>
        <w:r w:rsidR="009E3DEA" w:rsidRPr="00876C34">
          <w:rPr>
            <w:rStyle w:val="Hyperlink"/>
            <w:noProof/>
            <w:w w:val="105"/>
          </w:rPr>
          <w:t>Commonwealth legislation</w:t>
        </w:r>
        <w:r w:rsidR="009E3DEA">
          <w:rPr>
            <w:noProof/>
            <w:webHidden/>
          </w:rPr>
          <w:tab/>
        </w:r>
        <w:r w:rsidR="009E3DEA">
          <w:rPr>
            <w:noProof/>
            <w:webHidden/>
          </w:rPr>
          <w:fldChar w:fldCharType="begin"/>
        </w:r>
        <w:r w:rsidR="009E3DEA">
          <w:rPr>
            <w:noProof/>
            <w:webHidden/>
          </w:rPr>
          <w:instrText xml:space="preserve"> PAGEREF _Toc107316408 \h </w:instrText>
        </w:r>
        <w:r w:rsidR="009E3DEA">
          <w:rPr>
            <w:noProof/>
            <w:webHidden/>
          </w:rPr>
        </w:r>
        <w:r w:rsidR="009E3DEA">
          <w:rPr>
            <w:noProof/>
            <w:webHidden/>
          </w:rPr>
          <w:fldChar w:fldCharType="separate"/>
        </w:r>
        <w:r w:rsidR="00397E25">
          <w:rPr>
            <w:noProof/>
            <w:webHidden/>
          </w:rPr>
          <w:t>15</w:t>
        </w:r>
        <w:r w:rsidR="009E3DEA">
          <w:rPr>
            <w:noProof/>
            <w:webHidden/>
          </w:rPr>
          <w:fldChar w:fldCharType="end"/>
        </w:r>
      </w:hyperlink>
    </w:p>
    <w:p w14:paraId="449C0386" w14:textId="7433B1C9" w:rsidR="006A5749" w:rsidRDefault="006A5749" w:rsidP="00583E84">
      <w:r w:rsidRPr="00583E84">
        <w:fldChar w:fldCharType="end"/>
      </w:r>
    </w:p>
    <w:p w14:paraId="3BEE0308" w14:textId="043072F8" w:rsidR="00542923" w:rsidRDefault="00542923" w:rsidP="00583E84"/>
    <w:p w14:paraId="51B74E03" w14:textId="315C7E42" w:rsidR="00542923" w:rsidRDefault="00542923" w:rsidP="00583E84"/>
    <w:p w14:paraId="44647820" w14:textId="4A3692EB" w:rsidR="00542923" w:rsidRDefault="00542923" w:rsidP="00583E84"/>
    <w:p w14:paraId="2AAF18E4" w14:textId="3B8C5985" w:rsidR="00542923" w:rsidRDefault="00542923" w:rsidP="00583E84"/>
    <w:p w14:paraId="1253131E" w14:textId="02088325" w:rsidR="00542923" w:rsidRDefault="00542923" w:rsidP="00583E84"/>
    <w:p w14:paraId="1B9BE581" w14:textId="5DEFA589" w:rsidR="00542923" w:rsidRDefault="00542923" w:rsidP="00583E84"/>
    <w:p w14:paraId="4DAE5036" w14:textId="7DE424DD" w:rsidR="00542923" w:rsidRDefault="00542923" w:rsidP="00583E84"/>
    <w:p w14:paraId="34671AD0" w14:textId="18C3B628" w:rsidR="00542923" w:rsidRDefault="00542923" w:rsidP="00583E84"/>
    <w:p w14:paraId="272FDD0C" w14:textId="5993538B" w:rsidR="00542923" w:rsidRDefault="00542923" w:rsidP="00583E84"/>
    <w:p w14:paraId="03F8E2C0" w14:textId="2C206A79" w:rsidR="00542923" w:rsidRDefault="00542923" w:rsidP="00583E84"/>
    <w:p w14:paraId="72A168E3" w14:textId="1A387531" w:rsidR="00542923" w:rsidRDefault="00542923" w:rsidP="00583E84"/>
    <w:p w14:paraId="02F49E30" w14:textId="16C3F299" w:rsidR="00542923" w:rsidRDefault="00542923" w:rsidP="00583E84"/>
    <w:p w14:paraId="763E9578" w14:textId="6FBF4831" w:rsidR="00542923" w:rsidRDefault="00542923" w:rsidP="00583E84"/>
    <w:p w14:paraId="18417B36" w14:textId="566F11AE" w:rsidR="00542923" w:rsidRDefault="00542923" w:rsidP="00583E84"/>
    <w:p w14:paraId="7E061494" w14:textId="354B3F19" w:rsidR="00542923" w:rsidRDefault="00542923" w:rsidP="00583E84"/>
    <w:p w14:paraId="34DBBFC9" w14:textId="77777777" w:rsidR="00542923" w:rsidRPr="00E550AF" w:rsidRDefault="00542923" w:rsidP="00CE7C32">
      <w:pPr>
        <w:pStyle w:val="Heading2Numbered"/>
        <w:ind w:left="567" w:hanging="567"/>
      </w:pPr>
      <w:bookmarkStart w:id="1" w:name="_Toc107316397"/>
      <w:r w:rsidRPr="00E550AF">
        <w:lastRenderedPageBreak/>
        <w:t>Introduction</w:t>
      </w:r>
      <w:bookmarkEnd w:id="1"/>
      <w:r w:rsidRPr="00E550AF">
        <w:t xml:space="preserve"> </w:t>
      </w:r>
    </w:p>
    <w:p w14:paraId="17DB1BF5" w14:textId="77777777" w:rsidR="00542923" w:rsidRPr="00126D35" w:rsidRDefault="00542923" w:rsidP="00837CE3">
      <w:pPr>
        <w:pStyle w:val="ListParagraph"/>
        <w:spacing w:after="0" w:line="276" w:lineRule="auto"/>
        <w:jc w:val="both"/>
        <w:rPr>
          <w:rFonts w:cstheme="minorHAnsi"/>
          <w:sz w:val="24"/>
          <w:szCs w:val="24"/>
        </w:rPr>
      </w:pPr>
      <w:r>
        <w:rPr>
          <w:rFonts w:cstheme="minorHAnsi"/>
          <w:sz w:val="24"/>
          <w:szCs w:val="24"/>
        </w:rPr>
        <w:t xml:space="preserve">The </w:t>
      </w:r>
      <w:r w:rsidRPr="00126D35">
        <w:rPr>
          <w:rFonts w:cstheme="minorHAnsi"/>
          <w:sz w:val="24"/>
          <w:szCs w:val="24"/>
        </w:rPr>
        <w:t>ACT Integrity Commission (</w:t>
      </w:r>
      <w:r w:rsidRPr="00F51625">
        <w:rPr>
          <w:rFonts w:cstheme="minorHAnsi"/>
          <w:b/>
          <w:bCs/>
          <w:sz w:val="24"/>
          <w:szCs w:val="24"/>
        </w:rPr>
        <w:t>Commission</w:t>
      </w:r>
      <w:r w:rsidRPr="00126D35">
        <w:rPr>
          <w:rFonts w:cstheme="minorHAnsi"/>
          <w:sz w:val="24"/>
          <w:szCs w:val="24"/>
        </w:rPr>
        <w:t>) was created in response to an election commitment made by the 9</w:t>
      </w:r>
      <w:r w:rsidRPr="00126D35">
        <w:rPr>
          <w:rFonts w:cstheme="minorHAnsi"/>
          <w:sz w:val="24"/>
          <w:szCs w:val="24"/>
          <w:vertAlign w:val="superscript"/>
        </w:rPr>
        <w:t>th</w:t>
      </w:r>
      <w:r w:rsidRPr="00126D35">
        <w:rPr>
          <w:rFonts w:cstheme="minorHAnsi"/>
          <w:sz w:val="24"/>
          <w:szCs w:val="24"/>
        </w:rPr>
        <w:t xml:space="preserve"> Legislative Assembly.  On 31 October 2017, the Select Committee on an Independent Integrity Commission (</w:t>
      </w:r>
      <w:r w:rsidRPr="00F51625">
        <w:rPr>
          <w:rFonts w:cstheme="minorHAnsi"/>
          <w:b/>
          <w:bCs/>
          <w:sz w:val="24"/>
          <w:szCs w:val="24"/>
        </w:rPr>
        <w:t>Select Committee</w:t>
      </w:r>
      <w:r w:rsidRPr="00126D35">
        <w:rPr>
          <w:rFonts w:cstheme="minorHAnsi"/>
          <w:sz w:val="24"/>
          <w:szCs w:val="24"/>
        </w:rPr>
        <w:t xml:space="preserve">) released its report into their </w:t>
      </w:r>
      <w:r>
        <w:rPr>
          <w:rFonts w:cstheme="minorHAnsi"/>
          <w:sz w:val="24"/>
          <w:szCs w:val="24"/>
        </w:rPr>
        <w:t>examination</w:t>
      </w:r>
      <w:r w:rsidRPr="00126D35">
        <w:rPr>
          <w:rFonts w:cstheme="minorHAnsi"/>
          <w:sz w:val="24"/>
          <w:szCs w:val="24"/>
        </w:rPr>
        <w:t>.  The Select Committee recommended the ACT Government establish a standing ACT independent integrity body to investigate corruption in public administration and strengthen public confidence in government integrity.</w:t>
      </w:r>
      <w:r w:rsidRPr="00126D35">
        <w:rPr>
          <w:rStyle w:val="FootnoteReference"/>
          <w:rFonts w:cstheme="minorHAnsi"/>
          <w:sz w:val="24"/>
          <w:szCs w:val="24"/>
        </w:rPr>
        <w:footnoteReference w:id="1"/>
      </w:r>
    </w:p>
    <w:p w14:paraId="4BCC5773" w14:textId="77777777" w:rsidR="00542923" w:rsidRPr="00837CE3" w:rsidRDefault="00542923" w:rsidP="00837CE3">
      <w:pPr>
        <w:spacing w:before="0" w:after="0" w:line="276" w:lineRule="auto"/>
        <w:ind w:left="709"/>
        <w:jc w:val="both"/>
        <w:rPr>
          <w:rFonts w:cstheme="minorHAnsi"/>
          <w:sz w:val="24"/>
          <w:szCs w:val="24"/>
        </w:rPr>
      </w:pPr>
    </w:p>
    <w:p w14:paraId="7943C19F" w14:textId="77777777" w:rsidR="00542923" w:rsidRPr="00126D35" w:rsidRDefault="00542923" w:rsidP="00837CE3">
      <w:pPr>
        <w:pStyle w:val="ListParagraph"/>
        <w:spacing w:after="0" w:line="276" w:lineRule="auto"/>
        <w:jc w:val="both"/>
        <w:rPr>
          <w:rFonts w:cstheme="minorHAnsi"/>
          <w:sz w:val="24"/>
          <w:szCs w:val="24"/>
        </w:rPr>
      </w:pPr>
      <w:r w:rsidRPr="00126D35">
        <w:rPr>
          <w:rFonts w:cstheme="minorHAnsi"/>
          <w:sz w:val="24"/>
          <w:szCs w:val="24"/>
        </w:rPr>
        <w:t xml:space="preserve">The </w:t>
      </w:r>
      <w:r w:rsidRPr="00126D35">
        <w:rPr>
          <w:rFonts w:cstheme="minorHAnsi"/>
          <w:i/>
          <w:iCs/>
          <w:sz w:val="24"/>
          <w:szCs w:val="24"/>
        </w:rPr>
        <w:t>Integrity Commission Act 2018</w:t>
      </w:r>
      <w:r w:rsidRPr="00126D35">
        <w:rPr>
          <w:rFonts w:cstheme="minorHAnsi"/>
          <w:sz w:val="24"/>
          <w:szCs w:val="24"/>
        </w:rPr>
        <w:t xml:space="preserve"> (</w:t>
      </w:r>
      <w:r w:rsidRPr="00F51625">
        <w:rPr>
          <w:rFonts w:cstheme="minorHAnsi"/>
          <w:b/>
          <w:bCs/>
          <w:sz w:val="24"/>
          <w:szCs w:val="24"/>
        </w:rPr>
        <w:t>Act</w:t>
      </w:r>
      <w:r w:rsidRPr="00126D35">
        <w:rPr>
          <w:rFonts w:cstheme="minorHAnsi"/>
          <w:sz w:val="24"/>
          <w:szCs w:val="24"/>
        </w:rPr>
        <w:t xml:space="preserve">) was passed by the Legislative Assembly and came into operation on 1 July 2019. </w:t>
      </w:r>
    </w:p>
    <w:p w14:paraId="3767F1B7" w14:textId="77777777" w:rsidR="00542923" w:rsidRPr="00837CE3" w:rsidRDefault="00542923" w:rsidP="00837CE3">
      <w:pPr>
        <w:spacing w:before="0" w:after="0" w:line="276" w:lineRule="auto"/>
        <w:ind w:left="709"/>
        <w:jc w:val="both"/>
        <w:rPr>
          <w:rFonts w:cstheme="minorHAnsi"/>
          <w:sz w:val="24"/>
          <w:szCs w:val="24"/>
        </w:rPr>
      </w:pPr>
    </w:p>
    <w:p w14:paraId="29B0C430" w14:textId="77777777" w:rsidR="00542923" w:rsidRPr="00126D35" w:rsidRDefault="00542923" w:rsidP="00837CE3">
      <w:pPr>
        <w:pStyle w:val="ListParagraph"/>
        <w:spacing w:after="0" w:line="276" w:lineRule="auto"/>
        <w:jc w:val="both"/>
        <w:rPr>
          <w:rFonts w:cstheme="minorHAnsi"/>
          <w:sz w:val="24"/>
          <w:szCs w:val="24"/>
        </w:rPr>
      </w:pPr>
      <w:r w:rsidRPr="00126D35">
        <w:rPr>
          <w:rFonts w:cstheme="minorHAnsi"/>
          <w:sz w:val="24"/>
          <w:szCs w:val="24"/>
        </w:rPr>
        <w:t>The Act establishes the Commission and provides it with functions to:</w:t>
      </w:r>
    </w:p>
    <w:p w14:paraId="7D631C95" w14:textId="77777777" w:rsidR="00542923" w:rsidRPr="00837CE3" w:rsidRDefault="00542923" w:rsidP="00837CE3">
      <w:pPr>
        <w:spacing w:before="0" w:after="0" w:line="276" w:lineRule="auto"/>
        <w:ind w:left="709"/>
        <w:jc w:val="both"/>
        <w:rPr>
          <w:rFonts w:cstheme="minorHAnsi"/>
          <w:sz w:val="24"/>
          <w:szCs w:val="24"/>
        </w:rPr>
      </w:pPr>
    </w:p>
    <w:p w14:paraId="5E4C7457" w14:textId="77777777" w:rsidR="00542923" w:rsidRPr="00126D35" w:rsidRDefault="00542923" w:rsidP="00E8252D">
      <w:pPr>
        <w:pStyle w:val="ListParagraph"/>
        <w:numPr>
          <w:ilvl w:val="0"/>
          <w:numId w:val="18"/>
        </w:numPr>
        <w:spacing w:line="276" w:lineRule="auto"/>
        <w:jc w:val="both"/>
        <w:rPr>
          <w:rFonts w:cstheme="minorHAnsi"/>
          <w:sz w:val="24"/>
          <w:szCs w:val="24"/>
        </w:rPr>
      </w:pPr>
      <w:r w:rsidRPr="00126D35">
        <w:rPr>
          <w:rFonts w:cstheme="minorHAnsi"/>
          <w:sz w:val="24"/>
          <w:szCs w:val="24"/>
        </w:rPr>
        <w:t>investigate conduct that is alleged to be corrupt conduct;</w:t>
      </w:r>
    </w:p>
    <w:p w14:paraId="36182352" w14:textId="77777777" w:rsidR="00542923" w:rsidRPr="00126D35" w:rsidRDefault="00542923" w:rsidP="00E8252D">
      <w:pPr>
        <w:pStyle w:val="ListParagraph"/>
        <w:numPr>
          <w:ilvl w:val="0"/>
          <w:numId w:val="18"/>
        </w:numPr>
        <w:spacing w:line="276" w:lineRule="auto"/>
        <w:jc w:val="both"/>
        <w:rPr>
          <w:rFonts w:cstheme="minorHAnsi"/>
          <w:sz w:val="24"/>
          <w:szCs w:val="24"/>
        </w:rPr>
      </w:pPr>
      <w:r w:rsidRPr="00126D35">
        <w:rPr>
          <w:rFonts w:cstheme="minorHAnsi"/>
          <w:sz w:val="24"/>
          <w:szCs w:val="24"/>
        </w:rPr>
        <w:t>refer suspected instances of criminality or wrongdoing to the appropriate authority for further investigation and action;</w:t>
      </w:r>
    </w:p>
    <w:p w14:paraId="570FC1FA" w14:textId="77777777" w:rsidR="00542923" w:rsidRPr="00126D35" w:rsidRDefault="00542923" w:rsidP="00E8252D">
      <w:pPr>
        <w:pStyle w:val="ListParagraph"/>
        <w:numPr>
          <w:ilvl w:val="0"/>
          <w:numId w:val="18"/>
        </w:numPr>
        <w:spacing w:line="276" w:lineRule="auto"/>
        <w:jc w:val="both"/>
        <w:rPr>
          <w:rFonts w:cstheme="minorHAnsi"/>
          <w:sz w:val="24"/>
          <w:szCs w:val="24"/>
        </w:rPr>
      </w:pPr>
      <w:r w:rsidRPr="00126D35">
        <w:rPr>
          <w:rFonts w:cstheme="minorHAnsi"/>
          <w:sz w:val="24"/>
          <w:szCs w:val="24"/>
        </w:rPr>
        <w:t>prevent corruption, including by researching corrupt practices and mitigating the risks of corruption;</w:t>
      </w:r>
    </w:p>
    <w:p w14:paraId="12916EB6" w14:textId="77777777" w:rsidR="00542923" w:rsidRPr="00126D35" w:rsidRDefault="00542923" w:rsidP="00E8252D">
      <w:pPr>
        <w:pStyle w:val="ListParagraph"/>
        <w:numPr>
          <w:ilvl w:val="0"/>
          <w:numId w:val="18"/>
        </w:numPr>
        <w:spacing w:line="276" w:lineRule="auto"/>
        <w:jc w:val="both"/>
        <w:rPr>
          <w:rFonts w:cstheme="minorHAnsi"/>
          <w:sz w:val="24"/>
          <w:szCs w:val="24"/>
        </w:rPr>
      </w:pPr>
      <w:r w:rsidRPr="00126D35">
        <w:rPr>
          <w:rFonts w:cstheme="minorHAnsi"/>
          <w:sz w:val="24"/>
          <w:szCs w:val="24"/>
        </w:rPr>
        <w:t>publish information about investigations conducted by the commission, including lessons learned;</w:t>
      </w:r>
    </w:p>
    <w:p w14:paraId="7050FC41" w14:textId="77777777" w:rsidR="00542923" w:rsidRPr="00126D35" w:rsidRDefault="00542923" w:rsidP="00E8252D">
      <w:pPr>
        <w:pStyle w:val="ListParagraph"/>
        <w:numPr>
          <w:ilvl w:val="0"/>
          <w:numId w:val="18"/>
        </w:numPr>
        <w:spacing w:line="276" w:lineRule="auto"/>
        <w:jc w:val="both"/>
        <w:rPr>
          <w:rFonts w:cstheme="minorHAnsi"/>
          <w:sz w:val="24"/>
          <w:szCs w:val="24"/>
        </w:rPr>
      </w:pPr>
      <w:r w:rsidRPr="00126D35">
        <w:rPr>
          <w:rFonts w:cstheme="minorHAnsi"/>
          <w:sz w:val="24"/>
          <w:szCs w:val="24"/>
        </w:rPr>
        <w:t xml:space="preserve">provide education programs about the operation of this Act and the commission, including providing advice, training and education services to — </w:t>
      </w:r>
    </w:p>
    <w:p w14:paraId="6DEA3608" w14:textId="77777777" w:rsidR="00542923" w:rsidRPr="00126D35" w:rsidRDefault="00542923" w:rsidP="00E8252D">
      <w:pPr>
        <w:pStyle w:val="ListParagraph"/>
        <w:numPr>
          <w:ilvl w:val="1"/>
          <w:numId w:val="19"/>
        </w:numPr>
        <w:spacing w:line="276" w:lineRule="auto"/>
        <w:jc w:val="both"/>
        <w:rPr>
          <w:rFonts w:cstheme="minorHAnsi"/>
          <w:sz w:val="24"/>
          <w:szCs w:val="24"/>
        </w:rPr>
      </w:pPr>
      <w:r w:rsidRPr="00126D35">
        <w:rPr>
          <w:rFonts w:cstheme="minorHAnsi"/>
          <w:sz w:val="24"/>
          <w:szCs w:val="24"/>
        </w:rPr>
        <w:t>the Legislative Assembly and the public sector to increase capacity to prevent corrupt</w:t>
      </w:r>
      <w:r>
        <w:rPr>
          <w:rFonts w:cstheme="minorHAnsi"/>
          <w:sz w:val="24"/>
          <w:szCs w:val="24"/>
        </w:rPr>
        <w:t xml:space="preserve"> </w:t>
      </w:r>
      <w:r w:rsidRPr="00126D35">
        <w:rPr>
          <w:rFonts w:cstheme="minorHAnsi"/>
          <w:sz w:val="24"/>
          <w:szCs w:val="24"/>
        </w:rPr>
        <w:t>conduct;</w:t>
      </w:r>
    </w:p>
    <w:p w14:paraId="4D27CAD0" w14:textId="77777777" w:rsidR="00542923" w:rsidRPr="00126D35" w:rsidRDefault="00542923" w:rsidP="00E8252D">
      <w:pPr>
        <w:pStyle w:val="ListParagraph"/>
        <w:numPr>
          <w:ilvl w:val="1"/>
          <w:numId w:val="19"/>
        </w:numPr>
        <w:spacing w:line="276" w:lineRule="auto"/>
        <w:jc w:val="both"/>
        <w:rPr>
          <w:rFonts w:cstheme="minorHAnsi"/>
          <w:sz w:val="24"/>
          <w:szCs w:val="24"/>
        </w:rPr>
      </w:pPr>
      <w:r w:rsidRPr="00126D35">
        <w:rPr>
          <w:rFonts w:cstheme="minorHAnsi"/>
          <w:sz w:val="24"/>
          <w:szCs w:val="24"/>
        </w:rPr>
        <w:t xml:space="preserve">people who are required to report corrupt conduct under this Act; </w:t>
      </w:r>
    </w:p>
    <w:p w14:paraId="0A9C7BC9" w14:textId="77777777" w:rsidR="00542923" w:rsidRPr="00126D35" w:rsidRDefault="00542923" w:rsidP="00E8252D">
      <w:pPr>
        <w:pStyle w:val="ListParagraph"/>
        <w:numPr>
          <w:ilvl w:val="1"/>
          <w:numId w:val="19"/>
        </w:numPr>
        <w:spacing w:line="276" w:lineRule="auto"/>
        <w:jc w:val="both"/>
        <w:rPr>
          <w:rFonts w:cstheme="minorHAnsi"/>
          <w:sz w:val="24"/>
          <w:szCs w:val="24"/>
        </w:rPr>
      </w:pPr>
      <w:r w:rsidRPr="00126D35">
        <w:rPr>
          <w:rFonts w:cstheme="minorHAnsi"/>
          <w:sz w:val="24"/>
          <w:szCs w:val="24"/>
        </w:rPr>
        <w:t xml:space="preserve">the community about the detrimental effects of corruption on public administration and ways in which to assist in preventing corrupt conduct; </w:t>
      </w:r>
      <w:r>
        <w:rPr>
          <w:rFonts w:cstheme="minorHAnsi"/>
          <w:sz w:val="24"/>
          <w:szCs w:val="24"/>
        </w:rPr>
        <w:t>and</w:t>
      </w:r>
      <w:r w:rsidRPr="00126D35">
        <w:rPr>
          <w:rFonts w:cstheme="minorHAnsi"/>
          <w:sz w:val="24"/>
          <w:szCs w:val="24"/>
        </w:rPr>
        <w:t xml:space="preserve"> </w:t>
      </w:r>
    </w:p>
    <w:p w14:paraId="304588EA" w14:textId="77777777" w:rsidR="00542923" w:rsidRDefault="00542923" w:rsidP="00837CE3">
      <w:pPr>
        <w:pStyle w:val="ListParagraph"/>
        <w:numPr>
          <w:ilvl w:val="0"/>
          <w:numId w:val="18"/>
        </w:numPr>
        <w:spacing w:after="0" w:line="276" w:lineRule="auto"/>
        <w:ind w:left="1434" w:hanging="357"/>
        <w:jc w:val="both"/>
        <w:rPr>
          <w:rFonts w:cstheme="minorHAnsi"/>
          <w:sz w:val="24"/>
          <w:szCs w:val="24"/>
        </w:rPr>
      </w:pPr>
      <w:r w:rsidRPr="00126D35">
        <w:rPr>
          <w:rFonts w:cstheme="minorHAnsi"/>
          <w:sz w:val="24"/>
          <w:szCs w:val="24"/>
        </w:rPr>
        <w:t>foster public confidence in the Legislative Assembly and public sector.</w:t>
      </w:r>
      <w:r w:rsidRPr="00126D35">
        <w:rPr>
          <w:rStyle w:val="FootnoteReference"/>
          <w:rFonts w:cstheme="minorHAnsi"/>
          <w:sz w:val="24"/>
          <w:szCs w:val="24"/>
        </w:rPr>
        <w:footnoteReference w:id="2"/>
      </w:r>
    </w:p>
    <w:p w14:paraId="76A24A01" w14:textId="77777777" w:rsidR="00542923" w:rsidRPr="00837CE3" w:rsidRDefault="00542923" w:rsidP="00837CE3">
      <w:pPr>
        <w:spacing w:before="0" w:after="0" w:line="276" w:lineRule="auto"/>
        <w:ind w:left="709"/>
        <w:jc w:val="both"/>
        <w:rPr>
          <w:rFonts w:cstheme="minorHAnsi"/>
          <w:sz w:val="24"/>
          <w:szCs w:val="24"/>
        </w:rPr>
      </w:pPr>
    </w:p>
    <w:p w14:paraId="4AFDEFC4" w14:textId="77777777" w:rsidR="00542923" w:rsidRDefault="00542923" w:rsidP="00837CE3">
      <w:pPr>
        <w:pStyle w:val="ListParagraph"/>
        <w:spacing w:after="0" w:line="276" w:lineRule="auto"/>
        <w:jc w:val="both"/>
        <w:rPr>
          <w:rFonts w:cstheme="minorHAnsi"/>
          <w:sz w:val="24"/>
          <w:szCs w:val="24"/>
        </w:rPr>
      </w:pPr>
      <w:r w:rsidRPr="00946925">
        <w:rPr>
          <w:rFonts w:cstheme="minorHAnsi"/>
          <w:sz w:val="24"/>
          <w:szCs w:val="24"/>
        </w:rPr>
        <w:t>In the course of the Commission’s business, it will come into possession of information</w:t>
      </w:r>
      <w:r>
        <w:rPr>
          <w:rFonts w:cstheme="minorHAnsi"/>
          <w:sz w:val="24"/>
          <w:szCs w:val="24"/>
        </w:rPr>
        <w:t xml:space="preserve"> from a variety of sources</w:t>
      </w:r>
      <w:r w:rsidRPr="00946925">
        <w:rPr>
          <w:rFonts w:cstheme="minorHAnsi"/>
          <w:sz w:val="24"/>
          <w:szCs w:val="24"/>
        </w:rPr>
        <w:t xml:space="preserve">. </w:t>
      </w:r>
      <w:r>
        <w:rPr>
          <w:rFonts w:cstheme="minorHAnsi"/>
          <w:sz w:val="24"/>
          <w:szCs w:val="24"/>
        </w:rPr>
        <w:t xml:space="preserve">Information may include corruption reports, personal information about people making corruption reports, information obtained in assessing or investigating corruption reports and administrative data pertaining to the staff and operations of the Commission.  It may also include physical items received or seized as part of Commission preliminary inquiries or investigations.  </w:t>
      </w:r>
    </w:p>
    <w:p w14:paraId="0AE3FF28" w14:textId="77777777" w:rsidR="00542923" w:rsidRPr="00837CE3" w:rsidRDefault="00542923" w:rsidP="00837CE3">
      <w:pPr>
        <w:spacing w:before="0" w:after="0" w:line="276" w:lineRule="auto"/>
        <w:ind w:left="709"/>
        <w:jc w:val="both"/>
        <w:rPr>
          <w:rFonts w:cstheme="minorHAnsi"/>
          <w:sz w:val="24"/>
          <w:szCs w:val="24"/>
        </w:rPr>
      </w:pPr>
    </w:p>
    <w:p w14:paraId="67C069E9" w14:textId="77777777" w:rsidR="00542923" w:rsidRDefault="00542923" w:rsidP="00837CE3">
      <w:pPr>
        <w:pStyle w:val="ListParagraph"/>
        <w:spacing w:after="0" w:line="276" w:lineRule="auto"/>
        <w:jc w:val="both"/>
        <w:rPr>
          <w:rFonts w:cstheme="minorHAnsi"/>
          <w:sz w:val="24"/>
          <w:szCs w:val="24"/>
        </w:rPr>
      </w:pPr>
      <w:r>
        <w:rPr>
          <w:rFonts w:cstheme="minorHAnsi"/>
          <w:sz w:val="24"/>
          <w:szCs w:val="24"/>
        </w:rPr>
        <w:lastRenderedPageBreak/>
        <w:t>The Commission recognises the potential for significant reputational damage resulting from the deliberate or inadvertent disclosure of information and will develop and maintain internal policies and procedures which provide direction and coordinated management of information security.</w:t>
      </w:r>
    </w:p>
    <w:p w14:paraId="5BABFB51" w14:textId="77777777" w:rsidR="00542923" w:rsidRPr="00837CE3" w:rsidRDefault="00542923" w:rsidP="00837CE3">
      <w:pPr>
        <w:spacing w:before="0" w:after="0" w:line="276" w:lineRule="auto"/>
        <w:ind w:left="709"/>
        <w:jc w:val="both"/>
        <w:rPr>
          <w:rFonts w:cstheme="minorHAnsi"/>
          <w:sz w:val="24"/>
          <w:szCs w:val="24"/>
        </w:rPr>
      </w:pPr>
    </w:p>
    <w:p w14:paraId="6FD52CF0" w14:textId="77777777" w:rsidR="00542923" w:rsidRDefault="00542923" w:rsidP="00E8252D">
      <w:pPr>
        <w:pStyle w:val="ListParagraph"/>
        <w:spacing w:line="276" w:lineRule="auto"/>
        <w:jc w:val="both"/>
        <w:rPr>
          <w:rFonts w:cstheme="minorHAnsi"/>
          <w:sz w:val="24"/>
          <w:szCs w:val="24"/>
        </w:rPr>
      </w:pPr>
      <w:r>
        <w:rPr>
          <w:rFonts w:cstheme="minorHAnsi"/>
          <w:sz w:val="24"/>
          <w:szCs w:val="24"/>
        </w:rPr>
        <w:t>These Guidelines are developed pursuant to the Act</w:t>
      </w:r>
      <w:r>
        <w:rPr>
          <w:rStyle w:val="FootnoteReference"/>
          <w:rFonts w:cstheme="minorHAnsi"/>
          <w:sz w:val="24"/>
          <w:szCs w:val="24"/>
        </w:rPr>
        <w:footnoteReference w:id="3"/>
      </w:r>
      <w:r>
        <w:rPr>
          <w:rFonts w:cstheme="minorHAnsi"/>
          <w:sz w:val="24"/>
          <w:szCs w:val="24"/>
        </w:rPr>
        <w:t xml:space="preserve"> to assist the staff of the Commission to understand their obligations under the legislative framework governing information privacy and access in the Territory.  </w:t>
      </w:r>
    </w:p>
    <w:p w14:paraId="41183B5B" w14:textId="12F8FC17" w:rsidR="00542923" w:rsidRPr="00D54D72" w:rsidRDefault="00542923" w:rsidP="00E8252D">
      <w:pPr>
        <w:pStyle w:val="Heading3"/>
      </w:pPr>
      <w:bookmarkStart w:id="2" w:name="_Toc107316398"/>
      <w:r w:rsidRPr="00D54D72">
        <w:t>Information Privacy Commissioner</w:t>
      </w:r>
      <w:bookmarkEnd w:id="2"/>
    </w:p>
    <w:p w14:paraId="669ACA6C" w14:textId="77777777" w:rsidR="00542923" w:rsidRDefault="00542923" w:rsidP="00837CE3">
      <w:pPr>
        <w:pStyle w:val="ListParagraph"/>
        <w:spacing w:after="0" w:line="276" w:lineRule="auto"/>
        <w:jc w:val="both"/>
        <w:rPr>
          <w:rFonts w:cstheme="minorHAnsi"/>
          <w:sz w:val="24"/>
          <w:szCs w:val="24"/>
        </w:rPr>
      </w:pPr>
      <w:r>
        <w:rPr>
          <w:rFonts w:cstheme="minorHAnsi"/>
          <w:sz w:val="24"/>
          <w:szCs w:val="24"/>
        </w:rPr>
        <w:t>The Act requires the Commission to consult with the Information Privacy Commissioner before making these Guidelines.</w:t>
      </w:r>
      <w:r>
        <w:rPr>
          <w:rStyle w:val="FootnoteReference"/>
          <w:rFonts w:cstheme="minorHAnsi"/>
          <w:sz w:val="24"/>
          <w:szCs w:val="24"/>
        </w:rPr>
        <w:footnoteReference w:id="4"/>
      </w:r>
      <w:r>
        <w:rPr>
          <w:rFonts w:cstheme="minorHAnsi"/>
          <w:sz w:val="24"/>
          <w:szCs w:val="24"/>
        </w:rPr>
        <w:t xml:space="preserve">  The Information Privacy Commissioner is appointed pursuant to s 26 of the </w:t>
      </w:r>
      <w:r w:rsidRPr="00D54D72">
        <w:rPr>
          <w:rFonts w:cstheme="minorHAnsi"/>
          <w:i/>
          <w:iCs/>
          <w:sz w:val="24"/>
          <w:szCs w:val="24"/>
        </w:rPr>
        <w:t>Information Privacy Act 2014</w:t>
      </w:r>
      <w:r>
        <w:rPr>
          <w:rFonts w:cstheme="minorHAnsi"/>
          <w:sz w:val="24"/>
          <w:szCs w:val="24"/>
        </w:rPr>
        <w:t xml:space="preserve"> and has certain responsibilities under that Act.</w:t>
      </w:r>
    </w:p>
    <w:p w14:paraId="5B548A51" w14:textId="77777777" w:rsidR="00542923" w:rsidRPr="00837CE3" w:rsidRDefault="00542923" w:rsidP="00837CE3">
      <w:pPr>
        <w:spacing w:before="0" w:after="0" w:line="276" w:lineRule="auto"/>
        <w:ind w:left="709"/>
        <w:jc w:val="both"/>
        <w:rPr>
          <w:rFonts w:cstheme="minorHAnsi"/>
          <w:sz w:val="24"/>
          <w:szCs w:val="24"/>
        </w:rPr>
      </w:pPr>
    </w:p>
    <w:p w14:paraId="554B33A5" w14:textId="77777777" w:rsidR="00542923" w:rsidRPr="00D54D72" w:rsidRDefault="00542923" w:rsidP="00837CE3">
      <w:pPr>
        <w:pStyle w:val="ListParagraph"/>
        <w:spacing w:after="0" w:line="276" w:lineRule="auto"/>
        <w:jc w:val="both"/>
        <w:rPr>
          <w:rFonts w:cstheme="minorHAnsi"/>
          <w:sz w:val="24"/>
          <w:szCs w:val="24"/>
        </w:rPr>
      </w:pPr>
      <w:r>
        <w:rPr>
          <w:sz w:val="24"/>
          <w:szCs w:val="24"/>
        </w:rPr>
        <w:t>U</w:t>
      </w:r>
      <w:r w:rsidRPr="00D54D72">
        <w:rPr>
          <w:sz w:val="24"/>
          <w:szCs w:val="24"/>
        </w:rPr>
        <w:t xml:space="preserve">nder an arrangement between the ACT Government and the </w:t>
      </w:r>
      <w:r>
        <w:rPr>
          <w:sz w:val="24"/>
          <w:szCs w:val="24"/>
        </w:rPr>
        <w:t>Commonwealth</w:t>
      </w:r>
      <w:r w:rsidRPr="00D54D72">
        <w:rPr>
          <w:sz w:val="24"/>
          <w:szCs w:val="24"/>
        </w:rPr>
        <w:t>, the Australian Information Commissioner</w:t>
      </w:r>
      <w:r>
        <w:rPr>
          <w:sz w:val="24"/>
          <w:szCs w:val="24"/>
        </w:rPr>
        <w:t xml:space="preserve"> exercises</w:t>
      </w:r>
      <w:r w:rsidRPr="00D54D72">
        <w:rPr>
          <w:sz w:val="24"/>
          <w:szCs w:val="24"/>
        </w:rPr>
        <w:t xml:space="preserve"> some of the functions of the ACT Information Privacy Commissioner.</w:t>
      </w:r>
      <w:r w:rsidRPr="00717300">
        <w:rPr>
          <w:rStyle w:val="FootnoteReference"/>
          <w:sz w:val="24"/>
          <w:szCs w:val="24"/>
        </w:rPr>
        <w:t xml:space="preserve"> </w:t>
      </w:r>
      <w:r>
        <w:rPr>
          <w:rStyle w:val="FootnoteReference"/>
          <w:sz w:val="24"/>
          <w:szCs w:val="24"/>
        </w:rPr>
        <w:footnoteReference w:id="5"/>
      </w:r>
      <w:r w:rsidRPr="00D54D72">
        <w:rPr>
          <w:sz w:val="24"/>
          <w:szCs w:val="24"/>
        </w:rPr>
        <w:t xml:space="preserve">   The</w:t>
      </w:r>
      <w:r>
        <w:rPr>
          <w:sz w:val="24"/>
          <w:szCs w:val="24"/>
        </w:rPr>
        <w:t>se</w:t>
      </w:r>
      <w:r w:rsidRPr="00D54D72">
        <w:rPr>
          <w:sz w:val="24"/>
          <w:szCs w:val="24"/>
        </w:rPr>
        <w:t xml:space="preserve"> </w:t>
      </w:r>
      <w:r>
        <w:rPr>
          <w:sz w:val="24"/>
          <w:szCs w:val="24"/>
        </w:rPr>
        <w:t>duties</w:t>
      </w:r>
      <w:r w:rsidRPr="00D54D72">
        <w:rPr>
          <w:sz w:val="24"/>
          <w:szCs w:val="24"/>
        </w:rPr>
        <w:t xml:space="preserve"> include handing privacy complaints against, and receiving data breach notifications from, ACT public sector agencies and conducting assessments of ACT public sector agencies’ compliance with the Information Privacy Act.</w:t>
      </w:r>
      <w:r w:rsidRPr="00D54D72">
        <w:rPr>
          <w:rStyle w:val="FootnoteReference"/>
          <w:sz w:val="24"/>
          <w:szCs w:val="24"/>
        </w:rPr>
        <w:footnoteReference w:id="6"/>
      </w:r>
    </w:p>
    <w:p w14:paraId="41092233" w14:textId="77777777" w:rsidR="00542923" w:rsidRPr="00837CE3" w:rsidRDefault="00542923" w:rsidP="00837CE3">
      <w:pPr>
        <w:spacing w:before="0" w:after="0" w:line="276" w:lineRule="auto"/>
        <w:ind w:left="709"/>
        <w:jc w:val="both"/>
        <w:rPr>
          <w:rFonts w:cstheme="minorHAnsi"/>
          <w:sz w:val="24"/>
          <w:szCs w:val="24"/>
        </w:rPr>
      </w:pPr>
    </w:p>
    <w:p w14:paraId="1671CF87" w14:textId="77777777" w:rsidR="00542923" w:rsidRPr="00D54D72" w:rsidRDefault="00542923" w:rsidP="00837CE3">
      <w:pPr>
        <w:pStyle w:val="ListParagraph"/>
        <w:spacing w:after="0" w:line="276" w:lineRule="auto"/>
        <w:jc w:val="both"/>
        <w:rPr>
          <w:rFonts w:cstheme="minorHAnsi"/>
          <w:sz w:val="24"/>
          <w:szCs w:val="24"/>
        </w:rPr>
      </w:pPr>
      <w:r>
        <w:rPr>
          <w:rFonts w:cstheme="minorHAnsi"/>
          <w:sz w:val="24"/>
          <w:szCs w:val="24"/>
        </w:rPr>
        <w:t xml:space="preserve">In preparing these Guidelines, the Commission consulted with officers from the Office of the Australian Information Commissioner.   </w:t>
      </w:r>
    </w:p>
    <w:p w14:paraId="27332F15" w14:textId="77777777" w:rsidR="00542923" w:rsidRPr="00837CE3" w:rsidRDefault="00542923" w:rsidP="00837CE3">
      <w:pPr>
        <w:spacing w:before="0" w:after="0" w:line="276" w:lineRule="auto"/>
        <w:ind w:left="709"/>
        <w:jc w:val="both"/>
        <w:rPr>
          <w:rFonts w:cstheme="minorHAnsi"/>
          <w:sz w:val="24"/>
          <w:szCs w:val="24"/>
        </w:rPr>
      </w:pPr>
    </w:p>
    <w:p w14:paraId="71A20594" w14:textId="77777777" w:rsidR="00542923" w:rsidRPr="00126D35" w:rsidRDefault="00542923" w:rsidP="00542923">
      <w:pPr>
        <w:spacing w:line="276" w:lineRule="auto"/>
        <w:jc w:val="both"/>
        <w:rPr>
          <w:rFonts w:cstheme="minorHAnsi"/>
          <w:b/>
          <w:bCs/>
          <w:sz w:val="24"/>
          <w:szCs w:val="24"/>
        </w:rPr>
      </w:pPr>
      <w:r w:rsidRPr="00126D35">
        <w:rPr>
          <w:rFonts w:cstheme="minorHAnsi"/>
          <w:b/>
          <w:bCs/>
          <w:sz w:val="24"/>
          <w:szCs w:val="24"/>
        </w:rPr>
        <w:br w:type="page"/>
      </w:r>
    </w:p>
    <w:p w14:paraId="6FBCED82" w14:textId="77777777" w:rsidR="00542923" w:rsidRDefault="00542923" w:rsidP="00CE7C32">
      <w:pPr>
        <w:pStyle w:val="Heading2Numbered"/>
        <w:ind w:left="567" w:hanging="567"/>
      </w:pPr>
      <w:bookmarkStart w:id="3" w:name="_Toc107316399"/>
      <w:r>
        <w:lastRenderedPageBreak/>
        <w:t>The scope of these Guidelines</w:t>
      </w:r>
      <w:bookmarkEnd w:id="3"/>
    </w:p>
    <w:p w14:paraId="4E6D34E2" w14:textId="0E17C585" w:rsidR="00542923" w:rsidRPr="00940309" w:rsidRDefault="00542923" w:rsidP="00AC57B4">
      <w:pPr>
        <w:pStyle w:val="ListParagraph"/>
        <w:spacing w:after="0" w:line="276" w:lineRule="auto"/>
        <w:jc w:val="both"/>
        <w:rPr>
          <w:rFonts w:cstheme="minorHAnsi"/>
          <w:sz w:val="24"/>
          <w:szCs w:val="24"/>
        </w:rPr>
      </w:pPr>
      <w:r w:rsidRPr="00940309">
        <w:rPr>
          <w:rFonts w:cstheme="minorHAnsi"/>
          <w:sz w:val="24"/>
          <w:szCs w:val="24"/>
        </w:rPr>
        <w:t xml:space="preserve">The language in </w:t>
      </w:r>
      <w:r>
        <w:rPr>
          <w:rFonts w:cstheme="minorHAnsi"/>
          <w:sz w:val="24"/>
          <w:szCs w:val="24"/>
        </w:rPr>
        <w:t>the Act requiring the Commission to create these Guidelines</w:t>
      </w:r>
      <w:r w:rsidRPr="00940309">
        <w:rPr>
          <w:rFonts w:cstheme="minorHAnsi"/>
          <w:sz w:val="24"/>
          <w:szCs w:val="24"/>
        </w:rPr>
        <w:t xml:space="preserve"> is brief.  </w:t>
      </w:r>
      <w:r>
        <w:rPr>
          <w:rFonts w:cstheme="minorHAnsi"/>
          <w:sz w:val="24"/>
          <w:szCs w:val="24"/>
        </w:rPr>
        <w:t>The section</w:t>
      </w:r>
      <w:r w:rsidRPr="00940309">
        <w:rPr>
          <w:rFonts w:cstheme="minorHAnsi"/>
          <w:sz w:val="24"/>
          <w:szCs w:val="24"/>
        </w:rPr>
        <w:t xml:space="preserve"> states:</w:t>
      </w:r>
    </w:p>
    <w:p w14:paraId="4E92AADA" w14:textId="77777777" w:rsidR="00542923" w:rsidRPr="00AC57B4" w:rsidRDefault="00542923" w:rsidP="00AC57B4">
      <w:pPr>
        <w:spacing w:before="0" w:after="160" w:line="276" w:lineRule="auto"/>
        <w:ind w:left="709"/>
        <w:jc w:val="both"/>
        <w:rPr>
          <w:rFonts w:cstheme="minorHAnsi"/>
          <w:sz w:val="24"/>
          <w:szCs w:val="24"/>
        </w:rPr>
      </w:pPr>
    </w:p>
    <w:p w14:paraId="6BB1447C" w14:textId="77777777" w:rsidR="00542923" w:rsidRPr="00946925" w:rsidRDefault="00542923" w:rsidP="00542923">
      <w:pPr>
        <w:spacing w:line="276" w:lineRule="auto"/>
        <w:ind w:firstLine="720"/>
        <w:jc w:val="both"/>
        <w:rPr>
          <w:rFonts w:cstheme="minorHAnsi"/>
          <w:b/>
          <w:bCs/>
          <w:sz w:val="24"/>
          <w:szCs w:val="24"/>
        </w:rPr>
      </w:pPr>
      <w:r w:rsidRPr="00946925">
        <w:rPr>
          <w:rFonts w:cstheme="minorHAnsi"/>
          <w:b/>
          <w:bCs/>
          <w:sz w:val="24"/>
          <w:szCs w:val="24"/>
        </w:rPr>
        <w:t>299</w:t>
      </w:r>
      <w:r w:rsidRPr="00946925">
        <w:rPr>
          <w:rFonts w:cstheme="minorHAnsi"/>
          <w:b/>
          <w:bCs/>
          <w:sz w:val="24"/>
          <w:szCs w:val="24"/>
        </w:rPr>
        <w:tab/>
        <w:t>Information guidelines</w:t>
      </w:r>
    </w:p>
    <w:p w14:paraId="0A9D3A58" w14:textId="77777777" w:rsidR="00542923" w:rsidRDefault="00542923" w:rsidP="00542923">
      <w:pPr>
        <w:spacing w:line="276" w:lineRule="auto"/>
        <w:ind w:left="2160" w:hanging="720"/>
        <w:jc w:val="both"/>
        <w:rPr>
          <w:rFonts w:cstheme="minorHAnsi"/>
          <w:sz w:val="24"/>
          <w:szCs w:val="24"/>
        </w:rPr>
      </w:pPr>
      <w:r>
        <w:rPr>
          <w:rFonts w:cstheme="minorHAnsi"/>
          <w:sz w:val="24"/>
          <w:szCs w:val="24"/>
        </w:rPr>
        <w:t>(1)</w:t>
      </w:r>
      <w:r>
        <w:rPr>
          <w:rFonts w:cstheme="minorHAnsi"/>
          <w:sz w:val="24"/>
          <w:szCs w:val="24"/>
        </w:rPr>
        <w:tab/>
        <w:t xml:space="preserve">The commission must make guidelines about the handling of information under this Act (the </w:t>
      </w:r>
      <w:r w:rsidRPr="00946925">
        <w:rPr>
          <w:rFonts w:cstheme="minorHAnsi"/>
          <w:b/>
          <w:bCs/>
          <w:i/>
          <w:iCs/>
          <w:sz w:val="24"/>
          <w:szCs w:val="24"/>
        </w:rPr>
        <w:t>information guidelines</w:t>
      </w:r>
      <w:r>
        <w:rPr>
          <w:rFonts w:cstheme="minorHAnsi"/>
          <w:sz w:val="24"/>
          <w:szCs w:val="24"/>
        </w:rPr>
        <w:t>).</w:t>
      </w:r>
    </w:p>
    <w:p w14:paraId="4CD3E7A8" w14:textId="77777777" w:rsidR="00542923" w:rsidRDefault="00542923" w:rsidP="00542923">
      <w:pPr>
        <w:spacing w:line="276" w:lineRule="auto"/>
        <w:ind w:left="2160" w:hanging="720"/>
        <w:jc w:val="both"/>
        <w:rPr>
          <w:rFonts w:cstheme="minorHAnsi"/>
          <w:sz w:val="24"/>
          <w:szCs w:val="24"/>
        </w:rPr>
      </w:pPr>
      <w:r>
        <w:rPr>
          <w:rFonts w:cstheme="minorHAnsi"/>
          <w:sz w:val="24"/>
          <w:szCs w:val="24"/>
        </w:rPr>
        <w:t>(2)</w:t>
      </w:r>
      <w:r>
        <w:rPr>
          <w:rFonts w:cstheme="minorHAnsi"/>
          <w:sz w:val="24"/>
          <w:szCs w:val="24"/>
        </w:rPr>
        <w:tab/>
        <w:t>Before making an information guideline, the commission must consult the information privacy commissioner.</w:t>
      </w:r>
    </w:p>
    <w:p w14:paraId="786AFFE1" w14:textId="77777777" w:rsidR="00542923" w:rsidRDefault="00542923" w:rsidP="00542923">
      <w:pPr>
        <w:spacing w:line="276" w:lineRule="auto"/>
        <w:jc w:val="both"/>
        <w:rPr>
          <w:rFonts w:cstheme="minorHAnsi"/>
          <w:sz w:val="24"/>
          <w:szCs w:val="24"/>
        </w:rPr>
      </w:pPr>
      <w:r>
        <w:rPr>
          <w:rFonts w:cstheme="minorHAnsi"/>
          <w:sz w:val="24"/>
          <w:szCs w:val="24"/>
        </w:rPr>
        <w:tab/>
      </w:r>
      <w:r>
        <w:rPr>
          <w:rFonts w:cstheme="minorHAnsi"/>
          <w:sz w:val="24"/>
          <w:szCs w:val="24"/>
        </w:rPr>
        <w:tab/>
        <w:t>(3)</w:t>
      </w:r>
      <w:r>
        <w:rPr>
          <w:rFonts w:cstheme="minorHAnsi"/>
          <w:sz w:val="24"/>
          <w:szCs w:val="24"/>
        </w:rPr>
        <w:tab/>
        <w:t>The information guidelines are a notifiable instrument.</w:t>
      </w:r>
    </w:p>
    <w:p w14:paraId="3BE75180" w14:textId="77777777" w:rsidR="00542923" w:rsidRDefault="00542923" w:rsidP="001A1F18">
      <w:pPr>
        <w:pStyle w:val="ListParagraph"/>
        <w:spacing w:after="0" w:line="276" w:lineRule="auto"/>
        <w:jc w:val="both"/>
        <w:rPr>
          <w:rFonts w:cstheme="minorHAnsi"/>
          <w:sz w:val="24"/>
          <w:szCs w:val="24"/>
        </w:rPr>
      </w:pPr>
      <w:r>
        <w:rPr>
          <w:rFonts w:cstheme="minorHAnsi"/>
          <w:sz w:val="24"/>
          <w:szCs w:val="24"/>
        </w:rPr>
        <w:t xml:space="preserve">The Act is silent as to the meaning of ‘information’ and ‘handling’ and neither term is defined in the </w:t>
      </w:r>
      <w:r w:rsidRPr="00D50245">
        <w:rPr>
          <w:rFonts w:cstheme="minorHAnsi"/>
          <w:i/>
          <w:iCs/>
          <w:sz w:val="24"/>
          <w:szCs w:val="24"/>
        </w:rPr>
        <w:t>Legislation Act 2001</w:t>
      </w:r>
      <w:r>
        <w:rPr>
          <w:rFonts w:cstheme="minorHAnsi"/>
          <w:i/>
          <w:iCs/>
          <w:sz w:val="24"/>
          <w:szCs w:val="24"/>
        </w:rPr>
        <w:t>.</w:t>
      </w:r>
      <w:r w:rsidRPr="00FD1F01">
        <w:rPr>
          <w:rStyle w:val="FootnoteReference"/>
          <w:rFonts w:cstheme="minorHAnsi"/>
          <w:sz w:val="24"/>
          <w:szCs w:val="24"/>
        </w:rPr>
        <w:footnoteReference w:id="7"/>
      </w:r>
      <w:r>
        <w:rPr>
          <w:rFonts w:cstheme="minorHAnsi"/>
          <w:sz w:val="24"/>
          <w:szCs w:val="24"/>
        </w:rPr>
        <w:t xml:space="preserve">  In accordance with well-established principles of statutory interpretation, both words will have their plain and ordinary meaning unless the contrary is shown.</w:t>
      </w:r>
      <w:r>
        <w:rPr>
          <w:rStyle w:val="FootnoteReference"/>
          <w:rFonts w:cstheme="minorHAnsi"/>
          <w:sz w:val="24"/>
          <w:szCs w:val="24"/>
        </w:rPr>
        <w:footnoteReference w:id="8"/>
      </w:r>
      <w:r>
        <w:rPr>
          <w:rFonts w:cstheme="minorHAnsi"/>
          <w:sz w:val="24"/>
          <w:szCs w:val="24"/>
        </w:rPr>
        <w:t xml:space="preserve">  </w:t>
      </w:r>
    </w:p>
    <w:p w14:paraId="342E7198" w14:textId="77777777" w:rsidR="00542923" w:rsidRPr="001A1F18" w:rsidRDefault="00542923" w:rsidP="001A1F18">
      <w:pPr>
        <w:spacing w:before="0" w:after="0" w:line="276" w:lineRule="auto"/>
        <w:ind w:left="709"/>
        <w:jc w:val="both"/>
        <w:rPr>
          <w:rFonts w:cstheme="minorHAnsi"/>
          <w:sz w:val="24"/>
          <w:szCs w:val="24"/>
        </w:rPr>
      </w:pPr>
    </w:p>
    <w:p w14:paraId="74C8A2BE" w14:textId="77777777" w:rsidR="00542923" w:rsidRDefault="00542923" w:rsidP="001A1F18">
      <w:pPr>
        <w:pStyle w:val="ListParagraph"/>
        <w:spacing w:after="0" w:line="276" w:lineRule="auto"/>
        <w:jc w:val="both"/>
        <w:rPr>
          <w:rFonts w:cstheme="minorHAnsi"/>
          <w:sz w:val="24"/>
          <w:szCs w:val="24"/>
        </w:rPr>
      </w:pPr>
      <w:r>
        <w:rPr>
          <w:rFonts w:cstheme="minorHAnsi"/>
          <w:sz w:val="24"/>
          <w:szCs w:val="24"/>
        </w:rPr>
        <w:t>The Macquarie Dictionary defines the words as follows:</w:t>
      </w:r>
      <w:r w:rsidRPr="00717300">
        <w:rPr>
          <w:rStyle w:val="FootnoteReference"/>
          <w:rFonts w:cstheme="minorHAnsi"/>
          <w:sz w:val="24"/>
          <w:szCs w:val="24"/>
        </w:rPr>
        <w:t xml:space="preserve"> </w:t>
      </w:r>
    </w:p>
    <w:p w14:paraId="50183AA6" w14:textId="77777777" w:rsidR="00542923" w:rsidRPr="001A1F18" w:rsidRDefault="00542923" w:rsidP="001A1F18">
      <w:pPr>
        <w:spacing w:before="0" w:after="0" w:line="276" w:lineRule="auto"/>
        <w:ind w:left="709"/>
        <w:jc w:val="both"/>
        <w:rPr>
          <w:rFonts w:cstheme="minorHAnsi"/>
          <w:sz w:val="24"/>
          <w:szCs w:val="24"/>
        </w:rPr>
      </w:pPr>
    </w:p>
    <w:p w14:paraId="4C8ED43C" w14:textId="77777777" w:rsidR="00542923" w:rsidRPr="001A1F18" w:rsidRDefault="00542923" w:rsidP="001A1F18">
      <w:pPr>
        <w:spacing w:before="0" w:after="0" w:line="276" w:lineRule="auto"/>
        <w:ind w:left="1440"/>
        <w:jc w:val="both"/>
        <w:rPr>
          <w:rFonts w:cstheme="minorHAnsi"/>
          <w:sz w:val="24"/>
          <w:szCs w:val="24"/>
        </w:rPr>
      </w:pPr>
      <w:r w:rsidRPr="001A1F18">
        <w:rPr>
          <w:rFonts w:cstheme="minorHAnsi"/>
          <w:b/>
          <w:bCs/>
          <w:i/>
          <w:iCs/>
          <w:sz w:val="24"/>
          <w:szCs w:val="24"/>
        </w:rPr>
        <w:t>information</w:t>
      </w:r>
      <w:r w:rsidRPr="001A1F18">
        <w:rPr>
          <w:rFonts w:cstheme="minorHAnsi"/>
          <w:sz w:val="24"/>
          <w:szCs w:val="24"/>
        </w:rPr>
        <w:t>: [relevantly] knowledge communicated or received concerning some fact or circumstance;  news.</w:t>
      </w:r>
    </w:p>
    <w:p w14:paraId="1E70EB26" w14:textId="77777777" w:rsidR="00542923" w:rsidRPr="001A1F18" w:rsidRDefault="00542923" w:rsidP="001A1F18">
      <w:pPr>
        <w:spacing w:before="0" w:after="0" w:line="276" w:lineRule="auto"/>
        <w:ind w:left="1440"/>
        <w:jc w:val="both"/>
        <w:rPr>
          <w:rFonts w:cstheme="minorHAnsi"/>
          <w:sz w:val="24"/>
          <w:szCs w:val="24"/>
        </w:rPr>
      </w:pPr>
    </w:p>
    <w:p w14:paraId="6CF9D31D" w14:textId="77777777" w:rsidR="00542923" w:rsidRPr="001A1F18" w:rsidRDefault="00542923" w:rsidP="001A1F18">
      <w:pPr>
        <w:spacing w:before="0" w:after="0" w:line="276" w:lineRule="auto"/>
        <w:ind w:left="1440"/>
        <w:jc w:val="both"/>
        <w:rPr>
          <w:rFonts w:cstheme="minorHAnsi"/>
          <w:sz w:val="24"/>
          <w:szCs w:val="24"/>
        </w:rPr>
      </w:pPr>
      <w:r w:rsidRPr="001A1F18">
        <w:rPr>
          <w:rFonts w:cstheme="minorHAnsi"/>
          <w:b/>
          <w:bCs/>
          <w:i/>
          <w:iCs/>
          <w:sz w:val="24"/>
          <w:szCs w:val="24"/>
        </w:rPr>
        <w:t>handle</w:t>
      </w:r>
      <w:r w:rsidRPr="001A1F18">
        <w:rPr>
          <w:rFonts w:cstheme="minorHAnsi"/>
          <w:sz w:val="24"/>
          <w:szCs w:val="24"/>
        </w:rPr>
        <w:t>:  [relevantly] to manage, direct or control</w:t>
      </w:r>
      <w:r>
        <w:rPr>
          <w:rStyle w:val="FootnoteReference"/>
          <w:rFonts w:cstheme="minorHAnsi"/>
          <w:sz w:val="24"/>
          <w:szCs w:val="24"/>
        </w:rPr>
        <w:footnoteReference w:id="9"/>
      </w:r>
    </w:p>
    <w:p w14:paraId="4724F639" w14:textId="77777777" w:rsidR="00542923" w:rsidRPr="001A1F18" w:rsidRDefault="00542923" w:rsidP="001A1F18">
      <w:pPr>
        <w:spacing w:before="0" w:after="0" w:line="276" w:lineRule="auto"/>
        <w:ind w:left="709"/>
        <w:jc w:val="both"/>
        <w:rPr>
          <w:rFonts w:cstheme="minorHAnsi"/>
          <w:sz w:val="24"/>
          <w:szCs w:val="24"/>
        </w:rPr>
      </w:pPr>
    </w:p>
    <w:p w14:paraId="7006B7C1" w14:textId="77777777" w:rsidR="00542923" w:rsidRDefault="00542923" w:rsidP="00187114">
      <w:pPr>
        <w:pStyle w:val="ListParagraph"/>
        <w:spacing w:after="0" w:line="276" w:lineRule="auto"/>
        <w:jc w:val="both"/>
        <w:rPr>
          <w:rFonts w:cstheme="minorHAnsi"/>
          <w:sz w:val="24"/>
          <w:szCs w:val="24"/>
        </w:rPr>
      </w:pPr>
      <w:r>
        <w:rPr>
          <w:rFonts w:cstheme="minorHAnsi"/>
          <w:sz w:val="24"/>
          <w:szCs w:val="24"/>
        </w:rPr>
        <w:t xml:space="preserve">These Guidelines, therefore, are to assist the Commission with the management or control of knowledge, intelligence or news.  They form an integral part of the Commission’s Records Management Program.  </w:t>
      </w:r>
    </w:p>
    <w:p w14:paraId="4CC45927" w14:textId="77777777" w:rsidR="00542923" w:rsidRPr="001A1F18" w:rsidRDefault="00542923" w:rsidP="001A1F18">
      <w:pPr>
        <w:spacing w:before="0" w:after="0" w:line="276" w:lineRule="auto"/>
        <w:ind w:left="709"/>
        <w:jc w:val="both"/>
        <w:rPr>
          <w:rFonts w:cstheme="minorHAnsi"/>
          <w:sz w:val="24"/>
          <w:szCs w:val="24"/>
        </w:rPr>
      </w:pPr>
    </w:p>
    <w:p w14:paraId="239D18B1" w14:textId="77777777" w:rsidR="00542923" w:rsidRDefault="00542923" w:rsidP="00187114">
      <w:pPr>
        <w:pStyle w:val="ListParagraph"/>
        <w:spacing w:after="0" w:line="276" w:lineRule="auto"/>
        <w:jc w:val="both"/>
        <w:rPr>
          <w:rFonts w:cstheme="minorHAnsi"/>
          <w:sz w:val="24"/>
          <w:szCs w:val="24"/>
        </w:rPr>
      </w:pPr>
      <w:r>
        <w:rPr>
          <w:rFonts w:cstheme="minorHAnsi"/>
          <w:sz w:val="24"/>
          <w:szCs w:val="24"/>
        </w:rPr>
        <w:t xml:space="preserve">Information may take the form of electronic data, handwritten or word-processed information, emails, reports, memoranda, tables, receipts, invoices, statements.  It may also be information in aural form (sound), or visual form such as pictures, photographs, charts and graphs.  </w:t>
      </w:r>
    </w:p>
    <w:p w14:paraId="5CC90AE0" w14:textId="77777777" w:rsidR="00542923" w:rsidRPr="00187114" w:rsidRDefault="00542923" w:rsidP="00187114">
      <w:pPr>
        <w:spacing w:before="0" w:after="0" w:line="276" w:lineRule="auto"/>
        <w:ind w:left="709"/>
        <w:jc w:val="both"/>
        <w:rPr>
          <w:rFonts w:cstheme="minorHAnsi"/>
          <w:sz w:val="24"/>
          <w:szCs w:val="24"/>
        </w:rPr>
      </w:pPr>
    </w:p>
    <w:p w14:paraId="27B325A4" w14:textId="77777777" w:rsidR="00542923" w:rsidRDefault="00542923" w:rsidP="00542923">
      <w:pPr>
        <w:rPr>
          <w:rFonts w:cstheme="minorHAnsi"/>
          <w:sz w:val="24"/>
          <w:szCs w:val="24"/>
        </w:rPr>
      </w:pPr>
    </w:p>
    <w:p w14:paraId="1EB7DE7F" w14:textId="77777777" w:rsidR="00542923" w:rsidRPr="00DA2F93" w:rsidRDefault="00542923" w:rsidP="00CE7C32">
      <w:pPr>
        <w:pStyle w:val="Heading2Numbered"/>
        <w:ind w:left="567" w:hanging="567"/>
      </w:pPr>
      <w:bookmarkStart w:id="4" w:name="_Toc107316400"/>
      <w:r>
        <w:lastRenderedPageBreak/>
        <w:t xml:space="preserve">Requirements of the </w:t>
      </w:r>
      <w:r w:rsidRPr="00FD1F01">
        <w:t>Integrity Commission Act 2018</w:t>
      </w:r>
      <w:bookmarkEnd w:id="4"/>
      <w:r>
        <w:t xml:space="preserve"> </w:t>
      </w:r>
    </w:p>
    <w:p w14:paraId="2A8297C7" w14:textId="1CE0140A" w:rsidR="00542923" w:rsidRDefault="00542923" w:rsidP="00187114">
      <w:pPr>
        <w:pStyle w:val="ListParagraph"/>
        <w:spacing w:after="0" w:line="276" w:lineRule="auto"/>
        <w:jc w:val="both"/>
        <w:rPr>
          <w:rFonts w:cstheme="minorHAnsi"/>
          <w:sz w:val="24"/>
          <w:szCs w:val="24"/>
        </w:rPr>
      </w:pPr>
      <w:r>
        <w:rPr>
          <w:rFonts w:cstheme="minorHAnsi"/>
          <w:sz w:val="24"/>
          <w:szCs w:val="24"/>
        </w:rPr>
        <w:t>The Act creates a regime for the protection of information received and distributed by the Commission.  There are two elements to the regime:</w:t>
      </w:r>
    </w:p>
    <w:p w14:paraId="6F057BE4" w14:textId="77777777" w:rsidR="00542923" w:rsidRPr="00187114" w:rsidRDefault="00542923" w:rsidP="00187114">
      <w:pPr>
        <w:spacing w:before="0" w:after="0" w:line="276" w:lineRule="auto"/>
        <w:ind w:left="709"/>
        <w:jc w:val="both"/>
        <w:rPr>
          <w:rFonts w:cstheme="minorHAnsi"/>
          <w:sz w:val="24"/>
          <w:szCs w:val="24"/>
        </w:rPr>
      </w:pPr>
    </w:p>
    <w:p w14:paraId="406EC86C" w14:textId="77777777" w:rsidR="00542923" w:rsidRDefault="00542923" w:rsidP="00E8252D">
      <w:pPr>
        <w:pStyle w:val="ListParagraph"/>
        <w:numPr>
          <w:ilvl w:val="0"/>
          <w:numId w:val="26"/>
        </w:numPr>
        <w:spacing w:line="276" w:lineRule="auto"/>
        <w:jc w:val="both"/>
        <w:rPr>
          <w:rFonts w:cstheme="minorHAnsi"/>
          <w:sz w:val="24"/>
          <w:szCs w:val="24"/>
        </w:rPr>
      </w:pPr>
      <w:r>
        <w:rPr>
          <w:rFonts w:cstheme="minorHAnsi"/>
          <w:sz w:val="24"/>
          <w:szCs w:val="24"/>
        </w:rPr>
        <w:t>provisions relating to 'restricted information’ relating to Confidentiality Notices; and</w:t>
      </w:r>
    </w:p>
    <w:p w14:paraId="750BB4F7" w14:textId="77777777" w:rsidR="00542923" w:rsidRDefault="00542923" w:rsidP="00E8252D">
      <w:pPr>
        <w:pStyle w:val="ListParagraph"/>
        <w:numPr>
          <w:ilvl w:val="0"/>
          <w:numId w:val="26"/>
        </w:numPr>
        <w:spacing w:line="276" w:lineRule="auto"/>
        <w:jc w:val="both"/>
        <w:rPr>
          <w:rFonts w:cstheme="minorHAnsi"/>
          <w:sz w:val="24"/>
          <w:szCs w:val="24"/>
        </w:rPr>
      </w:pPr>
      <w:r>
        <w:rPr>
          <w:rFonts w:cstheme="minorHAnsi"/>
          <w:sz w:val="24"/>
          <w:szCs w:val="24"/>
        </w:rPr>
        <w:t>provisions relating to ‘protected information.’</w:t>
      </w:r>
    </w:p>
    <w:p w14:paraId="40381E42" w14:textId="77777777" w:rsidR="00542923" w:rsidRPr="00020AFA" w:rsidRDefault="00542923" w:rsidP="00E8252D">
      <w:pPr>
        <w:pStyle w:val="Heading3"/>
      </w:pPr>
      <w:bookmarkStart w:id="5" w:name="_Toc107316401"/>
      <w:r w:rsidRPr="00020AFA">
        <w:t>Restricted information</w:t>
      </w:r>
      <w:bookmarkEnd w:id="5"/>
    </w:p>
    <w:p w14:paraId="43ED9342" w14:textId="77777777" w:rsidR="00542923" w:rsidRDefault="00542923" w:rsidP="009E4255">
      <w:pPr>
        <w:pStyle w:val="ListParagraph"/>
        <w:spacing w:after="0" w:line="276" w:lineRule="auto"/>
        <w:jc w:val="both"/>
        <w:rPr>
          <w:rFonts w:cstheme="minorHAnsi"/>
          <w:sz w:val="24"/>
          <w:szCs w:val="24"/>
        </w:rPr>
      </w:pPr>
      <w:r w:rsidRPr="002F3DAF">
        <w:rPr>
          <w:rFonts w:cstheme="minorHAnsi"/>
          <w:sz w:val="24"/>
          <w:szCs w:val="24"/>
        </w:rPr>
        <w:t xml:space="preserve">Part 3.2 of the Act relates to Confidentiality Notices issued by the Commission in connection with preliminary inquiry notices and examination summonses.  </w:t>
      </w:r>
      <w:r>
        <w:rPr>
          <w:rFonts w:cstheme="minorHAnsi"/>
          <w:sz w:val="24"/>
          <w:szCs w:val="24"/>
        </w:rPr>
        <w:t>A preliminary inquiry notice is issued in furtherance of a preliminary inquiry,</w:t>
      </w:r>
      <w:r>
        <w:rPr>
          <w:rStyle w:val="FootnoteReference"/>
          <w:rFonts w:cstheme="minorHAnsi"/>
          <w:sz w:val="24"/>
          <w:szCs w:val="24"/>
        </w:rPr>
        <w:footnoteReference w:id="10"/>
      </w:r>
      <w:r>
        <w:rPr>
          <w:rFonts w:cstheme="minorHAnsi"/>
          <w:sz w:val="24"/>
          <w:szCs w:val="24"/>
        </w:rPr>
        <w:t xml:space="preserve"> while an examination summons may be issued in furtherance of an investigation.</w:t>
      </w:r>
      <w:r>
        <w:rPr>
          <w:rStyle w:val="FootnoteReference"/>
          <w:rFonts w:cstheme="minorHAnsi"/>
          <w:sz w:val="24"/>
          <w:szCs w:val="24"/>
        </w:rPr>
        <w:footnoteReference w:id="11"/>
      </w:r>
      <w:r>
        <w:rPr>
          <w:rFonts w:cstheme="minorHAnsi"/>
          <w:sz w:val="24"/>
          <w:szCs w:val="24"/>
        </w:rPr>
        <w:t xml:space="preserve">  </w:t>
      </w:r>
    </w:p>
    <w:p w14:paraId="0C37172F" w14:textId="77777777" w:rsidR="00542923" w:rsidRPr="00187114" w:rsidRDefault="00542923" w:rsidP="00187114">
      <w:pPr>
        <w:spacing w:before="0" w:after="0" w:line="276" w:lineRule="auto"/>
        <w:ind w:left="709"/>
        <w:jc w:val="both"/>
        <w:rPr>
          <w:rFonts w:cstheme="minorHAnsi"/>
          <w:sz w:val="24"/>
          <w:szCs w:val="24"/>
        </w:rPr>
      </w:pPr>
    </w:p>
    <w:p w14:paraId="38810F23" w14:textId="77777777" w:rsidR="00542923" w:rsidRPr="002F3DAF" w:rsidRDefault="00542923" w:rsidP="00187114">
      <w:pPr>
        <w:pStyle w:val="ListParagraph"/>
        <w:spacing w:after="0" w:line="276" w:lineRule="auto"/>
        <w:jc w:val="both"/>
        <w:rPr>
          <w:rFonts w:cstheme="minorHAnsi"/>
          <w:sz w:val="24"/>
          <w:szCs w:val="24"/>
        </w:rPr>
      </w:pPr>
      <w:r w:rsidRPr="002F3DAF">
        <w:rPr>
          <w:rFonts w:cstheme="minorHAnsi"/>
          <w:sz w:val="24"/>
          <w:szCs w:val="24"/>
        </w:rPr>
        <w:t>As Commission preliminary inquiries and investigations are necessarily covert for some time, it is critical an individual receiving a preliminary inquiry notice or examination summons does not disclose certain information.  Part 3.2 create</w:t>
      </w:r>
      <w:r>
        <w:rPr>
          <w:rFonts w:cstheme="minorHAnsi"/>
          <w:sz w:val="24"/>
          <w:szCs w:val="24"/>
        </w:rPr>
        <w:t>s</w:t>
      </w:r>
      <w:r w:rsidRPr="002F3DAF">
        <w:rPr>
          <w:rFonts w:cstheme="minorHAnsi"/>
          <w:sz w:val="24"/>
          <w:szCs w:val="24"/>
        </w:rPr>
        <w:t xml:space="preserve"> a regimen whereby a preliminary inquiry notice or examination summons may be accompanied by a Confidentiality Notice requiring a recipient not disclose ‘restricted information</w:t>
      </w:r>
      <w:r>
        <w:rPr>
          <w:rFonts w:cstheme="minorHAnsi"/>
          <w:sz w:val="24"/>
          <w:szCs w:val="24"/>
        </w:rPr>
        <w:t>,</w:t>
      </w:r>
      <w:r w:rsidRPr="002F3DAF">
        <w:rPr>
          <w:rFonts w:cstheme="minorHAnsi"/>
          <w:sz w:val="24"/>
          <w:szCs w:val="24"/>
        </w:rPr>
        <w:t xml:space="preserve">’ except in certain circumstances.  </w:t>
      </w:r>
    </w:p>
    <w:p w14:paraId="4A2E79DF" w14:textId="77777777" w:rsidR="00542923" w:rsidRPr="00187114" w:rsidRDefault="00542923" w:rsidP="00187114">
      <w:pPr>
        <w:spacing w:before="0" w:after="0" w:line="276" w:lineRule="auto"/>
        <w:ind w:left="709"/>
        <w:jc w:val="both"/>
        <w:rPr>
          <w:rFonts w:cstheme="minorHAnsi"/>
          <w:sz w:val="24"/>
          <w:szCs w:val="24"/>
        </w:rPr>
      </w:pPr>
    </w:p>
    <w:p w14:paraId="740636C7" w14:textId="77777777" w:rsidR="00542923" w:rsidRDefault="00542923" w:rsidP="00187114">
      <w:pPr>
        <w:pStyle w:val="ListParagraph"/>
        <w:spacing w:after="0" w:line="276" w:lineRule="auto"/>
        <w:jc w:val="both"/>
        <w:rPr>
          <w:rFonts w:cstheme="minorHAnsi"/>
          <w:sz w:val="24"/>
          <w:szCs w:val="24"/>
        </w:rPr>
      </w:pPr>
      <w:r>
        <w:rPr>
          <w:rFonts w:cstheme="minorHAnsi"/>
          <w:sz w:val="24"/>
          <w:szCs w:val="24"/>
        </w:rPr>
        <w:t>‘Restricted information’ is defined as meaning any of the following:</w:t>
      </w:r>
    </w:p>
    <w:p w14:paraId="2D70572C" w14:textId="77777777" w:rsidR="00542923" w:rsidRPr="00187114" w:rsidRDefault="00542923" w:rsidP="00187114">
      <w:pPr>
        <w:spacing w:before="0" w:after="0" w:line="276" w:lineRule="auto"/>
        <w:ind w:left="709"/>
        <w:jc w:val="both"/>
        <w:rPr>
          <w:rFonts w:cstheme="minorHAnsi"/>
          <w:sz w:val="24"/>
          <w:szCs w:val="24"/>
        </w:rPr>
      </w:pPr>
    </w:p>
    <w:p w14:paraId="49CCF598"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evidence or information given to, or obtained by, the Commission;</w:t>
      </w:r>
    </w:p>
    <w:p w14:paraId="56F6B46A"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the contents of a document, or a description of a thing, produced to or obtained by, the Commission;</w:t>
      </w:r>
    </w:p>
    <w:p w14:paraId="51742B6F"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the contents of a document or a description of a thing, that the Commission has made a copy of or seized under part 3.5 (Commission – powers of entry, search and seizure);</w:t>
      </w:r>
    </w:p>
    <w:p w14:paraId="70B334DC"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the existence of, or any information about, a confidentiality notice, preliminary inquiry notice or examination summons;</w:t>
      </w:r>
    </w:p>
    <w:p w14:paraId="25FFDF93"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the subject matter of a preliminary inquiry or investigation’</w:t>
      </w:r>
    </w:p>
    <w:p w14:paraId="6430C36C"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 xml:space="preserve">information that would identify a person, or could allow the identity of a person to be worked out; who – </w:t>
      </w:r>
    </w:p>
    <w:p w14:paraId="3DC5E8D7" w14:textId="77777777" w:rsidR="00542923" w:rsidRPr="00CB0E71" w:rsidRDefault="00542923" w:rsidP="00E8252D">
      <w:pPr>
        <w:pStyle w:val="ListParagraph"/>
        <w:numPr>
          <w:ilvl w:val="4"/>
          <w:numId w:val="19"/>
        </w:numPr>
        <w:spacing w:line="276" w:lineRule="auto"/>
        <w:ind w:left="2694" w:hanging="426"/>
        <w:jc w:val="both"/>
        <w:rPr>
          <w:rFonts w:cstheme="minorHAnsi"/>
          <w:sz w:val="20"/>
          <w:szCs w:val="20"/>
        </w:rPr>
      </w:pPr>
      <w:r w:rsidRPr="00CB0E71">
        <w:rPr>
          <w:rFonts w:cstheme="minorHAnsi"/>
          <w:sz w:val="20"/>
          <w:szCs w:val="20"/>
        </w:rPr>
        <w:t>has been or is proposed to be examined by the Commission; or</w:t>
      </w:r>
    </w:p>
    <w:p w14:paraId="6C825B71" w14:textId="77777777" w:rsidR="00542923" w:rsidRPr="00CB0E71" w:rsidRDefault="00542923" w:rsidP="00E8252D">
      <w:pPr>
        <w:pStyle w:val="ListParagraph"/>
        <w:numPr>
          <w:ilvl w:val="4"/>
          <w:numId w:val="19"/>
        </w:numPr>
        <w:spacing w:line="276" w:lineRule="auto"/>
        <w:ind w:left="2694" w:hanging="426"/>
        <w:jc w:val="both"/>
        <w:rPr>
          <w:rFonts w:cstheme="minorHAnsi"/>
          <w:sz w:val="20"/>
          <w:szCs w:val="20"/>
        </w:rPr>
      </w:pPr>
      <w:r w:rsidRPr="00CB0E71">
        <w:rPr>
          <w:rFonts w:cstheme="minorHAnsi"/>
          <w:sz w:val="20"/>
          <w:szCs w:val="20"/>
        </w:rPr>
        <w:t>has produced or may produce a document or other thing to the Commission;</w:t>
      </w:r>
    </w:p>
    <w:p w14:paraId="5FFAE7FF" w14:textId="77777777" w:rsidR="00542923" w:rsidRPr="00CB0E71" w:rsidRDefault="00542923" w:rsidP="00E8252D">
      <w:pPr>
        <w:pStyle w:val="ListParagraph"/>
        <w:numPr>
          <w:ilvl w:val="3"/>
          <w:numId w:val="19"/>
        </w:numPr>
        <w:spacing w:line="276" w:lineRule="auto"/>
        <w:ind w:left="2268" w:hanging="425"/>
        <w:jc w:val="both"/>
        <w:rPr>
          <w:rFonts w:cstheme="minorHAnsi"/>
          <w:sz w:val="20"/>
          <w:szCs w:val="20"/>
        </w:rPr>
      </w:pPr>
      <w:r w:rsidRPr="00CB0E71">
        <w:rPr>
          <w:rFonts w:cstheme="minorHAnsi"/>
          <w:sz w:val="20"/>
          <w:szCs w:val="20"/>
        </w:rPr>
        <w:t xml:space="preserve">the fact that a person – </w:t>
      </w:r>
    </w:p>
    <w:p w14:paraId="37A31BD8" w14:textId="77777777" w:rsidR="00542923" w:rsidRPr="00CB0E71" w:rsidRDefault="00542923" w:rsidP="00E8252D">
      <w:pPr>
        <w:pStyle w:val="ListParagraph"/>
        <w:numPr>
          <w:ilvl w:val="4"/>
          <w:numId w:val="19"/>
        </w:numPr>
        <w:spacing w:line="276" w:lineRule="auto"/>
        <w:ind w:left="2694" w:hanging="426"/>
        <w:jc w:val="both"/>
        <w:rPr>
          <w:rFonts w:cstheme="minorHAnsi"/>
          <w:sz w:val="20"/>
          <w:szCs w:val="20"/>
        </w:rPr>
      </w:pPr>
      <w:r w:rsidRPr="00CB0E71">
        <w:rPr>
          <w:rFonts w:cstheme="minorHAnsi"/>
          <w:sz w:val="20"/>
          <w:szCs w:val="20"/>
        </w:rPr>
        <w:t>has been or is proposed to be examined by the Commission; or</w:t>
      </w:r>
    </w:p>
    <w:p w14:paraId="07701121" w14:textId="77777777" w:rsidR="00542923" w:rsidRPr="00CB0E71" w:rsidRDefault="00542923" w:rsidP="0084276E">
      <w:pPr>
        <w:pStyle w:val="ListParagraph"/>
        <w:numPr>
          <w:ilvl w:val="4"/>
          <w:numId w:val="19"/>
        </w:numPr>
        <w:spacing w:after="0" w:line="276" w:lineRule="auto"/>
        <w:ind w:left="2693" w:hanging="425"/>
        <w:jc w:val="both"/>
        <w:rPr>
          <w:rFonts w:cstheme="minorHAnsi"/>
          <w:sz w:val="20"/>
          <w:szCs w:val="20"/>
        </w:rPr>
      </w:pPr>
      <w:r w:rsidRPr="00CB0E71">
        <w:rPr>
          <w:rFonts w:cstheme="minorHAnsi"/>
          <w:sz w:val="20"/>
          <w:szCs w:val="20"/>
        </w:rPr>
        <w:t>has produced or may produce a document or other thing to the Commission.</w:t>
      </w:r>
      <w:r>
        <w:rPr>
          <w:rStyle w:val="FootnoteReference"/>
          <w:rFonts w:cstheme="minorHAnsi"/>
          <w:sz w:val="20"/>
          <w:szCs w:val="20"/>
        </w:rPr>
        <w:footnoteReference w:id="12"/>
      </w:r>
    </w:p>
    <w:p w14:paraId="08DA50A2" w14:textId="77777777" w:rsidR="0084276E" w:rsidRPr="00187114" w:rsidRDefault="0084276E" w:rsidP="0084276E">
      <w:pPr>
        <w:spacing w:before="0" w:after="0" w:line="276" w:lineRule="auto"/>
        <w:ind w:left="709"/>
        <w:jc w:val="both"/>
        <w:rPr>
          <w:rFonts w:cstheme="minorHAnsi"/>
          <w:sz w:val="24"/>
          <w:szCs w:val="24"/>
        </w:rPr>
      </w:pPr>
    </w:p>
    <w:p w14:paraId="4F28CC94" w14:textId="77777777" w:rsidR="00542923" w:rsidRDefault="00542923" w:rsidP="00CA074C">
      <w:pPr>
        <w:pStyle w:val="ListParagraph"/>
        <w:spacing w:after="0" w:line="276" w:lineRule="auto"/>
        <w:jc w:val="both"/>
        <w:rPr>
          <w:rFonts w:cstheme="minorHAnsi"/>
          <w:sz w:val="24"/>
          <w:szCs w:val="24"/>
        </w:rPr>
      </w:pPr>
      <w:r>
        <w:rPr>
          <w:rFonts w:cstheme="minorHAnsi"/>
          <w:sz w:val="24"/>
          <w:szCs w:val="24"/>
        </w:rPr>
        <w:lastRenderedPageBreak/>
        <w:t>The disclosure of restricted information may be an offence and penalties may apply.  However, certain kinds of disclosure, called ‘permitted disclosures’ are allowed to enable recipients of preliminary inquiry notices or examination summonses to comply with the Commission’s requirements.  For example, the person may disclose information to an interpreter if they have insufficient understanding of English to understand the documentation.  It is incumbent upon the person to ensure the person to whom a permitted disclosure is made is also given a copy of the confidentiality notice and is made aware that they are also bound by its terms.</w:t>
      </w:r>
    </w:p>
    <w:p w14:paraId="6B3D22B4" w14:textId="77777777" w:rsidR="00542923" w:rsidRPr="009E4255" w:rsidRDefault="00542923" w:rsidP="009E4255">
      <w:pPr>
        <w:spacing w:before="0" w:after="0" w:line="276" w:lineRule="auto"/>
        <w:ind w:left="709"/>
        <w:jc w:val="both"/>
        <w:rPr>
          <w:rFonts w:cstheme="minorHAnsi"/>
          <w:sz w:val="24"/>
          <w:szCs w:val="24"/>
        </w:rPr>
      </w:pPr>
    </w:p>
    <w:p w14:paraId="23694489" w14:textId="77777777" w:rsidR="00542923" w:rsidRDefault="00542923" w:rsidP="00E8252D">
      <w:pPr>
        <w:pStyle w:val="ListParagraph"/>
        <w:spacing w:line="276" w:lineRule="auto"/>
        <w:jc w:val="both"/>
        <w:rPr>
          <w:rFonts w:cstheme="minorHAnsi"/>
          <w:sz w:val="24"/>
          <w:szCs w:val="24"/>
        </w:rPr>
      </w:pPr>
      <w:r>
        <w:rPr>
          <w:rFonts w:cstheme="minorHAnsi"/>
          <w:sz w:val="24"/>
          <w:szCs w:val="24"/>
        </w:rPr>
        <w:t xml:space="preserve">The provisions relating to restricted information apply only to a recipient of a Confidentiality Notice, not to staff of the Commission.  </w:t>
      </w:r>
    </w:p>
    <w:p w14:paraId="276302F0" w14:textId="0E5848E9" w:rsidR="00542923" w:rsidRPr="00CB0E71" w:rsidRDefault="00542923" w:rsidP="00E8252D">
      <w:pPr>
        <w:pStyle w:val="Heading3"/>
      </w:pPr>
      <w:bookmarkStart w:id="6" w:name="_Toc107316402"/>
      <w:r w:rsidRPr="00CB0E71">
        <w:t>Protected information</w:t>
      </w:r>
      <w:bookmarkEnd w:id="6"/>
    </w:p>
    <w:p w14:paraId="1C747899" w14:textId="77777777" w:rsidR="00542923" w:rsidRDefault="00542923" w:rsidP="00CA074C">
      <w:pPr>
        <w:pStyle w:val="ListParagraph"/>
        <w:spacing w:after="0" w:line="276" w:lineRule="auto"/>
        <w:jc w:val="both"/>
        <w:rPr>
          <w:rFonts w:cstheme="minorHAnsi"/>
          <w:sz w:val="24"/>
          <w:szCs w:val="24"/>
        </w:rPr>
      </w:pPr>
      <w:r>
        <w:rPr>
          <w:rFonts w:cstheme="minorHAnsi"/>
          <w:sz w:val="24"/>
          <w:szCs w:val="24"/>
        </w:rPr>
        <w:t>It is an offence under the Act for the Commissioner, a member of staff of the Commission, the Inspector or a member of staff of the Inspector to use or divulge ‘protected information’ about someone else.</w:t>
      </w:r>
      <w:r>
        <w:rPr>
          <w:rStyle w:val="FootnoteReference"/>
          <w:rFonts w:cstheme="minorHAnsi"/>
          <w:sz w:val="24"/>
          <w:szCs w:val="24"/>
        </w:rPr>
        <w:footnoteReference w:id="13"/>
      </w:r>
      <w:r>
        <w:rPr>
          <w:rFonts w:cstheme="minorHAnsi"/>
          <w:sz w:val="24"/>
          <w:szCs w:val="24"/>
        </w:rPr>
        <w:t xml:space="preserve">  ‘Protected information’ is defined as: </w:t>
      </w:r>
    </w:p>
    <w:p w14:paraId="3B433D08" w14:textId="77777777" w:rsidR="00542923" w:rsidRPr="009E4255" w:rsidRDefault="00542923" w:rsidP="009E4255">
      <w:pPr>
        <w:spacing w:before="0" w:after="0" w:line="276" w:lineRule="auto"/>
        <w:ind w:left="709"/>
        <w:jc w:val="both"/>
        <w:rPr>
          <w:rFonts w:cstheme="minorHAnsi"/>
          <w:sz w:val="24"/>
          <w:szCs w:val="24"/>
        </w:rPr>
      </w:pPr>
    </w:p>
    <w:p w14:paraId="1D891F45" w14:textId="77777777" w:rsidR="00542923" w:rsidRPr="009E4255" w:rsidRDefault="00542923" w:rsidP="00CA074C">
      <w:pPr>
        <w:spacing w:before="0" w:line="276" w:lineRule="auto"/>
        <w:ind w:left="1440"/>
        <w:jc w:val="both"/>
        <w:rPr>
          <w:rFonts w:cstheme="minorHAnsi"/>
        </w:rPr>
      </w:pPr>
      <w:r w:rsidRPr="009E4255">
        <w:rPr>
          <w:rFonts w:cstheme="minorHAnsi"/>
        </w:rPr>
        <w:t>Information about a person that is disclosed to, or obtained by, a person to whom this section applies because of the exercise of a function under this Act by the person or someone else.</w:t>
      </w:r>
      <w:r>
        <w:rPr>
          <w:rStyle w:val="FootnoteReference"/>
          <w:rFonts w:cstheme="minorHAnsi"/>
        </w:rPr>
        <w:footnoteReference w:id="14"/>
      </w:r>
      <w:r w:rsidRPr="009E4255">
        <w:rPr>
          <w:rFonts w:cstheme="minorHAnsi"/>
        </w:rPr>
        <w:t xml:space="preserve">  </w:t>
      </w:r>
    </w:p>
    <w:p w14:paraId="308158DC" w14:textId="77777777" w:rsidR="00542923" w:rsidRPr="009E4255" w:rsidRDefault="00542923" w:rsidP="00CA074C">
      <w:pPr>
        <w:spacing w:before="0" w:after="0" w:line="276" w:lineRule="auto"/>
        <w:ind w:left="709"/>
        <w:jc w:val="both"/>
        <w:rPr>
          <w:rFonts w:cstheme="minorHAnsi"/>
          <w:sz w:val="24"/>
          <w:szCs w:val="24"/>
        </w:rPr>
      </w:pPr>
    </w:p>
    <w:p w14:paraId="6D3AABA3" w14:textId="77777777" w:rsidR="00542923" w:rsidRPr="00453445" w:rsidRDefault="00542923" w:rsidP="00CA074C">
      <w:pPr>
        <w:pStyle w:val="ListParagraph"/>
        <w:spacing w:after="0" w:line="276" w:lineRule="auto"/>
        <w:jc w:val="both"/>
        <w:rPr>
          <w:rFonts w:cstheme="minorHAnsi"/>
          <w:sz w:val="24"/>
          <w:szCs w:val="24"/>
        </w:rPr>
      </w:pPr>
      <w:r>
        <w:rPr>
          <w:rFonts w:cstheme="minorHAnsi"/>
          <w:sz w:val="24"/>
          <w:szCs w:val="24"/>
        </w:rPr>
        <w:t xml:space="preserve">The Commissioner and staff of the Commission are therefore prohibited from using or </w:t>
      </w:r>
      <w:r w:rsidRPr="00453445">
        <w:rPr>
          <w:rFonts w:cstheme="minorHAnsi"/>
          <w:sz w:val="24"/>
          <w:szCs w:val="24"/>
        </w:rPr>
        <w:t xml:space="preserve">divulging protected information unless </w:t>
      </w:r>
      <w:r>
        <w:rPr>
          <w:rFonts w:cstheme="minorHAnsi"/>
          <w:sz w:val="24"/>
          <w:szCs w:val="24"/>
        </w:rPr>
        <w:t>the information is used or divulged</w:t>
      </w:r>
      <w:r w:rsidRPr="00453445">
        <w:rPr>
          <w:rFonts w:cstheme="minorHAnsi"/>
          <w:sz w:val="24"/>
          <w:szCs w:val="24"/>
        </w:rPr>
        <w:t>:</w:t>
      </w:r>
    </w:p>
    <w:p w14:paraId="7ED7837F" w14:textId="77777777" w:rsidR="00542923" w:rsidRPr="009E4255" w:rsidRDefault="00542923" w:rsidP="009E4255">
      <w:pPr>
        <w:spacing w:before="0" w:after="0" w:line="276" w:lineRule="auto"/>
        <w:ind w:left="709"/>
        <w:jc w:val="both"/>
        <w:rPr>
          <w:rFonts w:cstheme="minorHAnsi"/>
          <w:sz w:val="24"/>
          <w:szCs w:val="24"/>
        </w:rPr>
      </w:pPr>
    </w:p>
    <w:p w14:paraId="2CDCA5EF" w14:textId="77777777" w:rsidR="00542923" w:rsidRDefault="00542923" w:rsidP="00E8252D">
      <w:pPr>
        <w:pStyle w:val="ListParagraph"/>
        <w:numPr>
          <w:ilvl w:val="0"/>
          <w:numId w:val="30"/>
        </w:numPr>
        <w:spacing w:line="276" w:lineRule="auto"/>
        <w:jc w:val="both"/>
        <w:rPr>
          <w:rFonts w:cstheme="minorHAnsi"/>
          <w:sz w:val="24"/>
          <w:szCs w:val="24"/>
        </w:rPr>
      </w:pPr>
      <w:r>
        <w:rPr>
          <w:rFonts w:cstheme="minorHAnsi"/>
          <w:sz w:val="24"/>
          <w:szCs w:val="24"/>
        </w:rPr>
        <w:t>under the Act or another Territory law;</w:t>
      </w:r>
    </w:p>
    <w:p w14:paraId="27D692F9" w14:textId="77777777" w:rsidR="00542923" w:rsidRDefault="00542923" w:rsidP="00E8252D">
      <w:pPr>
        <w:pStyle w:val="ListParagraph"/>
        <w:numPr>
          <w:ilvl w:val="0"/>
          <w:numId w:val="30"/>
        </w:numPr>
        <w:spacing w:line="276" w:lineRule="auto"/>
        <w:jc w:val="both"/>
        <w:rPr>
          <w:rFonts w:cstheme="minorHAnsi"/>
          <w:sz w:val="24"/>
          <w:szCs w:val="24"/>
        </w:rPr>
      </w:pPr>
      <w:r>
        <w:rPr>
          <w:rFonts w:cstheme="minorHAnsi"/>
          <w:sz w:val="24"/>
          <w:szCs w:val="24"/>
        </w:rPr>
        <w:t>i</w:t>
      </w:r>
      <w:r w:rsidRPr="004A605F">
        <w:rPr>
          <w:rFonts w:cstheme="minorHAnsi"/>
          <w:sz w:val="24"/>
          <w:szCs w:val="24"/>
        </w:rPr>
        <w:t xml:space="preserve">n relation to the exercise of a function by the Commissioner, staff of the Commission, the Inspector or staff of the Inspector; </w:t>
      </w:r>
    </w:p>
    <w:p w14:paraId="6DD1296E" w14:textId="77777777" w:rsidR="00542923" w:rsidRDefault="00542923" w:rsidP="00E8252D">
      <w:pPr>
        <w:pStyle w:val="ListParagraph"/>
        <w:numPr>
          <w:ilvl w:val="0"/>
          <w:numId w:val="30"/>
        </w:numPr>
        <w:spacing w:line="276" w:lineRule="auto"/>
        <w:jc w:val="both"/>
        <w:rPr>
          <w:rFonts w:cstheme="minorHAnsi"/>
          <w:sz w:val="24"/>
          <w:szCs w:val="24"/>
        </w:rPr>
      </w:pPr>
      <w:r>
        <w:rPr>
          <w:rFonts w:cstheme="minorHAnsi"/>
          <w:sz w:val="24"/>
          <w:szCs w:val="24"/>
        </w:rPr>
        <w:t>in a court proceeding; or</w:t>
      </w:r>
    </w:p>
    <w:p w14:paraId="0C2F4C09" w14:textId="77777777" w:rsidR="00542923" w:rsidRPr="004A605F" w:rsidRDefault="00542923" w:rsidP="00CA074C">
      <w:pPr>
        <w:pStyle w:val="ListParagraph"/>
        <w:numPr>
          <w:ilvl w:val="0"/>
          <w:numId w:val="30"/>
        </w:numPr>
        <w:spacing w:after="0" w:line="276" w:lineRule="auto"/>
        <w:ind w:left="1797" w:hanging="357"/>
        <w:jc w:val="both"/>
        <w:rPr>
          <w:rFonts w:cstheme="minorHAnsi"/>
          <w:sz w:val="24"/>
          <w:szCs w:val="24"/>
        </w:rPr>
      </w:pPr>
      <w:r>
        <w:rPr>
          <w:rFonts w:cstheme="minorHAnsi"/>
          <w:sz w:val="24"/>
          <w:szCs w:val="24"/>
        </w:rPr>
        <w:t>with the consent of the person about whom the protected information relates.</w:t>
      </w:r>
      <w:r>
        <w:rPr>
          <w:rStyle w:val="FootnoteReference"/>
          <w:rFonts w:cstheme="minorHAnsi"/>
          <w:sz w:val="24"/>
          <w:szCs w:val="24"/>
        </w:rPr>
        <w:footnoteReference w:id="15"/>
      </w:r>
    </w:p>
    <w:p w14:paraId="0D84BE7A" w14:textId="77777777" w:rsidR="00542923" w:rsidRPr="009E4255" w:rsidRDefault="00542923" w:rsidP="00CA074C">
      <w:pPr>
        <w:spacing w:before="0" w:after="0" w:line="276" w:lineRule="auto"/>
        <w:ind w:left="709"/>
        <w:jc w:val="both"/>
        <w:rPr>
          <w:rFonts w:cstheme="minorHAnsi"/>
          <w:sz w:val="24"/>
          <w:szCs w:val="24"/>
        </w:rPr>
      </w:pPr>
    </w:p>
    <w:p w14:paraId="388C138E" w14:textId="77777777" w:rsidR="00542923" w:rsidRDefault="00542923" w:rsidP="00CA074C">
      <w:pPr>
        <w:pStyle w:val="ListParagraph"/>
        <w:spacing w:after="0" w:line="276" w:lineRule="auto"/>
        <w:jc w:val="both"/>
        <w:rPr>
          <w:rFonts w:cstheme="minorHAnsi"/>
          <w:sz w:val="24"/>
          <w:szCs w:val="24"/>
        </w:rPr>
      </w:pPr>
      <w:r>
        <w:rPr>
          <w:rFonts w:cstheme="minorHAnsi"/>
          <w:sz w:val="24"/>
          <w:szCs w:val="24"/>
        </w:rPr>
        <w:t>The Act does allow protected information to be divulged in certain circumstances:</w:t>
      </w:r>
    </w:p>
    <w:p w14:paraId="70D70221" w14:textId="77777777" w:rsidR="00542923" w:rsidRPr="009E4255" w:rsidRDefault="00542923" w:rsidP="00CA074C">
      <w:pPr>
        <w:spacing w:before="0" w:after="0" w:line="276" w:lineRule="auto"/>
        <w:ind w:left="709"/>
        <w:jc w:val="both"/>
        <w:rPr>
          <w:rFonts w:cstheme="minorHAnsi"/>
          <w:sz w:val="24"/>
          <w:szCs w:val="24"/>
        </w:rPr>
      </w:pPr>
    </w:p>
    <w:p w14:paraId="03799A23" w14:textId="77777777" w:rsidR="00542923" w:rsidRDefault="00542923" w:rsidP="00542923">
      <w:pPr>
        <w:spacing w:line="276" w:lineRule="auto"/>
        <w:ind w:left="720"/>
        <w:jc w:val="both"/>
        <w:rPr>
          <w:rFonts w:cstheme="minorHAnsi"/>
          <w:sz w:val="24"/>
          <w:szCs w:val="24"/>
        </w:rPr>
      </w:pPr>
      <w:r w:rsidRPr="008F6A84">
        <w:rPr>
          <w:rFonts w:cstheme="minorHAnsi"/>
          <w:b/>
          <w:bCs/>
          <w:sz w:val="24"/>
          <w:szCs w:val="24"/>
        </w:rPr>
        <w:t>To keep a complainant, referring entity and/or notifier informed</w:t>
      </w:r>
      <w:r w:rsidRPr="008F6A84">
        <w:rPr>
          <w:rFonts w:cstheme="minorHAnsi"/>
          <w:sz w:val="24"/>
          <w:szCs w:val="24"/>
        </w:rPr>
        <w:t xml:space="preserve"> </w:t>
      </w:r>
    </w:p>
    <w:p w14:paraId="6B1AE4CA" w14:textId="77777777" w:rsidR="00542923" w:rsidRPr="008F6A84" w:rsidRDefault="00542923" w:rsidP="00BD7D73">
      <w:pPr>
        <w:spacing w:after="0" w:line="276" w:lineRule="auto"/>
        <w:ind w:left="720"/>
        <w:jc w:val="both"/>
        <w:rPr>
          <w:rFonts w:cstheme="minorHAnsi"/>
          <w:sz w:val="24"/>
          <w:szCs w:val="24"/>
        </w:rPr>
      </w:pPr>
      <w:r>
        <w:rPr>
          <w:rFonts w:cstheme="minorHAnsi"/>
          <w:sz w:val="24"/>
          <w:szCs w:val="24"/>
        </w:rPr>
        <w:t xml:space="preserve">The </w:t>
      </w:r>
      <w:r w:rsidRPr="008F6A84">
        <w:rPr>
          <w:rFonts w:cstheme="minorHAnsi"/>
          <w:sz w:val="24"/>
          <w:szCs w:val="24"/>
        </w:rPr>
        <w:t xml:space="preserve">Commission </w:t>
      </w:r>
      <w:r>
        <w:rPr>
          <w:rFonts w:cstheme="minorHAnsi"/>
          <w:sz w:val="24"/>
          <w:szCs w:val="24"/>
        </w:rPr>
        <w:t>must</w:t>
      </w:r>
      <w:r w:rsidRPr="008F6A84">
        <w:rPr>
          <w:rFonts w:cstheme="minorHAnsi"/>
          <w:sz w:val="24"/>
          <w:szCs w:val="24"/>
        </w:rPr>
        <w:t xml:space="preserve"> tell a complainant, referring entity and/or notifier if their complaint is dismissed, referred to another entity, investigated, or if the investigation is discontinued or completed.</w:t>
      </w:r>
      <w:r>
        <w:rPr>
          <w:rStyle w:val="FootnoteReference"/>
          <w:rFonts w:cstheme="minorHAnsi"/>
          <w:sz w:val="24"/>
          <w:szCs w:val="24"/>
        </w:rPr>
        <w:footnoteReference w:id="16"/>
      </w:r>
      <w:r w:rsidRPr="008F6A84">
        <w:rPr>
          <w:rFonts w:cstheme="minorHAnsi"/>
          <w:sz w:val="24"/>
          <w:szCs w:val="24"/>
        </w:rPr>
        <w:t xml:space="preserve">  Such information must be accompanied by a non-disclosure notice.</w:t>
      </w:r>
      <w:r>
        <w:rPr>
          <w:rStyle w:val="FootnoteReference"/>
          <w:rFonts w:cstheme="minorHAnsi"/>
          <w:sz w:val="24"/>
          <w:szCs w:val="24"/>
        </w:rPr>
        <w:footnoteReference w:id="17"/>
      </w:r>
      <w:r w:rsidRPr="008F6A84">
        <w:rPr>
          <w:rFonts w:cstheme="minorHAnsi"/>
          <w:sz w:val="24"/>
          <w:szCs w:val="24"/>
        </w:rPr>
        <w:t xml:space="preserve"> The Commission has the discretion not to</w:t>
      </w:r>
      <w:r>
        <w:rPr>
          <w:rFonts w:cstheme="minorHAnsi"/>
          <w:sz w:val="24"/>
          <w:szCs w:val="24"/>
        </w:rPr>
        <w:t xml:space="preserve"> tell </w:t>
      </w:r>
      <w:r w:rsidRPr="008F6A84">
        <w:rPr>
          <w:rFonts w:cstheme="minorHAnsi"/>
          <w:sz w:val="24"/>
          <w:szCs w:val="24"/>
        </w:rPr>
        <w:t xml:space="preserve">the complainant, </w:t>
      </w:r>
      <w:r w:rsidRPr="008F6A84">
        <w:rPr>
          <w:rFonts w:cstheme="minorHAnsi"/>
          <w:sz w:val="24"/>
          <w:szCs w:val="24"/>
        </w:rPr>
        <w:lastRenderedPageBreak/>
        <w:t xml:space="preserve">referring entity and/or notifier </w:t>
      </w:r>
      <w:r>
        <w:rPr>
          <w:rFonts w:cstheme="minorHAnsi"/>
          <w:sz w:val="24"/>
          <w:szCs w:val="24"/>
        </w:rPr>
        <w:t xml:space="preserve">if such a disclosure </w:t>
      </w:r>
      <w:r w:rsidRPr="008F6A84">
        <w:rPr>
          <w:rFonts w:cstheme="minorHAnsi"/>
          <w:sz w:val="24"/>
          <w:szCs w:val="24"/>
        </w:rPr>
        <w:t xml:space="preserve">would adversely affect their safety or </w:t>
      </w:r>
      <w:r>
        <w:rPr>
          <w:rFonts w:cstheme="minorHAnsi"/>
          <w:sz w:val="24"/>
          <w:szCs w:val="24"/>
        </w:rPr>
        <w:t xml:space="preserve">that of </w:t>
      </w:r>
      <w:r w:rsidRPr="008F6A84">
        <w:rPr>
          <w:rFonts w:cstheme="minorHAnsi"/>
          <w:sz w:val="24"/>
          <w:szCs w:val="24"/>
        </w:rPr>
        <w:t>an investigation under the Act, if the information could allow the identity of another person to be worked out or if telling them would be contrary to a law in force in the Territory.</w:t>
      </w:r>
      <w:r>
        <w:rPr>
          <w:rStyle w:val="FootnoteReference"/>
          <w:rFonts w:cstheme="minorHAnsi"/>
          <w:sz w:val="24"/>
          <w:szCs w:val="24"/>
        </w:rPr>
        <w:footnoteReference w:id="18"/>
      </w:r>
      <w:r w:rsidRPr="008F6A84">
        <w:rPr>
          <w:rFonts w:cstheme="minorHAnsi"/>
          <w:sz w:val="24"/>
          <w:szCs w:val="24"/>
        </w:rPr>
        <w:t xml:space="preserve"> </w:t>
      </w:r>
    </w:p>
    <w:p w14:paraId="01C7FC71" w14:textId="77777777" w:rsidR="00542923" w:rsidRPr="00CA074C" w:rsidRDefault="00542923" w:rsidP="00CA074C">
      <w:pPr>
        <w:spacing w:before="0" w:after="0" w:line="276" w:lineRule="auto"/>
        <w:ind w:left="709"/>
        <w:jc w:val="both"/>
        <w:rPr>
          <w:rFonts w:cstheme="minorHAnsi"/>
          <w:sz w:val="24"/>
          <w:szCs w:val="24"/>
        </w:rPr>
      </w:pPr>
    </w:p>
    <w:p w14:paraId="702C339E" w14:textId="77777777" w:rsidR="00542923" w:rsidRDefault="00542923" w:rsidP="00542923">
      <w:pPr>
        <w:spacing w:line="276" w:lineRule="auto"/>
        <w:ind w:left="720"/>
        <w:jc w:val="both"/>
        <w:rPr>
          <w:rFonts w:cstheme="minorHAnsi"/>
          <w:sz w:val="24"/>
          <w:szCs w:val="24"/>
        </w:rPr>
      </w:pPr>
      <w:r>
        <w:rPr>
          <w:rFonts w:cstheme="minorHAnsi"/>
          <w:b/>
          <w:bCs/>
          <w:sz w:val="24"/>
          <w:szCs w:val="24"/>
        </w:rPr>
        <w:t>To share information with another entity</w:t>
      </w:r>
    </w:p>
    <w:p w14:paraId="6AC539EC" w14:textId="77777777" w:rsidR="00542923" w:rsidRPr="008F6A84" w:rsidRDefault="00542923" w:rsidP="00BD7D73">
      <w:pPr>
        <w:spacing w:after="0" w:line="276" w:lineRule="auto"/>
        <w:ind w:left="720"/>
        <w:jc w:val="both"/>
        <w:rPr>
          <w:rFonts w:cstheme="minorHAnsi"/>
          <w:sz w:val="24"/>
          <w:szCs w:val="24"/>
        </w:rPr>
      </w:pPr>
      <w:r>
        <w:rPr>
          <w:rFonts w:cstheme="minorHAnsi"/>
          <w:sz w:val="24"/>
          <w:szCs w:val="24"/>
        </w:rPr>
        <w:t>The</w:t>
      </w:r>
      <w:r w:rsidRPr="008F6A84">
        <w:rPr>
          <w:rFonts w:cstheme="minorHAnsi"/>
          <w:sz w:val="24"/>
          <w:szCs w:val="24"/>
        </w:rPr>
        <w:t xml:space="preserve"> Commission </w:t>
      </w:r>
      <w:r>
        <w:rPr>
          <w:rFonts w:cstheme="minorHAnsi"/>
          <w:sz w:val="24"/>
          <w:szCs w:val="24"/>
        </w:rPr>
        <w:t>may</w:t>
      </w:r>
      <w:r w:rsidRPr="008F6A84">
        <w:rPr>
          <w:rFonts w:cstheme="minorHAnsi"/>
          <w:sz w:val="24"/>
          <w:szCs w:val="24"/>
        </w:rPr>
        <w:t xml:space="preserve"> disclose information </w:t>
      </w:r>
      <w:r>
        <w:rPr>
          <w:rFonts w:cstheme="minorHAnsi"/>
          <w:sz w:val="24"/>
          <w:szCs w:val="24"/>
        </w:rPr>
        <w:t>it has</w:t>
      </w:r>
      <w:r w:rsidRPr="008F6A84">
        <w:rPr>
          <w:rFonts w:cstheme="minorHAnsi"/>
          <w:sz w:val="24"/>
          <w:szCs w:val="24"/>
        </w:rPr>
        <w:t xml:space="preserve"> obtained in the exercise of its functions under the Act to an ‘information sharing entity’ if the Commission considers that the information is relevant to the exercise of the functions of the information sharing entity and such a disclosure is appropriate.</w:t>
      </w:r>
      <w:r>
        <w:rPr>
          <w:rStyle w:val="FootnoteReference"/>
          <w:rFonts w:cstheme="minorHAnsi"/>
          <w:sz w:val="24"/>
          <w:szCs w:val="24"/>
        </w:rPr>
        <w:footnoteReference w:id="19"/>
      </w:r>
      <w:r w:rsidRPr="008F6A84">
        <w:rPr>
          <w:rFonts w:cstheme="minorHAnsi"/>
          <w:sz w:val="24"/>
          <w:szCs w:val="24"/>
        </w:rPr>
        <w:t xml:space="preserve">  </w:t>
      </w:r>
    </w:p>
    <w:p w14:paraId="2B4BF784" w14:textId="77777777" w:rsidR="00542923" w:rsidRPr="00CA074C" w:rsidRDefault="00542923" w:rsidP="00CA074C">
      <w:pPr>
        <w:spacing w:before="0" w:after="0" w:line="276" w:lineRule="auto"/>
        <w:ind w:left="709"/>
        <w:jc w:val="both"/>
        <w:rPr>
          <w:rFonts w:cstheme="minorHAnsi"/>
          <w:sz w:val="24"/>
          <w:szCs w:val="24"/>
        </w:rPr>
      </w:pPr>
    </w:p>
    <w:p w14:paraId="1C634245" w14:textId="77777777" w:rsidR="00542923" w:rsidRPr="00CA074C" w:rsidRDefault="00542923" w:rsidP="00BD7D73">
      <w:pPr>
        <w:spacing w:line="276" w:lineRule="auto"/>
        <w:ind w:left="720"/>
        <w:jc w:val="both"/>
        <w:rPr>
          <w:rFonts w:cstheme="minorHAnsi"/>
          <w:sz w:val="24"/>
          <w:szCs w:val="24"/>
        </w:rPr>
      </w:pPr>
      <w:r w:rsidRPr="00CA074C">
        <w:rPr>
          <w:rFonts w:cstheme="minorHAnsi"/>
          <w:sz w:val="24"/>
          <w:szCs w:val="24"/>
        </w:rPr>
        <w:t>An ‘information sharing entity’ includes:</w:t>
      </w:r>
    </w:p>
    <w:p w14:paraId="26F21733" w14:textId="77777777" w:rsidR="00542923" w:rsidRPr="00CA074C" w:rsidRDefault="00542923" w:rsidP="00CA074C">
      <w:pPr>
        <w:spacing w:before="0" w:after="0" w:line="276" w:lineRule="auto"/>
        <w:ind w:left="709"/>
        <w:jc w:val="both"/>
        <w:rPr>
          <w:rFonts w:cstheme="minorHAnsi"/>
          <w:sz w:val="24"/>
          <w:szCs w:val="24"/>
        </w:rPr>
      </w:pPr>
    </w:p>
    <w:p w14:paraId="3070D9F8"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an integrity body;</w:t>
      </w:r>
    </w:p>
    <w:p w14:paraId="7466BBC8"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a law enforcement body;</w:t>
      </w:r>
    </w:p>
    <w:p w14:paraId="243EECCE"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a prosecutorial body;</w:t>
      </w:r>
    </w:p>
    <w:p w14:paraId="1D0F6C23"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a referral entity;</w:t>
      </w:r>
    </w:p>
    <w:p w14:paraId="73B43143"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the head of a public sector entity;</w:t>
      </w:r>
    </w:p>
    <w:p w14:paraId="62D2BA2B" w14:textId="77777777" w:rsidR="00542923" w:rsidRDefault="00542923" w:rsidP="00E8252D">
      <w:pPr>
        <w:pStyle w:val="ListParagraph"/>
        <w:numPr>
          <w:ilvl w:val="0"/>
          <w:numId w:val="21"/>
        </w:numPr>
        <w:spacing w:line="276" w:lineRule="auto"/>
        <w:jc w:val="both"/>
        <w:rPr>
          <w:rFonts w:cstheme="minorHAnsi"/>
          <w:sz w:val="24"/>
          <w:szCs w:val="24"/>
        </w:rPr>
      </w:pPr>
      <w:r>
        <w:rPr>
          <w:rFonts w:cstheme="minorHAnsi"/>
          <w:sz w:val="24"/>
          <w:szCs w:val="24"/>
        </w:rPr>
        <w:t>another entity pursuant to a memorandum of understanding or an agreement entered into by the Commission with that other entity; or</w:t>
      </w:r>
    </w:p>
    <w:p w14:paraId="493CF3F0" w14:textId="77777777" w:rsidR="00542923" w:rsidRDefault="00542923" w:rsidP="00BD7D73">
      <w:pPr>
        <w:pStyle w:val="ListParagraph"/>
        <w:numPr>
          <w:ilvl w:val="0"/>
          <w:numId w:val="21"/>
        </w:numPr>
        <w:spacing w:after="0" w:line="276" w:lineRule="auto"/>
        <w:ind w:left="1434" w:hanging="357"/>
        <w:jc w:val="both"/>
        <w:rPr>
          <w:rFonts w:cstheme="minorHAnsi"/>
          <w:sz w:val="24"/>
          <w:szCs w:val="24"/>
        </w:rPr>
      </w:pPr>
      <w:r>
        <w:rPr>
          <w:rFonts w:cstheme="minorHAnsi"/>
          <w:sz w:val="24"/>
          <w:szCs w:val="24"/>
        </w:rPr>
        <w:t>another entity if the Commission dismisses or discontinues an investigation and gives the corruption report to that entity.</w:t>
      </w:r>
      <w:r>
        <w:rPr>
          <w:rStyle w:val="FootnoteReference"/>
          <w:rFonts w:cstheme="minorHAnsi"/>
          <w:sz w:val="24"/>
          <w:szCs w:val="24"/>
        </w:rPr>
        <w:footnoteReference w:id="20"/>
      </w:r>
    </w:p>
    <w:p w14:paraId="426722BE" w14:textId="77777777" w:rsidR="00542923" w:rsidRPr="00CA074C" w:rsidRDefault="00542923" w:rsidP="00BD7D73">
      <w:pPr>
        <w:spacing w:before="0" w:after="0" w:line="276" w:lineRule="auto"/>
        <w:ind w:left="709"/>
        <w:jc w:val="both"/>
        <w:rPr>
          <w:rFonts w:cstheme="minorHAnsi"/>
          <w:sz w:val="24"/>
          <w:szCs w:val="24"/>
        </w:rPr>
      </w:pPr>
    </w:p>
    <w:p w14:paraId="09ACA3BA" w14:textId="77777777" w:rsidR="00542923" w:rsidRPr="00CA074C" w:rsidRDefault="00542923" w:rsidP="00C61DA8">
      <w:pPr>
        <w:spacing w:before="0" w:after="0" w:line="276" w:lineRule="auto"/>
        <w:ind w:left="720"/>
        <w:jc w:val="both"/>
        <w:rPr>
          <w:rFonts w:cstheme="minorHAnsi"/>
          <w:sz w:val="24"/>
          <w:szCs w:val="24"/>
        </w:rPr>
      </w:pPr>
      <w:r w:rsidRPr="00CA074C">
        <w:rPr>
          <w:rFonts w:cstheme="minorHAnsi"/>
          <w:sz w:val="24"/>
          <w:szCs w:val="24"/>
        </w:rPr>
        <w:t>The Commission is precluded from providing a video recording or transcript of a person’s evidence at an examination to a law enforcement agency, a prosecutorial body, the public sector standards commissioner or Legislative Assembly commissioner for standards or the person’s employer except in limited circumstances.</w:t>
      </w:r>
      <w:r>
        <w:rPr>
          <w:rStyle w:val="FootnoteReference"/>
          <w:rFonts w:cstheme="minorHAnsi"/>
          <w:sz w:val="24"/>
          <w:szCs w:val="24"/>
        </w:rPr>
        <w:footnoteReference w:id="21"/>
      </w:r>
      <w:r w:rsidRPr="00CA074C">
        <w:rPr>
          <w:rFonts w:cstheme="minorHAnsi"/>
          <w:sz w:val="24"/>
          <w:szCs w:val="24"/>
        </w:rPr>
        <w:t xml:space="preserve">  </w:t>
      </w:r>
    </w:p>
    <w:p w14:paraId="3F11BBBC" w14:textId="77777777" w:rsidR="00542923" w:rsidRPr="00CA074C" w:rsidRDefault="00542923" w:rsidP="00BD7D73">
      <w:pPr>
        <w:spacing w:before="0" w:after="0" w:line="276" w:lineRule="auto"/>
        <w:ind w:left="709"/>
        <w:jc w:val="both"/>
        <w:rPr>
          <w:rFonts w:cstheme="minorHAnsi"/>
          <w:sz w:val="24"/>
          <w:szCs w:val="24"/>
        </w:rPr>
      </w:pPr>
    </w:p>
    <w:p w14:paraId="265BF8BC" w14:textId="77777777" w:rsidR="00542923" w:rsidRDefault="00542923" w:rsidP="00C61DA8">
      <w:pPr>
        <w:spacing w:line="276" w:lineRule="auto"/>
        <w:ind w:left="720"/>
        <w:jc w:val="both"/>
        <w:rPr>
          <w:rFonts w:cstheme="minorHAnsi"/>
          <w:b/>
          <w:bCs/>
          <w:sz w:val="24"/>
          <w:szCs w:val="24"/>
        </w:rPr>
      </w:pPr>
      <w:r>
        <w:rPr>
          <w:rFonts w:cstheme="minorHAnsi"/>
          <w:b/>
          <w:bCs/>
          <w:sz w:val="24"/>
          <w:szCs w:val="24"/>
        </w:rPr>
        <w:t xml:space="preserve">To comply with natural justice and procedural fairness requirements </w:t>
      </w:r>
    </w:p>
    <w:p w14:paraId="31620B2E" w14:textId="77777777" w:rsidR="00542923" w:rsidRPr="008F6A84" w:rsidRDefault="00542923" w:rsidP="00C61DA8">
      <w:pPr>
        <w:spacing w:line="276" w:lineRule="auto"/>
        <w:ind w:left="720"/>
        <w:jc w:val="both"/>
        <w:rPr>
          <w:rFonts w:cstheme="minorHAnsi"/>
          <w:sz w:val="24"/>
          <w:szCs w:val="24"/>
        </w:rPr>
      </w:pPr>
      <w:r>
        <w:rPr>
          <w:rFonts w:cstheme="minorHAnsi"/>
          <w:sz w:val="24"/>
          <w:szCs w:val="24"/>
        </w:rPr>
        <w:t>The Act</w:t>
      </w:r>
      <w:r w:rsidRPr="008F6A84">
        <w:rPr>
          <w:rFonts w:cstheme="minorHAnsi"/>
          <w:sz w:val="24"/>
          <w:szCs w:val="24"/>
        </w:rPr>
        <w:t xml:space="preserve"> require</w:t>
      </w:r>
      <w:r>
        <w:rPr>
          <w:rFonts w:cstheme="minorHAnsi"/>
          <w:sz w:val="24"/>
          <w:szCs w:val="24"/>
        </w:rPr>
        <w:t>s</w:t>
      </w:r>
      <w:r w:rsidRPr="008F6A84">
        <w:rPr>
          <w:rFonts w:cstheme="minorHAnsi"/>
          <w:sz w:val="24"/>
          <w:szCs w:val="24"/>
        </w:rPr>
        <w:t xml:space="preserve"> the Commission to provide information to recipients of preliminary inquiry notices </w:t>
      </w:r>
      <w:r>
        <w:rPr>
          <w:rFonts w:cstheme="minorHAnsi"/>
          <w:sz w:val="24"/>
          <w:szCs w:val="24"/>
        </w:rPr>
        <w:t>and</w:t>
      </w:r>
      <w:r w:rsidRPr="008F6A84">
        <w:rPr>
          <w:rFonts w:cstheme="minorHAnsi"/>
          <w:sz w:val="24"/>
          <w:szCs w:val="24"/>
        </w:rPr>
        <w:t xml:space="preserve"> examination summonses about the general nature of the matters about which they are to give evidence or provide documents.  In the ordinary course, </w:t>
      </w:r>
      <w:r>
        <w:rPr>
          <w:rFonts w:cstheme="minorHAnsi"/>
          <w:sz w:val="24"/>
          <w:szCs w:val="24"/>
        </w:rPr>
        <w:t xml:space="preserve">a preliminary inquiry notice or examination </w:t>
      </w:r>
      <w:r w:rsidRPr="008F6A84">
        <w:rPr>
          <w:rFonts w:cstheme="minorHAnsi"/>
          <w:sz w:val="24"/>
          <w:szCs w:val="24"/>
        </w:rPr>
        <w:t xml:space="preserve">summonses </w:t>
      </w:r>
      <w:r>
        <w:rPr>
          <w:rFonts w:cstheme="minorHAnsi"/>
          <w:sz w:val="24"/>
          <w:szCs w:val="24"/>
        </w:rPr>
        <w:t>is</w:t>
      </w:r>
      <w:r w:rsidRPr="008F6A84">
        <w:rPr>
          <w:rFonts w:cstheme="minorHAnsi"/>
          <w:sz w:val="24"/>
          <w:szCs w:val="24"/>
        </w:rPr>
        <w:t xml:space="preserve"> accompanied by a </w:t>
      </w:r>
      <w:r>
        <w:rPr>
          <w:rFonts w:cstheme="minorHAnsi"/>
          <w:sz w:val="24"/>
          <w:szCs w:val="24"/>
        </w:rPr>
        <w:lastRenderedPageBreak/>
        <w:t>C</w:t>
      </w:r>
      <w:r w:rsidRPr="008F6A84">
        <w:rPr>
          <w:rFonts w:cstheme="minorHAnsi"/>
          <w:sz w:val="24"/>
          <w:szCs w:val="24"/>
        </w:rPr>
        <w:t xml:space="preserve">onfidentiality </w:t>
      </w:r>
      <w:r>
        <w:rPr>
          <w:rFonts w:cstheme="minorHAnsi"/>
          <w:sz w:val="24"/>
          <w:szCs w:val="24"/>
        </w:rPr>
        <w:t>N</w:t>
      </w:r>
      <w:r w:rsidRPr="008F6A84">
        <w:rPr>
          <w:rFonts w:cstheme="minorHAnsi"/>
          <w:sz w:val="24"/>
          <w:szCs w:val="24"/>
        </w:rPr>
        <w:t>otice which makes it an offence for the recipient to disclose specified information except in certain circumstances.</w:t>
      </w:r>
      <w:r>
        <w:rPr>
          <w:rStyle w:val="FootnoteReference"/>
          <w:rFonts w:cstheme="minorHAnsi"/>
          <w:sz w:val="24"/>
          <w:szCs w:val="24"/>
        </w:rPr>
        <w:footnoteReference w:id="22"/>
      </w:r>
    </w:p>
    <w:p w14:paraId="2D10E6FC" w14:textId="77777777" w:rsidR="00542923" w:rsidRPr="00ED3E9A" w:rsidRDefault="00542923" w:rsidP="00E8252D">
      <w:pPr>
        <w:pStyle w:val="Heading3"/>
      </w:pPr>
      <w:bookmarkStart w:id="7" w:name="_Toc107316403"/>
      <w:r w:rsidRPr="00ED3E9A">
        <w:t>Reporting obligations under the Act</w:t>
      </w:r>
      <w:bookmarkEnd w:id="7"/>
    </w:p>
    <w:p w14:paraId="750D7013" w14:textId="77777777" w:rsidR="00542923" w:rsidRDefault="00542923" w:rsidP="00E8252D">
      <w:pPr>
        <w:pStyle w:val="ListParagraph"/>
        <w:spacing w:line="276" w:lineRule="auto"/>
        <w:jc w:val="both"/>
        <w:rPr>
          <w:rFonts w:cstheme="minorHAnsi"/>
          <w:sz w:val="24"/>
          <w:szCs w:val="24"/>
        </w:rPr>
      </w:pPr>
      <w:r>
        <w:rPr>
          <w:rFonts w:cstheme="minorHAnsi"/>
          <w:sz w:val="24"/>
          <w:szCs w:val="24"/>
        </w:rPr>
        <w:t>The Commission has obligations to report certain information to the Inspector,</w:t>
      </w:r>
      <w:r>
        <w:rPr>
          <w:rStyle w:val="FootnoteReference"/>
          <w:rFonts w:cstheme="minorHAnsi"/>
          <w:sz w:val="24"/>
          <w:szCs w:val="24"/>
        </w:rPr>
        <w:footnoteReference w:id="23"/>
      </w:r>
      <w:r>
        <w:rPr>
          <w:rFonts w:cstheme="minorHAnsi"/>
          <w:sz w:val="24"/>
          <w:szCs w:val="24"/>
        </w:rPr>
        <w:t xml:space="preserve"> the Legislative Assembly</w:t>
      </w:r>
      <w:r>
        <w:rPr>
          <w:rStyle w:val="FootnoteReference"/>
          <w:rFonts w:cstheme="minorHAnsi"/>
          <w:sz w:val="24"/>
          <w:szCs w:val="24"/>
        </w:rPr>
        <w:footnoteReference w:id="24"/>
      </w:r>
      <w:r>
        <w:rPr>
          <w:rFonts w:cstheme="minorHAnsi"/>
          <w:sz w:val="24"/>
          <w:szCs w:val="24"/>
        </w:rPr>
        <w:t xml:space="preserve"> and in the annual report</w:t>
      </w:r>
      <w:r>
        <w:rPr>
          <w:rStyle w:val="FootnoteReference"/>
          <w:rFonts w:cstheme="minorHAnsi"/>
          <w:sz w:val="24"/>
          <w:szCs w:val="24"/>
        </w:rPr>
        <w:footnoteReference w:id="25"/>
      </w:r>
      <w:r>
        <w:rPr>
          <w:rFonts w:cstheme="minorHAnsi"/>
          <w:sz w:val="24"/>
          <w:szCs w:val="24"/>
        </w:rPr>
        <w:t xml:space="preserve">  and such disclosures are permitted as they are required by the Act. </w:t>
      </w:r>
    </w:p>
    <w:p w14:paraId="2C4E6DAE" w14:textId="0EB168B0" w:rsidR="00542923" w:rsidRDefault="00542923" w:rsidP="00E8252D">
      <w:pPr>
        <w:pStyle w:val="Heading3"/>
      </w:pPr>
      <w:bookmarkStart w:id="8" w:name="_Toc107316404"/>
      <w:r w:rsidRPr="00375757">
        <w:t>Obligations imposed on staff of the Commission</w:t>
      </w:r>
      <w:bookmarkEnd w:id="8"/>
    </w:p>
    <w:p w14:paraId="3F067995" w14:textId="77777777" w:rsidR="00542923" w:rsidRDefault="00542923" w:rsidP="00C61DA8">
      <w:pPr>
        <w:pStyle w:val="ListParagraph"/>
        <w:spacing w:after="0" w:line="276" w:lineRule="auto"/>
        <w:jc w:val="both"/>
        <w:rPr>
          <w:rFonts w:cstheme="minorHAnsi"/>
          <w:sz w:val="24"/>
          <w:szCs w:val="24"/>
        </w:rPr>
      </w:pPr>
      <w:r>
        <w:rPr>
          <w:rFonts w:cstheme="minorHAnsi"/>
          <w:sz w:val="24"/>
          <w:szCs w:val="24"/>
        </w:rPr>
        <w:t>The Commission provides staff with information about their obligations under the Act and clear direction as to the potential criminal consequences for non-compliance.  Pursuant to this, upon commencing employment with the Commission, all staff, contractors, consultants and secondees are required to sign a secrecy agreement.  This recognises the sensitive nature of the Commission’s work and ensures the obligation to maintain confidentiality is clear to all staff.</w:t>
      </w:r>
    </w:p>
    <w:p w14:paraId="76731135" w14:textId="77777777" w:rsidR="00542923" w:rsidRPr="00C61DA8" w:rsidRDefault="00542923" w:rsidP="00C61DA8">
      <w:pPr>
        <w:spacing w:before="0" w:after="0" w:line="276" w:lineRule="auto"/>
        <w:ind w:left="709"/>
        <w:jc w:val="both"/>
        <w:rPr>
          <w:rFonts w:cstheme="minorHAnsi"/>
          <w:sz w:val="24"/>
          <w:szCs w:val="24"/>
        </w:rPr>
      </w:pPr>
    </w:p>
    <w:p w14:paraId="3768146B" w14:textId="77777777" w:rsidR="00542923" w:rsidRDefault="00542923" w:rsidP="00C61DA8">
      <w:pPr>
        <w:pStyle w:val="ListParagraph"/>
        <w:spacing w:after="0" w:line="276" w:lineRule="auto"/>
        <w:jc w:val="both"/>
        <w:rPr>
          <w:rFonts w:cstheme="minorHAnsi"/>
          <w:sz w:val="24"/>
          <w:szCs w:val="24"/>
        </w:rPr>
      </w:pPr>
      <w:r>
        <w:rPr>
          <w:rFonts w:cstheme="minorHAnsi"/>
          <w:sz w:val="24"/>
          <w:szCs w:val="24"/>
        </w:rPr>
        <w:t>The Commission will develop and maintain procedures to ensure the suitability of staff to access Commission information.  This will include ensuring all staff:</w:t>
      </w:r>
    </w:p>
    <w:p w14:paraId="2EE41195" w14:textId="77777777" w:rsidR="00542923" w:rsidRPr="00C61DA8" w:rsidRDefault="00542923" w:rsidP="00C61DA8">
      <w:pPr>
        <w:spacing w:before="0" w:after="0" w:line="276" w:lineRule="auto"/>
        <w:ind w:left="709"/>
        <w:jc w:val="both"/>
        <w:rPr>
          <w:rFonts w:cstheme="minorHAnsi"/>
          <w:sz w:val="24"/>
          <w:szCs w:val="24"/>
        </w:rPr>
      </w:pPr>
    </w:p>
    <w:p w14:paraId="7E834A41" w14:textId="77777777" w:rsidR="00542923" w:rsidRDefault="00542923" w:rsidP="00E8252D">
      <w:pPr>
        <w:pStyle w:val="ListParagraph"/>
        <w:numPr>
          <w:ilvl w:val="0"/>
          <w:numId w:val="22"/>
        </w:numPr>
        <w:spacing w:line="276" w:lineRule="auto"/>
        <w:jc w:val="both"/>
        <w:rPr>
          <w:rFonts w:cstheme="minorHAnsi"/>
          <w:sz w:val="24"/>
          <w:szCs w:val="24"/>
        </w:rPr>
      </w:pPr>
      <w:r>
        <w:rPr>
          <w:rFonts w:cstheme="minorHAnsi"/>
          <w:sz w:val="24"/>
          <w:szCs w:val="24"/>
        </w:rPr>
        <w:t>are eligible and suitable to have access to Commission information;</w:t>
      </w:r>
    </w:p>
    <w:p w14:paraId="0DC4AA9C" w14:textId="77777777" w:rsidR="00542923" w:rsidRDefault="00542923" w:rsidP="00E8252D">
      <w:pPr>
        <w:pStyle w:val="ListParagraph"/>
        <w:numPr>
          <w:ilvl w:val="0"/>
          <w:numId w:val="22"/>
        </w:numPr>
        <w:spacing w:line="276" w:lineRule="auto"/>
        <w:jc w:val="both"/>
        <w:rPr>
          <w:rFonts w:cstheme="minorHAnsi"/>
          <w:sz w:val="24"/>
          <w:szCs w:val="24"/>
        </w:rPr>
      </w:pPr>
      <w:r>
        <w:rPr>
          <w:rFonts w:cstheme="minorHAnsi"/>
          <w:sz w:val="24"/>
          <w:szCs w:val="24"/>
        </w:rPr>
        <w:t>have had their identity established;</w:t>
      </w:r>
    </w:p>
    <w:p w14:paraId="4CD1D40D" w14:textId="77777777" w:rsidR="00542923" w:rsidRDefault="00542923" w:rsidP="00E8252D">
      <w:pPr>
        <w:pStyle w:val="ListParagraph"/>
        <w:numPr>
          <w:ilvl w:val="0"/>
          <w:numId w:val="22"/>
        </w:numPr>
        <w:spacing w:line="276" w:lineRule="auto"/>
        <w:jc w:val="both"/>
        <w:rPr>
          <w:rFonts w:cstheme="minorHAnsi"/>
          <w:sz w:val="24"/>
          <w:szCs w:val="24"/>
        </w:rPr>
      </w:pPr>
      <w:r>
        <w:rPr>
          <w:rFonts w:cstheme="minorHAnsi"/>
          <w:sz w:val="24"/>
          <w:szCs w:val="24"/>
        </w:rPr>
        <w:t xml:space="preserve">have declared they are willing to comply with all relevant legislation, policies, standards, protocols and guidelines that safeguard information received and stored by the Commission; and </w:t>
      </w:r>
    </w:p>
    <w:p w14:paraId="28C0C519" w14:textId="77777777" w:rsidR="00542923" w:rsidRDefault="00542923" w:rsidP="00E8252D">
      <w:pPr>
        <w:pStyle w:val="ListParagraph"/>
        <w:numPr>
          <w:ilvl w:val="0"/>
          <w:numId w:val="22"/>
        </w:numPr>
        <w:spacing w:line="276" w:lineRule="auto"/>
        <w:jc w:val="both"/>
        <w:rPr>
          <w:rFonts w:cstheme="minorHAnsi"/>
          <w:sz w:val="24"/>
          <w:szCs w:val="24"/>
        </w:rPr>
      </w:pPr>
      <w:r>
        <w:rPr>
          <w:rFonts w:cstheme="minorHAnsi"/>
          <w:sz w:val="24"/>
          <w:szCs w:val="24"/>
        </w:rPr>
        <w:t>hold the appropriate level of security clearance to access classified information and resources, as appropriate to their duties.</w:t>
      </w:r>
    </w:p>
    <w:p w14:paraId="065629C6" w14:textId="77777777" w:rsidR="00542923" w:rsidRDefault="00542923" w:rsidP="00542923">
      <w:pPr>
        <w:rPr>
          <w:rFonts w:cstheme="minorHAnsi"/>
          <w:sz w:val="24"/>
          <w:szCs w:val="24"/>
        </w:rPr>
      </w:pPr>
      <w:r>
        <w:rPr>
          <w:rFonts w:cstheme="minorHAnsi"/>
          <w:sz w:val="24"/>
          <w:szCs w:val="24"/>
        </w:rPr>
        <w:br w:type="page"/>
      </w:r>
    </w:p>
    <w:p w14:paraId="328D54AA" w14:textId="77777777" w:rsidR="00542923" w:rsidRPr="00C37460" w:rsidRDefault="00542923" w:rsidP="00D3339D">
      <w:pPr>
        <w:pStyle w:val="Heading2Numbered"/>
        <w:ind w:left="567" w:hanging="567"/>
      </w:pPr>
      <w:bookmarkStart w:id="9" w:name="_Toc107316405"/>
      <w:r w:rsidRPr="00C37460">
        <w:lastRenderedPageBreak/>
        <w:t>Other legislative obligations</w:t>
      </w:r>
      <w:bookmarkEnd w:id="9"/>
    </w:p>
    <w:p w14:paraId="3DC8CDC8" w14:textId="58FE4FB3" w:rsidR="00542923" w:rsidRDefault="00A3021D" w:rsidP="00A3021D">
      <w:pPr>
        <w:pStyle w:val="ListParagraph"/>
        <w:spacing w:after="0"/>
        <w:jc w:val="both"/>
        <w:rPr>
          <w:rFonts w:cstheme="minorHAnsi"/>
          <w:sz w:val="24"/>
          <w:szCs w:val="24"/>
        </w:rPr>
      </w:pPr>
      <w:r>
        <w:rPr>
          <w:rFonts w:cstheme="minorHAnsi"/>
          <w:sz w:val="24"/>
          <w:szCs w:val="24"/>
        </w:rPr>
        <w:t>The Commissioner and staff of the Commission are required to comply with requirements in the following Territory Acts to the extent they  do not conflict with their obligations under the Act:</w:t>
      </w:r>
    </w:p>
    <w:p w14:paraId="2F446BA2" w14:textId="77777777" w:rsidR="00A3021D" w:rsidRPr="00A3021D" w:rsidRDefault="00A3021D" w:rsidP="00A3021D">
      <w:pPr>
        <w:spacing w:before="0" w:after="0" w:line="276" w:lineRule="auto"/>
        <w:ind w:left="709"/>
        <w:jc w:val="both"/>
        <w:rPr>
          <w:rFonts w:cstheme="minorHAnsi"/>
          <w:sz w:val="24"/>
          <w:szCs w:val="24"/>
        </w:rPr>
      </w:pPr>
    </w:p>
    <w:p w14:paraId="5B8B4E6B" w14:textId="77777777" w:rsidR="00542923" w:rsidRDefault="00542923" w:rsidP="00E8252D">
      <w:pPr>
        <w:pStyle w:val="ListParagraph"/>
        <w:numPr>
          <w:ilvl w:val="0"/>
          <w:numId w:val="20"/>
        </w:numPr>
        <w:spacing w:line="276" w:lineRule="auto"/>
        <w:jc w:val="both"/>
        <w:rPr>
          <w:rFonts w:cstheme="minorHAnsi"/>
          <w:sz w:val="24"/>
          <w:szCs w:val="24"/>
        </w:rPr>
      </w:pPr>
      <w:bookmarkStart w:id="10" w:name="_Hlk61337735"/>
      <w:r>
        <w:rPr>
          <w:rFonts w:cstheme="minorHAnsi"/>
          <w:sz w:val="24"/>
          <w:szCs w:val="24"/>
        </w:rPr>
        <w:t xml:space="preserve">the </w:t>
      </w:r>
      <w:r w:rsidRPr="00753D95">
        <w:rPr>
          <w:rFonts w:cstheme="minorHAnsi"/>
          <w:i/>
          <w:iCs/>
          <w:sz w:val="24"/>
          <w:szCs w:val="24"/>
        </w:rPr>
        <w:t>Territory Records Act 2002</w:t>
      </w:r>
    </w:p>
    <w:p w14:paraId="0A4C33C5" w14:textId="77777777" w:rsidR="00542923" w:rsidRDefault="00542923" w:rsidP="00E8252D">
      <w:pPr>
        <w:pStyle w:val="ListParagraph"/>
        <w:numPr>
          <w:ilvl w:val="0"/>
          <w:numId w:val="20"/>
        </w:numPr>
        <w:spacing w:line="276" w:lineRule="auto"/>
        <w:jc w:val="both"/>
        <w:rPr>
          <w:rFonts w:cstheme="minorHAnsi"/>
          <w:sz w:val="24"/>
          <w:szCs w:val="24"/>
        </w:rPr>
      </w:pPr>
      <w:r>
        <w:rPr>
          <w:rFonts w:cstheme="minorHAnsi"/>
          <w:sz w:val="24"/>
          <w:szCs w:val="24"/>
        </w:rPr>
        <w:t xml:space="preserve">the </w:t>
      </w:r>
      <w:r w:rsidRPr="00753D95">
        <w:rPr>
          <w:rFonts w:cstheme="minorHAnsi"/>
          <w:i/>
          <w:iCs/>
          <w:sz w:val="24"/>
          <w:szCs w:val="24"/>
        </w:rPr>
        <w:t>Public Sector Management Act 1994</w:t>
      </w:r>
    </w:p>
    <w:p w14:paraId="286AB854" w14:textId="77777777" w:rsidR="00542923" w:rsidRPr="00753D95" w:rsidRDefault="00542923" w:rsidP="00E8252D">
      <w:pPr>
        <w:pStyle w:val="ListParagraph"/>
        <w:numPr>
          <w:ilvl w:val="0"/>
          <w:numId w:val="20"/>
        </w:numPr>
        <w:spacing w:line="276" w:lineRule="auto"/>
        <w:jc w:val="both"/>
        <w:rPr>
          <w:rFonts w:cstheme="minorHAnsi"/>
          <w:i/>
          <w:iCs/>
          <w:sz w:val="24"/>
          <w:szCs w:val="24"/>
        </w:rPr>
      </w:pPr>
      <w:r>
        <w:rPr>
          <w:rFonts w:cstheme="minorHAnsi"/>
          <w:sz w:val="24"/>
          <w:szCs w:val="24"/>
        </w:rPr>
        <w:t xml:space="preserve">the </w:t>
      </w:r>
      <w:r w:rsidRPr="00753D95">
        <w:rPr>
          <w:rFonts w:cstheme="minorHAnsi"/>
          <w:i/>
          <w:iCs/>
          <w:sz w:val="24"/>
          <w:szCs w:val="24"/>
        </w:rPr>
        <w:t>Freedom of Information Act 2016</w:t>
      </w:r>
    </w:p>
    <w:p w14:paraId="212E24FE" w14:textId="77777777" w:rsidR="00542923" w:rsidRDefault="00542923" w:rsidP="00E8252D">
      <w:pPr>
        <w:pStyle w:val="ListParagraph"/>
        <w:numPr>
          <w:ilvl w:val="0"/>
          <w:numId w:val="20"/>
        </w:numPr>
        <w:spacing w:line="276" w:lineRule="auto"/>
        <w:jc w:val="both"/>
        <w:rPr>
          <w:rFonts w:cstheme="minorHAnsi"/>
          <w:sz w:val="24"/>
          <w:szCs w:val="24"/>
        </w:rPr>
      </w:pPr>
      <w:r>
        <w:rPr>
          <w:rFonts w:cstheme="minorHAnsi"/>
          <w:sz w:val="24"/>
          <w:szCs w:val="24"/>
        </w:rPr>
        <w:t xml:space="preserve">the </w:t>
      </w:r>
      <w:r w:rsidRPr="00753D95">
        <w:rPr>
          <w:rFonts w:cstheme="minorHAnsi"/>
          <w:i/>
          <w:iCs/>
          <w:sz w:val="24"/>
          <w:szCs w:val="24"/>
        </w:rPr>
        <w:t>Information Privacy Act 2014</w:t>
      </w:r>
    </w:p>
    <w:p w14:paraId="024DD9C7" w14:textId="7E53A778" w:rsidR="00542923" w:rsidRPr="00A3021D" w:rsidRDefault="00542923" w:rsidP="00A3021D">
      <w:pPr>
        <w:pStyle w:val="ListParagraph"/>
        <w:numPr>
          <w:ilvl w:val="0"/>
          <w:numId w:val="20"/>
        </w:numPr>
        <w:spacing w:after="0" w:line="276" w:lineRule="auto"/>
        <w:ind w:left="1797" w:hanging="357"/>
        <w:jc w:val="both"/>
        <w:rPr>
          <w:rFonts w:cstheme="minorHAnsi"/>
          <w:sz w:val="24"/>
          <w:szCs w:val="24"/>
        </w:rPr>
      </w:pPr>
      <w:r>
        <w:rPr>
          <w:rFonts w:cstheme="minorHAnsi"/>
          <w:sz w:val="24"/>
          <w:szCs w:val="24"/>
        </w:rPr>
        <w:t xml:space="preserve">the </w:t>
      </w:r>
      <w:r w:rsidRPr="00753D95">
        <w:rPr>
          <w:rFonts w:cstheme="minorHAnsi"/>
          <w:i/>
          <w:iCs/>
          <w:sz w:val="24"/>
          <w:szCs w:val="24"/>
        </w:rPr>
        <w:t>Health Records (Privacy and Access) Act 1997</w:t>
      </w:r>
    </w:p>
    <w:p w14:paraId="6A4C987C" w14:textId="77777777" w:rsidR="00A3021D" w:rsidRPr="00A3021D" w:rsidRDefault="00A3021D" w:rsidP="00A3021D">
      <w:pPr>
        <w:spacing w:before="0" w:after="0" w:line="276" w:lineRule="auto"/>
        <w:ind w:left="709"/>
        <w:jc w:val="both"/>
        <w:rPr>
          <w:rFonts w:cstheme="minorHAnsi"/>
          <w:sz w:val="24"/>
          <w:szCs w:val="24"/>
        </w:rPr>
      </w:pPr>
    </w:p>
    <w:bookmarkEnd w:id="10"/>
    <w:p w14:paraId="7FA84EED" w14:textId="383838AE" w:rsidR="00542923" w:rsidRPr="00753D95" w:rsidRDefault="00A3021D" w:rsidP="00542923">
      <w:pPr>
        <w:pStyle w:val="ListParagraph"/>
        <w:jc w:val="both"/>
        <w:rPr>
          <w:rFonts w:cstheme="minorHAnsi"/>
          <w:sz w:val="24"/>
          <w:szCs w:val="24"/>
        </w:rPr>
      </w:pPr>
      <w:r>
        <w:rPr>
          <w:rFonts w:cstheme="minorHAnsi"/>
          <w:sz w:val="24"/>
          <w:szCs w:val="24"/>
        </w:rPr>
        <w:t xml:space="preserve">Staff of the Commission must also be mindful that a criminal sanction may occur if they breach s 153 (Disclosure of information by territory officer) of the </w:t>
      </w:r>
      <w:r w:rsidRPr="00124E8E">
        <w:rPr>
          <w:rFonts w:cstheme="minorHAnsi"/>
          <w:i/>
          <w:iCs/>
          <w:sz w:val="24"/>
          <w:szCs w:val="24"/>
        </w:rPr>
        <w:t>Crimes Act 1900</w:t>
      </w:r>
      <w:r>
        <w:rPr>
          <w:rFonts w:cstheme="minorHAnsi"/>
          <w:sz w:val="24"/>
          <w:szCs w:val="24"/>
        </w:rPr>
        <w:t>.</w:t>
      </w:r>
      <w:r>
        <w:rPr>
          <w:rStyle w:val="FootnoteReference"/>
          <w:rFonts w:cstheme="minorHAnsi"/>
          <w:sz w:val="24"/>
          <w:szCs w:val="24"/>
        </w:rPr>
        <w:footnoteReference w:id="26"/>
      </w:r>
      <w:r>
        <w:rPr>
          <w:rFonts w:cstheme="minorHAnsi"/>
          <w:sz w:val="24"/>
          <w:szCs w:val="24"/>
        </w:rPr>
        <w:t xml:space="preserve">    </w:t>
      </w:r>
    </w:p>
    <w:p w14:paraId="621BC1A7" w14:textId="1D728DBC" w:rsidR="00542923" w:rsidRPr="00C37460" w:rsidRDefault="00542923" w:rsidP="00E8252D">
      <w:pPr>
        <w:pStyle w:val="Heading3"/>
      </w:pPr>
      <w:bookmarkStart w:id="11" w:name="_Toc107316406"/>
      <w:r>
        <w:t xml:space="preserve">The </w:t>
      </w:r>
      <w:r w:rsidRPr="00C37460">
        <w:t>Information Privacy Act 2014</w:t>
      </w:r>
      <w:bookmarkEnd w:id="11"/>
      <w:r w:rsidRPr="00C37460">
        <w:t xml:space="preserve"> </w:t>
      </w:r>
    </w:p>
    <w:p w14:paraId="175DCAF0" w14:textId="5BC4D673" w:rsidR="00542923" w:rsidRDefault="00A3021D" w:rsidP="00A3021D">
      <w:pPr>
        <w:pStyle w:val="ListParagraph"/>
        <w:spacing w:after="0" w:line="276" w:lineRule="auto"/>
        <w:jc w:val="both"/>
        <w:rPr>
          <w:rFonts w:cstheme="minorHAnsi"/>
          <w:sz w:val="24"/>
          <w:szCs w:val="24"/>
        </w:rPr>
      </w:pPr>
      <w:r>
        <w:rPr>
          <w:rFonts w:cstheme="minorHAnsi"/>
          <w:sz w:val="24"/>
          <w:szCs w:val="24"/>
        </w:rPr>
        <w:t xml:space="preserve">The </w:t>
      </w:r>
      <w:r w:rsidRPr="00680158">
        <w:rPr>
          <w:rFonts w:cstheme="minorHAnsi"/>
          <w:i/>
          <w:iCs/>
          <w:sz w:val="24"/>
          <w:szCs w:val="24"/>
        </w:rPr>
        <w:t>Information Privacy Act 2014</w:t>
      </w:r>
      <w:r>
        <w:rPr>
          <w:rFonts w:cstheme="minorHAnsi"/>
          <w:sz w:val="24"/>
          <w:szCs w:val="24"/>
        </w:rPr>
        <w:t xml:space="preserve"> (‘</w:t>
      </w:r>
      <w:r w:rsidRPr="00680158">
        <w:rPr>
          <w:rFonts w:cstheme="minorHAnsi"/>
          <w:b/>
          <w:bCs/>
          <w:sz w:val="24"/>
          <w:szCs w:val="24"/>
        </w:rPr>
        <w:t>IP Act</w:t>
      </w:r>
      <w:r>
        <w:rPr>
          <w:rFonts w:cstheme="minorHAnsi"/>
          <w:sz w:val="24"/>
          <w:szCs w:val="24"/>
        </w:rPr>
        <w:t>’) regulates the handling of personal information by public sector agencies.  It is designed to promote the protection of the privacy of individuals and balance that with the interests of public sector agencies in carrying out their functions or activities.</w:t>
      </w:r>
      <w:r>
        <w:rPr>
          <w:rStyle w:val="FootnoteReference"/>
          <w:rFonts w:cstheme="minorHAnsi"/>
          <w:sz w:val="24"/>
          <w:szCs w:val="24"/>
        </w:rPr>
        <w:footnoteReference w:id="27"/>
      </w:r>
      <w:r>
        <w:rPr>
          <w:rFonts w:cstheme="minorHAnsi"/>
          <w:sz w:val="24"/>
          <w:szCs w:val="24"/>
        </w:rPr>
        <w:t xml:space="preserve">  Prior to the introduction of the IP Act, the </w:t>
      </w:r>
      <w:r w:rsidRPr="00E674A2">
        <w:rPr>
          <w:rFonts w:cstheme="minorHAnsi"/>
          <w:i/>
          <w:iCs/>
          <w:sz w:val="24"/>
          <w:szCs w:val="24"/>
        </w:rPr>
        <w:t>Privacy Act 1988</w:t>
      </w:r>
      <w:r>
        <w:rPr>
          <w:rFonts w:cstheme="minorHAnsi"/>
          <w:sz w:val="24"/>
          <w:szCs w:val="24"/>
        </w:rPr>
        <w:t xml:space="preserve"> (Cth) applied to the ACT.  As a public sector agency, the Commission is required to comply with the requirements of the IP Act.</w:t>
      </w:r>
      <w:r>
        <w:rPr>
          <w:rStyle w:val="FootnoteReference"/>
          <w:rFonts w:cstheme="minorHAnsi"/>
          <w:sz w:val="24"/>
          <w:szCs w:val="24"/>
        </w:rPr>
        <w:footnoteReference w:id="28"/>
      </w:r>
    </w:p>
    <w:p w14:paraId="043F0746" w14:textId="2A397415" w:rsidR="00542923" w:rsidRPr="00A3021D" w:rsidRDefault="00542923" w:rsidP="00A3021D">
      <w:pPr>
        <w:spacing w:before="0" w:after="0" w:line="276" w:lineRule="auto"/>
        <w:ind w:left="709"/>
        <w:jc w:val="both"/>
        <w:rPr>
          <w:rFonts w:cstheme="minorHAnsi"/>
          <w:sz w:val="24"/>
          <w:szCs w:val="24"/>
        </w:rPr>
      </w:pPr>
    </w:p>
    <w:p w14:paraId="0106B0BF" w14:textId="2AD9ED4C" w:rsidR="00542923" w:rsidRDefault="00A3021D" w:rsidP="00A3021D">
      <w:pPr>
        <w:pStyle w:val="ListParagraph"/>
        <w:spacing w:after="0"/>
        <w:rPr>
          <w:rFonts w:cstheme="minorHAnsi"/>
          <w:sz w:val="24"/>
          <w:szCs w:val="24"/>
        </w:rPr>
      </w:pPr>
      <w:r>
        <w:rPr>
          <w:rFonts w:cstheme="minorHAnsi"/>
          <w:sz w:val="24"/>
          <w:szCs w:val="24"/>
        </w:rPr>
        <w:t xml:space="preserve">Personal information is defined in the IP Act as: </w:t>
      </w:r>
    </w:p>
    <w:p w14:paraId="057150C2" w14:textId="77777777" w:rsidR="00A3021D" w:rsidRPr="00A3021D" w:rsidRDefault="00A3021D" w:rsidP="00A3021D">
      <w:pPr>
        <w:spacing w:before="0" w:after="0" w:line="276" w:lineRule="auto"/>
        <w:ind w:left="709"/>
        <w:jc w:val="both"/>
        <w:rPr>
          <w:rFonts w:cstheme="minorHAnsi"/>
          <w:sz w:val="24"/>
          <w:szCs w:val="24"/>
        </w:rPr>
      </w:pPr>
    </w:p>
    <w:p w14:paraId="78B73838" w14:textId="77777777" w:rsidR="00542923" w:rsidRDefault="00542923" w:rsidP="00E8252D">
      <w:pPr>
        <w:pStyle w:val="ListParagraph"/>
        <w:numPr>
          <w:ilvl w:val="0"/>
          <w:numId w:val="27"/>
        </w:numPr>
        <w:spacing w:line="276" w:lineRule="auto"/>
        <w:jc w:val="both"/>
        <w:rPr>
          <w:rFonts w:cstheme="minorHAnsi"/>
          <w:sz w:val="24"/>
          <w:szCs w:val="24"/>
        </w:rPr>
      </w:pPr>
      <w:r>
        <w:rPr>
          <w:rFonts w:cstheme="minorHAnsi"/>
          <w:sz w:val="24"/>
          <w:szCs w:val="24"/>
        </w:rPr>
        <w:t xml:space="preserve">information or an opinion about an identified individual, or an individual who is reasonably identifiable – </w:t>
      </w:r>
    </w:p>
    <w:p w14:paraId="27F4BC53" w14:textId="77777777" w:rsidR="00542923" w:rsidRPr="006E752A" w:rsidRDefault="00542923" w:rsidP="00E8252D">
      <w:pPr>
        <w:pStyle w:val="ListParagraph"/>
        <w:numPr>
          <w:ilvl w:val="1"/>
          <w:numId w:val="27"/>
        </w:numPr>
        <w:spacing w:line="276" w:lineRule="auto"/>
        <w:jc w:val="both"/>
        <w:rPr>
          <w:rFonts w:cstheme="minorHAnsi"/>
          <w:sz w:val="24"/>
          <w:szCs w:val="24"/>
        </w:rPr>
      </w:pPr>
      <w:r w:rsidRPr="006E752A">
        <w:rPr>
          <w:rFonts w:cstheme="minorHAnsi"/>
          <w:sz w:val="24"/>
          <w:szCs w:val="24"/>
        </w:rPr>
        <w:t>whether the information or opinion is true or not; and</w:t>
      </w:r>
    </w:p>
    <w:p w14:paraId="72E98475" w14:textId="77777777" w:rsidR="00542923" w:rsidRPr="006E752A" w:rsidRDefault="00542923" w:rsidP="00E8252D">
      <w:pPr>
        <w:pStyle w:val="ListParagraph"/>
        <w:numPr>
          <w:ilvl w:val="1"/>
          <w:numId w:val="27"/>
        </w:numPr>
        <w:spacing w:line="276" w:lineRule="auto"/>
        <w:jc w:val="both"/>
        <w:rPr>
          <w:rFonts w:cstheme="minorHAnsi"/>
          <w:sz w:val="24"/>
          <w:szCs w:val="24"/>
        </w:rPr>
      </w:pPr>
      <w:r w:rsidRPr="006E752A">
        <w:rPr>
          <w:rFonts w:cstheme="minorHAnsi"/>
          <w:sz w:val="24"/>
          <w:szCs w:val="24"/>
        </w:rPr>
        <w:t>whether the information or opinion is recorded in a material form or not; but</w:t>
      </w:r>
    </w:p>
    <w:p w14:paraId="038B6136" w14:textId="6881D5AF" w:rsidR="00542923" w:rsidRDefault="00542923" w:rsidP="00A3021D">
      <w:pPr>
        <w:pStyle w:val="ListParagraph"/>
        <w:numPr>
          <w:ilvl w:val="0"/>
          <w:numId w:val="27"/>
        </w:numPr>
        <w:spacing w:after="0" w:line="276" w:lineRule="auto"/>
        <w:ind w:left="1797" w:hanging="357"/>
        <w:jc w:val="both"/>
        <w:rPr>
          <w:rFonts w:cstheme="minorHAnsi"/>
          <w:sz w:val="24"/>
          <w:szCs w:val="24"/>
        </w:rPr>
      </w:pPr>
      <w:r>
        <w:rPr>
          <w:rFonts w:cstheme="minorHAnsi"/>
          <w:sz w:val="24"/>
          <w:szCs w:val="24"/>
        </w:rPr>
        <w:t>does not include personal health information about the individual.</w:t>
      </w:r>
      <w:r>
        <w:rPr>
          <w:rStyle w:val="FootnoteReference"/>
          <w:rFonts w:cstheme="minorHAnsi"/>
          <w:sz w:val="24"/>
          <w:szCs w:val="24"/>
        </w:rPr>
        <w:footnoteReference w:id="29"/>
      </w:r>
    </w:p>
    <w:p w14:paraId="57EF89EB" w14:textId="77777777" w:rsidR="00A3021D" w:rsidRPr="00A3021D" w:rsidRDefault="00A3021D" w:rsidP="00A3021D">
      <w:pPr>
        <w:spacing w:before="0" w:after="0" w:line="276" w:lineRule="auto"/>
        <w:ind w:left="709"/>
        <w:jc w:val="both"/>
        <w:rPr>
          <w:rFonts w:cstheme="minorHAnsi"/>
          <w:sz w:val="24"/>
          <w:szCs w:val="24"/>
        </w:rPr>
      </w:pPr>
    </w:p>
    <w:p w14:paraId="151D0CE4" w14:textId="47E37AE5" w:rsidR="00542923" w:rsidRDefault="00A3021D" w:rsidP="005550DD">
      <w:pPr>
        <w:pStyle w:val="ListParagraph"/>
        <w:spacing w:after="0" w:line="276" w:lineRule="auto"/>
        <w:jc w:val="both"/>
        <w:rPr>
          <w:rFonts w:cstheme="minorHAnsi"/>
          <w:sz w:val="24"/>
          <w:szCs w:val="24"/>
        </w:rPr>
      </w:pPr>
      <w:r>
        <w:rPr>
          <w:rFonts w:cstheme="minorHAnsi"/>
          <w:sz w:val="24"/>
          <w:szCs w:val="24"/>
        </w:rPr>
        <w:t>The IP Act creates the Territory Privacy Principles (‘</w:t>
      </w:r>
      <w:r w:rsidRPr="00F44724">
        <w:rPr>
          <w:rFonts w:cstheme="minorHAnsi"/>
          <w:b/>
          <w:bCs/>
          <w:sz w:val="24"/>
          <w:szCs w:val="24"/>
        </w:rPr>
        <w:t>TPPs</w:t>
      </w:r>
      <w:r>
        <w:rPr>
          <w:rFonts w:cstheme="minorHAnsi"/>
          <w:sz w:val="24"/>
          <w:szCs w:val="24"/>
        </w:rPr>
        <w:t>’).</w:t>
      </w:r>
      <w:r>
        <w:rPr>
          <w:rStyle w:val="FootnoteReference"/>
          <w:rFonts w:cstheme="minorHAnsi"/>
          <w:sz w:val="24"/>
          <w:szCs w:val="24"/>
        </w:rPr>
        <w:footnoteReference w:id="30"/>
      </w:r>
      <w:r>
        <w:rPr>
          <w:rFonts w:cstheme="minorHAnsi"/>
          <w:sz w:val="24"/>
          <w:szCs w:val="24"/>
        </w:rPr>
        <w:t xml:space="preserve"> The TPPs “cover the collection, use, storage and disclosure of personal information, and an individual’s access to and correction of that information.”</w:t>
      </w:r>
      <w:r>
        <w:rPr>
          <w:rStyle w:val="FootnoteReference"/>
          <w:rFonts w:cstheme="minorHAnsi"/>
          <w:sz w:val="24"/>
          <w:szCs w:val="24"/>
        </w:rPr>
        <w:footnoteReference w:id="31"/>
      </w:r>
      <w:r>
        <w:rPr>
          <w:rFonts w:cstheme="minorHAnsi"/>
          <w:sz w:val="24"/>
          <w:szCs w:val="24"/>
        </w:rPr>
        <w:t xml:space="preserve">  </w:t>
      </w:r>
    </w:p>
    <w:p w14:paraId="16844A1E" w14:textId="564FA115" w:rsidR="00542923" w:rsidRPr="00D06C98" w:rsidRDefault="00542923" w:rsidP="00D06C98">
      <w:pPr>
        <w:spacing w:before="0" w:after="0" w:line="276" w:lineRule="auto"/>
        <w:ind w:left="709"/>
        <w:jc w:val="both"/>
        <w:rPr>
          <w:rFonts w:cstheme="minorHAnsi"/>
          <w:sz w:val="24"/>
          <w:szCs w:val="24"/>
        </w:rPr>
      </w:pPr>
    </w:p>
    <w:p w14:paraId="6C1C18B8" w14:textId="4FF9D3FE" w:rsidR="00542923" w:rsidRDefault="00D06C98" w:rsidP="005550DD">
      <w:pPr>
        <w:pStyle w:val="ListParagraph"/>
        <w:spacing w:after="0" w:line="276" w:lineRule="auto"/>
        <w:jc w:val="both"/>
        <w:rPr>
          <w:rFonts w:cstheme="minorHAnsi"/>
          <w:sz w:val="24"/>
          <w:szCs w:val="24"/>
        </w:rPr>
      </w:pPr>
      <w:r>
        <w:rPr>
          <w:rFonts w:cstheme="minorHAnsi"/>
          <w:sz w:val="24"/>
          <w:szCs w:val="24"/>
        </w:rPr>
        <w:t>Schedule 1 of the IP Act sets out the 11 TPPs that public sector agencies must comply with:</w:t>
      </w:r>
    </w:p>
    <w:p w14:paraId="0CED310D" w14:textId="5A517234" w:rsidR="00542923" w:rsidRDefault="00542923" w:rsidP="00D06C98">
      <w:pPr>
        <w:spacing w:before="0" w:after="0" w:line="276" w:lineRule="auto"/>
        <w:ind w:left="709"/>
        <w:jc w:val="both"/>
        <w:rPr>
          <w:rFonts w:cstheme="minorHAnsi"/>
          <w:sz w:val="24"/>
          <w:szCs w:val="24"/>
        </w:rPr>
      </w:pPr>
    </w:p>
    <w:p w14:paraId="40B9D209"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1 – open and transparent management of personal information</w:t>
      </w:r>
    </w:p>
    <w:p w14:paraId="33BB71B8"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2 – anonymity and pseudonymity</w:t>
      </w:r>
    </w:p>
    <w:p w14:paraId="39068081"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3 – collection of solicited personal information</w:t>
      </w:r>
    </w:p>
    <w:p w14:paraId="497C947A"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4 – dealing with unsolicited personal information</w:t>
      </w:r>
    </w:p>
    <w:p w14:paraId="4B58EE53"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5 – notification of the collection of personal information</w:t>
      </w:r>
    </w:p>
    <w:p w14:paraId="2DBBD679"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6 – use or disclosure of personal information</w:t>
      </w:r>
    </w:p>
    <w:p w14:paraId="1A1F9E26" w14:textId="77777777" w:rsidR="00D06C98" w:rsidRPr="00241908" w:rsidRDefault="00D06C98" w:rsidP="00D06C98">
      <w:pPr>
        <w:pStyle w:val="ListParagraph"/>
        <w:numPr>
          <w:ilvl w:val="0"/>
          <w:numId w:val="23"/>
        </w:numPr>
        <w:spacing w:line="276" w:lineRule="auto"/>
        <w:jc w:val="both"/>
        <w:rPr>
          <w:rFonts w:cstheme="minorHAnsi"/>
          <w:color w:val="FFFFFF" w:themeColor="background1"/>
          <w:sz w:val="24"/>
          <w:szCs w:val="24"/>
        </w:rPr>
      </w:pPr>
      <w:r w:rsidRPr="00241908">
        <w:rPr>
          <w:rFonts w:cstheme="minorHAnsi"/>
          <w:color w:val="FFFFFF" w:themeColor="background1"/>
          <w:sz w:val="24"/>
          <w:szCs w:val="24"/>
        </w:rPr>
        <w:t>[Direct marketing – only relevant to the Australian Privacy Principles]</w:t>
      </w:r>
    </w:p>
    <w:p w14:paraId="4A02E881"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8 – cross-border disclosure of personal information</w:t>
      </w:r>
    </w:p>
    <w:p w14:paraId="6C9E6863" w14:textId="77777777" w:rsidR="00D06C98" w:rsidRPr="00241908" w:rsidRDefault="00D06C98" w:rsidP="00D06C98">
      <w:pPr>
        <w:pStyle w:val="ListParagraph"/>
        <w:numPr>
          <w:ilvl w:val="0"/>
          <w:numId w:val="23"/>
        </w:numPr>
        <w:spacing w:line="276" w:lineRule="auto"/>
        <w:jc w:val="both"/>
        <w:rPr>
          <w:rFonts w:cstheme="minorHAnsi"/>
          <w:color w:val="FFFFFF" w:themeColor="background1"/>
          <w:sz w:val="24"/>
          <w:szCs w:val="24"/>
        </w:rPr>
      </w:pPr>
      <w:r w:rsidRPr="00241908">
        <w:rPr>
          <w:rFonts w:cstheme="minorHAnsi"/>
          <w:color w:val="FFFFFF" w:themeColor="background1"/>
          <w:sz w:val="24"/>
          <w:szCs w:val="24"/>
        </w:rPr>
        <w:t>[Adoption, use or disclosure of government-related identifiers]</w:t>
      </w:r>
    </w:p>
    <w:p w14:paraId="1417A1C4"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10 – quality of personal information</w:t>
      </w:r>
    </w:p>
    <w:p w14:paraId="69A5A328"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11 – security of personal information</w:t>
      </w:r>
    </w:p>
    <w:p w14:paraId="12713643" w14:textId="77777777" w:rsidR="00D06C98" w:rsidRDefault="00D06C98" w:rsidP="00D06C98">
      <w:pPr>
        <w:pStyle w:val="ListParagraph"/>
        <w:numPr>
          <w:ilvl w:val="0"/>
          <w:numId w:val="23"/>
        </w:numPr>
        <w:spacing w:line="276" w:lineRule="auto"/>
        <w:jc w:val="both"/>
        <w:rPr>
          <w:rFonts w:cstheme="minorHAnsi"/>
          <w:sz w:val="24"/>
          <w:szCs w:val="24"/>
        </w:rPr>
      </w:pPr>
      <w:r>
        <w:rPr>
          <w:rFonts w:cstheme="minorHAnsi"/>
          <w:sz w:val="24"/>
          <w:szCs w:val="24"/>
        </w:rPr>
        <w:t>TPP 12 – access to personal information</w:t>
      </w:r>
    </w:p>
    <w:p w14:paraId="1C3B5E11" w14:textId="77777777" w:rsidR="00D06C98" w:rsidRDefault="00D06C98" w:rsidP="005550DD">
      <w:pPr>
        <w:pStyle w:val="ListParagraph"/>
        <w:numPr>
          <w:ilvl w:val="0"/>
          <w:numId w:val="23"/>
        </w:numPr>
        <w:spacing w:after="0" w:line="276" w:lineRule="auto"/>
        <w:ind w:left="2154" w:hanging="357"/>
        <w:jc w:val="both"/>
        <w:rPr>
          <w:rFonts w:cstheme="minorHAnsi"/>
          <w:sz w:val="24"/>
          <w:szCs w:val="24"/>
        </w:rPr>
      </w:pPr>
      <w:r>
        <w:rPr>
          <w:rFonts w:cstheme="minorHAnsi"/>
          <w:sz w:val="24"/>
          <w:szCs w:val="24"/>
        </w:rPr>
        <w:t>TPP 13 – correction of personal information</w:t>
      </w:r>
      <w:r>
        <w:rPr>
          <w:rStyle w:val="FootnoteReference"/>
          <w:rFonts w:cstheme="minorHAnsi"/>
          <w:sz w:val="24"/>
          <w:szCs w:val="24"/>
        </w:rPr>
        <w:footnoteReference w:id="32"/>
      </w:r>
      <w:r>
        <w:rPr>
          <w:rFonts w:cstheme="minorHAnsi"/>
          <w:sz w:val="24"/>
          <w:szCs w:val="24"/>
        </w:rPr>
        <w:t xml:space="preserve"> </w:t>
      </w:r>
    </w:p>
    <w:p w14:paraId="01971913" w14:textId="77777777" w:rsidR="00D06C98" w:rsidRPr="00D06C98" w:rsidRDefault="00D06C98" w:rsidP="00D06C98">
      <w:pPr>
        <w:spacing w:before="0" w:after="0" w:line="276" w:lineRule="auto"/>
        <w:ind w:left="709"/>
        <w:jc w:val="both"/>
        <w:rPr>
          <w:rFonts w:cstheme="minorHAnsi"/>
          <w:sz w:val="24"/>
          <w:szCs w:val="24"/>
        </w:rPr>
      </w:pPr>
    </w:p>
    <w:p w14:paraId="027F69E9" w14:textId="7A6FEAD1" w:rsidR="00542923" w:rsidRDefault="00D06C98" w:rsidP="005550DD">
      <w:pPr>
        <w:pStyle w:val="ListParagraph"/>
        <w:spacing w:after="0" w:line="276" w:lineRule="auto"/>
        <w:jc w:val="both"/>
        <w:rPr>
          <w:rFonts w:cstheme="minorHAnsi"/>
          <w:sz w:val="24"/>
          <w:szCs w:val="24"/>
        </w:rPr>
      </w:pPr>
      <w:r>
        <w:rPr>
          <w:rFonts w:cstheme="minorHAnsi"/>
          <w:sz w:val="24"/>
          <w:szCs w:val="24"/>
        </w:rPr>
        <w:t xml:space="preserve">The IP Act creates criminal offences for the unauthorised and reckless use or disclosure of protected information by a public sector officer who has obtained information through their role performing their functions under the IP Act.  Further, the Information Privacy Commissioner has powers to investigate possible interferences with privacy.  </w:t>
      </w:r>
    </w:p>
    <w:p w14:paraId="32905E9F" w14:textId="77777777" w:rsidR="005550DD" w:rsidRPr="005550DD" w:rsidRDefault="005550DD" w:rsidP="005550DD">
      <w:pPr>
        <w:spacing w:before="0" w:after="0" w:line="276" w:lineRule="auto"/>
        <w:ind w:left="709"/>
        <w:jc w:val="both"/>
        <w:rPr>
          <w:rFonts w:cstheme="minorHAnsi"/>
          <w:sz w:val="24"/>
          <w:szCs w:val="24"/>
        </w:rPr>
      </w:pPr>
    </w:p>
    <w:p w14:paraId="56302D3E" w14:textId="3D50E690" w:rsidR="00542923" w:rsidRDefault="00D06C98" w:rsidP="005550DD">
      <w:pPr>
        <w:pStyle w:val="ListParagraph"/>
        <w:spacing w:after="0" w:line="276" w:lineRule="auto"/>
        <w:jc w:val="both"/>
        <w:rPr>
          <w:rFonts w:cstheme="minorHAnsi"/>
          <w:sz w:val="24"/>
          <w:szCs w:val="24"/>
        </w:rPr>
      </w:pPr>
      <w:r w:rsidRPr="006E752A">
        <w:rPr>
          <w:rFonts w:cstheme="minorHAnsi"/>
          <w:sz w:val="24"/>
          <w:szCs w:val="24"/>
        </w:rPr>
        <w:t>The Commission will ensure all internal information management policies comply with the requirements of the TPPs and the IP Act to the extent they do not conflict with the requirements of the Act.</w:t>
      </w:r>
    </w:p>
    <w:p w14:paraId="53256B4C" w14:textId="77777777" w:rsidR="00E8252D" w:rsidRDefault="00E8252D">
      <w:pPr>
        <w:rPr>
          <w:rFonts w:asciiTheme="majorHAnsi" w:eastAsiaTheme="majorEastAsia" w:hAnsiTheme="majorHAnsi" w:cstheme="majorBidi"/>
          <w:b/>
          <w:color w:val="004854" w:themeColor="accent2"/>
          <w:w w:val="105"/>
          <w:sz w:val="26"/>
          <w:szCs w:val="24"/>
        </w:rPr>
      </w:pPr>
      <w:r>
        <w:rPr>
          <w:w w:val="105"/>
        </w:rPr>
        <w:br w:type="page"/>
      </w:r>
    </w:p>
    <w:p w14:paraId="3DC06C4C" w14:textId="5E8944E8" w:rsidR="00542923" w:rsidRPr="006E752A" w:rsidRDefault="00542923" w:rsidP="00E8252D">
      <w:pPr>
        <w:pStyle w:val="Heading3"/>
        <w:rPr>
          <w:w w:val="105"/>
        </w:rPr>
      </w:pPr>
      <w:bookmarkStart w:id="12" w:name="_Toc107316407"/>
      <w:r>
        <w:rPr>
          <w:w w:val="105"/>
        </w:rPr>
        <w:lastRenderedPageBreak/>
        <w:t xml:space="preserve">The </w:t>
      </w:r>
      <w:r w:rsidRPr="006E752A">
        <w:rPr>
          <w:w w:val="105"/>
        </w:rPr>
        <w:t>Freedom of Information Act 2016</w:t>
      </w:r>
      <w:bookmarkEnd w:id="12"/>
    </w:p>
    <w:p w14:paraId="2B9FE464" w14:textId="77777777" w:rsidR="00542923" w:rsidRPr="0046695A" w:rsidRDefault="00542923" w:rsidP="00542923">
      <w:pPr>
        <w:spacing w:line="276" w:lineRule="auto"/>
        <w:ind w:left="720" w:hanging="720"/>
        <w:jc w:val="both"/>
        <w:rPr>
          <w:rFonts w:cstheme="minorHAnsi"/>
          <w:sz w:val="24"/>
          <w:szCs w:val="24"/>
        </w:rPr>
      </w:pPr>
      <w:r>
        <w:rPr>
          <w:rFonts w:cstheme="minorHAnsi"/>
          <w:sz w:val="24"/>
          <w:szCs w:val="24"/>
        </w:rPr>
        <w:t>4.9</w:t>
      </w:r>
      <w:r>
        <w:rPr>
          <w:rFonts w:cstheme="minorHAnsi"/>
          <w:sz w:val="24"/>
          <w:szCs w:val="24"/>
        </w:rPr>
        <w:tab/>
      </w:r>
      <w:r w:rsidRPr="0046695A">
        <w:rPr>
          <w:rFonts w:cstheme="minorHAnsi"/>
          <w:sz w:val="24"/>
          <w:szCs w:val="24"/>
        </w:rPr>
        <w:t xml:space="preserve">The </w:t>
      </w:r>
      <w:r w:rsidRPr="0046695A">
        <w:rPr>
          <w:rFonts w:cstheme="minorHAnsi"/>
          <w:i/>
          <w:iCs/>
          <w:sz w:val="24"/>
          <w:szCs w:val="24"/>
        </w:rPr>
        <w:t>Freedom of Information Act 2016</w:t>
      </w:r>
      <w:r w:rsidRPr="0046695A">
        <w:rPr>
          <w:rFonts w:cstheme="minorHAnsi"/>
          <w:sz w:val="24"/>
          <w:szCs w:val="24"/>
        </w:rPr>
        <w:t xml:space="preserve"> (‘</w:t>
      </w:r>
      <w:r w:rsidRPr="0046695A">
        <w:rPr>
          <w:rFonts w:cstheme="minorHAnsi"/>
          <w:b/>
          <w:bCs/>
          <w:sz w:val="24"/>
          <w:szCs w:val="24"/>
        </w:rPr>
        <w:t>FOI Act</w:t>
      </w:r>
      <w:r w:rsidRPr="0046695A">
        <w:rPr>
          <w:rFonts w:cstheme="minorHAnsi"/>
          <w:sz w:val="24"/>
          <w:szCs w:val="24"/>
        </w:rPr>
        <w:t>’) recognises that government information is a public resource and seeks to:</w:t>
      </w:r>
    </w:p>
    <w:p w14:paraId="30099ACF" w14:textId="77777777" w:rsidR="00542923" w:rsidRDefault="00542923" w:rsidP="00E8252D">
      <w:pPr>
        <w:pStyle w:val="ListParagraph"/>
        <w:numPr>
          <w:ilvl w:val="0"/>
          <w:numId w:val="24"/>
        </w:numPr>
        <w:spacing w:line="276" w:lineRule="auto"/>
        <w:jc w:val="both"/>
        <w:rPr>
          <w:rFonts w:cstheme="minorHAnsi"/>
          <w:sz w:val="24"/>
          <w:szCs w:val="24"/>
        </w:rPr>
      </w:pPr>
      <w:r>
        <w:rPr>
          <w:rFonts w:cstheme="minorHAnsi"/>
          <w:sz w:val="24"/>
          <w:szCs w:val="24"/>
        </w:rPr>
        <w:t>provide a public right of access to government information;</w:t>
      </w:r>
    </w:p>
    <w:p w14:paraId="7B84BFCD" w14:textId="77777777" w:rsidR="00542923" w:rsidRDefault="00542923" w:rsidP="00E8252D">
      <w:pPr>
        <w:pStyle w:val="ListParagraph"/>
        <w:numPr>
          <w:ilvl w:val="0"/>
          <w:numId w:val="24"/>
        </w:numPr>
        <w:spacing w:line="276" w:lineRule="auto"/>
        <w:jc w:val="both"/>
        <w:rPr>
          <w:rFonts w:cstheme="minorHAnsi"/>
          <w:sz w:val="24"/>
          <w:szCs w:val="24"/>
        </w:rPr>
      </w:pPr>
      <w:r>
        <w:rPr>
          <w:rFonts w:cstheme="minorHAnsi"/>
          <w:sz w:val="24"/>
          <w:szCs w:val="24"/>
        </w:rPr>
        <w:t>promote public participation in government decision making and increase government accountability;</w:t>
      </w:r>
    </w:p>
    <w:p w14:paraId="2EBF1C0D" w14:textId="77777777" w:rsidR="00542923" w:rsidRDefault="00542923" w:rsidP="00E8252D">
      <w:pPr>
        <w:pStyle w:val="ListParagraph"/>
        <w:numPr>
          <w:ilvl w:val="0"/>
          <w:numId w:val="24"/>
        </w:numPr>
        <w:spacing w:line="276" w:lineRule="auto"/>
        <w:jc w:val="both"/>
        <w:rPr>
          <w:rFonts w:cstheme="minorHAnsi"/>
          <w:sz w:val="24"/>
          <w:szCs w:val="24"/>
        </w:rPr>
      </w:pPr>
      <w:r>
        <w:rPr>
          <w:rFonts w:cstheme="minorHAnsi"/>
          <w:sz w:val="24"/>
          <w:szCs w:val="24"/>
        </w:rPr>
        <w:t>promote a culture of openness and transparency in government; and</w:t>
      </w:r>
    </w:p>
    <w:p w14:paraId="74A3ECDF" w14:textId="77777777" w:rsidR="00542923" w:rsidRDefault="00542923" w:rsidP="00D3339D">
      <w:pPr>
        <w:pStyle w:val="ListParagraph"/>
        <w:numPr>
          <w:ilvl w:val="0"/>
          <w:numId w:val="24"/>
        </w:numPr>
        <w:spacing w:after="0" w:line="276" w:lineRule="auto"/>
        <w:ind w:left="1434" w:hanging="357"/>
        <w:jc w:val="both"/>
        <w:rPr>
          <w:rFonts w:cstheme="minorHAnsi"/>
          <w:sz w:val="24"/>
          <w:szCs w:val="24"/>
        </w:rPr>
      </w:pPr>
      <w:r>
        <w:rPr>
          <w:rFonts w:cstheme="minorHAnsi"/>
          <w:sz w:val="24"/>
          <w:szCs w:val="24"/>
        </w:rPr>
        <w:t>improve public understanding of government decisions and confidence in government processes.</w:t>
      </w:r>
      <w:r>
        <w:rPr>
          <w:rStyle w:val="FootnoteReference"/>
          <w:rFonts w:cstheme="minorHAnsi"/>
          <w:sz w:val="24"/>
          <w:szCs w:val="24"/>
        </w:rPr>
        <w:footnoteReference w:id="33"/>
      </w:r>
    </w:p>
    <w:p w14:paraId="4FC31229" w14:textId="77777777" w:rsidR="00542923" w:rsidRPr="005550DD" w:rsidRDefault="00542923" w:rsidP="005550DD">
      <w:pPr>
        <w:spacing w:before="0" w:after="0" w:line="276" w:lineRule="auto"/>
        <w:ind w:left="709"/>
        <w:jc w:val="both"/>
        <w:rPr>
          <w:rFonts w:cstheme="minorHAnsi"/>
          <w:sz w:val="24"/>
          <w:szCs w:val="24"/>
        </w:rPr>
      </w:pPr>
    </w:p>
    <w:p w14:paraId="099C7F25" w14:textId="77777777" w:rsidR="00542923" w:rsidRDefault="00542923" w:rsidP="00D3339D">
      <w:pPr>
        <w:pStyle w:val="ListParagraph"/>
        <w:numPr>
          <w:ilvl w:val="1"/>
          <w:numId w:val="28"/>
        </w:numPr>
        <w:spacing w:after="0" w:line="276" w:lineRule="auto"/>
        <w:ind w:left="709" w:hanging="709"/>
        <w:jc w:val="both"/>
        <w:rPr>
          <w:rFonts w:cstheme="minorHAnsi"/>
          <w:sz w:val="24"/>
          <w:szCs w:val="24"/>
        </w:rPr>
      </w:pPr>
      <w:r w:rsidRPr="006E752A">
        <w:rPr>
          <w:rFonts w:cstheme="minorHAnsi"/>
          <w:sz w:val="24"/>
          <w:szCs w:val="24"/>
        </w:rPr>
        <w:t>The Act allows for members of the public to apply to access government information.  Government information means information held by an agency or Minister.</w:t>
      </w:r>
      <w:r>
        <w:rPr>
          <w:rStyle w:val="FootnoteReference"/>
          <w:rFonts w:cstheme="minorHAnsi"/>
          <w:sz w:val="24"/>
          <w:szCs w:val="24"/>
        </w:rPr>
        <w:footnoteReference w:id="34"/>
      </w:r>
      <w:r w:rsidRPr="006E752A">
        <w:rPr>
          <w:rFonts w:cstheme="minorHAnsi"/>
          <w:sz w:val="24"/>
          <w:szCs w:val="24"/>
        </w:rPr>
        <w:t xml:space="preserve">  An agency includes a statutory office-holder and the staff assisting the statutory office-holder.</w:t>
      </w:r>
      <w:r>
        <w:rPr>
          <w:rStyle w:val="FootnoteReference"/>
          <w:rFonts w:cstheme="minorHAnsi"/>
          <w:sz w:val="24"/>
          <w:szCs w:val="24"/>
        </w:rPr>
        <w:footnoteReference w:id="35"/>
      </w:r>
      <w:r w:rsidRPr="006E752A">
        <w:rPr>
          <w:rFonts w:cstheme="minorHAnsi"/>
          <w:sz w:val="24"/>
          <w:szCs w:val="24"/>
        </w:rPr>
        <w:t xml:space="preserve">  As the Commissioner is a statutory office-holder, the FOI Act applies to the Commission.  </w:t>
      </w:r>
    </w:p>
    <w:p w14:paraId="53C67686" w14:textId="77777777" w:rsidR="00542923" w:rsidRPr="005550DD" w:rsidRDefault="00542923" w:rsidP="005550DD">
      <w:pPr>
        <w:spacing w:before="0" w:after="0" w:line="276" w:lineRule="auto"/>
        <w:ind w:left="709"/>
        <w:jc w:val="both"/>
        <w:rPr>
          <w:rFonts w:cstheme="minorHAnsi"/>
          <w:sz w:val="24"/>
          <w:szCs w:val="24"/>
        </w:rPr>
      </w:pPr>
    </w:p>
    <w:p w14:paraId="7FBDC27A" w14:textId="77777777" w:rsidR="00542923" w:rsidRDefault="00542923" w:rsidP="00D3339D">
      <w:pPr>
        <w:pStyle w:val="ListParagraph"/>
        <w:numPr>
          <w:ilvl w:val="1"/>
          <w:numId w:val="28"/>
        </w:numPr>
        <w:spacing w:after="0" w:line="276" w:lineRule="auto"/>
        <w:ind w:left="709" w:hanging="709"/>
        <w:jc w:val="both"/>
        <w:rPr>
          <w:rFonts w:cstheme="minorHAnsi"/>
          <w:sz w:val="24"/>
          <w:szCs w:val="24"/>
        </w:rPr>
      </w:pPr>
      <w:r>
        <w:rPr>
          <w:rFonts w:cstheme="minorHAnsi"/>
          <w:sz w:val="24"/>
          <w:szCs w:val="24"/>
        </w:rPr>
        <w:t>The FOI Act requires the Commissioner to appoint a person as the Commission’s Information Officer for the FOI Act.  The functions of the Information Officer are:</w:t>
      </w:r>
    </w:p>
    <w:p w14:paraId="2DDAAD52" w14:textId="77777777" w:rsidR="00542923" w:rsidRPr="006B6066" w:rsidRDefault="00542923" w:rsidP="005550DD">
      <w:pPr>
        <w:spacing w:before="0" w:after="0" w:line="276" w:lineRule="auto"/>
        <w:ind w:left="709"/>
        <w:jc w:val="both"/>
        <w:rPr>
          <w:rFonts w:cstheme="minorHAnsi"/>
          <w:sz w:val="24"/>
          <w:szCs w:val="24"/>
        </w:rPr>
      </w:pPr>
    </w:p>
    <w:p w14:paraId="3937E4F4" w14:textId="77777777" w:rsidR="00542923" w:rsidRPr="006B6066" w:rsidRDefault="00542923" w:rsidP="00E8252D">
      <w:pPr>
        <w:pStyle w:val="ListParagraph"/>
        <w:numPr>
          <w:ilvl w:val="0"/>
          <w:numId w:val="25"/>
        </w:numPr>
        <w:jc w:val="both"/>
        <w:rPr>
          <w:rFonts w:cstheme="minorHAnsi"/>
          <w:sz w:val="24"/>
          <w:szCs w:val="24"/>
        </w:rPr>
      </w:pPr>
      <w:r w:rsidRPr="006B6066">
        <w:rPr>
          <w:rFonts w:cstheme="minorHAnsi"/>
          <w:sz w:val="24"/>
          <w:szCs w:val="24"/>
        </w:rPr>
        <w:t>to deal with access applications made to the agency</w:t>
      </w:r>
      <w:r>
        <w:rPr>
          <w:rFonts w:cstheme="minorHAnsi"/>
          <w:sz w:val="24"/>
          <w:szCs w:val="24"/>
        </w:rPr>
        <w:t xml:space="preserve"> under Part 5</w:t>
      </w:r>
      <w:r w:rsidRPr="006B6066">
        <w:rPr>
          <w:rFonts w:cstheme="minorHAnsi"/>
          <w:sz w:val="24"/>
          <w:szCs w:val="24"/>
        </w:rPr>
        <w:t>;</w:t>
      </w:r>
    </w:p>
    <w:p w14:paraId="30572707" w14:textId="77777777" w:rsidR="00542923" w:rsidRPr="006B6066" w:rsidRDefault="00542923" w:rsidP="00E8252D">
      <w:pPr>
        <w:pStyle w:val="ListParagraph"/>
        <w:numPr>
          <w:ilvl w:val="0"/>
          <w:numId w:val="25"/>
        </w:numPr>
        <w:jc w:val="both"/>
        <w:rPr>
          <w:rFonts w:cstheme="minorHAnsi"/>
          <w:sz w:val="24"/>
          <w:szCs w:val="24"/>
        </w:rPr>
      </w:pPr>
      <w:r w:rsidRPr="006B6066">
        <w:rPr>
          <w:rFonts w:cstheme="minorHAnsi"/>
          <w:sz w:val="24"/>
          <w:szCs w:val="24"/>
        </w:rPr>
        <w:t>at the request of the principal officer of another agency – to deal with access applications made to the other agency;</w:t>
      </w:r>
    </w:p>
    <w:p w14:paraId="1A810ED6" w14:textId="77777777" w:rsidR="00542923" w:rsidRPr="006B6066" w:rsidRDefault="00542923" w:rsidP="00E8252D">
      <w:pPr>
        <w:pStyle w:val="ListParagraph"/>
        <w:numPr>
          <w:ilvl w:val="0"/>
          <w:numId w:val="25"/>
        </w:numPr>
        <w:jc w:val="both"/>
        <w:rPr>
          <w:rFonts w:cstheme="minorHAnsi"/>
          <w:sz w:val="24"/>
          <w:szCs w:val="24"/>
        </w:rPr>
      </w:pPr>
      <w:r w:rsidRPr="006B6066">
        <w:rPr>
          <w:rFonts w:cstheme="minorHAnsi"/>
          <w:sz w:val="24"/>
          <w:szCs w:val="24"/>
        </w:rPr>
        <w:t>to deal with requests made of the agency under part 6;</w:t>
      </w:r>
    </w:p>
    <w:p w14:paraId="6422F2AB" w14:textId="77777777" w:rsidR="00542923" w:rsidRPr="006B6066" w:rsidRDefault="00542923" w:rsidP="00E8252D">
      <w:pPr>
        <w:pStyle w:val="ListParagraph"/>
        <w:numPr>
          <w:ilvl w:val="0"/>
          <w:numId w:val="25"/>
        </w:numPr>
        <w:jc w:val="both"/>
        <w:rPr>
          <w:rFonts w:cstheme="minorHAnsi"/>
          <w:sz w:val="24"/>
          <w:szCs w:val="24"/>
        </w:rPr>
      </w:pPr>
      <w:r w:rsidRPr="006B6066">
        <w:rPr>
          <w:rFonts w:cstheme="minorHAnsi"/>
          <w:sz w:val="24"/>
          <w:szCs w:val="24"/>
        </w:rPr>
        <w:t>to ensure that the agency meets its obligation to publish open access information;</w:t>
      </w:r>
    </w:p>
    <w:p w14:paraId="2BC47C8A" w14:textId="77777777" w:rsidR="00542923" w:rsidRPr="006B6066" w:rsidRDefault="00542923" w:rsidP="00E8252D">
      <w:pPr>
        <w:pStyle w:val="ListParagraph"/>
        <w:numPr>
          <w:ilvl w:val="0"/>
          <w:numId w:val="25"/>
        </w:numPr>
        <w:jc w:val="both"/>
        <w:rPr>
          <w:rFonts w:cstheme="minorHAnsi"/>
          <w:sz w:val="24"/>
          <w:szCs w:val="24"/>
        </w:rPr>
      </w:pPr>
      <w:r w:rsidRPr="006B6066">
        <w:rPr>
          <w:rFonts w:cstheme="minorHAnsi"/>
          <w:sz w:val="24"/>
          <w:szCs w:val="24"/>
        </w:rPr>
        <w:t>to consider the appropriateness of the agency’s publication undertakings;</w:t>
      </w:r>
    </w:p>
    <w:p w14:paraId="2BEA7B9F" w14:textId="77777777" w:rsidR="00542923" w:rsidRPr="006B6066" w:rsidRDefault="00542923" w:rsidP="00D3339D">
      <w:pPr>
        <w:pStyle w:val="ListParagraph"/>
        <w:numPr>
          <w:ilvl w:val="0"/>
          <w:numId w:val="25"/>
        </w:numPr>
        <w:spacing w:after="0"/>
        <w:ind w:left="1434" w:hanging="357"/>
        <w:jc w:val="both"/>
        <w:rPr>
          <w:rFonts w:cstheme="minorHAnsi"/>
          <w:sz w:val="24"/>
          <w:szCs w:val="24"/>
        </w:rPr>
      </w:pPr>
      <w:r w:rsidRPr="006B6066">
        <w:rPr>
          <w:rFonts w:cstheme="minorHAnsi"/>
          <w:sz w:val="24"/>
          <w:szCs w:val="24"/>
        </w:rPr>
        <w:t>to proactively consider whether and how public access information may be given to other government information held by the agency.</w:t>
      </w:r>
    </w:p>
    <w:p w14:paraId="5D955329" w14:textId="77777777" w:rsidR="00542923" w:rsidRPr="006B6066" w:rsidRDefault="00542923" w:rsidP="005550DD">
      <w:pPr>
        <w:spacing w:before="0" w:after="0" w:line="276" w:lineRule="auto"/>
        <w:ind w:left="709"/>
        <w:jc w:val="both"/>
        <w:rPr>
          <w:rFonts w:cstheme="minorHAnsi"/>
          <w:sz w:val="24"/>
          <w:szCs w:val="24"/>
        </w:rPr>
      </w:pPr>
    </w:p>
    <w:p w14:paraId="44A421EA" w14:textId="77777777" w:rsidR="00542923" w:rsidRPr="006B6066" w:rsidRDefault="00542923" w:rsidP="00D3339D">
      <w:pPr>
        <w:pStyle w:val="ListParagraph"/>
        <w:numPr>
          <w:ilvl w:val="1"/>
          <w:numId w:val="28"/>
        </w:numPr>
        <w:spacing w:after="0" w:line="276" w:lineRule="auto"/>
        <w:ind w:left="709" w:hanging="709"/>
        <w:jc w:val="both"/>
        <w:rPr>
          <w:rFonts w:cstheme="minorHAnsi"/>
          <w:sz w:val="24"/>
          <w:szCs w:val="24"/>
        </w:rPr>
      </w:pPr>
      <w:r>
        <w:rPr>
          <w:rFonts w:cstheme="minorHAnsi"/>
          <w:sz w:val="24"/>
          <w:szCs w:val="24"/>
        </w:rPr>
        <w:t>The</w:t>
      </w:r>
      <w:r w:rsidRPr="006B6066">
        <w:rPr>
          <w:rFonts w:cstheme="minorHAnsi"/>
          <w:sz w:val="24"/>
          <w:szCs w:val="24"/>
        </w:rPr>
        <w:t xml:space="preserve"> FOI Act </w:t>
      </w:r>
      <w:r>
        <w:rPr>
          <w:rFonts w:cstheme="minorHAnsi"/>
          <w:sz w:val="24"/>
          <w:szCs w:val="24"/>
        </w:rPr>
        <w:t>requires the Information Officer to deal with</w:t>
      </w:r>
      <w:r w:rsidRPr="006B6066">
        <w:rPr>
          <w:rFonts w:cstheme="minorHAnsi"/>
          <w:sz w:val="24"/>
          <w:szCs w:val="24"/>
        </w:rPr>
        <w:t xml:space="preserve"> access applications made to </w:t>
      </w:r>
      <w:r>
        <w:rPr>
          <w:rFonts w:cstheme="minorHAnsi"/>
          <w:sz w:val="24"/>
          <w:szCs w:val="24"/>
        </w:rPr>
        <w:t>the Commission</w:t>
      </w:r>
      <w:r w:rsidRPr="006B6066">
        <w:rPr>
          <w:rFonts w:cstheme="minorHAnsi"/>
          <w:sz w:val="24"/>
          <w:szCs w:val="24"/>
        </w:rPr>
        <w:t>.</w:t>
      </w:r>
      <w:r>
        <w:rPr>
          <w:rStyle w:val="FootnoteReference"/>
          <w:rFonts w:cstheme="minorHAnsi"/>
          <w:sz w:val="24"/>
          <w:szCs w:val="24"/>
        </w:rPr>
        <w:footnoteReference w:id="36"/>
      </w:r>
      <w:r w:rsidRPr="006B6066">
        <w:rPr>
          <w:rFonts w:cstheme="minorHAnsi"/>
          <w:sz w:val="24"/>
          <w:szCs w:val="24"/>
        </w:rPr>
        <w:t xml:space="preserve"> The Commission must also keep a record of access applications, called a ‘disclosure log.’  The disclosure log must include the following information:</w:t>
      </w:r>
    </w:p>
    <w:p w14:paraId="67B5D590" w14:textId="77777777" w:rsidR="00542923" w:rsidRDefault="00542923" w:rsidP="005550DD">
      <w:pPr>
        <w:spacing w:before="0" w:after="0" w:line="276" w:lineRule="auto"/>
        <w:ind w:left="709"/>
        <w:jc w:val="both"/>
        <w:rPr>
          <w:rFonts w:cstheme="minorHAnsi"/>
          <w:sz w:val="24"/>
          <w:szCs w:val="24"/>
        </w:rPr>
      </w:pPr>
    </w:p>
    <w:p w14:paraId="45CEE10F"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the access application;</w:t>
      </w:r>
    </w:p>
    <w:p w14:paraId="2C9CDDEF"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the decision notice or notices given under section 51;</w:t>
      </w:r>
    </w:p>
    <w:p w14:paraId="18FAD95E"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if government information was given to the applicant in response to the application – the information;</w:t>
      </w:r>
    </w:p>
    <w:p w14:paraId="6A719FD2"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lastRenderedPageBreak/>
        <w:t>a statement of the amount of any fees paid or waived in relation to the application and the amount of time spent dealing with the application;</w:t>
      </w:r>
    </w:p>
    <w:p w14:paraId="240D2FBB"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The details of any decision made by the ombudsman in relation to the application;</w:t>
      </w:r>
    </w:p>
    <w:p w14:paraId="28ECD6C0"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Any additional information the ombudsman decides to disclose when making a decision mentioned above;</w:t>
      </w:r>
    </w:p>
    <w:p w14:paraId="20F757F9" w14:textId="77777777" w:rsidR="00542923" w:rsidRPr="006B6066" w:rsidRDefault="00542923" w:rsidP="00E8252D">
      <w:pPr>
        <w:pStyle w:val="ListParagraph"/>
        <w:numPr>
          <w:ilvl w:val="0"/>
          <w:numId w:val="29"/>
        </w:numPr>
        <w:jc w:val="both"/>
        <w:rPr>
          <w:rFonts w:cstheme="minorHAnsi"/>
          <w:sz w:val="24"/>
          <w:szCs w:val="24"/>
        </w:rPr>
      </w:pPr>
      <w:r w:rsidRPr="006B6066">
        <w:rPr>
          <w:rFonts w:cstheme="minorHAnsi"/>
          <w:sz w:val="24"/>
          <w:szCs w:val="24"/>
        </w:rPr>
        <w:t>Details of any decision made by the ACAT in relation to the application;</w:t>
      </w:r>
    </w:p>
    <w:p w14:paraId="4BF6A53A" w14:textId="77777777" w:rsidR="00542923" w:rsidRDefault="00542923" w:rsidP="005550DD">
      <w:pPr>
        <w:pStyle w:val="ListParagraph"/>
        <w:numPr>
          <w:ilvl w:val="0"/>
          <w:numId w:val="29"/>
        </w:numPr>
        <w:spacing w:after="0"/>
        <w:ind w:hanging="357"/>
        <w:jc w:val="both"/>
        <w:rPr>
          <w:rFonts w:cstheme="minorHAnsi"/>
          <w:sz w:val="24"/>
          <w:szCs w:val="24"/>
        </w:rPr>
      </w:pPr>
      <w:r w:rsidRPr="006B6066">
        <w:rPr>
          <w:rFonts w:cstheme="minorHAnsi"/>
          <w:sz w:val="24"/>
          <w:szCs w:val="24"/>
        </w:rPr>
        <w:t xml:space="preserve">Any additional information the ACAT decides to disclose when making a decision mentioned above. </w:t>
      </w:r>
    </w:p>
    <w:p w14:paraId="502D7DA2" w14:textId="77777777" w:rsidR="00542923" w:rsidRDefault="00542923" w:rsidP="005550DD">
      <w:pPr>
        <w:spacing w:before="0" w:after="0" w:line="276" w:lineRule="auto"/>
        <w:ind w:left="709"/>
        <w:jc w:val="both"/>
        <w:rPr>
          <w:rFonts w:cstheme="minorHAnsi"/>
          <w:sz w:val="24"/>
          <w:szCs w:val="24"/>
        </w:rPr>
      </w:pPr>
    </w:p>
    <w:p w14:paraId="7C398857" w14:textId="77777777" w:rsidR="00542923" w:rsidRDefault="00542923" w:rsidP="00E8252D">
      <w:pPr>
        <w:pStyle w:val="ListParagraph"/>
        <w:numPr>
          <w:ilvl w:val="1"/>
          <w:numId w:val="28"/>
        </w:numPr>
        <w:ind w:left="709" w:hanging="709"/>
        <w:jc w:val="both"/>
        <w:rPr>
          <w:rFonts w:cstheme="minorHAnsi"/>
          <w:sz w:val="24"/>
          <w:szCs w:val="24"/>
        </w:rPr>
      </w:pPr>
      <w:r w:rsidRPr="00ED3E9A">
        <w:rPr>
          <w:rFonts w:cstheme="minorHAnsi"/>
          <w:sz w:val="24"/>
          <w:szCs w:val="24"/>
        </w:rPr>
        <w:t>The Commission is not required to make information publicly available if the information is considered ‘contrary to the public interest information.’ ‘</w:t>
      </w:r>
      <w:r>
        <w:rPr>
          <w:rFonts w:cstheme="minorHAnsi"/>
          <w:sz w:val="24"/>
          <w:szCs w:val="24"/>
        </w:rPr>
        <w:t>C</w:t>
      </w:r>
      <w:r w:rsidRPr="00ED3E9A">
        <w:rPr>
          <w:rFonts w:cstheme="minorHAnsi"/>
          <w:sz w:val="24"/>
          <w:szCs w:val="24"/>
        </w:rPr>
        <w:t xml:space="preserve">ontrary to the public interest information’ means information that is taken to be contrary to the public interest to disclose under Schedule 1 or the disclosure of which, on balance, </w:t>
      </w:r>
      <w:r>
        <w:rPr>
          <w:rFonts w:cstheme="minorHAnsi"/>
          <w:sz w:val="24"/>
          <w:szCs w:val="24"/>
        </w:rPr>
        <w:t xml:space="preserve">would </w:t>
      </w:r>
      <w:r w:rsidRPr="00ED3E9A">
        <w:rPr>
          <w:rFonts w:cstheme="minorHAnsi"/>
          <w:sz w:val="24"/>
          <w:szCs w:val="24"/>
        </w:rPr>
        <w:t>be contrary to the public interest under the test set out in section 17.</w:t>
      </w:r>
      <w:r>
        <w:rPr>
          <w:rStyle w:val="FootnoteReference"/>
          <w:rFonts w:cstheme="minorHAnsi"/>
          <w:sz w:val="24"/>
          <w:szCs w:val="24"/>
        </w:rPr>
        <w:footnoteReference w:id="37"/>
      </w:r>
      <w:r w:rsidRPr="00ED3E9A">
        <w:rPr>
          <w:rFonts w:cstheme="minorHAnsi"/>
          <w:sz w:val="24"/>
          <w:szCs w:val="24"/>
        </w:rPr>
        <w:t xml:space="preserve">  </w:t>
      </w:r>
    </w:p>
    <w:p w14:paraId="46305F4D" w14:textId="77777777" w:rsidR="00542923" w:rsidRDefault="00542923" w:rsidP="005550DD">
      <w:pPr>
        <w:spacing w:before="0" w:after="0" w:line="276" w:lineRule="auto"/>
        <w:ind w:left="709"/>
        <w:jc w:val="both"/>
        <w:rPr>
          <w:rFonts w:cstheme="minorHAnsi"/>
          <w:sz w:val="24"/>
          <w:szCs w:val="24"/>
        </w:rPr>
      </w:pPr>
    </w:p>
    <w:p w14:paraId="48C4E3D0" w14:textId="77777777" w:rsidR="00542923" w:rsidRDefault="00542923" w:rsidP="00E8252D">
      <w:pPr>
        <w:pStyle w:val="ListParagraph"/>
        <w:numPr>
          <w:ilvl w:val="1"/>
          <w:numId w:val="28"/>
        </w:numPr>
        <w:ind w:left="709" w:hanging="709"/>
        <w:jc w:val="both"/>
        <w:rPr>
          <w:rFonts w:cstheme="minorHAnsi"/>
          <w:sz w:val="24"/>
          <w:szCs w:val="24"/>
        </w:rPr>
      </w:pPr>
      <w:r>
        <w:rPr>
          <w:rFonts w:cstheme="minorHAnsi"/>
          <w:sz w:val="24"/>
          <w:szCs w:val="24"/>
        </w:rPr>
        <w:t>Schedule 1 to the FOI Act states that contrary to the public interest information includes “information in the possession of the Integrity Commission, or the Integrity Commission Inspector, unless the information is administrative in nature.”</w:t>
      </w:r>
      <w:r>
        <w:rPr>
          <w:rStyle w:val="FootnoteReference"/>
          <w:rFonts w:cstheme="minorHAnsi"/>
          <w:sz w:val="24"/>
          <w:szCs w:val="24"/>
        </w:rPr>
        <w:footnoteReference w:id="38"/>
      </w:r>
      <w:r>
        <w:rPr>
          <w:rFonts w:cstheme="minorHAnsi"/>
          <w:sz w:val="24"/>
          <w:szCs w:val="24"/>
        </w:rPr>
        <w:t xml:space="preserve">  The Commission is therefore not required to provide information to the public in response to an access application unless the information relates to the administration of the Commission.  Even then, there may be a basis for refusing access under the public interest test contained in s 17 of the FOI Act.  </w:t>
      </w:r>
    </w:p>
    <w:p w14:paraId="0FDBB58E" w14:textId="77777777" w:rsidR="00542923" w:rsidRDefault="00542923" w:rsidP="00542923">
      <w:pPr>
        <w:jc w:val="both"/>
        <w:rPr>
          <w:rFonts w:cstheme="minorHAnsi"/>
          <w:sz w:val="24"/>
          <w:szCs w:val="24"/>
        </w:rPr>
      </w:pPr>
      <w:r>
        <w:rPr>
          <w:rFonts w:cstheme="minorHAnsi"/>
          <w:sz w:val="24"/>
          <w:szCs w:val="24"/>
        </w:rPr>
        <w:br w:type="page"/>
      </w:r>
    </w:p>
    <w:p w14:paraId="7AD0C7BF" w14:textId="75819044" w:rsidR="00542923" w:rsidRDefault="00542923" w:rsidP="00D3339D">
      <w:pPr>
        <w:pStyle w:val="Heading2Numbered"/>
        <w:ind w:left="567" w:hanging="567"/>
        <w:rPr>
          <w:w w:val="105"/>
        </w:rPr>
      </w:pPr>
      <w:bookmarkStart w:id="13" w:name="_Toc107316408"/>
      <w:r>
        <w:rPr>
          <w:w w:val="105"/>
        </w:rPr>
        <w:lastRenderedPageBreak/>
        <w:t>Commonwealth legislation</w:t>
      </w:r>
      <w:bookmarkEnd w:id="13"/>
    </w:p>
    <w:p w14:paraId="12E4074A" w14:textId="77777777" w:rsidR="00542923" w:rsidRDefault="00542923" w:rsidP="00542923">
      <w:pPr>
        <w:spacing w:line="276" w:lineRule="auto"/>
        <w:ind w:left="720" w:hanging="720"/>
        <w:jc w:val="both"/>
        <w:rPr>
          <w:rFonts w:cstheme="minorHAnsi"/>
          <w:sz w:val="24"/>
          <w:szCs w:val="24"/>
        </w:rPr>
      </w:pPr>
      <w:r>
        <w:rPr>
          <w:rFonts w:cstheme="minorHAnsi"/>
          <w:sz w:val="24"/>
          <w:szCs w:val="24"/>
        </w:rPr>
        <w:t>5.1</w:t>
      </w:r>
      <w:r>
        <w:rPr>
          <w:rFonts w:cstheme="minorHAnsi"/>
          <w:sz w:val="24"/>
          <w:szCs w:val="24"/>
        </w:rPr>
        <w:tab/>
      </w:r>
      <w:r w:rsidRPr="0046695A">
        <w:rPr>
          <w:rFonts w:cstheme="minorHAnsi"/>
          <w:sz w:val="24"/>
          <w:szCs w:val="24"/>
        </w:rPr>
        <w:t xml:space="preserve">The Commission intends to apply to the Minister for Home Affairs for recognition under the </w:t>
      </w:r>
      <w:r w:rsidRPr="0046695A">
        <w:rPr>
          <w:rFonts w:cstheme="minorHAnsi"/>
          <w:i/>
          <w:iCs/>
          <w:sz w:val="24"/>
          <w:szCs w:val="24"/>
        </w:rPr>
        <w:t>Telecommunications (Interception and Access) Act 1979</w:t>
      </w:r>
      <w:r w:rsidRPr="0046695A">
        <w:rPr>
          <w:rFonts w:cstheme="minorHAnsi"/>
          <w:sz w:val="24"/>
          <w:szCs w:val="24"/>
        </w:rPr>
        <w:t xml:space="preserve"> (Cth) (</w:t>
      </w:r>
      <w:r>
        <w:rPr>
          <w:rFonts w:cstheme="minorHAnsi"/>
          <w:sz w:val="24"/>
          <w:szCs w:val="24"/>
        </w:rPr>
        <w:t>‘</w:t>
      </w:r>
      <w:r w:rsidRPr="0046695A">
        <w:rPr>
          <w:rFonts w:cstheme="minorHAnsi"/>
          <w:b/>
          <w:bCs/>
          <w:sz w:val="24"/>
          <w:szCs w:val="24"/>
        </w:rPr>
        <w:t>TIA Act</w:t>
      </w:r>
      <w:r>
        <w:rPr>
          <w:rFonts w:cstheme="minorHAnsi"/>
          <w:b/>
          <w:bCs/>
          <w:sz w:val="24"/>
          <w:szCs w:val="24"/>
        </w:rPr>
        <w:t>’</w:t>
      </w:r>
      <w:r w:rsidRPr="0046695A">
        <w:rPr>
          <w:rFonts w:cstheme="minorHAnsi"/>
          <w:sz w:val="24"/>
          <w:szCs w:val="24"/>
        </w:rPr>
        <w:t>).  Such recognition would enable the Commission to apply for warrants to intercept telecommunications, access stored communications and access telecommunications data, providing the Commission with a critical investigatory tool.</w:t>
      </w:r>
    </w:p>
    <w:p w14:paraId="50F8591B" w14:textId="77777777" w:rsidR="00542923" w:rsidRDefault="00542923" w:rsidP="00542923">
      <w:pPr>
        <w:spacing w:line="276" w:lineRule="auto"/>
        <w:ind w:left="720" w:hanging="720"/>
        <w:jc w:val="both"/>
        <w:rPr>
          <w:rFonts w:cstheme="minorHAnsi"/>
          <w:sz w:val="24"/>
          <w:szCs w:val="24"/>
        </w:rPr>
      </w:pPr>
      <w:r>
        <w:rPr>
          <w:rFonts w:cstheme="minorHAnsi"/>
          <w:sz w:val="24"/>
          <w:szCs w:val="24"/>
        </w:rPr>
        <w:t>5.2</w:t>
      </w:r>
      <w:r>
        <w:rPr>
          <w:rFonts w:cstheme="minorHAnsi"/>
          <w:sz w:val="24"/>
          <w:szCs w:val="24"/>
        </w:rPr>
        <w:tab/>
      </w:r>
      <w:r w:rsidRPr="0046695A">
        <w:rPr>
          <w:rFonts w:cstheme="minorHAnsi"/>
          <w:sz w:val="24"/>
          <w:szCs w:val="24"/>
        </w:rPr>
        <w:t xml:space="preserve">Recognition under the TIA Act requires the Commission to comply with the storage, maintenance, destruction and disclosure obligations specified in the TIA Act.  </w:t>
      </w:r>
      <w:r>
        <w:rPr>
          <w:rFonts w:cstheme="minorHAnsi"/>
          <w:sz w:val="24"/>
          <w:szCs w:val="24"/>
        </w:rPr>
        <w:t xml:space="preserve">The Commission is to introduce policies and procedures to ensure the TIA Act requirements are met.  </w:t>
      </w:r>
    </w:p>
    <w:p w14:paraId="627F35A0" w14:textId="7B0A3FD8" w:rsidR="00542923" w:rsidRDefault="00542923" w:rsidP="00542923">
      <w:pPr>
        <w:spacing w:line="276" w:lineRule="auto"/>
        <w:ind w:left="720" w:hanging="720"/>
        <w:jc w:val="both"/>
        <w:rPr>
          <w:rFonts w:cstheme="minorHAnsi"/>
          <w:sz w:val="24"/>
          <w:szCs w:val="24"/>
        </w:rPr>
      </w:pPr>
      <w:r>
        <w:rPr>
          <w:rFonts w:cstheme="minorHAnsi"/>
          <w:sz w:val="24"/>
          <w:szCs w:val="24"/>
        </w:rPr>
        <w:t>5.3</w:t>
      </w:r>
      <w:r>
        <w:rPr>
          <w:rFonts w:cstheme="minorHAnsi"/>
          <w:sz w:val="24"/>
          <w:szCs w:val="24"/>
        </w:rPr>
        <w:tab/>
      </w:r>
      <w:r w:rsidRPr="0046695A">
        <w:rPr>
          <w:rFonts w:cstheme="minorHAnsi"/>
          <w:sz w:val="24"/>
          <w:szCs w:val="24"/>
        </w:rPr>
        <w:t>There are also reporting obligations imposed upon the Commission that require the disclosure of information obtained by the Commission pursuant to a warrant issued under the Act.</w:t>
      </w:r>
    </w:p>
    <w:sectPr w:rsidR="00542923" w:rsidSect="006F1181">
      <w:headerReference w:type="first" r:id="rId14"/>
      <w:footerReference w:type="first" r:id="rId15"/>
      <w:pgSz w:w="11906" w:h="16838" w:code="9"/>
      <w:pgMar w:top="1134" w:right="1134" w:bottom="1134" w:left="1134" w:header="454" w:footer="454" w:gutter="0"/>
      <w:cols w:space="45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7BEA" w14:textId="77777777" w:rsidR="00E52B17" w:rsidRDefault="00E52B17" w:rsidP="008E21DE">
      <w:pPr>
        <w:spacing w:before="0" w:after="0"/>
      </w:pPr>
      <w:r>
        <w:separator/>
      </w:r>
    </w:p>
    <w:p w14:paraId="3368B858" w14:textId="77777777" w:rsidR="00E52B17" w:rsidRDefault="00E52B17"/>
  </w:endnote>
  <w:endnote w:type="continuationSeparator" w:id="0">
    <w:p w14:paraId="4469A67E" w14:textId="77777777" w:rsidR="00E52B17" w:rsidRDefault="00E52B17" w:rsidP="008E21DE">
      <w:pPr>
        <w:spacing w:before="0" w:after="0"/>
      </w:pPr>
      <w:r>
        <w:continuationSeparator/>
      </w:r>
    </w:p>
    <w:p w14:paraId="24251B26" w14:textId="77777777" w:rsidR="00E52B17" w:rsidRDefault="00E5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8F62" w14:textId="77777777" w:rsidR="00EF71B1" w:rsidRDefault="00EF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0F9" w14:textId="0E706E1D" w:rsidR="00781AE4" w:rsidRDefault="00781AE4" w:rsidP="00837CE3">
    <w:pPr>
      <w:pStyle w:val="Footer"/>
      <w:rPr>
        <w:b/>
        <w:bCs/>
        <w:noProof/>
      </w:rPr>
    </w:pPr>
    <w:r>
      <w:tab/>
    </w:r>
    <w:r>
      <w:tab/>
    </w:r>
    <w:r w:rsidRPr="001C07D9">
      <w:rPr>
        <w:b/>
        <w:bCs/>
      </w:rPr>
      <w:fldChar w:fldCharType="begin"/>
    </w:r>
    <w:r w:rsidRPr="001C07D9">
      <w:rPr>
        <w:b/>
        <w:bCs/>
      </w:rPr>
      <w:instrText xml:space="preserve"> PAGE   \* MERGEFORMAT </w:instrText>
    </w:r>
    <w:r w:rsidRPr="001C07D9">
      <w:rPr>
        <w:b/>
        <w:bCs/>
      </w:rPr>
      <w:fldChar w:fldCharType="separate"/>
    </w:r>
    <w:r>
      <w:rPr>
        <w:b/>
        <w:bCs/>
      </w:rPr>
      <w:t>1</w:t>
    </w:r>
    <w:r w:rsidRPr="001C07D9">
      <w:rPr>
        <w:b/>
        <w:bCs/>
        <w:noProof/>
      </w:rPr>
      <w:fldChar w:fldCharType="end"/>
    </w:r>
  </w:p>
  <w:p w14:paraId="63CF787E" w14:textId="553A618C" w:rsidR="00564BD4" w:rsidRPr="00EF71B1" w:rsidRDefault="00EF71B1" w:rsidP="00EF71B1">
    <w:pPr>
      <w:pStyle w:val="Footer"/>
      <w:spacing w:before="120"/>
      <w:jc w:val="center"/>
      <w:rPr>
        <w:rFonts w:ascii="Arial" w:hAnsi="Arial" w:cs="Arial"/>
        <w:sz w:val="14"/>
      </w:rPr>
    </w:pPr>
    <w:r w:rsidRPr="00EF71B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31A9" w14:textId="33F83C9F" w:rsidR="00F57815" w:rsidRPr="00EF71B1" w:rsidRDefault="00EF71B1" w:rsidP="00EF71B1">
    <w:pPr>
      <w:pStyle w:val="Footer"/>
      <w:jc w:val="center"/>
      <w:rPr>
        <w:rFonts w:ascii="Arial" w:hAnsi="Arial" w:cs="Arial"/>
        <w:sz w:val="14"/>
      </w:rPr>
    </w:pPr>
    <w:r w:rsidRPr="00EF71B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5D5A" w14:textId="3E99AC4F" w:rsidR="00542923" w:rsidRDefault="00542923" w:rsidP="00542923">
    <w:pPr>
      <w:pStyle w:val="Footer"/>
      <w:spacing w:before="400"/>
      <w:rPr>
        <w:b/>
        <w:bCs/>
        <w:noProof/>
      </w:rPr>
    </w:pPr>
    <w:r>
      <w:tab/>
    </w:r>
    <w:r>
      <w:tab/>
    </w:r>
    <w:r w:rsidRPr="001C07D9">
      <w:rPr>
        <w:b/>
        <w:bCs/>
      </w:rPr>
      <w:fldChar w:fldCharType="begin"/>
    </w:r>
    <w:r w:rsidRPr="001C07D9">
      <w:rPr>
        <w:b/>
        <w:bCs/>
      </w:rPr>
      <w:instrText xml:space="preserve"> PAGE   \* MERGEFORMAT </w:instrText>
    </w:r>
    <w:r w:rsidRPr="001C07D9">
      <w:rPr>
        <w:b/>
        <w:bCs/>
      </w:rPr>
      <w:fldChar w:fldCharType="separate"/>
    </w:r>
    <w:r>
      <w:rPr>
        <w:b/>
        <w:bCs/>
      </w:rPr>
      <w:t>3</w:t>
    </w:r>
    <w:r w:rsidRPr="001C07D9">
      <w:rPr>
        <w:b/>
        <w:bCs/>
        <w:noProof/>
      </w:rPr>
      <w:fldChar w:fldCharType="end"/>
    </w:r>
  </w:p>
  <w:p w14:paraId="287427BF" w14:textId="3BBD2422" w:rsidR="00564BD4" w:rsidRPr="00EF71B1" w:rsidRDefault="00EF71B1" w:rsidP="00EF71B1">
    <w:pPr>
      <w:pStyle w:val="Footer"/>
      <w:spacing w:before="400"/>
      <w:jc w:val="center"/>
      <w:rPr>
        <w:rFonts w:ascii="Arial" w:hAnsi="Arial" w:cs="Arial"/>
        <w:sz w:val="14"/>
      </w:rPr>
    </w:pPr>
    <w:r w:rsidRPr="00EF71B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1802" w14:textId="77777777" w:rsidR="00E52B17" w:rsidRPr="00CF441D" w:rsidRDefault="00E52B17" w:rsidP="008E21DE">
      <w:pPr>
        <w:spacing w:before="0" w:after="0"/>
        <w:rPr>
          <w:color w:val="008285" w:themeColor="accent1"/>
          <w:lang w:val="en-US"/>
        </w:rPr>
      </w:pPr>
      <w:r w:rsidRPr="00CF441D">
        <w:rPr>
          <w:color w:val="008285" w:themeColor="accent1"/>
          <w:lang w:val="en-US"/>
        </w:rPr>
        <w:t>____</w:t>
      </w:r>
    </w:p>
  </w:footnote>
  <w:footnote w:type="continuationSeparator" w:id="0">
    <w:p w14:paraId="05D82E45" w14:textId="77777777" w:rsidR="00E52B17" w:rsidRDefault="00E52B17" w:rsidP="008E21DE">
      <w:pPr>
        <w:spacing w:before="0" w:after="0"/>
      </w:pPr>
      <w:r>
        <w:continuationSeparator/>
      </w:r>
    </w:p>
    <w:p w14:paraId="5173C14A" w14:textId="77777777" w:rsidR="00E52B17" w:rsidRDefault="00E52B17"/>
  </w:footnote>
  <w:footnote w:id="1">
    <w:p w14:paraId="0C47A5F5" w14:textId="77777777" w:rsidR="00542923" w:rsidRDefault="00542923" w:rsidP="00542923">
      <w:pPr>
        <w:pStyle w:val="FootnoteText"/>
        <w:jc w:val="both"/>
      </w:pPr>
      <w:r>
        <w:rPr>
          <w:rStyle w:val="FootnoteReference"/>
        </w:rPr>
        <w:footnoteRef/>
      </w:r>
      <w:r>
        <w:t xml:space="preserve"> Explanatory Statement, Integrity Commission Bill 2018, p 3</w:t>
      </w:r>
    </w:p>
  </w:footnote>
  <w:footnote w:id="2">
    <w:p w14:paraId="33B6581C" w14:textId="77777777" w:rsidR="00542923" w:rsidRPr="00693CDD" w:rsidRDefault="00542923" w:rsidP="00542923">
      <w:pPr>
        <w:pStyle w:val="FootnoteText"/>
        <w:jc w:val="both"/>
      </w:pPr>
      <w:r>
        <w:rPr>
          <w:rStyle w:val="FootnoteReference"/>
        </w:rPr>
        <w:footnoteRef/>
      </w:r>
      <w:r>
        <w:t xml:space="preserve"> s 23(1), </w:t>
      </w:r>
      <w:r w:rsidRPr="007A6FF7">
        <w:rPr>
          <w:i/>
          <w:iCs/>
        </w:rPr>
        <w:t>Integrity Commission Act 2018</w:t>
      </w:r>
      <w:r>
        <w:rPr>
          <w:i/>
          <w:iCs/>
        </w:rPr>
        <w:t xml:space="preserve">. </w:t>
      </w:r>
      <w:r>
        <w:t xml:space="preserve">All references to sections in these Guidelines are references to the </w:t>
      </w:r>
      <w:r w:rsidRPr="002701D1">
        <w:rPr>
          <w:i/>
          <w:iCs/>
        </w:rPr>
        <w:t>Integrity Commission Act 2018</w:t>
      </w:r>
      <w:r>
        <w:t>, unless otherwise specified.</w:t>
      </w:r>
    </w:p>
  </w:footnote>
  <w:footnote w:id="3">
    <w:p w14:paraId="755EF52C" w14:textId="77777777" w:rsidR="00542923" w:rsidRDefault="00542923" w:rsidP="00542923">
      <w:pPr>
        <w:pStyle w:val="FootnoteText"/>
      </w:pPr>
      <w:r>
        <w:rPr>
          <w:rStyle w:val="FootnoteReference"/>
        </w:rPr>
        <w:footnoteRef/>
      </w:r>
      <w:r>
        <w:t xml:space="preserve"> see s 299(1)</w:t>
      </w:r>
    </w:p>
  </w:footnote>
  <w:footnote w:id="4">
    <w:p w14:paraId="56F0925E" w14:textId="77777777" w:rsidR="00542923" w:rsidRDefault="00542923" w:rsidP="00542923">
      <w:pPr>
        <w:pStyle w:val="FootnoteText"/>
      </w:pPr>
      <w:r>
        <w:rPr>
          <w:rStyle w:val="FootnoteReference"/>
        </w:rPr>
        <w:footnoteRef/>
      </w:r>
      <w:r>
        <w:t xml:space="preserve"> s 299(2)</w:t>
      </w:r>
    </w:p>
  </w:footnote>
  <w:footnote w:id="5">
    <w:p w14:paraId="662C03E0" w14:textId="77777777" w:rsidR="00542923" w:rsidRDefault="00542923" w:rsidP="00542923">
      <w:pPr>
        <w:pStyle w:val="FootnoteText"/>
      </w:pPr>
      <w:r>
        <w:rPr>
          <w:rStyle w:val="FootnoteReference"/>
        </w:rPr>
        <w:footnoteRef/>
      </w:r>
      <w:r>
        <w:t xml:space="preserve"> The Australian Information Commissioner is a Commonwealth appointment and  is supported by the Office of the Australian Information Commissioner.</w:t>
      </w:r>
    </w:p>
  </w:footnote>
  <w:footnote w:id="6">
    <w:p w14:paraId="419D9F83" w14:textId="77777777" w:rsidR="00542923" w:rsidRDefault="00542923" w:rsidP="00542923">
      <w:pPr>
        <w:pStyle w:val="FootnoteText"/>
      </w:pPr>
      <w:r>
        <w:rPr>
          <w:rStyle w:val="FootnoteReference"/>
        </w:rPr>
        <w:footnoteRef/>
      </w:r>
      <w:r>
        <w:t xml:space="preserve"> </w:t>
      </w:r>
      <w:hyperlink r:id="rId1" w:history="1">
        <w:r w:rsidRPr="00014E75">
          <w:rPr>
            <w:rStyle w:val="Hyperlink"/>
          </w:rPr>
          <w:t>https://www.oaic.gov.au/privacy/privacy-in-your-state/privacy-in-the-act/</w:t>
        </w:r>
      </w:hyperlink>
    </w:p>
  </w:footnote>
  <w:footnote w:id="7">
    <w:p w14:paraId="56FD3716" w14:textId="77777777" w:rsidR="00542923" w:rsidRDefault="00542923" w:rsidP="00542923">
      <w:pPr>
        <w:pStyle w:val="FootnoteText"/>
        <w:jc w:val="both"/>
      </w:pPr>
      <w:r>
        <w:rPr>
          <w:rStyle w:val="FootnoteReference"/>
        </w:rPr>
        <w:footnoteRef/>
      </w:r>
      <w:r>
        <w:t xml:space="preserve"> A definition in the Dictionary of the </w:t>
      </w:r>
      <w:r w:rsidRPr="00D50245">
        <w:rPr>
          <w:i/>
          <w:iCs/>
        </w:rPr>
        <w:t>Legislation Act 2001</w:t>
      </w:r>
      <w:r>
        <w:t xml:space="preserve"> applies to all Acts and statutory instruments in the ACT:  s 144, </w:t>
      </w:r>
      <w:r w:rsidRPr="00D50245">
        <w:rPr>
          <w:i/>
          <w:iCs/>
        </w:rPr>
        <w:t>Legislation Act 2001</w:t>
      </w:r>
    </w:p>
  </w:footnote>
  <w:footnote w:id="8">
    <w:p w14:paraId="4B37204E" w14:textId="77777777" w:rsidR="00542923" w:rsidRDefault="00542923" w:rsidP="00542923">
      <w:pPr>
        <w:pStyle w:val="FootnoteText"/>
        <w:jc w:val="both"/>
      </w:pPr>
      <w:r>
        <w:rPr>
          <w:rStyle w:val="FootnoteReference"/>
        </w:rPr>
        <w:footnoteRef/>
      </w:r>
      <w:r>
        <w:t xml:space="preserve"> </w:t>
      </w:r>
      <w:r w:rsidRPr="00D50245">
        <w:rPr>
          <w:i/>
          <w:iCs/>
        </w:rPr>
        <w:t>Cody v J H Nelson Pty Ltd</w:t>
      </w:r>
      <w:r>
        <w:t xml:space="preserve"> [1947] HCA 17; (1947) 74 CLR 629 at 647 per Dixon J</w:t>
      </w:r>
    </w:p>
  </w:footnote>
  <w:footnote w:id="9">
    <w:p w14:paraId="1CDF3DF5" w14:textId="77777777" w:rsidR="00542923" w:rsidRDefault="00542923" w:rsidP="00542923">
      <w:pPr>
        <w:pStyle w:val="FootnoteText"/>
      </w:pPr>
      <w:r>
        <w:rPr>
          <w:rStyle w:val="FootnoteReference"/>
        </w:rPr>
        <w:footnoteRef/>
      </w:r>
      <w:r>
        <w:t xml:space="preserve"> </w:t>
      </w:r>
      <w:r w:rsidRPr="001954CB">
        <w:rPr>
          <w:i/>
          <w:iCs/>
        </w:rPr>
        <w:t>Macquarie Dictionary</w:t>
      </w:r>
      <w:r>
        <w:t>, (Macquarie Dictionary Publishers, 8</w:t>
      </w:r>
      <w:r w:rsidRPr="001954CB">
        <w:rPr>
          <w:vertAlign w:val="superscript"/>
        </w:rPr>
        <w:t>th</w:t>
      </w:r>
      <w:r>
        <w:t xml:space="preserve"> ed, 2020) </w:t>
      </w:r>
    </w:p>
  </w:footnote>
  <w:footnote w:id="10">
    <w:p w14:paraId="3B58AFE1" w14:textId="77777777" w:rsidR="00542923" w:rsidRDefault="00542923" w:rsidP="00542923">
      <w:pPr>
        <w:pStyle w:val="FootnoteText"/>
      </w:pPr>
      <w:r>
        <w:rPr>
          <w:rStyle w:val="FootnoteReference"/>
        </w:rPr>
        <w:footnoteRef/>
      </w:r>
      <w:r>
        <w:t xml:space="preserve"> pursuant to s 90(1)</w:t>
      </w:r>
    </w:p>
  </w:footnote>
  <w:footnote w:id="11">
    <w:p w14:paraId="54601657" w14:textId="77777777" w:rsidR="00542923" w:rsidRPr="002F3DAF" w:rsidRDefault="00542923" w:rsidP="00542923">
      <w:pPr>
        <w:pStyle w:val="FootnoteText"/>
      </w:pPr>
      <w:r w:rsidRPr="002F3DAF">
        <w:rPr>
          <w:rStyle w:val="FootnoteReference"/>
        </w:rPr>
        <w:footnoteRef/>
      </w:r>
      <w:r w:rsidRPr="002F3DAF">
        <w:t xml:space="preserve"> </w:t>
      </w:r>
      <w:r w:rsidRPr="002F3DAF">
        <w:rPr>
          <w:rFonts w:cstheme="minorHAnsi"/>
        </w:rPr>
        <w:t>pursuant to s 147(1)</w:t>
      </w:r>
    </w:p>
  </w:footnote>
  <w:footnote w:id="12">
    <w:p w14:paraId="0545EC03" w14:textId="77777777" w:rsidR="00542923" w:rsidRPr="002F3DAF" w:rsidRDefault="00542923" w:rsidP="00542923">
      <w:pPr>
        <w:pStyle w:val="FootnoteText"/>
      </w:pPr>
      <w:r w:rsidRPr="002F3DAF">
        <w:rPr>
          <w:rStyle w:val="FootnoteReference"/>
        </w:rPr>
        <w:footnoteRef/>
      </w:r>
      <w:r w:rsidRPr="002F3DAF">
        <w:t xml:space="preserve"> </w:t>
      </w:r>
      <w:r w:rsidRPr="002F3DAF">
        <w:rPr>
          <w:rFonts w:cstheme="minorHAnsi"/>
        </w:rPr>
        <w:t>s 76</w:t>
      </w:r>
    </w:p>
  </w:footnote>
  <w:footnote w:id="13">
    <w:p w14:paraId="667BF1D9" w14:textId="77777777" w:rsidR="00542923" w:rsidRDefault="00542923" w:rsidP="00542923">
      <w:pPr>
        <w:pStyle w:val="FootnoteText"/>
      </w:pPr>
      <w:r>
        <w:rPr>
          <w:rStyle w:val="FootnoteReference"/>
        </w:rPr>
        <w:footnoteRef/>
      </w:r>
      <w:r>
        <w:t xml:space="preserve"> s 297</w:t>
      </w:r>
    </w:p>
  </w:footnote>
  <w:footnote w:id="14">
    <w:p w14:paraId="3BFA0BF7" w14:textId="77777777" w:rsidR="00542923" w:rsidRDefault="00542923" w:rsidP="00542923">
      <w:pPr>
        <w:pStyle w:val="FootnoteText"/>
      </w:pPr>
      <w:r>
        <w:rPr>
          <w:rStyle w:val="FootnoteReference"/>
        </w:rPr>
        <w:footnoteRef/>
      </w:r>
      <w:r>
        <w:t xml:space="preserve"> s 297(5)</w:t>
      </w:r>
    </w:p>
  </w:footnote>
  <w:footnote w:id="15">
    <w:p w14:paraId="02A9DF6C" w14:textId="77777777" w:rsidR="00542923" w:rsidRDefault="00542923" w:rsidP="00542923">
      <w:pPr>
        <w:pStyle w:val="FootnoteText"/>
      </w:pPr>
      <w:r>
        <w:rPr>
          <w:rStyle w:val="FootnoteReference"/>
        </w:rPr>
        <w:footnoteRef/>
      </w:r>
      <w:r>
        <w:t xml:space="preserve"> s 297(3)</w:t>
      </w:r>
    </w:p>
  </w:footnote>
  <w:footnote w:id="16">
    <w:p w14:paraId="49ECD9CC" w14:textId="77777777" w:rsidR="00542923" w:rsidRDefault="00542923" w:rsidP="00542923">
      <w:pPr>
        <w:pStyle w:val="FootnoteText"/>
      </w:pPr>
      <w:r>
        <w:rPr>
          <w:rStyle w:val="FootnoteReference"/>
        </w:rPr>
        <w:footnoteRef/>
      </w:r>
      <w:r>
        <w:t xml:space="preserve"> ss 72, 73 and 74</w:t>
      </w:r>
    </w:p>
  </w:footnote>
  <w:footnote w:id="17">
    <w:p w14:paraId="1E6C3D5B" w14:textId="77777777" w:rsidR="00542923" w:rsidRDefault="00542923" w:rsidP="00542923">
      <w:pPr>
        <w:pStyle w:val="FootnoteText"/>
      </w:pPr>
      <w:r>
        <w:rPr>
          <w:rStyle w:val="FootnoteReference"/>
        </w:rPr>
        <w:footnoteRef/>
      </w:r>
      <w:r>
        <w:t xml:space="preserve"> s 198</w:t>
      </w:r>
    </w:p>
  </w:footnote>
  <w:footnote w:id="18">
    <w:p w14:paraId="397A9929" w14:textId="77777777" w:rsidR="00542923" w:rsidRDefault="00542923" w:rsidP="00542923">
      <w:pPr>
        <w:pStyle w:val="FootnoteText"/>
      </w:pPr>
      <w:r>
        <w:rPr>
          <w:rStyle w:val="FootnoteReference"/>
        </w:rPr>
        <w:footnoteRef/>
      </w:r>
      <w:r>
        <w:t xml:space="preserve"> s 75</w:t>
      </w:r>
    </w:p>
  </w:footnote>
  <w:footnote w:id="19">
    <w:p w14:paraId="2F529037" w14:textId="77777777" w:rsidR="00542923" w:rsidRDefault="00542923" w:rsidP="00542923">
      <w:pPr>
        <w:pStyle w:val="FootnoteText"/>
      </w:pPr>
      <w:r>
        <w:rPr>
          <w:rStyle w:val="FootnoteReference"/>
        </w:rPr>
        <w:footnoteRef/>
      </w:r>
      <w:r>
        <w:t xml:space="preserve"> s 196</w:t>
      </w:r>
    </w:p>
  </w:footnote>
  <w:footnote w:id="20">
    <w:p w14:paraId="0D734B0D" w14:textId="77777777" w:rsidR="00542923" w:rsidRDefault="00542923" w:rsidP="00542923">
      <w:pPr>
        <w:pStyle w:val="FootnoteText"/>
      </w:pPr>
      <w:r>
        <w:rPr>
          <w:rStyle w:val="FootnoteReference"/>
        </w:rPr>
        <w:footnoteRef/>
      </w:r>
      <w:r>
        <w:t xml:space="preserve"> s 196(3)</w:t>
      </w:r>
    </w:p>
  </w:footnote>
  <w:footnote w:id="21">
    <w:p w14:paraId="1B12E6A0" w14:textId="77777777" w:rsidR="00542923" w:rsidRDefault="00542923" w:rsidP="00542923">
      <w:pPr>
        <w:pStyle w:val="FootnoteText"/>
      </w:pPr>
      <w:r>
        <w:rPr>
          <w:rStyle w:val="FootnoteReference"/>
        </w:rPr>
        <w:footnoteRef/>
      </w:r>
      <w:r>
        <w:t xml:space="preserve"> s 196(2)</w:t>
      </w:r>
    </w:p>
  </w:footnote>
  <w:footnote w:id="22">
    <w:p w14:paraId="3F2644BE" w14:textId="77777777" w:rsidR="00542923" w:rsidRDefault="00542923" w:rsidP="00542923">
      <w:pPr>
        <w:pStyle w:val="FootnoteText"/>
        <w:jc w:val="both"/>
      </w:pPr>
      <w:r>
        <w:rPr>
          <w:rStyle w:val="FootnoteReference"/>
        </w:rPr>
        <w:footnoteRef/>
      </w:r>
      <w:r>
        <w:t xml:space="preserve"> s 85</w:t>
      </w:r>
    </w:p>
  </w:footnote>
  <w:footnote w:id="23">
    <w:p w14:paraId="3A2804D7" w14:textId="77777777" w:rsidR="00542923" w:rsidRDefault="00542923" w:rsidP="00542923">
      <w:pPr>
        <w:pStyle w:val="FootnoteText"/>
      </w:pPr>
      <w:r>
        <w:rPr>
          <w:rStyle w:val="FootnoteReference"/>
        </w:rPr>
        <w:footnoteRef/>
      </w:r>
      <w:r>
        <w:t xml:space="preserve"> Part 4.1</w:t>
      </w:r>
    </w:p>
  </w:footnote>
  <w:footnote w:id="24">
    <w:p w14:paraId="2C4E8173" w14:textId="77777777" w:rsidR="00542923" w:rsidRDefault="00542923" w:rsidP="00542923">
      <w:pPr>
        <w:pStyle w:val="FootnoteText"/>
      </w:pPr>
      <w:r>
        <w:rPr>
          <w:rStyle w:val="FootnoteReference"/>
        </w:rPr>
        <w:footnoteRef/>
      </w:r>
      <w:r>
        <w:t xml:space="preserve"> Part 4.2</w:t>
      </w:r>
    </w:p>
  </w:footnote>
  <w:footnote w:id="25">
    <w:p w14:paraId="5AC8EE58" w14:textId="77777777" w:rsidR="00542923" w:rsidRDefault="00542923" w:rsidP="00542923">
      <w:pPr>
        <w:pStyle w:val="FootnoteText"/>
      </w:pPr>
      <w:r>
        <w:rPr>
          <w:rStyle w:val="FootnoteReference"/>
        </w:rPr>
        <w:footnoteRef/>
      </w:r>
      <w:r>
        <w:t xml:space="preserve"> Part 4.3</w:t>
      </w:r>
    </w:p>
  </w:footnote>
  <w:footnote w:id="26">
    <w:p w14:paraId="5FE3457F" w14:textId="77777777" w:rsidR="00A3021D" w:rsidRDefault="00A3021D" w:rsidP="00A3021D">
      <w:pPr>
        <w:pStyle w:val="FootnoteText"/>
      </w:pPr>
      <w:r>
        <w:rPr>
          <w:rStyle w:val="FootnoteReference"/>
        </w:rPr>
        <w:footnoteRef/>
      </w:r>
      <w:r>
        <w:t xml:space="preserve"> </w:t>
      </w:r>
      <w:r w:rsidRPr="006156A4">
        <w:rPr>
          <w:rFonts w:cstheme="minorHAnsi"/>
        </w:rPr>
        <w:t>Section 153 makes it a criminal offence for  officers of the Territory (current and former) to publish or communicate a fact or document which comes into their knowledge or possession by virtue of being an officer of the Territory about which they have a duty not to disclose.</w:t>
      </w:r>
    </w:p>
  </w:footnote>
  <w:footnote w:id="27">
    <w:p w14:paraId="2963D68A" w14:textId="77777777" w:rsidR="00A3021D" w:rsidRDefault="00A3021D" w:rsidP="00A3021D">
      <w:pPr>
        <w:pStyle w:val="FootnoteText"/>
        <w:jc w:val="both"/>
      </w:pPr>
      <w:r>
        <w:rPr>
          <w:rStyle w:val="FootnoteReference"/>
        </w:rPr>
        <w:footnoteRef/>
      </w:r>
      <w:r>
        <w:t xml:space="preserve"> s 7, </w:t>
      </w:r>
      <w:r w:rsidRPr="00E674A2">
        <w:rPr>
          <w:i/>
          <w:iCs/>
        </w:rPr>
        <w:t>Information Privacy Act 2014</w:t>
      </w:r>
    </w:p>
  </w:footnote>
  <w:footnote w:id="28">
    <w:p w14:paraId="762A4106" w14:textId="77777777" w:rsidR="00A3021D" w:rsidRDefault="00A3021D" w:rsidP="00A3021D">
      <w:pPr>
        <w:pStyle w:val="FootnoteText"/>
        <w:jc w:val="both"/>
      </w:pPr>
      <w:r>
        <w:rPr>
          <w:rStyle w:val="FootnoteReference"/>
        </w:rPr>
        <w:footnoteRef/>
      </w:r>
      <w:r>
        <w:t xml:space="preserve"> s 20 of the IP Act states public sector agencies must comply with the TPPs</w:t>
      </w:r>
    </w:p>
  </w:footnote>
  <w:footnote w:id="29">
    <w:p w14:paraId="10EFFFA9" w14:textId="77777777" w:rsidR="00542923" w:rsidRDefault="00542923" w:rsidP="00542923">
      <w:pPr>
        <w:pStyle w:val="FootnoteText"/>
        <w:jc w:val="both"/>
      </w:pPr>
      <w:r>
        <w:rPr>
          <w:rStyle w:val="FootnoteReference"/>
        </w:rPr>
        <w:footnoteRef/>
      </w:r>
      <w:r>
        <w:t xml:space="preserve"> s 8, IP Act. ‘Personal health information’ is defined in the </w:t>
      </w:r>
      <w:r w:rsidRPr="00E674A2">
        <w:rPr>
          <w:i/>
          <w:iCs/>
        </w:rPr>
        <w:t>Health Records (Privacy and Access) Act 1997</w:t>
      </w:r>
      <w:r>
        <w:t>, dictionary</w:t>
      </w:r>
    </w:p>
  </w:footnote>
  <w:footnote w:id="30">
    <w:p w14:paraId="7CEE7BFA" w14:textId="77777777" w:rsidR="00A3021D" w:rsidRDefault="00A3021D" w:rsidP="00A3021D">
      <w:pPr>
        <w:pStyle w:val="FootnoteText"/>
        <w:jc w:val="both"/>
      </w:pPr>
      <w:r>
        <w:rPr>
          <w:rStyle w:val="FootnoteReference"/>
        </w:rPr>
        <w:footnoteRef/>
      </w:r>
      <w:r>
        <w:t xml:space="preserve"> s 13 states the Territory Privacy Principles are contained in Schedule 1 of the </w:t>
      </w:r>
      <w:r w:rsidRPr="006156A4">
        <w:t xml:space="preserve">IP Act.  The TPPs are </w:t>
      </w:r>
      <w:r w:rsidRPr="006156A4">
        <w:rPr>
          <w:rFonts w:cstheme="minorHAnsi"/>
        </w:rPr>
        <w:t>modelled on the Australian Privacy Principles (‘</w:t>
      </w:r>
      <w:r w:rsidRPr="006156A4">
        <w:rPr>
          <w:rFonts w:cstheme="minorHAnsi"/>
          <w:b/>
          <w:bCs/>
        </w:rPr>
        <w:t>APPs</w:t>
      </w:r>
      <w:r w:rsidRPr="006156A4">
        <w:rPr>
          <w:rFonts w:cstheme="minorHAnsi"/>
        </w:rPr>
        <w:t xml:space="preserve">’) in the </w:t>
      </w:r>
      <w:r w:rsidRPr="006156A4">
        <w:rPr>
          <w:rFonts w:cstheme="minorHAnsi"/>
          <w:i/>
          <w:iCs/>
        </w:rPr>
        <w:t>Privacy Act 1988</w:t>
      </w:r>
      <w:r w:rsidRPr="006156A4">
        <w:rPr>
          <w:rFonts w:cstheme="minorHAnsi"/>
        </w:rPr>
        <w:t xml:space="preserve"> (Cth)</w:t>
      </w:r>
    </w:p>
  </w:footnote>
  <w:footnote w:id="31">
    <w:p w14:paraId="64172F63" w14:textId="77777777" w:rsidR="00A3021D" w:rsidRDefault="00A3021D" w:rsidP="00A3021D">
      <w:pPr>
        <w:pStyle w:val="FootnoteText"/>
        <w:jc w:val="both"/>
      </w:pPr>
      <w:r>
        <w:rPr>
          <w:rStyle w:val="FootnoteReference"/>
        </w:rPr>
        <w:footnoteRef/>
      </w:r>
      <w:r>
        <w:t xml:space="preserve"> </w:t>
      </w:r>
      <w:r w:rsidRPr="005B67B3">
        <w:rPr>
          <w:i/>
          <w:iCs/>
        </w:rPr>
        <w:t>Australian Privacy Principle Guidelines</w:t>
      </w:r>
      <w:r>
        <w:t xml:space="preserve">, Office of the Australian Information Commissioner, </w:t>
      </w:r>
      <w:hyperlink r:id="rId2" w:history="1">
        <w:r w:rsidRPr="004E5833">
          <w:rPr>
            <w:rStyle w:val="Hyperlink"/>
          </w:rPr>
          <w:t>https://www.oaic.gov.au/assets/privacy/app-guidelines/app-guidelines-july-2019.pdf</w:t>
        </w:r>
      </w:hyperlink>
      <w:r>
        <w:t>, p 7. As stated in the Australian Privacy Principle Guidelines at p 7, “Under an arrangement between the ACT Government and the Australian Government, the Information Commissioner is exercising some of the functions of the ACT Information Privacy Commissioner. These responsibilities include handling privacy complaints against, and receiving data breach notifications from, ACT public sector agencies, and conducting assessments of ACT public sector agencies’ compliance with the Information Privacy Act. … Given these similarities [between the TPPs and the APPs], the information, examples and good privacy practices outlined in the APP guidelines may assist the general public and ACT public sector agencies to interpret and apply the TPPs. The guidelines should be read with reference to the full text of the TPPs and the Information Privacy Act.”</w:t>
      </w:r>
    </w:p>
  </w:footnote>
  <w:footnote w:id="32">
    <w:p w14:paraId="2C946EB8" w14:textId="77777777" w:rsidR="00D06C98" w:rsidRDefault="00D06C98" w:rsidP="00D06C98">
      <w:pPr>
        <w:pStyle w:val="FootnoteText"/>
      </w:pPr>
      <w:r>
        <w:rPr>
          <w:rStyle w:val="FootnoteReference"/>
        </w:rPr>
        <w:footnoteRef/>
      </w:r>
      <w:r>
        <w:t xml:space="preserve"> </w:t>
      </w:r>
      <w:r w:rsidRPr="006156A4">
        <w:rPr>
          <w:rFonts w:cstheme="minorHAnsi"/>
        </w:rPr>
        <w:t>Two of the APPs are not relevant to the Territory and are excluded from the TPPs (APPs 7 and 9)</w:t>
      </w:r>
    </w:p>
  </w:footnote>
  <w:footnote w:id="33">
    <w:p w14:paraId="215F7F51" w14:textId="77777777" w:rsidR="00542923" w:rsidRDefault="00542923" w:rsidP="00542923">
      <w:pPr>
        <w:pStyle w:val="FootnoteText"/>
        <w:jc w:val="both"/>
      </w:pPr>
      <w:r>
        <w:rPr>
          <w:rStyle w:val="FootnoteReference"/>
        </w:rPr>
        <w:footnoteRef/>
      </w:r>
      <w:r>
        <w:t xml:space="preserve"> Explanatory Statement, Freedom of Information Bill 2016, p 2</w:t>
      </w:r>
    </w:p>
  </w:footnote>
  <w:footnote w:id="34">
    <w:p w14:paraId="67A414B9" w14:textId="77777777" w:rsidR="00542923" w:rsidRDefault="00542923" w:rsidP="00542923">
      <w:pPr>
        <w:pStyle w:val="FootnoteText"/>
        <w:jc w:val="both"/>
      </w:pPr>
      <w:r>
        <w:rPr>
          <w:rStyle w:val="FootnoteReference"/>
        </w:rPr>
        <w:footnoteRef/>
      </w:r>
      <w:r>
        <w:t xml:space="preserve"> s 14(a), </w:t>
      </w:r>
      <w:r w:rsidRPr="005D78BC">
        <w:rPr>
          <w:i/>
          <w:iCs/>
        </w:rPr>
        <w:t>Freedom of Information Act 2016</w:t>
      </w:r>
    </w:p>
  </w:footnote>
  <w:footnote w:id="35">
    <w:p w14:paraId="1CBBF64B" w14:textId="77777777" w:rsidR="00542923" w:rsidRDefault="00542923" w:rsidP="00542923">
      <w:pPr>
        <w:pStyle w:val="FootnoteText"/>
        <w:jc w:val="both"/>
      </w:pPr>
      <w:r>
        <w:rPr>
          <w:rStyle w:val="FootnoteReference"/>
        </w:rPr>
        <w:footnoteRef/>
      </w:r>
      <w:r>
        <w:t xml:space="preserve"> s 15(1)(b), </w:t>
      </w:r>
      <w:r w:rsidRPr="005D78BC">
        <w:rPr>
          <w:i/>
          <w:iCs/>
        </w:rPr>
        <w:t>Freedom of Information Act 2016</w:t>
      </w:r>
    </w:p>
  </w:footnote>
  <w:footnote w:id="36">
    <w:p w14:paraId="71E46319" w14:textId="77777777" w:rsidR="00542923" w:rsidRDefault="00542923" w:rsidP="00542923">
      <w:pPr>
        <w:pStyle w:val="FootnoteText"/>
      </w:pPr>
      <w:r>
        <w:rPr>
          <w:rStyle w:val="FootnoteReference"/>
        </w:rPr>
        <w:footnoteRef/>
      </w:r>
      <w:r>
        <w:t xml:space="preserve"> s 33, FOI Act</w:t>
      </w:r>
    </w:p>
  </w:footnote>
  <w:footnote w:id="37">
    <w:p w14:paraId="61BABDB3" w14:textId="77777777" w:rsidR="00542923" w:rsidRDefault="00542923" w:rsidP="00542923">
      <w:pPr>
        <w:pStyle w:val="FootnoteText"/>
      </w:pPr>
      <w:r>
        <w:rPr>
          <w:rStyle w:val="FootnoteReference"/>
        </w:rPr>
        <w:footnoteRef/>
      </w:r>
      <w:r>
        <w:t xml:space="preserve"> s 16, FOI Act</w:t>
      </w:r>
    </w:p>
  </w:footnote>
  <w:footnote w:id="38">
    <w:p w14:paraId="540C7389" w14:textId="77777777" w:rsidR="00542923" w:rsidRDefault="00542923" w:rsidP="00542923">
      <w:pPr>
        <w:pStyle w:val="FootnoteText"/>
      </w:pPr>
      <w:r>
        <w:rPr>
          <w:rStyle w:val="FootnoteReference"/>
        </w:rPr>
        <w:footnoteRef/>
      </w:r>
      <w:r>
        <w:t xml:space="preserve"> </w:t>
      </w:r>
      <w:r w:rsidRPr="00F51C9C">
        <w:rPr>
          <w:rFonts w:cstheme="minorHAnsi"/>
        </w:rPr>
        <w:t>s 1.1B</w:t>
      </w:r>
      <w:r>
        <w:rPr>
          <w:rFonts w:cstheme="minorHAnsi"/>
        </w:rPr>
        <w:t>, Schedule 1, FOI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A1C" w14:textId="77777777" w:rsidR="00EF71B1" w:rsidRDefault="00EF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229" w14:textId="46608E8E" w:rsidR="006F1181" w:rsidRPr="006F1181" w:rsidRDefault="006F1181" w:rsidP="00781AE4">
    <w:pPr>
      <w:pStyle w:val="Header"/>
      <w:rPr>
        <w:rStyle w:val="SecurityDLM"/>
      </w:rPr>
    </w:pPr>
    <w:r>
      <w:rPr>
        <w:noProof/>
      </w:rPr>
      <w:drawing>
        <wp:anchor distT="0" distB="0" distL="114300" distR="114300" simplePos="0" relativeHeight="251661312" behindDoc="1" locked="0" layoutInCell="1" allowOverlap="1" wp14:anchorId="0AD6E82B" wp14:editId="71958299">
          <wp:simplePos x="0" y="0"/>
          <wp:positionH relativeFrom="page">
            <wp:align>right</wp:align>
          </wp:positionH>
          <wp:positionV relativeFrom="page">
            <wp:align>top</wp:align>
          </wp:positionV>
          <wp:extent cx="2479320" cy="1099440"/>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9320" cy="1099440"/>
                  </a:xfrm>
                  <a:prstGeom prst="rect">
                    <a:avLst/>
                  </a:prstGeom>
                </pic:spPr>
              </pic:pic>
            </a:graphicData>
          </a:graphic>
          <wp14:sizeRelH relativeFrom="margin">
            <wp14:pctWidth>0</wp14:pctWidth>
          </wp14:sizeRelH>
          <wp14:sizeRelV relativeFrom="margin">
            <wp14:pctHeight>0</wp14:pctHeight>
          </wp14:sizeRelV>
        </wp:anchor>
      </w:drawing>
    </w:r>
    <w:r>
      <w:tab/>
    </w:r>
  </w:p>
  <w:p w14:paraId="701B4F36" w14:textId="77777777" w:rsidR="006F1181" w:rsidRDefault="006F1181" w:rsidP="006A5749">
    <w:pPr>
      <w:pStyle w:val="Header"/>
      <w:spacing w:before="240" w:after="480"/>
    </w:pPr>
    <w:r>
      <w:rPr>
        <w:noProof/>
      </w:rPr>
      <w:drawing>
        <wp:inline distT="0" distB="0" distL="0" distR="0" wp14:anchorId="0FC024A4" wp14:editId="594A6132">
          <wp:extent cx="2232000" cy="330006"/>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2000" cy="3300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B81" w14:textId="77777777" w:rsidR="00EF71B1" w:rsidRDefault="00EF7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C3FF" w14:textId="06F8D3AE" w:rsidR="00542923" w:rsidRPr="006F1181" w:rsidRDefault="00542923" w:rsidP="00542923">
    <w:pPr>
      <w:pStyle w:val="Header"/>
      <w:rPr>
        <w:rStyle w:val="SecurityDLM"/>
      </w:rPr>
    </w:pPr>
    <w:r>
      <w:rPr>
        <w:noProof/>
      </w:rPr>
      <w:drawing>
        <wp:anchor distT="0" distB="0" distL="114300" distR="114300" simplePos="0" relativeHeight="251663360" behindDoc="1" locked="0" layoutInCell="1" allowOverlap="1" wp14:anchorId="4DAEF2FC" wp14:editId="4BAC7AF3">
          <wp:simplePos x="0" y="0"/>
          <wp:positionH relativeFrom="page">
            <wp:align>right</wp:align>
          </wp:positionH>
          <wp:positionV relativeFrom="page">
            <wp:align>top</wp:align>
          </wp:positionV>
          <wp:extent cx="2479320" cy="1099440"/>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9320" cy="1099440"/>
                  </a:xfrm>
                  <a:prstGeom prst="rect">
                    <a:avLst/>
                  </a:prstGeom>
                </pic:spPr>
              </pic:pic>
            </a:graphicData>
          </a:graphic>
          <wp14:sizeRelH relativeFrom="margin">
            <wp14:pctWidth>0</wp14:pctWidth>
          </wp14:sizeRelH>
          <wp14:sizeRelV relativeFrom="margin">
            <wp14:pctHeight>0</wp14:pctHeight>
          </wp14:sizeRelV>
        </wp:anchor>
      </w:drawing>
    </w:r>
    <w:r>
      <w:tab/>
    </w:r>
  </w:p>
  <w:p w14:paraId="12ECFF28" w14:textId="77777777" w:rsidR="00542923" w:rsidRDefault="00542923" w:rsidP="00542923">
    <w:pPr>
      <w:pStyle w:val="Header"/>
      <w:spacing w:before="240" w:after="480"/>
    </w:pPr>
    <w:r>
      <w:rPr>
        <w:noProof/>
      </w:rPr>
      <w:drawing>
        <wp:inline distT="0" distB="0" distL="0" distR="0" wp14:anchorId="32F5881B" wp14:editId="107346C2">
          <wp:extent cx="2232000" cy="330006"/>
          <wp:effectExtent l="0" t="0" r="0" b="0"/>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32000" cy="330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F29"/>
    <w:multiLevelType w:val="multilevel"/>
    <w:tmpl w:val="CC3C95AC"/>
    <w:numStyleLink w:val="List1Numbered"/>
  </w:abstractNum>
  <w:abstractNum w:abstractNumId="1" w15:restartNumberingAfterBreak="0">
    <w:nsid w:val="0BBD1674"/>
    <w:multiLevelType w:val="hybridMultilevel"/>
    <w:tmpl w:val="0ED2E7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C1C1C" w:themeColor="text2"/>
      </w:rPr>
    </w:lvl>
    <w:lvl w:ilvl="2">
      <w:start w:val="1"/>
      <w:numFmt w:val="bullet"/>
      <w:lvlText w:val="»"/>
      <w:lvlJc w:val="left"/>
      <w:pPr>
        <w:ind w:left="852" w:hanging="284"/>
      </w:pPr>
      <w:rPr>
        <w:rFonts w:ascii="Arial" w:hAnsi="Arial" w:hint="default"/>
        <w:color w:val="1C1C1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41D5DE8"/>
    <w:multiLevelType w:val="hybridMultilevel"/>
    <w:tmpl w:val="4640783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9F1618D"/>
    <w:multiLevelType w:val="multilevel"/>
    <w:tmpl w:val="CC3C95AC"/>
    <w:styleLink w:val="List1Numbered"/>
    <w:lvl w:ilvl="0">
      <w:start w:val="1"/>
      <w:numFmt w:val="decimal"/>
      <w:pStyle w:val="List1Numbered1"/>
      <w:lvlText w:val="%1."/>
      <w:lvlJc w:val="left"/>
      <w:pPr>
        <w:ind w:left="454" w:hanging="454"/>
      </w:pPr>
      <w:rPr>
        <w:rFonts w:hint="default"/>
        <w:b w:val="0"/>
        <w:i w:val="0"/>
        <w:color w:val="auto"/>
      </w:rPr>
    </w:lvl>
    <w:lvl w:ilvl="1">
      <w:start w:val="1"/>
      <w:numFmt w:val="lowerLetter"/>
      <w:pStyle w:val="List1Numbered2"/>
      <w:lvlText w:val="%2."/>
      <w:lvlJc w:val="left"/>
      <w:pPr>
        <w:ind w:left="908" w:hanging="454"/>
      </w:pPr>
      <w:rPr>
        <w:rFonts w:hint="default"/>
      </w:rPr>
    </w:lvl>
    <w:lvl w:ilvl="2">
      <w:start w:val="1"/>
      <w:numFmt w:val="lowerRoman"/>
      <w:pStyle w:val="List1Numbered3"/>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828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828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A2E"/>
    <w:multiLevelType w:val="hybridMultilevel"/>
    <w:tmpl w:val="DC98623C"/>
    <w:lvl w:ilvl="0" w:tplc="42A63E0C">
      <w:start w:val="1"/>
      <w:numFmt w:val="decimal"/>
      <w:lvlText w:val="(%1)"/>
      <w:lvlJc w:val="left"/>
      <w:pPr>
        <w:ind w:left="1440" w:hanging="360"/>
      </w:pPr>
      <w:rPr>
        <w:rFonts w:hint="default"/>
      </w:rPr>
    </w:lvl>
    <w:lvl w:ilvl="1" w:tplc="8D988320">
      <w:start w:val="1"/>
      <w:numFmt w:val="lowerLetter"/>
      <w:lvlText w:val="(%2)"/>
      <w:lvlJc w:val="left"/>
      <w:pPr>
        <w:ind w:left="2160" w:hanging="360"/>
      </w:pPr>
      <w:rPr>
        <w:rFonts w:hint="default"/>
      </w:rPr>
    </w:lvl>
    <w:lvl w:ilvl="2" w:tplc="42A63E0C">
      <w:start w:val="1"/>
      <w:numFmt w:val="decimal"/>
      <w:lvlText w:val="(%3)"/>
      <w:lvlJc w:val="left"/>
      <w:pPr>
        <w:ind w:left="3060" w:hanging="360"/>
      </w:pPr>
      <w:rPr>
        <w:rFonts w:hint="default"/>
      </w:rPr>
    </w:lvl>
    <w:lvl w:ilvl="3" w:tplc="547800B6">
      <w:start w:val="1"/>
      <w:numFmt w:val="lowerLetter"/>
      <w:lvlText w:val="(%4)"/>
      <w:lvlJc w:val="left"/>
      <w:pPr>
        <w:ind w:left="3600" w:hanging="360"/>
      </w:pPr>
      <w:rPr>
        <w:rFonts w:hint="default"/>
      </w:rPr>
    </w:lvl>
    <w:lvl w:ilvl="4" w:tplc="7DC8D156">
      <w:start w:val="1"/>
      <w:numFmt w:val="lowerRoman"/>
      <w:lvlText w:val="(%5)"/>
      <w:lvlJc w:val="left"/>
      <w:pPr>
        <w:ind w:left="4320" w:hanging="360"/>
      </w:pPr>
      <w:rPr>
        <w:rFonts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6B10DD7"/>
    <w:multiLevelType w:val="hybridMultilevel"/>
    <w:tmpl w:val="8F94BA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54339F"/>
    <w:multiLevelType w:val="hybridMultilevel"/>
    <w:tmpl w:val="5008B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483108"/>
    <w:multiLevelType w:val="hybridMultilevel"/>
    <w:tmpl w:val="1B945654"/>
    <w:lvl w:ilvl="0" w:tplc="1870F2E6">
      <w:start w:val="227"/>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E11ACA"/>
    <w:multiLevelType w:val="multilevel"/>
    <w:tmpl w:val="C7C4438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9B1135"/>
    <w:multiLevelType w:val="multilevel"/>
    <w:tmpl w:val="3FA05954"/>
    <w:numStyleLink w:val="DefaultBullets"/>
  </w:abstractNum>
  <w:abstractNum w:abstractNumId="15"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C1C1C" w:themeColor="text2"/>
      </w:rPr>
    </w:lvl>
    <w:lvl w:ilvl="3">
      <w:start w:val="1"/>
      <w:numFmt w:val="bullet"/>
      <w:lvlText w:val="»"/>
      <w:lvlJc w:val="left"/>
      <w:pPr>
        <w:ind w:left="794" w:hanging="510"/>
      </w:pPr>
      <w:rPr>
        <w:rFonts w:ascii="Arial" w:hAnsi="Arial" w:hint="default"/>
        <w:color w:val="1C1C1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7611529"/>
    <w:multiLevelType w:val="hybridMultilevel"/>
    <w:tmpl w:val="F7041B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4A432089"/>
    <w:multiLevelType w:val="hybridMultilevel"/>
    <w:tmpl w:val="D54A1E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091CE4FA"/>
    <w:styleLink w:val="NumberedHeadings"/>
    <w:lvl w:ilvl="0">
      <w:start w:val="1"/>
      <w:numFmt w:val="decimal"/>
      <w:pStyle w:val="Heading1Numbered"/>
      <w:lvlText w:val="%1."/>
      <w:lvlJc w:val="left"/>
      <w:pPr>
        <w:ind w:left="567" w:hanging="567"/>
      </w:pPr>
      <w:rPr>
        <w:rFonts w:hint="default"/>
      </w:rPr>
    </w:lvl>
    <w:lvl w:ilvl="1">
      <w:start w:val="1"/>
      <w:numFmt w:val="decimal"/>
      <w:lvlText w:val="%2."/>
      <w:lvlJc w:val="left"/>
      <w:pPr>
        <w:ind w:left="851" w:hanging="851"/>
      </w:pPr>
      <w:rPr>
        <w:rFonts w:hint="default"/>
      </w:rPr>
    </w:lvl>
    <w:lvl w:ilvl="2">
      <w:start w:val="1"/>
      <w:numFmt w:val="decimal"/>
      <w:pStyle w:val="Heading3Numbered"/>
      <w:lvlText w:val="%2.%3"/>
      <w:lvlJc w:val="left"/>
      <w:pPr>
        <w:ind w:left="851" w:hanging="851"/>
      </w:pPr>
      <w:rPr>
        <w:rFonts w:hint="default"/>
      </w:rPr>
    </w:lvl>
    <w:lvl w:ilvl="3">
      <w:start w:val="1"/>
      <w:numFmt w:val="decimal"/>
      <w:pStyle w:val="Heading4Numbered"/>
      <w:lvlText w:val="%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AA72BC"/>
    <w:multiLevelType w:val="multilevel"/>
    <w:tmpl w:val="AB5EB4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63C4BCA"/>
    <w:multiLevelType w:val="hybridMultilevel"/>
    <w:tmpl w:val="85104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38A4D83"/>
    <w:multiLevelType w:val="multilevel"/>
    <w:tmpl w:val="3FA05954"/>
    <w:styleLink w:val="DefaultBullets"/>
    <w:lvl w:ilvl="0">
      <w:start w:val="1"/>
      <w:numFmt w:val="bullet"/>
      <w:pStyle w:val="Bullet1"/>
      <w:lvlText w:val=""/>
      <w:lvlJc w:val="left"/>
      <w:pPr>
        <w:ind w:left="794" w:hanging="340"/>
      </w:pPr>
      <w:rPr>
        <w:rFonts w:ascii="Symbol" w:hAnsi="Symbol" w:hint="default"/>
        <w:color w:val="auto"/>
      </w:rPr>
    </w:lvl>
    <w:lvl w:ilvl="1">
      <w:start w:val="1"/>
      <w:numFmt w:val="bullet"/>
      <w:pStyle w:val="Bullet2"/>
      <w:lvlText w:val="–"/>
      <w:lvlJc w:val="left"/>
      <w:pPr>
        <w:tabs>
          <w:tab w:val="num" w:pos="908"/>
        </w:tabs>
        <w:ind w:left="1248" w:hanging="340"/>
      </w:pPr>
      <w:rPr>
        <w:rFonts w:ascii="Arial" w:hAnsi="Arial" w:hint="default"/>
        <w:color w:val="auto"/>
      </w:rPr>
    </w:lvl>
    <w:lvl w:ilvl="2">
      <w:start w:val="1"/>
      <w:numFmt w:val="bullet"/>
      <w:pStyle w:val="Bullet3"/>
      <w:lvlText w:val="»"/>
      <w:lvlJc w:val="left"/>
      <w:pPr>
        <w:tabs>
          <w:tab w:val="num" w:pos="1362"/>
        </w:tabs>
        <w:ind w:left="1702" w:hanging="340"/>
      </w:pPr>
      <w:rPr>
        <w:rFonts w:ascii="Arial" w:hAnsi="Arial" w:hint="default"/>
        <w:color w:val="auto"/>
      </w:rPr>
    </w:lvl>
    <w:lvl w:ilvl="3">
      <w:start w:val="1"/>
      <w:numFmt w:val="decimal"/>
      <w:lvlText w:val="(%4)"/>
      <w:lvlJc w:val="left"/>
      <w:pPr>
        <w:tabs>
          <w:tab w:val="num" w:pos="1816"/>
        </w:tabs>
        <w:ind w:left="2156" w:hanging="340"/>
      </w:pPr>
      <w:rPr>
        <w:rFonts w:hint="default"/>
      </w:rPr>
    </w:lvl>
    <w:lvl w:ilvl="4">
      <w:start w:val="1"/>
      <w:numFmt w:val="lowerLetter"/>
      <w:lvlText w:val="(%5)"/>
      <w:lvlJc w:val="left"/>
      <w:pPr>
        <w:tabs>
          <w:tab w:val="num" w:pos="2270"/>
        </w:tabs>
        <w:ind w:left="2610" w:hanging="340"/>
      </w:pPr>
      <w:rPr>
        <w:rFonts w:hint="default"/>
      </w:rPr>
    </w:lvl>
    <w:lvl w:ilvl="5">
      <w:start w:val="1"/>
      <w:numFmt w:val="lowerRoman"/>
      <w:lvlText w:val="(%6)"/>
      <w:lvlJc w:val="left"/>
      <w:pPr>
        <w:tabs>
          <w:tab w:val="num" w:pos="2724"/>
        </w:tabs>
        <w:ind w:left="3064" w:hanging="340"/>
      </w:pPr>
      <w:rPr>
        <w:rFonts w:hint="default"/>
      </w:rPr>
    </w:lvl>
    <w:lvl w:ilvl="6">
      <w:start w:val="1"/>
      <w:numFmt w:val="decimal"/>
      <w:lvlText w:val="%7."/>
      <w:lvlJc w:val="left"/>
      <w:pPr>
        <w:tabs>
          <w:tab w:val="num" w:pos="3178"/>
        </w:tabs>
        <w:ind w:left="3518" w:hanging="340"/>
      </w:pPr>
      <w:rPr>
        <w:rFonts w:hint="default"/>
      </w:rPr>
    </w:lvl>
    <w:lvl w:ilvl="7">
      <w:start w:val="1"/>
      <w:numFmt w:val="lowerLetter"/>
      <w:lvlText w:val="%8."/>
      <w:lvlJc w:val="left"/>
      <w:pPr>
        <w:tabs>
          <w:tab w:val="num" w:pos="3632"/>
        </w:tabs>
        <w:ind w:left="3972" w:hanging="340"/>
      </w:pPr>
      <w:rPr>
        <w:rFonts w:hint="default"/>
      </w:rPr>
    </w:lvl>
    <w:lvl w:ilvl="8">
      <w:start w:val="1"/>
      <w:numFmt w:val="lowerRoman"/>
      <w:lvlText w:val="%9."/>
      <w:lvlJc w:val="left"/>
      <w:pPr>
        <w:tabs>
          <w:tab w:val="num" w:pos="4086"/>
        </w:tabs>
        <w:ind w:left="4426" w:hanging="340"/>
      </w:pPr>
      <w:rPr>
        <w:rFonts w:hint="default"/>
      </w:rPr>
    </w:lvl>
  </w:abstractNum>
  <w:abstractNum w:abstractNumId="25" w15:restartNumberingAfterBreak="0">
    <w:nsid w:val="74B4731A"/>
    <w:multiLevelType w:val="hybridMultilevel"/>
    <w:tmpl w:val="E6DC37E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6C41A59"/>
    <w:multiLevelType w:val="multilevel"/>
    <w:tmpl w:val="4624390C"/>
    <w:numStyleLink w:val="BoxedBullets"/>
  </w:abstractNum>
  <w:abstractNum w:abstractNumId="27" w15:restartNumberingAfterBreak="0">
    <w:nsid w:val="78E6620E"/>
    <w:multiLevelType w:val="multilevel"/>
    <w:tmpl w:val="091CE4FA"/>
    <w:numStyleLink w:val="NumberedHeadings"/>
  </w:abstractNum>
  <w:abstractNum w:abstractNumId="28" w15:restartNumberingAfterBreak="0">
    <w:nsid w:val="79947518"/>
    <w:multiLevelType w:val="hybridMultilevel"/>
    <w:tmpl w:val="3DAE8FD0"/>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7B3868A2"/>
    <w:multiLevelType w:val="multilevel"/>
    <w:tmpl w:val="E968C638"/>
    <w:lvl w:ilvl="0">
      <w:start w:val="1"/>
      <w:numFmt w:val="decimal"/>
      <w:pStyle w:val="Heading2Numbered"/>
      <w:lvlText w:val="%1."/>
      <w:lvlJc w:val="left"/>
      <w:pPr>
        <w:ind w:left="360" w:hanging="360"/>
      </w:pPr>
      <w:rPr>
        <w:rFonts w:ascii="Arial" w:hAnsi="Arial" w:hint="default"/>
        <w:b/>
        <w:bCs w:val="0"/>
        <w:i w:val="0"/>
        <w:sz w:val="32"/>
      </w:rPr>
    </w:lvl>
    <w:lvl w:ilvl="1">
      <w:start w:val="1"/>
      <w:numFmt w:val="decimal"/>
      <w:pStyle w:val="ListParagraph"/>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E6F3A68"/>
    <w:multiLevelType w:val="hybridMultilevel"/>
    <w:tmpl w:val="DBDE5E48"/>
    <w:lvl w:ilvl="0" w:tplc="8EA60BE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9"/>
  </w:num>
  <w:num w:numId="3">
    <w:abstractNumId w:val="15"/>
  </w:num>
  <w:num w:numId="4">
    <w:abstractNumId w:val="5"/>
  </w:num>
  <w:num w:numId="5">
    <w:abstractNumId w:val="20"/>
  </w:num>
  <w:num w:numId="6">
    <w:abstractNumId w:val="4"/>
  </w:num>
  <w:num w:numId="7">
    <w:abstractNumId w:val="21"/>
  </w:num>
  <w:num w:numId="8">
    <w:abstractNumId w:val="10"/>
  </w:num>
  <w:num w:numId="9">
    <w:abstractNumId w:val="6"/>
  </w:num>
  <w:num w:numId="10">
    <w:abstractNumId w:val="18"/>
  </w:num>
  <w:num w:numId="11">
    <w:abstractNumId w:val="24"/>
  </w:num>
  <w:num w:numId="12">
    <w:abstractNumId w:val="9"/>
  </w:num>
  <w:num w:numId="13">
    <w:abstractNumId w:val="26"/>
  </w:num>
  <w:num w:numId="14">
    <w:abstractNumId w:val="14"/>
  </w:num>
  <w:num w:numId="15">
    <w:abstractNumId w:val="0"/>
  </w:num>
  <w:num w:numId="16">
    <w:abstractNumId w:val="27"/>
  </w:num>
  <w:num w:numId="17">
    <w:abstractNumId w:val="29"/>
  </w:num>
  <w:num w:numId="18">
    <w:abstractNumId w:val="25"/>
  </w:num>
  <w:num w:numId="19">
    <w:abstractNumId w:val="7"/>
  </w:num>
  <w:num w:numId="20">
    <w:abstractNumId w:val="17"/>
  </w:num>
  <w:num w:numId="21">
    <w:abstractNumId w:val="8"/>
  </w:num>
  <w:num w:numId="22">
    <w:abstractNumId w:val="23"/>
  </w:num>
  <w:num w:numId="23">
    <w:abstractNumId w:val="28"/>
  </w:num>
  <w:num w:numId="24">
    <w:abstractNumId w:val="11"/>
  </w:num>
  <w:num w:numId="25">
    <w:abstractNumId w:val="12"/>
  </w:num>
  <w:num w:numId="26">
    <w:abstractNumId w:val="30"/>
  </w:num>
  <w:num w:numId="27">
    <w:abstractNumId w:val="3"/>
  </w:num>
  <w:num w:numId="28">
    <w:abstractNumId w:val="13"/>
  </w:num>
  <w:num w:numId="29">
    <w:abstractNumId w:val="16"/>
  </w:num>
  <w:num w:numId="30">
    <w:abstractNumId w:val="1"/>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605108-A80A-4093-AA28-D5437A59DDA1}"/>
    <w:docVar w:name="dgnword-eventsink" w:val="975620216"/>
  </w:docVars>
  <w:rsids>
    <w:rsidRoot w:val="00542923"/>
    <w:rsid w:val="00063018"/>
    <w:rsid w:val="00080615"/>
    <w:rsid w:val="000B3752"/>
    <w:rsid w:val="000C252F"/>
    <w:rsid w:val="000D08F0"/>
    <w:rsid w:val="000D6562"/>
    <w:rsid w:val="00115283"/>
    <w:rsid w:val="00145049"/>
    <w:rsid w:val="00187114"/>
    <w:rsid w:val="001921A9"/>
    <w:rsid w:val="001A0D72"/>
    <w:rsid w:val="001A1F18"/>
    <w:rsid w:val="001C07D9"/>
    <w:rsid w:val="00211AED"/>
    <w:rsid w:val="00233648"/>
    <w:rsid w:val="002573ED"/>
    <w:rsid w:val="002804D3"/>
    <w:rsid w:val="00282A7E"/>
    <w:rsid w:val="002F455A"/>
    <w:rsid w:val="00340A60"/>
    <w:rsid w:val="003449A0"/>
    <w:rsid w:val="00356D05"/>
    <w:rsid w:val="00393599"/>
    <w:rsid w:val="003976B5"/>
    <w:rsid w:val="00397E25"/>
    <w:rsid w:val="004154E2"/>
    <w:rsid w:val="00446CA8"/>
    <w:rsid w:val="004B107A"/>
    <w:rsid w:val="00524BDA"/>
    <w:rsid w:val="00534D53"/>
    <w:rsid w:val="00542923"/>
    <w:rsid w:val="00546F0F"/>
    <w:rsid w:val="005550DD"/>
    <w:rsid w:val="005611E7"/>
    <w:rsid w:val="00564BD4"/>
    <w:rsid w:val="00583E84"/>
    <w:rsid w:val="005872EE"/>
    <w:rsid w:val="00593CFA"/>
    <w:rsid w:val="005A368C"/>
    <w:rsid w:val="005F4A1F"/>
    <w:rsid w:val="0064254F"/>
    <w:rsid w:val="0065343E"/>
    <w:rsid w:val="00680F04"/>
    <w:rsid w:val="006A5749"/>
    <w:rsid w:val="006D4A3D"/>
    <w:rsid w:val="006F1181"/>
    <w:rsid w:val="007147DC"/>
    <w:rsid w:val="00761DF2"/>
    <w:rsid w:val="0076765C"/>
    <w:rsid w:val="007756DB"/>
    <w:rsid w:val="00781AE4"/>
    <w:rsid w:val="007C7A1B"/>
    <w:rsid w:val="00837CE3"/>
    <w:rsid w:val="0084276E"/>
    <w:rsid w:val="00884576"/>
    <w:rsid w:val="00885C62"/>
    <w:rsid w:val="008E21DE"/>
    <w:rsid w:val="00911F46"/>
    <w:rsid w:val="00971C95"/>
    <w:rsid w:val="00995077"/>
    <w:rsid w:val="009E3DEA"/>
    <w:rsid w:val="009E4255"/>
    <w:rsid w:val="009F200E"/>
    <w:rsid w:val="00A07476"/>
    <w:rsid w:val="00A07E4A"/>
    <w:rsid w:val="00A3021D"/>
    <w:rsid w:val="00A51A9F"/>
    <w:rsid w:val="00A56018"/>
    <w:rsid w:val="00A8475F"/>
    <w:rsid w:val="00AB12D5"/>
    <w:rsid w:val="00AC57B4"/>
    <w:rsid w:val="00AD735D"/>
    <w:rsid w:val="00AE6B0F"/>
    <w:rsid w:val="00AF0899"/>
    <w:rsid w:val="00B603C0"/>
    <w:rsid w:val="00B83F72"/>
    <w:rsid w:val="00BB001A"/>
    <w:rsid w:val="00BD7D73"/>
    <w:rsid w:val="00C0421C"/>
    <w:rsid w:val="00C22985"/>
    <w:rsid w:val="00C61DA8"/>
    <w:rsid w:val="00C75CAF"/>
    <w:rsid w:val="00C837F2"/>
    <w:rsid w:val="00CA074C"/>
    <w:rsid w:val="00CA6BAF"/>
    <w:rsid w:val="00CA7162"/>
    <w:rsid w:val="00CE04F5"/>
    <w:rsid w:val="00CE7C32"/>
    <w:rsid w:val="00CF441D"/>
    <w:rsid w:val="00CF7327"/>
    <w:rsid w:val="00D0182E"/>
    <w:rsid w:val="00D06C98"/>
    <w:rsid w:val="00D13C69"/>
    <w:rsid w:val="00D3339D"/>
    <w:rsid w:val="00D3660E"/>
    <w:rsid w:val="00D858F1"/>
    <w:rsid w:val="00DF74BA"/>
    <w:rsid w:val="00E06B80"/>
    <w:rsid w:val="00E11F73"/>
    <w:rsid w:val="00E47B96"/>
    <w:rsid w:val="00E52B17"/>
    <w:rsid w:val="00E70B49"/>
    <w:rsid w:val="00E819EA"/>
    <w:rsid w:val="00E8252D"/>
    <w:rsid w:val="00EC523C"/>
    <w:rsid w:val="00EF71B1"/>
    <w:rsid w:val="00F12AE5"/>
    <w:rsid w:val="00F42041"/>
    <w:rsid w:val="00F53A8C"/>
    <w:rsid w:val="00F57815"/>
    <w:rsid w:val="00F637F6"/>
    <w:rsid w:val="00F81BCD"/>
    <w:rsid w:val="00F86B38"/>
    <w:rsid w:val="00F9318C"/>
    <w:rsid w:val="00FE4D12"/>
    <w:rsid w:val="00FF08F5"/>
    <w:rsid w:val="00FF67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FB926"/>
  <w15:chartTrackingRefBased/>
  <w15:docId w15:val="{C9DBC57D-BC86-4F7B-A24C-207C5C4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1C1C" w:themeColor="text2"/>
        <w:lang w:val="en-AU" w:eastAsia="en-US" w:bidi="ar-SA"/>
      </w:rPr>
    </w:rPrDefault>
    <w:pPrDefault>
      <w:pPr>
        <w:spacing w:before="240" w:after="12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F5"/>
  </w:style>
  <w:style w:type="paragraph" w:styleId="Heading1">
    <w:name w:val="heading 1"/>
    <w:basedOn w:val="Normal"/>
    <w:next w:val="Normal"/>
    <w:link w:val="Heading1Char"/>
    <w:uiPriority w:val="9"/>
    <w:qFormat/>
    <w:rsid w:val="00CA7162"/>
    <w:pPr>
      <w:keepNext/>
      <w:keepLines/>
      <w:spacing w:before="720" w:after="480" w:line="480" w:lineRule="atLeast"/>
      <w:outlineLvl w:val="0"/>
    </w:pPr>
    <w:rPr>
      <w:rFonts w:asciiTheme="majorHAnsi" w:eastAsiaTheme="majorEastAsia" w:hAnsiTheme="majorHAnsi" w:cstheme="majorBidi"/>
      <w:b/>
      <w:color w:val="004854" w:themeColor="accent2"/>
      <w:sz w:val="40"/>
      <w:szCs w:val="32"/>
    </w:rPr>
  </w:style>
  <w:style w:type="paragraph" w:styleId="Heading2">
    <w:name w:val="heading 2"/>
    <w:basedOn w:val="Normal"/>
    <w:next w:val="Normal"/>
    <w:link w:val="Heading2Char"/>
    <w:uiPriority w:val="9"/>
    <w:qFormat/>
    <w:rsid w:val="00F42041"/>
    <w:pPr>
      <w:keepNext/>
      <w:keepLines/>
      <w:spacing w:before="480" w:after="240" w:line="400" w:lineRule="atLeast"/>
      <w:outlineLvl w:val="1"/>
    </w:pPr>
    <w:rPr>
      <w:rFonts w:asciiTheme="majorHAnsi" w:eastAsiaTheme="majorEastAsia" w:hAnsiTheme="majorHAnsi" w:cstheme="majorBidi"/>
      <w:b/>
      <w:color w:val="008285" w:themeColor="accent1"/>
      <w:sz w:val="32"/>
      <w:szCs w:val="26"/>
    </w:rPr>
  </w:style>
  <w:style w:type="paragraph" w:styleId="Heading3">
    <w:name w:val="heading 3"/>
    <w:basedOn w:val="Normal"/>
    <w:next w:val="Normal"/>
    <w:link w:val="Heading3Char"/>
    <w:uiPriority w:val="9"/>
    <w:qFormat/>
    <w:rsid w:val="00F42041"/>
    <w:pPr>
      <w:keepNext/>
      <w:keepLines/>
      <w:spacing w:before="360" w:after="240" w:line="300" w:lineRule="atLeast"/>
      <w:outlineLvl w:val="2"/>
    </w:pPr>
    <w:rPr>
      <w:rFonts w:asciiTheme="majorHAnsi" w:eastAsiaTheme="majorEastAsia" w:hAnsiTheme="majorHAnsi" w:cstheme="majorBidi"/>
      <w:b/>
      <w:color w:val="004854" w:themeColor="accent2"/>
      <w:sz w:val="26"/>
      <w:szCs w:val="24"/>
    </w:rPr>
  </w:style>
  <w:style w:type="paragraph" w:styleId="Heading4">
    <w:name w:val="heading 4"/>
    <w:basedOn w:val="Normal"/>
    <w:next w:val="Normal"/>
    <w:link w:val="Heading4Char"/>
    <w:uiPriority w:val="9"/>
    <w:unhideWhenUsed/>
    <w:qFormat/>
    <w:rsid w:val="00F42041"/>
    <w:pPr>
      <w:keepNext/>
      <w:keepLines/>
      <w:spacing w:before="360" w:after="240" w:line="300" w:lineRule="atLeast"/>
      <w:outlineLvl w:val="3"/>
    </w:pPr>
    <w:rPr>
      <w:rFonts w:eastAsiaTheme="majorEastAsia" w:cstheme="majorBidi"/>
      <w:iCs/>
      <w:sz w:val="26"/>
    </w:rPr>
  </w:style>
  <w:style w:type="paragraph" w:styleId="Heading5">
    <w:name w:val="heading 5"/>
    <w:basedOn w:val="Normal"/>
    <w:next w:val="Normal"/>
    <w:link w:val="Heading5Char"/>
    <w:uiPriority w:val="9"/>
    <w:unhideWhenUsed/>
    <w:qFormat/>
    <w:rsid w:val="00F42041"/>
    <w:pPr>
      <w:keepNext/>
      <w:keepLines/>
      <w:spacing w:before="300" w:after="240"/>
      <w:outlineLvl w:val="4"/>
    </w:pPr>
    <w:rPr>
      <w:rFonts w:eastAsiaTheme="majorEastAsia" w:cstheme="majorBidi"/>
      <w:b/>
      <w:color w:val="004854" w:themeColor="accen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181"/>
    <w:pPr>
      <w:tabs>
        <w:tab w:val="center" w:pos="4820"/>
        <w:tab w:val="right" w:pos="9923"/>
      </w:tabs>
      <w:spacing w:before="0" w:after="0"/>
    </w:pPr>
    <w:rPr>
      <w:rFonts w:asciiTheme="majorHAnsi" w:hAnsiTheme="majorHAnsi"/>
      <w:sz w:val="16"/>
    </w:rPr>
  </w:style>
  <w:style w:type="character" w:customStyle="1" w:styleId="HeaderChar">
    <w:name w:val="Header Char"/>
    <w:basedOn w:val="DefaultParagraphFont"/>
    <w:link w:val="Header"/>
    <w:uiPriority w:val="99"/>
    <w:rsid w:val="006F1181"/>
    <w:rPr>
      <w:rFonts w:asciiTheme="majorHAnsi" w:hAnsiTheme="majorHAnsi"/>
      <w:sz w:val="16"/>
    </w:rPr>
  </w:style>
  <w:style w:type="paragraph" w:styleId="Footer">
    <w:name w:val="footer"/>
    <w:basedOn w:val="Normal"/>
    <w:link w:val="FooterChar"/>
    <w:uiPriority w:val="99"/>
    <w:rsid w:val="006F1181"/>
    <w:pPr>
      <w:tabs>
        <w:tab w:val="center" w:pos="4820"/>
        <w:tab w:val="right" w:pos="9923"/>
      </w:tabs>
      <w:spacing w:before="0" w:after="0"/>
    </w:pPr>
    <w:rPr>
      <w:rFonts w:asciiTheme="majorHAnsi" w:hAnsiTheme="majorHAnsi"/>
      <w:sz w:val="16"/>
    </w:rPr>
  </w:style>
  <w:style w:type="character" w:customStyle="1" w:styleId="FooterChar">
    <w:name w:val="Footer Char"/>
    <w:basedOn w:val="DefaultParagraphFont"/>
    <w:link w:val="Footer"/>
    <w:uiPriority w:val="99"/>
    <w:rsid w:val="006F1181"/>
    <w:rPr>
      <w:rFonts w:asciiTheme="majorHAnsi" w:hAnsiTheme="majorHAnsi"/>
      <w:sz w:val="16"/>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F42041"/>
    <w:rPr>
      <w:rFonts w:asciiTheme="majorHAnsi" w:eastAsiaTheme="majorEastAsia" w:hAnsiTheme="majorHAnsi" w:cstheme="majorBidi"/>
      <w:b/>
      <w:color w:val="008285" w:themeColor="accent1"/>
      <w:sz w:val="32"/>
      <w:szCs w:val="26"/>
    </w:rPr>
  </w:style>
  <w:style w:type="paragraph" w:customStyle="1" w:styleId="AppendixNumbered">
    <w:name w:val="Appendix Numbered"/>
    <w:basedOn w:val="Heading2"/>
    <w:uiPriority w:val="11"/>
    <w:qFormat/>
    <w:rsid w:val="00DF74BA"/>
    <w:pPr>
      <w:pageBreakBefore/>
      <w:numPr>
        <w:numId w:val="12"/>
      </w:numPr>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3"/>
    <w:qFormat/>
    <w:rsid w:val="00D3660E"/>
    <w:pPr>
      <w:pBdr>
        <w:top w:val="single" w:sz="4" w:space="14" w:color="D4ECEC" w:themeColor="accent4"/>
        <w:left w:val="single" w:sz="4" w:space="14" w:color="D4ECEC" w:themeColor="accent4"/>
        <w:bottom w:val="single" w:sz="4" w:space="14" w:color="D4ECEC" w:themeColor="accent4"/>
        <w:right w:val="single" w:sz="4" w:space="14" w:color="D4ECEC" w:themeColor="accent4"/>
      </w:pBdr>
      <w:shd w:val="clear" w:color="auto" w:fill="D4ECEC" w:themeFill="accent4"/>
      <w:spacing w:line="240" w:lineRule="auto"/>
      <w:ind w:left="284" w:right="284"/>
    </w:pPr>
  </w:style>
  <w:style w:type="paragraph" w:customStyle="1" w:styleId="Box2Text">
    <w:name w:val="Box 2 Text"/>
    <w:basedOn w:val="Normal"/>
    <w:uiPriority w:val="14"/>
    <w:qFormat/>
    <w:rsid w:val="000B3752"/>
    <w:pPr>
      <w:pBdr>
        <w:top w:val="single" w:sz="4" w:space="14" w:color="004854" w:themeColor="accent2"/>
        <w:left w:val="single" w:sz="4" w:space="14" w:color="004854" w:themeColor="accent2"/>
        <w:bottom w:val="single" w:sz="4" w:space="14" w:color="004854" w:themeColor="accent2"/>
        <w:right w:val="single" w:sz="4" w:space="14" w:color="004854" w:themeColor="accent2"/>
      </w:pBdr>
      <w:shd w:val="clear" w:color="auto" w:fill="004854" w:themeFill="accent2"/>
      <w:spacing w:line="240" w:lineRule="auto"/>
      <w:ind w:left="284" w:right="284"/>
    </w:pPr>
    <w:rPr>
      <w:color w:val="FFFFFF" w:themeColor="background1"/>
    </w:rPr>
  </w:style>
  <w:style w:type="paragraph" w:customStyle="1" w:styleId="Box1Heading">
    <w:name w:val="Box 1 Heading"/>
    <w:basedOn w:val="Box1Text"/>
    <w:uiPriority w:val="13"/>
    <w:qFormat/>
    <w:rsid w:val="00546F0F"/>
    <w:rPr>
      <w:b/>
      <w:bCs/>
      <w:sz w:val="24"/>
      <w:szCs w:val="24"/>
    </w:rPr>
  </w:style>
  <w:style w:type="paragraph" w:customStyle="1" w:styleId="Box2Heading">
    <w:name w:val="Box 2 Heading"/>
    <w:basedOn w:val="Box2Text"/>
    <w:uiPriority w:val="14"/>
    <w:qFormat/>
    <w:rsid w:val="000B3752"/>
    <w:rPr>
      <w:b/>
      <w:bCs/>
      <w:sz w:val="24"/>
      <w:szCs w:val="24"/>
    </w:rPr>
  </w:style>
  <w:style w:type="paragraph" w:customStyle="1" w:styleId="Box1Bullet">
    <w:name w:val="Box 1 Bullet"/>
    <w:basedOn w:val="Box1Text"/>
    <w:uiPriority w:val="14"/>
    <w:qFormat/>
    <w:rsid w:val="00D3660E"/>
    <w:pPr>
      <w:numPr>
        <w:numId w:val="13"/>
      </w:numPr>
      <w:spacing w:before="120"/>
      <w:ind w:left="568" w:hanging="284"/>
    </w:pPr>
  </w:style>
  <w:style w:type="paragraph" w:customStyle="1" w:styleId="Box2Bullet">
    <w:name w:val="Box 2 Bullet"/>
    <w:basedOn w:val="Box2Text"/>
    <w:uiPriority w:val="15"/>
    <w:qFormat/>
    <w:rsid w:val="00D3660E"/>
    <w:pPr>
      <w:numPr>
        <w:ilvl w:val="1"/>
        <w:numId w:val="13"/>
      </w:numPr>
      <w:spacing w:before="120"/>
      <w:ind w:left="568" w:hanging="284"/>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2"/>
    <w:qFormat/>
    <w:rsid w:val="00CF441D"/>
    <w:pPr>
      <w:numPr>
        <w:numId w:val="14"/>
      </w:numPr>
      <w:spacing w:before="120"/>
    </w:pPr>
  </w:style>
  <w:style w:type="paragraph" w:customStyle="1" w:styleId="Bullet2">
    <w:name w:val="Bullet 2"/>
    <w:basedOn w:val="Normal"/>
    <w:uiPriority w:val="2"/>
    <w:qFormat/>
    <w:rsid w:val="00CF441D"/>
    <w:pPr>
      <w:numPr>
        <w:ilvl w:val="1"/>
        <w:numId w:val="14"/>
      </w:numPr>
      <w:spacing w:before="120"/>
      <w:ind w:left="1247"/>
    </w:pPr>
  </w:style>
  <w:style w:type="paragraph" w:customStyle="1" w:styleId="Bullet3">
    <w:name w:val="Bullet 3"/>
    <w:basedOn w:val="Normal"/>
    <w:uiPriority w:val="2"/>
    <w:qFormat/>
    <w:rsid w:val="00CF441D"/>
    <w:pPr>
      <w:numPr>
        <w:ilvl w:val="2"/>
        <w:numId w:val="14"/>
      </w:numPr>
      <w:spacing w:before="120"/>
      <w:ind w:left="1701"/>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85" w:themeFill="accent1"/>
      </w:tcPr>
    </w:tblStylePr>
    <w:tblStylePr w:type="band1Vert">
      <w:tblPr/>
      <w:tcPr>
        <w:shd w:val="clear" w:color="auto" w:fill="68FBFF" w:themeFill="accent1" w:themeFillTint="66"/>
      </w:tcPr>
    </w:tblStylePr>
    <w:tblStylePr w:type="band1Horz">
      <w:tblPr/>
      <w:tcPr>
        <w:shd w:val="clear" w:color="auto" w:fill="68FBFF" w:themeFill="accent1" w:themeFillTint="66"/>
      </w:tcPr>
    </w:tblStylePr>
  </w:style>
  <w:style w:type="table" w:customStyle="1" w:styleId="AICTable1">
    <w:name w:val="AIC Table 1"/>
    <w:basedOn w:val="TableNormal"/>
    <w:uiPriority w:val="99"/>
    <w:rsid w:val="00CF7327"/>
    <w:pPr>
      <w:spacing w:before="60" w:after="60" w:line="240" w:lineRule="auto"/>
    </w:pPr>
    <w:tblPr>
      <w:tblStyleRowBandSize w:val="1"/>
      <w:tblStyleColBandSize w:val="1"/>
      <w:tblBorders>
        <w:top w:val="single" w:sz="4" w:space="0" w:color="00A3A7" w:themeColor="accent3"/>
        <w:bottom w:val="single" w:sz="4" w:space="0" w:color="00A3A7" w:themeColor="accent3"/>
        <w:insideH w:val="single" w:sz="4" w:space="0" w:color="00A3A7" w:themeColor="accent3"/>
      </w:tblBorders>
      <w:tblCellMar>
        <w:top w:w="45" w:type="dxa"/>
        <w:bottom w:w="45" w:type="dxa"/>
      </w:tblCellMar>
    </w:tblPr>
    <w:tblStylePr w:type="firstRow">
      <w:rPr>
        <w:b/>
        <w:color w:val="FFFFFF" w:themeColor="background1"/>
        <w:sz w:val="22"/>
      </w:rPr>
      <w:tblPr/>
      <w:tcPr>
        <w:tcBorders>
          <w:top w:val="single" w:sz="4" w:space="0" w:color="004854" w:themeColor="accent2"/>
          <w:bottom w:val="single" w:sz="4" w:space="0" w:color="004854" w:themeColor="accent2"/>
          <w:insideH w:val="single" w:sz="4" w:space="0" w:color="004854" w:themeColor="accent2"/>
        </w:tcBorders>
        <w:shd w:val="clear" w:color="auto" w:fill="004854" w:themeFill="accent2"/>
      </w:tcPr>
    </w:tblStylePr>
    <w:tblStylePr w:type="lastRow">
      <w:tblPr/>
      <w:tcPr>
        <w:shd w:val="clear" w:color="auto" w:fill="E2E3E7" w:themeFill="background2"/>
      </w:tcPr>
    </w:tblStylePr>
    <w:tblStylePr w:type="firstCol">
      <w:rPr>
        <w:b/>
        <w:color w:val="004854" w:themeColor="accent2"/>
      </w:rPr>
      <w:tblPr/>
      <w:tcPr>
        <w:shd w:val="clear" w:color="auto" w:fill="D4ECEC" w:themeFill="accent4"/>
      </w:tcPr>
    </w:tblStylePr>
    <w:tblStylePr w:type="lastCol">
      <w:tblPr/>
      <w:tcPr>
        <w:shd w:val="clear" w:color="auto" w:fill="E2E3E7" w:themeFill="background2"/>
      </w:tcPr>
    </w:tblStylePr>
    <w:tblStylePr w:type="band2Vert">
      <w:tblPr/>
      <w:tcPr>
        <w:shd w:val="clear" w:color="auto" w:fill="D4ECEC" w:themeFill="accent4"/>
      </w:tcPr>
    </w:tblStylePr>
    <w:tblStylePr w:type="band2Horz">
      <w:tblPr/>
      <w:tcPr>
        <w:shd w:val="clear" w:color="auto" w:fill="D4ECEC" w:themeFill="accent4"/>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CF441D"/>
    <w:pPr>
      <w:spacing w:before="0" w:after="0" w:line="180" w:lineRule="atLeast"/>
    </w:pPr>
    <w:rPr>
      <w:sz w:val="14"/>
    </w:rPr>
  </w:style>
  <w:style w:type="character" w:customStyle="1" w:styleId="FootnoteTextChar">
    <w:name w:val="Footnote Text Char"/>
    <w:basedOn w:val="DefaultParagraphFont"/>
    <w:link w:val="FootnoteText"/>
    <w:uiPriority w:val="99"/>
    <w:rsid w:val="00CF441D"/>
    <w:rPr>
      <w:sz w:val="14"/>
    </w:rPr>
  </w:style>
  <w:style w:type="character" w:customStyle="1" w:styleId="Heading1Char">
    <w:name w:val="Heading 1 Char"/>
    <w:basedOn w:val="DefaultParagraphFont"/>
    <w:link w:val="Heading1"/>
    <w:uiPriority w:val="9"/>
    <w:rsid w:val="00CA7162"/>
    <w:rPr>
      <w:rFonts w:asciiTheme="majorHAnsi" w:eastAsiaTheme="majorEastAsia" w:hAnsiTheme="majorHAnsi" w:cstheme="majorBidi"/>
      <w:b/>
      <w:color w:val="004854" w:themeColor="accent2"/>
      <w:sz w:val="40"/>
      <w:szCs w:val="32"/>
    </w:rPr>
  </w:style>
  <w:style w:type="paragraph" w:customStyle="1" w:styleId="Heading1Numbered">
    <w:name w:val="Heading 1 Numbered"/>
    <w:basedOn w:val="Heading1"/>
    <w:uiPriority w:val="10"/>
    <w:qFormat/>
    <w:rsid w:val="00781AE4"/>
    <w:pPr>
      <w:numPr>
        <w:numId w:val="16"/>
      </w:numPr>
    </w:pPr>
  </w:style>
  <w:style w:type="paragraph" w:customStyle="1" w:styleId="Heading2Numbered">
    <w:name w:val="Heading 2 Numbered"/>
    <w:basedOn w:val="Heading2"/>
    <w:uiPriority w:val="10"/>
    <w:qFormat/>
    <w:rsid w:val="00781AE4"/>
    <w:pPr>
      <w:numPr>
        <w:numId w:val="17"/>
      </w:numPr>
    </w:pPr>
  </w:style>
  <w:style w:type="character" w:customStyle="1" w:styleId="Heading3Char">
    <w:name w:val="Heading 3 Char"/>
    <w:basedOn w:val="DefaultParagraphFont"/>
    <w:link w:val="Heading3"/>
    <w:uiPriority w:val="9"/>
    <w:rsid w:val="00F42041"/>
    <w:rPr>
      <w:rFonts w:asciiTheme="majorHAnsi" w:eastAsiaTheme="majorEastAsia" w:hAnsiTheme="majorHAnsi" w:cstheme="majorBidi"/>
      <w:b/>
      <w:color w:val="004854" w:themeColor="accent2"/>
      <w:sz w:val="26"/>
      <w:szCs w:val="24"/>
    </w:rPr>
  </w:style>
  <w:style w:type="paragraph" w:customStyle="1" w:styleId="Heading3Numbered">
    <w:name w:val="Heading 3 Numbered"/>
    <w:basedOn w:val="Heading3"/>
    <w:uiPriority w:val="10"/>
    <w:qFormat/>
    <w:rsid w:val="00781AE4"/>
    <w:pPr>
      <w:numPr>
        <w:ilvl w:val="2"/>
        <w:numId w:val="16"/>
      </w:numPr>
    </w:pPr>
  </w:style>
  <w:style w:type="character" w:customStyle="1" w:styleId="Heading4Char">
    <w:name w:val="Heading 4 Char"/>
    <w:basedOn w:val="DefaultParagraphFont"/>
    <w:link w:val="Heading4"/>
    <w:uiPriority w:val="9"/>
    <w:rsid w:val="00F42041"/>
    <w:rPr>
      <w:rFonts w:eastAsiaTheme="majorEastAsia" w:cstheme="majorBidi"/>
      <w:iCs/>
      <w:sz w:val="26"/>
    </w:rPr>
  </w:style>
  <w:style w:type="paragraph" w:customStyle="1" w:styleId="Heading4Numbered">
    <w:name w:val="Heading 4 Numbered"/>
    <w:basedOn w:val="Heading4"/>
    <w:uiPriority w:val="10"/>
    <w:unhideWhenUsed/>
    <w:qFormat/>
    <w:rsid w:val="00781AE4"/>
    <w:pPr>
      <w:numPr>
        <w:ilvl w:val="3"/>
        <w:numId w:val="16"/>
      </w:numPr>
    </w:pPr>
  </w:style>
  <w:style w:type="character" w:customStyle="1" w:styleId="Heading5Char">
    <w:name w:val="Heading 5 Char"/>
    <w:basedOn w:val="DefaultParagraphFont"/>
    <w:link w:val="Heading5"/>
    <w:uiPriority w:val="9"/>
    <w:rsid w:val="00F42041"/>
    <w:rPr>
      <w:rFonts w:eastAsiaTheme="majorEastAsia" w:cstheme="majorBidi"/>
      <w:b/>
      <w:color w:val="004854" w:themeColor="accent2"/>
    </w:rPr>
  </w:style>
  <w:style w:type="character" w:customStyle="1" w:styleId="ReferenceNumber">
    <w:name w:val="Reference Number"/>
    <w:basedOn w:val="DefaultParagraphFont"/>
    <w:uiPriority w:val="1"/>
    <w:qFormat/>
    <w:rsid w:val="006A5749"/>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F42041"/>
    <w:pPr>
      <w:spacing w:before="360" w:after="360" w:line="320" w:lineRule="atLeast"/>
      <w:contextualSpacing/>
    </w:pPr>
    <w:rPr>
      <w:rFonts w:asciiTheme="majorHAnsi" w:hAnsiTheme="majorHAnsi"/>
      <w:color w:val="008285" w:themeColor="accent1"/>
      <w:sz w:val="24"/>
    </w:rPr>
  </w:style>
  <w:style w:type="numbering" w:customStyle="1" w:styleId="List1Numbered">
    <w:name w:val="List 1 Numbered"/>
    <w:uiPriority w:val="99"/>
    <w:rsid w:val="00CF441D"/>
    <w:pPr>
      <w:numPr>
        <w:numId w:val="6"/>
      </w:numPr>
    </w:pPr>
  </w:style>
  <w:style w:type="paragraph" w:customStyle="1" w:styleId="List1Numbered1">
    <w:name w:val="List 1 Numbered 1"/>
    <w:basedOn w:val="Normal"/>
    <w:uiPriority w:val="2"/>
    <w:qFormat/>
    <w:rsid w:val="00CF441D"/>
    <w:pPr>
      <w:numPr>
        <w:numId w:val="15"/>
      </w:numPr>
    </w:pPr>
  </w:style>
  <w:style w:type="paragraph" w:customStyle="1" w:styleId="List1Numbered2">
    <w:name w:val="List 1 Numbered 2"/>
    <w:basedOn w:val="Normal"/>
    <w:uiPriority w:val="2"/>
    <w:qFormat/>
    <w:rsid w:val="00CF441D"/>
    <w:pPr>
      <w:numPr>
        <w:ilvl w:val="1"/>
        <w:numId w:val="15"/>
      </w:numPr>
      <w:spacing w:before="120"/>
    </w:pPr>
  </w:style>
  <w:style w:type="paragraph" w:customStyle="1" w:styleId="List1Numbered3">
    <w:name w:val="List 1 Numbered 3"/>
    <w:basedOn w:val="Normal"/>
    <w:uiPriority w:val="2"/>
    <w:qFormat/>
    <w:rsid w:val="00CF441D"/>
    <w:pPr>
      <w:numPr>
        <w:ilvl w:val="2"/>
        <w:numId w:val="15"/>
      </w:numPr>
      <w:spacing w:before="120"/>
      <w:ind w:left="136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781AE4"/>
    <w:pPr>
      <w:numPr>
        <w:numId w:val="7"/>
      </w:numPr>
    </w:pPr>
  </w:style>
  <w:style w:type="paragraph" w:styleId="Quote">
    <w:name w:val="Quote"/>
    <w:basedOn w:val="Normal"/>
    <w:next w:val="Normal"/>
    <w:link w:val="QuoteChar"/>
    <w:uiPriority w:val="34"/>
    <w:qFormat/>
    <w:rsid w:val="00CF441D"/>
    <w:pPr>
      <w:pBdr>
        <w:left w:val="single" w:sz="8" w:space="24" w:color="00A3A7" w:themeColor="accent3"/>
      </w:pBdr>
      <w:spacing w:after="240" w:line="320" w:lineRule="atLeast"/>
      <w:ind w:left="454" w:right="567"/>
    </w:pPr>
    <w:rPr>
      <w:i/>
      <w:iCs/>
      <w:color w:val="404040" w:themeColor="text1" w:themeTint="BF"/>
      <w:sz w:val="24"/>
    </w:rPr>
  </w:style>
  <w:style w:type="paragraph" w:customStyle="1" w:styleId="SourceNotes">
    <w:name w:val="Source Notes"/>
    <w:basedOn w:val="Normal"/>
    <w:uiPriority w:val="21"/>
    <w:qFormat/>
    <w:rsid w:val="00D3660E"/>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8"/>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CE04F5"/>
    <w:pPr>
      <w:keepLines/>
      <w:numPr>
        <w:ilvl w:val="1"/>
      </w:numPr>
      <w:spacing w:before="480" w:after="480" w:line="340" w:lineRule="atLeast"/>
      <w:contextualSpacing/>
    </w:pPr>
    <w:rPr>
      <w:rFonts w:eastAsiaTheme="minorEastAsia"/>
      <w:color w:val="00202B" w:themeColor="accent6"/>
      <w:sz w:val="28"/>
      <w:szCs w:val="22"/>
    </w:rPr>
  </w:style>
  <w:style w:type="character" w:customStyle="1" w:styleId="SubtitleChar">
    <w:name w:val="Subtitle Char"/>
    <w:basedOn w:val="DefaultParagraphFont"/>
    <w:link w:val="Subtitle"/>
    <w:uiPriority w:val="23"/>
    <w:rsid w:val="00CE04F5"/>
    <w:rPr>
      <w:rFonts w:eastAsiaTheme="minorEastAsia"/>
      <w:color w:val="00202B" w:themeColor="accent6"/>
      <w:sz w:val="28"/>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customStyle="1" w:styleId="TableTitle">
    <w:name w:val="Table Title"/>
    <w:basedOn w:val="FigureTitle"/>
    <w:uiPriority w:val="12"/>
    <w:qFormat/>
    <w:rsid w:val="00AF0899"/>
    <w:pPr>
      <w:numPr>
        <w:numId w:val="10"/>
      </w:numPr>
    </w:pPr>
  </w:style>
  <w:style w:type="paragraph" w:styleId="Title">
    <w:name w:val="Title"/>
    <w:basedOn w:val="Normal"/>
    <w:next w:val="Normal"/>
    <w:link w:val="TitleChar"/>
    <w:uiPriority w:val="22"/>
    <w:qFormat/>
    <w:rsid w:val="006A5749"/>
    <w:pPr>
      <w:keepLines/>
      <w:spacing w:before="0" w:after="360" w:line="480" w:lineRule="atLeast"/>
      <w:contextualSpacing/>
      <w:outlineLvl w:val="0"/>
    </w:pPr>
    <w:rPr>
      <w:rFonts w:asciiTheme="majorHAnsi" w:eastAsiaTheme="majorEastAsia" w:hAnsiTheme="majorHAnsi" w:cstheme="majorBidi"/>
      <w:b/>
      <w:color w:val="004854" w:themeColor="accent2"/>
      <w:kern w:val="28"/>
      <w:sz w:val="40"/>
      <w:szCs w:val="56"/>
    </w:rPr>
  </w:style>
  <w:style w:type="character" w:customStyle="1" w:styleId="TitleChar">
    <w:name w:val="Title Char"/>
    <w:basedOn w:val="DefaultParagraphFont"/>
    <w:link w:val="Title"/>
    <w:uiPriority w:val="22"/>
    <w:rsid w:val="006A5749"/>
    <w:rPr>
      <w:rFonts w:asciiTheme="majorHAnsi" w:eastAsiaTheme="majorEastAsia" w:hAnsiTheme="majorHAnsi" w:cstheme="majorBidi"/>
      <w:b/>
      <w:color w:val="004854" w:themeColor="accent2"/>
      <w:kern w:val="28"/>
      <w:sz w:val="40"/>
      <w:szCs w:val="56"/>
    </w:rPr>
  </w:style>
  <w:style w:type="paragraph" w:styleId="TOC1">
    <w:name w:val="toc 1"/>
    <w:basedOn w:val="Normal"/>
    <w:next w:val="Normal"/>
    <w:autoRedefine/>
    <w:uiPriority w:val="39"/>
    <w:rsid w:val="006A5749"/>
    <w:pPr>
      <w:keepNext/>
      <w:tabs>
        <w:tab w:val="right" w:leader="dot" w:pos="9639"/>
      </w:tabs>
      <w:spacing w:before="120" w:after="60" w:line="300" w:lineRule="atLeast"/>
      <w:ind w:left="567" w:hanging="567"/>
    </w:pPr>
    <w:rPr>
      <w:rFonts w:asciiTheme="majorHAnsi" w:hAnsiTheme="majorHAnsi"/>
      <w:b/>
      <w:color w:val="004854" w:themeColor="accent2"/>
      <w:sz w:val="24"/>
    </w:rPr>
  </w:style>
  <w:style w:type="paragraph" w:styleId="TOC2">
    <w:name w:val="toc 2"/>
    <w:basedOn w:val="Normal"/>
    <w:next w:val="Normal"/>
    <w:autoRedefine/>
    <w:uiPriority w:val="39"/>
    <w:rsid w:val="00583E84"/>
    <w:pPr>
      <w:tabs>
        <w:tab w:val="left" w:pos="1134"/>
        <w:tab w:val="right" w:leader="dot" w:pos="9639"/>
      </w:tabs>
      <w:spacing w:before="60" w:after="0" w:line="300" w:lineRule="atLeast"/>
      <w:ind w:left="567" w:hanging="567"/>
    </w:pPr>
    <w:rPr>
      <w:rFonts w:asciiTheme="majorHAnsi" w:hAnsiTheme="majorHAnsi"/>
      <w:b/>
      <w:sz w:val="24"/>
    </w:rPr>
  </w:style>
  <w:style w:type="paragraph" w:styleId="TOC3">
    <w:name w:val="toc 3"/>
    <w:basedOn w:val="Normal"/>
    <w:next w:val="Normal"/>
    <w:autoRedefine/>
    <w:uiPriority w:val="39"/>
    <w:rsid w:val="00583E84"/>
    <w:pPr>
      <w:tabs>
        <w:tab w:val="right" w:leader="dot" w:pos="9639"/>
      </w:tabs>
      <w:spacing w:before="0" w:after="0" w:line="300" w:lineRule="atLeast"/>
      <w:ind w:left="1134" w:hanging="567"/>
    </w:pPr>
    <w:rPr>
      <w:sz w:val="24"/>
    </w:r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2"/>
    <w:next w:val="Normal"/>
    <w:uiPriority w:val="39"/>
    <w:qFormat/>
    <w:rsid w:val="00F42041"/>
    <w:pPr>
      <w:outlineLvl w:val="9"/>
    </w:pPr>
  </w:style>
  <w:style w:type="numbering" w:customStyle="1" w:styleId="DefaultBullets">
    <w:name w:val="Default Bullets"/>
    <w:uiPriority w:val="99"/>
    <w:rsid w:val="00CF441D"/>
    <w:pPr>
      <w:numPr>
        <w:numId w:val="11"/>
      </w:numPr>
    </w:pPr>
  </w:style>
  <w:style w:type="paragraph" w:customStyle="1" w:styleId="CoverDate">
    <w:name w:val="Cover Date"/>
    <w:basedOn w:val="Normal"/>
    <w:uiPriority w:val="24"/>
    <w:qFormat/>
    <w:rsid w:val="00CE04F5"/>
    <w:pPr>
      <w:spacing w:before="0" w:after="2400"/>
      <w:jc w:val="right"/>
    </w:pPr>
    <w:rPr>
      <w:color w:val="00202B" w:themeColor="accent6"/>
      <w:sz w:val="78"/>
      <w:szCs w:val="78"/>
    </w:rPr>
  </w:style>
  <w:style w:type="character" w:styleId="PlaceholderText">
    <w:name w:val="Placeholder Text"/>
    <w:basedOn w:val="DefaultParagraphFont"/>
    <w:uiPriority w:val="99"/>
    <w:semiHidden/>
    <w:rsid w:val="00340A60"/>
    <w:rPr>
      <w:color w:val="808080"/>
    </w:rPr>
  </w:style>
  <w:style w:type="character" w:styleId="UnresolvedMention">
    <w:name w:val="Unresolved Mention"/>
    <w:basedOn w:val="DefaultParagraphFont"/>
    <w:uiPriority w:val="99"/>
    <w:semiHidden/>
    <w:unhideWhenUsed/>
    <w:rsid w:val="00340A60"/>
    <w:rPr>
      <w:color w:val="605E5C"/>
      <w:shd w:val="clear" w:color="auto" w:fill="E1DFDD"/>
    </w:rPr>
  </w:style>
  <w:style w:type="character" w:customStyle="1" w:styleId="QuoteChar">
    <w:name w:val="Quote Char"/>
    <w:basedOn w:val="DefaultParagraphFont"/>
    <w:link w:val="Quote"/>
    <w:uiPriority w:val="34"/>
    <w:rsid w:val="00CF441D"/>
    <w:rPr>
      <w:i/>
      <w:iCs/>
      <w:color w:val="404040" w:themeColor="text1" w:themeTint="BF"/>
      <w:sz w:val="24"/>
    </w:rPr>
  </w:style>
  <w:style w:type="character" w:customStyle="1" w:styleId="SecurityDLM">
    <w:name w:val="Security DLM"/>
    <w:basedOn w:val="DefaultParagraphFont"/>
    <w:uiPriority w:val="1"/>
    <w:qFormat/>
    <w:rsid w:val="006F1181"/>
    <w:rPr>
      <w:b/>
      <w:caps/>
      <w:smallCaps w:val="0"/>
      <w:color w:val="FF0000"/>
      <w:sz w:val="24"/>
    </w:rPr>
  </w:style>
  <w:style w:type="paragraph" w:styleId="ListParagraph">
    <w:name w:val="List Paragraph"/>
    <w:basedOn w:val="Normal"/>
    <w:link w:val="ListParagraphChar"/>
    <w:uiPriority w:val="34"/>
    <w:qFormat/>
    <w:rsid w:val="00542923"/>
    <w:pPr>
      <w:numPr>
        <w:ilvl w:val="1"/>
        <w:numId w:val="17"/>
      </w:numPr>
      <w:spacing w:before="0" w:after="160" w:line="259" w:lineRule="auto"/>
      <w:contextualSpacing/>
    </w:pPr>
    <w:rPr>
      <w:color w:val="auto"/>
      <w:sz w:val="22"/>
      <w:szCs w:val="22"/>
    </w:rPr>
  </w:style>
  <w:style w:type="character" w:customStyle="1" w:styleId="ListParagraphChar">
    <w:name w:val="List Paragraph Char"/>
    <w:basedOn w:val="DefaultParagraphFont"/>
    <w:link w:val="ListParagraph"/>
    <w:uiPriority w:val="34"/>
    <w:rsid w:val="00542923"/>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oaic.gov.au/assets/privacy/app-guidelines/app-guidelines-july-2019.pdf" TargetMode="External"/><Relationship Id="rId1" Type="http://schemas.openxmlformats.org/officeDocument/2006/relationships/hyperlink" Target="https://www.oaic.gov.au/privacy/privacy-in-your-state/privacy-in-the-ac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T Integrity Commission 2021">
      <a:dk1>
        <a:sysClr val="windowText" lastClr="000000"/>
      </a:dk1>
      <a:lt1>
        <a:sysClr val="window" lastClr="FFFFFF"/>
      </a:lt1>
      <a:dk2>
        <a:srgbClr val="1C1C1C"/>
      </a:dk2>
      <a:lt2>
        <a:srgbClr val="E2E3E7"/>
      </a:lt2>
      <a:accent1>
        <a:srgbClr val="008285"/>
      </a:accent1>
      <a:accent2>
        <a:srgbClr val="004854"/>
      </a:accent2>
      <a:accent3>
        <a:srgbClr val="00A3A7"/>
      </a:accent3>
      <a:accent4>
        <a:srgbClr val="D4ECEC"/>
      </a:accent4>
      <a:accent5>
        <a:srgbClr val="578E9A"/>
      </a:accent5>
      <a:accent6>
        <a:srgbClr val="00202B"/>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0D2-DC85-45D3-8FA8-6C057F06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3154</Words>
  <Characters>17847</Characters>
  <Application>Microsoft Office Word</Application>
  <DocSecurity>0</DocSecurity>
  <Lines>442</Lines>
  <Paragraphs>177</Paragraphs>
  <ScaleCrop>false</ScaleCrop>
  <HeadingPairs>
    <vt:vector size="2" baseType="variant">
      <vt:variant>
        <vt:lpstr>Title</vt:lpstr>
      </vt:variant>
      <vt:variant>
        <vt:i4>1</vt:i4>
      </vt:variant>
    </vt:vector>
  </HeadingPairs>
  <TitlesOfParts>
    <vt:vector size="1" baseType="lpstr">
      <vt:lpstr>Integrity Commission (Information) Guidelines 2022</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(Information) Guidelines 2022</dc:title>
  <dc:subject/>
  <dc:creator>Turl, Jasmine</dc:creator>
  <cp:keywords>2</cp:keywords>
  <dc:description/>
  <cp:lastModifiedBy>Moxon, KarenL</cp:lastModifiedBy>
  <cp:revision>4</cp:revision>
  <dcterms:created xsi:type="dcterms:W3CDTF">2022-06-29T07:15:00Z</dcterms:created>
  <dcterms:modified xsi:type="dcterms:W3CDTF">2022-06-29T07:15:00Z</dcterms:modified>
  <cp:contentStatus>Insert Security Classificatio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9539469</vt:lpwstr>
  </property>
  <property fmtid="{D5CDD505-2E9C-101B-9397-08002B2CF9AE}" pid="4" name="JMSREQUIREDCHECKIN">
    <vt:lpwstr/>
  </property>
</Properties>
</file>