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F122" w14:textId="77777777" w:rsidR="001A2036" w:rsidRDefault="00CA0B95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010F8D22" w14:textId="77777777" w:rsidR="001A2036" w:rsidRDefault="001A2036">
      <w:pPr>
        <w:rPr>
          <w:rFonts w:ascii="Arial" w:hAnsi="Arial"/>
          <w:snapToGrid w:val="0"/>
          <w:color w:val="000000"/>
          <w:sz w:val="23"/>
        </w:rPr>
      </w:pPr>
    </w:p>
    <w:p w14:paraId="4CA5F47E" w14:textId="77777777" w:rsidR="001A2036" w:rsidRDefault="00CA0B95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 xml:space="preserve">Utilities (Energy industry levy </w:t>
      </w:r>
      <w:r w:rsidR="00311128">
        <w:rPr>
          <w:rFonts w:ascii="Arial" w:hAnsi="Arial"/>
          <w:b/>
          <w:snapToGrid w:val="0"/>
          <w:color w:val="000000"/>
          <w:sz w:val="40"/>
        </w:rPr>
        <w:t>–</w:t>
      </w:r>
      <w:r>
        <w:rPr>
          <w:rFonts w:ascii="Arial" w:hAnsi="Arial"/>
          <w:b/>
          <w:snapToGrid w:val="0"/>
          <w:color w:val="000000"/>
          <w:sz w:val="40"/>
        </w:rPr>
        <w:t xml:space="preserve"> </w:t>
      </w:r>
      <w:r w:rsidR="00311128">
        <w:rPr>
          <w:rFonts w:ascii="Arial" w:hAnsi="Arial"/>
          <w:b/>
          <w:snapToGrid w:val="0"/>
          <w:color w:val="000000"/>
          <w:sz w:val="40"/>
        </w:rPr>
        <w:t>base amount</w:t>
      </w:r>
      <w:r>
        <w:rPr>
          <w:rFonts w:ascii="Arial" w:hAnsi="Arial"/>
          <w:b/>
          <w:snapToGrid w:val="0"/>
          <w:color w:val="000000"/>
          <w:sz w:val="40"/>
        </w:rPr>
        <w:t>) Determination 20</w:t>
      </w:r>
      <w:r w:rsidR="00713151">
        <w:rPr>
          <w:rFonts w:ascii="Arial" w:hAnsi="Arial"/>
          <w:b/>
          <w:snapToGrid w:val="0"/>
          <w:color w:val="000000"/>
          <w:sz w:val="40"/>
        </w:rPr>
        <w:t>22</w:t>
      </w:r>
    </w:p>
    <w:p w14:paraId="15A166E2" w14:textId="77777777" w:rsidR="001A2036" w:rsidRDefault="001A2036">
      <w:pPr>
        <w:rPr>
          <w:rFonts w:ascii="Arial" w:hAnsi="Arial"/>
          <w:b/>
          <w:snapToGrid w:val="0"/>
          <w:color w:val="000000"/>
          <w:sz w:val="32"/>
        </w:rPr>
      </w:pPr>
    </w:p>
    <w:p w14:paraId="6BF4BAA0" w14:textId="77777777" w:rsidR="001A2036" w:rsidRDefault="00CA0B95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</w:t>
      </w:r>
      <w:r w:rsidR="00713151">
        <w:rPr>
          <w:rFonts w:ascii="Arial" w:hAnsi="Arial"/>
          <w:b/>
          <w:snapToGrid w:val="0"/>
          <w:color w:val="000000"/>
        </w:rPr>
        <w:t>22</w:t>
      </w:r>
      <w:r w:rsidR="00260F16">
        <w:rPr>
          <w:rFonts w:ascii="Arial" w:hAnsi="Arial"/>
          <w:b/>
          <w:snapToGrid w:val="0"/>
          <w:color w:val="000000"/>
        </w:rPr>
        <w:t>-</w:t>
      </w:r>
      <w:r w:rsidR="00260F16" w:rsidRPr="00260F16">
        <w:rPr>
          <w:rFonts w:ascii="Arial" w:hAnsi="Arial"/>
          <w:b/>
          <w:snapToGrid w:val="0"/>
          <w:color w:val="000000"/>
        </w:rPr>
        <w:t>487</w:t>
      </w:r>
    </w:p>
    <w:p w14:paraId="26A873C1" w14:textId="77777777" w:rsidR="001A2036" w:rsidRDefault="001A2036">
      <w:pPr>
        <w:rPr>
          <w:rFonts w:ascii="Arial" w:hAnsi="Arial"/>
          <w:b/>
          <w:snapToGrid w:val="0"/>
          <w:color w:val="000000"/>
        </w:rPr>
      </w:pPr>
    </w:p>
    <w:p w14:paraId="276D6EAF" w14:textId="77777777" w:rsidR="001A2036" w:rsidRDefault="00CA0B95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2C3BF290" w14:textId="77777777" w:rsidR="001A2036" w:rsidRDefault="00CA0B95">
      <w:pPr>
        <w:pStyle w:val="CoverActName"/>
      </w:pPr>
      <w:r w:rsidRPr="003C2D00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161268">
        <w:rPr>
          <w:rFonts w:cs="Arial"/>
          <w:i/>
          <w:sz w:val="20"/>
        </w:rPr>
        <w:t>2000</w:t>
      </w:r>
      <w:r w:rsidR="00311128">
        <w:rPr>
          <w:rFonts w:cs="Arial"/>
          <w:sz w:val="20"/>
        </w:rPr>
        <w:t>, section 54C (Energy industry levy</w:t>
      </w:r>
      <w:r w:rsidR="00311128">
        <w:rPr>
          <w:rFonts w:asciiTheme="minorHAnsi" w:hAnsiTheme="minorHAnsi"/>
          <w:i/>
          <w:iCs/>
        </w:rPr>
        <w:t>–</w:t>
      </w:r>
      <w:r w:rsidR="00311128" w:rsidRPr="00311128">
        <w:rPr>
          <w:rFonts w:asciiTheme="minorHAnsi" w:hAnsiTheme="minorHAnsi"/>
          <w:iCs/>
        </w:rPr>
        <w:t>imposition</w:t>
      </w:r>
      <w:r w:rsidR="00311128">
        <w:rPr>
          <w:rFonts w:asciiTheme="minorHAnsi" w:hAnsiTheme="minorHAnsi"/>
          <w:iCs/>
        </w:rPr>
        <w:t>)</w:t>
      </w:r>
      <w:r w:rsidR="00311128" w:rsidRPr="00311128">
        <w:rPr>
          <w:rFonts w:asciiTheme="minorHAnsi" w:hAnsiTheme="minorHAnsi"/>
          <w:iCs/>
        </w:rPr>
        <w:t xml:space="preserve"> and </w:t>
      </w:r>
      <w:r w:rsidR="00311128" w:rsidRPr="00311128">
        <w:rPr>
          <w:rFonts w:cs="Arial"/>
          <w:sz w:val="20"/>
        </w:rPr>
        <w:t>section</w:t>
      </w:r>
      <w:r w:rsidR="00311128">
        <w:rPr>
          <w:rFonts w:cs="Arial"/>
          <w:sz w:val="20"/>
        </w:rPr>
        <w:t xml:space="preserve"> 54GA(2)</w:t>
      </w:r>
      <w:r>
        <w:rPr>
          <w:rFonts w:cs="Arial"/>
          <w:sz w:val="20"/>
        </w:rPr>
        <w:t xml:space="preserve"> (</w:t>
      </w:r>
      <w:r w:rsidR="00311128">
        <w:rPr>
          <w:rFonts w:cs="Arial"/>
          <w:sz w:val="20"/>
        </w:rPr>
        <w:t>Regulatory cost – determinations (base amount for an energy industry sector</w:t>
      </w:r>
      <w:r w:rsidR="00BA594C">
        <w:rPr>
          <w:rFonts w:cs="Arial"/>
          <w:sz w:val="20"/>
        </w:rPr>
        <w:t>)</w:t>
      </w:r>
      <w:r>
        <w:rPr>
          <w:rFonts w:cs="Arial"/>
          <w:sz w:val="20"/>
        </w:rPr>
        <w:t>)</w:t>
      </w:r>
    </w:p>
    <w:p w14:paraId="12D540A1" w14:textId="77777777" w:rsidR="001A2036" w:rsidRDefault="001A2036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14:paraId="1A1D0A73" w14:textId="77777777" w:rsidR="001A2036" w:rsidRDefault="001A2036">
      <w:pPr>
        <w:rPr>
          <w:rFonts w:ascii="Arial" w:hAnsi="Arial"/>
          <w:snapToGrid w:val="0"/>
          <w:color w:val="000000"/>
        </w:rPr>
      </w:pPr>
    </w:p>
    <w:p w14:paraId="6726ACD3" w14:textId="77777777" w:rsidR="001A2036" w:rsidRDefault="00CA0B9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C10CB1" w14:textId="77777777" w:rsidR="001A2036" w:rsidRPr="00075B30" w:rsidRDefault="00CA0B95">
      <w:pPr>
        <w:spacing w:before="80" w:after="60"/>
        <w:ind w:left="720"/>
        <w:rPr>
          <w:rFonts w:asciiTheme="minorHAnsi" w:hAnsiTheme="minorHAnsi"/>
        </w:rPr>
      </w:pPr>
      <w:r w:rsidRPr="00075B30">
        <w:rPr>
          <w:rFonts w:asciiTheme="minorHAnsi" w:hAnsiTheme="minorHAnsi"/>
        </w:rPr>
        <w:t xml:space="preserve">This instrument is the </w:t>
      </w:r>
      <w:r w:rsidRPr="00075B30">
        <w:rPr>
          <w:rFonts w:asciiTheme="minorHAnsi" w:hAnsiTheme="minorHAnsi"/>
          <w:i/>
          <w:iCs/>
        </w:rPr>
        <w:t xml:space="preserve">Utilities (Energy industry levy </w:t>
      </w:r>
      <w:r w:rsidR="00311128">
        <w:rPr>
          <w:rFonts w:asciiTheme="minorHAnsi" w:hAnsiTheme="minorHAnsi"/>
          <w:i/>
          <w:iCs/>
        </w:rPr>
        <w:t>–</w:t>
      </w:r>
      <w:r w:rsidRPr="00075B30">
        <w:rPr>
          <w:rFonts w:asciiTheme="minorHAnsi" w:hAnsiTheme="minorHAnsi"/>
          <w:i/>
          <w:iCs/>
        </w:rPr>
        <w:t xml:space="preserve"> </w:t>
      </w:r>
      <w:r w:rsidR="00311128">
        <w:rPr>
          <w:rFonts w:asciiTheme="minorHAnsi" w:hAnsiTheme="minorHAnsi"/>
          <w:i/>
          <w:iCs/>
        </w:rPr>
        <w:t>base amount</w:t>
      </w:r>
      <w:r w:rsidRPr="00075B30">
        <w:rPr>
          <w:rFonts w:asciiTheme="minorHAnsi" w:hAnsiTheme="minorHAnsi"/>
          <w:i/>
          <w:iCs/>
        </w:rPr>
        <w:t>) Determination 20</w:t>
      </w:r>
      <w:r w:rsidR="00713151">
        <w:rPr>
          <w:rFonts w:asciiTheme="minorHAnsi" w:hAnsiTheme="minorHAnsi"/>
          <w:i/>
          <w:iCs/>
        </w:rPr>
        <w:t>22</w:t>
      </w:r>
      <w:r w:rsidRPr="00075B30">
        <w:rPr>
          <w:rFonts w:asciiTheme="minorHAnsi" w:hAnsiTheme="minorHAnsi"/>
        </w:rPr>
        <w:t>.</w:t>
      </w:r>
    </w:p>
    <w:p w14:paraId="7610CDAC" w14:textId="77777777" w:rsidR="001A2036" w:rsidRDefault="00CA0B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Determination – </w:t>
      </w:r>
      <w:r w:rsidR="00311128">
        <w:rPr>
          <w:rFonts w:ascii="Arial" w:hAnsi="Arial" w:cs="Arial"/>
          <w:b/>
          <w:bCs/>
        </w:rPr>
        <w:t>of the base amount for an energy industry sector</w:t>
      </w:r>
    </w:p>
    <w:p w14:paraId="7DAF247C" w14:textId="77777777" w:rsidR="00714C3F" w:rsidRPr="00075B30" w:rsidRDefault="00CA0B95" w:rsidP="00714C3F">
      <w:pPr>
        <w:ind w:left="709"/>
        <w:rPr>
          <w:rFonts w:asciiTheme="minorHAnsi" w:hAnsiTheme="minorHAnsi"/>
          <w:iCs/>
        </w:rPr>
      </w:pPr>
      <w:r w:rsidRPr="00075B30">
        <w:rPr>
          <w:rFonts w:asciiTheme="minorHAnsi" w:hAnsiTheme="minorHAnsi"/>
          <w:iCs/>
        </w:rPr>
        <w:t xml:space="preserve">I determine that the </w:t>
      </w:r>
      <w:r w:rsidR="00311128">
        <w:rPr>
          <w:rFonts w:asciiTheme="minorHAnsi" w:hAnsiTheme="minorHAnsi"/>
          <w:iCs/>
        </w:rPr>
        <w:t xml:space="preserve">base amount (B) set out in section 54C of the </w:t>
      </w:r>
      <w:r w:rsidR="00311128" w:rsidRPr="00311128">
        <w:rPr>
          <w:rFonts w:asciiTheme="minorHAnsi" w:hAnsiTheme="minorHAnsi"/>
          <w:i/>
          <w:iCs/>
        </w:rPr>
        <w:t>Utilities Act</w:t>
      </w:r>
      <w:r w:rsidR="00311128">
        <w:rPr>
          <w:rFonts w:asciiTheme="minorHAnsi" w:hAnsiTheme="minorHAnsi"/>
          <w:iCs/>
        </w:rPr>
        <w:t xml:space="preserve"> </w:t>
      </w:r>
      <w:r w:rsidR="00311128" w:rsidRPr="00BA594C">
        <w:rPr>
          <w:rFonts w:asciiTheme="minorHAnsi" w:hAnsiTheme="minorHAnsi"/>
          <w:i/>
          <w:iCs/>
        </w:rPr>
        <w:t xml:space="preserve">2000 </w:t>
      </w:r>
      <w:r w:rsidRPr="00BA594C">
        <w:rPr>
          <w:rFonts w:asciiTheme="minorHAnsi" w:hAnsiTheme="minorHAnsi"/>
          <w:i/>
          <w:iCs/>
        </w:rPr>
        <w:t>t</w:t>
      </w:r>
      <w:r w:rsidRPr="00075B30">
        <w:rPr>
          <w:rFonts w:asciiTheme="minorHAnsi" w:hAnsiTheme="minorHAnsi"/>
          <w:iCs/>
        </w:rPr>
        <w:t xml:space="preserve">o be applied to each energy industry sector for the </w:t>
      </w:r>
      <w:r w:rsidR="00311128">
        <w:rPr>
          <w:rFonts w:asciiTheme="minorHAnsi" w:hAnsiTheme="minorHAnsi"/>
          <w:iCs/>
        </w:rPr>
        <w:t xml:space="preserve">levy </w:t>
      </w:r>
      <w:r w:rsidR="00BA594C">
        <w:rPr>
          <w:rFonts w:asciiTheme="minorHAnsi" w:hAnsiTheme="minorHAnsi"/>
          <w:iCs/>
        </w:rPr>
        <w:t xml:space="preserve">determination </w:t>
      </w:r>
      <w:r w:rsidR="00311128">
        <w:rPr>
          <w:rFonts w:asciiTheme="minorHAnsi" w:hAnsiTheme="minorHAnsi"/>
          <w:iCs/>
        </w:rPr>
        <w:t xml:space="preserve">years </w:t>
      </w:r>
      <w:r w:rsidRPr="00075B30">
        <w:rPr>
          <w:rFonts w:asciiTheme="minorHAnsi" w:hAnsiTheme="minorHAnsi"/>
          <w:iCs/>
        </w:rPr>
        <w:t>20</w:t>
      </w:r>
      <w:r w:rsidR="00B12A50">
        <w:rPr>
          <w:rFonts w:asciiTheme="minorHAnsi" w:hAnsiTheme="minorHAnsi"/>
          <w:iCs/>
        </w:rPr>
        <w:t>22</w:t>
      </w:r>
      <w:r w:rsidR="00BA594C">
        <w:rPr>
          <w:rFonts w:asciiTheme="minorHAnsi" w:hAnsiTheme="minorHAnsi"/>
          <w:iCs/>
        </w:rPr>
        <w:t>–</w:t>
      </w:r>
      <w:r w:rsidR="00B12A50">
        <w:rPr>
          <w:rFonts w:asciiTheme="minorHAnsi" w:hAnsiTheme="minorHAnsi"/>
          <w:iCs/>
        </w:rPr>
        <w:t>23</w:t>
      </w:r>
      <w:r w:rsidR="00BA594C">
        <w:rPr>
          <w:rFonts w:asciiTheme="minorHAnsi" w:hAnsiTheme="minorHAnsi"/>
          <w:iCs/>
        </w:rPr>
        <w:t xml:space="preserve"> to 20</w:t>
      </w:r>
      <w:r w:rsidR="00B12A50">
        <w:rPr>
          <w:rFonts w:asciiTheme="minorHAnsi" w:hAnsiTheme="minorHAnsi"/>
          <w:iCs/>
        </w:rPr>
        <w:t>26</w:t>
      </w:r>
      <w:r w:rsidR="00BA594C">
        <w:rPr>
          <w:rFonts w:asciiTheme="minorHAnsi" w:hAnsiTheme="minorHAnsi"/>
          <w:iCs/>
        </w:rPr>
        <w:t>–2</w:t>
      </w:r>
      <w:r w:rsidR="00B12A50">
        <w:rPr>
          <w:rFonts w:asciiTheme="minorHAnsi" w:hAnsiTheme="minorHAnsi"/>
          <w:iCs/>
        </w:rPr>
        <w:t>7</w:t>
      </w:r>
      <w:r w:rsidRPr="00075B30">
        <w:rPr>
          <w:rFonts w:asciiTheme="minorHAnsi" w:hAnsiTheme="minorHAnsi"/>
          <w:iCs/>
        </w:rPr>
        <w:t xml:space="preserve"> is as follows:</w:t>
      </w:r>
    </w:p>
    <w:p w14:paraId="4317A38E" w14:textId="77777777" w:rsidR="00DB4F43" w:rsidRDefault="00DB4F43" w:rsidP="00AE5D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W w:w="7088" w:type="dxa"/>
        <w:tblInd w:w="817" w:type="dxa"/>
        <w:tblLook w:val="04A0" w:firstRow="1" w:lastRow="0" w:firstColumn="1" w:lastColumn="0" w:noHBand="0" w:noVBand="1"/>
      </w:tblPr>
      <w:tblGrid>
        <w:gridCol w:w="1985"/>
        <w:gridCol w:w="5103"/>
      </w:tblGrid>
      <w:tr w:rsidR="00DB4F43" w:rsidRPr="00DB4F43" w14:paraId="153C247C" w14:textId="77777777" w:rsidTr="00FF520E">
        <w:trPr>
          <w:trHeight w:val="330"/>
        </w:trPr>
        <w:tc>
          <w:tcPr>
            <w:tcW w:w="1985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BE5F1"/>
            <w:noWrap/>
            <w:vAlign w:val="bottom"/>
            <w:hideMark/>
          </w:tcPr>
          <w:p w14:paraId="7CEA57D2" w14:textId="77777777" w:rsidR="00DB4F43" w:rsidRPr="00DB4F43" w:rsidRDefault="00DB4F43" w:rsidP="00DB4F43">
            <w:pPr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</w:pPr>
            <w:r w:rsidRPr="00DB4F43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5103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BE5F1"/>
            <w:noWrap/>
            <w:vAlign w:val="bottom"/>
            <w:hideMark/>
          </w:tcPr>
          <w:p w14:paraId="4538204E" w14:textId="77777777" w:rsidR="00DB4F43" w:rsidRPr="00DB4F43" w:rsidRDefault="00311128" w:rsidP="00F16E32">
            <w:pPr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Determination of the base amount for an energy</w:t>
            </w:r>
            <w:r w:rsidR="00BA594C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 xml:space="preserve"> industry sector 20</w:t>
            </w:r>
            <w:r w:rsidR="00B12A50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22</w:t>
            </w:r>
            <w:r w:rsidR="00BA594C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–</w:t>
            </w:r>
            <w:r w:rsidR="00B12A50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23</w:t>
            </w:r>
            <w:r w:rsidR="00BA594C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 xml:space="preserve"> to 202</w:t>
            </w:r>
            <w:r w:rsidR="00B12A50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6</w:t>
            </w:r>
            <w:r w:rsidR="00BA594C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–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2</w:t>
            </w:r>
            <w:r w:rsidR="00B12A50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7</w:t>
            </w:r>
            <w:r w:rsidR="00DB4F43" w:rsidRPr="00DB4F43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</w:tr>
      <w:tr w:rsidR="00DB4F43" w:rsidRPr="00DB4F43" w14:paraId="25BC6712" w14:textId="77777777" w:rsidTr="00FF520E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05BD9" w14:textId="77777777" w:rsidR="00DB4F43" w:rsidRPr="00DB4F43" w:rsidRDefault="00DB4F43" w:rsidP="00DB4F43">
            <w:pPr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DB4F43">
              <w:rPr>
                <w:rFonts w:ascii="Arial Narrow" w:hAnsi="Arial Narrow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07385" w14:textId="77777777" w:rsidR="00DB4F43" w:rsidRPr="00DB4F43" w:rsidRDefault="00311128" w:rsidP="00DB4F43">
            <w:pPr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/>
                <w:color w:val="000000"/>
                <w:sz w:val="20"/>
                <w:lang w:eastAsia="en-AU"/>
              </w:rPr>
              <w:t>1,</w:t>
            </w:r>
            <w:r w:rsidR="00B12A50">
              <w:rPr>
                <w:rFonts w:ascii="Arial Narrow" w:hAnsi="Arial Narrow"/>
                <w:color w:val="000000"/>
                <w:sz w:val="20"/>
                <w:lang w:eastAsia="en-AU"/>
              </w:rPr>
              <w:t>350</w:t>
            </w:r>
          </w:p>
        </w:tc>
      </w:tr>
      <w:tr w:rsidR="00DB4F43" w:rsidRPr="00DB4F43" w14:paraId="5C2FAAE6" w14:textId="77777777" w:rsidTr="00FF520E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AE864" w14:textId="77777777" w:rsidR="00DB4F43" w:rsidRPr="00DB4F43" w:rsidRDefault="00DB4F43" w:rsidP="00DB4F43">
            <w:pPr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DB4F43">
              <w:rPr>
                <w:rFonts w:ascii="Arial Narrow" w:hAnsi="Arial Narrow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2FC6" w14:textId="77777777" w:rsidR="00DB4F43" w:rsidRPr="00DB4F43" w:rsidRDefault="00F16E32" w:rsidP="00DB4F43">
            <w:pPr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  <w:r w:rsidR="00311128">
              <w:rPr>
                <w:rFonts w:ascii="Arial Narrow" w:hAnsi="Arial Narrow"/>
                <w:color w:val="000000"/>
                <w:sz w:val="20"/>
                <w:lang w:eastAsia="en-AU"/>
              </w:rPr>
              <w:t>,</w:t>
            </w:r>
            <w:r w:rsidR="00B12A50">
              <w:rPr>
                <w:rFonts w:ascii="Arial Narrow" w:hAnsi="Arial Narrow"/>
                <w:color w:val="000000"/>
                <w:sz w:val="20"/>
                <w:lang w:eastAsia="en-AU"/>
              </w:rPr>
              <w:t>350</w:t>
            </w:r>
          </w:p>
        </w:tc>
      </w:tr>
      <w:tr w:rsidR="00DB4F43" w:rsidRPr="00DB4F43" w14:paraId="16F7F085" w14:textId="77777777" w:rsidTr="00FF520E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2FF1" w14:textId="77777777" w:rsidR="00DB4F43" w:rsidRPr="00DB4F43" w:rsidRDefault="00DB4F43" w:rsidP="00DB4F43">
            <w:pPr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DB4F43">
              <w:rPr>
                <w:rFonts w:ascii="Arial Narrow" w:hAnsi="Arial Narrow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0A16" w14:textId="77777777" w:rsidR="00DB4F43" w:rsidRPr="00DB4F43" w:rsidRDefault="00311128" w:rsidP="00DB4F43">
            <w:pPr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/>
                <w:color w:val="000000"/>
                <w:sz w:val="20"/>
                <w:lang w:eastAsia="en-AU"/>
              </w:rPr>
              <w:t>1,</w:t>
            </w:r>
            <w:r w:rsidR="00B12A50">
              <w:rPr>
                <w:rFonts w:ascii="Arial Narrow" w:hAnsi="Arial Narrow"/>
                <w:color w:val="000000"/>
                <w:sz w:val="20"/>
                <w:lang w:eastAsia="en-AU"/>
              </w:rPr>
              <w:t>350</w:t>
            </w:r>
          </w:p>
        </w:tc>
      </w:tr>
      <w:tr w:rsidR="00311128" w:rsidRPr="00DB4F43" w14:paraId="691C7CA4" w14:textId="77777777" w:rsidTr="00311128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single" w:sz="8" w:space="0" w:color="000033"/>
              <w:right w:val="nil"/>
            </w:tcBorders>
            <w:noWrap/>
            <w:vAlign w:val="bottom"/>
          </w:tcPr>
          <w:p w14:paraId="40D2E1FA" w14:textId="77777777" w:rsidR="00311128" w:rsidRPr="00DB4F43" w:rsidRDefault="00311128" w:rsidP="00311128">
            <w:pPr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DB4F43">
              <w:rPr>
                <w:rFonts w:ascii="Arial Narrow" w:hAnsi="Arial Narrow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33"/>
              <w:right w:val="nil"/>
            </w:tcBorders>
            <w:noWrap/>
            <w:vAlign w:val="bottom"/>
          </w:tcPr>
          <w:p w14:paraId="75340E7B" w14:textId="77777777" w:rsidR="00311128" w:rsidRPr="00DB4F43" w:rsidRDefault="00311128" w:rsidP="00311128">
            <w:pPr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/>
                <w:color w:val="000000"/>
                <w:sz w:val="20"/>
                <w:lang w:eastAsia="en-AU"/>
              </w:rPr>
              <w:t>1,</w:t>
            </w:r>
            <w:r w:rsidR="00B12A50">
              <w:rPr>
                <w:rFonts w:ascii="Arial Narrow" w:hAnsi="Arial Narrow"/>
                <w:color w:val="000000"/>
                <w:sz w:val="20"/>
                <w:lang w:eastAsia="en-AU"/>
              </w:rPr>
              <w:t>350</w:t>
            </w:r>
          </w:p>
        </w:tc>
      </w:tr>
    </w:tbl>
    <w:p w14:paraId="04E69871" w14:textId="77777777" w:rsidR="00FF7F5A" w:rsidRPr="00B6096C" w:rsidRDefault="00CA0B95" w:rsidP="00AE5DEA">
      <w:pPr>
        <w:rPr>
          <w:rFonts w:ascii="Arial Narrow" w:hAnsi="Arial Narrow"/>
          <w:sz w:val="20"/>
        </w:rPr>
      </w:pPr>
      <w:r>
        <w:rPr>
          <w:rFonts w:ascii="Arial" w:hAnsi="Arial" w:cs="Arial"/>
          <w:b/>
          <w:bCs/>
        </w:rPr>
        <w:tab/>
      </w:r>
    </w:p>
    <w:p w14:paraId="1D72DA01" w14:textId="77777777" w:rsidR="001A2036" w:rsidRDefault="00FF7F5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A594C">
        <w:rPr>
          <w:rFonts w:ascii="Arial" w:hAnsi="Arial" w:cs="Arial"/>
          <w:b/>
          <w:bCs/>
        </w:rPr>
        <w:t>Base amount</w:t>
      </w:r>
      <w:r w:rsidR="00CA0B95">
        <w:rPr>
          <w:rFonts w:ascii="Arial" w:hAnsi="Arial" w:cs="Arial"/>
          <w:b/>
          <w:bCs/>
        </w:rPr>
        <w:t xml:space="preserve"> – </w:t>
      </w:r>
      <w:r w:rsidR="00BA594C">
        <w:rPr>
          <w:rFonts w:ascii="Arial" w:hAnsi="Arial" w:cs="Arial"/>
          <w:b/>
          <w:bCs/>
        </w:rPr>
        <w:t>explanation</w:t>
      </w:r>
    </w:p>
    <w:p w14:paraId="5A221F9E" w14:textId="77777777" w:rsidR="00714C3F" w:rsidRPr="00075B30" w:rsidRDefault="00BA594C" w:rsidP="00714C3F">
      <w:pPr>
        <w:ind w:left="709"/>
        <w:rPr>
          <w:rFonts w:asciiTheme="minorHAnsi" w:hAnsiTheme="minorHAnsi"/>
          <w:iCs/>
        </w:rPr>
      </w:pPr>
      <w:r>
        <w:rPr>
          <w:rFonts w:asciiTheme="minorHAnsi" w:hAnsiTheme="minorHAnsi" w:cs="Calibri"/>
        </w:rPr>
        <w:t>The base amount (B</w:t>
      </w:r>
      <w:r w:rsidRPr="00F37542">
        <w:rPr>
          <w:rFonts w:asciiTheme="minorHAnsi" w:hAnsiTheme="minorHAnsi" w:cs="Calibri"/>
        </w:rPr>
        <w:t xml:space="preserve"> in the </w:t>
      </w:r>
      <w:r>
        <w:rPr>
          <w:rFonts w:asciiTheme="minorHAnsi" w:hAnsiTheme="minorHAnsi" w:cs="Calibri"/>
        </w:rPr>
        <w:t xml:space="preserve">energy industry levy </w:t>
      </w:r>
      <w:r w:rsidRPr="00F37542">
        <w:rPr>
          <w:rFonts w:asciiTheme="minorHAnsi" w:hAnsiTheme="minorHAnsi" w:cs="Calibri"/>
        </w:rPr>
        <w:t>formula)</w:t>
      </w:r>
      <w:r>
        <w:rPr>
          <w:rFonts w:asciiTheme="minorHAnsi" w:hAnsiTheme="minorHAnsi" w:cs="Calibri"/>
        </w:rPr>
        <w:t xml:space="preserve"> </w:t>
      </w:r>
      <w:r w:rsidRPr="00F37542">
        <w:rPr>
          <w:rFonts w:asciiTheme="minorHAnsi" w:hAnsiTheme="minorHAnsi" w:cs="Calibri"/>
        </w:rPr>
        <w:t xml:space="preserve">represents the minimum marginal cost of regulating a utility in the sector regardless of how much energy it might sell. </w:t>
      </w:r>
      <w:r w:rsidR="00B12A50" w:rsidRPr="00F37542">
        <w:rPr>
          <w:rFonts w:asciiTheme="minorHAnsi" w:hAnsiTheme="minorHAnsi" w:cs="Calibri"/>
        </w:rPr>
        <w:t>This cost</w:t>
      </w:r>
      <w:r w:rsidRPr="00F37542">
        <w:rPr>
          <w:rFonts w:asciiTheme="minorHAnsi" w:hAnsiTheme="minorHAnsi" w:cs="Calibri"/>
        </w:rPr>
        <w:t xml:space="preserve"> is essentially the </w:t>
      </w:r>
      <w:r>
        <w:rPr>
          <w:rFonts w:asciiTheme="minorHAnsi" w:hAnsiTheme="minorHAnsi" w:cs="Calibri"/>
        </w:rPr>
        <w:t xml:space="preserve">base </w:t>
      </w:r>
      <w:r w:rsidRPr="00F37542">
        <w:rPr>
          <w:rFonts w:asciiTheme="minorHAnsi" w:hAnsiTheme="minorHAnsi" w:cs="Calibri"/>
        </w:rPr>
        <w:t>cost of administering the energy industry levy</w:t>
      </w:r>
      <w:r>
        <w:rPr>
          <w:rFonts w:asciiTheme="minorHAnsi" w:hAnsiTheme="minorHAnsi" w:cs="Calibri"/>
        </w:rPr>
        <w:t xml:space="preserve"> for each utility in the sector.</w:t>
      </w:r>
    </w:p>
    <w:p w14:paraId="6A23E6A2" w14:textId="77777777" w:rsidR="001A2036" w:rsidRDefault="00CA0B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53C6D0" w14:textId="77777777" w:rsidR="001A2036" w:rsidRPr="00075B30" w:rsidRDefault="00CA0B95">
      <w:pPr>
        <w:spacing w:before="80" w:after="60"/>
        <w:ind w:left="720"/>
        <w:rPr>
          <w:rFonts w:asciiTheme="minorHAnsi" w:hAnsiTheme="minorHAnsi"/>
        </w:rPr>
      </w:pPr>
      <w:r w:rsidRPr="00075B30">
        <w:rPr>
          <w:rFonts w:asciiTheme="minorHAnsi" w:hAnsiTheme="minorHAnsi"/>
        </w:rPr>
        <w:t>This determination commences on the day after it is notified.</w:t>
      </w:r>
    </w:p>
    <w:p w14:paraId="6EFF2454" w14:textId="77777777" w:rsidR="001A2036" w:rsidRPr="00075B30" w:rsidRDefault="001A2036">
      <w:pPr>
        <w:rPr>
          <w:rFonts w:asciiTheme="minorHAnsi" w:hAnsiTheme="minorHAnsi"/>
          <w:snapToGrid w:val="0"/>
          <w:color w:val="000000"/>
          <w:szCs w:val="24"/>
        </w:rPr>
      </w:pPr>
    </w:p>
    <w:p w14:paraId="4D2193A4" w14:textId="77777777" w:rsidR="001A2036" w:rsidRDefault="001A2036">
      <w:pPr>
        <w:rPr>
          <w:snapToGrid w:val="0"/>
          <w:color w:val="000000"/>
          <w:szCs w:val="24"/>
        </w:rPr>
      </w:pPr>
    </w:p>
    <w:p w14:paraId="1C29CE6D" w14:textId="77777777" w:rsidR="0064143A" w:rsidRDefault="0064143A">
      <w:pPr>
        <w:rPr>
          <w:rFonts w:asciiTheme="minorHAnsi" w:hAnsiTheme="minorHAnsi"/>
          <w:snapToGrid w:val="0"/>
          <w:color w:val="000000"/>
          <w:szCs w:val="24"/>
        </w:rPr>
      </w:pPr>
    </w:p>
    <w:p w14:paraId="0AE0E8E4" w14:textId="77777777" w:rsidR="00BA594C" w:rsidRPr="00075B30" w:rsidRDefault="00BA594C">
      <w:pPr>
        <w:rPr>
          <w:rFonts w:asciiTheme="minorHAnsi" w:hAnsiTheme="minorHAnsi"/>
          <w:snapToGrid w:val="0"/>
          <w:color w:val="000000"/>
          <w:szCs w:val="24"/>
        </w:rPr>
      </w:pPr>
    </w:p>
    <w:p w14:paraId="71533CA1" w14:textId="77777777" w:rsidR="001A2036" w:rsidRPr="00075B30" w:rsidRDefault="00B12A50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>Dr Annette Weier</w:t>
      </w:r>
    </w:p>
    <w:p w14:paraId="2149E979" w14:textId="77777777" w:rsidR="001A2036" w:rsidRPr="00075B30" w:rsidRDefault="00CA0B95">
      <w:pPr>
        <w:rPr>
          <w:rFonts w:asciiTheme="minorHAnsi" w:hAnsiTheme="minorHAnsi"/>
          <w:snapToGrid w:val="0"/>
          <w:color w:val="000000"/>
          <w:highlight w:val="yellow"/>
        </w:rPr>
      </w:pPr>
      <w:r w:rsidRPr="00075B30">
        <w:rPr>
          <w:rFonts w:asciiTheme="minorHAnsi" w:hAnsiTheme="minorHAnsi"/>
          <w:snapToGrid w:val="0"/>
          <w:color w:val="000000"/>
        </w:rPr>
        <w:t>Levy Administrator</w:t>
      </w:r>
    </w:p>
    <w:p w14:paraId="2B8E7989" w14:textId="77777777" w:rsidR="001A2036" w:rsidRPr="00075B30" w:rsidRDefault="00033EFD">
      <w:pPr>
        <w:rPr>
          <w:rFonts w:asciiTheme="minorHAnsi" w:hAnsiTheme="minorHAnsi"/>
          <w:snapToGrid w:val="0"/>
        </w:rPr>
      </w:pPr>
      <w:r w:rsidRPr="00033EFD">
        <w:rPr>
          <w:rFonts w:asciiTheme="minorHAnsi" w:hAnsiTheme="minorHAnsi"/>
          <w:snapToGrid w:val="0"/>
        </w:rPr>
        <w:t>29</w:t>
      </w:r>
      <w:r w:rsidR="002E7A58" w:rsidRPr="00033EFD">
        <w:rPr>
          <w:rFonts w:asciiTheme="minorHAnsi" w:hAnsiTheme="minorHAnsi"/>
          <w:snapToGrid w:val="0"/>
        </w:rPr>
        <w:t xml:space="preserve"> </w:t>
      </w:r>
      <w:r w:rsidR="00FE1414" w:rsidRPr="00033EFD">
        <w:rPr>
          <w:rFonts w:asciiTheme="minorHAnsi" w:hAnsiTheme="minorHAnsi"/>
          <w:snapToGrid w:val="0"/>
        </w:rPr>
        <w:t xml:space="preserve">September </w:t>
      </w:r>
      <w:r w:rsidR="00B12A50" w:rsidRPr="00033EFD">
        <w:rPr>
          <w:rFonts w:asciiTheme="minorHAnsi" w:hAnsiTheme="minorHAnsi"/>
          <w:snapToGrid w:val="0"/>
        </w:rPr>
        <w:t>2022</w:t>
      </w:r>
    </w:p>
    <w:sectPr w:rsidR="001A2036" w:rsidRPr="00075B30" w:rsidSect="001A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AEF7" w14:textId="77777777" w:rsidR="00574024" w:rsidRDefault="00574024" w:rsidP="00C50E90">
      <w:r>
        <w:separator/>
      </w:r>
    </w:p>
  </w:endnote>
  <w:endnote w:type="continuationSeparator" w:id="0">
    <w:p w14:paraId="4C72C853" w14:textId="77777777" w:rsidR="00574024" w:rsidRDefault="00574024" w:rsidP="00C5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C50E" w14:textId="77777777" w:rsidR="00C26B6C" w:rsidRDefault="00C26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680F" w14:textId="77777777" w:rsidR="00C50E90" w:rsidRPr="00C26B6C" w:rsidRDefault="00C26B6C" w:rsidP="00C26B6C">
    <w:pPr>
      <w:pStyle w:val="Footer"/>
      <w:jc w:val="center"/>
      <w:rPr>
        <w:rFonts w:ascii="Arial" w:hAnsi="Arial" w:cs="Arial"/>
        <w:sz w:val="14"/>
      </w:rPr>
    </w:pPr>
    <w:r w:rsidRPr="00C26B6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FE28" w14:textId="77777777" w:rsidR="00C26B6C" w:rsidRDefault="00C26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478D" w14:textId="77777777" w:rsidR="00574024" w:rsidRDefault="00574024" w:rsidP="00C50E90">
      <w:r>
        <w:separator/>
      </w:r>
    </w:p>
  </w:footnote>
  <w:footnote w:type="continuationSeparator" w:id="0">
    <w:p w14:paraId="75859555" w14:textId="77777777" w:rsidR="00574024" w:rsidRDefault="00574024" w:rsidP="00C5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2669" w14:textId="77777777" w:rsidR="00C26B6C" w:rsidRDefault="00C26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12F1" w14:textId="77777777" w:rsidR="00C26B6C" w:rsidRDefault="00C26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DC71" w14:textId="77777777" w:rsidR="00C26B6C" w:rsidRDefault="00C26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2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F154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4695CFD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7BE43D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F68D6"/>
    <w:multiLevelType w:val="hybridMultilevel"/>
    <w:tmpl w:val="FFFFFFFF"/>
    <w:lvl w:ilvl="0" w:tplc="FBE89A68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F1DA0"/>
    <w:multiLevelType w:val="hybridMultilevel"/>
    <w:tmpl w:val="FFFFFFFF"/>
    <w:lvl w:ilvl="0" w:tplc="27123F8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5750CA"/>
    <w:multiLevelType w:val="multilevel"/>
    <w:tmpl w:val="FFFFFFFF"/>
    <w:lvl w:ilvl="0">
      <w:start w:val="1"/>
      <w:numFmt w:val="lowerLetter"/>
      <w:lvlText w:val="(%1)"/>
      <w:legacy w:legacy="1" w:legacySpace="0" w:legacyIndent="737"/>
      <w:lvlJc w:val="left"/>
      <w:pPr>
        <w:ind w:left="772" w:hanging="73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  <w:rPr>
        <w:rFonts w:cs="Times New Roman"/>
      </w:rPr>
    </w:lvl>
  </w:abstractNum>
  <w:abstractNum w:abstractNumId="8" w15:restartNumberingAfterBreak="0">
    <w:nsid w:val="159A5EE8"/>
    <w:multiLevelType w:val="hybridMultilevel"/>
    <w:tmpl w:val="FFFFFFFF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70537D"/>
    <w:multiLevelType w:val="hybridMultilevel"/>
    <w:tmpl w:val="FFFFFFFF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 w15:restartNumberingAfterBreak="0">
    <w:nsid w:val="28B1492B"/>
    <w:multiLevelType w:val="singleLevel"/>
    <w:tmpl w:val="FFFFFFFF"/>
    <w:lvl w:ilvl="0">
      <w:start w:val="1"/>
      <w:numFmt w:val="lowerLetter"/>
      <w:lvlText w:val="(%1)"/>
      <w:legacy w:legacy="1" w:legacySpace="0" w:legacyIndent="737"/>
      <w:lvlJc w:val="left"/>
      <w:pPr>
        <w:ind w:left="737" w:hanging="737"/>
      </w:pPr>
      <w:rPr>
        <w:rFonts w:cs="Times New Roman"/>
      </w:rPr>
    </w:lvl>
  </w:abstractNum>
  <w:abstractNum w:abstractNumId="11" w15:restartNumberingAfterBreak="0">
    <w:nsid w:val="2C200FC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953FA5"/>
    <w:multiLevelType w:val="singleLevel"/>
    <w:tmpl w:val="FFFFFFFF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1A827F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2714699"/>
    <w:multiLevelType w:val="singleLevel"/>
    <w:tmpl w:val="FFFFFFFF"/>
    <w:lvl w:ilvl="0">
      <w:start w:val="1"/>
      <w:numFmt w:val="lowerRoman"/>
      <w:lvlText w:val="(%1)"/>
      <w:legacy w:legacy="1" w:legacySpace="0" w:legacyIndent="737"/>
      <w:lvlJc w:val="left"/>
      <w:pPr>
        <w:ind w:left="1472" w:hanging="737"/>
      </w:pPr>
      <w:rPr>
        <w:rFonts w:cs="Times New Roman"/>
      </w:rPr>
    </w:lvl>
  </w:abstractNum>
  <w:abstractNum w:abstractNumId="15" w15:restartNumberingAfterBreak="0">
    <w:nsid w:val="3F125552"/>
    <w:multiLevelType w:val="singleLevel"/>
    <w:tmpl w:val="FFFFFFFF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6" w15:restartNumberingAfterBreak="0">
    <w:nsid w:val="3FEC0CDE"/>
    <w:multiLevelType w:val="hybridMultilevel"/>
    <w:tmpl w:val="FFFFFFFF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2410BC3"/>
    <w:multiLevelType w:val="singleLevel"/>
    <w:tmpl w:val="FFFFFFFF"/>
    <w:lvl w:ilvl="0">
      <w:start w:val="1"/>
      <w:numFmt w:val="lowerLetter"/>
      <w:lvlText w:val="(%1)"/>
      <w:legacy w:legacy="1" w:legacySpace="284" w:legacyIndent="567"/>
      <w:lvlJc w:val="left"/>
      <w:pPr>
        <w:ind w:left="567" w:hanging="567"/>
      </w:pPr>
      <w:rPr>
        <w:rFonts w:cs="Times New Roman"/>
      </w:rPr>
    </w:lvl>
  </w:abstractNum>
  <w:abstractNum w:abstractNumId="18" w15:restartNumberingAfterBreak="0">
    <w:nsid w:val="44F400B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6480D8F"/>
    <w:multiLevelType w:val="singleLevel"/>
    <w:tmpl w:val="FFFFFFFF"/>
    <w:lvl w:ilvl="0">
      <w:start w:val="2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rFonts w:cs="Times New Roman"/>
      </w:rPr>
    </w:lvl>
  </w:abstractNum>
  <w:abstractNum w:abstractNumId="20" w15:restartNumberingAfterBreak="0">
    <w:nsid w:val="499113DE"/>
    <w:multiLevelType w:val="singleLevel"/>
    <w:tmpl w:val="FFFFFFFF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rFonts w:cs="Times New Roman"/>
      </w:rPr>
    </w:lvl>
  </w:abstractNum>
  <w:abstractNum w:abstractNumId="21" w15:restartNumberingAfterBreak="0">
    <w:nsid w:val="4E7B1744"/>
    <w:multiLevelType w:val="hybridMultilevel"/>
    <w:tmpl w:val="FFFFFFFF"/>
    <w:lvl w:ilvl="0" w:tplc="F096333C">
      <w:start w:val="1"/>
      <w:numFmt w:val="lowerRoman"/>
      <w:lvlText w:val="%1."/>
      <w:lvlJc w:val="right"/>
      <w:pPr>
        <w:tabs>
          <w:tab w:val="num" w:pos="1782"/>
        </w:tabs>
        <w:ind w:left="1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2" w15:restartNumberingAfterBreak="0">
    <w:nsid w:val="54F339F0"/>
    <w:multiLevelType w:val="hybridMultilevel"/>
    <w:tmpl w:val="FFFFFFFF"/>
    <w:lvl w:ilvl="0" w:tplc="AFC6F424">
      <w:start w:val="2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7162D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4303E9B"/>
    <w:multiLevelType w:val="singleLevel"/>
    <w:tmpl w:val="FFFFFFFF"/>
    <w:lvl w:ilvl="0">
      <w:start w:val="2"/>
      <w:numFmt w:val="lowerLetter"/>
      <w:lvlText w:val="(%1)"/>
      <w:legacy w:legacy="1" w:legacySpace="0" w:legacyIndent="737"/>
      <w:lvlJc w:val="left"/>
      <w:pPr>
        <w:ind w:left="737" w:hanging="737"/>
      </w:pPr>
      <w:rPr>
        <w:rFonts w:cs="Times New Roman"/>
      </w:rPr>
    </w:lvl>
  </w:abstractNum>
  <w:abstractNum w:abstractNumId="25" w15:restartNumberingAfterBreak="0">
    <w:nsid w:val="671863D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D952C1C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CA0F53"/>
    <w:multiLevelType w:val="hybridMultilevel"/>
    <w:tmpl w:val="FFFFFFFF"/>
    <w:lvl w:ilvl="0" w:tplc="157A2C4E">
      <w:start w:val="2"/>
      <w:numFmt w:val="lowerRoman"/>
      <w:lvlText w:val="%1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 w15:restartNumberingAfterBreak="0">
    <w:nsid w:val="7BC62657"/>
    <w:multiLevelType w:val="hybridMultilevel"/>
    <w:tmpl w:val="FFFFFFFF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1631548">
    <w:abstractNumId w:val="15"/>
  </w:num>
  <w:num w:numId="2" w16cid:durableId="1101798466">
    <w:abstractNumId w:val="2"/>
  </w:num>
  <w:num w:numId="3" w16cid:durableId="1092700051">
    <w:abstractNumId w:val="23"/>
  </w:num>
  <w:num w:numId="4" w16cid:durableId="639652823">
    <w:abstractNumId w:val="11"/>
  </w:num>
  <w:num w:numId="5" w16cid:durableId="607079574">
    <w:abstractNumId w:val="18"/>
  </w:num>
  <w:num w:numId="6" w16cid:durableId="1586452133">
    <w:abstractNumId w:val="3"/>
  </w:num>
  <w:num w:numId="7" w16cid:durableId="1338073247">
    <w:abstractNumId w:val="25"/>
  </w:num>
  <w:num w:numId="8" w16cid:durableId="1901673754">
    <w:abstractNumId w:val="21"/>
  </w:num>
  <w:num w:numId="9" w16cid:durableId="1269852596">
    <w:abstractNumId w:val="22"/>
  </w:num>
  <w:num w:numId="10" w16cid:durableId="1658074923">
    <w:abstractNumId w:val="27"/>
  </w:num>
  <w:num w:numId="11" w16cid:durableId="735856804">
    <w:abstractNumId w:val="13"/>
  </w:num>
  <w:num w:numId="12" w16cid:durableId="1918174877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 w16cid:durableId="1513449671">
    <w:abstractNumId w:val="0"/>
  </w:num>
  <w:num w:numId="14" w16cid:durableId="1955481037">
    <w:abstractNumId w:val="19"/>
  </w:num>
  <w:num w:numId="15" w16cid:durableId="481628571">
    <w:abstractNumId w:val="26"/>
  </w:num>
  <w:num w:numId="16" w16cid:durableId="16609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08830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8" w16cid:durableId="1041243396">
    <w:abstractNumId w:val="8"/>
  </w:num>
  <w:num w:numId="19" w16cid:durableId="1670985089">
    <w:abstractNumId w:val="10"/>
  </w:num>
  <w:num w:numId="20" w16cid:durableId="1485272220">
    <w:abstractNumId w:val="12"/>
  </w:num>
  <w:num w:numId="21" w16cid:durableId="1215308404">
    <w:abstractNumId w:val="7"/>
  </w:num>
  <w:num w:numId="22" w16cid:durableId="1972439520">
    <w:abstractNumId w:val="20"/>
  </w:num>
  <w:num w:numId="23" w16cid:durableId="2126266477">
    <w:abstractNumId w:val="17"/>
  </w:num>
  <w:num w:numId="24" w16cid:durableId="1362390071">
    <w:abstractNumId w:val="24"/>
  </w:num>
  <w:num w:numId="25" w16cid:durableId="1337921589">
    <w:abstractNumId w:val="14"/>
  </w:num>
  <w:num w:numId="26" w16cid:durableId="2104034514">
    <w:abstractNumId w:val="5"/>
  </w:num>
  <w:num w:numId="27" w16cid:durableId="181093011">
    <w:abstractNumId w:val="28"/>
  </w:num>
  <w:num w:numId="28" w16cid:durableId="910583238">
    <w:abstractNumId w:val="6"/>
  </w:num>
  <w:num w:numId="29" w16cid:durableId="770245275">
    <w:abstractNumId w:val="4"/>
  </w:num>
  <w:num w:numId="30" w16cid:durableId="518859281">
    <w:abstractNumId w:val="16"/>
  </w:num>
  <w:num w:numId="31" w16cid:durableId="332606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8"/>
    <w:rsid w:val="00033EFD"/>
    <w:rsid w:val="000363BF"/>
    <w:rsid w:val="00075B30"/>
    <w:rsid w:val="000D3506"/>
    <w:rsid w:val="00112873"/>
    <w:rsid w:val="00122179"/>
    <w:rsid w:val="001601AD"/>
    <w:rsid w:val="00161268"/>
    <w:rsid w:val="00165D2A"/>
    <w:rsid w:val="0017374F"/>
    <w:rsid w:val="00186EC9"/>
    <w:rsid w:val="0019204A"/>
    <w:rsid w:val="001A2036"/>
    <w:rsid w:val="001C3CF1"/>
    <w:rsid w:val="001D42A5"/>
    <w:rsid w:val="001D585D"/>
    <w:rsid w:val="001F1C5A"/>
    <w:rsid w:val="001F1DB0"/>
    <w:rsid w:val="00260B66"/>
    <w:rsid w:val="00260F16"/>
    <w:rsid w:val="00267770"/>
    <w:rsid w:val="002940BE"/>
    <w:rsid w:val="002C6FCF"/>
    <w:rsid w:val="002E36C1"/>
    <w:rsid w:val="002E7A58"/>
    <w:rsid w:val="003045DF"/>
    <w:rsid w:val="00311128"/>
    <w:rsid w:val="00334226"/>
    <w:rsid w:val="00392914"/>
    <w:rsid w:val="003C2D00"/>
    <w:rsid w:val="003C39EF"/>
    <w:rsid w:val="003D1C43"/>
    <w:rsid w:val="00407491"/>
    <w:rsid w:val="004253D3"/>
    <w:rsid w:val="00483380"/>
    <w:rsid w:val="004C1107"/>
    <w:rsid w:val="004E1F2A"/>
    <w:rsid w:val="004E3CAE"/>
    <w:rsid w:val="00502661"/>
    <w:rsid w:val="00512DA3"/>
    <w:rsid w:val="00517A8A"/>
    <w:rsid w:val="00574024"/>
    <w:rsid w:val="005E4454"/>
    <w:rsid w:val="00604671"/>
    <w:rsid w:val="00606567"/>
    <w:rsid w:val="0064143A"/>
    <w:rsid w:val="00656E8A"/>
    <w:rsid w:val="006A06AD"/>
    <w:rsid w:val="006B3F4C"/>
    <w:rsid w:val="006D0AC3"/>
    <w:rsid w:val="006E325C"/>
    <w:rsid w:val="00713151"/>
    <w:rsid w:val="00714C3F"/>
    <w:rsid w:val="00721DB6"/>
    <w:rsid w:val="00742474"/>
    <w:rsid w:val="00782843"/>
    <w:rsid w:val="00783BA9"/>
    <w:rsid w:val="00967E3B"/>
    <w:rsid w:val="00980BCD"/>
    <w:rsid w:val="00981F26"/>
    <w:rsid w:val="009826AB"/>
    <w:rsid w:val="009843C4"/>
    <w:rsid w:val="00997723"/>
    <w:rsid w:val="009E35AE"/>
    <w:rsid w:val="00A0244B"/>
    <w:rsid w:val="00A727AF"/>
    <w:rsid w:val="00AD3141"/>
    <w:rsid w:val="00AE2F70"/>
    <w:rsid w:val="00AE5D39"/>
    <w:rsid w:val="00AE5DEA"/>
    <w:rsid w:val="00B12A50"/>
    <w:rsid w:val="00B44A4E"/>
    <w:rsid w:val="00B6096C"/>
    <w:rsid w:val="00B621BD"/>
    <w:rsid w:val="00B87059"/>
    <w:rsid w:val="00BA594C"/>
    <w:rsid w:val="00BD6572"/>
    <w:rsid w:val="00C02A97"/>
    <w:rsid w:val="00C26B6C"/>
    <w:rsid w:val="00C30EF9"/>
    <w:rsid w:val="00C36C26"/>
    <w:rsid w:val="00C50E90"/>
    <w:rsid w:val="00C827CE"/>
    <w:rsid w:val="00CA0A35"/>
    <w:rsid w:val="00CA0B95"/>
    <w:rsid w:val="00CA44A8"/>
    <w:rsid w:val="00CD1D8A"/>
    <w:rsid w:val="00D70391"/>
    <w:rsid w:val="00DB4F43"/>
    <w:rsid w:val="00E000A1"/>
    <w:rsid w:val="00E128B0"/>
    <w:rsid w:val="00E33251"/>
    <w:rsid w:val="00E61458"/>
    <w:rsid w:val="00E765D4"/>
    <w:rsid w:val="00E847CF"/>
    <w:rsid w:val="00E95BEA"/>
    <w:rsid w:val="00EA1D2E"/>
    <w:rsid w:val="00EC1C12"/>
    <w:rsid w:val="00ED361B"/>
    <w:rsid w:val="00ED3B37"/>
    <w:rsid w:val="00F16E32"/>
    <w:rsid w:val="00F37542"/>
    <w:rsid w:val="00F40D36"/>
    <w:rsid w:val="00F573DA"/>
    <w:rsid w:val="00F8496F"/>
    <w:rsid w:val="00F85D9E"/>
    <w:rsid w:val="00F86B5B"/>
    <w:rsid w:val="00FA7ABA"/>
    <w:rsid w:val="00FD371C"/>
    <w:rsid w:val="00FE1414"/>
    <w:rsid w:val="00FE14A6"/>
    <w:rsid w:val="00FE2B27"/>
    <w:rsid w:val="00FF520E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DEEF17"/>
  <w14:defaultImageDpi w14:val="0"/>
  <w15:docId w15:val="{AC9EB44D-E79A-43EA-8F93-68A3769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3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03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036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link w:val="Heading3Char"/>
    <w:uiPriority w:val="9"/>
    <w:qFormat/>
    <w:rsid w:val="001A2036"/>
    <w:pPr>
      <w:tabs>
        <w:tab w:val="left" w:pos="1418"/>
      </w:tabs>
      <w:spacing w:before="120" w:after="120"/>
      <w:ind w:left="1418" w:hanging="567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link w:val="Heading4Char"/>
    <w:uiPriority w:val="9"/>
    <w:qFormat/>
    <w:rsid w:val="001A2036"/>
    <w:pPr>
      <w:tabs>
        <w:tab w:val="left" w:pos="1985"/>
      </w:tabs>
      <w:spacing w:before="40" w:after="40"/>
      <w:ind w:left="1985" w:hanging="567"/>
      <w:outlineLvl w:val="3"/>
    </w:pPr>
    <w:rPr>
      <w:rFonts w:ascii="Arial" w:hAnsi="Arial"/>
      <w:sz w:val="22"/>
    </w:rPr>
  </w:style>
  <w:style w:type="paragraph" w:styleId="Heading5">
    <w:name w:val="heading 5"/>
    <w:basedOn w:val="Heading1"/>
    <w:link w:val="Heading5Char"/>
    <w:uiPriority w:val="9"/>
    <w:qFormat/>
    <w:rsid w:val="001A2036"/>
    <w:pPr>
      <w:keepNext w:val="0"/>
      <w:spacing w:before="240"/>
      <w:outlineLvl w:val="4"/>
    </w:pPr>
    <w:rPr>
      <w:b w:val="0"/>
      <w:smallCaps/>
      <w:sz w:val="22"/>
    </w:rPr>
  </w:style>
  <w:style w:type="paragraph" w:styleId="Heading6">
    <w:name w:val="heading 6"/>
    <w:basedOn w:val="Heading1"/>
    <w:link w:val="Heading6Char"/>
    <w:uiPriority w:val="9"/>
    <w:qFormat/>
    <w:rsid w:val="001A2036"/>
    <w:pPr>
      <w:keepNext w:val="0"/>
      <w:spacing w:before="240"/>
      <w:outlineLvl w:val="5"/>
    </w:pPr>
    <w:rPr>
      <w:b w:val="0"/>
      <w:smallCaps/>
      <w:sz w:val="22"/>
    </w:rPr>
  </w:style>
  <w:style w:type="paragraph" w:styleId="Heading7">
    <w:name w:val="heading 7"/>
    <w:basedOn w:val="Heading1"/>
    <w:link w:val="Heading7Char"/>
    <w:uiPriority w:val="9"/>
    <w:qFormat/>
    <w:rsid w:val="001A2036"/>
    <w:pPr>
      <w:keepNext w:val="0"/>
      <w:spacing w:before="240"/>
      <w:outlineLvl w:val="6"/>
    </w:pPr>
    <w:rPr>
      <w:b w:val="0"/>
      <w:smallCaps/>
      <w:sz w:val="22"/>
    </w:rPr>
  </w:style>
  <w:style w:type="paragraph" w:styleId="Heading8">
    <w:name w:val="heading 8"/>
    <w:basedOn w:val="Heading1"/>
    <w:link w:val="Heading8Char"/>
    <w:uiPriority w:val="9"/>
    <w:qFormat/>
    <w:rsid w:val="001A2036"/>
    <w:pPr>
      <w:keepNext w:val="0"/>
      <w:spacing w:before="240"/>
      <w:outlineLvl w:val="7"/>
    </w:pPr>
    <w:rPr>
      <w:b w:val="0"/>
      <w:smallCaps/>
      <w:sz w:val="22"/>
    </w:rPr>
  </w:style>
  <w:style w:type="paragraph" w:styleId="Heading9">
    <w:name w:val="heading 9"/>
    <w:basedOn w:val="Heading1"/>
    <w:link w:val="Heading9Char"/>
    <w:uiPriority w:val="9"/>
    <w:qFormat/>
    <w:rsid w:val="001A2036"/>
    <w:pPr>
      <w:keepNext w:val="0"/>
      <w:spacing w:before="240"/>
      <w:outlineLvl w:val="8"/>
    </w:pPr>
    <w:rPr>
      <w:b w:val="0"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2036"/>
    <w:pPr>
      <w:spacing w:after="120"/>
      <w:ind w:left="284"/>
    </w:pPr>
    <w:rPr>
      <w:rFonts w:ascii="Arial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2036"/>
    <w:rPr>
      <w:rFonts w:ascii="Arial" w:hAnsi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odyText1">
    <w:name w:val="Body Text 1"/>
    <w:basedOn w:val="Normal"/>
    <w:rsid w:val="001A2036"/>
    <w:pPr>
      <w:spacing w:before="240"/>
      <w:ind w:left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1A2036"/>
    <w:pPr>
      <w:spacing w:before="60"/>
      <w:ind w:left="851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character" w:styleId="Hyperlink">
    <w:name w:val="Hyperlink"/>
    <w:basedOn w:val="DefaultParagraphFont"/>
    <w:uiPriority w:val="99"/>
    <w:rsid w:val="001A203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A2036"/>
    <w:pPr>
      <w:ind w:left="567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2036"/>
    <w:pPr>
      <w:jc w:val="righ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1A2036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A2036"/>
    <w:pPr>
      <w:spacing w:before="120" w:after="120"/>
      <w:ind w:left="742" w:hanging="283"/>
    </w:pPr>
    <w:rPr>
      <w:rFonts w:ascii="Times" w:hAnsi="Times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1A2036"/>
    <w:pPr>
      <w:tabs>
        <w:tab w:val="center" w:pos="4153"/>
        <w:tab w:val="right" w:pos="8306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A203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CoverActName">
    <w:name w:val="CoverActName"/>
    <w:basedOn w:val="Normal"/>
    <w:rsid w:val="001A203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TOC4">
    <w:name w:val="toc 4"/>
    <w:basedOn w:val="Normal"/>
    <w:next w:val="Normal"/>
    <w:autoRedefine/>
    <w:uiPriority w:val="39"/>
    <w:semiHidden/>
    <w:rsid w:val="001A2036"/>
    <w:pPr>
      <w:ind w:left="720"/>
    </w:pPr>
  </w:style>
  <w:style w:type="table" w:styleId="TableGrid">
    <w:name w:val="Table Grid"/>
    <w:basedOn w:val="TableNormal"/>
    <w:uiPriority w:val="39"/>
    <w:rsid w:val="001A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A2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50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E90"/>
    <w:rPr>
      <w:rFonts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FF8B-3C9E-4CB1-9382-FA9E769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1142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2016-09-29T04:30:00Z</cp:lastPrinted>
  <dcterms:created xsi:type="dcterms:W3CDTF">2022-09-30T00:00:00Z</dcterms:created>
  <dcterms:modified xsi:type="dcterms:W3CDTF">2022-09-30T00:15:00Z</dcterms:modified>
</cp:coreProperties>
</file>