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986EC" w14:textId="77777777" w:rsidR="00F16E68" w:rsidRPr="00F16E68" w:rsidRDefault="00F16E68" w:rsidP="00F16E68">
      <w:pPr>
        <w:spacing w:before="120" w:after="0" w:line="240" w:lineRule="auto"/>
        <w:rPr>
          <w:rFonts w:ascii="Arial" w:eastAsia="Times New Roman" w:hAnsi="Arial" w:cs="Arial"/>
          <w:color w:val="auto"/>
          <w:sz w:val="24"/>
          <w:szCs w:val="20"/>
          <w:lang w:eastAsia="en-US"/>
        </w:rPr>
      </w:pPr>
      <w:bookmarkStart w:id="0" w:name="_Toc44738651"/>
      <w:r w:rsidRPr="00F16E68">
        <w:rPr>
          <w:rFonts w:ascii="Arial" w:eastAsia="Times New Roman" w:hAnsi="Arial" w:cs="Arial"/>
          <w:color w:val="auto"/>
          <w:sz w:val="24"/>
          <w:szCs w:val="20"/>
          <w:lang w:eastAsia="en-US"/>
        </w:rPr>
        <w:t>Australian Capital Territory</w:t>
      </w:r>
    </w:p>
    <w:p w14:paraId="2549D7B7" w14:textId="0AD81635" w:rsidR="00F16E68" w:rsidRPr="00F16E68" w:rsidRDefault="00F16E68" w:rsidP="00F16E68">
      <w:pPr>
        <w:spacing w:before="700" w:after="100" w:line="240" w:lineRule="auto"/>
        <w:rPr>
          <w:rFonts w:ascii="Arial" w:eastAsia="Times New Roman" w:hAnsi="Arial" w:cs="Times New Roman"/>
          <w:b/>
          <w:color w:val="auto"/>
          <w:sz w:val="40"/>
          <w:szCs w:val="20"/>
          <w:lang w:eastAsia="en-US"/>
        </w:rPr>
      </w:pPr>
      <w:bookmarkStart w:id="1" w:name="_Hlk116296094"/>
      <w:r w:rsidRPr="00F16E68">
        <w:rPr>
          <w:rFonts w:ascii="Arial" w:eastAsia="Times New Roman" w:hAnsi="Arial" w:cs="Times New Roman"/>
          <w:b/>
          <w:color w:val="auto"/>
          <w:sz w:val="40"/>
          <w:szCs w:val="20"/>
          <w:lang w:eastAsia="en-US"/>
        </w:rPr>
        <w:t xml:space="preserve">Public Sector Management (Bail) Delegation 2022 (No </w:t>
      </w:r>
      <w:r>
        <w:rPr>
          <w:rFonts w:ascii="Arial" w:eastAsia="Times New Roman" w:hAnsi="Arial" w:cs="Times New Roman"/>
          <w:b/>
          <w:color w:val="auto"/>
          <w:sz w:val="40"/>
          <w:szCs w:val="20"/>
          <w:lang w:eastAsia="en-US"/>
        </w:rPr>
        <w:t>1</w:t>
      </w:r>
      <w:r w:rsidRPr="00F16E68">
        <w:rPr>
          <w:rFonts w:ascii="Arial" w:eastAsia="Times New Roman" w:hAnsi="Arial" w:cs="Times New Roman"/>
          <w:b/>
          <w:color w:val="auto"/>
          <w:sz w:val="40"/>
          <w:szCs w:val="20"/>
          <w:lang w:eastAsia="en-US"/>
        </w:rPr>
        <w:t>)</w:t>
      </w:r>
      <w:bookmarkEnd w:id="1"/>
      <w:r>
        <w:rPr>
          <w:rFonts w:ascii="Arial" w:eastAsia="Times New Roman" w:hAnsi="Arial" w:cs="Times New Roman"/>
          <w:b/>
          <w:color w:val="auto"/>
          <w:sz w:val="40"/>
          <w:szCs w:val="20"/>
          <w:lang w:eastAsia="en-US"/>
        </w:rPr>
        <w:t>*</w:t>
      </w:r>
    </w:p>
    <w:p w14:paraId="1CE54200" w14:textId="3C9F1CC9" w:rsidR="00F16E68" w:rsidRPr="00F16E68" w:rsidRDefault="00F16E68" w:rsidP="00F16E68">
      <w:pPr>
        <w:spacing w:before="340"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0"/>
          <w:lang w:eastAsia="en-US"/>
        </w:rPr>
      </w:pPr>
      <w:r w:rsidRPr="00F16E68">
        <w:rPr>
          <w:rFonts w:ascii="Arial" w:eastAsia="Times New Roman" w:hAnsi="Arial" w:cs="Arial"/>
          <w:b/>
          <w:bCs/>
          <w:color w:val="auto"/>
          <w:sz w:val="24"/>
          <w:szCs w:val="20"/>
          <w:lang w:eastAsia="en-US"/>
        </w:rPr>
        <w:t>Notifiable instrument NI2022–498</w:t>
      </w:r>
    </w:p>
    <w:p w14:paraId="2221CE85" w14:textId="77777777" w:rsidR="00F16E68" w:rsidRPr="00F16E68" w:rsidRDefault="00F16E68" w:rsidP="00F16E68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0"/>
          <w:lang w:eastAsia="en-US"/>
        </w:rPr>
      </w:pPr>
      <w:r w:rsidRPr="00F16E68">
        <w:rPr>
          <w:rFonts w:ascii="Times New Roman" w:eastAsia="Times New Roman" w:hAnsi="Times New Roman" w:cs="Times New Roman"/>
          <w:color w:val="auto"/>
          <w:sz w:val="24"/>
          <w:szCs w:val="20"/>
          <w:lang w:eastAsia="en-US"/>
        </w:rPr>
        <w:t xml:space="preserve">made under the  </w:t>
      </w:r>
    </w:p>
    <w:p w14:paraId="05FC99F7" w14:textId="77777777" w:rsidR="00F16E68" w:rsidRPr="00F16E68" w:rsidRDefault="00F16E68" w:rsidP="00F16E68">
      <w:pPr>
        <w:tabs>
          <w:tab w:val="left" w:pos="2600"/>
        </w:tabs>
        <w:spacing w:before="320" w:after="0" w:line="240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en-US"/>
        </w:rPr>
      </w:pPr>
      <w:r w:rsidRPr="00F16E68">
        <w:rPr>
          <w:rFonts w:ascii="Arial" w:eastAsia="Times New Roman" w:hAnsi="Arial" w:cs="Arial"/>
          <w:b/>
          <w:color w:val="auto"/>
          <w:sz w:val="20"/>
          <w:szCs w:val="20"/>
          <w:lang w:eastAsia="en-US"/>
        </w:rPr>
        <w:t>Public Sector Management Act 1994, section 20 (Delegation by Director-General)</w:t>
      </w:r>
    </w:p>
    <w:p w14:paraId="46AB3D72" w14:textId="77777777" w:rsidR="00F16E68" w:rsidRPr="00F16E68" w:rsidRDefault="00F16E68" w:rsidP="00F16E6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0"/>
          <w:lang w:eastAsia="en-US"/>
        </w:rPr>
      </w:pPr>
    </w:p>
    <w:p w14:paraId="32611867" w14:textId="77777777" w:rsidR="00F16E68" w:rsidRPr="00F16E68" w:rsidRDefault="00F16E68" w:rsidP="00F16E68">
      <w:pPr>
        <w:pBdr>
          <w:top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0"/>
          <w:lang w:eastAsia="en-US"/>
        </w:rPr>
      </w:pPr>
    </w:p>
    <w:p w14:paraId="51F20707" w14:textId="77777777" w:rsidR="00F16E68" w:rsidRPr="00F16E68" w:rsidRDefault="00F16E68" w:rsidP="00F16E68">
      <w:pPr>
        <w:spacing w:before="60" w:after="60" w:line="240" w:lineRule="auto"/>
        <w:ind w:left="720" w:hanging="720"/>
        <w:rPr>
          <w:rFonts w:ascii="Arial" w:eastAsia="Times New Roman" w:hAnsi="Arial" w:cs="Arial"/>
          <w:b/>
          <w:bCs/>
          <w:color w:val="auto"/>
          <w:sz w:val="24"/>
          <w:szCs w:val="20"/>
          <w:lang w:eastAsia="en-US"/>
        </w:rPr>
      </w:pPr>
      <w:r w:rsidRPr="00F16E68">
        <w:rPr>
          <w:rFonts w:ascii="Arial" w:eastAsia="Times New Roman" w:hAnsi="Arial" w:cs="Arial"/>
          <w:b/>
          <w:bCs/>
          <w:color w:val="auto"/>
          <w:sz w:val="24"/>
          <w:szCs w:val="20"/>
          <w:lang w:eastAsia="en-US"/>
        </w:rPr>
        <w:t>1</w:t>
      </w:r>
      <w:r w:rsidRPr="00F16E68">
        <w:rPr>
          <w:rFonts w:ascii="Arial" w:eastAsia="Times New Roman" w:hAnsi="Arial" w:cs="Arial"/>
          <w:b/>
          <w:bCs/>
          <w:color w:val="auto"/>
          <w:sz w:val="24"/>
          <w:szCs w:val="20"/>
          <w:lang w:eastAsia="en-US"/>
        </w:rPr>
        <w:tab/>
        <w:t>Name of instrument</w:t>
      </w:r>
    </w:p>
    <w:p w14:paraId="4D0468B1" w14:textId="0C72146D" w:rsidR="00F16E68" w:rsidRPr="00F16E68" w:rsidRDefault="00F16E68" w:rsidP="00F16E68">
      <w:pPr>
        <w:spacing w:before="140"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0"/>
          <w:lang w:eastAsia="en-US"/>
        </w:rPr>
      </w:pPr>
      <w:r w:rsidRPr="00F16E68">
        <w:rPr>
          <w:rFonts w:ascii="Times New Roman" w:eastAsia="Times New Roman" w:hAnsi="Times New Roman" w:cs="Times New Roman"/>
          <w:color w:val="auto"/>
          <w:sz w:val="24"/>
          <w:szCs w:val="20"/>
          <w:lang w:eastAsia="en-US"/>
        </w:rPr>
        <w:t xml:space="preserve">This instrument is the </w:t>
      </w:r>
      <w:r w:rsidRPr="00F16E68">
        <w:rPr>
          <w:rFonts w:ascii="Times New Roman" w:eastAsia="Times New Roman" w:hAnsi="Times New Roman" w:cs="Times New Roman"/>
          <w:i/>
          <w:color w:val="auto"/>
          <w:sz w:val="24"/>
          <w:szCs w:val="20"/>
          <w:lang w:eastAsia="en-US"/>
        </w:rPr>
        <w:t>Public Sector Management (Bail) Delegation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0"/>
          <w:lang w:eastAsia="en-US"/>
        </w:rPr>
        <w:t> </w:t>
      </w:r>
      <w:r w:rsidRPr="00F16E68">
        <w:rPr>
          <w:rFonts w:ascii="Times New Roman" w:eastAsia="Times New Roman" w:hAnsi="Times New Roman" w:cs="Times New Roman"/>
          <w:i/>
          <w:color w:val="auto"/>
          <w:sz w:val="24"/>
          <w:szCs w:val="20"/>
          <w:lang w:eastAsia="en-US"/>
        </w:rPr>
        <w:t>2022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0"/>
          <w:lang w:eastAsia="en-US"/>
        </w:rPr>
        <w:t> </w:t>
      </w:r>
      <w:r w:rsidRPr="00F16E68">
        <w:rPr>
          <w:rFonts w:ascii="Times New Roman" w:eastAsia="Times New Roman" w:hAnsi="Times New Roman" w:cs="Times New Roman"/>
          <w:i/>
          <w:color w:val="auto"/>
          <w:sz w:val="24"/>
          <w:szCs w:val="20"/>
          <w:lang w:eastAsia="en-US"/>
        </w:rPr>
        <w:t>(No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0"/>
          <w:lang w:eastAsia="en-US"/>
        </w:rPr>
        <w:t> </w:t>
      </w:r>
      <w:r w:rsidRPr="00F16E68">
        <w:rPr>
          <w:rFonts w:ascii="Times New Roman" w:eastAsia="Times New Roman" w:hAnsi="Times New Roman" w:cs="Times New Roman"/>
          <w:i/>
          <w:color w:val="auto"/>
          <w:sz w:val="24"/>
          <w:szCs w:val="20"/>
          <w:lang w:eastAsia="en-US"/>
        </w:rPr>
        <w:t>1)</w:t>
      </w:r>
      <w:r w:rsidRPr="00F16E68">
        <w:rPr>
          <w:rFonts w:ascii="Times New Roman" w:eastAsia="Times New Roman" w:hAnsi="Times New Roman" w:cs="Times New Roman"/>
          <w:color w:val="auto"/>
          <w:sz w:val="24"/>
          <w:szCs w:val="20"/>
          <w:lang w:eastAsia="en-US"/>
        </w:rPr>
        <w:t>.</w:t>
      </w:r>
    </w:p>
    <w:p w14:paraId="3D311D47" w14:textId="02EF606D" w:rsidR="00F16E68" w:rsidRPr="00F16E68" w:rsidRDefault="00F16E68" w:rsidP="00F16E68">
      <w:pPr>
        <w:spacing w:before="300" w:after="0" w:line="240" w:lineRule="auto"/>
        <w:ind w:left="720" w:hanging="720"/>
        <w:rPr>
          <w:rFonts w:ascii="Arial" w:eastAsia="Times New Roman" w:hAnsi="Arial" w:cs="Arial"/>
          <w:b/>
          <w:bCs/>
          <w:color w:val="auto"/>
          <w:sz w:val="24"/>
          <w:szCs w:val="20"/>
          <w:lang w:eastAsia="en-US"/>
        </w:rPr>
      </w:pPr>
      <w:r w:rsidRPr="00F16E68">
        <w:rPr>
          <w:rFonts w:ascii="Arial" w:eastAsia="Times New Roman" w:hAnsi="Arial" w:cs="Arial"/>
          <w:b/>
          <w:bCs/>
          <w:color w:val="auto"/>
          <w:sz w:val="24"/>
          <w:szCs w:val="20"/>
          <w:lang w:eastAsia="en-US"/>
        </w:rPr>
        <w:t>2</w:t>
      </w:r>
      <w:r w:rsidRPr="00F16E68">
        <w:rPr>
          <w:rFonts w:ascii="Arial" w:eastAsia="Times New Roman" w:hAnsi="Arial" w:cs="Arial"/>
          <w:b/>
          <w:bCs/>
          <w:color w:val="auto"/>
          <w:sz w:val="24"/>
          <w:szCs w:val="20"/>
          <w:lang w:eastAsia="en-US"/>
        </w:rPr>
        <w:tab/>
        <w:t>Commencement</w:t>
      </w:r>
    </w:p>
    <w:p w14:paraId="203CF181" w14:textId="211D7A73" w:rsidR="00F16E68" w:rsidRPr="00F16E68" w:rsidRDefault="00F16E68" w:rsidP="00F16E68">
      <w:pPr>
        <w:spacing w:before="140"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0"/>
          <w:lang w:eastAsia="en-US"/>
        </w:rPr>
      </w:pPr>
      <w:bookmarkStart w:id="2" w:name="_Hlk115362431"/>
      <w:r w:rsidRPr="00F16E68">
        <w:rPr>
          <w:rFonts w:ascii="Times New Roman" w:eastAsia="Times New Roman" w:hAnsi="Times New Roman" w:cs="Times New Roman"/>
          <w:color w:val="auto"/>
          <w:sz w:val="24"/>
          <w:szCs w:val="20"/>
          <w:lang w:eastAsia="en-US"/>
        </w:rPr>
        <w:t xml:space="preserve">This instrument commences on the day after </w:t>
      </w:r>
      <w:r>
        <w:rPr>
          <w:rFonts w:ascii="Times New Roman" w:eastAsia="Times New Roman" w:hAnsi="Times New Roman" w:cs="Times New Roman"/>
          <w:color w:val="auto"/>
          <w:sz w:val="24"/>
          <w:szCs w:val="20"/>
          <w:lang w:eastAsia="en-US"/>
        </w:rPr>
        <w:t>notification</w:t>
      </w:r>
      <w:r w:rsidRPr="00F16E68">
        <w:rPr>
          <w:rFonts w:ascii="Times New Roman" w:eastAsia="Times New Roman" w:hAnsi="Times New Roman" w:cs="Times New Roman"/>
          <w:color w:val="auto"/>
          <w:sz w:val="24"/>
          <w:szCs w:val="20"/>
          <w:lang w:eastAsia="en-US"/>
        </w:rPr>
        <w:t>.</w:t>
      </w:r>
    </w:p>
    <w:bookmarkEnd w:id="2"/>
    <w:p w14:paraId="5D09AAFE" w14:textId="77777777" w:rsidR="00F16E68" w:rsidRPr="00F16E68" w:rsidRDefault="00F16E68" w:rsidP="00F16E68">
      <w:pPr>
        <w:spacing w:before="300" w:after="0" w:line="240" w:lineRule="auto"/>
        <w:ind w:left="720" w:hanging="720"/>
        <w:rPr>
          <w:rFonts w:ascii="Arial" w:eastAsia="Times New Roman" w:hAnsi="Arial" w:cs="Arial"/>
          <w:b/>
          <w:bCs/>
          <w:color w:val="auto"/>
          <w:sz w:val="24"/>
          <w:szCs w:val="20"/>
          <w:lang w:eastAsia="en-US"/>
        </w:rPr>
      </w:pPr>
      <w:r w:rsidRPr="00F16E68">
        <w:rPr>
          <w:rFonts w:ascii="Arial" w:eastAsia="Times New Roman" w:hAnsi="Arial" w:cs="Arial"/>
          <w:b/>
          <w:bCs/>
          <w:color w:val="auto"/>
          <w:sz w:val="24"/>
          <w:szCs w:val="20"/>
          <w:lang w:eastAsia="en-US"/>
        </w:rPr>
        <w:t>3</w:t>
      </w:r>
      <w:r w:rsidRPr="00F16E68">
        <w:rPr>
          <w:rFonts w:ascii="Arial" w:eastAsia="Times New Roman" w:hAnsi="Arial" w:cs="Arial"/>
          <w:b/>
          <w:bCs/>
          <w:color w:val="auto"/>
          <w:sz w:val="24"/>
          <w:szCs w:val="20"/>
          <w:lang w:eastAsia="en-US"/>
        </w:rPr>
        <w:tab/>
        <w:t>Delegation</w:t>
      </w:r>
    </w:p>
    <w:p w14:paraId="56F1B6E7" w14:textId="77777777" w:rsidR="00F16E68" w:rsidRPr="00F16E68" w:rsidRDefault="00F16E68" w:rsidP="00F16E68">
      <w:pPr>
        <w:spacing w:before="140" w:after="0" w:line="240" w:lineRule="auto"/>
        <w:ind w:left="720" w:hanging="436"/>
        <w:rPr>
          <w:rFonts w:ascii="Times New Roman" w:eastAsia="Times New Roman" w:hAnsi="Times New Roman" w:cs="Times New Roman"/>
          <w:color w:val="auto"/>
          <w:sz w:val="24"/>
          <w:szCs w:val="20"/>
          <w:lang w:eastAsia="en-US"/>
        </w:rPr>
      </w:pPr>
      <w:bookmarkStart w:id="3" w:name="_Hlk115362479"/>
      <w:r w:rsidRPr="00F16E68">
        <w:rPr>
          <w:rFonts w:ascii="Times New Roman" w:eastAsia="Times New Roman" w:hAnsi="Times New Roman" w:cs="Times New Roman"/>
          <w:color w:val="auto"/>
          <w:sz w:val="24"/>
          <w:szCs w:val="20"/>
          <w:lang w:eastAsia="en-US"/>
        </w:rPr>
        <w:t>(1)</w:t>
      </w:r>
      <w:r w:rsidRPr="00F16E68">
        <w:rPr>
          <w:rFonts w:ascii="Times New Roman" w:eastAsia="Times New Roman" w:hAnsi="Times New Roman" w:cs="Times New Roman"/>
          <w:color w:val="auto"/>
          <w:sz w:val="24"/>
          <w:szCs w:val="20"/>
          <w:lang w:eastAsia="en-US"/>
        </w:rPr>
        <w:tab/>
        <w:t xml:space="preserve">I delegate my functions under the </w:t>
      </w:r>
      <w:r w:rsidRPr="00F16E68">
        <w:rPr>
          <w:rFonts w:ascii="Times New Roman" w:eastAsia="Times New Roman" w:hAnsi="Times New Roman" w:cs="Times New Roman"/>
          <w:i/>
          <w:color w:val="auto"/>
          <w:sz w:val="24"/>
          <w:szCs w:val="20"/>
          <w:lang w:eastAsia="en-US"/>
        </w:rPr>
        <w:t>Bail Act 1992</w:t>
      </w:r>
      <w:r w:rsidRPr="00F16E68">
        <w:rPr>
          <w:rFonts w:ascii="Times New Roman" w:eastAsia="Times New Roman" w:hAnsi="Times New Roman" w:cs="Times New Roman"/>
          <w:color w:val="auto"/>
          <w:sz w:val="24"/>
          <w:szCs w:val="20"/>
          <w:lang w:eastAsia="en-US"/>
        </w:rPr>
        <w:t xml:space="preserve"> mentioned in schedule 2, column 2 to the people identified by the corresponding code mentioned in column 1.</w:t>
      </w:r>
    </w:p>
    <w:p w14:paraId="12029396" w14:textId="77777777" w:rsidR="00F16E68" w:rsidRPr="00F16E68" w:rsidRDefault="00F16E68" w:rsidP="00F16E68">
      <w:pPr>
        <w:spacing w:before="140" w:after="0" w:line="240" w:lineRule="auto"/>
        <w:ind w:left="720" w:hanging="436"/>
        <w:rPr>
          <w:rFonts w:ascii="Times New Roman" w:eastAsia="Times New Roman" w:hAnsi="Times New Roman" w:cs="Times New Roman"/>
          <w:color w:val="auto"/>
          <w:sz w:val="24"/>
          <w:szCs w:val="20"/>
          <w:lang w:eastAsia="en-US"/>
        </w:rPr>
      </w:pPr>
      <w:r w:rsidRPr="00F16E68">
        <w:rPr>
          <w:rFonts w:ascii="Times New Roman" w:eastAsia="Times New Roman" w:hAnsi="Times New Roman" w:cs="Times New Roman"/>
          <w:color w:val="auto"/>
          <w:sz w:val="24"/>
          <w:szCs w:val="20"/>
          <w:lang w:eastAsia="en-US"/>
        </w:rPr>
        <w:t>(2)</w:t>
      </w:r>
      <w:r w:rsidRPr="00F16E68">
        <w:rPr>
          <w:rFonts w:ascii="Times New Roman" w:eastAsia="Times New Roman" w:hAnsi="Times New Roman" w:cs="Times New Roman"/>
          <w:color w:val="auto"/>
          <w:sz w:val="24"/>
          <w:szCs w:val="20"/>
          <w:lang w:eastAsia="en-US"/>
        </w:rPr>
        <w:tab/>
        <w:t>A person identified by a code in schedule 2, column 1 is the person occupying the position mentioned in schedule 1, column 2 in relation to the code.</w:t>
      </w:r>
    </w:p>
    <w:bookmarkEnd w:id="3"/>
    <w:p w14:paraId="07E4A8E7" w14:textId="77777777" w:rsidR="00F16E68" w:rsidRPr="00F16E68" w:rsidRDefault="00F16E68" w:rsidP="00F16E68">
      <w:pPr>
        <w:spacing w:before="300" w:after="0" w:line="240" w:lineRule="auto"/>
        <w:ind w:left="720" w:hanging="720"/>
        <w:rPr>
          <w:rFonts w:ascii="Arial" w:eastAsia="Times New Roman" w:hAnsi="Arial" w:cs="Arial"/>
          <w:b/>
          <w:bCs/>
          <w:color w:val="auto"/>
          <w:sz w:val="24"/>
          <w:szCs w:val="20"/>
          <w:lang w:eastAsia="en-US"/>
        </w:rPr>
      </w:pPr>
      <w:r w:rsidRPr="00F16E68">
        <w:rPr>
          <w:rFonts w:ascii="Arial" w:eastAsia="Times New Roman" w:hAnsi="Arial" w:cs="Arial"/>
          <w:b/>
          <w:bCs/>
          <w:color w:val="auto"/>
          <w:sz w:val="24"/>
          <w:szCs w:val="20"/>
          <w:lang w:eastAsia="en-US"/>
        </w:rPr>
        <w:t>4</w:t>
      </w:r>
      <w:r w:rsidRPr="00F16E68">
        <w:rPr>
          <w:rFonts w:ascii="Arial" w:eastAsia="Times New Roman" w:hAnsi="Arial" w:cs="Arial"/>
          <w:b/>
          <w:bCs/>
          <w:color w:val="auto"/>
          <w:sz w:val="24"/>
          <w:szCs w:val="20"/>
          <w:lang w:eastAsia="en-US"/>
        </w:rPr>
        <w:tab/>
        <w:t>Revocation</w:t>
      </w:r>
    </w:p>
    <w:p w14:paraId="6A305D5D" w14:textId="77777777" w:rsidR="00F16E68" w:rsidRPr="00F16E68" w:rsidRDefault="00F16E68" w:rsidP="00F16E68">
      <w:pPr>
        <w:spacing w:before="140"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0"/>
          <w:lang w:eastAsia="en-US"/>
        </w:rPr>
      </w:pPr>
      <w:bookmarkStart w:id="4" w:name="_Hlk115362457"/>
      <w:r w:rsidRPr="00F16E68">
        <w:rPr>
          <w:rFonts w:ascii="Times New Roman" w:eastAsia="Times New Roman" w:hAnsi="Times New Roman" w:cs="Times New Roman"/>
          <w:color w:val="auto"/>
          <w:sz w:val="24"/>
          <w:szCs w:val="20"/>
          <w:lang w:eastAsia="en-US"/>
        </w:rPr>
        <w:t xml:space="preserve">This instrument revokes </w:t>
      </w:r>
      <w:r w:rsidRPr="00F16E68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NI2019-625.</w:t>
      </w:r>
    </w:p>
    <w:bookmarkEnd w:id="4"/>
    <w:p w14:paraId="5C7AA282" w14:textId="77777777" w:rsidR="00F16E68" w:rsidRPr="00F16E68" w:rsidRDefault="00F16E68" w:rsidP="00F16E68">
      <w:pPr>
        <w:spacing w:before="140"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0"/>
          <w:lang w:eastAsia="en-US"/>
        </w:rPr>
      </w:pPr>
    </w:p>
    <w:p w14:paraId="67B93A61" w14:textId="77777777" w:rsidR="00F16E68" w:rsidRPr="00F16E68" w:rsidRDefault="00F16E68" w:rsidP="00F16E68">
      <w:pPr>
        <w:spacing w:before="140"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0"/>
          <w:lang w:eastAsia="en-US"/>
        </w:rPr>
      </w:pPr>
    </w:p>
    <w:p w14:paraId="48017D52" w14:textId="77777777" w:rsidR="00F16E68" w:rsidRPr="00F16E68" w:rsidRDefault="00F16E68" w:rsidP="00F16E68">
      <w:pPr>
        <w:spacing w:before="140"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0"/>
          <w:lang w:eastAsia="en-US"/>
        </w:rPr>
      </w:pPr>
    </w:p>
    <w:bookmarkEnd w:id="0"/>
    <w:p w14:paraId="7C3183B5" w14:textId="7ADBC47F" w:rsidR="00F16E68" w:rsidRPr="00F16E68" w:rsidRDefault="00F51034" w:rsidP="00F16E68">
      <w:pPr>
        <w:tabs>
          <w:tab w:val="left" w:pos="4320"/>
        </w:tabs>
        <w:spacing w:before="720" w:after="0" w:line="240" w:lineRule="auto"/>
        <w:rPr>
          <w:rFonts w:ascii="Times New Roman" w:eastAsia="Times New Roman" w:hAnsi="Times New Roman" w:cs="Times New Roman"/>
          <w:color w:val="auto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0"/>
          <w:lang w:eastAsia="en-US"/>
        </w:rPr>
        <w:t>Jo Wood</w:t>
      </w:r>
    </w:p>
    <w:p w14:paraId="1296BD8E" w14:textId="062C6B99" w:rsidR="00F16E68" w:rsidRPr="00F16E68" w:rsidRDefault="00F51034" w:rsidP="00F16E68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0"/>
          <w:lang w:eastAsia="en-US"/>
        </w:rPr>
        <w:t xml:space="preserve">A/g </w:t>
      </w:r>
      <w:r w:rsidR="00F16E68" w:rsidRPr="00F16E68">
        <w:rPr>
          <w:rFonts w:ascii="Times New Roman" w:eastAsia="Times New Roman" w:hAnsi="Times New Roman" w:cs="Times New Roman"/>
          <w:color w:val="auto"/>
          <w:sz w:val="24"/>
          <w:szCs w:val="20"/>
          <w:lang w:eastAsia="en-US"/>
        </w:rPr>
        <w:t>Director General</w:t>
      </w:r>
    </w:p>
    <w:p w14:paraId="3BF29B5F" w14:textId="77777777" w:rsidR="00F16E68" w:rsidRPr="00F16E68" w:rsidRDefault="00F16E68" w:rsidP="00F16E68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0"/>
          <w:lang w:eastAsia="en-US"/>
        </w:rPr>
      </w:pPr>
      <w:r w:rsidRPr="00F16E68">
        <w:rPr>
          <w:rFonts w:ascii="Times New Roman" w:eastAsia="Times New Roman" w:hAnsi="Times New Roman" w:cs="Times New Roman"/>
          <w:color w:val="auto"/>
          <w:sz w:val="24"/>
          <w:szCs w:val="20"/>
          <w:lang w:eastAsia="en-US"/>
        </w:rPr>
        <w:t>Community Services Directorate</w:t>
      </w:r>
    </w:p>
    <w:p w14:paraId="653F5A7C" w14:textId="48A08363" w:rsidR="00F16E68" w:rsidRPr="00F16E68" w:rsidRDefault="00676C65" w:rsidP="00F16E68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0"/>
          <w:lang w:eastAsia="en-US"/>
        </w:rPr>
        <w:t>5 October</w:t>
      </w:r>
      <w:r w:rsidR="00F16E68" w:rsidRPr="00F16E68">
        <w:rPr>
          <w:rFonts w:ascii="Times New Roman" w:eastAsia="Times New Roman" w:hAnsi="Times New Roman" w:cs="Times New Roman"/>
          <w:color w:val="auto"/>
          <w:sz w:val="24"/>
          <w:szCs w:val="20"/>
          <w:lang w:eastAsia="en-US"/>
        </w:rPr>
        <w:t xml:space="preserve"> 2022</w:t>
      </w:r>
    </w:p>
    <w:p w14:paraId="0C8F442D" w14:textId="77777777" w:rsidR="00F73ED6" w:rsidRDefault="00F73ED6">
      <w:pPr>
        <w:spacing w:after="0"/>
        <w:ind w:left="284"/>
        <w:rPr>
          <w:rFonts w:ascii="Times New Roman" w:eastAsia="Times New Roman" w:hAnsi="Times New Roman" w:cs="Times New Roman"/>
          <w:sz w:val="24"/>
        </w:rPr>
      </w:pPr>
    </w:p>
    <w:p w14:paraId="510E8810" w14:textId="3586B9B6" w:rsidR="00F73ED6" w:rsidRDefault="00F73ED6">
      <w:pPr>
        <w:spacing w:after="0"/>
        <w:ind w:left="284"/>
        <w:rPr>
          <w:rFonts w:ascii="Times New Roman" w:eastAsia="Times New Roman" w:hAnsi="Times New Roman" w:cs="Times New Roman"/>
          <w:sz w:val="24"/>
        </w:rPr>
        <w:sectPr w:rsidR="00F73ED6" w:rsidSect="00786FB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8" w:h="16840"/>
          <w:pgMar w:top="1440" w:right="1797" w:bottom="1440" w:left="1797" w:header="720" w:footer="652" w:gutter="0"/>
          <w:cols w:space="720"/>
          <w:titlePg/>
          <w:docGrid w:linePitch="299"/>
        </w:sectPr>
      </w:pPr>
    </w:p>
    <w:p w14:paraId="4DAD1711" w14:textId="77777777" w:rsidR="00AD37AA" w:rsidRPr="00AD37AA" w:rsidRDefault="00AD37AA" w:rsidP="00AD37AA">
      <w:pPr>
        <w:spacing w:after="0" w:line="240" w:lineRule="auto"/>
        <w:jc w:val="center"/>
        <w:outlineLvl w:val="0"/>
        <w:rPr>
          <w:rFonts w:eastAsia="Times New Roman" w:cs="Arial"/>
          <w:b/>
          <w:color w:val="auto"/>
          <w:sz w:val="28"/>
          <w:szCs w:val="28"/>
          <w:lang w:eastAsia="en-US"/>
        </w:rPr>
      </w:pPr>
      <w:r w:rsidRPr="00AD37AA">
        <w:rPr>
          <w:rFonts w:eastAsia="Times New Roman" w:cs="Arial"/>
          <w:b/>
          <w:color w:val="auto"/>
          <w:sz w:val="28"/>
          <w:szCs w:val="28"/>
          <w:lang w:eastAsia="en-US"/>
        </w:rPr>
        <w:lastRenderedPageBreak/>
        <w:t>Schedule 1</w:t>
      </w:r>
    </w:p>
    <w:p w14:paraId="045AB46E" w14:textId="77777777" w:rsidR="00AD37AA" w:rsidRPr="00AD37AA" w:rsidRDefault="00AD37AA" w:rsidP="00AD37AA">
      <w:pPr>
        <w:spacing w:after="0" w:line="240" w:lineRule="auto"/>
        <w:jc w:val="center"/>
        <w:outlineLvl w:val="0"/>
        <w:rPr>
          <w:rFonts w:eastAsia="Times New Roman" w:cs="Arial"/>
          <w:b/>
          <w:bCs/>
          <w:color w:val="auto"/>
          <w:sz w:val="24"/>
          <w:szCs w:val="24"/>
          <w:lang w:eastAsia="en-US"/>
        </w:rPr>
      </w:pPr>
      <w:r w:rsidRPr="00AD37AA">
        <w:rPr>
          <w:rFonts w:eastAsia="Times New Roman" w:cs="Arial"/>
          <w:b/>
          <w:color w:val="auto"/>
          <w:sz w:val="24"/>
          <w:szCs w:val="24"/>
          <w:lang w:eastAsia="en-US"/>
        </w:rPr>
        <w:t>TABLE OF DELEGATIONS</w:t>
      </w:r>
    </w:p>
    <w:p w14:paraId="26C89DDB" w14:textId="77777777" w:rsidR="00AD37AA" w:rsidRPr="00AD37AA" w:rsidRDefault="00AD37AA" w:rsidP="00AD37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Arial"/>
          <w:b/>
          <w:bCs/>
          <w:color w:val="auto"/>
          <w:sz w:val="24"/>
          <w:szCs w:val="24"/>
          <w:lang w:eastAsia="en-US"/>
        </w:rPr>
      </w:pPr>
      <w:r w:rsidRPr="00AD37AA">
        <w:rPr>
          <w:rFonts w:eastAsia="Times New Roman" w:cs="Arial"/>
          <w:b/>
          <w:bCs/>
          <w:color w:val="auto"/>
          <w:sz w:val="24"/>
          <w:szCs w:val="24"/>
          <w:lang w:eastAsia="en-US"/>
        </w:rPr>
        <w:t>Child and Youth Protection Services (CYPS)</w:t>
      </w:r>
    </w:p>
    <w:tbl>
      <w:tblPr>
        <w:tblW w:w="8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8"/>
        <w:gridCol w:w="6912"/>
      </w:tblGrid>
      <w:tr w:rsidR="00AD37AA" w:rsidRPr="00AD37AA" w14:paraId="5B0728F9" w14:textId="77777777" w:rsidTr="00AD37AA">
        <w:trPr>
          <w:trHeight w:val="312"/>
          <w:tblHeader/>
          <w:jc w:val="center"/>
        </w:trPr>
        <w:tc>
          <w:tcPr>
            <w:tcW w:w="1288" w:type="dxa"/>
            <w:shd w:val="clear" w:color="auto" w:fill="BFBFBF"/>
          </w:tcPr>
          <w:p w14:paraId="795C8F61" w14:textId="77777777" w:rsidR="00AD37AA" w:rsidRPr="00AD37AA" w:rsidRDefault="00AD37AA" w:rsidP="00AD37AA">
            <w:pPr>
              <w:spacing w:after="0" w:line="240" w:lineRule="auto"/>
              <w:ind w:left="-93"/>
              <w:jc w:val="center"/>
              <w:rPr>
                <w:rFonts w:eastAsia="Times New Roman" w:cs="Arial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AD37AA">
              <w:rPr>
                <w:rFonts w:eastAsia="Times New Roman" w:cs="Arial"/>
                <w:b/>
                <w:bCs/>
                <w:color w:val="auto"/>
                <w:sz w:val="24"/>
                <w:szCs w:val="24"/>
                <w:lang w:eastAsia="en-US"/>
              </w:rPr>
              <w:t>Column 1</w:t>
            </w:r>
          </w:p>
        </w:tc>
        <w:tc>
          <w:tcPr>
            <w:tcW w:w="6912" w:type="dxa"/>
            <w:shd w:val="clear" w:color="auto" w:fill="BFBFBF"/>
          </w:tcPr>
          <w:p w14:paraId="6EF57E9C" w14:textId="77777777" w:rsidR="00AD37AA" w:rsidRPr="00AD37AA" w:rsidRDefault="00AD37AA" w:rsidP="00AD37AA">
            <w:pPr>
              <w:spacing w:after="0" w:line="240" w:lineRule="auto"/>
              <w:jc w:val="center"/>
              <w:rPr>
                <w:rFonts w:eastAsia="Times New Roman" w:cs="Arial (W1)"/>
                <w:b/>
                <w:color w:val="auto"/>
                <w:sz w:val="24"/>
                <w:szCs w:val="24"/>
                <w:lang w:val="en-US"/>
              </w:rPr>
            </w:pPr>
            <w:r w:rsidRPr="00AD37AA">
              <w:rPr>
                <w:rFonts w:eastAsia="Times New Roman" w:cs="Arial (W1)"/>
                <w:b/>
                <w:color w:val="auto"/>
                <w:sz w:val="24"/>
                <w:szCs w:val="24"/>
                <w:lang w:val="en-US"/>
              </w:rPr>
              <w:t>Column 2</w:t>
            </w:r>
          </w:p>
        </w:tc>
      </w:tr>
      <w:tr w:rsidR="00AD37AA" w:rsidRPr="00AD37AA" w14:paraId="08EF2D8C" w14:textId="77777777" w:rsidTr="00AD37AA">
        <w:trPr>
          <w:trHeight w:val="312"/>
          <w:tblHeader/>
          <w:jc w:val="center"/>
        </w:trPr>
        <w:tc>
          <w:tcPr>
            <w:tcW w:w="1288" w:type="dxa"/>
            <w:shd w:val="clear" w:color="auto" w:fill="D9D9D9"/>
            <w:hideMark/>
          </w:tcPr>
          <w:p w14:paraId="3CBBAD80" w14:textId="77777777" w:rsidR="00AD37AA" w:rsidRPr="00AD37AA" w:rsidRDefault="00AD37AA" w:rsidP="00AD37AA">
            <w:pPr>
              <w:spacing w:after="0" w:line="240" w:lineRule="auto"/>
              <w:ind w:left="-93"/>
              <w:jc w:val="center"/>
              <w:rPr>
                <w:rFonts w:eastAsia="Times New Roman" w:cs="Arial (W1)"/>
                <w:b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Arial"/>
                <w:b/>
                <w:bCs/>
                <w:color w:val="auto"/>
                <w:sz w:val="24"/>
                <w:szCs w:val="24"/>
                <w:lang w:eastAsia="en-US"/>
              </w:rPr>
              <w:br w:type="page"/>
            </w:r>
            <w:r w:rsidRPr="00AD37AA">
              <w:rPr>
                <w:rFonts w:eastAsia="Times New Roman" w:cs="Arial (W1)"/>
                <w:b/>
                <w:color w:val="auto"/>
                <w:sz w:val="24"/>
                <w:szCs w:val="24"/>
              </w:rPr>
              <w:t>Code</w:t>
            </w:r>
          </w:p>
        </w:tc>
        <w:tc>
          <w:tcPr>
            <w:tcW w:w="6912" w:type="dxa"/>
            <w:shd w:val="clear" w:color="auto" w:fill="D9D9D9"/>
            <w:hideMark/>
          </w:tcPr>
          <w:p w14:paraId="06FBE790" w14:textId="77777777" w:rsidR="00AD37AA" w:rsidRPr="00AD37AA" w:rsidRDefault="00AD37AA" w:rsidP="00AD37AA">
            <w:pPr>
              <w:spacing w:after="0" w:line="240" w:lineRule="auto"/>
              <w:jc w:val="center"/>
              <w:rPr>
                <w:rFonts w:eastAsia="Times New Roman" w:cs="Arial (W1)"/>
                <w:b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Arial (W1)"/>
                <w:b/>
                <w:color w:val="auto"/>
                <w:sz w:val="24"/>
                <w:szCs w:val="24"/>
                <w:lang w:val="en-US"/>
              </w:rPr>
              <w:t>Positions</w:t>
            </w:r>
          </w:p>
        </w:tc>
      </w:tr>
      <w:tr w:rsidR="00AD37AA" w:rsidRPr="00AD37AA" w14:paraId="50271B5A" w14:textId="77777777" w:rsidTr="00DA3BE1">
        <w:trPr>
          <w:trHeight w:val="312"/>
          <w:jc w:val="center"/>
        </w:trPr>
        <w:tc>
          <w:tcPr>
            <w:tcW w:w="1288" w:type="dxa"/>
            <w:vMerge w:val="restart"/>
            <w:shd w:val="clear" w:color="auto" w:fill="auto"/>
          </w:tcPr>
          <w:p w14:paraId="5AB30A1B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A</w:t>
            </w:r>
          </w:p>
        </w:tc>
        <w:tc>
          <w:tcPr>
            <w:tcW w:w="6912" w:type="dxa"/>
            <w:shd w:val="clear" w:color="auto" w:fill="D9D9D9"/>
          </w:tcPr>
          <w:p w14:paraId="21979B22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val="en-US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  <w:lang w:val="en-US"/>
              </w:rPr>
              <w:t xml:space="preserve">Deputy Director-General </w:t>
            </w:r>
          </w:p>
        </w:tc>
      </w:tr>
      <w:tr w:rsidR="00AD37AA" w:rsidRPr="00AD37AA" w14:paraId="17B8932A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14:paraId="075127C9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  <w:hideMark/>
          </w:tcPr>
          <w:p w14:paraId="4F700690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  <w:lang w:val="en-US"/>
              </w:rPr>
              <w:t>Executive Group Manager, Children, Youth and Families</w:t>
            </w:r>
          </w:p>
        </w:tc>
      </w:tr>
      <w:tr w:rsidR="00AD37AA" w:rsidRPr="00AD37AA" w14:paraId="03262809" w14:textId="77777777" w:rsidTr="00DA3BE1">
        <w:trPr>
          <w:trHeight w:val="251"/>
          <w:jc w:val="center"/>
        </w:trPr>
        <w:tc>
          <w:tcPr>
            <w:tcW w:w="1288" w:type="dxa"/>
            <w:vMerge/>
            <w:vAlign w:val="center"/>
            <w:hideMark/>
          </w:tcPr>
          <w:p w14:paraId="1EF2655C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  <w:hideMark/>
          </w:tcPr>
          <w:p w14:paraId="54274F9D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  <w:lang w:val="en-US"/>
              </w:rPr>
              <w:t>Executive Group Manager (Deputy), Children, Youth and Families</w:t>
            </w:r>
          </w:p>
        </w:tc>
      </w:tr>
      <w:tr w:rsidR="00AD37AA" w:rsidRPr="00AD37AA" w14:paraId="7E42FC85" w14:textId="77777777" w:rsidTr="00DA3BE1">
        <w:trPr>
          <w:trHeight w:val="312"/>
          <w:jc w:val="center"/>
        </w:trPr>
        <w:tc>
          <w:tcPr>
            <w:tcW w:w="1288" w:type="dxa"/>
            <w:vMerge w:val="restart"/>
            <w:shd w:val="clear" w:color="auto" w:fill="auto"/>
            <w:hideMark/>
          </w:tcPr>
          <w:p w14:paraId="69DA8742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B</w:t>
            </w:r>
          </w:p>
        </w:tc>
        <w:tc>
          <w:tcPr>
            <w:tcW w:w="6912" w:type="dxa"/>
            <w:shd w:val="clear" w:color="auto" w:fill="D9D9D9"/>
            <w:hideMark/>
          </w:tcPr>
          <w:p w14:paraId="7F83CC56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Executive Branch Manager, Child and Youth Protection Services</w:t>
            </w:r>
          </w:p>
        </w:tc>
      </w:tr>
      <w:tr w:rsidR="00AD37AA" w:rsidRPr="00AD37AA" w14:paraId="0765F0DE" w14:textId="77777777" w:rsidTr="00DA3BE1">
        <w:trPr>
          <w:trHeight w:val="312"/>
          <w:jc w:val="center"/>
        </w:trPr>
        <w:tc>
          <w:tcPr>
            <w:tcW w:w="1288" w:type="dxa"/>
            <w:vMerge/>
            <w:shd w:val="clear" w:color="auto" w:fill="auto"/>
            <w:hideMark/>
          </w:tcPr>
          <w:p w14:paraId="6ADE6F21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  <w:hideMark/>
          </w:tcPr>
          <w:p w14:paraId="725A25B8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Executive Branch Manager, </w:t>
            </w:r>
            <w:proofErr w:type="spellStart"/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Bimberi</w:t>
            </w:r>
            <w:proofErr w:type="spellEnd"/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Residential Services</w:t>
            </w:r>
          </w:p>
        </w:tc>
      </w:tr>
      <w:tr w:rsidR="00AD37AA" w:rsidRPr="00AD37AA" w14:paraId="362EE5F8" w14:textId="77777777" w:rsidTr="00DA3BE1">
        <w:trPr>
          <w:trHeight w:val="312"/>
          <w:jc w:val="center"/>
        </w:trPr>
        <w:tc>
          <w:tcPr>
            <w:tcW w:w="1288" w:type="dxa"/>
            <w:vMerge w:val="restart"/>
            <w:shd w:val="clear" w:color="auto" w:fill="auto"/>
            <w:hideMark/>
          </w:tcPr>
          <w:p w14:paraId="6CD63336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C</w:t>
            </w:r>
          </w:p>
        </w:tc>
        <w:tc>
          <w:tcPr>
            <w:tcW w:w="6912" w:type="dxa"/>
            <w:shd w:val="clear" w:color="auto" w:fill="D9D9D9"/>
            <w:hideMark/>
          </w:tcPr>
          <w:p w14:paraId="70779227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Deputy Centre Manager, </w:t>
            </w:r>
            <w:proofErr w:type="spellStart"/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Bimberi</w:t>
            </w:r>
            <w:proofErr w:type="spellEnd"/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Residential Services</w:t>
            </w:r>
          </w:p>
        </w:tc>
      </w:tr>
      <w:tr w:rsidR="00AD37AA" w:rsidRPr="00AD37AA" w14:paraId="1AD45315" w14:textId="77777777" w:rsidTr="00DA3BE1">
        <w:trPr>
          <w:trHeight w:val="312"/>
          <w:jc w:val="center"/>
        </w:trPr>
        <w:tc>
          <w:tcPr>
            <w:tcW w:w="1288" w:type="dxa"/>
            <w:vMerge/>
            <w:shd w:val="clear" w:color="auto" w:fill="auto"/>
          </w:tcPr>
          <w:p w14:paraId="4039220D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6ADC2715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val="en-US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  <w:lang w:val="en-US"/>
              </w:rPr>
              <w:t xml:space="preserve">Senior Director, Practice </w:t>
            </w:r>
          </w:p>
        </w:tc>
      </w:tr>
      <w:tr w:rsidR="00AD37AA" w:rsidRPr="00AD37AA" w14:paraId="284007BC" w14:textId="77777777" w:rsidTr="00DA3BE1">
        <w:trPr>
          <w:trHeight w:val="312"/>
          <w:jc w:val="center"/>
        </w:trPr>
        <w:tc>
          <w:tcPr>
            <w:tcW w:w="1288" w:type="dxa"/>
            <w:vMerge/>
            <w:shd w:val="clear" w:color="auto" w:fill="auto"/>
          </w:tcPr>
          <w:p w14:paraId="5E84093F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0A638DB5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val="en-US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  <w:lang w:val="en-US"/>
              </w:rPr>
              <w:t>Senior Director, Performance</w:t>
            </w:r>
          </w:p>
        </w:tc>
      </w:tr>
      <w:tr w:rsidR="00AD37AA" w:rsidRPr="00AD37AA" w14:paraId="3BB9C496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14:paraId="3B758CDE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  <w:hideMark/>
          </w:tcPr>
          <w:p w14:paraId="27A9E4C3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  <w:lang w:val="en-US"/>
              </w:rPr>
              <w:t>Senior Director, Legal Services</w:t>
            </w:r>
          </w:p>
        </w:tc>
      </w:tr>
      <w:tr w:rsidR="00AD37AA" w:rsidRPr="00AD37AA" w14:paraId="29CE20BE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14:paraId="60B78DB9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  <w:hideMark/>
          </w:tcPr>
          <w:p w14:paraId="7CC4ED3C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  <w:lang w:val="en-US"/>
              </w:rPr>
              <w:t>Senior Director, North/South</w:t>
            </w:r>
          </w:p>
        </w:tc>
      </w:tr>
      <w:tr w:rsidR="00AD37AA" w:rsidRPr="00AD37AA" w14:paraId="3932D2DA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14:paraId="63CADBEF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78644187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val="en-US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Senior Director, CYRIS Business System</w:t>
            </w:r>
          </w:p>
        </w:tc>
      </w:tr>
      <w:tr w:rsidR="00AD37AA" w:rsidRPr="00AD37AA" w14:paraId="5DD98845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14:paraId="6DCFC3F1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569CF115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Senior Director, Cultural Services</w:t>
            </w:r>
          </w:p>
        </w:tc>
      </w:tr>
      <w:tr w:rsidR="00AD37AA" w:rsidRPr="00AD37AA" w14:paraId="4F612EAA" w14:textId="77777777" w:rsidTr="00DA3BE1">
        <w:trPr>
          <w:trHeight w:val="312"/>
          <w:jc w:val="center"/>
        </w:trPr>
        <w:tc>
          <w:tcPr>
            <w:tcW w:w="1288" w:type="dxa"/>
            <w:vMerge w:val="restart"/>
            <w:shd w:val="clear" w:color="auto" w:fill="auto"/>
            <w:hideMark/>
          </w:tcPr>
          <w:p w14:paraId="7D4DB081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D</w:t>
            </w:r>
          </w:p>
        </w:tc>
        <w:tc>
          <w:tcPr>
            <w:tcW w:w="6912" w:type="dxa"/>
            <w:shd w:val="clear" w:color="auto" w:fill="D9D9D9"/>
            <w:hideMark/>
          </w:tcPr>
          <w:p w14:paraId="28794538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Operations Manager Intake/North/South/CMT </w:t>
            </w:r>
          </w:p>
        </w:tc>
      </w:tr>
      <w:tr w:rsidR="00AD37AA" w:rsidRPr="00AD37AA" w14:paraId="494D8784" w14:textId="77777777" w:rsidTr="00DA3BE1">
        <w:trPr>
          <w:trHeight w:val="312"/>
          <w:jc w:val="center"/>
        </w:trPr>
        <w:tc>
          <w:tcPr>
            <w:tcW w:w="1288" w:type="dxa"/>
            <w:vMerge/>
            <w:shd w:val="clear" w:color="auto" w:fill="auto"/>
          </w:tcPr>
          <w:p w14:paraId="5E4807DF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0C62E73B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Director, Practice</w:t>
            </w:r>
          </w:p>
        </w:tc>
      </w:tr>
      <w:tr w:rsidR="00AD37AA" w:rsidRPr="00AD37AA" w14:paraId="6AE730CC" w14:textId="77777777" w:rsidTr="00DA3BE1">
        <w:trPr>
          <w:trHeight w:val="312"/>
          <w:jc w:val="center"/>
        </w:trPr>
        <w:tc>
          <w:tcPr>
            <w:tcW w:w="1288" w:type="dxa"/>
            <w:vMerge/>
            <w:shd w:val="clear" w:color="auto" w:fill="auto"/>
          </w:tcPr>
          <w:p w14:paraId="3E54BEED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542D5A1F" w14:textId="77777777" w:rsidR="00AD37AA" w:rsidRPr="00AD37AA" w:rsidDel="008164B9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Director, Practice Development</w:t>
            </w:r>
          </w:p>
        </w:tc>
      </w:tr>
      <w:tr w:rsidR="00AD37AA" w:rsidRPr="00AD37AA" w14:paraId="2E50000A" w14:textId="77777777" w:rsidTr="00DA3BE1">
        <w:trPr>
          <w:trHeight w:val="312"/>
          <w:jc w:val="center"/>
        </w:trPr>
        <w:tc>
          <w:tcPr>
            <w:tcW w:w="1288" w:type="dxa"/>
            <w:vMerge/>
            <w:shd w:val="clear" w:color="auto" w:fill="auto"/>
          </w:tcPr>
          <w:p w14:paraId="424804A2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5FE6A4E0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Director, Performance </w:t>
            </w:r>
          </w:p>
        </w:tc>
      </w:tr>
      <w:tr w:rsidR="00AD37AA" w:rsidRPr="00AD37AA" w14:paraId="4FBCA1E7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14:paraId="4E1E513B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  <w:hideMark/>
          </w:tcPr>
          <w:p w14:paraId="7C1F16DA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Director, Relationships Management</w:t>
            </w:r>
          </w:p>
        </w:tc>
      </w:tr>
      <w:tr w:rsidR="00AD37AA" w:rsidRPr="00AD37AA" w14:paraId="54BD5035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14:paraId="129C0CBD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  <w:hideMark/>
          </w:tcPr>
          <w:p w14:paraId="07A15EC5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Director, Placement</w:t>
            </w:r>
          </w:p>
        </w:tc>
      </w:tr>
      <w:tr w:rsidR="00AD37AA" w:rsidRPr="00AD37AA" w14:paraId="3D2BA6BE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14:paraId="7DBAD445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036E652A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Director, Assessment and Support</w:t>
            </w:r>
          </w:p>
        </w:tc>
      </w:tr>
      <w:tr w:rsidR="00AD37AA" w:rsidRPr="00AD37AA" w14:paraId="4580F1F1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14:paraId="4EA8A07D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3621B09B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Principal Therapist, Therapeutic Services</w:t>
            </w:r>
          </w:p>
        </w:tc>
      </w:tr>
      <w:tr w:rsidR="00AD37AA" w:rsidRPr="00AD37AA" w14:paraId="0ED1DF39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14:paraId="7ECE76E6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51B45947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Principal Practitioner, Cultural Services</w:t>
            </w:r>
          </w:p>
        </w:tc>
      </w:tr>
      <w:tr w:rsidR="00AD37AA" w:rsidRPr="00AD37AA" w14:paraId="6A6F8AD4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14:paraId="246D4CCC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102805B4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Senior Legal Officer</w:t>
            </w:r>
          </w:p>
        </w:tc>
      </w:tr>
      <w:tr w:rsidR="00AD37AA" w:rsidRPr="00AD37AA" w14:paraId="653C5403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14:paraId="542DC8F2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7B82D543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Legal Officer</w:t>
            </w:r>
          </w:p>
        </w:tc>
      </w:tr>
      <w:tr w:rsidR="00AD37AA" w:rsidRPr="00AD37AA" w14:paraId="0E9CF78A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14:paraId="566FEDDA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1F049A37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Court Officer </w:t>
            </w:r>
          </w:p>
        </w:tc>
      </w:tr>
      <w:tr w:rsidR="00AD37AA" w:rsidRPr="00AD37AA" w14:paraId="1A440B3B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14:paraId="36D12E84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11F25F70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Principal Practitioner, North/South</w:t>
            </w:r>
          </w:p>
        </w:tc>
      </w:tr>
      <w:tr w:rsidR="00AD37AA" w:rsidRPr="00AD37AA" w14:paraId="53767811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14:paraId="3F6F8B1C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35387F40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Operations Manager, </w:t>
            </w:r>
            <w:proofErr w:type="spellStart"/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Bimberi</w:t>
            </w:r>
            <w:proofErr w:type="spellEnd"/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Residential Services</w:t>
            </w:r>
          </w:p>
        </w:tc>
      </w:tr>
      <w:tr w:rsidR="00AD37AA" w:rsidRPr="00AD37AA" w14:paraId="6CA7EC37" w14:textId="77777777" w:rsidTr="00DA3BE1">
        <w:trPr>
          <w:trHeight w:val="70"/>
          <w:jc w:val="center"/>
        </w:trPr>
        <w:tc>
          <w:tcPr>
            <w:tcW w:w="1288" w:type="dxa"/>
            <w:vMerge/>
            <w:vAlign w:val="center"/>
            <w:hideMark/>
          </w:tcPr>
          <w:p w14:paraId="02E8F866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3E8E1AD3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Programs and Services Manager, </w:t>
            </w:r>
            <w:proofErr w:type="spellStart"/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Bimberi</w:t>
            </w:r>
            <w:proofErr w:type="spellEnd"/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Residential Services</w:t>
            </w:r>
          </w:p>
        </w:tc>
      </w:tr>
      <w:tr w:rsidR="00AD37AA" w:rsidRPr="00AD37AA" w14:paraId="5CCD7128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14:paraId="011DE97A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7392AB95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Intelligence and Classifications Officer, </w:t>
            </w:r>
            <w:proofErr w:type="spellStart"/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Bimberi</w:t>
            </w:r>
            <w:proofErr w:type="spellEnd"/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Residential Services</w:t>
            </w:r>
          </w:p>
        </w:tc>
      </w:tr>
      <w:tr w:rsidR="00AD37AA" w:rsidRPr="00AD37AA" w14:paraId="2A10818B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14:paraId="507B04D7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1A7588DF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Manager, </w:t>
            </w:r>
            <w:proofErr w:type="spellStart"/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Bimberi</w:t>
            </w:r>
            <w:proofErr w:type="spellEnd"/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Community Residential Services</w:t>
            </w:r>
          </w:p>
        </w:tc>
      </w:tr>
      <w:tr w:rsidR="00AD37AA" w:rsidRPr="00AD37AA" w14:paraId="6CEBD6A8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14:paraId="5646839E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6A34213B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Principal Practitioner, </w:t>
            </w:r>
            <w:proofErr w:type="spellStart"/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Bimberi</w:t>
            </w:r>
            <w:proofErr w:type="spellEnd"/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Residential Services</w:t>
            </w:r>
          </w:p>
        </w:tc>
      </w:tr>
      <w:tr w:rsidR="00AD37AA" w:rsidRPr="00AD37AA" w14:paraId="74501020" w14:textId="77777777" w:rsidTr="00DA3BE1">
        <w:trPr>
          <w:trHeight w:val="312"/>
          <w:jc w:val="center"/>
        </w:trPr>
        <w:tc>
          <w:tcPr>
            <w:tcW w:w="1288" w:type="dxa"/>
            <w:vMerge w:val="restart"/>
            <w:shd w:val="clear" w:color="auto" w:fill="auto"/>
            <w:hideMark/>
          </w:tcPr>
          <w:p w14:paraId="2E96DF65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E</w:t>
            </w:r>
          </w:p>
        </w:tc>
        <w:tc>
          <w:tcPr>
            <w:tcW w:w="6912" w:type="dxa"/>
            <w:shd w:val="clear" w:color="auto" w:fill="D9D9D9"/>
            <w:hideMark/>
          </w:tcPr>
          <w:p w14:paraId="6D0502FA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Team Leader, Intake/South/North/CMT</w:t>
            </w:r>
          </w:p>
        </w:tc>
      </w:tr>
      <w:tr w:rsidR="00AD37AA" w:rsidRPr="00AD37AA" w14:paraId="4A223793" w14:textId="77777777" w:rsidTr="00DA3BE1">
        <w:trPr>
          <w:trHeight w:val="312"/>
          <w:jc w:val="center"/>
        </w:trPr>
        <w:tc>
          <w:tcPr>
            <w:tcW w:w="1288" w:type="dxa"/>
            <w:vMerge/>
            <w:shd w:val="clear" w:color="auto" w:fill="auto"/>
          </w:tcPr>
          <w:p w14:paraId="3E879DA0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73B6E2A8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Team Leader, Operational Policy, Audit and Compliance </w:t>
            </w:r>
          </w:p>
        </w:tc>
      </w:tr>
      <w:tr w:rsidR="00AD37AA" w:rsidRPr="00AD37AA" w14:paraId="4232D92D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14:paraId="1DBAD5A6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  <w:hideMark/>
          </w:tcPr>
          <w:p w14:paraId="23A31394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Team leader, Case Analysis</w:t>
            </w:r>
          </w:p>
        </w:tc>
      </w:tr>
      <w:tr w:rsidR="00AD37AA" w:rsidRPr="00AD37AA" w14:paraId="2A1462A3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14:paraId="33C266F8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43F506D8" w14:textId="77777777" w:rsidR="00AD37AA" w:rsidRPr="00AD37AA" w:rsidDel="0004650D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Team Leader, Therapeutic Assessment and Planning </w:t>
            </w:r>
          </w:p>
        </w:tc>
      </w:tr>
      <w:tr w:rsidR="00AD37AA" w:rsidRPr="00AD37AA" w14:paraId="7E029934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14:paraId="6B18DCB5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33D7EF42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Team Leader, Cultural Services </w:t>
            </w:r>
          </w:p>
        </w:tc>
      </w:tr>
      <w:tr w:rsidR="00AD37AA" w:rsidRPr="00AD37AA" w14:paraId="67092E22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14:paraId="44BC651D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0A7FE1E1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Team Leader, Assessment and Support</w:t>
            </w:r>
          </w:p>
        </w:tc>
      </w:tr>
      <w:tr w:rsidR="00AD37AA" w:rsidRPr="00AD37AA" w14:paraId="3EA7BCB1" w14:textId="77777777" w:rsidTr="00AD37AA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14:paraId="663BAD6F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  <w:hideMark/>
          </w:tcPr>
          <w:p w14:paraId="1A79686C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Practice Leader</w:t>
            </w:r>
          </w:p>
        </w:tc>
      </w:tr>
      <w:tr w:rsidR="00AD37AA" w:rsidRPr="00AD37AA" w14:paraId="605EF1D1" w14:textId="77777777" w:rsidTr="00AD37AA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14:paraId="43FEBAC0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  <w:hideMark/>
          </w:tcPr>
          <w:p w14:paraId="1E4F3989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Relationship Coordinator</w:t>
            </w:r>
          </w:p>
        </w:tc>
      </w:tr>
      <w:tr w:rsidR="00AD37AA" w:rsidRPr="00AD37AA" w14:paraId="20E8B917" w14:textId="77777777" w:rsidTr="00AD37AA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14:paraId="356FCFD8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1D85610C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Operational Compliance Officer</w:t>
            </w:r>
          </w:p>
        </w:tc>
      </w:tr>
      <w:tr w:rsidR="00AD37AA" w:rsidRPr="00AD37AA" w14:paraId="55BA71A4" w14:textId="77777777" w:rsidTr="00AD37AA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14:paraId="1B1175E2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07E4205E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Senior Practitioner, Cultural Services</w:t>
            </w:r>
          </w:p>
        </w:tc>
      </w:tr>
      <w:tr w:rsidR="00AD37AA" w:rsidRPr="00AD37AA" w14:paraId="151BD16D" w14:textId="77777777" w:rsidTr="00AD37AA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14:paraId="6CA682F5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  <w:hideMark/>
          </w:tcPr>
          <w:p w14:paraId="4AFADDCD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Senior Practitioner, Melaleuca Place</w:t>
            </w:r>
          </w:p>
        </w:tc>
      </w:tr>
      <w:tr w:rsidR="00AD37AA" w:rsidRPr="00AD37AA" w14:paraId="52A5A966" w14:textId="77777777" w:rsidTr="00AD37AA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14:paraId="673DEECE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  <w:hideMark/>
          </w:tcPr>
          <w:p w14:paraId="4DFF351E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Executive Officer</w:t>
            </w:r>
          </w:p>
        </w:tc>
      </w:tr>
      <w:tr w:rsidR="00AD37AA" w:rsidRPr="00AD37AA" w14:paraId="17995EAC" w14:textId="77777777" w:rsidTr="00AD37AA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14:paraId="38607E4E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  <w:hideMark/>
          </w:tcPr>
          <w:p w14:paraId="68DA3E6A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Senior Operational Policy, Audit and Compliance Officer</w:t>
            </w:r>
          </w:p>
        </w:tc>
      </w:tr>
      <w:tr w:rsidR="00AD37AA" w:rsidRPr="00AD37AA" w14:paraId="420A7C0F" w14:textId="77777777" w:rsidTr="00AD37AA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14:paraId="71D1B11E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  <w:hideMark/>
          </w:tcPr>
          <w:p w14:paraId="1484B46D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Independent Case Conferencing Chair</w:t>
            </w:r>
          </w:p>
        </w:tc>
      </w:tr>
      <w:tr w:rsidR="00AD37AA" w:rsidRPr="00AD37AA" w14:paraId="23DFDD87" w14:textId="77777777" w:rsidTr="00AD37AA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14:paraId="274629B6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  <w:hideMark/>
          </w:tcPr>
          <w:p w14:paraId="49BAF1ED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IMPACT Program/Prenatal Liaison Officer</w:t>
            </w:r>
          </w:p>
        </w:tc>
      </w:tr>
      <w:tr w:rsidR="00AD37AA" w:rsidRPr="00AD37AA" w14:paraId="0E8C3DFF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14:paraId="5E424202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2EEB28E2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Family Law Court Liaison Officer </w:t>
            </w:r>
          </w:p>
        </w:tc>
      </w:tr>
      <w:tr w:rsidR="00AD37AA" w:rsidRPr="00AD37AA" w14:paraId="5AC19E09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14:paraId="35331596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03CFECF1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Disability Liaison Officer</w:t>
            </w:r>
          </w:p>
        </w:tc>
      </w:tr>
      <w:tr w:rsidR="00AD37AA" w:rsidRPr="00AD37AA" w14:paraId="4F9292C4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14:paraId="50D899DB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2093578D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C</w:t>
            </w:r>
            <w:r w:rsidRPr="00AD37AA">
              <w:rPr>
                <w:rFonts w:eastAsia="Times New Roman" w:cs="Arial (W1)"/>
                <w:color w:val="auto"/>
                <w:sz w:val="24"/>
                <w:szCs w:val="24"/>
              </w:rPr>
              <w:t xml:space="preserve">YPS </w:t>
            </w: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Health Liaison Officer</w:t>
            </w:r>
          </w:p>
        </w:tc>
      </w:tr>
      <w:tr w:rsidR="00AD37AA" w:rsidRPr="00AD37AA" w14:paraId="4758E0FE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14:paraId="45153B2D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5A8BFC3F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Senior Practitioner, North/South/CMT</w:t>
            </w:r>
          </w:p>
        </w:tc>
      </w:tr>
      <w:tr w:rsidR="00AD37AA" w:rsidRPr="00AD37AA" w14:paraId="19CFA904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14:paraId="37BC3D86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4B9121EF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Assistant Director, Reportable Conduct  </w:t>
            </w:r>
          </w:p>
        </w:tc>
      </w:tr>
      <w:tr w:rsidR="00AD37AA" w:rsidRPr="00AD37AA" w14:paraId="76B3F591" w14:textId="77777777" w:rsidTr="00DA3BE1">
        <w:trPr>
          <w:trHeight w:val="67"/>
          <w:jc w:val="center"/>
        </w:trPr>
        <w:tc>
          <w:tcPr>
            <w:tcW w:w="1288" w:type="dxa"/>
            <w:vMerge/>
            <w:vAlign w:val="center"/>
          </w:tcPr>
          <w:p w14:paraId="4E93B41A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13712563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Assistant Director, Compliance</w:t>
            </w:r>
          </w:p>
        </w:tc>
      </w:tr>
      <w:tr w:rsidR="00AD37AA" w:rsidRPr="00AD37AA" w14:paraId="241EEA93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14:paraId="70E0BB20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  <w:hideMark/>
          </w:tcPr>
          <w:p w14:paraId="7877B9C6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Unit Manager, </w:t>
            </w:r>
            <w:proofErr w:type="spellStart"/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Bimberi</w:t>
            </w:r>
            <w:proofErr w:type="spellEnd"/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Residential Services</w:t>
            </w:r>
          </w:p>
        </w:tc>
      </w:tr>
      <w:tr w:rsidR="00AD37AA" w:rsidRPr="00AD37AA" w14:paraId="5F8614B4" w14:textId="77777777" w:rsidTr="00DA3BE1">
        <w:trPr>
          <w:trHeight w:val="312"/>
          <w:jc w:val="center"/>
        </w:trPr>
        <w:tc>
          <w:tcPr>
            <w:tcW w:w="1288" w:type="dxa"/>
            <w:vMerge w:val="restart"/>
            <w:shd w:val="clear" w:color="auto" w:fill="auto"/>
            <w:hideMark/>
          </w:tcPr>
          <w:p w14:paraId="5119D6CD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sz w:val="24"/>
                <w:szCs w:val="24"/>
              </w:rPr>
              <w:t>F</w:t>
            </w:r>
          </w:p>
        </w:tc>
        <w:tc>
          <w:tcPr>
            <w:tcW w:w="6912" w:type="dxa"/>
            <w:shd w:val="clear" w:color="auto" w:fill="D9D9D9"/>
            <w:hideMark/>
          </w:tcPr>
          <w:p w14:paraId="675268A9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Social Worker </w:t>
            </w:r>
          </w:p>
        </w:tc>
      </w:tr>
      <w:tr w:rsidR="00AD37AA" w:rsidRPr="00AD37AA" w14:paraId="35097AEF" w14:textId="77777777" w:rsidTr="00DA3BE1">
        <w:trPr>
          <w:trHeight w:val="312"/>
          <w:jc w:val="center"/>
        </w:trPr>
        <w:tc>
          <w:tcPr>
            <w:tcW w:w="1288" w:type="dxa"/>
            <w:vMerge/>
            <w:shd w:val="clear" w:color="auto" w:fill="auto"/>
          </w:tcPr>
          <w:p w14:paraId="35D51A27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4B591F10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Psychologist </w:t>
            </w:r>
          </w:p>
        </w:tc>
      </w:tr>
      <w:tr w:rsidR="00AD37AA" w:rsidRPr="00AD37AA" w14:paraId="7D5FFBF9" w14:textId="77777777" w:rsidTr="00DA3BE1">
        <w:trPr>
          <w:trHeight w:val="312"/>
          <w:jc w:val="center"/>
        </w:trPr>
        <w:tc>
          <w:tcPr>
            <w:tcW w:w="1288" w:type="dxa"/>
            <w:vMerge/>
            <w:shd w:val="clear" w:color="auto" w:fill="auto"/>
          </w:tcPr>
          <w:p w14:paraId="47BDFFA9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5F05D241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Interstate Liaison Officer</w:t>
            </w:r>
          </w:p>
        </w:tc>
      </w:tr>
      <w:tr w:rsidR="00AD37AA" w:rsidRPr="00AD37AA" w14:paraId="03522AA6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14:paraId="66528307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  <w:hideMark/>
          </w:tcPr>
          <w:p w14:paraId="0679A240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Operational Policy, Audit and Compliance Officer</w:t>
            </w:r>
          </w:p>
        </w:tc>
      </w:tr>
      <w:tr w:rsidR="00AD37AA" w:rsidRPr="00AD37AA" w14:paraId="15541A41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14:paraId="023ADB08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26F16248" w14:textId="77777777" w:rsidR="00AD37AA" w:rsidRPr="00AD37AA" w:rsidRDefault="00AD37AA" w:rsidP="00AD37AA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/>
                <w:color w:val="auto"/>
                <w:sz w:val="24"/>
                <w:szCs w:val="24"/>
              </w:rPr>
              <w:t xml:space="preserve">Policy Officer </w:t>
            </w:r>
          </w:p>
        </w:tc>
      </w:tr>
      <w:tr w:rsidR="00AD37AA" w:rsidRPr="00AD37AA" w14:paraId="7C5B3FFE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14:paraId="567FE0FD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02E73EA7" w14:textId="77777777" w:rsidR="00AD37AA" w:rsidRPr="00AD37AA" w:rsidRDefault="00AD37AA" w:rsidP="00AD37AA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/>
                <w:color w:val="auto"/>
                <w:sz w:val="24"/>
                <w:szCs w:val="24"/>
              </w:rPr>
              <w:t>Project Officer, IMS and Knowledge Portal</w:t>
            </w:r>
          </w:p>
        </w:tc>
      </w:tr>
      <w:tr w:rsidR="00AD37AA" w:rsidRPr="00AD37AA" w14:paraId="256E1C16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14:paraId="53B2DD60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0FE37E39" w14:textId="77777777" w:rsidR="00AD37AA" w:rsidRPr="00AD37AA" w:rsidRDefault="00AD37AA" w:rsidP="00AD37AA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/>
                <w:color w:val="auto"/>
                <w:sz w:val="24"/>
                <w:szCs w:val="24"/>
              </w:rPr>
              <w:t xml:space="preserve">Family Finding, Cultural Services Officer </w:t>
            </w:r>
          </w:p>
        </w:tc>
      </w:tr>
      <w:tr w:rsidR="00AD37AA" w:rsidRPr="00AD37AA" w14:paraId="476CF933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14:paraId="0C38477F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  <w:hideMark/>
          </w:tcPr>
          <w:p w14:paraId="661B7BE5" w14:textId="77777777" w:rsidR="00AD37AA" w:rsidRPr="00AD37AA" w:rsidRDefault="00AD37AA" w:rsidP="00AD37AA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/>
                <w:color w:val="auto"/>
                <w:sz w:val="24"/>
                <w:szCs w:val="24"/>
              </w:rPr>
              <w:t>Case Manager</w:t>
            </w:r>
          </w:p>
        </w:tc>
      </w:tr>
      <w:tr w:rsidR="00AD37AA" w:rsidRPr="00AD37AA" w14:paraId="363E121C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14:paraId="3AA100C7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4DA7B7AC" w14:textId="77777777" w:rsidR="00AD37AA" w:rsidRPr="00AD37AA" w:rsidRDefault="00AD37AA" w:rsidP="00AD37AA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/>
                <w:color w:val="auto"/>
                <w:sz w:val="24"/>
                <w:szCs w:val="24"/>
              </w:rPr>
              <w:t xml:space="preserve">Intake Officer </w:t>
            </w:r>
          </w:p>
        </w:tc>
      </w:tr>
      <w:tr w:rsidR="00AD37AA" w:rsidRPr="00AD37AA" w14:paraId="3E7B1348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14:paraId="064980BC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4CDC677D" w14:textId="77777777" w:rsidR="00AD37AA" w:rsidRPr="00AD37AA" w:rsidRDefault="00AD37AA" w:rsidP="00AD37AA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/>
                <w:color w:val="auto"/>
                <w:sz w:val="24"/>
                <w:szCs w:val="24"/>
              </w:rPr>
              <w:t xml:space="preserve">Cultural Services Officer  </w:t>
            </w:r>
          </w:p>
        </w:tc>
      </w:tr>
      <w:tr w:rsidR="00AD37AA" w:rsidRPr="00AD37AA" w14:paraId="213DD05B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14:paraId="129F8813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0D340F5B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Family Finding, Cultural Services Officer </w:t>
            </w:r>
          </w:p>
        </w:tc>
      </w:tr>
      <w:tr w:rsidR="00AD37AA" w:rsidRPr="00AD37AA" w14:paraId="75E0B5BA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14:paraId="5B6EF2AC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4A60927E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Case Analysis Officer  </w:t>
            </w:r>
          </w:p>
        </w:tc>
      </w:tr>
      <w:tr w:rsidR="00AD37AA" w:rsidRPr="00AD37AA" w14:paraId="3F2E146C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14:paraId="48A88520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0407ED7A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proofErr w:type="spellStart"/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OneLink</w:t>
            </w:r>
            <w:proofErr w:type="spellEnd"/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Liaison Officer</w:t>
            </w:r>
          </w:p>
        </w:tc>
      </w:tr>
      <w:tr w:rsidR="00AD37AA" w:rsidRPr="00AD37AA" w14:paraId="35F97292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14:paraId="65D2486D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4F316B97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Family Group Conference Facilitator </w:t>
            </w:r>
          </w:p>
        </w:tc>
      </w:tr>
      <w:tr w:rsidR="00AD37AA" w:rsidRPr="00AD37AA" w14:paraId="3ECD0F65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14:paraId="3DAD2866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  <w:hideMark/>
          </w:tcPr>
          <w:p w14:paraId="36F3B755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Therapeutic Assessor</w:t>
            </w:r>
          </w:p>
        </w:tc>
      </w:tr>
      <w:tr w:rsidR="00AD37AA" w:rsidRPr="00AD37AA" w14:paraId="1A709DE9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14:paraId="5BD47586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  <w:hideMark/>
          </w:tcPr>
          <w:p w14:paraId="00AD7BBC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Team Leader, </w:t>
            </w:r>
            <w:proofErr w:type="spellStart"/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Bimberi</w:t>
            </w:r>
            <w:proofErr w:type="spellEnd"/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Residential Services</w:t>
            </w:r>
          </w:p>
        </w:tc>
      </w:tr>
      <w:tr w:rsidR="00AD37AA" w:rsidRPr="00AD37AA" w14:paraId="5B0D3AB0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14:paraId="6D66B97A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18E66DC1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Project Officer</w:t>
            </w:r>
          </w:p>
        </w:tc>
      </w:tr>
      <w:tr w:rsidR="00AD37AA" w:rsidRPr="00AD37AA" w14:paraId="0673143B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14:paraId="259146E8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515A0B5F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Reportable Conduct Officer</w:t>
            </w:r>
          </w:p>
        </w:tc>
      </w:tr>
      <w:tr w:rsidR="00AD37AA" w:rsidRPr="00AD37AA" w14:paraId="7ED04350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14:paraId="07DBD150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16F98E2E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Business Manager, </w:t>
            </w:r>
            <w:proofErr w:type="spellStart"/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Bimberi</w:t>
            </w:r>
            <w:proofErr w:type="spellEnd"/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Residential Services</w:t>
            </w:r>
          </w:p>
        </w:tc>
      </w:tr>
      <w:tr w:rsidR="00AD37AA" w:rsidRPr="00AD37AA" w14:paraId="67F3FBB7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14:paraId="16B354A4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78C2E5BA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Family Engagement Officer, </w:t>
            </w:r>
            <w:proofErr w:type="spellStart"/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Bimberi</w:t>
            </w:r>
            <w:proofErr w:type="spellEnd"/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Residential Services</w:t>
            </w:r>
          </w:p>
        </w:tc>
      </w:tr>
      <w:tr w:rsidR="00AD37AA" w:rsidRPr="00AD37AA" w14:paraId="64070A45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14:paraId="160C9218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7B4D6ACC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Paraprofessional</w:t>
            </w:r>
          </w:p>
        </w:tc>
      </w:tr>
      <w:tr w:rsidR="00AD37AA" w:rsidRPr="00AD37AA" w14:paraId="04738FE3" w14:textId="77777777" w:rsidTr="00DA3BE1">
        <w:trPr>
          <w:trHeight w:val="312"/>
          <w:jc w:val="center"/>
        </w:trPr>
        <w:tc>
          <w:tcPr>
            <w:tcW w:w="1288" w:type="dxa"/>
            <w:vMerge w:val="restart"/>
            <w:shd w:val="clear" w:color="auto" w:fill="auto"/>
            <w:hideMark/>
          </w:tcPr>
          <w:p w14:paraId="7D21E423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sz w:val="24"/>
                <w:szCs w:val="24"/>
              </w:rPr>
              <w:t>G</w:t>
            </w:r>
          </w:p>
        </w:tc>
        <w:tc>
          <w:tcPr>
            <w:tcW w:w="6912" w:type="dxa"/>
            <w:shd w:val="clear" w:color="auto" w:fill="D9D9D9"/>
            <w:hideMark/>
          </w:tcPr>
          <w:p w14:paraId="183A0236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Director, Operational Support</w:t>
            </w:r>
          </w:p>
        </w:tc>
      </w:tr>
      <w:tr w:rsidR="00AD37AA" w:rsidRPr="00AD37AA" w14:paraId="5A1EB244" w14:textId="77777777" w:rsidTr="00DA3BE1">
        <w:trPr>
          <w:trHeight w:val="312"/>
          <w:jc w:val="center"/>
        </w:trPr>
        <w:tc>
          <w:tcPr>
            <w:tcW w:w="1288" w:type="dxa"/>
            <w:vMerge/>
            <w:shd w:val="clear" w:color="auto" w:fill="auto"/>
          </w:tcPr>
          <w:p w14:paraId="6063A8C4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6A4E54F9" w14:textId="77777777" w:rsidR="00AD37AA" w:rsidRPr="00AD37AA" w:rsidDel="00DA44AE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Manager, Operational Support </w:t>
            </w:r>
          </w:p>
        </w:tc>
      </w:tr>
      <w:tr w:rsidR="00AD37AA" w:rsidRPr="00AD37AA" w14:paraId="78629DD4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14:paraId="66A9C46D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  <w:hideMark/>
          </w:tcPr>
          <w:p w14:paraId="19E16EC1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Assistant Manager, Operational Support</w:t>
            </w:r>
          </w:p>
        </w:tc>
      </w:tr>
      <w:tr w:rsidR="00AD37AA" w:rsidRPr="00AD37AA" w14:paraId="7F3795ED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14:paraId="7A4DC54C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  <w:hideMark/>
          </w:tcPr>
          <w:p w14:paraId="1496FB69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Executive Assistant</w:t>
            </w:r>
          </w:p>
        </w:tc>
      </w:tr>
      <w:tr w:rsidR="00AD37AA" w:rsidRPr="00AD37AA" w14:paraId="78ADF4EC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14:paraId="127F9A70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  <w:hideMark/>
          </w:tcPr>
          <w:p w14:paraId="44547F8C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Team Leader, Operational Support</w:t>
            </w:r>
          </w:p>
        </w:tc>
      </w:tr>
      <w:tr w:rsidR="00AD37AA" w:rsidRPr="00AD37AA" w14:paraId="2D9B3277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14:paraId="449A047C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63AAE189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Operational Compliance Support Officer</w:t>
            </w:r>
          </w:p>
        </w:tc>
      </w:tr>
      <w:tr w:rsidR="00AD37AA" w:rsidRPr="00AD37AA" w14:paraId="5EB1BA61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14:paraId="35EBD613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  <w:hideMark/>
          </w:tcPr>
          <w:p w14:paraId="33805E63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Operational Support Officer, Melaleuca Place</w:t>
            </w:r>
          </w:p>
        </w:tc>
      </w:tr>
      <w:tr w:rsidR="00AD37AA" w:rsidRPr="00AD37AA" w14:paraId="485EAE69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14:paraId="634800D7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5C551DA2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Case Aid</w:t>
            </w:r>
          </w:p>
        </w:tc>
      </w:tr>
      <w:tr w:rsidR="00AD37AA" w:rsidRPr="00AD37AA" w14:paraId="2D4390D5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14:paraId="7355D4D3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3ED284F5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Practice Development Administration Officer</w:t>
            </w:r>
          </w:p>
        </w:tc>
      </w:tr>
      <w:tr w:rsidR="00AD37AA" w:rsidRPr="00AD37AA" w14:paraId="2601B443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14:paraId="14180F74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  <w:hideMark/>
          </w:tcPr>
          <w:p w14:paraId="7A1580F8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Operational Policy, Audit and Compliance Support Officer</w:t>
            </w:r>
          </w:p>
        </w:tc>
      </w:tr>
      <w:tr w:rsidR="00AD37AA" w:rsidRPr="00AD37AA" w14:paraId="048A9A0E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14:paraId="2A6D4615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3D266201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Team Leader, Contract, Data and Reporting</w:t>
            </w:r>
          </w:p>
        </w:tc>
      </w:tr>
      <w:tr w:rsidR="00AD37AA" w:rsidRPr="00AD37AA" w14:paraId="379E3E36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14:paraId="5444CED2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  <w:hideMark/>
          </w:tcPr>
          <w:p w14:paraId="6EBF2FEB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Contract, Data and Reporting Officer</w:t>
            </w:r>
          </w:p>
        </w:tc>
      </w:tr>
      <w:tr w:rsidR="00AD37AA" w:rsidRPr="00AD37AA" w14:paraId="2E0DAACC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14:paraId="4CC57090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  <w:hideMark/>
          </w:tcPr>
          <w:p w14:paraId="4D7C2113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Legal Services Administration Officer</w:t>
            </w:r>
          </w:p>
        </w:tc>
      </w:tr>
      <w:tr w:rsidR="00AD37AA" w:rsidRPr="00AD37AA" w14:paraId="55AB6CED" w14:textId="77777777" w:rsidTr="00DA3BE1">
        <w:trPr>
          <w:trHeight w:val="105"/>
          <w:jc w:val="center"/>
        </w:trPr>
        <w:tc>
          <w:tcPr>
            <w:tcW w:w="1288" w:type="dxa"/>
            <w:vMerge/>
            <w:vAlign w:val="center"/>
            <w:hideMark/>
          </w:tcPr>
          <w:p w14:paraId="5D5E263B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  <w:hideMark/>
          </w:tcPr>
          <w:p w14:paraId="7FED8244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Youth Worker, </w:t>
            </w:r>
            <w:proofErr w:type="spellStart"/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Bimberi</w:t>
            </w:r>
            <w:proofErr w:type="spellEnd"/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Residential Services</w:t>
            </w:r>
          </w:p>
        </w:tc>
      </w:tr>
      <w:tr w:rsidR="00AD37AA" w:rsidRPr="00AD37AA" w14:paraId="20DCDB64" w14:textId="77777777" w:rsidTr="00AD37AA">
        <w:trPr>
          <w:trHeight w:val="286"/>
          <w:jc w:val="center"/>
        </w:trPr>
        <w:tc>
          <w:tcPr>
            <w:tcW w:w="1288" w:type="dxa"/>
            <w:vMerge/>
            <w:vAlign w:val="center"/>
          </w:tcPr>
          <w:p w14:paraId="2C7EB49D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13E3AFD3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Sports and Recreation Officer, </w:t>
            </w:r>
            <w:proofErr w:type="spellStart"/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Bimberi</w:t>
            </w:r>
            <w:proofErr w:type="spellEnd"/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Residential Services</w:t>
            </w:r>
          </w:p>
        </w:tc>
      </w:tr>
      <w:tr w:rsidR="00AD37AA" w:rsidRPr="00AD37AA" w14:paraId="46F1C2E3" w14:textId="77777777" w:rsidTr="00AD37AA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14:paraId="53D94579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  <w:hideMark/>
          </w:tcPr>
          <w:p w14:paraId="514B0AFF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Business Support Officer, </w:t>
            </w:r>
            <w:proofErr w:type="spellStart"/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Bimberi</w:t>
            </w:r>
            <w:proofErr w:type="spellEnd"/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Residential Services</w:t>
            </w:r>
          </w:p>
        </w:tc>
      </w:tr>
      <w:tr w:rsidR="00AD37AA" w:rsidRPr="00AD37AA" w14:paraId="312BA464" w14:textId="77777777" w:rsidTr="00AD37AA">
        <w:trPr>
          <w:trHeight w:val="312"/>
          <w:jc w:val="center"/>
        </w:trPr>
        <w:tc>
          <w:tcPr>
            <w:tcW w:w="1288" w:type="dxa"/>
            <w:vMerge/>
            <w:hideMark/>
          </w:tcPr>
          <w:p w14:paraId="43CE47AB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  <w:hideMark/>
          </w:tcPr>
          <w:p w14:paraId="5BA056B7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Operational Support Officer, Melaleuca Place</w:t>
            </w:r>
          </w:p>
        </w:tc>
      </w:tr>
      <w:tr w:rsidR="00AD37AA" w:rsidRPr="00AD37AA" w14:paraId="3692F810" w14:textId="77777777" w:rsidTr="00AD37AA">
        <w:trPr>
          <w:trHeight w:val="312"/>
          <w:jc w:val="center"/>
        </w:trPr>
        <w:tc>
          <w:tcPr>
            <w:tcW w:w="1288" w:type="dxa"/>
            <w:vMerge/>
            <w:vAlign w:val="center"/>
            <w:hideMark/>
          </w:tcPr>
          <w:p w14:paraId="724E581B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  <w:hideMark/>
          </w:tcPr>
          <w:p w14:paraId="42970476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Administrative Support Officer, </w:t>
            </w:r>
            <w:proofErr w:type="spellStart"/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Bimberi</w:t>
            </w:r>
            <w:proofErr w:type="spellEnd"/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Residential Services</w:t>
            </w:r>
          </w:p>
        </w:tc>
      </w:tr>
      <w:tr w:rsidR="00AD37AA" w:rsidRPr="00AD37AA" w14:paraId="352D2691" w14:textId="77777777" w:rsidTr="00AD37AA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14:paraId="3F434572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12CBF2C5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Arial (W1)"/>
                <w:color w:val="auto"/>
                <w:sz w:val="24"/>
                <w:szCs w:val="24"/>
                <w:lang w:eastAsia="en-US"/>
              </w:rPr>
              <w:t>Assistant Director, Aboriginal and Torres Strait Islander Training and Development Officer</w:t>
            </w:r>
          </w:p>
        </w:tc>
      </w:tr>
      <w:tr w:rsidR="00AD37AA" w:rsidRPr="00AD37AA" w14:paraId="24833C59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14:paraId="202D4898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0446A060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Arial (W1)"/>
                <w:color w:val="auto"/>
                <w:sz w:val="24"/>
                <w:szCs w:val="24"/>
                <w:lang w:eastAsia="en-US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Administrative Support Officer</w:t>
            </w:r>
          </w:p>
        </w:tc>
      </w:tr>
      <w:tr w:rsidR="00AD37AA" w:rsidRPr="00AD37AA" w14:paraId="1B3AAB95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14:paraId="59AEE205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2521C2CB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Assessment Coordinator</w:t>
            </w:r>
          </w:p>
        </w:tc>
      </w:tr>
      <w:tr w:rsidR="00AD37AA" w:rsidRPr="00AD37AA" w14:paraId="440A8364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14:paraId="34D531B2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71E046D6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Operational Support Officer</w:t>
            </w:r>
          </w:p>
        </w:tc>
      </w:tr>
      <w:tr w:rsidR="00AD37AA" w:rsidRPr="00AD37AA" w14:paraId="30C99E8C" w14:textId="77777777" w:rsidTr="00DA3BE1">
        <w:trPr>
          <w:trHeight w:val="312"/>
          <w:jc w:val="center"/>
        </w:trPr>
        <w:tc>
          <w:tcPr>
            <w:tcW w:w="1288" w:type="dxa"/>
            <w:vMerge/>
            <w:vAlign w:val="center"/>
          </w:tcPr>
          <w:p w14:paraId="625F72B6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02C092BA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Reportable Conduct and Compliance Administration Officer</w:t>
            </w:r>
          </w:p>
        </w:tc>
      </w:tr>
      <w:tr w:rsidR="00AD37AA" w:rsidRPr="00AD37AA" w14:paraId="131B6931" w14:textId="77777777" w:rsidTr="00DA3BE1">
        <w:trPr>
          <w:trHeight w:val="312"/>
          <w:jc w:val="center"/>
        </w:trPr>
        <w:tc>
          <w:tcPr>
            <w:tcW w:w="1288" w:type="dxa"/>
            <w:vMerge w:val="restart"/>
            <w:shd w:val="clear" w:color="auto" w:fill="auto"/>
          </w:tcPr>
          <w:p w14:paraId="41D42472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D37A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37AA">
              <w:rPr>
                <w:rFonts w:eastAsia="Times New Roman" w:cs="Times New Roman"/>
                <w:sz w:val="24"/>
                <w:szCs w:val="24"/>
              </w:rPr>
              <w:t>H</w:t>
            </w:r>
          </w:p>
        </w:tc>
        <w:tc>
          <w:tcPr>
            <w:tcW w:w="6912" w:type="dxa"/>
            <w:shd w:val="clear" w:color="auto" w:fill="D9D9D9"/>
          </w:tcPr>
          <w:p w14:paraId="0287141E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Assistant Director, CYRIS Governance and Business Process</w:t>
            </w:r>
          </w:p>
        </w:tc>
      </w:tr>
      <w:tr w:rsidR="00AD37AA" w:rsidRPr="00AD37AA" w14:paraId="7A4CE015" w14:textId="77777777" w:rsidTr="00DA3BE1">
        <w:trPr>
          <w:trHeight w:val="312"/>
          <w:jc w:val="center"/>
        </w:trPr>
        <w:tc>
          <w:tcPr>
            <w:tcW w:w="1288" w:type="dxa"/>
            <w:vMerge/>
            <w:shd w:val="clear" w:color="auto" w:fill="auto"/>
          </w:tcPr>
          <w:p w14:paraId="1D9F2950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7E00A87E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Assistant Director, CYRIS Release Quality </w:t>
            </w:r>
          </w:p>
        </w:tc>
      </w:tr>
      <w:tr w:rsidR="00AD37AA" w:rsidRPr="00AD37AA" w14:paraId="1C770C8E" w14:textId="77777777" w:rsidTr="00DA3BE1">
        <w:trPr>
          <w:trHeight w:val="312"/>
          <w:jc w:val="center"/>
        </w:trPr>
        <w:tc>
          <w:tcPr>
            <w:tcW w:w="1288" w:type="dxa"/>
            <w:vMerge/>
            <w:shd w:val="clear" w:color="auto" w:fill="auto"/>
          </w:tcPr>
          <w:p w14:paraId="723D7EA3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3C301A8B" w14:textId="77777777" w:rsidR="00AD37AA" w:rsidRPr="00AD37AA" w:rsidRDefault="00AD37AA" w:rsidP="00AD37AA">
            <w:pPr>
              <w:tabs>
                <w:tab w:val="left" w:pos="1069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color w:val="auto"/>
                <w:sz w:val="24"/>
                <w:szCs w:val="24"/>
              </w:rPr>
              <w:t>Assistant Director, CYRIS Data Quality and Training </w:t>
            </w:r>
          </w:p>
        </w:tc>
      </w:tr>
      <w:tr w:rsidR="00AD37AA" w:rsidRPr="00AD37AA" w14:paraId="3DF357C0" w14:textId="77777777" w:rsidTr="00DA3BE1">
        <w:trPr>
          <w:trHeight w:val="312"/>
          <w:jc w:val="center"/>
        </w:trPr>
        <w:tc>
          <w:tcPr>
            <w:tcW w:w="1288" w:type="dxa"/>
            <w:vMerge/>
            <w:shd w:val="clear" w:color="auto" w:fill="auto"/>
            <w:hideMark/>
          </w:tcPr>
          <w:p w14:paraId="1E29770F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  <w:hideMark/>
          </w:tcPr>
          <w:p w14:paraId="37C93B43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sz w:val="24"/>
                <w:szCs w:val="24"/>
              </w:rPr>
              <w:t xml:space="preserve">Facilities and Services Manager, </w:t>
            </w:r>
            <w:proofErr w:type="spellStart"/>
            <w:r w:rsidRPr="00AD37AA">
              <w:rPr>
                <w:rFonts w:eastAsia="Times New Roman" w:cs="Times New Roman"/>
                <w:sz w:val="24"/>
                <w:szCs w:val="24"/>
              </w:rPr>
              <w:t>Bimberi</w:t>
            </w:r>
            <w:proofErr w:type="spellEnd"/>
            <w:r w:rsidRPr="00AD37AA">
              <w:rPr>
                <w:rFonts w:eastAsia="Times New Roman" w:cs="Times New Roman"/>
                <w:sz w:val="24"/>
                <w:szCs w:val="24"/>
              </w:rPr>
              <w:t xml:space="preserve"> Residential Services</w:t>
            </w:r>
          </w:p>
        </w:tc>
      </w:tr>
      <w:tr w:rsidR="00AD37AA" w:rsidRPr="00AD37AA" w14:paraId="2502E7DF" w14:textId="77777777" w:rsidTr="00DA3BE1">
        <w:trPr>
          <w:trHeight w:val="312"/>
          <w:jc w:val="center"/>
        </w:trPr>
        <w:tc>
          <w:tcPr>
            <w:tcW w:w="1288" w:type="dxa"/>
            <w:vMerge/>
            <w:shd w:val="clear" w:color="auto" w:fill="auto"/>
          </w:tcPr>
          <w:p w14:paraId="3B7A357F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5A630D52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sz w:val="24"/>
                <w:szCs w:val="24"/>
              </w:rPr>
              <w:t xml:space="preserve">Facilities and Services Officer, </w:t>
            </w:r>
            <w:proofErr w:type="spellStart"/>
            <w:r w:rsidRPr="00AD37AA">
              <w:rPr>
                <w:rFonts w:eastAsia="Times New Roman" w:cs="Times New Roman"/>
                <w:sz w:val="24"/>
                <w:szCs w:val="24"/>
              </w:rPr>
              <w:t>Bimberi</w:t>
            </w:r>
            <w:proofErr w:type="spellEnd"/>
            <w:r w:rsidRPr="00AD37AA">
              <w:rPr>
                <w:rFonts w:eastAsia="Times New Roman" w:cs="Times New Roman"/>
                <w:sz w:val="24"/>
                <w:szCs w:val="24"/>
              </w:rPr>
              <w:t xml:space="preserve"> Residential Services</w:t>
            </w:r>
          </w:p>
        </w:tc>
      </w:tr>
      <w:tr w:rsidR="00AD37AA" w:rsidRPr="00AD37AA" w14:paraId="1F03513D" w14:textId="77777777" w:rsidTr="00AD37AA">
        <w:trPr>
          <w:trHeight w:val="312"/>
          <w:jc w:val="center"/>
        </w:trPr>
        <w:tc>
          <w:tcPr>
            <w:tcW w:w="1288" w:type="dxa"/>
            <w:vMerge/>
            <w:shd w:val="clear" w:color="auto" w:fill="auto"/>
          </w:tcPr>
          <w:p w14:paraId="7B860AC2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6057AFE2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sz w:val="24"/>
                <w:szCs w:val="24"/>
              </w:rPr>
              <w:t xml:space="preserve">Health and Safety Officer, </w:t>
            </w:r>
            <w:proofErr w:type="spellStart"/>
            <w:r w:rsidRPr="00AD37AA">
              <w:rPr>
                <w:rFonts w:eastAsia="Times New Roman" w:cs="Times New Roman"/>
                <w:sz w:val="24"/>
                <w:szCs w:val="24"/>
              </w:rPr>
              <w:t>Bimberi</w:t>
            </w:r>
            <w:proofErr w:type="spellEnd"/>
            <w:r w:rsidRPr="00AD37AA">
              <w:rPr>
                <w:rFonts w:eastAsia="Times New Roman" w:cs="Times New Roman"/>
                <w:sz w:val="24"/>
                <w:szCs w:val="24"/>
              </w:rPr>
              <w:t xml:space="preserve"> Residential Services</w:t>
            </w:r>
          </w:p>
        </w:tc>
      </w:tr>
      <w:tr w:rsidR="00AD37AA" w:rsidRPr="00AD37AA" w14:paraId="29774B57" w14:textId="77777777" w:rsidTr="00AD37AA">
        <w:trPr>
          <w:trHeight w:val="312"/>
          <w:jc w:val="center"/>
        </w:trPr>
        <w:tc>
          <w:tcPr>
            <w:tcW w:w="1288" w:type="dxa"/>
            <w:vMerge/>
            <w:shd w:val="clear" w:color="auto" w:fill="auto"/>
          </w:tcPr>
          <w:p w14:paraId="5D50465C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6BA80FE9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sz w:val="24"/>
                <w:szCs w:val="24"/>
              </w:rPr>
              <w:t xml:space="preserve">Training Officer, </w:t>
            </w:r>
            <w:proofErr w:type="spellStart"/>
            <w:r w:rsidRPr="00AD37AA">
              <w:rPr>
                <w:rFonts w:eastAsia="Times New Roman" w:cs="Times New Roman"/>
                <w:sz w:val="24"/>
                <w:szCs w:val="24"/>
              </w:rPr>
              <w:t>Bimberi</w:t>
            </w:r>
            <w:proofErr w:type="spellEnd"/>
            <w:r w:rsidRPr="00AD37AA">
              <w:rPr>
                <w:rFonts w:eastAsia="Times New Roman" w:cs="Times New Roman"/>
                <w:sz w:val="24"/>
                <w:szCs w:val="24"/>
              </w:rPr>
              <w:t xml:space="preserve"> Residential Services</w:t>
            </w:r>
          </w:p>
        </w:tc>
      </w:tr>
      <w:tr w:rsidR="00AD37AA" w:rsidRPr="00AD37AA" w14:paraId="3E0D36C1" w14:textId="77777777" w:rsidTr="00AD37AA">
        <w:trPr>
          <w:trHeight w:val="312"/>
          <w:jc w:val="center"/>
        </w:trPr>
        <w:tc>
          <w:tcPr>
            <w:tcW w:w="1288" w:type="dxa"/>
            <w:vMerge w:val="restart"/>
            <w:shd w:val="clear" w:color="auto" w:fill="auto"/>
          </w:tcPr>
          <w:p w14:paraId="60921F72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AD37AA">
              <w:rPr>
                <w:rFonts w:eastAsia="Times New Roman" w:cs="Times New Roman"/>
                <w:bCs/>
                <w:sz w:val="24"/>
                <w:szCs w:val="24"/>
              </w:rPr>
              <w:t xml:space="preserve"> I</w:t>
            </w:r>
          </w:p>
        </w:tc>
        <w:tc>
          <w:tcPr>
            <w:tcW w:w="6912" w:type="dxa"/>
            <w:shd w:val="clear" w:color="auto" w:fill="D9D9D9"/>
          </w:tcPr>
          <w:p w14:paraId="60CD4642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AD37AA">
              <w:rPr>
                <w:rFonts w:eastAsia="Times New Roman" w:cs="Times New Roman"/>
                <w:bCs/>
                <w:sz w:val="24"/>
                <w:szCs w:val="24"/>
              </w:rPr>
              <w:t>CYRIS Business System Officer</w:t>
            </w:r>
          </w:p>
        </w:tc>
      </w:tr>
      <w:tr w:rsidR="00AD37AA" w:rsidRPr="00AD37AA" w14:paraId="21731C4A" w14:textId="77777777" w:rsidTr="00AD37AA">
        <w:trPr>
          <w:trHeight w:val="312"/>
          <w:jc w:val="center"/>
        </w:trPr>
        <w:tc>
          <w:tcPr>
            <w:tcW w:w="1288" w:type="dxa"/>
            <w:vMerge/>
            <w:shd w:val="clear" w:color="auto" w:fill="auto"/>
          </w:tcPr>
          <w:p w14:paraId="1BFA6FB8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719CA501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AD37AA">
              <w:rPr>
                <w:rFonts w:eastAsia="Times New Roman" w:cs="Times New Roman"/>
                <w:bCs/>
                <w:sz w:val="24"/>
                <w:szCs w:val="24"/>
              </w:rPr>
              <w:t>CYRIS Project Officer</w:t>
            </w:r>
          </w:p>
        </w:tc>
      </w:tr>
      <w:tr w:rsidR="00AD37AA" w:rsidRPr="00AD37AA" w14:paraId="4CAD89FD" w14:textId="77777777" w:rsidTr="00AD37AA">
        <w:trPr>
          <w:trHeight w:val="312"/>
          <w:jc w:val="center"/>
        </w:trPr>
        <w:tc>
          <w:tcPr>
            <w:tcW w:w="1288" w:type="dxa"/>
            <w:vMerge/>
            <w:shd w:val="clear" w:color="auto" w:fill="auto"/>
          </w:tcPr>
          <w:p w14:paraId="5810FF59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1F20E994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AD37AA">
              <w:rPr>
                <w:rFonts w:eastAsia="Times New Roman" w:cs="Times New Roman"/>
                <w:bCs/>
                <w:sz w:val="24"/>
                <w:szCs w:val="24"/>
              </w:rPr>
              <w:t xml:space="preserve">Senior Technical Specialist </w:t>
            </w:r>
          </w:p>
        </w:tc>
      </w:tr>
      <w:tr w:rsidR="00AD37AA" w:rsidRPr="00AD37AA" w14:paraId="1872F4F4" w14:textId="77777777" w:rsidTr="00AD37AA">
        <w:trPr>
          <w:trHeight w:val="312"/>
          <w:jc w:val="center"/>
        </w:trPr>
        <w:tc>
          <w:tcPr>
            <w:tcW w:w="1288" w:type="dxa"/>
            <w:vMerge/>
            <w:shd w:val="clear" w:color="auto" w:fill="auto"/>
          </w:tcPr>
          <w:p w14:paraId="389383BB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0E316817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sz w:val="24"/>
                <w:szCs w:val="24"/>
              </w:rPr>
              <w:t xml:space="preserve">CYRIS Project Officer </w:t>
            </w:r>
          </w:p>
        </w:tc>
      </w:tr>
      <w:tr w:rsidR="00AD37AA" w:rsidRPr="00AD37AA" w14:paraId="561B0C06" w14:textId="77777777" w:rsidTr="00AD37AA">
        <w:trPr>
          <w:trHeight w:val="312"/>
          <w:jc w:val="center"/>
        </w:trPr>
        <w:tc>
          <w:tcPr>
            <w:tcW w:w="1288" w:type="dxa"/>
            <w:vMerge w:val="restart"/>
            <w:shd w:val="clear" w:color="auto" w:fill="auto"/>
          </w:tcPr>
          <w:p w14:paraId="0D2BE9C5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sz w:val="24"/>
                <w:szCs w:val="24"/>
              </w:rPr>
              <w:t>J</w:t>
            </w:r>
          </w:p>
        </w:tc>
        <w:tc>
          <w:tcPr>
            <w:tcW w:w="6912" w:type="dxa"/>
            <w:shd w:val="clear" w:color="auto" w:fill="D9D9D9"/>
          </w:tcPr>
          <w:p w14:paraId="68B3D5B9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sz w:val="24"/>
                <w:szCs w:val="24"/>
              </w:rPr>
              <w:t>Student</w:t>
            </w:r>
          </w:p>
        </w:tc>
      </w:tr>
      <w:tr w:rsidR="00AD37AA" w:rsidRPr="00AD37AA" w14:paraId="68A5A0B8" w14:textId="77777777" w:rsidTr="00AD37AA">
        <w:trPr>
          <w:trHeight w:val="312"/>
          <w:jc w:val="center"/>
        </w:trPr>
        <w:tc>
          <w:tcPr>
            <w:tcW w:w="1288" w:type="dxa"/>
            <w:vMerge/>
            <w:shd w:val="clear" w:color="auto" w:fill="auto"/>
          </w:tcPr>
          <w:p w14:paraId="66A918A5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D9D9D9"/>
          </w:tcPr>
          <w:p w14:paraId="00236350" w14:textId="77777777" w:rsidR="00AD37AA" w:rsidRPr="00AD37AA" w:rsidRDefault="00AD37AA" w:rsidP="00AD37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D37AA">
              <w:rPr>
                <w:rFonts w:eastAsia="Times New Roman" w:cs="Times New Roman"/>
                <w:sz w:val="24"/>
                <w:szCs w:val="24"/>
              </w:rPr>
              <w:t xml:space="preserve">Graduate Administrative Assistant, </w:t>
            </w:r>
            <w:proofErr w:type="spellStart"/>
            <w:r w:rsidRPr="00AD37AA">
              <w:rPr>
                <w:rFonts w:eastAsia="Times New Roman" w:cs="Times New Roman"/>
                <w:sz w:val="24"/>
                <w:szCs w:val="24"/>
              </w:rPr>
              <w:t>Bimberi</w:t>
            </w:r>
            <w:proofErr w:type="spellEnd"/>
            <w:r w:rsidRPr="00AD37AA">
              <w:rPr>
                <w:rFonts w:eastAsia="Times New Roman" w:cs="Times New Roman"/>
                <w:sz w:val="24"/>
                <w:szCs w:val="24"/>
              </w:rPr>
              <w:t xml:space="preserve"> Residential Services</w:t>
            </w:r>
          </w:p>
        </w:tc>
      </w:tr>
    </w:tbl>
    <w:p w14:paraId="42967481" w14:textId="77777777" w:rsidR="00584E22" w:rsidRPr="00584E22" w:rsidRDefault="00786FBE" w:rsidP="00BC2D8F">
      <w:pPr>
        <w:pStyle w:val="Title"/>
        <w:jc w:val="center"/>
        <w:rPr>
          <w:rFonts w:ascii="Calibri" w:hAnsi="Calibri" w:cs="Arial"/>
          <w:b/>
          <w:sz w:val="28"/>
        </w:rPr>
      </w:pPr>
      <w:r>
        <w:rPr>
          <w:b/>
          <w:sz w:val="28"/>
        </w:rPr>
        <w:br w:type="page"/>
      </w:r>
      <w:r w:rsidR="00584E22" w:rsidRPr="00584E22">
        <w:rPr>
          <w:rFonts w:ascii="Calibri" w:hAnsi="Calibri" w:cs="Arial"/>
          <w:b/>
          <w:sz w:val="28"/>
        </w:rPr>
        <w:lastRenderedPageBreak/>
        <w:t>SCHEDULE 2</w:t>
      </w:r>
    </w:p>
    <w:p w14:paraId="21005DCB" w14:textId="77777777" w:rsidR="00584E22" w:rsidRPr="00584E22" w:rsidRDefault="00584E22" w:rsidP="00584E22">
      <w:pPr>
        <w:spacing w:after="0" w:line="240" w:lineRule="auto"/>
        <w:ind w:hanging="284"/>
        <w:rPr>
          <w:rFonts w:eastAsia="Times New Roman" w:cs="Arial (W1)"/>
          <w:b/>
          <w:color w:val="auto"/>
          <w:sz w:val="24"/>
          <w:szCs w:val="24"/>
          <w:lang w:eastAsia="en-US"/>
        </w:rPr>
      </w:pPr>
      <w:r w:rsidRPr="00584E22">
        <w:rPr>
          <w:rFonts w:eastAsia="Times New Roman" w:cs="Arial (W1)"/>
          <w:b/>
          <w:color w:val="auto"/>
          <w:sz w:val="24"/>
          <w:szCs w:val="24"/>
          <w:lang w:eastAsia="en-US"/>
        </w:rPr>
        <w:t>Bail Act 1992</w:t>
      </w:r>
    </w:p>
    <w:p w14:paraId="261B01ED" w14:textId="77777777" w:rsidR="00584E22" w:rsidRPr="00584E22" w:rsidRDefault="00584E22" w:rsidP="00584E22">
      <w:pPr>
        <w:spacing w:after="0" w:line="240" w:lineRule="auto"/>
        <w:ind w:right="-1283" w:hanging="284"/>
        <w:rPr>
          <w:rFonts w:eastAsia="Times New Roman" w:cs="Arial (W1)"/>
          <w:b/>
          <w:bCs/>
          <w:color w:val="auto"/>
          <w:sz w:val="20"/>
          <w:szCs w:val="24"/>
          <w:lang w:eastAsia="en-US"/>
        </w:rPr>
      </w:pPr>
      <w:r w:rsidRPr="00584E22">
        <w:rPr>
          <w:rFonts w:eastAsia="Times New Roman" w:cs="Arial (W1)"/>
          <w:b/>
          <w:bCs/>
          <w:color w:val="auto"/>
          <w:sz w:val="20"/>
          <w:szCs w:val="24"/>
          <w:lang w:eastAsia="en-US"/>
        </w:rPr>
        <w:t>Note: The code mentioned in column 1 means the people occupying the positions identified in column 2 of schedule 1.</w:t>
      </w:r>
    </w:p>
    <w:tbl>
      <w:tblPr>
        <w:tblW w:w="804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1210"/>
        <w:gridCol w:w="8"/>
        <w:gridCol w:w="1581"/>
        <w:gridCol w:w="5236"/>
      </w:tblGrid>
      <w:tr w:rsidR="00584E22" w:rsidRPr="00584E22" w14:paraId="185AC244" w14:textId="77777777" w:rsidTr="00584E22">
        <w:trPr>
          <w:gridBefore w:val="1"/>
          <w:wBefore w:w="6" w:type="dxa"/>
          <w:cantSplit/>
          <w:tblHeader/>
        </w:trPr>
        <w:tc>
          <w:tcPr>
            <w:tcW w:w="1218" w:type="dxa"/>
            <w:gridSpan w:val="2"/>
            <w:shd w:val="clear" w:color="auto" w:fill="BFBFBF"/>
          </w:tcPr>
          <w:p w14:paraId="75259804" w14:textId="77777777" w:rsidR="00584E22" w:rsidRPr="00584E22" w:rsidRDefault="00584E22" w:rsidP="00584E22">
            <w:pPr>
              <w:spacing w:after="0" w:line="240" w:lineRule="auto"/>
              <w:ind w:right="-108"/>
              <w:jc w:val="center"/>
              <w:rPr>
                <w:rFonts w:eastAsia="Times New Roman" w:cs="Arial (W1)"/>
                <w:b/>
                <w:color w:val="auto"/>
                <w:sz w:val="24"/>
                <w:szCs w:val="24"/>
                <w:lang w:eastAsia="en-US"/>
              </w:rPr>
            </w:pPr>
            <w:r w:rsidRPr="00584E22">
              <w:rPr>
                <w:rFonts w:eastAsia="Times New Roman" w:cs="Arial (W1)"/>
                <w:b/>
                <w:color w:val="auto"/>
                <w:sz w:val="24"/>
                <w:szCs w:val="24"/>
                <w:lang w:eastAsia="en-US"/>
              </w:rPr>
              <w:t>Column 1</w:t>
            </w:r>
          </w:p>
        </w:tc>
        <w:tc>
          <w:tcPr>
            <w:tcW w:w="6817" w:type="dxa"/>
            <w:gridSpan w:val="2"/>
            <w:shd w:val="clear" w:color="auto" w:fill="BFBFBF"/>
          </w:tcPr>
          <w:p w14:paraId="3E45D720" w14:textId="77777777" w:rsidR="00584E22" w:rsidRPr="00584E22" w:rsidRDefault="00584E22" w:rsidP="00584E22">
            <w:pPr>
              <w:spacing w:after="0" w:line="240" w:lineRule="auto"/>
              <w:jc w:val="center"/>
              <w:rPr>
                <w:rFonts w:eastAsia="Times New Roman" w:cs="Arial (W1)"/>
                <w:b/>
                <w:color w:val="auto"/>
                <w:sz w:val="24"/>
                <w:szCs w:val="24"/>
                <w:lang w:eastAsia="en-US"/>
              </w:rPr>
            </w:pPr>
            <w:r w:rsidRPr="00584E22">
              <w:rPr>
                <w:rFonts w:eastAsia="Times New Roman" w:cs="Arial (W1)"/>
                <w:b/>
                <w:color w:val="auto"/>
                <w:sz w:val="24"/>
                <w:szCs w:val="24"/>
                <w:lang w:eastAsia="en-US"/>
              </w:rPr>
              <w:t>Column 2</w:t>
            </w:r>
          </w:p>
        </w:tc>
      </w:tr>
      <w:tr w:rsidR="00584E22" w:rsidRPr="00584E22" w14:paraId="3B8C7ADE" w14:textId="77777777" w:rsidTr="00584E22">
        <w:trPr>
          <w:gridBefore w:val="1"/>
          <w:wBefore w:w="6" w:type="dxa"/>
          <w:cantSplit/>
          <w:tblHeader/>
        </w:trPr>
        <w:tc>
          <w:tcPr>
            <w:tcW w:w="1218" w:type="dxa"/>
            <w:gridSpan w:val="2"/>
            <w:shd w:val="clear" w:color="auto" w:fill="D9D9D9"/>
          </w:tcPr>
          <w:p w14:paraId="6CDB63CC" w14:textId="77777777" w:rsidR="00584E22" w:rsidRPr="00584E22" w:rsidRDefault="00584E22" w:rsidP="00584E22">
            <w:pPr>
              <w:spacing w:after="0" w:line="240" w:lineRule="auto"/>
              <w:ind w:right="-108"/>
              <w:jc w:val="center"/>
              <w:rPr>
                <w:rFonts w:eastAsia="Times New Roman" w:cs="Arial (W1)"/>
                <w:b/>
                <w:color w:val="auto"/>
                <w:sz w:val="24"/>
                <w:szCs w:val="24"/>
                <w:lang w:eastAsia="en-US"/>
              </w:rPr>
            </w:pPr>
            <w:r w:rsidRPr="00584E22">
              <w:rPr>
                <w:rFonts w:eastAsia="Times New Roman" w:cs="Arial (W1)"/>
                <w:b/>
                <w:color w:val="auto"/>
                <w:sz w:val="24"/>
                <w:szCs w:val="24"/>
                <w:lang w:eastAsia="en-US"/>
              </w:rPr>
              <w:t>Code</w:t>
            </w:r>
          </w:p>
        </w:tc>
        <w:tc>
          <w:tcPr>
            <w:tcW w:w="6817" w:type="dxa"/>
            <w:gridSpan w:val="2"/>
            <w:shd w:val="clear" w:color="auto" w:fill="D9D9D9"/>
          </w:tcPr>
          <w:p w14:paraId="379072AF" w14:textId="77777777" w:rsidR="00584E22" w:rsidRPr="00584E22" w:rsidRDefault="00584E22" w:rsidP="00584E22">
            <w:pPr>
              <w:spacing w:after="0" w:line="240" w:lineRule="auto"/>
              <w:jc w:val="center"/>
              <w:rPr>
                <w:rFonts w:eastAsia="Times New Roman" w:cs="Arial (W1)"/>
                <w:b/>
                <w:color w:val="auto"/>
                <w:sz w:val="24"/>
                <w:szCs w:val="24"/>
                <w:lang w:eastAsia="en-US"/>
              </w:rPr>
            </w:pPr>
            <w:r w:rsidRPr="00584E22">
              <w:rPr>
                <w:rFonts w:eastAsia="Times New Roman" w:cs="Arial (W1)"/>
                <w:b/>
                <w:color w:val="auto"/>
                <w:sz w:val="24"/>
                <w:szCs w:val="24"/>
                <w:lang w:eastAsia="en-US"/>
              </w:rPr>
              <w:t>Delegated Provisions</w:t>
            </w:r>
          </w:p>
        </w:tc>
      </w:tr>
      <w:tr w:rsidR="00584E22" w:rsidRPr="00584E22" w14:paraId="1051F229" w14:textId="77777777" w:rsidTr="00DA3B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2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526194" w14:textId="77777777" w:rsidR="00584E22" w:rsidRPr="00584E22" w:rsidRDefault="00584E22" w:rsidP="00584E22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  <w:r w:rsidRPr="00584E22"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  <w:t>A</w:t>
            </w:r>
          </w:p>
          <w:p w14:paraId="4E7636D1" w14:textId="77777777" w:rsidR="00584E22" w:rsidRPr="00584E22" w:rsidRDefault="00584E22" w:rsidP="00584E22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  <w:r w:rsidRPr="00584E22"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  <w:t>B</w:t>
            </w:r>
          </w:p>
          <w:p w14:paraId="2821D7C7" w14:textId="77777777" w:rsidR="00584E22" w:rsidRPr="00584E22" w:rsidRDefault="00584E22" w:rsidP="00584E22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  <w:r w:rsidRPr="00584E22"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  <w:t>C</w:t>
            </w:r>
          </w:p>
          <w:p w14:paraId="355FBDB1" w14:textId="77777777" w:rsidR="00584E22" w:rsidRPr="00584E22" w:rsidRDefault="00584E22" w:rsidP="00584E22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  <w:r w:rsidRPr="00584E22"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  <w:t>D</w:t>
            </w:r>
          </w:p>
          <w:p w14:paraId="34FD0552" w14:textId="77777777" w:rsidR="00584E22" w:rsidRPr="00584E22" w:rsidRDefault="00584E22" w:rsidP="00584E22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  <w:r w:rsidRPr="00584E22"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  <w:t>E</w:t>
            </w:r>
          </w:p>
          <w:p w14:paraId="69C1E258" w14:textId="77777777" w:rsidR="00584E22" w:rsidRPr="00584E22" w:rsidRDefault="00584E22" w:rsidP="00584E22">
            <w:pPr>
              <w:spacing w:after="0" w:line="240" w:lineRule="auto"/>
              <w:jc w:val="both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535B7" w14:textId="77777777" w:rsidR="00584E22" w:rsidRPr="00584E22" w:rsidRDefault="00584E22" w:rsidP="00584E22">
            <w:pPr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  <w:r w:rsidRPr="00584E22"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  <w:t>Subject:</w:t>
            </w:r>
          </w:p>
          <w:p w14:paraId="1EBA8EF7" w14:textId="77777777" w:rsidR="00584E22" w:rsidRPr="00584E22" w:rsidRDefault="00584E22" w:rsidP="00584E22">
            <w:pPr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</w:p>
          <w:p w14:paraId="760B5944" w14:textId="77777777" w:rsidR="00584E22" w:rsidRPr="00584E22" w:rsidRDefault="00584E22" w:rsidP="00584E22">
            <w:pPr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</w:p>
          <w:p w14:paraId="2C6C871B" w14:textId="77777777" w:rsidR="00584E22" w:rsidRPr="00584E22" w:rsidRDefault="00584E22" w:rsidP="00584E22">
            <w:pPr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  <w:r w:rsidRPr="00584E22"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  <w:t>Power and/or function:</w:t>
            </w:r>
          </w:p>
          <w:p w14:paraId="5A87E4F5" w14:textId="77777777" w:rsidR="00584E22" w:rsidRPr="00584E22" w:rsidRDefault="00584E22" w:rsidP="00584E22">
            <w:pPr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</w:p>
          <w:p w14:paraId="2A677627" w14:textId="77777777" w:rsidR="00584E22" w:rsidRPr="00584E22" w:rsidRDefault="00584E22" w:rsidP="00584E22">
            <w:pPr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</w:p>
          <w:p w14:paraId="5E2C8644" w14:textId="77777777" w:rsidR="00584E22" w:rsidRPr="00584E22" w:rsidRDefault="00584E22" w:rsidP="00584E22">
            <w:pPr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</w:p>
          <w:p w14:paraId="6D27BF35" w14:textId="77777777" w:rsidR="00584E22" w:rsidRPr="00584E22" w:rsidRDefault="00584E22" w:rsidP="00584E2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</w:p>
          <w:p w14:paraId="28DF52A9" w14:textId="77777777" w:rsidR="00584E22" w:rsidRPr="00584E22" w:rsidRDefault="00584E22" w:rsidP="00584E2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</w:p>
          <w:p w14:paraId="1A72E15B" w14:textId="77777777" w:rsidR="00584E22" w:rsidRPr="00584E22" w:rsidRDefault="00584E22" w:rsidP="00584E2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</w:p>
          <w:p w14:paraId="443C303B" w14:textId="77777777" w:rsidR="00584E22" w:rsidRPr="00584E22" w:rsidRDefault="00584E22" w:rsidP="00584E2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</w:p>
          <w:p w14:paraId="54132EE9" w14:textId="77777777" w:rsidR="00584E22" w:rsidRPr="00584E22" w:rsidRDefault="00584E22" w:rsidP="00584E2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</w:p>
          <w:p w14:paraId="7EFB7490" w14:textId="77777777" w:rsidR="00584E22" w:rsidRPr="00584E22" w:rsidRDefault="00584E22" w:rsidP="00584E2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</w:p>
          <w:p w14:paraId="0FB3A2F0" w14:textId="77777777" w:rsidR="00584E22" w:rsidRPr="00584E22" w:rsidRDefault="00584E22" w:rsidP="00584E2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</w:p>
          <w:p w14:paraId="797E96F1" w14:textId="77777777" w:rsidR="00584E22" w:rsidRPr="00584E22" w:rsidRDefault="00584E22" w:rsidP="00584E2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</w:p>
          <w:p w14:paraId="08719FE1" w14:textId="77777777" w:rsidR="00584E22" w:rsidRPr="00584E22" w:rsidRDefault="00584E22" w:rsidP="00584E2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</w:p>
          <w:p w14:paraId="0A0F25D3" w14:textId="77777777" w:rsidR="00584E22" w:rsidRPr="00584E22" w:rsidRDefault="00584E22" w:rsidP="00584E2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</w:p>
          <w:p w14:paraId="022AD424" w14:textId="77777777" w:rsidR="00584E22" w:rsidRPr="00584E22" w:rsidRDefault="00584E22" w:rsidP="00584E2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  <w:r w:rsidRPr="00584E22"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  <w:t>Reference:</w:t>
            </w:r>
          </w:p>
        </w:tc>
        <w:tc>
          <w:tcPr>
            <w:tcW w:w="5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191D4E" w14:textId="77777777" w:rsidR="00584E22" w:rsidRPr="00584E22" w:rsidRDefault="00584E22" w:rsidP="00584E2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  <w:r w:rsidRPr="00584E22"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  <w:t>Supervision condition when offence committed as a young person</w:t>
            </w:r>
          </w:p>
          <w:p w14:paraId="1E8603F8" w14:textId="77777777" w:rsidR="00584E22" w:rsidRPr="00584E22" w:rsidRDefault="00584E22" w:rsidP="00584E2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</w:p>
          <w:p w14:paraId="16530847" w14:textId="77777777" w:rsidR="00584E22" w:rsidRPr="00584E22" w:rsidRDefault="00584E22" w:rsidP="00584E2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  <w:r w:rsidRPr="00584E22"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  <w:t>(1) This section applies if –</w:t>
            </w:r>
          </w:p>
          <w:p w14:paraId="0A7154B4" w14:textId="77777777" w:rsidR="00584E22" w:rsidRPr="00584E22" w:rsidRDefault="00584E22" w:rsidP="00584E2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  <w:r w:rsidRPr="00584E22"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  <w:t>(a) a condition is imposed on the grant of bail to an accused person under section 25(4)(e); and</w:t>
            </w:r>
          </w:p>
          <w:p w14:paraId="38CB26C0" w14:textId="77777777" w:rsidR="00584E22" w:rsidRPr="00584E22" w:rsidRDefault="00584E22" w:rsidP="00584E2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  <w:r w:rsidRPr="00584E22"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  <w:t>(b) the accused person is at least 18 years old but less than 21 years old; and</w:t>
            </w:r>
          </w:p>
          <w:p w14:paraId="649A77C7" w14:textId="77777777" w:rsidR="00584E22" w:rsidRPr="00584E22" w:rsidRDefault="00584E22" w:rsidP="00584E2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  <w:r w:rsidRPr="00584E22"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  <w:t>(c) the accused person was under 18 years old when the offence to which the grant of bail relates to was committed.</w:t>
            </w:r>
          </w:p>
          <w:p w14:paraId="14F1F9F1" w14:textId="77777777" w:rsidR="00584E22" w:rsidRPr="00584E22" w:rsidRDefault="00584E22" w:rsidP="00584E2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  <w:r w:rsidRPr="00584E22"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  <w:t>(2) The director-general responsible for this Act and the director-general responsible for the Children and Young People Act 2008 must decide which of them is to be the responsible director-general for matters relating to the supervision of the accused person.</w:t>
            </w:r>
          </w:p>
          <w:p w14:paraId="220E5491" w14:textId="77777777" w:rsidR="00584E22" w:rsidRPr="00584E22" w:rsidRDefault="00584E22" w:rsidP="00584E2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</w:p>
          <w:p w14:paraId="1ACEF321" w14:textId="77777777" w:rsidR="00584E22" w:rsidRPr="00584E22" w:rsidRDefault="00584E22" w:rsidP="00584E2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  <w:r w:rsidRPr="00584E22"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  <w:t>Section 25A(2)</w:t>
            </w:r>
          </w:p>
        </w:tc>
      </w:tr>
      <w:tr w:rsidR="00584E22" w:rsidRPr="00584E22" w14:paraId="153DA71C" w14:textId="77777777" w:rsidTr="00DA3B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C3D913" w14:textId="77777777" w:rsidR="00584E22" w:rsidRPr="00584E22" w:rsidRDefault="00584E22" w:rsidP="00584E22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  <w:r w:rsidRPr="00584E22"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  <w:t>A</w:t>
            </w:r>
          </w:p>
          <w:p w14:paraId="1E6B8100" w14:textId="77777777" w:rsidR="00584E22" w:rsidRPr="00584E22" w:rsidRDefault="00584E22" w:rsidP="00584E22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  <w:r w:rsidRPr="00584E22"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  <w:t>B</w:t>
            </w:r>
          </w:p>
          <w:p w14:paraId="1D40A156" w14:textId="77777777" w:rsidR="00584E22" w:rsidRPr="00584E22" w:rsidRDefault="00584E22" w:rsidP="00584E22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  <w:r w:rsidRPr="00584E22"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  <w:t>C</w:t>
            </w:r>
          </w:p>
          <w:p w14:paraId="537A2CE5" w14:textId="77777777" w:rsidR="00584E22" w:rsidRPr="00584E22" w:rsidRDefault="00584E22" w:rsidP="00584E22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  <w:r w:rsidRPr="00584E22"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  <w:t>D</w:t>
            </w:r>
          </w:p>
          <w:p w14:paraId="11192011" w14:textId="77777777" w:rsidR="00584E22" w:rsidRPr="00584E22" w:rsidRDefault="00584E22" w:rsidP="00584E22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  <w:r w:rsidRPr="00584E22"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  <w:t>E</w:t>
            </w:r>
          </w:p>
          <w:p w14:paraId="0BEFDB9C" w14:textId="77777777" w:rsidR="00584E22" w:rsidRPr="00584E22" w:rsidRDefault="00584E22" w:rsidP="00584E22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  <w:r w:rsidRPr="00584E22"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  <w:t>F</w:t>
            </w:r>
          </w:p>
          <w:p w14:paraId="0BC8A254" w14:textId="77777777" w:rsidR="00584E22" w:rsidRPr="00584E22" w:rsidRDefault="00584E22" w:rsidP="00584E22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  <w:r w:rsidRPr="00584E22"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  <w:t>G</w:t>
            </w:r>
          </w:p>
          <w:p w14:paraId="2B081BE7" w14:textId="77777777" w:rsidR="00584E22" w:rsidRPr="00584E22" w:rsidRDefault="00584E22" w:rsidP="00584E22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326E9" w14:textId="77777777" w:rsidR="00584E22" w:rsidRPr="00584E22" w:rsidRDefault="00584E22" w:rsidP="00584E22">
            <w:pPr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  <w:r w:rsidRPr="00584E22"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  <w:t>Subject:</w:t>
            </w:r>
          </w:p>
          <w:p w14:paraId="6C98A91C" w14:textId="77777777" w:rsidR="00584E22" w:rsidRPr="00584E22" w:rsidRDefault="00584E22" w:rsidP="00584E22">
            <w:pPr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</w:p>
          <w:p w14:paraId="379C89BD" w14:textId="77777777" w:rsidR="00584E22" w:rsidRPr="00584E22" w:rsidRDefault="00584E22" w:rsidP="00584E22">
            <w:pPr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</w:p>
          <w:p w14:paraId="0B5CE72A" w14:textId="77777777" w:rsidR="00584E22" w:rsidRPr="00584E22" w:rsidRDefault="00584E22" w:rsidP="00584E22">
            <w:pPr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  <w:r w:rsidRPr="00584E22"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  <w:t>Power and/or function:</w:t>
            </w:r>
          </w:p>
          <w:p w14:paraId="061CDF06" w14:textId="77777777" w:rsidR="00584E22" w:rsidRPr="00584E22" w:rsidRDefault="00584E22" w:rsidP="00584E22">
            <w:pPr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</w:p>
          <w:p w14:paraId="1CA49577" w14:textId="77777777" w:rsidR="00584E22" w:rsidRPr="00584E22" w:rsidRDefault="00584E22" w:rsidP="00584E22">
            <w:pPr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</w:p>
          <w:p w14:paraId="7106B71E" w14:textId="77777777" w:rsidR="00584E22" w:rsidRPr="00584E22" w:rsidRDefault="00584E22" w:rsidP="00584E22">
            <w:pPr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</w:p>
          <w:p w14:paraId="29ABDF47" w14:textId="77777777" w:rsidR="00584E22" w:rsidRPr="00584E22" w:rsidRDefault="00584E22" w:rsidP="00584E2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</w:p>
          <w:p w14:paraId="41A1777E" w14:textId="77777777" w:rsidR="00584E22" w:rsidRPr="00584E22" w:rsidRDefault="00584E22" w:rsidP="00584E2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</w:p>
          <w:p w14:paraId="6A71E84D" w14:textId="77777777" w:rsidR="00584E22" w:rsidRPr="00584E22" w:rsidRDefault="00584E22" w:rsidP="00584E2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</w:p>
          <w:p w14:paraId="2EE9AF69" w14:textId="77777777" w:rsidR="00584E22" w:rsidRPr="00584E22" w:rsidRDefault="00584E22" w:rsidP="00584E2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</w:p>
          <w:p w14:paraId="55FB1607" w14:textId="77777777" w:rsidR="00584E22" w:rsidRPr="00584E22" w:rsidRDefault="00584E22" w:rsidP="00584E2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</w:p>
          <w:p w14:paraId="1C88DDF1" w14:textId="77777777" w:rsidR="00584E22" w:rsidRPr="00584E22" w:rsidRDefault="00584E22" w:rsidP="00584E2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</w:p>
          <w:p w14:paraId="49B72065" w14:textId="77777777" w:rsidR="00584E22" w:rsidRPr="00584E22" w:rsidRDefault="00584E22" w:rsidP="00584E2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</w:p>
          <w:p w14:paraId="1162A53A" w14:textId="77777777" w:rsidR="00584E22" w:rsidRPr="00584E22" w:rsidRDefault="00584E22" w:rsidP="00584E2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</w:p>
          <w:p w14:paraId="10695014" w14:textId="77777777" w:rsidR="00584E22" w:rsidRPr="00584E22" w:rsidRDefault="00584E22" w:rsidP="00584E2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</w:p>
          <w:p w14:paraId="3331D6F9" w14:textId="77777777" w:rsidR="00584E22" w:rsidRPr="00584E22" w:rsidRDefault="00584E22" w:rsidP="00584E2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</w:p>
          <w:p w14:paraId="1A10E1C8" w14:textId="77777777" w:rsidR="00584E22" w:rsidRPr="00584E22" w:rsidRDefault="00584E22" w:rsidP="00584E2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</w:p>
          <w:p w14:paraId="14B26889" w14:textId="77777777" w:rsidR="00584E22" w:rsidRPr="00584E22" w:rsidRDefault="00584E22" w:rsidP="00584E2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</w:p>
          <w:p w14:paraId="1B611010" w14:textId="77777777" w:rsidR="00584E22" w:rsidRPr="00584E22" w:rsidRDefault="00584E22" w:rsidP="00584E2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</w:p>
          <w:p w14:paraId="75B1E371" w14:textId="77777777" w:rsidR="00584E22" w:rsidRPr="00584E22" w:rsidRDefault="00584E22" w:rsidP="00584E22">
            <w:pPr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</w:p>
          <w:p w14:paraId="446F57A4" w14:textId="77777777" w:rsidR="00584E22" w:rsidRPr="00584E22" w:rsidRDefault="00584E22" w:rsidP="00584E22">
            <w:pPr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</w:p>
          <w:p w14:paraId="7E821680" w14:textId="77777777" w:rsidR="00584E22" w:rsidRPr="00584E22" w:rsidRDefault="00584E22" w:rsidP="00584E22">
            <w:pPr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</w:p>
          <w:p w14:paraId="5FA62A3A" w14:textId="77777777" w:rsidR="00584E22" w:rsidRPr="00584E22" w:rsidRDefault="00584E22" w:rsidP="00584E22">
            <w:pPr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  <w:r w:rsidRPr="00584E22"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  <w:t>Reference:</w:t>
            </w:r>
          </w:p>
        </w:tc>
        <w:tc>
          <w:tcPr>
            <w:tcW w:w="5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AEEB7C" w14:textId="77777777" w:rsidR="00584E22" w:rsidRPr="00584E22" w:rsidRDefault="00584E22" w:rsidP="00584E22">
            <w:pPr>
              <w:keepNext/>
              <w:spacing w:after="0" w:line="240" w:lineRule="auto"/>
              <w:outlineLvl w:val="6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  <w:r w:rsidRPr="00584E22"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  <w:t>Conditions on which bail may be granted to children</w:t>
            </w:r>
          </w:p>
          <w:p w14:paraId="458CA38D" w14:textId="77777777" w:rsidR="00584E22" w:rsidRPr="00584E22" w:rsidRDefault="00584E22" w:rsidP="00584E22">
            <w:pPr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</w:p>
          <w:p w14:paraId="3F6B3835" w14:textId="77777777" w:rsidR="00584E22" w:rsidRPr="00584E22" w:rsidRDefault="00584E22" w:rsidP="00584E22">
            <w:pPr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  <w:r w:rsidRPr="00584E22"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  <w:t xml:space="preserve">(2) Without limiting section 25(1), the requirements that a child may be required to comply with about his or her conduct while released on bail include a requirement that the child – </w:t>
            </w:r>
          </w:p>
          <w:p w14:paraId="0F5816E2" w14:textId="77777777" w:rsidR="00584E22" w:rsidRPr="00584E22" w:rsidRDefault="00584E22" w:rsidP="00584E22">
            <w:pPr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  <w:r w:rsidRPr="00584E22"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  <w:t>(a) accept supervision by the director-general under the Children and Young People Act 2008; and</w:t>
            </w:r>
          </w:p>
          <w:p w14:paraId="41729679" w14:textId="77777777" w:rsidR="00584E22" w:rsidRPr="00584E22" w:rsidRDefault="00584E22" w:rsidP="00584E22">
            <w:pPr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  <w:r w:rsidRPr="00584E22"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  <w:t>(b) comply with any reasonable directions of the director-general.</w:t>
            </w:r>
          </w:p>
          <w:p w14:paraId="6403668A" w14:textId="77777777" w:rsidR="00584E22" w:rsidRPr="00584E22" w:rsidRDefault="00584E22" w:rsidP="00584E2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  <w:r w:rsidRPr="00584E22"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  <w:t>Examples of directions</w:t>
            </w:r>
          </w:p>
          <w:p w14:paraId="71819A04" w14:textId="77777777" w:rsidR="00584E22" w:rsidRPr="00584E22" w:rsidRDefault="00584E22" w:rsidP="00584E2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  <w:r w:rsidRPr="00584E22"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  <w:t>1 a direction to attend a program</w:t>
            </w:r>
          </w:p>
          <w:p w14:paraId="13FE7C26" w14:textId="77777777" w:rsidR="00584E22" w:rsidRPr="00584E22" w:rsidRDefault="00584E22" w:rsidP="00584E2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  <w:r w:rsidRPr="00584E22"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  <w:t>2 a direction to comply with a mental health assessment or treatment order made by the ACAT</w:t>
            </w:r>
          </w:p>
          <w:p w14:paraId="24ED787A" w14:textId="77777777" w:rsidR="00584E22" w:rsidRPr="00584E22" w:rsidRDefault="00584E22" w:rsidP="00584E2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  <w:r w:rsidRPr="00584E22"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  <w:t>3 a direction to attend drug or alcohol counselling.</w:t>
            </w:r>
          </w:p>
          <w:p w14:paraId="45339C6A" w14:textId="77777777" w:rsidR="00584E22" w:rsidRPr="00584E22" w:rsidRDefault="00584E22" w:rsidP="00584E2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  <w:r w:rsidRPr="00584E22"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  <w:t>Note An example is part of the Act, is not exhaustive and may extend, but</w:t>
            </w:r>
          </w:p>
          <w:p w14:paraId="68045BE8" w14:textId="77777777" w:rsidR="00584E22" w:rsidRPr="00584E22" w:rsidRDefault="00584E22" w:rsidP="00584E2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  <w:r w:rsidRPr="00584E22"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  <w:t>does not limit, the meaning of the provision in which it appears (see</w:t>
            </w:r>
          </w:p>
          <w:p w14:paraId="0A46C57A" w14:textId="77777777" w:rsidR="00584E22" w:rsidRPr="00584E22" w:rsidRDefault="00584E22" w:rsidP="00584E22">
            <w:pPr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  <w:r w:rsidRPr="00584E22"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  <w:t>Legislation Act, s 126 and s 132).</w:t>
            </w:r>
          </w:p>
          <w:p w14:paraId="581285E7" w14:textId="77777777" w:rsidR="00584E22" w:rsidRPr="00584E22" w:rsidRDefault="00584E22" w:rsidP="00584E22">
            <w:pPr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</w:p>
          <w:p w14:paraId="59A7CBAE" w14:textId="77777777" w:rsidR="00584E22" w:rsidRPr="00584E22" w:rsidRDefault="00584E22" w:rsidP="00584E22">
            <w:pPr>
              <w:spacing w:after="0" w:line="240" w:lineRule="auto"/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  <w:r w:rsidRPr="00584E22"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  <w:t>Section 26(2)(a), (2)(b)</w:t>
            </w:r>
          </w:p>
        </w:tc>
      </w:tr>
    </w:tbl>
    <w:p w14:paraId="31DE5056" w14:textId="794088ED" w:rsidR="00786FBE" w:rsidRDefault="00786FBE" w:rsidP="00AD37AA">
      <w:pPr>
        <w:spacing w:after="0"/>
        <w:jc w:val="both"/>
        <w:rPr>
          <w:b/>
          <w:sz w:val="28"/>
        </w:rPr>
      </w:pPr>
    </w:p>
    <w:sectPr w:rsidR="00786FBE" w:rsidSect="00786FBE">
      <w:headerReference w:type="first" r:id="rId13"/>
      <w:footerReference w:type="first" r:id="rId14"/>
      <w:pgSz w:w="11908" w:h="16840"/>
      <w:pgMar w:top="992" w:right="1797" w:bottom="992" w:left="1797" w:header="284" w:footer="65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411E7" w14:textId="77777777" w:rsidR="007933E9" w:rsidRDefault="00D16443">
      <w:pPr>
        <w:spacing w:after="0" w:line="240" w:lineRule="auto"/>
      </w:pPr>
      <w:r>
        <w:separator/>
      </w:r>
    </w:p>
  </w:endnote>
  <w:endnote w:type="continuationSeparator" w:id="0">
    <w:p w14:paraId="24EDC80B" w14:textId="77777777" w:rsidR="007933E9" w:rsidRDefault="00D1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45C87" w14:textId="77777777" w:rsidR="00EA5E8D" w:rsidRDefault="00D16443">
    <w:pPr>
      <w:spacing w:after="0"/>
      <w:ind w:right="123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14:paraId="7A4E7F88" w14:textId="77777777" w:rsidR="00EA5E8D" w:rsidRDefault="00D16443">
    <w:pPr>
      <w:spacing w:after="0"/>
      <w:ind w:right="908"/>
      <w:jc w:val="center"/>
    </w:pPr>
    <w:r>
      <w:rPr>
        <w:rFonts w:ascii="Arial" w:eastAsia="Arial" w:hAnsi="Arial" w:cs="Arial"/>
        <w:sz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(W1)" w:eastAsia="Times New Roman" w:hAnsi="Arial (W1)" w:cs="Arial (W1)"/>
        <w:color w:val="auto"/>
        <w:sz w:val="20"/>
        <w:szCs w:val="24"/>
        <w:lang w:eastAsia="en-US"/>
      </w:rPr>
      <w:id w:val="-729619091"/>
      <w:docPartObj>
        <w:docPartGallery w:val="Page Numbers (Bottom of Page)"/>
        <w:docPartUnique/>
      </w:docPartObj>
    </w:sdtPr>
    <w:sdtEndPr/>
    <w:sdtContent>
      <w:p w14:paraId="77E6BF86" w14:textId="77777777" w:rsidR="00956B8F" w:rsidRPr="00AD37AA" w:rsidRDefault="00956B8F" w:rsidP="00956B8F">
        <w:pPr>
          <w:pStyle w:val="Footer"/>
          <w:tabs>
            <w:tab w:val="clear" w:pos="4513"/>
            <w:tab w:val="clear" w:pos="9026"/>
            <w:tab w:val="center" w:pos="4153"/>
            <w:tab w:val="right" w:pos="8306"/>
          </w:tabs>
          <w:jc w:val="right"/>
          <w:rPr>
            <w:rFonts w:ascii="Arial (W1)" w:eastAsia="Times New Roman" w:hAnsi="Arial (W1)" w:cs="Arial (W1)"/>
            <w:color w:val="auto"/>
            <w:sz w:val="20"/>
            <w:szCs w:val="24"/>
            <w:lang w:eastAsia="en-US"/>
          </w:rPr>
        </w:pPr>
        <w:r w:rsidRPr="00AD37AA">
          <w:rPr>
            <w:rFonts w:ascii="Arial (W1)" w:eastAsia="Times New Roman" w:hAnsi="Arial (W1)" w:cs="Arial (W1)"/>
            <w:color w:val="auto"/>
            <w:sz w:val="20"/>
            <w:szCs w:val="24"/>
            <w:lang w:eastAsia="en-US"/>
          </w:rPr>
          <w:fldChar w:fldCharType="begin"/>
        </w:r>
        <w:r w:rsidRPr="00AD37AA">
          <w:rPr>
            <w:rFonts w:ascii="Arial (W1)" w:eastAsia="Times New Roman" w:hAnsi="Arial (W1)" w:cs="Arial (W1)"/>
            <w:color w:val="auto"/>
            <w:sz w:val="20"/>
            <w:szCs w:val="24"/>
            <w:lang w:eastAsia="en-US"/>
          </w:rPr>
          <w:instrText xml:space="preserve"> PAGE   \* MERGEFORMAT </w:instrText>
        </w:r>
        <w:r w:rsidRPr="00AD37AA">
          <w:rPr>
            <w:rFonts w:ascii="Arial (W1)" w:eastAsia="Times New Roman" w:hAnsi="Arial (W1)" w:cs="Arial (W1)"/>
            <w:color w:val="auto"/>
            <w:sz w:val="20"/>
            <w:szCs w:val="24"/>
            <w:lang w:eastAsia="en-US"/>
          </w:rPr>
          <w:fldChar w:fldCharType="separate"/>
        </w:r>
        <w:r w:rsidRPr="00956B8F">
          <w:rPr>
            <w:rFonts w:ascii="Arial (W1)" w:eastAsia="Times New Roman" w:hAnsi="Arial (W1)" w:cs="Arial (W1)"/>
            <w:color w:val="auto"/>
            <w:sz w:val="20"/>
            <w:szCs w:val="24"/>
            <w:lang w:eastAsia="en-US"/>
          </w:rPr>
          <w:t>2</w:t>
        </w:r>
        <w:r w:rsidRPr="00AD37AA">
          <w:rPr>
            <w:rFonts w:ascii="Arial (W1)" w:eastAsia="Times New Roman" w:hAnsi="Arial (W1)" w:cs="Arial (W1)"/>
            <w:color w:val="auto"/>
            <w:sz w:val="20"/>
            <w:szCs w:val="24"/>
            <w:lang w:eastAsia="en-US"/>
          </w:rPr>
          <w:fldChar w:fldCharType="end"/>
        </w:r>
      </w:p>
    </w:sdtContent>
  </w:sdt>
  <w:p w14:paraId="05037AEE" w14:textId="76209A95" w:rsidR="00584E22" w:rsidRPr="000207E7" w:rsidRDefault="000207E7" w:rsidP="000207E7">
    <w:pPr>
      <w:pStyle w:val="Footer"/>
      <w:jc w:val="center"/>
      <w:rPr>
        <w:rFonts w:ascii="Arial" w:hAnsi="Arial" w:cs="Arial"/>
        <w:sz w:val="14"/>
      </w:rPr>
    </w:pPr>
    <w:r w:rsidRPr="000207E7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C5553" w14:textId="0A347F4F" w:rsidR="00EA5E8D" w:rsidRDefault="00B44F9F" w:rsidP="00B44F9F">
    <w:pPr>
      <w:rPr>
        <w:rFonts w:ascii="Arial" w:hAnsi="Arial" w:cs="Arial"/>
        <w:sz w:val="18"/>
      </w:rPr>
    </w:pPr>
    <w:r w:rsidRPr="00B44F9F">
      <w:rPr>
        <w:rFonts w:ascii="Arial" w:hAnsi="Arial" w:cs="Arial"/>
        <w:sz w:val="18"/>
      </w:rPr>
      <w:t>*Name amended under Legislation Act, s 60</w:t>
    </w:r>
  </w:p>
  <w:p w14:paraId="1B04AF33" w14:textId="5F3E5A71" w:rsidR="00865D57" w:rsidRPr="000207E7" w:rsidRDefault="000207E7" w:rsidP="000207E7">
    <w:pPr>
      <w:spacing w:after="0"/>
      <w:jc w:val="center"/>
      <w:rPr>
        <w:rFonts w:ascii="Arial" w:hAnsi="Arial" w:cs="Arial"/>
        <w:sz w:val="14"/>
        <w:szCs w:val="18"/>
      </w:rPr>
    </w:pPr>
    <w:r w:rsidRPr="000207E7">
      <w:rPr>
        <w:rFonts w:ascii="Arial" w:hAnsi="Arial" w:cs="Arial"/>
        <w:sz w:val="14"/>
        <w:szCs w:val="18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(W1)" w:eastAsia="Times New Roman" w:hAnsi="Arial (W1)" w:cs="Arial (W1)"/>
        <w:color w:val="auto"/>
        <w:sz w:val="20"/>
        <w:szCs w:val="24"/>
        <w:lang w:eastAsia="en-US"/>
      </w:rPr>
      <w:id w:val="123821931"/>
      <w:docPartObj>
        <w:docPartGallery w:val="Page Numbers (Bottom of Page)"/>
        <w:docPartUnique/>
      </w:docPartObj>
    </w:sdtPr>
    <w:sdtEndPr/>
    <w:sdtContent>
      <w:p w14:paraId="6D1A0A02" w14:textId="77777777" w:rsidR="00AD37AA" w:rsidRPr="00AD37AA" w:rsidRDefault="00AD37AA" w:rsidP="00AD37AA">
        <w:pPr>
          <w:pStyle w:val="Footer"/>
          <w:tabs>
            <w:tab w:val="clear" w:pos="4513"/>
            <w:tab w:val="clear" w:pos="9026"/>
            <w:tab w:val="center" w:pos="4153"/>
            <w:tab w:val="right" w:pos="8306"/>
          </w:tabs>
          <w:jc w:val="right"/>
          <w:rPr>
            <w:rFonts w:ascii="Arial (W1)" w:eastAsia="Times New Roman" w:hAnsi="Arial (W1)" w:cs="Arial (W1)"/>
            <w:color w:val="auto"/>
            <w:sz w:val="20"/>
            <w:szCs w:val="24"/>
            <w:lang w:eastAsia="en-US"/>
          </w:rPr>
        </w:pPr>
        <w:r w:rsidRPr="00AD37AA">
          <w:rPr>
            <w:rFonts w:ascii="Arial (W1)" w:eastAsia="Times New Roman" w:hAnsi="Arial (W1)" w:cs="Arial (W1)"/>
            <w:color w:val="auto"/>
            <w:sz w:val="20"/>
            <w:szCs w:val="24"/>
            <w:lang w:eastAsia="en-US"/>
          </w:rPr>
          <w:fldChar w:fldCharType="begin"/>
        </w:r>
        <w:r w:rsidRPr="00AD37AA">
          <w:rPr>
            <w:rFonts w:ascii="Arial (W1)" w:eastAsia="Times New Roman" w:hAnsi="Arial (W1)" w:cs="Arial (W1)"/>
            <w:color w:val="auto"/>
            <w:sz w:val="20"/>
            <w:szCs w:val="24"/>
            <w:lang w:eastAsia="en-US"/>
          </w:rPr>
          <w:instrText xml:space="preserve"> PAGE   \* MERGEFORMAT </w:instrText>
        </w:r>
        <w:r w:rsidRPr="00AD37AA">
          <w:rPr>
            <w:rFonts w:ascii="Arial (W1)" w:eastAsia="Times New Roman" w:hAnsi="Arial (W1)" w:cs="Arial (W1)"/>
            <w:color w:val="auto"/>
            <w:sz w:val="20"/>
            <w:szCs w:val="24"/>
            <w:lang w:eastAsia="en-US"/>
          </w:rPr>
          <w:fldChar w:fldCharType="separate"/>
        </w:r>
        <w:r w:rsidRPr="00AD37AA">
          <w:rPr>
            <w:rFonts w:ascii="Arial (W1)" w:eastAsia="Times New Roman" w:hAnsi="Arial (W1)" w:cs="Arial (W1)"/>
            <w:color w:val="auto"/>
            <w:sz w:val="20"/>
            <w:szCs w:val="24"/>
            <w:lang w:eastAsia="en-US"/>
          </w:rPr>
          <w:t>2</w:t>
        </w:r>
        <w:r w:rsidRPr="00AD37AA">
          <w:rPr>
            <w:rFonts w:ascii="Arial (W1)" w:eastAsia="Times New Roman" w:hAnsi="Arial (W1)" w:cs="Arial (W1)"/>
            <w:color w:val="auto"/>
            <w:sz w:val="20"/>
            <w:szCs w:val="24"/>
            <w:lang w:eastAsia="en-US"/>
          </w:rPr>
          <w:fldChar w:fldCharType="end"/>
        </w:r>
      </w:p>
    </w:sdtContent>
  </w:sdt>
  <w:p w14:paraId="6D57663E" w14:textId="6D9D1764" w:rsidR="00786FBE" w:rsidRPr="000207E7" w:rsidRDefault="000207E7" w:rsidP="000207E7">
    <w:pPr>
      <w:spacing w:after="0"/>
      <w:jc w:val="center"/>
      <w:rPr>
        <w:rFonts w:ascii="Arial" w:hAnsi="Arial" w:cs="Arial"/>
        <w:sz w:val="14"/>
        <w:szCs w:val="18"/>
      </w:rPr>
    </w:pPr>
    <w:r w:rsidRPr="000207E7">
      <w:rPr>
        <w:rFonts w:ascii="Arial" w:hAnsi="Arial" w:cs="Arial"/>
        <w:sz w:val="14"/>
        <w:szCs w:val="18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CE976" w14:textId="77777777" w:rsidR="007933E9" w:rsidRDefault="00D16443">
      <w:pPr>
        <w:spacing w:after="0" w:line="240" w:lineRule="auto"/>
      </w:pPr>
      <w:r>
        <w:separator/>
      </w:r>
    </w:p>
  </w:footnote>
  <w:footnote w:type="continuationSeparator" w:id="0">
    <w:p w14:paraId="5AE76FC9" w14:textId="77777777" w:rsidR="007933E9" w:rsidRDefault="00D16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34E8F" w14:textId="77777777" w:rsidR="00EA5E8D" w:rsidRDefault="00D16443">
    <w:pPr>
      <w:spacing w:after="0" w:line="241" w:lineRule="auto"/>
      <w:ind w:left="137" w:right="1023"/>
      <w:jc w:val="center"/>
    </w:pPr>
    <w:r>
      <w:rPr>
        <w:b/>
      </w:rPr>
      <w:t>Application of a delegation must be in consideration of policies, procedures or guidelines</w:t>
    </w:r>
    <w:r>
      <w:t xml:space="preserve"> </w:t>
    </w:r>
    <w:r>
      <w:rPr>
        <w:b/>
      </w:rPr>
      <w:t xml:space="preserve">Refer to the legislation for the complete details of the legislative provision outlined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F707C" w14:textId="77777777" w:rsidR="009B416A" w:rsidRPr="008319CB" w:rsidRDefault="009B416A" w:rsidP="009B416A">
    <w:pPr>
      <w:pStyle w:val="Footer"/>
      <w:jc w:val="center"/>
    </w:pPr>
    <w:r w:rsidRPr="00AD37AA">
      <w:rPr>
        <w:rFonts w:cs="Arial"/>
        <w:b/>
      </w:rPr>
      <w:t>Application of a delegation must be in consideration of policies, procedures or guidelines</w:t>
    </w:r>
  </w:p>
  <w:p w14:paraId="0473CE36" w14:textId="38B5AC9E" w:rsidR="00EA5E8D" w:rsidRPr="009B416A" w:rsidRDefault="009B416A" w:rsidP="009B416A">
    <w:pPr>
      <w:pStyle w:val="BodyText"/>
      <w:ind w:left="142"/>
      <w:jc w:val="center"/>
      <w:rPr>
        <w:rFonts w:ascii="Calibri" w:hAnsi="Calibri" w:cs="Arial"/>
        <w:b/>
        <w:sz w:val="22"/>
        <w:szCs w:val="22"/>
      </w:rPr>
    </w:pPr>
    <w:r w:rsidRPr="00AD37AA">
      <w:rPr>
        <w:rFonts w:ascii="Calibri" w:hAnsi="Calibri" w:cs="Arial"/>
        <w:b/>
        <w:sz w:val="22"/>
        <w:szCs w:val="22"/>
      </w:rPr>
      <w:t>Refer to the legislation for the complete details of the legislative provision outlined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F9CB0" w14:textId="77777777" w:rsidR="00956B8F" w:rsidRDefault="00956B8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EDC3D" w14:textId="77777777" w:rsidR="00786FBE" w:rsidRPr="008319CB" w:rsidRDefault="00786FBE" w:rsidP="00786FBE">
    <w:pPr>
      <w:pStyle w:val="Footer"/>
      <w:jc w:val="center"/>
    </w:pPr>
    <w:r w:rsidRPr="00AD37AA">
      <w:rPr>
        <w:rFonts w:cs="Arial"/>
        <w:b/>
      </w:rPr>
      <w:t>Application of a delegation must be in consideration of policies, procedures or guidelines</w:t>
    </w:r>
  </w:p>
  <w:p w14:paraId="6B53CA01" w14:textId="77777777" w:rsidR="00786FBE" w:rsidRPr="00AD37AA" w:rsidRDefault="00786FBE" w:rsidP="00786FBE">
    <w:pPr>
      <w:pStyle w:val="BodyText"/>
      <w:ind w:left="142"/>
      <w:jc w:val="center"/>
      <w:rPr>
        <w:rFonts w:ascii="Calibri" w:hAnsi="Calibri" w:cs="Arial"/>
        <w:b/>
        <w:sz w:val="22"/>
        <w:szCs w:val="22"/>
      </w:rPr>
    </w:pPr>
    <w:r w:rsidRPr="00AD37AA">
      <w:rPr>
        <w:rFonts w:ascii="Calibri" w:hAnsi="Calibri" w:cs="Arial"/>
        <w:b/>
        <w:sz w:val="22"/>
        <w:szCs w:val="22"/>
      </w:rPr>
      <w:t>Refer to the legislation for the complete details of the legislative provision outlined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01827"/>
    <w:multiLevelType w:val="hybridMultilevel"/>
    <w:tmpl w:val="B14AE034"/>
    <w:lvl w:ilvl="0" w:tplc="BBCAECD8">
      <w:start w:val="1"/>
      <w:numFmt w:val="lowerLetter"/>
      <w:lvlText w:val="(%1)"/>
      <w:lvlJc w:val="left"/>
      <w:pPr>
        <w:ind w:left="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24B420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9A0400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D8B110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228240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ABCCA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28A3B2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248F0E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6CB426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96789C"/>
    <w:multiLevelType w:val="hybridMultilevel"/>
    <w:tmpl w:val="8428650A"/>
    <w:lvl w:ilvl="0" w:tplc="CFAA2492">
      <w:start w:val="1"/>
      <w:numFmt w:val="decimal"/>
      <w:lvlText w:val="%1"/>
      <w:lvlJc w:val="left"/>
      <w:pPr>
        <w:ind w:left="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72C692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5A5BBE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E0015E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366DB4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CEA4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7CFA46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9243EC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BCD04C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D15FD8"/>
    <w:multiLevelType w:val="hybridMultilevel"/>
    <w:tmpl w:val="5F46938E"/>
    <w:lvl w:ilvl="0" w:tplc="16365AE0">
      <w:start w:val="1"/>
      <w:numFmt w:val="decimal"/>
      <w:lvlText w:val="(%1)"/>
      <w:lvlJc w:val="left"/>
      <w:pPr>
        <w:ind w:left="1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0A689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60EE3C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80184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EEC7CE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12AF8C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12352C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B4269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B01390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6224257">
    <w:abstractNumId w:val="2"/>
  </w:num>
  <w:num w:numId="2" w16cid:durableId="118652002">
    <w:abstractNumId w:val="0"/>
  </w:num>
  <w:num w:numId="3" w16cid:durableId="729881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E8D"/>
    <w:rsid w:val="000207E7"/>
    <w:rsid w:val="0019261D"/>
    <w:rsid w:val="00284EC3"/>
    <w:rsid w:val="00287520"/>
    <w:rsid w:val="003F6B28"/>
    <w:rsid w:val="00410578"/>
    <w:rsid w:val="00584E22"/>
    <w:rsid w:val="00654AA2"/>
    <w:rsid w:val="00676C65"/>
    <w:rsid w:val="00786FBE"/>
    <w:rsid w:val="007933E9"/>
    <w:rsid w:val="00865D57"/>
    <w:rsid w:val="00890503"/>
    <w:rsid w:val="00956B8F"/>
    <w:rsid w:val="00962248"/>
    <w:rsid w:val="00967D9B"/>
    <w:rsid w:val="009B416A"/>
    <w:rsid w:val="009B72F9"/>
    <w:rsid w:val="00AD37AA"/>
    <w:rsid w:val="00AF54C2"/>
    <w:rsid w:val="00B44F9F"/>
    <w:rsid w:val="00BC2D8F"/>
    <w:rsid w:val="00C12123"/>
    <w:rsid w:val="00C84C86"/>
    <w:rsid w:val="00CE4034"/>
    <w:rsid w:val="00D16443"/>
    <w:rsid w:val="00E02745"/>
    <w:rsid w:val="00EA5E8D"/>
    <w:rsid w:val="00F16E68"/>
    <w:rsid w:val="00F51034"/>
    <w:rsid w:val="00F73ED6"/>
    <w:rsid w:val="00F9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ACBD581"/>
  <w15:docId w15:val="{C1D9AD53-FEB4-459C-A092-1631D43E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4"/>
      <w:ind w:left="294" w:right="5582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E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5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D5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86F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FBE"/>
    <w:rPr>
      <w:rFonts w:ascii="Calibri" w:eastAsia="Calibri" w:hAnsi="Calibri" w:cs="Calibri"/>
      <w:color w:val="000000"/>
    </w:rPr>
  </w:style>
  <w:style w:type="paragraph" w:styleId="BodyText">
    <w:name w:val="Body Text"/>
    <w:basedOn w:val="Normal"/>
    <w:link w:val="BodyTextChar"/>
    <w:rsid w:val="00786FB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Palatino" w:eastAsia="Times New Roman" w:hAnsi="Palatino" w:cs="Times New Roman"/>
      <w:color w:val="auto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786FBE"/>
    <w:rPr>
      <w:rFonts w:ascii="Palatino" w:eastAsia="Times New Roman" w:hAnsi="Palatino" w:cs="Times New Roman"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E2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584E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4E2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918</Words>
  <Characters>5843</Characters>
  <Application>Microsoft Office Word</Application>
  <DocSecurity>0</DocSecurity>
  <Lines>366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Gardiner, Kim</dc:creator>
  <cp:keywords>2</cp:keywords>
  <cp:lastModifiedBy>PCODCS</cp:lastModifiedBy>
  <cp:revision>4</cp:revision>
  <dcterms:created xsi:type="dcterms:W3CDTF">2022-10-10T01:53:00Z</dcterms:created>
  <dcterms:modified xsi:type="dcterms:W3CDTF">2022-10-10T01:53:00Z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9847896</vt:lpwstr>
  </property>
  <property fmtid="{D5CDD505-2E9C-101B-9397-08002B2CF9AE}" pid="4" name="JMSREQUIREDCHECKIN">
    <vt:lpwstr/>
  </property>
</Properties>
</file>