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5DA" w14:textId="77777777" w:rsidR="00BF2437" w:rsidRPr="00BF2437" w:rsidRDefault="00BF2437" w:rsidP="00BF24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BF243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0A2876D" w14:textId="77777777" w:rsidR="00BF2437" w:rsidRPr="00BF2437" w:rsidRDefault="00BF2437" w:rsidP="00BF2437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F2437">
        <w:rPr>
          <w:rFonts w:ascii="Arial" w:eastAsia="Times New Roman" w:hAnsi="Arial" w:cs="Arial"/>
          <w:b/>
          <w:bCs/>
          <w:sz w:val="40"/>
          <w:szCs w:val="40"/>
        </w:rPr>
        <w:t>Corrections Management (Searches Requiring Reasonable Adjustments) Operating Procedure 2022</w:t>
      </w:r>
    </w:p>
    <w:p w14:paraId="26325962" w14:textId="77777777" w:rsidR="00BF2437" w:rsidRPr="00BF2437" w:rsidRDefault="00BF2437" w:rsidP="00BF2437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F2437">
        <w:rPr>
          <w:rFonts w:ascii="Arial" w:eastAsia="Times New Roman" w:hAnsi="Arial" w:cs="Arial"/>
          <w:b/>
          <w:bCs/>
          <w:sz w:val="24"/>
          <w:szCs w:val="20"/>
        </w:rPr>
        <w:t>Notifiable instrument NI2022-55</w:t>
      </w:r>
    </w:p>
    <w:p w14:paraId="749BD6F2" w14:textId="77777777" w:rsidR="00BF2437" w:rsidRPr="00BF2437" w:rsidRDefault="00BF2437" w:rsidP="00BF243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37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1991F3A8" w14:textId="77777777" w:rsidR="00BF2437" w:rsidRPr="00BF2437" w:rsidRDefault="00BF2437" w:rsidP="00BF2437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243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F243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F3D43AF" w14:textId="77777777" w:rsidR="00BF2437" w:rsidRPr="00BF2437" w:rsidRDefault="00BF2437" w:rsidP="00BF2437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C5A4746" w14:textId="77777777" w:rsidR="00BF2437" w:rsidRPr="00BF2437" w:rsidRDefault="00BF2437" w:rsidP="00BF243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D12D5" w14:textId="77777777" w:rsidR="00BF2437" w:rsidRPr="00BF2437" w:rsidRDefault="00BF2437" w:rsidP="00BF2437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F243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F243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9785D61" w14:textId="77777777" w:rsidR="00BF2437" w:rsidRPr="00BF2437" w:rsidRDefault="00BF2437" w:rsidP="00BF24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F2437">
        <w:rPr>
          <w:rFonts w:ascii="Times New Roman" w:eastAsia="Times New Roman" w:hAnsi="Times New Roman" w:cs="Times New Roman"/>
          <w:i/>
          <w:sz w:val="24"/>
          <w:szCs w:val="20"/>
        </w:rPr>
        <w:t>Corrections Management (Searches Requiring Reasonable Adjustments) Operating Procedure 2022.</w:t>
      </w:r>
    </w:p>
    <w:p w14:paraId="49A33093" w14:textId="77777777" w:rsidR="00BF2437" w:rsidRPr="00BF2437" w:rsidRDefault="00BF2437" w:rsidP="00BF243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243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F24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F243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48B452E" w14:textId="77777777" w:rsidR="00BF2437" w:rsidRPr="00BF2437" w:rsidRDefault="00BF2437" w:rsidP="00BF24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DE9BE04" w14:textId="77777777" w:rsidR="00BF2437" w:rsidRPr="00BF2437" w:rsidRDefault="00BF2437" w:rsidP="00BF2437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F243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F2437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B2B8428" w14:textId="77777777" w:rsidR="00BF2437" w:rsidRPr="00BF2437" w:rsidRDefault="00BF2437" w:rsidP="00BF24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5F79D12A" w14:textId="77777777" w:rsidR="00BF2437" w:rsidRPr="00BF2437" w:rsidRDefault="00BF2437" w:rsidP="00BF24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5F5A21E8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D39F78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997E70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9438DF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56A6F7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503769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F6A7D46" w14:textId="77777777" w:rsidR="00BF2437" w:rsidRPr="00BF2437" w:rsidRDefault="00BF2437" w:rsidP="00BF24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6354E73B" w14:textId="77777777" w:rsidR="00BF2437" w:rsidRPr="00BF2437" w:rsidRDefault="00BF2437" w:rsidP="00BF24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4B37A590" w14:textId="77777777" w:rsidR="00BF2437" w:rsidRPr="00BF2437" w:rsidRDefault="00BF2437" w:rsidP="00BF24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30D76B11" w14:textId="77777777" w:rsidR="00BF2437" w:rsidRPr="00BF2437" w:rsidRDefault="00BF2437" w:rsidP="00BF24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F2437">
        <w:rPr>
          <w:rFonts w:ascii="Times New Roman" w:eastAsia="Times New Roman" w:hAnsi="Times New Roman" w:cs="Times New Roman"/>
          <w:sz w:val="24"/>
          <w:szCs w:val="20"/>
        </w:rPr>
        <w:t xml:space="preserve">3 February 2022 </w:t>
      </w:r>
    </w:p>
    <w:p w14:paraId="53333847" w14:textId="77777777"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27ECF7" w14:textId="77777777" w:rsidR="00BF2437" w:rsidRDefault="00BF2437" w:rsidP="004D1932">
      <w:pPr>
        <w:spacing w:before="120" w:after="120"/>
        <w:rPr>
          <w:rFonts w:cs="Arial"/>
          <w:b/>
        </w:rPr>
        <w:sectPr w:rsidR="00BF2437" w:rsidSect="00BF24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4FB30FD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6E953556" w14:textId="1AF856D5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6D2C1874" w14:textId="14E3D0FF" w:rsidR="007B3718" w:rsidRPr="00202B3A" w:rsidRDefault="006902FB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Search</w:t>
            </w:r>
            <w:r w:rsidR="007E2532">
              <w:rPr>
                <w:rFonts w:cs="Arial"/>
                <w:b/>
              </w:rPr>
              <w:t>es</w:t>
            </w:r>
            <w:r w:rsidR="00066024">
              <w:rPr>
                <w:rFonts w:cs="Arial"/>
                <w:b/>
              </w:rPr>
              <w:t xml:space="preserve"> </w:t>
            </w:r>
            <w:r w:rsidR="00F633C5">
              <w:rPr>
                <w:rFonts w:cs="Arial"/>
                <w:b/>
              </w:rPr>
              <w:t>Requiring Reasonable Adjustments</w:t>
            </w:r>
          </w:p>
        </w:tc>
      </w:tr>
      <w:tr w:rsidR="003A3CF7" w:rsidRPr="00586F66" w14:paraId="48540CD2" w14:textId="77777777" w:rsidTr="00586F66">
        <w:tc>
          <w:tcPr>
            <w:tcW w:w="3085" w:type="dxa"/>
          </w:tcPr>
          <w:p w14:paraId="237405D3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35102B25" w14:textId="01C1D6C8" w:rsidR="003A3CF7" w:rsidRPr="00586F66" w:rsidRDefault="00B5766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S4.18</w:t>
            </w:r>
          </w:p>
        </w:tc>
      </w:tr>
      <w:tr w:rsidR="00510017" w:rsidRPr="00586F66" w14:paraId="427D481F" w14:textId="77777777" w:rsidTr="008C1D7D">
        <w:tc>
          <w:tcPr>
            <w:tcW w:w="3085" w:type="dxa"/>
          </w:tcPr>
          <w:p w14:paraId="5B7CC115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C0838F0" w14:textId="0C7B2117" w:rsidR="00510017" w:rsidRPr="00BC18B9" w:rsidRDefault="00A8443D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514C3">
              <w:rPr>
                <w:rFonts w:cs="Arial"/>
                <w:b/>
              </w:rPr>
              <w:t>Alexander Maconochie Centre</w:t>
            </w:r>
            <w:r w:rsidR="00202B3A" w:rsidRPr="001514C3">
              <w:rPr>
                <w:rFonts w:cs="Arial"/>
                <w:b/>
              </w:rPr>
              <w:t xml:space="preserve"> </w:t>
            </w:r>
            <w:r w:rsidR="00CA00DD" w:rsidRPr="001514C3">
              <w:rPr>
                <w:rFonts w:cs="Arial"/>
                <w:b/>
              </w:rPr>
              <w:t>/ Court Transport Unit</w:t>
            </w:r>
          </w:p>
        </w:tc>
      </w:tr>
    </w:tbl>
    <w:p w14:paraId="5B44AD8B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74C296FE" w14:textId="17399C7B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6902FB">
        <w:rPr>
          <w:rFonts w:cs="Arial"/>
        </w:rPr>
        <w:t xml:space="preserve"> on </w:t>
      </w:r>
      <w:r w:rsidR="0033776B">
        <w:rPr>
          <w:rFonts w:cs="Arial"/>
        </w:rPr>
        <w:t xml:space="preserve">searching a </w:t>
      </w:r>
      <w:r w:rsidR="005F2023">
        <w:rPr>
          <w:rFonts w:cs="Arial"/>
        </w:rPr>
        <w:t>person with a disability</w:t>
      </w:r>
      <w:r w:rsidR="00D32F61">
        <w:rPr>
          <w:rFonts w:cs="Arial"/>
        </w:rPr>
        <w:t xml:space="preserve"> or injury</w:t>
      </w:r>
      <w:r w:rsidR="005F2023">
        <w:rPr>
          <w:rFonts w:cs="Arial"/>
        </w:rPr>
        <w:t xml:space="preserve">. </w:t>
      </w:r>
      <w:r w:rsidR="009C4642">
        <w:t>Disability includes visible and non-visible disabilities such as mental illness, intellectual disability, anxiety and depression.</w:t>
      </w:r>
    </w:p>
    <w:p w14:paraId="682784E2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68E064A5" w14:textId="4EEDD660" w:rsidR="005F2023" w:rsidRDefault="00132798" w:rsidP="005F2023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Reasonable </w:t>
      </w:r>
      <w:r w:rsidR="0067666A">
        <w:rPr>
          <w:rFonts w:asciiTheme="minorHAnsi" w:hAnsiTheme="minorHAnsi" w:cstheme="minorHAnsi"/>
          <w:sz w:val="22"/>
          <w:szCs w:val="22"/>
        </w:rPr>
        <w:t>adjustments when searching</w:t>
      </w:r>
    </w:p>
    <w:p w14:paraId="62A7E24D" w14:textId="3E35F251" w:rsidR="005F2023" w:rsidRPr="00BB0364" w:rsidRDefault="00044FED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Searching officers may need to vary t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he normal search procedures for those with injuries or disabilities in accordance with the </w:t>
      </w:r>
      <w:r w:rsidR="001514C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injury</w:t>
      </w:r>
      <w:r w:rsidR="005133F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,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disability</w:t>
      </w:r>
      <w:r w:rsidR="005133F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specific need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of the person</w:t>
      </w:r>
      <w:r w:rsidR="006B5ED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(including pregnant women)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25EA1C46" w14:textId="02D57253" w:rsidR="00BB0364" w:rsidRPr="00E65AA0" w:rsidRDefault="00BB0364" w:rsidP="00BB0364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Before undertaking the search, </w:t>
      </w:r>
      <w:r w:rsidR="0022379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</w:t>
      </w:r>
      <w:r w:rsidR="00D32F6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officers </w:t>
      </w:r>
      <w:r w:rsidR="00A630F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="00D32F6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A42D3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explain the search and 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ask the person if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A42D3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any part of the search is likely</w:t>
      </w:r>
      <w:r w:rsidR="00E60D5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to</w:t>
      </w:r>
      <w:r w:rsidR="003B53F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E60D5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require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reasonable adjustment</w:t>
      </w:r>
      <w:r w:rsidR="00D32F6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</w:t>
      </w:r>
      <w:r w:rsid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</w:t>
      </w:r>
      <w:r w:rsidR="00192C5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if there is </w:t>
      </w:r>
      <w:r w:rsid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anything that needs to be considered during the search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. If confirmed,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any reasonable adjustments </w:t>
      </w:r>
      <w:r w:rsidR="00192C5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must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be considered and acted on</w:t>
      </w:r>
      <w:r w:rsidR="00E60D5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where security and good order can be maintained.</w:t>
      </w:r>
      <w:r w:rsidR="005C5F4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Where the subject is a detainee, the</w:t>
      </w:r>
      <w:r w:rsidR="001C078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y</w:t>
      </w:r>
      <w:r w:rsidR="005C5F4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must</w:t>
      </w:r>
      <w:r w:rsidR="001C078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be kept on constant observation until the search can be conducted.</w:t>
      </w:r>
    </w:p>
    <w:p w14:paraId="18CB6682" w14:textId="692EE878" w:rsidR="00E65AA0" w:rsidRPr="00E65AA0" w:rsidRDefault="00E65AA0" w:rsidP="00BB0364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Where a person has medical aids, such as a walking stick, cast, sling, etc.</w:t>
      </w:r>
      <w:r w:rsidR="00EE201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044FE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officers will conduct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searches of these items on a case-by-case basis, noting:</w:t>
      </w:r>
    </w:p>
    <w:p w14:paraId="3405CA3D" w14:textId="63B90D4B" w:rsidR="00E65AA0" w:rsidRPr="00E65AA0" w:rsidRDefault="00192C5A" w:rsidP="00BC18B9">
      <w:pPr>
        <w:pStyle w:val="Main2"/>
        <w:numPr>
          <w:ilvl w:val="0"/>
          <w:numId w:val="46"/>
        </w:numPr>
        <w:spacing w:line="276" w:lineRule="auto"/>
        <w:ind w:left="1474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</w:t>
      </w:r>
      <w:r w:rsidR="00E65AA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 a walking stick is searched, the person must be provided with a chair to sit on while the search is being conducted</w:t>
      </w:r>
    </w:p>
    <w:p w14:paraId="33FF2C0C" w14:textId="266073AC" w:rsidR="00E65AA0" w:rsidRPr="00E65AA0" w:rsidRDefault="00192C5A" w:rsidP="00BC18B9">
      <w:pPr>
        <w:pStyle w:val="Main2"/>
        <w:numPr>
          <w:ilvl w:val="0"/>
          <w:numId w:val="46"/>
        </w:numPr>
        <w:spacing w:line="276" w:lineRule="auto"/>
        <w:ind w:left="1474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</w:t>
      </w:r>
      <w:r w:rsidR="00E65AA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cast </w:t>
      </w:r>
      <w:r w:rsidR="00BA618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or bandage </w:t>
      </w:r>
      <w:r w:rsidR="00E65AA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may be subject to a scanning search. </w:t>
      </w:r>
      <w:r w:rsidR="008E36A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Where there </w:t>
      </w:r>
      <w:r w:rsidR="005525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are</w:t>
      </w:r>
      <w:r w:rsidR="008E36A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reasonable</w:t>
      </w:r>
      <w:r w:rsidR="005525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grounds for</w:t>
      </w:r>
      <w:r w:rsidR="008E36A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suspicion</w:t>
      </w:r>
      <w:r w:rsidR="001C359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="008E36A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1C359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 person may be required </w:t>
      </w:r>
      <w:r w:rsidR="00EE201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to </w:t>
      </w:r>
      <w:r w:rsidR="001C359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remove </w:t>
      </w:r>
      <w:r w:rsidR="005525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 </w:t>
      </w:r>
      <w:r w:rsidR="001C359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cast or bandage</w:t>
      </w:r>
      <w:r w:rsidR="00E60D5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if possible</w:t>
      </w:r>
    </w:p>
    <w:p w14:paraId="4F610F26" w14:textId="540A74C9" w:rsidR="00A70E0D" w:rsidRDefault="00192C5A" w:rsidP="00BC18B9">
      <w:pPr>
        <w:pStyle w:val="Main2"/>
        <w:numPr>
          <w:ilvl w:val="0"/>
          <w:numId w:val="46"/>
        </w:numPr>
        <w:spacing w:line="276" w:lineRule="auto"/>
        <w:ind w:left="1474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="00E65AA0">
        <w:rPr>
          <w:rFonts w:asciiTheme="minorHAnsi" w:hAnsiTheme="minorHAnsi" w:cstheme="minorHAnsi"/>
          <w:b w:val="0"/>
          <w:bCs/>
          <w:sz w:val="22"/>
          <w:szCs w:val="22"/>
        </w:rPr>
        <w:t xml:space="preserve"> person may be asked to remove a sling. If</w:t>
      </w:r>
      <w:r w:rsidR="001D4212">
        <w:rPr>
          <w:rFonts w:asciiTheme="minorHAnsi" w:hAnsiTheme="minorHAnsi" w:cstheme="minorHAnsi"/>
          <w:b w:val="0"/>
          <w:bCs/>
          <w:sz w:val="22"/>
          <w:szCs w:val="22"/>
        </w:rPr>
        <w:t xml:space="preserve"> a person</w:t>
      </w:r>
      <w:r w:rsidR="002838F7">
        <w:rPr>
          <w:rFonts w:asciiTheme="minorHAnsi" w:hAnsiTheme="minorHAnsi" w:cstheme="minorHAnsi"/>
          <w:b w:val="0"/>
          <w:bCs/>
          <w:sz w:val="22"/>
          <w:szCs w:val="22"/>
        </w:rPr>
        <w:t xml:space="preserve"> other than a detainee declines to remove a sling</w:t>
      </w:r>
      <w:r w:rsidR="00E65AA0">
        <w:rPr>
          <w:rFonts w:asciiTheme="minorHAnsi" w:hAnsiTheme="minorHAnsi" w:cstheme="minorHAnsi"/>
          <w:b w:val="0"/>
          <w:bCs/>
          <w:sz w:val="22"/>
          <w:szCs w:val="22"/>
        </w:rPr>
        <w:t>, the</w:t>
      </w:r>
      <w:r w:rsidR="00744638">
        <w:rPr>
          <w:rFonts w:asciiTheme="minorHAnsi" w:hAnsiTheme="minorHAnsi" w:cstheme="minorHAnsi"/>
          <w:b w:val="0"/>
          <w:bCs/>
          <w:sz w:val="22"/>
          <w:szCs w:val="22"/>
        </w:rPr>
        <w:t xml:space="preserve"> officer may conduct another </w:t>
      </w:r>
      <w:r w:rsidR="00C93133">
        <w:rPr>
          <w:rFonts w:asciiTheme="minorHAnsi" w:hAnsiTheme="minorHAnsi" w:cstheme="minorHAnsi"/>
          <w:b w:val="0"/>
          <w:bCs/>
          <w:sz w:val="22"/>
          <w:szCs w:val="22"/>
        </w:rPr>
        <w:t xml:space="preserve">form of </w:t>
      </w:r>
      <w:r w:rsidR="00E65AA0">
        <w:rPr>
          <w:rFonts w:asciiTheme="minorHAnsi" w:hAnsiTheme="minorHAnsi" w:cstheme="minorHAnsi"/>
          <w:b w:val="0"/>
          <w:bCs/>
          <w:sz w:val="22"/>
          <w:szCs w:val="22"/>
        </w:rPr>
        <w:t>search</w:t>
      </w:r>
      <w:r w:rsidR="00C93133">
        <w:rPr>
          <w:rFonts w:asciiTheme="minorHAnsi" w:hAnsiTheme="minorHAnsi" w:cstheme="minorHAnsi"/>
          <w:b w:val="0"/>
          <w:bCs/>
          <w:sz w:val="22"/>
          <w:szCs w:val="22"/>
        </w:rPr>
        <w:t xml:space="preserve"> that is reasonably likely to detect a concealed item</w:t>
      </w:r>
    </w:p>
    <w:p w14:paraId="0B040AD2" w14:textId="302F23D4" w:rsidR="00E65AA0" w:rsidRPr="00BB0364" w:rsidRDefault="00192C5A" w:rsidP="00BC18B9">
      <w:pPr>
        <w:pStyle w:val="Main2"/>
        <w:numPr>
          <w:ilvl w:val="0"/>
          <w:numId w:val="46"/>
        </w:numPr>
        <w:spacing w:line="276" w:lineRule="auto"/>
        <w:ind w:left="1474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="007A2715">
        <w:rPr>
          <w:rFonts w:asciiTheme="minorHAnsi" w:hAnsiTheme="minorHAnsi" w:cstheme="minorHAnsi"/>
          <w:b w:val="0"/>
          <w:bCs/>
          <w:sz w:val="22"/>
          <w:szCs w:val="22"/>
        </w:rPr>
        <w:t xml:space="preserve">f required </w:t>
      </w:r>
      <w:r w:rsidR="007C1773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="00A70E0D">
        <w:rPr>
          <w:rFonts w:asciiTheme="minorHAnsi" w:hAnsiTheme="minorHAnsi" w:cstheme="minorHAnsi"/>
          <w:b w:val="0"/>
          <w:bCs/>
          <w:sz w:val="22"/>
          <w:szCs w:val="22"/>
        </w:rPr>
        <w:t xml:space="preserve">ny other aids may be searched </w:t>
      </w:r>
      <w:r w:rsidR="009D2BFE">
        <w:rPr>
          <w:rFonts w:asciiTheme="minorHAnsi" w:hAnsiTheme="minorHAnsi" w:cstheme="minorHAnsi"/>
          <w:b w:val="0"/>
          <w:bCs/>
          <w:sz w:val="22"/>
          <w:szCs w:val="22"/>
        </w:rPr>
        <w:t xml:space="preserve">in the </w:t>
      </w:r>
      <w:r w:rsidR="00FD5E1B">
        <w:rPr>
          <w:rFonts w:asciiTheme="minorHAnsi" w:hAnsiTheme="minorHAnsi" w:cstheme="minorHAnsi"/>
          <w:b w:val="0"/>
          <w:bCs/>
          <w:sz w:val="22"/>
          <w:szCs w:val="22"/>
        </w:rPr>
        <w:t>least intrusive way</w:t>
      </w:r>
      <w:r w:rsidR="00C4385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E2323">
        <w:rPr>
          <w:rFonts w:asciiTheme="minorHAnsi" w:hAnsiTheme="minorHAnsi" w:cstheme="minorHAnsi"/>
          <w:b w:val="0"/>
          <w:bCs/>
          <w:sz w:val="22"/>
          <w:szCs w:val="22"/>
        </w:rPr>
        <w:t xml:space="preserve">that will be reasonably likely to detect </w:t>
      </w:r>
      <w:r w:rsidR="001B3105">
        <w:rPr>
          <w:rFonts w:asciiTheme="minorHAnsi" w:hAnsiTheme="minorHAnsi" w:cstheme="minorHAnsi"/>
          <w:b w:val="0"/>
          <w:bCs/>
          <w:sz w:val="22"/>
          <w:szCs w:val="22"/>
        </w:rPr>
        <w:t>a concealed item.</w:t>
      </w:r>
    </w:p>
    <w:p w14:paraId="6B71DBA7" w14:textId="1531AF2D" w:rsidR="005133FE" w:rsidRPr="005133FE" w:rsidRDefault="005133FE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Where a person has a prosthetic limb, </w:t>
      </w:r>
      <w:r w:rsidR="003A1C7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officers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 only request</w:t>
      </w:r>
      <w:r w:rsidR="003B53F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that the person being searched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remove the limb for searching where there are reasonable grounds for suspicion that the person may be </w:t>
      </w:r>
      <w:r w:rsidR="00D32F6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concealing a prohibited thing or seizeable item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4C39A09D" w14:textId="19932CA8" w:rsidR="005133FE" w:rsidRPr="005F2023" w:rsidRDefault="005133FE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If a prosthetic limb is searched, </w:t>
      </w:r>
      <w:r w:rsidR="003A1C7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searching officers must take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person to a private room away from others to remove and have the limb searched. </w:t>
      </w:r>
      <w:r w:rsidR="003A1C7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Searching officers must take e</w:t>
      </w:r>
      <w:r w:rsidR="009172D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xtra c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are when handling a prosthetic limb.</w:t>
      </w:r>
    </w:p>
    <w:p w14:paraId="6BA5365C" w14:textId="19B16264" w:rsidR="005F2023" w:rsidRPr="00FD543A" w:rsidRDefault="005F2023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lastRenderedPageBreak/>
        <w:t>If a person is wearing a pacemaker,</w:t>
      </w:r>
      <w:r w:rsidR="00FD543A"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similar implanted device,</w:t>
      </w:r>
      <w:r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they</w:t>
      </w:r>
      <w:r w:rsidRPr="00EE201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D32F61" w:rsidRPr="00EE201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="00D32F61" w:rsidRPr="00FD543A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</w:t>
      </w:r>
      <w:r w:rsidRPr="00EE2017">
        <w:rPr>
          <w:rFonts w:asciiTheme="minorHAnsi" w:eastAsia="MS Mincho" w:hAnsiTheme="minorHAnsi" w:cstheme="minorHAnsi"/>
          <w:sz w:val="22"/>
          <w:szCs w:val="22"/>
          <w:lang w:val="en-US"/>
        </w:rPr>
        <w:t>not</w:t>
      </w:r>
      <w:r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be subjected to </w:t>
      </w:r>
      <w:r w:rsid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 walk-through </w:t>
      </w:r>
      <w:r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metal detector</w:t>
      </w:r>
      <w:r w:rsid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scanning search and instead searching officers will search the person</w:t>
      </w:r>
      <w:r w:rsidR="00FD543A"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in accordance with the </w:t>
      </w:r>
      <w:r w:rsidR="003C47E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requirements of</w:t>
      </w:r>
      <w:r w:rsidR="00FD543A"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their</w:t>
      </w:r>
      <w:r w:rsid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FD543A"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medical exemption</w:t>
      </w:r>
      <w:r w:rsidR="009C4642" w:rsidRPr="00FD543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57412BA5" w14:textId="61D91282" w:rsidR="00F633C5" w:rsidRDefault="00F633C5" w:rsidP="00F633C5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 chair or other reasonable adjustments may be required.</w:t>
      </w:r>
    </w:p>
    <w:p w14:paraId="195EE79B" w14:textId="64721150" w:rsidR="00F633C5" w:rsidRPr="00F633C5" w:rsidRDefault="00F633C5" w:rsidP="00F633C5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Pregnant detainees must be provided with a chair </w:t>
      </w:r>
      <w:r w:rsidR="00F068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where required </w:t>
      </w: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and permitted to sit:</w:t>
      </w:r>
    </w:p>
    <w:p w14:paraId="68E7DC27" w14:textId="77777777" w:rsidR="00F633C5" w:rsidRPr="00F633C5" w:rsidRDefault="00F633C5" w:rsidP="00F633C5">
      <w:pPr>
        <w:pStyle w:val="Main2"/>
        <w:numPr>
          <w:ilvl w:val="0"/>
          <w:numId w:val="47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during the upper half of the search</w:t>
      </w:r>
    </w:p>
    <w:p w14:paraId="21F5C2E0" w14:textId="77777777" w:rsidR="00F633C5" w:rsidRPr="00F633C5" w:rsidRDefault="00F633C5" w:rsidP="00F633C5">
      <w:pPr>
        <w:pStyle w:val="Main2"/>
        <w:numPr>
          <w:ilvl w:val="0"/>
          <w:numId w:val="47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for the search of their feet</w:t>
      </w:r>
    </w:p>
    <w:p w14:paraId="6C41C4C5" w14:textId="77777777" w:rsidR="00F633C5" w:rsidRPr="00F633C5" w:rsidRDefault="00F633C5" w:rsidP="00F633C5">
      <w:pPr>
        <w:pStyle w:val="Main2"/>
        <w:numPr>
          <w:ilvl w:val="0"/>
          <w:numId w:val="47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when removing clothes or footwear.</w:t>
      </w:r>
    </w:p>
    <w:p w14:paraId="322698A7" w14:textId="77777777" w:rsidR="00F633C5" w:rsidRPr="00F633C5" w:rsidRDefault="00F633C5" w:rsidP="00F633C5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chair and the area beneath the chair must be inspected following the search to ensure items haven’t been dropped during the search.</w:t>
      </w:r>
    </w:p>
    <w:p w14:paraId="25D5FA1C" w14:textId="1523549D" w:rsidR="005F2023" w:rsidRPr="005F2023" w:rsidRDefault="00387E9C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officers </w:t>
      </w:r>
      <w:r w:rsidR="003B53F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conduct searches in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 considerate manner that is respectful of the person</w:t>
      </w:r>
      <w:r w:rsidR="001514C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’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 disability</w:t>
      </w:r>
      <w:r w:rsidR="00F633C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other considerations where this has been disclosed to the searching officer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13505E4F" w14:textId="77777777" w:rsidR="0063798A" w:rsidRPr="005F2023" w:rsidRDefault="0063798A" w:rsidP="0063798A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14FDC6E" w14:textId="77777777" w:rsidR="005F2023" w:rsidRPr="0063798A" w:rsidRDefault="005F2023" w:rsidP="005F2023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98A">
        <w:rPr>
          <w:rFonts w:asciiTheme="minorHAnsi" w:eastAsia="MS Mincho" w:hAnsiTheme="minorHAnsi" w:cstheme="minorHAnsi"/>
          <w:sz w:val="22"/>
          <w:szCs w:val="22"/>
          <w:lang w:val="en-US"/>
        </w:rPr>
        <w:t>Wheelchair frisk search</w:t>
      </w:r>
    </w:p>
    <w:p w14:paraId="6DAFFADE" w14:textId="213FA607" w:rsidR="005F2023" w:rsidRPr="005F2023" w:rsidRDefault="00A630FA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Before undertaking </w:t>
      </w:r>
      <w:r w:rsidR="00A144B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 </w:t>
      </w:r>
      <w:r w:rsidR="008511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</w:t>
      </w:r>
      <w:r w:rsidR="00A144B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on</w:t>
      </w:r>
      <w:r w:rsidR="004967E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 person in a wheelchair</w:t>
      </w:r>
      <w:r w:rsidR="00A0238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="008511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3B53F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</w:t>
      </w:r>
      <w:r w:rsidR="008511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</w:t>
      </w:r>
      <w:r w:rsidR="00A144B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</w:t>
      </w:r>
      <w:r w:rsidR="008511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must a</w:t>
      </w:r>
      <w:r w:rsidR="008511DF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sk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person if they are carrying anything on their person that may be a prohibited </w:t>
      </w:r>
      <w:r w:rsidR="005A7A9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thing</w:t>
      </w:r>
      <w:r w:rsidR="00DD07C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and provide the opportunity to </w:t>
      </w:r>
      <w:r w:rsidR="00CE7EC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declare the item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2C58F6D0" w14:textId="31061D0E" w:rsidR="004967EF" w:rsidRPr="00BC18B9" w:rsidRDefault="003B53FB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</w:t>
      </w:r>
      <w:r w:rsidR="00CE7EC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</w:t>
      </w:r>
      <w:r w:rsidR="0018497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</w:t>
      </w:r>
      <w:r w:rsidR="00CE7EC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must</w:t>
      </w:r>
      <w:r w:rsidR="004967E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:</w:t>
      </w:r>
    </w:p>
    <w:p w14:paraId="473A05EA" w14:textId="5C119E12" w:rsidR="005F2023" w:rsidRPr="00BC18B9" w:rsidRDefault="001514C3" w:rsidP="00B3238B">
      <w:pPr>
        <w:pStyle w:val="Main2"/>
        <w:numPr>
          <w:ilvl w:val="0"/>
          <w:numId w:val="48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sk the</w:t>
      </w:r>
      <w:r w:rsidR="004967E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to remove any overcoat/blanket and search it</w:t>
      </w:r>
    </w:p>
    <w:p w14:paraId="0700827A" w14:textId="1486F5B9" w:rsidR="005F2023" w:rsidRPr="00BC18B9" w:rsidRDefault="001514C3" w:rsidP="00B3238B">
      <w:pPr>
        <w:pStyle w:val="Main2"/>
        <w:numPr>
          <w:ilvl w:val="0"/>
          <w:numId w:val="48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sk the</w:t>
      </w:r>
      <w:r w:rsidR="00A0238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</w:t>
      </w:r>
      <w:r w:rsidR="00A02382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to empty their pockets and remove any jewelry including a watch</w:t>
      </w:r>
    </w:p>
    <w:p w14:paraId="2164E7A1" w14:textId="7E5F678F" w:rsidR="005F2023" w:rsidRPr="00BC18B9" w:rsidRDefault="001514C3" w:rsidP="00B3238B">
      <w:pPr>
        <w:pStyle w:val="Main2"/>
        <w:numPr>
          <w:ilvl w:val="0"/>
          <w:numId w:val="48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earch the contents of pockets, jewelry and any other items including bags the</w:t>
      </w:r>
      <w:r w:rsidR="0028421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 is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carrying</w:t>
      </w:r>
      <w:r w:rsidR="0028421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then place them to one side</w:t>
      </w:r>
    </w:p>
    <w:p w14:paraId="7ED5A029" w14:textId="652A5140" w:rsidR="005F2023" w:rsidRPr="00BC18B9" w:rsidRDefault="001514C3" w:rsidP="00B3238B">
      <w:pPr>
        <w:pStyle w:val="Main2"/>
        <w:numPr>
          <w:ilvl w:val="0"/>
          <w:numId w:val="48"/>
        </w:numPr>
        <w:spacing w:line="276" w:lineRule="auto"/>
        <w:ind w:left="1474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sk the</w:t>
      </w:r>
      <w:r w:rsidR="000C19D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</w:t>
      </w:r>
      <w:r w:rsidR="000C19DE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to remove any headgear and pass it to </w:t>
      </w:r>
      <w:r w:rsidR="002E06D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officer</w:t>
      </w:r>
      <w:r w:rsidR="002E06D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for searching.</w:t>
      </w:r>
      <w:r w:rsidR="006516C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Searches of religious headwear must be conducted in accordance with the </w:t>
      </w:r>
      <w:r w:rsidR="006516C1" w:rsidRPr="001514C3">
        <w:rPr>
          <w:rFonts w:asciiTheme="minorHAnsi" w:eastAsia="MS Mincho" w:hAnsiTheme="minorHAnsi" w:cstheme="minorHAnsi"/>
          <w:b w:val="0"/>
          <w:bCs/>
          <w:i/>
          <w:iCs/>
          <w:sz w:val="22"/>
          <w:szCs w:val="22"/>
          <w:u w:val="single"/>
          <w:lang w:val="en-US"/>
        </w:rPr>
        <w:t>Religious Considerations for Searching Operating Procedure</w:t>
      </w:r>
      <w:r w:rsidR="006516C1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50A8F0BC" w14:textId="67310E68" w:rsidR="005F2023" w:rsidRPr="005F2023" w:rsidRDefault="0018497D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Officers must</w:t>
      </w:r>
      <w:r w:rsidR="001446B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l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ook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at the area around the</w:t>
      </w:r>
      <w:r w:rsidR="00977C7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for anything they may have dropped before and</w:t>
      </w:r>
      <w:r w:rsidR="00977C7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/or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during the search.</w:t>
      </w:r>
    </w:p>
    <w:p w14:paraId="05338158" w14:textId="54D3B595" w:rsidR="005F2023" w:rsidRPr="005F2023" w:rsidRDefault="00977C7F" w:rsidP="005F202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Officers must m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ove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wheelchair to one side to ensure it is not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concealing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anything the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person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may have dropped.</w:t>
      </w:r>
    </w:p>
    <w:p w14:paraId="05AB9BDA" w14:textId="21AF6FB3" w:rsidR="006516C1" w:rsidRPr="006516C1" w:rsidRDefault="00143639" w:rsidP="006516C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Officers must s</w:t>
      </w:r>
      <w:r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earch </w:t>
      </w:r>
      <w:r w:rsidR="005F2023" w:rsidRPr="005F202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wheelchair and any attachments.</w:t>
      </w:r>
    </w:p>
    <w:p w14:paraId="562731D4" w14:textId="77777777" w:rsidR="006516C1" w:rsidRDefault="006516C1" w:rsidP="006516C1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96AB846" w14:textId="625CE3D7" w:rsidR="00132798" w:rsidRDefault="00132798" w:rsidP="006516C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798">
        <w:rPr>
          <w:rFonts w:asciiTheme="minorHAnsi" w:hAnsiTheme="minorHAnsi" w:cstheme="minorHAnsi"/>
          <w:sz w:val="22"/>
          <w:szCs w:val="22"/>
        </w:rPr>
        <w:t>Medical exemptions</w:t>
      </w:r>
    </w:p>
    <w:p w14:paraId="06D10911" w14:textId="209DA9B1" w:rsidR="00A71CFC" w:rsidRPr="00A71CFC" w:rsidRDefault="00A71CFC" w:rsidP="0013279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1CFC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Where there are medical reasons that prevent a </w:t>
      </w:r>
      <w:r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person (excluding a detainee) from undergoing a particular form of search</w:t>
      </w:r>
      <w:r w:rsidRPr="00A71CFC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, the </w:t>
      </w:r>
      <w:r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person</w:t>
      </w:r>
      <w:r w:rsidRPr="00A71CFC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 must:</w:t>
      </w:r>
    </w:p>
    <w:p w14:paraId="232E4FB1" w14:textId="64607F19" w:rsidR="00A71CFC" w:rsidRPr="00A71CFC" w:rsidRDefault="00A71CFC" w:rsidP="00A71CFC">
      <w:pPr>
        <w:pStyle w:val="Main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1CFC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provide a valid medical certificate relevant to the exemption prior to, or on attending, the AMC</w:t>
      </w:r>
    </w:p>
    <w:p w14:paraId="59700F4B" w14:textId="3ADA1E85" w:rsidR="00A71CFC" w:rsidRPr="00A71CFC" w:rsidRDefault="00A71CFC" w:rsidP="00A71CFC">
      <w:pPr>
        <w:pStyle w:val="Main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1CFC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a valid medical certificate may be emailed in advance to </w:t>
      </w:r>
      <w:hyperlink r:id="rId13" w:history="1">
        <w:r w:rsidRPr="004F7DCC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lang w:val="en-AU"/>
          </w:rPr>
          <w:t>AMCExecSupport@act.gov.au</w:t>
        </w:r>
      </w:hyperlink>
      <w:r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.</w:t>
      </w:r>
    </w:p>
    <w:p w14:paraId="31485980" w14:textId="56D91970" w:rsidR="00FD543A" w:rsidRDefault="00FD543A" w:rsidP="00A71CF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The medical exemption must be approved by the General Manager or their delegate and stored in an accessible location for staff to refer to</w:t>
      </w:r>
      <w:r w:rsidR="00F633C5">
        <w:rPr>
          <w:rFonts w:asciiTheme="minorHAnsi" w:hAnsiTheme="minorHAnsi" w:cstheme="minorHAnsi"/>
          <w:b w:val="0"/>
          <w:bCs/>
          <w:sz w:val="22"/>
          <w:szCs w:val="22"/>
        </w:rPr>
        <w:t xml:space="preserve"> in the Gatehouse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F9D4DFC" w14:textId="1D2BB841" w:rsidR="00132798" w:rsidRPr="00974780" w:rsidRDefault="00132798" w:rsidP="00A71CF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person </w:t>
      </w:r>
      <w:r w:rsidR="00A71CFC">
        <w:rPr>
          <w:rFonts w:asciiTheme="minorHAnsi" w:hAnsiTheme="minorHAnsi" w:cstheme="minorHAnsi"/>
          <w:b w:val="0"/>
          <w:bCs/>
          <w:sz w:val="22"/>
          <w:szCs w:val="22"/>
        </w:rPr>
        <w:t>provides evidence that t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hey are unable to undergo a particular search for medical reasons</w:t>
      </w:r>
      <w:r w:rsidR="00974780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the searching officer must consider </w:t>
      </w:r>
      <w:r w:rsidR="003231FD">
        <w:rPr>
          <w:rFonts w:asciiTheme="minorHAnsi" w:hAnsiTheme="minorHAnsi" w:cstheme="minorHAnsi"/>
          <w:b w:val="0"/>
          <w:bCs/>
          <w:sz w:val="22"/>
          <w:szCs w:val="22"/>
        </w:rPr>
        <w:t xml:space="preserve">which alternative form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of search </w:t>
      </w:r>
      <w:r w:rsidR="003231FD">
        <w:rPr>
          <w:rFonts w:asciiTheme="minorHAnsi" w:hAnsiTheme="minorHAnsi" w:cstheme="minorHAnsi"/>
          <w:b w:val="0"/>
          <w:bCs/>
          <w:sz w:val="22"/>
          <w:szCs w:val="22"/>
        </w:rPr>
        <w:t>is appropriate in the circumstances</w:t>
      </w:r>
      <w:r w:rsidR="00B4051C">
        <w:rPr>
          <w:rFonts w:asciiTheme="minorHAnsi" w:hAnsiTheme="minorHAnsi" w:cstheme="minorHAnsi"/>
          <w:b w:val="0"/>
          <w:bCs/>
          <w:sz w:val="22"/>
          <w:szCs w:val="22"/>
        </w:rPr>
        <w:t xml:space="preserve"> (e.g.</w:t>
      </w:r>
      <w:r w:rsidR="001514C3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B4051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104CF">
        <w:rPr>
          <w:rFonts w:asciiTheme="minorHAnsi" w:hAnsiTheme="minorHAnsi" w:cstheme="minorHAnsi"/>
          <w:b w:val="0"/>
          <w:bCs/>
          <w:sz w:val="22"/>
          <w:szCs w:val="22"/>
        </w:rPr>
        <w:t xml:space="preserve">a wand search instead of going through a walk-through </w:t>
      </w:r>
      <w:r w:rsidR="0019089C">
        <w:rPr>
          <w:rFonts w:asciiTheme="minorHAnsi" w:hAnsiTheme="minorHAnsi" w:cstheme="minorHAnsi"/>
          <w:b w:val="0"/>
          <w:bCs/>
          <w:sz w:val="22"/>
          <w:szCs w:val="22"/>
        </w:rPr>
        <w:t>metal detector)</w:t>
      </w:r>
      <w:r w:rsidR="003231FD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ECD60C4" w14:textId="77777777" w:rsidR="00974780" w:rsidRPr="00974780" w:rsidRDefault="00974780" w:rsidP="0013279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During an alternative search, if an officer suspects that the person subject to the search is concealing a prohibited thing or seizeable item and:</w:t>
      </w:r>
    </w:p>
    <w:p w14:paraId="7D5D389A" w14:textId="77777777" w:rsidR="00974780" w:rsidRPr="00974780" w:rsidRDefault="00974780" w:rsidP="00974780">
      <w:pPr>
        <w:pStyle w:val="Main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the person refuses to show that the item in question is not a prohibited thing or seizeable item; and</w:t>
      </w:r>
    </w:p>
    <w:p w14:paraId="6E5722F4" w14:textId="1E262B11" w:rsidR="00974780" w:rsidRPr="00974780" w:rsidRDefault="00974780" w:rsidP="00974780">
      <w:pPr>
        <w:pStyle w:val="Main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another form of search is not able to be conducted </w:t>
      </w:r>
      <w:r w:rsidR="00192C5A">
        <w:rPr>
          <w:rFonts w:asciiTheme="minorHAnsi" w:hAnsiTheme="minorHAnsi" w:cstheme="minorHAnsi"/>
          <w:b w:val="0"/>
          <w:bCs/>
          <w:sz w:val="22"/>
          <w:szCs w:val="22"/>
        </w:rPr>
        <w:t>either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for medical reasons or another justifiable reason to confirm that the item is not prohibited or seizeable</w:t>
      </w:r>
      <w:r w:rsidR="009A5E12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14:paraId="5AB65F04" w14:textId="35302725" w:rsidR="00974780" w:rsidRDefault="00974780" w:rsidP="00974780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the</w:t>
      </w:r>
      <w:r w:rsidR="00550DA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60D52">
        <w:rPr>
          <w:rFonts w:asciiTheme="minorHAnsi" w:hAnsiTheme="minorHAnsi" w:cstheme="minorHAnsi"/>
          <w:b w:val="0"/>
          <w:bCs/>
          <w:sz w:val="22"/>
          <w:szCs w:val="22"/>
        </w:rPr>
        <w:t xml:space="preserve">searching </w:t>
      </w:r>
      <w:r w:rsidR="00550DAB">
        <w:rPr>
          <w:rFonts w:asciiTheme="minorHAnsi" w:hAnsiTheme="minorHAnsi" w:cstheme="minorHAnsi"/>
          <w:b w:val="0"/>
          <w:bCs/>
          <w:sz w:val="22"/>
          <w:szCs w:val="22"/>
        </w:rPr>
        <w:t>officer must notify the</w:t>
      </w:r>
      <w:r w:rsidR="0018017E">
        <w:rPr>
          <w:rFonts w:asciiTheme="minorHAnsi" w:hAnsiTheme="minorHAnsi" w:cstheme="minorHAnsi"/>
          <w:b w:val="0"/>
          <w:bCs/>
          <w:sz w:val="22"/>
          <w:szCs w:val="22"/>
        </w:rPr>
        <w:t xml:space="preserve"> Area Supervisor (CO2). The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6187B">
        <w:rPr>
          <w:rFonts w:asciiTheme="minorHAnsi" w:hAnsiTheme="minorHAnsi" w:cstheme="minorHAnsi"/>
          <w:b w:val="0"/>
          <w:bCs/>
          <w:sz w:val="22"/>
          <w:szCs w:val="22"/>
        </w:rPr>
        <w:t>Area Manager (CO3</w:t>
      </w:r>
      <w:r w:rsidR="00550DAB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E723FF">
        <w:rPr>
          <w:rFonts w:asciiTheme="minorHAnsi" w:hAnsiTheme="minorHAnsi" w:cstheme="minorHAnsi"/>
          <w:b w:val="0"/>
          <w:bCs/>
          <w:sz w:val="22"/>
          <w:szCs w:val="22"/>
        </w:rPr>
        <w:t xml:space="preserve"> or Officer-in-Charge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will decide on a case-by-case basis the most appropriate course of action in the given circumstances (for instance, </w:t>
      </w:r>
      <w:r w:rsidR="00FA458D">
        <w:rPr>
          <w:rFonts w:asciiTheme="minorHAnsi" w:hAnsiTheme="minorHAnsi" w:cstheme="minorHAnsi"/>
          <w:b w:val="0"/>
          <w:bCs/>
          <w:sz w:val="22"/>
          <w:szCs w:val="22"/>
        </w:rPr>
        <w:t>refusing entry to the correctional centre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).</w:t>
      </w:r>
    </w:p>
    <w:p w14:paraId="101F5CB7" w14:textId="32650D7C" w:rsidR="003B53FB" w:rsidRPr="001A0EBD" w:rsidRDefault="003B53FB" w:rsidP="003B53F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The searching officer must submit an incident report 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>in accordance with the</w:t>
      </w:r>
      <w:r w:rsidRPr="003B53F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 Incident Reporting, Notifications and Debriefs Procedure</w:t>
      </w:r>
      <w:r w:rsidRPr="00EE201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.</w:t>
      </w:r>
    </w:p>
    <w:p w14:paraId="70ACE1B3" w14:textId="77777777" w:rsidR="00D97791" w:rsidRDefault="00D97791" w:rsidP="00974780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9380E46" w14:textId="1385A72A" w:rsidR="006516C1" w:rsidRPr="006516C1" w:rsidRDefault="006516C1" w:rsidP="006516C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Prohibited Things or Seizeable Items</w:t>
      </w:r>
    </w:p>
    <w:p w14:paraId="06B69DE8" w14:textId="6CDB9121" w:rsidR="00556BC8" w:rsidRPr="000D52D8" w:rsidRDefault="00556BC8" w:rsidP="007B6B00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52D8">
        <w:rPr>
          <w:rFonts w:asciiTheme="minorHAnsi" w:hAnsiTheme="minorHAnsi" w:cstheme="minorHAnsi"/>
          <w:b w:val="0"/>
          <w:bCs/>
          <w:sz w:val="22"/>
          <w:szCs w:val="22"/>
        </w:rPr>
        <w:t xml:space="preserve">Prohibited things located under this procedure will be managed in accordance with the </w:t>
      </w:r>
      <w:r w:rsidRPr="000D52D8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Searching Policy</w:t>
      </w:r>
      <w:r w:rsidR="005839A0">
        <w:rPr>
          <w:rFonts w:asciiTheme="minorHAnsi" w:hAnsiTheme="minorHAnsi" w:cstheme="minorHAnsi"/>
          <w:b w:val="0"/>
          <w:bCs/>
          <w:sz w:val="22"/>
          <w:szCs w:val="22"/>
        </w:rPr>
        <w:t xml:space="preserve"> and where relevant the </w:t>
      </w:r>
      <w:r w:rsidR="00650BFA" w:rsidRPr="00BC18B9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Evidence </w:t>
      </w:r>
      <w:r w:rsidR="00894E1D" w:rsidRPr="00BC18B9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Management Operating Procedure</w:t>
      </w:r>
      <w:r w:rsidR="00D6140C">
        <w:rPr>
          <w:rFonts w:asciiTheme="minorHAnsi" w:hAnsiTheme="minorHAnsi" w:cstheme="minorHAnsi"/>
          <w:b w:val="0"/>
          <w:bCs/>
          <w:sz w:val="22"/>
          <w:szCs w:val="22"/>
        </w:rPr>
        <w:t xml:space="preserve"> and </w:t>
      </w:r>
      <w:r w:rsidR="00D6140C" w:rsidRPr="00BC18B9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Visits Policy</w:t>
      </w:r>
      <w:r w:rsidR="00D6140C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E2E71FB" w14:textId="062CFB70" w:rsidR="006516C1" w:rsidRPr="006516C1" w:rsidRDefault="006516C1" w:rsidP="00125A4E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0197C14" w14:textId="77777777" w:rsidR="006516C1" w:rsidRPr="006516C1" w:rsidRDefault="006516C1" w:rsidP="006516C1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2135745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7B07D74B" w14:textId="3F87FC7F" w:rsidR="00E4484A" w:rsidRPr="00A8443D" w:rsidRDefault="00A8443D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A8443D">
        <w:rPr>
          <w:rFonts w:cs="Arial"/>
          <w:bCs/>
        </w:rPr>
        <w:t>Searching Policy</w:t>
      </w:r>
    </w:p>
    <w:p w14:paraId="5EEE6D4D" w14:textId="5C24EA7A" w:rsidR="00A8443D" w:rsidRDefault="00A8443D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A8443D">
        <w:rPr>
          <w:rFonts w:cs="Arial"/>
          <w:bCs/>
        </w:rPr>
        <w:t xml:space="preserve">Searching </w:t>
      </w:r>
      <w:r w:rsidR="006516C1">
        <w:rPr>
          <w:rFonts w:cs="Arial"/>
          <w:bCs/>
        </w:rPr>
        <w:t>Program</w:t>
      </w:r>
    </w:p>
    <w:p w14:paraId="322E4BB8" w14:textId="6426ABBD" w:rsidR="00125A4E" w:rsidRPr="00BC18B9" w:rsidRDefault="00125A4E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125A4E">
        <w:rPr>
          <w:rFonts w:eastAsia="MS Mincho" w:cstheme="minorHAnsi"/>
          <w:lang w:val="en-US"/>
        </w:rPr>
        <w:t>Religious Considerations for Searching Operating Procedure</w:t>
      </w:r>
    </w:p>
    <w:p w14:paraId="3A975E02" w14:textId="7B499D56" w:rsidR="000A3362" w:rsidRDefault="000A3362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0A3362">
        <w:rPr>
          <w:rFonts w:cs="Arial"/>
        </w:rPr>
        <w:t>Evidence Management Operating Procedure</w:t>
      </w:r>
    </w:p>
    <w:p w14:paraId="5225E8EC" w14:textId="5F7CC208" w:rsidR="00DD0BB3" w:rsidRDefault="00DD0BB3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DD0BB3">
        <w:rPr>
          <w:rFonts w:cs="Arial"/>
        </w:rPr>
        <w:t>Visits Policy</w:t>
      </w:r>
    </w:p>
    <w:p w14:paraId="502CA7F0" w14:textId="3907653C" w:rsidR="00853F8A" w:rsidRPr="00125A4E" w:rsidRDefault="00853F8A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853F8A">
        <w:rPr>
          <w:rFonts w:cs="Arial"/>
        </w:rPr>
        <w:t>Incident Reporting, Notifications and Debriefs Procedure</w:t>
      </w:r>
    </w:p>
    <w:p w14:paraId="76DB414B" w14:textId="6E65CCEC" w:rsidR="00B84A5B" w:rsidRPr="009F5E21" w:rsidRDefault="00B84A5B" w:rsidP="00BC18B9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2737657" w14:textId="5CAC3874" w:rsidR="001514C3" w:rsidRDefault="001514C3" w:rsidP="001514C3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5FEA4B0" w14:textId="77777777" w:rsidR="001514C3" w:rsidRPr="009F5E21" w:rsidRDefault="001514C3" w:rsidP="00BC18B9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464CD8F" w14:textId="77777777" w:rsidR="00B11C0C" w:rsidRPr="009F5E21" w:rsidRDefault="00B11C0C" w:rsidP="00BC18B9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A2ED5C5" w14:textId="5693CB55" w:rsidR="00B84A5B" w:rsidRDefault="00471874" w:rsidP="00E4484A">
      <w:pPr>
        <w:pStyle w:val="NoSpacing"/>
        <w:spacing w:line="276" w:lineRule="auto"/>
      </w:pPr>
      <w:r>
        <w:t>Corinne Justason</w:t>
      </w:r>
    </w:p>
    <w:p w14:paraId="10FA8BAF" w14:textId="77777777" w:rsidR="00471874" w:rsidRDefault="00471874" w:rsidP="00E4484A">
      <w:pPr>
        <w:pStyle w:val="NoSpacing"/>
        <w:spacing w:line="276" w:lineRule="auto"/>
      </w:pPr>
      <w:r>
        <w:t>Deputy Commissioner Custodial Operations</w:t>
      </w:r>
    </w:p>
    <w:p w14:paraId="31CBB2D8" w14:textId="0C7A3ECD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6E98DEDC" w14:textId="4F379FE7" w:rsidR="00925989" w:rsidRDefault="00945F98" w:rsidP="00E4484A">
      <w:pPr>
        <w:pStyle w:val="NoSpacing"/>
        <w:spacing w:line="276" w:lineRule="auto"/>
      </w:pPr>
      <w:r>
        <w:t xml:space="preserve">6 </w:t>
      </w:r>
      <w:r w:rsidR="009F5E21">
        <w:t xml:space="preserve">January </w:t>
      </w:r>
      <w:r w:rsidR="00974780">
        <w:t>202</w:t>
      </w:r>
      <w:r w:rsidR="009F5E21">
        <w:t>2</w:t>
      </w:r>
    </w:p>
    <w:p w14:paraId="79AA8851" w14:textId="77777777" w:rsidR="00B84A5B" w:rsidRDefault="00B84A5B" w:rsidP="00B84A5B">
      <w:pPr>
        <w:rPr>
          <w:rFonts w:cs="Arial"/>
        </w:rPr>
      </w:pPr>
    </w:p>
    <w:p w14:paraId="1E3C88EF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53AFE056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5DF5E5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AF0718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214FB85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3E1B1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A0E3CA" w14:textId="2D8B7764" w:rsidR="005E011D" w:rsidRPr="003838BB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838BB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7E2532" w:rsidRPr="003838BB">
              <w:rPr>
                <w:rFonts w:ascii="Calibri" w:hAnsi="Calibri"/>
                <w:i/>
                <w:iCs/>
                <w:sz w:val="20"/>
                <w:szCs w:val="20"/>
              </w:rPr>
              <w:t>Searche</w:t>
            </w:r>
            <w:r w:rsidR="00D148F3">
              <w:rPr>
                <w:rFonts w:ascii="Calibri" w:hAnsi="Calibri"/>
                <w:i/>
                <w:iCs/>
                <w:sz w:val="20"/>
                <w:szCs w:val="20"/>
              </w:rPr>
              <w:t>s Requiring Reasonable Adjustments</w:t>
            </w:r>
            <w:r w:rsidRPr="003838BB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3838B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3838BB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3838BB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3838B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3838BB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471874" w:rsidRPr="003838BB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9F5E21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604212C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5EBF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EC889E" w14:textId="7088FD4B" w:rsidR="005E011D" w:rsidRPr="00471874" w:rsidRDefault="00471874" w:rsidP="0047187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71874">
              <w:rPr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F3879C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D64B9B" w14:textId="77777777" w:rsidR="005E011D" w:rsidRPr="00586F66" w:rsidRDefault="005E011D" w:rsidP="004A2F17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1F5CCF" w14:textId="77777777" w:rsidR="005E011D" w:rsidRPr="00586F66" w:rsidRDefault="00F85168" w:rsidP="004A2F17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66E6B3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A53FAE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8D5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64771F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13DE51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44B241" w14:textId="1DDA3B3C" w:rsidR="00CF03FA" w:rsidRPr="00586F66" w:rsidRDefault="00202B3A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Head </w:t>
            </w:r>
            <w:r w:rsidR="00A8443D">
              <w:rPr>
                <w:rFonts w:ascii="Calibri" w:hAnsi="Calibri"/>
                <w:sz w:val="20"/>
                <w:szCs w:val="20"/>
              </w:rPr>
              <w:t>of Security</w:t>
            </w:r>
          </w:p>
        </w:tc>
      </w:tr>
      <w:tr w:rsidR="007B3718" w:rsidRPr="00586F66" w14:paraId="0782873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038B44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029E60" w14:textId="1BBE59D5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47187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58A279E" w14:textId="77777777" w:rsidR="005E011D" w:rsidRPr="00BC18B9" w:rsidRDefault="005E011D" w:rsidP="005E01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1806"/>
        <w:gridCol w:w="3345"/>
        <w:gridCol w:w="1568"/>
      </w:tblGrid>
      <w:tr w:rsidR="00B11C0C" w:rsidRPr="00B11C0C" w14:paraId="014766C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01E9BB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4D27900A" w14:textId="77777777" w:rsidTr="00457C0A">
        <w:trPr>
          <w:trHeight w:val="395"/>
        </w:trPr>
        <w:tc>
          <w:tcPr>
            <w:tcW w:w="0" w:type="auto"/>
          </w:tcPr>
          <w:p w14:paraId="2B3E06A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59311C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61D2EE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589E54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934E96" w:rsidRPr="00B11C0C" w14:paraId="6FB7BA56" w14:textId="77777777" w:rsidTr="00457C0A">
        <w:trPr>
          <w:trHeight w:val="395"/>
        </w:trPr>
        <w:tc>
          <w:tcPr>
            <w:tcW w:w="0" w:type="auto"/>
          </w:tcPr>
          <w:p w14:paraId="250FF873" w14:textId="7383B297" w:rsidR="00934E96" w:rsidRPr="00B11C0C" w:rsidRDefault="00934E96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70BB25D2" w14:textId="189495B4" w:rsidR="00934E96" w:rsidRDefault="00D148F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</w:t>
            </w:r>
            <w:r w:rsidR="00934E96">
              <w:rPr>
                <w:rFonts w:eastAsia="Calibri" w:cs="Times New Roman"/>
                <w:sz w:val="20"/>
                <w:szCs w:val="24"/>
              </w:rPr>
              <w:t>-2</w:t>
            </w:r>
            <w:r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56A6E585" w14:textId="1668A0C4" w:rsidR="00934E96" w:rsidRPr="00B11C0C" w:rsidRDefault="00934E96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first issued</w:t>
            </w:r>
          </w:p>
        </w:tc>
        <w:tc>
          <w:tcPr>
            <w:tcW w:w="0" w:type="auto"/>
          </w:tcPr>
          <w:p w14:paraId="5BBFFF73" w14:textId="5ACE70EF" w:rsidR="00934E96" w:rsidRDefault="00934E96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B11C0C" w:rsidRPr="00B11C0C" w14:paraId="6DD97D05" w14:textId="77777777" w:rsidTr="00457C0A">
        <w:trPr>
          <w:trHeight w:val="395"/>
        </w:trPr>
        <w:tc>
          <w:tcPr>
            <w:tcW w:w="0" w:type="auto"/>
          </w:tcPr>
          <w:p w14:paraId="01CDB47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B91E59E" w14:textId="6CFC4216" w:rsidR="00B11C0C" w:rsidRPr="00B11C0C" w:rsidRDefault="00A8443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October-19</w:t>
            </w:r>
          </w:p>
        </w:tc>
        <w:tc>
          <w:tcPr>
            <w:tcW w:w="0" w:type="auto"/>
          </w:tcPr>
          <w:p w14:paraId="3722BFCF" w14:textId="0AA0D205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934E96"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4B2537C6" w14:textId="218B9421" w:rsidR="00B11C0C" w:rsidRPr="00B11C0C" w:rsidRDefault="00A8443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L Kazak</w:t>
            </w:r>
          </w:p>
        </w:tc>
      </w:tr>
    </w:tbl>
    <w:p w14:paraId="0BE66A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BF2437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34C2" w14:textId="77777777" w:rsidR="008D5E7A" w:rsidRDefault="008D5E7A" w:rsidP="00152D5E">
      <w:pPr>
        <w:spacing w:after="0" w:line="240" w:lineRule="auto"/>
      </w:pPr>
      <w:r>
        <w:separator/>
      </w:r>
    </w:p>
  </w:endnote>
  <w:endnote w:type="continuationSeparator" w:id="0">
    <w:p w14:paraId="0F82AE7C" w14:textId="77777777" w:rsidR="008D5E7A" w:rsidRDefault="008D5E7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5EC1" w14:textId="77777777" w:rsidR="004A2F17" w:rsidRDefault="004A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C343AF5" w14:textId="358F582C" w:rsidR="00FB2C7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57365D02" w14:textId="3210A09F" w:rsidR="00BF2437" w:rsidRPr="00C33362" w:rsidRDefault="00C33362" w:rsidP="00C3336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C3336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A7E4" w14:textId="621DF36E" w:rsidR="00BF2437" w:rsidRPr="00C33362" w:rsidRDefault="00C33362" w:rsidP="00C33362">
    <w:pPr>
      <w:pStyle w:val="Footer"/>
      <w:jc w:val="center"/>
      <w:rPr>
        <w:rFonts w:ascii="Arial" w:hAnsi="Arial" w:cs="Arial"/>
        <w:sz w:val="14"/>
        <w:szCs w:val="14"/>
      </w:rPr>
    </w:pPr>
    <w:r w:rsidRPr="00C3336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AF5E" w14:textId="4C6BC3A6" w:rsidR="00BF2437" w:rsidRPr="00C33362" w:rsidRDefault="00C33362" w:rsidP="00C33362">
    <w:pPr>
      <w:pStyle w:val="Footer"/>
      <w:jc w:val="center"/>
      <w:rPr>
        <w:rFonts w:ascii="Arial" w:hAnsi="Arial" w:cs="Arial"/>
        <w:sz w:val="14"/>
        <w:szCs w:val="14"/>
      </w:rPr>
    </w:pPr>
    <w:r w:rsidRPr="00C3336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67F7" w14:textId="77777777" w:rsidR="008D5E7A" w:rsidRDefault="008D5E7A" w:rsidP="00152D5E">
      <w:pPr>
        <w:spacing w:after="0" w:line="240" w:lineRule="auto"/>
      </w:pPr>
      <w:r>
        <w:separator/>
      </w:r>
    </w:p>
  </w:footnote>
  <w:footnote w:type="continuationSeparator" w:id="0">
    <w:p w14:paraId="19C2849D" w14:textId="77777777" w:rsidR="008D5E7A" w:rsidRDefault="008D5E7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15E" w14:textId="77777777" w:rsidR="004A2F17" w:rsidRDefault="004A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3840" w14:textId="77777777" w:rsidR="004A2F17" w:rsidRDefault="004A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EFB" w14:textId="77777777" w:rsidR="004A2F17" w:rsidRDefault="004A2F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728" w14:textId="77777777" w:rsidR="00BF2437" w:rsidRDefault="00BF243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54348E56" wp14:editId="7F455E34">
          <wp:extent cx="2190750" cy="676275"/>
          <wp:effectExtent l="19050" t="0" r="0" b="0"/>
          <wp:docPr id="4" name="Picture 4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92038EC" w14:textId="77777777" w:rsidR="00BF2437" w:rsidRDefault="00BF2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6F04370"/>
    <w:multiLevelType w:val="multilevel"/>
    <w:tmpl w:val="E5300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B7B0B"/>
    <w:multiLevelType w:val="hybridMultilevel"/>
    <w:tmpl w:val="42C4E87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69FAF8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334C"/>
    <w:multiLevelType w:val="hybridMultilevel"/>
    <w:tmpl w:val="3432B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1977219E"/>
    <w:multiLevelType w:val="hybridMultilevel"/>
    <w:tmpl w:val="E0829320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9B602D8"/>
    <w:multiLevelType w:val="hybridMultilevel"/>
    <w:tmpl w:val="94760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963039"/>
    <w:multiLevelType w:val="hybridMultilevel"/>
    <w:tmpl w:val="7B8C17E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536552"/>
    <w:multiLevelType w:val="hybridMultilevel"/>
    <w:tmpl w:val="49FA5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A147F"/>
    <w:multiLevelType w:val="hybridMultilevel"/>
    <w:tmpl w:val="DFFEB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719C4"/>
    <w:multiLevelType w:val="hybridMultilevel"/>
    <w:tmpl w:val="74181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ABA"/>
    <w:multiLevelType w:val="hybridMultilevel"/>
    <w:tmpl w:val="AB0427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184BC7"/>
    <w:multiLevelType w:val="hybridMultilevel"/>
    <w:tmpl w:val="EB8CE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85245"/>
    <w:multiLevelType w:val="hybridMultilevel"/>
    <w:tmpl w:val="C6B49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B92B81"/>
    <w:multiLevelType w:val="hybridMultilevel"/>
    <w:tmpl w:val="7B8C17E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7E6"/>
    <w:multiLevelType w:val="hybridMultilevel"/>
    <w:tmpl w:val="48CC4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0767E"/>
    <w:multiLevelType w:val="hybridMultilevel"/>
    <w:tmpl w:val="AB0427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3926986"/>
    <w:multiLevelType w:val="hybridMultilevel"/>
    <w:tmpl w:val="2496E3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0549C4"/>
    <w:multiLevelType w:val="hybridMultilevel"/>
    <w:tmpl w:val="7B8C17E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8334FD"/>
    <w:multiLevelType w:val="hybridMultilevel"/>
    <w:tmpl w:val="305C8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40"/>
  </w:num>
  <w:num w:numId="4">
    <w:abstractNumId w:val="19"/>
  </w:num>
  <w:num w:numId="5">
    <w:abstractNumId w:val="23"/>
  </w:num>
  <w:num w:numId="6">
    <w:abstractNumId w:val="32"/>
  </w:num>
  <w:num w:numId="7">
    <w:abstractNumId w:val="43"/>
  </w:num>
  <w:num w:numId="8">
    <w:abstractNumId w:val="24"/>
  </w:num>
  <w:num w:numId="9">
    <w:abstractNumId w:val="36"/>
  </w:num>
  <w:num w:numId="10">
    <w:abstractNumId w:val="6"/>
  </w:num>
  <w:num w:numId="11">
    <w:abstractNumId w:val="41"/>
  </w:num>
  <w:num w:numId="12">
    <w:abstractNumId w:val="47"/>
  </w:num>
  <w:num w:numId="13">
    <w:abstractNumId w:val="39"/>
  </w:num>
  <w:num w:numId="14">
    <w:abstractNumId w:val="46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8"/>
  </w:num>
  <w:num w:numId="20">
    <w:abstractNumId w:val="5"/>
  </w:num>
  <w:num w:numId="21">
    <w:abstractNumId w:val="29"/>
  </w:num>
  <w:num w:numId="22">
    <w:abstractNumId w:val="11"/>
  </w:num>
  <w:num w:numId="23">
    <w:abstractNumId w:val="7"/>
  </w:num>
  <w:num w:numId="24">
    <w:abstractNumId w:val="38"/>
  </w:num>
  <w:num w:numId="25">
    <w:abstractNumId w:val="33"/>
  </w:num>
  <w:num w:numId="26">
    <w:abstractNumId w:val="25"/>
  </w:num>
  <w:num w:numId="27">
    <w:abstractNumId w:val="17"/>
  </w:num>
  <w:num w:numId="28">
    <w:abstractNumId w:val="15"/>
  </w:num>
  <w:num w:numId="29">
    <w:abstractNumId w:val="1"/>
  </w:num>
  <w:num w:numId="30">
    <w:abstractNumId w:val="12"/>
  </w:num>
  <w:num w:numId="31">
    <w:abstractNumId w:val="26"/>
  </w:num>
  <w:num w:numId="32">
    <w:abstractNumId w:val="3"/>
  </w:num>
  <w:num w:numId="33">
    <w:abstractNumId w:val="13"/>
  </w:num>
  <w:num w:numId="34">
    <w:abstractNumId w:val="9"/>
  </w:num>
  <w:num w:numId="35">
    <w:abstractNumId w:val="22"/>
  </w:num>
  <w:num w:numId="36">
    <w:abstractNumId w:val="42"/>
  </w:num>
  <w:num w:numId="37">
    <w:abstractNumId w:val="31"/>
  </w:num>
  <w:num w:numId="38">
    <w:abstractNumId w:val="45"/>
  </w:num>
  <w:num w:numId="39">
    <w:abstractNumId w:val="30"/>
  </w:num>
  <w:num w:numId="40">
    <w:abstractNumId w:val="21"/>
  </w:num>
  <w:num w:numId="41">
    <w:abstractNumId w:val="14"/>
  </w:num>
  <w:num w:numId="42">
    <w:abstractNumId w:val="35"/>
  </w:num>
  <w:num w:numId="43">
    <w:abstractNumId w:val="28"/>
  </w:num>
  <w:num w:numId="44">
    <w:abstractNumId w:val="37"/>
  </w:num>
  <w:num w:numId="45">
    <w:abstractNumId w:val="2"/>
  </w:num>
  <w:num w:numId="46">
    <w:abstractNumId w:val="34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F1"/>
    <w:rsid w:val="00002F35"/>
    <w:rsid w:val="000100D2"/>
    <w:rsid w:val="00012A69"/>
    <w:rsid w:val="00016C20"/>
    <w:rsid w:val="00022017"/>
    <w:rsid w:val="00033A45"/>
    <w:rsid w:val="00044FED"/>
    <w:rsid w:val="000458C7"/>
    <w:rsid w:val="00066024"/>
    <w:rsid w:val="00081A15"/>
    <w:rsid w:val="000A3362"/>
    <w:rsid w:val="000B019E"/>
    <w:rsid w:val="000B7E7B"/>
    <w:rsid w:val="000C15FB"/>
    <w:rsid w:val="000C19DE"/>
    <w:rsid w:val="000E6F3C"/>
    <w:rsid w:val="0011071F"/>
    <w:rsid w:val="001127C2"/>
    <w:rsid w:val="001259D7"/>
    <w:rsid w:val="00125A4E"/>
    <w:rsid w:val="00132798"/>
    <w:rsid w:val="00141E42"/>
    <w:rsid w:val="00143639"/>
    <w:rsid w:val="001446B9"/>
    <w:rsid w:val="001504B0"/>
    <w:rsid w:val="001514C3"/>
    <w:rsid w:val="00152066"/>
    <w:rsid w:val="00152D5E"/>
    <w:rsid w:val="00162B50"/>
    <w:rsid w:val="0018017E"/>
    <w:rsid w:val="0018497D"/>
    <w:rsid w:val="00187672"/>
    <w:rsid w:val="0019089C"/>
    <w:rsid w:val="00192C5A"/>
    <w:rsid w:val="001A677B"/>
    <w:rsid w:val="001B06F8"/>
    <w:rsid w:val="001B3105"/>
    <w:rsid w:val="001C0785"/>
    <w:rsid w:val="001C0C86"/>
    <w:rsid w:val="001C359D"/>
    <w:rsid w:val="001D4212"/>
    <w:rsid w:val="001F4D25"/>
    <w:rsid w:val="001F65BB"/>
    <w:rsid w:val="00202B3A"/>
    <w:rsid w:val="0020683F"/>
    <w:rsid w:val="0021108E"/>
    <w:rsid w:val="00215BD6"/>
    <w:rsid w:val="00221FA3"/>
    <w:rsid w:val="00223793"/>
    <w:rsid w:val="00252BAC"/>
    <w:rsid w:val="00252E13"/>
    <w:rsid w:val="00266335"/>
    <w:rsid w:val="00272CE7"/>
    <w:rsid w:val="002741BE"/>
    <w:rsid w:val="002838F7"/>
    <w:rsid w:val="00283EE0"/>
    <w:rsid w:val="0028421B"/>
    <w:rsid w:val="00287266"/>
    <w:rsid w:val="0029627A"/>
    <w:rsid w:val="002A2DE1"/>
    <w:rsid w:val="002B17F4"/>
    <w:rsid w:val="002C7846"/>
    <w:rsid w:val="002E06D3"/>
    <w:rsid w:val="00302B09"/>
    <w:rsid w:val="00314A6D"/>
    <w:rsid w:val="003231FD"/>
    <w:rsid w:val="0033776B"/>
    <w:rsid w:val="00340868"/>
    <w:rsid w:val="003449F8"/>
    <w:rsid w:val="00353E50"/>
    <w:rsid w:val="003838BB"/>
    <w:rsid w:val="00387E9C"/>
    <w:rsid w:val="00397232"/>
    <w:rsid w:val="003A1C72"/>
    <w:rsid w:val="003A2E5D"/>
    <w:rsid w:val="003A3CF7"/>
    <w:rsid w:val="003A7DC3"/>
    <w:rsid w:val="003B0384"/>
    <w:rsid w:val="003B53FB"/>
    <w:rsid w:val="003C0580"/>
    <w:rsid w:val="003C47E5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71874"/>
    <w:rsid w:val="0048414F"/>
    <w:rsid w:val="004967EF"/>
    <w:rsid w:val="004A0C1C"/>
    <w:rsid w:val="004A2F17"/>
    <w:rsid w:val="004B121B"/>
    <w:rsid w:val="004D1932"/>
    <w:rsid w:val="004E2B2A"/>
    <w:rsid w:val="00500EAE"/>
    <w:rsid w:val="00510017"/>
    <w:rsid w:val="005133FE"/>
    <w:rsid w:val="005167F7"/>
    <w:rsid w:val="00516FDD"/>
    <w:rsid w:val="00532730"/>
    <w:rsid w:val="005341AD"/>
    <w:rsid w:val="005359F3"/>
    <w:rsid w:val="00550DAB"/>
    <w:rsid w:val="005525E6"/>
    <w:rsid w:val="00556BC8"/>
    <w:rsid w:val="00563752"/>
    <w:rsid w:val="00574E76"/>
    <w:rsid w:val="00582DD2"/>
    <w:rsid w:val="005839A0"/>
    <w:rsid w:val="00586F66"/>
    <w:rsid w:val="005A4376"/>
    <w:rsid w:val="005A7586"/>
    <w:rsid w:val="005A794E"/>
    <w:rsid w:val="005A7A9B"/>
    <w:rsid w:val="005B7E01"/>
    <w:rsid w:val="005C5F46"/>
    <w:rsid w:val="005D2BB7"/>
    <w:rsid w:val="005E011D"/>
    <w:rsid w:val="005F2023"/>
    <w:rsid w:val="005F2D73"/>
    <w:rsid w:val="005F70A8"/>
    <w:rsid w:val="00610DF9"/>
    <w:rsid w:val="00621E27"/>
    <w:rsid w:val="00622D3C"/>
    <w:rsid w:val="006255B7"/>
    <w:rsid w:val="00634849"/>
    <w:rsid w:val="0063798A"/>
    <w:rsid w:val="00641860"/>
    <w:rsid w:val="00650BFA"/>
    <w:rsid w:val="006516C1"/>
    <w:rsid w:val="00665D32"/>
    <w:rsid w:val="0067666A"/>
    <w:rsid w:val="006766B4"/>
    <w:rsid w:val="00685F05"/>
    <w:rsid w:val="006902FB"/>
    <w:rsid w:val="006978F1"/>
    <w:rsid w:val="006A5E20"/>
    <w:rsid w:val="006B5ED4"/>
    <w:rsid w:val="006C4E49"/>
    <w:rsid w:val="006F301F"/>
    <w:rsid w:val="00703DF1"/>
    <w:rsid w:val="00707A71"/>
    <w:rsid w:val="007104EA"/>
    <w:rsid w:val="007122C1"/>
    <w:rsid w:val="0072411B"/>
    <w:rsid w:val="00733E15"/>
    <w:rsid w:val="00741C56"/>
    <w:rsid w:val="00744638"/>
    <w:rsid w:val="00747708"/>
    <w:rsid w:val="00756744"/>
    <w:rsid w:val="00765618"/>
    <w:rsid w:val="007745D0"/>
    <w:rsid w:val="00780A2D"/>
    <w:rsid w:val="00782A7B"/>
    <w:rsid w:val="00791154"/>
    <w:rsid w:val="00792CF6"/>
    <w:rsid w:val="007A2715"/>
    <w:rsid w:val="007B3718"/>
    <w:rsid w:val="007B6B00"/>
    <w:rsid w:val="007C1773"/>
    <w:rsid w:val="007C4FCB"/>
    <w:rsid w:val="007C70FD"/>
    <w:rsid w:val="007D1D59"/>
    <w:rsid w:val="007D6F72"/>
    <w:rsid w:val="007E2532"/>
    <w:rsid w:val="00820C1B"/>
    <w:rsid w:val="00822096"/>
    <w:rsid w:val="00840B46"/>
    <w:rsid w:val="008511DF"/>
    <w:rsid w:val="00853BE2"/>
    <w:rsid w:val="00853F8A"/>
    <w:rsid w:val="00861B7E"/>
    <w:rsid w:val="00865278"/>
    <w:rsid w:val="00881556"/>
    <w:rsid w:val="00887315"/>
    <w:rsid w:val="00894E1D"/>
    <w:rsid w:val="00895F9F"/>
    <w:rsid w:val="008B3ABC"/>
    <w:rsid w:val="008C07D5"/>
    <w:rsid w:val="008C1D7D"/>
    <w:rsid w:val="008D5E7A"/>
    <w:rsid w:val="008E26C3"/>
    <w:rsid w:val="008E2F14"/>
    <w:rsid w:val="008E36AD"/>
    <w:rsid w:val="00914AEF"/>
    <w:rsid w:val="009172DA"/>
    <w:rsid w:val="009227D3"/>
    <w:rsid w:val="00925989"/>
    <w:rsid w:val="00934E96"/>
    <w:rsid w:val="00945F98"/>
    <w:rsid w:val="00947E61"/>
    <w:rsid w:val="00951D8F"/>
    <w:rsid w:val="0095393D"/>
    <w:rsid w:val="009545D4"/>
    <w:rsid w:val="00955AC8"/>
    <w:rsid w:val="00961B47"/>
    <w:rsid w:val="00970387"/>
    <w:rsid w:val="00974780"/>
    <w:rsid w:val="00974E7D"/>
    <w:rsid w:val="00977C7F"/>
    <w:rsid w:val="009839B3"/>
    <w:rsid w:val="009A1FBC"/>
    <w:rsid w:val="009A4819"/>
    <w:rsid w:val="009A5E12"/>
    <w:rsid w:val="009C4642"/>
    <w:rsid w:val="009D2BFE"/>
    <w:rsid w:val="009E3C94"/>
    <w:rsid w:val="009F5E21"/>
    <w:rsid w:val="00A02382"/>
    <w:rsid w:val="00A07081"/>
    <w:rsid w:val="00A144B2"/>
    <w:rsid w:val="00A42D3D"/>
    <w:rsid w:val="00A630FA"/>
    <w:rsid w:val="00A70E0D"/>
    <w:rsid w:val="00A71CFC"/>
    <w:rsid w:val="00A8443D"/>
    <w:rsid w:val="00A93ED3"/>
    <w:rsid w:val="00A95B39"/>
    <w:rsid w:val="00AB0381"/>
    <w:rsid w:val="00AC0BF3"/>
    <w:rsid w:val="00AF7C33"/>
    <w:rsid w:val="00B0453C"/>
    <w:rsid w:val="00B11C0C"/>
    <w:rsid w:val="00B13060"/>
    <w:rsid w:val="00B21118"/>
    <w:rsid w:val="00B3238B"/>
    <w:rsid w:val="00B4051C"/>
    <w:rsid w:val="00B4444E"/>
    <w:rsid w:val="00B5766F"/>
    <w:rsid w:val="00B73389"/>
    <w:rsid w:val="00B75565"/>
    <w:rsid w:val="00B84A5B"/>
    <w:rsid w:val="00B923AA"/>
    <w:rsid w:val="00BA618F"/>
    <w:rsid w:val="00BB0364"/>
    <w:rsid w:val="00BB0B28"/>
    <w:rsid w:val="00BB3759"/>
    <w:rsid w:val="00BC18B9"/>
    <w:rsid w:val="00BF2437"/>
    <w:rsid w:val="00BF5695"/>
    <w:rsid w:val="00C16DED"/>
    <w:rsid w:val="00C20E72"/>
    <w:rsid w:val="00C255B8"/>
    <w:rsid w:val="00C33362"/>
    <w:rsid w:val="00C36A67"/>
    <w:rsid w:val="00C402F7"/>
    <w:rsid w:val="00C43853"/>
    <w:rsid w:val="00C446AD"/>
    <w:rsid w:val="00C46EA3"/>
    <w:rsid w:val="00C46FC7"/>
    <w:rsid w:val="00C508BC"/>
    <w:rsid w:val="00C6175D"/>
    <w:rsid w:val="00C618E2"/>
    <w:rsid w:val="00C64BD0"/>
    <w:rsid w:val="00C93133"/>
    <w:rsid w:val="00C95B2E"/>
    <w:rsid w:val="00CA00DD"/>
    <w:rsid w:val="00CA5293"/>
    <w:rsid w:val="00CB5356"/>
    <w:rsid w:val="00CD0D17"/>
    <w:rsid w:val="00CD581E"/>
    <w:rsid w:val="00CE129E"/>
    <w:rsid w:val="00CE2323"/>
    <w:rsid w:val="00CE7ECE"/>
    <w:rsid w:val="00CF03FA"/>
    <w:rsid w:val="00CF3208"/>
    <w:rsid w:val="00CF3FF5"/>
    <w:rsid w:val="00CF60D1"/>
    <w:rsid w:val="00CF61F3"/>
    <w:rsid w:val="00D104CF"/>
    <w:rsid w:val="00D124A1"/>
    <w:rsid w:val="00D148F3"/>
    <w:rsid w:val="00D1795A"/>
    <w:rsid w:val="00D32F61"/>
    <w:rsid w:val="00D6140C"/>
    <w:rsid w:val="00D6187B"/>
    <w:rsid w:val="00D94114"/>
    <w:rsid w:val="00D95E71"/>
    <w:rsid w:val="00D97791"/>
    <w:rsid w:val="00DD07C2"/>
    <w:rsid w:val="00DD0BB3"/>
    <w:rsid w:val="00E152FC"/>
    <w:rsid w:val="00E17BC8"/>
    <w:rsid w:val="00E308E9"/>
    <w:rsid w:val="00E3576D"/>
    <w:rsid w:val="00E4484A"/>
    <w:rsid w:val="00E51219"/>
    <w:rsid w:val="00E60D52"/>
    <w:rsid w:val="00E62FBC"/>
    <w:rsid w:val="00E65AA0"/>
    <w:rsid w:val="00E67A67"/>
    <w:rsid w:val="00E723FF"/>
    <w:rsid w:val="00E76F61"/>
    <w:rsid w:val="00EB1F1A"/>
    <w:rsid w:val="00EC246F"/>
    <w:rsid w:val="00EE2017"/>
    <w:rsid w:val="00F00DBD"/>
    <w:rsid w:val="00F06833"/>
    <w:rsid w:val="00F35DEF"/>
    <w:rsid w:val="00F55296"/>
    <w:rsid w:val="00F622EA"/>
    <w:rsid w:val="00F633C5"/>
    <w:rsid w:val="00F81306"/>
    <w:rsid w:val="00F81FF3"/>
    <w:rsid w:val="00F85168"/>
    <w:rsid w:val="00FA458D"/>
    <w:rsid w:val="00FB2C79"/>
    <w:rsid w:val="00FD108D"/>
    <w:rsid w:val="00FD22D4"/>
    <w:rsid w:val="00FD543A"/>
    <w:rsid w:val="00FD5E1B"/>
    <w:rsid w:val="00FD66FE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5C47620C"/>
  <w15:docId w15:val="{D2F16E9E-7364-43A5-B3C5-D0D997B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1C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MCExecSupport@act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6641</Characters>
  <Application>Microsoft Office Word</Application>
  <DocSecurity>0</DocSecurity>
  <Lines>178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Kazak, Laila</dc:creator>
  <cp:lastModifiedBy>Moxon, KarenL</cp:lastModifiedBy>
  <cp:revision>4</cp:revision>
  <cp:lastPrinted>2017-06-26T05:06:00Z</cp:lastPrinted>
  <dcterms:created xsi:type="dcterms:W3CDTF">2022-02-08T03:50:00Z</dcterms:created>
  <dcterms:modified xsi:type="dcterms:W3CDTF">2022-02-08T03:50:00Z</dcterms:modified>
</cp:coreProperties>
</file>