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AA99" w14:textId="77777777" w:rsidR="00A969B4" w:rsidRDefault="00A969B4" w:rsidP="00A969B4">
      <w:pPr>
        <w:rPr>
          <w:rFonts w:ascii="Arial" w:hAnsi="Arial"/>
          <w:snapToGrid w:val="0"/>
          <w:color w:val="000000"/>
          <w:sz w:val="23"/>
        </w:rPr>
      </w:pPr>
      <w:bookmarkStart w:id="0" w:name="_Toc44738651"/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snapToGrid w:val="0"/>
              <w:color w:val="000000"/>
              <w:sz w:val="23"/>
            </w:rPr>
            <w:t>Australian Capital Territory</w:t>
          </w:r>
        </w:smartTag>
      </w:smartTag>
    </w:p>
    <w:p w14:paraId="256C738B" w14:textId="77777777" w:rsidR="00A969B4" w:rsidRDefault="00A969B4" w:rsidP="00A969B4">
      <w:pPr>
        <w:rPr>
          <w:rFonts w:ascii="Arial" w:hAnsi="Arial"/>
          <w:snapToGrid w:val="0"/>
          <w:color w:val="000000"/>
          <w:sz w:val="23"/>
        </w:rPr>
      </w:pPr>
    </w:p>
    <w:p w14:paraId="4C996BAB" w14:textId="0C0AD5E9" w:rsidR="00A969B4" w:rsidRDefault="00771F2D" w:rsidP="00A969B4">
      <w:pPr>
        <w:rPr>
          <w:rFonts w:ascii="Arial" w:hAnsi="Arial"/>
          <w:b/>
          <w:snapToGrid w:val="0"/>
          <w:color w:val="000000"/>
          <w:sz w:val="40"/>
        </w:rPr>
      </w:pPr>
      <w:r>
        <w:rPr>
          <w:rFonts w:ascii="Arial" w:hAnsi="Arial"/>
          <w:b/>
          <w:snapToGrid w:val="0"/>
          <w:color w:val="000000"/>
          <w:sz w:val="40"/>
        </w:rPr>
        <w:t>Utilities (Annual L</w:t>
      </w:r>
      <w:r w:rsidR="00A969B4">
        <w:rPr>
          <w:rFonts w:ascii="Arial" w:hAnsi="Arial"/>
          <w:b/>
          <w:snapToGrid w:val="0"/>
          <w:color w:val="000000"/>
          <w:sz w:val="40"/>
        </w:rPr>
        <w:t xml:space="preserve">icence </w:t>
      </w:r>
      <w:r>
        <w:rPr>
          <w:rFonts w:ascii="Arial" w:hAnsi="Arial"/>
          <w:b/>
          <w:snapToGrid w:val="0"/>
          <w:color w:val="000000"/>
          <w:sz w:val="40"/>
        </w:rPr>
        <w:t>F</w:t>
      </w:r>
      <w:r w:rsidR="00A969B4">
        <w:rPr>
          <w:rFonts w:ascii="Arial" w:hAnsi="Arial"/>
          <w:b/>
          <w:snapToGrid w:val="0"/>
          <w:color w:val="000000"/>
          <w:sz w:val="40"/>
        </w:rPr>
        <w:t xml:space="preserve">ees </w:t>
      </w:r>
      <w:r>
        <w:rPr>
          <w:rFonts w:ascii="Arial" w:hAnsi="Arial"/>
          <w:b/>
          <w:snapToGrid w:val="0"/>
          <w:color w:val="000000"/>
          <w:sz w:val="40"/>
        </w:rPr>
        <w:t>D</w:t>
      </w:r>
      <w:r w:rsidR="00A969B4">
        <w:rPr>
          <w:rFonts w:ascii="Arial" w:hAnsi="Arial"/>
          <w:b/>
          <w:snapToGrid w:val="0"/>
          <w:color w:val="000000"/>
          <w:sz w:val="40"/>
        </w:rPr>
        <w:t>etermination</w:t>
      </w:r>
      <w:r w:rsidR="004E2D35">
        <w:rPr>
          <w:rFonts w:ascii="Arial" w:hAnsi="Arial"/>
          <w:b/>
          <w:snapToGrid w:val="0"/>
          <w:color w:val="000000"/>
          <w:sz w:val="40"/>
        </w:rPr>
        <w:t xml:space="preserve"> 20</w:t>
      </w:r>
      <w:r w:rsidR="00867BEB">
        <w:rPr>
          <w:rFonts w:ascii="Arial" w:hAnsi="Arial"/>
          <w:b/>
          <w:snapToGrid w:val="0"/>
          <w:color w:val="000000"/>
          <w:sz w:val="40"/>
        </w:rPr>
        <w:t>2</w:t>
      </w:r>
      <w:r w:rsidR="003A1D42">
        <w:rPr>
          <w:rFonts w:ascii="Arial" w:hAnsi="Arial"/>
          <w:b/>
          <w:snapToGrid w:val="0"/>
          <w:color w:val="000000"/>
          <w:sz w:val="40"/>
        </w:rPr>
        <w:t>2</w:t>
      </w:r>
      <w:r w:rsidR="008E1B58">
        <w:rPr>
          <w:rFonts w:ascii="Arial" w:hAnsi="Arial"/>
          <w:b/>
          <w:snapToGrid w:val="0"/>
          <w:color w:val="000000"/>
          <w:sz w:val="40"/>
        </w:rPr>
        <w:t>–</w:t>
      </w:r>
      <w:r w:rsidR="007D2FE7">
        <w:rPr>
          <w:rFonts w:ascii="Arial" w:hAnsi="Arial"/>
          <w:b/>
          <w:snapToGrid w:val="0"/>
          <w:color w:val="000000"/>
          <w:sz w:val="40"/>
        </w:rPr>
        <w:t>2</w:t>
      </w:r>
      <w:r w:rsidR="003A1D42">
        <w:rPr>
          <w:rFonts w:ascii="Arial" w:hAnsi="Arial"/>
          <w:b/>
          <w:snapToGrid w:val="0"/>
          <w:color w:val="000000"/>
          <w:sz w:val="40"/>
        </w:rPr>
        <w:t>3</w:t>
      </w:r>
      <w:r w:rsidR="00A969B4">
        <w:rPr>
          <w:rFonts w:ascii="Arial" w:hAnsi="Arial"/>
          <w:b/>
          <w:snapToGrid w:val="0"/>
          <w:color w:val="000000"/>
          <w:sz w:val="40"/>
        </w:rPr>
        <w:t>)</w:t>
      </w:r>
      <w:r w:rsidR="008309CC">
        <w:rPr>
          <w:rFonts w:ascii="Arial" w:hAnsi="Arial"/>
          <w:b/>
          <w:snapToGrid w:val="0"/>
          <w:color w:val="000000"/>
          <w:sz w:val="40"/>
        </w:rPr>
        <w:t xml:space="preserve"> </w:t>
      </w:r>
      <w:r w:rsidR="00A969B4">
        <w:rPr>
          <w:rFonts w:ascii="Arial" w:hAnsi="Arial"/>
          <w:b/>
          <w:snapToGrid w:val="0"/>
          <w:color w:val="000000"/>
          <w:sz w:val="40"/>
        </w:rPr>
        <w:t>Notice 20</w:t>
      </w:r>
      <w:r w:rsidR="00867BEB">
        <w:rPr>
          <w:rFonts w:ascii="Arial" w:hAnsi="Arial"/>
          <w:b/>
          <w:snapToGrid w:val="0"/>
          <w:color w:val="000000"/>
          <w:sz w:val="40"/>
        </w:rPr>
        <w:t>2</w:t>
      </w:r>
      <w:r w:rsidR="003A1D42">
        <w:rPr>
          <w:rFonts w:ascii="Arial" w:hAnsi="Arial"/>
          <w:b/>
          <w:snapToGrid w:val="0"/>
          <w:color w:val="000000"/>
          <w:sz w:val="40"/>
        </w:rPr>
        <w:t>2</w:t>
      </w:r>
      <w:r w:rsidR="00A969B4">
        <w:rPr>
          <w:rFonts w:ascii="Arial" w:hAnsi="Arial"/>
          <w:b/>
          <w:snapToGrid w:val="0"/>
          <w:color w:val="000000"/>
          <w:sz w:val="40"/>
        </w:rPr>
        <w:t xml:space="preserve"> </w:t>
      </w:r>
    </w:p>
    <w:p w14:paraId="34C46699" w14:textId="77777777" w:rsidR="00A969B4" w:rsidRDefault="00A969B4" w:rsidP="00A969B4">
      <w:pPr>
        <w:rPr>
          <w:rFonts w:ascii="Arial" w:hAnsi="Arial"/>
          <w:b/>
          <w:snapToGrid w:val="0"/>
          <w:color w:val="000000"/>
          <w:sz w:val="32"/>
        </w:rPr>
      </w:pPr>
    </w:p>
    <w:p w14:paraId="6DA0CF80" w14:textId="0C0331D6" w:rsidR="00A969B4" w:rsidRDefault="00A969B4" w:rsidP="00A969B4">
      <w:pPr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>Notifiable Instrument NI20</w:t>
      </w:r>
      <w:r w:rsidR="00867BEB">
        <w:rPr>
          <w:rFonts w:ascii="Arial" w:hAnsi="Arial"/>
          <w:b/>
          <w:snapToGrid w:val="0"/>
          <w:color w:val="000000"/>
        </w:rPr>
        <w:t>2</w:t>
      </w:r>
      <w:r w:rsidR="003A1D42">
        <w:rPr>
          <w:rFonts w:ascii="Arial" w:hAnsi="Arial"/>
          <w:b/>
          <w:snapToGrid w:val="0"/>
          <w:color w:val="000000"/>
        </w:rPr>
        <w:t>2</w:t>
      </w:r>
      <w:r w:rsidR="008E1B58">
        <w:rPr>
          <w:rFonts w:ascii="Arial" w:hAnsi="Arial"/>
          <w:b/>
          <w:snapToGrid w:val="0"/>
          <w:color w:val="000000"/>
        </w:rPr>
        <w:t>–</w:t>
      </w:r>
      <w:r w:rsidR="00335B5A">
        <w:rPr>
          <w:rFonts w:ascii="Arial" w:hAnsi="Arial"/>
          <w:b/>
          <w:snapToGrid w:val="0"/>
          <w:color w:val="000000"/>
        </w:rPr>
        <w:t>551</w:t>
      </w:r>
    </w:p>
    <w:p w14:paraId="4D454C1F" w14:textId="77777777" w:rsidR="00A969B4" w:rsidRDefault="00A969B4" w:rsidP="00A969B4">
      <w:pPr>
        <w:rPr>
          <w:rFonts w:ascii="Arial" w:hAnsi="Arial"/>
          <w:b/>
          <w:snapToGrid w:val="0"/>
          <w:color w:val="000000"/>
        </w:rPr>
      </w:pPr>
    </w:p>
    <w:p w14:paraId="76862D61" w14:textId="77777777" w:rsidR="00A969B4" w:rsidRDefault="00A969B4" w:rsidP="00A969B4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made under the</w:t>
      </w:r>
    </w:p>
    <w:p w14:paraId="1487E691" w14:textId="77777777" w:rsidR="00A969B4" w:rsidRPr="00A449EA" w:rsidRDefault="00A969B4" w:rsidP="003D39DB">
      <w:pPr>
        <w:pStyle w:val="CoverActName"/>
        <w:jc w:val="left"/>
        <w:rPr>
          <w:sz w:val="20"/>
        </w:rPr>
      </w:pPr>
      <w:r w:rsidRPr="00A449EA">
        <w:rPr>
          <w:i/>
          <w:iCs/>
          <w:sz w:val="20"/>
        </w:rPr>
        <w:t xml:space="preserve">Utilities </w:t>
      </w:r>
      <w:r w:rsidRPr="00E44E92">
        <w:rPr>
          <w:i/>
          <w:iCs/>
          <w:sz w:val="20"/>
        </w:rPr>
        <w:t>Act 2000</w:t>
      </w:r>
      <w:r w:rsidRPr="00A449EA">
        <w:rPr>
          <w:i/>
          <w:sz w:val="20"/>
        </w:rPr>
        <w:t xml:space="preserve">, </w:t>
      </w:r>
      <w:r w:rsidRPr="00A449EA">
        <w:rPr>
          <w:sz w:val="20"/>
        </w:rPr>
        <w:t>s 52 (Public notice of licence decisions) (see also s 45 (Determination of fee) and s 53 (Public access to licences etc))</w:t>
      </w:r>
    </w:p>
    <w:p w14:paraId="3CA4F3C3" w14:textId="77777777" w:rsidR="00A969B4" w:rsidRDefault="00A969B4" w:rsidP="00A969B4">
      <w:pPr>
        <w:pBdr>
          <w:bottom w:val="single" w:sz="4" w:space="1" w:color="auto"/>
        </w:pBdr>
        <w:rPr>
          <w:rFonts w:ascii="Arial" w:hAnsi="Arial"/>
          <w:b/>
          <w:i/>
          <w:snapToGrid w:val="0"/>
          <w:color w:val="000000"/>
        </w:rPr>
      </w:pPr>
    </w:p>
    <w:p w14:paraId="1F284454" w14:textId="77777777" w:rsidR="00A969B4" w:rsidRDefault="00A969B4" w:rsidP="00A969B4">
      <w:pPr>
        <w:rPr>
          <w:rFonts w:ascii="Arial" w:hAnsi="Arial"/>
          <w:snapToGrid w:val="0"/>
          <w:color w:val="000000"/>
        </w:rPr>
      </w:pPr>
    </w:p>
    <w:p w14:paraId="66D1FEBD" w14:textId="77777777" w:rsidR="00A969B4" w:rsidRPr="00E44E92" w:rsidRDefault="00A969B4" w:rsidP="00A969B4">
      <w:pPr>
        <w:spacing w:before="60" w:after="60"/>
        <w:ind w:left="720" w:hanging="720"/>
        <w:rPr>
          <w:rFonts w:ascii="Arial" w:hAnsi="Arial" w:cs="Arial"/>
          <w:b/>
          <w:bCs/>
          <w:szCs w:val="24"/>
        </w:rPr>
      </w:pPr>
      <w:r w:rsidRPr="00E44E92">
        <w:rPr>
          <w:rFonts w:ascii="Arial" w:hAnsi="Arial" w:cs="Arial"/>
          <w:b/>
          <w:bCs/>
          <w:szCs w:val="24"/>
        </w:rPr>
        <w:t>1</w:t>
      </w:r>
      <w:r w:rsidRPr="00E44E92">
        <w:rPr>
          <w:rFonts w:ascii="Arial" w:hAnsi="Arial" w:cs="Arial"/>
          <w:b/>
          <w:bCs/>
          <w:szCs w:val="24"/>
        </w:rPr>
        <w:tab/>
        <w:t>Name of instrument</w:t>
      </w:r>
    </w:p>
    <w:p w14:paraId="212689A7" w14:textId="1A7B70DC" w:rsidR="00A969B4" w:rsidRPr="00E44E92" w:rsidRDefault="00A969B4" w:rsidP="00A969B4">
      <w:pPr>
        <w:spacing w:before="80" w:after="60"/>
        <w:ind w:left="720"/>
        <w:rPr>
          <w:rFonts w:asciiTheme="minorHAnsi" w:hAnsiTheme="minorHAnsi" w:cs="Arial"/>
          <w:szCs w:val="24"/>
        </w:rPr>
      </w:pPr>
      <w:r w:rsidRPr="00E44E92">
        <w:rPr>
          <w:rFonts w:asciiTheme="minorHAnsi" w:hAnsiTheme="minorHAnsi" w:cs="Arial"/>
          <w:szCs w:val="24"/>
        </w:rPr>
        <w:t xml:space="preserve">This instrument is the </w:t>
      </w:r>
      <w:r w:rsidRPr="00E44E92">
        <w:rPr>
          <w:rFonts w:asciiTheme="minorHAnsi" w:hAnsiTheme="minorHAnsi" w:cs="Arial"/>
          <w:i/>
          <w:iCs/>
          <w:szCs w:val="24"/>
        </w:rPr>
        <w:t xml:space="preserve">Utilities (Annual </w:t>
      </w:r>
      <w:r w:rsidR="00771F2D" w:rsidRPr="00E44E92">
        <w:rPr>
          <w:rFonts w:asciiTheme="minorHAnsi" w:hAnsiTheme="minorHAnsi" w:cs="Arial"/>
          <w:i/>
          <w:iCs/>
          <w:szCs w:val="24"/>
        </w:rPr>
        <w:t>L</w:t>
      </w:r>
      <w:r w:rsidRPr="00E44E92">
        <w:rPr>
          <w:rFonts w:asciiTheme="minorHAnsi" w:hAnsiTheme="minorHAnsi" w:cs="Arial"/>
          <w:i/>
          <w:iCs/>
          <w:szCs w:val="24"/>
        </w:rPr>
        <w:t xml:space="preserve">icence </w:t>
      </w:r>
      <w:r w:rsidR="00771F2D" w:rsidRPr="00E44E92">
        <w:rPr>
          <w:rFonts w:asciiTheme="minorHAnsi" w:hAnsiTheme="minorHAnsi" w:cs="Arial"/>
          <w:i/>
          <w:iCs/>
          <w:szCs w:val="24"/>
        </w:rPr>
        <w:t>F</w:t>
      </w:r>
      <w:r w:rsidRPr="00E44E92">
        <w:rPr>
          <w:rFonts w:asciiTheme="minorHAnsi" w:hAnsiTheme="minorHAnsi" w:cs="Arial"/>
          <w:i/>
          <w:iCs/>
          <w:szCs w:val="24"/>
        </w:rPr>
        <w:t xml:space="preserve">ees </w:t>
      </w:r>
      <w:r w:rsidR="00771F2D" w:rsidRPr="00E44E92">
        <w:rPr>
          <w:rFonts w:asciiTheme="minorHAnsi" w:hAnsiTheme="minorHAnsi" w:cs="Arial"/>
          <w:i/>
          <w:iCs/>
          <w:szCs w:val="24"/>
        </w:rPr>
        <w:t>D</w:t>
      </w:r>
      <w:r w:rsidRPr="00E44E92">
        <w:rPr>
          <w:rFonts w:asciiTheme="minorHAnsi" w:hAnsiTheme="minorHAnsi" w:cs="Arial"/>
          <w:i/>
          <w:iCs/>
          <w:szCs w:val="24"/>
        </w:rPr>
        <w:t>etermination</w:t>
      </w:r>
      <w:r w:rsidR="003E500C" w:rsidRPr="00E44E92">
        <w:rPr>
          <w:rFonts w:asciiTheme="minorHAnsi" w:hAnsiTheme="minorHAnsi" w:cs="Arial"/>
          <w:i/>
          <w:iCs/>
          <w:szCs w:val="24"/>
        </w:rPr>
        <w:t xml:space="preserve"> </w:t>
      </w:r>
      <w:r w:rsidR="004E2D35" w:rsidRPr="00E44E92">
        <w:rPr>
          <w:rFonts w:asciiTheme="minorHAnsi" w:hAnsiTheme="minorHAnsi" w:cs="Arial"/>
          <w:i/>
          <w:iCs/>
          <w:szCs w:val="24"/>
        </w:rPr>
        <w:t>20</w:t>
      </w:r>
      <w:r w:rsidR="00867BEB">
        <w:rPr>
          <w:rFonts w:asciiTheme="minorHAnsi" w:hAnsiTheme="minorHAnsi" w:cs="Arial"/>
          <w:i/>
          <w:iCs/>
          <w:szCs w:val="24"/>
        </w:rPr>
        <w:t>2</w:t>
      </w:r>
      <w:r w:rsidR="003A1D42">
        <w:rPr>
          <w:rFonts w:asciiTheme="minorHAnsi" w:hAnsiTheme="minorHAnsi" w:cs="Arial"/>
          <w:i/>
          <w:iCs/>
          <w:szCs w:val="24"/>
        </w:rPr>
        <w:t>2</w:t>
      </w:r>
      <w:r w:rsidR="008E1B58">
        <w:rPr>
          <w:rFonts w:asciiTheme="minorHAnsi" w:hAnsiTheme="minorHAnsi" w:cs="Arial"/>
          <w:i/>
          <w:iCs/>
          <w:szCs w:val="24"/>
        </w:rPr>
        <w:t>–</w:t>
      </w:r>
      <w:r w:rsidR="007D2FE7">
        <w:rPr>
          <w:rFonts w:asciiTheme="minorHAnsi" w:hAnsiTheme="minorHAnsi" w:cs="Arial"/>
          <w:i/>
          <w:iCs/>
          <w:szCs w:val="24"/>
        </w:rPr>
        <w:t>2</w:t>
      </w:r>
      <w:r w:rsidR="003A1D42">
        <w:rPr>
          <w:rFonts w:asciiTheme="minorHAnsi" w:hAnsiTheme="minorHAnsi" w:cs="Arial"/>
          <w:i/>
          <w:iCs/>
          <w:szCs w:val="24"/>
        </w:rPr>
        <w:t>3</w:t>
      </w:r>
      <w:r w:rsidR="00B06CAA" w:rsidRPr="00E44E92">
        <w:rPr>
          <w:rFonts w:asciiTheme="minorHAnsi" w:hAnsiTheme="minorHAnsi" w:cs="Arial"/>
          <w:i/>
          <w:iCs/>
          <w:szCs w:val="24"/>
        </w:rPr>
        <w:t xml:space="preserve">) </w:t>
      </w:r>
      <w:r w:rsidRPr="00E44E92">
        <w:rPr>
          <w:rFonts w:asciiTheme="minorHAnsi" w:hAnsiTheme="minorHAnsi" w:cs="Arial"/>
          <w:i/>
          <w:iCs/>
          <w:szCs w:val="24"/>
        </w:rPr>
        <w:t>Notice 20</w:t>
      </w:r>
      <w:r w:rsidR="00867BEB">
        <w:rPr>
          <w:rFonts w:asciiTheme="minorHAnsi" w:hAnsiTheme="minorHAnsi" w:cs="Arial"/>
          <w:i/>
          <w:iCs/>
          <w:szCs w:val="24"/>
        </w:rPr>
        <w:t>2</w:t>
      </w:r>
      <w:r w:rsidR="003A1D42">
        <w:rPr>
          <w:rFonts w:asciiTheme="minorHAnsi" w:hAnsiTheme="minorHAnsi" w:cs="Arial"/>
          <w:i/>
          <w:iCs/>
          <w:szCs w:val="24"/>
        </w:rPr>
        <w:t>2</w:t>
      </w:r>
      <w:r w:rsidRPr="00E44E92">
        <w:rPr>
          <w:rFonts w:asciiTheme="minorHAnsi" w:hAnsiTheme="minorHAnsi" w:cs="Arial"/>
          <w:i/>
          <w:szCs w:val="24"/>
        </w:rPr>
        <w:t>.</w:t>
      </w:r>
    </w:p>
    <w:p w14:paraId="5E7BA235" w14:textId="77777777" w:rsidR="00A969B4" w:rsidRPr="00E44E92" w:rsidRDefault="00A969B4" w:rsidP="00A969B4">
      <w:pPr>
        <w:spacing w:before="240" w:after="60"/>
        <w:ind w:left="720" w:hanging="720"/>
        <w:rPr>
          <w:rFonts w:ascii="Arial" w:hAnsi="Arial" w:cs="Arial"/>
          <w:b/>
          <w:bCs/>
          <w:szCs w:val="24"/>
        </w:rPr>
      </w:pPr>
      <w:r w:rsidRPr="00E44E92">
        <w:rPr>
          <w:rFonts w:ascii="Arial" w:hAnsi="Arial" w:cs="Arial"/>
          <w:b/>
          <w:bCs/>
          <w:szCs w:val="24"/>
        </w:rPr>
        <w:t>2</w:t>
      </w:r>
      <w:r w:rsidRPr="00E44E92">
        <w:rPr>
          <w:rFonts w:ascii="Arial" w:hAnsi="Arial" w:cs="Arial"/>
          <w:b/>
          <w:bCs/>
          <w:szCs w:val="24"/>
        </w:rPr>
        <w:tab/>
        <w:t>Commencement</w:t>
      </w:r>
    </w:p>
    <w:p w14:paraId="480AC397" w14:textId="77777777" w:rsidR="00A969B4" w:rsidRPr="00E44E92" w:rsidRDefault="00A969B4" w:rsidP="00A969B4">
      <w:pPr>
        <w:spacing w:before="80" w:after="60"/>
        <w:ind w:left="720"/>
        <w:rPr>
          <w:rFonts w:asciiTheme="minorHAnsi" w:hAnsiTheme="minorHAnsi" w:cs="Arial"/>
          <w:i/>
          <w:szCs w:val="24"/>
        </w:rPr>
      </w:pPr>
      <w:r w:rsidRPr="00E44E92">
        <w:rPr>
          <w:rFonts w:asciiTheme="minorHAnsi" w:hAnsiTheme="minorHAnsi" w:cs="Arial"/>
          <w:szCs w:val="24"/>
        </w:rPr>
        <w:t>This instrument commences on the day after it is notified</w:t>
      </w:r>
      <w:r w:rsidRPr="00E44E92">
        <w:rPr>
          <w:rFonts w:asciiTheme="minorHAnsi" w:hAnsiTheme="minorHAnsi" w:cs="Arial"/>
          <w:i/>
          <w:szCs w:val="24"/>
        </w:rPr>
        <w:t>.</w:t>
      </w:r>
    </w:p>
    <w:p w14:paraId="5FFE46C1" w14:textId="56FCF81E" w:rsidR="003E500C" w:rsidRPr="00E44E92" w:rsidRDefault="003E500C" w:rsidP="003E500C">
      <w:pPr>
        <w:spacing w:before="240" w:after="60"/>
        <w:ind w:left="720" w:hanging="720"/>
        <w:rPr>
          <w:rFonts w:ascii="Arial" w:hAnsi="Arial" w:cs="Arial"/>
          <w:b/>
          <w:bCs/>
          <w:szCs w:val="24"/>
        </w:rPr>
      </w:pPr>
      <w:r w:rsidRPr="00E44E92">
        <w:rPr>
          <w:rFonts w:ascii="Arial" w:hAnsi="Arial" w:cs="Arial"/>
          <w:b/>
          <w:bCs/>
          <w:szCs w:val="24"/>
        </w:rPr>
        <w:t>3</w:t>
      </w:r>
      <w:r w:rsidRPr="00E44E92">
        <w:rPr>
          <w:rFonts w:ascii="Arial" w:hAnsi="Arial" w:cs="Arial"/>
          <w:b/>
          <w:bCs/>
          <w:szCs w:val="24"/>
        </w:rPr>
        <w:tab/>
      </w:r>
      <w:r w:rsidR="00B06CAA" w:rsidRPr="00E44E92">
        <w:rPr>
          <w:rFonts w:ascii="Arial" w:hAnsi="Arial" w:cs="Arial"/>
          <w:b/>
          <w:bCs/>
          <w:szCs w:val="24"/>
        </w:rPr>
        <w:t>Revocation of 20</w:t>
      </w:r>
      <w:r w:rsidR="00867BEB">
        <w:rPr>
          <w:rFonts w:ascii="Arial" w:hAnsi="Arial" w:cs="Arial"/>
          <w:b/>
          <w:bCs/>
          <w:szCs w:val="24"/>
        </w:rPr>
        <w:t>20</w:t>
      </w:r>
      <w:r w:rsidR="008E1B58">
        <w:rPr>
          <w:rFonts w:ascii="Arial" w:hAnsi="Arial" w:cs="Arial"/>
          <w:b/>
          <w:bCs/>
          <w:szCs w:val="24"/>
        </w:rPr>
        <w:t>–</w:t>
      </w:r>
      <w:r w:rsidR="00867BEB">
        <w:rPr>
          <w:rFonts w:ascii="Arial" w:hAnsi="Arial" w:cs="Arial"/>
          <w:b/>
          <w:bCs/>
          <w:szCs w:val="24"/>
        </w:rPr>
        <w:t xml:space="preserve">21 </w:t>
      </w:r>
      <w:r w:rsidR="00B06CAA" w:rsidRPr="00E44E92">
        <w:rPr>
          <w:rFonts w:ascii="Arial" w:hAnsi="Arial" w:cs="Arial"/>
          <w:b/>
          <w:bCs/>
          <w:szCs w:val="24"/>
        </w:rPr>
        <w:t>A</w:t>
      </w:r>
      <w:r w:rsidR="00EE57F5">
        <w:rPr>
          <w:rFonts w:ascii="Arial" w:hAnsi="Arial" w:cs="Arial"/>
          <w:b/>
          <w:bCs/>
          <w:szCs w:val="24"/>
        </w:rPr>
        <w:t>nnual Licence Fee Determination</w:t>
      </w:r>
    </w:p>
    <w:p w14:paraId="38ED3E38" w14:textId="66609712" w:rsidR="00C911CD" w:rsidRPr="00E44E92" w:rsidRDefault="00A728C9" w:rsidP="00867BEB">
      <w:pPr>
        <w:spacing w:before="80" w:after="60"/>
        <w:ind w:left="720"/>
        <w:rPr>
          <w:rFonts w:asciiTheme="minorHAnsi" w:hAnsiTheme="minorHAnsi" w:cs="Arial"/>
          <w:iCs/>
          <w:szCs w:val="24"/>
        </w:rPr>
      </w:pPr>
      <w:r w:rsidRPr="00E44E92">
        <w:rPr>
          <w:rFonts w:asciiTheme="minorHAnsi" w:hAnsiTheme="minorHAnsi" w:cs="Arial"/>
          <w:szCs w:val="24"/>
        </w:rPr>
        <w:t xml:space="preserve">This instrument revokes the </w:t>
      </w:r>
      <w:r w:rsidRPr="00E44E92">
        <w:rPr>
          <w:rFonts w:asciiTheme="minorHAnsi" w:hAnsiTheme="minorHAnsi" w:cs="Arial"/>
          <w:i/>
          <w:szCs w:val="24"/>
        </w:rPr>
        <w:t xml:space="preserve">Utilities (Annual Licence Fees Determination </w:t>
      </w:r>
      <w:r w:rsidR="001B2A42" w:rsidRPr="00EE57F5">
        <w:rPr>
          <w:rFonts w:asciiTheme="minorHAnsi" w:hAnsiTheme="minorHAnsi" w:cs="Arial"/>
          <w:i/>
          <w:szCs w:val="24"/>
        </w:rPr>
        <w:t>20</w:t>
      </w:r>
      <w:r w:rsidR="00867BEB">
        <w:rPr>
          <w:rFonts w:asciiTheme="minorHAnsi" w:hAnsiTheme="minorHAnsi" w:cs="Arial"/>
          <w:i/>
          <w:szCs w:val="24"/>
        </w:rPr>
        <w:t>2</w:t>
      </w:r>
      <w:r w:rsidR="003A1D42">
        <w:rPr>
          <w:rFonts w:asciiTheme="minorHAnsi" w:hAnsiTheme="minorHAnsi" w:cs="Arial"/>
          <w:i/>
          <w:szCs w:val="24"/>
        </w:rPr>
        <w:t>1</w:t>
      </w:r>
      <w:r w:rsidR="008E1B58">
        <w:rPr>
          <w:rFonts w:asciiTheme="minorHAnsi" w:hAnsiTheme="minorHAnsi" w:cs="Arial"/>
          <w:i/>
          <w:szCs w:val="24"/>
        </w:rPr>
        <w:t>–</w:t>
      </w:r>
      <w:r w:rsidR="00867BEB">
        <w:rPr>
          <w:rFonts w:asciiTheme="minorHAnsi" w:hAnsiTheme="minorHAnsi" w:cs="Arial"/>
          <w:i/>
          <w:szCs w:val="24"/>
        </w:rPr>
        <w:t>2</w:t>
      </w:r>
      <w:r w:rsidR="003A1D42">
        <w:rPr>
          <w:rFonts w:asciiTheme="minorHAnsi" w:hAnsiTheme="minorHAnsi" w:cs="Arial"/>
          <w:i/>
          <w:szCs w:val="24"/>
        </w:rPr>
        <w:t>2</w:t>
      </w:r>
      <w:r w:rsidRPr="00EE57F5">
        <w:rPr>
          <w:rFonts w:asciiTheme="minorHAnsi" w:hAnsiTheme="minorHAnsi" w:cs="Arial"/>
          <w:i/>
          <w:szCs w:val="24"/>
        </w:rPr>
        <w:t xml:space="preserve">) Notice </w:t>
      </w:r>
      <w:r w:rsidR="003A1D42">
        <w:rPr>
          <w:rFonts w:asciiTheme="minorHAnsi" w:hAnsiTheme="minorHAnsi" w:cs="Arial"/>
          <w:i/>
          <w:szCs w:val="24"/>
        </w:rPr>
        <w:t>2021 (NI2021-602)</w:t>
      </w:r>
      <w:r w:rsidR="00D40B79" w:rsidRPr="00EE57F5">
        <w:rPr>
          <w:rFonts w:asciiTheme="minorHAnsi" w:hAnsiTheme="minorHAnsi" w:cs="Arial"/>
          <w:iCs/>
          <w:szCs w:val="24"/>
        </w:rPr>
        <w:t xml:space="preserve"> </w:t>
      </w:r>
    </w:p>
    <w:p w14:paraId="0078B799" w14:textId="77777777" w:rsidR="00A969B4" w:rsidRPr="00E44E92" w:rsidRDefault="003E500C" w:rsidP="00A969B4">
      <w:pPr>
        <w:spacing w:before="240" w:after="60"/>
        <w:ind w:left="720" w:hanging="720"/>
        <w:rPr>
          <w:rFonts w:ascii="Arial" w:hAnsi="Arial" w:cs="Arial"/>
          <w:b/>
          <w:bCs/>
          <w:szCs w:val="24"/>
        </w:rPr>
      </w:pPr>
      <w:r w:rsidRPr="00E44E92">
        <w:rPr>
          <w:rFonts w:ascii="Arial" w:hAnsi="Arial" w:cs="Arial"/>
          <w:b/>
          <w:bCs/>
          <w:szCs w:val="24"/>
        </w:rPr>
        <w:t>4</w:t>
      </w:r>
      <w:r w:rsidR="00A969B4" w:rsidRPr="00E44E92">
        <w:rPr>
          <w:rFonts w:ascii="Arial" w:hAnsi="Arial" w:cs="Arial"/>
          <w:b/>
          <w:bCs/>
          <w:szCs w:val="24"/>
        </w:rPr>
        <w:tab/>
      </w:r>
      <w:r w:rsidR="004920EC">
        <w:rPr>
          <w:rFonts w:ascii="Arial" w:hAnsi="Arial" w:cs="Arial"/>
          <w:b/>
          <w:bCs/>
          <w:szCs w:val="24"/>
        </w:rPr>
        <w:t>Findings on r</w:t>
      </w:r>
      <w:r w:rsidR="00D65186" w:rsidRPr="00E44E92">
        <w:rPr>
          <w:rFonts w:ascii="Arial" w:hAnsi="Arial" w:cs="Arial"/>
          <w:b/>
          <w:bCs/>
          <w:szCs w:val="24"/>
        </w:rPr>
        <w:t>egulatory costs and d</w:t>
      </w:r>
      <w:r w:rsidR="00A969B4" w:rsidRPr="00E44E92">
        <w:rPr>
          <w:rFonts w:ascii="Arial" w:hAnsi="Arial" w:cs="Arial"/>
          <w:b/>
          <w:bCs/>
          <w:szCs w:val="24"/>
        </w:rPr>
        <w:t>e</w:t>
      </w:r>
      <w:r w:rsidR="00D65186" w:rsidRPr="00E44E92">
        <w:rPr>
          <w:rFonts w:ascii="Arial" w:hAnsi="Arial" w:cs="Arial"/>
          <w:b/>
          <w:bCs/>
          <w:szCs w:val="24"/>
        </w:rPr>
        <w:t>rivation</w:t>
      </w:r>
      <w:r w:rsidR="00A969B4" w:rsidRPr="00E44E92">
        <w:rPr>
          <w:rFonts w:ascii="Arial" w:hAnsi="Arial" w:cs="Arial"/>
          <w:b/>
          <w:bCs/>
          <w:szCs w:val="24"/>
        </w:rPr>
        <w:t xml:space="preserve"> of licence fees</w:t>
      </w:r>
    </w:p>
    <w:p w14:paraId="32282679" w14:textId="3E0C5119" w:rsidR="000B4ACD" w:rsidRPr="00E44E92" w:rsidRDefault="00B06CAA" w:rsidP="00B83CA7">
      <w:pPr>
        <w:ind w:left="709"/>
        <w:rPr>
          <w:rFonts w:asciiTheme="minorHAnsi" w:hAnsiTheme="minorHAnsi" w:cs="Arial"/>
          <w:iCs/>
          <w:szCs w:val="24"/>
        </w:rPr>
      </w:pPr>
      <w:r w:rsidRPr="00E44E92">
        <w:rPr>
          <w:rFonts w:asciiTheme="minorHAnsi" w:hAnsiTheme="minorHAnsi" w:cs="Arial"/>
          <w:iCs/>
          <w:szCs w:val="24"/>
        </w:rPr>
        <w:t xml:space="preserve">The Independent Competition and Regulatory Commission (Commission) gives notice that it has determined the annual licence fees payable by licensed utilities under the </w:t>
      </w:r>
      <w:r w:rsidRPr="00E44E92">
        <w:rPr>
          <w:rFonts w:asciiTheme="minorHAnsi" w:hAnsiTheme="minorHAnsi" w:cs="Arial"/>
          <w:i/>
          <w:iCs/>
          <w:szCs w:val="24"/>
        </w:rPr>
        <w:t xml:space="preserve">Utilities Act </w:t>
      </w:r>
      <w:r w:rsidRPr="00E44E92">
        <w:rPr>
          <w:rFonts w:asciiTheme="minorHAnsi" w:hAnsiTheme="minorHAnsi" w:cs="Arial"/>
          <w:iCs/>
          <w:szCs w:val="24"/>
        </w:rPr>
        <w:t xml:space="preserve">2000 </w:t>
      </w:r>
      <w:r w:rsidR="007F4625">
        <w:rPr>
          <w:rFonts w:asciiTheme="minorHAnsi" w:hAnsiTheme="minorHAnsi" w:cs="Arial"/>
          <w:iCs/>
          <w:szCs w:val="24"/>
        </w:rPr>
        <w:t>for the year ending 30 June 20</w:t>
      </w:r>
      <w:r w:rsidR="007D2FE7">
        <w:rPr>
          <w:rFonts w:asciiTheme="minorHAnsi" w:hAnsiTheme="minorHAnsi" w:cs="Arial"/>
          <w:iCs/>
          <w:szCs w:val="24"/>
        </w:rPr>
        <w:t>2</w:t>
      </w:r>
      <w:r w:rsidR="003A1D42">
        <w:rPr>
          <w:rFonts w:asciiTheme="minorHAnsi" w:hAnsiTheme="minorHAnsi" w:cs="Arial"/>
          <w:iCs/>
          <w:szCs w:val="24"/>
        </w:rPr>
        <w:t>2</w:t>
      </w:r>
      <w:r w:rsidRPr="00E44E92">
        <w:rPr>
          <w:rFonts w:asciiTheme="minorHAnsi" w:hAnsiTheme="minorHAnsi" w:cs="Arial"/>
          <w:iCs/>
          <w:szCs w:val="24"/>
        </w:rPr>
        <w:t>, as set out in the attached schedule (tables 1</w:t>
      </w:r>
      <w:r w:rsidR="00576A15" w:rsidRPr="00E44E92">
        <w:rPr>
          <w:rFonts w:asciiTheme="minorHAnsi" w:hAnsiTheme="minorHAnsi" w:cs="Arial"/>
          <w:iCs/>
          <w:szCs w:val="24"/>
        </w:rPr>
        <w:t xml:space="preserve"> to 6</w:t>
      </w:r>
      <w:r w:rsidRPr="00E44E92">
        <w:rPr>
          <w:rFonts w:asciiTheme="minorHAnsi" w:hAnsiTheme="minorHAnsi" w:cs="Arial"/>
          <w:iCs/>
          <w:szCs w:val="24"/>
        </w:rPr>
        <w:t xml:space="preserve">). </w:t>
      </w:r>
      <w:r w:rsidR="00082EC8" w:rsidRPr="00E44E92">
        <w:rPr>
          <w:rFonts w:asciiTheme="minorHAnsi" w:hAnsiTheme="minorHAnsi" w:cs="Arial"/>
          <w:iCs/>
          <w:szCs w:val="24"/>
        </w:rPr>
        <w:t>Note that figures in the tables may not add up due to rounding.</w:t>
      </w:r>
    </w:p>
    <w:p w14:paraId="4958CB25" w14:textId="77777777" w:rsidR="000B4ACD" w:rsidRPr="00E44E92" w:rsidRDefault="000B4ACD" w:rsidP="00A969B4">
      <w:pPr>
        <w:ind w:left="709"/>
        <w:rPr>
          <w:rFonts w:asciiTheme="minorHAnsi" w:hAnsiTheme="minorHAnsi" w:cs="Arial"/>
          <w:iCs/>
          <w:szCs w:val="24"/>
        </w:rPr>
      </w:pPr>
    </w:p>
    <w:p w14:paraId="6E7631F4" w14:textId="70B85CD8" w:rsidR="00C9169D" w:rsidRPr="00E44E92" w:rsidRDefault="007147D7" w:rsidP="00C9169D">
      <w:pPr>
        <w:spacing w:after="120"/>
        <w:ind w:left="720"/>
        <w:rPr>
          <w:rFonts w:asciiTheme="minorHAnsi" w:hAnsiTheme="minorHAnsi" w:cs="Arial"/>
          <w:szCs w:val="24"/>
        </w:rPr>
      </w:pPr>
      <w:r w:rsidRPr="00E44E92">
        <w:rPr>
          <w:rFonts w:asciiTheme="minorHAnsi" w:hAnsiTheme="minorHAnsi" w:cs="Arial"/>
          <w:szCs w:val="24"/>
        </w:rPr>
        <w:t xml:space="preserve">Table 1 </w:t>
      </w:r>
      <w:r w:rsidR="000D4BD5" w:rsidRPr="00E44E92">
        <w:rPr>
          <w:rFonts w:asciiTheme="minorHAnsi" w:hAnsiTheme="minorHAnsi" w:cs="Arial"/>
          <w:szCs w:val="24"/>
        </w:rPr>
        <w:t xml:space="preserve">sets out </w:t>
      </w:r>
      <w:r w:rsidRPr="00E44E92">
        <w:rPr>
          <w:rFonts w:asciiTheme="minorHAnsi" w:hAnsiTheme="minorHAnsi" w:cs="Arial"/>
          <w:szCs w:val="24"/>
        </w:rPr>
        <w:t>the l</w:t>
      </w:r>
      <w:r w:rsidR="000512FC" w:rsidRPr="00E44E92">
        <w:rPr>
          <w:rFonts w:asciiTheme="minorHAnsi" w:hAnsiTheme="minorHAnsi" w:cs="Arial"/>
          <w:szCs w:val="24"/>
        </w:rPr>
        <w:t xml:space="preserve">icence fees </w:t>
      </w:r>
      <w:r w:rsidR="009B1492" w:rsidRPr="00E44E92">
        <w:rPr>
          <w:rFonts w:asciiTheme="minorHAnsi" w:hAnsiTheme="minorHAnsi" w:cs="Arial"/>
          <w:szCs w:val="24"/>
        </w:rPr>
        <w:t>for 20</w:t>
      </w:r>
      <w:r w:rsidR="00867BEB">
        <w:rPr>
          <w:rFonts w:asciiTheme="minorHAnsi" w:hAnsiTheme="minorHAnsi" w:cs="Arial"/>
          <w:szCs w:val="24"/>
        </w:rPr>
        <w:t>2</w:t>
      </w:r>
      <w:r w:rsidR="003A1D42">
        <w:rPr>
          <w:rFonts w:asciiTheme="minorHAnsi" w:hAnsiTheme="minorHAnsi" w:cs="Arial"/>
          <w:szCs w:val="24"/>
        </w:rPr>
        <w:t>2</w:t>
      </w:r>
      <w:r w:rsidR="008E1B58">
        <w:rPr>
          <w:rFonts w:asciiTheme="minorHAnsi" w:hAnsiTheme="minorHAnsi" w:cs="Arial"/>
          <w:szCs w:val="24"/>
        </w:rPr>
        <w:t>–</w:t>
      </w:r>
      <w:r w:rsidR="007D2FE7">
        <w:rPr>
          <w:rFonts w:asciiTheme="minorHAnsi" w:hAnsiTheme="minorHAnsi" w:cs="Arial"/>
          <w:szCs w:val="24"/>
        </w:rPr>
        <w:t>2</w:t>
      </w:r>
      <w:r w:rsidR="003A1D42">
        <w:rPr>
          <w:rFonts w:asciiTheme="minorHAnsi" w:hAnsiTheme="minorHAnsi" w:cs="Arial"/>
          <w:szCs w:val="24"/>
        </w:rPr>
        <w:t>3</w:t>
      </w:r>
      <w:r w:rsidRPr="00E44E92">
        <w:rPr>
          <w:rFonts w:asciiTheme="minorHAnsi" w:hAnsiTheme="minorHAnsi" w:cs="Arial"/>
          <w:szCs w:val="24"/>
        </w:rPr>
        <w:t xml:space="preserve"> </w:t>
      </w:r>
      <w:r w:rsidR="000512FC" w:rsidRPr="00E44E92">
        <w:rPr>
          <w:rFonts w:asciiTheme="minorHAnsi" w:hAnsiTheme="minorHAnsi" w:cs="Arial"/>
          <w:szCs w:val="24"/>
        </w:rPr>
        <w:t>payable by</w:t>
      </w:r>
      <w:r w:rsidR="00C9169D" w:rsidRPr="00E44E92">
        <w:rPr>
          <w:rFonts w:asciiTheme="minorHAnsi" w:hAnsiTheme="minorHAnsi" w:cs="Arial"/>
          <w:szCs w:val="24"/>
        </w:rPr>
        <w:t>:</w:t>
      </w:r>
    </w:p>
    <w:p w14:paraId="47674830" w14:textId="7848F2B8" w:rsidR="00C9169D" w:rsidRPr="00E44E92" w:rsidRDefault="000512FC" w:rsidP="00C9169D">
      <w:pPr>
        <w:numPr>
          <w:ilvl w:val="0"/>
          <w:numId w:val="14"/>
        </w:numPr>
        <w:tabs>
          <w:tab w:val="clear" w:pos="66"/>
          <w:tab w:val="left" w:pos="1134"/>
        </w:tabs>
        <w:spacing w:after="120"/>
        <w:ind w:left="1134" w:hanging="425"/>
        <w:rPr>
          <w:rFonts w:asciiTheme="minorHAnsi" w:hAnsiTheme="minorHAnsi" w:cs="Arial"/>
          <w:szCs w:val="24"/>
        </w:rPr>
      </w:pPr>
      <w:r w:rsidRPr="00E44E92">
        <w:rPr>
          <w:rFonts w:asciiTheme="minorHAnsi" w:hAnsiTheme="minorHAnsi" w:cs="Arial"/>
          <w:szCs w:val="24"/>
        </w:rPr>
        <w:t>East Australian Pipel</w:t>
      </w:r>
      <w:r w:rsidR="00B62665" w:rsidRPr="00E44E92">
        <w:rPr>
          <w:rFonts w:asciiTheme="minorHAnsi" w:hAnsiTheme="minorHAnsi" w:cs="Arial"/>
          <w:szCs w:val="24"/>
        </w:rPr>
        <w:t>ine Limited</w:t>
      </w:r>
      <w:r w:rsidR="00BC2061">
        <w:rPr>
          <w:rFonts w:asciiTheme="minorHAnsi" w:hAnsiTheme="minorHAnsi" w:cs="Arial"/>
          <w:szCs w:val="24"/>
        </w:rPr>
        <w:t xml:space="preserve"> (‘EAPL’)</w:t>
      </w:r>
      <w:r w:rsidR="00022458" w:rsidRPr="00E44E92">
        <w:rPr>
          <w:rFonts w:asciiTheme="minorHAnsi" w:hAnsiTheme="minorHAnsi" w:cs="Arial"/>
          <w:szCs w:val="24"/>
        </w:rPr>
        <w:t xml:space="preserve"> </w:t>
      </w:r>
      <w:r w:rsidRPr="00E44E92">
        <w:rPr>
          <w:rFonts w:asciiTheme="minorHAnsi" w:hAnsiTheme="minorHAnsi" w:cs="Arial"/>
          <w:szCs w:val="24"/>
        </w:rPr>
        <w:t>(licensed to supply gas transmission services)</w:t>
      </w:r>
      <w:r w:rsidR="00C9169D" w:rsidRPr="00E44E92">
        <w:rPr>
          <w:rFonts w:asciiTheme="minorHAnsi" w:hAnsiTheme="minorHAnsi" w:cs="Arial"/>
          <w:szCs w:val="24"/>
        </w:rPr>
        <w:t>;</w:t>
      </w:r>
    </w:p>
    <w:p w14:paraId="60493EAA" w14:textId="65CE3C5D" w:rsidR="000512FC" w:rsidRPr="00E44E92" w:rsidRDefault="00B62665" w:rsidP="00C9169D">
      <w:pPr>
        <w:numPr>
          <w:ilvl w:val="0"/>
          <w:numId w:val="14"/>
        </w:numPr>
        <w:tabs>
          <w:tab w:val="clear" w:pos="66"/>
          <w:tab w:val="left" w:pos="1134"/>
        </w:tabs>
        <w:spacing w:after="120"/>
        <w:ind w:left="1134" w:hanging="425"/>
        <w:rPr>
          <w:rFonts w:asciiTheme="minorHAnsi" w:hAnsiTheme="minorHAnsi" w:cs="Arial"/>
          <w:szCs w:val="24"/>
        </w:rPr>
      </w:pPr>
      <w:r w:rsidRPr="00E44E92">
        <w:rPr>
          <w:rFonts w:asciiTheme="minorHAnsi" w:hAnsiTheme="minorHAnsi" w:cs="Arial"/>
          <w:szCs w:val="24"/>
        </w:rPr>
        <w:t>Icon Water Limited</w:t>
      </w:r>
      <w:r w:rsidR="00BC2061">
        <w:rPr>
          <w:rFonts w:asciiTheme="minorHAnsi" w:hAnsiTheme="minorHAnsi" w:cs="Arial"/>
          <w:szCs w:val="24"/>
        </w:rPr>
        <w:t xml:space="preserve"> (‘Icon’)</w:t>
      </w:r>
      <w:r w:rsidRPr="00E44E92">
        <w:rPr>
          <w:rFonts w:asciiTheme="minorHAnsi" w:hAnsiTheme="minorHAnsi" w:cs="Arial"/>
          <w:szCs w:val="24"/>
        </w:rPr>
        <w:t xml:space="preserve"> </w:t>
      </w:r>
      <w:r w:rsidR="000512FC" w:rsidRPr="00E44E92">
        <w:rPr>
          <w:rFonts w:asciiTheme="minorHAnsi" w:hAnsiTheme="minorHAnsi" w:cs="Arial"/>
          <w:szCs w:val="24"/>
        </w:rPr>
        <w:t xml:space="preserve">(licensed to supply water and </w:t>
      </w:r>
      <w:r w:rsidR="009B1492" w:rsidRPr="00E44E92">
        <w:rPr>
          <w:rFonts w:asciiTheme="minorHAnsi" w:hAnsiTheme="minorHAnsi" w:cs="Arial"/>
          <w:szCs w:val="24"/>
        </w:rPr>
        <w:t>sewerage</w:t>
      </w:r>
      <w:r w:rsidR="00C9169D" w:rsidRPr="00E44E92">
        <w:rPr>
          <w:rFonts w:asciiTheme="minorHAnsi" w:hAnsiTheme="minorHAnsi" w:cs="Arial"/>
          <w:szCs w:val="24"/>
        </w:rPr>
        <w:t xml:space="preserve"> services); and</w:t>
      </w:r>
    </w:p>
    <w:p w14:paraId="74F5E8CE" w14:textId="76B1C5D2" w:rsidR="00C9169D" w:rsidRPr="00E44E92" w:rsidRDefault="00B62665" w:rsidP="00C9169D">
      <w:pPr>
        <w:numPr>
          <w:ilvl w:val="0"/>
          <w:numId w:val="14"/>
        </w:numPr>
        <w:tabs>
          <w:tab w:val="clear" w:pos="66"/>
          <w:tab w:val="left" w:pos="1134"/>
        </w:tabs>
        <w:spacing w:after="120"/>
        <w:ind w:left="1134" w:hanging="425"/>
        <w:rPr>
          <w:rFonts w:asciiTheme="minorHAnsi" w:hAnsiTheme="minorHAnsi" w:cs="Arial"/>
          <w:szCs w:val="24"/>
        </w:rPr>
      </w:pPr>
      <w:r w:rsidRPr="00E44E92">
        <w:rPr>
          <w:rFonts w:asciiTheme="minorHAnsi" w:hAnsiTheme="minorHAnsi" w:cs="Arial"/>
          <w:szCs w:val="24"/>
        </w:rPr>
        <w:t>TransGrid</w:t>
      </w:r>
      <w:r w:rsidR="00BC2061">
        <w:rPr>
          <w:rFonts w:asciiTheme="minorHAnsi" w:hAnsiTheme="minorHAnsi" w:cs="Arial"/>
          <w:szCs w:val="24"/>
        </w:rPr>
        <w:t xml:space="preserve"> (‘</w:t>
      </w:r>
      <w:r w:rsidR="004A5B4F">
        <w:rPr>
          <w:rFonts w:asciiTheme="minorHAnsi" w:hAnsiTheme="minorHAnsi" w:cs="Arial"/>
          <w:szCs w:val="24"/>
        </w:rPr>
        <w:t>TG’)</w:t>
      </w:r>
      <w:r w:rsidRPr="00E44E92">
        <w:rPr>
          <w:rFonts w:asciiTheme="minorHAnsi" w:hAnsiTheme="minorHAnsi" w:cs="Arial"/>
          <w:szCs w:val="24"/>
        </w:rPr>
        <w:t xml:space="preserve"> </w:t>
      </w:r>
      <w:r w:rsidR="00C9169D" w:rsidRPr="00E44E92">
        <w:rPr>
          <w:rFonts w:asciiTheme="minorHAnsi" w:hAnsiTheme="minorHAnsi" w:cs="Arial"/>
          <w:szCs w:val="24"/>
        </w:rPr>
        <w:t>(licensed to provide electricity transmission services).</w:t>
      </w:r>
    </w:p>
    <w:p w14:paraId="18F11A01" w14:textId="77777777" w:rsidR="000512FC" w:rsidRPr="00E44E92" w:rsidRDefault="000512FC" w:rsidP="00A969B4">
      <w:pPr>
        <w:ind w:left="709"/>
        <w:rPr>
          <w:rFonts w:asciiTheme="minorHAnsi" w:hAnsiTheme="minorHAnsi" w:cs="Arial"/>
          <w:iCs/>
          <w:szCs w:val="24"/>
        </w:rPr>
      </w:pPr>
    </w:p>
    <w:p w14:paraId="747F52E1" w14:textId="337BE685" w:rsidR="0058791C" w:rsidRPr="00E44E92" w:rsidRDefault="0058791C" w:rsidP="0058791C">
      <w:pPr>
        <w:ind w:left="709"/>
        <w:rPr>
          <w:rFonts w:asciiTheme="minorHAnsi" w:hAnsiTheme="minorHAnsi" w:cs="Arial"/>
          <w:iCs/>
          <w:szCs w:val="24"/>
        </w:rPr>
      </w:pPr>
      <w:r w:rsidRPr="00E44E92">
        <w:rPr>
          <w:rFonts w:asciiTheme="minorHAnsi" w:hAnsiTheme="minorHAnsi" w:cs="Arial"/>
          <w:iCs/>
          <w:szCs w:val="24"/>
        </w:rPr>
        <w:t>Table 2 sets out the derivation of the licence fees payable</w:t>
      </w:r>
      <w:r w:rsidR="004920EC">
        <w:rPr>
          <w:rFonts w:asciiTheme="minorHAnsi" w:hAnsiTheme="minorHAnsi" w:cs="Arial"/>
          <w:iCs/>
          <w:szCs w:val="24"/>
        </w:rPr>
        <w:t>, in full as a lump sum,</w:t>
      </w:r>
      <w:r w:rsidRPr="00E44E92">
        <w:rPr>
          <w:rFonts w:asciiTheme="minorHAnsi" w:hAnsiTheme="minorHAnsi" w:cs="Arial"/>
          <w:iCs/>
          <w:szCs w:val="24"/>
        </w:rPr>
        <w:t xml:space="preserve"> including the adjustment for </w:t>
      </w:r>
      <w:r w:rsidR="00A5424A" w:rsidRPr="00E44E92">
        <w:rPr>
          <w:rFonts w:asciiTheme="minorHAnsi" w:hAnsiTheme="minorHAnsi" w:cs="Arial"/>
          <w:iCs/>
          <w:szCs w:val="24"/>
        </w:rPr>
        <w:t xml:space="preserve">the </w:t>
      </w:r>
      <w:r w:rsidRPr="00E44E92">
        <w:rPr>
          <w:rFonts w:asciiTheme="minorHAnsi" w:hAnsiTheme="minorHAnsi" w:cs="Arial"/>
          <w:iCs/>
          <w:szCs w:val="24"/>
        </w:rPr>
        <w:t xml:space="preserve">difference between the total estimated </w:t>
      </w:r>
      <w:r w:rsidR="000B460B" w:rsidRPr="00E44E92">
        <w:rPr>
          <w:rFonts w:asciiTheme="minorHAnsi" w:hAnsiTheme="minorHAnsi" w:cs="Arial"/>
          <w:iCs/>
          <w:szCs w:val="24"/>
        </w:rPr>
        <w:t xml:space="preserve">regulatory costs for </w:t>
      </w:r>
      <w:r w:rsidR="000B460B" w:rsidRPr="00BC2061">
        <w:rPr>
          <w:rFonts w:asciiTheme="minorHAnsi" w:hAnsiTheme="minorHAnsi" w:cs="Arial"/>
          <w:iCs/>
          <w:szCs w:val="24"/>
        </w:rPr>
        <w:t>20</w:t>
      </w:r>
      <w:r w:rsidR="00867BEB" w:rsidRPr="00BC2061">
        <w:rPr>
          <w:rFonts w:asciiTheme="minorHAnsi" w:hAnsiTheme="minorHAnsi" w:cs="Arial"/>
          <w:iCs/>
          <w:szCs w:val="24"/>
        </w:rPr>
        <w:t>2</w:t>
      </w:r>
      <w:r w:rsidR="003A1D42">
        <w:rPr>
          <w:rFonts w:asciiTheme="minorHAnsi" w:hAnsiTheme="minorHAnsi" w:cs="Arial"/>
          <w:iCs/>
          <w:szCs w:val="24"/>
        </w:rPr>
        <w:t>1</w:t>
      </w:r>
      <w:r w:rsidR="008E1B58" w:rsidRPr="00BC2061">
        <w:rPr>
          <w:rFonts w:asciiTheme="minorHAnsi" w:hAnsiTheme="minorHAnsi" w:cs="Arial"/>
          <w:iCs/>
          <w:szCs w:val="24"/>
        </w:rPr>
        <w:t>–</w:t>
      </w:r>
      <w:r w:rsidR="00867BEB" w:rsidRPr="00BC2061">
        <w:rPr>
          <w:rFonts w:asciiTheme="minorHAnsi" w:hAnsiTheme="minorHAnsi" w:cs="Arial"/>
          <w:iCs/>
          <w:szCs w:val="24"/>
        </w:rPr>
        <w:t>2</w:t>
      </w:r>
      <w:r w:rsidR="003A1D42">
        <w:rPr>
          <w:rFonts w:asciiTheme="minorHAnsi" w:hAnsiTheme="minorHAnsi" w:cs="Arial"/>
          <w:iCs/>
          <w:szCs w:val="24"/>
        </w:rPr>
        <w:t>2</w:t>
      </w:r>
      <w:r w:rsidRPr="00BC2061">
        <w:rPr>
          <w:rFonts w:asciiTheme="minorHAnsi" w:hAnsiTheme="minorHAnsi" w:cs="Arial"/>
          <w:iCs/>
          <w:szCs w:val="24"/>
        </w:rPr>
        <w:t xml:space="preserve"> and the total </w:t>
      </w:r>
      <w:r w:rsidR="00213228" w:rsidRPr="00BC2061">
        <w:rPr>
          <w:rFonts w:asciiTheme="minorHAnsi" w:hAnsiTheme="minorHAnsi" w:cs="Arial"/>
          <w:iCs/>
          <w:szCs w:val="24"/>
        </w:rPr>
        <w:t>actual regulatory costs for 20</w:t>
      </w:r>
      <w:r w:rsidR="00867BEB" w:rsidRPr="00BC2061">
        <w:rPr>
          <w:rFonts w:asciiTheme="minorHAnsi" w:hAnsiTheme="minorHAnsi" w:cs="Arial"/>
          <w:iCs/>
          <w:szCs w:val="24"/>
        </w:rPr>
        <w:t>2</w:t>
      </w:r>
      <w:r w:rsidR="003A1D42">
        <w:rPr>
          <w:rFonts w:asciiTheme="minorHAnsi" w:hAnsiTheme="minorHAnsi" w:cs="Arial"/>
          <w:iCs/>
          <w:szCs w:val="24"/>
        </w:rPr>
        <w:t>1</w:t>
      </w:r>
      <w:r w:rsidR="003A1D42">
        <w:rPr>
          <w:rFonts w:asciiTheme="minorHAnsi" w:hAnsiTheme="minorHAnsi" w:cs="Arial"/>
          <w:iCs/>
          <w:szCs w:val="24"/>
        </w:rPr>
        <w:noBreakHyphen/>
      </w:r>
      <w:r w:rsidR="00867BEB" w:rsidRPr="00BC2061">
        <w:rPr>
          <w:rFonts w:asciiTheme="minorHAnsi" w:hAnsiTheme="minorHAnsi" w:cs="Arial"/>
          <w:iCs/>
          <w:szCs w:val="24"/>
        </w:rPr>
        <w:t>2</w:t>
      </w:r>
      <w:r w:rsidR="003A1D42">
        <w:rPr>
          <w:rFonts w:asciiTheme="minorHAnsi" w:hAnsiTheme="minorHAnsi" w:cs="Arial"/>
          <w:iCs/>
          <w:szCs w:val="24"/>
        </w:rPr>
        <w:t>2</w:t>
      </w:r>
      <w:r w:rsidRPr="00BC2061">
        <w:rPr>
          <w:rFonts w:asciiTheme="minorHAnsi" w:hAnsiTheme="minorHAnsi" w:cs="Arial"/>
          <w:iCs/>
          <w:szCs w:val="24"/>
        </w:rPr>
        <w:t>.</w:t>
      </w:r>
    </w:p>
    <w:p w14:paraId="539B7C9F" w14:textId="77777777" w:rsidR="007D2FE7" w:rsidRDefault="007D2FE7">
      <w:pPr>
        <w:rPr>
          <w:rFonts w:asciiTheme="minorHAnsi" w:hAnsiTheme="minorHAnsi" w:cs="Arial"/>
          <w:iCs/>
          <w:szCs w:val="24"/>
        </w:rPr>
      </w:pPr>
      <w:r>
        <w:rPr>
          <w:rFonts w:asciiTheme="minorHAnsi" w:hAnsiTheme="minorHAnsi" w:cs="Arial"/>
          <w:iCs/>
          <w:szCs w:val="24"/>
        </w:rPr>
        <w:br w:type="page"/>
      </w:r>
    </w:p>
    <w:p w14:paraId="0F08B568" w14:textId="77777777" w:rsidR="0058791C" w:rsidRPr="00E44E92" w:rsidRDefault="0058791C" w:rsidP="0058791C">
      <w:pPr>
        <w:ind w:left="709"/>
        <w:rPr>
          <w:rFonts w:asciiTheme="minorHAnsi" w:hAnsiTheme="minorHAnsi" w:cs="Arial"/>
          <w:iCs/>
          <w:szCs w:val="24"/>
        </w:rPr>
      </w:pPr>
    </w:p>
    <w:p w14:paraId="5C2421DC" w14:textId="51F4F762" w:rsidR="0058791C" w:rsidRPr="00E44E92" w:rsidRDefault="0058791C" w:rsidP="0058791C">
      <w:pPr>
        <w:spacing w:after="120"/>
        <w:ind w:left="720"/>
        <w:rPr>
          <w:rFonts w:asciiTheme="minorHAnsi" w:hAnsiTheme="minorHAnsi" w:cs="Arial"/>
          <w:szCs w:val="24"/>
        </w:rPr>
      </w:pPr>
      <w:r w:rsidRPr="00E44E92">
        <w:rPr>
          <w:rFonts w:asciiTheme="minorHAnsi" w:hAnsiTheme="minorHAnsi" w:cs="Arial"/>
          <w:szCs w:val="24"/>
        </w:rPr>
        <w:t xml:space="preserve">In determining the licence fee payable by each utility, the </w:t>
      </w:r>
      <w:r w:rsidR="003A1D42">
        <w:rPr>
          <w:rFonts w:asciiTheme="minorHAnsi" w:hAnsiTheme="minorHAnsi" w:cs="Arial"/>
          <w:szCs w:val="24"/>
        </w:rPr>
        <w:t>c</w:t>
      </w:r>
      <w:r w:rsidRPr="00E44E92">
        <w:rPr>
          <w:rFonts w:asciiTheme="minorHAnsi" w:hAnsiTheme="minorHAnsi" w:cs="Arial"/>
          <w:szCs w:val="24"/>
        </w:rPr>
        <w:t>ommission had regard to:</w:t>
      </w:r>
    </w:p>
    <w:p w14:paraId="7133CEE8" w14:textId="77777777" w:rsidR="0058791C" w:rsidRPr="00E44E92" w:rsidRDefault="0058791C" w:rsidP="0058791C">
      <w:pPr>
        <w:numPr>
          <w:ilvl w:val="0"/>
          <w:numId w:val="14"/>
        </w:numPr>
        <w:tabs>
          <w:tab w:val="clear" w:pos="66"/>
          <w:tab w:val="left" w:pos="1134"/>
        </w:tabs>
        <w:spacing w:after="120"/>
        <w:ind w:left="1134" w:hanging="425"/>
        <w:rPr>
          <w:rFonts w:asciiTheme="minorHAnsi" w:hAnsiTheme="minorHAnsi" w:cs="Arial"/>
          <w:szCs w:val="24"/>
        </w:rPr>
      </w:pPr>
      <w:r w:rsidRPr="00E44E92">
        <w:rPr>
          <w:rFonts w:asciiTheme="minorHAnsi" w:hAnsiTheme="minorHAnsi" w:cs="Arial"/>
          <w:szCs w:val="24"/>
        </w:rPr>
        <w:t xml:space="preserve">what it considered the utilities should make as a reasonable contribution towards the costs incurred or expected to be incurred by the three regulators; </w:t>
      </w:r>
    </w:p>
    <w:p w14:paraId="6B95A040" w14:textId="77777777" w:rsidR="0058791C" w:rsidRPr="00E44E92" w:rsidRDefault="0058791C" w:rsidP="0058791C">
      <w:pPr>
        <w:numPr>
          <w:ilvl w:val="0"/>
          <w:numId w:val="14"/>
        </w:numPr>
        <w:tabs>
          <w:tab w:val="clear" w:pos="66"/>
          <w:tab w:val="left" w:pos="1134"/>
        </w:tabs>
        <w:spacing w:after="120"/>
        <w:ind w:left="1134" w:hanging="425"/>
        <w:rPr>
          <w:rFonts w:asciiTheme="minorHAnsi" w:hAnsiTheme="minorHAnsi" w:cs="Arial"/>
          <w:szCs w:val="24"/>
        </w:rPr>
      </w:pPr>
      <w:r w:rsidRPr="00E44E92">
        <w:rPr>
          <w:rFonts w:asciiTheme="minorHAnsi" w:hAnsiTheme="minorHAnsi" w:cs="Arial"/>
          <w:szCs w:val="24"/>
        </w:rPr>
        <w:t>the amount of the fee and the way it is worked out; and</w:t>
      </w:r>
    </w:p>
    <w:p w14:paraId="6631AEC2" w14:textId="77777777" w:rsidR="009F6CE7" w:rsidRPr="00E44E92" w:rsidRDefault="0058791C">
      <w:pPr>
        <w:numPr>
          <w:ilvl w:val="0"/>
          <w:numId w:val="14"/>
        </w:numPr>
        <w:tabs>
          <w:tab w:val="clear" w:pos="66"/>
          <w:tab w:val="left" w:pos="1134"/>
        </w:tabs>
        <w:spacing w:after="120"/>
        <w:ind w:left="1134" w:hanging="425"/>
        <w:rPr>
          <w:rFonts w:asciiTheme="minorHAnsi" w:hAnsiTheme="minorHAnsi" w:cs="Arial"/>
          <w:szCs w:val="24"/>
        </w:rPr>
      </w:pPr>
      <w:r w:rsidRPr="00E44E92">
        <w:rPr>
          <w:rFonts w:asciiTheme="minorHAnsi" w:hAnsiTheme="minorHAnsi" w:cs="Arial"/>
          <w:szCs w:val="24"/>
        </w:rPr>
        <w:t>the relative scope and nature of the services provided by all utilities.</w:t>
      </w:r>
    </w:p>
    <w:p w14:paraId="1B0A3DE4" w14:textId="77777777" w:rsidR="003B0D91" w:rsidRPr="00E44E92" w:rsidRDefault="00A969B4" w:rsidP="0058791C">
      <w:pPr>
        <w:ind w:left="709"/>
        <w:rPr>
          <w:rFonts w:asciiTheme="minorHAnsi" w:hAnsiTheme="minorHAnsi" w:cs="Arial"/>
          <w:iCs/>
          <w:szCs w:val="24"/>
        </w:rPr>
      </w:pPr>
      <w:r w:rsidRPr="00E44E92">
        <w:rPr>
          <w:rFonts w:asciiTheme="minorHAnsi" w:hAnsiTheme="minorHAnsi" w:cs="Arial"/>
          <w:iCs/>
          <w:szCs w:val="24"/>
        </w:rPr>
        <w:t>Table</w:t>
      </w:r>
      <w:r w:rsidR="00115650" w:rsidRPr="00E44E92">
        <w:rPr>
          <w:rFonts w:asciiTheme="minorHAnsi" w:hAnsiTheme="minorHAnsi" w:cs="Arial"/>
          <w:iCs/>
          <w:szCs w:val="24"/>
        </w:rPr>
        <w:t>s</w:t>
      </w:r>
      <w:r w:rsidRPr="00E44E92">
        <w:rPr>
          <w:rFonts w:asciiTheme="minorHAnsi" w:hAnsiTheme="minorHAnsi" w:cs="Arial"/>
          <w:iCs/>
          <w:szCs w:val="24"/>
        </w:rPr>
        <w:t xml:space="preserve"> </w:t>
      </w:r>
      <w:r w:rsidR="002022A9" w:rsidRPr="00E44E92">
        <w:rPr>
          <w:rFonts w:asciiTheme="minorHAnsi" w:hAnsiTheme="minorHAnsi" w:cs="Arial"/>
          <w:iCs/>
          <w:szCs w:val="24"/>
        </w:rPr>
        <w:t>3-6</w:t>
      </w:r>
      <w:r w:rsidRPr="00E44E92">
        <w:rPr>
          <w:rFonts w:asciiTheme="minorHAnsi" w:hAnsiTheme="minorHAnsi" w:cs="Arial"/>
          <w:iCs/>
          <w:szCs w:val="24"/>
        </w:rPr>
        <w:t xml:space="preserve"> </w:t>
      </w:r>
      <w:r w:rsidR="00115650" w:rsidRPr="00E44E92">
        <w:rPr>
          <w:rFonts w:asciiTheme="minorHAnsi" w:hAnsiTheme="minorHAnsi" w:cs="Arial"/>
          <w:iCs/>
          <w:szCs w:val="24"/>
        </w:rPr>
        <w:t>set</w:t>
      </w:r>
      <w:r w:rsidR="000D4BD5" w:rsidRPr="00E44E92">
        <w:rPr>
          <w:rFonts w:asciiTheme="minorHAnsi" w:hAnsiTheme="minorHAnsi" w:cs="Arial"/>
          <w:iCs/>
          <w:szCs w:val="24"/>
        </w:rPr>
        <w:t xml:space="preserve"> out the total </w:t>
      </w:r>
      <w:r w:rsidR="00115650" w:rsidRPr="00E44E92">
        <w:rPr>
          <w:rFonts w:asciiTheme="minorHAnsi" w:hAnsiTheme="minorHAnsi" w:cs="Arial"/>
          <w:iCs/>
          <w:szCs w:val="24"/>
        </w:rPr>
        <w:t>regulatory costs f</w:t>
      </w:r>
      <w:r w:rsidR="00B62665" w:rsidRPr="00E44E92">
        <w:rPr>
          <w:rFonts w:asciiTheme="minorHAnsi" w:hAnsiTheme="minorHAnsi" w:cs="Arial"/>
          <w:iCs/>
          <w:szCs w:val="24"/>
        </w:rPr>
        <w:t xml:space="preserve">or </w:t>
      </w:r>
      <w:r w:rsidRPr="00E44E92">
        <w:rPr>
          <w:rFonts w:asciiTheme="minorHAnsi" w:hAnsiTheme="minorHAnsi" w:cs="Arial"/>
          <w:iCs/>
          <w:szCs w:val="24"/>
        </w:rPr>
        <w:t xml:space="preserve">the </w:t>
      </w:r>
      <w:r w:rsidR="00132439" w:rsidRPr="00E44E92">
        <w:rPr>
          <w:rFonts w:asciiTheme="minorHAnsi" w:hAnsiTheme="minorHAnsi" w:cs="Arial"/>
          <w:iCs/>
          <w:szCs w:val="24"/>
        </w:rPr>
        <w:t xml:space="preserve">three </w:t>
      </w:r>
      <w:r w:rsidR="000D4BD5" w:rsidRPr="00E44E92">
        <w:rPr>
          <w:rFonts w:asciiTheme="minorHAnsi" w:hAnsiTheme="minorHAnsi" w:cs="Arial"/>
          <w:iCs/>
          <w:szCs w:val="24"/>
        </w:rPr>
        <w:t xml:space="preserve">ACT government </w:t>
      </w:r>
      <w:r w:rsidR="002528E4" w:rsidRPr="00E44E92">
        <w:rPr>
          <w:rFonts w:asciiTheme="minorHAnsi" w:hAnsiTheme="minorHAnsi" w:cs="Arial"/>
          <w:iCs/>
          <w:szCs w:val="24"/>
        </w:rPr>
        <w:t xml:space="preserve">utility </w:t>
      </w:r>
      <w:r w:rsidR="004D72BD" w:rsidRPr="00E44E92">
        <w:rPr>
          <w:rFonts w:asciiTheme="minorHAnsi" w:hAnsiTheme="minorHAnsi" w:cs="Arial"/>
          <w:iCs/>
          <w:szCs w:val="24"/>
        </w:rPr>
        <w:t>regulators</w:t>
      </w:r>
      <w:r w:rsidR="00F71A3F" w:rsidRPr="00E44E92">
        <w:rPr>
          <w:rFonts w:asciiTheme="minorHAnsi" w:hAnsiTheme="minorHAnsi" w:cs="Arial"/>
          <w:iCs/>
          <w:szCs w:val="24"/>
        </w:rPr>
        <w:t xml:space="preserve"> used in the derivation of the annual licence fees</w:t>
      </w:r>
      <w:r w:rsidR="003B0D91" w:rsidRPr="00E44E92">
        <w:rPr>
          <w:rFonts w:asciiTheme="minorHAnsi" w:hAnsiTheme="minorHAnsi" w:cs="Arial"/>
          <w:iCs/>
          <w:szCs w:val="24"/>
        </w:rPr>
        <w:t>, namely:</w:t>
      </w:r>
    </w:p>
    <w:p w14:paraId="72F51F81" w14:textId="77777777" w:rsidR="003B0D91" w:rsidRPr="00E44E92" w:rsidRDefault="003B0D91" w:rsidP="00A969B4">
      <w:pPr>
        <w:ind w:left="709"/>
        <w:rPr>
          <w:rFonts w:asciiTheme="minorHAnsi" w:hAnsiTheme="minorHAnsi" w:cs="Arial"/>
          <w:iCs/>
          <w:szCs w:val="24"/>
        </w:rPr>
      </w:pPr>
    </w:p>
    <w:p w14:paraId="40C6833C" w14:textId="0AAEEBFD" w:rsidR="00A64A3E" w:rsidRPr="00E44E92" w:rsidRDefault="003B0D91" w:rsidP="003B0D91">
      <w:pPr>
        <w:numPr>
          <w:ilvl w:val="0"/>
          <w:numId w:val="14"/>
        </w:numPr>
        <w:tabs>
          <w:tab w:val="clear" w:pos="66"/>
          <w:tab w:val="left" w:pos="1134"/>
        </w:tabs>
        <w:spacing w:after="120"/>
        <w:ind w:left="1134" w:hanging="425"/>
        <w:rPr>
          <w:rFonts w:asciiTheme="minorHAnsi" w:hAnsiTheme="minorHAnsi" w:cs="Arial"/>
          <w:szCs w:val="24"/>
        </w:rPr>
      </w:pPr>
      <w:r w:rsidRPr="00E44E92">
        <w:rPr>
          <w:rFonts w:asciiTheme="minorHAnsi" w:hAnsiTheme="minorHAnsi" w:cs="Arial"/>
          <w:szCs w:val="24"/>
        </w:rPr>
        <w:t xml:space="preserve">the </w:t>
      </w:r>
      <w:r w:rsidR="003A1D42">
        <w:rPr>
          <w:rFonts w:asciiTheme="minorHAnsi" w:hAnsiTheme="minorHAnsi" w:cs="Arial"/>
          <w:szCs w:val="24"/>
        </w:rPr>
        <w:t>c</w:t>
      </w:r>
      <w:r w:rsidR="00A969B4" w:rsidRPr="00E44E92">
        <w:rPr>
          <w:rFonts w:asciiTheme="minorHAnsi" w:hAnsiTheme="minorHAnsi" w:cs="Arial"/>
          <w:szCs w:val="24"/>
        </w:rPr>
        <w:t>ommission</w:t>
      </w:r>
      <w:r w:rsidR="004A5B4F">
        <w:rPr>
          <w:rFonts w:asciiTheme="minorHAnsi" w:hAnsiTheme="minorHAnsi" w:cs="Arial"/>
          <w:szCs w:val="24"/>
        </w:rPr>
        <w:t xml:space="preserve"> (‘ICRC’)</w:t>
      </w:r>
      <w:r w:rsidR="00DD5D34" w:rsidRPr="00E44E92">
        <w:rPr>
          <w:rFonts w:asciiTheme="minorHAnsi" w:hAnsiTheme="minorHAnsi" w:cs="Arial"/>
          <w:szCs w:val="24"/>
        </w:rPr>
        <w:t>;</w:t>
      </w:r>
      <w:r w:rsidR="00A969B4" w:rsidRPr="00E44E92">
        <w:rPr>
          <w:rFonts w:asciiTheme="minorHAnsi" w:hAnsiTheme="minorHAnsi" w:cs="Arial"/>
          <w:szCs w:val="24"/>
        </w:rPr>
        <w:t xml:space="preserve"> </w:t>
      </w:r>
    </w:p>
    <w:p w14:paraId="1AA579E1" w14:textId="5C7F89AD" w:rsidR="00A64A3E" w:rsidRPr="00E44E92" w:rsidRDefault="00A969B4" w:rsidP="003B0D91">
      <w:pPr>
        <w:numPr>
          <w:ilvl w:val="0"/>
          <w:numId w:val="14"/>
        </w:numPr>
        <w:tabs>
          <w:tab w:val="clear" w:pos="66"/>
          <w:tab w:val="left" w:pos="1134"/>
        </w:tabs>
        <w:spacing w:after="120"/>
        <w:ind w:left="1134" w:hanging="425"/>
        <w:rPr>
          <w:rFonts w:asciiTheme="minorHAnsi" w:hAnsiTheme="minorHAnsi" w:cs="Arial"/>
          <w:szCs w:val="24"/>
        </w:rPr>
      </w:pPr>
      <w:r w:rsidRPr="00E44E92">
        <w:rPr>
          <w:rFonts w:asciiTheme="minorHAnsi" w:hAnsiTheme="minorHAnsi" w:cs="Arial"/>
          <w:szCs w:val="24"/>
        </w:rPr>
        <w:t>the ACT Ci</w:t>
      </w:r>
      <w:r w:rsidR="00A64A3E" w:rsidRPr="00E44E92">
        <w:rPr>
          <w:rFonts w:asciiTheme="minorHAnsi" w:hAnsiTheme="minorHAnsi" w:cs="Arial"/>
          <w:szCs w:val="24"/>
        </w:rPr>
        <w:t>vil and Administrative Tribunal</w:t>
      </w:r>
      <w:r w:rsidR="004A5B4F">
        <w:rPr>
          <w:rFonts w:asciiTheme="minorHAnsi" w:hAnsiTheme="minorHAnsi" w:cs="Arial"/>
          <w:szCs w:val="24"/>
        </w:rPr>
        <w:t xml:space="preserve"> (‘ACAT’)</w:t>
      </w:r>
      <w:r w:rsidRPr="00E44E92">
        <w:rPr>
          <w:rFonts w:asciiTheme="minorHAnsi" w:hAnsiTheme="minorHAnsi" w:cs="Arial"/>
          <w:szCs w:val="24"/>
        </w:rPr>
        <w:t xml:space="preserve"> </w:t>
      </w:r>
    </w:p>
    <w:p w14:paraId="5941617D" w14:textId="14896AC2" w:rsidR="000512FC" w:rsidRPr="00E44E92" w:rsidRDefault="00256B64" w:rsidP="00A64A3E">
      <w:pPr>
        <w:numPr>
          <w:ilvl w:val="0"/>
          <w:numId w:val="14"/>
        </w:numPr>
        <w:tabs>
          <w:tab w:val="clear" w:pos="66"/>
          <w:tab w:val="left" w:pos="1134"/>
        </w:tabs>
        <w:spacing w:after="120"/>
        <w:ind w:left="1134" w:hanging="425"/>
        <w:rPr>
          <w:rFonts w:asciiTheme="minorHAnsi" w:hAnsiTheme="minorHAnsi" w:cs="Arial"/>
          <w:szCs w:val="24"/>
        </w:rPr>
      </w:pPr>
      <w:r w:rsidRPr="00E44E92">
        <w:rPr>
          <w:rFonts w:asciiTheme="minorHAnsi" w:hAnsiTheme="minorHAnsi" w:cs="Arial"/>
          <w:szCs w:val="24"/>
        </w:rPr>
        <w:t xml:space="preserve">the </w:t>
      </w:r>
      <w:r w:rsidR="00713955">
        <w:rPr>
          <w:rFonts w:asciiTheme="minorHAnsi" w:hAnsiTheme="minorHAnsi" w:cs="Arial"/>
          <w:szCs w:val="24"/>
        </w:rPr>
        <w:t>T</w:t>
      </w:r>
      <w:r w:rsidR="002528E4" w:rsidRPr="00E44E92">
        <w:rPr>
          <w:rFonts w:asciiTheme="minorHAnsi" w:hAnsiTheme="minorHAnsi" w:cs="Arial"/>
          <w:szCs w:val="24"/>
        </w:rPr>
        <w:t xml:space="preserve">echnical </w:t>
      </w:r>
      <w:r w:rsidR="00713955">
        <w:rPr>
          <w:rFonts w:asciiTheme="minorHAnsi" w:hAnsiTheme="minorHAnsi" w:cs="Arial"/>
          <w:szCs w:val="24"/>
        </w:rPr>
        <w:t>R</w:t>
      </w:r>
      <w:r w:rsidR="002528E4" w:rsidRPr="00E44E92">
        <w:rPr>
          <w:rFonts w:asciiTheme="minorHAnsi" w:hAnsiTheme="minorHAnsi" w:cs="Arial"/>
          <w:szCs w:val="24"/>
        </w:rPr>
        <w:t>egulator</w:t>
      </w:r>
      <w:r w:rsidR="004A5B4F">
        <w:rPr>
          <w:rFonts w:asciiTheme="minorHAnsi" w:hAnsiTheme="minorHAnsi" w:cs="Arial"/>
          <w:szCs w:val="24"/>
        </w:rPr>
        <w:t xml:space="preserve"> (‘UTR’)</w:t>
      </w:r>
      <w:r w:rsidR="00A4286F" w:rsidRPr="00E44E92">
        <w:rPr>
          <w:rFonts w:asciiTheme="minorHAnsi" w:hAnsiTheme="minorHAnsi" w:cs="Arial"/>
          <w:szCs w:val="24"/>
        </w:rPr>
        <w:t xml:space="preserve">. </w:t>
      </w:r>
    </w:p>
    <w:p w14:paraId="3C45CD74" w14:textId="77777777" w:rsidR="00A969B4" w:rsidRPr="00E44E92" w:rsidRDefault="003E500C" w:rsidP="00A969B4">
      <w:pPr>
        <w:spacing w:before="240" w:after="60"/>
        <w:ind w:left="720" w:hanging="720"/>
        <w:rPr>
          <w:rFonts w:ascii="Arial" w:hAnsi="Arial" w:cs="Arial"/>
          <w:b/>
          <w:bCs/>
          <w:szCs w:val="24"/>
        </w:rPr>
      </w:pPr>
      <w:r w:rsidRPr="00E44E92">
        <w:rPr>
          <w:rFonts w:ascii="Arial" w:hAnsi="Arial" w:cs="Arial"/>
          <w:b/>
          <w:bCs/>
          <w:szCs w:val="24"/>
        </w:rPr>
        <w:t>5</w:t>
      </w:r>
      <w:r w:rsidR="00A969B4" w:rsidRPr="00E44E92">
        <w:rPr>
          <w:rFonts w:ascii="Arial" w:hAnsi="Arial" w:cs="Arial"/>
          <w:b/>
          <w:bCs/>
          <w:szCs w:val="24"/>
        </w:rPr>
        <w:tab/>
        <w:t xml:space="preserve">Public access to determination of annual licence fees </w:t>
      </w:r>
    </w:p>
    <w:p w14:paraId="5CE7BB32" w14:textId="77777777" w:rsidR="00A969B4" w:rsidRPr="00E44E92" w:rsidRDefault="00A969B4" w:rsidP="004920EC">
      <w:pPr>
        <w:spacing w:after="120"/>
        <w:ind w:left="720"/>
        <w:rPr>
          <w:rFonts w:asciiTheme="minorHAnsi" w:hAnsiTheme="minorHAnsi" w:cs="Arial"/>
          <w:szCs w:val="24"/>
        </w:rPr>
      </w:pPr>
      <w:r w:rsidRPr="00E44E92">
        <w:rPr>
          <w:rFonts w:asciiTheme="minorHAnsi" w:hAnsiTheme="minorHAnsi" w:cs="Arial"/>
          <w:szCs w:val="24"/>
        </w:rPr>
        <w:t>Copies of th</w:t>
      </w:r>
      <w:r w:rsidR="008F59E5" w:rsidRPr="00E44E92">
        <w:rPr>
          <w:rFonts w:asciiTheme="minorHAnsi" w:hAnsiTheme="minorHAnsi" w:cs="Arial"/>
          <w:szCs w:val="24"/>
        </w:rPr>
        <w:t>is</w:t>
      </w:r>
      <w:r w:rsidRPr="00E44E92">
        <w:rPr>
          <w:rFonts w:asciiTheme="minorHAnsi" w:hAnsiTheme="minorHAnsi" w:cs="Arial"/>
          <w:szCs w:val="24"/>
        </w:rPr>
        <w:t xml:space="preserve"> determination of annual licence fees are </w:t>
      </w:r>
      <w:r w:rsidR="00033C6F">
        <w:rPr>
          <w:rFonts w:asciiTheme="minorHAnsi" w:hAnsiTheme="minorHAnsi" w:cs="Arial"/>
          <w:szCs w:val="24"/>
        </w:rPr>
        <w:t xml:space="preserve">made </w:t>
      </w:r>
      <w:r w:rsidRPr="00E44E92">
        <w:rPr>
          <w:rFonts w:asciiTheme="minorHAnsi" w:hAnsiTheme="minorHAnsi" w:cs="Arial"/>
          <w:szCs w:val="24"/>
        </w:rPr>
        <w:t xml:space="preserve">available </w:t>
      </w:r>
      <w:r w:rsidR="004920EC">
        <w:rPr>
          <w:rFonts w:asciiTheme="minorHAnsi" w:hAnsiTheme="minorHAnsi" w:cs="Arial"/>
          <w:szCs w:val="24"/>
        </w:rPr>
        <w:t xml:space="preserve">to </w:t>
      </w:r>
      <w:r w:rsidRPr="00E44E92">
        <w:rPr>
          <w:rFonts w:asciiTheme="minorHAnsi" w:hAnsiTheme="minorHAnsi" w:cs="Arial"/>
          <w:szCs w:val="24"/>
        </w:rPr>
        <w:t>members of the public</w:t>
      </w:r>
      <w:r w:rsidR="004920EC">
        <w:rPr>
          <w:rFonts w:asciiTheme="minorHAnsi" w:hAnsiTheme="minorHAnsi" w:cs="Arial"/>
          <w:szCs w:val="24"/>
        </w:rPr>
        <w:t xml:space="preserve"> </w:t>
      </w:r>
      <w:r w:rsidR="00033C6F">
        <w:rPr>
          <w:rFonts w:asciiTheme="minorHAnsi" w:hAnsiTheme="minorHAnsi" w:cs="Arial"/>
          <w:szCs w:val="24"/>
        </w:rPr>
        <w:t>by contacting the Commission on 02 6205 0799. Copies are also available on the Commission’s website (</w:t>
      </w:r>
      <w:hyperlink r:id="rId8" w:history="1">
        <w:r w:rsidR="00033C6F" w:rsidRPr="00033427">
          <w:rPr>
            <w:rStyle w:val="Hyperlink"/>
            <w:rFonts w:asciiTheme="minorHAnsi" w:hAnsiTheme="minorHAnsi" w:cs="Arial"/>
            <w:szCs w:val="24"/>
          </w:rPr>
          <w:t>www.icrc.act.gov.au</w:t>
        </w:r>
      </w:hyperlink>
      <w:r w:rsidR="00033C6F">
        <w:rPr>
          <w:rFonts w:asciiTheme="minorHAnsi" w:hAnsiTheme="minorHAnsi" w:cs="Arial"/>
          <w:szCs w:val="24"/>
        </w:rPr>
        <w:t xml:space="preserve">) </w:t>
      </w:r>
      <w:r w:rsidR="00713955">
        <w:rPr>
          <w:rFonts w:asciiTheme="minorHAnsi" w:hAnsiTheme="minorHAnsi" w:cs="Arial"/>
          <w:szCs w:val="24"/>
        </w:rPr>
        <w:t>and</w:t>
      </w:r>
      <w:r w:rsidR="00033C6F">
        <w:rPr>
          <w:rFonts w:asciiTheme="minorHAnsi" w:hAnsiTheme="minorHAnsi" w:cs="Arial"/>
          <w:szCs w:val="24"/>
        </w:rPr>
        <w:t xml:space="preserve"> </w:t>
      </w:r>
      <w:r w:rsidRPr="00E44E92">
        <w:rPr>
          <w:rFonts w:asciiTheme="minorHAnsi" w:hAnsiTheme="minorHAnsi" w:cs="Arial"/>
          <w:szCs w:val="24"/>
        </w:rPr>
        <w:t>on the ACT Legislation Register (</w:t>
      </w:r>
      <w:hyperlink r:id="rId9" w:history="1">
        <w:r w:rsidRPr="00E44E92">
          <w:rPr>
            <w:rStyle w:val="Hyperlink"/>
            <w:rFonts w:asciiTheme="minorHAnsi" w:hAnsiTheme="minorHAnsi" w:cs="Arial"/>
            <w:szCs w:val="24"/>
          </w:rPr>
          <w:t>www.legislation.act.gov.au</w:t>
        </w:r>
      </w:hyperlink>
      <w:r w:rsidRPr="00E44E92">
        <w:rPr>
          <w:rFonts w:asciiTheme="minorHAnsi" w:hAnsiTheme="minorHAnsi" w:cs="Arial"/>
          <w:szCs w:val="24"/>
        </w:rPr>
        <w:t>).</w:t>
      </w:r>
    </w:p>
    <w:p w14:paraId="4105681F" w14:textId="77777777" w:rsidR="00A969B4" w:rsidRPr="00E44E92" w:rsidRDefault="00A969B4" w:rsidP="00A969B4">
      <w:pPr>
        <w:tabs>
          <w:tab w:val="left" w:pos="1134"/>
        </w:tabs>
        <w:rPr>
          <w:rFonts w:asciiTheme="minorHAnsi" w:hAnsiTheme="minorHAnsi" w:cs="Arial"/>
          <w:szCs w:val="24"/>
        </w:rPr>
      </w:pPr>
    </w:p>
    <w:p w14:paraId="077849E0" w14:textId="77777777" w:rsidR="00F570D9" w:rsidRPr="00E44E92" w:rsidRDefault="00F570D9" w:rsidP="00A969B4">
      <w:pPr>
        <w:rPr>
          <w:rFonts w:asciiTheme="minorHAnsi" w:hAnsiTheme="minorHAnsi" w:cs="Arial"/>
          <w:snapToGrid w:val="0"/>
          <w:color w:val="000000"/>
          <w:szCs w:val="24"/>
        </w:rPr>
      </w:pPr>
    </w:p>
    <w:p w14:paraId="2CB6DD55" w14:textId="77777777" w:rsidR="0011536C" w:rsidRPr="00E44E92" w:rsidRDefault="0011536C" w:rsidP="00A969B4">
      <w:pPr>
        <w:rPr>
          <w:rFonts w:asciiTheme="minorHAnsi" w:hAnsiTheme="minorHAnsi"/>
          <w:noProof/>
          <w:szCs w:val="24"/>
          <w:lang w:eastAsia="en-AU"/>
        </w:rPr>
      </w:pPr>
    </w:p>
    <w:p w14:paraId="7E55E03D" w14:textId="77777777" w:rsidR="00715983" w:rsidRDefault="00715983" w:rsidP="00A969B4">
      <w:pPr>
        <w:rPr>
          <w:noProof/>
          <w:lang w:eastAsia="en-AU"/>
        </w:rPr>
      </w:pPr>
    </w:p>
    <w:p w14:paraId="3F88869C" w14:textId="77777777" w:rsidR="003863E8" w:rsidRPr="00E44E92" w:rsidRDefault="003863E8" w:rsidP="00A969B4">
      <w:pPr>
        <w:rPr>
          <w:rFonts w:asciiTheme="minorHAnsi" w:hAnsiTheme="minorHAnsi" w:cs="Arial"/>
          <w:snapToGrid w:val="0"/>
          <w:color w:val="000000"/>
          <w:szCs w:val="24"/>
        </w:rPr>
      </w:pPr>
    </w:p>
    <w:p w14:paraId="73A0F1A6" w14:textId="77777777" w:rsidR="00025354" w:rsidRPr="00E44E92" w:rsidRDefault="00025354" w:rsidP="00A969B4">
      <w:pPr>
        <w:rPr>
          <w:rFonts w:asciiTheme="minorHAnsi" w:hAnsiTheme="minorHAnsi" w:cs="Arial"/>
          <w:snapToGrid w:val="0"/>
          <w:color w:val="000000"/>
          <w:szCs w:val="24"/>
        </w:rPr>
      </w:pPr>
    </w:p>
    <w:p w14:paraId="00636B7D" w14:textId="77777777" w:rsidR="00332C41" w:rsidRPr="00E44E92" w:rsidRDefault="00332C41" w:rsidP="00A969B4">
      <w:pPr>
        <w:rPr>
          <w:rFonts w:asciiTheme="minorHAnsi" w:hAnsiTheme="minorHAnsi" w:cs="Arial"/>
          <w:snapToGrid w:val="0"/>
          <w:color w:val="000000"/>
          <w:szCs w:val="24"/>
        </w:rPr>
      </w:pPr>
    </w:p>
    <w:p w14:paraId="011F4965" w14:textId="77777777" w:rsidR="00A969B4" w:rsidRPr="00E44E92" w:rsidRDefault="00213228" w:rsidP="00A969B4">
      <w:pPr>
        <w:rPr>
          <w:rFonts w:asciiTheme="minorHAnsi" w:hAnsiTheme="minorHAnsi" w:cs="Arial"/>
          <w:snapToGrid w:val="0"/>
          <w:color w:val="000000"/>
          <w:szCs w:val="24"/>
        </w:rPr>
      </w:pPr>
      <w:r w:rsidRPr="00E44E92">
        <w:rPr>
          <w:rFonts w:asciiTheme="minorHAnsi" w:hAnsiTheme="minorHAnsi" w:cs="Arial"/>
          <w:snapToGrid w:val="0"/>
          <w:color w:val="000000"/>
          <w:szCs w:val="24"/>
        </w:rPr>
        <w:t>Joe Di</w:t>
      </w:r>
      <w:r w:rsidR="00B06CAA" w:rsidRPr="00E44E92">
        <w:rPr>
          <w:rFonts w:asciiTheme="minorHAnsi" w:hAnsiTheme="minorHAnsi" w:cs="Arial"/>
          <w:snapToGrid w:val="0"/>
          <w:color w:val="000000"/>
          <w:szCs w:val="24"/>
        </w:rPr>
        <w:t>masi</w:t>
      </w:r>
    </w:p>
    <w:p w14:paraId="284F56E6" w14:textId="77777777" w:rsidR="00A969B4" w:rsidRPr="00E44E92" w:rsidRDefault="00A969B4" w:rsidP="00A969B4">
      <w:pPr>
        <w:rPr>
          <w:rFonts w:asciiTheme="minorHAnsi" w:hAnsiTheme="minorHAnsi" w:cs="Arial"/>
          <w:snapToGrid w:val="0"/>
          <w:color w:val="000000"/>
          <w:szCs w:val="24"/>
        </w:rPr>
      </w:pPr>
      <w:r w:rsidRPr="00E44E92">
        <w:rPr>
          <w:rFonts w:asciiTheme="minorHAnsi" w:hAnsiTheme="minorHAnsi" w:cs="Arial"/>
          <w:snapToGrid w:val="0"/>
          <w:color w:val="000000"/>
          <w:szCs w:val="24"/>
        </w:rPr>
        <w:t>Senior Commissioner</w:t>
      </w:r>
    </w:p>
    <w:p w14:paraId="06C5880B" w14:textId="25280E24" w:rsidR="00A969B4" w:rsidRPr="00E44E92" w:rsidRDefault="004B3605" w:rsidP="00A969B4">
      <w:pPr>
        <w:rPr>
          <w:rFonts w:asciiTheme="minorHAnsi" w:hAnsiTheme="minorHAnsi" w:cs="Arial"/>
          <w:snapToGrid w:val="0"/>
          <w:szCs w:val="24"/>
        </w:rPr>
      </w:pPr>
      <w:r w:rsidRPr="004B3605">
        <w:rPr>
          <w:rFonts w:asciiTheme="minorHAnsi" w:hAnsiTheme="minorHAnsi" w:cs="Arial"/>
          <w:snapToGrid w:val="0"/>
          <w:szCs w:val="24"/>
        </w:rPr>
        <w:t>26</w:t>
      </w:r>
      <w:r w:rsidR="00AE3A9E" w:rsidRPr="004B3605">
        <w:rPr>
          <w:rFonts w:asciiTheme="minorHAnsi" w:hAnsiTheme="minorHAnsi" w:cs="Arial"/>
          <w:snapToGrid w:val="0"/>
          <w:szCs w:val="24"/>
        </w:rPr>
        <w:t xml:space="preserve"> </w:t>
      </w:r>
      <w:r w:rsidR="003A1D42" w:rsidRPr="004B3605">
        <w:rPr>
          <w:rFonts w:asciiTheme="minorHAnsi" w:hAnsiTheme="minorHAnsi" w:cs="Arial"/>
          <w:snapToGrid w:val="0"/>
          <w:szCs w:val="24"/>
        </w:rPr>
        <w:t>October 2022</w:t>
      </w:r>
    </w:p>
    <w:bookmarkEnd w:id="0"/>
    <w:p w14:paraId="6300B58E" w14:textId="77777777" w:rsidR="00B83CA7" w:rsidRDefault="00B83CA7">
      <w:pPr>
        <w:rPr>
          <w:rFonts w:ascii="Arial Narrow" w:hAnsi="Arial Narrow"/>
          <w:sz w:val="18"/>
          <w:szCs w:val="18"/>
        </w:rPr>
      </w:pPr>
    </w:p>
    <w:p w14:paraId="2D420531" w14:textId="77777777" w:rsidR="00F3129D" w:rsidRDefault="00F3129D">
      <w:pPr>
        <w:rPr>
          <w:rFonts w:ascii="Arial Narrow" w:hAnsi="Arial Narrow"/>
          <w:sz w:val="18"/>
          <w:szCs w:val="18"/>
        </w:rPr>
      </w:pPr>
    </w:p>
    <w:p w14:paraId="58CE0543" w14:textId="77777777" w:rsidR="00F3129D" w:rsidRDefault="00F3129D">
      <w:pPr>
        <w:pStyle w:val="Header"/>
        <w:rPr>
          <w:rFonts w:ascii="Arial Narrow" w:hAnsi="Arial Narrow"/>
          <w:sz w:val="18"/>
          <w:szCs w:val="18"/>
        </w:rPr>
      </w:pPr>
    </w:p>
    <w:p w14:paraId="72ACBAB9" w14:textId="77777777" w:rsidR="00F3129D" w:rsidRDefault="00F3129D">
      <w:pPr>
        <w:pStyle w:val="Header"/>
        <w:rPr>
          <w:rFonts w:ascii="Arial Narrow" w:hAnsi="Arial Narrow"/>
          <w:sz w:val="18"/>
          <w:szCs w:val="18"/>
        </w:rPr>
      </w:pPr>
    </w:p>
    <w:p w14:paraId="67842DD0" w14:textId="77777777" w:rsidR="00F3129D" w:rsidRDefault="00F3129D">
      <w:pPr>
        <w:pStyle w:val="Header"/>
        <w:rPr>
          <w:rFonts w:ascii="Arial Narrow" w:hAnsi="Arial Narrow"/>
          <w:sz w:val="18"/>
          <w:szCs w:val="18"/>
        </w:rPr>
      </w:pPr>
    </w:p>
    <w:p w14:paraId="54DE5FE6" w14:textId="77777777" w:rsidR="00F3129D" w:rsidRDefault="00F3129D">
      <w:pPr>
        <w:pStyle w:val="Header"/>
        <w:rPr>
          <w:rFonts w:ascii="Arial Narrow" w:hAnsi="Arial Narrow"/>
          <w:sz w:val="18"/>
          <w:szCs w:val="18"/>
        </w:rPr>
      </w:pPr>
    </w:p>
    <w:p w14:paraId="7211E480" w14:textId="77777777" w:rsidR="00F3129D" w:rsidRDefault="00F3129D">
      <w:pPr>
        <w:pStyle w:val="Header"/>
        <w:rPr>
          <w:rFonts w:ascii="Arial Narrow" w:hAnsi="Arial Narrow"/>
          <w:sz w:val="18"/>
          <w:szCs w:val="18"/>
        </w:rPr>
      </w:pPr>
    </w:p>
    <w:p w14:paraId="3377FC8F" w14:textId="77777777" w:rsidR="00F3129D" w:rsidRDefault="00F3129D">
      <w:pPr>
        <w:pStyle w:val="Header"/>
        <w:rPr>
          <w:rFonts w:ascii="Arial Narrow" w:hAnsi="Arial Narrow"/>
          <w:sz w:val="18"/>
          <w:szCs w:val="18"/>
        </w:rPr>
      </w:pPr>
    </w:p>
    <w:p w14:paraId="1D20CFBF" w14:textId="77777777" w:rsidR="00F3129D" w:rsidRDefault="00F3129D">
      <w:pPr>
        <w:pStyle w:val="Header"/>
        <w:rPr>
          <w:rFonts w:ascii="Arial Narrow" w:hAnsi="Arial Narrow"/>
          <w:sz w:val="18"/>
          <w:szCs w:val="18"/>
        </w:rPr>
      </w:pPr>
    </w:p>
    <w:p w14:paraId="0ECE850B" w14:textId="77777777" w:rsidR="00F3129D" w:rsidRDefault="00F3129D">
      <w:pPr>
        <w:pStyle w:val="Header"/>
        <w:rPr>
          <w:rFonts w:ascii="Arial Narrow" w:hAnsi="Arial Narrow"/>
          <w:sz w:val="18"/>
          <w:szCs w:val="18"/>
        </w:rPr>
      </w:pPr>
    </w:p>
    <w:p w14:paraId="23D2A262" w14:textId="77777777" w:rsidR="00F3129D" w:rsidRDefault="00F3129D">
      <w:pPr>
        <w:pStyle w:val="Header"/>
        <w:rPr>
          <w:rFonts w:ascii="Arial Narrow" w:hAnsi="Arial Narrow"/>
          <w:sz w:val="18"/>
          <w:szCs w:val="18"/>
        </w:rPr>
      </w:pPr>
    </w:p>
    <w:p w14:paraId="62AC4398" w14:textId="77777777" w:rsidR="00F3129D" w:rsidRDefault="00F3129D">
      <w:pPr>
        <w:pStyle w:val="Header"/>
        <w:rPr>
          <w:rFonts w:ascii="Arial Narrow" w:hAnsi="Arial Narrow"/>
          <w:sz w:val="18"/>
          <w:szCs w:val="18"/>
        </w:rPr>
      </w:pPr>
    </w:p>
    <w:p w14:paraId="05AA0EB1" w14:textId="77777777" w:rsidR="00F3129D" w:rsidRDefault="00F3129D">
      <w:pPr>
        <w:pStyle w:val="Header"/>
        <w:rPr>
          <w:rFonts w:ascii="Arial Narrow" w:hAnsi="Arial Narrow"/>
          <w:sz w:val="18"/>
          <w:szCs w:val="18"/>
        </w:rPr>
      </w:pPr>
    </w:p>
    <w:p w14:paraId="68024210" w14:textId="77777777" w:rsidR="00F3129D" w:rsidRDefault="00F3129D">
      <w:pPr>
        <w:pStyle w:val="Header"/>
        <w:rPr>
          <w:rFonts w:ascii="Arial Narrow" w:hAnsi="Arial Narrow"/>
          <w:sz w:val="18"/>
          <w:szCs w:val="18"/>
        </w:rPr>
      </w:pPr>
    </w:p>
    <w:p w14:paraId="39AD4EA2" w14:textId="77777777" w:rsidR="00F3129D" w:rsidRDefault="00F3129D">
      <w:pPr>
        <w:pStyle w:val="Header"/>
        <w:rPr>
          <w:rFonts w:ascii="Arial Narrow" w:hAnsi="Arial Narrow"/>
          <w:sz w:val="18"/>
          <w:szCs w:val="18"/>
        </w:rPr>
      </w:pPr>
    </w:p>
    <w:p w14:paraId="48AE6921" w14:textId="77777777" w:rsidR="00B06CAA" w:rsidRDefault="00B06CAA">
      <w:pPr>
        <w:pStyle w:val="Header"/>
        <w:rPr>
          <w:rFonts w:ascii="Arial Narrow" w:hAnsi="Arial Narrow"/>
          <w:sz w:val="18"/>
          <w:szCs w:val="18"/>
        </w:rPr>
      </w:pPr>
    </w:p>
    <w:p w14:paraId="6603ED61" w14:textId="77777777" w:rsidR="000B460B" w:rsidRDefault="000B460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14:paraId="3FB68CA3" w14:textId="248FA62E" w:rsidR="00AF1775" w:rsidRPr="005D72F2" w:rsidRDefault="00AF1775">
      <w:pPr>
        <w:pStyle w:val="Header"/>
        <w:rPr>
          <w:rFonts w:ascii="Arial Narrow" w:hAnsi="Arial Narrow" w:cs="Arial"/>
          <w:sz w:val="18"/>
          <w:szCs w:val="18"/>
        </w:rPr>
      </w:pPr>
      <w:r w:rsidRPr="005C2D4D">
        <w:rPr>
          <w:rFonts w:ascii="Arial Narrow" w:hAnsi="Arial Narrow"/>
          <w:sz w:val="18"/>
          <w:szCs w:val="18"/>
        </w:rPr>
        <w:lastRenderedPageBreak/>
        <w:t xml:space="preserve">This is page </w:t>
      </w:r>
      <w:r w:rsidR="005D72F2" w:rsidRPr="005C2D4D">
        <w:rPr>
          <w:rStyle w:val="PageNumber"/>
          <w:rFonts w:ascii="Arial Narrow" w:hAnsi="Arial Narrow"/>
          <w:sz w:val="18"/>
          <w:szCs w:val="18"/>
        </w:rPr>
        <w:t>1</w:t>
      </w:r>
      <w:r w:rsidR="00A01A55">
        <w:rPr>
          <w:rStyle w:val="PageNumber"/>
          <w:rFonts w:ascii="Arial Narrow" w:hAnsi="Arial Narrow"/>
          <w:sz w:val="18"/>
          <w:szCs w:val="18"/>
        </w:rPr>
        <w:t xml:space="preserve"> of 2 </w:t>
      </w:r>
      <w:r w:rsidRPr="005C2D4D">
        <w:rPr>
          <w:rFonts w:ascii="Arial Narrow" w:hAnsi="Arial Narrow"/>
          <w:sz w:val="18"/>
          <w:szCs w:val="18"/>
        </w:rPr>
        <w:t xml:space="preserve">of the Schedule to the </w:t>
      </w:r>
      <w:r w:rsidRPr="008F59E5">
        <w:rPr>
          <w:rFonts w:ascii="Arial Narrow" w:hAnsi="Arial Narrow"/>
          <w:i/>
          <w:sz w:val="18"/>
          <w:szCs w:val="18"/>
        </w:rPr>
        <w:t xml:space="preserve">Utilities (Annual </w:t>
      </w:r>
      <w:r w:rsidR="00CD1BC0" w:rsidRPr="008F59E5">
        <w:rPr>
          <w:rFonts w:ascii="Arial Narrow" w:hAnsi="Arial Narrow"/>
          <w:i/>
          <w:sz w:val="18"/>
          <w:szCs w:val="18"/>
        </w:rPr>
        <w:t>L</w:t>
      </w:r>
      <w:r w:rsidRPr="008F59E5">
        <w:rPr>
          <w:rFonts w:ascii="Arial Narrow" w:hAnsi="Arial Narrow"/>
          <w:i/>
          <w:sz w:val="18"/>
          <w:szCs w:val="18"/>
        </w:rPr>
        <w:t xml:space="preserve">icence </w:t>
      </w:r>
      <w:r w:rsidR="00CD1BC0" w:rsidRPr="008F59E5">
        <w:rPr>
          <w:rFonts w:ascii="Arial Narrow" w:hAnsi="Arial Narrow"/>
          <w:i/>
          <w:sz w:val="18"/>
          <w:szCs w:val="18"/>
        </w:rPr>
        <w:t>F</w:t>
      </w:r>
      <w:r w:rsidRPr="008F59E5">
        <w:rPr>
          <w:rFonts w:ascii="Arial Narrow" w:hAnsi="Arial Narrow"/>
          <w:i/>
          <w:sz w:val="18"/>
          <w:szCs w:val="18"/>
        </w:rPr>
        <w:t xml:space="preserve">ees </w:t>
      </w:r>
      <w:r w:rsidR="00CD1BC0" w:rsidRPr="008F59E5">
        <w:rPr>
          <w:rFonts w:ascii="Arial Narrow" w:hAnsi="Arial Narrow"/>
          <w:i/>
          <w:sz w:val="18"/>
          <w:szCs w:val="18"/>
        </w:rPr>
        <w:t>D</w:t>
      </w:r>
      <w:r w:rsidRPr="008F59E5">
        <w:rPr>
          <w:rFonts w:ascii="Arial Narrow" w:hAnsi="Arial Narrow"/>
          <w:i/>
          <w:sz w:val="18"/>
          <w:szCs w:val="18"/>
        </w:rPr>
        <w:t>etermination</w:t>
      </w:r>
      <w:r w:rsidR="00EE57F5">
        <w:rPr>
          <w:rFonts w:ascii="Arial Narrow" w:hAnsi="Arial Narrow"/>
          <w:i/>
          <w:sz w:val="18"/>
          <w:szCs w:val="18"/>
        </w:rPr>
        <w:t xml:space="preserve"> 20</w:t>
      </w:r>
      <w:r w:rsidR="002C274D">
        <w:rPr>
          <w:rFonts w:ascii="Arial Narrow" w:hAnsi="Arial Narrow"/>
          <w:i/>
          <w:sz w:val="18"/>
          <w:szCs w:val="18"/>
        </w:rPr>
        <w:t>21</w:t>
      </w:r>
      <w:r w:rsidR="008E1B58">
        <w:rPr>
          <w:rFonts w:ascii="Arial Narrow" w:hAnsi="Arial Narrow"/>
          <w:i/>
          <w:sz w:val="18"/>
          <w:szCs w:val="18"/>
        </w:rPr>
        <w:t>–</w:t>
      </w:r>
      <w:r w:rsidR="007D2FE7">
        <w:rPr>
          <w:rFonts w:ascii="Arial Narrow" w:hAnsi="Arial Narrow"/>
          <w:i/>
          <w:sz w:val="18"/>
          <w:szCs w:val="18"/>
        </w:rPr>
        <w:t>2</w:t>
      </w:r>
      <w:r w:rsidR="002C274D">
        <w:rPr>
          <w:rFonts w:ascii="Arial Narrow" w:hAnsi="Arial Narrow"/>
          <w:i/>
          <w:sz w:val="18"/>
          <w:szCs w:val="18"/>
        </w:rPr>
        <w:t>2</w:t>
      </w:r>
      <w:r w:rsidRPr="008F59E5">
        <w:rPr>
          <w:rFonts w:ascii="Arial Narrow" w:hAnsi="Arial Narrow"/>
          <w:i/>
          <w:sz w:val="18"/>
          <w:szCs w:val="18"/>
        </w:rPr>
        <w:t>) Notice 20</w:t>
      </w:r>
      <w:r w:rsidR="002C274D">
        <w:rPr>
          <w:rFonts w:ascii="Arial Narrow" w:hAnsi="Arial Narrow"/>
          <w:i/>
          <w:sz w:val="18"/>
          <w:szCs w:val="18"/>
        </w:rPr>
        <w:t>21</w:t>
      </w:r>
    </w:p>
    <w:p w14:paraId="593E205B" w14:textId="77777777" w:rsidR="00AF1775" w:rsidRDefault="00AF1775">
      <w:pPr>
        <w:pStyle w:val="Header"/>
        <w:rPr>
          <w:rFonts w:ascii="Arial Narrow" w:hAnsi="Arial Narrow" w:cs="Arial"/>
          <w:sz w:val="18"/>
          <w:szCs w:val="18"/>
        </w:rPr>
      </w:pPr>
    </w:p>
    <w:p w14:paraId="3F6C266A" w14:textId="77777777" w:rsidR="00AF1775" w:rsidRDefault="0092088D">
      <w:pPr>
        <w:tabs>
          <w:tab w:val="left" w:pos="43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SCHEDULE</w:t>
      </w:r>
    </w:p>
    <w:p w14:paraId="330A84CE" w14:textId="77777777" w:rsidR="00C16D42" w:rsidRDefault="00C16D42">
      <w:pPr>
        <w:tabs>
          <w:tab w:val="left" w:pos="4320"/>
        </w:tabs>
        <w:spacing w:after="60"/>
        <w:rPr>
          <w:rFonts w:ascii="Arial" w:hAnsi="Arial" w:cs="Arial"/>
          <w:bCs/>
          <w:sz w:val="22"/>
          <w:szCs w:val="22"/>
        </w:rPr>
      </w:pPr>
    </w:p>
    <w:p w14:paraId="35959393" w14:textId="1A22E06A" w:rsidR="000B460B" w:rsidRDefault="000512FC" w:rsidP="000B460B">
      <w:pPr>
        <w:keepNext/>
        <w:tabs>
          <w:tab w:val="left" w:pos="1134"/>
        </w:tabs>
        <w:spacing w:after="100"/>
        <w:ind w:left="1134" w:hanging="1134"/>
        <w:rPr>
          <w:rFonts w:ascii="Arial" w:hAnsi="Arial" w:cs="Arial"/>
          <w:bCs/>
          <w:szCs w:val="24"/>
          <w:vertAlign w:val="superscript"/>
        </w:rPr>
      </w:pPr>
      <w:r>
        <w:rPr>
          <w:rFonts w:ascii="Arial" w:hAnsi="Arial" w:cs="Arial"/>
          <w:b/>
          <w:bCs/>
          <w:szCs w:val="24"/>
        </w:rPr>
        <w:t>Table 1:</w:t>
      </w:r>
      <w:r>
        <w:rPr>
          <w:rFonts w:ascii="Arial" w:hAnsi="Arial" w:cs="Arial"/>
          <w:b/>
          <w:bCs/>
          <w:szCs w:val="24"/>
        </w:rPr>
        <w:tab/>
        <w:t xml:space="preserve">Licence fees payable for </w:t>
      </w:r>
      <w:r w:rsidR="00A43B49">
        <w:rPr>
          <w:rFonts w:ascii="Arial" w:hAnsi="Arial" w:cs="Arial"/>
          <w:b/>
          <w:bCs/>
          <w:szCs w:val="24"/>
        </w:rPr>
        <w:t>20</w:t>
      </w:r>
      <w:r w:rsidR="002C274D">
        <w:rPr>
          <w:rFonts w:ascii="Arial" w:hAnsi="Arial" w:cs="Arial"/>
          <w:b/>
          <w:bCs/>
          <w:szCs w:val="24"/>
        </w:rPr>
        <w:t>2</w:t>
      </w:r>
      <w:r w:rsidR="00DF1905">
        <w:rPr>
          <w:rFonts w:ascii="Arial" w:hAnsi="Arial" w:cs="Arial"/>
          <w:b/>
          <w:bCs/>
          <w:szCs w:val="24"/>
        </w:rPr>
        <w:t>2</w:t>
      </w:r>
      <w:r w:rsidR="008E1B58">
        <w:rPr>
          <w:rFonts w:ascii="Arial" w:hAnsi="Arial" w:cs="Arial"/>
          <w:b/>
          <w:bCs/>
          <w:szCs w:val="24"/>
        </w:rPr>
        <w:t>–</w:t>
      </w:r>
      <w:r w:rsidR="007D2FE7">
        <w:rPr>
          <w:rFonts w:ascii="Arial" w:hAnsi="Arial" w:cs="Arial"/>
          <w:b/>
          <w:bCs/>
          <w:szCs w:val="24"/>
        </w:rPr>
        <w:t>2</w:t>
      </w:r>
      <w:r w:rsidR="00DF1905">
        <w:rPr>
          <w:rFonts w:ascii="Arial" w:hAnsi="Arial" w:cs="Arial"/>
          <w:b/>
          <w:bCs/>
          <w:szCs w:val="24"/>
        </w:rPr>
        <w:t>3</w:t>
      </w:r>
      <w:r w:rsidRPr="004C51AA">
        <w:rPr>
          <w:rFonts w:ascii="Arial" w:hAnsi="Arial" w:cs="Arial"/>
          <w:bCs/>
          <w:szCs w:val="24"/>
          <w:vertAlign w:val="superscript"/>
        </w:rPr>
        <w:t>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8"/>
        <w:gridCol w:w="3486"/>
        <w:gridCol w:w="3183"/>
      </w:tblGrid>
      <w:tr w:rsidR="004A5B4F" w:rsidRPr="00B2313B" w14:paraId="295EF45B" w14:textId="77777777" w:rsidTr="00DF2500">
        <w:trPr>
          <w:trHeight w:val="735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3F5032F" w14:textId="77777777" w:rsidR="00BC2061" w:rsidRPr="008D4815" w:rsidRDefault="00BC2061" w:rsidP="00DD2DF0">
            <w:pPr>
              <w:rPr>
                <w:rFonts w:ascii="Arial Narrow" w:hAnsi="Arial Narrow" w:cs="Arial"/>
                <w:b/>
                <w:bCs/>
                <w:sz w:val="20"/>
                <w:lang w:eastAsia="en-AU"/>
              </w:rPr>
            </w:pPr>
            <w:r w:rsidRPr="008D4815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>Licensee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987FF82" w14:textId="77777777" w:rsidR="00BC2061" w:rsidRPr="008D4815" w:rsidRDefault="00BC2061" w:rsidP="008D4815">
            <w:pPr>
              <w:jc w:val="right"/>
              <w:rPr>
                <w:rFonts w:ascii="Arial Narrow" w:hAnsi="Arial Narrow" w:cs="Arial"/>
                <w:b/>
                <w:bCs/>
                <w:sz w:val="20"/>
                <w:lang w:eastAsia="en-AU"/>
              </w:rPr>
            </w:pPr>
            <w:r w:rsidRPr="008D4815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>Licence fees payable ($)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1620B7A" w14:textId="7FF0BD35" w:rsidR="00BC2061" w:rsidRPr="008D4815" w:rsidRDefault="00BC2061" w:rsidP="008D4815">
            <w:pPr>
              <w:jc w:val="right"/>
              <w:rPr>
                <w:rFonts w:ascii="Arial Narrow" w:hAnsi="Arial Narrow" w:cs="Arial"/>
                <w:b/>
                <w:bCs/>
                <w:sz w:val="20"/>
                <w:lang w:eastAsia="en-AU"/>
              </w:rPr>
            </w:pPr>
            <w:r w:rsidRPr="008D4815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>Cost shares</w:t>
            </w:r>
            <w:r w:rsidR="00DF2500" w:rsidRPr="008D4815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 xml:space="preserve"> </w:t>
            </w:r>
            <w:r w:rsidRPr="008D4815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 xml:space="preserve">(%) </w:t>
            </w:r>
          </w:p>
        </w:tc>
      </w:tr>
      <w:tr w:rsidR="00DF1905" w:rsidRPr="00B2313B" w14:paraId="6278B7D0" w14:textId="77777777" w:rsidTr="00556980">
        <w:trPr>
          <w:trHeight w:val="39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00E8" w14:textId="2FD731EA" w:rsidR="00DF1905" w:rsidRPr="008D4815" w:rsidRDefault="00DF1905" w:rsidP="00DF1905">
            <w:pPr>
              <w:rPr>
                <w:rFonts w:ascii="Arial Narrow" w:hAnsi="Arial Narrow" w:cs="Arial"/>
                <w:sz w:val="20"/>
                <w:lang w:eastAsia="en-AU"/>
              </w:rPr>
            </w:pPr>
            <w:r w:rsidRPr="008D4815">
              <w:rPr>
                <w:rFonts w:ascii="Arial Narrow" w:hAnsi="Arial Narrow" w:cs="Arial"/>
                <w:sz w:val="20"/>
                <w:lang w:eastAsia="en-AU"/>
              </w:rPr>
              <w:t>EAPL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C8BF2" w14:textId="1856E754" w:rsidR="00DF1905" w:rsidRPr="00DF1905" w:rsidRDefault="00DF1905" w:rsidP="00DF1905">
            <w:pPr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 w:cs="Arial"/>
                <w:sz w:val="20"/>
              </w:rPr>
              <w:t>19,054.50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1CC56" w14:textId="5477297E" w:rsidR="00DF1905" w:rsidRPr="00DF1905" w:rsidRDefault="00DF1905" w:rsidP="00DF1905">
            <w:pPr>
              <w:jc w:val="right"/>
              <w:rPr>
                <w:rFonts w:ascii="Arial Narrow" w:hAnsi="Arial Narrow" w:cs="Arial"/>
                <w:color w:val="000000"/>
                <w:sz w:val="20"/>
                <w:lang w:eastAsia="en-AU"/>
              </w:rPr>
            </w:pPr>
            <w:r w:rsidRPr="00DF1905">
              <w:rPr>
                <w:rFonts w:ascii="Arial Narrow" w:hAnsi="Arial Narrow" w:cs="Arial"/>
                <w:sz w:val="20"/>
              </w:rPr>
              <w:t>1.79%</w:t>
            </w:r>
          </w:p>
        </w:tc>
      </w:tr>
      <w:tr w:rsidR="00DF1905" w:rsidRPr="00B2313B" w14:paraId="4A7F7402" w14:textId="77777777" w:rsidTr="00556980">
        <w:trPr>
          <w:trHeight w:val="39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85B9" w14:textId="155BBAAA" w:rsidR="00DF1905" w:rsidRPr="008D4815" w:rsidRDefault="00DF1905" w:rsidP="00DF1905">
            <w:pPr>
              <w:rPr>
                <w:rFonts w:ascii="Arial Narrow" w:hAnsi="Arial Narrow" w:cs="Arial"/>
                <w:sz w:val="20"/>
                <w:lang w:eastAsia="en-AU"/>
              </w:rPr>
            </w:pPr>
            <w:r w:rsidRPr="008D4815">
              <w:rPr>
                <w:rFonts w:ascii="Arial Narrow" w:hAnsi="Arial Narrow" w:cs="Arial"/>
                <w:sz w:val="20"/>
                <w:lang w:eastAsia="en-AU"/>
              </w:rPr>
              <w:t>Icon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D7E8" w14:textId="0F4CA12C" w:rsidR="00DF1905" w:rsidRPr="00DF1905" w:rsidRDefault="00DF1905" w:rsidP="00DF1905">
            <w:pPr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 w:cs="Arial"/>
                <w:sz w:val="20"/>
              </w:rPr>
              <w:t>988,867.33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5C6FB" w14:textId="05CE0B93" w:rsidR="00DF1905" w:rsidRPr="00DF1905" w:rsidRDefault="00DF1905" w:rsidP="00DF1905">
            <w:pPr>
              <w:jc w:val="right"/>
              <w:rPr>
                <w:rFonts w:ascii="Arial Narrow" w:hAnsi="Arial Narrow" w:cs="Arial"/>
                <w:color w:val="000000"/>
                <w:sz w:val="20"/>
                <w:lang w:eastAsia="en-AU"/>
              </w:rPr>
            </w:pPr>
            <w:r w:rsidRPr="00DF1905">
              <w:rPr>
                <w:rFonts w:ascii="Arial Narrow" w:hAnsi="Arial Narrow" w:cs="Arial"/>
                <w:sz w:val="20"/>
              </w:rPr>
              <w:t>92.74%</w:t>
            </w:r>
          </w:p>
        </w:tc>
      </w:tr>
      <w:tr w:rsidR="00DF1905" w:rsidRPr="00B2313B" w14:paraId="15637466" w14:textId="77777777" w:rsidTr="00556980">
        <w:trPr>
          <w:trHeight w:val="39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4EFD" w14:textId="52CF668D" w:rsidR="00DF1905" w:rsidRPr="008D4815" w:rsidRDefault="00DF1905" w:rsidP="00DF1905">
            <w:pPr>
              <w:rPr>
                <w:rFonts w:ascii="Arial Narrow" w:hAnsi="Arial Narrow" w:cs="Arial"/>
                <w:sz w:val="20"/>
                <w:lang w:eastAsia="en-AU"/>
              </w:rPr>
            </w:pPr>
            <w:r w:rsidRPr="008D4815">
              <w:rPr>
                <w:rFonts w:ascii="Arial Narrow" w:hAnsi="Arial Narrow" w:cs="Arial"/>
                <w:sz w:val="20"/>
                <w:lang w:eastAsia="en-AU"/>
              </w:rPr>
              <w:t>TG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06B9" w14:textId="7FE08352" w:rsidR="00DF1905" w:rsidRPr="00DF1905" w:rsidRDefault="00DF1905" w:rsidP="00DF1905">
            <w:pPr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 w:cs="Arial"/>
                <w:sz w:val="20"/>
              </w:rPr>
              <w:t>58,333.18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78D45" w14:textId="199DBD5E" w:rsidR="00DF1905" w:rsidRPr="00DF1905" w:rsidRDefault="00DF1905" w:rsidP="00DF1905">
            <w:pPr>
              <w:jc w:val="right"/>
              <w:rPr>
                <w:rFonts w:ascii="Arial Narrow" w:hAnsi="Arial Narrow" w:cs="Arial"/>
                <w:color w:val="000000"/>
                <w:sz w:val="20"/>
                <w:lang w:eastAsia="en-AU"/>
              </w:rPr>
            </w:pPr>
            <w:r w:rsidRPr="00DF1905">
              <w:rPr>
                <w:rFonts w:ascii="Arial Narrow" w:hAnsi="Arial Narrow" w:cs="Arial"/>
                <w:sz w:val="20"/>
              </w:rPr>
              <w:t>5.47%</w:t>
            </w:r>
          </w:p>
        </w:tc>
      </w:tr>
      <w:tr w:rsidR="00BC2061" w:rsidRPr="00B2313B" w14:paraId="2A5C34F8" w14:textId="77777777" w:rsidTr="00DF2500">
        <w:trPr>
          <w:trHeight w:val="390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28ED" w14:textId="451CCD0E" w:rsidR="00BC2061" w:rsidRPr="008D4815" w:rsidRDefault="00DF2500" w:rsidP="00DD2DF0">
            <w:pPr>
              <w:rPr>
                <w:rFonts w:ascii="Arial Narrow" w:hAnsi="Arial Narrow" w:cs="Arial"/>
                <w:b/>
                <w:bCs/>
                <w:color w:val="FFFFFF"/>
                <w:sz w:val="20"/>
                <w:lang w:eastAsia="en-AU"/>
              </w:rPr>
            </w:pPr>
            <w:r w:rsidRPr="008D4815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>Total</w:t>
            </w:r>
          </w:p>
        </w:tc>
        <w:tc>
          <w:tcPr>
            <w:tcW w:w="2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C498" w14:textId="5EF2383A" w:rsidR="00BC2061" w:rsidRPr="00DF1905" w:rsidRDefault="00DF1905" w:rsidP="00DD2DF0">
            <w:pPr>
              <w:jc w:val="right"/>
              <w:rPr>
                <w:rFonts w:ascii="Arial Narrow" w:hAnsi="Arial Narrow" w:cs="Arial"/>
                <w:b/>
                <w:bCs/>
                <w:sz w:val="20"/>
                <w:lang w:eastAsia="en-AU"/>
              </w:rPr>
            </w:pPr>
            <w:r w:rsidRPr="00DF1905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>1,066,255.02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D369" w14:textId="77777777" w:rsidR="00BC2061" w:rsidRPr="00DF1905" w:rsidRDefault="00BC2061" w:rsidP="00DD2DF0">
            <w:pPr>
              <w:rPr>
                <w:rFonts w:ascii="Arial Narrow" w:hAnsi="Arial Narrow" w:cs="Calibri"/>
                <w:color w:val="000000"/>
                <w:sz w:val="20"/>
                <w:lang w:eastAsia="en-AU"/>
              </w:rPr>
            </w:pPr>
            <w:r w:rsidRPr="00DF1905">
              <w:rPr>
                <w:rFonts w:ascii="Arial Narrow" w:hAnsi="Arial Narrow" w:cs="Calibri"/>
                <w:color w:val="000000"/>
                <w:sz w:val="20"/>
                <w:lang w:eastAsia="en-AU"/>
              </w:rPr>
              <w:t> </w:t>
            </w:r>
          </w:p>
        </w:tc>
      </w:tr>
    </w:tbl>
    <w:p w14:paraId="1D59CE1B" w14:textId="10AD3591" w:rsidR="000512FC" w:rsidRDefault="00A5424A" w:rsidP="007025B5">
      <w:pPr>
        <w:rPr>
          <w:rFonts w:ascii="Arial Narrow" w:hAnsi="Arial Narrow" w:cs="Arial"/>
          <w:bCs/>
          <w:sz w:val="18"/>
          <w:szCs w:val="18"/>
        </w:rPr>
      </w:pPr>
      <w:r w:rsidRPr="005B3601">
        <w:rPr>
          <w:rFonts w:ascii="Arial Narrow" w:hAnsi="Arial Narrow" w:cs="Arial"/>
          <w:bCs/>
          <w:sz w:val="18"/>
          <w:szCs w:val="18"/>
          <w:vertAlign w:val="superscript"/>
        </w:rPr>
        <w:t>1</w:t>
      </w:r>
      <w:r w:rsidRPr="005B3601">
        <w:rPr>
          <w:rFonts w:ascii="Arial Narrow" w:hAnsi="Arial Narrow" w:cs="Arial"/>
          <w:bCs/>
          <w:sz w:val="18"/>
          <w:szCs w:val="18"/>
        </w:rPr>
        <w:t xml:space="preserve"> Licence</w:t>
      </w:r>
      <w:r w:rsidR="000512FC" w:rsidRPr="005B3601">
        <w:rPr>
          <w:rFonts w:ascii="Arial Narrow" w:hAnsi="Arial Narrow" w:cs="Arial"/>
          <w:bCs/>
          <w:sz w:val="18"/>
          <w:szCs w:val="18"/>
        </w:rPr>
        <w:t xml:space="preserve"> fees determined for 20</w:t>
      </w:r>
      <w:r w:rsidR="002C274D">
        <w:rPr>
          <w:rFonts w:ascii="Arial Narrow" w:hAnsi="Arial Narrow" w:cs="Arial"/>
          <w:bCs/>
          <w:sz w:val="18"/>
          <w:szCs w:val="18"/>
        </w:rPr>
        <w:t>2</w:t>
      </w:r>
      <w:r w:rsidR="00DF1905">
        <w:rPr>
          <w:rFonts w:ascii="Arial Narrow" w:hAnsi="Arial Narrow" w:cs="Arial"/>
          <w:bCs/>
          <w:sz w:val="18"/>
          <w:szCs w:val="18"/>
        </w:rPr>
        <w:t>2</w:t>
      </w:r>
      <w:r w:rsidR="008E1B58">
        <w:rPr>
          <w:rFonts w:ascii="Arial Narrow" w:hAnsi="Arial Narrow" w:cs="Arial"/>
          <w:bCs/>
          <w:sz w:val="18"/>
          <w:szCs w:val="18"/>
        </w:rPr>
        <w:t>–</w:t>
      </w:r>
      <w:r w:rsidR="002110A2">
        <w:rPr>
          <w:rFonts w:ascii="Arial Narrow" w:hAnsi="Arial Narrow" w:cs="Arial"/>
          <w:bCs/>
          <w:sz w:val="18"/>
          <w:szCs w:val="18"/>
        </w:rPr>
        <w:t>2</w:t>
      </w:r>
      <w:r w:rsidR="00DF1905">
        <w:rPr>
          <w:rFonts w:ascii="Arial Narrow" w:hAnsi="Arial Narrow" w:cs="Arial"/>
          <w:bCs/>
          <w:sz w:val="18"/>
          <w:szCs w:val="18"/>
        </w:rPr>
        <w:t>3</w:t>
      </w:r>
      <w:r w:rsidR="000512FC" w:rsidRPr="005B3601">
        <w:rPr>
          <w:rFonts w:ascii="Arial Narrow" w:hAnsi="Arial Narrow" w:cs="Arial"/>
          <w:bCs/>
          <w:sz w:val="18"/>
          <w:szCs w:val="18"/>
        </w:rPr>
        <w:t xml:space="preserve"> are based on estimated </w:t>
      </w:r>
      <w:r w:rsidR="00A43B49" w:rsidRPr="005B3601">
        <w:rPr>
          <w:rFonts w:ascii="Arial Narrow" w:hAnsi="Arial Narrow" w:cs="Arial"/>
          <w:bCs/>
          <w:sz w:val="18"/>
          <w:szCs w:val="18"/>
        </w:rPr>
        <w:t xml:space="preserve">regulatory </w:t>
      </w:r>
      <w:r w:rsidR="000512FC" w:rsidRPr="005B3601">
        <w:rPr>
          <w:rFonts w:ascii="Arial Narrow" w:hAnsi="Arial Narrow" w:cs="Arial"/>
          <w:bCs/>
          <w:sz w:val="18"/>
          <w:szCs w:val="18"/>
        </w:rPr>
        <w:t xml:space="preserve">costs </w:t>
      </w:r>
      <w:r w:rsidR="00A43B49" w:rsidRPr="005B3601">
        <w:rPr>
          <w:rFonts w:ascii="Arial Narrow" w:hAnsi="Arial Narrow" w:cs="Arial"/>
          <w:bCs/>
          <w:sz w:val="18"/>
          <w:szCs w:val="18"/>
        </w:rPr>
        <w:t xml:space="preserve">to be </w:t>
      </w:r>
      <w:r w:rsidR="000512FC" w:rsidRPr="005B3601">
        <w:rPr>
          <w:rFonts w:ascii="Arial Narrow" w:hAnsi="Arial Narrow" w:cs="Arial"/>
          <w:bCs/>
          <w:sz w:val="18"/>
          <w:szCs w:val="18"/>
        </w:rPr>
        <w:t>incurred during 2</w:t>
      </w:r>
      <w:r w:rsidR="009B1492" w:rsidRPr="005B3601">
        <w:rPr>
          <w:rFonts w:ascii="Arial Narrow" w:hAnsi="Arial Narrow" w:cs="Arial"/>
          <w:bCs/>
          <w:sz w:val="18"/>
          <w:szCs w:val="18"/>
        </w:rPr>
        <w:t>0</w:t>
      </w:r>
      <w:r w:rsidR="002C274D">
        <w:rPr>
          <w:rFonts w:ascii="Arial Narrow" w:hAnsi="Arial Narrow" w:cs="Arial"/>
          <w:bCs/>
          <w:sz w:val="18"/>
          <w:szCs w:val="18"/>
        </w:rPr>
        <w:t>2</w:t>
      </w:r>
      <w:r w:rsidR="00DF1905">
        <w:rPr>
          <w:rFonts w:ascii="Arial Narrow" w:hAnsi="Arial Narrow" w:cs="Arial"/>
          <w:bCs/>
          <w:sz w:val="18"/>
          <w:szCs w:val="18"/>
        </w:rPr>
        <w:t>2</w:t>
      </w:r>
      <w:r w:rsidR="008E1B58">
        <w:rPr>
          <w:rFonts w:ascii="Arial Narrow" w:hAnsi="Arial Narrow" w:cs="Arial"/>
          <w:bCs/>
          <w:sz w:val="18"/>
          <w:szCs w:val="18"/>
        </w:rPr>
        <w:t>–</w:t>
      </w:r>
      <w:r w:rsidR="002110A2">
        <w:rPr>
          <w:rFonts w:ascii="Arial Narrow" w:hAnsi="Arial Narrow" w:cs="Arial"/>
          <w:bCs/>
          <w:sz w:val="18"/>
          <w:szCs w:val="18"/>
        </w:rPr>
        <w:t>2</w:t>
      </w:r>
      <w:r w:rsidR="00DF1905">
        <w:rPr>
          <w:rFonts w:ascii="Arial Narrow" w:hAnsi="Arial Narrow" w:cs="Arial"/>
          <w:bCs/>
          <w:sz w:val="18"/>
          <w:szCs w:val="18"/>
        </w:rPr>
        <w:t>3</w:t>
      </w:r>
      <w:r w:rsidR="000512FC" w:rsidRPr="005B3601">
        <w:rPr>
          <w:rFonts w:ascii="Arial Narrow" w:hAnsi="Arial Narrow" w:cs="Arial"/>
          <w:iCs/>
          <w:sz w:val="18"/>
          <w:szCs w:val="18"/>
        </w:rPr>
        <w:t xml:space="preserve"> </w:t>
      </w:r>
      <w:r w:rsidR="000512FC" w:rsidRPr="005B3601">
        <w:rPr>
          <w:rFonts w:ascii="Arial Narrow" w:hAnsi="Arial Narrow" w:cs="Arial"/>
          <w:bCs/>
          <w:sz w:val="18"/>
          <w:szCs w:val="18"/>
        </w:rPr>
        <w:t xml:space="preserve">by the three </w:t>
      </w:r>
      <w:r w:rsidR="00A43B49" w:rsidRPr="005B3601">
        <w:rPr>
          <w:rFonts w:ascii="Arial Narrow" w:hAnsi="Arial Narrow" w:cs="Arial"/>
          <w:bCs/>
          <w:sz w:val="18"/>
          <w:szCs w:val="18"/>
        </w:rPr>
        <w:t xml:space="preserve">ACT government </w:t>
      </w:r>
      <w:r w:rsidR="00206B42" w:rsidRPr="005B3601">
        <w:rPr>
          <w:rFonts w:ascii="Arial Narrow" w:hAnsi="Arial Narrow" w:cs="Arial"/>
          <w:bCs/>
          <w:sz w:val="18"/>
          <w:szCs w:val="18"/>
        </w:rPr>
        <w:t>regulators</w:t>
      </w:r>
      <w:r w:rsidR="000512FC" w:rsidRPr="005B3601">
        <w:rPr>
          <w:rFonts w:ascii="Arial Narrow" w:hAnsi="Arial Narrow" w:cs="Arial"/>
          <w:bCs/>
          <w:sz w:val="18"/>
          <w:szCs w:val="18"/>
        </w:rPr>
        <w:t xml:space="preserve"> (the </w:t>
      </w:r>
      <w:r w:rsidR="00DF1905">
        <w:rPr>
          <w:rFonts w:ascii="Arial Narrow" w:hAnsi="Arial Narrow" w:cs="Arial"/>
          <w:bCs/>
          <w:sz w:val="18"/>
          <w:szCs w:val="18"/>
        </w:rPr>
        <w:t>c</w:t>
      </w:r>
      <w:r w:rsidR="000512FC" w:rsidRPr="005B3601">
        <w:rPr>
          <w:rFonts w:ascii="Arial Narrow" w:hAnsi="Arial Narrow" w:cs="Arial"/>
          <w:bCs/>
          <w:sz w:val="18"/>
          <w:szCs w:val="18"/>
        </w:rPr>
        <w:t xml:space="preserve">ommission, the ACT Civil and Administrative Tribunal, and the </w:t>
      </w:r>
      <w:r w:rsidR="00175AB8">
        <w:rPr>
          <w:rFonts w:ascii="Arial Narrow" w:hAnsi="Arial Narrow" w:cs="Arial"/>
          <w:bCs/>
          <w:sz w:val="18"/>
          <w:szCs w:val="18"/>
        </w:rPr>
        <w:t xml:space="preserve">Utilities </w:t>
      </w:r>
      <w:r w:rsidR="00713955">
        <w:rPr>
          <w:rFonts w:ascii="Arial Narrow" w:hAnsi="Arial Narrow" w:cs="Arial"/>
          <w:bCs/>
          <w:sz w:val="18"/>
          <w:szCs w:val="18"/>
        </w:rPr>
        <w:t>T</w:t>
      </w:r>
      <w:r w:rsidR="00F955C6" w:rsidRPr="005B3601">
        <w:rPr>
          <w:rFonts w:ascii="Arial Narrow" w:hAnsi="Arial Narrow" w:cs="Arial"/>
          <w:bCs/>
          <w:sz w:val="18"/>
          <w:szCs w:val="18"/>
        </w:rPr>
        <w:t xml:space="preserve">echnical </w:t>
      </w:r>
      <w:r w:rsidR="00713955">
        <w:rPr>
          <w:rFonts w:ascii="Arial Narrow" w:hAnsi="Arial Narrow" w:cs="Arial"/>
          <w:bCs/>
          <w:sz w:val="18"/>
          <w:szCs w:val="18"/>
        </w:rPr>
        <w:t>R</w:t>
      </w:r>
      <w:r w:rsidR="00F955C6" w:rsidRPr="005B3601">
        <w:rPr>
          <w:rFonts w:ascii="Arial Narrow" w:hAnsi="Arial Narrow" w:cs="Arial"/>
          <w:bCs/>
          <w:sz w:val="18"/>
          <w:szCs w:val="18"/>
        </w:rPr>
        <w:t>egulator</w:t>
      </w:r>
      <w:r w:rsidR="00C22331" w:rsidRPr="005B3601">
        <w:rPr>
          <w:rFonts w:ascii="Arial Narrow" w:hAnsi="Arial Narrow" w:cs="Arial"/>
          <w:bCs/>
          <w:sz w:val="18"/>
          <w:szCs w:val="18"/>
        </w:rPr>
        <w:t>)</w:t>
      </w:r>
      <w:r w:rsidR="00A43B49" w:rsidRPr="005B3601">
        <w:rPr>
          <w:rFonts w:ascii="Arial Narrow" w:hAnsi="Arial Narrow" w:cs="Arial"/>
          <w:bCs/>
          <w:sz w:val="18"/>
          <w:szCs w:val="18"/>
        </w:rPr>
        <w:t xml:space="preserve">. The fees </w:t>
      </w:r>
      <w:r w:rsidR="000512FC" w:rsidRPr="005B3601">
        <w:rPr>
          <w:rFonts w:ascii="Arial Narrow" w:hAnsi="Arial Narrow" w:cs="Arial"/>
          <w:bCs/>
          <w:sz w:val="18"/>
          <w:szCs w:val="18"/>
        </w:rPr>
        <w:t>also tak</w:t>
      </w:r>
      <w:r w:rsidR="007025B5" w:rsidRPr="005B3601">
        <w:rPr>
          <w:rFonts w:ascii="Arial Narrow" w:hAnsi="Arial Narrow" w:cs="Arial"/>
          <w:bCs/>
          <w:sz w:val="18"/>
          <w:szCs w:val="18"/>
        </w:rPr>
        <w:t xml:space="preserve">e </w:t>
      </w:r>
      <w:r w:rsidR="000512FC" w:rsidRPr="005B3601">
        <w:rPr>
          <w:rFonts w:ascii="Arial Narrow" w:hAnsi="Arial Narrow" w:cs="Arial"/>
          <w:bCs/>
          <w:sz w:val="18"/>
          <w:szCs w:val="18"/>
        </w:rPr>
        <w:t xml:space="preserve">account of any </w:t>
      </w:r>
      <w:r w:rsidR="00A43B49" w:rsidRPr="005B3601">
        <w:rPr>
          <w:rFonts w:ascii="Arial Narrow" w:hAnsi="Arial Narrow" w:cs="Arial"/>
          <w:bCs/>
          <w:sz w:val="18"/>
          <w:szCs w:val="18"/>
        </w:rPr>
        <w:t>under</w:t>
      </w:r>
      <w:r w:rsidR="00D26AC9">
        <w:rPr>
          <w:rFonts w:ascii="Arial Narrow" w:hAnsi="Arial Narrow" w:cs="Arial"/>
          <w:bCs/>
          <w:sz w:val="18"/>
          <w:szCs w:val="18"/>
        </w:rPr>
        <w:t>-</w:t>
      </w:r>
      <w:r w:rsidR="00A43B49" w:rsidRPr="005B3601">
        <w:rPr>
          <w:rFonts w:ascii="Arial Narrow" w:hAnsi="Arial Narrow" w:cs="Arial"/>
          <w:bCs/>
          <w:sz w:val="18"/>
          <w:szCs w:val="18"/>
        </w:rPr>
        <w:t xml:space="preserve"> or over</w:t>
      </w:r>
      <w:r w:rsidR="00D26AC9">
        <w:rPr>
          <w:rFonts w:ascii="Arial Narrow" w:hAnsi="Arial Narrow" w:cs="Arial"/>
          <w:bCs/>
          <w:sz w:val="18"/>
          <w:szCs w:val="18"/>
        </w:rPr>
        <w:t>-</w:t>
      </w:r>
      <w:r w:rsidR="00A43B49" w:rsidRPr="005B3601">
        <w:rPr>
          <w:rFonts w:ascii="Arial Narrow" w:hAnsi="Arial Narrow" w:cs="Arial"/>
          <w:bCs/>
          <w:sz w:val="18"/>
          <w:szCs w:val="18"/>
        </w:rPr>
        <w:t>recovery resulting from the difference</w:t>
      </w:r>
      <w:r w:rsidR="000512FC" w:rsidRPr="005B3601">
        <w:rPr>
          <w:rFonts w:ascii="Arial Narrow" w:hAnsi="Arial Narrow" w:cs="Arial"/>
          <w:bCs/>
          <w:sz w:val="18"/>
          <w:szCs w:val="18"/>
        </w:rPr>
        <w:t xml:space="preserve"> in costs </w:t>
      </w:r>
      <w:r w:rsidR="009E2243" w:rsidRPr="005B3601">
        <w:rPr>
          <w:rFonts w:ascii="Arial Narrow" w:hAnsi="Arial Narrow" w:cs="Arial"/>
          <w:bCs/>
          <w:sz w:val="18"/>
          <w:szCs w:val="18"/>
        </w:rPr>
        <w:t>between those estimated for 20</w:t>
      </w:r>
      <w:r w:rsidR="002C274D">
        <w:rPr>
          <w:rFonts w:ascii="Arial Narrow" w:hAnsi="Arial Narrow" w:cs="Arial"/>
          <w:bCs/>
          <w:sz w:val="18"/>
          <w:szCs w:val="18"/>
        </w:rPr>
        <w:t>2</w:t>
      </w:r>
      <w:r w:rsidR="00DF1905">
        <w:rPr>
          <w:rFonts w:ascii="Arial Narrow" w:hAnsi="Arial Narrow" w:cs="Arial"/>
          <w:bCs/>
          <w:sz w:val="18"/>
          <w:szCs w:val="18"/>
        </w:rPr>
        <w:t>1</w:t>
      </w:r>
      <w:r w:rsidR="008E1B58">
        <w:rPr>
          <w:rFonts w:ascii="Arial Narrow" w:hAnsi="Arial Narrow" w:cs="Arial"/>
          <w:bCs/>
          <w:sz w:val="18"/>
          <w:szCs w:val="18"/>
        </w:rPr>
        <w:t>–</w:t>
      </w:r>
      <w:r w:rsidR="002C274D">
        <w:rPr>
          <w:rFonts w:ascii="Arial Narrow" w:hAnsi="Arial Narrow" w:cs="Arial"/>
          <w:bCs/>
          <w:sz w:val="18"/>
          <w:szCs w:val="18"/>
        </w:rPr>
        <w:t>2</w:t>
      </w:r>
      <w:r w:rsidR="00DF1905">
        <w:rPr>
          <w:rFonts w:ascii="Arial Narrow" w:hAnsi="Arial Narrow" w:cs="Arial"/>
          <w:bCs/>
          <w:sz w:val="18"/>
          <w:szCs w:val="18"/>
        </w:rPr>
        <w:t>2</w:t>
      </w:r>
      <w:r w:rsidR="000512FC" w:rsidRPr="005B3601">
        <w:rPr>
          <w:rFonts w:ascii="Arial Narrow" w:hAnsi="Arial Narrow" w:cs="Arial"/>
          <w:bCs/>
          <w:sz w:val="18"/>
          <w:szCs w:val="18"/>
        </w:rPr>
        <w:t xml:space="preserve"> and the actua</w:t>
      </w:r>
      <w:r w:rsidR="00206B42" w:rsidRPr="005B3601">
        <w:rPr>
          <w:rFonts w:ascii="Arial Narrow" w:hAnsi="Arial Narrow" w:cs="Arial"/>
          <w:bCs/>
          <w:sz w:val="18"/>
          <w:szCs w:val="18"/>
        </w:rPr>
        <w:t>l costs incurred by the regulators</w:t>
      </w:r>
      <w:r w:rsidR="000512FC" w:rsidRPr="005B3601">
        <w:rPr>
          <w:rFonts w:ascii="Arial Narrow" w:hAnsi="Arial Narrow" w:cs="Arial"/>
          <w:bCs/>
          <w:sz w:val="18"/>
          <w:szCs w:val="18"/>
        </w:rPr>
        <w:t xml:space="preserve"> for that year.</w:t>
      </w:r>
    </w:p>
    <w:p w14:paraId="3376A358" w14:textId="77777777" w:rsidR="00DF2500" w:rsidRDefault="00DF2500" w:rsidP="007025B5">
      <w:pPr>
        <w:rPr>
          <w:rFonts w:ascii="Arial Narrow" w:hAnsi="Arial Narrow" w:cs="Arial"/>
          <w:bCs/>
          <w:sz w:val="18"/>
          <w:szCs w:val="18"/>
        </w:rPr>
      </w:pPr>
    </w:p>
    <w:p w14:paraId="1944ADDD" w14:textId="0A0D18A2" w:rsidR="005B3601" w:rsidRPr="005B3601" w:rsidRDefault="005B3601" w:rsidP="007025B5">
      <w:pPr>
        <w:rPr>
          <w:rFonts w:ascii="Arial Narrow" w:hAnsi="Arial Narrow" w:cs="Arial"/>
          <w:bCs/>
          <w:sz w:val="18"/>
          <w:szCs w:val="18"/>
        </w:rPr>
      </w:pPr>
      <w:r>
        <w:rPr>
          <w:rFonts w:ascii="Arial Narrow" w:hAnsi="Arial Narrow" w:cs="Arial"/>
          <w:bCs/>
          <w:sz w:val="18"/>
          <w:szCs w:val="18"/>
        </w:rPr>
        <w:t xml:space="preserve">Note: </w:t>
      </w:r>
      <w:r w:rsidR="007C6B37">
        <w:rPr>
          <w:rFonts w:ascii="Arial Narrow" w:hAnsi="Arial Narrow" w:cs="Arial"/>
          <w:bCs/>
          <w:sz w:val="18"/>
          <w:szCs w:val="18"/>
        </w:rPr>
        <w:t xml:space="preserve">Totals may not add due to rounding. </w:t>
      </w:r>
    </w:p>
    <w:p w14:paraId="7ACEB8C5" w14:textId="77777777" w:rsidR="000512FC" w:rsidRDefault="000512FC" w:rsidP="000512FC">
      <w:pPr>
        <w:pStyle w:val="Header"/>
        <w:rPr>
          <w:rFonts w:ascii="Arial" w:hAnsi="Arial" w:cs="Arial"/>
          <w:iCs/>
          <w:sz w:val="20"/>
          <w:highlight w:val="yellow"/>
        </w:rPr>
      </w:pPr>
    </w:p>
    <w:p w14:paraId="67935453" w14:textId="77777777" w:rsidR="005B3601" w:rsidRDefault="005B3601" w:rsidP="000512FC">
      <w:pPr>
        <w:pStyle w:val="Header"/>
        <w:rPr>
          <w:rFonts w:ascii="Arial" w:hAnsi="Arial" w:cs="Arial"/>
          <w:iCs/>
          <w:sz w:val="20"/>
          <w:highlight w:val="yellow"/>
        </w:rPr>
      </w:pPr>
    </w:p>
    <w:p w14:paraId="1A16F09C" w14:textId="3CB0EA71" w:rsidR="0058791C" w:rsidRDefault="0058791C" w:rsidP="005B3601">
      <w:pPr>
        <w:tabs>
          <w:tab w:val="left" w:pos="1134"/>
        </w:tabs>
        <w:spacing w:after="10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Table 2:</w:t>
      </w:r>
      <w:r>
        <w:rPr>
          <w:rFonts w:ascii="Arial" w:hAnsi="Arial" w:cs="Arial"/>
          <w:b/>
          <w:bCs/>
          <w:szCs w:val="24"/>
        </w:rPr>
        <w:tab/>
      </w:r>
      <w:r w:rsidRPr="003C17A5">
        <w:rPr>
          <w:rFonts w:ascii="Arial" w:hAnsi="Arial" w:cs="Arial"/>
          <w:b/>
          <w:bCs/>
          <w:szCs w:val="24"/>
        </w:rPr>
        <w:t>Derivation of licence fee</w:t>
      </w:r>
      <w:r>
        <w:rPr>
          <w:rFonts w:ascii="Arial" w:hAnsi="Arial" w:cs="Arial"/>
          <w:b/>
          <w:bCs/>
          <w:szCs w:val="24"/>
        </w:rPr>
        <w:t xml:space="preserve">s payable </w:t>
      </w:r>
      <w:r w:rsidRPr="003C17A5">
        <w:rPr>
          <w:rFonts w:ascii="Arial" w:hAnsi="Arial" w:cs="Arial"/>
          <w:b/>
          <w:bCs/>
          <w:szCs w:val="24"/>
        </w:rPr>
        <w:t>for 20</w:t>
      </w:r>
      <w:r w:rsidR="002C274D">
        <w:rPr>
          <w:rFonts w:ascii="Arial" w:hAnsi="Arial" w:cs="Arial"/>
          <w:b/>
          <w:bCs/>
          <w:szCs w:val="24"/>
        </w:rPr>
        <w:t>2</w:t>
      </w:r>
      <w:r w:rsidR="00DF1905">
        <w:rPr>
          <w:rFonts w:ascii="Arial" w:hAnsi="Arial" w:cs="Arial"/>
          <w:b/>
          <w:bCs/>
          <w:szCs w:val="24"/>
        </w:rPr>
        <w:t>2</w:t>
      </w:r>
      <w:r w:rsidR="008E1B58">
        <w:rPr>
          <w:rFonts w:ascii="Arial" w:hAnsi="Arial" w:cs="Arial"/>
          <w:b/>
          <w:bCs/>
          <w:szCs w:val="24"/>
        </w:rPr>
        <w:t>–</w:t>
      </w:r>
      <w:r w:rsidR="001D4221">
        <w:rPr>
          <w:rFonts w:ascii="Arial" w:hAnsi="Arial" w:cs="Arial"/>
          <w:b/>
          <w:bCs/>
          <w:szCs w:val="24"/>
        </w:rPr>
        <w:t>2</w:t>
      </w:r>
      <w:r w:rsidR="00DF1905">
        <w:rPr>
          <w:rFonts w:ascii="Arial" w:hAnsi="Arial" w:cs="Arial"/>
          <w:b/>
          <w:bCs/>
          <w:szCs w:val="24"/>
        </w:rPr>
        <w:t>3</w:t>
      </w:r>
    </w:p>
    <w:tbl>
      <w:tblPr>
        <w:tblW w:w="5122" w:type="pct"/>
        <w:tblLayout w:type="fixed"/>
        <w:tblLook w:val="04A0" w:firstRow="1" w:lastRow="0" w:firstColumn="1" w:lastColumn="0" w:noHBand="0" w:noVBand="1"/>
      </w:tblPr>
      <w:tblGrid>
        <w:gridCol w:w="995"/>
        <w:gridCol w:w="1274"/>
        <w:gridCol w:w="1418"/>
        <w:gridCol w:w="1134"/>
        <w:gridCol w:w="1273"/>
        <w:gridCol w:w="1132"/>
        <w:gridCol w:w="1273"/>
      </w:tblGrid>
      <w:tr w:rsidR="008D4815" w:rsidRPr="0058719A" w14:paraId="2E3FD9DB" w14:textId="77777777" w:rsidTr="008D4815">
        <w:trPr>
          <w:trHeight w:val="941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D79D9ED" w14:textId="77777777" w:rsidR="00DF2500" w:rsidRPr="00DF2500" w:rsidRDefault="00DF2500" w:rsidP="00DD2DF0">
            <w:pPr>
              <w:keepNext/>
              <w:rPr>
                <w:rFonts w:ascii="Arial Narrow" w:hAnsi="Arial Narrow" w:cs="Arial"/>
                <w:b/>
                <w:bCs/>
                <w:sz w:val="20"/>
                <w:lang w:eastAsia="en-AU"/>
              </w:rPr>
            </w:pPr>
            <w:r w:rsidRPr="00DF2500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>Licensee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239E92B" w14:textId="77777777" w:rsidR="008D4815" w:rsidRDefault="00DF2500" w:rsidP="008D4815">
            <w:pPr>
              <w:keepNext/>
              <w:jc w:val="right"/>
              <w:rPr>
                <w:rFonts w:ascii="Arial Narrow" w:hAnsi="Arial Narrow" w:cs="Arial"/>
                <w:b/>
                <w:bCs/>
                <w:sz w:val="20"/>
                <w:lang w:eastAsia="en-AU"/>
              </w:rPr>
            </w:pPr>
            <w:r w:rsidRPr="00DF2500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 xml:space="preserve">Total estimated regulatory costs </w:t>
            </w:r>
          </w:p>
          <w:p w14:paraId="26AA48F8" w14:textId="42B2F87A" w:rsidR="00DF2500" w:rsidRPr="00DF2500" w:rsidRDefault="00DF2500" w:rsidP="008D4815">
            <w:pPr>
              <w:keepNext/>
              <w:jc w:val="right"/>
              <w:rPr>
                <w:rFonts w:ascii="Arial Narrow" w:hAnsi="Arial Narrow" w:cs="Arial"/>
                <w:b/>
                <w:bCs/>
                <w:sz w:val="20"/>
                <w:lang w:eastAsia="en-AU"/>
              </w:rPr>
            </w:pPr>
            <w:r w:rsidRPr="00DF2500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>for 2020–21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642E602" w14:textId="77777777" w:rsidR="008D4815" w:rsidRDefault="00DF2500" w:rsidP="008D4815">
            <w:pPr>
              <w:keepNext/>
              <w:jc w:val="right"/>
              <w:rPr>
                <w:rFonts w:ascii="Arial Narrow" w:hAnsi="Arial Narrow" w:cs="Arial"/>
                <w:b/>
                <w:bCs/>
                <w:sz w:val="20"/>
                <w:lang w:eastAsia="en-AU"/>
              </w:rPr>
            </w:pPr>
            <w:r w:rsidRPr="00DF2500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 xml:space="preserve">Total actual regulatory costs </w:t>
            </w:r>
          </w:p>
          <w:p w14:paraId="6DBE0CD6" w14:textId="4F7E8A75" w:rsidR="00DF2500" w:rsidRPr="00DF2500" w:rsidRDefault="00DF2500" w:rsidP="008D4815">
            <w:pPr>
              <w:keepNext/>
              <w:jc w:val="right"/>
              <w:rPr>
                <w:rFonts w:ascii="Arial Narrow" w:hAnsi="Arial Narrow" w:cs="Arial"/>
                <w:b/>
                <w:bCs/>
                <w:sz w:val="20"/>
                <w:lang w:eastAsia="en-AU"/>
              </w:rPr>
            </w:pPr>
            <w:r w:rsidRPr="00DF2500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>for 2020-21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EFF572B" w14:textId="77777777" w:rsidR="00DF2500" w:rsidRPr="00DF2500" w:rsidRDefault="00DF2500" w:rsidP="008D4815">
            <w:pPr>
              <w:keepNext/>
              <w:jc w:val="right"/>
              <w:rPr>
                <w:rFonts w:ascii="Arial Narrow" w:hAnsi="Arial Narrow" w:cs="Arial"/>
                <w:b/>
                <w:bCs/>
                <w:sz w:val="20"/>
                <w:lang w:eastAsia="en-AU"/>
              </w:rPr>
            </w:pPr>
            <w:r w:rsidRPr="00DF2500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>Over (+) or under (-) recovery for 2020–21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0491B1E" w14:textId="4DDDACBF" w:rsidR="008D4815" w:rsidRDefault="00DF2500" w:rsidP="008D4815">
            <w:pPr>
              <w:keepNext/>
              <w:jc w:val="right"/>
              <w:rPr>
                <w:rFonts w:ascii="Arial Narrow" w:hAnsi="Arial Narrow" w:cs="Arial"/>
                <w:b/>
                <w:bCs/>
                <w:sz w:val="20"/>
                <w:lang w:eastAsia="en-AU"/>
              </w:rPr>
            </w:pPr>
            <w:r w:rsidRPr="00DF2500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>Total estimated regulatory</w:t>
            </w:r>
            <w:r w:rsidR="008D4815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 xml:space="preserve"> </w:t>
            </w:r>
            <w:r w:rsidRPr="00DF2500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 xml:space="preserve">costs </w:t>
            </w:r>
          </w:p>
          <w:p w14:paraId="14BFD5FB" w14:textId="7DDBB203" w:rsidR="00DF2500" w:rsidRPr="00DF2500" w:rsidRDefault="00DF2500" w:rsidP="008D4815">
            <w:pPr>
              <w:keepNext/>
              <w:jc w:val="right"/>
              <w:rPr>
                <w:rFonts w:ascii="Arial Narrow" w:hAnsi="Arial Narrow" w:cs="Arial"/>
                <w:b/>
                <w:bCs/>
                <w:sz w:val="20"/>
                <w:lang w:eastAsia="en-AU"/>
              </w:rPr>
            </w:pPr>
            <w:r w:rsidRPr="00DF2500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>for 2021–22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92C9D93" w14:textId="343C06C0" w:rsidR="00DF2500" w:rsidRPr="00DF2500" w:rsidRDefault="00DF2500" w:rsidP="008D4815">
            <w:pPr>
              <w:keepNext/>
              <w:jc w:val="right"/>
              <w:rPr>
                <w:rFonts w:ascii="Arial Narrow" w:hAnsi="Arial Narrow" w:cs="Arial"/>
                <w:b/>
                <w:bCs/>
                <w:sz w:val="20"/>
                <w:lang w:eastAsia="en-AU"/>
              </w:rPr>
            </w:pPr>
            <w:r w:rsidRPr="00DF2500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>Non-regulatory adjustment for 2020–21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FA5FF4C" w14:textId="77777777" w:rsidR="00DF2500" w:rsidRPr="00DF2500" w:rsidRDefault="00DF2500" w:rsidP="008D4815">
            <w:pPr>
              <w:keepNext/>
              <w:jc w:val="right"/>
              <w:rPr>
                <w:rFonts w:ascii="Arial Narrow" w:hAnsi="Arial Narrow" w:cs="Arial"/>
                <w:b/>
                <w:bCs/>
                <w:sz w:val="20"/>
                <w:lang w:eastAsia="en-AU"/>
              </w:rPr>
            </w:pPr>
            <w:r w:rsidRPr="00DF2500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>Licence fees determined for 2021–22</w:t>
            </w:r>
          </w:p>
        </w:tc>
      </w:tr>
      <w:tr w:rsidR="00DF1905" w:rsidRPr="0058719A" w14:paraId="7EA6D668" w14:textId="77777777" w:rsidTr="00E17847">
        <w:trPr>
          <w:trHeight w:val="254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78D4" w14:textId="41739587" w:rsidR="00DF1905" w:rsidRPr="00DF2500" w:rsidRDefault="00DF1905" w:rsidP="00DF1905">
            <w:pPr>
              <w:keepNext/>
              <w:rPr>
                <w:rFonts w:ascii="Arial Narrow" w:hAnsi="Arial Narrow" w:cs="Arial"/>
                <w:sz w:val="20"/>
                <w:lang w:eastAsia="en-AU"/>
              </w:rPr>
            </w:pPr>
            <w:r w:rsidRPr="00DF2500">
              <w:rPr>
                <w:rFonts w:ascii="Arial Narrow" w:hAnsi="Arial Narrow" w:cs="Arial"/>
                <w:sz w:val="20"/>
                <w:lang w:eastAsia="en-AU"/>
              </w:rPr>
              <w:t>EAPL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47CA" w14:textId="5B5C7F81" w:rsidR="00DF1905" w:rsidRPr="00DF1905" w:rsidRDefault="00DF1905" w:rsidP="00DF1905">
            <w:pPr>
              <w:keepNext/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82,008.48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E400" w14:textId="049EC617" w:rsidR="00DF1905" w:rsidRPr="00DF1905" w:rsidRDefault="00DF1905" w:rsidP="00DF1905">
            <w:pPr>
              <w:keepNext/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15,972.16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C91D" w14:textId="68B3004C" w:rsidR="00DF1905" w:rsidRPr="00DF1905" w:rsidRDefault="00DF1905" w:rsidP="00DF1905">
            <w:pPr>
              <w:keepNext/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66,036.32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33B3" w14:textId="6C8A1CA3" w:rsidR="00DF1905" w:rsidRPr="00DF1905" w:rsidRDefault="00DF1905" w:rsidP="00DF1905">
            <w:pPr>
              <w:keepNext/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85,132.70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55E3" w14:textId="18D4517C" w:rsidR="00DF1905" w:rsidRPr="00DF1905" w:rsidRDefault="00DF1905" w:rsidP="00DF1905">
            <w:pPr>
              <w:keepNext/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41.88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A2AF" w14:textId="4B211FA6" w:rsidR="00DF1905" w:rsidRPr="00DF1905" w:rsidRDefault="00DF1905" w:rsidP="00DF1905">
            <w:pPr>
              <w:keepNext/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19,054.50</w:t>
            </w:r>
          </w:p>
        </w:tc>
      </w:tr>
      <w:tr w:rsidR="00DF1905" w:rsidRPr="0058719A" w14:paraId="0FB31925" w14:textId="77777777" w:rsidTr="00E17847">
        <w:trPr>
          <w:trHeight w:val="254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54E2" w14:textId="208D7FC0" w:rsidR="00DF1905" w:rsidRPr="00DF2500" w:rsidRDefault="00DF1905" w:rsidP="00DF1905">
            <w:pPr>
              <w:keepNext/>
              <w:rPr>
                <w:rFonts w:ascii="Arial Narrow" w:hAnsi="Arial Narrow" w:cs="Arial"/>
                <w:sz w:val="20"/>
                <w:lang w:eastAsia="en-AU"/>
              </w:rPr>
            </w:pPr>
            <w:r w:rsidRPr="00DF2500">
              <w:rPr>
                <w:rFonts w:ascii="Arial Narrow" w:hAnsi="Arial Narrow" w:cs="Arial"/>
                <w:sz w:val="20"/>
                <w:lang w:eastAsia="en-AU"/>
              </w:rPr>
              <w:t>Icon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13ABD" w14:textId="2355A578" w:rsidR="00DF1905" w:rsidRPr="00DF1905" w:rsidRDefault="00DF1905" w:rsidP="00DF1905">
            <w:pPr>
              <w:keepNext/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1,164,433.89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604A" w14:textId="19D6A657" w:rsidR="00DF1905" w:rsidRPr="00DF1905" w:rsidRDefault="00DF1905" w:rsidP="00DF1905">
            <w:pPr>
              <w:keepNext/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1,325,589.18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EBFE" w14:textId="628DCACA" w:rsidR="00DF1905" w:rsidRPr="00DF1905" w:rsidRDefault="00DF1905" w:rsidP="00DF1905">
            <w:pPr>
              <w:keepNext/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-161,155.29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6BE1" w14:textId="2844BD0F" w:rsidR="00DF1905" w:rsidRPr="00DF1905" w:rsidRDefault="00DF1905" w:rsidP="00DF1905">
            <w:pPr>
              <w:keepNext/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828,527.60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67346" w14:textId="0AB7C5FE" w:rsidR="00DF1905" w:rsidRPr="00DF1905" w:rsidRDefault="00DF1905" w:rsidP="00DF1905">
            <w:pPr>
              <w:keepNext/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815.56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2AC9" w14:textId="19B3FF7D" w:rsidR="00DF1905" w:rsidRPr="00DF1905" w:rsidRDefault="00DF1905" w:rsidP="00DF1905">
            <w:pPr>
              <w:keepNext/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988,867.33</w:t>
            </w:r>
          </w:p>
        </w:tc>
      </w:tr>
      <w:tr w:rsidR="00DF1905" w:rsidRPr="0058719A" w14:paraId="4E9C77C3" w14:textId="77777777" w:rsidTr="00E17847">
        <w:trPr>
          <w:trHeight w:val="254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55CA" w14:textId="01BB0BF3" w:rsidR="00DF1905" w:rsidRPr="00DF2500" w:rsidRDefault="00DF1905" w:rsidP="00DF1905">
            <w:pPr>
              <w:keepNext/>
              <w:rPr>
                <w:rFonts w:ascii="Arial Narrow" w:hAnsi="Arial Narrow" w:cs="Arial"/>
                <w:sz w:val="20"/>
                <w:lang w:eastAsia="en-AU"/>
              </w:rPr>
            </w:pPr>
            <w:r w:rsidRPr="00DF2500">
              <w:rPr>
                <w:rFonts w:ascii="Arial Narrow" w:hAnsi="Arial Narrow" w:cs="Arial"/>
                <w:sz w:val="20"/>
                <w:lang w:eastAsia="en-AU"/>
              </w:rPr>
              <w:t>TG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0CCF" w14:textId="77078F25" w:rsidR="00DF1905" w:rsidRPr="00DF1905" w:rsidRDefault="00DF1905" w:rsidP="00DF1905">
            <w:pPr>
              <w:keepNext/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107,172.88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46A7" w14:textId="6AE6DE9E" w:rsidR="00DF1905" w:rsidRPr="00DF1905" w:rsidRDefault="00DF1905" w:rsidP="00DF1905">
            <w:pPr>
              <w:keepNext/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58,232.61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4C42" w14:textId="6BD09261" w:rsidR="00DF1905" w:rsidRPr="00DF1905" w:rsidRDefault="00DF1905" w:rsidP="00DF1905">
            <w:pPr>
              <w:keepNext/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48,940.27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66C8" w14:textId="1A68CEBB" w:rsidR="00DF1905" w:rsidRPr="00DF1905" w:rsidRDefault="00DF1905" w:rsidP="00DF1905">
            <w:pPr>
              <w:keepNext/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107,346.55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C239" w14:textId="52FF9DD7" w:rsidR="00DF1905" w:rsidRPr="00DF1905" w:rsidRDefault="00DF1905" w:rsidP="00DF1905">
            <w:pPr>
              <w:keepNext/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73.10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EE0F" w14:textId="32AB4551" w:rsidR="00DF1905" w:rsidRPr="00DF1905" w:rsidRDefault="00DF1905" w:rsidP="00DF1905">
            <w:pPr>
              <w:keepNext/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58,333.18</w:t>
            </w:r>
          </w:p>
        </w:tc>
      </w:tr>
      <w:tr w:rsidR="00DF1905" w:rsidRPr="0058719A" w14:paraId="5C325564" w14:textId="77777777" w:rsidTr="00E17847">
        <w:trPr>
          <w:trHeight w:val="27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4429" w14:textId="77777777" w:rsidR="00DF1905" w:rsidRPr="00DF2500" w:rsidRDefault="00DF1905" w:rsidP="00DF1905">
            <w:pPr>
              <w:keepNext/>
              <w:rPr>
                <w:rFonts w:ascii="Arial Narrow" w:hAnsi="Arial Narrow" w:cs="Arial"/>
                <w:b/>
                <w:bCs/>
                <w:sz w:val="20"/>
                <w:lang w:eastAsia="en-AU"/>
              </w:rPr>
            </w:pPr>
            <w:r w:rsidRPr="00DF2500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>Total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CE4F" w14:textId="5B62D80F" w:rsidR="00DF1905" w:rsidRPr="00DF1905" w:rsidRDefault="00DF1905" w:rsidP="00DF1905">
            <w:pPr>
              <w:keepNext/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1,353,615.25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7861" w14:textId="1123C120" w:rsidR="00DF1905" w:rsidRPr="00DF1905" w:rsidRDefault="00DF1905" w:rsidP="00DF1905">
            <w:pPr>
              <w:keepNext/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1,399,793.95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E640" w14:textId="62EC6215" w:rsidR="00DF1905" w:rsidRPr="00DF1905" w:rsidRDefault="00DF1905" w:rsidP="00DF1905">
            <w:pPr>
              <w:keepNext/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-46,178.70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E3E3" w14:textId="1E7919BC" w:rsidR="00DF1905" w:rsidRPr="00DF1905" w:rsidRDefault="00DF1905" w:rsidP="00DF1905">
            <w:pPr>
              <w:keepNext/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1,021,006.86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75F8" w14:textId="0511A855" w:rsidR="00DF1905" w:rsidRPr="00DF1905" w:rsidRDefault="00DF1905" w:rsidP="00DF1905">
            <w:pPr>
              <w:keepNext/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930.54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AAB3" w14:textId="136A68ED" w:rsidR="00DF1905" w:rsidRPr="00DF1905" w:rsidRDefault="00DF1905" w:rsidP="00DF1905">
            <w:pPr>
              <w:keepNext/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1,066,255.02</w:t>
            </w:r>
          </w:p>
        </w:tc>
      </w:tr>
    </w:tbl>
    <w:p w14:paraId="3517BD0C" w14:textId="53FAC38C" w:rsidR="005B3601" w:rsidRPr="007C6B37" w:rsidRDefault="005B3601" w:rsidP="007C6B37">
      <w:pPr>
        <w:rPr>
          <w:rFonts w:ascii="Arial Narrow" w:hAnsi="Arial Narrow"/>
          <w:sz w:val="18"/>
          <w:szCs w:val="18"/>
        </w:rPr>
      </w:pPr>
      <w:r w:rsidRPr="007C6B37">
        <w:rPr>
          <w:rFonts w:ascii="Arial Narrow" w:hAnsi="Arial Narrow"/>
          <w:sz w:val="18"/>
          <w:vertAlign w:val="superscript"/>
        </w:rPr>
        <w:t>2</w:t>
      </w:r>
      <w:r w:rsidRPr="007C6B37">
        <w:t xml:space="preserve"> </w:t>
      </w:r>
      <w:r w:rsidRPr="007C6B37">
        <w:rPr>
          <w:rFonts w:ascii="Arial Narrow" w:hAnsi="Arial Narrow"/>
          <w:sz w:val="18"/>
          <w:szCs w:val="18"/>
        </w:rPr>
        <w:t xml:space="preserve">A non-regulatory adjustment is an adjustment to the final determined licence fee paid by a utility for an amount of money that is unrelated to a regulator's costs. For example, interest accrued on fee monies collected by the </w:t>
      </w:r>
      <w:r w:rsidR="00DF1905">
        <w:rPr>
          <w:rFonts w:ascii="Arial Narrow" w:hAnsi="Arial Narrow"/>
          <w:sz w:val="18"/>
          <w:szCs w:val="18"/>
        </w:rPr>
        <w:t>c</w:t>
      </w:r>
      <w:r w:rsidRPr="007C6B37">
        <w:rPr>
          <w:rFonts w:ascii="Arial Narrow" w:hAnsi="Arial Narrow"/>
          <w:sz w:val="18"/>
          <w:szCs w:val="18"/>
        </w:rPr>
        <w:t>ommission prior to the funds</w:t>
      </w:r>
      <w:r w:rsidR="00DF2500">
        <w:rPr>
          <w:rFonts w:ascii="Arial Narrow" w:hAnsi="Arial Narrow"/>
          <w:sz w:val="18"/>
          <w:szCs w:val="18"/>
        </w:rPr>
        <w:t xml:space="preserve"> </w:t>
      </w:r>
      <w:r w:rsidRPr="007C6B37">
        <w:rPr>
          <w:rFonts w:ascii="Arial Narrow" w:hAnsi="Arial Narrow"/>
          <w:sz w:val="18"/>
          <w:szCs w:val="18"/>
        </w:rPr>
        <w:t>being passed on to the regulator.</w:t>
      </w:r>
    </w:p>
    <w:p w14:paraId="7BE7E36F" w14:textId="77777777" w:rsidR="00DF2500" w:rsidRDefault="00DF2500" w:rsidP="007C6B37">
      <w:pPr>
        <w:rPr>
          <w:rFonts w:ascii="Arial Narrow" w:hAnsi="Arial Narrow"/>
          <w:sz w:val="18"/>
          <w:szCs w:val="18"/>
          <w:lang w:eastAsia="en-AU"/>
        </w:rPr>
      </w:pPr>
    </w:p>
    <w:p w14:paraId="6ABC3B91" w14:textId="7F0B9F36" w:rsidR="005B3601" w:rsidRPr="007C6B37" w:rsidRDefault="005B3601" w:rsidP="007C6B37">
      <w:pPr>
        <w:rPr>
          <w:rFonts w:ascii="Arial Narrow" w:hAnsi="Arial Narrow"/>
          <w:sz w:val="18"/>
          <w:szCs w:val="18"/>
          <w:lang w:eastAsia="en-AU"/>
        </w:rPr>
      </w:pPr>
      <w:r w:rsidRPr="007C6B37">
        <w:rPr>
          <w:rFonts w:ascii="Arial Narrow" w:hAnsi="Arial Narrow"/>
          <w:sz w:val="18"/>
          <w:szCs w:val="18"/>
          <w:lang w:eastAsia="en-AU"/>
        </w:rPr>
        <w:t>Note: Totals may not add due to rounding.</w:t>
      </w:r>
    </w:p>
    <w:p w14:paraId="52460B15" w14:textId="77777777" w:rsidR="005B3601" w:rsidRPr="005B3601" w:rsidRDefault="005B3601" w:rsidP="005B3601">
      <w:pPr>
        <w:pStyle w:val="TableNotesLast"/>
        <w:rPr>
          <w:rFonts w:ascii="Calibri" w:hAnsi="Calibri"/>
          <w:lang w:val="en-AU" w:eastAsia="en-AU"/>
        </w:rPr>
      </w:pPr>
    </w:p>
    <w:p w14:paraId="64240390" w14:textId="370E3CCB" w:rsidR="00D73837" w:rsidRDefault="000512FC" w:rsidP="00D73837">
      <w:pPr>
        <w:tabs>
          <w:tab w:val="left" w:pos="1134"/>
        </w:tabs>
        <w:spacing w:after="100"/>
        <w:ind w:left="1134" w:hanging="1134"/>
        <w:rPr>
          <w:rFonts w:ascii="Arial" w:hAnsi="Arial" w:cs="Arial"/>
          <w:b/>
          <w:bCs/>
          <w:szCs w:val="24"/>
        </w:rPr>
      </w:pPr>
      <w:r w:rsidRPr="00A61DC9">
        <w:rPr>
          <w:rFonts w:ascii="Arial" w:hAnsi="Arial" w:cs="Arial"/>
          <w:b/>
          <w:bCs/>
          <w:szCs w:val="24"/>
        </w:rPr>
        <w:t xml:space="preserve">Table </w:t>
      </w:r>
      <w:r w:rsidR="0058791C">
        <w:rPr>
          <w:rFonts w:ascii="Arial" w:hAnsi="Arial" w:cs="Arial"/>
          <w:b/>
          <w:bCs/>
          <w:szCs w:val="24"/>
        </w:rPr>
        <w:t>3</w:t>
      </w:r>
      <w:r w:rsidRPr="00A61DC9">
        <w:rPr>
          <w:rFonts w:ascii="Arial" w:hAnsi="Arial" w:cs="Arial"/>
          <w:b/>
          <w:bCs/>
          <w:szCs w:val="24"/>
        </w:rPr>
        <w:t>:</w:t>
      </w:r>
      <w:r>
        <w:rPr>
          <w:rFonts w:ascii="Arial" w:hAnsi="Arial" w:cs="Arial"/>
          <w:b/>
          <w:bCs/>
          <w:szCs w:val="24"/>
        </w:rPr>
        <w:tab/>
      </w:r>
      <w:r w:rsidR="003C17A5">
        <w:rPr>
          <w:rFonts w:ascii="Arial" w:hAnsi="Arial" w:cs="Arial"/>
          <w:b/>
          <w:bCs/>
          <w:szCs w:val="24"/>
        </w:rPr>
        <w:t xml:space="preserve">Total estimated regulatory costs for each government </w:t>
      </w:r>
      <w:r w:rsidR="00206B42">
        <w:rPr>
          <w:rFonts w:ascii="Arial" w:hAnsi="Arial" w:cs="Arial"/>
          <w:b/>
          <w:bCs/>
          <w:szCs w:val="24"/>
        </w:rPr>
        <w:t xml:space="preserve">regulator </w:t>
      </w:r>
      <w:r w:rsidR="00D24C09">
        <w:rPr>
          <w:rFonts w:ascii="Arial" w:hAnsi="Arial" w:cs="Arial"/>
          <w:b/>
          <w:bCs/>
          <w:szCs w:val="24"/>
        </w:rPr>
        <w:t>for 20</w:t>
      </w:r>
      <w:r w:rsidR="002C274D">
        <w:rPr>
          <w:rFonts w:ascii="Arial" w:hAnsi="Arial" w:cs="Arial"/>
          <w:b/>
          <w:bCs/>
          <w:szCs w:val="24"/>
        </w:rPr>
        <w:t>2</w:t>
      </w:r>
      <w:r w:rsidR="00DF1905">
        <w:rPr>
          <w:rFonts w:ascii="Arial" w:hAnsi="Arial" w:cs="Arial"/>
          <w:b/>
          <w:bCs/>
          <w:szCs w:val="24"/>
        </w:rPr>
        <w:t>1</w:t>
      </w:r>
      <w:r w:rsidR="008E1B58">
        <w:rPr>
          <w:rFonts w:ascii="Arial" w:hAnsi="Arial" w:cs="Arial"/>
          <w:b/>
          <w:bCs/>
          <w:szCs w:val="24"/>
        </w:rPr>
        <w:t>–</w:t>
      </w:r>
      <w:r w:rsidR="002C274D">
        <w:rPr>
          <w:rFonts w:ascii="Arial" w:hAnsi="Arial" w:cs="Arial"/>
          <w:b/>
          <w:bCs/>
          <w:szCs w:val="24"/>
        </w:rPr>
        <w:t>2</w:t>
      </w:r>
      <w:r w:rsidR="00DF1905">
        <w:rPr>
          <w:rFonts w:ascii="Arial" w:hAnsi="Arial" w:cs="Arial"/>
          <w:b/>
          <w:bCs/>
          <w:szCs w:val="24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2312"/>
        <w:gridCol w:w="1183"/>
        <w:gridCol w:w="1183"/>
        <w:gridCol w:w="1138"/>
        <w:gridCol w:w="1286"/>
      </w:tblGrid>
      <w:tr w:rsidR="004A5B4F" w:rsidRPr="0058719A" w14:paraId="02886942" w14:textId="77777777" w:rsidTr="00DF1905">
        <w:trPr>
          <w:trHeight w:val="588"/>
        </w:trPr>
        <w:tc>
          <w:tcPr>
            <w:tcW w:w="720" w:type="pct"/>
            <w:shd w:val="clear" w:color="auto" w:fill="D9D9D9" w:themeFill="background1" w:themeFillShade="D9"/>
            <w:vAlign w:val="bottom"/>
            <w:hideMark/>
          </w:tcPr>
          <w:p w14:paraId="4BB45960" w14:textId="77777777" w:rsidR="00BC2061" w:rsidRPr="00DF2500" w:rsidRDefault="00BC2061" w:rsidP="00DF2500">
            <w:pPr>
              <w:rPr>
                <w:rFonts w:ascii="Arial Narrow" w:hAnsi="Arial Narrow" w:cs="Arial"/>
                <w:b/>
                <w:bCs/>
                <w:sz w:val="20"/>
                <w:lang w:eastAsia="en-AU"/>
              </w:rPr>
            </w:pPr>
            <w:r w:rsidRPr="00DF2500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>Licensee</w:t>
            </w:r>
          </w:p>
        </w:tc>
        <w:tc>
          <w:tcPr>
            <w:tcW w:w="1393" w:type="pct"/>
            <w:shd w:val="clear" w:color="auto" w:fill="D9D9D9" w:themeFill="background1" w:themeFillShade="D9"/>
            <w:vAlign w:val="bottom"/>
            <w:hideMark/>
          </w:tcPr>
          <w:p w14:paraId="60D5935C" w14:textId="77777777" w:rsidR="00BC2061" w:rsidRPr="00DF2500" w:rsidRDefault="00BC2061" w:rsidP="00DF2500">
            <w:pPr>
              <w:rPr>
                <w:rFonts w:ascii="Arial Narrow" w:hAnsi="Arial Narrow" w:cs="Arial"/>
                <w:b/>
                <w:bCs/>
                <w:sz w:val="20"/>
                <w:lang w:eastAsia="en-AU"/>
              </w:rPr>
            </w:pPr>
            <w:r w:rsidRPr="00DF2500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>Utility service component provided</w:t>
            </w:r>
          </w:p>
        </w:tc>
        <w:tc>
          <w:tcPr>
            <w:tcW w:w="713" w:type="pct"/>
            <w:shd w:val="clear" w:color="auto" w:fill="D9D9D9" w:themeFill="background1" w:themeFillShade="D9"/>
            <w:vAlign w:val="bottom"/>
            <w:hideMark/>
          </w:tcPr>
          <w:p w14:paraId="7C83284E" w14:textId="6C61D809" w:rsidR="00BC2061" w:rsidRPr="00DF2500" w:rsidRDefault="00BC2061" w:rsidP="00DF2500">
            <w:pPr>
              <w:jc w:val="right"/>
              <w:rPr>
                <w:rFonts w:ascii="Arial Narrow" w:hAnsi="Arial Narrow" w:cs="Arial"/>
                <w:b/>
                <w:bCs/>
                <w:sz w:val="20"/>
                <w:lang w:eastAsia="en-AU"/>
              </w:rPr>
            </w:pPr>
            <w:r w:rsidRPr="00DF2500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>UTR</w:t>
            </w:r>
            <w:r w:rsidR="00DF2500" w:rsidRPr="00DF2500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 xml:space="preserve"> ($)</w:t>
            </w:r>
            <w:r w:rsidRPr="00DF2500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 xml:space="preserve"> </w:t>
            </w:r>
          </w:p>
        </w:tc>
        <w:tc>
          <w:tcPr>
            <w:tcW w:w="713" w:type="pct"/>
            <w:shd w:val="clear" w:color="auto" w:fill="D9D9D9" w:themeFill="background1" w:themeFillShade="D9"/>
            <w:vAlign w:val="bottom"/>
            <w:hideMark/>
          </w:tcPr>
          <w:p w14:paraId="4EAE2A27" w14:textId="3FE42147" w:rsidR="00BC2061" w:rsidRPr="00DF2500" w:rsidRDefault="00BC2061" w:rsidP="00DF2500">
            <w:pPr>
              <w:jc w:val="right"/>
              <w:rPr>
                <w:rFonts w:ascii="Arial Narrow" w:hAnsi="Arial Narrow" w:cs="Arial"/>
                <w:b/>
                <w:bCs/>
                <w:sz w:val="20"/>
                <w:lang w:eastAsia="en-AU"/>
              </w:rPr>
            </w:pPr>
            <w:r w:rsidRPr="00DF2500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>ACAT</w:t>
            </w:r>
            <w:r w:rsidR="00DF2500" w:rsidRPr="00DF2500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 xml:space="preserve"> ($)</w:t>
            </w:r>
          </w:p>
        </w:tc>
        <w:tc>
          <w:tcPr>
            <w:tcW w:w="686" w:type="pct"/>
            <w:shd w:val="clear" w:color="auto" w:fill="D9D9D9" w:themeFill="background1" w:themeFillShade="D9"/>
            <w:vAlign w:val="bottom"/>
            <w:hideMark/>
          </w:tcPr>
          <w:p w14:paraId="0A93F0B7" w14:textId="494D4EB8" w:rsidR="00BC2061" w:rsidRPr="00DF2500" w:rsidRDefault="00BC2061" w:rsidP="00DF2500">
            <w:pPr>
              <w:jc w:val="right"/>
              <w:rPr>
                <w:rFonts w:ascii="Arial Narrow" w:hAnsi="Arial Narrow" w:cs="Arial"/>
                <w:b/>
                <w:bCs/>
                <w:sz w:val="20"/>
                <w:lang w:eastAsia="en-AU"/>
              </w:rPr>
            </w:pPr>
            <w:r w:rsidRPr="00DF2500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>ICRC</w:t>
            </w:r>
            <w:r w:rsidR="00DF2500" w:rsidRPr="00DF2500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 xml:space="preserve"> ($)</w:t>
            </w:r>
          </w:p>
        </w:tc>
        <w:tc>
          <w:tcPr>
            <w:tcW w:w="776" w:type="pct"/>
            <w:shd w:val="clear" w:color="auto" w:fill="D9D9D9" w:themeFill="background1" w:themeFillShade="D9"/>
            <w:vAlign w:val="bottom"/>
            <w:hideMark/>
          </w:tcPr>
          <w:p w14:paraId="68864816" w14:textId="20801C8A" w:rsidR="00BC2061" w:rsidRPr="00DF2500" w:rsidRDefault="00BC2061" w:rsidP="00DF2500">
            <w:pPr>
              <w:jc w:val="right"/>
              <w:rPr>
                <w:rFonts w:ascii="Arial Narrow" w:hAnsi="Arial Narrow" w:cs="Arial"/>
                <w:b/>
                <w:bCs/>
                <w:sz w:val="20"/>
                <w:lang w:eastAsia="en-AU"/>
              </w:rPr>
            </w:pPr>
            <w:r w:rsidRPr="00DF2500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>Total</w:t>
            </w:r>
            <w:r w:rsidR="00DF2500" w:rsidRPr="00DF2500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 xml:space="preserve"> ($)</w:t>
            </w:r>
          </w:p>
        </w:tc>
      </w:tr>
      <w:tr w:rsidR="00DF1905" w:rsidRPr="0058719A" w14:paraId="69EECB04" w14:textId="77777777" w:rsidTr="00DF1905">
        <w:trPr>
          <w:trHeight w:val="309"/>
        </w:trPr>
        <w:tc>
          <w:tcPr>
            <w:tcW w:w="720" w:type="pct"/>
            <w:shd w:val="clear" w:color="auto" w:fill="auto"/>
            <w:vAlign w:val="bottom"/>
            <w:hideMark/>
          </w:tcPr>
          <w:p w14:paraId="463AC6B8" w14:textId="23EEA035" w:rsidR="00DF1905" w:rsidRPr="00DF2500" w:rsidRDefault="00DF1905" w:rsidP="00DF1905">
            <w:pPr>
              <w:rPr>
                <w:rFonts w:ascii="Arial Narrow" w:hAnsi="Arial Narrow" w:cs="Arial"/>
                <w:sz w:val="20"/>
                <w:lang w:eastAsia="en-AU"/>
              </w:rPr>
            </w:pPr>
            <w:r>
              <w:rPr>
                <w:rFonts w:ascii="Arial Narrow" w:hAnsi="Arial Narrow" w:cs="Arial"/>
                <w:sz w:val="20"/>
                <w:lang w:eastAsia="en-AU"/>
              </w:rPr>
              <w:t>EAPL</w:t>
            </w:r>
          </w:p>
        </w:tc>
        <w:tc>
          <w:tcPr>
            <w:tcW w:w="1393" w:type="pct"/>
            <w:shd w:val="clear" w:color="auto" w:fill="auto"/>
            <w:vAlign w:val="bottom"/>
            <w:hideMark/>
          </w:tcPr>
          <w:p w14:paraId="57E64E19" w14:textId="77777777" w:rsidR="00DF1905" w:rsidRPr="00DF2500" w:rsidRDefault="00DF1905" w:rsidP="00DF1905">
            <w:pPr>
              <w:rPr>
                <w:rFonts w:ascii="Arial Narrow" w:hAnsi="Arial Narrow" w:cs="Arial"/>
                <w:sz w:val="20"/>
                <w:lang w:eastAsia="en-AU"/>
              </w:rPr>
            </w:pPr>
            <w:r w:rsidRPr="00DF2500">
              <w:rPr>
                <w:rFonts w:ascii="Arial Narrow" w:hAnsi="Arial Narrow" w:cs="Arial"/>
                <w:sz w:val="20"/>
                <w:lang w:eastAsia="en-AU"/>
              </w:rPr>
              <w:t>Gas Transmission</w:t>
            </w:r>
          </w:p>
        </w:tc>
        <w:tc>
          <w:tcPr>
            <w:tcW w:w="713" w:type="pct"/>
            <w:shd w:val="clear" w:color="auto" w:fill="auto"/>
            <w:hideMark/>
          </w:tcPr>
          <w:p w14:paraId="394EE9FA" w14:textId="062BC5EA" w:rsidR="00DF1905" w:rsidRPr="00DF1905" w:rsidRDefault="00DF1905" w:rsidP="00DF1905">
            <w:pPr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77,518.53</w:t>
            </w:r>
          </w:p>
        </w:tc>
        <w:tc>
          <w:tcPr>
            <w:tcW w:w="713" w:type="pct"/>
            <w:shd w:val="clear" w:color="auto" w:fill="auto"/>
            <w:hideMark/>
          </w:tcPr>
          <w:p w14:paraId="2372EDF2" w14:textId="37D31709" w:rsidR="00DF1905" w:rsidRPr="00DF1905" w:rsidRDefault="00DF1905" w:rsidP="00DF1905">
            <w:pPr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0.00</w:t>
            </w:r>
          </w:p>
        </w:tc>
        <w:tc>
          <w:tcPr>
            <w:tcW w:w="686" w:type="pct"/>
            <w:shd w:val="clear" w:color="auto" w:fill="auto"/>
            <w:hideMark/>
          </w:tcPr>
          <w:p w14:paraId="0B1F1364" w14:textId="6144312D" w:rsidR="00DF1905" w:rsidRPr="00DF1905" w:rsidRDefault="00DF1905" w:rsidP="00DF1905">
            <w:pPr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4,489.95</w:t>
            </w:r>
          </w:p>
        </w:tc>
        <w:tc>
          <w:tcPr>
            <w:tcW w:w="776" w:type="pct"/>
            <w:shd w:val="clear" w:color="auto" w:fill="auto"/>
            <w:hideMark/>
          </w:tcPr>
          <w:p w14:paraId="423798D4" w14:textId="2405DFBC" w:rsidR="00DF1905" w:rsidRPr="00DF1905" w:rsidRDefault="00DF1905" w:rsidP="00DF1905">
            <w:pPr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82,008.48</w:t>
            </w:r>
          </w:p>
        </w:tc>
      </w:tr>
      <w:tr w:rsidR="00DF1905" w:rsidRPr="0058719A" w14:paraId="6BA8A885" w14:textId="77777777" w:rsidTr="00DF1905">
        <w:trPr>
          <w:trHeight w:val="309"/>
        </w:trPr>
        <w:tc>
          <w:tcPr>
            <w:tcW w:w="720" w:type="pct"/>
            <w:shd w:val="clear" w:color="auto" w:fill="auto"/>
            <w:vAlign w:val="bottom"/>
            <w:hideMark/>
          </w:tcPr>
          <w:p w14:paraId="08EF35AB" w14:textId="048A4A94" w:rsidR="00DF1905" w:rsidRPr="00DF2500" w:rsidRDefault="00DF1905" w:rsidP="00DF1905">
            <w:pPr>
              <w:rPr>
                <w:rFonts w:ascii="Arial Narrow" w:hAnsi="Arial Narrow" w:cs="Arial"/>
                <w:sz w:val="20"/>
                <w:lang w:eastAsia="en-AU"/>
              </w:rPr>
            </w:pPr>
            <w:r>
              <w:rPr>
                <w:rFonts w:ascii="Arial Narrow" w:hAnsi="Arial Narrow" w:cs="Arial"/>
                <w:sz w:val="20"/>
                <w:lang w:eastAsia="en-AU"/>
              </w:rPr>
              <w:t>Icon</w:t>
            </w:r>
          </w:p>
        </w:tc>
        <w:tc>
          <w:tcPr>
            <w:tcW w:w="1393" w:type="pct"/>
            <w:shd w:val="clear" w:color="auto" w:fill="auto"/>
            <w:vAlign w:val="bottom"/>
            <w:hideMark/>
          </w:tcPr>
          <w:p w14:paraId="5BEA9319" w14:textId="77777777" w:rsidR="00DF1905" w:rsidRPr="00DF2500" w:rsidRDefault="00DF1905" w:rsidP="00DF1905">
            <w:pPr>
              <w:rPr>
                <w:rFonts w:ascii="Arial Narrow" w:hAnsi="Arial Narrow" w:cs="Arial"/>
                <w:sz w:val="20"/>
                <w:lang w:eastAsia="en-AU"/>
              </w:rPr>
            </w:pPr>
            <w:r w:rsidRPr="00DF2500">
              <w:rPr>
                <w:rFonts w:ascii="Arial Narrow" w:hAnsi="Arial Narrow" w:cs="Arial"/>
                <w:sz w:val="20"/>
                <w:lang w:eastAsia="en-AU"/>
              </w:rPr>
              <w:t xml:space="preserve">Water and Sewerage </w:t>
            </w:r>
          </w:p>
        </w:tc>
        <w:tc>
          <w:tcPr>
            <w:tcW w:w="713" w:type="pct"/>
            <w:shd w:val="clear" w:color="auto" w:fill="auto"/>
            <w:hideMark/>
          </w:tcPr>
          <w:p w14:paraId="511A05D7" w14:textId="0C2297A9" w:rsidR="00DF1905" w:rsidRPr="00DF1905" w:rsidRDefault="00DF1905" w:rsidP="00DF1905">
            <w:pPr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432,276.79</w:t>
            </w:r>
          </w:p>
        </w:tc>
        <w:tc>
          <w:tcPr>
            <w:tcW w:w="713" w:type="pct"/>
            <w:shd w:val="clear" w:color="auto" w:fill="auto"/>
            <w:hideMark/>
          </w:tcPr>
          <w:p w14:paraId="6E5EE830" w14:textId="5923BB8D" w:rsidR="00DF1905" w:rsidRPr="00DF1905" w:rsidRDefault="00DF1905" w:rsidP="00DF1905">
            <w:pPr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101,955.00</w:t>
            </w:r>
          </w:p>
        </w:tc>
        <w:tc>
          <w:tcPr>
            <w:tcW w:w="686" w:type="pct"/>
            <w:shd w:val="clear" w:color="auto" w:fill="auto"/>
            <w:hideMark/>
          </w:tcPr>
          <w:p w14:paraId="49FE6688" w14:textId="6489DC33" w:rsidR="00DF1905" w:rsidRPr="00DF1905" w:rsidRDefault="00DF1905" w:rsidP="00DF1905">
            <w:pPr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630,202.10</w:t>
            </w:r>
          </w:p>
        </w:tc>
        <w:tc>
          <w:tcPr>
            <w:tcW w:w="776" w:type="pct"/>
            <w:shd w:val="clear" w:color="auto" w:fill="auto"/>
            <w:hideMark/>
          </w:tcPr>
          <w:p w14:paraId="3FB05B3A" w14:textId="5951B9A7" w:rsidR="00DF1905" w:rsidRPr="00DF1905" w:rsidRDefault="00DF1905" w:rsidP="00DF1905">
            <w:pPr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1,164,433.89</w:t>
            </w:r>
          </w:p>
        </w:tc>
      </w:tr>
      <w:tr w:rsidR="00DF1905" w:rsidRPr="0058719A" w14:paraId="5F611952" w14:textId="77777777" w:rsidTr="00DF1905">
        <w:trPr>
          <w:trHeight w:val="309"/>
        </w:trPr>
        <w:tc>
          <w:tcPr>
            <w:tcW w:w="720" w:type="pct"/>
            <w:shd w:val="clear" w:color="auto" w:fill="auto"/>
            <w:vAlign w:val="bottom"/>
            <w:hideMark/>
          </w:tcPr>
          <w:p w14:paraId="4055D819" w14:textId="5FFA1C3D" w:rsidR="00DF1905" w:rsidRPr="00DF2500" w:rsidRDefault="00DF1905" w:rsidP="00DF1905">
            <w:pPr>
              <w:rPr>
                <w:rFonts w:ascii="Arial Narrow" w:hAnsi="Arial Narrow" w:cs="Arial"/>
                <w:sz w:val="20"/>
                <w:lang w:eastAsia="en-AU"/>
              </w:rPr>
            </w:pPr>
            <w:r>
              <w:rPr>
                <w:rFonts w:ascii="Arial Narrow" w:hAnsi="Arial Narrow" w:cs="Arial"/>
                <w:sz w:val="20"/>
                <w:lang w:eastAsia="en-AU"/>
              </w:rPr>
              <w:t>TG</w:t>
            </w:r>
          </w:p>
        </w:tc>
        <w:tc>
          <w:tcPr>
            <w:tcW w:w="1393" w:type="pct"/>
            <w:shd w:val="clear" w:color="auto" w:fill="auto"/>
            <w:vAlign w:val="bottom"/>
            <w:hideMark/>
          </w:tcPr>
          <w:p w14:paraId="38501292" w14:textId="77777777" w:rsidR="00DF1905" w:rsidRPr="00DF2500" w:rsidRDefault="00DF1905" w:rsidP="00DF1905">
            <w:pPr>
              <w:rPr>
                <w:rFonts w:ascii="Arial Narrow" w:hAnsi="Arial Narrow" w:cs="Arial"/>
                <w:sz w:val="20"/>
                <w:lang w:eastAsia="en-AU"/>
              </w:rPr>
            </w:pPr>
            <w:r w:rsidRPr="00DF2500">
              <w:rPr>
                <w:rFonts w:ascii="Arial Narrow" w:hAnsi="Arial Narrow" w:cs="Arial"/>
                <w:sz w:val="20"/>
                <w:lang w:eastAsia="en-AU"/>
              </w:rPr>
              <w:t>Electricity Transmission</w:t>
            </w:r>
          </w:p>
        </w:tc>
        <w:tc>
          <w:tcPr>
            <w:tcW w:w="713" w:type="pct"/>
            <w:shd w:val="clear" w:color="auto" w:fill="auto"/>
            <w:hideMark/>
          </w:tcPr>
          <w:p w14:paraId="72E53C8F" w14:textId="181AE8C9" w:rsidR="00DF1905" w:rsidRPr="00DF1905" w:rsidRDefault="00DF1905" w:rsidP="00DF1905">
            <w:pPr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101,088.43</w:t>
            </w:r>
          </w:p>
        </w:tc>
        <w:tc>
          <w:tcPr>
            <w:tcW w:w="713" w:type="pct"/>
            <w:shd w:val="clear" w:color="auto" w:fill="auto"/>
            <w:hideMark/>
          </w:tcPr>
          <w:p w14:paraId="5F512BC4" w14:textId="382B2155" w:rsidR="00DF1905" w:rsidRPr="00DF1905" w:rsidRDefault="00DF1905" w:rsidP="00DF1905">
            <w:pPr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0.00</w:t>
            </w:r>
          </w:p>
        </w:tc>
        <w:tc>
          <w:tcPr>
            <w:tcW w:w="686" w:type="pct"/>
            <w:shd w:val="clear" w:color="auto" w:fill="auto"/>
            <w:hideMark/>
          </w:tcPr>
          <w:p w14:paraId="4808D4BF" w14:textId="51985881" w:rsidR="00DF1905" w:rsidRPr="00DF1905" w:rsidRDefault="00DF1905" w:rsidP="00DF1905">
            <w:pPr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6,084.45</w:t>
            </w:r>
          </w:p>
        </w:tc>
        <w:tc>
          <w:tcPr>
            <w:tcW w:w="776" w:type="pct"/>
            <w:shd w:val="clear" w:color="auto" w:fill="auto"/>
            <w:hideMark/>
          </w:tcPr>
          <w:p w14:paraId="15D6755C" w14:textId="6F63EBFF" w:rsidR="00DF1905" w:rsidRPr="00DF1905" w:rsidRDefault="00DF1905" w:rsidP="00DF1905">
            <w:pPr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107,172.88</w:t>
            </w:r>
          </w:p>
        </w:tc>
      </w:tr>
      <w:tr w:rsidR="00DF1905" w:rsidRPr="0058719A" w14:paraId="34A83521" w14:textId="77777777" w:rsidTr="00DF1905">
        <w:trPr>
          <w:trHeight w:val="402"/>
        </w:trPr>
        <w:tc>
          <w:tcPr>
            <w:tcW w:w="720" w:type="pct"/>
            <w:shd w:val="clear" w:color="auto" w:fill="FFFFFF" w:themeFill="background1"/>
            <w:vAlign w:val="center"/>
            <w:hideMark/>
          </w:tcPr>
          <w:p w14:paraId="2B1542E5" w14:textId="77777777" w:rsidR="00DF1905" w:rsidRPr="00DF2500" w:rsidRDefault="00DF1905" w:rsidP="00DF1905">
            <w:pPr>
              <w:rPr>
                <w:rFonts w:ascii="Arial Narrow" w:hAnsi="Arial Narrow" w:cs="Arial"/>
                <w:b/>
                <w:bCs/>
                <w:sz w:val="20"/>
                <w:lang w:eastAsia="en-AU"/>
              </w:rPr>
            </w:pPr>
            <w:r w:rsidRPr="00DF2500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 xml:space="preserve">Total </w:t>
            </w:r>
          </w:p>
        </w:tc>
        <w:tc>
          <w:tcPr>
            <w:tcW w:w="1393" w:type="pct"/>
            <w:shd w:val="clear" w:color="auto" w:fill="FFFFFF" w:themeFill="background1"/>
            <w:vAlign w:val="center"/>
            <w:hideMark/>
          </w:tcPr>
          <w:p w14:paraId="69B41871" w14:textId="77777777" w:rsidR="00DF1905" w:rsidRPr="00DF2500" w:rsidRDefault="00DF1905" w:rsidP="00DF1905">
            <w:pPr>
              <w:rPr>
                <w:rFonts w:ascii="Arial Narrow" w:hAnsi="Arial Narrow" w:cs="Arial"/>
                <w:b/>
                <w:bCs/>
                <w:sz w:val="20"/>
                <w:lang w:eastAsia="en-AU"/>
              </w:rPr>
            </w:pPr>
            <w:r w:rsidRPr="00DF2500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> </w:t>
            </w:r>
          </w:p>
        </w:tc>
        <w:tc>
          <w:tcPr>
            <w:tcW w:w="713" w:type="pct"/>
            <w:shd w:val="clear" w:color="auto" w:fill="FFFFFF" w:themeFill="background1"/>
            <w:hideMark/>
          </w:tcPr>
          <w:p w14:paraId="3D1A8B4E" w14:textId="268A41BF" w:rsidR="00DF1905" w:rsidRPr="00DF1905" w:rsidRDefault="00DF1905" w:rsidP="00DF1905">
            <w:pPr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610,883.75</w:t>
            </w:r>
          </w:p>
        </w:tc>
        <w:tc>
          <w:tcPr>
            <w:tcW w:w="713" w:type="pct"/>
            <w:shd w:val="clear" w:color="auto" w:fill="FFFFFF" w:themeFill="background1"/>
            <w:hideMark/>
          </w:tcPr>
          <w:p w14:paraId="3E5F0A86" w14:textId="731132F9" w:rsidR="00DF1905" w:rsidRPr="00DF1905" w:rsidRDefault="00DF1905" w:rsidP="00DF1905">
            <w:pPr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101,955.00</w:t>
            </w:r>
          </w:p>
        </w:tc>
        <w:tc>
          <w:tcPr>
            <w:tcW w:w="686" w:type="pct"/>
            <w:shd w:val="clear" w:color="auto" w:fill="FFFFFF" w:themeFill="background1"/>
            <w:hideMark/>
          </w:tcPr>
          <w:p w14:paraId="5F2392B1" w14:textId="4D7DCE24" w:rsidR="00DF1905" w:rsidRPr="00DF1905" w:rsidRDefault="00DF1905" w:rsidP="00DF1905">
            <w:pPr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640,776.50</w:t>
            </w:r>
          </w:p>
        </w:tc>
        <w:tc>
          <w:tcPr>
            <w:tcW w:w="776" w:type="pct"/>
            <w:shd w:val="clear" w:color="auto" w:fill="FFFFFF" w:themeFill="background1"/>
            <w:hideMark/>
          </w:tcPr>
          <w:p w14:paraId="72BF6C3C" w14:textId="143426C4" w:rsidR="00DF1905" w:rsidRPr="00DF1905" w:rsidRDefault="00DF1905" w:rsidP="00DF1905">
            <w:pPr>
              <w:jc w:val="right"/>
              <w:rPr>
                <w:rFonts w:ascii="Arial Narrow" w:hAnsi="Arial Narrow" w:cs="Arial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1,353,615.25</w:t>
            </w:r>
          </w:p>
        </w:tc>
      </w:tr>
    </w:tbl>
    <w:p w14:paraId="4FFE01C2" w14:textId="21EEB0B1" w:rsidR="000B460B" w:rsidRDefault="005B3601" w:rsidP="00BC2061">
      <w:pPr>
        <w:tabs>
          <w:tab w:val="left" w:pos="1134"/>
        </w:tabs>
        <w:contextualSpacing/>
        <w:rPr>
          <w:rFonts w:ascii="Arial Narrow" w:hAnsi="Arial Narrow" w:cs="Arial"/>
          <w:bCs/>
          <w:sz w:val="18"/>
          <w:szCs w:val="18"/>
        </w:rPr>
      </w:pPr>
      <w:r w:rsidRPr="005B3601">
        <w:rPr>
          <w:rFonts w:ascii="Arial Narrow" w:hAnsi="Arial Narrow" w:cs="Arial"/>
          <w:bCs/>
          <w:sz w:val="18"/>
          <w:szCs w:val="18"/>
        </w:rPr>
        <w:t>Note: Totals may not add due to rounding.</w:t>
      </w:r>
    </w:p>
    <w:p w14:paraId="5E964CD6" w14:textId="77777777" w:rsidR="005B3601" w:rsidRPr="005B3601" w:rsidRDefault="005B3601" w:rsidP="000B460B">
      <w:pPr>
        <w:keepNext/>
        <w:tabs>
          <w:tab w:val="left" w:pos="1134"/>
        </w:tabs>
        <w:spacing w:after="100"/>
        <w:ind w:left="1134" w:hanging="1134"/>
        <w:rPr>
          <w:rFonts w:ascii="Arial Narrow" w:hAnsi="Arial Narrow" w:cs="Arial"/>
          <w:bCs/>
          <w:sz w:val="18"/>
          <w:szCs w:val="18"/>
        </w:rPr>
      </w:pPr>
    </w:p>
    <w:p w14:paraId="470E9405" w14:textId="77777777" w:rsidR="001D4221" w:rsidRDefault="001D4221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br w:type="page"/>
      </w:r>
    </w:p>
    <w:p w14:paraId="15515B56" w14:textId="687288C5" w:rsidR="00175AB8" w:rsidRPr="005D72F2" w:rsidRDefault="00175AB8" w:rsidP="00175AB8">
      <w:pPr>
        <w:pStyle w:val="Header"/>
        <w:keepNext/>
        <w:contextualSpacing/>
        <w:rPr>
          <w:rFonts w:ascii="Arial Narrow" w:hAnsi="Arial Narrow" w:cs="Arial"/>
          <w:sz w:val="18"/>
          <w:szCs w:val="18"/>
        </w:rPr>
      </w:pPr>
      <w:r w:rsidRPr="005C2D4D">
        <w:rPr>
          <w:rFonts w:ascii="Arial Narrow" w:hAnsi="Arial Narrow"/>
          <w:sz w:val="18"/>
          <w:szCs w:val="18"/>
        </w:rPr>
        <w:lastRenderedPageBreak/>
        <w:t xml:space="preserve">This is page </w:t>
      </w:r>
      <w:r>
        <w:rPr>
          <w:rStyle w:val="PageNumber"/>
          <w:rFonts w:ascii="Arial Narrow" w:hAnsi="Arial Narrow"/>
          <w:sz w:val="18"/>
          <w:szCs w:val="18"/>
        </w:rPr>
        <w:t xml:space="preserve">2 of 2 </w:t>
      </w:r>
      <w:r w:rsidRPr="005C2D4D">
        <w:rPr>
          <w:rFonts w:ascii="Arial Narrow" w:hAnsi="Arial Narrow"/>
          <w:sz w:val="18"/>
          <w:szCs w:val="18"/>
        </w:rPr>
        <w:t xml:space="preserve">of the Schedule to the </w:t>
      </w:r>
      <w:r w:rsidRPr="008F59E5">
        <w:rPr>
          <w:rFonts w:ascii="Arial Narrow" w:hAnsi="Arial Narrow"/>
          <w:i/>
          <w:sz w:val="18"/>
          <w:szCs w:val="18"/>
        </w:rPr>
        <w:t>Utilities (Annual Licence Fees Determination</w:t>
      </w:r>
      <w:r>
        <w:rPr>
          <w:rFonts w:ascii="Arial Narrow" w:hAnsi="Arial Narrow"/>
          <w:i/>
          <w:sz w:val="18"/>
          <w:szCs w:val="18"/>
        </w:rPr>
        <w:t xml:space="preserve"> 20</w:t>
      </w:r>
      <w:r w:rsidR="002C274D">
        <w:rPr>
          <w:rFonts w:ascii="Arial Narrow" w:hAnsi="Arial Narrow"/>
          <w:i/>
          <w:sz w:val="18"/>
          <w:szCs w:val="18"/>
        </w:rPr>
        <w:t>2</w:t>
      </w:r>
      <w:r w:rsidR="00DF1905">
        <w:rPr>
          <w:rFonts w:ascii="Arial Narrow" w:hAnsi="Arial Narrow"/>
          <w:i/>
          <w:sz w:val="18"/>
          <w:szCs w:val="18"/>
        </w:rPr>
        <w:t>2</w:t>
      </w:r>
      <w:r>
        <w:rPr>
          <w:rFonts w:ascii="Arial Narrow" w:hAnsi="Arial Narrow"/>
          <w:i/>
          <w:sz w:val="18"/>
          <w:szCs w:val="18"/>
        </w:rPr>
        <w:t>–2</w:t>
      </w:r>
      <w:r w:rsidR="00DF1905">
        <w:rPr>
          <w:rFonts w:ascii="Arial Narrow" w:hAnsi="Arial Narrow"/>
          <w:i/>
          <w:sz w:val="18"/>
          <w:szCs w:val="18"/>
        </w:rPr>
        <w:t>3</w:t>
      </w:r>
      <w:r w:rsidRPr="008F59E5">
        <w:rPr>
          <w:rFonts w:ascii="Arial Narrow" w:hAnsi="Arial Narrow"/>
          <w:i/>
          <w:sz w:val="18"/>
          <w:szCs w:val="18"/>
        </w:rPr>
        <w:t>) Notice 20</w:t>
      </w:r>
      <w:r w:rsidR="002C274D">
        <w:rPr>
          <w:rFonts w:ascii="Arial Narrow" w:hAnsi="Arial Narrow"/>
          <w:i/>
          <w:sz w:val="18"/>
          <w:szCs w:val="18"/>
        </w:rPr>
        <w:t>2</w:t>
      </w:r>
      <w:r w:rsidR="00DF1905">
        <w:rPr>
          <w:rFonts w:ascii="Arial Narrow" w:hAnsi="Arial Narrow"/>
          <w:i/>
          <w:sz w:val="18"/>
          <w:szCs w:val="18"/>
        </w:rPr>
        <w:t>2</w:t>
      </w:r>
    </w:p>
    <w:p w14:paraId="6D29ABB6" w14:textId="77777777" w:rsidR="001D4221" w:rsidRDefault="001D4221" w:rsidP="00D26AC9">
      <w:pPr>
        <w:keepNext/>
        <w:tabs>
          <w:tab w:val="left" w:pos="1134"/>
        </w:tabs>
        <w:spacing w:after="100"/>
        <w:ind w:left="1134" w:hanging="1134"/>
        <w:rPr>
          <w:rFonts w:ascii="Arial" w:hAnsi="Arial" w:cs="Arial"/>
          <w:b/>
          <w:bCs/>
          <w:szCs w:val="24"/>
        </w:rPr>
      </w:pPr>
    </w:p>
    <w:p w14:paraId="72AD4B2B" w14:textId="77BD7A2D" w:rsidR="002022A9" w:rsidRDefault="002022A9" w:rsidP="00D26AC9">
      <w:pPr>
        <w:keepNext/>
        <w:tabs>
          <w:tab w:val="left" w:pos="1134"/>
        </w:tabs>
        <w:spacing w:after="100"/>
        <w:ind w:left="1134" w:hanging="1134"/>
        <w:rPr>
          <w:rFonts w:ascii="Arial" w:hAnsi="Arial" w:cs="Arial"/>
          <w:b/>
          <w:bCs/>
          <w:szCs w:val="24"/>
        </w:rPr>
      </w:pPr>
      <w:r w:rsidRPr="00A61DC9">
        <w:rPr>
          <w:rFonts w:ascii="Arial" w:hAnsi="Arial" w:cs="Arial"/>
          <w:b/>
          <w:bCs/>
          <w:szCs w:val="24"/>
        </w:rPr>
        <w:t xml:space="preserve">Table </w:t>
      </w:r>
      <w:r>
        <w:rPr>
          <w:rFonts w:ascii="Arial" w:hAnsi="Arial" w:cs="Arial"/>
          <w:b/>
          <w:bCs/>
          <w:szCs w:val="24"/>
        </w:rPr>
        <w:t>4</w:t>
      </w:r>
      <w:r w:rsidRPr="00A61DC9">
        <w:rPr>
          <w:rFonts w:ascii="Arial" w:hAnsi="Arial" w:cs="Arial"/>
          <w:b/>
          <w:bCs/>
          <w:szCs w:val="24"/>
        </w:rPr>
        <w:t>:</w:t>
      </w:r>
      <w:r>
        <w:rPr>
          <w:rFonts w:ascii="Arial" w:hAnsi="Arial" w:cs="Arial"/>
          <w:b/>
          <w:bCs/>
          <w:szCs w:val="24"/>
        </w:rPr>
        <w:tab/>
        <w:t>Total actual regulatory costs for ea</w:t>
      </w:r>
      <w:r w:rsidR="007376DE">
        <w:rPr>
          <w:rFonts w:ascii="Arial" w:hAnsi="Arial" w:cs="Arial"/>
          <w:b/>
          <w:bCs/>
          <w:szCs w:val="24"/>
        </w:rPr>
        <w:t>ch government regulator for 20</w:t>
      </w:r>
      <w:r w:rsidR="002C274D">
        <w:rPr>
          <w:rFonts w:ascii="Arial" w:hAnsi="Arial" w:cs="Arial"/>
          <w:b/>
          <w:bCs/>
          <w:szCs w:val="24"/>
        </w:rPr>
        <w:t>2</w:t>
      </w:r>
      <w:r w:rsidR="00DF1905">
        <w:rPr>
          <w:rFonts w:ascii="Arial" w:hAnsi="Arial" w:cs="Arial"/>
          <w:b/>
          <w:bCs/>
          <w:szCs w:val="24"/>
        </w:rPr>
        <w:t>1</w:t>
      </w:r>
      <w:r w:rsidR="008E1B58">
        <w:rPr>
          <w:rFonts w:ascii="Arial" w:hAnsi="Arial" w:cs="Arial"/>
          <w:b/>
          <w:bCs/>
          <w:szCs w:val="24"/>
        </w:rPr>
        <w:t>–</w:t>
      </w:r>
      <w:r w:rsidR="002C274D">
        <w:rPr>
          <w:rFonts w:ascii="Arial" w:hAnsi="Arial" w:cs="Arial"/>
          <w:b/>
          <w:bCs/>
          <w:szCs w:val="24"/>
        </w:rPr>
        <w:t>2</w:t>
      </w:r>
      <w:r w:rsidR="00DF1905">
        <w:rPr>
          <w:rFonts w:ascii="Arial" w:hAnsi="Arial" w:cs="Arial"/>
          <w:b/>
          <w:bCs/>
          <w:szCs w:val="24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2951"/>
        <w:gridCol w:w="1037"/>
        <w:gridCol w:w="946"/>
        <w:gridCol w:w="1037"/>
        <w:gridCol w:w="1174"/>
      </w:tblGrid>
      <w:tr w:rsidR="00BC2061" w:rsidRPr="0058719A" w14:paraId="0E652A61" w14:textId="77777777" w:rsidTr="00DF2500">
        <w:trPr>
          <w:trHeight w:val="315"/>
        </w:trPr>
        <w:tc>
          <w:tcPr>
            <w:tcW w:w="694" w:type="pct"/>
            <w:shd w:val="clear" w:color="auto" w:fill="D9D9D9" w:themeFill="background1" w:themeFillShade="D9"/>
            <w:noWrap/>
            <w:vAlign w:val="bottom"/>
            <w:hideMark/>
          </w:tcPr>
          <w:p w14:paraId="50ED31EE" w14:textId="77777777" w:rsidR="00BC2061" w:rsidRPr="00BC2061" w:rsidRDefault="00BC2061" w:rsidP="00DF2500">
            <w:pPr>
              <w:rPr>
                <w:rFonts w:ascii="Arial Narrow" w:hAnsi="Arial Narrow" w:cs="Calibri"/>
                <w:b/>
                <w:bCs/>
                <w:sz w:val="20"/>
                <w:lang w:eastAsia="en-AU"/>
              </w:rPr>
            </w:pPr>
            <w:r w:rsidRPr="00BC2061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>Licensee</w:t>
            </w:r>
          </w:p>
        </w:tc>
        <w:tc>
          <w:tcPr>
            <w:tcW w:w="1778" w:type="pct"/>
            <w:shd w:val="clear" w:color="auto" w:fill="D9D9D9" w:themeFill="background1" w:themeFillShade="D9"/>
            <w:noWrap/>
            <w:vAlign w:val="bottom"/>
            <w:hideMark/>
          </w:tcPr>
          <w:p w14:paraId="36A1660E" w14:textId="77777777" w:rsidR="00BC2061" w:rsidRPr="00CE69C7" w:rsidRDefault="00BC2061" w:rsidP="00DF2500">
            <w:pPr>
              <w:rPr>
                <w:rFonts w:ascii="Arial Narrow" w:hAnsi="Arial Narrow" w:cs="Calibri"/>
                <w:b/>
                <w:bCs/>
                <w:sz w:val="20"/>
                <w:lang w:eastAsia="en-AU"/>
              </w:rPr>
            </w:pPr>
            <w:r w:rsidRPr="00CE69C7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>Utility service component provided</w:t>
            </w:r>
          </w:p>
        </w:tc>
        <w:tc>
          <w:tcPr>
            <w:tcW w:w="625" w:type="pct"/>
            <w:shd w:val="clear" w:color="auto" w:fill="D9D9D9" w:themeFill="background1" w:themeFillShade="D9"/>
            <w:noWrap/>
            <w:vAlign w:val="bottom"/>
            <w:hideMark/>
          </w:tcPr>
          <w:p w14:paraId="68D504D2" w14:textId="41F33D18" w:rsidR="00BC2061" w:rsidRPr="00BC2061" w:rsidRDefault="00BC2061" w:rsidP="008D4815">
            <w:pPr>
              <w:jc w:val="right"/>
              <w:rPr>
                <w:rFonts w:ascii="Arial Narrow" w:hAnsi="Arial Narrow" w:cs="Calibri"/>
                <w:b/>
                <w:bCs/>
                <w:sz w:val="20"/>
                <w:lang w:eastAsia="en-AU"/>
              </w:rPr>
            </w:pPr>
            <w:r w:rsidRPr="00BC2061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 xml:space="preserve">UTR </w:t>
            </w:r>
            <w:r w:rsidR="00CE69C7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>($)</w:t>
            </w:r>
          </w:p>
        </w:tc>
        <w:tc>
          <w:tcPr>
            <w:tcW w:w="570" w:type="pct"/>
            <w:shd w:val="clear" w:color="auto" w:fill="D9D9D9" w:themeFill="background1" w:themeFillShade="D9"/>
            <w:noWrap/>
            <w:vAlign w:val="bottom"/>
            <w:hideMark/>
          </w:tcPr>
          <w:p w14:paraId="4F26CF0B" w14:textId="14459412" w:rsidR="00BC2061" w:rsidRPr="00BC2061" w:rsidRDefault="00BC2061" w:rsidP="008D4815">
            <w:pPr>
              <w:jc w:val="right"/>
              <w:rPr>
                <w:rFonts w:ascii="Arial Narrow" w:hAnsi="Arial Narrow" w:cs="Calibri"/>
                <w:b/>
                <w:bCs/>
                <w:sz w:val="20"/>
                <w:lang w:eastAsia="en-AU"/>
              </w:rPr>
            </w:pPr>
            <w:r w:rsidRPr="00BC2061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>ACAT</w:t>
            </w:r>
            <w:r w:rsidR="00CE69C7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 xml:space="preserve"> ($)</w:t>
            </w:r>
          </w:p>
        </w:tc>
        <w:tc>
          <w:tcPr>
            <w:tcW w:w="625" w:type="pct"/>
            <w:shd w:val="clear" w:color="auto" w:fill="D9D9D9" w:themeFill="background1" w:themeFillShade="D9"/>
            <w:noWrap/>
            <w:vAlign w:val="bottom"/>
            <w:hideMark/>
          </w:tcPr>
          <w:p w14:paraId="1EE1C246" w14:textId="41C3FEC0" w:rsidR="00BC2061" w:rsidRPr="00BC2061" w:rsidRDefault="00BC2061" w:rsidP="008D4815">
            <w:pPr>
              <w:jc w:val="right"/>
              <w:rPr>
                <w:rFonts w:ascii="Arial Narrow" w:hAnsi="Arial Narrow" w:cs="Calibri"/>
                <w:b/>
                <w:bCs/>
                <w:sz w:val="20"/>
                <w:lang w:eastAsia="en-AU"/>
              </w:rPr>
            </w:pPr>
            <w:r w:rsidRPr="00BC2061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>ICRC</w:t>
            </w:r>
            <w:r w:rsidR="00CE69C7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 xml:space="preserve"> ($)</w:t>
            </w:r>
          </w:p>
        </w:tc>
        <w:tc>
          <w:tcPr>
            <w:tcW w:w="707" w:type="pct"/>
            <w:shd w:val="clear" w:color="auto" w:fill="D9D9D9" w:themeFill="background1" w:themeFillShade="D9"/>
            <w:noWrap/>
            <w:vAlign w:val="bottom"/>
            <w:hideMark/>
          </w:tcPr>
          <w:p w14:paraId="55E6B2C6" w14:textId="1D7F0024" w:rsidR="00BC2061" w:rsidRPr="00BC2061" w:rsidRDefault="00BC2061" w:rsidP="008D4815">
            <w:pPr>
              <w:jc w:val="right"/>
              <w:rPr>
                <w:rFonts w:ascii="Arial Narrow" w:hAnsi="Arial Narrow" w:cs="Calibri"/>
                <w:b/>
                <w:bCs/>
                <w:sz w:val="20"/>
                <w:lang w:eastAsia="en-AU"/>
              </w:rPr>
            </w:pPr>
            <w:r w:rsidRPr="00BC2061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>Total</w:t>
            </w:r>
            <w:r w:rsidR="00CE69C7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 xml:space="preserve"> ($)</w:t>
            </w:r>
          </w:p>
        </w:tc>
      </w:tr>
      <w:tr w:rsidR="00DF1905" w:rsidRPr="0058719A" w14:paraId="1512411B" w14:textId="77777777" w:rsidTr="00AC5570">
        <w:trPr>
          <w:trHeight w:val="315"/>
        </w:trPr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5A17738C" w14:textId="7233AF6C" w:rsidR="00DF1905" w:rsidRPr="004A5B4F" w:rsidRDefault="00DF1905" w:rsidP="00DF1905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4A5B4F">
              <w:rPr>
                <w:rFonts w:ascii="Arial Narrow" w:hAnsi="Arial Narrow" w:cs="Calibri"/>
                <w:sz w:val="20"/>
                <w:lang w:eastAsia="en-AU"/>
              </w:rPr>
              <w:t>E</w:t>
            </w:r>
            <w:r>
              <w:rPr>
                <w:rFonts w:ascii="Arial Narrow" w:hAnsi="Arial Narrow" w:cs="Calibri"/>
                <w:sz w:val="20"/>
                <w:lang w:eastAsia="en-AU"/>
              </w:rPr>
              <w:t>APL</w:t>
            </w:r>
          </w:p>
        </w:tc>
        <w:tc>
          <w:tcPr>
            <w:tcW w:w="1778" w:type="pct"/>
            <w:shd w:val="clear" w:color="auto" w:fill="auto"/>
            <w:noWrap/>
            <w:vAlign w:val="bottom"/>
            <w:hideMark/>
          </w:tcPr>
          <w:p w14:paraId="50B8B76C" w14:textId="77777777" w:rsidR="00DF1905" w:rsidRPr="00BC2061" w:rsidRDefault="00DF1905" w:rsidP="00DF1905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BC2061">
              <w:rPr>
                <w:rFonts w:ascii="Arial Narrow" w:hAnsi="Arial Narrow" w:cs="Calibri"/>
                <w:sz w:val="20"/>
                <w:lang w:eastAsia="en-AU"/>
              </w:rPr>
              <w:t>Gas Transmission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596183D9" w14:textId="50F525FE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12,503.99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14:paraId="0D0BFEF7" w14:textId="3156CD62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0.00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2041091F" w14:textId="4E7ECB89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3,468.17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14:paraId="7A07B75C" w14:textId="1CD1D573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15,972.16</w:t>
            </w:r>
          </w:p>
        </w:tc>
      </w:tr>
      <w:tr w:rsidR="00DF1905" w:rsidRPr="0058719A" w14:paraId="5E90D7FA" w14:textId="77777777" w:rsidTr="00AC5570">
        <w:trPr>
          <w:trHeight w:val="315"/>
        </w:trPr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785865DF" w14:textId="17CCC05C" w:rsidR="00DF1905" w:rsidRPr="004A5B4F" w:rsidRDefault="00DF1905" w:rsidP="00DF1905">
            <w:pPr>
              <w:rPr>
                <w:rFonts w:ascii="Arial Narrow" w:hAnsi="Arial Narrow" w:cs="Calibri"/>
                <w:sz w:val="20"/>
                <w:lang w:eastAsia="en-AU"/>
              </w:rPr>
            </w:pPr>
            <w:r>
              <w:rPr>
                <w:rFonts w:ascii="Arial Narrow" w:hAnsi="Arial Narrow" w:cs="Calibri"/>
                <w:sz w:val="20"/>
                <w:lang w:eastAsia="en-AU"/>
              </w:rPr>
              <w:t>Icon</w:t>
            </w:r>
          </w:p>
        </w:tc>
        <w:tc>
          <w:tcPr>
            <w:tcW w:w="1778" w:type="pct"/>
            <w:shd w:val="clear" w:color="auto" w:fill="auto"/>
            <w:noWrap/>
            <w:vAlign w:val="bottom"/>
            <w:hideMark/>
          </w:tcPr>
          <w:p w14:paraId="72491DA3" w14:textId="77777777" w:rsidR="00DF1905" w:rsidRPr="00BC2061" w:rsidRDefault="00DF1905" w:rsidP="00DF1905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BC2061">
              <w:rPr>
                <w:rFonts w:ascii="Arial Narrow" w:hAnsi="Arial Narrow" w:cs="Calibri"/>
                <w:sz w:val="20"/>
                <w:lang w:eastAsia="en-AU"/>
              </w:rPr>
              <w:t xml:space="preserve">Water and Sewerage 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7A02D957" w14:textId="5FB8F985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559,207.86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14:paraId="5A58EACC" w14:textId="564E1014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97,493.00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20346842" w14:textId="1E264DDD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668,888.32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14:paraId="15905EC8" w14:textId="304A0F49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1,325,589.18</w:t>
            </w:r>
          </w:p>
        </w:tc>
      </w:tr>
      <w:tr w:rsidR="00DF1905" w:rsidRPr="0058719A" w14:paraId="35116F91" w14:textId="77777777" w:rsidTr="00AC5570">
        <w:trPr>
          <w:trHeight w:val="315"/>
        </w:trPr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75BA69EF" w14:textId="78A37A95" w:rsidR="00DF1905" w:rsidRPr="004A5B4F" w:rsidRDefault="00DF1905" w:rsidP="00DF1905">
            <w:pPr>
              <w:rPr>
                <w:rFonts w:ascii="Arial Narrow" w:hAnsi="Arial Narrow" w:cs="Calibri"/>
                <w:sz w:val="20"/>
                <w:lang w:eastAsia="en-AU"/>
              </w:rPr>
            </w:pPr>
            <w:r>
              <w:rPr>
                <w:rFonts w:ascii="Arial Narrow" w:hAnsi="Arial Narrow" w:cs="Calibri"/>
                <w:sz w:val="20"/>
                <w:lang w:eastAsia="en-AU"/>
              </w:rPr>
              <w:t>TG</w:t>
            </w:r>
          </w:p>
        </w:tc>
        <w:tc>
          <w:tcPr>
            <w:tcW w:w="1778" w:type="pct"/>
            <w:shd w:val="clear" w:color="auto" w:fill="auto"/>
            <w:noWrap/>
            <w:vAlign w:val="bottom"/>
            <w:hideMark/>
          </w:tcPr>
          <w:p w14:paraId="0B7EE70B" w14:textId="77777777" w:rsidR="00DF1905" w:rsidRPr="00BC2061" w:rsidRDefault="00DF1905" w:rsidP="00DF1905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BC2061">
              <w:rPr>
                <w:rFonts w:ascii="Arial Narrow" w:hAnsi="Arial Narrow" w:cs="Calibri"/>
                <w:sz w:val="20"/>
                <w:lang w:eastAsia="en-AU"/>
              </w:rPr>
              <w:t>Electricity Transmission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1E725628" w14:textId="414A573C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54,764.44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14:paraId="2360091C" w14:textId="3DF0F063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0.00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364A4313" w14:textId="24D2A506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3,468.17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14:paraId="59FC09D1" w14:textId="0181A156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58,232.61</w:t>
            </w:r>
          </w:p>
        </w:tc>
      </w:tr>
      <w:tr w:rsidR="00DF1905" w:rsidRPr="0058719A" w14:paraId="2363AC2E" w14:textId="77777777" w:rsidTr="00AC5570">
        <w:trPr>
          <w:trHeight w:val="315"/>
        </w:trPr>
        <w:tc>
          <w:tcPr>
            <w:tcW w:w="694" w:type="pct"/>
            <w:shd w:val="clear" w:color="auto" w:fill="auto"/>
            <w:noWrap/>
            <w:vAlign w:val="bottom"/>
            <w:hideMark/>
          </w:tcPr>
          <w:p w14:paraId="78F1E2F1" w14:textId="77777777" w:rsidR="00DF1905" w:rsidRPr="00BC2061" w:rsidRDefault="00DF1905" w:rsidP="00DF1905">
            <w:pPr>
              <w:rPr>
                <w:rFonts w:ascii="Arial Narrow" w:hAnsi="Arial Narrow" w:cs="Calibri"/>
                <w:b/>
                <w:bCs/>
                <w:sz w:val="20"/>
                <w:lang w:eastAsia="en-AU"/>
              </w:rPr>
            </w:pPr>
            <w:r w:rsidRPr="00BC2061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 xml:space="preserve">Total </w:t>
            </w:r>
          </w:p>
        </w:tc>
        <w:tc>
          <w:tcPr>
            <w:tcW w:w="1778" w:type="pct"/>
            <w:shd w:val="clear" w:color="auto" w:fill="auto"/>
            <w:noWrap/>
            <w:vAlign w:val="bottom"/>
            <w:hideMark/>
          </w:tcPr>
          <w:p w14:paraId="729C2C83" w14:textId="77777777" w:rsidR="00DF1905" w:rsidRPr="00BC2061" w:rsidRDefault="00DF1905" w:rsidP="00DF1905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BC2061">
              <w:rPr>
                <w:rFonts w:ascii="Arial Narrow" w:hAnsi="Arial Narrow" w:cs="Calibri"/>
                <w:sz w:val="20"/>
                <w:lang w:eastAsia="en-AU"/>
              </w:rPr>
              <w:t> 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6C648C42" w14:textId="4361B43D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626,476.29</w:t>
            </w:r>
          </w:p>
        </w:tc>
        <w:tc>
          <w:tcPr>
            <w:tcW w:w="570" w:type="pct"/>
            <w:shd w:val="clear" w:color="auto" w:fill="auto"/>
            <w:noWrap/>
            <w:hideMark/>
          </w:tcPr>
          <w:p w14:paraId="6865A4C1" w14:textId="0B108EE9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97,493.00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1E6E65CB" w14:textId="65C75087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675,824.66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14:paraId="0C43E2E2" w14:textId="240E2658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1,399,793.95</w:t>
            </w:r>
          </w:p>
        </w:tc>
      </w:tr>
    </w:tbl>
    <w:p w14:paraId="474D3CE9" w14:textId="0D496A90" w:rsidR="002022A9" w:rsidRPr="005B3601" w:rsidRDefault="005B3601" w:rsidP="001D4221">
      <w:pPr>
        <w:keepNext/>
        <w:tabs>
          <w:tab w:val="left" w:pos="1134"/>
        </w:tabs>
        <w:spacing w:after="100"/>
        <w:rPr>
          <w:rFonts w:ascii="Arial Narrow" w:hAnsi="Arial Narrow" w:cs="Arial"/>
          <w:bCs/>
          <w:sz w:val="18"/>
          <w:szCs w:val="18"/>
        </w:rPr>
      </w:pPr>
      <w:r w:rsidRPr="005B3601">
        <w:rPr>
          <w:rFonts w:ascii="Arial Narrow" w:hAnsi="Arial Narrow" w:cs="Arial"/>
          <w:bCs/>
          <w:sz w:val="18"/>
          <w:szCs w:val="18"/>
        </w:rPr>
        <w:t>Note: Totals may not add due to rounding.</w:t>
      </w:r>
    </w:p>
    <w:p w14:paraId="79269966" w14:textId="77777777" w:rsidR="002A2913" w:rsidRDefault="002A2913">
      <w:pPr>
        <w:rPr>
          <w:rFonts w:ascii="Arial" w:hAnsi="Arial" w:cs="Arial"/>
          <w:b/>
          <w:bCs/>
          <w:szCs w:val="24"/>
        </w:rPr>
      </w:pPr>
    </w:p>
    <w:p w14:paraId="58D7C754" w14:textId="77777777" w:rsidR="00562AA0" w:rsidRDefault="00562AA0" w:rsidP="00163917">
      <w:pPr>
        <w:tabs>
          <w:tab w:val="left" w:pos="1134"/>
        </w:tabs>
        <w:spacing w:after="100"/>
        <w:ind w:left="1134" w:hanging="1134"/>
        <w:rPr>
          <w:rFonts w:ascii="Arial" w:hAnsi="Arial" w:cs="Arial"/>
          <w:b/>
          <w:bCs/>
          <w:szCs w:val="24"/>
        </w:rPr>
      </w:pPr>
    </w:p>
    <w:p w14:paraId="6906C34B" w14:textId="7796E2E0" w:rsidR="000B460B" w:rsidRDefault="00203A8C" w:rsidP="00163917">
      <w:pPr>
        <w:tabs>
          <w:tab w:val="left" w:pos="1134"/>
        </w:tabs>
        <w:spacing w:after="100"/>
        <w:ind w:left="1134" w:hanging="1134"/>
        <w:rPr>
          <w:rFonts w:ascii="Arial" w:hAnsi="Arial" w:cs="Arial"/>
          <w:b/>
          <w:bCs/>
          <w:szCs w:val="24"/>
        </w:rPr>
      </w:pPr>
      <w:r w:rsidRPr="00A61DC9">
        <w:rPr>
          <w:rFonts w:ascii="Arial" w:hAnsi="Arial" w:cs="Arial"/>
          <w:b/>
          <w:bCs/>
          <w:szCs w:val="24"/>
        </w:rPr>
        <w:t xml:space="preserve">Table </w:t>
      </w:r>
      <w:r w:rsidR="002022A9">
        <w:rPr>
          <w:rFonts w:ascii="Arial" w:hAnsi="Arial" w:cs="Arial"/>
          <w:b/>
          <w:bCs/>
          <w:szCs w:val="24"/>
        </w:rPr>
        <w:t>5</w:t>
      </w:r>
      <w:r w:rsidRPr="00A61DC9">
        <w:rPr>
          <w:rFonts w:ascii="Arial" w:hAnsi="Arial" w:cs="Arial"/>
          <w:b/>
          <w:bCs/>
          <w:szCs w:val="24"/>
        </w:rPr>
        <w:t>:</w:t>
      </w:r>
      <w:r>
        <w:rPr>
          <w:rFonts w:ascii="Arial" w:hAnsi="Arial" w:cs="Arial"/>
          <w:b/>
          <w:bCs/>
          <w:szCs w:val="24"/>
        </w:rPr>
        <w:tab/>
      </w:r>
      <w:r w:rsidR="002022A9">
        <w:rPr>
          <w:rFonts w:ascii="Arial" w:hAnsi="Arial" w:cs="Arial"/>
          <w:b/>
          <w:bCs/>
          <w:szCs w:val="24"/>
        </w:rPr>
        <w:t>Over (+) or under (-) recovery for ea</w:t>
      </w:r>
      <w:r w:rsidR="007376DE">
        <w:rPr>
          <w:rFonts w:ascii="Arial" w:hAnsi="Arial" w:cs="Arial"/>
          <w:b/>
          <w:bCs/>
          <w:szCs w:val="24"/>
        </w:rPr>
        <w:t>ch government regulator for 20</w:t>
      </w:r>
      <w:r w:rsidR="002C274D">
        <w:rPr>
          <w:rFonts w:ascii="Arial" w:hAnsi="Arial" w:cs="Arial"/>
          <w:b/>
          <w:bCs/>
          <w:szCs w:val="24"/>
        </w:rPr>
        <w:t>2</w:t>
      </w:r>
      <w:r w:rsidR="00DF1905">
        <w:rPr>
          <w:rFonts w:ascii="Arial" w:hAnsi="Arial" w:cs="Arial"/>
          <w:b/>
          <w:bCs/>
          <w:szCs w:val="24"/>
        </w:rPr>
        <w:t>1</w:t>
      </w:r>
      <w:r w:rsidR="008E1B58">
        <w:rPr>
          <w:rFonts w:ascii="Arial" w:hAnsi="Arial" w:cs="Arial"/>
          <w:b/>
          <w:bCs/>
          <w:szCs w:val="24"/>
        </w:rPr>
        <w:t>–</w:t>
      </w:r>
      <w:r w:rsidR="002C274D">
        <w:rPr>
          <w:rFonts w:ascii="Arial" w:hAnsi="Arial" w:cs="Arial"/>
          <w:b/>
          <w:bCs/>
          <w:szCs w:val="24"/>
        </w:rPr>
        <w:t>2</w:t>
      </w:r>
      <w:r w:rsidR="00DF1905">
        <w:rPr>
          <w:rFonts w:ascii="Arial" w:hAnsi="Arial" w:cs="Arial"/>
          <w:b/>
          <w:bCs/>
          <w:szCs w:val="24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846"/>
        <w:gridCol w:w="1173"/>
        <w:gridCol w:w="1006"/>
        <w:gridCol w:w="1095"/>
        <w:gridCol w:w="1200"/>
      </w:tblGrid>
      <w:tr w:rsidR="00CE69C7" w:rsidRPr="0058719A" w14:paraId="7A84E05F" w14:textId="77777777" w:rsidTr="00DF1905">
        <w:trPr>
          <w:trHeight w:val="236"/>
        </w:trPr>
        <w:tc>
          <w:tcPr>
            <w:tcW w:w="589" w:type="pct"/>
            <w:shd w:val="clear" w:color="auto" w:fill="D9D9D9" w:themeFill="background1" w:themeFillShade="D9"/>
            <w:vAlign w:val="bottom"/>
            <w:hideMark/>
          </w:tcPr>
          <w:p w14:paraId="6FDA9E61" w14:textId="77777777" w:rsidR="00BC2061" w:rsidRPr="00CE69C7" w:rsidRDefault="00BC2061" w:rsidP="00DF2500">
            <w:pPr>
              <w:rPr>
                <w:rFonts w:ascii="Arial Narrow" w:hAnsi="Arial Narrow" w:cs="Arial"/>
                <w:b/>
                <w:bCs/>
                <w:sz w:val="20"/>
                <w:lang w:eastAsia="en-AU"/>
              </w:rPr>
            </w:pPr>
            <w:r w:rsidRPr="00CE69C7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>Licensee</w:t>
            </w:r>
          </w:p>
        </w:tc>
        <w:tc>
          <w:tcPr>
            <w:tcW w:w="1715" w:type="pct"/>
            <w:shd w:val="clear" w:color="auto" w:fill="D9D9D9" w:themeFill="background1" w:themeFillShade="D9"/>
            <w:vAlign w:val="bottom"/>
            <w:hideMark/>
          </w:tcPr>
          <w:p w14:paraId="30FAD8AA" w14:textId="77777777" w:rsidR="00BC2061" w:rsidRPr="00CE69C7" w:rsidRDefault="00BC2061" w:rsidP="00DF2500">
            <w:pPr>
              <w:rPr>
                <w:rFonts w:ascii="Arial Narrow" w:hAnsi="Arial Narrow" w:cs="Arial"/>
                <w:b/>
                <w:bCs/>
                <w:sz w:val="20"/>
                <w:lang w:eastAsia="en-AU"/>
              </w:rPr>
            </w:pPr>
            <w:r w:rsidRPr="00CE69C7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>Utility service component provided</w:t>
            </w:r>
          </w:p>
        </w:tc>
        <w:tc>
          <w:tcPr>
            <w:tcW w:w="707" w:type="pct"/>
            <w:shd w:val="clear" w:color="auto" w:fill="D9D9D9" w:themeFill="background1" w:themeFillShade="D9"/>
            <w:vAlign w:val="bottom"/>
            <w:hideMark/>
          </w:tcPr>
          <w:p w14:paraId="2256BB1D" w14:textId="0E4BCE57" w:rsidR="00BC2061" w:rsidRPr="00CE69C7" w:rsidRDefault="00BC2061" w:rsidP="00DF2500">
            <w:pPr>
              <w:jc w:val="right"/>
              <w:rPr>
                <w:rFonts w:ascii="Arial Narrow" w:hAnsi="Arial Narrow" w:cs="Arial"/>
                <w:b/>
                <w:bCs/>
                <w:sz w:val="20"/>
                <w:lang w:eastAsia="en-AU"/>
              </w:rPr>
            </w:pPr>
            <w:r w:rsidRPr="00CE69C7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>UTR</w:t>
            </w:r>
            <w:r w:rsidR="00CE69C7" w:rsidRPr="00CE69C7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 xml:space="preserve"> ($)</w:t>
            </w:r>
          </w:p>
        </w:tc>
        <w:tc>
          <w:tcPr>
            <w:tcW w:w="606" w:type="pct"/>
            <w:shd w:val="clear" w:color="auto" w:fill="D9D9D9" w:themeFill="background1" w:themeFillShade="D9"/>
            <w:vAlign w:val="bottom"/>
            <w:hideMark/>
          </w:tcPr>
          <w:p w14:paraId="74551AB4" w14:textId="7E91DE9A" w:rsidR="00BC2061" w:rsidRPr="00CE69C7" w:rsidRDefault="00BC2061" w:rsidP="00DF2500">
            <w:pPr>
              <w:jc w:val="right"/>
              <w:rPr>
                <w:rFonts w:ascii="Arial Narrow" w:hAnsi="Arial Narrow" w:cs="Arial"/>
                <w:b/>
                <w:bCs/>
                <w:sz w:val="20"/>
                <w:lang w:eastAsia="en-AU"/>
              </w:rPr>
            </w:pPr>
            <w:r w:rsidRPr="00CE69C7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>ACAT</w:t>
            </w:r>
            <w:r w:rsidR="00CE69C7" w:rsidRPr="00CE69C7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 xml:space="preserve"> ($)</w:t>
            </w:r>
          </w:p>
        </w:tc>
        <w:tc>
          <w:tcPr>
            <w:tcW w:w="660" w:type="pct"/>
            <w:shd w:val="clear" w:color="auto" w:fill="D9D9D9" w:themeFill="background1" w:themeFillShade="D9"/>
            <w:vAlign w:val="bottom"/>
            <w:hideMark/>
          </w:tcPr>
          <w:p w14:paraId="7FEE5D0E" w14:textId="5DE8A6C2" w:rsidR="00BC2061" w:rsidRPr="00CE69C7" w:rsidRDefault="00BC2061" w:rsidP="00DF2500">
            <w:pPr>
              <w:jc w:val="right"/>
              <w:rPr>
                <w:rFonts w:ascii="Arial Narrow" w:hAnsi="Arial Narrow" w:cs="Arial"/>
                <w:b/>
                <w:bCs/>
                <w:sz w:val="20"/>
                <w:lang w:eastAsia="en-AU"/>
              </w:rPr>
            </w:pPr>
            <w:r w:rsidRPr="00CE69C7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>ICRC</w:t>
            </w:r>
            <w:r w:rsidR="00CE69C7" w:rsidRPr="00CE69C7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 xml:space="preserve"> ($)</w:t>
            </w:r>
          </w:p>
        </w:tc>
        <w:tc>
          <w:tcPr>
            <w:tcW w:w="723" w:type="pct"/>
            <w:shd w:val="clear" w:color="auto" w:fill="D9D9D9" w:themeFill="background1" w:themeFillShade="D9"/>
            <w:vAlign w:val="bottom"/>
            <w:hideMark/>
          </w:tcPr>
          <w:p w14:paraId="7674D10D" w14:textId="35C3B0E6" w:rsidR="00BC2061" w:rsidRPr="00CE69C7" w:rsidRDefault="00BC2061" w:rsidP="00DF2500">
            <w:pPr>
              <w:jc w:val="right"/>
              <w:rPr>
                <w:rFonts w:ascii="Arial Narrow" w:hAnsi="Arial Narrow" w:cs="Arial"/>
                <w:b/>
                <w:bCs/>
                <w:sz w:val="20"/>
                <w:lang w:eastAsia="en-AU"/>
              </w:rPr>
            </w:pPr>
            <w:r w:rsidRPr="00CE69C7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>Total</w:t>
            </w:r>
            <w:r w:rsidR="00CE69C7" w:rsidRPr="00CE69C7">
              <w:rPr>
                <w:rFonts w:ascii="Arial Narrow" w:hAnsi="Arial Narrow" w:cs="Arial"/>
                <w:b/>
                <w:bCs/>
                <w:sz w:val="20"/>
                <w:lang w:eastAsia="en-AU"/>
              </w:rPr>
              <w:t xml:space="preserve"> ($)</w:t>
            </w:r>
          </w:p>
        </w:tc>
      </w:tr>
      <w:tr w:rsidR="00DF1905" w:rsidRPr="0058719A" w14:paraId="5949BF85" w14:textId="77777777" w:rsidTr="00DF1905">
        <w:trPr>
          <w:trHeight w:val="236"/>
        </w:trPr>
        <w:tc>
          <w:tcPr>
            <w:tcW w:w="589" w:type="pct"/>
            <w:shd w:val="clear" w:color="auto" w:fill="FFFFFF" w:themeFill="background1"/>
            <w:vAlign w:val="bottom"/>
            <w:hideMark/>
          </w:tcPr>
          <w:p w14:paraId="56A09811" w14:textId="7A028E11" w:rsidR="00DF1905" w:rsidRPr="00DF2500" w:rsidRDefault="00DF1905" w:rsidP="00DF1905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DF2500">
              <w:rPr>
                <w:rFonts w:ascii="Arial Narrow" w:hAnsi="Arial Narrow" w:cs="Calibri"/>
                <w:sz w:val="20"/>
                <w:lang w:eastAsia="en-AU"/>
              </w:rPr>
              <w:t>EAPL</w:t>
            </w:r>
          </w:p>
        </w:tc>
        <w:tc>
          <w:tcPr>
            <w:tcW w:w="1715" w:type="pct"/>
            <w:shd w:val="clear" w:color="auto" w:fill="FFFFFF" w:themeFill="background1"/>
            <w:vAlign w:val="bottom"/>
            <w:hideMark/>
          </w:tcPr>
          <w:p w14:paraId="69F6B23E" w14:textId="77777777" w:rsidR="00DF1905" w:rsidRPr="00DF2500" w:rsidRDefault="00DF1905" w:rsidP="00DF1905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DF2500">
              <w:rPr>
                <w:rFonts w:ascii="Arial Narrow" w:hAnsi="Arial Narrow" w:cs="Calibri"/>
                <w:sz w:val="20"/>
                <w:lang w:eastAsia="en-AU"/>
              </w:rPr>
              <w:t>Gas Transmission</w:t>
            </w:r>
          </w:p>
        </w:tc>
        <w:tc>
          <w:tcPr>
            <w:tcW w:w="707" w:type="pct"/>
            <w:shd w:val="clear" w:color="auto" w:fill="FFFFFF" w:themeFill="background1"/>
            <w:hideMark/>
          </w:tcPr>
          <w:p w14:paraId="3820EE35" w14:textId="3D88BAC8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65,014.54</w:t>
            </w:r>
          </w:p>
        </w:tc>
        <w:tc>
          <w:tcPr>
            <w:tcW w:w="606" w:type="pct"/>
            <w:shd w:val="clear" w:color="auto" w:fill="FFFFFF" w:themeFill="background1"/>
            <w:hideMark/>
          </w:tcPr>
          <w:p w14:paraId="625F407E" w14:textId="59CE8D1B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0.00</w:t>
            </w:r>
          </w:p>
        </w:tc>
        <w:tc>
          <w:tcPr>
            <w:tcW w:w="660" w:type="pct"/>
            <w:shd w:val="clear" w:color="auto" w:fill="FFFFFF" w:themeFill="background1"/>
            <w:hideMark/>
          </w:tcPr>
          <w:p w14:paraId="7B3A086C" w14:textId="26759903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1,021.78</w:t>
            </w:r>
          </w:p>
        </w:tc>
        <w:tc>
          <w:tcPr>
            <w:tcW w:w="723" w:type="pct"/>
            <w:shd w:val="clear" w:color="auto" w:fill="FFFFFF" w:themeFill="background1"/>
            <w:hideMark/>
          </w:tcPr>
          <w:p w14:paraId="7C621197" w14:textId="12B70339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66,036.32</w:t>
            </w:r>
          </w:p>
        </w:tc>
      </w:tr>
      <w:tr w:rsidR="00DF1905" w:rsidRPr="0058719A" w14:paraId="7B486AB5" w14:textId="77777777" w:rsidTr="00DF1905">
        <w:trPr>
          <w:trHeight w:val="236"/>
        </w:trPr>
        <w:tc>
          <w:tcPr>
            <w:tcW w:w="589" w:type="pct"/>
            <w:shd w:val="clear" w:color="auto" w:fill="FFFFFF" w:themeFill="background1"/>
            <w:vAlign w:val="bottom"/>
            <w:hideMark/>
          </w:tcPr>
          <w:p w14:paraId="7D454048" w14:textId="48CC328A" w:rsidR="00DF1905" w:rsidRPr="00DF2500" w:rsidRDefault="00DF1905" w:rsidP="00DF1905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DF2500">
              <w:rPr>
                <w:rFonts w:ascii="Arial Narrow" w:hAnsi="Arial Narrow" w:cs="Calibri"/>
                <w:sz w:val="20"/>
                <w:lang w:eastAsia="en-AU"/>
              </w:rPr>
              <w:t>Icon</w:t>
            </w:r>
          </w:p>
        </w:tc>
        <w:tc>
          <w:tcPr>
            <w:tcW w:w="1715" w:type="pct"/>
            <w:shd w:val="clear" w:color="auto" w:fill="FFFFFF" w:themeFill="background1"/>
            <w:vAlign w:val="bottom"/>
            <w:hideMark/>
          </w:tcPr>
          <w:p w14:paraId="64C00ABB" w14:textId="77777777" w:rsidR="00DF1905" w:rsidRPr="00DF2500" w:rsidRDefault="00DF1905" w:rsidP="00DF1905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DF2500">
              <w:rPr>
                <w:rFonts w:ascii="Arial Narrow" w:hAnsi="Arial Narrow" w:cs="Calibri"/>
                <w:sz w:val="20"/>
                <w:lang w:eastAsia="en-AU"/>
              </w:rPr>
              <w:t xml:space="preserve">Water and Sewerage </w:t>
            </w:r>
          </w:p>
        </w:tc>
        <w:tc>
          <w:tcPr>
            <w:tcW w:w="707" w:type="pct"/>
            <w:shd w:val="clear" w:color="auto" w:fill="FFFFFF" w:themeFill="background1"/>
            <w:hideMark/>
          </w:tcPr>
          <w:p w14:paraId="36689C73" w14:textId="2704256F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-126,931.07</w:t>
            </w:r>
          </w:p>
        </w:tc>
        <w:tc>
          <w:tcPr>
            <w:tcW w:w="606" w:type="pct"/>
            <w:shd w:val="clear" w:color="auto" w:fill="FFFFFF" w:themeFill="background1"/>
            <w:hideMark/>
          </w:tcPr>
          <w:p w14:paraId="6646AC8F" w14:textId="209283A4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4,462.00</w:t>
            </w:r>
          </w:p>
        </w:tc>
        <w:tc>
          <w:tcPr>
            <w:tcW w:w="660" w:type="pct"/>
            <w:shd w:val="clear" w:color="auto" w:fill="FFFFFF" w:themeFill="background1"/>
            <w:hideMark/>
          </w:tcPr>
          <w:p w14:paraId="4056E069" w14:textId="7D0B77EC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-38,686.22</w:t>
            </w:r>
          </w:p>
        </w:tc>
        <w:tc>
          <w:tcPr>
            <w:tcW w:w="723" w:type="pct"/>
            <w:shd w:val="clear" w:color="auto" w:fill="FFFFFF" w:themeFill="background1"/>
            <w:hideMark/>
          </w:tcPr>
          <w:p w14:paraId="5FEBFCA7" w14:textId="1982A8E2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-161,155.29</w:t>
            </w:r>
          </w:p>
        </w:tc>
      </w:tr>
      <w:tr w:rsidR="00DF1905" w:rsidRPr="0058719A" w14:paraId="6AB181BA" w14:textId="77777777" w:rsidTr="00DF1905">
        <w:trPr>
          <w:trHeight w:val="236"/>
        </w:trPr>
        <w:tc>
          <w:tcPr>
            <w:tcW w:w="589" w:type="pct"/>
            <w:shd w:val="clear" w:color="auto" w:fill="FFFFFF" w:themeFill="background1"/>
            <w:vAlign w:val="bottom"/>
            <w:hideMark/>
          </w:tcPr>
          <w:p w14:paraId="24328C01" w14:textId="53DCAA0F" w:rsidR="00DF1905" w:rsidRPr="00DF2500" w:rsidRDefault="00DF1905" w:rsidP="00DF1905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DF2500">
              <w:rPr>
                <w:rFonts w:ascii="Arial Narrow" w:hAnsi="Arial Narrow" w:cs="Calibri"/>
                <w:sz w:val="20"/>
                <w:lang w:eastAsia="en-AU"/>
              </w:rPr>
              <w:t>TG</w:t>
            </w:r>
          </w:p>
        </w:tc>
        <w:tc>
          <w:tcPr>
            <w:tcW w:w="1715" w:type="pct"/>
            <w:shd w:val="clear" w:color="auto" w:fill="FFFFFF" w:themeFill="background1"/>
            <w:vAlign w:val="bottom"/>
            <w:hideMark/>
          </w:tcPr>
          <w:p w14:paraId="4231CBB8" w14:textId="77777777" w:rsidR="00DF1905" w:rsidRPr="00DF2500" w:rsidRDefault="00DF1905" w:rsidP="00DF1905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DF2500">
              <w:rPr>
                <w:rFonts w:ascii="Arial Narrow" w:hAnsi="Arial Narrow" w:cs="Calibri"/>
                <w:sz w:val="20"/>
                <w:lang w:eastAsia="en-AU"/>
              </w:rPr>
              <w:t>Electricity Transmission</w:t>
            </w:r>
          </w:p>
        </w:tc>
        <w:tc>
          <w:tcPr>
            <w:tcW w:w="707" w:type="pct"/>
            <w:shd w:val="clear" w:color="auto" w:fill="FFFFFF" w:themeFill="background1"/>
            <w:hideMark/>
          </w:tcPr>
          <w:p w14:paraId="0B612505" w14:textId="3B4867E5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46,323.99</w:t>
            </w:r>
          </w:p>
        </w:tc>
        <w:tc>
          <w:tcPr>
            <w:tcW w:w="606" w:type="pct"/>
            <w:shd w:val="clear" w:color="auto" w:fill="FFFFFF" w:themeFill="background1"/>
            <w:hideMark/>
          </w:tcPr>
          <w:p w14:paraId="28D5D5C2" w14:textId="51FB3F29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0.00</w:t>
            </w:r>
          </w:p>
        </w:tc>
        <w:tc>
          <w:tcPr>
            <w:tcW w:w="660" w:type="pct"/>
            <w:shd w:val="clear" w:color="auto" w:fill="FFFFFF" w:themeFill="background1"/>
            <w:hideMark/>
          </w:tcPr>
          <w:p w14:paraId="2E763C02" w14:textId="1DFB2CF3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2,616.28</w:t>
            </w:r>
          </w:p>
        </w:tc>
        <w:tc>
          <w:tcPr>
            <w:tcW w:w="723" w:type="pct"/>
            <w:shd w:val="clear" w:color="auto" w:fill="FFFFFF" w:themeFill="background1"/>
            <w:hideMark/>
          </w:tcPr>
          <w:p w14:paraId="08E8EBFA" w14:textId="138AF817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48,940.27</w:t>
            </w:r>
          </w:p>
        </w:tc>
      </w:tr>
      <w:tr w:rsidR="00DF1905" w:rsidRPr="0058719A" w14:paraId="18B28B48" w14:textId="77777777" w:rsidTr="00DF1905">
        <w:trPr>
          <w:trHeight w:val="236"/>
        </w:trPr>
        <w:tc>
          <w:tcPr>
            <w:tcW w:w="589" w:type="pct"/>
            <w:shd w:val="clear" w:color="auto" w:fill="FFFFFF" w:themeFill="background1"/>
            <w:vAlign w:val="center"/>
            <w:hideMark/>
          </w:tcPr>
          <w:p w14:paraId="36CAA758" w14:textId="77777777" w:rsidR="00DF1905" w:rsidRPr="00DF2500" w:rsidRDefault="00DF1905" w:rsidP="00DF1905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DF2500">
              <w:rPr>
                <w:rFonts w:ascii="Arial Narrow" w:hAnsi="Arial Narrow" w:cs="Calibri"/>
                <w:sz w:val="20"/>
                <w:lang w:eastAsia="en-AU"/>
              </w:rPr>
              <w:t xml:space="preserve">Total </w:t>
            </w:r>
          </w:p>
        </w:tc>
        <w:tc>
          <w:tcPr>
            <w:tcW w:w="1715" w:type="pct"/>
            <w:shd w:val="clear" w:color="auto" w:fill="FFFFFF" w:themeFill="background1"/>
            <w:vAlign w:val="center"/>
            <w:hideMark/>
          </w:tcPr>
          <w:p w14:paraId="1782AE97" w14:textId="77777777" w:rsidR="00DF1905" w:rsidRPr="00DF2500" w:rsidRDefault="00DF1905" w:rsidP="00DF1905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DF2500">
              <w:rPr>
                <w:rFonts w:ascii="Arial Narrow" w:hAnsi="Arial Narrow" w:cs="Calibri"/>
                <w:sz w:val="20"/>
                <w:lang w:eastAsia="en-AU"/>
              </w:rPr>
              <w:t> </w:t>
            </w:r>
          </w:p>
        </w:tc>
        <w:tc>
          <w:tcPr>
            <w:tcW w:w="707" w:type="pct"/>
            <w:shd w:val="clear" w:color="auto" w:fill="FFFFFF" w:themeFill="background1"/>
            <w:hideMark/>
          </w:tcPr>
          <w:p w14:paraId="0B70A59C" w14:textId="50FEAC0E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-15,592.54</w:t>
            </w:r>
          </w:p>
        </w:tc>
        <w:tc>
          <w:tcPr>
            <w:tcW w:w="606" w:type="pct"/>
            <w:shd w:val="clear" w:color="auto" w:fill="FFFFFF" w:themeFill="background1"/>
            <w:hideMark/>
          </w:tcPr>
          <w:p w14:paraId="7B8E0179" w14:textId="1AC2D185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4,462.00</w:t>
            </w:r>
          </w:p>
        </w:tc>
        <w:tc>
          <w:tcPr>
            <w:tcW w:w="660" w:type="pct"/>
            <w:shd w:val="clear" w:color="auto" w:fill="FFFFFF" w:themeFill="background1"/>
            <w:hideMark/>
          </w:tcPr>
          <w:p w14:paraId="11DB7AD1" w14:textId="153A2765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-35,048.16</w:t>
            </w:r>
          </w:p>
        </w:tc>
        <w:tc>
          <w:tcPr>
            <w:tcW w:w="723" w:type="pct"/>
            <w:shd w:val="clear" w:color="auto" w:fill="FFFFFF" w:themeFill="background1"/>
            <w:hideMark/>
          </w:tcPr>
          <w:p w14:paraId="2C036125" w14:textId="4864C06C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-46,178.70</w:t>
            </w:r>
          </w:p>
        </w:tc>
      </w:tr>
    </w:tbl>
    <w:p w14:paraId="76E08ECC" w14:textId="7DF4BED5" w:rsidR="000B460B" w:rsidRPr="00163917" w:rsidRDefault="00163917" w:rsidP="00BC2061">
      <w:pPr>
        <w:tabs>
          <w:tab w:val="left" w:pos="1134"/>
        </w:tabs>
        <w:spacing w:after="100"/>
        <w:rPr>
          <w:rFonts w:ascii="Arial Narrow" w:hAnsi="Arial Narrow" w:cs="Arial"/>
          <w:bCs/>
          <w:sz w:val="18"/>
          <w:szCs w:val="18"/>
        </w:rPr>
      </w:pPr>
      <w:r w:rsidRPr="00163917">
        <w:rPr>
          <w:rFonts w:ascii="Arial Narrow" w:hAnsi="Arial Narrow" w:cs="Arial"/>
          <w:bCs/>
          <w:sz w:val="18"/>
          <w:szCs w:val="18"/>
        </w:rPr>
        <w:t>Note: Totals may not add due to rounding.</w:t>
      </w:r>
    </w:p>
    <w:p w14:paraId="1FD32518" w14:textId="77777777" w:rsidR="000B460B" w:rsidRDefault="000B460B" w:rsidP="00163917">
      <w:pPr>
        <w:rPr>
          <w:rFonts w:ascii="Arial Narrow" w:hAnsi="Arial Narrow"/>
          <w:sz w:val="18"/>
          <w:szCs w:val="18"/>
        </w:rPr>
      </w:pPr>
    </w:p>
    <w:p w14:paraId="0242BC4D" w14:textId="77777777" w:rsidR="00562AA0" w:rsidRDefault="00562AA0" w:rsidP="00163917">
      <w:pPr>
        <w:tabs>
          <w:tab w:val="left" w:pos="1134"/>
        </w:tabs>
        <w:spacing w:after="100"/>
        <w:ind w:left="1134" w:hanging="1134"/>
        <w:rPr>
          <w:rFonts w:ascii="Arial" w:hAnsi="Arial" w:cs="Arial"/>
          <w:b/>
          <w:bCs/>
          <w:szCs w:val="24"/>
        </w:rPr>
      </w:pPr>
    </w:p>
    <w:p w14:paraId="553E7A63" w14:textId="4122B0CF" w:rsidR="000B460B" w:rsidRDefault="00203A8C" w:rsidP="00163917">
      <w:pPr>
        <w:tabs>
          <w:tab w:val="left" w:pos="1134"/>
        </w:tabs>
        <w:spacing w:after="100"/>
        <w:ind w:left="1134" w:hanging="1134"/>
        <w:rPr>
          <w:rFonts w:ascii="Arial" w:hAnsi="Arial" w:cs="Arial"/>
          <w:b/>
          <w:bCs/>
          <w:szCs w:val="24"/>
        </w:rPr>
      </w:pPr>
      <w:r w:rsidRPr="00A61DC9">
        <w:rPr>
          <w:rFonts w:ascii="Arial" w:hAnsi="Arial" w:cs="Arial"/>
          <w:b/>
          <w:bCs/>
          <w:szCs w:val="24"/>
        </w:rPr>
        <w:t xml:space="preserve">Table </w:t>
      </w:r>
      <w:r w:rsidR="002022A9">
        <w:rPr>
          <w:rFonts w:ascii="Arial" w:hAnsi="Arial" w:cs="Arial"/>
          <w:b/>
          <w:bCs/>
          <w:szCs w:val="24"/>
        </w:rPr>
        <w:t>6</w:t>
      </w:r>
      <w:r w:rsidRPr="00A61DC9">
        <w:rPr>
          <w:rFonts w:ascii="Arial" w:hAnsi="Arial" w:cs="Arial"/>
          <w:b/>
          <w:bCs/>
          <w:szCs w:val="24"/>
        </w:rPr>
        <w:t>:</w:t>
      </w:r>
      <w:r>
        <w:rPr>
          <w:rFonts w:ascii="Arial" w:hAnsi="Arial" w:cs="Arial"/>
          <w:b/>
          <w:bCs/>
          <w:szCs w:val="24"/>
        </w:rPr>
        <w:tab/>
        <w:t>Total estimated regulatory costs for ea</w:t>
      </w:r>
      <w:r w:rsidR="007376DE">
        <w:rPr>
          <w:rFonts w:ascii="Arial" w:hAnsi="Arial" w:cs="Arial"/>
          <w:b/>
          <w:bCs/>
          <w:szCs w:val="24"/>
        </w:rPr>
        <w:t>ch government regulator for 20</w:t>
      </w:r>
      <w:r w:rsidR="002C274D">
        <w:rPr>
          <w:rFonts w:ascii="Arial" w:hAnsi="Arial" w:cs="Arial"/>
          <w:b/>
          <w:bCs/>
          <w:szCs w:val="24"/>
        </w:rPr>
        <w:t>2</w:t>
      </w:r>
      <w:r w:rsidR="00DF1905">
        <w:rPr>
          <w:rFonts w:ascii="Arial" w:hAnsi="Arial" w:cs="Arial"/>
          <w:b/>
          <w:bCs/>
          <w:szCs w:val="24"/>
        </w:rPr>
        <w:t>2</w:t>
      </w:r>
      <w:r w:rsidR="008E1B58">
        <w:rPr>
          <w:rFonts w:ascii="Arial" w:hAnsi="Arial" w:cs="Arial"/>
          <w:b/>
          <w:bCs/>
          <w:szCs w:val="24"/>
        </w:rPr>
        <w:t>–</w:t>
      </w:r>
      <w:r w:rsidR="002C274D">
        <w:rPr>
          <w:rFonts w:ascii="Arial" w:hAnsi="Arial" w:cs="Arial"/>
          <w:b/>
          <w:bCs/>
          <w:szCs w:val="24"/>
        </w:rPr>
        <w:t>2</w:t>
      </w:r>
      <w:r w:rsidR="00DF1905">
        <w:rPr>
          <w:rFonts w:ascii="Arial" w:hAnsi="Arial" w:cs="Arial"/>
          <w:b/>
          <w:bCs/>
          <w:szCs w:val="24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2951"/>
        <w:gridCol w:w="1037"/>
        <w:gridCol w:w="1037"/>
        <w:gridCol w:w="1037"/>
        <w:gridCol w:w="1174"/>
      </w:tblGrid>
      <w:tr w:rsidR="00BC2061" w:rsidRPr="0058719A" w14:paraId="64F04122" w14:textId="77777777" w:rsidTr="00DF1905">
        <w:trPr>
          <w:trHeight w:val="315"/>
        </w:trPr>
        <w:tc>
          <w:tcPr>
            <w:tcW w:w="639" w:type="pct"/>
            <w:shd w:val="clear" w:color="auto" w:fill="D9D9D9" w:themeFill="background1" w:themeFillShade="D9"/>
            <w:noWrap/>
            <w:vAlign w:val="bottom"/>
            <w:hideMark/>
          </w:tcPr>
          <w:p w14:paraId="308E2381" w14:textId="77777777" w:rsidR="00BC2061" w:rsidRPr="00BC2061" w:rsidRDefault="00BC2061" w:rsidP="00DF2500">
            <w:pPr>
              <w:rPr>
                <w:rFonts w:ascii="Arial Narrow" w:hAnsi="Arial Narrow" w:cs="Calibri"/>
                <w:b/>
                <w:bCs/>
                <w:sz w:val="20"/>
                <w:lang w:eastAsia="en-AU"/>
              </w:rPr>
            </w:pPr>
            <w:r w:rsidRPr="00BC2061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>Licensee</w:t>
            </w:r>
          </w:p>
        </w:tc>
        <w:tc>
          <w:tcPr>
            <w:tcW w:w="1778" w:type="pct"/>
            <w:shd w:val="clear" w:color="auto" w:fill="D9D9D9" w:themeFill="background1" w:themeFillShade="D9"/>
            <w:noWrap/>
            <w:vAlign w:val="bottom"/>
            <w:hideMark/>
          </w:tcPr>
          <w:p w14:paraId="57F4E21B" w14:textId="77777777" w:rsidR="00BC2061" w:rsidRPr="00CE69C7" w:rsidRDefault="00BC2061" w:rsidP="00DF2500">
            <w:pPr>
              <w:rPr>
                <w:rFonts w:ascii="Arial Narrow" w:hAnsi="Arial Narrow" w:cs="Calibri"/>
                <w:b/>
                <w:bCs/>
                <w:sz w:val="20"/>
                <w:lang w:eastAsia="en-AU"/>
              </w:rPr>
            </w:pPr>
            <w:r w:rsidRPr="00CE69C7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>Utility service component provided</w:t>
            </w:r>
          </w:p>
        </w:tc>
        <w:tc>
          <w:tcPr>
            <w:tcW w:w="625" w:type="pct"/>
            <w:shd w:val="clear" w:color="auto" w:fill="D9D9D9" w:themeFill="background1" w:themeFillShade="D9"/>
            <w:noWrap/>
            <w:vAlign w:val="bottom"/>
            <w:hideMark/>
          </w:tcPr>
          <w:p w14:paraId="68930245" w14:textId="462BA8BB" w:rsidR="00BC2061" w:rsidRPr="00BC2061" w:rsidRDefault="00BC2061" w:rsidP="00DF2500">
            <w:pPr>
              <w:jc w:val="right"/>
              <w:rPr>
                <w:rFonts w:ascii="Arial Narrow" w:hAnsi="Arial Narrow" w:cs="Calibri"/>
                <w:b/>
                <w:bCs/>
                <w:sz w:val="20"/>
                <w:lang w:eastAsia="en-AU"/>
              </w:rPr>
            </w:pPr>
            <w:r w:rsidRPr="00BC2061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 xml:space="preserve">UTR </w:t>
            </w:r>
            <w:r w:rsidR="00CE69C7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>($)</w:t>
            </w:r>
          </w:p>
        </w:tc>
        <w:tc>
          <w:tcPr>
            <w:tcW w:w="625" w:type="pct"/>
            <w:shd w:val="clear" w:color="auto" w:fill="D9D9D9" w:themeFill="background1" w:themeFillShade="D9"/>
            <w:noWrap/>
            <w:vAlign w:val="bottom"/>
            <w:hideMark/>
          </w:tcPr>
          <w:p w14:paraId="6ACAF073" w14:textId="7B70B7AA" w:rsidR="00BC2061" w:rsidRPr="00BC2061" w:rsidRDefault="00BC2061" w:rsidP="00DF2500">
            <w:pPr>
              <w:jc w:val="right"/>
              <w:rPr>
                <w:rFonts w:ascii="Arial Narrow" w:hAnsi="Arial Narrow" w:cs="Calibri"/>
                <w:b/>
                <w:bCs/>
                <w:sz w:val="20"/>
                <w:lang w:eastAsia="en-AU"/>
              </w:rPr>
            </w:pPr>
            <w:r w:rsidRPr="00BC2061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>ACAT</w:t>
            </w:r>
            <w:r w:rsidR="00CE69C7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 xml:space="preserve"> ($)</w:t>
            </w:r>
          </w:p>
        </w:tc>
        <w:tc>
          <w:tcPr>
            <w:tcW w:w="625" w:type="pct"/>
            <w:shd w:val="clear" w:color="auto" w:fill="D9D9D9" w:themeFill="background1" w:themeFillShade="D9"/>
            <w:noWrap/>
            <w:vAlign w:val="bottom"/>
            <w:hideMark/>
          </w:tcPr>
          <w:p w14:paraId="06774E63" w14:textId="6CED5E59" w:rsidR="00BC2061" w:rsidRPr="00BC2061" w:rsidRDefault="00BC2061" w:rsidP="00DF2500">
            <w:pPr>
              <w:jc w:val="right"/>
              <w:rPr>
                <w:rFonts w:ascii="Arial Narrow" w:hAnsi="Arial Narrow" w:cs="Calibri"/>
                <w:b/>
                <w:bCs/>
                <w:sz w:val="20"/>
                <w:lang w:eastAsia="en-AU"/>
              </w:rPr>
            </w:pPr>
            <w:r w:rsidRPr="00BC2061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>ICRC</w:t>
            </w:r>
            <w:r w:rsidR="00CE69C7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 xml:space="preserve"> ($)</w:t>
            </w:r>
          </w:p>
        </w:tc>
        <w:tc>
          <w:tcPr>
            <w:tcW w:w="707" w:type="pct"/>
            <w:shd w:val="clear" w:color="auto" w:fill="D9D9D9" w:themeFill="background1" w:themeFillShade="D9"/>
            <w:noWrap/>
            <w:vAlign w:val="bottom"/>
            <w:hideMark/>
          </w:tcPr>
          <w:p w14:paraId="2A06E0F1" w14:textId="0BB75E43" w:rsidR="00BC2061" w:rsidRPr="00BC2061" w:rsidRDefault="00BC2061" w:rsidP="00DF2500">
            <w:pPr>
              <w:jc w:val="right"/>
              <w:rPr>
                <w:rFonts w:ascii="Arial Narrow" w:hAnsi="Arial Narrow" w:cs="Calibri"/>
                <w:b/>
                <w:bCs/>
                <w:sz w:val="20"/>
                <w:lang w:eastAsia="en-AU"/>
              </w:rPr>
            </w:pPr>
            <w:r w:rsidRPr="00BC2061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>Total</w:t>
            </w:r>
            <w:r w:rsidR="00CE69C7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 xml:space="preserve"> ($)</w:t>
            </w:r>
          </w:p>
        </w:tc>
      </w:tr>
      <w:tr w:rsidR="00DF1905" w:rsidRPr="0058719A" w14:paraId="49FC6A3A" w14:textId="77777777" w:rsidTr="00DF1905">
        <w:trPr>
          <w:trHeight w:val="315"/>
        </w:trPr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6FFFAF68" w14:textId="19AE3DAD" w:rsidR="00DF1905" w:rsidRPr="00CE69C7" w:rsidRDefault="00DF1905" w:rsidP="00DF1905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CE69C7">
              <w:rPr>
                <w:rFonts w:ascii="Arial Narrow" w:hAnsi="Arial Narrow" w:cs="Calibri"/>
                <w:sz w:val="20"/>
                <w:lang w:eastAsia="en-AU"/>
              </w:rPr>
              <w:t>EAPL</w:t>
            </w:r>
          </w:p>
        </w:tc>
        <w:tc>
          <w:tcPr>
            <w:tcW w:w="1778" w:type="pct"/>
            <w:shd w:val="clear" w:color="auto" w:fill="auto"/>
            <w:noWrap/>
            <w:vAlign w:val="bottom"/>
            <w:hideMark/>
          </w:tcPr>
          <w:p w14:paraId="3EF924DD" w14:textId="77777777" w:rsidR="00DF1905" w:rsidRPr="00BC2061" w:rsidRDefault="00DF1905" w:rsidP="00DF1905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BC2061">
              <w:rPr>
                <w:rFonts w:ascii="Arial Narrow" w:hAnsi="Arial Narrow" w:cs="Calibri"/>
                <w:sz w:val="20"/>
                <w:lang w:eastAsia="en-AU"/>
              </w:rPr>
              <w:t>Gas Transmission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77080454" w14:textId="36B1289C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82,087.20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099B06C0" w14:textId="688F0F67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0.00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1B5EAD86" w14:textId="1098AAA2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3,045.50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14:paraId="1A33A2E2" w14:textId="07403CFC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85,132.70</w:t>
            </w:r>
          </w:p>
        </w:tc>
      </w:tr>
      <w:tr w:rsidR="00DF1905" w:rsidRPr="0058719A" w14:paraId="0E5E5B4E" w14:textId="77777777" w:rsidTr="00DF1905">
        <w:trPr>
          <w:trHeight w:val="315"/>
        </w:trPr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738420C3" w14:textId="375FCB6A" w:rsidR="00DF1905" w:rsidRPr="00CE69C7" w:rsidRDefault="00DF1905" w:rsidP="00DF1905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CE69C7">
              <w:rPr>
                <w:rFonts w:ascii="Arial Narrow" w:hAnsi="Arial Narrow" w:cs="Calibri"/>
                <w:sz w:val="20"/>
                <w:lang w:eastAsia="en-AU"/>
              </w:rPr>
              <w:t>Icon</w:t>
            </w:r>
          </w:p>
        </w:tc>
        <w:tc>
          <w:tcPr>
            <w:tcW w:w="1778" w:type="pct"/>
            <w:shd w:val="clear" w:color="auto" w:fill="auto"/>
            <w:noWrap/>
            <w:vAlign w:val="bottom"/>
            <w:hideMark/>
          </w:tcPr>
          <w:p w14:paraId="2EE9D60C" w14:textId="470878C0" w:rsidR="00DF1905" w:rsidRPr="00BC2061" w:rsidRDefault="00DF1905" w:rsidP="00DF1905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BC2061">
              <w:rPr>
                <w:rFonts w:ascii="Arial Narrow" w:hAnsi="Arial Narrow" w:cs="Calibri"/>
                <w:sz w:val="20"/>
                <w:lang w:eastAsia="en-AU"/>
              </w:rPr>
              <w:t>Water and Sewerage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5BC551EA" w14:textId="5D773B74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455,095.93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3BE469C1" w14:textId="5F643921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141,447.00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44B9F298" w14:textId="04819D88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231,984.67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14:paraId="2C9C971F" w14:textId="3A03D95D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828,527.60</w:t>
            </w:r>
          </w:p>
        </w:tc>
      </w:tr>
      <w:tr w:rsidR="00DF1905" w:rsidRPr="0058719A" w14:paraId="0D7C260E" w14:textId="77777777" w:rsidTr="00DF1905">
        <w:trPr>
          <w:trHeight w:val="315"/>
        </w:trPr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54E1670C" w14:textId="2B9EB5AD" w:rsidR="00DF1905" w:rsidRPr="00CE69C7" w:rsidRDefault="00DF1905" w:rsidP="00DF1905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CE69C7">
              <w:rPr>
                <w:rFonts w:ascii="Arial Narrow" w:hAnsi="Arial Narrow" w:cs="Calibri"/>
                <w:sz w:val="20"/>
                <w:lang w:eastAsia="en-AU"/>
              </w:rPr>
              <w:t>TG</w:t>
            </w:r>
          </w:p>
        </w:tc>
        <w:tc>
          <w:tcPr>
            <w:tcW w:w="1778" w:type="pct"/>
            <w:shd w:val="clear" w:color="auto" w:fill="auto"/>
            <w:noWrap/>
            <w:vAlign w:val="bottom"/>
            <w:hideMark/>
          </w:tcPr>
          <w:p w14:paraId="663B1B89" w14:textId="77777777" w:rsidR="00DF1905" w:rsidRPr="00BC2061" w:rsidRDefault="00DF1905" w:rsidP="00DF1905">
            <w:pPr>
              <w:rPr>
                <w:rFonts w:ascii="Arial Narrow" w:hAnsi="Arial Narrow" w:cs="Calibri"/>
                <w:sz w:val="20"/>
                <w:lang w:eastAsia="en-AU"/>
              </w:rPr>
            </w:pPr>
            <w:r w:rsidRPr="00BC2061">
              <w:rPr>
                <w:rFonts w:ascii="Arial Narrow" w:hAnsi="Arial Narrow" w:cs="Calibri"/>
                <w:sz w:val="20"/>
                <w:lang w:eastAsia="en-AU"/>
              </w:rPr>
              <w:t>Electricity Transmission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049C515B" w14:textId="394C2DA9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104,301.05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7BE9C9D3" w14:textId="6D155B36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0.00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52F0A594" w14:textId="6072AC36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3,045.50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14:paraId="750CF767" w14:textId="441A97F6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107,346.55</w:t>
            </w:r>
          </w:p>
        </w:tc>
      </w:tr>
      <w:tr w:rsidR="00DF1905" w:rsidRPr="0058719A" w14:paraId="2D75B830" w14:textId="77777777" w:rsidTr="00DF1905">
        <w:trPr>
          <w:trHeight w:val="315"/>
        </w:trPr>
        <w:tc>
          <w:tcPr>
            <w:tcW w:w="639" w:type="pct"/>
            <w:shd w:val="clear" w:color="auto" w:fill="auto"/>
            <w:noWrap/>
            <w:vAlign w:val="bottom"/>
            <w:hideMark/>
          </w:tcPr>
          <w:p w14:paraId="6ECC8F78" w14:textId="2B0D3C50" w:rsidR="00DF1905" w:rsidRPr="00BC2061" w:rsidRDefault="00DF1905" w:rsidP="00DF1905">
            <w:pPr>
              <w:rPr>
                <w:rFonts w:ascii="Arial Narrow" w:hAnsi="Arial Narrow" w:cs="Calibri"/>
                <w:b/>
                <w:bCs/>
                <w:sz w:val="20"/>
                <w:lang w:eastAsia="en-AU"/>
              </w:rPr>
            </w:pPr>
            <w:r w:rsidRPr="00BC2061">
              <w:rPr>
                <w:rFonts w:ascii="Arial Narrow" w:hAnsi="Arial Narrow" w:cs="Calibri"/>
                <w:b/>
                <w:bCs/>
                <w:sz w:val="20"/>
                <w:lang w:eastAsia="en-AU"/>
              </w:rPr>
              <w:t>Total</w:t>
            </w:r>
          </w:p>
        </w:tc>
        <w:tc>
          <w:tcPr>
            <w:tcW w:w="1778" w:type="pct"/>
            <w:shd w:val="clear" w:color="auto" w:fill="auto"/>
            <w:noWrap/>
            <w:vAlign w:val="bottom"/>
            <w:hideMark/>
          </w:tcPr>
          <w:p w14:paraId="38A8EB20" w14:textId="35CF8561" w:rsidR="00DF1905" w:rsidRPr="00BC2061" w:rsidRDefault="00DF1905" w:rsidP="00DF1905">
            <w:pPr>
              <w:rPr>
                <w:rFonts w:ascii="Arial Narrow" w:hAnsi="Arial Narrow" w:cs="Calibri"/>
                <w:sz w:val="20"/>
                <w:lang w:eastAsia="en-AU"/>
              </w:rPr>
            </w:pPr>
          </w:p>
        </w:tc>
        <w:tc>
          <w:tcPr>
            <w:tcW w:w="625" w:type="pct"/>
            <w:shd w:val="clear" w:color="auto" w:fill="auto"/>
            <w:noWrap/>
            <w:hideMark/>
          </w:tcPr>
          <w:p w14:paraId="43510045" w14:textId="20732F63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641,484.18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15842226" w14:textId="1FC28AC9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141,447.00</w:t>
            </w:r>
          </w:p>
        </w:tc>
        <w:tc>
          <w:tcPr>
            <w:tcW w:w="625" w:type="pct"/>
            <w:shd w:val="clear" w:color="auto" w:fill="auto"/>
            <w:noWrap/>
            <w:hideMark/>
          </w:tcPr>
          <w:p w14:paraId="091EBF6F" w14:textId="5CA824B8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238,075.68</w:t>
            </w:r>
          </w:p>
        </w:tc>
        <w:tc>
          <w:tcPr>
            <w:tcW w:w="707" w:type="pct"/>
            <w:shd w:val="clear" w:color="auto" w:fill="auto"/>
            <w:noWrap/>
            <w:hideMark/>
          </w:tcPr>
          <w:p w14:paraId="7BA2BE91" w14:textId="3851016B" w:rsidR="00DF1905" w:rsidRPr="00DF1905" w:rsidRDefault="00DF1905" w:rsidP="00DF1905">
            <w:pPr>
              <w:jc w:val="right"/>
              <w:rPr>
                <w:rFonts w:ascii="Arial Narrow" w:hAnsi="Arial Narrow" w:cs="Calibri"/>
                <w:sz w:val="20"/>
                <w:lang w:eastAsia="en-AU"/>
              </w:rPr>
            </w:pPr>
            <w:r w:rsidRPr="00DF1905">
              <w:rPr>
                <w:rFonts w:ascii="Arial Narrow" w:hAnsi="Arial Narrow"/>
                <w:sz w:val="20"/>
              </w:rPr>
              <w:t>1,021,006.86</w:t>
            </w:r>
          </w:p>
        </w:tc>
      </w:tr>
    </w:tbl>
    <w:p w14:paraId="3B9B5882" w14:textId="611AC535" w:rsidR="00203A8C" w:rsidRPr="00163917" w:rsidRDefault="00163917" w:rsidP="00BC2061">
      <w:pPr>
        <w:tabs>
          <w:tab w:val="left" w:pos="1134"/>
        </w:tabs>
        <w:spacing w:after="100"/>
        <w:rPr>
          <w:rFonts w:ascii="Arial Narrow" w:hAnsi="Arial Narrow" w:cs="Arial"/>
          <w:bCs/>
          <w:sz w:val="18"/>
          <w:szCs w:val="18"/>
        </w:rPr>
      </w:pPr>
      <w:r w:rsidRPr="00163917">
        <w:rPr>
          <w:rFonts w:ascii="Arial Narrow" w:hAnsi="Arial Narrow" w:cs="Arial"/>
          <w:bCs/>
          <w:sz w:val="18"/>
          <w:szCs w:val="18"/>
        </w:rPr>
        <w:t xml:space="preserve">Note: Totals may not add due to rounding. </w:t>
      </w:r>
    </w:p>
    <w:sectPr w:rsidR="00203A8C" w:rsidRPr="00163917" w:rsidSect="009261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800" w:bottom="993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3C10E" w14:textId="77777777" w:rsidR="00E81DF5" w:rsidRDefault="00E81DF5">
      <w:r>
        <w:separator/>
      </w:r>
    </w:p>
  </w:endnote>
  <w:endnote w:type="continuationSeparator" w:id="0">
    <w:p w14:paraId="65B86A56" w14:textId="77777777" w:rsidR="00E81DF5" w:rsidRDefault="00E8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024D" w14:textId="77777777" w:rsidR="005B3601" w:rsidRDefault="000F70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36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09FE90" w14:textId="77777777" w:rsidR="005B3601" w:rsidRDefault="005B36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08DB" w14:textId="77777777" w:rsidR="005B3601" w:rsidRDefault="005B3601">
    <w:pPr>
      <w:pStyle w:val="Footer"/>
      <w:framePr w:wrap="around" w:vAnchor="text" w:hAnchor="margin" w:xAlign="right" w:y="1"/>
      <w:rPr>
        <w:rStyle w:val="PageNumber"/>
      </w:rPr>
    </w:pPr>
  </w:p>
  <w:p w14:paraId="12CE8C0F" w14:textId="529F024C" w:rsidR="005B3601" w:rsidRPr="009C0DD5" w:rsidRDefault="009C0DD5" w:rsidP="009C0DD5">
    <w:pPr>
      <w:pStyle w:val="Footer"/>
      <w:ind w:right="360"/>
      <w:jc w:val="center"/>
      <w:rPr>
        <w:rFonts w:cs="Arial"/>
        <w:sz w:val="14"/>
      </w:rPr>
    </w:pPr>
    <w:r w:rsidRPr="009C0DD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D548" w14:textId="77777777" w:rsidR="009C0DD5" w:rsidRDefault="009C0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DB67C" w14:textId="77777777" w:rsidR="00E81DF5" w:rsidRDefault="00E81DF5">
      <w:r>
        <w:separator/>
      </w:r>
    </w:p>
  </w:footnote>
  <w:footnote w:type="continuationSeparator" w:id="0">
    <w:p w14:paraId="3BA38F2B" w14:textId="77777777" w:rsidR="00E81DF5" w:rsidRDefault="00E81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948F" w14:textId="77777777" w:rsidR="009C0DD5" w:rsidRDefault="009C0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5EA5" w14:textId="77777777" w:rsidR="009C0DD5" w:rsidRDefault="009C0D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0DB1E" w14:textId="77777777" w:rsidR="009C0DD5" w:rsidRDefault="009C0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8E67BC"/>
    <w:multiLevelType w:val="hybridMultilevel"/>
    <w:tmpl w:val="B1BE5000"/>
    <w:lvl w:ilvl="0" w:tplc="B950C2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6F258C"/>
    <w:multiLevelType w:val="hybridMultilevel"/>
    <w:tmpl w:val="36ACC1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6F09A4"/>
    <w:multiLevelType w:val="hybridMultilevel"/>
    <w:tmpl w:val="17903E5A"/>
    <w:lvl w:ilvl="0" w:tplc="198C4F58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563F11"/>
    <w:multiLevelType w:val="hybridMultilevel"/>
    <w:tmpl w:val="6C30E192"/>
    <w:lvl w:ilvl="0" w:tplc="66B82D0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006C76"/>
    <w:multiLevelType w:val="hybridMultilevel"/>
    <w:tmpl w:val="78D4E70E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1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2" w15:restartNumberingAfterBreak="0">
    <w:nsid w:val="3CA11E9C"/>
    <w:multiLevelType w:val="hybridMultilevel"/>
    <w:tmpl w:val="FEEC507A"/>
    <w:lvl w:ilvl="0" w:tplc="B950C2F8">
      <w:start w:val="1"/>
      <w:numFmt w:val="bullet"/>
      <w:lvlText w:val=""/>
      <w:lvlJc w:val="left"/>
      <w:pPr>
        <w:tabs>
          <w:tab w:val="num" w:pos="66"/>
        </w:tabs>
        <w:ind w:left="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13" w15:restartNumberingAfterBreak="0">
    <w:nsid w:val="5CF45078"/>
    <w:multiLevelType w:val="hybridMultilevel"/>
    <w:tmpl w:val="AB36B260"/>
    <w:lvl w:ilvl="0" w:tplc="198C4F5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E769F"/>
    <w:multiLevelType w:val="hybridMultilevel"/>
    <w:tmpl w:val="A24EF724"/>
    <w:lvl w:ilvl="0" w:tplc="A3404612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6B7686"/>
    <w:multiLevelType w:val="multilevel"/>
    <w:tmpl w:val="17903E5A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971A44"/>
    <w:multiLevelType w:val="multilevel"/>
    <w:tmpl w:val="C4242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F0E0720"/>
    <w:multiLevelType w:val="hybridMultilevel"/>
    <w:tmpl w:val="FA1A3A2C"/>
    <w:lvl w:ilvl="0" w:tplc="66B82D0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1726247">
    <w:abstractNumId w:val="2"/>
  </w:num>
  <w:num w:numId="2" w16cid:durableId="1356924082">
    <w:abstractNumId w:val="0"/>
  </w:num>
  <w:num w:numId="3" w16cid:durableId="1715347626">
    <w:abstractNumId w:val="4"/>
  </w:num>
  <w:num w:numId="4" w16cid:durableId="336542179">
    <w:abstractNumId w:val="11"/>
  </w:num>
  <w:num w:numId="5" w16cid:durableId="1781492374">
    <w:abstractNumId w:val="16"/>
  </w:num>
  <w:num w:numId="6" w16cid:durableId="1249339789">
    <w:abstractNumId w:val="1"/>
  </w:num>
  <w:num w:numId="7" w16cid:durableId="1024135157">
    <w:abstractNumId w:val="9"/>
  </w:num>
  <w:num w:numId="8" w16cid:durableId="1370111421">
    <w:abstractNumId w:val="10"/>
  </w:num>
  <w:num w:numId="9" w16cid:durableId="185140185">
    <w:abstractNumId w:val="18"/>
  </w:num>
  <w:num w:numId="10" w16cid:durableId="1489131408">
    <w:abstractNumId w:val="7"/>
  </w:num>
  <w:num w:numId="11" w16cid:durableId="1662539585">
    <w:abstractNumId w:val="13"/>
  </w:num>
  <w:num w:numId="12" w16cid:durableId="1588658796">
    <w:abstractNumId w:val="6"/>
  </w:num>
  <w:num w:numId="13" w16cid:durableId="2070030403">
    <w:abstractNumId w:val="15"/>
  </w:num>
  <w:num w:numId="14" w16cid:durableId="1505776372">
    <w:abstractNumId w:val="12"/>
  </w:num>
  <w:num w:numId="15" w16cid:durableId="550964194">
    <w:abstractNumId w:val="3"/>
  </w:num>
  <w:num w:numId="16" w16cid:durableId="60443754">
    <w:abstractNumId w:val="14"/>
  </w:num>
  <w:num w:numId="17" w16cid:durableId="665785873">
    <w:abstractNumId w:val="17"/>
  </w:num>
  <w:num w:numId="18" w16cid:durableId="273638513">
    <w:abstractNumId w:val="8"/>
  </w:num>
  <w:num w:numId="19" w16cid:durableId="1965774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BEB"/>
    <w:rsid w:val="00003C34"/>
    <w:rsid w:val="00012AE8"/>
    <w:rsid w:val="00022458"/>
    <w:rsid w:val="00025354"/>
    <w:rsid w:val="00026E13"/>
    <w:rsid w:val="000275F2"/>
    <w:rsid w:val="00027A85"/>
    <w:rsid w:val="00033C6F"/>
    <w:rsid w:val="00033EBD"/>
    <w:rsid w:val="00036D1E"/>
    <w:rsid w:val="000510A0"/>
    <w:rsid w:val="000512FC"/>
    <w:rsid w:val="0005396E"/>
    <w:rsid w:val="00080E8F"/>
    <w:rsid w:val="00082EC8"/>
    <w:rsid w:val="00084466"/>
    <w:rsid w:val="00094452"/>
    <w:rsid w:val="000B460B"/>
    <w:rsid w:val="000B4ACD"/>
    <w:rsid w:val="000C4616"/>
    <w:rsid w:val="000D05A3"/>
    <w:rsid w:val="000D4BD5"/>
    <w:rsid w:val="000D4F12"/>
    <w:rsid w:val="000F1C88"/>
    <w:rsid w:val="000F236E"/>
    <w:rsid w:val="000F7070"/>
    <w:rsid w:val="0010520E"/>
    <w:rsid w:val="00105594"/>
    <w:rsid w:val="0011536C"/>
    <w:rsid w:val="00115650"/>
    <w:rsid w:val="00132439"/>
    <w:rsid w:val="00161137"/>
    <w:rsid w:val="00163917"/>
    <w:rsid w:val="00164257"/>
    <w:rsid w:val="00175AB8"/>
    <w:rsid w:val="001864ED"/>
    <w:rsid w:val="00195DB6"/>
    <w:rsid w:val="001A489F"/>
    <w:rsid w:val="001A63BC"/>
    <w:rsid w:val="001B2A42"/>
    <w:rsid w:val="001D2B36"/>
    <w:rsid w:val="001D3F9E"/>
    <w:rsid w:val="001D4221"/>
    <w:rsid w:val="001D7CDD"/>
    <w:rsid w:val="001E3BA2"/>
    <w:rsid w:val="001F3A35"/>
    <w:rsid w:val="002022A9"/>
    <w:rsid w:val="00203A8C"/>
    <w:rsid w:val="00206B42"/>
    <w:rsid w:val="002110A2"/>
    <w:rsid w:val="00213228"/>
    <w:rsid w:val="002141AE"/>
    <w:rsid w:val="0021542B"/>
    <w:rsid w:val="00227E20"/>
    <w:rsid w:val="0023212E"/>
    <w:rsid w:val="00233021"/>
    <w:rsid w:val="00241CE9"/>
    <w:rsid w:val="0024228C"/>
    <w:rsid w:val="002528E4"/>
    <w:rsid w:val="00256B64"/>
    <w:rsid w:val="00274328"/>
    <w:rsid w:val="002A2913"/>
    <w:rsid w:val="002A7EA5"/>
    <w:rsid w:val="002C274D"/>
    <w:rsid w:val="00300FD2"/>
    <w:rsid w:val="00304073"/>
    <w:rsid w:val="00311253"/>
    <w:rsid w:val="00312A60"/>
    <w:rsid w:val="00322E42"/>
    <w:rsid w:val="00327FAE"/>
    <w:rsid w:val="00332C41"/>
    <w:rsid w:val="00335B5A"/>
    <w:rsid w:val="00351351"/>
    <w:rsid w:val="00356548"/>
    <w:rsid w:val="003608C7"/>
    <w:rsid w:val="0036739C"/>
    <w:rsid w:val="00373294"/>
    <w:rsid w:val="003863E8"/>
    <w:rsid w:val="003968DE"/>
    <w:rsid w:val="003A1D42"/>
    <w:rsid w:val="003A4EEC"/>
    <w:rsid w:val="003B0D91"/>
    <w:rsid w:val="003B5198"/>
    <w:rsid w:val="003C17A5"/>
    <w:rsid w:val="003D39DB"/>
    <w:rsid w:val="003D664E"/>
    <w:rsid w:val="003E0E7E"/>
    <w:rsid w:val="003E500C"/>
    <w:rsid w:val="00400D3B"/>
    <w:rsid w:val="00453E92"/>
    <w:rsid w:val="00470138"/>
    <w:rsid w:val="00491BAC"/>
    <w:rsid w:val="004920EC"/>
    <w:rsid w:val="004971EB"/>
    <w:rsid w:val="004A1831"/>
    <w:rsid w:val="004A3F66"/>
    <w:rsid w:val="004A5B4F"/>
    <w:rsid w:val="004B3605"/>
    <w:rsid w:val="004C2680"/>
    <w:rsid w:val="004C51AA"/>
    <w:rsid w:val="004D72BD"/>
    <w:rsid w:val="004E2D35"/>
    <w:rsid w:val="004F7119"/>
    <w:rsid w:val="00503857"/>
    <w:rsid w:val="00530E55"/>
    <w:rsid w:val="00543E59"/>
    <w:rsid w:val="00561AE4"/>
    <w:rsid w:val="00562AA0"/>
    <w:rsid w:val="00562CC1"/>
    <w:rsid w:val="00576A15"/>
    <w:rsid w:val="0058208E"/>
    <w:rsid w:val="00586CA6"/>
    <w:rsid w:val="0058791C"/>
    <w:rsid w:val="005943FE"/>
    <w:rsid w:val="005A2E58"/>
    <w:rsid w:val="005A4B2B"/>
    <w:rsid w:val="005A4E8E"/>
    <w:rsid w:val="005B3601"/>
    <w:rsid w:val="005C2D4D"/>
    <w:rsid w:val="005C4C79"/>
    <w:rsid w:val="005D592D"/>
    <w:rsid w:val="005D72F2"/>
    <w:rsid w:val="005E4DFC"/>
    <w:rsid w:val="006026DF"/>
    <w:rsid w:val="00613530"/>
    <w:rsid w:val="00640593"/>
    <w:rsid w:val="00646595"/>
    <w:rsid w:val="006467F3"/>
    <w:rsid w:val="00651430"/>
    <w:rsid w:val="00665320"/>
    <w:rsid w:val="00672E56"/>
    <w:rsid w:val="00677C53"/>
    <w:rsid w:val="006951E3"/>
    <w:rsid w:val="006A11BF"/>
    <w:rsid w:val="006A2161"/>
    <w:rsid w:val="006D762E"/>
    <w:rsid w:val="006F25AD"/>
    <w:rsid w:val="007025B5"/>
    <w:rsid w:val="007027D0"/>
    <w:rsid w:val="00711D71"/>
    <w:rsid w:val="007128E3"/>
    <w:rsid w:val="00713955"/>
    <w:rsid w:val="007147D7"/>
    <w:rsid w:val="00715983"/>
    <w:rsid w:val="00717953"/>
    <w:rsid w:val="007376DE"/>
    <w:rsid w:val="00737BAE"/>
    <w:rsid w:val="0074158A"/>
    <w:rsid w:val="007667F4"/>
    <w:rsid w:val="00771F2D"/>
    <w:rsid w:val="007773C6"/>
    <w:rsid w:val="007807D2"/>
    <w:rsid w:val="007907D4"/>
    <w:rsid w:val="007978EE"/>
    <w:rsid w:val="007C6B37"/>
    <w:rsid w:val="007D2FE7"/>
    <w:rsid w:val="007D5C01"/>
    <w:rsid w:val="007D62D2"/>
    <w:rsid w:val="007F22ED"/>
    <w:rsid w:val="007F4625"/>
    <w:rsid w:val="008309CC"/>
    <w:rsid w:val="00841318"/>
    <w:rsid w:val="0086127F"/>
    <w:rsid w:val="00865BA5"/>
    <w:rsid w:val="00866A1F"/>
    <w:rsid w:val="00867BEB"/>
    <w:rsid w:val="00882BE7"/>
    <w:rsid w:val="008843D4"/>
    <w:rsid w:val="00890362"/>
    <w:rsid w:val="008A18D4"/>
    <w:rsid w:val="008A2934"/>
    <w:rsid w:val="008A5623"/>
    <w:rsid w:val="008A61AA"/>
    <w:rsid w:val="008C092D"/>
    <w:rsid w:val="008C37F7"/>
    <w:rsid w:val="008D4815"/>
    <w:rsid w:val="008E1B58"/>
    <w:rsid w:val="008E1B59"/>
    <w:rsid w:val="008F23F2"/>
    <w:rsid w:val="008F347C"/>
    <w:rsid w:val="008F4750"/>
    <w:rsid w:val="008F59E5"/>
    <w:rsid w:val="00907C31"/>
    <w:rsid w:val="0091727F"/>
    <w:rsid w:val="0092088D"/>
    <w:rsid w:val="009208B7"/>
    <w:rsid w:val="009261BE"/>
    <w:rsid w:val="009323C1"/>
    <w:rsid w:val="00947E25"/>
    <w:rsid w:val="00952DEC"/>
    <w:rsid w:val="009632C6"/>
    <w:rsid w:val="00980C04"/>
    <w:rsid w:val="0099012A"/>
    <w:rsid w:val="009A36F5"/>
    <w:rsid w:val="009B1492"/>
    <w:rsid w:val="009C0DD5"/>
    <w:rsid w:val="009C5E96"/>
    <w:rsid w:val="009D1F09"/>
    <w:rsid w:val="009E2243"/>
    <w:rsid w:val="009F10F8"/>
    <w:rsid w:val="009F6CE7"/>
    <w:rsid w:val="00A01A55"/>
    <w:rsid w:val="00A13ED4"/>
    <w:rsid w:val="00A20A12"/>
    <w:rsid w:val="00A23201"/>
    <w:rsid w:val="00A4286F"/>
    <w:rsid w:val="00A43B49"/>
    <w:rsid w:val="00A5424A"/>
    <w:rsid w:val="00A61DC9"/>
    <w:rsid w:val="00A64A3E"/>
    <w:rsid w:val="00A728C9"/>
    <w:rsid w:val="00A87E8E"/>
    <w:rsid w:val="00A969B4"/>
    <w:rsid w:val="00AA0798"/>
    <w:rsid w:val="00AC5A6A"/>
    <w:rsid w:val="00AC6330"/>
    <w:rsid w:val="00AD441F"/>
    <w:rsid w:val="00AD4D51"/>
    <w:rsid w:val="00AD7C25"/>
    <w:rsid w:val="00AE13F0"/>
    <w:rsid w:val="00AE3A9E"/>
    <w:rsid w:val="00AE7369"/>
    <w:rsid w:val="00AF0CDF"/>
    <w:rsid w:val="00AF1775"/>
    <w:rsid w:val="00B06CAA"/>
    <w:rsid w:val="00B121E2"/>
    <w:rsid w:val="00B136C5"/>
    <w:rsid w:val="00B15EE4"/>
    <w:rsid w:val="00B32B71"/>
    <w:rsid w:val="00B40A26"/>
    <w:rsid w:val="00B4248C"/>
    <w:rsid w:val="00B57D5C"/>
    <w:rsid w:val="00B62665"/>
    <w:rsid w:val="00B66FAA"/>
    <w:rsid w:val="00B7216F"/>
    <w:rsid w:val="00B83CA7"/>
    <w:rsid w:val="00B852A3"/>
    <w:rsid w:val="00B91DDE"/>
    <w:rsid w:val="00B95F8C"/>
    <w:rsid w:val="00BC2061"/>
    <w:rsid w:val="00BF75AE"/>
    <w:rsid w:val="00C006C2"/>
    <w:rsid w:val="00C05BCE"/>
    <w:rsid w:val="00C132B9"/>
    <w:rsid w:val="00C16D42"/>
    <w:rsid w:val="00C2028F"/>
    <w:rsid w:val="00C22331"/>
    <w:rsid w:val="00C4075D"/>
    <w:rsid w:val="00C54AF1"/>
    <w:rsid w:val="00C77F30"/>
    <w:rsid w:val="00C8253A"/>
    <w:rsid w:val="00C90842"/>
    <w:rsid w:val="00C911CD"/>
    <w:rsid w:val="00C9169D"/>
    <w:rsid w:val="00CA1ED0"/>
    <w:rsid w:val="00CD1BC0"/>
    <w:rsid w:val="00CD6B10"/>
    <w:rsid w:val="00CE1ABF"/>
    <w:rsid w:val="00CE69C7"/>
    <w:rsid w:val="00D00C2E"/>
    <w:rsid w:val="00D12AC0"/>
    <w:rsid w:val="00D20ED2"/>
    <w:rsid w:val="00D24C09"/>
    <w:rsid w:val="00D26AC9"/>
    <w:rsid w:val="00D358A2"/>
    <w:rsid w:val="00D40B79"/>
    <w:rsid w:val="00D47E3D"/>
    <w:rsid w:val="00D621E5"/>
    <w:rsid w:val="00D623F1"/>
    <w:rsid w:val="00D6301C"/>
    <w:rsid w:val="00D65186"/>
    <w:rsid w:val="00D7296A"/>
    <w:rsid w:val="00D73837"/>
    <w:rsid w:val="00D8584B"/>
    <w:rsid w:val="00D93CC9"/>
    <w:rsid w:val="00DB1B59"/>
    <w:rsid w:val="00DB38C4"/>
    <w:rsid w:val="00DD1714"/>
    <w:rsid w:val="00DD5D34"/>
    <w:rsid w:val="00DE32BA"/>
    <w:rsid w:val="00DE5ABB"/>
    <w:rsid w:val="00DF00D5"/>
    <w:rsid w:val="00DF13F5"/>
    <w:rsid w:val="00DF1905"/>
    <w:rsid w:val="00DF2500"/>
    <w:rsid w:val="00DF5F3F"/>
    <w:rsid w:val="00E00D20"/>
    <w:rsid w:val="00E15D64"/>
    <w:rsid w:val="00E165C2"/>
    <w:rsid w:val="00E25F2E"/>
    <w:rsid w:val="00E27214"/>
    <w:rsid w:val="00E33C25"/>
    <w:rsid w:val="00E44E92"/>
    <w:rsid w:val="00E50DDF"/>
    <w:rsid w:val="00E552DE"/>
    <w:rsid w:val="00E75C5C"/>
    <w:rsid w:val="00E8139B"/>
    <w:rsid w:val="00E81DF5"/>
    <w:rsid w:val="00EB4C93"/>
    <w:rsid w:val="00EC2964"/>
    <w:rsid w:val="00EC3E32"/>
    <w:rsid w:val="00EC46F1"/>
    <w:rsid w:val="00ED5BCD"/>
    <w:rsid w:val="00ED67ED"/>
    <w:rsid w:val="00EE57F5"/>
    <w:rsid w:val="00EF4CE0"/>
    <w:rsid w:val="00EF71D4"/>
    <w:rsid w:val="00F05D10"/>
    <w:rsid w:val="00F20585"/>
    <w:rsid w:val="00F2257A"/>
    <w:rsid w:val="00F3129D"/>
    <w:rsid w:val="00F40A93"/>
    <w:rsid w:val="00F56ECD"/>
    <w:rsid w:val="00F570D9"/>
    <w:rsid w:val="00F71A3F"/>
    <w:rsid w:val="00F955C6"/>
    <w:rsid w:val="00FA007E"/>
    <w:rsid w:val="00FA523C"/>
    <w:rsid w:val="00FA6267"/>
    <w:rsid w:val="00FB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3E763CCF"/>
  <w15:docId w15:val="{A08BFBFA-05F4-4A59-BB9A-4376AEFA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61BE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9261BE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9261BE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9261BE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9261BE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paragraph" w:styleId="Heading5">
    <w:name w:val="heading 5"/>
    <w:basedOn w:val="Normal"/>
    <w:next w:val="Normal"/>
    <w:qFormat/>
    <w:rsid w:val="009261BE"/>
    <w:pPr>
      <w:keepNext/>
      <w:spacing w:before="240" w:after="60"/>
      <w:ind w:left="720" w:hanging="720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261BE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9261BE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9261BE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9261BE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9261BE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9261BE"/>
    <w:pPr>
      <w:spacing w:before="180" w:after="60"/>
      <w:jc w:val="both"/>
    </w:pPr>
  </w:style>
  <w:style w:type="paragraph" w:customStyle="1" w:styleId="CoverActName">
    <w:name w:val="CoverActName"/>
    <w:basedOn w:val="Normal"/>
    <w:rsid w:val="009261BE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9261BE"/>
    <w:pPr>
      <w:tabs>
        <w:tab w:val="left" w:pos="2880"/>
      </w:tabs>
    </w:pPr>
  </w:style>
  <w:style w:type="paragraph" w:customStyle="1" w:styleId="Apara">
    <w:name w:val="A para"/>
    <w:basedOn w:val="Normal"/>
    <w:rsid w:val="009261BE"/>
    <w:pPr>
      <w:numPr>
        <w:ilvl w:val="6"/>
        <w:numId w:val="1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9261BE"/>
    <w:pPr>
      <w:numPr>
        <w:ilvl w:val="7"/>
        <w:numId w:val="1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9261BE"/>
    <w:pPr>
      <w:numPr>
        <w:ilvl w:val="8"/>
        <w:numId w:val="1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9261BE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rsid w:val="009261BE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9261BE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9261BE"/>
  </w:style>
  <w:style w:type="paragraph" w:customStyle="1" w:styleId="CoverInForce">
    <w:name w:val="CoverInForce"/>
    <w:basedOn w:val="Normal"/>
    <w:rsid w:val="009261BE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9261BE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9261BE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rsid w:val="009261BE"/>
  </w:style>
  <w:style w:type="paragraph" w:customStyle="1" w:styleId="Aparabullet">
    <w:name w:val="A para bullet"/>
    <w:basedOn w:val="Normal"/>
    <w:rsid w:val="009261BE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9261BE"/>
  </w:style>
  <w:style w:type="paragraph" w:styleId="TOC2">
    <w:name w:val="toc 2"/>
    <w:basedOn w:val="Normal"/>
    <w:next w:val="Normal"/>
    <w:autoRedefine/>
    <w:semiHidden/>
    <w:rsid w:val="009261BE"/>
    <w:pPr>
      <w:ind w:left="240"/>
    </w:pPr>
  </w:style>
  <w:style w:type="paragraph" w:styleId="TOC3">
    <w:name w:val="toc 3"/>
    <w:basedOn w:val="Normal"/>
    <w:next w:val="Normal"/>
    <w:autoRedefine/>
    <w:semiHidden/>
    <w:rsid w:val="009261BE"/>
    <w:pPr>
      <w:ind w:left="480"/>
    </w:pPr>
  </w:style>
  <w:style w:type="paragraph" w:styleId="TOC4">
    <w:name w:val="toc 4"/>
    <w:basedOn w:val="Normal"/>
    <w:next w:val="Normal"/>
    <w:autoRedefine/>
    <w:semiHidden/>
    <w:rsid w:val="009261BE"/>
    <w:pPr>
      <w:ind w:left="720"/>
    </w:pPr>
  </w:style>
  <w:style w:type="paragraph" w:styleId="TOC5">
    <w:name w:val="toc 5"/>
    <w:basedOn w:val="Normal"/>
    <w:next w:val="Normal"/>
    <w:autoRedefine/>
    <w:semiHidden/>
    <w:rsid w:val="009261BE"/>
    <w:pPr>
      <w:ind w:left="960"/>
    </w:pPr>
  </w:style>
  <w:style w:type="paragraph" w:styleId="TOC6">
    <w:name w:val="toc 6"/>
    <w:basedOn w:val="Normal"/>
    <w:next w:val="Normal"/>
    <w:autoRedefine/>
    <w:semiHidden/>
    <w:rsid w:val="009261BE"/>
    <w:pPr>
      <w:ind w:left="1200"/>
    </w:pPr>
  </w:style>
  <w:style w:type="paragraph" w:styleId="TOC7">
    <w:name w:val="toc 7"/>
    <w:basedOn w:val="Normal"/>
    <w:next w:val="Normal"/>
    <w:autoRedefine/>
    <w:semiHidden/>
    <w:rsid w:val="009261BE"/>
    <w:pPr>
      <w:ind w:left="1440"/>
    </w:pPr>
  </w:style>
  <w:style w:type="paragraph" w:styleId="TOC8">
    <w:name w:val="toc 8"/>
    <w:basedOn w:val="Normal"/>
    <w:next w:val="Normal"/>
    <w:autoRedefine/>
    <w:semiHidden/>
    <w:rsid w:val="009261BE"/>
    <w:pPr>
      <w:ind w:left="1680"/>
    </w:pPr>
  </w:style>
  <w:style w:type="paragraph" w:styleId="TOC9">
    <w:name w:val="toc 9"/>
    <w:basedOn w:val="Normal"/>
    <w:next w:val="Normal"/>
    <w:autoRedefine/>
    <w:semiHidden/>
    <w:rsid w:val="009261BE"/>
    <w:pPr>
      <w:ind w:left="1920"/>
    </w:pPr>
  </w:style>
  <w:style w:type="character" w:styleId="Hyperlink">
    <w:name w:val="Hyperlink"/>
    <w:basedOn w:val="DefaultParagraphFont"/>
    <w:rsid w:val="009261BE"/>
    <w:rPr>
      <w:color w:val="0000FF"/>
      <w:u w:val="single"/>
    </w:rPr>
  </w:style>
  <w:style w:type="paragraph" w:styleId="BodyTextIndent">
    <w:name w:val="Body Text Indent"/>
    <w:basedOn w:val="Normal"/>
    <w:rsid w:val="009261BE"/>
    <w:pPr>
      <w:spacing w:before="120" w:after="60"/>
      <w:ind w:left="709"/>
    </w:pPr>
  </w:style>
  <w:style w:type="paragraph" w:customStyle="1" w:styleId="Minister">
    <w:name w:val="Minister"/>
    <w:basedOn w:val="Normal"/>
    <w:rsid w:val="009261BE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9261BE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9261BE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rsid w:val="009261BE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9261BE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9261BE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9261BE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9261BE"/>
  </w:style>
  <w:style w:type="paragraph" w:customStyle="1" w:styleId="BodyText1">
    <w:name w:val="Body Text 1"/>
    <w:basedOn w:val="Normal"/>
    <w:rsid w:val="009261BE"/>
    <w:pPr>
      <w:spacing w:before="240"/>
      <w:ind w:left="709"/>
      <w:jc w:val="both"/>
    </w:pPr>
    <w:rPr>
      <w:rFonts w:ascii="Arial" w:hAnsi="Arial" w:cs="Arial"/>
      <w:sz w:val="22"/>
      <w:szCs w:val="22"/>
    </w:rPr>
  </w:style>
  <w:style w:type="paragraph" w:customStyle="1" w:styleId="xl25">
    <w:name w:val="xl25"/>
    <w:basedOn w:val="Normal"/>
    <w:rsid w:val="009261BE"/>
    <w:pPr>
      <w:spacing w:before="100" w:beforeAutospacing="1" w:after="100" w:afterAutospacing="1"/>
    </w:pPr>
    <w:rPr>
      <w:szCs w:val="24"/>
    </w:rPr>
  </w:style>
  <w:style w:type="paragraph" w:customStyle="1" w:styleId="xl26">
    <w:name w:val="xl26"/>
    <w:basedOn w:val="Normal"/>
    <w:rsid w:val="009261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"/>
    <w:rsid w:val="009261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"/>
    <w:rsid w:val="009261B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Normal"/>
    <w:rsid w:val="009261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"/>
    <w:rsid w:val="009261BE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"/>
    <w:rsid w:val="009261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"/>
    <w:rsid w:val="009261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"/>
    <w:rsid w:val="009261B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"/>
    <w:rsid w:val="009261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"/>
    <w:rsid w:val="009261BE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"/>
    <w:rsid w:val="009261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al"/>
    <w:rsid w:val="009261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"/>
    <w:rsid w:val="009261B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"/>
    <w:rsid w:val="009261BE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"/>
    <w:rsid w:val="009261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"/>
    <w:rsid w:val="009261B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Normal"/>
    <w:rsid w:val="009261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"/>
    <w:rsid w:val="009261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rsid w:val="009261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"/>
    <w:rsid w:val="009261BE"/>
    <w:pPr>
      <w:pBdr>
        <w:bottom w:val="single" w:sz="8" w:space="0" w:color="auto"/>
      </w:pBdr>
      <w:spacing w:before="100" w:beforeAutospacing="1" w:after="100" w:afterAutospacing="1"/>
    </w:pPr>
    <w:rPr>
      <w:rFonts w:ascii="TimesNewRoman,Bold" w:hAnsi="TimesNewRoman,Bold"/>
      <w:b/>
      <w:bCs/>
      <w:sz w:val="32"/>
      <w:szCs w:val="32"/>
    </w:rPr>
  </w:style>
  <w:style w:type="paragraph" w:customStyle="1" w:styleId="xl46">
    <w:name w:val="xl46"/>
    <w:basedOn w:val="Normal"/>
    <w:rsid w:val="009261B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"/>
    <w:rsid w:val="009261BE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"/>
    <w:rsid w:val="009261B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5">
    <w:name w:val="font5"/>
    <w:basedOn w:val="Normal"/>
    <w:rsid w:val="009261BE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261BE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styleId="EndnoteText">
    <w:name w:val="endnote text"/>
    <w:basedOn w:val="Normal"/>
    <w:semiHidden/>
    <w:rsid w:val="009261BE"/>
    <w:rPr>
      <w:sz w:val="20"/>
    </w:rPr>
  </w:style>
  <w:style w:type="character" w:styleId="EndnoteReference">
    <w:name w:val="endnote reference"/>
    <w:basedOn w:val="DefaultParagraphFont"/>
    <w:semiHidden/>
    <w:rsid w:val="009261BE"/>
    <w:rPr>
      <w:vertAlign w:val="superscript"/>
    </w:rPr>
  </w:style>
  <w:style w:type="paragraph" w:styleId="BalloonText">
    <w:name w:val="Balloon Text"/>
    <w:basedOn w:val="Normal"/>
    <w:semiHidden/>
    <w:rsid w:val="009261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261BE"/>
    <w:pPr>
      <w:spacing w:before="100" w:beforeAutospacing="1" w:after="100" w:afterAutospacing="1"/>
    </w:pPr>
    <w:rPr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866A1F"/>
    <w:pPr>
      <w:ind w:left="720"/>
      <w:contextualSpacing/>
    </w:pPr>
  </w:style>
  <w:style w:type="paragraph" w:customStyle="1" w:styleId="TableNotes">
    <w:name w:val="Table Notes"/>
    <w:basedOn w:val="Normal"/>
    <w:rsid w:val="005B3601"/>
    <w:pPr>
      <w:keepLines/>
      <w:spacing w:before="60"/>
    </w:pPr>
    <w:rPr>
      <w:rFonts w:ascii="Arial Narrow" w:eastAsia="Cambria" w:hAnsi="Arial Narrow"/>
      <w:sz w:val="16"/>
      <w:lang w:val="en-GB"/>
    </w:rPr>
  </w:style>
  <w:style w:type="paragraph" w:customStyle="1" w:styleId="TableNotesLast">
    <w:name w:val="Table Notes Last"/>
    <w:basedOn w:val="TableNotes"/>
    <w:rsid w:val="005B3601"/>
    <w:pPr>
      <w:spacing w:after="320"/>
    </w:pPr>
  </w:style>
  <w:style w:type="character" w:styleId="UnresolvedMention">
    <w:name w:val="Unresolved Mention"/>
    <w:basedOn w:val="DefaultParagraphFont"/>
    <w:uiPriority w:val="99"/>
    <w:semiHidden/>
    <w:unhideWhenUsed/>
    <w:rsid w:val="00033C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206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rc.act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EF4CB-BBA6-409A-B4C1-4A9CAA53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5265</Characters>
  <Application>Microsoft Office Word</Application>
  <DocSecurity>0</DocSecurity>
  <Lines>316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5993</CharactersWithSpaces>
  <SharedDoc>false</SharedDoc>
  <HLinks>
    <vt:vector size="12" baseType="variant">
      <vt:variant>
        <vt:i4>8323196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http://www.legislation.act.gov.au/</vt:lpwstr>
      </vt:variant>
      <vt:variant>
        <vt:lpwstr/>
      </vt:variant>
      <vt:variant>
        <vt:i4>6750261</vt:i4>
      </vt:variant>
      <vt:variant>
        <vt:i4>0</vt:i4>
      </vt:variant>
      <vt:variant>
        <vt:i4>0</vt:i4>
      </vt:variant>
      <vt:variant>
        <vt:i4>5</vt:i4>
      </vt:variant>
      <vt:variant>
        <vt:lpwstr>http://www.icrc.act.gov.au/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Ofiana, Jen</dc:creator>
  <cp:lastModifiedBy>PCODCS</cp:lastModifiedBy>
  <cp:revision>4</cp:revision>
  <cp:lastPrinted>2015-12-02T20:20:00Z</cp:lastPrinted>
  <dcterms:created xsi:type="dcterms:W3CDTF">2022-10-28T05:03:00Z</dcterms:created>
  <dcterms:modified xsi:type="dcterms:W3CDTF">2022-10-28T05:03:00Z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A39099808</vt:lpwstr>
  </property>
  <property fmtid="{D5CDD505-2E9C-101B-9397-08002B2CF9AE}" pid="4" name="Objective-Title">
    <vt:lpwstr>2022-23 Annual Licence Fees Determination</vt:lpwstr>
  </property>
  <property fmtid="{D5CDD505-2E9C-101B-9397-08002B2CF9AE}" pid="5" name="Objective-Comment">
    <vt:lpwstr/>
  </property>
  <property fmtid="{D5CDD505-2E9C-101B-9397-08002B2CF9AE}" pid="6" name="Objective-CreationStamp">
    <vt:filetime>2022-10-19T23:04:22Z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2022-10-19T23:53:49Z</vt:filetime>
  </property>
  <property fmtid="{D5CDD505-2E9C-101B-9397-08002B2CF9AE}" pid="11" name="Objective-Owner">
    <vt:lpwstr>Ryan Ostopowicz</vt:lpwstr>
  </property>
  <property fmtid="{D5CDD505-2E9C-101B-9397-08002B2CF9AE}" pid="12" name="Objective-Path">
    <vt:lpwstr>Whole of ACT Government:ICRC - Independent Competition and Regulatory Commission:06. UTILITIES LICENSING:02. Fees and Levies:Previous Fees and Levies:2022-23 Fees and Levies:07 Instruments:Fee:</vt:lpwstr>
  </property>
  <property fmtid="{D5CDD505-2E9C-101B-9397-08002B2CF9AE}" pid="13" name="Objective-Parent">
    <vt:lpwstr>Fee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1-2022/64755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ICRC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ICRC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</Properties>
</file>